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default"/>
          <w:b/>
          <w:bCs/>
          <w:color w:val="auto"/>
          <w:sz w:val="44"/>
          <w:szCs w:val="44"/>
          <w:highlight w:val="none"/>
          <w:lang w:val="en-US"/>
        </w:rPr>
      </w:pPr>
      <w:r>
        <w:rPr>
          <w:rFonts w:hint="eastAsia"/>
          <w:b/>
          <w:bCs/>
          <w:color w:val="auto"/>
          <w:sz w:val="44"/>
          <w:szCs w:val="44"/>
          <w:highlight w:val="none"/>
          <w:lang w:val="en-US" w:eastAsia="zh-CN"/>
        </w:rPr>
        <w:t>阜康市2023年绿色高产高效行动项目-无人机打农药</w:t>
      </w:r>
    </w:p>
    <w:p>
      <w:pPr>
        <w:rPr>
          <w:color w:val="auto"/>
          <w:highlight w:val="none"/>
        </w:rPr>
      </w:pPr>
    </w:p>
    <w:p>
      <w:pPr>
        <w:spacing w:line="360" w:lineRule="auto"/>
        <w:ind w:firstLine="2820" w:firstLineChars="600"/>
        <w:jc w:val="left"/>
        <w:rPr>
          <w:rFonts w:hint="eastAsia" w:ascii="方正小标宋简体" w:hAnsi="方正小标宋简体" w:eastAsia="方正小标宋简体" w:cs="方正小标宋简体"/>
          <w:color w:val="auto"/>
          <w:kern w:val="0"/>
          <w:sz w:val="44"/>
          <w:szCs w:val="44"/>
          <w:highlight w:val="none"/>
          <w:lang w:eastAsia="zh-CN"/>
        </w:rPr>
      </w:pPr>
    </w:p>
    <w:p>
      <w:pPr>
        <w:spacing w:line="360" w:lineRule="auto"/>
        <w:ind w:firstLine="2820" w:firstLineChars="600"/>
        <w:jc w:val="left"/>
        <w:rPr>
          <w:rFonts w:hint="eastAsia" w:ascii="方正小标宋简体" w:hAnsi="方正小标宋简体" w:eastAsia="方正小标宋简体" w:cs="方正小标宋简体"/>
          <w:color w:val="auto"/>
          <w:kern w:val="0"/>
          <w:sz w:val="44"/>
          <w:szCs w:val="44"/>
          <w:highlight w:val="none"/>
          <w:lang w:eastAsia="zh-CN"/>
        </w:rPr>
      </w:pPr>
    </w:p>
    <w:p>
      <w:pPr>
        <w:spacing w:line="360" w:lineRule="auto"/>
        <w:ind w:firstLine="3290" w:firstLineChars="700"/>
        <w:jc w:val="left"/>
        <w:rPr>
          <w:rFonts w:hint="eastAsia" w:ascii="方正小标宋简体" w:hAnsi="方正小标宋简体" w:eastAsia="方正小标宋简体" w:cs="方正小标宋简体"/>
          <w:color w:val="auto"/>
          <w:kern w:val="0"/>
          <w:sz w:val="44"/>
          <w:szCs w:val="44"/>
          <w:highlight w:val="none"/>
          <w:lang w:eastAsia="zh-CN"/>
        </w:rPr>
      </w:pPr>
      <w:r>
        <w:rPr>
          <w:rFonts w:hint="eastAsia" w:ascii="方正小标宋简体" w:hAnsi="方正小标宋简体" w:eastAsia="方正小标宋简体" w:cs="方正小标宋简体"/>
          <w:color w:val="auto"/>
          <w:kern w:val="0"/>
          <w:sz w:val="44"/>
          <w:szCs w:val="44"/>
          <w:highlight w:val="none"/>
          <w:lang w:eastAsia="zh-CN"/>
        </w:rPr>
        <w:t>竞争性磋商文件</w:t>
      </w:r>
    </w:p>
    <w:p>
      <w:pPr>
        <w:rPr>
          <w:color w:val="auto"/>
          <w:highlight w:val="none"/>
        </w:rPr>
      </w:pPr>
    </w:p>
    <w:p>
      <w:pPr>
        <w:pStyle w:val="2"/>
        <w:rPr>
          <w:color w:val="auto"/>
          <w:highlight w:val="none"/>
        </w:rPr>
      </w:pPr>
    </w:p>
    <w:p>
      <w:pPr>
        <w:rPr>
          <w:color w:val="auto"/>
          <w:highlight w:val="none"/>
        </w:rPr>
      </w:pPr>
    </w:p>
    <w:p>
      <w:pPr>
        <w:pStyle w:val="39"/>
        <w:spacing w:line="360" w:lineRule="auto"/>
        <w:ind w:firstLine="480" w:firstLineChars="200"/>
        <w:rPr>
          <w:rFonts w:ascii="仿宋" w:hAnsi="仿宋" w:eastAsia="仿宋" w:cs="仿宋"/>
          <w:color w:val="auto"/>
          <w:sz w:val="21"/>
          <w:szCs w:val="21"/>
          <w:highlight w:val="none"/>
        </w:rPr>
      </w:pPr>
    </w:p>
    <w:p>
      <w:pPr>
        <w:spacing w:line="360" w:lineRule="auto"/>
        <w:ind w:firstLine="1980" w:firstLineChars="600"/>
        <w:jc w:val="both"/>
        <w:rPr>
          <w:rFonts w:hint="eastAsia" w:ascii="方正小标宋简体" w:hAnsi="方正小标宋简体" w:eastAsia="方正小标宋简体" w:cs="方正小标宋简体"/>
          <w:color w:val="auto"/>
          <w:kern w:val="0"/>
          <w:sz w:val="30"/>
          <w:szCs w:val="30"/>
          <w:highlight w:val="none"/>
          <w:lang w:eastAsia="zh-CN"/>
        </w:rPr>
      </w:pPr>
      <w:r>
        <w:rPr>
          <w:rFonts w:hint="eastAsia" w:ascii="方正小标宋简体" w:hAnsi="方正小标宋简体" w:eastAsia="方正小标宋简体" w:cs="方正小标宋简体"/>
          <w:color w:val="auto"/>
          <w:kern w:val="0"/>
          <w:sz w:val="30"/>
          <w:szCs w:val="30"/>
          <w:highlight w:val="none"/>
        </w:rPr>
        <w:t>采购人：</w:t>
      </w:r>
      <w:r>
        <w:rPr>
          <w:rFonts w:hint="eastAsia" w:ascii="方正小标宋简体" w:hAnsi="方正小标宋简体" w:eastAsia="方正小标宋简体" w:cs="方正小标宋简体"/>
          <w:color w:val="auto"/>
          <w:kern w:val="0"/>
          <w:sz w:val="30"/>
          <w:szCs w:val="30"/>
          <w:highlight w:val="none"/>
          <w:lang w:eastAsia="zh-CN"/>
        </w:rPr>
        <w:t>阜康市农业技术推广中心　</w:t>
      </w:r>
    </w:p>
    <w:p>
      <w:pPr>
        <w:spacing w:line="360" w:lineRule="auto"/>
        <w:ind w:firstLine="660" w:firstLineChars="200"/>
        <w:jc w:val="center"/>
        <w:rPr>
          <w:rFonts w:hint="eastAsia" w:ascii="方正小标宋简体" w:hAnsi="方正小标宋简体" w:eastAsia="方正小标宋简体" w:cs="方正小标宋简体"/>
          <w:color w:val="auto"/>
          <w:kern w:val="0"/>
          <w:sz w:val="30"/>
          <w:szCs w:val="30"/>
          <w:highlight w:val="none"/>
        </w:rPr>
      </w:pPr>
      <w:r>
        <w:rPr>
          <w:rFonts w:hint="eastAsia" w:ascii="方正小标宋简体" w:hAnsi="方正小标宋简体" w:eastAsia="方正小标宋简体" w:cs="方正小标宋简体"/>
          <w:color w:val="auto"/>
          <w:kern w:val="0"/>
          <w:sz w:val="30"/>
          <w:szCs w:val="30"/>
          <w:highlight w:val="none"/>
        </w:rPr>
        <w:t>采购代理机构：</w:t>
      </w:r>
      <w:r>
        <w:rPr>
          <w:rFonts w:hint="eastAsia" w:ascii="方正小标宋简体" w:hAnsi="方正小标宋简体" w:eastAsia="方正小标宋简体" w:cs="方正小标宋简体"/>
          <w:color w:val="auto"/>
          <w:kern w:val="0"/>
          <w:sz w:val="30"/>
          <w:szCs w:val="30"/>
          <w:highlight w:val="none"/>
          <w:lang w:eastAsia="zh-CN"/>
        </w:rPr>
        <w:t>新疆国恩工程管理有限公司</w:t>
      </w:r>
    </w:p>
    <w:p>
      <w:pPr>
        <w:pStyle w:val="13"/>
        <w:spacing w:line="360" w:lineRule="auto"/>
        <w:ind w:firstLine="3630" w:firstLineChars="1100"/>
        <w:jc w:val="both"/>
        <w:rPr>
          <w:rFonts w:hint="eastAsia" w:ascii="方正小标宋简体" w:hAnsi="方正小标宋简体" w:eastAsia="方正小标宋简体" w:cs="方正小标宋简体"/>
          <w:color w:val="auto"/>
          <w:sz w:val="30"/>
          <w:szCs w:val="30"/>
          <w:highlight w:val="none"/>
        </w:rPr>
      </w:pPr>
    </w:p>
    <w:p>
      <w:pPr>
        <w:pStyle w:val="13"/>
        <w:spacing w:line="360" w:lineRule="auto"/>
        <w:ind w:firstLine="3960" w:firstLineChars="1200"/>
        <w:jc w:val="both"/>
        <w:rPr>
          <w:rFonts w:ascii="方正小标宋简体" w:hAnsi="方正小标宋简体" w:eastAsia="方正小标宋简体" w:cs="方正小标宋简体"/>
          <w:color w:val="auto"/>
          <w:sz w:val="30"/>
          <w:szCs w:val="30"/>
          <w:highlight w:val="none"/>
        </w:rPr>
      </w:pPr>
      <w:r>
        <w:rPr>
          <w:rFonts w:hint="eastAsia" w:ascii="方正小标宋简体" w:hAnsi="方正小标宋简体" w:eastAsia="方正小标宋简体" w:cs="方正小标宋简体"/>
          <w:color w:val="auto"/>
          <w:sz w:val="30"/>
          <w:szCs w:val="30"/>
          <w:highlight w:val="none"/>
        </w:rPr>
        <w:t>202</w:t>
      </w:r>
      <w:r>
        <w:rPr>
          <w:rFonts w:hint="eastAsia" w:ascii="方正小标宋简体" w:hAnsi="方正小标宋简体" w:eastAsia="方正小标宋简体" w:cs="方正小标宋简体"/>
          <w:color w:val="auto"/>
          <w:sz w:val="30"/>
          <w:szCs w:val="30"/>
          <w:highlight w:val="none"/>
          <w:lang w:val="en-US" w:eastAsia="zh-CN"/>
        </w:rPr>
        <w:t>3</w:t>
      </w:r>
      <w:r>
        <w:rPr>
          <w:rFonts w:hint="eastAsia" w:ascii="方正小标宋简体" w:hAnsi="方正小标宋简体" w:eastAsia="方正小标宋简体" w:cs="方正小标宋简体"/>
          <w:color w:val="auto"/>
          <w:sz w:val="30"/>
          <w:szCs w:val="30"/>
          <w:highlight w:val="none"/>
        </w:rPr>
        <w:t>年</w:t>
      </w:r>
      <w:r>
        <w:rPr>
          <w:rFonts w:hint="eastAsia" w:ascii="方正小标宋简体" w:hAnsi="方正小标宋简体" w:eastAsia="方正小标宋简体" w:cs="方正小标宋简体"/>
          <w:color w:val="auto"/>
          <w:sz w:val="30"/>
          <w:szCs w:val="30"/>
          <w:highlight w:val="none"/>
          <w:lang w:val="en-US" w:eastAsia="zh-CN"/>
        </w:rPr>
        <w:t>5</w:t>
      </w:r>
      <w:r>
        <w:rPr>
          <w:rFonts w:hint="eastAsia" w:ascii="方正小标宋简体" w:hAnsi="方正小标宋简体" w:eastAsia="方正小标宋简体" w:cs="方正小标宋简体"/>
          <w:color w:val="auto"/>
          <w:sz w:val="30"/>
          <w:szCs w:val="30"/>
          <w:highlight w:val="none"/>
        </w:rPr>
        <w:t>月</w:t>
      </w:r>
    </w:p>
    <w:p>
      <w:pPr>
        <w:pStyle w:val="38"/>
        <w:spacing w:line="360" w:lineRule="auto"/>
        <w:rPr>
          <w:color w:val="auto"/>
          <w:highlight w:val="none"/>
        </w:rPr>
        <w:sectPr>
          <w:headerReference r:id="rId3" w:type="default"/>
          <w:footerReference r:id="rId4" w:type="default"/>
          <w:pgSz w:w="11906" w:h="16838"/>
          <w:pgMar w:top="1440" w:right="1080" w:bottom="1440" w:left="1080" w:header="680" w:footer="680" w:gutter="0"/>
          <w:pgNumType w:fmt="decimal" w:start="1"/>
          <w:cols w:space="720" w:num="1"/>
          <w:docGrid w:type="linesAndChars" w:linePitch="560" w:charSpace="6151"/>
        </w:sectPr>
      </w:pPr>
    </w:p>
    <w:p>
      <w:pPr>
        <w:pStyle w:val="13"/>
        <w:tabs>
          <w:tab w:val="left" w:pos="1204"/>
        </w:tabs>
        <w:kinsoku w:val="0"/>
        <w:overflowPunct w:val="0"/>
        <w:spacing w:before="0" w:line="360" w:lineRule="auto"/>
        <w:ind w:left="0"/>
        <w:jc w:val="center"/>
        <w:rPr>
          <w:rFonts w:hAnsi="仿宋" w:cs="仿宋"/>
          <w:b/>
          <w:bCs/>
          <w:color w:val="auto"/>
          <w:w w:val="95"/>
          <w:sz w:val="36"/>
          <w:szCs w:val="36"/>
          <w:highlight w:val="none"/>
        </w:rPr>
      </w:pPr>
    </w:p>
    <w:p>
      <w:pPr>
        <w:pStyle w:val="13"/>
        <w:tabs>
          <w:tab w:val="left" w:pos="1204"/>
        </w:tabs>
        <w:kinsoku w:val="0"/>
        <w:overflowPunct w:val="0"/>
        <w:spacing w:before="0" w:line="360" w:lineRule="auto"/>
        <w:ind w:left="0"/>
        <w:jc w:val="center"/>
        <w:rPr>
          <w:rFonts w:hAnsi="仿宋"/>
          <w:color w:val="auto"/>
          <w:sz w:val="36"/>
          <w:szCs w:val="36"/>
          <w:highlight w:val="none"/>
        </w:rPr>
      </w:pPr>
      <w:r>
        <w:rPr>
          <w:rFonts w:hint="eastAsia" w:hAnsi="仿宋" w:cs="仿宋"/>
          <w:b/>
          <w:bCs/>
          <w:color w:val="auto"/>
          <w:w w:val="95"/>
          <w:sz w:val="36"/>
          <w:szCs w:val="36"/>
          <w:highlight w:val="none"/>
        </w:rPr>
        <w:t>目</w:t>
      </w:r>
      <w:r>
        <w:rPr>
          <w:rFonts w:hint="eastAsia" w:hAnsi="仿宋" w:cs="仿宋"/>
          <w:b/>
          <w:bCs/>
          <w:color w:val="auto"/>
          <w:w w:val="95"/>
          <w:sz w:val="36"/>
          <w:szCs w:val="36"/>
          <w:highlight w:val="none"/>
        </w:rPr>
        <w:tab/>
      </w:r>
      <w:r>
        <w:rPr>
          <w:rFonts w:hint="eastAsia" w:hAnsi="仿宋" w:cs="仿宋"/>
          <w:b/>
          <w:bCs/>
          <w:color w:val="auto"/>
          <w:sz w:val="36"/>
          <w:szCs w:val="36"/>
          <w:highlight w:val="none"/>
        </w:rPr>
        <w:t>录</w:t>
      </w:r>
    </w:p>
    <w:p>
      <w:pPr>
        <w:pStyle w:val="1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"1-3" \h \z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"_Toc503548047"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w w:val="95"/>
          <w:sz w:val="24"/>
          <w:szCs w:val="24"/>
          <w:highlight w:val="none"/>
        </w:rPr>
        <w:t xml:space="preserve">第一章 </w:t>
      </w:r>
      <w:r>
        <w:rPr>
          <w:rStyle w:val="35"/>
          <w:rFonts w:hint="eastAsia" w:ascii="宋体" w:hAnsi="宋体" w:eastAsia="宋体" w:cs="宋体"/>
          <w:color w:val="auto"/>
          <w:sz w:val="24"/>
          <w:szCs w:val="24"/>
          <w:highlight w:val="none"/>
          <w:lang w:eastAsia="zh-CN"/>
        </w:rPr>
        <w:t>竞争性磋商</w:t>
      </w:r>
      <w:r>
        <w:rPr>
          <w:rStyle w:val="35"/>
          <w:rFonts w:hint="eastAsia" w:ascii="宋体" w:hAnsi="宋体" w:eastAsia="宋体" w:cs="宋体"/>
          <w:color w:val="auto"/>
          <w:sz w:val="24"/>
          <w:szCs w:val="24"/>
          <w:highlight w:val="none"/>
        </w:rPr>
        <w:t>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_Toc503548047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"_Toc503548048"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w w:val="95"/>
          <w:sz w:val="24"/>
          <w:szCs w:val="24"/>
          <w:highlight w:val="none"/>
        </w:rPr>
        <w:t>第二章</w:t>
      </w:r>
      <w:r>
        <w:rPr>
          <w:rStyle w:val="35"/>
          <w:rFonts w:hint="eastAsia" w:ascii="宋体" w:hAnsi="宋体" w:eastAsia="宋体" w:cs="宋体"/>
          <w:color w:val="auto"/>
          <w:sz w:val="24"/>
          <w:szCs w:val="24"/>
          <w:highlight w:val="none"/>
        </w:rPr>
        <w:t>供应商须知及前附表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_Toc503548048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"_Toc503548049"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（一）供应商须知前附表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_Toc503548049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"_Toc503548050"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（二）供应商须知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_Toc503548050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"_Toc503548051"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（三）《竞争性磋商文件》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_Toc503548051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"_Toc503548052"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（四）《磋商响应性文件》的编制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_Toc503548052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"_Toc503548053"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（五）磋商响应性文件的提交及相关事项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_Toc503548053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"_Toc503548054"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（六）开标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_Toc503548054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"_Toc503548055"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（七）评标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_Toc503548055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"_Toc503548056"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（八）定标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_Toc503548056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"_Toc503548057"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（九）合同签订及履行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"_Toc503548058"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（十）重新招标和不再招标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_Toc503548058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"_Toc503548059"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（十一）纪律和监督</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_Toc503548059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"_Toc503548060"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（十二）无效投标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_Toc503548060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"_Toc503548061"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（十三）废标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_Toc503548061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dot" w:pos="9683"/>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"_Toc503548062"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（十四）质疑和投</w:t>
      </w:r>
      <w:bookmarkStart w:id="0" w:name="_Hlt503548153"/>
      <w:r>
        <w:rPr>
          <w:rStyle w:val="35"/>
          <w:rFonts w:hint="eastAsia" w:ascii="宋体" w:hAnsi="宋体" w:eastAsia="宋体" w:cs="宋体"/>
          <w:color w:val="auto"/>
          <w:sz w:val="24"/>
          <w:szCs w:val="24"/>
          <w:highlight w:val="none"/>
        </w:rPr>
        <w:t>诉</w:t>
      </w:r>
      <w:bookmarkEnd w:id="0"/>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_Toc503548062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"_Toc503548063"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w w:val="95"/>
          <w:sz w:val="24"/>
          <w:szCs w:val="24"/>
          <w:highlight w:val="none"/>
        </w:rPr>
        <w:t>第三章</w:t>
      </w:r>
      <w:r>
        <w:rPr>
          <w:rStyle w:val="35"/>
          <w:rFonts w:hint="eastAsia" w:ascii="宋体" w:hAnsi="宋体" w:eastAsia="宋体" w:cs="宋体"/>
          <w:color w:val="auto"/>
          <w:spacing w:val="1"/>
          <w:sz w:val="24"/>
          <w:szCs w:val="24"/>
          <w:highlight w:val="none"/>
        </w:rPr>
        <w:t>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"_Toc503548064"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w w:val="95"/>
          <w:sz w:val="24"/>
          <w:szCs w:val="24"/>
          <w:highlight w:val="none"/>
        </w:rPr>
        <w:t>第四章</w:t>
      </w:r>
      <w:r>
        <w:rPr>
          <w:rStyle w:val="35"/>
          <w:rFonts w:hint="eastAsia" w:ascii="宋体" w:hAnsi="宋体" w:eastAsia="宋体" w:cs="宋体"/>
          <w:color w:val="auto"/>
          <w:spacing w:val="1"/>
          <w:sz w:val="24"/>
          <w:szCs w:val="24"/>
          <w:highlight w:val="none"/>
        </w:rPr>
        <w:t>磋商内容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tabs>
          <w:tab w:val="left" w:pos="105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"_Toc503548065"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sz w:val="24"/>
          <w:szCs w:val="24"/>
          <w:highlight w:val="none"/>
        </w:rPr>
        <w:t>第五章</w:t>
      </w:r>
      <w:r>
        <w:rPr>
          <w:rFonts w:hint="eastAsia" w:ascii="宋体" w:hAnsi="宋体" w:eastAsia="宋体" w:cs="宋体"/>
          <w:color w:val="auto"/>
          <w:sz w:val="24"/>
          <w:szCs w:val="24"/>
          <w:highlight w:val="none"/>
        </w:rPr>
        <w:tab/>
      </w:r>
      <w:r>
        <w:rPr>
          <w:rStyle w:val="35"/>
          <w:rFonts w:hint="eastAsia" w:ascii="宋体" w:hAnsi="宋体" w:eastAsia="宋体" w:cs="宋体"/>
          <w:color w:val="auto"/>
          <w:sz w:val="24"/>
          <w:szCs w:val="24"/>
          <w:highlight w:val="none"/>
        </w:rPr>
        <w:t>合同条款及合同格式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_Toc503548065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tabs>
          <w:tab w:val="left" w:pos="84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"_Toc503548066" </w:instrText>
      </w:r>
      <w:r>
        <w:rPr>
          <w:rFonts w:hint="eastAsia" w:ascii="宋体" w:hAnsi="宋体" w:eastAsia="宋体" w:cs="宋体"/>
          <w:color w:val="auto"/>
          <w:sz w:val="24"/>
          <w:szCs w:val="24"/>
          <w:highlight w:val="none"/>
        </w:rPr>
        <w:fldChar w:fldCharType="separate"/>
      </w:r>
      <w:r>
        <w:rPr>
          <w:rStyle w:val="35"/>
          <w:rFonts w:hint="eastAsia" w:ascii="宋体" w:hAnsi="宋体" w:eastAsia="宋体" w:cs="宋体"/>
          <w:color w:val="auto"/>
          <w:w w:val="95"/>
          <w:sz w:val="24"/>
          <w:szCs w:val="24"/>
          <w:highlight w:val="none"/>
        </w:rPr>
        <w:t xml:space="preserve">第六章  </w:t>
      </w:r>
      <w:r>
        <w:rPr>
          <w:rStyle w:val="35"/>
          <w:rFonts w:hint="eastAsia" w:ascii="宋体" w:hAnsi="宋体" w:eastAsia="宋体" w:cs="宋体"/>
          <w:color w:val="auto"/>
          <w:sz w:val="24"/>
          <w:szCs w:val="24"/>
          <w:highlight w:val="none"/>
        </w:rPr>
        <w:t>磋商响应性文件格式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_Toc503548066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bookmarkStart w:id="1" w:name="_Toc503548047"/>
    </w:p>
    <w:p>
      <w:pPr>
        <w:spacing w:line="360" w:lineRule="auto"/>
        <w:rPr>
          <w:rFonts w:ascii="仿宋" w:hAnsi="仿宋" w:cs="仿宋"/>
          <w:color w:val="auto"/>
          <w:highlight w:val="none"/>
        </w:rPr>
      </w:pPr>
      <w:r>
        <w:rPr>
          <w:rFonts w:hint="eastAsia" w:ascii="仿宋" w:hAnsi="仿宋" w:cs="仿宋"/>
          <w:color w:val="auto"/>
          <w:highlight w:val="none"/>
        </w:rPr>
        <w:br w:type="page"/>
      </w:r>
    </w:p>
    <w:p>
      <w:pPr>
        <w:pStyle w:val="4"/>
        <w:tabs>
          <w:tab w:val="left" w:pos="0"/>
        </w:tabs>
        <w:autoSpaceDE w:val="0"/>
        <w:autoSpaceDN w:val="0"/>
        <w:adjustRightInd w:val="0"/>
        <w:spacing w:before="0" w:after="0" w:line="360" w:lineRule="auto"/>
        <w:jc w:val="center"/>
        <w:rPr>
          <w:rFonts w:ascii="华文中宋" w:hAnsi="华文中宋" w:eastAsia="华文中宋"/>
          <w:color w:val="auto"/>
          <w:highlight w:val="none"/>
        </w:rPr>
      </w:pPr>
      <w:r>
        <w:rPr>
          <w:rFonts w:hint="eastAsia" w:ascii="仿宋" w:hAnsi="仿宋" w:cs="仿宋"/>
          <w:color w:val="auto"/>
          <w:w w:val="95"/>
          <w:highlight w:val="none"/>
        </w:rPr>
        <w:t>第一章</w:t>
      </w:r>
      <w:bookmarkEnd w:id="1"/>
      <w:r>
        <w:rPr>
          <w:rFonts w:hint="eastAsia" w:ascii="仿宋" w:hAnsi="仿宋" w:cs="仿宋"/>
          <w:color w:val="auto"/>
          <w:w w:val="95"/>
          <w:highlight w:val="none"/>
        </w:rPr>
        <w:t xml:space="preserve">  </w:t>
      </w:r>
      <w:bookmarkStart w:id="2" w:name="_Toc35393797"/>
      <w:bookmarkStart w:id="3" w:name="_Toc28359011"/>
      <w:bookmarkStart w:id="4" w:name="_Toc28359010"/>
      <w:bookmarkStart w:id="5" w:name="_Toc28359087"/>
      <w:bookmarkStart w:id="6" w:name="_Toc503548048"/>
      <w:r>
        <w:rPr>
          <w:rFonts w:hint="eastAsia" w:ascii="华文中宋" w:hAnsi="华文中宋" w:eastAsia="华文中宋"/>
          <w:color w:val="auto"/>
          <w:highlight w:val="none"/>
        </w:rPr>
        <w:t>竞争性磋商公告</w:t>
      </w:r>
      <w:bookmarkEnd w:id="2"/>
      <w:bookmarkEnd w:id="3"/>
    </w:p>
    <w:p>
      <w:pPr>
        <w:rPr>
          <w:color w:val="auto"/>
          <w:highlight w:val="none"/>
        </w:rPr>
      </w:pP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3640" w:firstLineChars="1300"/>
        <w:textAlignment w:val="auto"/>
        <w:rPr>
          <w:rFonts w:ascii="仿宋" w:hAnsi="仿宋" w:eastAsia="仿宋"/>
          <w:color w:val="auto"/>
          <w:sz w:val="28"/>
          <w:szCs w:val="28"/>
        </w:rPr>
      </w:pPr>
      <w:r>
        <w:rPr>
          <w:rFonts w:hint="eastAsia" w:ascii="仿宋" w:hAnsi="仿宋" w:eastAsia="仿宋"/>
          <w:color w:val="auto"/>
          <w:sz w:val="28"/>
          <w:szCs w:val="28"/>
        </w:rPr>
        <w:t>项目概况</w:t>
      </w: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560" w:firstLineChars="200"/>
        <w:textAlignment w:val="auto"/>
        <w:rPr>
          <w:rFonts w:ascii="仿宋" w:hAnsi="仿宋" w:eastAsia="仿宋"/>
          <w:color w:val="auto"/>
          <w:sz w:val="28"/>
          <w:szCs w:val="28"/>
        </w:rPr>
      </w:pPr>
      <w:r>
        <w:rPr>
          <w:rFonts w:hint="eastAsia" w:ascii="仿宋" w:hAnsi="仿宋" w:eastAsia="仿宋"/>
          <w:color w:val="auto"/>
          <w:sz w:val="28"/>
          <w:szCs w:val="28"/>
          <w:u w:val="single"/>
          <w:lang w:val="en-US" w:eastAsia="zh-CN"/>
        </w:rPr>
        <w:t>阜康市2023年绿色高产高效行动项目-无人机打农药</w:t>
      </w:r>
      <w:r>
        <w:rPr>
          <w:rFonts w:hint="eastAsia" w:ascii="仿宋" w:hAnsi="仿宋" w:eastAsia="仿宋"/>
          <w:color w:val="auto"/>
          <w:sz w:val="28"/>
          <w:szCs w:val="28"/>
        </w:rPr>
        <w:t>的潜在供应商应在</w:t>
      </w:r>
      <w:r>
        <w:rPr>
          <w:rFonts w:hint="eastAsia" w:ascii="仿宋" w:hAnsi="仿宋" w:eastAsia="仿宋" w:cs="仿宋"/>
          <w:color w:val="auto"/>
          <w:spacing w:val="10"/>
          <w:sz w:val="28"/>
          <w:szCs w:val="28"/>
          <w:u w:val="single"/>
          <w:lang w:eastAsia="zh-CN"/>
        </w:rPr>
        <w:t>政采云平台线上获取获取采购文件</w:t>
      </w:r>
      <w:r>
        <w:rPr>
          <w:rFonts w:hint="eastAsia" w:ascii="仿宋" w:hAnsi="仿宋" w:eastAsia="仿宋"/>
          <w:color w:val="auto"/>
          <w:sz w:val="28"/>
          <w:szCs w:val="28"/>
        </w:rPr>
        <w:t>，并于</w:t>
      </w:r>
      <w:r>
        <w:rPr>
          <w:rFonts w:ascii="仿宋" w:hAnsi="仿宋" w:eastAsia="仿宋"/>
          <w:color w:val="auto"/>
          <w:sz w:val="28"/>
          <w:szCs w:val="28"/>
          <w:u w:val="single"/>
        </w:rPr>
        <w:t xml:space="preserve"> </w:t>
      </w:r>
      <w:r>
        <w:rPr>
          <w:rFonts w:hint="eastAsia" w:ascii="仿宋" w:hAnsi="仿宋" w:eastAsia="仿宋"/>
          <w:color w:val="auto"/>
          <w:sz w:val="28"/>
          <w:szCs w:val="28"/>
          <w:u w:val="single"/>
          <w:lang w:val="en-US" w:eastAsia="zh-CN"/>
        </w:rPr>
        <w:t>2023</w:t>
      </w:r>
      <w:r>
        <w:rPr>
          <w:rFonts w:hint="eastAsia" w:ascii="仿宋" w:hAnsi="仿宋" w:eastAsia="仿宋"/>
          <w:bCs/>
          <w:color w:val="auto"/>
          <w:sz w:val="28"/>
          <w:szCs w:val="28"/>
          <w:u w:val="single"/>
        </w:rPr>
        <w:t>年</w:t>
      </w:r>
      <w:r>
        <w:rPr>
          <w:rFonts w:hint="eastAsia" w:ascii="仿宋" w:hAnsi="仿宋" w:eastAsia="仿宋"/>
          <w:bCs/>
          <w:color w:val="auto"/>
          <w:sz w:val="28"/>
          <w:szCs w:val="28"/>
          <w:u w:val="single"/>
          <w:lang w:val="en-US" w:eastAsia="zh-CN"/>
        </w:rPr>
        <w:t>6</w:t>
      </w:r>
      <w:r>
        <w:rPr>
          <w:rFonts w:hint="eastAsia" w:ascii="仿宋" w:hAnsi="仿宋" w:eastAsia="仿宋"/>
          <w:bCs/>
          <w:color w:val="auto"/>
          <w:sz w:val="28"/>
          <w:szCs w:val="28"/>
          <w:u w:val="single"/>
        </w:rPr>
        <w:t>月</w:t>
      </w:r>
      <w:r>
        <w:rPr>
          <w:rFonts w:hint="eastAsia" w:ascii="仿宋" w:hAnsi="仿宋" w:eastAsia="仿宋"/>
          <w:bCs/>
          <w:color w:val="auto"/>
          <w:sz w:val="28"/>
          <w:szCs w:val="28"/>
          <w:u w:val="single"/>
          <w:lang w:val="en-US" w:eastAsia="zh-CN"/>
        </w:rPr>
        <w:t>12</w:t>
      </w:r>
      <w:r>
        <w:rPr>
          <w:rFonts w:hint="eastAsia" w:ascii="仿宋" w:hAnsi="仿宋" w:eastAsia="仿宋"/>
          <w:bCs/>
          <w:color w:val="auto"/>
          <w:sz w:val="28"/>
          <w:szCs w:val="28"/>
          <w:u w:val="single"/>
        </w:rPr>
        <w:t>日</w:t>
      </w:r>
      <w:r>
        <w:rPr>
          <w:rFonts w:hint="eastAsia" w:ascii="仿宋" w:hAnsi="仿宋" w:eastAsia="仿宋"/>
          <w:bCs/>
          <w:color w:val="auto"/>
          <w:sz w:val="28"/>
          <w:szCs w:val="28"/>
          <w:u w:val="single"/>
          <w:lang w:val="en-US" w:eastAsia="zh-CN"/>
        </w:rPr>
        <w:t>16</w:t>
      </w:r>
      <w:r>
        <w:rPr>
          <w:rFonts w:hint="eastAsia" w:ascii="仿宋" w:hAnsi="仿宋" w:eastAsia="仿宋"/>
          <w:bCs/>
          <w:color w:val="auto"/>
          <w:sz w:val="28"/>
          <w:szCs w:val="28"/>
          <w:u w:val="single"/>
        </w:rPr>
        <w:t>点</w:t>
      </w:r>
      <w:r>
        <w:rPr>
          <w:rFonts w:hint="eastAsia" w:ascii="仿宋" w:hAnsi="仿宋" w:eastAsia="仿宋"/>
          <w:bCs/>
          <w:color w:val="auto"/>
          <w:sz w:val="28"/>
          <w:szCs w:val="28"/>
          <w:u w:val="single"/>
          <w:lang w:val="en-US" w:eastAsia="zh-CN"/>
        </w:rPr>
        <w:t>30</w:t>
      </w:r>
      <w:r>
        <w:rPr>
          <w:rFonts w:hint="eastAsia" w:ascii="仿宋" w:hAnsi="仿宋" w:eastAsia="仿宋"/>
          <w:bCs/>
          <w:color w:val="auto"/>
          <w:sz w:val="28"/>
          <w:szCs w:val="28"/>
          <w:u w:val="single"/>
        </w:rPr>
        <w:t>分</w:t>
      </w:r>
      <w:r>
        <w:rPr>
          <w:rFonts w:hint="eastAsia" w:ascii="仿宋" w:hAnsi="仿宋" w:eastAsia="仿宋"/>
          <w:bCs/>
          <w:color w:val="auto"/>
          <w:sz w:val="28"/>
          <w:szCs w:val="28"/>
        </w:rPr>
        <w:t>（北京时间）前提交响应</w:t>
      </w:r>
      <w:r>
        <w:rPr>
          <w:rFonts w:ascii="仿宋" w:hAnsi="仿宋" w:eastAsia="仿宋"/>
          <w:bCs/>
          <w:color w:val="auto"/>
          <w:sz w:val="28"/>
          <w:szCs w:val="28"/>
        </w:rPr>
        <w:t>文件</w:t>
      </w:r>
      <w:r>
        <w:rPr>
          <w:rFonts w:hint="eastAsia" w:ascii="仿宋" w:hAnsi="仿宋" w:eastAsia="仿宋"/>
          <w:color w:val="auto"/>
          <w:sz w:val="28"/>
          <w:szCs w:val="28"/>
        </w:rPr>
        <w:t>。</w:t>
      </w:r>
    </w:p>
    <w:p>
      <w:pPr>
        <w:pageBreakBefore w:val="0"/>
        <w:kinsoku/>
        <w:wordWrap/>
        <w:overflowPunct/>
        <w:topLinePunct w:val="0"/>
        <w:autoSpaceDE/>
        <w:autoSpaceDN/>
        <w:bidi w:val="0"/>
        <w:adjustRightInd/>
        <w:snapToGrid/>
        <w:spacing w:line="360" w:lineRule="auto"/>
        <w:textAlignment w:val="auto"/>
        <w:rPr>
          <w:color w:val="auto"/>
        </w:rPr>
      </w:pPr>
    </w:p>
    <w:p>
      <w:pPr>
        <w:pStyle w:val="5"/>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bookmarkStart w:id="7" w:name="_Toc28359012"/>
      <w:bookmarkStart w:id="8" w:name="_Toc35393629"/>
      <w:bookmarkStart w:id="9" w:name="_Toc28359089"/>
      <w:bookmarkStart w:id="10" w:name="_Toc35393798"/>
      <w:r>
        <w:rPr>
          <w:rFonts w:hint="eastAsia" w:ascii="黑体" w:hAnsi="黑体" w:cs="宋体"/>
          <w:b w:val="0"/>
          <w:color w:val="auto"/>
          <w:sz w:val="28"/>
          <w:szCs w:val="28"/>
        </w:rPr>
        <w:t>一、项目基本情况</w:t>
      </w:r>
      <w:bookmarkEnd w:id="7"/>
      <w:bookmarkEnd w:id="8"/>
      <w:bookmarkEnd w:id="9"/>
      <w:bookmarkEnd w:id="10"/>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olor w:val="auto"/>
          <w:sz w:val="28"/>
          <w:szCs w:val="28"/>
          <w:lang w:val="en-US" w:eastAsia="zh-CN"/>
        </w:rPr>
      </w:pPr>
      <w:r>
        <w:rPr>
          <w:rFonts w:hint="eastAsia" w:ascii="仿宋" w:hAnsi="仿宋" w:eastAsia="仿宋"/>
          <w:color w:val="auto"/>
          <w:sz w:val="28"/>
          <w:szCs w:val="28"/>
        </w:rPr>
        <w:t>项目编号：</w:t>
      </w:r>
      <w:r>
        <w:rPr>
          <w:rFonts w:hint="eastAsia" w:ascii="仿宋" w:hAnsi="仿宋" w:eastAsia="仿宋"/>
          <w:color w:val="auto"/>
          <w:sz w:val="28"/>
          <w:szCs w:val="28"/>
          <w:lang w:val="en-US" w:eastAsia="zh-CN"/>
        </w:rPr>
        <w:t>XJGE-2023-0529-CG-001</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olor w:val="auto"/>
          <w:sz w:val="28"/>
          <w:szCs w:val="28"/>
          <w:lang w:val="en-US" w:eastAsia="zh-CN"/>
        </w:rPr>
      </w:pPr>
      <w:r>
        <w:rPr>
          <w:rFonts w:hint="eastAsia" w:ascii="仿宋" w:hAnsi="仿宋" w:eastAsia="仿宋"/>
          <w:color w:val="auto"/>
          <w:sz w:val="28"/>
          <w:szCs w:val="28"/>
        </w:rPr>
        <w:t>项目名称：</w:t>
      </w:r>
      <w:r>
        <w:rPr>
          <w:rFonts w:hint="eastAsia" w:ascii="仿宋" w:hAnsi="仿宋" w:eastAsia="仿宋"/>
          <w:color w:val="auto"/>
          <w:sz w:val="28"/>
          <w:szCs w:val="28"/>
          <w:lang w:val="en-US" w:eastAsia="zh-CN"/>
        </w:rPr>
        <w:t>阜康市2023年绿色高产高效行动项目-无人机打农药</w:t>
      </w:r>
    </w:p>
    <w:p>
      <w:pPr>
        <w:pStyle w:val="2"/>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lang w:val="en-US" w:eastAsia="zh-CN"/>
        </w:rPr>
        <w:t xml:space="preserve">    采购内容：对阜康市6个乡镇的小麦进行统防统治（具体内容详见竞争性磋商文件）</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预算金额：78万元</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最高限价：78万元</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olor w:val="auto"/>
          <w:sz w:val="28"/>
          <w:szCs w:val="28"/>
          <w:lang w:val="en-US" w:eastAsia="zh-CN"/>
        </w:rPr>
      </w:pPr>
      <w:r>
        <w:rPr>
          <w:rFonts w:hint="eastAsia" w:ascii="仿宋" w:hAnsi="仿宋" w:eastAsia="仿宋" w:cs="Times New Roman"/>
          <w:color w:val="auto"/>
          <w:kern w:val="2"/>
          <w:sz w:val="28"/>
          <w:szCs w:val="28"/>
          <w:lang w:val="zh-CN" w:eastAsia="zh-CN" w:bidi="ar-SA"/>
        </w:rPr>
        <w:t>项目地点：</w:t>
      </w:r>
      <w:bookmarkStart w:id="11" w:name="_Toc28359013"/>
      <w:bookmarkStart w:id="12" w:name="_Toc35393799"/>
      <w:bookmarkStart w:id="13" w:name="_Toc28359090"/>
      <w:bookmarkStart w:id="14" w:name="_Toc35393630"/>
      <w:r>
        <w:rPr>
          <w:rFonts w:hint="eastAsia" w:ascii="仿宋" w:hAnsi="仿宋" w:eastAsia="仿宋" w:cs="Times New Roman"/>
          <w:color w:val="auto"/>
          <w:kern w:val="2"/>
          <w:sz w:val="28"/>
          <w:szCs w:val="28"/>
          <w:lang w:val="en-US" w:eastAsia="zh-CN" w:bidi="ar-SA"/>
        </w:rPr>
        <w:t>阜康市</w:t>
      </w:r>
      <w:r>
        <w:rPr>
          <w:rFonts w:hint="eastAsia" w:ascii="仿宋" w:hAnsi="仿宋" w:eastAsia="仿宋"/>
          <w:color w:val="auto"/>
          <w:sz w:val="28"/>
          <w:szCs w:val="28"/>
          <w:lang w:val="zh-CN"/>
        </w:rPr>
        <w:t> </w:t>
      </w:r>
    </w:p>
    <w:p>
      <w:pPr>
        <w:pageBreakBefore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olor w:val="auto"/>
          <w:sz w:val="28"/>
          <w:szCs w:val="28"/>
          <w:lang w:val="en-US" w:eastAsia="zh-CN"/>
        </w:rPr>
      </w:pPr>
      <w:r>
        <w:rPr>
          <w:rFonts w:hint="eastAsia" w:ascii="仿宋" w:hAnsi="仿宋" w:eastAsia="仿宋"/>
          <w:color w:val="auto"/>
          <w:sz w:val="28"/>
          <w:szCs w:val="28"/>
        </w:rPr>
        <w:t>合同履行期限：</w:t>
      </w:r>
      <w:r>
        <w:rPr>
          <w:rFonts w:hint="eastAsia" w:ascii="仿宋" w:hAnsi="仿宋" w:eastAsia="仿宋"/>
          <w:color w:val="auto"/>
          <w:sz w:val="28"/>
          <w:szCs w:val="28"/>
          <w:lang w:val="en-US" w:eastAsia="zh-CN"/>
        </w:rPr>
        <w:t>合同签订后15天（日历日）内完成。</w:t>
      </w:r>
    </w:p>
    <w:p>
      <w:pPr>
        <w:pageBreakBefore w:val="0"/>
        <w:kinsoku/>
        <w:wordWrap/>
        <w:overflowPunct/>
        <w:topLinePunct w:val="0"/>
        <w:autoSpaceDE/>
        <w:autoSpaceDN/>
        <w:bidi w:val="0"/>
        <w:adjustRightInd/>
        <w:snapToGrid/>
        <w:spacing w:line="360" w:lineRule="auto"/>
        <w:ind w:firstLine="560" w:firstLineChars="200"/>
        <w:textAlignment w:val="auto"/>
        <w:rPr>
          <w:rFonts w:hint="default"/>
          <w:color w:val="auto"/>
          <w:lang w:val="en-US" w:eastAsia="zh-CN"/>
        </w:rPr>
      </w:pPr>
      <w:r>
        <w:rPr>
          <w:rFonts w:hint="eastAsia" w:ascii="仿宋" w:hAnsi="仿宋" w:eastAsia="仿宋"/>
          <w:color w:val="auto"/>
          <w:sz w:val="28"/>
          <w:szCs w:val="28"/>
        </w:rPr>
        <w:t>采购方式：竞争性磋商</w:t>
      </w:r>
    </w:p>
    <w:p>
      <w:pPr>
        <w:pStyle w:val="5"/>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r>
        <w:rPr>
          <w:rFonts w:hint="eastAsia" w:ascii="黑体" w:hAnsi="黑体" w:cs="宋体"/>
          <w:b w:val="0"/>
          <w:color w:val="auto"/>
          <w:sz w:val="28"/>
          <w:szCs w:val="28"/>
        </w:rPr>
        <w:t>二、申请人的资格要求：</w:t>
      </w:r>
      <w:bookmarkEnd w:id="11"/>
      <w:bookmarkEnd w:id="12"/>
      <w:bookmarkEnd w:id="13"/>
      <w:bookmarkEnd w:id="14"/>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olor w:val="auto"/>
          <w:sz w:val="28"/>
          <w:szCs w:val="28"/>
        </w:rPr>
      </w:pPr>
      <w:bookmarkStart w:id="15" w:name="_Toc35393800"/>
      <w:bookmarkStart w:id="16" w:name="_Toc35393631"/>
      <w:bookmarkStart w:id="17" w:name="_Toc28359091"/>
      <w:bookmarkStart w:id="18" w:name="_Toc28359014"/>
      <w:r>
        <w:rPr>
          <w:rFonts w:hint="eastAsia" w:ascii="仿宋" w:hAnsi="仿宋" w:eastAsia="仿宋"/>
          <w:color w:val="auto"/>
          <w:sz w:val="28"/>
          <w:szCs w:val="28"/>
        </w:rPr>
        <w:t>1.满足《中华人民共和国政府采购法》第二十二条规定；</w:t>
      </w:r>
    </w:p>
    <w:p>
      <w:pPr>
        <w:keepLines w:val="0"/>
        <w:pageBreakBefore w:val="0"/>
        <w:kinsoku/>
        <w:wordWrap/>
        <w:overflowPunct/>
        <w:topLinePunct w:val="0"/>
        <w:autoSpaceDE/>
        <w:autoSpaceDN/>
        <w:bidi w:val="0"/>
        <w:adjustRightInd/>
        <w:snapToGrid/>
        <w:spacing w:line="360" w:lineRule="auto"/>
        <w:ind w:firstLine="560" w:firstLineChars="200"/>
        <w:textAlignment w:val="auto"/>
        <w:rPr>
          <w:rFonts w:hint="default" w:eastAsia="仿宋"/>
          <w:color w:val="auto"/>
          <w:lang w:val="en-US" w:eastAsia="zh-CN"/>
        </w:rPr>
      </w:pPr>
      <w:r>
        <w:rPr>
          <w:rFonts w:hint="eastAsia" w:ascii="仿宋" w:hAnsi="仿宋" w:eastAsia="仿宋"/>
          <w:color w:val="auto"/>
          <w:sz w:val="28"/>
          <w:szCs w:val="28"/>
          <w:lang w:val="en-US" w:eastAsia="zh-CN"/>
        </w:rPr>
        <w:t>2、</w:t>
      </w:r>
      <w:r>
        <w:rPr>
          <w:rFonts w:hint="eastAsia" w:ascii="仿宋" w:hAnsi="仿宋" w:eastAsia="仿宋"/>
          <w:color w:val="auto"/>
          <w:sz w:val="28"/>
          <w:szCs w:val="28"/>
        </w:rPr>
        <w:t>落实政府采购政策需满足的资格要求：</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1</w:t>
      </w:r>
      <w:r>
        <w:rPr>
          <w:rFonts w:hint="eastAsia" w:ascii="仿宋" w:hAnsi="仿宋" w:eastAsia="仿宋"/>
          <w:color w:val="auto"/>
          <w:sz w:val="28"/>
          <w:szCs w:val="28"/>
          <w:lang w:eastAsia="zh-CN"/>
        </w:rPr>
        <w:t>）</w:t>
      </w:r>
      <w:r>
        <w:rPr>
          <w:rFonts w:hint="eastAsia" w:ascii="仿宋" w:hAnsi="仿宋" w:eastAsia="仿宋" w:cs="仿宋"/>
          <w:color w:val="auto"/>
          <w:kern w:val="0"/>
          <w:sz w:val="28"/>
          <w:szCs w:val="28"/>
          <w:lang w:val="en-US" w:eastAsia="zh-CN" w:bidi="ar-SA"/>
        </w:rPr>
        <w:t>执行财政部工业和信息化部关于印发《政府采购促进中小企业发展管理办法》财库〔2020〕46号的通知中的相关规定。（2）（财库〔2014〕68号）；（3）《国务院办公厅关于建立政府强制采购节能产品制度的通知》（国办发〔2007〕51号）；（4）《财政部、民政部、中国残疾人联合会关于促进残疾人就业政府采购政策的通知》财库〔2017〕141号；供应商为中小企业。</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lang w:val="en-US" w:eastAsia="zh-CN"/>
        </w:rPr>
        <w:t>3</w:t>
      </w:r>
      <w:r>
        <w:rPr>
          <w:rFonts w:hint="eastAsia" w:ascii="仿宋" w:hAnsi="仿宋" w:eastAsia="仿宋"/>
          <w:color w:val="auto"/>
          <w:sz w:val="28"/>
          <w:szCs w:val="28"/>
        </w:rPr>
        <w:t>.本项目的特定资格要求：</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（1）在中华人民共和国境内注册，具有独立法人资格且具有承担本项目的能力。</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（2）具有有效的营业执照。</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（3）具备国家级植保机械质量检测机构检验合格认证。</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（4）拟实施作业服务组织的植保无人机操作手必须取得该机型的操作资格证书。</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5）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（6）参加招投标活动前三年内，在经营活动中没有重大违法记录。</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（7）在“信用中国”（www.creditchina.gov.cn）和中国政府采购网（www.ccgp.gov.cn）网站上未被列入失信被执行人、重大税收违法案件当事人名单以及政府采购严重违法失信行为记录名单。</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（8）本项目不接受联合体投标。</w:t>
      </w:r>
    </w:p>
    <w:p>
      <w:pPr>
        <w:pStyle w:val="5"/>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r>
        <w:rPr>
          <w:rFonts w:hint="eastAsia" w:ascii="黑体" w:hAnsi="黑体" w:cs="宋体"/>
          <w:b w:val="0"/>
          <w:color w:val="auto"/>
          <w:sz w:val="28"/>
          <w:szCs w:val="28"/>
        </w:rPr>
        <w:t>三、获取采购文件</w:t>
      </w:r>
      <w:bookmarkEnd w:id="15"/>
      <w:bookmarkEnd w:id="16"/>
      <w:bookmarkEnd w:id="17"/>
      <w:bookmarkEnd w:id="18"/>
    </w:p>
    <w:p>
      <w:pPr>
        <w:pageBreakBefore w:val="0"/>
        <w:kinsoku/>
        <w:wordWrap/>
        <w:overflowPunct/>
        <w:topLinePunct w:val="0"/>
        <w:autoSpaceDE/>
        <w:autoSpaceDN/>
        <w:bidi w:val="0"/>
        <w:adjustRightInd/>
        <w:snapToGrid/>
        <w:spacing w:line="360" w:lineRule="auto"/>
        <w:ind w:firstLine="540"/>
        <w:textAlignment w:val="auto"/>
        <w:rPr>
          <w:rFonts w:ascii="仿宋" w:hAnsi="仿宋" w:eastAsia="仿宋" w:cs="宋体"/>
          <w:color w:val="auto"/>
          <w:sz w:val="28"/>
          <w:szCs w:val="28"/>
        </w:rPr>
      </w:pPr>
      <w:r>
        <w:rPr>
          <w:rFonts w:hint="eastAsia" w:ascii="仿宋" w:hAnsi="仿宋" w:eastAsia="仿宋" w:cs="宋体"/>
          <w:color w:val="auto"/>
          <w:sz w:val="28"/>
          <w:szCs w:val="28"/>
        </w:rPr>
        <w:t>时间：</w:t>
      </w:r>
      <w:r>
        <w:rPr>
          <w:rFonts w:hint="eastAsia" w:ascii="仿宋" w:hAnsi="仿宋" w:eastAsia="仿宋" w:cs="宋体"/>
          <w:color w:val="auto"/>
          <w:sz w:val="28"/>
          <w:szCs w:val="28"/>
          <w:u w:val="single"/>
          <w:lang w:val="en-US" w:eastAsia="zh-CN"/>
        </w:rPr>
        <w:t>2023</w:t>
      </w:r>
      <w:r>
        <w:rPr>
          <w:rFonts w:hint="eastAsia" w:ascii="仿宋" w:hAnsi="仿宋" w:eastAsia="仿宋" w:cs="宋体"/>
          <w:color w:val="auto"/>
          <w:sz w:val="28"/>
          <w:szCs w:val="28"/>
          <w:u w:val="single"/>
        </w:rPr>
        <w:t>年</w:t>
      </w:r>
      <w:r>
        <w:rPr>
          <w:rFonts w:hint="eastAsia" w:ascii="仿宋" w:hAnsi="仿宋" w:eastAsia="仿宋" w:cs="宋体"/>
          <w:color w:val="auto"/>
          <w:sz w:val="28"/>
          <w:szCs w:val="28"/>
          <w:u w:val="single"/>
          <w:lang w:val="en-US" w:eastAsia="zh-CN"/>
        </w:rPr>
        <w:t>5</w:t>
      </w:r>
      <w:r>
        <w:rPr>
          <w:rFonts w:hint="eastAsia" w:ascii="仿宋" w:hAnsi="仿宋" w:eastAsia="仿宋" w:cs="宋体"/>
          <w:color w:val="auto"/>
          <w:sz w:val="28"/>
          <w:szCs w:val="28"/>
          <w:u w:val="single"/>
        </w:rPr>
        <w:t>月</w:t>
      </w:r>
      <w:r>
        <w:rPr>
          <w:rFonts w:hint="eastAsia" w:ascii="仿宋" w:hAnsi="仿宋" w:eastAsia="仿宋" w:cs="宋体"/>
          <w:color w:val="auto"/>
          <w:sz w:val="28"/>
          <w:szCs w:val="28"/>
          <w:u w:val="single"/>
          <w:lang w:val="en-US" w:eastAsia="zh-CN"/>
        </w:rPr>
        <w:t>30</w:t>
      </w:r>
      <w:r>
        <w:rPr>
          <w:rFonts w:hint="eastAsia" w:ascii="仿宋" w:hAnsi="仿宋" w:eastAsia="仿宋" w:cs="宋体"/>
          <w:color w:val="auto"/>
          <w:sz w:val="28"/>
          <w:szCs w:val="28"/>
          <w:u w:val="single"/>
        </w:rPr>
        <w:t>日</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lang w:val="en-US" w:eastAsia="zh-CN"/>
        </w:rPr>
        <w:t>2023</w:t>
      </w:r>
      <w:r>
        <w:rPr>
          <w:rFonts w:hint="eastAsia" w:ascii="仿宋" w:hAnsi="仿宋" w:eastAsia="仿宋" w:cs="宋体"/>
          <w:color w:val="auto"/>
          <w:sz w:val="28"/>
          <w:szCs w:val="28"/>
          <w:u w:val="single"/>
        </w:rPr>
        <w:t>年</w:t>
      </w:r>
      <w:r>
        <w:rPr>
          <w:rFonts w:hint="eastAsia" w:ascii="仿宋" w:hAnsi="仿宋" w:eastAsia="仿宋" w:cs="宋体"/>
          <w:color w:val="auto"/>
          <w:sz w:val="28"/>
          <w:szCs w:val="28"/>
          <w:u w:val="single"/>
          <w:lang w:val="en-US" w:eastAsia="zh-CN"/>
        </w:rPr>
        <w:t>6</w:t>
      </w:r>
      <w:r>
        <w:rPr>
          <w:rFonts w:hint="eastAsia" w:ascii="仿宋" w:hAnsi="仿宋" w:eastAsia="仿宋" w:cs="宋体"/>
          <w:color w:val="auto"/>
          <w:sz w:val="28"/>
          <w:szCs w:val="28"/>
          <w:u w:val="single"/>
        </w:rPr>
        <w:t>月</w:t>
      </w:r>
      <w:r>
        <w:rPr>
          <w:rFonts w:hint="eastAsia" w:ascii="仿宋" w:hAnsi="仿宋" w:eastAsia="仿宋" w:cs="宋体"/>
          <w:color w:val="auto"/>
          <w:sz w:val="28"/>
          <w:szCs w:val="28"/>
          <w:u w:val="single"/>
          <w:lang w:val="en-US" w:eastAsia="zh-CN"/>
        </w:rPr>
        <w:t>6</w:t>
      </w:r>
      <w:r>
        <w:rPr>
          <w:rFonts w:hint="eastAsia" w:ascii="仿宋" w:hAnsi="仿宋" w:eastAsia="仿宋" w:cs="宋体"/>
          <w:color w:val="auto"/>
          <w:sz w:val="28"/>
          <w:szCs w:val="28"/>
          <w:u w:val="single"/>
        </w:rPr>
        <w:t>日</w:t>
      </w:r>
      <w:r>
        <w:rPr>
          <w:rFonts w:hint="eastAsia" w:ascii="仿宋" w:hAnsi="仿宋" w:eastAsia="仿宋" w:cs="宋体"/>
          <w:color w:val="auto"/>
          <w:sz w:val="28"/>
          <w:szCs w:val="28"/>
        </w:rPr>
        <w:t>，每天上午</w:t>
      </w:r>
      <w:r>
        <w:rPr>
          <w:rFonts w:hint="eastAsia" w:ascii="仿宋" w:hAnsi="仿宋" w:eastAsia="仿宋" w:cs="宋体"/>
          <w:color w:val="auto"/>
          <w:sz w:val="28"/>
          <w:szCs w:val="28"/>
          <w:u w:val="single"/>
          <w:lang w:val="en-US" w:eastAsia="zh-CN"/>
        </w:rPr>
        <w:t>9:30</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lang w:val="en-US" w:eastAsia="zh-CN"/>
        </w:rPr>
        <w:t>13:30</w:t>
      </w:r>
      <w:r>
        <w:rPr>
          <w:rFonts w:hint="eastAsia" w:ascii="仿宋" w:hAnsi="仿宋" w:eastAsia="仿宋" w:cs="宋体"/>
          <w:color w:val="auto"/>
          <w:sz w:val="28"/>
          <w:szCs w:val="28"/>
        </w:rPr>
        <w:t>，下午</w:t>
      </w:r>
      <w:r>
        <w:rPr>
          <w:rFonts w:hint="eastAsia" w:ascii="仿宋" w:hAnsi="仿宋" w:eastAsia="仿宋" w:cs="宋体"/>
          <w:color w:val="auto"/>
          <w:sz w:val="28"/>
          <w:szCs w:val="28"/>
          <w:u w:val="single"/>
          <w:lang w:val="en-US" w:eastAsia="zh-CN"/>
        </w:rPr>
        <w:t>16:00</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lang w:val="en-US" w:eastAsia="zh-CN"/>
        </w:rPr>
        <w:t>20:00</w:t>
      </w:r>
      <w:r>
        <w:rPr>
          <w:rFonts w:hint="eastAsia" w:ascii="仿宋" w:hAnsi="仿宋" w:eastAsia="仿宋" w:cs="宋体"/>
          <w:color w:val="auto"/>
          <w:sz w:val="28"/>
          <w:szCs w:val="28"/>
        </w:rPr>
        <w:t>（北京时间，</w:t>
      </w:r>
      <w:r>
        <w:rPr>
          <w:rFonts w:ascii="仿宋" w:hAnsi="仿宋" w:eastAsia="仿宋" w:cs="宋体"/>
          <w:color w:val="auto"/>
          <w:sz w:val="28"/>
          <w:szCs w:val="28"/>
        </w:rPr>
        <w:t>法定节假日</w:t>
      </w:r>
      <w:r>
        <w:rPr>
          <w:rFonts w:hint="eastAsia" w:ascii="仿宋" w:hAnsi="仿宋" w:eastAsia="仿宋" w:cs="宋体"/>
          <w:color w:val="auto"/>
          <w:sz w:val="28"/>
          <w:szCs w:val="28"/>
        </w:rPr>
        <w:t>除外 ）</w:t>
      </w:r>
    </w:p>
    <w:p>
      <w:pPr>
        <w:pageBreakBefore w:val="0"/>
        <w:kinsoku/>
        <w:wordWrap/>
        <w:overflowPunct/>
        <w:topLinePunct w:val="0"/>
        <w:autoSpaceDE/>
        <w:autoSpaceDN/>
        <w:bidi w:val="0"/>
        <w:adjustRightInd/>
        <w:snapToGrid/>
        <w:spacing w:line="360" w:lineRule="auto"/>
        <w:ind w:firstLine="540"/>
        <w:textAlignment w:val="auto"/>
        <w:rPr>
          <w:rFonts w:hint="eastAsia" w:ascii="仿宋" w:hAnsi="仿宋" w:eastAsia="仿宋" w:cs="宋体"/>
          <w:color w:val="auto"/>
          <w:sz w:val="28"/>
          <w:szCs w:val="28"/>
          <w:lang w:val="zh-CN"/>
        </w:rPr>
      </w:pPr>
      <w:r>
        <w:rPr>
          <w:rFonts w:hint="eastAsia" w:ascii="仿宋" w:hAnsi="仿宋" w:eastAsia="仿宋" w:cs="宋体"/>
          <w:color w:val="auto"/>
          <w:sz w:val="28"/>
          <w:szCs w:val="28"/>
        </w:rPr>
        <w:t>地点：</w:t>
      </w:r>
      <w:r>
        <w:rPr>
          <w:rFonts w:hint="eastAsia" w:ascii="仿宋" w:hAnsi="仿宋" w:eastAsia="仿宋" w:cs="宋体"/>
          <w:color w:val="auto"/>
          <w:sz w:val="28"/>
          <w:szCs w:val="28"/>
          <w:lang w:val="zh-CN"/>
        </w:rPr>
        <w:t xml:space="preserve">政采云平台线上获取 </w:t>
      </w:r>
    </w:p>
    <w:p>
      <w:pPr>
        <w:pageBreakBefore w:val="0"/>
        <w:kinsoku/>
        <w:wordWrap/>
        <w:overflowPunct/>
        <w:topLinePunct w:val="0"/>
        <w:autoSpaceDE/>
        <w:autoSpaceDN/>
        <w:bidi w:val="0"/>
        <w:adjustRightInd/>
        <w:snapToGrid/>
        <w:spacing w:line="360" w:lineRule="auto"/>
        <w:ind w:firstLine="540"/>
        <w:textAlignment w:val="auto"/>
        <w:rPr>
          <w:rFonts w:ascii="仿宋" w:hAnsi="仿宋" w:eastAsia="仿宋" w:cs="宋体"/>
          <w:color w:val="auto"/>
          <w:sz w:val="28"/>
          <w:szCs w:val="28"/>
          <w:u w:val="single"/>
        </w:rPr>
      </w:pPr>
      <w:r>
        <w:rPr>
          <w:rFonts w:hint="eastAsia" w:ascii="仿宋" w:hAnsi="仿宋" w:eastAsia="仿宋" w:cs="宋体"/>
          <w:color w:val="auto"/>
          <w:sz w:val="28"/>
          <w:szCs w:val="28"/>
        </w:rPr>
        <w:t>方式：</w:t>
      </w:r>
      <w:r>
        <w:rPr>
          <w:rFonts w:hint="eastAsia" w:ascii="仿宋" w:hAnsi="仿宋" w:eastAsia="仿宋" w:cs="宋体"/>
          <w:color w:val="auto"/>
          <w:sz w:val="28"/>
          <w:szCs w:val="28"/>
          <w:lang w:eastAsia="zh-CN"/>
        </w:rPr>
        <w:t xml:space="preserve">供应商登录政采云平台https://www.zcygov.cn/在线申请获取采购文件（进入“项目采购”应用，在获取采购文件菜单中选择项目，申请获取采购文件） </w:t>
      </w:r>
    </w:p>
    <w:p>
      <w:pPr>
        <w:pageBreakBefore w:val="0"/>
        <w:kinsoku/>
        <w:wordWrap/>
        <w:overflowPunct/>
        <w:topLinePunct w:val="0"/>
        <w:autoSpaceDE/>
        <w:autoSpaceDN/>
        <w:bidi w:val="0"/>
        <w:adjustRightInd/>
        <w:snapToGrid/>
        <w:spacing w:line="360" w:lineRule="auto"/>
        <w:ind w:firstLine="540"/>
        <w:jc w:val="left"/>
        <w:textAlignment w:val="auto"/>
        <w:rPr>
          <w:rFonts w:hint="default" w:ascii="仿宋" w:hAnsi="仿宋" w:eastAsia="仿宋" w:cs="宋体"/>
          <w:color w:val="auto"/>
          <w:sz w:val="28"/>
          <w:szCs w:val="28"/>
          <w:lang w:val="en-US" w:eastAsia="zh-CN"/>
        </w:rPr>
      </w:pPr>
      <w:r>
        <w:rPr>
          <w:rFonts w:hint="eastAsia" w:ascii="仿宋" w:hAnsi="仿宋" w:eastAsia="仿宋" w:cs="宋体"/>
          <w:color w:val="auto"/>
          <w:sz w:val="28"/>
          <w:szCs w:val="28"/>
          <w:lang w:eastAsia="zh-CN"/>
        </w:rPr>
        <w:t>售价：</w:t>
      </w:r>
      <w:r>
        <w:rPr>
          <w:rFonts w:hint="eastAsia" w:ascii="仿宋" w:hAnsi="仿宋" w:eastAsia="仿宋" w:cs="宋体"/>
          <w:color w:val="auto"/>
          <w:sz w:val="28"/>
          <w:szCs w:val="28"/>
          <w:lang w:val="en-US" w:eastAsia="zh-CN"/>
        </w:rPr>
        <w:t>0元/份</w:t>
      </w:r>
    </w:p>
    <w:p>
      <w:pPr>
        <w:pStyle w:val="5"/>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bookmarkStart w:id="19" w:name="_Toc28359092"/>
      <w:bookmarkStart w:id="20" w:name="_Toc35393632"/>
      <w:bookmarkStart w:id="21" w:name="_Toc35393801"/>
      <w:bookmarkStart w:id="22" w:name="_Toc28359015"/>
      <w:r>
        <w:rPr>
          <w:rFonts w:hint="eastAsia" w:ascii="黑体" w:hAnsi="黑体" w:cs="宋体"/>
          <w:b w:val="0"/>
          <w:color w:val="auto"/>
          <w:sz w:val="28"/>
          <w:szCs w:val="28"/>
        </w:rPr>
        <w:t>四、响应文件提交</w:t>
      </w:r>
      <w:bookmarkEnd w:id="19"/>
      <w:bookmarkEnd w:id="20"/>
      <w:bookmarkEnd w:id="21"/>
      <w:bookmarkEnd w:id="22"/>
    </w:p>
    <w:p>
      <w:pPr>
        <w:pageBreakBefore w:val="0"/>
        <w:kinsoku/>
        <w:wordWrap/>
        <w:overflowPunct/>
        <w:topLinePunct w:val="0"/>
        <w:autoSpaceDE/>
        <w:autoSpaceDN/>
        <w:bidi w:val="0"/>
        <w:adjustRightInd/>
        <w:snapToGrid/>
        <w:spacing w:line="360" w:lineRule="auto"/>
        <w:ind w:firstLine="560" w:firstLineChars="200"/>
        <w:textAlignment w:val="auto"/>
        <w:rPr>
          <w:rFonts w:ascii="仿宋" w:hAnsi="仿宋" w:eastAsia="仿宋"/>
          <w:bCs/>
          <w:color w:val="auto"/>
          <w:sz w:val="28"/>
          <w:szCs w:val="28"/>
          <w:u w:val="single"/>
        </w:rPr>
      </w:pPr>
      <w:r>
        <w:rPr>
          <w:rFonts w:hint="eastAsia" w:ascii="仿宋" w:hAnsi="仿宋" w:eastAsia="仿宋"/>
          <w:color w:val="auto"/>
          <w:sz w:val="28"/>
          <w:szCs w:val="28"/>
        </w:rPr>
        <w:t>截止时间：</w:t>
      </w:r>
      <w:r>
        <w:rPr>
          <w:rFonts w:hint="eastAsia" w:ascii="仿宋" w:hAnsi="仿宋" w:eastAsia="仿宋"/>
          <w:color w:val="auto"/>
          <w:sz w:val="28"/>
          <w:szCs w:val="28"/>
          <w:u w:val="single"/>
          <w:lang w:val="en-US" w:eastAsia="zh-CN"/>
        </w:rPr>
        <w:t>2023</w:t>
      </w:r>
      <w:r>
        <w:rPr>
          <w:rFonts w:hint="eastAsia" w:ascii="仿宋" w:hAnsi="仿宋" w:eastAsia="仿宋"/>
          <w:bCs/>
          <w:color w:val="auto"/>
          <w:sz w:val="28"/>
          <w:szCs w:val="28"/>
          <w:u w:val="single"/>
        </w:rPr>
        <w:t>年</w:t>
      </w:r>
      <w:r>
        <w:rPr>
          <w:rFonts w:hint="eastAsia" w:ascii="仿宋" w:hAnsi="仿宋" w:eastAsia="仿宋"/>
          <w:bCs/>
          <w:color w:val="auto"/>
          <w:sz w:val="28"/>
          <w:szCs w:val="28"/>
          <w:u w:val="single"/>
          <w:lang w:val="en-US" w:eastAsia="zh-CN"/>
        </w:rPr>
        <w:t>6</w:t>
      </w:r>
      <w:r>
        <w:rPr>
          <w:rFonts w:hint="eastAsia" w:ascii="仿宋" w:hAnsi="仿宋" w:eastAsia="仿宋"/>
          <w:bCs/>
          <w:color w:val="auto"/>
          <w:sz w:val="28"/>
          <w:szCs w:val="28"/>
          <w:u w:val="single"/>
        </w:rPr>
        <w:t>月</w:t>
      </w:r>
      <w:r>
        <w:rPr>
          <w:rFonts w:hint="eastAsia" w:ascii="仿宋" w:hAnsi="仿宋" w:eastAsia="仿宋"/>
          <w:bCs/>
          <w:color w:val="auto"/>
          <w:sz w:val="28"/>
          <w:szCs w:val="28"/>
          <w:u w:val="single"/>
          <w:lang w:val="en-US" w:eastAsia="zh-CN"/>
        </w:rPr>
        <w:t>12</w:t>
      </w:r>
      <w:r>
        <w:rPr>
          <w:rFonts w:hint="eastAsia" w:ascii="仿宋" w:hAnsi="仿宋" w:eastAsia="仿宋"/>
          <w:bCs/>
          <w:color w:val="auto"/>
          <w:sz w:val="28"/>
          <w:szCs w:val="28"/>
          <w:u w:val="single"/>
        </w:rPr>
        <w:t>日</w:t>
      </w:r>
      <w:r>
        <w:rPr>
          <w:rFonts w:hint="eastAsia" w:ascii="仿宋" w:hAnsi="仿宋" w:eastAsia="仿宋"/>
          <w:bCs/>
          <w:color w:val="auto"/>
          <w:sz w:val="28"/>
          <w:szCs w:val="28"/>
          <w:u w:val="single"/>
          <w:lang w:val="en-US" w:eastAsia="zh-CN"/>
        </w:rPr>
        <w:t>16</w:t>
      </w:r>
      <w:r>
        <w:rPr>
          <w:rFonts w:hint="eastAsia" w:ascii="仿宋" w:hAnsi="仿宋" w:eastAsia="仿宋"/>
          <w:bCs/>
          <w:color w:val="auto"/>
          <w:sz w:val="28"/>
          <w:szCs w:val="28"/>
          <w:u w:val="single"/>
        </w:rPr>
        <w:t>点</w:t>
      </w:r>
      <w:r>
        <w:rPr>
          <w:rFonts w:hint="eastAsia" w:ascii="仿宋" w:hAnsi="仿宋" w:eastAsia="仿宋"/>
          <w:bCs/>
          <w:color w:val="auto"/>
          <w:sz w:val="28"/>
          <w:szCs w:val="28"/>
          <w:u w:val="single"/>
          <w:lang w:val="en-US" w:eastAsia="zh-CN"/>
        </w:rPr>
        <w:t>30</w:t>
      </w:r>
      <w:r>
        <w:rPr>
          <w:rFonts w:hint="eastAsia" w:ascii="仿宋" w:hAnsi="仿宋" w:eastAsia="仿宋"/>
          <w:bCs/>
          <w:color w:val="auto"/>
          <w:sz w:val="28"/>
          <w:szCs w:val="28"/>
          <w:u w:val="single"/>
        </w:rPr>
        <w:t>分</w:t>
      </w:r>
      <w:r>
        <w:rPr>
          <w:rFonts w:hint="eastAsia" w:ascii="仿宋" w:hAnsi="仿宋" w:eastAsia="仿宋"/>
          <w:bCs/>
          <w:color w:val="auto"/>
          <w:sz w:val="28"/>
          <w:szCs w:val="28"/>
        </w:rPr>
        <w:t>（北京时间）</w:t>
      </w:r>
    </w:p>
    <w:p>
      <w:pPr>
        <w:pageBreakBefore w:val="0"/>
        <w:kinsoku/>
        <w:wordWrap/>
        <w:overflowPunct/>
        <w:topLinePunct w:val="0"/>
        <w:autoSpaceDE/>
        <w:autoSpaceDN/>
        <w:bidi w:val="0"/>
        <w:adjustRightInd/>
        <w:snapToGrid/>
        <w:spacing w:line="360" w:lineRule="auto"/>
        <w:ind w:firstLine="540"/>
        <w:textAlignment w:val="auto"/>
        <w:rPr>
          <w:rFonts w:ascii="仿宋" w:hAnsi="仿宋" w:eastAsia="仿宋"/>
          <w:bCs/>
          <w:color w:val="auto"/>
          <w:sz w:val="28"/>
          <w:szCs w:val="28"/>
          <w:u w:val="single"/>
        </w:rPr>
      </w:pPr>
      <w:r>
        <w:rPr>
          <w:rFonts w:hint="eastAsia" w:ascii="仿宋" w:hAnsi="仿宋" w:eastAsia="仿宋"/>
          <w:color w:val="auto"/>
          <w:sz w:val="28"/>
          <w:szCs w:val="28"/>
        </w:rPr>
        <w:t>地点：</w:t>
      </w:r>
      <w:r>
        <w:rPr>
          <w:rFonts w:hint="eastAsia" w:ascii="仿宋" w:hAnsi="仿宋" w:eastAsia="仿宋"/>
          <w:color w:val="auto"/>
          <w:sz w:val="28"/>
          <w:szCs w:val="28"/>
          <w:lang w:val="en-US" w:eastAsia="zh-CN"/>
        </w:rPr>
        <w:t xml:space="preserve">新疆政府采购网政采云平台（www.zcygov.cn） </w:t>
      </w:r>
    </w:p>
    <w:p>
      <w:pPr>
        <w:pStyle w:val="5"/>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bookmarkStart w:id="23" w:name="_Toc35393802"/>
      <w:bookmarkStart w:id="24" w:name="_Toc28359016"/>
      <w:bookmarkStart w:id="25" w:name="_Toc28359093"/>
      <w:bookmarkStart w:id="26" w:name="_Toc35393633"/>
      <w:r>
        <w:rPr>
          <w:rFonts w:hint="eastAsia" w:ascii="黑体" w:hAnsi="黑体" w:cs="宋体"/>
          <w:b w:val="0"/>
          <w:color w:val="auto"/>
          <w:sz w:val="28"/>
          <w:szCs w:val="28"/>
        </w:rPr>
        <w:t>五、开启</w:t>
      </w:r>
      <w:bookmarkEnd w:id="23"/>
      <w:bookmarkEnd w:id="24"/>
      <w:bookmarkEnd w:id="25"/>
      <w:bookmarkEnd w:id="26"/>
    </w:p>
    <w:p>
      <w:pPr>
        <w:pageBreakBefore w:val="0"/>
        <w:kinsoku/>
        <w:wordWrap/>
        <w:overflowPunct/>
        <w:topLinePunct w:val="0"/>
        <w:autoSpaceDE/>
        <w:autoSpaceDN/>
        <w:bidi w:val="0"/>
        <w:adjustRightInd/>
        <w:snapToGrid/>
        <w:spacing w:line="360" w:lineRule="auto"/>
        <w:ind w:firstLine="560" w:firstLineChars="200"/>
        <w:textAlignment w:val="auto"/>
        <w:rPr>
          <w:rFonts w:ascii="仿宋" w:hAnsi="仿宋" w:eastAsia="仿宋"/>
          <w:bCs/>
          <w:color w:val="auto"/>
          <w:sz w:val="28"/>
          <w:szCs w:val="28"/>
          <w:u w:val="single"/>
        </w:rPr>
      </w:pPr>
      <w:r>
        <w:rPr>
          <w:rFonts w:hint="eastAsia" w:ascii="仿宋" w:hAnsi="仿宋" w:eastAsia="仿宋"/>
          <w:color w:val="auto"/>
          <w:sz w:val="28"/>
          <w:szCs w:val="28"/>
        </w:rPr>
        <w:t>时间：</w:t>
      </w:r>
      <w:r>
        <w:rPr>
          <w:rFonts w:ascii="仿宋" w:hAnsi="仿宋" w:eastAsia="仿宋"/>
          <w:color w:val="auto"/>
          <w:sz w:val="28"/>
          <w:szCs w:val="28"/>
          <w:u w:val="single"/>
        </w:rPr>
        <w:t xml:space="preserve"> </w:t>
      </w:r>
      <w:r>
        <w:rPr>
          <w:rFonts w:hint="eastAsia" w:ascii="仿宋" w:hAnsi="仿宋" w:eastAsia="仿宋"/>
          <w:color w:val="auto"/>
          <w:sz w:val="28"/>
          <w:szCs w:val="28"/>
          <w:u w:val="single"/>
          <w:lang w:val="en-US" w:eastAsia="zh-CN"/>
        </w:rPr>
        <w:t>2023</w:t>
      </w:r>
      <w:r>
        <w:rPr>
          <w:rFonts w:hint="eastAsia" w:ascii="仿宋" w:hAnsi="仿宋" w:eastAsia="仿宋"/>
          <w:bCs/>
          <w:color w:val="auto"/>
          <w:sz w:val="28"/>
          <w:szCs w:val="28"/>
          <w:u w:val="single"/>
        </w:rPr>
        <w:t>年</w:t>
      </w:r>
      <w:r>
        <w:rPr>
          <w:rFonts w:hint="eastAsia" w:ascii="仿宋" w:hAnsi="仿宋" w:eastAsia="仿宋"/>
          <w:bCs/>
          <w:color w:val="auto"/>
          <w:sz w:val="28"/>
          <w:szCs w:val="28"/>
          <w:u w:val="single"/>
          <w:lang w:val="en-US" w:eastAsia="zh-CN"/>
        </w:rPr>
        <w:t>6</w:t>
      </w:r>
      <w:r>
        <w:rPr>
          <w:rFonts w:hint="eastAsia" w:ascii="仿宋" w:hAnsi="仿宋" w:eastAsia="仿宋"/>
          <w:bCs/>
          <w:color w:val="auto"/>
          <w:sz w:val="28"/>
          <w:szCs w:val="28"/>
          <w:u w:val="single"/>
        </w:rPr>
        <w:t>月</w:t>
      </w:r>
      <w:r>
        <w:rPr>
          <w:rFonts w:hint="eastAsia" w:ascii="仿宋" w:hAnsi="仿宋" w:eastAsia="仿宋"/>
          <w:bCs/>
          <w:color w:val="auto"/>
          <w:sz w:val="28"/>
          <w:szCs w:val="28"/>
          <w:u w:val="single"/>
          <w:lang w:val="en-US" w:eastAsia="zh-CN"/>
        </w:rPr>
        <w:t>12</w:t>
      </w:r>
      <w:r>
        <w:rPr>
          <w:rFonts w:hint="eastAsia" w:ascii="仿宋" w:hAnsi="仿宋" w:eastAsia="仿宋"/>
          <w:bCs/>
          <w:color w:val="auto"/>
          <w:sz w:val="28"/>
          <w:szCs w:val="28"/>
          <w:u w:val="single"/>
        </w:rPr>
        <w:t>日</w:t>
      </w:r>
      <w:r>
        <w:rPr>
          <w:rFonts w:hint="eastAsia" w:ascii="仿宋" w:hAnsi="仿宋" w:eastAsia="仿宋"/>
          <w:bCs/>
          <w:color w:val="auto"/>
          <w:sz w:val="28"/>
          <w:szCs w:val="28"/>
          <w:u w:val="single"/>
          <w:lang w:val="en-US" w:eastAsia="zh-CN"/>
        </w:rPr>
        <w:t>16</w:t>
      </w:r>
      <w:r>
        <w:rPr>
          <w:rFonts w:hint="eastAsia" w:ascii="仿宋" w:hAnsi="仿宋" w:eastAsia="仿宋"/>
          <w:bCs/>
          <w:color w:val="auto"/>
          <w:sz w:val="28"/>
          <w:szCs w:val="28"/>
          <w:u w:val="single"/>
        </w:rPr>
        <w:t>点</w:t>
      </w:r>
      <w:r>
        <w:rPr>
          <w:rFonts w:hint="eastAsia" w:ascii="仿宋" w:hAnsi="仿宋" w:eastAsia="仿宋"/>
          <w:bCs/>
          <w:color w:val="auto"/>
          <w:sz w:val="28"/>
          <w:szCs w:val="28"/>
          <w:u w:val="single"/>
          <w:lang w:val="en-US" w:eastAsia="zh-CN"/>
        </w:rPr>
        <w:t>30</w:t>
      </w:r>
      <w:r>
        <w:rPr>
          <w:rFonts w:hint="eastAsia" w:ascii="仿宋" w:hAnsi="仿宋" w:eastAsia="仿宋"/>
          <w:bCs/>
          <w:color w:val="auto"/>
          <w:sz w:val="28"/>
          <w:szCs w:val="28"/>
          <w:u w:val="single"/>
        </w:rPr>
        <w:t>分</w:t>
      </w:r>
      <w:r>
        <w:rPr>
          <w:rFonts w:hint="eastAsia" w:ascii="仿宋" w:hAnsi="仿宋" w:eastAsia="仿宋"/>
          <w:bCs/>
          <w:color w:val="auto"/>
          <w:sz w:val="28"/>
          <w:szCs w:val="28"/>
        </w:rPr>
        <w:t>（北京时间）</w:t>
      </w:r>
    </w:p>
    <w:p>
      <w:pPr>
        <w:pageBreakBefore w:val="0"/>
        <w:kinsoku/>
        <w:wordWrap/>
        <w:overflowPunct/>
        <w:topLinePunct w:val="0"/>
        <w:autoSpaceDE/>
        <w:autoSpaceDN/>
        <w:bidi w:val="0"/>
        <w:adjustRightInd/>
        <w:snapToGrid/>
        <w:spacing w:line="360" w:lineRule="auto"/>
        <w:ind w:firstLine="560" w:firstLineChars="200"/>
        <w:textAlignment w:val="auto"/>
        <w:rPr>
          <w:rFonts w:ascii="仿宋" w:hAnsi="仿宋" w:eastAsia="仿宋"/>
          <w:bCs/>
          <w:color w:val="auto"/>
          <w:sz w:val="28"/>
          <w:szCs w:val="28"/>
          <w:u w:val="single"/>
        </w:rPr>
      </w:pPr>
      <w:r>
        <w:rPr>
          <w:rFonts w:hint="eastAsia" w:ascii="仿宋" w:hAnsi="仿宋" w:eastAsia="仿宋"/>
          <w:color w:val="auto"/>
          <w:sz w:val="28"/>
          <w:szCs w:val="28"/>
        </w:rPr>
        <w:t>地点：</w:t>
      </w:r>
      <w:r>
        <w:rPr>
          <w:rFonts w:hint="eastAsia" w:ascii="仿宋" w:hAnsi="仿宋" w:eastAsia="仿宋"/>
          <w:color w:val="auto"/>
          <w:sz w:val="28"/>
          <w:szCs w:val="28"/>
          <w:lang w:val="en-US" w:eastAsia="zh-CN"/>
        </w:rPr>
        <w:t xml:space="preserve">新疆政府采购网政采云平台（www.zcygov.cn） </w:t>
      </w:r>
    </w:p>
    <w:p>
      <w:pPr>
        <w:pStyle w:val="5"/>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bookmarkStart w:id="27" w:name="_Toc28359017"/>
      <w:bookmarkStart w:id="28" w:name="_Toc35393803"/>
      <w:bookmarkStart w:id="29" w:name="_Toc28359094"/>
      <w:bookmarkStart w:id="30" w:name="_Toc35393634"/>
      <w:r>
        <w:rPr>
          <w:rFonts w:hint="eastAsia" w:ascii="黑体" w:hAnsi="黑体" w:cs="宋体"/>
          <w:b w:val="0"/>
          <w:color w:val="auto"/>
          <w:sz w:val="28"/>
          <w:szCs w:val="28"/>
        </w:rPr>
        <w:t>六、公告期限</w:t>
      </w:r>
      <w:bookmarkEnd w:id="27"/>
      <w:bookmarkEnd w:id="28"/>
      <w:bookmarkEnd w:id="29"/>
      <w:bookmarkEnd w:id="30"/>
    </w:p>
    <w:p>
      <w:pPr>
        <w:pageBreakBefore w:val="0"/>
        <w:kinsoku/>
        <w:wordWrap/>
        <w:overflowPunct/>
        <w:topLinePunct w:val="0"/>
        <w:autoSpaceDE/>
        <w:autoSpaceDN/>
        <w:bidi w:val="0"/>
        <w:adjustRightInd/>
        <w:snapToGrid/>
        <w:spacing w:line="360" w:lineRule="auto"/>
        <w:ind w:firstLine="560" w:firstLineChars="200"/>
        <w:textAlignment w:val="auto"/>
        <w:rPr>
          <w:rFonts w:ascii="仿宋" w:hAnsi="仿宋" w:eastAsia="仿宋" w:cs="宋体"/>
          <w:color w:val="auto"/>
          <w:kern w:val="0"/>
          <w:sz w:val="28"/>
          <w:szCs w:val="28"/>
        </w:rPr>
      </w:pPr>
      <w:r>
        <w:rPr>
          <w:rFonts w:hint="eastAsia" w:ascii="仿宋" w:hAnsi="仿宋" w:eastAsia="仿宋" w:cs="宋体"/>
          <w:color w:val="auto"/>
          <w:kern w:val="0"/>
          <w:sz w:val="28"/>
          <w:szCs w:val="28"/>
        </w:rPr>
        <w:t>自本公告发布之日起</w:t>
      </w:r>
      <w:r>
        <w:rPr>
          <w:rFonts w:hint="eastAsia" w:ascii="仿宋" w:hAnsi="仿宋" w:eastAsia="仿宋" w:cs="宋体"/>
          <w:color w:val="auto"/>
          <w:kern w:val="0"/>
          <w:sz w:val="28"/>
          <w:szCs w:val="28"/>
          <w:lang w:val="en-US" w:eastAsia="zh-CN"/>
        </w:rPr>
        <w:t>3</w:t>
      </w:r>
      <w:r>
        <w:rPr>
          <w:rFonts w:hint="eastAsia" w:ascii="仿宋" w:hAnsi="仿宋" w:eastAsia="仿宋" w:cs="宋体"/>
          <w:color w:val="auto"/>
          <w:kern w:val="0"/>
          <w:sz w:val="28"/>
          <w:szCs w:val="28"/>
        </w:rPr>
        <w:t>个工作日。</w:t>
      </w:r>
    </w:p>
    <w:p>
      <w:pPr>
        <w:pStyle w:val="5"/>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bookmarkStart w:id="31" w:name="_Toc35393804"/>
      <w:bookmarkStart w:id="32" w:name="_Toc35393635"/>
      <w:r>
        <w:rPr>
          <w:rFonts w:hint="eastAsia" w:ascii="黑体" w:hAnsi="黑体" w:cs="宋体"/>
          <w:b w:val="0"/>
          <w:color w:val="auto"/>
          <w:sz w:val="28"/>
          <w:szCs w:val="28"/>
        </w:rPr>
        <w:t>七、其他补充事宜</w:t>
      </w:r>
      <w:bookmarkEnd w:id="31"/>
      <w:bookmarkEnd w:id="32"/>
    </w:p>
    <w:p>
      <w:pPr>
        <w:pageBreakBefore w:val="0"/>
        <w:kinsoku/>
        <w:wordWrap/>
        <w:overflowPunct/>
        <w:topLinePunct w:val="0"/>
        <w:autoSpaceDE/>
        <w:autoSpaceDN/>
        <w:bidi w:val="0"/>
        <w:adjustRightInd/>
        <w:snapToGrid/>
        <w:spacing w:line="360" w:lineRule="auto"/>
        <w:ind w:firstLine="300" w:firstLineChars="1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 xml:space="preserve"> </w:t>
      </w:r>
      <w:r>
        <w:rPr>
          <w:rFonts w:hint="eastAsia" w:ascii="仿宋" w:hAnsi="仿宋" w:eastAsia="仿宋" w:cs="仿宋"/>
          <w:color w:val="auto"/>
          <w:spacing w:val="10"/>
          <w:sz w:val="28"/>
          <w:szCs w:val="28"/>
          <w:lang w:val="en-US" w:eastAsia="zh-CN"/>
        </w:rPr>
        <w:t>1</w:t>
      </w:r>
      <w:r>
        <w:rPr>
          <w:rFonts w:hint="eastAsia" w:ascii="仿宋" w:hAnsi="仿宋" w:eastAsia="仿宋" w:cs="仿宋"/>
          <w:color w:val="auto"/>
          <w:spacing w:val="10"/>
          <w:sz w:val="28"/>
          <w:szCs w:val="28"/>
        </w:rPr>
        <w:t>、各投标单位应在开标前应确保成为新疆维吾尔自治区政府采购网正式注册入库投标单位，并完成CA数字证书申领。因未注册入库、未办理CA数字证书等原因造成无法投标或投标失败，均由投标单位承担相应的不利后果。</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lang w:val="en-US" w:eastAsia="zh-CN"/>
        </w:rPr>
        <w:t>2</w:t>
      </w:r>
      <w:r>
        <w:rPr>
          <w:rFonts w:hint="eastAsia" w:ascii="仿宋" w:hAnsi="仿宋" w:eastAsia="仿宋" w:cs="仿宋"/>
          <w:color w:val="auto"/>
          <w:spacing w:val="10"/>
          <w:sz w:val="28"/>
          <w:szCs w:val="28"/>
        </w:rPr>
        <w:t>、投标单位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lang w:val="en-US" w:eastAsia="zh-CN"/>
        </w:rPr>
        <w:t>3</w:t>
      </w:r>
      <w:r>
        <w:rPr>
          <w:rFonts w:hint="eastAsia" w:ascii="仿宋" w:hAnsi="仿宋" w:eastAsia="仿宋" w:cs="仿宋"/>
          <w:color w:val="auto"/>
          <w:spacing w:val="10"/>
          <w:sz w:val="28"/>
          <w:szCs w:val="28"/>
        </w:rPr>
        <w:t>.投标人应当在递交电子投标文件截止时间前，将生成的“电子加密投标文件”上传递交至“政府采购云平台”，递交电子投标文件截止时间以后上传递交的投标文件将被“政府采购云平台”拒收。</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lang w:val="en-US" w:eastAsia="zh-CN"/>
        </w:rPr>
        <w:t>4</w:t>
      </w:r>
      <w:r>
        <w:rPr>
          <w:rFonts w:hint="eastAsia" w:ascii="仿宋" w:hAnsi="仿宋" w:eastAsia="仿宋" w:cs="仿宋"/>
          <w:color w:val="auto"/>
          <w:spacing w:val="10"/>
          <w:sz w:val="28"/>
          <w:szCs w:val="28"/>
        </w:rPr>
        <w:t>.投标人登录政采云平台，在投标截止时间后30分钟内用“项目采购-开标评标”功能进行解密响应文件。若投标人在规定时间内未按时解密的，视为无效响应。解密与加密响应文件须使用同一个CA。</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lang w:eastAsia="zh-CN"/>
        </w:rPr>
      </w:pPr>
      <w:r>
        <w:rPr>
          <w:rFonts w:hint="eastAsia" w:ascii="仿宋" w:hAnsi="仿宋" w:eastAsia="仿宋" w:cs="仿宋"/>
          <w:color w:val="auto"/>
          <w:spacing w:val="10"/>
          <w:sz w:val="28"/>
          <w:szCs w:val="28"/>
          <w:lang w:val="en-US" w:eastAsia="zh-CN"/>
        </w:rPr>
        <w:t>5</w:t>
      </w:r>
      <w:r>
        <w:rPr>
          <w:rFonts w:hint="eastAsia" w:ascii="仿宋" w:hAnsi="仿宋" w:eastAsia="仿宋" w:cs="仿宋"/>
          <w:color w:val="auto"/>
          <w:spacing w:val="10"/>
          <w:sz w:val="28"/>
          <w:szCs w:val="28"/>
        </w:rPr>
        <w:t xml:space="preserve">、发布公告的媒介：新疆政府采购网。  </w:t>
      </w:r>
    </w:p>
    <w:p>
      <w:pPr>
        <w:pStyle w:val="5"/>
        <w:pageBreakBefore w:val="0"/>
        <w:kinsoku/>
        <w:wordWrap/>
        <w:overflowPunct/>
        <w:topLinePunct w:val="0"/>
        <w:autoSpaceDE/>
        <w:autoSpaceDN/>
        <w:bidi w:val="0"/>
        <w:adjustRightInd/>
        <w:snapToGrid/>
        <w:spacing w:line="360" w:lineRule="auto"/>
        <w:jc w:val="both"/>
        <w:textAlignment w:val="auto"/>
        <w:rPr>
          <w:rFonts w:ascii="仿宋" w:hAnsi="仿宋" w:eastAsia="仿宋" w:cs="仿宋"/>
          <w:b w:val="0"/>
          <w:color w:val="auto"/>
          <w:sz w:val="28"/>
          <w:szCs w:val="28"/>
        </w:rPr>
      </w:pPr>
      <w:bookmarkStart w:id="33" w:name="_Toc35393796"/>
      <w:bookmarkStart w:id="34" w:name="_Toc35393627"/>
      <w:bookmarkStart w:id="35" w:name="_Toc28359085"/>
      <w:bookmarkStart w:id="36" w:name="_Toc28359008"/>
      <w:r>
        <w:rPr>
          <w:rFonts w:hint="eastAsia" w:ascii="仿宋" w:hAnsi="仿宋" w:eastAsia="仿宋" w:cs="仿宋"/>
          <w:b/>
          <w:bCs w:val="0"/>
          <w:color w:val="auto"/>
          <w:sz w:val="28"/>
          <w:szCs w:val="28"/>
          <w:lang w:val="en-US" w:eastAsia="zh-CN"/>
        </w:rPr>
        <w:t>八</w:t>
      </w:r>
      <w:r>
        <w:rPr>
          <w:rFonts w:hint="eastAsia" w:ascii="仿宋" w:hAnsi="仿宋" w:eastAsia="仿宋" w:cs="仿宋"/>
          <w:b/>
          <w:bCs w:val="0"/>
          <w:color w:val="auto"/>
          <w:sz w:val="28"/>
          <w:szCs w:val="28"/>
        </w:rPr>
        <w:t>、对本次招标提出询问，请按以下方式联系。</w:t>
      </w:r>
      <w:bookmarkEnd w:id="33"/>
      <w:bookmarkEnd w:id="34"/>
      <w:bookmarkEnd w:id="35"/>
      <w:bookmarkEnd w:id="36"/>
    </w:p>
    <w:p>
      <w:pPr>
        <w:pageBreakBefore w:val="0"/>
        <w:widowControl/>
        <w:kinsoku/>
        <w:wordWrap/>
        <w:overflowPunct/>
        <w:topLinePunct w:val="0"/>
        <w:autoSpaceDE/>
        <w:autoSpaceDN/>
        <w:bidi w:val="0"/>
        <w:adjustRightInd/>
        <w:snapToGrid/>
        <w:spacing w:line="360" w:lineRule="auto"/>
        <w:jc w:val="left"/>
        <w:textAlignment w:val="auto"/>
        <w:rPr>
          <w:rFonts w:ascii="仿宋" w:hAnsi="仿宋" w:eastAsia="仿宋" w:cs="仿宋"/>
          <w:color w:val="auto"/>
          <w:sz w:val="28"/>
          <w:szCs w:val="28"/>
        </w:rPr>
      </w:pPr>
      <w:r>
        <w:rPr>
          <w:rFonts w:hint="eastAsia" w:ascii="仿宋" w:hAnsi="仿宋" w:eastAsia="仿宋" w:cs="仿宋"/>
          <w:color w:val="auto"/>
          <w:sz w:val="28"/>
          <w:szCs w:val="28"/>
        </w:rPr>
        <w:t>　　　1.采购人信息</w:t>
      </w:r>
    </w:p>
    <w:p>
      <w:pPr>
        <w:pageBreakBefore w:val="0"/>
        <w:kinsoku/>
        <w:wordWrap/>
        <w:overflowPunct/>
        <w:topLinePunct w:val="0"/>
        <w:autoSpaceDE/>
        <w:autoSpaceDN/>
        <w:bidi w:val="0"/>
        <w:adjustRightInd/>
        <w:snapToGrid/>
        <w:spacing w:line="360" w:lineRule="auto"/>
        <w:ind w:left="1129" w:leftChars="371" w:hanging="350" w:hangingChars="125"/>
        <w:jc w:val="left"/>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名 称：</w:t>
      </w:r>
      <w:r>
        <w:rPr>
          <w:rFonts w:hint="eastAsia" w:ascii="仿宋" w:hAnsi="仿宋" w:eastAsia="仿宋" w:cs="仿宋"/>
          <w:color w:val="auto"/>
          <w:sz w:val="28"/>
          <w:szCs w:val="28"/>
          <w:u w:val="single"/>
          <w:lang w:val="en-US" w:eastAsia="zh-CN"/>
        </w:rPr>
        <w:t>阜康市农业技术推广中心</w:t>
      </w:r>
      <w:r>
        <w:rPr>
          <w:rFonts w:hint="eastAsia" w:ascii="仿宋" w:hAnsi="仿宋" w:eastAsia="仿宋" w:cs="仿宋"/>
          <w:color w:val="auto"/>
          <w:sz w:val="28"/>
          <w:szCs w:val="28"/>
          <w:u w:val="single"/>
        </w:rPr>
        <w:t>　</w:t>
      </w:r>
      <w:r>
        <w:rPr>
          <w:rFonts w:hint="eastAsia" w:ascii="仿宋" w:hAnsi="仿宋" w:eastAsia="仿宋" w:cs="仿宋"/>
          <w:color w:val="auto"/>
          <w:sz w:val="28"/>
          <w:szCs w:val="28"/>
          <w:u w:val="single"/>
          <w:lang w:val="en-US" w:eastAsia="zh-CN"/>
        </w:rPr>
        <w:t xml:space="preserve">  </w:t>
      </w:r>
    </w:p>
    <w:p>
      <w:pPr>
        <w:pageBreakBefore w:val="0"/>
        <w:kinsoku/>
        <w:wordWrap/>
        <w:overflowPunct/>
        <w:topLinePunct w:val="0"/>
        <w:autoSpaceDE/>
        <w:autoSpaceDN/>
        <w:bidi w:val="0"/>
        <w:adjustRightInd/>
        <w:snapToGrid/>
        <w:spacing w:line="360" w:lineRule="auto"/>
        <w:ind w:left="1129" w:leftChars="371" w:hanging="350" w:hangingChars="125"/>
        <w:jc w:val="left"/>
        <w:textAlignment w:val="auto"/>
        <w:rPr>
          <w:rFonts w:hint="eastAsia" w:ascii="仿宋" w:hAnsi="仿宋" w:eastAsia="仿宋" w:cs="仿宋"/>
          <w:color w:val="auto"/>
          <w:sz w:val="28"/>
          <w:szCs w:val="28"/>
          <w:u w:val="single"/>
          <w:lang w:eastAsia="zh-CN"/>
        </w:rPr>
      </w:pPr>
      <w:r>
        <w:rPr>
          <w:rFonts w:hint="eastAsia" w:ascii="仿宋" w:hAnsi="仿宋" w:eastAsia="仿宋" w:cs="仿宋"/>
          <w:color w:val="auto"/>
          <w:sz w:val="28"/>
          <w:szCs w:val="28"/>
        </w:rPr>
        <w:t>联系人：</w:t>
      </w:r>
      <w:r>
        <w:rPr>
          <w:rFonts w:hint="eastAsia" w:ascii="仿宋" w:hAnsi="仿宋" w:eastAsia="仿宋" w:cs="仿宋"/>
          <w:color w:val="auto"/>
          <w:sz w:val="28"/>
          <w:szCs w:val="28"/>
          <w:u w:val="single"/>
        </w:rPr>
        <w:t>　</w:t>
      </w:r>
      <w:r>
        <w:rPr>
          <w:rFonts w:hint="eastAsia" w:ascii="仿宋" w:hAnsi="仿宋" w:eastAsia="仿宋" w:cs="仿宋"/>
          <w:color w:val="auto"/>
          <w:sz w:val="28"/>
          <w:szCs w:val="28"/>
          <w:u w:val="single"/>
          <w:lang w:val="en-US" w:eastAsia="zh-CN"/>
        </w:rPr>
        <w:t xml:space="preserve"> 李玲</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eastAsia="zh-CN"/>
        </w:rPr>
        <w:t>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eastAsia="zh-CN"/>
        </w:rPr>
        <w:t xml:space="preserve">  </w:t>
      </w:r>
    </w:p>
    <w:p>
      <w:pPr>
        <w:pageBreakBefore w:val="0"/>
        <w:kinsoku/>
        <w:wordWrap/>
        <w:overflowPunct/>
        <w:topLinePunct w:val="0"/>
        <w:autoSpaceDE/>
        <w:autoSpaceDN/>
        <w:bidi w:val="0"/>
        <w:adjustRightInd/>
        <w:snapToGrid/>
        <w:spacing w:line="360" w:lineRule="auto"/>
        <w:ind w:left="1129" w:leftChars="371" w:hanging="350" w:hangingChars="125"/>
        <w:jc w:val="left"/>
        <w:textAlignment w:val="auto"/>
        <w:rPr>
          <w:rFonts w:ascii="仿宋" w:hAnsi="仿宋" w:eastAsia="仿宋" w:cs="仿宋"/>
          <w:color w:val="auto"/>
          <w:sz w:val="28"/>
          <w:szCs w:val="28"/>
          <w:u w:val="single"/>
        </w:rPr>
      </w:pPr>
      <w:r>
        <w:rPr>
          <w:rFonts w:hint="eastAsia" w:ascii="仿宋" w:hAnsi="仿宋" w:eastAsia="仿宋" w:cs="仿宋"/>
          <w:color w:val="auto"/>
          <w:sz w:val="28"/>
          <w:szCs w:val="28"/>
          <w:u w:val="none"/>
          <w:lang w:eastAsia="zh-CN"/>
        </w:rPr>
        <w:t>联系方式：</w:t>
      </w:r>
      <w:r>
        <w:rPr>
          <w:rFonts w:hint="eastAsia" w:ascii="仿宋" w:hAnsi="仿宋" w:eastAsia="仿宋" w:cs="仿宋"/>
          <w:color w:val="auto"/>
          <w:sz w:val="28"/>
          <w:szCs w:val="28"/>
          <w:u w:val="single"/>
          <w:lang w:val="en-US" w:eastAsia="zh-CN"/>
        </w:rPr>
        <w:t>15109941288</w:t>
      </w:r>
      <w:r>
        <w:rPr>
          <w:rFonts w:hint="eastAsia" w:ascii="仿宋" w:hAnsi="仿宋" w:eastAsia="仿宋" w:cs="仿宋"/>
          <w:color w:val="auto"/>
          <w:sz w:val="28"/>
          <w:szCs w:val="28"/>
          <w:u w:val="single"/>
        </w:rPr>
        <w:t xml:space="preserve">　  </w:t>
      </w:r>
      <w:bookmarkStart w:id="37" w:name="_Toc28359009"/>
      <w:bookmarkStart w:id="38" w:name="_Toc28359086"/>
    </w:p>
    <w:p>
      <w:pPr>
        <w:pageBreakBefore w:val="0"/>
        <w:kinsoku/>
        <w:wordWrap/>
        <w:overflowPunct/>
        <w:topLinePunct w:val="0"/>
        <w:autoSpaceDE/>
        <w:autoSpaceDN/>
        <w:bidi w:val="0"/>
        <w:adjustRightInd/>
        <w:snapToGrid/>
        <w:spacing w:line="360" w:lineRule="auto"/>
        <w:ind w:left="1129" w:leftChars="371" w:hanging="350" w:hangingChars="125"/>
        <w:jc w:val="left"/>
        <w:textAlignment w:val="auto"/>
        <w:rPr>
          <w:rFonts w:ascii="仿宋" w:hAnsi="仿宋" w:eastAsia="仿宋" w:cs="仿宋"/>
          <w:color w:val="auto"/>
          <w:sz w:val="28"/>
          <w:szCs w:val="28"/>
        </w:rPr>
      </w:pPr>
      <w:r>
        <w:rPr>
          <w:rFonts w:hint="eastAsia" w:ascii="仿宋" w:hAnsi="仿宋" w:eastAsia="仿宋" w:cs="仿宋"/>
          <w:color w:val="auto"/>
          <w:sz w:val="28"/>
          <w:szCs w:val="28"/>
        </w:rPr>
        <w:t>2.采购代理机构信息</w:t>
      </w:r>
      <w:bookmarkEnd w:id="37"/>
      <w:bookmarkEnd w:id="38"/>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ascii="仿宋" w:hAnsi="仿宋" w:eastAsia="仿宋" w:cs="仿宋"/>
          <w:color w:val="auto"/>
          <w:sz w:val="28"/>
          <w:szCs w:val="28"/>
        </w:rPr>
      </w:pPr>
      <w:r>
        <w:rPr>
          <w:rFonts w:hint="eastAsia" w:ascii="仿宋" w:hAnsi="仿宋" w:eastAsia="仿宋" w:cs="仿宋"/>
          <w:color w:val="auto"/>
          <w:sz w:val="28"/>
          <w:szCs w:val="28"/>
        </w:rPr>
        <w:t>名</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称：</w:t>
      </w:r>
      <w:r>
        <w:rPr>
          <w:rFonts w:hint="eastAsia" w:ascii="仿宋" w:hAnsi="仿宋" w:eastAsia="仿宋" w:cs="仿宋"/>
          <w:color w:val="auto"/>
          <w:spacing w:val="10"/>
          <w:sz w:val="28"/>
          <w:szCs w:val="28"/>
          <w:u w:val="single"/>
        </w:rPr>
        <w:t>新疆</w:t>
      </w:r>
      <w:r>
        <w:rPr>
          <w:rFonts w:hint="eastAsia" w:ascii="仿宋" w:hAnsi="仿宋" w:eastAsia="仿宋" w:cs="仿宋"/>
          <w:color w:val="auto"/>
          <w:spacing w:val="10"/>
          <w:sz w:val="28"/>
          <w:szCs w:val="28"/>
          <w:u w:val="single"/>
          <w:lang w:val="en-US" w:eastAsia="zh-CN"/>
        </w:rPr>
        <w:t>国恩</w:t>
      </w:r>
      <w:r>
        <w:rPr>
          <w:rFonts w:hint="eastAsia" w:ascii="仿宋" w:hAnsi="仿宋" w:eastAsia="仿宋" w:cs="仿宋"/>
          <w:color w:val="auto"/>
          <w:spacing w:val="10"/>
          <w:sz w:val="28"/>
          <w:szCs w:val="28"/>
          <w:u w:val="single"/>
        </w:rPr>
        <w:t>工程管理有限公司</w:t>
      </w:r>
      <w:r>
        <w:rPr>
          <w:rFonts w:hint="eastAsia" w:ascii="仿宋" w:hAnsi="仿宋" w:eastAsia="仿宋" w:cs="仿宋"/>
          <w:color w:val="auto"/>
          <w:sz w:val="28"/>
          <w:szCs w:val="28"/>
          <w:u w:val="single"/>
        </w:rPr>
        <w:t>　</w:t>
      </w:r>
    </w:p>
    <w:p>
      <w:pPr>
        <w:keepNext w:val="0"/>
        <w:keepLines w:val="0"/>
        <w:pageBreakBefore w:val="0"/>
        <w:widowControl w:val="0"/>
        <w:kinsoku/>
        <w:wordWrap/>
        <w:overflowPunct/>
        <w:topLinePunct w:val="0"/>
        <w:autoSpaceDE/>
        <w:autoSpaceDN/>
        <w:bidi w:val="0"/>
        <w:adjustRightInd/>
        <w:snapToGrid/>
        <w:spacing w:line="360" w:lineRule="auto"/>
        <w:ind w:left="2135" w:leftChars="350" w:hanging="1400" w:hangingChars="500"/>
        <w:textAlignment w:val="auto"/>
        <w:rPr>
          <w:rFonts w:hint="default" w:ascii="仿宋" w:hAnsi="仿宋" w:eastAsia="仿宋" w:cs="仿宋"/>
          <w:color w:val="auto"/>
          <w:spacing w:val="10"/>
          <w:sz w:val="28"/>
          <w:szCs w:val="28"/>
          <w:u w:val="single"/>
          <w:lang w:val="en-US" w:eastAsia="zh-CN"/>
        </w:rPr>
      </w:pPr>
      <w:r>
        <w:rPr>
          <w:rFonts w:hint="eastAsia" w:ascii="仿宋" w:hAnsi="仿宋" w:eastAsia="仿宋" w:cs="仿宋"/>
          <w:color w:val="auto"/>
          <w:sz w:val="28"/>
          <w:szCs w:val="28"/>
        </w:rPr>
        <w:t>地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址：</w:t>
      </w:r>
      <w:r>
        <w:rPr>
          <w:rFonts w:hint="eastAsia" w:ascii="仿宋" w:hAnsi="仿宋" w:eastAsia="仿宋" w:cs="仿宋"/>
          <w:color w:val="auto"/>
          <w:spacing w:val="10"/>
          <w:sz w:val="28"/>
          <w:szCs w:val="28"/>
          <w:u w:val="single"/>
          <w:lang w:val="en-US" w:eastAsia="zh-CN"/>
        </w:rPr>
        <w:t>昌吉州昌吉市青年南路73#小区青年壹号大厦1幢A 座13层</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ascii="仿宋" w:hAnsi="仿宋" w:eastAsia="仿宋" w:cs="仿宋"/>
          <w:color w:val="auto"/>
          <w:sz w:val="28"/>
          <w:szCs w:val="28"/>
        </w:rPr>
      </w:pPr>
      <w:r>
        <w:rPr>
          <w:rFonts w:hint="eastAsia" w:ascii="仿宋" w:hAnsi="仿宋" w:eastAsia="仿宋" w:cs="仿宋"/>
          <w:color w:val="auto"/>
          <w:sz w:val="28"/>
          <w:szCs w:val="28"/>
        </w:rPr>
        <w:t>联系人：</w:t>
      </w:r>
      <w:r>
        <w:rPr>
          <w:rFonts w:hint="eastAsia" w:ascii="仿宋" w:hAnsi="仿宋" w:eastAsia="仿宋" w:cs="仿宋"/>
          <w:color w:val="auto"/>
          <w:sz w:val="28"/>
          <w:szCs w:val="28"/>
          <w:u w:val="single"/>
        </w:rPr>
        <w:t>　</w:t>
      </w:r>
      <w:r>
        <w:rPr>
          <w:rFonts w:hint="eastAsia" w:ascii="仿宋" w:hAnsi="仿宋" w:eastAsia="仿宋" w:cs="仿宋"/>
          <w:color w:val="auto"/>
          <w:spacing w:val="10"/>
          <w:sz w:val="28"/>
          <w:szCs w:val="28"/>
          <w:u w:val="single"/>
          <w:lang w:val="en-US" w:eastAsia="zh-CN"/>
        </w:rPr>
        <w:t>殷海建</w:t>
      </w:r>
      <w:r>
        <w:rPr>
          <w:rFonts w:hint="eastAsia" w:ascii="仿宋" w:hAnsi="仿宋" w:eastAsia="仿宋" w:cs="仿宋"/>
          <w:color w:val="auto"/>
          <w:sz w:val="28"/>
          <w:szCs w:val="28"/>
          <w:u w:val="single"/>
        </w:rPr>
        <w:t>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default" w:ascii="仿宋" w:hAnsi="仿宋" w:eastAsia="仿宋" w:cs="仿宋"/>
          <w:color w:val="auto"/>
          <w:sz w:val="28"/>
          <w:szCs w:val="28"/>
          <w:lang w:val="en-US"/>
        </w:rPr>
      </w:pPr>
      <w:r>
        <w:rPr>
          <w:rFonts w:hint="eastAsia" w:ascii="仿宋" w:hAnsi="仿宋" w:eastAsia="仿宋" w:cs="仿宋"/>
          <w:color w:val="auto"/>
          <w:sz w:val="28"/>
          <w:szCs w:val="28"/>
        </w:rPr>
        <w:t>联系方式：</w:t>
      </w:r>
      <w:r>
        <w:rPr>
          <w:rFonts w:hint="eastAsia" w:ascii="仿宋" w:hAnsi="仿宋" w:eastAsia="仿宋" w:cs="仿宋"/>
          <w:color w:val="auto"/>
          <w:sz w:val="28"/>
          <w:szCs w:val="28"/>
          <w:u w:val="single"/>
          <w:lang w:val="en-US" w:eastAsia="zh-CN"/>
        </w:rPr>
        <w:t>0994-2707555转8002</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default" w:ascii="仿宋" w:hAnsi="仿宋" w:eastAsia="仿宋" w:cs="仿宋"/>
          <w:color w:val="auto"/>
          <w:sz w:val="28"/>
          <w:szCs w:val="28"/>
          <w:lang w:val="en-US"/>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val="en-US" w:eastAsia="zh-CN"/>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val="en-US" w:eastAsia="zh-CN"/>
        </w:rPr>
      </w:pPr>
    </w:p>
    <w:p>
      <w:pPr>
        <w:spacing w:line="360" w:lineRule="auto"/>
        <w:ind w:firstLine="840" w:firstLineChars="300"/>
        <w:rPr>
          <w:rFonts w:hint="eastAsia" w:ascii="仿宋" w:hAnsi="仿宋" w:eastAsia="仿宋"/>
          <w:color w:val="auto"/>
          <w:sz w:val="28"/>
          <w:szCs w:val="28"/>
          <w:highlight w:val="none"/>
          <w:u w:val="single"/>
          <w:lang w:val="en-US" w:eastAsia="zh-CN"/>
        </w:rPr>
      </w:pPr>
    </w:p>
    <w:bookmarkEnd w:id="4"/>
    <w:bookmarkEnd w:id="5"/>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pStyle w:val="2"/>
        <w:rPr>
          <w:color w:val="auto"/>
        </w:rPr>
      </w:pPr>
    </w:p>
    <w:p>
      <w:pPr>
        <w:rPr>
          <w:color w:val="auto"/>
          <w:highlight w:val="none"/>
        </w:rPr>
      </w:pPr>
    </w:p>
    <w:p>
      <w:pPr>
        <w:pStyle w:val="2"/>
        <w:rPr>
          <w:color w:val="auto"/>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rPr>
      </w:pPr>
    </w:p>
    <w:p>
      <w:pPr>
        <w:pStyle w:val="13"/>
        <w:rPr>
          <w:color w:val="auto"/>
        </w:rPr>
      </w:pPr>
    </w:p>
    <w:p>
      <w:pPr>
        <w:rPr>
          <w:color w:val="auto"/>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pStyle w:val="4"/>
        <w:spacing w:line="240" w:lineRule="auto"/>
        <w:jc w:val="both"/>
        <w:rPr>
          <w:rFonts w:hint="eastAsia" w:ascii="仿宋" w:hAnsi="仿宋" w:cs="仿宋"/>
          <w:color w:val="auto"/>
          <w:w w:val="95"/>
          <w:highlight w:val="none"/>
        </w:rPr>
      </w:pPr>
    </w:p>
    <w:p>
      <w:pPr>
        <w:rPr>
          <w:rFonts w:hint="eastAsia"/>
          <w:color w:val="auto"/>
        </w:rPr>
      </w:pPr>
    </w:p>
    <w:p>
      <w:pPr>
        <w:pStyle w:val="4"/>
        <w:spacing w:line="240" w:lineRule="auto"/>
        <w:jc w:val="center"/>
        <w:rPr>
          <w:rFonts w:hint="eastAsia" w:ascii="仿宋" w:hAnsi="仿宋" w:cs="仿宋"/>
          <w:color w:val="auto"/>
          <w:w w:val="95"/>
          <w:highlight w:val="none"/>
        </w:rPr>
      </w:pPr>
    </w:p>
    <w:p>
      <w:pPr>
        <w:pStyle w:val="4"/>
        <w:spacing w:line="240" w:lineRule="auto"/>
        <w:jc w:val="center"/>
        <w:rPr>
          <w:rFonts w:hint="eastAsia" w:ascii="仿宋" w:hAnsi="仿宋" w:cs="仿宋"/>
          <w:color w:val="auto"/>
          <w:highlight w:val="none"/>
        </w:rPr>
      </w:pPr>
      <w:r>
        <w:rPr>
          <w:rFonts w:hint="eastAsia" w:ascii="仿宋" w:hAnsi="仿宋" w:cs="仿宋"/>
          <w:color w:val="auto"/>
          <w:w w:val="95"/>
          <w:highlight w:val="none"/>
        </w:rPr>
        <w:t>第</w:t>
      </w:r>
      <w:bookmarkStart w:id="39" w:name="bookmark2"/>
      <w:bookmarkEnd w:id="39"/>
      <w:bookmarkStart w:id="40" w:name="（一）供应商须知前附表"/>
      <w:bookmarkEnd w:id="40"/>
      <w:r>
        <w:rPr>
          <w:rFonts w:hint="eastAsia" w:ascii="仿宋" w:hAnsi="仿宋" w:cs="仿宋"/>
          <w:color w:val="auto"/>
          <w:w w:val="95"/>
          <w:highlight w:val="none"/>
        </w:rPr>
        <w:t>二章</w:t>
      </w:r>
      <w:r>
        <w:rPr>
          <w:rFonts w:hint="eastAsia" w:ascii="仿宋" w:hAnsi="仿宋" w:cs="仿宋"/>
          <w:color w:val="auto"/>
          <w:w w:val="95"/>
          <w:highlight w:val="none"/>
        </w:rPr>
        <w:tab/>
      </w:r>
      <w:r>
        <w:rPr>
          <w:rFonts w:hint="eastAsia" w:ascii="仿宋" w:hAnsi="仿宋" w:cs="仿宋"/>
          <w:color w:val="auto"/>
          <w:highlight w:val="none"/>
        </w:rPr>
        <w:t>供应商须知及前附表</w:t>
      </w:r>
      <w:bookmarkEnd w:id="6"/>
      <w:bookmarkStart w:id="41" w:name="_Toc503548049"/>
    </w:p>
    <w:p>
      <w:pPr>
        <w:pStyle w:val="5"/>
        <w:spacing w:line="360" w:lineRule="auto"/>
        <w:rPr>
          <w:rFonts w:ascii="仿宋" w:hAnsi="仿宋" w:cs="仿宋"/>
          <w:color w:val="auto"/>
          <w:highlight w:val="none"/>
        </w:rPr>
      </w:pPr>
      <w:r>
        <w:rPr>
          <w:rFonts w:hint="eastAsia" w:ascii="仿宋" w:hAnsi="仿宋" w:cs="仿宋"/>
          <w:color w:val="auto"/>
          <w:highlight w:val="none"/>
        </w:rPr>
        <w:t>（一）供应商须知前附表</w:t>
      </w:r>
      <w:bookmarkEnd w:id="41"/>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2"/>
        <w:gridCol w:w="9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jc w:val="center"/>
        </w:trPr>
        <w:tc>
          <w:tcPr>
            <w:tcW w:w="672" w:type="dxa"/>
            <w:vAlign w:val="center"/>
          </w:tcPr>
          <w:p>
            <w:pPr>
              <w:pStyle w:val="47"/>
              <w:kinsoku w:val="0"/>
              <w:overflowPunct w:val="0"/>
              <w:spacing w:before="74" w:line="300" w:lineRule="exact"/>
              <w:ind w:left="13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9767" w:type="dxa"/>
            <w:tcBorders>
              <w:bottom w:val="single" w:color="auto" w:sz="4" w:space="0"/>
            </w:tcBorders>
            <w:vAlign w:val="center"/>
          </w:tcPr>
          <w:p>
            <w:pPr>
              <w:pStyle w:val="47"/>
              <w:tabs>
                <w:tab w:val="left" w:pos="627"/>
                <w:tab w:val="left" w:pos="1227"/>
                <w:tab w:val="left" w:pos="1832"/>
              </w:tabs>
              <w:kinsoku w:val="0"/>
              <w:overflowPunct w:val="0"/>
              <w:spacing w:before="74" w:line="300" w:lineRule="exact"/>
              <w:ind w:left="25"/>
              <w:jc w:val="center"/>
              <w:rPr>
                <w:rFonts w:hint="eastAsia" w:ascii="宋体" w:hAnsi="宋体" w:eastAsia="宋体" w:cs="宋体"/>
                <w:color w:val="auto"/>
                <w:sz w:val="24"/>
                <w:szCs w:val="24"/>
                <w:highlight w:val="none"/>
              </w:rPr>
            </w:pPr>
            <w:r>
              <w:rPr>
                <w:rFonts w:hint="eastAsia" w:ascii="宋体" w:hAnsi="宋体" w:eastAsia="宋体" w:cs="宋体"/>
                <w:color w:val="auto"/>
                <w:w w:val="95"/>
                <w:sz w:val="24"/>
                <w:szCs w:val="24"/>
                <w:highlight w:val="none"/>
              </w:rPr>
              <w:t>内</w:t>
            </w:r>
            <w:r>
              <w:rPr>
                <w:rFonts w:hint="eastAsia" w:ascii="宋体" w:hAnsi="宋体" w:eastAsia="宋体" w:cs="宋体"/>
                <w:color w:val="auto"/>
                <w:w w:val="95"/>
                <w:sz w:val="24"/>
                <w:szCs w:val="24"/>
                <w:highlight w:val="none"/>
              </w:rPr>
              <w:tab/>
            </w:r>
            <w:r>
              <w:rPr>
                <w:rFonts w:hint="eastAsia" w:ascii="宋体" w:hAnsi="宋体" w:eastAsia="宋体" w:cs="宋体"/>
                <w:color w:val="auto"/>
                <w:w w:val="95"/>
                <w:sz w:val="24"/>
                <w:szCs w:val="24"/>
                <w:highlight w:val="none"/>
              </w:rPr>
              <w:t>容</w:t>
            </w:r>
            <w:r>
              <w:rPr>
                <w:rFonts w:hint="eastAsia" w:ascii="宋体" w:hAnsi="宋体" w:eastAsia="宋体" w:cs="宋体"/>
                <w:color w:val="auto"/>
                <w:w w:val="95"/>
                <w:sz w:val="24"/>
                <w:szCs w:val="24"/>
                <w:highlight w:val="none"/>
              </w:rPr>
              <w:tab/>
            </w:r>
            <w:r>
              <w:rPr>
                <w:rFonts w:hint="eastAsia" w:ascii="宋体" w:hAnsi="宋体" w:eastAsia="宋体" w:cs="宋体"/>
                <w:color w:val="auto"/>
                <w:w w:val="95"/>
                <w:sz w:val="24"/>
                <w:szCs w:val="24"/>
                <w:highlight w:val="none"/>
              </w:rPr>
              <w:t>规</w:t>
            </w:r>
            <w:r>
              <w:rPr>
                <w:rFonts w:hint="eastAsia" w:ascii="宋体" w:hAnsi="宋体" w:eastAsia="宋体" w:cs="宋体"/>
                <w:color w:val="auto"/>
                <w:w w:val="95"/>
                <w:sz w:val="24"/>
                <w:szCs w:val="24"/>
                <w:highlight w:val="none"/>
              </w:rPr>
              <w:tab/>
            </w:r>
            <w:r>
              <w:rPr>
                <w:rFonts w:hint="eastAsia" w:ascii="宋体" w:hAnsi="宋体" w:eastAsia="宋体" w:cs="宋体"/>
                <w:color w:val="auto"/>
                <w:sz w:val="24"/>
                <w:szCs w:val="24"/>
                <w:highlight w:val="none"/>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exact"/>
          <w:jc w:val="center"/>
        </w:trPr>
        <w:tc>
          <w:tcPr>
            <w:tcW w:w="672" w:type="dxa"/>
            <w:vMerge w:val="restart"/>
            <w:vAlign w:val="center"/>
          </w:tcPr>
          <w:p>
            <w:pPr>
              <w:pStyle w:val="47"/>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767" w:type="dxa"/>
            <w:tcBorders>
              <w:bottom w:val="nil"/>
            </w:tcBorders>
            <w:vAlign w:val="center"/>
          </w:tcPr>
          <w:p>
            <w:pPr>
              <w:pStyle w:val="47"/>
              <w:kinsoku w:val="0"/>
              <w:overflowPunct w:val="0"/>
              <w:spacing w:before="57" w:line="300" w:lineRule="exact"/>
              <w:ind w:left="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 购 人：</w:t>
            </w:r>
            <w:r>
              <w:rPr>
                <w:rFonts w:hint="eastAsia" w:ascii="宋体" w:hAnsi="宋体" w:cs="宋体"/>
                <w:color w:val="auto"/>
                <w:sz w:val="24"/>
                <w:szCs w:val="24"/>
                <w:highlight w:val="none"/>
                <w:lang w:eastAsia="zh-CN"/>
              </w:rPr>
              <w:t>阜康市农业技术推广中心　　</w:t>
            </w:r>
          </w:p>
          <w:p>
            <w:pPr>
              <w:pStyle w:val="47"/>
              <w:kinsoku w:val="0"/>
              <w:overflowPunct w:val="0"/>
              <w:spacing w:before="57" w:line="300" w:lineRule="exact"/>
              <w:ind w:left="102"/>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jc w:val="center"/>
        </w:trPr>
        <w:tc>
          <w:tcPr>
            <w:tcW w:w="672" w:type="dxa"/>
            <w:vMerge w:val="continue"/>
            <w:vAlign w:val="center"/>
          </w:tcPr>
          <w:p>
            <w:pPr>
              <w:pStyle w:val="47"/>
              <w:kinsoku w:val="0"/>
              <w:overflowPunct w:val="0"/>
              <w:spacing w:before="57" w:line="300" w:lineRule="exact"/>
              <w:ind w:left="102"/>
              <w:jc w:val="center"/>
              <w:rPr>
                <w:rFonts w:hint="eastAsia" w:ascii="宋体" w:hAnsi="宋体" w:eastAsia="宋体" w:cs="宋体"/>
                <w:color w:val="auto"/>
                <w:sz w:val="24"/>
                <w:szCs w:val="24"/>
                <w:highlight w:val="none"/>
              </w:rPr>
            </w:pPr>
          </w:p>
        </w:tc>
        <w:tc>
          <w:tcPr>
            <w:tcW w:w="9767" w:type="dxa"/>
            <w:tcBorders>
              <w:top w:val="nil"/>
              <w:bottom w:val="nil"/>
            </w:tcBorders>
            <w:vAlign w:val="center"/>
          </w:tcPr>
          <w:p>
            <w:pPr>
              <w:pStyle w:val="47"/>
              <w:kinsoku w:val="0"/>
              <w:overflowPunct w:val="0"/>
              <w:spacing w:before="57" w:line="300" w:lineRule="exact"/>
              <w:ind w:left="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 系 人：</w:t>
            </w:r>
            <w:r>
              <w:rPr>
                <w:rFonts w:hint="eastAsia" w:ascii="宋体" w:hAnsi="宋体" w:cs="宋体"/>
                <w:color w:val="auto"/>
                <w:sz w:val="24"/>
                <w:szCs w:val="24"/>
                <w:highlight w:val="none"/>
                <w:lang w:val="en-US" w:eastAsia="zh-CN"/>
              </w:rPr>
              <w:t>李玲</w:t>
            </w:r>
          </w:p>
          <w:p>
            <w:pPr>
              <w:pStyle w:val="47"/>
              <w:kinsoku w:val="0"/>
              <w:overflowPunct w:val="0"/>
              <w:spacing w:before="57" w:line="300" w:lineRule="exact"/>
              <w:ind w:left="102"/>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72" w:type="dxa"/>
            <w:vMerge w:val="continue"/>
            <w:vAlign w:val="center"/>
          </w:tcPr>
          <w:p>
            <w:pPr>
              <w:pStyle w:val="47"/>
              <w:tabs>
                <w:tab w:val="left" w:pos="824"/>
              </w:tabs>
              <w:kinsoku w:val="0"/>
              <w:overflowPunct w:val="0"/>
              <w:spacing w:before="16" w:line="300" w:lineRule="exact"/>
              <w:ind w:left="102" w:right="4066"/>
              <w:jc w:val="center"/>
              <w:rPr>
                <w:rFonts w:hint="eastAsia" w:ascii="宋体" w:hAnsi="宋体" w:eastAsia="宋体" w:cs="宋体"/>
                <w:color w:val="auto"/>
                <w:sz w:val="24"/>
                <w:szCs w:val="24"/>
                <w:highlight w:val="none"/>
              </w:rPr>
            </w:pPr>
          </w:p>
        </w:tc>
        <w:tc>
          <w:tcPr>
            <w:tcW w:w="9767" w:type="dxa"/>
            <w:tcBorders>
              <w:top w:val="nil"/>
              <w:bottom w:val="single" w:color="auto" w:sz="4" w:space="0"/>
            </w:tcBorders>
            <w:vAlign w:val="center"/>
          </w:tcPr>
          <w:p>
            <w:pPr>
              <w:pStyle w:val="47"/>
              <w:kinsoku w:val="0"/>
              <w:overflowPunct w:val="0"/>
              <w:spacing w:before="57"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cs="宋体"/>
                <w:color w:val="auto"/>
                <w:sz w:val="24"/>
                <w:szCs w:val="24"/>
                <w:highlight w:val="none"/>
                <w:lang w:val="en-US" w:eastAsia="zh-CN"/>
              </w:rPr>
              <w:t>15109941288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exact"/>
          <w:jc w:val="center"/>
        </w:trPr>
        <w:tc>
          <w:tcPr>
            <w:tcW w:w="672" w:type="dxa"/>
            <w:vMerge w:val="restart"/>
            <w:vAlign w:val="center"/>
          </w:tcPr>
          <w:p>
            <w:pPr>
              <w:pStyle w:val="47"/>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9767" w:type="dxa"/>
            <w:tcBorders>
              <w:bottom w:val="nil"/>
            </w:tcBorders>
            <w:vAlign w:val="center"/>
          </w:tcPr>
          <w:p>
            <w:pPr>
              <w:pStyle w:val="47"/>
              <w:kinsoku w:val="0"/>
              <w:overflowPunct w:val="0"/>
              <w:spacing w:before="5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代理机构：</w:t>
            </w:r>
            <w:r>
              <w:rPr>
                <w:rFonts w:hint="eastAsia" w:ascii="宋体" w:hAnsi="宋体" w:cs="宋体"/>
                <w:color w:val="auto"/>
                <w:sz w:val="24"/>
                <w:szCs w:val="24"/>
                <w:highlight w:val="none"/>
                <w:lang w:eastAsia="zh-CN"/>
              </w:rPr>
              <w:t>新疆国恩工程管理有限公司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exact"/>
          <w:jc w:val="center"/>
        </w:trPr>
        <w:tc>
          <w:tcPr>
            <w:tcW w:w="672" w:type="dxa"/>
            <w:vMerge w:val="continue"/>
            <w:vAlign w:val="center"/>
          </w:tcPr>
          <w:p>
            <w:pPr>
              <w:pStyle w:val="47"/>
              <w:kinsoku w:val="0"/>
              <w:overflowPunct w:val="0"/>
              <w:spacing w:before="56" w:line="300" w:lineRule="exact"/>
              <w:ind w:left="102"/>
              <w:jc w:val="center"/>
              <w:rPr>
                <w:rFonts w:hint="eastAsia" w:ascii="宋体" w:hAnsi="宋体" w:eastAsia="宋体" w:cs="宋体"/>
                <w:color w:val="auto"/>
                <w:sz w:val="24"/>
                <w:szCs w:val="24"/>
                <w:highlight w:val="none"/>
              </w:rPr>
            </w:pPr>
          </w:p>
        </w:tc>
        <w:tc>
          <w:tcPr>
            <w:tcW w:w="9767" w:type="dxa"/>
            <w:tcBorders>
              <w:top w:val="nil"/>
              <w:bottom w:val="nil"/>
            </w:tcBorders>
            <w:vAlign w:val="center"/>
          </w:tcPr>
          <w:p>
            <w:pPr>
              <w:pStyle w:val="47"/>
              <w:kinsoku w:val="0"/>
              <w:overflowPunct w:val="0"/>
              <w:spacing w:before="56" w:line="300" w:lineRule="exact"/>
              <w:ind w:left="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地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址：</w:t>
            </w:r>
            <w:r>
              <w:rPr>
                <w:rFonts w:hint="eastAsia" w:ascii="宋体" w:hAnsi="宋体" w:eastAsia="宋体" w:cs="宋体"/>
                <w:color w:val="auto"/>
                <w:sz w:val="24"/>
                <w:szCs w:val="24"/>
                <w:highlight w:val="none"/>
                <w:lang w:eastAsia="zh-CN"/>
              </w:rPr>
              <w:t>昌吉州昌吉市青年南路73#小区青年壹号大厦1幢A 座13层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jc w:val="center"/>
        </w:trPr>
        <w:tc>
          <w:tcPr>
            <w:tcW w:w="672" w:type="dxa"/>
            <w:vMerge w:val="continue"/>
            <w:vAlign w:val="center"/>
          </w:tcPr>
          <w:p>
            <w:pPr>
              <w:pStyle w:val="47"/>
              <w:tabs>
                <w:tab w:val="left" w:pos="824"/>
              </w:tabs>
              <w:kinsoku w:val="0"/>
              <w:overflowPunct w:val="0"/>
              <w:spacing w:before="16" w:line="300" w:lineRule="exact"/>
              <w:ind w:left="102"/>
              <w:jc w:val="center"/>
              <w:rPr>
                <w:rFonts w:hint="eastAsia" w:ascii="宋体" w:hAnsi="宋体" w:eastAsia="宋体" w:cs="宋体"/>
                <w:color w:val="auto"/>
                <w:sz w:val="24"/>
                <w:szCs w:val="24"/>
                <w:highlight w:val="none"/>
              </w:rPr>
            </w:pPr>
          </w:p>
        </w:tc>
        <w:tc>
          <w:tcPr>
            <w:tcW w:w="9767" w:type="dxa"/>
            <w:tcBorders>
              <w:top w:val="nil"/>
              <w:bottom w:val="nil"/>
            </w:tcBorders>
            <w:vAlign w:val="center"/>
          </w:tcPr>
          <w:p>
            <w:pPr>
              <w:pStyle w:val="47"/>
              <w:kinsoku w:val="0"/>
              <w:overflowPunct w:val="0"/>
              <w:spacing w:before="5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r>
              <w:rPr>
                <w:rFonts w:hint="eastAsia" w:ascii="宋体" w:hAnsi="宋体" w:cs="宋体"/>
                <w:color w:val="auto"/>
                <w:sz w:val="24"/>
                <w:szCs w:val="24"/>
                <w:highlight w:val="none"/>
                <w:lang w:val="en-US" w:eastAsia="zh-CN"/>
              </w:rPr>
              <w:t>殷海建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jc w:val="center"/>
        </w:trPr>
        <w:tc>
          <w:tcPr>
            <w:tcW w:w="672" w:type="dxa"/>
            <w:vMerge w:val="continue"/>
            <w:vAlign w:val="center"/>
          </w:tcPr>
          <w:p>
            <w:pPr>
              <w:pStyle w:val="47"/>
              <w:kinsoku w:val="0"/>
              <w:overflowPunct w:val="0"/>
              <w:spacing w:before="16" w:line="300" w:lineRule="exact"/>
              <w:ind w:left="102"/>
              <w:jc w:val="center"/>
              <w:rPr>
                <w:rFonts w:hint="eastAsia" w:ascii="宋体" w:hAnsi="宋体" w:eastAsia="宋体" w:cs="宋体"/>
                <w:color w:val="auto"/>
                <w:sz w:val="24"/>
                <w:szCs w:val="24"/>
                <w:highlight w:val="none"/>
              </w:rPr>
            </w:pPr>
          </w:p>
        </w:tc>
        <w:tc>
          <w:tcPr>
            <w:tcW w:w="9767" w:type="dxa"/>
            <w:tcBorders>
              <w:top w:val="nil"/>
              <w:bottom w:val="single" w:color="auto" w:sz="4" w:space="0"/>
            </w:tcBorders>
            <w:vAlign w:val="center"/>
          </w:tcPr>
          <w:p>
            <w:pPr>
              <w:pStyle w:val="47"/>
              <w:kinsoku w:val="0"/>
              <w:overflowPunct w:val="0"/>
              <w:spacing w:before="5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cs="宋体"/>
                <w:color w:val="auto"/>
                <w:sz w:val="24"/>
                <w:szCs w:val="24"/>
                <w:highlight w:val="none"/>
                <w:lang w:val="en-US" w:eastAsia="zh-CN"/>
              </w:rPr>
              <w:t>0994-2707555转8002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exact"/>
          <w:jc w:val="center"/>
        </w:trPr>
        <w:tc>
          <w:tcPr>
            <w:tcW w:w="672" w:type="dxa"/>
            <w:vMerge w:val="restart"/>
            <w:vAlign w:val="center"/>
          </w:tcPr>
          <w:p>
            <w:pPr>
              <w:pStyle w:val="47"/>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9767" w:type="dxa"/>
            <w:tcBorders>
              <w:bottom w:val="nil"/>
            </w:tcBorders>
            <w:vAlign w:val="center"/>
          </w:tcPr>
          <w:p>
            <w:pPr>
              <w:pStyle w:val="47"/>
              <w:kinsoku w:val="0"/>
              <w:overflowPunct w:val="0"/>
              <w:spacing w:line="300" w:lineRule="exact"/>
              <w:jc w:val="both"/>
              <w:rPr>
                <w:rFonts w:hint="eastAsia" w:ascii="宋体" w:hAnsi="宋体" w:eastAsia="宋体" w:cs="宋体"/>
                <w:color w:val="auto"/>
                <w:w w:val="95"/>
                <w:sz w:val="24"/>
                <w:szCs w:val="24"/>
                <w:highlight w:val="none"/>
              </w:rPr>
            </w:pPr>
            <w:r>
              <w:rPr>
                <w:rFonts w:hint="eastAsia" w:ascii="宋体" w:hAnsi="宋体" w:eastAsia="宋体" w:cs="宋体"/>
                <w:color w:val="auto"/>
                <w:w w:val="95"/>
                <w:sz w:val="24"/>
                <w:szCs w:val="24"/>
                <w:highlight w:val="none"/>
              </w:rPr>
              <w:t>1、项目名称：</w:t>
            </w:r>
            <w:r>
              <w:rPr>
                <w:rFonts w:hint="eastAsia" w:ascii="宋体" w:hAnsi="宋体" w:cs="宋体"/>
                <w:color w:val="auto"/>
                <w:w w:val="95"/>
                <w:sz w:val="24"/>
                <w:szCs w:val="24"/>
                <w:highlight w:val="none"/>
                <w:lang w:val="en-US" w:eastAsia="zh-CN"/>
              </w:rPr>
              <w:t>阜康市2023年绿色高产高效行动项目-无人机打农药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exact"/>
          <w:jc w:val="center"/>
        </w:trPr>
        <w:tc>
          <w:tcPr>
            <w:tcW w:w="672" w:type="dxa"/>
            <w:vMerge w:val="continue"/>
            <w:vAlign w:val="center"/>
          </w:tcPr>
          <w:p>
            <w:pPr>
              <w:pStyle w:val="47"/>
              <w:kinsoku w:val="0"/>
              <w:overflowPunct w:val="0"/>
              <w:spacing w:before="56" w:line="300" w:lineRule="exact"/>
              <w:ind w:left="102"/>
              <w:jc w:val="center"/>
              <w:rPr>
                <w:rFonts w:hint="eastAsia" w:ascii="宋体" w:hAnsi="宋体" w:eastAsia="宋体" w:cs="宋体"/>
                <w:color w:val="auto"/>
                <w:sz w:val="24"/>
                <w:szCs w:val="24"/>
                <w:highlight w:val="none"/>
              </w:rPr>
            </w:pPr>
          </w:p>
        </w:tc>
        <w:tc>
          <w:tcPr>
            <w:tcW w:w="9767" w:type="dxa"/>
            <w:tcBorders>
              <w:top w:val="nil"/>
              <w:bottom w:val="nil"/>
            </w:tcBorders>
            <w:vAlign w:val="center"/>
          </w:tcPr>
          <w:p>
            <w:pPr>
              <w:pStyle w:val="47"/>
              <w:kinsoku w:val="0"/>
              <w:overflowPunct w:val="0"/>
              <w:spacing w:before="16" w:line="300" w:lineRule="exact"/>
              <w:jc w:val="both"/>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2、磋商文件编号：</w:t>
            </w:r>
            <w:r>
              <w:rPr>
                <w:rFonts w:hint="eastAsia" w:ascii="宋体" w:hAnsi="宋体" w:cs="宋体"/>
                <w:color w:val="auto"/>
                <w:sz w:val="24"/>
                <w:szCs w:val="24"/>
                <w:highlight w:val="none"/>
                <w:lang w:val="en-US" w:eastAsia="zh-CN"/>
              </w:rPr>
              <w:t>XJGE-2023-0529-CG-001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exact"/>
          <w:jc w:val="center"/>
        </w:trPr>
        <w:tc>
          <w:tcPr>
            <w:tcW w:w="672" w:type="dxa"/>
            <w:vMerge w:val="continue"/>
            <w:vAlign w:val="center"/>
          </w:tcPr>
          <w:p>
            <w:pPr>
              <w:pStyle w:val="47"/>
              <w:kinsoku w:val="0"/>
              <w:overflowPunct w:val="0"/>
              <w:spacing w:before="16" w:line="300" w:lineRule="exact"/>
              <w:ind w:left="102" w:right="77"/>
              <w:jc w:val="center"/>
              <w:rPr>
                <w:rFonts w:hint="eastAsia" w:ascii="宋体" w:hAnsi="宋体" w:eastAsia="宋体" w:cs="宋体"/>
                <w:color w:val="auto"/>
                <w:sz w:val="24"/>
                <w:szCs w:val="24"/>
                <w:highlight w:val="none"/>
              </w:rPr>
            </w:pPr>
          </w:p>
        </w:tc>
        <w:tc>
          <w:tcPr>
            <w:tcW w:w="9767" w:type="dxa"/>
            <w:tcBorders>
              <w:top w:val="nil"/>
            </w:tcBorders>
            <w:vAlign w:val="center"/>
          </w:tcPr>
          <w:p>
            <w:pPr>
              <w:pStyle w:val="47"/>
              <w:kinsoku w:val="0"/>
              <w:overflowPunct w:val="0"/>
              <w:spacing w:before="16" w:line="300" w:lineRule="exact"/>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5" w:hRule="atLeast"/>
          <w:jc w:val="center"/>
        </w:trPr>
        <w:tc>
          <w:tcPr>
            <w:tcW w:w="672" w:type="dxa"/>
            <w:vAlign w:val="center"/>
          </w:tcPr>
          <w:p>
            <w:pPr>
              <w:pStyle w:val="47"/>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9767" w:type="dxa"/>
            <w:vAlign w:val="center"/>
          </w:tcPr>
          <w:p>
            <w:pPr>
              <w:pStyle w:val="47"/>
              <w:kinsoku w:val="0"/>
              <w:overflowPunct w:val="0"/>
              <w:spacing w:before="8" w:line="300" w:lineRule="exact"/>
              <w:ind w:left="10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1、主要磋商内容：</w:t>
            </w:r>
            <w:r>
              <w:rPr>
                <w:rFonts w:hint="eastAsia" w:ascii="宋体" w:hAnsi="宋体" w:cs="宋体"/>
                <w:color w:val="auto"/>
                <w:sz w:val="24"/>
                <w:szCs w:val="24"/>
                <w:highlight w:val="none"/>
                <w:lang w:eastAsia="zh-CN"/>
              </w:rPr>
              <w:t>对阜康市6个乡镇的小麦进行统防统治（具体内容详见竞争性磋商文件）</w:t>
            </w:r>
          </w:p>
          <w:p>
            <w:pPr>
              <w:pStyle w:val="47"/>
              <w:kinsoku w:val="0"/>
              <w:overflowPunct w:val="0"/>
              <w:spacing w:before="1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2、合同履行期限：</w:t>
            </w:r>
            <w:r>
              <w:rPr>
                <w:rFonts w:hint="eastAsia" w:ascii="宋体" w:hAnsi="宋体" w:eastAsia="宋体" w:cs="宋体"/>
                <w:color w:val="auto"/>
                <w:sz w:val="24"/>
                <w:szCs w:val="24"/>
                <w:highlight w:val="none"/>
                <w:lang w:val="en-US" w:eastAsia="zh-CN"/>
              </w:rPr>
              <w:t>合同签订后</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lang w:val="en-US" w:eastAsia="zh-CN"/>
              </w:rPr>
              <w:t>天（日历日）内完成。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672" w:type="dxa"/>
            <w:vAlign w:val="center"/>
          </w:tcPr>
          <w:p>
            <w:pPr>
              <w:pStyle w:val="47"/>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9767" w:type="dxa"/>
            <w:vAlign w:val="center"/>
          </w:tcPr>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最高投标限价</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780000</w:t>
            </w:r>
            <w:r>
              <w:rPr>
                <w:rFonts w:hint="eastAsia" w:ascii="宋体" w:hAnsi="宋体" w:eastAsia="宋体" w:cs="宋体"/>
                <w:color w:val="auto"/>
                <w:sz w:val="24"/>
                <w:szCs w:val="24"/>
                <w:highlight w:val="none"/>
                <w:lang w:val="en-US" w:eastAsia="zh-CN"/>
              </w:rPr>
              <w:t>元（供应商报价超出最高投标限价按废标处理）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672" w:type="dxa"/>
            <w:vAlign w:val="center"/>
          </w:tcPr>
          <w:p>
            <w:pPr>
              <w:pStyle w:val="47"/>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9767" w:type="dxa"/>
            <w:vAlign w:val="center"/>
          </w:tcPr>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★1、响应人资格要求：</w:t>
            </w:r>
          </w:p>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1）执行财政部工业和信息化部关于印发《政府采购促进中小企业发展管理办法》财库〔2020〕46号的通知中的相关规定。（2）（财库〔2014〕68号）；（3）《国务院办公厅关于建立政府强制采购节能产品制度的通知》（国办发〔2007〕51号）；（4）《财政部、民政部、中国残疾人联合会关于促进残疾人就业政府采购政策的通知》财库〔2017〕141号；供应商为中小企业。</w:t>
            </w:r>
          </w:p>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w:t>
            </w:r>
          </w:p>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（1）在中华人民共和国境内注册，具有独立法人资格且具有承担本项目的能力。</w:t>
            </w:r>
          </w:p>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（2）具有有效的营业执照。</w:t>
            </w:r>
          </w:p>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（3）具备国家级植保机械质量检测机构检验合格认证。</w:t>
            </w:r>
          </w:p>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（4）拟实施作业服务组织的植保无人机操作手必须取得该机型的操作资格证书。</w:t>
            </w:r>
          </w:p>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（6）参加招投标活动前三年内，在经营活动中没有重大违法记录。</w:t>
            </w:r>
          </w:p>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（7）在“信用中国”（www.creditchina.gov.cn）和中国政府采购网（www.ccgp.gov.cn）网站上未被列入失信被执行人、重大税收违法案件当事人名单以及政府采购严重违法失信行为记录名单。</w:t>
            </w:r>
          </w:p>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（8）本项目不接受联合体投标</w:t>
            </w:r>
            <w:r>
              <w:rPr>
                <w:rFonts w:hint="eastAsia" w:ascii="宋体" w:hAnsi="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672" w:type="dxa"/>
            <w:vAlign w:val="center"/>
          </w:tcPr>
          <w:p>
            <w:pPr>
              <w:pStyle w:val="47"/>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9767" w:type="dxa"/>
            <w:vAlign w:val="center"/>
          </w:tcPr>
          <w:p>
            <w:pPr>
              <w:pStyle w:val="47"/>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资格审查方式：资格后审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7"/>
              <w:kinsoku w:val="0"/>
              <w:overflowPunct w:val="0"/>
              <w:spacing w:before="73"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9767" w:type="dxa"/>
            <w:vAlign w:val="center"/>
          </w:tcPr>
          <w:p>
            <w:pPr>
              <w:pStyle w:val="47"/>
              <w:kinsoku w:val="0"/>
              <w:overflowPunct w:val="0"/>
              <w:spacing w:before="73"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投标语言：中文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7"/>
              <w:kinsoku w:val="0"/>
              <w:overflowPunct w:val="0"/>
              <w:spacing w:before="72"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9767" w:type="dxa"/>
            <w:vAlign w:val="center"/>
          </w:tcPr>
          <w:p>
            <w:pPr>
              <w:pStyle w:val="47"/>
              <w:kinsoku w:val="0"/>
              <w:overflowPunct w:val="0"/>
              <w:spacing w:before="7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r>
              <w:rPr>
                <w:rFonts w:hint="eastAsia" w:ascii="宋体" w:hAnsi="宋体" w:cs="宋体"/>
                <w:color w:val="auto"/>
                <w:sz w:val="24"/>
                <w:szCs w:val="24"/>
                <w:highlight w:val="none"/>
                <w:lang w:val="en-US" w:eastAsia="zh-CN"/>
              </w:rPr>
              <w:t>60</w:t>
            </w:r>
            <w:r>
              <w:rPr>
                <w:rFonts w:hint="eastAsia" w:ascii="宋体" w:hAnsi="宋体" w:eastAsia="宋体" w:cs="宋体"/>
                <w:color w:val="auto"/>
                <w:sz w:val="24"/>
                <w:szCs w:val="24"/>
                <w:highlight w:val="none"/>
              </w:rPr>
              <w:t>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7"/>
              <w:kinsoku w:val="0"/>
              <w:overflowPunct w:val="0"/>
              <w:spacing w:before="74"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9767" w:type="dxa"/>
            <w:vAlign w:val="center"/>
          </w:tcPr>
          <w:p>
            <w:pPr>
              <w:pStyle w:val="47"/>
              <w:kinsoku w:val="0"/>
              <w:overflowPunct w:val="0"/>
              <w:spacing w:before="74"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w:t>
            </w:r>
            <w:r>
              <w:rPr>
                <w:rFonts w:hint="eastAsia" w:ascii="宋体" w:hAnsi="宋体" w:cs="宋体"/>
                <w:color w:val="auto"/>
                <w:sz w:val="24"/>
                <w:szCs w:val="24"/>
                <w:highlight w:val="none"/>
                <w:lang w:val="en-US" w:eastAsia="zh-CN"/>
              </w:rPr>
              <w:t>2023</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16</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7"/>
              <w:kinsoku w:val="0"/>
              <w:overflowPunct w:val="0"/>
              <w:spacing w:before="73"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9767" w:type="dxa"/>
            <w:vAlign w:val="center"/>
          </w:tcPr>
          <w:p>
            <w:pPr>
              <w:pStyle w:val="47"/>
              <w:kinsoku w:val="0"/>
              <w:overflowPunct w:val="0"/>
              <w:spacing w:before="73"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是否退还磋商响应性文件：否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7"/>
              <w:kinsoku w:val="0"/>
              <w:overflowPunct w:val="0"/>
              <w:spacing w:before="72"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9767" w:type="dxa"/>
            <w:vAlign w:val="center"/>
          </w:tcPr>
          <w:p>
            <w:pPr>
              <w:pStyle w:val="47"/>
              <w:kinsoku w:val="0"/>
              <w:overflowPunct w:val="0"/>
              <w:spacing w:before="7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联合投标：本项目</w:t>
            </w:r>
            <w:r>
              <w:rPr>
                <w:rFonts w:hint="eastAsia" w:ascii="宋体" w:hAnsi="宋体" w:eastAsia="宋体" w:cs="宋体"/>
                <w:color w:val="auto"/>
                <w:sz w:val="24"/>
                <w:szCs w:val="24"/>
                <w:highlight w:val="none"/>
                <w:lang w:eastAsia="zh-CN"/>
              </w:rPr>
              <w:t>不</w:t>
            </w:r>
            <w:r>
              <w:rPr>
                <w:rFonts w:hint="eastAsia" w:ascii="宋体" w:hAnsi="宋体" w:eastAsia="宋体" w:cs="宋体"/>
                <w:color w:val="auto"/>
                <w:sz w:val="24"/>
                <w:szCs w:val="24"/>
                <w:highlight w:val="none"/>
              </w:rPr>
              <w:t>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7"/>
              <w:kinsoku w:val="0"/>
              <w:overflowPunct w:val="0"/>
              <w:spacing w:before="74"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9767" w:type="dxa"/>
            <w:vAlign w:val="center"/>
          </w:tcPr>
          <w:p>
            <w:pPr>
              <w:pStyle w:val="47"/>
              <w:kinsoku w:val="0"/>
              <w:overflowPunct w:val="0"/>
              <w:spacing w:before="74"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投标报价货币:人民币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7"/>
              <w:kinsoku w:val="0"/>
              <w:overflowPunct w:val="0"/>
              <w:spacing w:before="73"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9767" w:type="dxa"/>
            <w:vAlign w:val="center"/>
          </w:tcPr>
          <w:p>
            <w:pPr>
              <w:pStyle w:val="47"/>
              <w:kinsoku w:val="0"/>
              <w:overflowPunct w:val="0"/>
              <w:spacing w:before="73"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7"/>
              <w:kinsoku w:val="0"/>
              <w:overflowPunct w:val="0"/>
              <w:spacing w:before="72"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9767" w:type="dxa"/>
            <w:vAlign w:val="center"/>
          </w:tcPr>
          <w:p>
            <w:pPr>
              <w:pStyle w:val="47"/>
              <w:kinsoku w:val="0"/>
              <w:overflowPunct w:val="0"/>
              <w:spacing w:before="7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评标办法：综合评分法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1" w:hRule="atLeast"/>
          <w:jc w:val="center"/>
        </w:trPr>
        <w:tc>
          <w:tcPr>
            <w:tcW w:w="672" w:type="dxa"/>
            <w:vAlign w:val="center"/>
          </w:tcPr>
          <w:p>
            <w:pPr>
              <w:pStyle w:val="47"/>
              <w:kinsoku w:val="0"/>
              <w:overflowPunct w:val="0"/>
              <w:spacing w:before="201"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9767" w:type="dxa"/>
            <w:vAlign w:val="center"/>
          </w:tcPr>
          <w:p>
            <w:pPr>
              <w:pStyle w:val="47"/>
              <w:kinsoku w:val="0"/>
              <w:overflowPunct w:val="0"/>
              <w:spacing w:before="57"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磋商小组的组建：</w:t>
            </w:r>
          </w:p>
          <w:p>
            <w:pPr>
              <w:pStyle w:val="47"/>
              <w:kinsoku w:val="0"/>
              <w:overflowPunct w:val="0"/>
              <w:spacing w:before="1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磋商小组构成：共 3人，由技术、经济等方面的专家组成。</w:t>
            </w:r>
          </w:p>
          <w:p>
            <w:pPr>
              <w:pStyle w:val="47"/>
              <w:kinsoku w:val="0"/>
              <w:overflowPunct w:val="0"/>
              <w:spacing w:before="1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磋商小组确定方式：从专家库中随机抽取。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7"/>
              <w:kinsoku w:val="0"/>
              <w:overflowPunct w:val="0"/>
              <w:spacing w:before="72"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9767" w:type="dxa"/>
            <w:vAlign w:val="center"/>
          </w:tcPr>
          <w:p>
            <w:pPr>
              <w:pStyle w:val="47"/>
              <w:kinsoku w:val="0"/>
              <w:overflowPunct w:val="0"/>
              <w:spacing w:before="7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分包（转让）：不允许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7"/>
              <w:kinsoku w:val="0"/>
              <w:overflowPunct w:val="0"/>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9767" w:type="dxa"/>
            <w:vAlign w:val="center"/>
          </w:tcPr>
          <w:p>
            <w:pPr>
              <w:pStyle w:val="47"/>
              <w:kinsoku w:val="0"/>
              <w:overflowPunct w:val="0"/>
              <w:spacing w:before="55"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考察现场、磋商前答疑会：不组织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7"/>
              <w:kinsoku w:val="0"/>
              <w:overflowPunct w:val="0"/>
              <w:spacing w:before="73"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9767" w:type="dxa"/>
            <w:vAlign w:val="center"/>
          </w:tcPr>
          <w:p>
            <w:pPr>
              <w:pStyle w:val="47"/>
              <w:kinsoku w:val="0"/>
              <w:overflowPunct w:val="0"/>
              <w:spacing w:before="73"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构成竞争性磋商文件的其他文件：竞争性磋商文件的澄清、修改书及有关补充通知为竞争性磋商文件的有效组成部分。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7" w:hRule="atLeast"/>
          <w:jc w:val="center"/>
        </w:trPr>
        <w:tc>
          <w:tcPr>
            <w:tcW w:w="672" w:type="dxa"/>
            <w:vAlign w:val="center"/>
          </w:tcPr>
          <w:p>
            <w:pPr>
              <w:pStyle w:val="47"/>
              <w:kinsoku w:val="0"/>
              <w:overflowPunct w:val="0"/>
              <w:spacing w:before="73" w:line="300" w:lineRule="exact"/>
              <w:ind w:left="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9767" w:type="dxa"/>
            <w:vAlign w:val="center"/>
          </w:tcPr>
          <w:p>
            <w:pPr>
              <w:pStyle w:val="47"/>
              <w:kinsoku w:val="0"/>
              <w:overflowPunct w:val="0"/>
              <w:spacing w:before="73" w:line="300" w:lineRule="exact"/>
              <w:ind w:left="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1.领取文件同时要缴纳磋商保证金，磋商保证金</w:t>
            </w:r>
            <w:r>
              <w:rPr>
                <w:rFonts w:hint="eastAsia" w:ascii="宋体" w:hAnsi="宋体" w:cs="宋体"/>
                <w:color w:val="auto"/>
                <w:sz w:val="24"/>
                <w:szCs w:val="24"/>
                <w:highlight w:val="none"/>
                <w:lang w:val="en-US" w:eastAsia="zh-CN"/>
              </w:rPr>
              <w:t>10000元</w:t>
            </w:r>
            <w:r>
              <w:rPr>
                <w:rFonts w:hint="eastAsia" w:ascii="宋体" w:hAnsi="宋体" w:eastAsia="宋体" w:cs="宋体"/>
                <w:color w:val="auto"/>
                <w:sz w:val="24"/>
                <w:szCs w:val="24"/>
                <w:highlight w:val="none"/>
                <w:lang w:eastAsia="zh-CN"/>
              </w:rPr>
              <w:t>整；</w:t>
            </w:r>
          </w:p>
          <w:p>
            <w:pPr>
              <w:pStyle w:val="47"/>
              <w:kinsoku w:val="0"/>
              <w:overflowPunct w:val="0"/>
              <w:spacing w:before="73"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磋商保证金应当以支票、汇票、本票或者金融机构、担保机构出具的保函等非现金形式提交，若采用电汇或网银转账的方式，由潜在供应商单位基本账户汇至新疆国恩工程管理有限公司（开户行：新疆银行股份有限公司昌吉分行，开户行行号：</w:t>
            </w:r>
            <w:r>
              <w:rPr>
                <w:rFonts w:hint="eastAsia" w:ascii="宋体" w:hAnsi="宋体" w:eastAsia="宋体" w:cs="宋体"/>
                <w:color w:val="auto"/>
                <w:sz w:val="24"/>
                <w:szCs w:val="24"/>
                <w:highlight w:val="none"/>
                <w:lang w:val="en-US" w:eastAsia="zh-CN"/>
              </w:rPr>
              <w:t>313885080236</w:t>
            </w:r>
            <w:r>
              <w:rPr>
                <w:rFonts w:hint="eastAsia" w:ascii="宋体" w:hAnsi="宋体" w:eastAsia="宋体" w:cs="宋体"/>
                <w:color w:val="auto"/>
                <w:sz w:val="24"/>
                <w:szCs w:val="24"/>
                <w:highlight w:val="none"/>
                <w:lang w:eastAsia="zh-CN"/>
              </w:rPr>
              <w:t>、开户行账号：0805250000000358）。不得以现金和其他形式缴纳，供应商在缴纳磋商保证金时，需在进账凭证上明确资金用途和投标项目名称，并注明联系人及电话，以便查对核实。</w:t>
            </w:r>
            <w:r>
              <w:rPr>
                <w:rFonts w:hint="eastAsia" w:ascii="宋体" w:hAnsi="宋体" w:eastAsia="宋体" w:cs="宋体"/>
                <w:color w:val="auto"/>
                <w:sz w:val="24"/>
                <w:szCs w:val="24"/>
                <w:highlight w:val="none"/>
                <w:lang w:val="en-US" w:eastAsia="zh-CN"/>
              </w:rPr>
              <w:t>供应商应充分考虑资金到账时间，在规定的时限前自行办妥磋商保证金缴纳手续，磋商保证金的缴付时间以电汇凭证和网银对账单上的时间为准，超过缴纳的时限缴纳磋商保证金视为投标无效。磋商保证金的缴纳开始至结束时间（2023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月</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日10:00时－2023年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月</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日1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0时）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7"/>
              <w:kinsoku w:val="0"/>
              <w:overflowPunct w:val="0"/>
              <w:spacing w:before="73"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9767" w:type="dxa"/>
            <w:vAlign w:val="center"/>
          </w:tcPr>
          <w:p>
            <w:pPr>
              <w:pStyle w:val="47"/>
              <w:kinsoku w:val="0"/>
              <w:overflowPunct w:val="0"/>
              <w:spacing w:before="16" w:line="30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如供应商有下列情形之一的，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保证金不予退还：</w:t>
            </w:r>
          </w:p>
          <w:p>
            <w:pPr>
              <w:pStyle w:val="47"/>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供应商在提交响应文件截止时间后撤回响应文件的; </w:t>
            </w:r>
          </w:p>
          <w:p>
            <w:pPr>
              <w:pStyle w:val="47"/>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供应商在响应文件中提供虚假材料的; </w:t>
            </w:r>
          </w:p>
          <w:p>
            <w:pPr>
              <w:pStyle w:val="47"/>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除因不可抗力或磋商文件认可的情形以外，成交供应商不与采购人签订合同的; </w:t>
            </w:r>
          </w:p>
          <w:p>
            <w:pPr>
              <w:pStyle w:val="47"/>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供应商与采购人、其他供应商或者采购代理机构恶意串通的; </w:t>
            </w:r>
          </w:p>
          <w:p>
            <w:pPr>
              <w:pStyle w:val="47"/>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磋商文件规定的其他情形。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7"/>
              <w:kinsoku w:val="0"/>
              <w:overflowPunct w:val="0"/>
              <w:spacing w:before="73"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9767" w:type="dxa"/>
            <w:vAlign w:val="center"/>
          </w:tcPr>
          <w:p>
            <w:pPr>
              <w:pStyle w:val="47"/>
              <w:kinsoku w:val="0"/>
              <w:overflowPunct w:val="0"/>
              <w:spacing w:before="5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《磋商响应性文件》递交份数、时间及地点</w:t>
            </w:r>
          </w:p>
          <w:p>
            <w:pPr>
              <w:pStyle w:val="47"/>
              <w:kinsoku w:val="0"/>
              <w:overflowPunct w:val="0"/>
              <w:spacing w:line="300" w:lineRule="exact"/>
              <w:ind w:firstLine="460" w:firstLineChars="200"/>
              <w:jc w:val="both"/>
              <w:rPr>
                <w:rFonts w:hint="eastAsia" w:ascii="宋体" w:hAnsi="宋体" w:eastAsia="宋体" w:cs="宋体"/>
                <w:b/>
                <w:bCs/>
                <w:color w:val="auto"/>
                <w:sz w:val="24"/>
                <w:szCs w:val="24"/>
                <w:highlight w:val="none"/>
              </w:rPr>
            </w:pPr>
            <w:r>
              <w:rPr>
                <w:rFonts w:hint="eastAsia" w:ascii="宋体" w:hAnsi="宋体" w:eastAsia="宋体" w:cs="宋体"/>
                <w:color w:val="auto"/>
                <w:spacing w:val="-5"/>
                <w:sz w:val="24"/>
                <w:szCs w:val="24"/>
                <w:highlight w:val="none"/>
              </w:rPr>
              <w:t>1、</w:t>
            </w:r>
            <w:r>
              <w:rPr>
                <w:rFonts w:hint="eastAsia" w:ascii="宋体" w:hAnsi="宋体" w:eastAsia="宋体" w:cs="宋体"/>
                <w:b/>
                <w:bCs/>
                <w:color w:val="auto"/>
                <w:spacing w:val="-5"/>
                <w:sz w:val="24"/>
                <w:szCs w:val="24"/>
                <w:highlight w:val="none"/>
              </w:rPr>
              <w:t>份数：</w:t>
            </w:r>
            <w:r>
              <w:rPr>
                <w:rFonts w:hint="eastAsia" w:ascii="宋体" w:hAnsi="宋体" w:eastAsia="宋体" w:cs="宋体"/>
                <w:b/>
                <w:bCs/>
                <w:color w:val="auto"/>
                <w:spacing w:val="-4"/>
                <w:sz w:val="24"/>
                <w:szCs w:val="24"/>
                <w:highlight w:val="none"/>
              </w:rPr>
              <w:t>正本1</w:t>
            </w:r>
            <w:r>
              <w:rPr>
                <w:rFonts w:hint="eastAsia" w:ascii="宋体" w:hAnsi="宋体" w:eastAsia="宋体" w:cs="宋体"/>
                <w:b/>
                <w:bCs/>
                <w:color w:val="auto"/>
                <w:sz w:val="24"/>
                <w:szCs w:val="24"/>
                <w:highlight w:val="none"/>
              </w:rPr>
              <w:t>份,副本2份</w:t>
            </w:r>
            <w:r>
              <w:rPr>
                <w:rFonts w:hint="eastAsia" w:ascii="宋体" w:hAnsi="宋体" w:eastAsia="宋体" w:cs="宋体"/>
                <w:b/>
                <w:bCs/>
                <w:color w:val="auto"/>
                <w:spacing w:val="-3"/>
                <w:sz w:val="24"/>
                <w:szCs w:val="24"/>
                <w:highlight w:val="none"/>
              </w:rPr>
              <w:t>，</w:t>
            </w:r>
            <w:r>
              <w:rPr>
                <w:rFonts w:hint="eastAsia" w:ascii="宋体" w:hAnsi="宋体" w:cs="宋体"/>
                <w:b/>
                <w:bCs/>
                <w:color w:val="auto"/>
                <w:spacing w:val="-3"/>
                <w:sz w:val="24"/>
                <w:szCs w:val="24"/>
                <w:highlight w:val="none"/>
                <w:lang w:val="en-US" w:eastAsia="zh-CN"/>
              </w:rPr>
              <w:t>且需要在政采云上传电子版投标文件</w:t>
            </w:r>
            <w:r>
              <w:rPr>
                <w:rFonts w:hint="eastAsia" w:ascii="宋体" w:hAnsi="宋体" w:eastAsia="宋体" w:cs="宋体"/>
                <w:b/>
                <w:bCs/>
                <w:color w:val="auto"/>
                <w:sz w:val="24"/>
                <w:szCs w:val="24"/>
                <w:highlight w:val="none"/>
              </w:rPr>
              <w:t>。</w:t>
            </w:r>
          </w:p>
          <w:p>
            <w:pPr>
              <w:pStyle w:val="47"/>
              <w:kinsoku w:val="0"/>
              <w:overflowPunct w:val="0"/>
              <w:spacing w:before="16"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2、递交截止时间：</w:t>
            </w: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16</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（北京时间）</w:t>
            </w:r>
          </w:p>
          <w:p>
            <w:pPr>
              <w:pStyle w:val="47"/>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3、递交地点：</w:t>
            </w:r>
            <w:r>
              <w:rPr>
                <w:rFonts w:hint="eastAsia" w:ascii="宋体" w:hAnsi="宋体" w:eastAsia="宋体" w:cs="宋体"/>
                <w:color w:val="auto"/>
                <w:sz w:val="24"/>
                <w:szCs w:val="24"/>
                <w:highlight w:val="none"/>
                <w:lang w:val="en-US" w:eastAsia="zh-CN"/>
              </w:rPr>
              <w:t xml:space="preserve">新疆政府采购网政采云平台（www.zcygov.cn）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7"/>
              <w:kinsoku w:val="0"/>
              <w:overflowPunct w:val="0"/>
              <w:spacing w:before="73" w:line="3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3</w:t>
            </w:r>
          </w:p>
        </w:tc>
        <w:tc>
          <w:tcPr>
            <w:tcW w:w="9767" w:type="dxa"/>
            <w:vAlign w:val="center"/>
          </w:tcPr>
          <w:p>
            <w:pPr>
              <w:pStyle w:val="47"/>
              <w:kinsoku w:val="0"/>
              <w:overflowPunct w:val="0"/>
              <w:spacing w:line="30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开标时间及地点</w:t>
            </w:r>
          </w:p>
          <w:p>
            <w:pPr>
              <w:pStyle w:val="47"/>
              <w:kinsoku w:val="0"/>
              <w:overflowPunct w:val="0"/>
              <w:spacing w:line="30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w:t>
            </w: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16</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（北京时间）</w:t>
            </w:r>
          </w:p>
          <w:p>
            <w:pPr>
              <w:pStyle w:val="47"/>
              <w:kinsoku w:val="0"/>
              <w:overflowPunct w:val="0"/>
              <w:spacing w:line="300" w:lineRule="exact"/>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开标地点：</w:t>
            </w:r>
            <w:r>
              <w:rPr>
                <w:rFonts w:hint="eastAsia" w:ascii="宋体" w:hAnsi="宋体" w:eastAsia="宋体" w:cs="宋体"/>
                <w:color w:val="auto"/>
                <w:spacing w:val="-2"/>
                <w:sz w:val="24"/>
                <w:szCs w:val="24"/>
                <w:highlight w:val="none"/>
                <w:lang w:val="en-US" w:eastAsia="zh-CN"/>
              </w:rPr>
              <w:t xml:space="preserve">新疆政府采购网政采云平台（www.zcygov.cn）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4" w:hRule="atLeast"/>
          <w:jc w:val="center"/>
        </w:trPr>
        <w:tc>
          <w:tcPr>
            <w:tcW w:w="672" w:type="dxa"/>
            <w:vAlign w:val="center"/>
          </w:tcPr>
          <w:p>
            <w:pPr>
              <w:pStyle w:val="47"/>
              <w:kinsoku w:val="0"/>
              <w:overflowPunct w:val="0"/>
              <w:spacing w:before="73" w:line="3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w:t>
            </w:r>
          </w:p>
        </w:tc>
        <w:tc>
          <w:tcPr>
            <w:tcW w:w="9767" w:type="dxa"/>
            <w:vAlign w:val="center"/>
          </w:tcPr>
          <w:p>
            <w:pPr>
              <w:pStyle w:val="47"/>
              <w:kinsoku w:val="0"/>
              <w:overflowPunct w:val="0"/>
              <w:spacing w:line="300" w:lineRule="exact"/>
              <w:jc w:val="both"/>
              <w:rPr>
                <w:rFonts w:hint="eastAsia" w:ascii="宋体" w:hAnsi="宋体" w:eastAsia="宋体" w:cs="宋体"/>
                <w:color w:val="auto"/>
                <w:spacing w:val="-2"/>
                <w:sz w:val="24"/>
                <w:szCs w:val="24"/>
                <w:highlight w:val="none"/>
              </w:rPr>
            </w:pPr>
            <w:r>
              <w:rPr>
                <w:rFonts w:hint="eastAsia" w:ascii="宋体" w:hAnsi="宋体" w:eastAsia="宋体" w:cs="宋体"/>
                <w:b/>
                <w:bCs/>
                <w:color w:val="auto"/>
                <w:sz w:val="24"/>
                <w:szCs w:val="24"/>
                <w:highlight w:val="none"/>
                <w:lang w:eastAsia="zh-CN"/>
              </w:rPr>
              <w:t>采购</w:t>
            </w:r>
            <w:r>
              <w:rPr>
                <w:rFonts w:hint="eastAsia" w:ascii="宋体" w:hAnsi="宋体" w:eastAsia="宋体" w:cs="宋体"/>
                <w:b/>
                <w:bCs/>
                <w:color w:val="auto"/>
                <w:sz w:val="24"/>
                <w:szCs w:val="24"/>
                <w:highlight w:val="none"/>
              </w:rPr>
              <w:t>代理服务费：</w:t>
            </w:r>
            <w:r>
              <w:rPr>
                <w:rFonts w:hint="eastAsia" w:ascii="宋体" w:hAnsi="宋体" w:eastAsia="宋体" w:cs="宋体"/>
                <w:color w:val="auto"/>
                <w:spacing w:val="-2"/>
                <w:sz w:val="24"/>
                <w:szCs w:val="24"/>
                <w:highlight w:val="none"/>
              </w:rPr>
              <w:t>本项目的采购代理服务费：由成交单位在领取成交通知书时一次性向采购代理机构与采购人签订的合同金额为准支付采购代理服务费。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672" w:type="dxa"/>
            <w:vAlign w:val="center"/>
          </w:tcPr>
          <w:p>
            <w:pPr>
              <w:pStyle w:val="47"/>
              <w:kinsoku w:val="0"/>
              <w:overflowPunct w:val="0"/>
              <w:spacing w:before="73" w:line="300" w:lineRule="exact"/>
              <w:jc w:val="center"/>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25</w:t>
            </w:r>
          </w:p>
        </w:tc>
        <w:tc>
          <w:tcPr>
            <w:tcW w:w="9767" w:type="dxa"/>
            <w:vAlign w:val="center"/>
          </w:tcPr>
          <w:p>
            <w:pPr>
              <w:pStyle w:val="47"/>
              <w:kinsoku w:val="0"/>
              <w:overflowPunct w:val="0"/>
              <w:spacing w:line="300" w:lineRule="exact"/>
              <w:jc w:val="both"/>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付款方式：甲乙双方合同约定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672" w:type="dxa"/>
            <w:vAlign w:val="center"/>
          </w:tcPr>
          <w:p>
            <w:pPr>
              <w:pStyle w:val="47"/>
              <w:kinsoku w:val="0"/>
              <w:overflowPunct w:val="0"/>
              <w:spacing w:before="73" w:line="300" w:lineRule="exact"/>
              <w:jc w:val="center"/>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26</w:t>
            </w:r>
          </w:p>
        </w:tc>
        <w:tc>
          <w:tcPr>
            <w:tcW w:w="9767" w:type="dxa"/>
            <w:vAlign w:val="center"/>
          </w:tcPr>
          <w:p>
            <w:pPr>
              <w:pStyle w:val="47"/>
              <w:kinsoku w:val="0"/>
              <w:overflowPunct w:val="0"/>
              <w:spacing w:line="300" w:lineRule="exact"/>
              <w:jc w:val="both"/>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本项目所属行业为其他未列明行业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672" w:type="dxa"/>
            <w:vAlign w:val="center"/>
          </w:tcPr>
          <w:p>
            <w:pPr>
              <w:pStyle w:val="47"/>
              <w:kinsoku w:val="0"/>
              <w:overflowPunct w:val="0"/>
              <w:spacing w:before="73" w:line="300" w:lineRule="exact"/>
              <w:jc w:val="center"/>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27</w:t>
            </w:r>
          </w:p>
        </w:tc>
        <w:tc>
          <w:tcPr>
            <w:tcW w:w="9767" w:type="dxa"/>
            <w:vAlign w:val="center"/>
          </w:tcPr>
          <w:p>
            <w:pPr>
              <w:pStyle w:val="47"/>
              <w:kinsoku w:val="0"/>
              <w:overflowPunct w:val="0"/>
              <w:spacing w:line="300" w:lineRule="exact"/>
              <w:jc w:val="both"/>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成交供应商须在投标结束后5日内按磋商文件要求将纸质版投标文件三份（一正两副）递交至新疆国恩工程管理有限公司（昌吉市青年南路73号青年壹号大厦A座13楼1319室） ，纸质版投标文件内容与电子投标文件完全一致，缺一不可。</w:t>
            </w:r>
          </w:p>
        </w:tc>
      </w:tr>
    </w:tbl>
    <w:p>
      <w:pPr>
        <w:pStyle w:val="5"/>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42" w:name="_Toc503548050"/>
      <w:r>
        <w:rPr>
          <w:rFonts w:hint="eastAsia" w:ascii="宋体" w:hAnsi="宋体" w:eastAsia="宋体" w:cs="宋体"/>
          <w:color w:val="auto"/>
          <w:sz w:val="24"/>
          <w:szCs w:val="24"/>
          <w:highlight w:val="none"/>
        </w:rPr>
        <w:t>（二）供应商须知</w:t>
      </w:r>
      <w:bookmarkEnd w:id="42"/>
    </w:p>
    <w:p>
      <w:pPr>
        <w:pStyle w:val="13"/>
        <w:kinsoku w:val="0"/>
        <w:overflowPunct w:val="0"/>
        <w:spacing w:before="47" w:line="360" w:lineRule="auto"/>
        <w:ind w:right="504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1、综合说明</w:t>
      </w:r>
    </w:p>
    <w:p>
      <w:pPr>
        <w:pStyle w:val="13"/>
        <w:kinsoku w:val="0"/>
        <w:overflowPunct w:val="0"/>
        <w:spacing w:before="130" w:line="360" w:lineRule="auto"/>
        <w:ind w:left="0"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项目按照《中华人民共和国政府采购法》、《中华人民共和国政府采购法实施条例》、《政府采购货物和服务招标投标管理办法》、《政府采购竞争性磋商采购方式管理暂行办法》、《财政部关于政府采购竞争性磋商采购方式管理暂行办法有关问题的补充通知》及相关法规，已办理政府采购相关手续，并得到行业主管部门批准，现通过招标来择优选定为本项目提供服务的供应商。本竞争性磋商文件包括本文所列内容及按本须知发出的全部和补充资料。供应商应认真阅读本竞争性磋商文件中所有的事项、格式、条款、技术规范等实质性的条件和要求，并熟悉本招标项目的全部内容及与履行合同有关的全部内容，熟悉竞争性磋商文件的格式、条件和范围。供应商没有按照竞争性磋商文件的要求提交相关资料，或者供应商没有对竞争性磋商文件相关内容都做出实质性响应是供应商的风险，并可能导致其投标无效，其风险由投标供应商自行承担。</w:t>
      </w:r>
    </w:p>
    <w:p>
      <w:pPr>
        <w:pStyle w:val="13"/>
        <w:kinsoku w:val="0"/>
        <w:overflowPunct w:val="0"/>
        <w:spacing w:before="47" w:line="360" w:lineRule="auto"/>
        <w:ind w:right="504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2.适用范围</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本竞争性磋商文件仅适用于本次磋商所叙述的磋商项目。</w:t>
      </w:r>
    </w:p>
    <w:p>
      <w:pPr>
        <w:pStyle w:val="13"/>
        <w:kinsoku w:val="0"/>
        <w:overflowPunct w:val="0"/>
        <w:spacing w:before="38"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3.定义</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3.1 “政府采购当事人”系指在政府采购活动中享有权利和承担义务的各类主体，包括采购人、供应商和</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3.2 “采购人”系指</w:t>
      </w:r>
      <w:r>
        <w:rPr>
          <w:rFonts w:hint="eastAsia" w:ascii="宋体" w:hAnsi="宋体" w:eastAsia="宋体" w:cs="宋体"/>
          <w:color w:val="auto"/>
          <w:spacing w:val="4"/>
          <w:sz w:val="24"/>
          <w:szCs w:val="24"/>
          <w:highlight w:val="none"/>
          <w:lang w:eastAsia="zh-CN"/>
        </w:rPr>
        <w:t>阜康市农业技术推广中心</w:t>
      </w:r>
      <w:r>
        <w:rPr>
          <w:rFonts w:hint="eastAsia" w:ascii="宋体" w:hAnsi="宋体" w:eastAsia="宋体" w:cs="宋体"/>
          <w:color w:val="auto"/>
          <w:spacing w:val="4"/>
          <w:sz w:val="24"/>
          <w:szCs w:val="24"/>
          <w:highlight w:val="none"/>
        </w:rPr>
        <w:t>；</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3.3 “</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”系指</w:t>
      </w:r>
      <w:r>
        <w:rPr>
          <w:rFonts w:hint="eastAsia" w:ascii="宋体" w:hAnsi="宋体" w:eastAsia="宋体" w:cs="宋体"/>
          <w:color w:val="auto"/>
          <w:spacing w:val="4"/>
          <w:sz w:val="24"/>
          <w:szCs w:val="24"/>
          <w:highlight w:val="none"/>
          <w:lang w:eastAsia="zh-CN"/>
        </w:rPr>
        <w:t>新疆国恩工程管理有限公司</w:t>
      </w:r>
      <w:r>
        <w:rPr>
          <w:rFonts w:hint="eastAsia" w:ascii="宋体" w:hAnsi="宋体" w:eastAsia="宋体" w:cs="宋体"/>
          <w:color w:val="auto"/>
          <w:spacing w:val="4"/>
          <w:sz w:val="24"/>
          <w:szCs w:val="24"/>
          <w:highlight w:val="none"/>
        </w:rPr>
        <w:t>；</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3.4 “供应商、磋商单位、响应人”系指符合本磋商项目资质要求，参加磋商竞争的法人机构或其他组织。</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3.5 “竞争性磋商文件”系指由采购人和</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发出的文本、文件，包括全部章节和附件及答疑会议纪要。</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3.6 “磋商响应性文件”系指供应商根据本《竞争性磋商文件》向采购人提交的全部文件。</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3.7 “采购文件”系指包括采购活动的记录、采购预算、竞争性磋商文件、磋商响应性文件、评标标准、评估报告、定标文件、合同文本、验收证明、质疑答复、投诉处理决定及其他有关文件、资料。</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3.8 “书面形式”系指任何手写、打印或印刷的各种函件，不包括电传、电报、传真、电子邮件。</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3.9 “货物”系指供应商中标后根据竞争性磋商文件和合同的规定须向采购人提供的各种形态和种类的货物。</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3.10“服务”系指供应商中标后根据竞争性磋商文件和合同的规定承担有关的服务。</w:t>
      </w:r>
    </w:p>
    <w:p>
      <w:pPr>
        <w:pStyle w:val="13"/>
        <w:kinsoku w:val="0"/>
        <w:overflowPunct w:val="0"/>
        <w:spacing w:before="38"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4.合格的供应商</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4.1 具备“供应商须知前附表”第六款的基本条件；</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w:t>
      </w:r>
      <w:r>
        <w:rPr>
          <w:rFonts w:hint="eastAsia" w:ascii="宋体" w:hAnsi="宋体" w:eastAsia="宋体" w:cs="宋体"/>
          <w:color w:val="auto"/>
          <w:spacing w:val="4"/>
          <w:sz w:val="24"/>
          <w:szCs w:val="24"/>
          <w:highlight w:val="none"/>
          <w:lang w:val="en-US" w:eastAsia="zh-CN"/>
        </w:rPr>
        <w:t>2</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4"/>
          <w:sz w:val="24"/>
          <w:szCs w:val="24"/>
          <w:highlight w:val="none"/>
          <w:lang w:eastAsia="zh-CN"/>
        </w:rPr>
        <w:t>单位负责人为同一人或者存在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宋体" w:hAnsi="宋体" w:eastAsia="宋体" w:cs="宋体"/>
          <w:color w:val="auto"/>
          <w:spacing w:val="4"/>
          <w:sz w:val="24"/>
          <w:szCs w:val="24"/>
          <w:highlight w:val="none"/>
        </w:rPr>
        <w:t>；</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w:t>
      </w:r>
      <w:r>
        <w:rPr>
          <w:rFonts w:hint="eastAsia" w:ascii="宋体" w:hAnsi="宋体" w:eastAsia="宋体" w:cs="宋体"/>
          <w:color w:val="auto"/>
          <w:spacing w:val="4"/>
          <w:sz w:val="24"/>
          <w:szCs w:val="24"/>
          <w:highlight w:val="none"/>
          <w:lang w:val="en-US" w:eastAsia="zh-CN"/>
        </w:rPr>
        <w:t>3</w:t>
      </w:r>
      <w:r>
        <w:rPr>
          <w:rFonts w:hint="eastAsia" w:ascii="宋体" w:hAnsi="宋体" w:eastAsia="宋体" w:cs="宋体"/>
          <w:color w:val="auto"/>
          <w:spacing w:val="4"/>
          <w:sz w:val="24"/>
          <w:szCs w:val="24"/>
          <w:highlight w:val="none"/>
        </w:rPr>
        <w:t>遵守国家有关的法律、法规和条例及《竞争性磋商文件》的规定。</w:t>
      </w:r>
    </w:p>
    <w:p>
      <w:pPr>
        <w:pStyle w:val="13"/>
        <w:kinsoku w:val="0"/>
        <w:overflowPunct w:val="0"/>
        <w:spacing w:before="151"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5.费用承担</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供应商应承担与招标代理活动有关的一切费用。不论招标的结果如何，</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和采购人在任何情况下均无义务和责任承担这些费用。</w:t>
      </w:r>
    </w:p>
    <w:p>
      <w:pPr>
        <w:pStyle w:val="13"/>
        <w:kinsoku w:val="0"/>
        <w:overflowPunct w:val="0"/>
        <w:spacing w:before="38"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eastAsia="zh-CN"/>
        </w:rPr>
        <w:t>采购</w:t>
      </w:r>
      <w:r>
        <w:rPr>
          <w:rFonts w:hint="eastAsia" w:ascii="宋体" w:hAnsi="宋体" w:eastAsia="宋体" w:cs="宋体"/>
          <w:b/>
          <w:bCs/>
          <w:color w:val="auto"/>
          <w:sz w:val="24"/>
          <w:szCs w:val="24"/>
          <w:highlight w:val="none"/>
        </w:rPr>
        <w:t>代理服务费</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bCs/>
          <w:color w:val="auto"/>
          <w:sz w:val="24"/>
          <w:szCs w:val="24"/>
          <w:highlight w:val="none"/>
        </w:rPr>
        <w:t>成交供应商</w:t>
      </w:r>
      <w:r>
        <w:rPr>
          <w:rFonts w:hint="eastAsia" w:ascii="宋体" w:hAnsi="宋体" w:eastAsia="宋体" w:cs="宋体"/>
          <w:color w:val="auto"/>
          <w:spacing w:val="4"/>
          <w:sz w:val="24"/>
          <w:szCs w:val="24"/>
          <w:highlight w:val="none"/>
        </w:rPr>
        <w:t>应承担所有与准备和参加磋商有关的费用。不论磋商的结果如何，</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和采购人均无义务和责任承担这些费用；</w:t>
      </w:r>
    </w:p>
    <w:p>
      <w:pPr>
        <w:pStyle w:val="13"/>
        <w:kinsoku w:val="0"/>
        <w:overflowPunct w:val="0"/>
        <w:spacing w:before="130" w:line="360" w:lineRule="auto"/>
        <w:ind w:right="7"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本项目的采购代理服务费：由成交单位在领取成交通知书时一次性向采购代理机构与采购人签订的合同金额为准支付采购代理服务费。</w:t>
      </w:r>
    </w:p>
    <w:p>
      <w:pPr>
        <w:pStyle w:val="13"/>
        <w:kinsoku w:val="0"/>
        <w:overflowPunct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7.</w:t>
      </w:r>
      <w:r>
        <w:rPr>
          <w:rFonts w:hint="eastAsia" w:ascii="宋体" w:hAnsi="宋体" w:eastAsia="宋体" w:cs="宋体"/>
          <w:b/>
          <w:bCs/>
          <w:color w:val="auto"/>
          <w:sz w:val="24"/>
          <w:szCs w:val="24"/>
          <w:highlight w:val="none"/>
        </w:rPr>
        <w:t>踏勘现场和答疑会</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不组织</w:t>
      </w:r>
    </w:p>
    <w:p>
      <w:pPr>
        <w:pStyle w:val="13"/>
        <w:kinsoku w:val="0"/>
        <w:overflowPunct w:val="0"/>
        <w:spacing w:before="151" w:line="360" w:lineRule="auto"/>
        <w:ind w:right="963"/>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8．保密</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参与</w:t>
      </w:r>
      <w:r>
        <w:rPr>
          <w:rFonts w:hint="eastAsia" w:ascii="宋体" w:hAnsi="宋体" w:eastAsia="宋体" w:cs="宋体"/>
          <w:color w:val="auto"/>
          <w:spacing w:val="4"/>
          <w:sz w:val="24"/>
          <w:szCs w:val="24"/>
          <w:highlight w:val="none"/>
          <w:lang w:eastAsia="zh-CN"/>
        </w:rPr>
        <w:t>采购</w:t>
      </w:r>
      <w:r>
        <w:rPr>
          <w:rFonts w:hint="eastAsia" w:ascii="宋体" w:hAnsi="宋体" w:eastAsia="宋体" w:cs="宋体"/>
          <w:color w:val="auto"/>
          <w:spacing w:val="4"/>
          <w:sz w:val="24"/>
          <w:szCs w:val="24"/>
          <w:highlight w:val="none"/>
        </w:rPr>
        <w:t>活动的各方应对竞争性磋商文件和磋商响应性文件中的商业和技术等秘密保密，违者应对由此造成的后果承担法律责任。</w:t>
      </w:r>
    </w:p>
    <w:p>
      <w:pPr>
        <w:pStyle w:val="5"/>
        <w:spacing w:line="360" w:lineRule="auto"/>
        <w:rPr>
          <w:rFonts w:hint="eastAsia" w:ascii="宋体" w:hAnsi="宋体" w:eastAsia="宋体" w:cs="宋体"/>
          <w:color w:val="auto"/>
          <w:sz w:val="24"/>
          <w:szCs w:val="24"/>
          <w:highlight w:val="none"/>
        </w:rPr>
      </w:pPr>
      <w:bookmarkStart w:id="43" w:name="_Toc503548051"/>
      <w:r>
        <w:rPr>
          <w:rFonts w:hint="eastAsia" w:ascii="宋体" w:hAnsi="宋体" w:eastAsia="宋体" w:cs="宋体"/>
          <w:color w:val="auto"/>
          <w:sz w:val="24"/>
          <w:szCs w:val="24"/>
          <w:highlight w:val="none"/>
        </w:rPr>
        <w:t>（三）《竞争性磋商文件》</w:t>
      </w:r>
      <w:bookmarkEnd w:id="43"/>
    </w:p>
    <w:p>
      <w:pPr>
        <w:pStyle w:val="13"/>
        <w:kinsoku w:val="0"/>
        <w:overflowPunct w:val="0"/>
        <w:spacing w:before="122" w:line="360" w:lineRule="auto"/>
        <w:ind w:left="598" w:hanging="480"/>
        <w:rPr>
          <w:rFonts w:hint="eastAsia" w:ascii="宋体" w:hAnsi="宋体" w:eastAsia="宋体" w:cs="宋体"/>
          <w:b/>
          <w:bCs/>
          <w:color w:val="auto"/>
          <w:spacing w:val="27"/>
          <w:w w:val="99"/>
          <w:sz w:val="24"/>
          <w:szCs w:val="24"/>
          <w:highlight w:val="none"/>
        </w:rPr>
      </w:pPr>
      <w:r>
        <w:rPr>
          <w:rFonts w:hint="eastAsia" w:ascii="宋体" w:hAnsi="宋体" w:eastAsia="宋体" w:cs="宋体"/>
          <w:b/>
          <w:bCs/>
          <w:color w:val="auto"/>
          <w:sz w:val="24"/>
          <w:szCs w:val="24"/>
          <w:highlight w:val="none"/>
        </w:rPr>
        <w:t>1.《竞争性磋商文件》的组成</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竞争性文件用以阐明招标项目所需的资质、技术、服务及报价等要求、招标投标程序、有关规定和注意事项以及合同主要条款等。本竞争性磋商文件包括以下内容,但不限于这些内容：</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4"/>
          <w:sz w:val="24"/>
          <w:szCs w:val="24"/>
          <w:highlight w:val="none"/>
          <w:lang w:eastAsia="zh-CN"/>
        </w:rPr>
        <w:t>竞争性磋商</w:t>
      </w:r>
      <w:r>
        <w:rPr>
          <w:rFonts w:hint="eastAsia" w:ascii="宋体" w:hAnsi="宋体" w:eastAsia="宋体" w:cs="宋体"/>
          <w:color w:val="auto"/>
          <w:spacing w:val="4"/>
          <w:sz w:val="24"/>
          <w:szCs w:val="24"/>
          <w:highlight w:val="none"/>
        </w:rPr>
        <w:t>公告</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2）供应商须知及前附表</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3）评标办法</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4）磋商内容</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bookmarkStart w:id="44" w:name="（四）《磋商响应性文件》的编制"/>
      <w:bookmarkEnd w:id="44"/>
      <w:bookmarkStart w:id="45" w:name="bookmark5"/>
      <w:bookmarkEnd w:id="45"/>
      <w:r>
        <w:rPr>
          <w:rFonts w:hint="eastAsia" w:ascii="宋体" w:hAnsi="宋体" w:eastAsia="宋体" w:cs="宋体"/>
          <w:color w:val="auto"/>
          <w:spacing w:val="4"/>
          <w:sz w:val="24"/>
          <w:szCs w:val="24"/>
          <w:highlight w:val="none"/>
        </w:rPr>
        <w:t>5）合同条款及合同格式</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6）《磋商响应性文件》格式</w:t>
      </w:r>
    </w:p>
    <w:p>
      <w:pPr>
        <w:pStyle w:val="13"/>
        <w:kinsoku w:val="0"/>
        <w:overflowPunct w:val="0"/>
        <w:spacing w:before="130" w:line="360" w:lineRule="auto"/>
        <w:ind w:right="7" w:firstLine="48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2、采购文件的澄清和修改</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b/>
          <w:bCs/>
          <w:color w:val="auto"/>
          <w:sz w:val="24"/>
          <w:szCs w:val="24"/>
          <w:highlight w:val="none"/>
        </w:rPr>
        <w:t>2.1</w:t>
      </w:r>
      <w:r>
        <w:rPr>
          <w:rFonts w:hint="eastAsia" w:ascii="宋体" w:hAnsi="宋体" w:eastAsia="宋体" w:cs="宋体"/>
          <w:color w:val="auto"/>
          <w:spacing w:val="4"/>
          <w:sz w:val="24"/>
          <w:szCs w:val="24"/>
          <w:highlight w:val="none"/>
        </w:rPr>
        <w:t>提交首次响应文件截止之日前，采购人、 采购代理机构或者磋商小组可以对已发出的磋商文件进行必要的澄清或者修改，澄清或者修改的内容作为磋商文件的组成部分。 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2.2采购人发出的澄清和修改文件是采购文件的组成部分，对所有供应商有约束力。如果多份澄清和修改文件对同一事项表述不一致时，以最后时间发出的澄清和修改文件为准。</w:t>
      </w:r>
    </w:p>
    <w:p>
      <w:pPr>
        <w:pStyle w:val="5"/>
        <w:spacing w:line="360" w:lineRule="auto"/>
        <w:rPr>
          <w:rFonts w:hint="eastAsia" w:ascii="宋体" w:hAnsi="宋体" w:eastAsia="宋体" w:cs="宋体"/>
          <w:color w:val="auto"/>
          <w:sz w:val="24"/>
          <w:szCs w:val="24"/>
          <w:highlight w:val="none"/>
        </w:rPr>
      </w:pPr>
      <w:bookmarkStart w:id="46" w:name="_Toc503548052"/>
      <w:r>
        <w:rPr>
          <w:rFonts w:hint="eastAsia" w:ascii="宋体" w:hAnsi="宋体" w:eastAsia="宋体" w:cs="宋体"/>
          <w:color w:val="auto"/>
          <w:sz w:val="24"/>
          <w:szCs w:val="24"/>
          <w:highlight w:val="none"/>
        </w:rPr>
        <w:t>（四）《磋商响应性文件》的编制</w:t>
      </w:r>
      <w:bookmarkEnd w:id="46"/>
    </w:p>
    <w:p>
      <w:pPr>
        <w:pStyle w:val="13"/>
        <w:kinsoku w:val="0"/>
        <w:overflowPunct w:val="0"/>
        <w:spacing w:before="124"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w:t>
      </w:r>
      <w:r>
        <w:rPr>
          <w:rFonts w:hint="eastAsia" w:ascii="宋体" w:hAnsi="宋体" w:eastAsia="宋体" w:cs="宋体"/>
          <w:b/>
          <w:bCs/>
          <w:color w:val="auto"/>
          <w:sz w:val="24"/>
          <w:szCs w:val="24"/>
          <w:highlight w:val="none"/>
        </w:rPr>
        <w:t>《磋商响应性文件》编制要求</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1.1 供应商应仔细阅读和充分理解《竞争性磋商文件》的所有内容，并按照《竞争性磋商文件》的“磋商响应性文件格式”规定及要求内容的格式提交完整的《磋商响应性文件》。磋商响应性文件应使用中文、编排有序，并按要求编制文件目录和页码，准确标明文件内容所在位置。供应商没有对竞争性磋商文件全面做出实质性响应是供应商的风险。没有按照竞争性磋商文件要求作出实质性响应的不利后果由供应商自行承担。</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1.2 磋商响应性文件应字迹清楚，内容齐全，不得涂改和增删。如有修改错漏处，必须由供应商法定代表人或其授权代表签字</w:t>
      </w:r>
      <w:r>
        <w:rPr>
          <w:rFonts w:hint="eastAsia" w:ascii="宋体" w:hAnsi="宋体" w:eastAsia="宋体" w:cs="宋体"/>
          <w:color w:val="auto"/>
          <w:spacing w:val="4"/>
          <w:sz w:val="24"/>
          <w:szCs w:val="24"/>
          <w:highlight w:val="none"/>
          <w:lang w:val="en-US" w:eastAsia="zh-CN"/>
        </w:rPr>
        <w:t>或盖章</w:t>
      </w:r>
      <w:r>
        <w:rPr>
          <w:rFonts w:hint="eastAsia" w:ascii="宋体" w:hAnsi="宋体" w:eastAsia="宋体" w:cs="宋体"/>
          <w:color w:val="auto"/>
          <w:spacing w:val="4"/>
          <w:sz w:val="24"/>
          <w:szCs w:val="24"/>
          <w:highlight w:val="none"/>
        </w:rPr>
        <w:t>。资格证明材料的复印件应是清晰可辨并加盖供应商鲜章。</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1.3 磋商响应性文件所提供的全部资料必须真实可靠。若磋商响应性文件填报的内容资料不详，或提供了虚假资料，其磋商响应性文件为无效磋商响应性文件。</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1.4 磋商响应性文件应严格按照竞争性磋商文件格式的要求提交，并按规定的统一格式逐项填写，不准有空项；无相应内容可填的项应填写“无”、“没有相应指标”等明确的回答文字。</w:t>
      </w:r>
    </w:p>
    <w:p>
      <w:pPr>
        <w:pStyle w:val="13"/>
        <w:kinsoku w:val="0"/>
        <w:overflowPunct w:val="0"/>
        <w:spacing w:before="35"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投标语言：</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2.1 专用术语外，与</w:t>
      </w:r>
      <w:r>
        <w:rPr>
          <w:rFonts w:hint="eastAsia" w:ascii="宋体" w:hAnsi="宋体" w:eastAsia="宋体" w:cs="宋体"/>
          <w:color w:val="auto"/>
          <w:spacing w:val="4"/>
          <w:sz w:val="24"/>
          <w:szCs w:val="24"/>
          <w:highlight w:val="none"/>
          <w:lang w:eastAsia="zh-CN"/>
        </w:rPr>
        <w:t>采购活动</w:t>
      </w:r>
      <w:r>
        <w:rPr>
          <w:rFonts w:hint="eastAsia" w:ascii="宋体" w:hAnsi="宋体" w:eastAsia="宋体" w:cs="宋体"/>
          <w:color w:val="auto"/>
          <w:spacing w:val="4"/>
          <w:sz w:val="24"/>
          <w:szCs w:val="24"/>
          <w:highlight w:val="none"/>
        </w:rPr>
        <w:t>有关的磋商响应性文件、投标交换的文件和往来信件应均使用中文，必要时专用术语应附有中文注释。</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2.2 磋商响应性文件中如附有外文资料，必须逐一对应翻译成中文并加盖供应商公章后附在相关外文资料后面，否则，供应商的磋商响应性文件将作为无效投标处理。</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2.3 翻译的中文资料与外文资料如果出现差异和矛盾时，以中文为准。但不能故意错误翻译，否则供应商的磋商响应性文件将作为无效投标处理。</w:t>
      </w:r>
    </w:p>
    <w:p>
      <w:pPr>
        <w:pStyle w:val="13"/>
        <w:kinsoku w:val="0"/>
        <w:overflowPunct w:val="0"/>
        <w:spacing w:before="34" w:line="360" w:lineRule="auto"/>
        <w:ind w:left="0" w:right="50"/>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rPr>
        <w:t>3.计量单位：</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除工程规范中另有规定外，磋商响应性文件使用的度量衡单位，均应使用中华人民共和国法定计量单位。</w:t>
      </w:r>
    </w:p>
    <w:p>
      <w:pPr>
        <w:pStyle w:val="13"/>
        <w:kinsoku w:val="0"/>
        <w:overflowPunct w:val="0"/>
        <w:spacing w:before="37"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4.投标货币：</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本次招标项目的投标均以人民币报价。</w:t>
      </w:r>
    </w:p>
    <w:p>
      <w:pPr>
        <w:pStyle w:val="13"/>
        <w:kinsoku w:val="0"/>
        <w:overflowPunct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5.联合投标：</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本项目</w:t>
      </w:r>
      <w:r>
        <w:rPr>
          <w:rFonts w:hint="eastAsia" w:ascii="宋体" w:hAnsi="宋体" w:eastAsia="宋体" w:cs="宋体"/>
          <w:color w:val="auto"/>
          <w:spacing w:val="4"/>
          <w:sz w:val="24"/>
          <w:szCs w:val="24"/>
          <w:highlight w:val="none"/>
          <w:lang w:eastAsia="zh-CN"/>
        </w:rPr>
        <w:t>不</w:t>
      </w:r>
      <w:r>
        <w:rPr>
          <w:rFonts w:hint="eastAsia" w:ascii="宋体" w:hAnsi="宋体" w:eastAsia="宋体" w:cs="宋体"/>
          <w:color w:val="auto"/>
          <w:spacing w:val="4"/>
          <w:sz w:val="24"/>
          <w:szCs w:val="24"/>
          <w:highlight w:val="none"/>
        </w:rPr>
        <w:t>接受联合体投标。</w:t>
      </w:r>
    </w:p>
    <w:p>
      <w:pPr>
        <w:pStyle w:val="13"/>
        <w:kinsoku w:val="0"/>
        <w:overflowPunct w:val="0"/>
        <w:spacing w:before="151"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6.知识产权</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6.1 供应商应保证在本项目使用的任何技术成果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6.2 采购人享有本项目实施过程中产生的知识成果及知识产权。</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6.3 供应商如欲在项目实施过程中采用自有知识成果，需在磋商响应性文件中声明，并提供相关知识产权证明文件。使用该知识成果后，供应商需提供开发接口和开发手册等技术文档，并承诺提供无限期技术支持，采购人享有永久使用权。</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6.4 如采用供应商所不拥有的知识产权，则在投标报价中必须包括合法获取该知识产权的相关费用。</w:t>
      </w:r>
    </w:p>
    <w:p>
      <w:pPr>
        <w:pStyle w:val="13"/>
        <w:kinsoku w:val="0"/>
        <w:overflowPunct w:val="0"/>
        <w:spacing w:before="26"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7.《磋商响应性文件》的组成</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《磋商响应性文件》应由商务文件部分（包括资格证明文件）、技术文件部分（包括技术响应、服务方案等）、投标报价及其它部分组成，所有复印件须加盖公章。按如下顺序编制：</w:t>
      </w:r>
    </w:p>
    <w:p>
      <w:pPr>
        <w:pStyle w:val="13"/>
        <w:kinsoku w:val="0"/>
        <w:overflowPunct w:val="0"/>
        <w:spacing w:before="130" w:line="360" w:lineRule="auto"/>
        <w:ind w:right="7" w:firstLine="480"/>
        <w:rPr>
          <w:rFonts w:hint="eastAsia" w:ascii="宋体" w:hAnsi="宋体" w:eastAsia="宋体" w:cs="宋体"/>
          <w:b/>
          <w:color w:val="auto"/>
          <w:spacing w:val="4"/>
          <w:sz w:val="24"/>
          <w:szCs w:val="24"/>
          <w:highlight w:val="none"/>
        </w:rPr>
      </w:pPr>
      <w:r>
        <w:rPr>
          <w:rFonts w:hint="eastAsia" w:ascii="宋体" w:hAnsi="宋体" w:eastAsia="宋体" w:cs="宋体"/>
          <w:b/>
          <w:color w:val="auto"/>
          <w:spacing w:val="4"/>
          <w:sz w:val="24"/>
          <w:szCs w:val="24"/>
          <w:highlight w:val="none"/>
        </w:rPr>
        <w:t>7.1  商务文件部分、投标报价部分应包括：</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(1)投标函；</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(2)法定代表人身份证明（附法定代表人身份证复印件）；</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(3)委托授权书（附被授权人身份证复印件）；</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(4)磋商保证金缴纳凭证或磋商保证金收据或者金融机构、担保机构出具的保函（复印件加盖公章）；</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(5)投标报价单；</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(6)投标报价明细表；</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(7)供应商基本情况；</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1）供应商基本情况表；</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具有有效的营业执照（复印件加盖公章）；具备国家级植保机械质量检测机构检验合格认证（复印件加盖公章）、拟实施作业服务组织的植保无人机操作手必须取得该机型的操作资格证书（复印件加盖公章）、在“信用中国”（www.creditchina.gov.cn）和中国政府采购网（www.ccgp.gov.cn）网站上未被列入失信被执行人、重大税收违法案件当事人名单以及政府采购严重违法失信行为记录名单的网页打印件（网页打印件须自招标公告发布之日起至首次提交投标文件截止时间内从上述网站中打印）并加盖公章；</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3）项目负责人简历表</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4）拟投入本项目人员汇总表（除项目负责人外）</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(8)一般商务条款偏离表；</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（9）中小企业声明函(服务)</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(10)其他商务资格证明资料（格式自定）。</w:t>
      </w:r>
    </w:p>
    <w:p>
      <w:pPr>
        <w:pStyle w:val="13"/>
        <w:kinsoku w:val="0"/>
        <w:overflowPunct w:val="0"/>
        <w:spacing w:before="130" w:line="360" w:lineRule="auto"/>
        <w:ind w:right="7" w:firstLine="480"/>
        <w:rPr>
          <w:rFonts w:hint="eastAsia" w:ascii="宋体" w:hAnsi="宋体" w:eastAsia="宋体" w:cs="宋体"/>
          <w:b/>
          <w:color w:val="auto"/>
          <w:spacing w:val="4"/>
          <w:sz w:val="24"/>
          <w:szCs w:val="24"/>
          <w:highlight w:val="none"/>
        </w:rPr>
      </w:pPr>
      <w:r>
        <w:rPr>
          <w:rFonts w:hint="eastAsia" w:ascii="宋体" w:hAnsi="宋体" w:eastAsia="宋体" w:cs="宋体"/>
          <w:b/>
          <w:color w:val="auto"/>
          <w:spacing w:val="4"/>
          <w:sz w:val="24"/>
          <w:szCs w:val="24"/>
          <w:highlight w:val="none"/>
        </w:rPr>
        <w:t>7.2 技术文件部分应包括：</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4"/>
          <w:sz w:val="24"/>
          <w:szCs w:val="24"/>
          <w:highlight w:val="none"/>
          <w:lang w:val="en-US" w:eastAsia="zh-CN"/>
        </w:rPr>
        <w:t>1</w:t>
      </w:r>
      <w:r>
        <w:rPr>
          <w:rFonts w:hint="eastAsia" w:ascii="宋体" w:hAnsi="宋体" w:eastAsia="宋体" w:cs="宋体"/>
          <w:color w:val="auto"/>
          <w:spacing w:val="4"/>
          <w:sz w:val="24"/>
          <w:szCs w:val="24"/>
          <w:highlight w:val="none"/>
        </w:rPr>
        <w:t>)项目实施方案；</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4"/>
          <w:sz w:val="24"/>
          <w:szCs w:val="24"/>
          <w:highlight w:val="none"/>
          <w:lang w:val="en-US" w:eastAsia="zh-CN"/>
        </w:rPr>
        <w:t>2</w:t>
      </w:r>
      <w:r>
        <w:rPr>
          <w:rFonts w:hint="eastAsia" w:ascii="宋体" w:hAnsi="宋体" w:eastAsia="宋体" w:cs="宋体"/>
          <w:color w:val="auto"/>
          <w:spacing w:val="4"/>
          <w:sz w:val="24"/>
          <w:szCs w:val="24"/>
          <w:highlight w:val="none"/>
        </w:rPr>
        <w:t>)供应商认为需要提交的技术资料；</w:t>
      </w:r>
    </w:p>
    <w:p>
      <w:pPr>
        <w:pStyle w:val="13"/>
        <w:kinsoku w:val="0"/>
        <w:overflowPunct w:val="0"/>
        <w:spacing w:before="130" w:line="360" w:lineRule="auto"/>
        <w:ind w:right="7" w:firstLine="480"/>
        <w:rPr>
          <w:rFonts w:hint="eastAsia" w:ascii="宋体" w:hAnsi="宋体" w:eastAsia="宋体" w:cs="宋体"/>
          <w:b/>
          <w:color w:val="auto"/>
          <w:spacing w:val="4"/>
          <w:sz w:val="24"/>
          <w:szCs w:val="24"/>
          <w:highlight w:val="none"/>
        </w:rPr>
      </w:pPr>
      <w:r>
        <w:rPr>
          <w:rFonts w:hint="eastAsia" w:ascii="宋体" w:hAnsi="宋体" w:eastAsia="宋体" w:cs="宋体"/>
          <w:b/>
          <w:color w:val="auto"/>
          <w:spacing w:val="4"/>
          <w:sz w:val="24"/>
          <w:szCs w:val="24"/>
          <w:highlight w:val="none"/>
        </w:rPr>
        <w:t>7.3 本次投标报价要求：</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7.3.1 总价格包括完成采购范围内全部内容采购及相关伴随服务全过程的全部费用。</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7.3.</w:t>
      </w:r>
      <w:r>
        <w:rPr>
          <w:rFonts w:hint="eastAsia" w:ascii="宋体" w:hAnsi="宋体" w:eastAsia="宋体" w:cs="宋体"/>
          <w:color w:val="auto"/>
          <w:spacing w:val="4"/>
          <w:sz w:val="24"/>
          <w:szCs w:val="24"/>
          <w:highlight w:val="none"/>
          <w:lang w:val="en-US" w:eastAsia="zh-CN"/>
        </w:rPr>
        <w:t>2</w:t>
      </w:r>
      <w:r>
        <w:rPr>
          <w:rFonts w:hint="eastAsia" w:ascii="宋体" w:hAnsi="宋体" w:eastAsia="宋体" w:cs="宋体"/>
          <w:color w:val="auto"/>
          <w:spacing w:val="4"/>
          <w:sz w:val="24"/>
          <w:szCs w:val="24"/>
          <w:highlight w:val="none"/>
        </w:rPr>
        <w:t xml:space="preserve"> 供应商的报价作为评标的重要依据之一，但并不是本项目采购人招标、评标确定中标供应商的唯一依据。拒绝不计成本的故意压低投标报价和恶意以低价投标的行为。</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7.3.</w:t>
      </w:r>
      <w:r>
        <w:rPr>
          <w:rFonts w:hint="eastAsia" w:ascii="宋体" w:hAnsi="宋体" w:eastAsia="宋体" w:cs="宋体"/>
          <w:color w:val="auto"/>
          <w:spacing w:val="4"/>
          <w:sz w:val="24"/>
          <w:szCs w:val="24"/>
          <w:highlight w:val="none"/>
          <w:lang w:val="en-US" w:eastAsia="zh-CN"/>
        </w:rPr>
        <w:t>3</w:t>
      </w:r>
      <w:r>
        <w:rPr>
          <w:rFonts w:hint="eastAsia" w:ascii="宋体" w:hAnsi="宋体" w:eastAsia="宋体" w:cs="宋体"/>
          <w:color w:val="auto"/>
          <w:spacing w:val="4"/>
          <w:sz w:val="24"/>
          <w:szCs w:val="24"/>
          <w:highlight w:val="none"/>
        </w:rPr>
        <w:t xml:space="preserve"> 本项目投标报价是在符合竞争性磋商文件对项目相关要求的情况下，以最大限度的折扣价或优惠后价格的体现。</w:t>
      </w:r>
    </w:p>
    <w:p>
      <w:pPr>
        <w:pStyle w:val="13"/>
        <w:kinsoku w:val="0"/>
        <w:overflowPunct w:val="0"/>
        <w:spacing w:before="36"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8.磋商响应性文件格式</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8.1 供应商应按《竞争性磋商文件》的内容与要求和第六章提供的格式编写其《磋商响应性文件》，供应商不得空留或缺少任何《竞争性磋商文件》要求填写的表格或提交的资料，未列出格式的部分供应商可自行编制。</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8.2 供应商提交的《磋商响应性文件》中全部资料必须真实可靠，并接受采购人、</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对其中任何资料进一步审查的要求。</w:t>
      </w:r>
    </w:p>
    <w:p>
      <w:pPr>
        <w:pStyle w:val="13"/>
        <w:kinsoku w:val="0"/>
        <w:overflowPunct w:val="0"/>
        <w:spacing w:before="151"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9.投标有效期</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9.1 投标有效期见本须知前附表所规定的期限，在此期限内，供应商不得要求撤销或修改其磋商响应性文件。</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9.2 在特殊情况下，采购人在原定投标有效期内，可以根据需要以书面形式向供应商提出延长投标有效期的要求，对此要求供应商须以书面形式予以答复。供应商可以拒绝采购人这种要求</w:t>
      </w:r>
      <w:bookmarkStart w:id="47" w:name="（五）磋商响应性文件的提交及相关事项"/>
      <w:bookmarkEnd w:id="47"/>
      <w:bookmarkStart w:id="48" w:name="bookmark6"/>
      <w:bookmarkEnd w:id="48"/>
      <w:r>
        <w:rPr>
          <w:rFonts w:hint="eastAsia" w:ascii="宋体" w:hAnsi="宋体" w:eastAsia="宋体" w:cs="宋体"/>
          <w:color w:val="auto"/>
          <w:spacing w:val="4"/>
          <w:sz w:val="24"/>
          <w:szCs w:val="24"/>
          <w:highlight w:val="none"/>
        </w:rPr>
        <w:t>，而不被没收</w:t>
      </w:r>
      <w:r>
        <w:rPr>
          <w:rFonts w:hint="eastAsia" w:ascii="宋体" w:hAnsi="宋体" w:eastAsia="宋体" w:cs="宋体"/>
          <w:color w:val="auto"/>
          <w:spacing w:val="4"/>
          <w:sz w:val="24"/>
          <w:szCs w:val="24"/>
          <w:highlight w:val="none"/>
          <w:lang w:eastAsia="zh-CN"/>
        </w:rPr>
        <w:t>磋商</w:t>
      </w:r>
      <w:r>
        <w:rPr>
          <w:rFonts w:hint="eastAsia" w:ascii="宋体" w:hAnsi="宋体" w:eastAsia="宋体" w:cs="宋体"/>
          <w:color w:val="auto"/>
          <w:spacing w:val="4"/>
          <w:sz w:val="24"/>
          <w:szCs w:val="24"/>
          <w:highlight w:val="none"/>
        </w:rPr>
        <w:t>保证金。同意延长投标有效期的供应商既不能要求也不允许修改其磋商响应性文件，但需要相应的延长投标担保的有效期，在延长的投标有效期内须知前附表第21条关于投标担保的退还与没收的规定仍然适用。</w:t>
      </w:r>
    </w:p>
    <w:p>
      <w:pPr>
        <w:pStyle w:val="13"/>
        <w:kinsoku w:val="0"/>
        <w:overflowPunct w:val="0"/>
        <w:spacing w:before="37" w:line="360" w:lineRule="auto"/>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保证金</w:t>
      </w:r>
    </w:p>
    <w:p>
      <w:pPr>
        <w:pStyle w:val="13"/>
        <w:kinsoku w:val="0"/>
        <w:overflowPunct w:val="0"/>
        <w:spacing w:before="130" w:line="360" w:lineRule="auto"/>
        <w:ind w:right="7"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10.1（1）磋商保证金应当以支票、汇票、本票或者金融机构、担保机构出具的保函等非现金形式提交，若采用电汇或网银转账的方式，由潜在供应商单位基本账户汇至新疆国恩工程管理有限公司（开户行：新疆银行股份有限公司昌吉分行，开户行行号：313885080236、开户行账号：0805250000000358）。不得以现金和其他形式缴纳，供应商在缴纳磋商保证金时，需在进账凭证上明确资金用途和投标项目名称，并注明联系人及电话，以便查对核实。供应商应充分考虑资金到账时间，在规定的时限前自行办妥磋商保证金缴纳手续，磋商保证金的缴付时间以电汇凭证和网银对账单上的时间为准，超过缴纳的时限缴纳磋商保证金视为投标无效。磋商保证金的缴纳开始至结束时间（2023年5月30日10:00时－2023年6月12日16:30时）</w:t>
      </w:r>
    </w:p>
    <w:p>
      <w:pPr>
        <w:pStyle w:val="13"/>
        <w:kinsoku w:val="0"/>
        <w:overflowPunct w:val="0"/>
        <w:spacing w:before="130" w:line="360" w:lineRule="auto"/>
        <w:ind w:right="7"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10.2</w:t>
      </w:r>
      <w:r>
        <w:rPr>
          <w:rFonts w:hint="eastAsia" w:ascii="宋体" w:hAnsi="宋体" w:eastAsia="宋体" w:cs="宋体"/>
          <w:color w:val="auto"/>
          <w:sz w:val="24"/>
          <w:szCs w:val="24"/>
          <w:highlight w:val="none"/>
        </w:rPr>
        <w:t>采购人或者采购代理机构应当在采购活动结束后及时退还供应商的磋商保证金，但因供应商自身原因导致无法及时退还的除外。未成交供应商的磋商保证金应当在成交通知书发出后5个工作日内退还，成交供应商的磋商保证金应当在采购合同签订后5个工作日内退还。</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10.</w:t>
      </w:r>
      <w:r>
        <w:rPr>
          <w:rFonts w:hint="eastAsia" w:ascii="宋体" w:hAnsi="宋体" w:eastAsia="宋体" w:cs="宋体"/>
          <w:color w:val="auto"/>
          <w:spacing w:val="4"/>
          <w:sz w:val="24"/>
          <w:szCs w:val="24"/>
          <w:highlight w:val="none"/>
          <w:lang w:val="en-US" w:eastAsia="zh-CN"/>
        </w:rPr>
        <w:t>3</w:t>
      </w:r>
      <w:r>
        <w:rPr>
          <w:rFonts w:hint="eastAsia" w:ascii="宋体" w:hAnsi="宋体" w:eastAsia="宋体" w:cs="宋体"/>
          <w:color w:val="auto"/>
          <w:spacing w:val="4"/>
          <w:sz w:val="24"/>
          <w:szCs w:val="24"/>
          <w:highlight w:val="none"/>
          <w:lang w:eastAsia="zh-CN"/>
        </w:rPr>
        <w:t>磋商</w:t>
      </w:r>
      <w:r>
        <w:rPr>
          <w:rFonts w:hint="eastAsia" w:ascii="宋体" w:hAnsi="宋体" w:eastAsia="宋体" w:cs="宋体"/>
          <w:color w:val="auto"/>
          <w:spacing w:val="4"/>
          <w:sz w:val="24"/>
          <w:szCs w:val="24"/>
          <w:highlight w:val="none"/>
        </w:rPr>
        <w:t>保证金为磋商响应性文件的重要组成部分。未按规定提交</w:t>
      </w:r>
      <w:r>
        <w:rPr>
          <w:rFonts w:hint="eastAsia" w:ascii="宋体" w:hAnsi="宋体" w:eastAsia="宋体" w:cs="宋体"/>
          <w:color w:val="auto"/>
          <w:spacing w:val="4"/>
          <w:sz w:val="24"/>
          <w:szCs w:val="24"/>
          <w:highlight w:val="none"/>
          <w:lang w:eastAsia="zh-CN"/>
        </w:rPr>
        <w:t>磋商</w:t>
      </w:r>
      <w:r>
        <w:rPr>
          <w:rFonts w:hint="eastAsia" w:ascii="宋体" w:hAnsi="宋体" w:eastAsia="宋体" w:cs="宋体"/>
          <w:color w:val="auto"/>
          <w:spacing w:val="4"/>
          <w:sz w:val="24"/>
          <w:szCs w:val="24"/>
          <w:highlight w:val="none"/>
        </w:rPr>
        <w:t>保证金的供应商，将被视为无效投标而予以拒绝。</w:t>
      </w:r>
    </w:p>
    <w:p>
      <w:pPr>
        <w:pStyle w:val="13"/>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10.</w:t>
      </w:r>
      <w:r>
        <w:rPr>
          <w:rFonts w:hint="eastAsia" w:ascii="宋体" w:hAnsi="宋体" w:eastAsia="宋体" w:cs="宋体"/>
          <w:color w:val="auto"/>
          <w:spacing w:val="4"/>
          <w:sz w:val="24"/>
          <w:szCs w:val="24"/>
          <w:highlight w:val="none"/>
          <w:lang w:val="en-US" w:eastAsia="zh-CN"/>
        </w:rPr>
        <w:t>4</w:t>
      </w:r>
      <w:r>
        <w:rPr>
          <w:rFonts w:hint="eastAsia" w:ascii="宋体" w:hAnsi="宋体" w:eastAsia="宋体" w:cs="宋体"/>
          <w:color w:val="auto"/>
          <w:spacing w:val="4"/>
          <w:sz w:val="24"/>
          <w:szCs w:val="24"/>
          <w:highlight w:val="none"/>
        </w:rPr>
        <w:t>成交人的</w:t>
      </w:r>
      <w:r>
        <w:rPr>
          <w:rFonts w:hint="eastAsia" w:ascii="宋体" w:hAnsi="宋体" w:eastAsia="宋体" w:cs="宋体"/>
          <w:color w:val="auto"/>
          <w:spacing w:val="4"/>
          <w:sz w:val="24"/>
          <w:szCs w:val="24"/>
          <w:highlight w:val="none"/>
          <w:lang w:eastAsia="zh-CN"/>
        </w:rPr>
        <w:t>磋商</w:t>
      </w:r>
      <w:r>
        <w:rPr>
          <w:rFonts w:hint="eastAsia" w:ascii="宋体" w:hAnsi="宋体" w:eastAsia="宋体" w:cs="宋体"/>
          <w:color w:val="auto"/>
          <w:spacing w:val="4"/>
          <w:sz w:val="24"/>
          <w:szCs w:val="24"/>
          <w:highlight w:val="none"/>
        </w:rPr>
        <w:t>保证金，在成交人按规定的金额付清</w:t>
      </w:r>
      <w:r>
        <w:rPr>
          <w:rFonts w:hint="eastAsia" w:ascii="宋体" w:hAnsi="宋体" w:eastAsia="宋体" w:cs="宋体"/>
          <w:color w:val="auto"/>
          <w:spacing w:val="4"/>
          <w:sz w:val="24"/>
          <w:szCs w:val="24"/>
          <w:highlight w:val="none"/>
          <w:lang w:eastAsia="zh-CN"/>
        </w:rPr>
        <w:t>采购</w:t>
      </w:r>
      <w:r>
        <w:rPr>
          <w:rFonts w:hint="eastAsia" w:ascii="宋体" w:hAnsi="宋体" w:eastAsia="宋体" w:cs="宋体"/>
          <w:color w:val="auto"/>
          <w:spacing w:val="4"/>
          <w:sz w:val="24"/>
          <w:szCs w:val="24"/>
          <w:highlight w:val="none"/>
        </w:rPr>
        <w:t>代理服务费后予以退还。</w:t>
      </w:r>
    </w:p>
    <w:p>
      <w:pPr>
        <w:pStyle w:val="13"/>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11.磋商响应性文件的印制和签署</w:t>
      </w:r>
    </w:p>
    <w:p>
      <w:pPr>
        <w:pStyle w:val="13"/>
        <w:kinsoku w:val="0"/>
        <w:overflowPunct w:val="0"/>
        <w:spacing w:line="360" w:lineRule="auto"/>
        <w:ind w:right="234" w:firstLine="48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11.1供应商应</w:t>
      </w:r>
      <w:r>
        <w:rPr>
          <w:rFonts w:hint="eastAsia" w:ascii="宋体" w:hAnsi="宋体" w:eastAsia="宋体" w:cs="宋体"/>
          <w:color w:val="auto"/>
          <w:spacing w:val="-27"/>
          <w:sz w:val="24"/>
          <w:szCs w:val="24"/>
          <w:highlight w:val="none"/>
        </w:rPr>
        <w:t>按</w:t>
      </w:r>
      <w:r>
        <w:rPr>
          <w:rFonts w:hint="eastAsia" w:ascii="宋体" w:hAnsi="宋体" w:eastAsia="宋体" w:cs="宋体"/>
          <w:color w:val="auto"/>
          <w:sz w:val="24"/>
          <w:szCs w:val="24"/>
          <w:highlight w:val="none"/>
        </w:rPr>
        <w:t>“供应商须知前附表</w:t>
      </w:r>
      <w:r>
        <w:rPr>
          <w:rFonts w:hint="eastAsia" w:ascii="宋体" w:hAnsi="宋体" w:eastAsia="宋体" w:cs="宋体"/>
          <w:color w:val="auto"/>
          <w:spacing w:val="-27"/>
          <w:sz w:val="24"/>
          <w:szCs w:val="24"/>
          <w:highlight w:val="none"/>
        </w:rPr>
        <w:t>”</w:t>
      </w:r>
      <w:r>
        <w:rPr>
          <w:rFonts w:hint="eastAsia" w:ascii="宋体" w:hAnsi="宋体" w:eastAsia="宋体" w:cs="宋体"/>
          <w:color w:val="auto"/>
          <w:sz w:val="24"/>
          <w:szCs w:val="24"/>
          <w:highlight w:val="none"/>
        </w:rPr>
        <w:t>规定的份数提</w:t>
      </w:r>
      <w:r>
        <w:rPr>
          <w:rFonts w:hint="eastAsia" w:ascii="宋体" w:hAnsi="宋体" w:eastAsia="宋体" w:cs="宋体"/>
          <w:color w:val="auto"/>
          <w:spacing w:val="-29"/>
          <w:sz w:val="24"/>
          <w:szCs w:val="24"/>
          <w:highlight w:val="none"/>
        </w:rPr>
        <w:t>交</w:t>
      </w:r>
      <w:r>
        <w:rPr>
          <w:rFonts w:hint="eastAsia" w:ascii="宋体" w:hAnsi="宋体" w:eastAsia="宋体" w:cs="宋体"/>
          <w:color w:val="auto"/>
          <w:sz w:val="24"/>
          <w:szCs w:val="24"/>
          <w:highlight w:val="none"/>
        </w:rPr>
        <w:t>《磋商响应性文</w:t>
      </w:r>
      <w:r>
        <w:rPr>
          <w:rFonts w:hint="eastAsia" w:ascii="宋体" w:hAnsi="宋体" w:eastAsia="宋体" w:cs="宋体"/>
          <w:color w:val="auto"/>
          <w:spacing w:val="2"/>
          <w:sz w:val="24"/>
          <w:szCs w:val="24"/>
          <w:highlight w:val="none"/>
        </w:rPr>
        <w:t>件</w:t>
      </w:r>
      <w:r>
        <w:rPr>
          <w:rFonts w:hint="eastAsia" w:ascii="宋体" w:hAnsi="宋体" w:eastAsia="宋体" w:cs="宋体"/>
          <w:color w:val="auto"/>
          <w:spacing w:val="-29"/>
          <w:sz w:val="24"/>
          <w:szCs w:val="24"/>
          <w:highlight w:val="none"/>
        </w:rPr>
        <w:t>》</w:t>
      </w:r>
      <w:r>
        <w:rPr>
          <w:rFonts w:hint="eastAsia" w:ascii="宋体" w:hAnsi="宋体" w:eastAsia="宋体" w:cs="宋体"/>
          <w:color w:val="auto"/>
          <w:sz w:val="24"/>
          <w:szCs w:val="24"/>
          <w:highlight w:val="none"/>
          <w:lang w:eastAsia="zh-CN"/>
        </w:rPr>
        <w:t>。</w:t>
      </w:r>
    </w:p>
    <w:p>
      <w:pPr>
        <w:pStyle w:val="13"/>
        <w:kinsoku w:val="0"/>
        <w:overflowPunct w:val="0"/>
        <w:spacing w:before="37" w:line="360" w:lineRule="auto"/>
        <w:ind w:right="238"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《磋商响应性文件》应在签字盖章处加盖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单位公章，并</w:t>
      </w:r>
      <w:r>
        <w:rPr>
          <w:rFonts w:hint="eastAsia" w:ascii="宋体" w:hAnsi="宋体" w:eastAsia="宋体" w:cs="宋体"/>
          <w:color w:val="auto"/>
          <w:spacing w:val="-2"/>
          <w:sz w:val="24"/>
          <w:szCs w:val="24"/>
          <w:highlight w:val="none"/>
        </w:rPr>
        <w:t>经法定代表人或被授权人签字或盖章的《磋商响应性文件》，《磋商响应性文件》中</w:t>
      </w:r>
      <w:r>
        <w:rPr>
          <w:rFonts w:hint="eastAsia" w:ascii="宋体" w:hAnsi="宋体" w:eastAsia="宋体" w:cs="宋体"/>
          <w:color w:val="auto"/>
          <w:sz w:val="24"/>
          <w:szCs w:val="24"/>
          <w:highlight w:val="none"/>
        </w:rPr>
        <w:t>须同时提交“授权委托书”。</w:t>
      </w:r>
    </w:p>
    <w:p>
      <w:pPr>
        <w:pStyle w:val="13"/>
        <w:kinsoku w:val="0"/>
        <w:overflowPunct w:val="0"/>
        <w:spacing w:before="38" w:line="360" w:lineRule="auto"/>
        <w:ind w:right="238"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除供应商对错误处须修改外，全套《磋商响应性文件》应无涂改或行间插字</w:t>
      </w:r>
      <w:r>
        <w:rPr>
          <w:rFonts w:hint="eastAsia" w:ascii="宋体" w:hAnsi="宋体" w:eastAsia="宋体" w:cs="宋体"/>
          <w:color w:val="auto"/>
          <w:spacing w:val="-2"/>
          <w:sz w:val="24"/>
          <w:szCs w:val="24"/>
          <w:highlight w:val="none"/>
        </w:rPr>
        <w:t>和增删。如有修改，修改处应由供应商加盖</w:t>
      </w:r>
      <w:r>
        <w:rPr>
          <w:rFonts w:hint="eastAsia" w:ascii="宋体" w:hAnsi="宋体" w:eastAsia="宋体" w:cs="宋体"/>
          <w:color w:val="auto"/>
          <w:spacing w:val="-2"/>
          <w:sz w:val="24"/>
          <w:szCs w:val="24"/>
          <w:highlight w:val="none"/>
          <w:lang w:eastAsia="zh-CN"/>
        </w:rPr>
        <w:t>供应商</w:t>
      </w:r>
      <w:r>
        <w:rPr>
          <w:rFonts w:hint="eastAsia" w:ascii="宋体" w:hAnsi="宋体" w:eastAsia="宋体" w:cs="宋体"/>
          <w:color w:val="auto"/>
          <w:spacing w:val="-2"/>
          <w:sz w:val="24"/>
          <w:szCs w:val="24"/>
          <w:highlight w:val="none"/>
        </w:rPr>
        <w:t>单位的印章或由《磋商响应性文件》签</w:t>
      </w:r>
      <w:r>
        <w:rPr>
          <w:rFonts w:hint="eastAsia" w:ascii="宋体" w:hAnsi="宋体" w:eastAsia="宋体" w:cs="宋体"/>
          <w:color w:val="auto"/>
          <w:sz w:val="24"/>
          <w:szCs w:val="24"/>
          <w:highlight w:val="none"/>
        </w:rPr>
        <w:t>字人签字或盖章</w:t>
      </w:r>
      <w:r>
        <w:rPr>
          <w:rFonts w:hint="eastAsia" w:ascii="宋体" w:hAnsi="宋体" w:eastAsia="宋体" w:cs="宋体"/>
          <w:color w:val="auto"/>
          <w:spacing w:val="-27"/>
          <w:sz w:val="24"/>
          <w:szCs w:val="24"/>
          <w:highlight w:val="none"/>
        </w:rPr>
        <w:t>。</w:t>
      </w:r>
      <w:r>
        <w:rPr>
          <w:rFonts w:hint="eastAsia" w:ascii="宋体" w:hAnsi="宋体" w:eastAsia="宋体" w:cs="宋体"/>
          <w:color w:val="auto"/>
          <w:sz w:val="24"/>
          <w:szCs w:val="24"/>
          <w:highlight w:val="none"/>
        </w:rPr>
        <w:t>字迹潦草</w:t>
      </w:r>
      <w:r>
        <w:rPr>
          <w:rFonts w:hint="eastAsia" w:ascii="宋体" w:hAnsi="宋体" w:eastAsia="宋体" w:cs="宋体"/>
          <w:color w:val="auto"/>
          <w:spacing w:val="-24"/>
          <w:sz w:val="24"/>
          <w:szCs w:val="24"/>
          <w:highlight w:val="none"/>
        </w:rPr>
        <w:t>、</w:t>
      </w:r>
      <w:r>
        <w:rPr>
          <w:rFonts w:hint="eastAsia" w:ascii="宋体" w:hAnsi="宋体" w:eastAsia="宋体" w:cs="宋体"/>
          <w:color w:val="auto"/>
          <w:sz w:val="24"/>
          <w:szCs w:val="24"/>
          <w:highlight w:val="none"/>
        </w:rPr>
        <w:t>表达不清或可能导致非唯一理解的磋商响应性文件可能视为无效投标。</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《磋商响应性文件》应根据《竞争性磋商文件》的要求签署、盖章及密封，内容应完整详细，如有遗漏，将被视为无效投标。</w:t>
      </w:r>
    </w:p>
    <w:p>
      <w:pPr>
        <w:pStyle w:val="5"/>
        <w:spacing w:line="360" w:lineRule="auto"/>
        <w:rPr>
          <w:rFonts w:hint="eastAsia" w:ascii="宋体" w:hAnsi="宋体" w:eastAsia="宋体" w:cs="宋体"/>
          <w:color w:val="auto"/>
          <w:sz w:val="24"/>
          <w:szCs w:val="24"/>
          <w:highlight w:val="none"/>
        </w:rPr>
      </w:pPr>
      <w:bookmarkStart w:id="49" w:name="_Toc503548053"/>
      <w:r>
        <w:rPr>
          <w:rFonts w:hint="eastAsia" w:ascii="宋体" w:hAnsi="宋体" w:eastAsia="宋体" w:cs="宋体"/>
          <w:color w:val="auto"/>
          <w:sz w:val="24"/>
          <w:szCs w:val="24"/>
          <w:highlight w:val="none"/>
        </w:rPr>
        <w:t>（五）磋商响应性文件的提交及相关事项</w:t>
      </w:r>
      <w:bookmarkEnd w:id="49"/>
    </w:p>
    <w:p>
      <w:pPr>
        <w:pStyle w:val="13"/>
        <w:kinsoku w:val="0"/>
        <w:overflowPunct w:val="0"/>
        <w:spacing w:before="151" w:line="36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1.磋商响应性文件的标记</w:t>
      </w:r>
    </w:p>
    <w:p>
      <w:pPr>
        <w:pStyle w:val="13"/>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1、响应文件的标记</w:t>
      </w:r>
    </w:p>
    <w:p>
      <w:pPr>
        <w:pStyle w:val="13"/>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在响应文件密封袋封套上均应注明下列识别标记并在供应商名称处加盖公章：</w:t>
      </w:r>
    </w:p>
    <w:p>
      <w:pPr>
        <w:pStyle w:val="13"/>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（1）工程名称； </w:t>
      </w:r>
    </w:p>
    <w:p>
      <w:pPr>
        <w:pStyle w:val="13"/>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（2）供应商名称、地址、联系人、联系电话</w:t>
      </w:r>
    </w:p>
    <w:p>
      <w:pPr>
        <w:pStyle w:val="13"/>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u w:val="single"/>
        </w:rPr>
        <w:t xml:space="preserve">        年   月   日   时   分</w:t>
      </w:r>
      <w:r>
        <w:rPr>
          <w:rFonts w:hint="eastAsia" w:ascii="宋体" w:hAnsi="宋体" w:eastAsia="宋体" w:cs="宋体"/>
          <w:color w:val="auto"/>
          <w:sz w:val="24"/>
          <w:szCs w:val="24"/>
          <w:highlight w:val="none"/>
        </w:rPr>
        <w:t>开标，此时间以前不得开封。</w:t>
      </w:r>
    </w:p>
    <w:p>
      <w:pPr>
        <w:pStyle w:val="13"/>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所有响应文件密封袋的封口处应加盖供应商公章和法定代表人印章。</w:t>
      </w:r>
    </w:p>
    <w:p>
      <w:pPr>
        <w:pStyle w:val="13"/>
        <w:kinsoku w:val="0"/>
        <w:overflowPunct w:val="0"/>
        <w:spacing w:before="151" w:line="36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2.磋商响应性文件的提交</w:t>
      </w:r>
    </w:p>
    <w:p>
      <w:pPr>
        <w:pStyle w:val="13"/>
        <w:kinsoku w:val="0"/>
        <w:overflowPunct w:val="0"/>
        <w:spacing w:before="34" w:line="360" w:lineRule="auto"/>
        <w:ind w:right="306"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供应商应按本须知前附表所规定的地点，于递交截止时间前提交磋商响应性文件。</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投标截止时间为《竞争性磋商文件》“供应商须知前附表”中规定时间，逾期送达的、未按竞争性磋商文件要求密封的《磋商响应性文件》</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和采购人概不接受。</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采购人可按本须知规定以修改补充通知的方式，酌情延长提交磋商响应性文件的截止时间。在此情况下，供应商的所有权利和义务以及供应商受制约的截止时间，均以延长后新的投标截止时间为准。</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到投标截止时间止，采购人收到的磋商响应性文件少于</w:t>
      </w:r>
      <w:r>
        <w:rPr>
          <w:rFonts w:hint="eastAsia" w:ascii="宋体" w:hAnsi="宋体" w:eastAsia="宋体" w:cs="宋体"/>
          <w:color w:val="auto"/>
          <w:spacing w:val="4"/>
          <w:sz w:val="24"/>
          <w:szCs w:val="24"/>
          <w:highlight w:val="none"/>
        </w:rPr>
        <w:t>《政府采购货物和服务招标投标管理办法》、《政府采购竞争性磋商采购方式管理暂行办法》、《财政部关于政府采购竞争性磋商采购方式管理暂行办法有关问题的补充通知》及相关法规</w:t>
      </w:r>
      <w:r>
        <w:rPr>
          <w:rFonts w:hint="eastAsia" w:ascii="宋体" w:hAnsi="宋体" w:eastAsia="宋体" w:cs="宋体"/>
          <w:color w:val="auto"/>
          <w:sz w:val="24"/>
          <w:szCs w:val="24"/>
          <w:highlight w:val="none"/>
        </w:rPr>
        <w:t>规定的家数，采购人将依法重新组织招标。</w:t>
      </w:r>
    </w:p>
    <w:p>
      <w:pPr>
        <w:pStyle w:val="13"/>
        <w:kinsoku w:val="0"/>
        <w:overflowPunct w:val="0"/>
        <w:spacing w:before="151" w:line="36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3.投标截止时间</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投标截止时间为“供应商须知前附表”中规定时间。</w:t>
      </w:r>
    </w:p>
    <w:p>
      <w:pPr>
        <w:pStyle w:val="13"/>
        <w:kinsoku w:val="0"/>
        <w:overflowPunct w:val="0"/>
        <w:spacing w:before="34" w:line="360" w:lineRule="auto"/>
        <w:ind w:left="598" w:right="101" w:hanging="480"/>
        <w:rPr>
          <w:rFonts w:hint="eastAsia" w:ascii="宋体" w:hAnsi="宋体" w:eastAsia="宋体" w:cs="宋体"/>
          <w:b/>
          <w:bCs/>
          <w:color w:val="auto"/>
          <w:spacing w:val="27"/>
          <w:w w:val="99"/>
          <w:sz w:val="24"/>
          <w:szCs w:val="24"/>
          <w:highlight w:val="none"/>
        </w:rPr>
      </w:pPr>
      <w:r>
        <w:rPr>
          <w:rFonts w:hint="eastAsia" w:ascii="宋体" w:hAnsi="宋体" w:eastAsia="宋体" w:cs="宋体"/>
          <w:b/>
          <w:bCs/>
          <w:color w:val="auto"/>
          <w:sz w:val="24"/>
          <w:szCs w:val="24"/>
          <w:highlight w:val="none"/>
        </w:rPr>
        <w:t>4.迟交的磋商响应性文件</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采购人将拒绝并退回在其规定的截止时间后收到的任何磋商响应性文件。</w:t>
      </w:r>
    </w:p>
    <w:p>
      <w:pPr>
        <w:pStyle w:val="13"/>
        <w:kinsoku w:val="0"/>
        <w:overflowPunct w:val="0"/>
        <w:spacing w:before="34" w:line="360" w:lineRule="auto"/>
        <w:ind w:left="598" w:right="101" w:hanging="48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5.磋商响应性文件的补充、修改与撤回</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供应商在提交磋商响应性文件以后，在规定的投标截止时间之前，可以书面形式补充修改或撤回已提交的磋商响应性文件，并以书面形式通知采购人。补充、修改的内容为磋商响应性文件的组成部分。</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 供应商对磋商响应性文件的补充、修改，应按本须知有关规定密封、标记和提交，并在内外层磋商响应性文件密封袋上清楚标明“补充、修改”或“撤回”字样。</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 在投标截止时间之后，供应商不得补充、修改磋商响应性文件。</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 在投标截止时间至投标有效期满之前，供应商不得撤回其磋商响应性文件，否则其</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保证金将被没收。</w:t>
      </w:r>
    </w:p>
    <w:p>
      <w:pPr>
        <w:pStyle w:val="5"/>
        <w:spacing w:line="360" w:lineRule="auto"/>
        <w:rPr>
          <w:rFonts w:hint="eastAsia" w:ascii="宋体" w:hAnsi="宋体" w:eastAsia="宋体" w:cs="宋体"/>
          <w:color w:val="auto"/>
          <w:sz w:val="24"/>
          <w:szCs w:val="24"/>
          <w:highlight w:val="none"/>
        </w:rPr>
      </w:pPr>
      <w:bookmarkStart w:id="50" w:name="_Toc503548054"/>
      <w:r>
        <w:rPr>
          <w:rFonts w:hint="eastAsia" w:ascii="宋体" w:hAnsi="宋体" w:eastAsia="宋体" w:cs="宋体"/>
          <w:color w:val="auto"/>
          <w:sz w:val="24"/>
          <w:szCs w:val="24"/>
          <w:highlight w:val="none"/>
        </w:rPr>
        <w:t>（六）开标</w:t>
      </w:r>
      <w:bookmarkEnd w:id="50"/>
    </w:p>
    <w:p>
      <w:pPr>
        <w:pStyle w:val="13"/>
        <w:kinsoku w:val="0"/>
        <w:overflowPunct w:val="0"/>
        <w:spacing w:before="34" w:line="360" w:lineRule="auto"/>
        <w:ind w:left="598" w:right="101" w:hanging="48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1.开标时间、地点：</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1）开标时间、地点：</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将按照规定的时间和地点组织开标会议，邀请所有供应商的法定代表人或授权代表准时到场参加开标会议。</w:t>
      </w:r>
    </w:p>
    <w:p>
      <w:pPr>
        <w:pStyle w:val="13"/>
        <w:kinsoku w:val="0"/>
        <w:overflowPunct w:val="0"/>
        <w:spacing w:before="35"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开标程序：</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主持人按下列程序进行开标：</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1）宣布在提交投标文件截止时间前收到的投标文件数量；</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2）宣布开标纪律，开标人、唱标人、记录人、监督人等有关人员名单； </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）公布</w:t>
      </w:r>
      <w:r>
        <w:rPr>
          <w:rFonts w:hint="eastAsia" w:ascii="宋体" w:hAnsi="宋体" w:eastAsia="宋体" w:cs="宋体"/>
          <w:color w:val="auto"/>
          <w:sz w:val="24"/>
          <w:szCs w:val="24"/>
          <w:highlight w:val="none"/>
          <w:lang w:eastAsia="zh-CN"/>
        </w:rPr>
        <w:t>最高投标限价</w:t>
      </w:r>
      <w:r>
        <w:rPr>
          <w:rFonts w:hint="eastAsia" w:ascii="宋体" w:hAnsi="宋体" w:eastAsia="宋体" w:cs="宋体"/>
          <w:color w:val="auto"/>
          <w:sz w:val="24"/>
          <w:szCs w:val="24"/>
          <w:highlight w:val="none"/>
        </w:rPr>
        <w:t>及相关内容；</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）公布</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保证金的递交情况、投标报价、服务期限及其他内容，并制作记录；</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代表、</w:t>
      </w: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人代表、记录人以及有关监督人员在开标记录上签字确认，并存档备查；</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）开标结束。</w:t>
      </w:r>
    </w:p>
    <w:p>
      <w:pPr>
        <w:pStyle w:val="5"/>
        <w:spacing w:line="360" w:lineRule="auto"/>
        <w:rPr>
          <w:rFonts w:hint="eastAsia" w:ascii="宋体" w:hAnsi="宋体" w:eastAsia="宋体" w:cs="宋体"/>
          <w:color w:val="auto"/>
          <w:sz w:val="24"/>
          <w:szCs w:val="24"/>
          <w:highlight w:val="none"/>
        </w:rPr>
      </w:pPr>
      <w:bookmarkStart w:id="51" w:name="_Toc503548055"/>
      <w:r>
        <w:rPr>
          <w:rFonts w:hint="eastAsia" w:ascii="宋体" w:hAnsi="宋体" w:eastAsia="宋体" w:cs="宋体"/>
          <w:color w:val="auto"/>
          <w:sz w:val="24"/>
          <w:szCs w:val="24"/>
          <w:highlight w:val="none"/>
        </w:rPr>
        <w:t>（七）评标</w:t>
      </w:r>
      <w:bookmarkEnd w:id="51"/>
    </w:p>
    <w:p>
      <w:pPr>
        <w:pStyle w:val="13"/>
        <w:kinsoku w:val="0"/>
        <w:overflowPunct w:val="0"/>
        <w:spacing w:before="35" w:line="360" w:lineRule="auto"/>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1.磋商小组</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tab/>
      </w:r>
      <w:r>
        <w:rPr>
          <w:rFonts w:hint="eastAsia" w:ascii="宋体" w:hAnsi="宋体" w:eastAsia="宋体" w:cs="宋体"/>
          <w:color w:val="auto"/>
          <w:spacing w:val="1"/>
          <w:sz w:val="24"/>
          <w:szCs w:val="24"/>
          <w:highlight w:val="none"/>
        </w:rPr>
        <w:t>评标由采购人依法组建的磋商小组负责。磋商小组由采购人熟悉相关业务</w:t>
      </w:r>
      <w:r>
        <w:rPr>
          <w:rFonts w:hint="eastAsia" w:ascii="宋体" w:hAnsi="宋体" w:eastAsia="宋体" w:cs="宋体"/>
          <w:color w:val="auto"/>
          <w:sz w:val="24"/>
          <w:szCs w:val="24"/>
          <w:highlight w:val="none"/>
        </w:rPr>
        <w:t>的代表，以及有关技术、经济等方面的专家三人</w:t>
      </w:r>
      <w:r>
        <w:rPr>
          <w:rFonts w:hint="eastAsia" w:ascii="宋体" w:hAnsi="宋体" w:eastAsia="宋体" w:cs="宋体"/>
          <w:color w:val="auto"/>
          <w:sz w:val="24"/>
          <w:szCs w:val="24"/>
          <w:highlight w:val="none"/>
          <w:lang w:eastAsia="zh-CN"/>
        </w:rPr>
        <w:t>以上</w:t>
      </w:r>
      <w:r>
        <w:rPr>
          <w:rFonts w:hint="eastAsia" w:ascii="宋体" w:hAnsi="宋体" w:eastAsia="宋体" w:cs="宋体"/>
          <w:color w:val="auto"/>
          <w:sz w:val="24"/>
          <w:szCs w:val="24"/>
          <w:highlight w:val="none"/>
        </w:rPr>
        <w:t>单数组成。</w:t>
      </w:r>
    </w:p>
    <w:p>
      <w:pPr>
        <w:pStyle w:val="13"/>
        <w:tabs>
          <w:tab w:val="left" w:pos="1438"/>
        </w:tabs>
        <w:kinsoku w:val="0"/>
        <w:overflowPunct w:val="0"/>
        <w:spacing w:before="36" w:line="360" w:lineRule="auto"/>
        <w:ind w:left="5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磋商小组成员有下列情形之一的，应当回避；</w:t>
      </w:r>
    </w:p>
    <w:p>
      <w:pPr>
        <w:pStyle w:val="13"/>
        <w:kinsoku w:val="0"/>
        <w:overflowPunct w:val="0"/>
        <w:spacing w:line="360" w:lineRule="auto"/>
        <w:ind w:left="5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（1）采购人或供应商的主要负责人的近亲属。</w:t>
      </w:r>
    </w:p>
    <w:p>
      <w:pPr>
        <w:pStyle w:val="13"/>
        <w:kinsoku w:val="0"/>
        <w:overflowPunct w:val="0"/>
        <w:spacing w:line="360" w:lineRule="auto"/>
        <w:ind w:left="5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（2）项目主管部门或者行政监督部门的人员。</w:t>
      </w:r>
    </w:p>
    <w:p>
      <w:pPr>
        <w:pStyle w:val="13"/>
        <w:kinsoku w:val="0"/>
        <w:overflowPunct w:val="0"/>
        <w:spacing w:before="151" w:line="360" w:lineRule="auto"/>
        <w:ind w:left="5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（3）与供应商有经济利益关系，可能影响对投标公正评审的。</w:t>
      </w:r>
    </w:p>
    <w:p>
      <w:pPr>
        <w:pStyle w:val="13"/>
        <w:kinsoku w:val="0"/>
        <w:overflowPunct w:val="0"/>
        <w:spacing w:line="360" w:lineRule="auto"/>
        <w:ind w:right="50" w:firstLine="4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w:t>
      </w:r>
      <w:r>
        <w:rPr>
          <w:rFonts w:hint="eastAsia" w:ascii="宋体" w:hAnsi="宋体" w:eastAsia="宋体" w:cs="宋体"/>
          <w:color w:val="auto"/>
          <w:sz w:val="24"/>
          <w:szCs w:val="24"/>
          <w:highlight w:val="none"/>
        </w:rPr>
        <w:t>处罚或刑事处罚的。</w:t>
      </w:r>
    </w:p>
    <w:p>
      <w:pPr>
        <w:pStyle w:val="13"/>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（5）其它可能影响公正评标的情形。</w:t>
      </w:r>
    </w:p>
    <w:p>
      <w:pPr>
        <w:pStyle w:val="13"/>
        <w:kinsoku w:val="0"/>
        <w:overflowPunct w:val="0"/>
        <w:spacing w:before="35" w:line="360" w:lineRule="auto"/>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2.评标原则</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本次磋商遵循公开透明、公平竞争、公正和诚实信用的原则。磋商小组成员按照客观、公正、审慎的原则，根据磋商文件规定的评审程序、评审方法和评审标准进行独立评审。未实质性响应磋商文件的响应文件按无效响应处理，并告知提交响应文件的供应商。</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项目实施机构成立磋商小组，负责本次项目采购的磋商工作，磋商小组由业主代表与技术、经济等方面专家组成共3人以上</w:t>
      </w:r>
      <w:r>
        <w:rPr>
          <w:rFonts w:hint="eastAsia" w:ascii="宋体" w:hAnsi="宋体" w:eastAsia="宋体" w:cs="宋体"/>
          <w:color w:val="auto"/>
          <w:sz w:val="24"/>
          <w:szCs w:val="24"/>
          <w:highlight w:val="none"/>
          <w:lang w:eastAsia="zh-CN"/>
        </w:rPr>
        <w:t>单数</w:t>
      </w:r>
      <w:r>
        <w:rPr>
          <w:rFonts w:hint="eastAsia" w:ascii="宋体" w:hAnsi="宋体" w:eastAsia="宋体" w:cs="宋体"/>
          <w:color w:val="auto"/>
          <w:sz w:val="24"/>
          <w:szCs w:val="24"/>
          <w:highlight w:val="none"/>
        </w:rPr>
        <w:t>组成，其中评审专家人数不得少于磋商小组成员总数的2/3。评审专家应当从政府采购评审庄家库内相关专业的专家名单中随机抽取，符合本办法（财库214号文）第三条第四项规定情形的项目，以及特殊情况。磋商小组应当根据综合评分情况，按照评审得分由高到低顺序推荐3名成交候选供应商，并编写评审报告。评审得分相同的，按照最后报价由低到高的顺序推荐；评审得分且最后报价相同的，按照技术指标优劣顺序推荐。</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13"/>
        <w:kinsoku w:val="0"/>
        <w:overflowPunct w:val="0"/>
        <w:spacing w:before="35" w:line="360" w:lineRule="auto"/>
        <w:ind w:left="598" w:right="238" w:hanging="480"/>
        <w:rPr>
          <w:rFonts w:hint="eastAsia" w:ascii="宋体" w:hAnsi="宋体" w:eastAsia="宋体" w:cs="宋体"/>
          <w:b/>
          <w:bCs/>
          <w:color w:val="auto"/>
          <w:spacing w:val="22"/>
          <w:w w:val="99"/>
          <w:sz w:val="24"/>
          <w:szCs w:val="24"/>
          <w:highlight w:val="none"/>
        </w:rPr>
      </w:pPr>
      <w:r>
        <w:rPr>
          <w:rFonts w:hint="eastAsia" w:ascii="宋体" w:hAnsi="宋体" w:eastAsia="宋体" w:cs="宋体"/>
          <w:b/>
          <w:bCs/>
          <w:color w:val="auto"/>
          <w:w w:val="95"/>
          <w:sz w:val="24"/>
          <w:szCs w:val="24"/>
          <w:highlight w:val="none"/>
        </w:rPr>
        <w:t>3.</w:t>
      </w:r>
      <w:r>
        <w:rPr>
          <w:rFonts w:hint="eastAsia" w:ascii="宋体" w:hAnsi="宋体" w:eastAsia="宋体" w:cs="宋体"/>
          <w:b/>
          <w:bCs/>
          <w:color w:val="auto"/>
          <w:sz w:val="24"/>
          <w:szCs w:val="24"/>
          <w:highlight w:val="none"/>
        </w:rPr>
        <w:t>评标</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3.1磋商小组按照竞争性磋商文件中规定的方法、评审因素、标准和程序对磋商应性文件进行评审。竞争性磋商文件中没有规定的方法、评审因素和标准，不作为评标依据。详见“评标办法”内容。</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3.2评标过程严格保密。供应商对评委会的评标过程或合同授予决定施加影响的任何行为都可能导致其投标被拒绝。</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在评标期间，评委会可要求供应商对其磋商响应性文件中非实质性的有关问题进行澄清、说明或者补正。有关澄清、说明或者补正的要求和答复应以书面形式提交。供应商的澄清、说明或者补正不得超出磋商响应性文件的范围或者改变磋商响应性文件的实质性内容。</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评委会认定实质性响应竞争性磋商文件的投标是磋商响应性文件与竞争性磋商文件要求的全部条款、条件和规格相符，没有实质性负偏离。评委会评审磋商响应性文件的响应性依据是磋商响应性文件本身的内容，而不寻求外部的证据。</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3.5如果磋商响应性文件没有实质性响应竞争性磋商文件的要求，评委会将予以拒绝。供应商不得通过修正或撤消不合要求的偏离或保留从而使其投标成为实质性响应的投标。</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3.6评委会只对确定为实质性响应竞争性磋商文件要求的磋商响应性文件，根据竞争性磋商文件的评审标准采用相同的评标程序、评分办法进行评价和比较。</w:t>
      </w:r>
    </w:p>
    <w:p>
      <w:pPr>
        <w:pStyle w:val="5"/>
        <w:spacing w:line="360" w:lineRule="auto"/>
        <w:rPr>
          <w:rFonts w:hint="eastAsia" w:ascii="宋体" w:hAnsi="宋体" w:eastAsia="宋体" w:cs="宋体"/>
          <w:color w:val="auto"/>
          <w:sz w:val="24"/>
          <w:szCs w:val="24"/>
          <w:highlight w:val="none"/>
        </w:rPr>
      </w:pPr>
      <w:bookmarkStart w:id="52" w:name="_Toc503548056"/>
      <w:r>
        <w:rPr>
          <w:rFonts w:hint="eastAsia" w:ascii="宋体" w:hAnsi="宋体" w:eastAsia="宋体" w:cs="宋体"/>
          <w:color w:val="auto"/>
          <w:sz w:val="24"/>
          <w:szCs w:val="24"/>
          <w:highlight w:val="none"/>
        </w:rPr>
        <w:t>（八）定标</w:t>
      </w:r>
      <w:bookmarkEnd w:id="52"/>
    </w:p>
    <w:p>
      <w:pPr>
        <w:pStyle w:val="13"/>
        <w:kinsoku w:val="0"/>
        <w:overflowPunct w:val="0"/>
        <w:spacing w:before="35" w:line="360" w:lineRule="auto"/>
        <w:ind w:left="598" w:right="238" w:hanging="480"/>
        <w:rPr>
          <w:rFonts w:hint="eastAsia" w:ascii="宋体" w:hAnsi="宋体" w:eastAsia="宋体" w:cs="宋体"/>
          <w:b/>
          <w:bCs/>
          <w:color w:val="auto"/>
          <w:w w:val="95"/>
          <w:sz w:val="24"/>
          <w:szCs w:val="24"/>
          <w:highlight w:val="none"/>
        </w:rPr>
      </w:pPr>
      <w:r>
        <w:rPr>
          <w:rFonts w:hint="eastAsia" w:ascii="宋体" w:hAnsi="宋体" w:eastAsia="宋体" w:cs="宋体"/>
          <w:b/>
          <w:bCs/>
          <w:color w:val="auto"/>
          <w:w w:val="95"/>
          <w:sz w:val="24"/>
          <w:szCs w:val="24"/>
          <w:highlight w:val="none"/>
        </w:rPr>
        <w:t>1.定标</w:t>
      </w:r>
    </w:p>
    <w:p>
      <w:pPr>
        <w:spacing w:line="360" w:lineRule="auto"/>
        <w:ind w:firstLine="480" w:firstLineChars="200"/>
        <w:rPr>
          <w:rFonts w:hint="eastAsia" w:ascii="宋体" w:hAnsi="宋体" w:eastAsia="宋体" w:cs="宋体"/>
          <w:b/>
          <w:bCs/>
          <w:color w:val="auto"/>
          <w:w w:val="95"/>
          <w:kern w:val="0"/>
          <w:sz w:val="24"/>
          <w:szCs w:val="24"/>
          <w:highlight w:val="none"/>
        </w:rPr>
      </w:pPr>
      <w:r>
        <w:rPr>
          <w:rFonts w:hint="eastAsia" w:ascii="宋体" w:hAnsi="宋体" w:eastAsia="宋体" w:cs="宋体"/>
          <w:color w:val="auto"/>
          <w:sz w:val="24"/>
          <w:szCs w:val="24"/>
          <w:highlight w:val="none"/>
        </w:rPr>
        <w:t>1.1 定标原则：磋商小组按照公开、公平、公正、诚实信用的原则对待参与磋商的供应商的响应文件；经磋商确定最终采购需求和提交最后报价的供应商后，由磋商小组采用综合评分法对提交最后报价的供应商的响应文件和最后报价进行综合评分。</w:t>
      </w:r>
      <w:r>
        <w:rPr>
          <w:rFonts w:hint="eastAsia" w:ascii="宋体" w:hAnsi="宋体" w:eastAsia="宋体" w:cs="宋体"/>
          <w:color w:val="auto"/>
          <w:kern w:val="0"/>
          <w:sz w:val="24"/>
          <w:szCs w:val="24"/>
          <w:highlight w:val="none"/>
        </w:rPr>
        <w:t>能够最大限度满足竞争性磋商文件中规定的各项综合评价标准且得分最高（但投标价格低于成本价的除外）。</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定标方法：综合评分法。</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定标方式：根据评委会推荐的</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候选人名单，采购人确定</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w:t>
      </w:r>
    </w:p>
    <w:p>
      <w:pPr>
        <w:pStyle w:val="13"/>
        <w:kinsoku w:val="0"/>
        <w:overflowPunct w:val="0"/>
        <w:spacing w:before="35" w:line="360" w:lineRule="auto"/>
        <w:ind w:left="598" w:right="238" w:hanging="480"/>
        <w:rPr>
          <w:rFonts w:hint="eastAsia" w:ascii="宋体" w:hAnsi="宋体" w:eastAsia="宋体" w:cs="宋体"/>
          <w:b/>
          <w:bCs/>
          <w:color w:val="auto"/>
          <w:w w:val="95"/>
          <w:sz w:val="24"/>
          <w:szCs w:val="24"/>
          <w:highlight w:val="none"/>
        </w:rPr>
      </w:pPr>
      <w:r>
        <w:rPr>
          <w:rFonts w:hint="eastAsia" w:ascii="宋体" w:hAnsi="宋体" w:eastAsia="宋体" w:cs="宋体"/>
          <w:b/>
          <w:bCs/>
          <w:color w:val="auto"/>
          <w:w w:val="95"/>
          <w:sz w:val="24"/>
          <w:szCs w:val="24"/>
          <w:highlight w:val="none"/>
        </w:rPr>
        <w:t>2.定标程序</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磋商小组按照综合评审打分结果由高到低排列顺序。综合得分相同的，按投标报价由低到高顺序排列。得分且投标报价相同的，按技术指标优劣顺序排列。前三名的供应商为拟</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候选人。</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采购人根据书面评标报告和被推荐的</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候选人，确定得分最高的供应商为拟</w:t>
      </w:r>
      <w:r>
        <w:rPr>
          <w:rFonts w:hint="eastAsia" w:ascii="宋体" w:hAnsi="宋体" w:eastAsia="宋体" w:cs="宋体"/>
          <w:color w:val="auto"/>
          <w:sz w:val="24"/>
          <w:szCs w:val="24"/>
          <w:highlight w:val="none"/>
          <w:lang w:eastAsia="zh-CN"/>
        </w:rPr>
        <w:t>成交人</w:t>
      </w:r>
      <w:r>
        <w:rPr>
          <w:rFonts w:hint="eastAsia" w:ascii="宋体" w:hAnsi="宋体" w:eastAsia="宋体" w:cs="宋体"/>
          <w:color w:val="auto"/>
          <w:sz w:val="24"/>
          <w:szCs w:val="24"/>
          <w:highlight w:val="none"/>
        </w:rPr>
        <w:t>单位。</w:t>
      </w:r>
    </w:p>
    <w:p>
      <w:pPr>
        <w:spacing w:line="360" w:lineRule="auto"/>
        <w:ind w:left="105" w:leftChars="50"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结果在“</w:t>
      </w:r>
      <w:r>
        <w:rPr>
          <w:rFonts w:hint="eastAsia" w:ascii="宋体" w:hAnsi="宋体" w:cs="宋体"/>
          <w:color w:val="auto"/>
          <w:sz w:val="24"/>
          <w:szCs w:val="24"/>
          <w:highlight w:val="none"/>
          <w:lang w:val="en-US" w:eastAsia="zh-CN"/>
        </w:rPr>
        <w:t>新疆政府采购网</w:t>
      </w:r>
      <w:r>
        <w:rPr>
          <w:rFonts w:hint="eastAsia" w:ascii="宋体" w:hAnsi="宋体" w:eastAsia="宋体" w:cs="宋体"/>
          <w:color w:val="auto"/>
          <w:sz w:val="24"/>
          <w:szCs w:val="24"/>
          <w:highlight w:val="none"/>
        </w:rPr>
        <w:t>” 上予以公告。同时向</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人发出</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p>
    <w:p>
      <w:pPr>
        <w:pStyle w:val="13"/>
        <w:kinsoku w:val="0"/>
        <w:overflowPunct w:val="0"/>
        <w:spacing w:before="151"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lang w:eastAsia="zh-CN"/>
        </w:rPr>
        <w:t>成交</w:t>
      </w:r>
      <w:r>
        <w:rPr>
          <w:rFonts w:hint="eastAsia" w:ascii="宋体" w:hAnsi="宋体" w:eastAsia="宋体" w:cs="宋体"/>
          <w:b/>
          <w:bCs/>
          <w:color w:val="auto"/>
          <w:sz w:val="24"/>
          <w:szCs w:val="24"/>
          <w:highlight w:val="none"/>
        </w:rPr>
        <w:t>通知书</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结果在公示期满无质疑或投诉后，该结果将作为正式中标或签订《采购合同》的凭据。</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将以书面形式《成交通知书》通知</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的供应商其投标被接受。在该通知书发出三十日内，</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单位应与采购人签订采购合同。</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3.2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通知书为签订政府采购合同的依据，是合同的有效组成部分。</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3.3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通知书对采购人和</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人均具有法律效力。</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通知书发出后，采购人改变</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结果，或者</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人无正当理由放弃中标的，应当承担相应的法律责任。</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3.4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人的磋商响应性文件本应作为无效投标处理或者有政府采购法律法规规章制度规定的中标无效情形的，</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在取得有权主体的认定以后，应当宣布发出的</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通知书无效，并收回发出的</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人也应当缴回），依法重新确定</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人或者重新开展采购活动。</w:t>
      </w:r>
    </w:p>
    <w:p>
      <w:pPr>
        <w:pStyle w:val="5"/>
        <w:spacing w:line="360" w:lineRule="auto"/>
        <w:rPr>
          <w:rFonts w:hint="eastAsia" w:ascii="宋体" w:hAnsi="宋体" w:eastAsia="宋体" w:cs="宋体"/>
          <w:color w:val="auto"/>
          <w:sz w:val="24"/>
          <w:szCs w:val="24"/>
          <w:highlight w:val="none"/>
        </w:rPr>
      </w:pPr>
      <w:bookmarkStart w:id="53" w:name="_Toc503548057"/>
      <w:r>
        <w:rPr>
          <w:rFonts w:hint="eastAsia" w:ascii="宋体" w:hAnsi="宋体" w:eastAsia="宋体" w:cs="宋体"/>
          <w:color w:val="auto"/>
          <w:sz w:val="24"/>
          <w:szCs w:val="24"/>
          <w:highlight w:val="none"/>
        </w:rPr>
        <w:t>（九）合同签订及履行</w:t>
      </w:r>
      <w:bookmarkEnd w:id="53"/>
    </w:p>
    <w:p>
      <w:pPr>
        <w:pStyle w:val="13"/>
        <w:kinsoku w:val="0"/>
        <w:overflowPunct w:val="0"/>
        <w:spacing w:before="151"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1.合同授予原则</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采购人将把合同授予经磋商小组评议推荐，在法定公示时间后，收到《成交通知书》的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单位。若因</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单位违约或因不可抗力等原因不能被授予合同，则合同将授予排序在该</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单位之后的下一个供应商，以此类推。</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采购人保留在签订合同时调整方案需求和变动所购服务内容的权力。</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采购人不得向</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人提出任何不合理的要求，作为签订合同的条件，不得与</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人私下订立背离合同实质性内容的任何协议，所签订的合同不得对竞争性磋商文件和</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人磋商响应性文件作实质性修改。</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人应当按照合同约定履行义务，完成</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项目的设计任务，不得将</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项目的转让（转包）给他人。</w:t>
      </w:r>
    </w:p>
    <w:p>
      <w:pPr>
        <w:pStyle w:val="13"/>
        <w:kinsoku w:val="0"/>
        <w:overflowPunct w:val="0"/>
        <w:spacing w:before="34"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2.合同的签署</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2.1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人依据《成交通知书》与采购人签订合同，签订时间为《成交通知书》发出之日起三十日内。</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2.2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单位按《成交通知书》中规定的时间和地点，在</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监督下，由法定代表人或授权代表与采购人签订合同。采购人与</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单位是合同权利与义务的直接全部责任承担人。所发出的《成交通知书》对采购人和</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单位具有同等法律效力。</w:t>
      </w:r>
    </w:p>
    <w:p>
      <w:pPr>
        <w:pStyle w:val="13"/>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2.3《成交通知书》发出后，采购人拒绝签订《采购合同》或擅自改变中标内容，按照</w:t>
      </w:r>
      <w:r>
        <w:rPr>
          <w:rFonts w:hint="eastAsia" w:ascii="宋体" w:hAnsi="宋体" w:eastAsia="宋体" w:cs="宋体"/>
          <w:color w:val="auto"/>
          <w:sz w:val="24"/>
          <w:szCs w:val="24"/>
          <w:highlight w:val="none"/>
          <w:lang w:eastAsia="zh-CN"/>
        </w:rPr>
        <w:t>《中华人民共和国民法典》</w:t>
      </w:r>
      <w:r>
        <w:rPr>
          <w:rFonts w:hint="eastAsia" w:ascii="宋体" w:hAnsi="宋体" w:eastAsia="宋体" w:cs="宋体"/>
          <w:color w:val="auto"/>
          <w:sz w:val="24"/>
          <w:szCs w:val="24"/>
          <w:highlight w:val="none"/>
        </w:rPr>
        <w:t>定金罚则及损害赔偿的原则处罚并办理。若由于</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单位的原因逾期未与采购人签订采购合同的，将视为放弃中标，取消其</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资格并将按照《中华人民共和国政府采购法》相关规定进行处理。</w:t>
      </w:r>
    </w:p>
    <w:p>
      <w:pPr>
        <w:pStyle w:val="13"/>
        <w:kinsoku w:val="0"/>
        <w:overflowPunct w:val="0"/>
        <w:spacing w:before="37" w:line="360" w:lineRule="auto"/>
        <w:ind w:right="248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3.履行合同</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人与采购人签订合同后，合同双方应严格执行合同条款，履行合同规定的义务，保证合同的顺利完成。</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在合同履行过程中，如发生合同纠纷，合同双方应按照《合同法》的有关规定进行处理。</w:t>
      </w:r>
    </w:p>
    <w:p>
      <w:pPr>
        <w:pStyle w:val="5"/>
        <w:spacing w:line="360" w:lineRule="auto"/>
        <w:rPr>
          <w:rFonts w:hint="eastAsia" w:ascii="宋体" w:hAnsi="宋体" w:eastAsia="宋体" w:cs="宋体"/>
          <w:color w:val="auto"/>
          <w:sz w:val="24"/>
          <w:szCs w:val="24"/>
          <w:highlight w:val="none"/>
        </w:rPr>
      </w:pPr>
      <w:bookmarkStart w:id="54" w:name="_Toc503548058"/>
      <w:r>
        <w:rPr>
          <w:rFonts w:hint="eastAsia" w:ascii="宋体" w:hAnsi="宋体" w:eastAsia="宋体" w:cs="宋体"/>
          <w:color w:val="auto"/>
          <w:sz w:val="24"/>
          <w:szCs w:val="24"/>
          <w:highlight w:val="none"/>
        </w:rPr>
        <w:t>（十）重新招标和不再招标</w:t>
      </w:r>
      <w:bookmarkEnd w:id="54"/>
    </w:p>
    <w:p>
      <w:pPr>
        <w:pStyle w:val="13"/>
        <w:kinsoku w:val="0"/>
        <w:overflowPunct w:val="0"/>
        <w:spacing w:before="37" w:line="360" w:lineRule="auto"/>
        <w:ind w:right="248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1．重新招标</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有下列情形之一的，采购人将重新招标：</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（1）投标截止时间止，供应商少于</w:t>
      </w:r>
      <w:r>
        <w:rPr>
          <w:rFonts w:hint="eastAsia" w:ascii="宋体" w:hAnsi="宋体" w:eastAsia="宋体" w:cs="宋体"/>
          <w:color w:val="auto"/>
          <w:spacing w:val="4"/>
          <w:sz w:val="24"/>
          <w:szCs w:val="24"/>
          <w:highlight w:val="none"/>
        </w:rPr>
        <w:t>《政府采购货物和服务招标投标管理办法》、《政府购买服务管理办法（暂行）》、《政府采购竞争性磋商采购方式管理暂行办法》、《财政部关于政府采购竞争性磋商采购方式管理暂行办法有关问题的补充通知》及相关法规</w:t>
      </w:r>
      <w:r>
        <w:rPr>
          <w:rFonts w:hint="eastAsia" w:ascii="宋体" w:hAnsi="宋体" w:eastAsia="宋体" w:cs="宋体"/>
          <w:color w:val="auto"/>
          <w:sz w:val="24"/>
          <w:szCs w:val="24"/>
          <w:highlight w:val="none"/>
        </w:rPr>
        <w:t>规定的家数。</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（2）经磋商小组评审后否决所有投标的。</w:t>
      </w:r>
    </w:p>
    <w:p>
      <w:pPr>
        <w:pStyle w:val="13"/>
        <w:kinsoku w:val="0"/>
        <w:overflowPunct w:val="0"/>
        <w:spacing w:line="360" w:lineRule="auto"/>
        <w:ind w:right="4044" w:firstLine="2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2．不再招标</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重新招标后供应商仍少于</w:t>
      </w:r>
      <w:r>
        <w:rPr>
          <w:rFonts w:hint="eastAsia" w:ascii="宋体" w:hAnsi="宋体" w:eastAsia="宋体" w:cs="宋体"/>
          <w:color w:val="auto"/>
          <w:spacing w:val="4"/>
          <w:sz w:val="24"/>
          <w:szCs w:val="24"/>
          <w:highlight w:val="none"/>
        </w:rPr>
        <w:t>《政府采购货物和服务招标投标管理办法》、《政府采购竞争性磋商采购方式管理暂行办法》、《财政部关于政府采购竞争性磋商采购方式管理暂行办法有关问题的补充通知》及相关法规</w:t>
      </w:r>
      <w:r>
        <w:rPr>
          <w:rFonts w:hint="eastAsia" w:ascii="宋体" w:hAnsi="宋体" w:eastAsia="宋体" w:cs="宋体"/>
          <w:color w:val="auto"/>
          <w:sz w:val="24"/>
          <w:szCs w:val="24"/>
          <w:highlight w:val="none"/>
        </w:rPr>
        <w:t>规定的家数，或者所有投标被否决的，属于必须审批或核准的工程建设、货物、服务项目，经原审批或核准部门批准后不再进行招标。</w:t>
      </w:r>
    </w:p>
    <w:p>
      <w:pPr>
        <w:pStyle w:val="5"/>
        <w:spacing w:line="360" w:lineRule="auto"/>
        <w:rPr>
          <w:rFonts w:hint="eastAsia" w:ascii="宋体" w:hAnsi="宋体" w:eastAsia="宋体" w:cs="宋体"/>
          <w:color w:val="auto"/>
          <w:sz w:val="24"/>
          <w:szCs w:val="24"/>
          <w:highlight w:val="none"/>
        </w:rPr>
      </w:pPr>
      <w:bookmarkStart w:id="55" w:name="_Toc503548059"/>
      <w:r>
        <w:rPr>
          <w:rFonts w:hint="eastAsia" w:ascii="宋体" w:hAnsi="宋体" w:eastAsia="宋体" w:cs="宋体"/>
          <w:color w:val="auto"/>
          <w:sz w:val="24"/>
          <w:szCs w:val="24"/>
          <w:highlight w:val="none"/>
        </w:rPr>
        <w:t>（十一）纪律和监督</w:t>
      </w:r>
      <w:bookmarkEnd w:id="55"/>
    </w:p>
    <w:p>
      <w:pPr>
        <w:pStyle w:val="13"/>
        <w:kinsoku w:val="0"/>
        <w:overflowPunct w:val="0"/>
        <w:spacing w:line="360" w:lineRule="auto"/>
        <w:ind w:right="4044" w:firstLine="2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1．对采购人的纪律要求</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采购人不得泄漏招标投标活动中应当保密的情况和资料，不得与供应商串通损害国家利益、社会公共利益或者他人合法权益。下列行为视为采购人与供应商串通投标：</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(1）采购人在开标前开启磋商响应性文件，并将投标情况告知其它供应商，或者协助供应商撤换磋商响应性文件，更改报价；</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(2）采购人向供应商泄露标底；</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(3）采购人与供应商商定，投标时压低或抬高标价，</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后再给供应商或采购人额外补偿；</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(4）采购人预先内定</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(5）其它串通投标行为。</w:t>
      </w:r>
    </w:p>
    <w:p>
      <w:pPr>
        <w:pStyle w:val="13"/>
        <w:kinsoku w:val="0"/>
        <w:overflowPunct w:val="0"/>
        <w:spacing w:before="34" w:line="360" w:lineRule="auto"/>
        <w:ind w:left="598" w:right="178" w:hanging="480"/>
        <w:rPr>
          <w:rFonts w:hint="eastAsia" w:ascii="宋体" w:hAnsi="宋体" w:eastAsia="宋体" w:cs="宋体"/>
          <w:b/>
          <w:bCs/>
          <w:color w:val="auto"/>
          <w:spacing w:val="25"/>
          <w:w w:val="99"/>
          <w:sz w:val="24"/>
          <w:szCs w:val="24"/>
          <w:highlight w:val="none"/>
        </w:rPr>
      </w:pPr>
      <w:r>
        <w:rPr>
          <w:rFonts w:hint="eastAsia" w:ascii="宋体" w:hAnsi="宋体" w:eastAsia="宋体" w:cs="宋体"/>
          <w:b/>
          <w:bCs/>
          <w:color w:val="auto"/>
          <w:sz w:val="24"/>
          <w:szCs w:val="24"/>
          <w:highlight w:val="none"/>
        </w:rPr>
        <w:t>2.对供应商的纪律要求</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不得相互串通投标或者与采购人串通投标，不得向采购人或者磋商小组成员行贿谋取中标，不得以他人名义投标或者以其他方式弄虚作假骗取中标；供应商不得以任何方式干扰、影响评标工作；不得诋毁、排挤其他供应商；不得在招标过程中与招标采购单位进行协商谈判；不得拒绝有关部门的监督检查或者向监督检查部门提供虚假情况。</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下列行为视为以他人名义投标：</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（1）供应商挂靠其他单位；</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（2）供应商从其它单位通过转让或租借的方式获取资格或资质证书；</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（3）由其它单位及法定代表人在自己编制的磋商响应性文件上加盖印章或签字；</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（4）法律法规规定的其它情形。</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下列行为均视为供应商串通投标：</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供应商串通投标报价：</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a）供应商之间相互约定抬高或压低投标报价；</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b）供应商之间相互约定，在招标项目中分别以高、中、低价位报价；</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c）供应商之间先进行内部竞价，内定中标人，然后再参加投标；</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d）不同供应商的投标报价或报价组成异常一致的；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e）供应商之间其它串通投标报价的行为。</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 不同供应商磋商响应性文件的编制人或审核人为同一人或同一单位人员的；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 不同供应商磋商响应性文件的授权签署人为同一人或同一单位人员的；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 不同供应商委托同一人办理投标事宜的；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.5 不同供应商的磋商响应性文件相互混装的；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.6 不同供应商使用同一单位的资金缴纳投标保证金的；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.7 不同供应商的磋商响应性文件载明的项目成员出现相同人员的；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.8 不同供应商的磋商响应性文件内容存在非正常一致的；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.9 不同供应商的服务方案中专门针对本项目的内容基本雷同的；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.10 不同供应商的磋商响应性文件出现磋商小组认为不应当雷同的情况的；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法律法规规章规定的其他围标串标行为。</w:t>
      </w:r>
    </w:p>
    <w:p>
      <w:pPr>
        <w:pStyle w:val="13"/>
        <w:kinsoku w:val="0"/>
        <w:overflowPunct w:val="0"/>
        <w:spacing w:before="26" w:line="360" w:lineRule="auto"/>
        <w:ind w:right="5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3.对磋商小组成员的纪律要求</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磋商小组成员不得收受他人的财物或者其他好处，不得向他人透漏对磋商响应性文件的评审和比较、</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候选人的推荐情况以及评标有关的其他情况。在评标活动中，磋商小组成员不得擅离职守，</w:t>
      </w:r>
      <w:bookmarkStart w:id="56" w:name="bookmark14"/>
      <w:bookmarkEnd w:id="56"/>
      <w:bookmarkStart w:id="57" w:name="bookmark13"/>
      <w:bookmarkEnd w:id="57"/>
      <w:bookmarkStart w:id="58" w:name="（十二）无效投标"/>
      <w:bookmarkEnd w:id="58"/>
      <w:bookmarkStart w:id="59" w:name="（十三）废标"/>
      <w:bookmarkEnd w:id="59"/>
      <w:r>
        <w:rPr>
          <w:rFonts w:hint="eastAsia" w:ascii="宋体" w:hAnsi="宋体" w:eastAsia="宋体" w:cs="宋体"/>
          <w:color w:val="auto"/>
          <w:sz w:val="24"/>
          <w:szCs w:val="24"/>
          <w:highlight w:val="none"/>
        </w:rPr>
        <w:t>影响评标程序正常进行，不得使用“评标办法”没有规定的评审因素和标准进行评标。</w:t>
      </w:r>
    </w:p>
    <w:p>
      <w:pPr>
        <w:pStyle w:val="13"/>
        <w:kinsoku w:val="0"/>
        <w:overflowPunct w:val="0"/>
        <w:spacing w:before="38" w:line="360" w:lineRule="auto"/>
        <w:ind w:left="598" w:right="50" w:hanging="480"/>
        <w:rPr>
          <w:rFonts w:hint="eastAsia" w:ascii="宋体" w:hAnsi="宋体" w:eastAsia="宋体" w:cs="宋体"/>
          <w:b/>
          <w:bCs/>
          <w:color w:val="auto"/>
          <w:spacing w:val="26"/>
          <w:w w:val="99"/>
          <w:sz w:val="24"/>
          <w:szCs w:val="24"/>
          <w:highlight w:val="none"/>
        </w:rPr>
      </w:pPr>
      <w:r>
        <w:rPr>
          <w:rFonts w:hint="eastAsia" w:ascii="宋体" w:hAnsi="宋体" w:eastAsia="宋体" w:cs="宋体"/>
          <w:b/>
          <w:bCs/>
          <w:color w:val="auto"/>
          <w:sz w:val="24"/>
          <w:szCs w:val="24"/>
          <w:highlight w:val="none"/>
        </w:rPr>
        <w:t>4.对与评标活动有关的工作人员的纪律要求</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与评标活动有关的工作人员不得收受他人的财物或者其他好处，不得向他人透漏对</w:t>
      </w:r>
      <w:r>
        <w:rPr>
          <w:rFonts w:hint="eastAsia" w:ascii="宋体" w:hAnsi="宋体" w:eastAsia="宋体" w:cs="宋体"/>
          <w:color w:val="auto"/>
          <w:sz w:val="24"/>
          <w:szCs w:val="24"/>
          <w:highlight w:val="none"/>
          <w:lang w:eastAsia="zh-CN"/>
        </w:rPr>
        <w:t>投</w:t>
      </w:r>
      <w:r>
        <w:rPr>
          <w:rFonts w:hint="eastAsia" w:ascii="宋体" w:hAnsi="宋体" w:eastAsia="宋体" w:cs="宋体"/>
          <w:color w:val="auto"/>
          <w:sz w:val="24"/>
          <w:szCs w:val="24"/>
          <w:highlight w:val="none"/>
        </w:rPr>
        <w:t>标文件的评审和比较、</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候选人的推荐情况以及评标有关的其他情况。在评标活动中，与评标活动有关的工作人员不得擅离职守，影响评标程序正常进行。</w:t>
      </w:r>
    </w:p>
    <w:p>
      <w:pPr>
        <w:pStyle w:val="5"/>
        <w:spacing w:line="360" w:lineRule="auto"/>
        <w:rPr>
          <w:rFonts w:hint="eastAsia" w:ascii="宋体" w:hAnsi="宋体" w:eastAsia="宋体" w:cs="宋体"/>
          <w:color w:val="auto"/>
          <w:sz w:val="24"/>
          <w:szCs w:val="24"/>
          <w:highlight w:val="none"/>
        </w:rPr>
      </w:pPr>
      <w:bookmarkStart w:id="60" w:name="_Toc503548060"/>
      <w:r>
        <w:rPr>
          <w:rFonts w:hint="eastAsia" w:ascii="宋体" w:hAnsi="宋体" w:eastAsia="宋体" w:cs="宋体"/>
          <w:color w:val="auto"/>
          <w:sz w:val="24"/>
          <w:szCs w:val="24"/>
          <w:highlight w:val="none"/>
        </w:rPr>
        <w:t>（十二）无效投标</w:t>
      </w:r>
      <w:bookmarkEnd w:id="60"/>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遇到下列情况之一时,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 xml:space="preserve">的投标将被视为无效投标: </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1)未按照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文件的规定提交</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文件未按</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文件要求签署、盖章的；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3)不具备</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文件中规定的资格要求的；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报价超过</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文件中规定的预算金额或者最高限价的；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 </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文件含有采购人不能接受的附加条件的；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6)法律、法规和</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文件规定的其他无效情形；</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7)有下列情形之一的，视为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串通投标，其投标无效：</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的投标文件由同一单位或者个人编制；</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委托同一单位或者个人办理投标事宜；</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的投标文件载明的项目管理成员或者联系人员为同一人；</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的投标文件异常一致或者投标报价呈规律性差异；</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的投标文件相互混装；</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保证金从同一单位或者个人的账户转出。</w:t>
      </w:r>
    </w:p>
    <w:p>
      <w:pPr>
        <w:pStyle w:val="5"/>
        <w:spacing w:line="360" w:lineRule="auto"/>
        <w:rPr>
          <w:rFonts w:hint="eastAsia" w:ascii="宋体" w:hAnsi="宋体" w:eastAsia="宋体" w:cs="宋体"/>
          <w:color w:val="auto"/>
          <w:sz w:val="24"/>
          <w:szCs w:val="24"/>
          <w:highlight w:val="none"/>
        </w:rPr>
      </w:pPr>
      <w:bookmarkStart w:id="61" w:name="_Toc503548061"/>
      <w:r>
        <w:rPr>
          <w:rFonts w:hint="eastAsia" w:ascii="宋体" w:hAnsi="宋体" w:eastAsia="宋体" w:cs="宋体"/>
          <w:color w:val="auto"/>
          <w:sz w:val="24"/>
          <w:szCs w:val="24"/>
          <w:highlight w:val="none"/>
        </w:rPr>
        <w:t>（十三）废标</w:t>
      </w:r>
      <w:bookmarkEnd w:id="61"/>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招标采购中，出现下列情形之一的，予以废标：</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（1）符合专业条件的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单位或者对竞争性磋商文件作实质响应的投标单位不足</w:t>
      </w:r>
      <w:r>
        <w:rPr>
          <w:rFonts w:hint="eastAsia" w:ascii="宋体" w:hAnsi="宋体" w:eastAsia="宋体" w:cs="宋体"/>
          <w:color w:val="auto"/>
          <w:spacing w:val="4"/>
          <w:sz w:val="24"/>
          <w:szCs w:val="24"/>
          <w:highlight w:val="none"/>
        </w:rPr>
        <w:t>《政府采购货物和服务招标投标管理办法》、《政府购买服务管理办法（暂行）》、《政府采购竞争性磋商采购方式管理暂行办法》、《财政部关于政府采购竞争性磋商采购方式管理暂行办法有关问题的补充通知》及相关法规</w:t>
      </w:r>
      <w:r>
        <w:rPr>
          <w:rFonts w:hint="eastAsia" w:ascii="宋体" w:hAnsi="宋体" w:eastAsia="宋体" w:cs="宋体"/>
          <w:color w:val="auto"/>
          <w:sz w:val="24"/>
          <w:szCs w:val="24"/>
          <w:highlight w:val="none"/>
        </w:rPr>
        <w:t>规定的家数；</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（2）出现影响采购公正的违法、违规行为的；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（3）供应商的报价均超过了采购预算，采购人不能支付的；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（4）因重大变故，采购任务取消的。废标后，</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应在发布公告相同的网站上公告，并公告废标的详细理由。</w:t>
      </w:r>
    </w:p>
    <w:p>
      <w:pPr>
        <w:pStyle w:val="5"/>
        <w:spacing w:line="360" w:lineRule="auto"/>
        <w:rPr>
          <w:rFonts w:hint="eastAsia" w:ascii="宋体" w:hAnsi="宋体" w:eastAsia="宋体" w:cs="宋体"/>
          <w:color w:val="auto"/>
          <w:sz w:val="24"/>
          <w:szCs w:val="24"/>
          <w:highlight w:val="none"/>
        </w:rPr>
      </w:pPr>
      <w:bookmarkStart w:id="62" w:name="_Toc503548062"/>
      <w:r>
        <w:rPr>
          <w:rFonts w:hint="eastAsia" w:ascii="宋体" w:hAnsi="宋体" w:eastAsia="宋体" w:cs="宋体"/>
          <w:color w:val="auto"/>
          <w:sz w:val="24"/>
          <w:szCs w:val="24"/>
          <w:highlight w:val="none"/>
        </w:rPr>
        <w:t>（十四）质疑和投诉</w:t>
      </w:r>
      <w:bookmarkEnd w:id="62"/>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1.供应商对政府采购活动事项有疑问的，可以向采购人提出询问，采购人应当及时作出答复，但答复的内容不得涉及商业秘密。</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2.供应商认为竞争性磋商文件、采购过程和中标、中标结果使自己的权益受到损害的，可以在知道或者应知其权益受到损害之日起七个工作日内，以规范的格式，详实的证明材料以书面形式向采购人提出质疑。</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3.采购人应当在收到供应商的书面质疑后七个工作日内作出答复，并以书面形式通知质疑供应商和其他有关供应商，但答复的内容不得涉及商业秘密。</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人委托采购代理机构采购的，供应商可以向采购代理机构提出询问或者质疑，采购代理机构应当依照《中华人民共和国政府采购法》第五十一条、第五十三条的规定就采购人委托授权范围内的事项作出答复。</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5.质疑供应商对采购人、采购代理机构的答复不满意或者采购人、采购代理机构未在规定的时间内作出答复的，可以在答复期满后十五个工作日内向同级政府采购监督管理部门投诉。</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6.政府采购监督管理部门应当在收到投诉后三十个工作日内，对投诉事项作出处理决定，并以书面形式通知投诉人和与投诉事项有关的当事人。</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7.政府采购监督管理部门在处理投诉事项期间，可以视具体情况书面通知采购人暂停采购活动，但暂停时间最长不得超过三十日。</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8.投诉人对政府采购监督管理部门的投诉处理决定不服或者政府采购监督管理部门逾期未作处理的，可以依法申请行政复议或者向人民法院提起行政诉讼。</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9.质疑、投诉书应当包括下列主要内容：</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（1）投诉人和被投诉人的名称、地址、电话等；</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（2）具体的投诉事项及事实依据；</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（3）提供有关质疑事项真实可靠的书面证明材料；</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提起投诉的日期。质疑、投诉书应当署名。质疑、投诉人为自然人的，应当由本人签字；质疑、投诉人为法人或者其他组织的，应当由法定代表人签字并加盖公章；质疑、投诉人为委托授权人的应该出具针对本质疑、投诉事项的法人委托授权书。</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10.投诉人有下列情形之一的，属于虚假、恶意投诉，财政部门应当驳回投诉，将其列入不良行为记录名单，并依法予以处罚：</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年内 3 次以上投诉均查无实据的；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（2）捏造事实或者提供虚假投诉材料的。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11.澄清或质疑不予受理的情况有下列情形之一的，属于无效质疑，被质疑人不予受理，由此产生的影响由供应商自行承担：</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（1）不是参与该政府采购项目活动供应商的；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（2）被质疑人为采购人或政府采购代理机构之外的；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（3）所有质疑事项超过质疑有效期的；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（4）以具有法律效力的文书送达之外方式提出的；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（5）未按上述规定递交澄清或质疑函的；</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（6）其它不符合受理条件的情形。</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12.腐败和欺诈行为</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（1）定义“腐败行为”系指提供、给予、接受或索取任何有价值的物品来影响</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和/或采购人在采购过程或合同实施过程中的行为。“欺诈行为”系指为了影响采购过程或合同实施过程而谎报事实，损害</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和采购人的利益，包括供应商之间串通投标（递交《磋商响应性文件》之前和之后），人为地使投标丧失竞争性，剥夺采购人从自由公开竞争所能获得的权益。</w:t>
      </w:r>
    </w:p>
    <w:p>
      <w:pPr>
        <w:pStyle w:val="13"/>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和采购人认为供应商在本项目的竞争中有腐败或欺诈行为，其投标将被拒绝。</w:t>
      </w:r>
    </w:p>
    <w:p>
      <w:pPr>
        <w:pStyle w:val="4"/>
        <w:spacing w:line="360" w:lineRule="auto"/>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br w:type="page"/>
      </w:r>
      <w:bookmarkStart w:id="63" w:name="_Toc503548063"/>
      <w:r>
        <w:rPr>
          <w:rFonts w:hint="eastAsia" w:ascii="宋体" w:hAnsi="宋体" w:eastAsia="宋体" w:cs="宋体"/>
          <w:color w:val="auto"/>
          <w:w w:val="95"/>
          <w:sz w:val="24"/>
          <w:szCs w:val="24"/>
          <w:highlight w:val="none"/>
        </w:rPr>
        <w:t>第三章</w:t>
      </w:r>
      <w:r>
        <w:rPr>
          <w:rFonts w:hint="eastAsia" w:ascii="宋体" w:hAnsi="宋体" w:eastAsia="宋体" w:cs="宋体"/>
          <w:color w:val="auto"/>
          <w:w w:val="95"/>
          <w:sz w:val="24"/>
          <w:szCs w:val="24"/>
          <w:highlight w:val="none"/>
        </w:rPr>
        <w:tab/>
      </w:r>
      <w:r>
        <w:rPr>
          <w:rFonts w:hint="eastAsia" w:ascii="宋体" w:hAnsi="宋体" w:eastAsia="宋体" w:cs="宋体"/>
          <w:color w:val="auto"/>
          <w:spacing w:val="1"/>
          <w:sz w:val="24"/>
          <w:szCs w:val="24"/>
          <w:highlight w:val="none"/>
        </w:rPr>
        <w:t>评标办法</w:t>
      </w:r>
      <w:bookmarkEnd w:id="63"/>
    </w:p>
    <w:p>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一．评审方法：</w:t>
      </w:r>
    </w:p>
    <w:p>
      <w:pPr>
        <w:keepNext w:val="0"/>
        <w:keepLines w:val="0"/>
        <w:pageBreakBefore w:val="0"/>
        <w:widowControl w:val="0"/>
        <w:kinsoku/>
        <w:wordWrap/>
        <w:overflowPunct/>
        <w:topLinePunct w:val="0"/>
        <w:autoSpaceDE/>
        <w:autoSpaceDN/>
        <w:bidi w:val="0"/>
        <w:adjustRightInd/>
        <w:snapToGrid/>
        <w:spacing w:line="500" w:lineRule="exact"/>
        <w:ind w:left="0" w:right="0" w:firstLine="520" w:firstLineChars="217"/>
        <w:textAlignment w:val="auto"/>
        <w:outlineLvl w:val="9"/>
        <w:rPr>
          <w:rFonts w:hint="eastAsia" w:ascii="宋体" w:hAnsi="宋体" w:eastAsia="宋体" w:cs="宋体"/>
          <w:color w:val="auto"/>
          <w:spacing w:val="4"/>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按照《中华人民共和国政府采购法》及实施条例和</w:t>
      </w:r>
      <w:r>
        <w:rPr>
          <w:rFonts w:hint="eastAsia" w:ascii="宋体" w:hAnsi="宋体" w:eastAsia="宋体" w:cs="宋体"/>
          <w:color w:val="auto"/>
          <w:sz w:val="24"/>
          <w:szCs w:val="24"/>
          <w:highlight w:val="none"/>
          <w:lang w:eastAsia="zh-CN"/>
        </w:rPr>
        <w:t>财政部</w:t>
      </w:r>
      <w:r>
        <w:rPr>
          <w:rFonts w:hint="eastAsia" w:ascii="宋体" w:hAnsi="宋体" w:eastAsia="宋体" w:cs="宋体"/>
          <w:color w:val="auto"/>
          <w:sz w:val="24"/>
          <w:szCs w:val="24"/>
          <w:highlight w:val="none"/>
          <w:lang w:val="en-US" w:eastAsia="zh-CN"/>
        </w:rPr>
        <w:t>关于印发《政府采购竞争性磋商采购方式管理暂行办法》的通知（财库【2014】214号）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二、评审程序：</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right="0" w:firstLine="498" w:firstLineChars="200"/>
        <w:textAlignment w:val="auto"/>
        <w:outlineLvl w:val="9"/>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对磋商响应文件的初审：</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firstLine="472" w:firstLineChars="196"/>
        <w:jc w:val="both"/>
        <w:textAlignment w:val="auto"/>
        <w:outlineLvl w:val="9"/>
        <w:rPr>
          <w:rFonts w:hint="eastAsia" w:ascii="宋体" w:hAnsi="宋体" w:eastAsia="宋体" w:cs="宋体"/>
          <w:color w:val="auto"/>
          <w:kern w:val="0"/>
          <w:sz w:val="24"/>
          <w:szCs w:val="24"/>
          <w:highlight w:val="none"/>
          <w:lang w:eastAsia="zh-CN" w:bidi="ar-SA"/>
        </w:rPr>
      </w:pPr>
      <w:r>
        <w:rPr>
          <w:rFonts w:hint="eastAsia" w:ascii="宋体" w:hAnsi="宋体" w:eastAsia="宋体" w:cs="宋体"/>
          <w:b/>
          <w:bCs/>
          <w:color w:val="auto"/>
          <w:sz w:val="24"/>
          <w:szCs w:val="24"/>
          <w:highlight w:val="none"/>
          <w:lang w:val="en-US" w:eastAsia="zh-CN" w:bidi="ar-SA"/>
        </w:rPr>
        <w:t>1.1</w:t>
      </w:r>
      <w:r>
        <w:rPr>
          <w:rFonts w:hint="eastAsia" w:ascii="宋体" w:hAnsi="宋体" w:eastAsia="宋体" w:cs="宋体"/>
          <w:b/>
          <w:bCs/>
          <w:color w:val="auto"/>
          <w:sz w:val="24"/>
          <w:szCs w:val="24"/>
          <w:highlight w:val="none"/>
          <w:lang w:bidi="ar-SA"/>
        </w:rPr>
        <w:t>资格审查。</w:t>
      </w:r>
      <w:r>
        <w:rPr>
          <w:rFonts w:hint="eastAsia" w:ascii="宋体" w:hAnsi="宋体" w:eastAsia="宋体" w:cs="宋体"/>
          <w:color w:val="auto"/>
          <w:sz w:val="24"/>
          <w:szCs w:val="24"/>
          <w:highlight w:val="none"/>
          <w:lang w:eastAsia="zh-CN" w:bidi="ar-SA"/>
        </w:rPr>
        <w:t>磋商小组</w:t>
      </w:r>
      <w:r>
        <w:rPr>
          <w:rFonts w:hint="eastAsia" w:ascii="宋体" w:hAnsi="宋体" w:eastAsia="宋体" w:cs="宋体"/>
          <w:color w:val="auto"/>
          <w:sz w:val="24"/>
          <w:szCs w:val="24"/>
          <w:highlight w:val="none"/>
          <w:lang w:bidi="ar-SA"/>
        </w:rPr>
        <w:t>将依据</w:t>
      </w:r>
      <w:r>
        <w:rPr>
          <w:rFonts w:hint="eastAsia" w:ascii="宋体" w:hAnsi="宋体" w:eastAsia="宋体" w:cs="宋体"/>
          <w:color w:val="auto"/>
          <w:sz w:val="24"/>
          <w:szCs w:val="24"/>
          <w:highlight w:val="none"/>
          <w:lang w:eastAsia="zh-CN" w:bidi="ar-SA"/>
        </w:rPr>
        <w:t>磋商响应</w:t>
      </w:r>
      <w:r>
        <w:rPr>
          <w:rFonts w:hint="eastAsia" w:ascii="宋体" w:hAnsi="宋体" w:eastAsia="宋体" w:cs="宋体"/>
          <w:color w:val="auto"/>
          <w:sz w:val="24"/>
          <w:szCs w:val="24"/>
          <w:highlight w:val="none"/>
          <w:lang w:bidi="ar-SA"/>
        </w:rPr>
        <w:t>文件，按照</w:t>
      </w:r>
      <w:r>
        <w:rPr>
          <w:rFonts w:hint="eastAsia" w:ascii="宋体" w:hAnsi="宋体" w:eastAsia="宋体" w:cs="宋体"/>
          <w:color w:val="auto"/>
          <w:sz w:val="24"/>
          <w:szCs w:val="24"/>
          <w:highlight w:val="none"/>
          <w:lang w:eastAsia="zh-CN" w:bidi="ar-SA"/>
        </w:rPr>
        <w:t>磋商</w:t>
      </w:r>
      <w:r>
        <w:rPr>
          <w:rFonts w:hint="eastAsia" w:ascii="宋体" w:hAnsi="宋体" w:eastAsia="宋体" w:cs="宋体"/>
          <w:color w:val="auto"/>
          <w:sz w:val="24"/>
          <w:szCs w:val="24"/>
          <w:highlight w:val="none"/>
          <w:lang w:bidi="ar-SA"/>
        </w:rPr>
        <w:t>文件所述</w:t>
      </w:r>
      <w:r>
        <w:rPr>
          <w:rFonts w:hint="eastAsia" w:ascii="宋体" w:hAnsi="宋体" w:eastAsia="宋体" w:cs="宋体"/>
          <w:color w:val="auto"/>
          <w:sz w:val="24"/>
          <w:szCs w:val="24"/>
          <w:highlight w:val="none"/>
          <w:lang w:eastAsia="zh-CN" w:bidi="ar-SA"/>
        </w:rPr>
        <w:t>资格要求进行资格审查，</w:t>
      </w:r>
      <w:r>
        <w:rPr>
          <w:rFonts w:hint="eastAsia" w:ascii="宋体" w:hAnsi="宋体" w:eastAsia="宋体" w:cs="宋体"/>
          <w:color w:val="auto"/>
          <w:sz w:val="24"/>
          <w:szCs w:val="24"/>
          <w:highlight w:val="none"/>
          <w:lang w:bidi="ar-SA"/>
        </w:rPr>
        <w:t>有一项因素不符合审查标准的，</w:t>
      </w:r>
      <w:r>
        <w:rPr>
          <w:rFonts w:hint="eastAsia" w:ascii="宋体" w:hAnsi="宋体" w:eastAsia="宋体" w:cs="宋体"/>
          <w:color w:val="auto"/>
          <w:sz w:val="24"/>
          <w:szCs w:val="24"/>
          <w:highlight w:val="none"/>
          <w:lang w:eastAsia="zh-CN" w:bidi="ar-SA"/>
        </w:rPr>
        <w:t>供应商</w:t>
      </w:r>
      <w:r>
        <w:rPr>
          <w:rFonts w:hint="eastAsia" w:ascii="宋体" w:hAnsi="宋体" w:eastAsia="宋体" w:cs="宋体"/>
          <w:color w:val="auto"/>
          <w:sz w:val="24"/>
          <w:szCs w:val="24"/>
          <w:highlight w:val="none"/>
          <w:lang w:bidi="ar-SA"/>
        </w:rPr>
        <w:t>不能通过</w:t>
      </w:r>
      <w:r>
        <w:rPr>
          <w:rFonts w:hint="eastAsia" w:ascii="宋体" w:hAnsi="宋体" w:eastAsia="宋体" w:cs="宋体"/>
          <w:color w:val="auto"/>
          <w:sz w:val="24"/>
          <w:szCs w:val="24"/>
          <w:highlight w:val="none"/>
          <w:lang w:eastAsia="zh-CN" w:bidi="ar-SA"/>
        </w:rPr>
        <w:t>资格审查，其磋商无效</w:t>
      </w:r>
      <w:r>
        <w:rPr>
          <w:rFonts w:hint="eastAsia" w:ascii="宋体" w:hAnsi="宋体" w:eastAsia="宋体" w:cs="宋体"/>
          <w:color w:val="auto"/>
          <w:kern w:val="0"/>
          <w:sz w:val="24"/>
          <w:szCs w:val="24"/>
          <w:highlight w:val="none"/>
          <w:lang w:bidi="ar-SA"/>
        </w:rPr>
        <w:t>。</w:t>
      </w:r>
      <w:r>
        <w:rPr>
          <w:rFonts w:hint="eastAsia" w:ascii="宋体" w:hAnsi="宋体" w:eastAsia="宋体" w:cs="宋体"/>
          <w:color w:val="auto"/>
          <w:kern w:val="0"/>
          <w:sz w:val="24"/>
          <w:szCs w:val="24"/>
          <w:highlight w:val="none"/>
          <w:lang w:eastAsia="zh-CN" w:bidi="ar-SA"/>
        </w:rPr>
        <w:t>有关资格证明材料的证书、证件原件备查。</w:t>
      </w:r>
    </w:p>
    <w:p>
      <w:pPr>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资格审查表</w:t>
      </w:r>
    </w:p>
    <w:tbl>
      <w:tblPr>
        <w:tblStyle w:val="30"/>
        <w:tblW w:w="9914" w:type="dxa"/>
        <w:tblInd w:w="-76"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24"/>
        <w:gridCol w:w="909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824" w:type="dxa"/>
            <w:tcBorders>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序号</w:t>
            </w:r>
          </w:p>
        </w:tc>
        <w:tc>
          <w:tcPr>
            <w:tcW w:w="9090" w:type="dxa"/>
            <w:tcBorders>
              <w:left w:val="single" w:color="auto" w:sz="4" w:space="0"/>
              <w:bottom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标  准</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PrEx>
        <w:trPr>
          <w:trHeight w:val="547"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1</w:t>
            </w:r>
          </w:p>
        </w:tc>
        <w:tc>
          <w:tcPr>
            <w:tcW w:w="909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具有有效的营业执照； </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9090" w:type="dxa"/>
            <w:tcBorders>
              <w:top w:val="single" w:color="auto" w:sz="4" w:space="0"/>
              <w:left w:val="single" w:color="auto" w:sz="4" w:space="0"/>
              <w:bottom w:val="single" w:color="auto" w:sz="4" w:space="0"/>
            </w:tcBorders>
            <w:vAlign w:val="center"/>
          </w:tcPr>
          <w:p>
            <w:pPr>
              <w:spacing w:line="360" w:lineRule="auto"/>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en-US" w:eastAsia="zh-CN" w:bidi="ar-SA"/>
              </w:rPr>
              <w:t>具备国家级植保机械质量检测机构检验合格认证</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9090" w:type="dxa"/>
            <w:tcBorders>
              <w:top w:val="single" w:color="auto" w:sz="4" w:space="0"/>
              <w:left w:val="single" w:color="auto" w:sz="4" w:space="0"/>
              <w:bottom w:val="single" w:color="auto" w:sz="4" w:space="0"/>
            </w:tcBorders>
            <w:vAlign w:val="center"/>
          </w:tcPr>
          <w:p>
            <w:pPr>
              <w:spacing w:line="360" w:lineRule="auto"/>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拟实施作业服务组织的植保无人机操作手必须取得该机型的操作资格证书</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9090" w:type="dxa"/>
            <w:tcBorders>
              <w:top w:val="single" w:color="auto" w:sz="4" w:space="0"/>
              <w:left w:val="single" w:color="auto" w:sz="4" w:space="0"/>
              <w:bottom w:val="single" w:color="auto" w:sz="4" w:space="0"/>
            </w:tcBorders>
            <w:vAlign w:val="center"/>
          </w:tcPr>
          <w:p>
            <w:pPr>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lang w:val="en-US" w:eastAsia="zh-CN" w:bidi="ar-SA"/>
              </w:rPr>
              <w:t>磋商保证金缴纳凭证（以电汇或网银转账方式缴纳）或磋商保证金收据（以支票、汇票、本票等非现金形式缴纳）或者金融机构、担保机构出具的保函</w:t>
            </w:r>
            <w:r>
              <w:rPr>
                <w:rFonts w:hint="eastAsia" w:ascii="宋体" w:hAnsi="宋体" w:cs="宋体"/>
                <w:color w:val="auto"/>
                <w:kern w:val="0"/>
                <w:sz w:val="24"/>
                <w:szCs w:val="24"/>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196" w:hRule="atLeast"/>
        </w:trPr>
        <w:tc>
          <w:tcPr>
            <w:tcW w:w="824" w:type="dxa"/>
            <w:tcBorders>
              <w:top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p>
        </w:tc>
        <w:tc>
          <w:tcPr>
            <w:tcW w:w="9090" w:type="dxa"/>
            <w:tcBorders>
              <w:top w:val="single" w:color="auto" w:sz="4" w:space="0"/>
              <w:left w:val="single" w:color="auto" w:sz="4" w:space="0"/>
            </w:tcBorders>
            <w:vAlign w:val="center"/>
          </w:tcPr>
          <w:p>
            <w:pPr>
              <w:autoSpaceDE w:val="0"/>
              <w:autoSpaceDN w:val="0"/>
              <w:adjustRightIn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信用中国”（www.creditchina.gov.cn）和中国政府采购网（www.ccgp.gov.cn）网站上未被列入失信被执行人、重大税收违法案件当事人名单以及政府采购严重违法失信行为记录名单的网页打印件（网页打印件须自招标公告发布之日起至首次提交投标文件截止时间内从上述网站中打印）并加盖公章；</w:t>
            </w:r>
          </w:p>
        </w:tc>
      </w:tr>
    </w:tbl>
    <w:p>
      <w:pPr>
        <w:spacing w:line="360" w:lineRule="auto"/>
        <w:jc w:val="center"/>
        <w:rPr>
          <w:rFonts w:hint="eastAsia" w:ascii="宋体" w:hAnsi="宋体" w:eastAsia="宋体" w:cs="宋体"/>
          <w:color w:val="auto"/>
          <w:sz w:val="24"/>
          <w:szCs w:val="24"/>
          <w:highlight w:val="none"/>
        </w:rPr>
      </w:pP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pPr>
        <w:pageBreakBefore w:val="0"/>
        <w:kinsoku/>
        <w:wordWrap/>
        <w:overflowPunct/>
        <w:topLinePunct w:val="0"/>
        <w:bidi w:val="0"/>
        <w:adjustRightInd/>
        <w:spacing w:afterAutospacing="0"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文件</w:t>
      </w:r>
      <w:r>
        <w:rPr>
          <w:rFonts w:hint="eastAsia" w:ascii="宋体" w:hAnsi="宋体" w:eastAsia="宋体" w:cs="宋体"/>
          <w:b/>
          <w:bCs/>
          <w:color w:val="auto"/>
          <w:sz w:val="24"/>
          <w:szCs w:val="24"/>
          <w:highlight w:val="none"/>
        </w:rPr>
        <w:t>符合性审查</w:t>
      </w:r>
    </w:p>
    <w:tbl>
      <w:tblPr>
        <w:tblStyle w:val="30"/>
        <w:tblpPr w:leftFromText="180" w:rightFromText="180" w:vertAnchor="text" w:horzAnchor="page" w:tblpX="1037" w:tblpY="105"/>
        <w:tblOverlap w:val="never"/>
        <w:tblW w:w="10150" w:type="dxa"/>
        <w:jc w:val="center"/>
        <w:tblLayout w:type="fixed"/>
        <w:tblCellMar>
          <w:top w:w="15" w:type="dxa"/>
          <w:left w:w="15" w:type="dxa"/>
          <w:bottom w:w="15" w:type="dxa"/>
          <w:right w:w="15" w:type="dxa"/>
        </w:tblCellMar>
      </w:tblPr>
      <w:tblGrid>
        <w:gridCol w:w="483"/>
        <w:gridCol w:w="7558"/>
        <w:gridCol w:w="834"/>
        <w:gridCol w:w="850"/>
        <w:gridCol w:w="425"/>
      </w:tblGrid>
      <w:tr>
        <w:tblPrEx>
          <w:tblCellMar>
            <w:top w:w="15" w:type="dxa"/>
            <w:left w:w="15" w:type="dxa"/>
            <w:bottom w:w="15" w:type="dxa"/>
            <w:right w:w="15" w:type="dxa"/>
          </w:tblCellMar>
        </w:tblPrEx>
        <w:trPr>
          <w:trHeight w:val="435" w:hRule="atLeast"/>
          <w:jc w:val="center"/>
        </w:trPr>
        <w:tc>
          <w:tcPr>
            <w:tcW w:w="8041" w:type="dxa"/>
            <w:gridSpan w:val="2"/>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项目编号：</w:t>
            </w:r>
          </w:p>
        </w:tc>
        <w:tc>
          <w:tcPr>
            <w:tcW w:w="2109" w:type="dxa"/>
            <w:gridSpan w:val="3"/>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val="en-US" w:eastAsia="zh-CN" w:bidi="ar-SA"/>
              </w:rPr>
              <w:t>磋商</w:t>
            </w:r>
            <w:r>
              <w:rPr>
                <w:rFonts w:hint="eastAsia" w:ascii="宋体" w:hAnsi="宋体" w:eastAsia="宋体" w:cs="宋体"/>
                <w:color w:val="auto"/>
                <w:sz w:val="24"/>
                <w:szCs w:val="24"/>
                <w:highlight w:val="none"/>
                <w:lang w:eastAsia="zh-CN" w:bidi="ar-SA"/>
              </w:rPr>
              <w:t>时间：</w:t>
            </w:r>
          </w:p>
        </w:tc>
      </w:tr>
      <w:tr>
        <w:tblPrEx>
          <w:tblCellMar>
            <w:top w:w="15" w:type="dxa"/>
            <w:left w:w="15" w:type="dxa"/>
            <w:bottom w:w="15" w:type="dxa"/>
            <w:right w:w="15" w:type="dxa"/>
          </w:tblCellMar>
        </w:tblPrEx>
        <w:trPr>
          <w:trHeight w:val="353" w:hRule="atLeast"/>
          <w:jc w:val="center"/>
        </w:trPr>
        <w:tc>
          <w:tcPr>
            <w:tcW w:w="483"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序号</w:t>
            </w:r>
          </w:p>
        </w:tc>
        <w:tc>
          <w:tcPr>
            <w:tcW w:w="7558"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项目</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2</w:t>
            </w: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3</w:t>
            </w:r>
          </w:p>
        </w:tc>
      </w:tr>
      <w:tr>
        <w:tblPrEx>
          <w:tblCellMar>
            <w:top w:w="15" w:type="dxa"/>
            <w:left w:w="15" w:type="dxa"/>
            <w:bottom w:w="15" w:type="dxa"/>
            <w:right w:w="15" w:type="dxa"/>
          </w:tblCellMar>
        </w:tblPrEx>
        <w:trPr>
          <w:trHeight w:val="90" w:hRule="atLeast"/>
          <w:jc w:val="center"/>
        </w:trPr>
        <w:tc>
          <w:tcPr>
            <w:tcW w:w="483"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7558"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是否合格</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是否合格</w:t>
            </w: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bidi="ar-SA"/>
              </w:rPr>
              <w:t>..</w:t>
            </w:r>
            <w:r>
              <w:rPr>
                <w:rFonts w:hint="eastAsia" w:ascii="宋体" w:hAnsi="宋体" w:eastAsia="宋体" w:cs="宋体"/>
                <w:color w:val="auto"/>
                <w:sz w:val="24"/>
                <w:szCs w:val="24"/>
                <w:highlight w:val="none"/>
                <w:lang w:val="en-US" w:eastAsia="zh-CN" w:bidi="ar-SA"/>
              </w:rPr>
              <w:t>.</w:t>
            </w:r>
          </w:p>
        </w:tc>
      </w:tr>
      <w:tr>
        <w:tblPrEx>
          <w:tblCellMar>
            <w:top w:w="15" w:type="dxa"/>
            <w:left w:w="15" w:type="dxa"/>
            <w:bottom w:w="15" w:type="dxa"/>
            <w:right w:w="15" w:type="dxa"/>
          </w:tblCellMar>
        </w:tblPrEx>
        <w:trPr>
          <w:trHeight w:val="424"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1</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法定代表人授权的代理人未随响应文件一起提交有效的“授权委托书”的；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86"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2</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未按规定加盖供应商公章和未经法定代表人或其授权代理人签字或盖章的；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468"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3</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合同履行期限不符合采购文件要求；</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40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4</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响应文件的关键内容字迹模糊、无法辨认的；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451"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5</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没有按照采购文件要求提供磋商保证金，或者所提供的磋商保证金有瑕疵的；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615"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6</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供应商资格条件不满足采购文件要求的；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88"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val="en-US" w:eastAsia="zh-CN" w:bidi="ar-SA"/>
              </w:rPr>
              <w:t>7</w:t>
            </w:r>
          </w:p>
        </w:tc>
        <w:tc>
          <w:tcPr>
            <w:tcW w:w="7558" w:type="dxa"/>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磋商文件附有采购人不能接受条件的；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5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val="en-US" w:eastAsia="zh-CN" w:bidi="ar-SA"/>
              </w:rPr>
              <w:t>8</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不满足磋商文件实质性要求的其他情形.</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5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9</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供应商报价是否超过磋商文件规定的最高限价</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75" w:hRule="atLeast"/>
          <w:jc w:val="center"/>
        </w:trPr>
        <w:tc>
          <w:tcPr>
            <w:tcW w:w="8041"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评审结果</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75" w:hRule="atLeast"/>
          <w:jc w:val="center"/>
        </w:trPr>
        <w:tc>
          <w:tcPr>
            <w:tcW w:w="10150" w:type="dxa"/>
            <w:gridSpan w:val="5"/>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“√”表示合格；“×”表示不合格，一项不合格结果为不合格，如不合格，请在结果中写明原因。</w:t>
            </w:r>
          </w:p>
        </w:tc>
      </w:tr>
    </w:tbl>
    <w:p>
      <w:pPr>
        <w:spacing w:line="360" w:lineRule="auto"/>
        <w:ind w:firstLine="600" w:firstLineChars="250"/>
        <w:rPr>
          <w:rFonts w:hint="eastAsia" w:ascii="宋体" w:hAnsi="宋体" w:eastAsia="宋体" w:cs="宋体"/>
          <w:color w:val="auto"/>
          <w:sz w:val="24"/>
          <w:szCs w:val="24"/>
          <w:highlight w:val="none"/>
        </w:rPr>
      </w:pPr>
    </w:p>
    <w:p>
      <w:pPr>
        <w:pStyle w:val="13"/>
        <w:kinsoku w:val="0"/>
        <w:overflowPunct w:val="0"/>
        <w:spacing w:before="34"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pPr>
        <w:pStyle w:val="13"/>
        <w:kinsoku w:val="0"/>
        <w:overflowPunct w:val="0"/>
        <w:spacing w:before="34"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综合评分表</w:t>
      </w:r>
    </w:p>
    <w:tbl>
      <w:tblPr>
        <w:tblStyle w:val="30"/>
        <w:tblW w:w="8829" w:type="dxa"/>
        <w:tblInd w:w="220" w:type="dxa"/>
        <w:tblLayout w:type="fixed"/>
        <w:tblCellMar>
          <w:top w:w="0" w:type="dxa"/>
          <w:left w:w="0" w:type="dxa"/>
          <w:bottom w:w="0" w:type="dxa"/>
          <w:right w:w="0" w:type="dxa"/>
        </w:tblCellMar>
      </w:tblPr>
      <w:tblGrid>
        <w:gridCol w:w="683"/>
        <w:gridCol w:w="1483"/>
        <w:gridCol w:w="6039"/>
        <w:gridCol w:w="624"/>
      </w:tblGrid>
      <w:tr>
        <w:tblPrEx>
          <w:tblCellMar>
            <w:top w:w="0" w:type="dxa"/>
            <w:left w:w="0" w:type="dxa"/>
            <w:bottom w:w="0" w:type="dxa"/>
            <w:right w:w="0" w:type="dxa"/>
          </w:tblCellMar>
        </w:tblPrEx>
        <w:trPr>
          <w:trHeight w:val="655" w:hRule="atLeast"/>
        </w:trPr>
        <w:tc>
          <w:tcPr>
            <w:tcW w:w="68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pStyle w:val="4"/>
              <w:tabs>
                <w:tab w:val="left" w:pos="886"/>
                <w:tab w:val="center" w:pos="4906"/>
              </w:tabs>
              <w:spacing w:line="360" w:lineRule="auto"/>
              <w:jc w:val="left"/>
              <w:rPr>
                <w:rFonts w:ascii="仿宋" w:hAnsi="仿宋" w:eastAsia="仿宋" w:cs="仿宋"/>
                <w:i w:val="0"/>
                <w:color w:val="auto"/>
                <w:sz w:val="24"/>
                <w:szCs w:val="24"/>
                <w:u w:val="none"/>
              </w:rPr>
            </w:pPr>
            <w:bookmarkStart w:id="64" w:name="_Toc503548064"/>
            <w:r>
              <w:rPr>
                <w:rFonts w:hint="eastAsia" w:ascii="宋体" w:hAnsi="宋体" w:eastAsia="宋体" w:cs="宋体"/>
                <w:color w:val="auto"/>
                <w:sz w:val="32"/>
                <w:szCs w:val="32"/>
                <w:highlight w:val="none"/>
                <w:lang w:eastAsia="zh-CN"/>
              </w:rPr>
              <w:tab/>
            </w:r>
            <w:r>
              <w:rPr>
                <w:rFonts w:hint="eastAsia" w:ascii="仿宋" w:hAnsi="仿宋" w:eastAsia="仿宋" w:cs="宋体"/>
                <w:b/>
                <w:bCs/>
                <w:color w:val="auto"/>
                <w:kern w:val="0"/>
                <w:sz w:val="24"/>
                <w:szCs w:val="24"/>
              </w:rPr>
              <w:t>序号</w:t>
            </w:r>
          </w:p>
        </w:tc>
        <w:tc>
          <w:tcPr>
            <w:tcW w:w="148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 w:hAnsi="仿宋" w:eastAsia="仿宋" w:cs="宋体"/>
                <w:b/>
                <w:bCs/>
                <w:color w:val="auto"/>
                <w:kern w:val="0"/>
                <w:sz w:val="24"/>
                <w:szCs w:val="24"/>
                <w:lang w:val="en-US" w:eastAsia="zh-CN"/>
              </w:rPr>
              <w:t xml:space="preserve"> </w:t>
            </w:r>
            <w:r>
              <w:rPr>
                <w:rFonts w:hint="eastAsia" w:ascii="仿宋" w:hAnsi="仿宋" w:eastAsia="仿宋" w:cs="宋体"/>
                <w:b/>
                <w:bCs/>
                <w:color w:val="auto"/>
                <w:kern w:val="0"/>
                <w:sz w:val="24"/>
                <w:szCs w:val="24"/>
              </w:rPr>
              <w:t>评审项目</w:t>
            </w:r>
          </w:p>
        </w:tc>
        <w:tc>
          <w:tcPr>
            <w:tcW w:w="603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2168" w:firstLineChars="900"/>
              <w:textAlignment w:val="auto"/>
              <w:rPr>
                <w:rFonts w:hint="eastAsia" w:ascii="仿宋_GB2312" w:hAnsi="仿宋_GB2312" w:eastAsia="仿宋_GB2312" w:cs="仿宋_GB2312"/>
                <w:color w:val="auto"/>
                <w:sz w:val="24"/>
                <w:szCs w:val="24"/>
              </w:rPr>
            </w:pPr>
            <w:r>
              <w:rPr>
                <w:rFonts w:hint="eastAsia" w:ascii="仿宋" w:hAnsi="仿宋" w:eastAsia="仿宋" w:cs="宋体"/>
                <w:b/>
                <w:bCs/>
                <w:color w:val="auto"/>
                <w:kern w:val="0"/>
                <w:sz w:val="24"/>
                <w:szCs w:val="24"/>
              </w:rPr>
              <w:t>评审标准</w:t>
            </w:r>
          </w:p>
        </w:tc>
        <w:tc>
          <w:tcPr>
            <w:tcW w:w="6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 w:hAnsi="仿宋" w:eastAsia="仿宋" w:cs="宋体"/>
                <w:b/>
                <w:bCs/>
                <w:color w:val="auto"/>
                <w:kern w:val="0"/>
                <w:sz w:val="24"/>
                <w:szCs w:val="24"/>
              </w:rPr>
              <w:t>分值</w:t>
            </w:r>
          </w:p>
        </w:tc>
      </w:tr>
      <w:tr>
        <w:tblPrEx>
          <w:tblCellMar>
            <w:top w:w="0" w:type="dxa"/>
            <w:left w:w="0" w:type="dxa"/>
            <w:bottom w:w="0" w:type="dxa"/>
            <w:right w:w="0" w:type="dxa"/>
          </w:tblCellMar>
        </w:tblPrEx>
        <w:trPr>
          <w:trHeight w:val="1000" w:hRule="atLeast"/>
        </w:trPr>
        <w:tc>
          <w:tcPr>
            <w:tcW w:w="68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w:t>
            </w:r>
          </w:p>
        </w:tc>
        <w:tc>
          <w:tcPr>
            <w:tcW w:w="148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报价</w:t>
            </w:r>
          </w:p>
        </w:tc>
        <w:tc>
          <w:tcPr>
            <w:tcW w:w="603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价格分采用低价优先法计算，在所有的有效投标报价中，以最低投标报价为基准价，其价格分为满分。其他供应商的报价分统一按下列公式计算：投标报价得分=(评标基准价／评标报价)×100×10%（四舍五入后保留小数点后两位）。</w:t>
            </w:r>
          </w:p>
        </w:tc>
        <w:tc>
          <w:tcPr>
            <w:tcW w:w="6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10分</w:t>
            </w:r>
          </w:p>
        </w:tc>
      </w:tr>
      <w:tr>
        <w:tblPrEx>
          <w:tblCellMar>
            <w:top w:w="0" w:type="dxa"/>
            <w:left w:w="0" w:type="dxa"/>
            <w:bottom w:w="0" w:type="dxa"/>
            <w:right w:w="0" w:type="dxa"/>
          </w:tblCellMar>
        </w:tblPrEx>
        <w:trPr>
          <w:trHeight w:val="1000" w:hRule="atLeast"/>
        </w:trPr>
        <w:tc>
          <w:tcPr>
            <w:tcW w:w="68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w:t>
            </w:r>
          </w:p>
        </w:tc>
        <w:tc>
          <w:tcPr>
            <w:tcW w:w="148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供应商业绩</w:t>
            </w:r>
          </w:p>
        </w:tc>
        <w:tc>
          <w:tcPr>
            <w:tcW w:w="603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i w:val="0"/>
                <w:color w:val="auto"/>
                <w:kern w:val="0"/>
                <w:sz w:val="24"/>
                <w:szCs w:val="24"/>
                <w:highlight w:val="none"/>
                <w:u w:val="none"/>
                <w:lang w:val="en-US" w:eastAsia="zh-CN" w:bidi="ar"/>
              </w:rPr>
            </w:pPr>
            <w:r>
              <w:rPr>
                <w:rFonts w:hint="eastAsia" w:ascii="仿宋_GB2312" w:hAnsi="仿宋_GB2312" w:eastAsia="仿宋_GB2312" w:cs="仿宋_GB2312"/>
                <w:i w:val="0"/>
                <w:color w:val="auto"/>
                <w:kern w:val="0"/>
                <w:sz w:val="24"/>
                <w:szCs w:val="24"/>
                <w:highlight w:val="none"/>
                <w:u w:val="none"/>
                <w:lang w:val="en-US" w:eastAsia="zh-CN" w:bidi="ar"/>
              </w:rPr>
              <w:t>供应商近三年（2020年5月~至今）已完成的类似业绩，每提供1项得2分，最高8分。</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r>
              <w:rPr>
                <w:rFonts w:hint="eastAsia" w:ascii="仿宋_GB2312" w:hAnsi="仿宋_GB2312" w:eastAsia="仿宋_GB2312" w:cs="仿宋_GB2312"/>
                <w:b/>
                <w:bCs/>
                <w:i w:val="0"/>
                <w:color w:val="auto"/>
                <w:kern w:val="0"/>
                <w:sz w:val="24"/>
                <w:szCs w:val="24"/>
                <w:highlight w:val="none"/>
                <w:u w:val="none"/>
                <w:lang w:val="en-US" w:eastAsia="zh-CN" w:bidi="ar"/>
              </w:rPr>
              <w:t>注：提供证明材料合同或中标通知书或发包通知书或成交通知书（复印件加盖公章）</w:t>
            </w:r>
          </w:p>
        </w:tc>
        <w:tc>
          <w:tcPr>
            <w:tcW w:w="6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8分</w:t>
            </w:r>
          </w:p>
        </w:tc>
      </w:tr>
      <w:tr>
        <w:tblPrEx>
          <w:tblCellMar>
            <w:top w:w="0" w:type="dxa"/>
            <w:left w:w="0" w:type="dxa"/>
            <w:bottom w:w="0" w:type="dxa"/>
            <w:right w:w="0" w:type="dxa"/>
          </w:tblCellMar>
        </w:tblPrEx>
        <w:trPr>
          <w:trHeight w:val="1000" w:hRule="atLeast"/>
        </w:trPr>
        <w:tc>
          <w:tcPr>
            <w:tcW w:w="68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w:t>
            </w:r>
          </w:p>
        </w:tc>
        <w:tc>
          <w:tcPr>
            <w:tcW w:w="148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项目负责人业绩</w:t>
            </w:r>
          </w:p>
        </w:tc>
        <w:tc>
          <w:tcPr>
            <w:tcW w:w="603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i w:val="0"/>
                <w:color w:val="auto"/>
                <w:kern w:val="0"/>
                <w:sz w:val="24"/>
                <w:szCs w:val="24"/>
                <w:highlight w:val="none"/>
                <w:u w:val="none"/>
                <w:lang w:val="en-US" w:eastAsia="zh-CN" w:bidi="ar"/>
              </w:rPr>
            </w:pPr>
            <w:r>
              <w:rPr>
                <w:rFonts w:hint="eastAsia" w:ascii="仿宋_GB2312" w:hAnsi="仿宋_GB2312" w:eastAsia="仿宋_GB2312" w:cs="仿宋_GB2312"/>
                <w:i w:val="0"/>
                <w:color w:val="auto"/>
                <w:kern w:val="0"/>
                <w:sz w:val="24"/>
                <w:szCs w:val="24"/>
                <w:highlight w:val="none"/>
                <w:u w:val="none"/>
                <w:lang w:val="en-US" w:eastAsia="zh-CN" w:bidi="ar"/>
              </w:rPr>
              <w:t>提供近三年（2020年5月~至今）已完成的类似业绩，每提供1项得2.5分，最高得5分；</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bCs/>
                <w:i w:val="0"/>
                <w:color w:val="auto"/>
                <w:kern w:val="0"/>
                <w:sz w:val="24"/>
                <w:szCs w:val="24"/>
                <w:highlight w:val="none"/>
                <w:u w:val="none"/>
                <w:lang w:val="en-US" w:eastAsia="zh-CN" w:bidi="ar"/>
              </w:rPr>
            </w:pPr>
            <w:r>
              <w:rPr>
                <w:rFonts w:hint="eastAsia" w:ascii="仿宋_GB2312" w:hAnsi="仿宋_GB2312" w:eastAsia="仿宋_GB2312" w:cs="仿宋_GB2312"/>
                <w:b/>
                <w:bCs/>
                <w:i w:val="0"/>
                <w:color w:val="auto"/>
                <w:kern w:val="0"/>
                <w:sz w:val="24"/>
                <w:szCs w:val="24"/>
                <w:highlight w:val="none"/>
                <w:u w:val="none"/>
                <w:lang w:val="en-US" w:eastAsia="zh-CN" w:bidi="ar"/>
              </w:rPr>
              <w:t>注：提供证明材料合同或中标通知书或发包通知书或成交通知书（复印件加盖公章）</w:t>
            </w:r>
          </w:p>
        </w:tc>
        <w:tc>
          <w:tcPr>
            <w:tcW w:w="6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5分</w:t>
            </w:r>
          </w:p>
        </w:tc>
      </w:tr>
      <w:tr>
        <w:tblPrEx>
          <w:tblCellMar>
            <w:top w:w="0" w:type="dxa"/>
            <w:left w:w="0" w:type="dxa"/>
            <w:bottom w:w="0" w:type="dxa"/>
            <w:right w:w="0" w:type="dxa"/>
          </w:tblCellMar>
        </w:tblPrEx>
        <w:trPr>
          <w:trHeight w:val="1000" w:hRule="atLeast"/>
        </w:trPr>
        <w:tc>
          <w:tcPr>
            <w:tcW w:w="68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w:t>
            </w:r>
          </w:p>
        </w:tc>
        <w:tc>
          <w:tcPr>
            <w:tcW w:w="148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Times New Roman" w:eastAsia="宋体" w:cs="宋体"/>
                <w:color w:val="auto"/>
                <w:sz w:val="24"/>
                <w:szCs w:val="24"/>
                <w:lang w:val="en-US" w:eastAsia="zh-CN" w:bidi="ar-SA"/>
              </w:rPr>
            </w:pPr>
            <w:r>
              <w:rPr>
                <w:rFonts w:hint="eastAsia" w:ascii="仿宋_GB2312" w:hAnsi="仿宋_GB2312" w:eastAsia="仿宋_GB2312" w:cs="仿宋_GB2312"/>
                <w:i w:val="0"/>
                <w:color w:val="auto"/>
                <w:kern w:val="0"/>
                <w:sz w:val="24"/>
                <w:szCs w:val="24"/>
                <w:u w:val="none"/>
                <w:lang w:val="en-US" w:eastAsia="zh-CN" w:bidi="ar"/>
              </w:rPr>
              <w:t>本地服务能力</w:t>
            </w:r>
          </w:p>
        </w:tc>
        <w:tc>
          <w:tcPr>
            <w:tcW w:w="603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在本次项目地有办公场所及</w:t>
            </w:r>
            <w:r>
              <w:rPr>
                <w:rFonts w:hint="eastAsia" w:ascii="仿宋_GB2312" w:hAnsi="仿宋_GB2312" w:eastAsia="仿宋_GB2312" w:cs="仿宋_GB2312"/>
                <w:i w:val="0"/>
                <w:color w:val="auto"/>
                <w:kern w:val="0"/>
                <w:sz w:val="24"/>
                <w:szCs w:val="24"/>
                <w:highlight w:val="none"/>
                <w:u w:val="none"/>
                <w:lang w:val="en-US" w:eastAsia="zh-CN" w:bidi="ar"/>
              </w:rPr>
              <w:t>用来服务本次项目的设备</w:t>
            </w:r>
            <w:r>
              <w:rPr>
                <w:rFonts w:hint="eastAsia" w:ascii="仿宋_GB2312" w:hAnsi="仿宋_GB2312" w:eastAsia="仿宋_GB2312" w:cs="仿宋_GB2312"/>
                <w:i w:val="0"/>
                <w:color w:val="auto"/>
                <w:kern w:val="0"/>
                <w:sz w:val="24"/>
                <w:szCs w:val="24"/>
                <w:u w:val="none"/>
                <w:lang w:val="en-US" w:eastAsia="zh-CN" w:bidi="ar"/>
              </w:rPr>
              <w:t>。（需提供办公场所照片和设备照片，办公场所租赁合同或产权证明材料）最高2分，不提供不得分。</w:t>
            </w:r>
          </w:p>
        </w:tc>
        <w:tc>
          <w:tcPr>
            <w:tcW w:w="6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2分</w:t>
            </w:r>
          </w:p>
        </w:tc>
      </w:tr>
      <w:tr>
        <w:tblPrEx>
          <w:tblCellMar>
            <w:top w:w="0" w:type="dxa"/>
            <w:left w:w="0" w:type="dxa"/>
            <w:bottom w:w="0" w:type="dxa"/>
            <w:right w:w="0" w:type="dxa"/>
          </w:tblCellMar>
        </w:tblPrEx>
        <w:trPr>
          <w:trHeight w:val="1301" w:hRule="atLeast"/>
        </w:trPr>
        <w:tc>
          <w:tcPr>
            <w:tcW w:w="68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w:t>
            </w:r>
          </w:p>
        </w:tc>
        <w:tc>
          <w:tcPr>
            <w:tcW w:w="148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人员配置</w:t>
            </w:r>
          </w:p>
        </w:tc>
        <w:tc>
          <w:tcPr>
            <w:tcW w:w="603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本项目拟投入操作人员5人及以上含（5人）得2分、8人及以上含（8人）得4分、13人及以上含（13人）得6分，最高6分</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注：拟实施作业服务组织的植保无人机操作手必须取得操作资格证书。</w:t>
            </w:r>
          </w:p>
        </w:tc>
        <w:tc>
          <w:tcPr>
            <w:tcW w:w="6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6分</w:t>
            </w:r>
          </w:p>
        </w:tc>
      </w:tr>
      <w:tr>
        <w:trPr>
          <w:trHeight w:val="685" w:hRule="atLeast"/>
        </w:trPr>
        <w:tc>
          <w:tcPr>
            <w:tcW w:w="68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6</w:t>
            </w:r>
          </w:p>
        </w:tc>
        <w:tc>
          <w:tcPr>
            <w:tcW w:w="148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实施方案</w:t>
            </w:r>
          </w:p>
        </w:tc>
        <w:tc>
          <w:tcPr>
            <w:tcW w:w="603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根据投标人的整体实施方案，项目理解、机型选择，飞防时间安排计划、保证措施、飞防路线规划设计等，内容具体、全面、可行性很高，措施科学合理，可行性强，得9-15分；措施较科学、可行性较强，得5-8分；措施相对科学，可行性一般，得1-4分，不提供不得分。</w:t>
            </w:r>
          </w:p>
        </w:tc>
        <w:tc>
          <w:tcPr>
            <w:tcW w:w="6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15分</w:t>
            </w:r>
          </w:p>
        </w:tc>
      </w:tr>
      <w:tr>
        <w:tblPrEx>
          <w:tblCellMar>
            <w:top w:w="0" w:type="dxa"/>
            <w:left w:w="0" w:type="dxa"/>
            <w:bottom w:w="0" w:type="dxa"/>
            <w:right w:w="0" w:type="dxa"/>
          </w:tblCellMar>
        </w:tblPrEx>
        <w:trPr>
          <w:trHeight w:val="365" w:hRule="atLeast"/>
        </w:trPr>
        <w:tc>
          <w:tcPr>
            <w:tcW w:w="68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7</w:t>
            </w:r>
          </w:p>
        </w:tc>
        <w:tc>
          <w:tcPr>
            <w:tcW w:w="148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right="0" w:firstLine="240" w:firstLineChars="100"/>
              <w:textAlignment w:val="auto"/>
              <w:outlineLvl w:val="9"/>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进度安排</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603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进度安排合理、控制措施全面、可操作性强7～10分；进度安排基本合理、控制措施基本完整、具有一定的可操作性4～6分；进度安排不合理、控制措施不全面、无可操作性0～3分；</w:t>
            </w:r>
          </w:p>
        </w:tc>
        <w:tc>
          <w:tcPr>
            <w:tcW w:w="6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10分</w:t>
            </w:r>
          </w:p>
        </w:tc>
      </w:tr>
      <w:tr>
        <w:tblPrEx>
          <w:tblCellMar>
            <w:top w:w="0" w:type="dxa"/>
            <w:left w:w="0" w:type="dxa"/>
            <w:bottom w:w="0" w:type="dxa"/>
            <w:right w:w="0" w:type="dxa"/>
          </w:tblCellMar>
        </w:tblPrEx>
        <w:trPr>
          <w:trHeight w:val="1000" w:hRule="atLeast"/>
        </w:trPr>
        <w:tc>
          <w:tcPr>
            <w:tcW w:w="68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8</w:t>
            </w:r>
          </w:p>
        </w:tc>
        <w:tc>
          <w:tcPr>
            <w:tcW w:w="148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质量保证措施</w:t>
            </w:r>
          </w:p>
        </w:tc>
        <w:tc>
          <w:tcPr>
            <w:tcW w:w="603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i w:val="0"/>
                <w:color w:val="auto"/>
                <w:kern w:val="0"/>
                <w:sz w:val="24"/>
                <w:szCs w:val="24"/>
                <w:u w:val="none"/>
                <w:lang w:val="en-US" w:eastAsia="zh-CN" w:bidi="ar"/>
              </w:rPr>
            </w:pPr>
            <w:bookmarkStart w:id="67" w:name="_GoBack"/>
            <w:r>
              <w:rPr>
                <w:rFonts w:hint="eastAsia" w:ascii="仿宋_GB2312" w:hAnsi="仿宋_GB2312" w:eastAsia="仿宋_GB2312" w:cs="仿宋_GB2312"/>
                <w:i w:val="0"/>
                <w:color w:val="auto"/>
                <w:kern w:val="0"/>
                <w:sz w:val="24"/>
                <w:szCs w:val="24"/>
                <w:u w:val="none"/>
                <w:lang w:val="en-US" w:eastAsia="zh-CN" w:bidi="ar"/>
              </w:rPr>
              <w:t>质量管理体系建立健全，各专业、各阶段质量控制措施具体、可行，针对性强10～12分；质量管理体系基本建立，质量控制措施基本完整，具有一定的针对性5分～9分；质量管理体系未建立，无质量控制措施0分～4分；</w:t>
            </w:r>
            <w:bookmarkEnd w:id="67"/>
          </w:p>
        </w:tc>
        <w:tc>
          <w:tcPr>
            <w:tcW w:w="6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12分</w:t>
            </w:r>
          </w:p>
        </w:tc>
      </w:tr>
      <w:tr>
        <w:tblPrEx>
          <w:tblCellMar>
            <w:top w:w="0" w:type="dxa"/>
            <w:left w:w="0" w:type="dxa"/>
            <w:bottom w:w="0" w:type="dxa"/>
            <w:right w:w="0" w:type="dxa"/>
          </w:tblCellMar>
        </w:tblPrEx>
        <w:trPr>
          <w:trHeight w:val="413" w:hRule="atLeast"/>
        </w:trPr>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9</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应急响应方案</w:t>
            </w:r>
          </w:p>
        </w:tc>
        <w:tc>
          <w:tcPr>
            <w:tcW w:w="60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供应商针对本项目，提供应急响应方案，包括但不限于①应急管理组织、响应时间、 联系人、联系方式等；②应急响应流程；③紧急情况及应对措施等。④应急方案的全面性、合理性等；进行评比，针对本项目拟定的应急预案全面、科学、合理、可行且详细的，得10~12分；2、针对本项目拟定的应急预案全面、科学、合理、可行且较详细的，得5~9分；3、有针对本项目拟定应急预案，但不具体、不全面，科学性和合理性较差，得1~4分；不提供不得分。</w:t>
            </w:r>
          </w:p>
        </w:tc>
        <w:tc>
          <w:tcPr>
            <w:tcW w:w="6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12分</w:t>
            </w:r>
          </w:p>
        </w:tc>
      </w:tr>
      <w:tr>
        <w:tblPrEx>
          <w:tblCellMar>
            <w:top w:w="0" w:type="dxa"/>
            <w:left w:w="0" w:type="dxa"/>
            <w:bottom w:w="0" w:type="dxa"/>
            <w:right w:w="0" w:type="dxa"/>
          </w:tblCellMar>
        </w:tblPrEx>
        <w:trPr>
          <w:trHeight w:val="1000" w:hRule="atLeast"/>
        </w:trPr>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10</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00" w:lineRule="exact"/>
              <w:ind w:right="0" w:firstLine="248" w:firstLineChars="100"/>
              <w:textAlignment w:val="auto"/>
              <w:outlineLvl w:val="9"/>
              <w:rPr>
                <w:rFonts w:hint="eastAsia" w:ascii="宋体" w:hAnsi="宋体" w:eastAsia="宋体" w:cs="宋体"/>
                <w:bCs/>
                <w:color w:val="auto"/>
                <w:spacing w:val="4"/>
                <w:sz w:val="24"/>
                <w:szCs w:val="24"/>
                <w:lang w:val="en-US" w:eastAsia="zh-CN" w:bidi="ar-SA"/>
              </w:rPr>
            </w:pPr>
            <w:r>
              <w:rPr>
                <w:rFonts w:hint="eastAsia" w:ascii="宋体" w:hAnsi="宋体" w:eastAsia="宋体" w:cs="宋体"/>
                <w:bCs/>
                <w:color w:val="auto"/>
                <w:spacing w:val="4"/>
                <w:sz w:val="24"/>
                <w:szCs w:val="24"/>
                <w:lang w:val="en-US" w:eastAsia="zh-CN" w:bidi="ar-SA"/>
              </w:rPr>
              <w:t>服务措施</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60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服务保证措施全面，针对项目实施各阶段均提出了具体的服务计划和实施细则，可操作性强9分～12分；服务保证措施基本完整，提出了服务计划和实施细则，具有一定的可操作性5～8分；服务保证措施不全面，无具体的服务计划和实施细则，无可操作性0～4分；</w:t>
            </w:r>
          </w:p>
        </w:tc>
        <w:tc>
          <w:tcPr>
            <w:tcW w:w="6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12分</w:t>
            </w:r>
          </w:p>
        </w:tc>
      </w:tr>
      <w:tr>
        <w:tblPrEx>
          <w:tblCellMar>
            <w:top w:w="0" w:type="dxa"/>
            <w:left w:w="0" w:type="dxa"/>
            <w:bottom w:w="0" w:type="dxa"/>
            <w:right w:w="0" w:type="dxa"/>
          </w:tblCellMar>
        </w:tblPrEx>
        <w:trPr>
          <w:trHeight w:val="396" w:hRule="atLeast"/>
        </w:trPr>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11</w:t>
            </w:r>
          </w:p>
        </w:tc>
        <w:tc>
          <w:tcPr>
            <w:tcW w:w="1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作业安全</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保障方案</w:t>
            </w:r>
          </w:p>
        </w:tc>
        <w:tc>
          <w:tcPr>
            <w:tcW w:w="60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根据对供应商的作业安全保障方案的可靠性，科学合理、全面完整、细节详尽，阐述详尽性等情况。内容具体、全面、可行性很高，措施科学合理，可行性强，得6-8分；措施较科学、可行性较强，得3-5分；措施相对科学，可行性一般，得0-2分，不提供不得分。</w:t>
            </w:r>
          </w:p>
        </w:tc>
        <w:tc>
          <w:tcPr>
            <w:tcW w:w="6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8分</w:t>
            </w:r>
          </w:p>
        </w:tc>
      </w:tr>
    </w:tbl>
    <w:p>
      <w:pPr>
        <w:pStyle w:val="4"/>
        <w:tabs>
          <w:tab w:val="left" w:pos="886"/>
          <w:tab w:val="center" w:pos="4906"/>
        </w:tabs>
        <w:spacing w:line="360" w:lineRule="auto"/>
        <w:jc w:val="left"/>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ab/>
      </w:r>
    </w:p>
    <w:p>
      <w:pPr>
        <w:rPr>
          <w:rFonts w:hint="eastAsia" w:ascii="宋体" w:hAnsi="宋体" w:eastAsia="宋体" w:cs="宋体"/>
          <w:color w:val="auto"/>
          <w:sz w:val="32"/>
          <w:szCs w:val="32"/>
          <w:highlight w:val="none"/>
          <w:lang w:eastAsia="zh-CN"/>
        </w:rPr>
      </w:pPr>
    </w:p>
    <w:p>
      <w:pPr>
        <w:pStyle w:val="2"/>
        <w:rPr>
          <w:rFonts w:hint="eastAsia" w:ascii="宋体" w:hAnsi="宋体" w:eastAsia="宋体" w:cs="宋体"/>
          <w:color w:val="auto"/>
          <w:sz w:val="32"/>
          <w:szCs w:val="32"/>
          <w:highlight w:val="none"/>
          <w:lang w:eastAsia="zh-CN"/>
        </w:rPr>
      </w:pPr>
    </w:p>
    <w:p>
      <w:pPr>
        <w:rPr>
          <w:rFonts w:hint="eastAsia" w:ascii="宋体" w:hAnsi="宋体" w:eastAsia="宋体" w:cs="宋体"/>
          <w:color w:val="auto"/>
          <w:sz w:val="32"/>
          <w:szCs w:val="32"/>
          <w:highlight w:val="none"/>
          <w:lang w:eastAsia="zh-CN"/>
        </w:rPr>
      </w:pPr>
    </w:p>
    <w:p>
      <w:pPr>
        <w:pStyle w:val="2"/>
        <w:rPr>
          <w:rFonts w:hint="eastAsia" w:ascii="宋体" w:hAnsi="宋体" w:eastAsia="宋体" w:cs="宋体"/>
          <w:color w:val="auto"/>
          <w:sz w:val="32"/>
          <w:szCs w:val="32"/>
          <w:highlight w:val="none"/>
          <w:lang w:eastAsia="zh-CN"/>
        </w:rPr>
      </w:pPr>
    </w:p>
    <w:p>
      <w:pPr>
        <w:rPr>
          <w:rFonts w:hint="eastAsia" w:ascii="宋体" w:hAnsi="宋体" w:eastAsia="宋体" w:cs="宋体"/>
          <w:color w:val="auto"/>
          <w:sz w:val="32"/>
          <w:szCs w:val="32"/>
          <w:highlight w:val="none"/>
          <w:lang w:eastAsia="zh-CN"/>
        </w:rPr>
      </w:pPr>
    </w:p>
    <w:p>
      <w:pPr>
        <w:pStyle w:val="2"/>
        <w:rPr>
          <w:rFonts w:hint="eastAsia" w:ascii="宋体" w:hAnsi="宋体" w:eastAsia="宋体" w:cs="宋体"/>
          <w:color w:val="auto"/>
          <w:sz w:val="32"/>
          <w:szCs w:val="32"/>
          <w:highlight w:val="none"/>
          <w:lang w:eastAsia="zh-CN"/>
        </w:rPr>
      </w:pPr>
    </w:p>
    <w:p>
      <w:pPr>
        <w:rPr>
          <w:rFonts w:hint="eastAsia" w:ascii="宋体" w:hAnsi="宋体" w:eastAsia="宋体" w:cs="宋体"/>
          <w:color w:val="auto"/>
          <w:sz w:val="32"/>
          <w:szCs w:val="32"/>
          <w:highlight w:val="none"/>
          <w:lang w:eastAsia="zh-CN"/>
        </w:rPr>
      </w:pPr>
    </w:p>
    <w:p>
      <w:pPr>
        <w:pStyle w:val="2"/>
        <w:rPr>
          <w:rFonts w:hint="eastAsia" w:ascii="宋体" w:hAnsi="宋体" w:eastAsia="宋体" w:cs="宋体"/>
          <w:color w:val="auto"/>
          <w:sz w:val="32"/>
          <w:szCs w:val="32"/>
          <w:highlight w:val="none"/>
          <w:lang w:eastAsia="zh-CN"/>
        </w:rPr>
      </w:pPr>
    </w:p>
    <w:p>
      <w:pPr>
        <w:rPr>
          <w:rFonts w:hint="eastAsia" w:ascii="宋体" w:hAnsi="宋体" w:eastAsia="宋体" w:cs="宋体"/>
          <w:color w:val="auto"/>
          <w:sz w:val="32"/>
          <w:szCs w:val="32"/>
          <w:highlight w:val="none"/>
          <w:lang w:eastAsia="zh-CN"/>
        </w:rPr>
      </w:pPr>
    </w:p>
    <w:p>
      <w:pPr>
        <w:pStyle w:val="2"/>
        <w:rPr>
          <w:rFonts w:hint="eastAsia" w:ascii="宋体" w:hAnsi="宋体" w:eastAsia="宋体" w:cs="宋体"/>
          <w:color w:val="auto"/>
          <w:sz w:val="32"/>
          <w:szCs w:val="32"/>
          <w:highlight w:val="none"/>
          <w:lang w:eastAsia="zh-CN"/>
        </w:rPr>
      </w:pPr>
    </w:p>
    <w:p>
      <w:pPr>
        <w:rPr>
          <w:rFonts w:hint="eastAsia" w:ascii="宋体" w:hAnsi="宋体" w:eastAsia="宋体" w:cs="宋体"/>
          <w:color w:val="auto"/>
          <w:sz w:val="32"/>
          <w:szCs w:val="32"/>
          <w:highlight w:val="none"/>
          <w:lang w:eastAsia="zh-CN"/>
        </w:rPr>
      </w:pPr>
    </w:p>
    <w:p>
      <w:pPr>
        <w:pStyle w:val="2"/>
        <w:rPr>
          <w:rFonts w:hint="eastAsia" w:ascii="宋体" w:hAnsi="宋体" w:eastAsia="宋体" w:cs="宋体"/>
          <w:color w:val="auto"/>
          <w:sz w:val="32"/>
          <w:szCs w:val="32"/>
          <w:highlight w:val="none"/>
          <w:lang w:eastAsia="zh-CN"/>
        </w:rPr>
      </w:pPr>
    </w:p>
    <w:p>
      <w:pPr>
        <w:rPr>
          <w:rFonts w:hint="eastAsia" w:ascii="宋体" w:hAnsi="宋体" w:eastAsia="宋体" w:cs="宋体"/>
          <w:color w:val="auto"/>
          <w:sz w:val="32"/>
          <w:szCs w:val="32"/>
          <w:highlight w:val="none"/>
          <w:lang w:eastAsia="zh-CN"/>
        </w:rPr>
      </w:pPr>
    </w:p>
    <w:p>
      <w:pPr>
        <w:pStyle w:val="2"/>
        <w:rPr>
          <w:rFonts w:hint="eastAsia" w:ascii="宋体" w:hAnsi="宋体" w:eastAsia="宋体" w:cs="宋体"/>
          <w:color w:val="auto"/>
          <w:sz w:val="32"/>
          <w:szCs w:val="32"/>
          <w:highlight w:val="none"/>
          <w:lang w:eastAsia="zh-CN"/>
        </w:rPr>
      </w:pPr>
    </w:p>
    <w:p>
      <w:pPr>
        <w:rPr>
          <w:rFonts w:hint="eastAsia" w:ascii="宋体" w:hAnsi="宋体" w:eastAsia="宋体" w:cs="宋体"/>
          <w:color w:val="auto"/>
          <w:sz w:val="32"/>
          <w:szCs w:val="32"/>
          <w:highlight w:val="none"/>
          <w:lang w:eastAsia="zh-CN"/>
        </w:rPr>
      </w:pPr>
    </w:p>
    <w:p>
      <w:pPr>
        <w:pStyle w:val="2"/>
        <w:rPr>
          <w:rFonts w:hint="eastAsia" w:ascii="宋体" w:hAnsi="宋体" w:eastAsia="宋体" w:cs="宋体"/>
          <w:color w:val="auto"/>
          <w:sz w:val="32"/>
          <w:szCs w:val="32"/>
          <w:highlight w:val="none"/>
          <w:lang w:eastAsia="zh-CN"/>
        </w:rPr>
      </w:pPr>
    </w:p>
    <w:p>
      <w:pPr>
        <w:rPr>
          <w:rFonts w:hint="eastAsia" w:ascii="宋体" w:hAnsi="宋体" w:eastAsia="宋体" w:cs="宋体"/>
          <w:color w:val="auto"/>
          <w:sz w:val="32"/>
          <w:szCs w:val="32"/>
          <w:highlight w:val="none"/>
          <w:lang w:eastAsia="zh-CN"/>
        </w:rPr>
      </w:pPr>
    </w:p>
    <w:p>
      <w:pPr>
        <w:pStyle w:val="2"/>
        <w:rPr>
          <w:rFonts w:hint="default"/>
          <w:color w:val="auto"/>
          <w:lang w:val="en-US" w:eastAsia="zh-CN"/>
        </w:rPr>
      </w:pPr>
    </w:p>
    <w:p>
      <w:pPr>
        <w:pStyle w:val="2"/>
        <w:rPr>
          <w:rFonts w:hint="eastAsia" w:ascii="宋体" w:hAnsi="宋体" w:eastAsia="宋体" w:cs="宋体"/>
          <w:color w:val="auto"/>
          <w:sz w:val="32"/>
          <w:szCs w:val="32"/>
          <w:highlight w:val="none"/>
          <w:lang w:eastAsia="zh-CN"/>
        </w:rPr>
      </w:pPr>
    </w:p>
    <w:p>
      <w:pPr>
        <w:rPr>
          <w:rFonts w:hint="eastAsia" w:ascii="宋体" w:hAnsi="宋体" w:eastAsia="宋体" w:cs="宋体"/>
          <w:color w:val="auto"/>
          <w:sz w:val="32"/>
          <w:szCs w:val="32"/>
          <w:highlight w:val="none"/>
          <w:lang w:eastAsia="zh-CN"/>
        </w:rPr>
      </w:pPr>
    </w:p>
    <w:p>
      <w:pPr>
        <w:pStyle w:val="2"/>
        <w:rPr>
          <w:rFonts w:hint="eastAsia" w:ascii="宋体" w:hAnsi="宋体" w:eastAsia="宋体" w:cs="宋体"/>
          <w:color w:val="auto"/>
          <w:sz w:val="32"/>
          <w:szCs w:val="32"/>
          <w:highlight w:val="none"/>
          <w:lang w:eastAsia="zh-CN"/>
        </w:rPr>
      </w:pPr>
    </w:p>
    <w:p>
      <w:pPr>
        <w:rPr>
          <w:rFonts w:hint="eastAsia" w:ascii="宋体" w:hAnsi="宋体" w:eastAsia="宋体" w:cs="宋体"/>
          <w:color w:val="auto"/>
          <w:sz w:val="32"/>
          <w:szCs w:val="32"/>
          <w:highlight w:val="none"/>
          <w:lang w:eastAsia="zh-CN"/>
        </w:rPr>
      </w:pPr>
    </w:p>
    <w:p>
      <w:pPr>
        <w:pStyle w:val="2"/>
        <w:rPr>
          <w:rFonts w:hint="eastAsia"/>
          <w:color w:val="auto"/>
          <w:lang w:eastAsia="zh-CN"/>
        </w:rPr>
      </w:pPr>
    </w:p>
    <w:p>
      <w:pPr>
        <w:pStyle w:val="4"/>
        <w:numPr>
          <w:ilvl w:val="0"/>
          <w:numId w:val="5"/>
        </w:numPr>
        <w:tabs>
          <w:tab w:val="left" w:pos="886"/>
          <w:tab w:val="center" w:pos="4906"/>
        </w:tabs>
        <w:spacing w:line="360" w:lineRule="auto"/>
        <w:ind w:firstLine="4176" w:firstLineChars="1300"/>
        <w:jc w:val="left"/>
        <w:rPr>
          <w:rFonts w:hint="eastAsia"/>
          <w:color w:val="auto"/>
          <w:highlight w:val="none"/>
        </w:rPr>
      </w:pPr>
      <w:r>
        <w:rPr>
          <w:rFonts w:hint="eastAsia" w:ascii="宋体" w:hAnsi="宋体" w:eastAsia="宋体" w:cs="宋体"/>
          <w:color w:val="auto"/>
          <w:sz w:val="32"/>
          <w:szCs w:val="32"/>
          <w:highlight w:val="none"/>
        </w:rPr>
        <w:t>磋商内容</w:t>
      </w:r>
    </w:p>
    <w:bookmarkEnd w:id="64"/>
    <w:p>
      <w:pPr>
        <w:spacing w:line="360" w:lineRule="auto"/>
        <w:ind w:firstLine="280" w:firstLineChars="100"/>
        <w:rPr>
          <w:rFonts w:hint="default"/>
          <w:color w:val="auto"/>
          <w:sz w:val="28"/>
          <w:szCs w:val="28"/>
          <w:lang w:val="en-US" w:eastAsia="zh-CN"/>
        </w:rPr>
      </w:pPr>
      <w:r>
        <w:rPr>
          <w:rFonts w:hint="eastAsia"/>
          <w:color w:val="auto"/>
          <w:sz w:val="28"/>
          <w:szCs w:val="28"/>
          <w:lang w:val="en-US" w:eastAsia="zh-CN"/>
        </w:rPr>
        <w:t>一、采购内容</w:t>
      </w:r>
    </w:p>
    <w:p>
      <w:pPr>
        <w:spacing w:line="360" w:lineRule="auto"/>
        <w:ind w:firstLine="280" w:firstLineChars="100"/>
        <w:rPr>
          <w:rFonts w:ascii="仿宋" w:eastAsia="仿宋"/>
          <w:color w:val="auto"/>
          <w:kern w:val="0"/>
          <w:sz w:val="24"/>
          <w:szCs w:val="24"/>
          <w:highlight w:val="none"/>
        </w:rPr>
      </w:pPr>
      <w:r>
        <w:rPr>
          <w:rFonts w:hint="eastAsia"/>
          <w:color w:val="auto"/>
          <w:sz w:val="28"/>
          <w:szCs w:val="28"/>
          <w:lang w:val="en-US" w:eastAsia="zh-CN"/>
        </w:rPr>
        <w:t>对阜康市6个乡镇15.66万亩的小麦进行统防统治。</w:t>
      </w:r>
    </w:p>
    <w:p>
      <w:pPr>
        <w:pStyle w:val="2"/>
        <w:rPr>
          <w:rFonts w:hint="eastAsia" w:ascii="仿宋" w:hAnsi="仿宋" w:cs="仿宋"/>
          <w:color w:val="auto"/>
          <w:highlight w:val="none"/>
        </w:rPr>
      </w:pPr>
      <w:bookmarkStart w:id="65" w:name="_Toc503548065"/>
    </w:p>
    <w:p>
      <w:pPr>
        <w:rPr>
          <w:rFonts w:hint="eastAsia" w:ascii="仿宋" w:hAnsi="仿宋" w:cs="仿宋"/>
          <w:color w:val="auto"/>
          <w:highlight w:val="none"/>
        </w:rPr>
      </w:pPr>
    </w:p>
    <w:p>
      <w:pPr>
        <w:pStyle w:val="2"/>
        <w:rPr>
          <w:rFonts w:hint="eastAsia" w:ascii="仿宋" w:hAnsi="仿宋" w:cs="仿宋"/>
          <w:color w:val="auto"/>
          <w:highlight w:val="none"/>
        </w:rPr>
      </w:pPr>
    </w:p>
    <w:p>
      <w:pPr>
        <w:rPr>
          <w:rFonts w:hint="eastAsia" w:ascii="仿宋" w:hAnsi="仿宋" w:cs="仿宋"/>
          <w:color w:val="auto"/>
          <w:highlight w:val="none"/>
        </w:rPr>
      </w:pPr>
    </w:p>
    <w:p>
      <w:pPr>
        <w:pStyle w:val="2"/>
        <w:rPr>
          <w:rFonts w:hint="eastAsia" w:ascii="仿宋" w:hAnsi="仿宋" w:cs="仿宋"/>
          <w:color w:val="auto"/>
          <w:highlight w:val="none"/>
        </w:rPr>
      </w:pPr>
    </w:p>
    <w:p>
      <w:pPr>
        <w:rPr>
          <w:rFonts w:hint="eastAsia" w:ascii="仿宋" w:hAnsi="仿宋" w:cs="仿宋"/>
          <w:color w:val="auto"/>
          <w:highlight w:val="none"/>
        </w:rPr>
      </w:pPr>
    </w:p>
    <w:p>
      <w:pPr>
        <w:pStyle w:val="2"/>
        <w:rPr>
          <w:rFonts w:hint="eastAsia" w:ascii="仿宋" w:hAnsi="仿宋" w:cs="仿宋"/>
          <w:color w:val="auto"/>
          <w:highlight w:val="none"/>
        </w:rPr>
      </w:pPr>
    </w:p>
    <w:p>
      <w:pPr>
        <w:rPr>
          <w:rFonts w:hint="eastAsia" w:ascii="仿宋" w:hAnsi="仿宋" w:cs="仿宋"/>
          <w:color w:val="auto"/>
          <w:highlight w:val="none"/>
        </w:rPr>
      </w:pPr>
    </w:p>
    <w:p>
      <w:pPr>
        <w:pStyle w:val="2"/>
        <w:rPr>
          <w:rFonts w:hint="eastAsia" w:ascii="仿宋" w:hAnsi="仿宋" w:cs="仿宋"/>
          <w:color w:val="auto"/>
          <w:highlight w:val="none"/>
        </w:rPr>
      </w:pPr>
    </w:p>
    <w:p>
      <w:pPr>
        <w:rPr>
          <w:rFonts w:hint="eastAsia" w:ascii="仿宋" w:hAnsi="仿宋" w:cs="仿宋"/>
          <w:color w:val="auto"/>
          <w:highlight w:val="none"/>
        </w:rPr>
      </w:pPr>
    </w:p>
    <w:p>
      <w:pPr>
        <w:pStyle w:val="2"/>
        <w:rPr>
          <w:rFonts w:hint="eastAsia" w:ascii="仿宋" w:hAnsi="仿宋" w:cs="仿宋"/>
          <w:color w:val="auto"/>
          <w:highlight w:val="none"/>
        </w:rPr>
      </w:pPr>
    </w:p>
    <w:p>
      <w:pPr>
        <w:rPr>
          <w:rFonts w:hint="eastAsia" w:ascii="仿宋" w:hAnsi="仿宋" w:cs="仿宋"/>
          <w:color w:val="auto"/>
          <w:highlight w:val="none"/>
        </w:rPr>
      </w:pPr>
    </w:p>
    <w:p>
      <w:pPr>
        <w:pStyle w:val="13"/>
        <w:rPr>
          <w:rFonts w:hint="eastAsia" w:ascii="仿宋" w:hAnsi="仿宋" w:cs="仿宋"/>
          <w:color w:val="auto"/>
          <w:highlight w:val="none"/>
        </w:rPr>
      </w:pPr>
    </w:p>
    <w:p>
      <w:pPr>
        <w:pStyle w:val="24"/>
        <w:rPr>
          <w:rFonts w:hint="eastAsia" w:ascii="仿宋" w:hAnsi="仿宋" w:cs="仿宋"/>
          <w:color w:val="auto"/>
          <w:highlight w:val="none"/>
        </w:rPr>
      </w:pPr>
    </w:p>
    <w:p>
      <w:pPr>
        <w:pStyle w:val="13"/>
        <w:rPr>
          <w:rFonts w:hint="eastAsia" w:ascii="仿宋" w:hAnsi="仿宋" w:cs="仿宋"/>
          <w:color w:val="auto"/>
          <w:highlight w:val="none"/>
        </w:rPr>
      </w:pPr>
    </w:p>
    <w:p>
      <w:pPr>
        <w:pStyle w:val="24"/>
        <w:rPr>
          <w:rFonts w:hint="eastAsia" w:ascii="仿宋" w:hAnsi="仿宋" w:cs="仿宋"/>
          <w:color w:val="auto"/>
          <w:highlight w:val="none"/>
        </w:rPr>
      </w:pPr>
    </w:p>
    <w:p>
      <w:pPr>
        <w:pStyle w:val="13"/>
        <w:rPr>
          <w:rFonts w:hint="eastAsia" w:ascii="仿宋" w:hAnsi="仿宋" w:cs="仿宋"/>
          <w:color w:val="auto"/>
          <w:highlight w:val="none"/>
        </w:rPr>
      </w:pPr>
    </w:p>
    <w:p>
      <w:pPr>
        <w:pStyle w:val="24"/>
        <w:rPr>
          <w:rFonts w:hint="eastAsia" w:ascii="仿宋" w:hAnsi="仿宋" w:cs="仿宋"/>
          <w:color w:val="auto"/>
          <w:highlight w:val="none"/>
        </w:rPr>
      </w:pPr>
    </w:p>
    <w:p>
      <w:pPr>
        <w:pStyle w:val="13"/>
        <w:rPr>
          <w:rFonts w:hint="eastAsia" w:ascii="仿宋" w:hAnsi="仿宋" w:cs="仿宋"/>
          <w:color w:val="auto"/>
          <w:highlight w:val="none"/>
        </w:rPr>
      </w:pPr>
    </w:p>
    <w:p>
      <w:pPr>
        <w:pStyle w:val="24"/>
        <w:rPr>
          <w:rFonts w:hint="eastAsia" w:ascii="仿宋" w:hAnsi="仿宋" w:cs="仿宋"/>
          <w:color w:val="auto"/>
          <w:highlight w:val="none"/>
        </w:rPr>
      </w:pPr>
    </w:p>
    <w:p>
      <w:pPr>
        <w:pStyle w:val="13"/>
        <w:rPr>
          <w:rFonts w:hint="eastAsia" w:ascii="仿宋" w:hAnsi="仿宋" w:cs="仿宋"/>
          <w:color w:val="auto"/>
          <w:highlight w:val="none"/>
        </w:rPr>
      </w:pPr>
    </w:p>
    <w:p>
      <w:pPr>
        <w:pStyle w:val="24"/>
        <w:rPr>
          <w:rFonts w:hint="eastAsia" w:ascii="仿宋" w:hAnsi="仿宋" w:cs="仿宋"/>
          <w:color w:val="auto"/>
          <w:highlight w:val="none"/>
        </w:rPr>
      </w:pPr>
    </w:p>
    <w:p>
      <w:pPr>
        <w:pStyle w:val="13"/>
        <w:rPr>
          <w:rFonts w:hint="eastAsia" w:ascii="仿宋" w:hAnsi="仿宋" w:cs="仿宋"/>
          <w:color w:val="auto"/>
          <w:highlight w:val="none"/>
        </w:rPr>
      </w:pPr>
    </w:p>
    <w:p>
      <w:pPr>
        <w:pStyle w:val="24"/>
        <w:rPr>
          <w:rFonts w:hint="eastAsia" w:ascii="仿宋" w:hAnsi="仿宋" w:cs="仿宋"/>
          <w:color w:val="auto"/>
          <w:highlight w:val="none"/>
        </w:rPr>
      </w:pPr>
    </w:p>
    <w:p>
      <w:pPr>
        <w:pStyle w:val="13"/>
        <w:rPr>
          <w:rFonts w:hint="eastAsia" w:ascii="仿宋" w:hAnsi="仿宋" w:cs="仿宋"/>
          <w:color w:val="auto"/>
          <w:highlight w:val="none"/>
        </w:rPr>
      </w:pPr>
    </w:p>
    <w:p>
      <w:pPr>
        <w:pStyle w:val="24"/>
        <w:rPr>
          <w:rFonts w:hint="eastAsia" w:ascii="仿宋" w:hAnsi="仿宋" w:cs="仿宋"/>
          <w:color w:val="auto"/>
          <w:highlight w:val="none"/>
        </w:rPr>
      </w:pPr>
    </w:p>
    <w:p>
      <w:pPr>
        <w:pStyle w:val="13"/>
        <w:rPr>
          <w:rFonts w:hint="eastAsia"/>
          <w:color w:val="auto"/>
        </w:rPr>
      </w:pPr>
    </w:p>
    <w:p>
      <w:pPr>
        <w:rPr>
          <w:rFonts w:hint="eastAsia"/>
          <w:color w:val="auto"/>
        </w:rPr>
      </w:pPr>
    </w:p>
    <w:p>
      <w:pPr>
        <w:rPr>
          <w:rFonts w:hint="eastAsia" w:ascii="仿宋" w:hAnsi="仿宋" w:cs="仿宋"/>
          <w:color w:val="auto"/>
          <w:highlight w:val="none"/>
        </w:rPr>
      </w:pPr>
    </w:p>
    <w:p>
      <w:pPr>
        <w:pStyle w:val="2"/>
        <w:rPr>
          <w:rFonts w:hint="eastAsia"/>
          <w:color w:val="auto"/>
        </w:rPr>
      </w:pPr>
    </w:p>
    <w:p>
      <w:pPr>
        <w:rPr>
          <w:rFonts w:hint="eastAsia"/>
          <w:color w:val="auto"/>
          <w:highlight w:val="none"/>
        </w:rPr>
      </w:pPr>
    </w:p>
    <w:p>
      <w:pPr>
        <w:pStyle w:val="4"/>
        <w:numPr>
          <w:ilvl w:val="0"/>
          <w:numId w:val="6"/>
        </w:numPr>
        <w:spacing w:line="360" w:lineRule="auto"/>
        <w:rPr>
          <w:rFonts w:hint="eastAsia" w:ascii="仿宋" w:hAnsi="仿宋" w:cs="仿宋"/>
          <w:color w:val="auto"/>
          <w:highlight w:val="none"/>
        </w:rPr>
      </w:pPr>
      <w:r>
        <w:rPr>
          <w:rFonts w:hint="eastAsia" w:ascii="仿宋" w:hAnsi="仿宋" w:cs="仿宋"/>
          <w:color w:val="auto"/>
          <w:highlight w:val="none"/>
        </w:rPr>
        <w:t>合同条款及合同格式</w:t>
      </w:r>
      <w:bookmarkEnd w:id="65"/>
    </w:p>
    <w:p>
      <w:pPr>
        <w:pStyle w:val="4"/>
        <w:numPr>
          <w:ilvl w:val="0"/>
          <w:numId w:val="0"/>
        </w:numPr>
        <w:spacing w:line="360" w:lineRule="auto"/>
        <w:ind w:firstLine="2249" w:firstLineChars="700"/>
        <w:jc w:val="both"/>
        <w:rPr>
          <w:rFonts w:ascii="仿宋" w:hAnsi="仿宋" w:cs="仿宋"/>
          <w:color w:val="auto"/>
          <w:highlight w:val="none"/>
        </w:rPr>
      </w:pPr>
      <w:r>
        <w:rPr>
          <w:rFonts w:hint="eastAsia" w:ascii="仿宋" w:hAnsi="仿宋" w:cs="仿宋"/>
          <w:color w:val="auto"/>
          <w:highlight w:val="none"/>
        </w:rPr>
        <w:t>（</w:t>
      </w:r>
      <w:r>
        <w:rPr>
          <w:rFonts w:hint="eastAsia" w:ascii="宋体" w:hAnsi="宋体" w:eastAsia="宋体" w:cs="宋体"/>
          <w:color w:val="auto"/>
          <w:sz w:val="24"/>
          <w:szCs w:val="24"/>
          <w:highlight w:val="none"/>
          <w:lang w:val="en-US" w:eastAsia="zh-CN"/>
        </w:rPr>
        <w:t>本合同为范本，最终合同由采购人提供具体样本</w:t>
      </w:r>
      <w:r>
        <w:rPr>
          <w:rFonts w:hint="eastAsia" w:ascii="仿宋" w:hAnsi="仿宋" w:cs="仿宋"/>
          <w:color w:val="auto"/>
          <w:highlight w:val="none"/>
        </w:rPr>
        <w:t>）</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根据《中华人民共和国民法典》及相关法律法规的规定，合同双方经协商达成一致，自愿订立本合同，遵循公平原则明确双方的权利、义务，确保双方诚实守信地履行合同。</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1.</w:t>
      </w:r>
      <w:r>
        <w:rPr>
          <w:rFonts w:hint="eastAsia" w:ascii="宋体" w:hAnsi="宋体" w:eastAsia="宋体" w:cs="宋体"/>
          <w:b/>
          <w:bCs/>
          <w:color w:val="auto"/>
          <w:kern w:val="0"/>
          <w:sz w:val="24"/>
          <w:szCs w:val="24"/>
          <w:lang w:val="zh-CN"/>
        </w:rPr>
        <w:t>定义</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本合同中的下列术语应解释为：</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1.1 </w:t>
      </w:r>
      <w:r>
        <w:rPr>
          <w:rFonts w:hint="eastAsia" w:ascii="宋体" w:hAnsi="宋体" w:eastAsia="宋体" w:cs="宋体"/>
          <w:color w:val="auto"/>
          <w:kern w:val="0"/>
          <w:sz w:val="24"/>
          <w:szCs w:val="24"/>
          <w:lang w:val="zh-CN"/>
        </w:rPr>
        <w:t>“合同”指甲乙双方签署的、载明的甲乙双方权利义务的协议，包括所有的附件、附录和上述文件所提到的构成合同的所有文件。</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zh-CN"/>
        </w:rPr>
        <w:t>“合同条款”指本合同条款。</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zh-CN"/>
        </w:rPr>
        <w:t>“服务”指根据本合同规定乙方承担与有关的辅助服务，如运输、保险及安装、调试、提供技术援助、培训和合同中规定乙方应承担的其它义务。</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zh-CN"/>
        </w:rPr>
        <w:t>“工作日”指国家法定工作日，“天”指日历天数。</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2</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合同范围</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 xml:space="preserve">1 </w:t>
      </w:r>
      <w:r>
        <w:rPr>
          <w:rFonts w:hint="eastAsia" w:ascii="宋体" w:hAnsi="宋体" w:eastAsia="宋体" w:cs="宋体"/>
          <w:color w:val="auto"/>
          <w:kern w:val="0"/>
          <w:sz w:val="24"/>
          <w:szCs w:val="24"/>
          <w:lang w:val="zh-CN"/>
        </w:rPr>
        <w:t>按照甲方的要求，乙方应在合同规定的期限内完成</w:t>
      </w:r>
      <w:r>
        <w:rPr>
          <w:rFonts w:hint="eastAsia" w:ascii="宋体" w:hAnsi="宋体" w:eastAsia="宋体" w:cs="宋体"/>
          <w:color w:val="auto"/>
          <w:kern w:val="0"/>
          <w:sz w:val="24"/>
          <w:szCs w:val="24"/>
          <w:lang w:val="en-US" w:eastAsia="zh-CN"/>
        </w:rPr>
        <w:t>项目实施</w:t>
      </w:r>
      <w:r>
        <w:rPr>
          <w:rFonts w:hint="eastAsia" w:ascii="宋体" w:hAnsi="宋体" w:eastAsia="宋体" w:cs="宋体"/>
          <w:color w:val="auto"/>
          <w:kern w:val="0"/>
          <w:sz w:val="24"/>
          <w:szCs w:val="24"/>
          <w:lang w:val="zh-CN"/>
        </w:rPr>
        <w:t>服务。</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3</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合同文件和资料</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3.1 </w:t>
      </w:r>
      <w:r>
        <w:rPr>
          <w:rFonts w:hint="eastAsia" w:ascii="宋体" w:hAnsi="宋体" w:eastAsia="宋体" w:cs="宋体"/>
          <w:color w:val="auto"/>
          <w:kern w:val="0"/>
          <w:sz w:val="24"/>
          <w:szCs w:val="24"/>
          <w:lang w:val="zh-CN"/>
        </w:rPr>
        <w:t>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4</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保密</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4.2 </w:t>
      </w:r>
      <w:r>
        <w:rPr>
          <w:rFonts w:hint="eastAsia" w:ascii="宋体" w:hAnsi="宋体" w:eastAsia="宋体" w:cs="宋体"/>
          <w:color w:val="auto"/>
          <w:kern w:val="0"/>
          <w:sz w:val="24"/>
          <w:szCs w:val="24"/>
          <w:lang w:val="zh-CN"/>
        </w:rPr>
        <w:t>任何涉及对方过去、现在或将来的商业计划、规章制度、操作规程、处理手段、财务信息；</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4.3 </w:t>
      </w:r>
      <w:r>
        <w:rPr>
          <w:rFonts w:hint="eastAsia" w:ascii="宋体" w:hAnsi="宋体" w:eastAsia="宋体" w:cs="宋体"/>
          <w:color w:val="auto"/>
          <w:kern w:val="0"/>
          <w:sz w:val="24"/>
          <w:szCs w:val="24"/>
          <w:lang w:val="zh-CN"/>
        </w:rPr>
        <w:t>任何对方的技术秘密或专有知识、文件</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zh-CN"/>
        </w:rPr>
        <w:t>、报告、数据、客户软件、流程图、数据库、发明、知识、贸易秘密。</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5</w:t>
      </w:r>
      <w:r>
        <w:rPr>
          <w:rFonts w:hint="eastAsia" w:ascii="宋体" w:hAnsi="宋体" w:eastAsia="宋体" w:cs="宋体"/>
          <w:b/>
          <w:bCs/>
          <w:color w:val="auto"/>
          <w:kern w:val="0"/>
          <w:sz w:val="24"/>
          <w:szCs w:val="24"/>
        </w:rPr>
        <w:t xml:space="preserve">. </w:t>
      </w:r>
      <w:r>
        <w:rPr>
          <w:rFonts w:hint="eastAsia" w:ascii="宋体" w:hAnsi="宋体" w:eastAsia="宋体" w:cs="宋体"/>
          <w:b/>
          <w:bCs/>
          <w:color w:val="auto"/>
          <w:kern w:val="0"/>
          <w:sz w:val="24"/>
          <w:szCs w:val="24"/>
          <w:lang w:val="zh-CN"/>
        </w:rPr>
        <w:t>质量保证</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乙方必须保证所承担的服务满足甲方验收的要求。</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6</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履行期限</w:t>
      </w:r>
    </w:p>
    <w:p>
      <w:pPr>
        <w:autoSpaceDE w:val="0"/>
        <w:autoSpaceDN w:val="0"/>
        <w:adjustRightInd w:val="0"/>
        <w:spacing w:line="360" w:lineRule="auto"/>
        <w:ind w:firstLine="48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依据甲乙双方签订合同执行。</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7</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违约赔偿</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除不可抗力因素外，乙方没有按照合同规定的时间提供服务，甲方可要求乙方支付违约金。违约金在甲乙双方合同中约定。</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8</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不可抗力</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双方中任何一方遭遇法律规定的不可抗力，致使合同履行受阻时，履行合同的期限应予延长，延长的期限应相当于不可抗力所影响的时间。</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受事故影响的一方应在不可抗力的事故发生后以书面形式通知另一方。</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不可抗力使合同的某些内容有变更必要的，双方应通过协商达成进一步履行合同的协议，因不可抗力致使合同不能履行的，合同终止。</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9</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税费</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与本合同有关的一切税费均由乙方承担。</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1</w:t>
      </w:r>
      <w:r>
        <w:rPr>
          <w:rFonts w:hint="eastAsia" w:ascii="宋体" w:hAnsi="宋体" w:eastAsia="宋体" w:cs="宋体"/>
          <w:b/>
          <w:bCs/>
          <w:color w:val="auto"/>
          <w:kern w:val="0"/>
          <w:sz w:val="24"/>
          <w:szCs w:val="24"/>
          <w:lang w:val="en-US" w:eastAsia="zh-CN"/>
        </w:rPr>
        <w:t>0</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合同争议的解决</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0</w:t>
      </w: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甲方和乙方由于本合同的履行而发生任何争议时，双方可先通过协商解决。</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0</w:t>
      </w: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任何一方不愿通过协商或通过协商仍不能解决争议，则双方中任何一方均应向甲方所在地人民法院起诉。</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11</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违约解除合同</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11</w:t>
      </w: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zh-CN"/>
        </w:rPr>
        <w:t>出现下列情形之一的，视为乙方违约。甲方可向乙方发出书面通知，部分或全部终止合同，同时保留向乙方索赔的权利。</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11</w:t>
      </w:r>
      <w:r>
        <w:rPr>
          <w:rFonts w:hint="eastAsia" w:ascii="宋体" w:hAnsi="宋体" w:eastAsia="宋体" w:cs="宋体"/>
          <w:color w:val="auto"/>
          <w:kern w:val="0"/>
          <w:sz w:val="24"/>
          <w:szCs w:val="24"/>
        </w:rPr>
        <w:t>.1.1</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乙方未能在合同规定的限期或甲方同意延长的限期内，提供全部或部分服务的；</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11</w:t>
      </w:r>
      <w:r>
        <w:rPr>
          <w:rFonts w:hint="eastAsia" w:ascii="宋体" w:hAnsi="宋体" w:eastAsia="宋体" w:cs="宋体"/>
          <w:color w:val="auto"/>
          <w:kern w:val="0"/>
          <w:sz w:val="24"/>
          <w:szCs w:val="24"/>
        </w:rPr>
        <w:t>.1.2</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乙方未能履行合同规定的其它主要义务的；</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11</w:t>
      </w:r>
      <w:r>
        <w:rPr>
          <w:rFonts w:hint="eastAsia" w:ascii="宋体" w:hAnsi="宋体" w:eastAsia="宋体" w:cs="宋体"/>
          <w:color w:val="auto"/>
          <w:kern w:val="0"/>
          <w:sz w:val="24"/>
          <w:szCs w:val="24"/>
        </w:rPr>
        <w:t>.1.3</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乙方在本合同履行过程中有欺诈行为的。</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12</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破产终止合同</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乙方破产而无法完全履行本合同义务时，甲方可以书面方式通知乙方终止合同而不给予乙方补偿。该合同的终止将不损害或不影响甲方已经采取或将要采取任何行动或补救措施的权利。</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13</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合同修改</w:t>
      </w:r>
    </w:p>
    <w:p>
      <w:pPr>
        <w:autoSpaceDE w:val="0"/>
        <w:autoSpaceDN w:val="0"/>
        <w:adjustRightIn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甲方和乙方都不得擅自变更本合同，但合同继续履行将损害国家和社会公共利益的除外。如必须对合同条款进行改动时，当事人双方须共同签署书面文件，做为合同的补充。</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14</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通知</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本合同任何一方给另一方的通知，都应以书面形式发送，而另一方也应以书面形式确认并发送到对方明确的地址。</w:t>
      </w:r>
    </w:p>
    <w:p>
      <w:pPr>
        <w:pStyle w:val="25"/>
        <w:shd w:val="clear" w:color="auto" w:fill="FFFFFF"/>
        <w:spacing w:line="504" w:lineRule="auto"/>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en-US" w:eastAsia="zh-CN" w:bidi="ar-SA"/>
        </w:rPr>
        <w:t>15</w:t>
      </w:r>
      <w:r>
        <w:rPr>
          <w:rFonts w:hint="eastAsia" w:ascii="宋体" w:hAnsi="宋体" w:eastAsia="宋体" w:cs="宋体"/>
          <w:color w:val="auto"/>
          <w:kern w:val="0"/>
          <w:sz w:val="24"/>
          <w:szCs w:val="24"/>
          <w:lang w:val="zh-CN" w:eastAsia="zh-CN" w:bidi="ar-SA"/>
        </w:rPr>
        <w:t>.本合同一式陆份，甲方肆份，乙方贰份，经双方签字盖章后生效。</w:t>
      </w:r>
    </w:p>
    <w:p>
      <w:pPr>
        <w:pStyle w:val="25"/>
        <w:shd w:val="clear" w:color="auto" w:fill="FFFFFF"/>
        <w:spacing w:line="504" w:lineRule="auto"/>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zh-CN" w:eastAsia="zh-CN" w:bidi="ar-SA"/>
        </w:rPr>
        <w:t>甲  方（盖章）：</w:t>
      </w:r>
      <w:r>
        <w:rPr>
          <w:rFonts w:hint="eastAsia" w:ascii="宋体" w:hAnsi="宋体" w:eastAsia="宋体" w:cs="宋体"/>
          <w:color w:val="auto"/>
          <w:kern w:val="0"/>
          <w:sz w:val="24"/>
          <w:szCs w:val="24"/>
          <w:lang w:val="en-US" w:eastAsia="zh-CN" w:bidi="ar-SA"/>
        </w:rPr>
        <w:t xml:space="preserve">                   </w:t>
      </w:r>
      <w:r>
        <w:rPr>
          <w:rFonts w:hint="eastAsia" w:ascii="宋体" w:hAnsi="宋体" w:eastAsia="宋体" w:cs="宋体"/>
          <w:color w:val="auto"/>
          <w:kern w:val="0"/>
          <w:sz w:val="24"/>
          <w:szCs w:val="24"/>
          <w:lang w:val="zh-CN" w:eastAsia="zh-CN" w:bidi="ar-SA"/>
        </w:rPr>
        <w:t xml:space="preserve">  乙方（盖章）：    </w:t>
      </w:r>
    </w:p>
    <w:p>
      <w:pPr>
        <w:pStyle w:val="25"/>
        <w:shd w:val="clear" w:color="auto" w:fill="FFFFFF"/>
        <w:spacing w:line="504" w:lineRule="auto"/>
        <w:ind w:left="6600" w:hanging="6600" w:hangingChars="2750"/>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zh-CN" w:eastAsia="zh-CN" w:bidi="ar-SA"/>
        </w:rPr>
        <w:t>开户行：</w:t>
      </w:r>
      <w:r>
        <w:rPr>
          <w:rFonts w:hint="eastAsia" w:ascii="宋体" w:hAnsi="宋体" w:eastAsia="宋体" w:cs="宋体"/>
          <w:color w:val="auto"/>
          <w:kern w:val="0"/>
          <w:sz w:val="24"/>
          <w:szCs w:val="24"/>
          <w:lang w:val="en-US" w:eastAsia="zh-CN" w:bidi="ar-SA"/>
        </w:rPr>
        <w:t xml:space="preserve">                               </w:t>
      </w:r>
      <w:r>
        <w:rPr>
          <w:rFonts w:hint="eastAsia" w:ascii="宋体" w:hAnsi="宋体" w:eastAsia="宋体" w:cs="宋体"/>
          <w:color w:val="auto"/>
          <w:kern w:val="0"/>
          <w:sz w:val="24"/>
          <w:szCs w:val="24"/>
          <w:lang w:val="zh-CN" w:eastAsia="zh-CN" w:bidi="ar-SA"/>
        </w:rPr>
        <w:t>开户行：</w:t>
      </w:r>
    </w:p>
    <w:p>
      <w:pPr>
        <w:pStyle w:val="25"/>
        <w:shd w:val="clear" w:color="auto" w:fill="FFFFFF"/>
        <w:spacing w:line="504" w:lineRule="auto"/>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zh-CN" w:eastAsia="zh-CN" w:bidi="ar-SA"/>
        </w:rPr>
        <w:t>账  号：</w:t>
      </w:r>
      <w:r>
        <w:rPr>
          <w:rFonts w:hint="eastAsia" w:ascii="宋体" w:hAnsi="宋体" w:eastAsia="宋体" w:cs="宋体"/>
          <w:color w:val="auto"/>
          <w:kern w:val="0"/>
          <w:sz w:val="24"/>
          <w:szCs w:val="24"/>
          <w:lang w:val="en-US" w:eastAsia="zh-CN" w:bidi="ar-SA"/>
        </w:rPr>
        <w:t xml:space="preserve">                  </w:t>
      </w:r>
      <w:r>
        <w:rPr>
          <w:rFonts w:hint="eastAsia" w:ascii="宋体" w:hAnsi="宋体" w:eastAsia="宋体" w:cs="宋体"/>
          <w:color w:val="auto"/>
          <w:kern w:val="0"/>
          <w:sz w:val="24"/>
          <w:szCs w:val="24"/>
          <w:lang w:val="zh-CN" w:eastAsia="zh-CN" w:bidi="ar-SA"/>
        </w:rPr>
        <w:t xml:space="preserve">             账  号：              </w:t>
      </w:r>
    </w:p>
    <w:p>
      <w:pPr>
        <w:pStyle w:val="25"/>
        <w:shd w:val="clear" w:color="auto" w:fill="FFFFFF"/>
        <w:spacing w:line="504" w:lineRule="auto"/>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zh-CN" w:eastAsia="zh-CN" w:bidi="ar-SA"/>
        </w:rPr>
        <w:t>法人代表：</w:t>
      </w:r>
      <w:r>
        <w:rPr>
          <w:rFonts w:hint="eastAsia" w:ascii="宋体" w:hAnsi="宋体" w:eastAsia="宋体" w:cs="宋体"/>
          <w:color w:val="auto"/>
          <w:kern w:val="0"/>
          <w:sz w:val="24"/>
          <w:szCs w:val="24"/>
          <w:lang w:val="zh-CN" w:eastAsia="zh-CN" w:bidi="ar-SA"/>
        </w:rPr>
        <w:tab/>
      </w:r>
      <w:r>
        <w:rPr>
          <w:rFonts w:hint="eastAsia" w:ascii="宋体" w:hAnsi="宋体" w:eastAsia="宋体" w:cs="宋体"/>
          <w:color w:val="auto"/>
          <w:kern w:val="0"/>
          <w:sz w:val="24"/>
          <w:szCs w:val="24"/>
          <w:lang w:val="zh-CN" w:eastAsia="zh-CN" w:bidi="ar-SA"/>
        </w:rPr>
        <w:t xml:space="preserve">                         法人代表：</w:t>
      </w:r>
    </w:p>
    <w:p>
      <w:pPr>
        <w:pStyle w:val="25"/>
        <w:shd w:val="clear" w:color="auto" w:fill="FFFFFF"/>
        <w:spacing w:line="504" w:lineRule="auto"/>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zh-CN" w:eastAsia="zh-CN" w:bidi="ar-SA"/>
        </w:rPr>
        <w:t xml:space="preserve">签约代表：                              签约代表：                  </w:t>
      </w:r>
    </w:p>
    <w:p>
      <w:pPr>
        <w:numPr>
          <w:ilvl w:val="0"/>
          <w:numId w:val="0"/>
        </w:numPr>
        <w:snapToGrid w:val="0"/>
        <w:spacing w:line="500" w:lineRule="exact"/>
        <w:jc w:val="both"/>
        <w:rPr>
          <w:rFonts w:hint="eastAsia" w:ascii="宋体" w:hAnsi="宋体" w:eastAsia="宋体" w:cs="宋体"/>
          <w:b/>
          <w:bCs w:val="0"/>
          <w:color w:val="auto"/>
          <w:sz w:val="24"/>
          <w:szCs w:val="24"/>
          <w:lang w:eastAsia="zh-CN"/>
        </w:rPr>
      </w:pPr>
      <w:r>
        <w:rPr>
          <w:rFonts w:hint="eastAsia" w:ascii="宋体" w:hAnsi="宋体" w:eastAsia="宋体" w:cs="宋体"/>
          <w:color w:val="auto"/>
          <w:kern w:val="0"/>
          <w:sz w:val="24"/>
          <w:szCs w:val="24"/>
          <w:lang w:val="zh-CN" w:eastAsia="zh-CN" w:bidi="ar-SA"/>
        </w:rPr>
        <w:t>日期：     年    月    日           日期：     年   月   日</w:t>
      </w:r>
      <w:r>
        <w:rPr>
          <w:rFonts w:hint="eastAsia" w:ascii="宋体" w:hAnsi="宋体" w:eastAsia="宋体" w:cs="宋体"/>
          <w:color w:val="auto"/>
          <w:sz w:val="24"/>
          <w:szCs w:val="24"/>
          <w:shd w:val="clear" w:color="auto" w:fill="FFFFFF"/>
        </w:rPr>
        <w:t xml:space="preserve"> </w:t>
      </w:r>
    </w:p>
    <w:p>
      <w:pPr>
        <w:spacing w:line="44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zh-CN"/>
        </w:rPr>
        <w:t xml:space="preserve">                                   </w:t>
      </w:r>
    </w:p>
    <w:p>
      <w:pPr>
        <w:rPr>
          <w:rFonts w:hint="eastAsia" w:ascii="仿宋" w:hAnsi="仿宋" w:eastAsia="仿宋" w:cs="仿宋"/>
          <w:color w:val="auto"/>
          <w:lang w:val="en-US" w:eastAsia="zh-CN"/>
        </w:rPr>
      </w:pPr>
    </w:p>
    <w:p>
      <w:pPr>
        <w:pStyle w:val="38"/>
        <w:rPr>
          <w:rFonts w:hint="eastAsia" w:ascii="仿宋" w:hAnsi="仿宋" w:eastAsia="仿宋" w:cs="仿宋"/>
          <w:color w:val="auto"/>
          <w:lang w:val="en-US" w:eastAsia="zh-CN"/>
        </w:rPr>
      </w:pPr>
    </w:p>
    <w:p>
      <w:pPr>
        <w:pStyle w:val="38"/>
        <w:rPr>
          <w:rFonts w:hint="eastAsia" w:ascii="仿宋" w:hAnsi="仿宋" w:eastAsia="仿宋" w:cs="仿宋"/>
          <w:color w:val="auto"/>
          <w:lang w:val="en-US" w:eastAsia="zh-CN"/>
        </w:rPr>
      </w:pPr>
    </w:p>
    <w:p>
      <w:pPr>
        <w:pStyle w:val="38"/>
        <w:rPr>
          <w:rFonts w:hint="eastAsia" w:ascii="仿宋" w:hAnsi="仿宋" w:eastAsia="仿宋" w:cs="仿宋"/>
          <w:color w:val="auto"/>
          <w:lang w:val="en-US" w:eastAsia="zh-CN"/>
        </w:rPr>
      </w:pPr>
    </w:p>
    <w:p>
      <w:pPr>
        <w:pStyle w:val="38"/>
        <w:rPr>
          <w:rFonts w:hint="eastAsia" w:ascii="仿宋" w:hAnsi="仿宋" w:eastAsia="仿宋" w:cs="仿宋"/>
          <w:color w:val="auto"/>
          <w:lang w:val="en-US" w:eastAsia="zh-CN"/>
        </w:rPr>
      </w:pPr>
    </w:p>
    <w:p>
      <w:pPr>
        <w:pStyle w:val="38"/>
        <w:rPr>
          <w:rFonts w:hint="eastAsia" w:ascii="仿宋" w:hAnsi="仿宋" w:eastAsia="仿宋" w:cs="仿宋"/>
          <w:color w:val="auto"/>
          <w:lang w:val="en-US" w:eastAsia="zh-CN"/>
        </w:rPr>
      </w:pPr>
    </w:p>
    <w:p>
      <w:pPr>
        <w:pStyle w:val="38"/>
        <w:rPr>
          <w:rFonts w:hint="eastAsia" w:ascii="仿宋" w:hAnsi="仿宋" w:eastAsia="仿宋" w:cs="仿宋"/>
          <w:color w:val="auto"/>
          <w:lang w:val="en-US" w:eastAsia="zh-CN"/>
        </w:rPr>
      </w:pPr>
    </w:p>
    <w:p>
      <w:pPr>
        <w:pStyle w:val="38"/>
        <w:rPr>
          <w:rFonts w:hint="eastAsia" w:ascii="仿宋" w:hAnsi="仿宋" w:eastAsia="仿宋" w:cs="仿宋"/>
          <w:color w:val="auto"/>
          <w:lang w:val="en-US" w:eastAsia="zh-CN"/>
        </w:rPr>
      </w:pPr>
    </w:p>
    <w:p>
      <w:pPr>
        <w:pStyle w:val="38"/>
        <w:rPr>
          <w:rFonts w:hint="eastAsia" w:ascii="仿宋" w:hAnsi="仿宋" w:eastAsia="仿宋" w:cs="仿宋"/>
          <w:color w:val="auto"/>
          <w:lang w:val="en-US" w:eastAsia="zh-CN"/>
        </w:rPr>
      </w:pPr>
    </w:p>
    <w:p>
      <w:pPr>
        <w:pStyle w:val="38"/>
        <w:rPr>
          <w:rFonts w:hint="eastAsia" w:ascii="仿宋" w:hAnsi="仿宋" w:eastAsia="仿宋" w:cs="仿宋"/>
          <w:color w:val="auto"/>
          <w:lang w:val="en-US" w:eastAsia="zh-CN"/>
        </w:rPr>
      </w:pPr>
    </w:p>
    <w:p>
      <w:pPr>
        <w:pStyle w:val="38"/>
        <w:rPr>
          <w:rFonts w:hint="eastAsia" w:ascii="仿宋" w:hAnsi="仿宋" w:eastAsia="仿宋" w:cs="仿宋"/>
          <w:color w:val="auto"/>
          <w:lang w:val="en-US" w:eastAsia="zh-CN"/>
        </w:rPr>
      </w:pPr>
    </w:p>
    <w:p>
      <w:pPr>
        <w:pStyle w:val="38"/>
        <w:ind w:firstLine="3534" w:firstLineChars="800"/>
        <w:rPr>
          <w:rStyle w:val="59"/>
          <w:rFonts w:hint="eastAsia" w:ascii="宋体" w:hAnsi="宋体"/>
          <w:b/>
          <w:color w:val="auto"/>
          <w:kern w:val="2"/>
          <w:sz w:val="44"/>
          <w:szCs w:val="44"/>
          <w:lang w:val="en-US" w:eastAsia="zh-CN" w:bidi="ar-SA"/>
        </w:rPr>
      </w:pPr>
    </w:p>
    <w:p>
      <w:pPr>
        <w:pStyle w:val="38"/>
        <w:ind w:firstLine="3534" w:firstLineChars="800"/>
        <w:rPr>
          <w:rStyle w:val="59"/>
          <w:rFonts w:hint="eastAsia" w:ascii="宋体" w:hAnsi="宋体"/>
          <w:b/>
          <w:color w:val="auto"/>
          <w:kern w:val="2"/>
          <w:sz w:val="44"/>
          <w:szCs w:val="44"/>
          <w:lang w:val="en-US" w:eastAsia="zh-CN" w:bidi="ar-SA"/>
        </w:rPr>
      </w:pPr>
    </w:p>
    <w:p>
      <w:pPr>
        <w:pStyle w:val="38"/>
        <w:ind w:firstLine="3534" w:firstLineChars="800"/>
        <w:rPr>
          <w:rStyle w:val="59"/>
          <w:rFonts w:hint="eastAsia" w:ascii="宋体" w:hAnsi="宋体"/>
          <w:b/>
          <w:color w:val="auto"/>
          <w:kern w:val="2"/>
          <w:sz w:val="44"/>
          <w:szCs w:val="44"/>
          <w:lang w:val="en-US" w:eastAsia="zh-CN" w:bidi="ar-SA"/>
        </w:rPr>
      </w:pPr>
    </w:p>
    <w:p>
      <w:pPr>
        <w:pStyle w:val="38"/>
        <w:ind w:firstLine="3534" w:firstLineChars="800"/>
        <w:rPr>
          <w:rStyle w:val="59"/>
          <w:rFonts w:hint="eastAsia" w:ascii="宋体" w:hAnsi="宋体"/>
          <w:b/>
          <w:color w:val="auto"/>
          <w:kern w:val="2"/>
          <w:sz w:val="44"/>
          <w:szCs w:val="44"/>
          <w:lang w:val="en-US" w:eastAsia="zh-CN" w:bidi="ar-SA"/>
        </w:rPr>
      </w:pPr>
    </w:p>
    <w:p>
      <w:pPr>
        <w:pStyle w:val="38"/>
        <w:ind w:firstLine="3534" w:firstLineChars="800"/>
        <w:rPr>
          <w:rStyle w:val="59"/>
          <w:rFonts w:hint="eastAsia" w:ascii="宋体" w:hAnsi="宋体"/>
          <w:b/>
          <w:color w:val="auto"/>
          <w:kern w:val="2"/>
          <w:sz w:val="44"/>
          <w:szCs w:val="44"/>
          <w:lang w:val="en-US" w:eastAsia="zh-CN" w:bidi="ar-SA"/>
        </w:rPr>
      </w:pPr>
    </w:p>
    <w:p>
      <w:pPr>
        <w:pStyle w:val="38"/>
        <w:ind w:firstLine="3534" w:firstLineChars="800"/>
        <w:rPr>
          <w:rStyle w:val="59"/>
          <w:rFonts w:hint="eastAsia" w:ascii="宋体" w:hAnsi="宋体"/>
          <w:b/>
          <w:color w:val="auto"/>
          <w:kern w:val="2"/>
          <w:sz w:val="44"/>
          <w:szCs w:val="44"/>
          <w:lang w:val="en-US" w:eastAsia="zh-CN" w:bidi="ar-SA"/>
        </w:rPr>
      </w:pPr>
    </w:p>
    <w:p>
      <w:pPr>
        <w:pStyle w:val="38"/>
        <w:ind w:firstLine="3534" w:firstLineChars="800"/>
        <w:rPr>
          <w:rStyle w:val="59"/>
          <w:rFonts w:hint="eastAsia" w:ascii="宋体" w:hAnsi="宋体"/>
          <w:b/>
          <w:color w:val="auto"/>
          <w:kern w:val="2"/>
          <w:sz w:val="44"/>
          <w:szCs w:val="44"/>
          <w:lang w:val="en-US" w:eastAsia="zh-CN" w:bidi="ar-SA"/>
        </w:rPr>
      </w:pPr>
    </w:p>
    <w:p>
      <w:pPr>
        <w:pStyle w:val="38"/>
        <w:ind w:firstLine="3534" w:firstLineChars="800"/>
        <w:rPr>
          <w:rStyle w:val="59"/>
          <w:rFonts w:hint="eastAsia" w:ascii="宋体" w:hAnsi="宋体"/>
          <w:b/>
          <w:color w:val="auto"/>
          <w:kern w:val="2"/>
          <w:sz w:val="44"/>
          <w:szCs w:val="44"/>
          <w:lang w:val="en-US" w:eastAsia="zh-CN" w:bidi="ar-SA"/>
        </w:rPr>
      </w:pPr>
    </w:p>
    <w:p>
      <w:pPr>
        <w:spacing w:line="360" w:lineRule="auto"/>
        <w:rPr>
          <w:rFonts w:ascii="仿宋" w:hAnsi="仿宋" w:eastAsia="仿宋" w:cs="仿宋"/>
          <w:color w:val="auto"/>
          <w:highlight w:val="none"/>
        </w:rPr>
      </w:pPr>
    </w:p>
    <w:p>
      <w:pPr>
        <w:spacing w:line="360" w:lineRule="auto"/>
        <w:rPr>
          <w:rFonts w:ascii="仿宋" w:hAnsi="仿宋" w:eastAsia="仿宋" w:cs="仿宋"/>
          <w:b/>
          <w:color w:val="auto"/>
          <w:w w:val="95"/>
          <w:highlight w:val="none"/>
        </w:rPr>
      </w:pPr>
      <w:r>
        <w:rPr>
          <w:rFonts w:hint="eastAsia" w:ascii="宋体" w:hAnsi="宋体"/>
          <w:color w:val="auto"/>
          <w:szCs w:val="21"/>
          <w:highlight w:val="none"/>
        </w:rPr>
        <w:t xml:space="preserve"> </w:t>
      </w:r>
      <w:bookmarkStart w:id="66" w:name="_Toc503548066"/>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4"/>
        <w:spacing w:line="360" w:lineRule="auto"/>
        <w:ind w:firstLine="2747" w:firstLineChars="900"/>
        <w:jc w:val="both"/>
        <w:rPr>
          <w:rFonts w:ascii="仿宋" w:hAnsi="仿宋" w:cs="仿宋"/>
          <w:color w:val="auto"/>
          <w:highlight w:val="none"/>
        </w:rPr>
      </w:pPr>
      <w:r>
        <w:rPr>
          <w:rFonts w:hint="eastAsia" w:ascii="仿宋" w:hAnsi="仿宋" w:cs="仿宋"/>
          <w:color w:val="auto"/>
          <w:w w:val="95"/>
          <w:highlight w:val="none"/>
        </w:rPr>
        <w:t>第六章</w:t>
      </w:r>
      <w:r>
        <w:rPr>
          <w:rFonts w:hint="eastAsia" w:ascii="仿宋" w:hAnsi="仿宋" w:cs="仿宋"/>
          <w:color w:val="auto"/>
          <w:w w:val="95"/>
          <w:highlight w:val="none"/>
        </w:rPr>
        <w:tab/>
      </w:r>
      <w:r>
        <w:rPr>
          <w:rFonts w:hint="eastAsia" w:ascii="仿宋" w:hAnsi="仿宋" w:cs="仿宋"/>
          <w:color w:val="auto"/>
          <w:highlight w:val="none"/>
        </w:rPr>
        <w:t>磋商响应性文件格式</w:t>
      </w:r>
      <w:bookmarkEnd w:id="66"/>
    </w:p>
    <w:p>
      <w:pPr>
        <w:spacing w:line="360" w:lineRule="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w:t>
      </w:r>
      <w:r>
        <w:rPr>
          <w:rFonts w:hint="eastAsia" w:ascii="仿宋" w:hAnsi="仿宋" w:eastAsia="仿宋" w:cs="仿宋"/>
          <w:b/>
          <w:bCs/>
          <w:color w:val="auto"/>
          <w:sz w:val="28"/>
          <w:szCs w:val="32"/>
          <w:highlight w:val="none"/>
          <w:lang w:val="en-US" w:eastAsia="zh-CN"/>
        </w:rPr>
        <w:t>正/副</w:t>
      </w:r>
    </w:p>
    <w:p>
      <w:pPr>
        <w:pStyle w:val="13"/>
        <w:kinsoku w:val="0"/>
        <w:overflowPunct w:val="0"/>
        <w:spacing w:before="4" w:line="360" w:lineRule="auto"/>
        <w:ind w:left="2708" w:leftChars="56" w:hanging="2590" w:hangingChars="600"/>
        <w:jc w:val="center"/>
        <w:rPr>
          <w:rFonts w:hAnsi="仿宋"/>
          <w:b/>
          <w:bCs/>
          <w:color w:val="auto"/>
          <w:sz w:val="43"/>
          <w:szCs w:val="43"/>
          <w:highlight w:val="none"/>
        </w:rPr>
      </w:pPr>
      <w:r>
        <w:rPr>
          <w:rFonts w:hint="eastAsia" w:hAnsi="仿宋"/>
          <w:b/>
          <w:bCs/>
          <w:color w:val="auto"/>
          <w:sz w:val="43"/>
          <w:szCs w:val="43"/>
          <w:highlight w:val="none"/>
          <w:lang w:val="en-US" w:eastAsia="zh-CN"/>
        </w:rPr>
        <w:t>阜康市2023年绿色高产高效行动项目-无人机打农药</w:t>
      </w:r>
    </w:p>
    <w:p>
      <w:pPr>
        <w:pStyle w:val="13"/>
        <w:kinsoku w:val="0"/>
        <w:overflowPunct w:val="0"/>
        <w:spacing w:before="0" w:line="360" w:lineRule="auto"/>
        <w:ind w:left="0"/>
        <w:jc w:val="center"/>
        <w:rPr>
          <w:rFonts w:hint="eastAsia" w:hAnsi="仿宋" w:cs="仿宋"/>
          <w:b/>
          <w:bCs/>
          <w:color w:val="auto"/>
          <w:spacing w:val="2"/>
          <w:sz w:val="96"/>
          <w:szCs w:val="96"/>
          <w:highlight w:val="none"/>
        </w:rPr>
      </w:pPr>
    </w:p>
    <w:p>
      <w:pPr>
        <w:pStyle w:val="13"/>
        <w:kinsoku w:val="0"/>
        <w:overflowPunct w:val="0"/>
        <w:spacing w:before="0" w:line="360" w:lineRule="auto"/>
        <w:ind w:left="0"/>
        <w:jc w:val="center"/>
        <w:rPr>
          <w:rFonts w:hAnsi="仿宋"/>
          <w:color w:val="auto"/>
          <w:sz w:val="96"/>
          <w:szCs w:val="96"/>
          <w:highlight w:val="none"/>
        </w:rPr>
      </w:pPr>
      <w:r>
        <w:rPr>
          <w:rFonts w:hint="eastAsia" w:hAnsi="仿宋" w:cs="仿宋"/>
          <w:b/>
          <w:bCs/>
          <w:color w:val="auto"/>
          <w:spacing w:val="2"/>
          <w:sz w:val="96"/>
          <w:szCs w:val="96"/>
          <w:highlight w:val="none"/>
        </w:rPr>
        <w:t>磋商响应性文件</w:t>
      </w:r>
    </w:p>
    <w:p>
      <w:pPr>
        <w:pStyle w:val="13"/>
        <w:kinsoku w:val="0"/>
        <w:overflowPunct w:val="0"/>
        <w:spacing w:before="9" w:line="360" w:lineRule="auto"/>
        <w:ind w:left="0"/>
        <w:rPr>
          <w:rFonts w:hAnsi="仿宋"/>
          <w:b/>
          <w:bCs/>
          <w:color w:val="auto"/>
          <w:sz w:val="86"/>
          <w:szCs w:val="86"/>
          <w:highlight w:val="none"/>
        </w:rPr>
      </w:pPr>
    </w:p>
    <w:p>
      <w:pPr>
        <w:pStyle w:val="44"/>
        <w:kinsoku w:val="0"/>
        <w:overflowPunct w:val="0"/>
        <w:spacing w:before="0" w:line="360" w:lineRule="auto"/>
        <w:ind w:left="1320" w:firstLine="2193" w:firstLineChars="780"/>
        <w:outlineLvl w:val="9"/>
        <w:rPr>
          <w:rFonts w:hAnsi="仿宋"/>
          <w:b w:val="0"/>
          <w:bCs w:val="0"/>
          <w:color w:val="auto"/>
          <w:highlight w:val="none"/>
        </w:rPr>
      </w:pPr>
      <w:r>
        <w:rPr>
          <w:rFonts w:hint="eastAsia" w:hAnsi="仿宋"/>
          <w:color w:val="auto"/>
          <w:highlight w:val="none"/>
        </w:rPr>
        <w:t>磋商文件编号：</w:t>
      </w:r>
    </w:p>
    <w:p>
      <w:pPr>
        <w:pStyle w:val="13"/>
        <w:kinsoku w:val="0"/>
        <w:overflowPunct w:val="0"/>
        <w:spacing w:before="0" w:line="360" w:lineRule="auto"/>
        <w:ind w:left="0"/>
        <w:rPr>
          <w:rFonts w:hAnsi="仿宋"/>
          <w:b/>
          <w:bCs/>
          <w:color w:val="auto"/>
          <w:sz w:val="28"/>
          <w:szCs w:val="28"/>
          <w:highlight w:val="none"/>
        </w:rPr>
      </w:pPr>
    </w:p>
    <w:p>
      <w:pPr>
        <w:pStyle w:val="13"/>
        <w:kinsoku w:val="0"/>
        <w:overflowPunct w:val="0"/>
        <w:spacing w:before="0" w:line="360" w:lineRule="auto"/>
        <w:ind w:left="0"/>
        <w:rPr>
          <w:rFonts w:hAnsi="仿宋"/>
          <w:b/>
          <w:bCs/>
          <w:color w:val="auto"/>
          <w:sz w:val="28"/>
          <w:szCs w:val="28"/>
          <w:highlight w:val="none"/>
        </w:rPr>
      </w:pPr>
    </w:p>
    <w:p>
      <w:pPr>
        <w:pStyle w:val="13"/>
        <w:kinsoku w:val="0"/>
        <w:overflowPunct w:val="0"/>
        <w:spacing w:before="0" w:line="360" w:lineRule="auto"/>
        <w:ind w:left="0"/>
        <w:rPr>
          <w:rFonts w:hAnsi="仿宋"/>
          <w:b/>
          <w:bCs/>
          <w:color w:val="auto"/>
          <w:sz w:val="28"/>
          <w:szCs w:val="28"/>
          <w:highlight w:val="none"/>
        </w:rPr>
      </w:pPr>
    </w:p>
    <w:p>
      <w:pPr>
        <w:pStyle w:val="13"/>
        <w:tabs>
          <w:tab w:val="left" w:pos="6041"/>
        </w:tabs>
        <w:kinsoku w:val="0"/>
        <w:overflowPunct w:val="0"/>
        <w:spacing w:before="0" w:line="360" w:lineRule="auto"/>
        <w:ind w:left="1306" w:right="1998" w:firstLine="14"/>
        <w:rPr>
          <w:rFonts w:hAnsi="仿宋" w:cs="仿宋"/>
          <w:color w:val="auto"/>
          <w:sz w:val="30"/>
          <w:szCs w:val="30"/>
          <w:highlight w:val="none"/>
          <w:u w:val="single"/>
        </w:rPr>
      </w:pPr>
      <w:r>
        <w:rPr>
          <w:rFonts w:hint="eastAsia" w:hAnsi="仿宋" w:cs="仿宋"/>
          <w:color w:val="auto"/>
          <w:spacing w:val="16"/>
          <w:w w:val="95"/>
          <w:sz w:val="30"/>
          <w:szCs w:val="30"/>
          <w:highlight w:val="none"/>
        </w:rPr>
        <w:t>供应商：</w:t>
      </w:r>
      <w:r>
        <w:rPr>
          <w:rFonts w:hint="eastAsia" w:hAnsi="仿宋" w:cs="仿宋"/>
          <w:color w:val="auto"/>
          <w:spacing w:val="16"/>
          <w:w w:val="95"/>
          <w:sz w:val="30"/>
          <w:szCs w:val="30"/>
          <w:highlight w:val="none"/>
          <w:u w:val="single"/>
        </w:rPr>
        <w:tab/>
      </w:r>
      <w:r>
        <w:rPr>
          <w:rFonts w:hint="eastAsia" w:hAnsi="仿宋" w:cs="仿宋"/>
          <w:color w:val="auto"/>
          <w:sz w:val="30"/>
          <w:szCs w:val="30"/>
          <w:highlight w:val="none"/>
          <w:u w:val="single"/>
        </w:rPr>
        <w:t>（公章）</w:t>
      </w:r>
    </w:p>
    <w:p>
      <w:pPr>
        <w:spacing w:line="360" w:lineRule="auto"/>
        <w:rPr>
          <w:color w:val="auto"/>
          <w:highlight w:val="none"/>
        </w:rPr>
      </w:pPr>
    </w:p>
    <w:p>
      <w:pPr>
        <w:pStyle w:val="13"/>
        <w:tabs>
          <w:tab w:val="left" w:pos="6041"/>
        </w:tabs>
        <w:kinsoku w:val="0"/>
        <w:overflowPunct w:val="0"/>
        <w:spacing w:before="0" w:line="360" w:lineRule="auto"/>
        <w:ind w:right="1998" w:firstLine="596" w:firstLineChars="200"/>
        <w:rPr>
          <w:rFonts w:hAnsi="仿宋"/>
          <w:color w:val="auto"/>
          <w:sz w:val="30"/>
          <w:szCs w:val="30"/>
          <w:highlight w:val="none"/>
        </w:rPr>
      </w:pPr>
      <w:r>
        <w:rPr>
          <w:rFonts w:hint="eastAsia" w:hAnsi="仿宋" w:cs="仿宋"/>
          <w:color w:val="auto"/>
          <w:spacing w:val="-1"/>
          <w:sz w:val="30"/>
          <w:szCs w:val="30"/>
          <w:highlight w:val="none"/>
        </w:rPr>
        <w:t>法定代表人或授权委托人：</w:t>
      </w:r>
      <w:r>
        <w:rPr>
          <w:rFonts w:hint="eastAsia" w:hAnsi="仿宋" w:cs="仿宋"/>
          <w:color w:val="auto"/>
          <w:sz w:val="30"/>
          <w:szCs w:val="30"/>
          <w:highlight w:val="none"/>
          <w:u w:val="single"/>
        </w:rPr>
        <w:t>（签字</w:t>
      </w:r>
      <w:r>
        <w:rPr>
          <w:rFonts w:hint="eastAsia" w:hAnsi="仿宋" w:cs="仿宋"/>
          <w:color w:val="auto"/>
          <w:sz w:val="30"/>
          <w:szCs w:val="30"/>
          <w:highlight w:val="none"/>
          <w:u w:val="single"/>
          <w:lang w:val="en-US" w:eastAsia="zh-CN"/>
        </w:rPr>
        <w:t>或盖章</w:t>
      </w:r>
      <w:r>
        <w:rPr>
          <w:rFonts w:hint="eastAsia" w:hAnsi="仿宋" w:cs="仿宋"/>
          <w:color w:val="auto"/>
          <w:sz w:val="30"/>
          <w:szCs w:val="30"/>
          <w:highlight w:val="none"/>
          <w:u w:val="single"/>
        </w:rPr>
        <w:t>）</w:t>
      </w:r>
    </w:p>
    <w:p>
      <w:pPr>
        <w:pStyle w:val="13"/>
        <w:kinsoku w:val="0"/>
        <w:overflowPunct w:val="0"/>
        <w:spacing w:before="0" w:line="360" w:lineRule="auto"/>
        <w:ind w:left="0"/>
        <w:rPr>
          <w:rFonts w:hAnsi="仿宋"/>
          <w:color w:val="auto"/>
          <w:sz w:val="20"/>
          <w:szCs w:val="20"/>
          <w:highlight w:val="none"/>
        </w:rPr>
      </w:pPr>
    </w:p>
    <w:p>
      <w:pPr>
        <w:pStyle w:val="13"/>
        <w:kinsoku w:val="0"/>
        <w:overflowPunct w:val="0"/>
        <w:spacing w:before="0" w:line="360" w:lineRule="auto"/>
        <w:ind w:left="0"/>
        <w:rPr>
          <w:rFonts w:hAnsi="仿宋"/>
          <w:color w:val="auto"/>
          <w:sz w:val="29"/>
          <w:szCs w:val="29"/>
          <w:highlight w:val="none"/>
        </w:rPr>
      </w:pPr>
    </w:p>
    <w:p>
      <w:pPr>
        <w:pStyle w:val="13"/>
        <w:tabs>
          <w:tab w:val="left" w:pos="1314"/>
          <w:tab w:val="left" w:pos="1914"/>
          <w:tab w:val="left" w:pos="2514"/>
        </w:tabs>
        <w:kinsoku w:val="0"/>
        <w:overflowPunct w:val="0"/>
        <w:spacing w:before="7" w:line="360" w:lineRule="auto"/>
        <w:ind w:left="114"/>
        <w:jc w:val="center"/>
        <w:rPr>
          <w:rFonts w:hAnsi="仿宋"/>
          <w:color w:val="auto"/>
          <w:sz w:val="30"/>
          <w:szCs w:val="30"/>
          <w:highlight w:val="none"/>
        </w:rPr>
      </w:pPr>
      <w:r>
        <w:rPr>
          <w:rFonts w:hint="eastAsia" w:hAnsi="仿宋" w:cs="仿宋"/>
          <w:color w:val="auto"/>
          <w:sz w:val="30"/>
          <w:szCs w:val="30"/>
          <w:highlight w:val="none"/>
        </w:rPr>
        <w:t>日  期：</w:t>
      </w:r>
      <w:r>
        <w:rPr>
          <w:rFonts w:hint="eastAsia" w:hAnsi="仿宋" w:cs="仿宋"/>
          <w:color w:val="auto"/>
          <w:sz w:val="30"/>
          <w:szCs w:val="30"/>
          <w:highlight w:val="none"/>
        </w:rPr>
        <w:tab/>
      </w:r>
      <w:r>
        <w:rPr>
          <w:rFonts w:hint="eastAsia" w:hAnsi="仿宋" w:cs="仿宋"/>
          <w:color w:val="auto"/>
          <w:sz w:val="30"/>
          <w:szCs w:val="30"/>
          <w:highlight w:val="none"/>
        </w:rPr>
        <w:t>年</w:t>
      </w:r>
      <w:r>
        <w:rPr>
          <w:rFonts w:hint="eastAsia" w:hAnsi="仿宋" w:cs="仿宋"/>
          <w:color w:val="auto"/>
          <w:sz w:val="30"/>
          <w:szCs w:val="30"/>
          <w:highlight w:val="none"/>
        </w:rPr>
        <w:tab/>
      </w:r>
      <w:r>
        <w:rPr>
          <w:rFonts w:hint="eastAsia" w:hAnsi="仿宋" w:cs="仿宋"/>
          <w:color w:val="auto"/>
          <w:sz w:val="30"/>
          <w:szCs w:val="30"/>
          <w:highlight w:val="none"/>
        </w:rPr>
        <w:t>月</w:t>
      </w:r>
      <w:r>
        <w:rPr>
          <w:rFonts w:hint="eastAsia" w:hAnsi="仿宋" w:cs="仿宋"/>
          <w:color w:val="auto"/>
          <w:sz w:val="30"/>
          <w:szCs w:val="30"/>
          <w:highlight w:val="none"/>
        </w:rPr>
        <w:tab/>
      </w:r>
      <w:r>
        <w:rPr>
          <w:rFonts w:hint="eastAsia" w:hAnsi="仿宋" w:cs="仿宋"/>
          <w:color w:val="auto"/>
          <w:sz w:val="30"/>
          <w:szCs w:val="30"/>
          <w:highlight w:val="none"/>
        </w:rPr>
        <w:t>日</w:t>
      </w:r>
    </w:p>
    <w:p>
      <w:pPr>
        <w:spacing w:line="360" w:lineRule="auto"/>
        <w:rPr>
          <w:rFonts w:ascii="仿宋" w:hAnsi="仿宋" w:eastAsia="仿宋" w:cs="仿宋"/>
          <w:color w:val="auto"/>
          <w:highlight w:val="none"/>
        </w:rPr>
      </w:pPr>
    </w:p>
    <w:p>
      <w:pPr>
        <w:pStyle w:val="13"/>
        <w:kinsoku w:val="0"/>
        <w:overflowPunct w:val="0"/>
        <w:spacing w:before="130" w:line="360" w:lineRule="auto"/>
        <w:ind w:right="7" w:firstLine="480"/>
        <w:jc w:val="center"/>
        <w:rPr>
          <w:rFonts w:hAnsi="仿宋"/>
          <w:b/>
          <w:color w:val="auto"/>
          <w:spacing w:val="4"/>
          <w:highlight w:val="none"/>
        </w:rPr>
      </w:pPr>
      <w:r>
        <w:rPr>
          <w:rFonts w:hint="eastAsia" w:hAnsi="仿宋" w:cs="仿宋"/>
          <w:b/>
          <w:color w:val="auto"/>
          <w:spacing w:val="4"/>
          <w:highlight w:val="none"/>
        </w:rPr>
        <w:t>目录</w:t>
      </w:r>
    </w:p>
    <w:p>
      <w:pPr>
        <w:pStyle w:val="13"/>
        <w:spacing w:before="0" w:line="360" w:lineRule="auto"/>
        <w:ind w:left="0"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一、商务部分</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(1)投标函；</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(2)法定代表人身份证明（附法定代表人身份证复印件）；</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(3)委托授权书（附被授权人身份证复印件）；</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lang w:eastAsia="zh-CN"/>
        </w:rPr>
        <w:t>磋商保证金缴纳凭证或磋商保证金收据或者金融机构、担保机构出具的保函</w:t>
      </w:r>
      <w:r>
        <w:rPr>
          <w:rFonts w:hint="eastAsia" w:ascii="宋体" w:hAnsi="宋体" w:eastAsia="宋体" w:cs="宋体"/>
          <w:color w:val="auto"/>
          <w:highlight w:val="none"/>
        </w:rPr>
        <w:t>（复印件加盖公章）；</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)投标报价单；</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)投标报价明细表；</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)供应商基本情况；</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1）供应商基本情况表；</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具有有效的营业执照（复印件加盖公章）；具备国家级植保机械质量检测机构检验合格认证（复印件加盖公章）、拟实施作业服务组织的植保无人机操作手必须取得该机型的操作资格证书（复印件加盖公章）、在“信用中国”（www.creditchina.gov.cn）和中国政府采购网（www.ccgp.gov.cn）网站上未被列入失信被执行人、重大税收违法案件当事人名单以及政府采购严重违法失信行为记录名单的网页打印件（网页打印件须自招标公告发布之日起至首次提交投标文件截止时间内从上述网站中打印）并加盖公章；</w:t>
      </w:r>
    </w:p>
    <w:p>
      <w:pPr>
        <w:pStyle w:val="13"/>
        <w:spacing w:before="0" w:line="360" w:lineRule="auto"/>
        <w:ind w:left="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3）项目负责人简历表</w:t>
      </w:r>
    </w:p>
    <w:p>
      <w:pPr>
        <w:pStyle w:val="13"/>
        <w:spacing w:before="0" w:line="360" w:lineRule="auto"/>
        <w:ind w:left="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4）拟投入本项目人员汇总表（除项目负责人外）</w:t>
      </w:r>
    </w:p>
    <w:p>
      <w:pPr>
        <w:pStyle w:val="13"/>
        <w:spacing w:before="0" w:line="360" w:lineRule="auto"/>
        <w:ind w:left="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(8)</w:t>
      </w:r>
      <w:r>
        <w:rPr>
          <w:rFonts w:hint="eastAsia" w:ascii="宋体" w:hAnsi="宋体" w:eastAsia="宋体" w:cs="宋体"/>
          <w:color w:val="auto"/>
          <w:highlight w:val="none"/>
          <w:lang w:val="en-US" w:eastAsia="zh-CN"/>
        </w:rPr>
        <w:t>一般商务条款偏离表；</w:t>
      </w:r>
    </w:p>
    <w:p>
      <w:pPr>
        <w:pStyle w:val="13"/>
        <w:spacing w:before="0" w:line="360" w:lineRule="auto"/>
        <w:ind w:firstLine="24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（9）中小企业声明函(服务)</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(10)其他商务资</w:t>
      </w:r>
      <w:r>
        <w:rPr>
          <w:rFonts w:hint="eastAsia" w:ascii="宋体" w:hAnsi="宋体" w:eastAsia="宋体" w:cs="宋体"/>
          <w:color w:val="auto"/>
          <w:highlight w:val="none"/>
        </w:rPr>
        <w:t>格证明资料（格式自定）。</w:t>
      </w:r>
    </w:p>
    <w:p>
      <w:pPr>
        <w:pStyle w:val="13"/>
        <w:spacing w:before="0" w:line="360" w:lineRule="auto"/>
        <w:ind w:left="0"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二、技术部分</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)项目实施方案；</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)供应商认为需要提交的技术资料；</w:t>
      </w:r>
    </w:p>
    <w:p>
      <w:pPr>
        <w:pStyle w:val="13"/>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注：1.请投标供应商按照以下文件的要求格式、内容，顺序制作投标文件，并请编制目录及页码，否则可能将影响对投标文件的评价。</w:t>
      </w:r>
    </w:p>
    <w:p>
      <w:pPr>
        <w:pStyle w:val="13"/>
        <w:kinsoku w:val="0"/>
        <w:overflowPunct w:val="0"/>
        <w:spacing w:before="130" w:line="360" w:lineRule="auto"/>
        <w:ind w:left="119" w:right="6" w:firstLine="480"/>
        <w:rPr>
          <w:rFonts w:hAnsi="仿宋"/>
          <w:color w:val="auto"/>
          <w:spacing w:val="4"/>
          <w:highlight w:val="none"/>
        </w:rPr>
      </w:pPr>
    </w:p>
    <w:p>
      <w:pPr>
        <w:pStyle w:val="46"/>
        <w:kinsoku w:val="0"/>
        <w:overflowPunct w:val="0"/>
        <w:spacing w:line="360" w:lineRule="auto"/>
        <w:jc w:val="center"/>
        <w:outlineLvl w:val="9"/>
        <w:rPr>
          <w:rFonts w:ascii="仿宋" w:hAnsi="仿宋" w:eastAsia="仿宋" w:cs="仿宋"/>
          <w:color w:val="auto"/>
          <w:highlight w:val="none"/>
        </w:rPr>
      </w:pPr>
    </w:p>
    <w:p>
      <w:pPr>
        <w:pStyle w:val="46"/>
        <w:kinsoku w:val="0"/>
        <w:overflowPunct w:val="0"/>
        <w:spacing w:line="360" w:lineRule="auto"/>
        <w:jc w:val="center"/>
        <w:outlineLvl w:val="9"/>
        <w:rPr>
          <w:rFonts w:ascii="仿宋" w:hAnsi="仿宋" w:eastAsia="仿宋" w:cs="仿宋"/>
          <w:color w:val="auto"/>
          <w:highlight w:val="none"/>
        </w:rPr>
      </w:pPr>
    </w:p>
    <w:p>
      <w:pPr>
        <w:pStyle w:val="46"/>
        <w:kinsoku w:val="0"/>
        <w:overflowPunct w:val="0"/>
        <w:spacing w:line="360" w:lineRule="auto"/>
        <w:jc w:val="center"/>
        <w:outlineLvl w:val="9"/>
        <w:rPr>
          <w:rFonts w:ascii="仿宋" w:hAnsi="仿宋" w:eastAsia="仿宋" w:cs="仿宋"/>
          <w:color w:val="auto"/>
          <w:highlight w:val="none"/>
        </w:rPr>
      </w:pPr>
    </w:p>
    <w:p>
      <w:pPr>
        <w:pStyle w:val="46"/>
        <w:kinsoku w:val="0"/>
        <w:overflowPunct w:val="0"/>
        <w:spacing w:line="360" w:lineRule="auto"/>
        <w:jc w:val="center"/>
        <w:outlineLvl w:val="9"/>
        <w:rPr>
          <w:rFonts w:ascii="仿宋" w:hAnsi="仿宋" w:eastAsia="仿宋" w:cs="仿宋"/>
          <w:color w:val="auto"/>
          <w:highlight w:val="none"/>
        </w:rPr>
      </w:pPr>
    </w:p>
    <w:p>
      <w:pPr>
        <w:pStyle w:val="46"/>
        <w:kinsoku w:val="0"/>
        <w:overflowPunct w:val="0"/>
        <w:spacing w:line="360" w:lineRule="auto"/>
        <w:jc w:val="center"/>
        <w:outlineLvl w:val="9"/>
        <w:rPr>
          <w:rFonts w:ascii="仿宋" w:hAnsi="仿宋" w:eastAsia="仿宋" w:cs="仿宋"/>
          <w:color w:val="auto"/>
          <w:highlight w:val="none"/>
        </w:rPr>
      </w:pPr>
    </w:p>
    <w:p>
      <w:pPr>
        <w:pStyle w:val="46"/>
        <w:kinsoku w:val="0"/>
        <w:overflowPunct w:val="0"/>
        <w:spacing w:line="360" w:lineRule="auto"/>
        <w:jc w:val="center"/>
        <w:outlineLvl w:val="9"/>
        <w:rPr>
          <w:rFonts w:ascii="仿宋" w:hAnsi="仿宋" w:eastAsia="仿宋" w:cs="仿宋"/>
          <w:color w:val="auto"/>
          <w:highlight w:val="none"/>
        </w:rPr>
      </w:pPr>
    </w:p>
    <w:p>
      <w:pPr>
        <w:pStyle w:val="46"/>
        <w:kinsoku w:val="0"/>
        <w:overflowPunct w:val="0"/>
        <w:spacing w:line="360" w:lineRule="auto"/>
        <w:jc w:val="center"/>
        <w:outlineLvl w:val="9"/>
        <w:rPr>
          <w:rFonts w:ascii="仿宋" w:hAnsi="仿宋" w:eastAsia="仿宋" w:cs="仿宋"/>
          <w:color w:val="auto"/>
          <w:highlight w:val="none"/>
        </w:rPr>
      </w:pPr>
    </w:p>
    <w:p>
      <w:pPr>
        <w:spacing w:line="360" w:lineRule="auto"/>
        <w:jc w:val="center"/>
        <w:rPr>
          <w:rFonts w:ascii="仿宋" w:hAnsi="仿宋" w:eastAsia="仿宋" w:cs="仿宋"/>
          <w:b/>
          <w:bCs/>
          <w:color w:val="auto"/>
          <w:sz w:val="96"/>
          <w:szCs w:val="84"/>
          <w:highlight w:val="none"/>
        </w:rPr>
      </w:pPr>
      <w:r>
        <w:rPr>
          <w:rFonts w:hint="eastAsia" w:ascii="仿宋" w:hAnsi="仿宋" w:eastAsia="仿宋" w:cs="仿宋"/>
          <w:b/>
          <w:color w:val="auto"/>
          <w:sz w:val="96"/>
          <w:szCs w:val="84"/>
          <w:highlight w:val="none"/>
        </w:rPr>
        <w:t>（一）商务部分</w:t>
      </w:r>
    </w:p>
    <w:p>
      <w:pPr>
        <w:pStyle w:val="13"/>
        <w:kinsoku w:val="0"/>
        <w:overflowPunct w:val="0"/>
        <w:spacing w:before="130" w:line="360" w:lineRule="auto"/>
        <w:ind w:right="7" w:firstLine="480"/>
        <w:jc w:val="center"/>
        <w:rPr>
          <w:rFonts w:hAnsi="仿宋"/>
          <w:b/>
          <w:bCs/>
          <w:color w:val="auto"/>
          <w:sz w:val="36"/>
          <w:szCs w:val="36"/>
          <w:highlight w:val="none"/>
        </w:rPr>
      </w:pPr>
      <w:r>
        <w:rPr>
          <w:rFonts w:hint="eastAsia" w:hAnsi="仿宋" w:cs="仿宋"/>
          <w:color w:val="auto"/>
          <w:highlight w:val="none"/>
        </w:rPr>
        <w:br w:type="page"/>
      </w:r>
      <w:r>
        <w:rPr>
          <w:rFonts w:hint="eastAsia" w:hAnsi="仿宋" w:cs="仿宋"/>
          <w:b/>
          <w:bCs/>
          <w:color w:val="auto"/>
          <w:sz w:val="36"/>
          <w:szCs w:val="36"/>
          <w:highlight w:val="none"/>
        </w:rPr>
        <w:t>一、投标函</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致：</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为响应你方组织的项目的招标[项目编号为：]，我方愿参与投标。</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我方确认收到贵方提供的磋商文件的全部内容。</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我方在参与投标前已详细研究了</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文件的所有内容，包括澄清、修改文件（如果有）和所有已提供的参考资料以及有关附件，我方完全明白并认为此</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文件没有倾向性，也不存在排斥潜在报价供应商的内容，我方同意招标文件的相关条款，放弃对</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文件提出误解和质疑的一切权力。</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(磋商供应商名称)      </w:t>
      </w:r>
      <w:r>
        <w:rPr>
          <w:rFonts w:hint="eastAsia" w:ascii="宋体" w:hAnsi="宋体" w:eastAsia="宋体" w:cs="宋体"/>
          <w:color w:val="auto"/>
          <w:kern w:val="0"/>
          <w:sz w:val="24"/>
          <w:szCs w:val="24"/>
          <w:highlight w:val="none"/>
        </w:rPr>
        <w:t>作为投标供应商正式授权</w:t>
      </w:r>
      <w:r>
        <w:rPr>
          <w:rFonts w:hint="eastAsia" w:ascii="宋体" w:hAnsi="宋体" w:eastAsia="宋体" w:cs="宋体"/>
          <w:color w:val="auto"/>
          <w:kern w:val="0"/>
          <w:sz w:val="24"/>
          <w:szCs w:val="24"/>
          <w:highlight w:val="none"/>
          <w:u w:val="single"/>
        </w:rPr>
        <w:t xml:space="preserve">  (授权代表全名, 职务)  </w:t>
      </w:r>
      <w:r>
        <w:rPr>
          <w:rFonts w:hint="eastAsia" w:ascii="宋体" w:hAnsi="宋体" w:eastAsia="宋体" w:cs="宋体"/>
          <w:color w:val="auto"/>
          <w:kern w:val="0"/>
          <w:sz w:val="24"/>
          <w:szCs w:val="24"/>
          <w:highlight w:val="none"/>
        </w:rPr>
        <w:t>代表我方全权处理有关本报价的一切事宜。</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在此提交的投标文件，正本壹份，副本贰份。</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我方已完全明白招标文件的所有条款要求，并申明如下：</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（一）按</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文件提供的全部服务的投标总价详见《报价一览表》。</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（二）本</w:t>
      </w:r>
      <w:r>
        <w:rPr>
          <w:rFonts w:hint="eastAsia" w:ascii="宋体" w:hAnsi="宋体" w:eastAsia="宋体" w:cs="宋体"/>
          <w:color w:val="auto"/>
          <w:kern w:val="0"/>
          <w:sz w:val="24"/>
          <w:szCs w:val="24"/>
          <w:highlight w:val="none"/>
          <w:lang w:eastAsia="zh-CN"/>
        </w:rPr>
        <w:t>响应</w:t>
      </w:r>
      <w:r>
        <w:rPr>
          <w:rFonts w:hint="eastAsia" w:ascii="宋体" w:hAnsi="宋体" w:eastAsia="宋体" w:cs="宋体"/>
          <w:color w:val="auto"/>
          <w:kern w:val="0"/>
          <w:sz w:val="24"/>
          <w:szCs w:val="24"/>
          <w:highlight w:val="none"/>
        </w:rPr>
        <w:t>文件的有效期为投标截止时间起</w:t>
      </w:r>
      <w:r>
        <w:rPr>
          <w:rFonts w:hint="eastAsia" w:ascii="宋体" w:hAnsi="宋体" w:cs="宋体"/>
          <w:color w:val="auto"/>
          <w:kern w:val="0"/>
          <w:sz w:val="24"/>
          <w:szCs w:val="24"/>
          <w:highlight w:val="none"/>
          <w:lang w:val="en-US" w:eastAsia="zh-CN"/>
        </w:rPr>
        <w:t>60</w:t>
      </w:r>
      <w:r>
        <w:rPr>
          <w:rFonts w:hint="eastAsia" w:ascii="宋体" w:hAnsi="宋体" w:eastAsia="宋体" w:cs="宋体"/>
          <w:color w:val="auto"/>
          <w:kern w:val="0"/>
          <w:sz w:val="24"/>
          <w:szCs w:val="24"/>
          <w:highlight w:val="none"/>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（三）我方明白并同意，在规定的开标日之后，投标有效期之内撤回投标或中标后不按规定与采购人签订合同或不提交履约保证金, 则贵方将不予退还</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保证金。</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（四）我方同意按照贵方可能提出的要求而提供与投标有关的任何其它数据、信息或资料。</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（五）我方理解贵方不一定接受最低投标价或任何贵方可能收到的投标。</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（六）我方如果中标，将保证履行</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文件及其澄清、修改文件（如果有）中的全部责任和义务，按质、按量、按期完成《磋商内容》及《合同书》中的全部任务。</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七</w:t>
      </w:r>
      <w:r>
        <w:rPr>
          <w:rFonts w:hint="eastAsia" w:ascii="宋体" w:hAnsi="宋体" w:eastAsia="宋体" w:cs="宋体"/>
          <w:color w:val="auto"/>
          <w:kern w:val="0"/>
          <w:sz w:val="24"/>
          <w:szCs w:val="24"/>
          <w:highlight w:val="none"/>
        </w:rPr>
        <w:t>）我方在此保证所提交的所有文件和全部说明是真实的和正确的。</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八</w:t>
      </w:r>
      <w:r>
        <w:rPr>
          <w:rFonts w:hint="eastAsia" w:ascii="宋体" w:hAnsi="宋体" w:eastAsia="宋体" w:cs="宋体"/>
          <w:color w:val="auto"/>
          <w:kern w:val="0"/>
          <w:sz w:val="24"/>
          <w:szCs w:val="24"/>
          <w:highlight w:val="none"/>
        </w:rPr>
        <w:t>）我方投标报价已包含应向知识产权所有权人支付的所有相关税费，如有第三方提出侵犯其知识产权主张的，责任由我方承担。</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九</w:t>
      </w:r>
      <w:r>
        <w:rPr>
          <w:rFonts w:hint="eastAsia" w:ascii="宋体" w:hAnsi="宋体" w:eastAsia="宋体" w:cs="宋体"/>
          <w:color w:val="auto"/>
          <w:kern w:val="0"/>
          <w:sz w:val="24"/>
          <w:szCs w:val="24"/>
          <w:highlight w:val="none"/>
        </w:rPr>
        <w:t>）我方与其他投标供应商不存在单位负责人为同一人或者存在直接控股、管理关系。</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（十）我方承诺未为本项目提供整体设计、规范编制或者项目管理、监理、检测等服务。</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w:t>
      </w:r>
      <w:r>
        <w:rPr>
          <w:rFonts w:hint="eastAsia" w:ascii="宋体" w:hAnsi="宋体" w:eastAsia="宋体" w:cs="宋体"/>
          <w:color w:val="auto"/>
          <w:kern w:val="0"/>
          <w:sz w:val="24"/>
          <w:szCs w:val="24"/>
          <w:highlight w:val="none"/>
          <w:lang w:eastAsia="zh-CN"/>
        </w:rPr>
        <w:t>一</w:t>
      </w:r>
      <w:r>
        <w:rPr>
          <w:rFonts w:hint="eastAsia" w:ascii="宋体" w:hAnsi="宋体" w:eastAsia="宋体" w:cs="宋体"/>
          <w:color w:val="auto"/>
          <w:kern w:val="0"/>
          <w:sz w:val="24"/>
          <w:szCs w:val="24"/>
          <w:highlight w:val="none"/>
        </w:rPr>
        <w:t>）我方具备《政府采购法》第二十二条规定的条件，承诺如下：</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（1）我方已依法缴纳了各项税费及社会保险费用，如有需要，可随时向采购人提供近三个月内的相关缴费证明，以便核查。</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（2）我方已依法建立健全的财务会计制度，如有需要，可随时向采购人提供相关的证明材料，以便核查。</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（3）我方参加本项目政府采购活动前3年内在经营活动中没有重大违法记录。</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（4）我方具备履行合同所必需的设备和专业技术能力。</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（5）我方符合法律、行政法规规定的其他条件。</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以上内容如有虚假或与事实不符的，评审委员会可将我方做无效投标处理，我方愿意承担相应的法律责任。</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w:t>
      </w: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）我方对在本函及</w:t>
      </w:r>
      <w:r>
        <w:rPr>
          <w:rFonts w:hint="eastAsia" w:ascii="宋体" w:hAnsi="宋体" w:eastAsia="宋体" w:cs="宋体"/>
          <w:color w:val="auto"/>
          <w:kern w:val="0"/>
          <w:sz w:val="24"/>
          <w:szCs w:val="24"/>
          <w:highlight w:val="none"/>
          <w:lang w:eastAsia="zh-CN"/>
        </w:rPr>
        <w:t>响应</w:t>
      </w:r>
      <w:r>
        <w:rPr>
          <w:rFonts w:hint="eastAsia" w:ascii="宋体" w:hAnsi="宋体" w:eastAsia="宋体" w:cs="宋体"/>
          <w:color w:val="auto"/>
          <w:kern w:val="0"/>
          <w:sz w:val="24"/>
          <w:szCs w:val="24"/>
          <w:highlight w:val="none"/>
        </w:rPr>
        <w:t>文件中所作的所有承诺承担法律责任。</w:t>
      </w:r>
    </w:p>
    <w:p>
      <w:pPr>
        <w:spacing w:line="360" w:lineRule="auto"/>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sz w:val="24"/>
          <w:szCs w:val="24"/>
          <w:highlight w:val="none"/>
          <w:u w:val="single"/>
        </w:rPr>
      </w:pPr>
    </w:p>
    <w:p>
      <w:pPr>
        <w:spacing w:line="360" w:lineRule="auto"/>
        <w:ind w:firstLine="480" w:firstLineChars="200"/>
        <w:rPr>
          <w:rFonts w:hint="eastAsia" w:ascii="宋体" w:hAnsi="宋体" w:eastAsia="宋体" w:cs="宋体"/>
          <w:color w:val="auto"/>
          <w:kern w:val="0"/>
          <w:sz w:val="24"/>
          <w:szCs w:val="24"/>
          <w:highlight w:val="none"/>
        </w:rPr>
      </w:pPr>
    </w:p>
    <w:p>
      <w:pPr>
        <w:spacing w:line="360" w:lineRule="auto"/>
        <w:ind w:right="480"/>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（公章）</w:t>
      </w:r>
    </w:p>
    <w:p>
      <w:pPr>
        <w:spacing w:line="360" w:lineRule="auto"/>
        <w:ind w:firstLine="480" w:firstLineChars="200"/>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法定代表人或委托人：</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（签字</w:t>
      </w:r>
      <w:r>
        <w:rPr>
          <w:rFonts w:hint="eastAsia" w:ascii="宋体" w:hAnsi="宋体" w:eastAsia="宋体" w:cs="宋体"/>
          <w:color w:val="auto"/>
          <w:kern w:val="0"/>
          <w:sz w:val="24"/>
          <w:szCs w:val="24"/>
          <w:highlight w:val="none"/>
          <w:lang w:val="en-US" w:eastAsia="zh-CN"/>
        </w:rPr>
        <w:t>或盖章</w:t>
      </w:r>
      <w:r>
        <w:rPr>
          <w:rFonts w:hint="eastAsia" w:ascii="宋体" w:hAnsi="宋体" w:eastAsia="宋体" w:cs="宋体"/>
          <w:color w:val="auto"/>
          <w:kern w:val="0"/>
          <w:sz w:val="24"/>
          <w:szCs w:val="24"/>
          <w:highlight w:val="none"/>
        </w:rPr>
        <w:t xml:space="preserve">）    </w:t>
      </w:r>
    </w:p>
    <w:p>
      <w:pPr>
        <w:spacing w:line="360" w:lineRule="auto"/>
        <w:ind w:right="480" w:firstLine="7440" w:firstLineChars="310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p>
    <w:p>
      <w:pPr>
        <w:pStyle w:val="13"/>
        <w:kinsoku w:val="0"/>
        <w:overflowPunct w:val="0"/>
        <w:spacing w:before="34" w:line="360" w:lineRule="auto"/>
        <w:ind w:right="126" w:firstLine="480"/>
        <w:jc w:val="center"/>
        <w:rPr>
          <w:rFonts w:hAnsi="仿宋"/>
          <w:color w:val="auto"/>
          <w:sz w:val="36"/>
          <w:szCs w:val="36"/>
          <w:highlight w:val="none"/>
        </w:rPr>
      </w:pPr>
      <w:r>
        <w:rPr>
          <w:rFonts w:hint="eastAsia" w:hAnsi="仿宋" w:cs="仿宋"/>
          <w:color w:val="auto"/>
          <w:highlight w:val="none"/>
        </w:rPr>
        <w:br w:type="page"/>
      </w:r>
      <w:r>
        <w:rPr>
          <w:rFonts w:hint="eastAsia" w:hAnsi="仿宋" w:cs="仿宋"/>
          <w:b/>
          <w:bCs/>
          <w:color w:val="auto"/>
          <w:sz w:val="36"/>
          <w:szCs w:val="36"/>
          <w:highlight w:val="none"/>
        </w:rPr>
        <w:t>二、法定代表人身份证明</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单位名称：</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单位性质：</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地址：</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成立时间：年月日</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姓名：性别：年龄：职务：</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身份证号码：</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单位名称）的法定代表人</w:t>
      </w:r>
      <w:r>
        <w:rPr>
          <w:rFonts w:hint="eastAsia" w:ascii="宋体" w:hAnsi="宋体" w:cs="宋体"/>
          <w:color w:val="auto"/>
          <w:kern w:val="0"/>
          <w:sz w:val="24"/>
          <w:szCs w:val="24"/>
          <w:highlight w:val="none"/>
          <w:lang w:val="en-US" w:eastAsia="zh-CN"/>
        </w:rPr>
        <w:t>或负责人</w:t>
      </w:r>
      <w:r>
        <w:rPr>
          <w:rFonts w:hint="eastAsia" w:ascii="宋体" w:hAnsi="宋体" w:eastAsia="宋体" w:cs="宋体"/>
          <w:color w:val="auto"/>
          <w:kern w:val="0"/>
          <w:sz w:val="24"/>
          <w:szCs w:val="24"/>
          <w:highlight w:val="none"/>
        </w:rPr>
        <w:t>。</w:t>
      </w:r>
    </w:p>
    <w:p>
      <w:pPr>
        <w:spacing w:line="360" w:lineRule="auto"/>
        <w:ind w:firstLine="960" w:firstLineChars="4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pPr>
        <w:pStyle w:val="13"/>
        <w:kinsoku w:val="0"/>
        <w:overflowPunct w:val="0"/>
        <w:spacing w:before="0" w:line="360" w:lineRule="auto"/>
        <w:ind w:left="0"/>
        <w:rPr>
          <w:rFonts w:hAnsi="仿宋"/>
          <w:color w:val="auto"/>
          <w:sz w:val="20"/>
          <w:szCs w:val="20"/>
          <w:highlight w:val="none"/>
        </w:rPr>
      </w:pPr>
    </w:p>
    <w:p>
      <w:pPr>
        <w:spacing w:line="360" w:lineRule="auto"/>
        <w:ind w:firstLine="480" w:firstLineChars="200"/>
        <w:rPr>
          <w:rFonts w:ascii="宋体" w:hAnsi="宋体" w:cs="宋体"/>
          <w:color w:val="auto"/>
          <w:sz w:val="24"/>
          <w:szCs w:val="24"/>
          <w:highlight w:val="none"/>
        </w:rPr>
      </w:pPr>
      <w:r>
        <w:rPr>
          <w:rFonts w:hint="eastAsia" w:ascii="宋体" w:hAnsi="宋体"/>
          <w:color w:val="auto"/>
          <w:sz w:val="24"/>
          <w:szCs w:val="24"/>
          <w:highlight w:val="none"/>
        </w:rPr>
        <w:drawing>
          <wp:inline distT="0" distB="0" distL="0" distR="0">
            <wp:extent cx="5514975" cy="1743075"/>
            <wp:effectExtent l="19050" t="0" r="9525" b="0"/>
            <wp:docPr id="25" name="图片 21" descr="法定代表人身份证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法定代表人身份证样板"/>
                    <pic:cNvPicPr>
                      <a:picLocks noChangeAspect="1" noChangeArrowheads="1"/>
                    </pic:cNvPicPr>
                  </pic:nvPicPr>
                  <pic:blipFill>
                    <a:blip r:embed="rId10" cstate="print"/>
                    <a:srcRect/>
                    <a:stretch>
                      <a:fillRect/>
                    </a:stretch>
                  </pic:blipFill>
                  <pic:spPr>
                    <a:xfrm>
                      <a:off x="0" y="0"/>
                      <a:ext cx="5514975" cy="1743075"/>
                    </a:xfrm>
                    <a:prstGeom prst="rect">
                      <a:avLst/>
                    </a:prstGeom>
                    <a:noFill/>
                    <a:ln w="9525">
                      <a:noFill/>
                      <a:miter lim="800000"/>
                      <a:headEnd/>
                      <a:tailEnd/>
                    </a:ln>
                  </pic:spPr>
                </pic:pic>
              </a:graphicData>
            </a:graphic>
          </wp:inline>
        </w:drawing>
      </w:r>
    </w:p>
    <w:p>
      <w:pPr>
        <w:spacing w:line="360" w:lineRule="auto"/>
        <w:ind w:right="96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供应商：（公章）</w:t>
      </w:r>
    </w:p>
    <w:p>
      <w:pPr>
        <w:spacing w:line="360" w:lineRule="auto"/>
        <w:ind w:right="960" w:firstLine="480" w:firstLineChars="200"/>
        <w:rPr>
          <w:rFonts w:ascii="仿宋" w:hAnsi="仿宋" w:eastAsia="仿宋" w:cs="仿宋"/>
          <w:color w:val="auto"/>
          <w:kern w:val="0"/>
          <w:sz w:val="24"/>
          <w:szCs w:val="24"/>
          <w:highlight w:val="none"/>
        </w:rPr>
      </w:pPr>
      <w:r>
        <w:rPr>
          <w:rFonts w:hint="eastAsia" w:ascii="宋体" w:hAnsi="宋体" w:eastAsia="宋体" w:cs="宋体"/>
          <w:color w:val="auto"/>
          <w:kern w:val="0"/>
          <w:sz w:val="24"/>
          <w:szCs w:val="24"/>
          <w:highlight w:val="none"/>
        </w:rPr>
        <w:t>年月日</w:t>
      </w:r>
      <w:r>
        <w:rPr>
          <w:rFonts w:hint="eastAsia" w:ascii="仿宋" w:hAnsi="仿宋" w:eastAsia="仿宋" w:cs="仿宋"/>
          <w:color w:val="auto"/>
          <w:kern w:val="0"/>
          <w:sz w:val="24"/>
          <w:szCs w:val="24"/>
          <w:highlight w:val="none"/>
        </w:rPr>
        <w:t xml:space="preserve"> </w:t>
      </w:r>
    </w:p>
    <w:p>
      <w:pPr>
        <w:pStyle w:val="13"/>
        <w:kinsoku w:val="0"/>
        <w:overflowPunct w:val="0"/>
        <w:spacing w:before="34" w:line="360" w:lineRule="auto"/>
        <w:ind w:right="126" w:firstLine="480"/>
        <w:jc w:val="center"/>
        <w:rPr>
          <w:rFonts w:hAnsi="仿宋"/>
          <w:b/>
          <w:bCs/>
          <w:color w:val="auto"/>
          <w:highlight w:val="none"/>
        </w:rPr>
      </w:pPr>
      <w:r>
        <w:rPr>
          <w:rFonts w:hint="eastAsia" w:hAnsi="仿宋" w:cs="仿宋"/>
          <w:color w:val="auto"/>
          <w:highlight w:val="none"/>
        </w:rPr>
        <w:br w:type="page"/>
      </w:r>
      <w:r>
        <w:rPr>
          <w:rFonts w:hint="eastAsia" w:hAnsi="仿宋" w:cs="仿宋"/>
          <w:b/>
          <w:bCs/>
          <w:color w:val="auto"/>
          <w:sz w:val="36"/>
          <w:szCs w:val="36"/>
          <w:highlight w:val="none"/>
        </w:rPr>
        <w:t>三、授权委托书</w:t>
      </w:r>
    </w:p>
    <w:p>
      <w:pPr>
        <w:pStyle w:val="13"/>
        <w:kinsoku w:val="0"/>
        <w:overflowPunct w:val="0"/>
        <w:spacing w:before="2" w:line="360" w:lineRule="auto"/>
        <w:ind w:left="0"/>
        <w:rPr>
          <w:rFonts w:hAnsi="仿宋"/>
          <w:b/>
          <w:bCs/>
          <w:color w:val="auto"/>
          <w:sz w:val="21"/>
          <w:szCs w:val="21"/>
          <w:highlight w:val="none"/>
        </w:rPr>
      </w:pPr>
    </w:p>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致：采购人名称</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本授权书声明：注册于</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u w:val="single"/>
          <w:lang w:eastAsia="zh-CN"/>
        </w:rPr>
        <w:t>供应商</w:t>
      </w:r>
      <w:r>
        <w:rPr>
          <w:rFonts w:hint="eastAsia" w:ascii="宋体" w:hAnsi="宋体" w:eastAsia="宋体" w:cs="宋体"/>
          <w:color w:val="auto"/>
          <w:kern w:val="0"/>
          <w:sz w:val="24"/>
          <w:szCs w:val="24"/>
          <w:highlight w:val="none"/>
          <w:u w:val="single"/>
        </w:rPr>
        <w:t>地址）</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u w:val="single"/>
          <w:lang w:eastAsia="zh-CN"/>
        </w:rPr>
        <w:t>供应商</w:t>
      </w:r>
      <w:r>
        <w:rPr>
          <w:rFonts w:hint="eastAsia" w:ascii="宋体" w:hAnsi="宋体" w:eastAsia="宋体" w:cs="宋体"/>
          <w:color w:val="auto"/>
          <w:kern w:val="0"/>
          <w:sz w:val="24"/>
          <w:szCs w:val="24"/>
          <w:highlight w:val="none"/>
          <w:u w:val="single"/>
        </w:rPr>
        <w:t>名称）</w:t>
      </w:r>
      <w:r>
        <w:rPr>
          <w:rFonts w:hint="eastAsia" w:ascii="宋体" w:hAnsi="宋体" w:eastAsia="宋体" w:cs="宋体"/>
          <w:color w:val="auto"/>
          <w:kern w:val="0"/>
          <w:sz w:val="24"/>
          <w:szCs w:val="24"/>
          <w:highlight w:val="none"/>
        </w:rPr>
        <w:t>法定代表人（负责人）</w:t>
      </w:r>
      <w:r>
        <w:rPr>
          <w:rFonts w:hint="eastAsia" w:ascii="宋体" w:hAnsi="宋体" w:eastAsia="宋体" w:cs="宋体"/>
          <w:color w:val="auto"/>
          <w:kern w:val="0"/>
          <w:sz w:val="24"/>
          <w:szCs w:val="24"/>
          <w:highlight w:val="none"/>
          <w:u w:val="single"/>
        </w:rPr>
        <w:t>姓名、职务或职称）</w:t>
      </w:r>
      <w:r>
        <w:rPr>
          <w:rFonts w:hint="eastAsia" w:ascii="宋体" w:hAnsi="宋体" w:eastAsia="宋体" w:cs="宋体"/>
          <w:color w:val="auto"/>
          <w:kern w:val="0"/>
          <w:sz w:val="24"/>
          <w:szCs w:val="24"/>
          <w:highlight w:val="none"/>
        </w:rPr>
        <w:t>代表本公司授权</w:t>
      </w:r>
      <w:r>
        <w:rPr>
          <w:rFonts w:hint="eastAsia" w:ascii="宋体" w:hAnsi="宋体" w:eastAsia="宋体" w:cs="宋体"/>
          <w:color w:val="auto"/>
          <w:kern w:val="0"/>
          <w:sz w:val="24"/>
          <w:szCs w:val="24"/>
          <w:highlight w:val="none"/>
          <w:u w:val="single"/>
        </w:rPr>
        <w:t>（姓名）</w:t>
      </w:r>
      <w:r>
        <w:rPr>
          <w:rFonts w:hint="eastAsia" w:ascii="宋体" w:hAnsi="宋体" w:eastAsia="宋体" w:cs="宋体"/>
          <w:color w:val="auto"/>
          <w:kern w:val="0"/>
          <w:sz w:val="24"/>
          <w:szCs w:val="24"/>
          <w:highlight w:val="none"/>
        </w:rPr>
        <w:t>为本单位的合法代理人，参与贵方组织的</w:t>
      </w:r>
      <w:r>
        <w:rPr>
          <w:rFonts w:hint="eastAsia" w:ascii="宋体" w:hAnsi="宋体" w:eastAsia="宋体" w:cs="宋体"/>
          <w:color w:val="auto"/>
          <w:kern w:val="0"/>
          <w:sz w:val="24"/>
          <w:szCs w:val="24"/>
          <w:highlight w:val="none"/>
          <w:u w:val="single"/>
        </w:rPr>
        <w:t>（项目名称及项目编号）</w:t>
      </w:r>
      <w:r>
        <w:rPr>
          <w:rFonts w:hint="eastAsia" w:ascii="宋体" w:hAnsi="宋体" w:eastAsia="宋体" w:cs="宋体"/>
          <w:color w:val="auto"/>
          <w:kern w:val="0"/>
          <w:sz w:val="24"/>
          <w:szCs w:val="24"/>
          <w:highlight w:val="none"/>
        </w:rPr>
        <w:t>的投标、谈判、签约等具体工作，并签署全部有关文件、协议及合同。</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我单位对被授权人的上述经济活动负全部责任。在撤销授权的书面通知前，本授权书一直有效。被授权人在授权书有效期内签署的所有文件不因授权的撤消而失效。</w:t>
      </w:r>
    </w:p>
    <w:p>
      <w:pPr>
        <w:spacing w:line="500" w:lineRule="exact"/>
        <w:ind w:firstLine="960" w:firstLineChars="400"/>
        <w:rPr>
          <w:rFonts w:ascii="宋体" w:hAnsi="宋体" w:cs="宋体"/>
          <w:bCs/>
          <w:color w:val="auto"/>
          <w:sz w:val="24"/>
          <w:szCs w:val="24"/>
          <w:highlight w:val="none"/>
        </w:rPr>
      </w:pPr>
      <w:r>
        <w:rPr>
          <w:rFonts w:hint="eastAsia" w:ascii="宋体" w:hAnsi="宋体" w:cs="宋体"/>
          <w:color w:val="auto"/>
          <w:sz w:val="24"/>
          <w:szCs w:val="24"/>
          <w:highlight w:val="none"/>
        </w:rPr>
        <w:t>附：法定代表人、</w:t>
      </w:r>
      <w:r>
        <w:rPr>
          <w:rFonts w:hint="eastAsia" w:ascii="宋体" w:hAnsi="宋体" w:cs="宋体"/>
          <w:bCs/>
          <w:color w:val="auto"/>
          <w:sz w:val="24"/>
          <w:szCs w:val="24"/>
          <w:highlight w:val="none"/>
        </w:rPr>
        <w:t>委托代理人身份证复印件</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drawing>
          <wp:inline distT="0" distB="0" distL="0" distR="0">
            <wp:extent cx="5229225" cy="1704975"/>
            <wp:effectExtent l="19050" t="0" r="9525" b="0"/>
            <wp:docPr id="48" name="图片 22" descr="法定代表人身份证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法定代表人身份证样板"/>
                    <pic:cNvPicPr>
                      <a:picLocks noChangeAspect="1" noChangeArrowheads="1"/>
                    </pic:cNvPicPr>
                  </pic:nvPicPr>
                  <pic:blipFill>
                    <a:blip r:embed="rId10" cstate="print"/>
                    <a:srcRect/>
                    <a:stretch>
                      <a:fillRect/>
                    </a:stretch>
                  </pic:blipFill>
                  <pic:spPr>
                    <a:xfrm>
                      <a:off x="0" y="0"/>
                      <a:ext cx="5229225" cy="17049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drawing>
          <wp:inline distT="0" distB="0" distL="0" distR="0">
            <wp:extent cx="5229225" cy="1666875"/>
            <wp:effectExtent l="19050" t="0" r="9525" b="0"/>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noChangeArrowheads="1"/>
                    </pic:cNvPicPr>
                  </pic:nvPicPr>
                  <pic:blipFill>
                    <a:blip r:embed="rId11" cstate="print"/>
                    <a:srcRect/>
                    <a:stretch>
                      <a:fillRect/>
                    </a:stretch>
                  </pic:blipFill>
                  <pic:spPr>
                    <a:xfrm>
                      <a:off x="0" y="0"/>
                      <a:ext cx="5229225" cy="1666875"/>
                    </a:xfrm>
                    <a:prstGeom prst="rect">
                      <a:avLst/>
                    </a:prstGeom>
                    <a:noFill/>
                    <a:ln w="9525">
                      <a:noFill/>
                      <a:miter lim="800000"/>
                      <a:headEnd/>
                      <a:tailEnd/>
                    </a:ln>
                  </pic:spPr>
                </pic:pic>
              </a:graphicData>
            </a:graphic>
          </wp:inline>
        </w:drawing>
      </w:r>
    </w:p>
    <w:p>
      <w:pPr>
        <w:pStyle w:val="21"/>
        <w:ind w:left="420" w:hanging="420"/>
        <w:rPr>
          <w:color w:val="auto"/>
          <w:highlight w:val="none"/>
        </w:rPr>
      </w:pPr>
    </w:p>
    <w:p>
      <w:pPr>
        <w:pStyle w:val="13"/>
        <w:kinsoku w:val="0"/>
        <w:overflowPunct w:val="0"/>
        <w:spacing w:before="0" w:line="360" w:lineRule="auto"/>
        <w:ind w:left="628"/>
        <w:rPr>
          <w:rFonts w:hAnsi="仿宋"/>
          <w:color w:val="auto"/>
          <w:sz w:val="20"/>
          <w:szCs w:val="20"/>
          <w:highlight w:val="none"/>
        </w:rPr>
      </w:pPr>
    </w:p>
    <w:p>
      <w:pPr>
        <w:pStyle w:val="13"/>
        <w:kinsoku w:val="0"/>
        <w:overflowPunct w:val="0"/>
        <w:spacing w:before="0" w:line="360" w:lineRule="auto"/>
        <w:ind w:left="628"/>
        <w:rPr>
          <w:rFonts w:hAnsi="仿宋"/>
          <w:color w:val="auto"/>
          <w:sz w:val="20"/>
          <w:szCs w:val="20"/>
          <w:highlight w:val="none"/>
        </w:rPr>
      </w:pPr>
    </w:p>
    <w:p>
      <w:pPr>
        <w:pStyle w:val="13"/>
        <w:kinsoku w:val="0"/>
        <w:overflowPunct w:val="0"/>
        <w:spacing w:before="0" w:line="360" w:lineRule="auto"/>
        <w:ind w:left="0"/>
        <w:rPr>
          <w:rFonts w:hAnsi="仿宋"/>
          <w:color w:val="auto"/>
          <w:sz w:val="20"/>
          <w:szCs w:val="20"/>
          <w:highlight w:val="none"/>
        </w:rPr>
      </w:pPr>
    </w:p>
    <w:p>
      <w:pPr>
        <w:pStyle w:val="13"/>
        <w:tabs>
          <w:tab w:val="left" w:pos="5295"/>
        </w:tabs>
        <w:kinsoku w:val="0"/>
        <w:overflowPunct w:val="0"/>
        <w:spacing w:before="26" w:line="360" w:lineRule="auto"/>
        <w:ind w:left="618"/>
        <w:rPr>
          <w:rFonts w:hint="eastAsia" w:ascii="宋体" w:hAnsi="宋体" w:eastAsia="宋体" w:cs="宋体"/>
          <w:color w:val="auto"/>
          <w:highlight w:val="none"/>
        </w:rPr>
      </w:pPr>
      <w:r>
        <w:rPr>
          <w:rFonts w:hint="eastAsia" w:ascii="宋体" w:hAnsi="宋体" w:eastAsia="宋体" w:cs="宋体"/>
          <w:color w:val="auto"/>
          <w:highlight w:val="none"/>
        </w:rPr>
        <w:t>被授权代表（签字）：</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供应商法定代表人（签字</w:t>
      </w:r>
      <w:r>
        <w:rPr>
          <w:rFonts w:hint="eastAsia" w:ascii="宋体" w:hAnsi="宋体" w:eastAsia="宋体" w:cs="宋体"/>
          <w:color w:val="auto"/>
          <w:highlight w:val="none"/>
          <w:lang w:val="en-US" w:eastAsia="zh-CN"/>
        </w:rPr>
        <w:t>或盖章</w:t>
      </w:r>
      <w:r>
        <w:rPr>
          <w:rFonts w:hint="eastAsia" w:ascii="宋体" w:hAnsi="宋体" w:eastAsia="宋体" w:cs="宋体"/>
          <w:color w:val="auto"/>
          <w:highlight w:val="none"/>
        </w:rPr>
        <w:t>）：</w:t>
      </w:r>
    </w:p>
    <w:p>
      <w:pPr>
        <w:pStyle w:val="13"/>
        <w:tabs>
          <w:tab w:val="left" w:pos="1098"/>
          <w:tab w:val="left" w:pos="5298"/>
          <w:tab w:val="left" w:pos="5778"/>
        </w:tabs>
        <w:kinsoku w:val="0"/>
        <w:overflowPunct w:val="0"/>
        <w:spacing w:before="86" w:line="360" w:lineRule="auto"/>
        <w:ind w:left="618"/>
        <w:rPr>
          <w:rFonts w:hint="eastAsia" w:ascii="宋体" w:hAnsi="宋体" w:eastAsia="宋体" w:cs="宋体"/>
          <w:color w:val="auto"/>
          <w:highlight w:val="none"/>
        </w:rPr>
      </w:pPr>
      <w:r>
        <w:rPr>
          <w:rFonts w:hint="eastAsia" w:ascii="宋体" w:hAnsi="宋体" w:eastAsia="宋体" w:cs="宋体"/>
          <w:color w:val="auto"/>
          <w:highlight w:val="none"/>
        </w:rPr>
        <w:t>职</w:t>
      </w:r>
      <w:r>
        <w:rPr>
          <w:rFonts w:hint="eastAsia" w:ascii="宋体" w:hAnsi="宋体" w:eastAsia="宋体" w:cs="宋体"/>
          <w:color w:val="auto"/>
          <w:highlight w:val="none"/>
        </w:rPr>
        <w:tab/>
      </w:r>
      <w:r>
        <w:rPr>
          <w:rFonts w:hint="eastAsia" w:ascii="宋体" w:hAnsi="宋体" w:eastAsia="宋体" w:cs="宋体"/>
          <w:color w:val="auto"/>
          <w:highlight w:val="none"/>
        </w:rPr>
        <w:t>务：</w:t>
      </w:r>
      <w:r>
        <w:rPr>
          <w:rFonts w:hint="eastAsia" w:ascii="宋体" w:hAnsi="宋体" w:eastAsia="宋体" w:cs="宋体"/>
          <w:color w:val="auto"/>
          <w:highlight w:val="none"/>
        </w:rPr>
        <w:tab/>
      </w:r>
      <w:r>
        <w:rPr>
          <w:rFonts w:hint="eastAsia" w:ascii="宋体" w:hAnsi="宋体" w:eastAsia="宋体" w:cs="宋体"/>
          <w:color w:val="auto"/>
          <w:highlight w:val="none"/>
        </w:rPr>
        <w:t>职</w:t>
      </w:r>
      <w:r>
        <w:rPr>
          <w:rFonts w:hint="eastAsia" w:ascii="宋体" w:hAnsi="宋体" w:eastAsia="宋体" w:cs="宋体"/>
          <w:color w:val="auto"/>
          <w:highlight w:val="none"/>
        </w:rPr>
        <w:tab/>
      </w:r>
      <w:r>
        <w:rPr>
          <w:rFonts w:hint="eastAsia" w:ascii="宋体" w:hAnsi="宋体" w:eastAsia="宋体" w:cs="宋体"/>
          <w:color w:val="auto"/>
          <w:highlight w:val="none"/>
        </w:rPr>
        <w:t>务：</w:t>
      </w:r>
    </w:p>
    <w:p>
      <w:pPr>
        <w:pStyle w:val="13"/>
        <w:tabs>
          <w:tab w:val="left" w:pos="1098"/>
          <w:tab w:val="left" w:pos="5298"/>
          <w:tab w:val="left" w:pos="5778"/>
        </w:tabs>
        <w:kinsoku w:val="0"/>
        <w:overflowPunct w:val="0"/>
        <w:spacing w:before="84" w:line="360" w:lineRule="auto"/>
        <w:ind w:left="618"/>
        <w:rPr>
          <w:rFonts w:hint="eastAsia" w:ascii="宋体" w:hAnsi="宋体" w:eastAsia="宋体" w:cs="宋体"/>
          <w:color w:val="auto"/>
          <w:highlight w:val="none"/>
        </w:rPr>
      </w:pPr>
      <w:r>
        <w:rPr>
          <w:rFonts w:hint="eastAsia" w:ascii="宋体" w:hAnsi="宋体" w:eastAsia="宋体" w:cs="宋体"/>
          <w:color w:val="auto"/>
          <w:highlight w:val="none"/>
        </w:rPr>
        <w:t>电</w:t>
      </w:r>
      <w:r>
        <w:rPr>
          <w:rFonts w:hint="eastAsia" w:ascii="宋体" w:hAnsi="宋体" w:eastAsia="宋体" w:cs="宋体"/>
          <w:color w:val="auto"/>
          <w:highlight w:val="none"/>
        </w:rPr>
        <w:tab/>
      </w:r>
      <w:r>
        <w:rPr>
          <w:rFonts w:hint="eastAsia" w:ascii="宋体" w:hAnsi="宋体" w:eastAsia="宋体" w:cs="宋体"/>
          <w:color w:val="auto"/>
          <w:highlight w:val="none"/>
        </w:rPr>
        <w:t>话：</w:t>
      </w:r>
      <w:r>
        <w:rPr>
          <w:rFonts w:hint="eastAsia" w:ascii="宋体" w:hAnsi="宋体" w:eastAsia="宋体" w:cs="宋体"/>
          <w:color w:val="auto"/>
          <w:highlight w:val="none"/>
        </w:rPr>
        <w:tab/>
      </w:r>
      <w:r>
        <w:rPr>
          <w:rFonts w:hint="eastAsia" w:ascii="宋体" w:hAnsi="宋体" w:eastAsia="宋体" w:cs="宋体"/>
          <w:color w:val="auto"/>
          <w:highlight w:val="none"/>
        </w:rPr>
        <w:t>电</w:t>
      </w:r>
      <w:r>
        <w:rPr>
          <w:rFonts w:hint="eastAsia" w:ascii="宋体" w:hAnsi="宋体" w:eastAsia="宋体" w:cs="宋体"/>
          <w:color w:val="auto"/>
          <w:highlight w:val="none"/>
        </w:rPr>
        <w:tab/>
      </w:r>
      <w:r>
        <w:rPr>
          <w:rFonts w:hint="eastAsia" w:ascii="宋体" w:hAnsi="宋体" w:eastAsia="宋体" w:cs="宋体"/>
          <w:color w:val="auto"/>
          <w:highlight w:val="none"/>
        </w:rPr>
        <w:t>话：</w:t>
      </w:r>
    </w:p>
    <w:p>
      <w:pPr>
        <w:pStyle w:val="13"/>
        <w:tabs>
          <w:tab w:val="left" w:pos="5631"/>
          <w:tab w:val="left" w:pos="6591"/>
          <w:tab w:val="left" w:pos="7191"/>
          <w:tab w:val="left" w:pos="7791"/>
          <w:tab w:val="left" w:pos="8247"/>
        </w:tabs>
        <w:kinsoku w:val="0"/>
        <w:overflowPunct w:val="0"/>
        <w:spacing w:before="166" w:line="360" w:lineRule="auto"/>
        <w:ind w:left="4912" w:right="238" w:hanging="384"/>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（盖章）</w:t>
      </w:r>
    </w:p>
    <w:p>
      <w:pPr>
        <w:pStyle w:val="13"/>
        <w:tabs>
          <w:tab w:val="left" w:pos="5145"/>
          <w:tab w:val="left" w:pos="6591"/>
          <w:tab w:val="left" w:pos="7191"/>
          <w:tab w:val="left" w:pos="7791"/>
          <w:tab w:val="left" w:pos="8247"/>
        </w:tabs>
        <w:kinsoku w:val="0"/>
        <w:overflowPunct w:val="0"/>
        <w:spacing w:before="166" w:line="360" w:lineRule="auto"/>
        <w:ind w:left="105" w:leftChars="50" w:right="238"/>
        <w:jc w:val="center"/>
        <w:rPr>
          <w:rFonts w:hAnsi="仿宋"/>
          <w:color w:val="auto"/>
          <w:highlight w:val="none"/>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日</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期：年</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日 </w:t>
      </w:r>
      <w:r>
        <w:rPr>
          <w:rFonts w:hint="eastAsia" w:hAnsi="仿宋" w:cs="仿宋"/>
          <w:color w:val="auto"/>
          <w:highlight w:val="none"/>
        </w:rPr>
        <w:t xml:space="preserve">               </w:t>
      </w:r>
    </w:p>
    <w:p>
      <w:pPr>
        <w:pStyle w:val="13"/>
        <w:kinsoku w:val="0"/>
        <w:overflowPunct w:val="0"/>
        <w:spacing w:before="7" w:line="360" w:lineRule="auto"/>
        <w:ind w:left="0"/>
        <w:rPr>
          <w:rFonts w:hAnsi="仿宋"/>
          <w:color w:val="auto"/>
          <w:sz w:val="22"/>
          <w:szCs w:val="22"/>
          <w:highlight w:val="none"/>
        </w:rPr>
      </w:pPr>
    </w:p>
    <w:p>
      <w:pPr>
        <w:pStyle w:val="13"/>
        <w:kinsoku w:val="0"/>
        <w:overflowPunct w:val="0"/>
        <w:spacing w:before="34" w:line="360" w:lineRule="auto"/>
        <w:ind w:right="126" w:firstLine="480"/>
        <w:jc w:val="center"/>
        <w:rPr>
          <w:rFonts w:hAnsi="仿宋"/>
          <w:b/>
          <w:bCs/>
          <w:color w:val="auto"/>
          <w:highlight w:val="none"/>
        </w:rPr>
      </w:pPr>
      <w:r>
        <w:rPr>
          <w:rFonts w:hint="eastAsia" w:hAnsi="仿宋" w:cs="仿宋"/>
          <w:b/>
          <w:bCs/>
          <w:color w:val="auto"/>
          <w:sz w:val="36"/>
          <w:szCs w:val="36"/>
          <w:highlight w:val="none"/>
        </w:rPr>
        <w:t>四、</w:t>
      </w:r>
      <w:r>
        <w:rPr>
          <w:rFonts w:hint="eastAsia" w:hAnsi="仿宋" w:cs="仿宋"/>
          <w:b/>
          <w:bCs/>
          <w:color w:val="auto"/>
          <w:sz w:val="36"/>
          <w:szCs w:val="36"/>
          <w:highlight w:val="none"/>
          <w:lang w:eastAsia="zh-CN"/>
        </w:rPr>
        <w:t>磋商保证金缴纳凭证或磋商保证金收据或者金融机构、担保机构出具的保函（复印件加盖公章）</w:t>
      </w:r>
    </w:p>
    <w:p>
      <w:pPr>
        <w:pStyle w:val="13"/>
        <w:kinsoku w:val="0"/>
        <w:overflowPunct w:val="0"/>
        <w:spacing w:before="0" w:line="360" w:lineRule="auto"/>
        <w:ind w:left="0"/>
        <w:rPr>
          <w:rFonts w:hAnsi="仿宋"/>
          <w:b/>
          <w:bCs/>
          <w:color w:val="auto"/>
          <w:sz w:val="20"/>
          <w:szCs w:val="20"/>
          <w:highlight w:val="none"/>
        </w:rPr>
      </w:pPr>
    </w:p>
    <w:p>
      <w:pPr>
        <w:pStyle w:val="13"/>
        <w:kinsoku w:val="0"/>
        <w:overflowPunct w:val="0"/>
        <w:spacing w:before="4" w:line="360" w:lineRule="auto"/>
        <w:ind w:left="0"/>
        <w:rPr>
          <w:rFonts w:hAnsi="仿宋"/>
          <w:b/>
          <w:bCs/>
          <w:color w:val="auto"/>
          <w:sz w:val="23"/>
          <w:szCs w:val="23"/>
          <w:highlight w:val="none"/>
        </w:rPr>
      </w:pPr>
    </w:p>
    <w:p>
      <w:pPr>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21"/>
        <w:ind w:left="420" w:hanging="420"/>
        <w:rPr>
          <w:color w:val="auto"/>
          <w:highlight w:val="none"/>
        </w:rPr>
      </w:pPr>
    </w:p>
    <w:p>
      <w:pPr>
        <w:pStyle w:val="13"/>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3"/>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3"/>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3"/>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3"/>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3"/>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3"/>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3"/>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3"/>
        <w:kinsoku w:val="0"/>
        <w:overflowPunct w:val="0"/>
        <w:spacing w:before="34" w:line="360" w:lineRule="auto"/>
        <w:ind w:right="126" w:firstLine="480"/>
        <w:jc w:val="center"/>
        <w:rPr>
          <w:rFonts w:hAnsi="仿宋"/>
          <w:b/>
          <w:bCs/>
          <w:color w:val="auto"/>
          <w:highlight w:val="none"/>
        </w:rPr>
      </w:pPr>
      <w:r>
        <w:rPr>
          <w:rFonts w:hint="eastAsia" w:hAnsi="仿宋" w:cs="仿宋"/>
          <w:b/>
          <w:bCs/>
          <w:color w:val="auto"/>
          <w:sz w:val="36"/>
          <w:szCs w:val="36"/>
          <w:highlight w:val="none"/>
          <w:lang w:eastAsia="zh-CN"/>
        </w:rPr>
        <w:t>五</w:t>
      </w:r>
      <w:r>
        <w:rPr>
          <w:rFonts w:hint="eastAsia" w:hAnsi="仿宋" w:cs="仿宋"/>
          <w:b/>
          <w:bCs/>
          <w:color w:val="auto"/>
          <w:sz w:val="36"/>
          <w:szCs w:val="36"/>
          <w:highlight w:val="none"/>
        </w:rPr>
        <w:t>、投标报价单</w:t>
      </w:r>
    </w:p>
    <w:p>
      <w:pPr>
        <w:pStyle w:val="13"/>
        <w:kinsoku w:val="0"/>
        <w:overflowPunct w:val="0"/>
        <w:spacing w:before="6" w:line="360" w:lineRule="auto"/>
        <w:ind w:left="0"/>
        <w:rPr>
          <w:rFonts w:hAnsi="仿宋"/>
          <w:b/>
          <w:bCs/>
          <w:color w:val="auto"/>
          <w:sz w:val="26"/>
          <w:szCs w:val="26"/>
          <w:highlight w:val="none"/>
        </w:rPr>
      </w:pPr>
    </w:p>
    <w:p>
      <w:pPr>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采购项目名称：</w:t>
      </w:r>
      <w:r>
        <w:rPr>
          <w:rFonts w:hint="eastAsia" w:ascii="宋体" w:hAnsi="宋体" w:eastAsia="宋体" w:cs="宋体"/>
          <w:color w:val="auto"/>
          <w:kern w:val="0"/>
          <w:sz w:val="24"/>
          <w:szCs w:val="24"/>
          <w:highlight w:val="none"/>
          <w:u w:val="single"/>
        </w:rPr>
        <w:t>　                              　　</w:t>
      </w:r>
    </w:p>
    <w:p>
      <w:pPr>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采购项目编号：</w:t>
      </w:r>
      <w:r>
        <w:rPr>
          <w:rFonts w:hint="eastAsia" w:ascii="宋体" w:hAnsi="宋体" w:eastAsia="宋体" w:cs="宋体"/>
          <w:color w:val="auto"/>
          <w:kern w:val="0"/>
          <w:sz w:val="24"/>
          <w:szCs w:val="24"/>
          <w:highlight w:val="none"/>
          <w:u w:val="single"/>
        </w:rPr>
        <w:t>　                              　　</w:t>
      </w:r>
    </w:p>
    <w:tbl>
      <w:tblPr>
        <w:tblStyle w:val="30"/>
        <w:tblW w:w="9420" w:type="dxa"/>
        <w:jc w:val="center"/>
        <w:tblLayout w:type="fixed"/>
        <w:tblCellMar>
          <w:top w:w="0" w:type="dxa"/>
          <w:left w:w="108" w:type="dxa"/>
          <w:bottom w:w="0" w:type="dxa"/>
          <w:right w:w="108" w:type="dxa"/>
        </w:tblCellMar>
      </w:tblPr>
      <w:tblGrid>
        <w:gridCol w:w="1728"/>
        <w:gridCol w:w="7692"/>
      </w:tblGrid>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w:t>
            </w:r>
          </w:p>
        </w:tc>
        <w:tc>
          <w:tcPr>
            <w:tcW w:w="769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投标内容</w:t>
            </w:r>
          </w:p>
        </w:tc>
        <w:tc>
          <w:tcPr>
            <w:tcW w:w="769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2"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投标总价</w:t>
            </w:r>
          </w:p>
        </w:tc>
        <w:tc>
          <w:tcPr>
            <w:tcW w:w="7692" w:type="dxa"/>
            <w:tcBorders>
              <w:top w:val="single" w:color="000000" w:sz="4" w:space="0"/>
              <w:left w:val="single" w:color="000000" w:sz="4" w:space="0"/>
              <w:bottom w:val="single" w:color="000000" w:sz="2" w:space="0"/>
              <w:right w:val="single" w:color="000000" w:sz="4" w:space="0"/>
            </w:tcBorders>
            <w:vAlign w:val="center"/>
          </w:tcPr>
          <w:p>
            <w:pPr>
              <w:snapToGrid w:val="0"/>
              <w:spacing w:line="360" w:lineRule="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小写：</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元</w:t>
            </w:r>
            <w:r>
              <w:rPr>
                <w:rFonts w:hint="eastAsia" w:ascii="宋体" w:hAnsi="宋体" w:eastAsia="宋体" w:cs="宋体"/>
                <w:color w:val="auto"/>
                <w:kern w:val="0"/>
                <w:sz w:val="24"/>
                <w:szCs w:val="24"/>
                <w:highlight w:val="none"/>
                <w:lang w:val="en-US" w:eastAsia="zh-CN"/>
              </w:rPr>
              <w:t xml:space="preserve">        大写：</w:t>
            </w: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合同履行</w:t>
            </w:r>
            <w:r>
              <w:rPr>
                <w:rFonts w:hint="eastAsia" w:ascii="宋体" w:hAnsi="宋体" w:eastAsia="宋体" w:cs="宋体"/>
                <w:color w:val="auto"/>
                <w:kern w:val="0"/>
                <w:sz w:val="24"/>
                <w:szCs w:val="24"/>
                <w:highlight w:val="none"/>
              </w:rPr>
              <w:t>期限</w:t>
            </w:r>
          </w:p>
        </w:tc>
        <w:tc>
          <w:tcPr>
            <w:tcW w:w="76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投标有效期</w:t>
            </w:r>
          </w:p>
        </w:tc>
        <w:tc>
          <w:tcPr>
            <w:tcW w:w="76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2"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其他事项声明</w:t>
            </w:r>
          </w:p>
        </w:tc>
        <w:tc>
          <w:tcPr>
            <w:tcW w:w="7692" w:type="dxa"/>
            <w:tcBorders>
              <w:top w:val="single" w:color="000000" w:sz="4" w:space="0"/>
              <w:left w:val="single" w:color="000000" w:sz="4" w:space="0"/>
              <w:bottom w:val="single" w:color="000000" w:sz="2" w:space="0"/>
              <w:right w:val="single" w:color="000000" w:sz="4" w:space="0"/>
            </w:tcBorders>
            <w:vAlign w:val="center"/>
          </w:tcPr>
          <w:p>
            <w:pPr>
              <w:spacing w:line="360" w:lineRule="auto"/>
              <w:rPr>
                <w:rFonts w:hint="eastAsia" w:ascii="宋体" w:hAnsi="宋体" w:eastAsia="宋体" w:cs="宋体"/>
                <w:color w:val="auto"/>
                <w:kern w:val="0"/>
                <w:sz w:val="24"/>
                <w:szCs w:val="24"/>
                <w:highlight w:val="none"/>
              </w:rPr>
            </w:pPr>
          </w:p>
        </w:tc>
      </w:tr>
    </w:tbl>
    <w:p>
      <w:pPr>
        <w:pStyle w:val="13"/>
        <w:tabs>
          <w:tab w:val="left" w:pos="8227"/>
        </w:tabs>
        <w:kinsoku w:val="0"/>
        <w:overflowPunct w:val="0"/>
        <w:spacing w:before="0" w:line="360" w:lineRule="auto"/>
        <w:ind w:left="4027" w:right="118"/>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备注：完成本项目招标范围内所有服务的全部费用。</w:t>
      </w:r>
    </w:p>
    <w:p>
      <w:pPr>
        <w:pStyle w:val="21"/>
        <w:spacing w:line="360" w:lineRule="auto"/>
        <w:ind w:left="420" w:leftChars="20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附详细的投标报价明细表</w:t>
      </w:r>
    </w:p>
    <w:p>
      <w:pPr>
        <w:pStyle w:val="21"/>
        <w:spacing w:line="360" w:lineRule="auto"/>
        <w:ind w:left="420" w:hanging="420"/>
        <w:rPr>
          <w:rFonts w:hint="eastAsia" w:ascii="宋体" w:hAnsi="宋体" w:eastAsia="宋体" w:cs="宋体"/>
          <w:color w:val="auto"/>
          <w:sz w:val="24"/>
          <w:szCs w:val="24"/>
          <w:highlight w:val="none"/>
        </w:rPr>
      </w:pPr>
    </w:p>
    <w:p>
      <w:pPr>
        <w:pStyle w:val="13"/>
        <w:tabs>
          <w:tab w:val="left" w:pos="8227"/>
        </w:tabs>
        <w:kinsoku w:val="0"/>
        <w:overflowPunct w:val="0"/>
        <w:spacing w:before="0" w:line="360" w:lineRule="auto"/>
        <w:ind w:left="4027" w:right="1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ab/>
      </w:r>
      <w:r>
        <w:rPr>
          <w:rFonts w:hint="eastAsia" w:ascii="宋体" w:hAnsi="宋体" w:eastAsia="宋体" w:cs="宋体"/>
          <w:color w:val="auto"/>
          <w:w w:val="95"/>
          <w:sz w:val="24"/>
          <w:szCs w:val="24"/>
          <w:highlight w:val="none"/>
        </w:rPr>
        <w:t>（盖章）</w:t>
      </w:r>
    </w:p>
    <w:p>
      <w:pPr>
        <w:pStyle w:val="13"/>
        <w:tabs>
          <w:tab w:val="left" w:pos="8227"/>
        </w:tabs>
        <w:kinsoku w:val="0"/>
        <w:overflowPunct w:val="0"/>
        <w:spacing w:before="0" w:line="360" w:lineRule="auto"/>
        <w:ind w:left="4027" w:right="118"/>
        <w:rPr>
          <w:rFonts w:hint="eastAsia" w:ascii="宋体" w:hAnsi="宋体" w:eastAsia="宋体" w:cs="宋体"/>
          <w:color w:val="auto"/>
          <w:w w:val="95"/>
          <w:sz w:val="24"/>
          <w:szCs w:val="24"/>
          <w:highlight w:val="non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u w:val="single"/>
        </w:rPr>
        <w:tab/>
      </w:r>
      <w:r>
        <w:rPr>
          <w:rFonts w:hint="eastAsia" w:ascii="宋体" w:hAnsi="宋体" w:eastAsia="宋体" w:cs="宋体"/>
          <w:color w:val="auto"/>
          <w:w w:val="95"/>
          <w:sz w:val="24"/>
          <w:szCs w:val="24"/>
          <w:highlight w:val="none"/>
        </w:rPr>
        <w:t>（签字</w:t>
      </w:r>
      <w:r>
        <w:rPr>
          <w:rFonts w:hint="eastAsia" w:ascii="宋体" w:hAnsi="宋体" w:eastAsia="宋体" w:cs="宋体"/>
          <w:color w:val="auto"/>
          <w:w w:val="95"/>
          <w:sz w:val="24"/>
          <w:szCs w:val="24"/>
          <w:highlight w:val="none"/>
          <w:lang w:val="en-US" w:eastAsia="zh-CN"/>
        </w:rPr>
        <w:t>或盖章</w:t>
      </w:r>
      <w:r>
        <w:rPr>
          <w:rFonts w:hint="eastAsia" w:ascii="宋体" w:hAnsi="宋体" w:eastAsia="宋体" w:cs="宋体"/>
          <w:color w:val="auto"/>
          <w:w w:val="95"/>
          <w:sz w:val="24"/>
          <w:szCs w:val="24"/>
          <w:highlight w:val="none"/>
        </w:rPr>
        <w:t>）</w:t>
      </w:r>
    </w:p>
    <w:p>
      <w:pPr>
        <w:pStyle w:val="13"/>
        <w:tabs>
          <w:tab w:val="left" w:pos="5551"/>
          <w:tab w:val="left" w:pos="6511"/>
          <w:tab w:val="left" w:pos="7111"/>
          <w:tab w:val="left" w:pos="7711"/>
        </w:tabs>
        <w:kinsoku w:val="0"/>
        <w:overflowPunct w:val="0"/>
        <w:spacing w:before="46" w:line="360" w:lineRule="auto"/>
        <w:ind w:left="2583" w:firstLine="2248"/>
        <w:rPr>
          <w:rFonts w:hAnsi="仿宋"/>
          <w:color w:val="auto"/>
          <w:highlight w:val="non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w:t>
      </w:r>
    </w:p>
    <w:p>
      <w:pPr>
        <w:pStyle w:val="13"/>
        <w:kinsoku w:val="0"/>
        <w:overflowPunct w:val="0"/>
        <w:spacing w:before="34" w:line="360" w:lineRule="auto"/>
        <w:ind w:right="126" w:firstLine="480"/>
        <w:jc w:val="center"/>
        <w:rPr>
          <w:rFonts w:hAnsi="仿宋" w:cs="仿宋"/>
          <w:b/>
          <w:bCs/>
          <w:color w:val="auto"/>
          <w:sz w:val="36"/>
          <w:szCs w:val="36"/>
          <w:highlight w:val="none"/>
        </w:rPr>
      </w:pPr>
      <w:r>
        <w:rPr>
          <w:rFonts w:hint="eastAsia" w:hAnsi="仿宋" w:cs="仿宋"/>
          <w:color w:val="auto"/>
          <w:highlight w:val="none"/>
        </w:rPr>
        <w:br w:type="page"/>
      </w:r>
      <w:r>
        <w:rPr>
          <w:rFonts w:hint="eastAsia" w:hAnsi="仿宋" w:cs="仿宋"/>
          <w:b/>
          <w:bCs/>
          <w:color w:val="auto"/>
          <w:sz w:val="36"/>
          <w:szCs w:val="36"/>
          <w:highlight w:val="none"/>
          <w:lang w:eastAsia="zh-CN"/>
        </w:rPr>
        <w:t>六</w:t>
      </w:r>
      <w:r>
        <w:rPr>
          <w:rFonts w:hint="eastAsia" w:hAnsi="仿宋" w:cs="仿宋"/>
          <w:color w:val="auto"/>
          <w:highlight w:val="none"/>
        </w:rPr>
        <w:t>、</w:t>
      </w:r>
      <w:r>
        <w:rPr>
          <w:rFonts w:hint="eastAsia" w:hAnsi="仿宋" w:cs="仿宋"/>
          <w:b/>
          <w:bCs/>
          <w:color w:val="auto"/>
          <w:sz w:val="36"/>
          <w:szCs w:val="36"/>
          <w:highlight w:val="none"/>
        </w:rPr>
        <w:t>投标报价明细表</w:t>
      </w:r>
    </w:p>
    <w:p>
      <w:pPr>
        <w:spacing w:line="360" w:lineRule="auto"/>
        <w:jc w:val="center"/>
        <w:rPr>
          <w:color w:val="auto"/>
          <w:highlight w:val="none"/>
        </w:rPr>
      </w:pPr>
      <w:r>
        <w:rPr>
          <w:rFonts w:hint="eastAsia"/>
          <w:color w:val="auto"/>
          <w:highlight w:val="none"/>
        </w:rPr>
        <w:t>（格式自拟）</w:t>
      </w:r>
    </w:p>
    <w:p>
      <w:pPr>
        <w:pStyle w:val="21"/>
        <w:spacing w:line="360" w:lineRule="auto"/>
        <w:ind w:left="420" w:hanging="420"/>
        <w:rPr>
          <w:color w:val="auto"/>
          <w:highlight w:val="none"/>
        </w:rPr>
      </w:pPr>
    </w:p>
    <w:p>
      <w:pPr>
        <w:pStyle w:val="21"/>
        <w:spacing w:line="360" w:lineRule="auto"/>
        <w:ind w:left="420" w:hanging="420"/>
        <w:rPr>
          <w:color w:val="auto"/>
          <w:highlight w:val="none"/>
        </w:rPr>
      </w:pP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注：1）报价单中应有成本分析、人员安排表等详细信息。</w:t>
      </w:r>
    </w:p>
    <w:p>
      <w:pPr>
        <w:spacing w:line="360" w:lineRule="auto"/>
        <w:ind w:firstLine="960" w:firstLineChars="4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2)以上报价包括劳务支出、安全保险、劳保福利、食宿、材料、机械损耗、税费、管理费、社会保险等一切费用。</w:t>
      </w:r>
    </w:p>
    <w:p>
      <w:pPr>
        <w:pStyle w:val="13"/>
        <w:tabs>
          <w:tab w:val="left" w:pos="8227"/>
        </w:tabs>
        <w:kinsoku w:val="0"/>
        <w:overflowPunct w:val="0"/>
        <w:spacing w:before="0" w:line="360" w:lineRule="auto"/>
        <w:ind w:left="4027" w:right="118"/>
        <w:rPr>
          <w:rFonts w:hint="eastAsia" w:ascii="宋体" w:hAnsi="宋体" w:eastAsia="宋体" w:cs="宋体"/>
          <w:color w:val="auto"/>
          <w:highlight w:val="none"/>
        </w:rPr>
      </w:pPr>
    </w:p>
    <w:p>
      <w:pPr>
        <w:pStyle w:val="13"/>
        <w:tabs>
          <w:tab w:val="left" w:pos="8227"/>
        </w:tabs>
        <w:kinsoku w:val="0"/>
        <w:overflowPunct w:val="0"/>
        <w:spacing w:before="0" w:line="360" w:lineRule="auto"/>
        <w:ind w:left="4027" w:right="118"/>
        <w:rPr>
          <w:rFonts w:hint="eastAsia" w:ascii="宋体" w:hAnsi="宋体" w:eastAsia="宋体" w:cs="宋体"/>
          <w:color w:val="auto"/>
          <w:highlight w:val="none"/>
        </w:rPr>
      </w:pPr>
    </w:p>
    <w:p>
      <w:pPr>
        <w:pStyle w:val="13"/>
        <w:tabs>
          <w:tab w:val="left" w:pos="8227"/>
        </w:tabs>
        <w:kinsoku w:val="0"/>
        <w:overflowPunct w:val="0"/>
        <w:spacing w:before="0" w:line="360" w:lineRule="auto"/>
        <w:ind w:left="4027" w:right="118"/>
        <w:rPr>
          <w:rFonts w:hint="eastAsia" w:ascii="宋体" w:hAnsi="宋体" w:eastAsia="宋体" w:cs="宋体"/>
          <w:color w:val="auto"/>
          <w:highlight w:val="none"/>
        </w:rPr>
      </w:pPr>
    </w:p>
    <w:p>
      <w:pPr>
        <w:pStyle w:val="13"/>
        <w:tabs>
          <w:tab w:val="left" w:pos="8227"/>
        </w:tabs>
        <w:kinsoku w:val="0"/>
        <w:overflowPunct w:val="0"/>
        <w:spacing w:before="0" w:line="360" w:lineRule="auto"/>
        <w:ind w:left="4027" w:right="118"/>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ab/>
      </w:r>
      <w:r>
        <w:rPr>
          <w:rFonts w:hint="eastAsia" w:ascii="宋体" w:hAnsi="宋体" w:eastAsia="宋体" w:cs="宋体"/>
          <w:color w:val="auto"/>
          <w:w w:val="95"/>
          <w:highlight w:val="none"/>
        </w:rPr>
        <w:t>（盖章）</w:t>
      </w:r>
    </w:p>
    <w:p>
      <w:pPr>
        <w:pStyle w:val="13"/>
        <w:tabs>
          <w:tab w:val="left" w:pos="8227"/>
        </w:tabs>
        <w:kinsoku w:val="0"/>
        <w:overflowPunct w:val="0"/>
        <w:spacing w:before="0" w:line="360" w:lineRule="auto"/>
        <w:ind w:left="4027" w:right="118"/>
        <w:rPr>
          <w:rFonts w:hint="eastAsia" w:ascii="宋体" w:hAnsi="宋体" w:eastAsia="宋体" w:cs="宋体"/>
          <w:color w:val="auto"/>
          <w:w w:val="95"/>
          <w:highlight w:val="none"/>
        </w:rPr>
      </w:pPr>
      <w:r>
        <w:rPr>
          <w:rFonts w:hint="eastAsia" w:ascii="宋体" w:hAnsi="宋体" w:eastAsia="宋体" w:cs="宋体"/>
          <w:color w:val="auto"/>
          <w:highlight w:val="none"/>
        </w:rPr>
        <w:t>法定代表人或被授权人：</w:t>
      </w:r>
      <w:r>
        <w:rPr>
          <w:rFonts w:hint="eastAsia" w:ascii="宋体" w:hAnsi="宋体" w:eastAsia="宋体" w:cs="宋体"/>
          <w:color w:val="auto"/>
          <w:highlight w:val="none"/>
          <w:u w:val="single"/>
        </w:rPr>
        <w:tab/>
      </w:r>
      <w:r>
        <w:rPr>
          <w:rFonts w:hint="eastAsia" w:ascii="宋体" w:hAnsi="宋体" w:eastAsia="宋体" w:cs="宋体"/>
          <w:color w:val="auto"/>
          <w:w w:val="95"/>
          <w:highlight w:val="none"/>
        </w:rPr>
        <w:t>（签字</w:t>
      </w:r>
      <w:r>
        <w:rPr>
          <w:rFonts w:hint="eastAsia" w:ascii="宋体" w:hAnsi="宋体" w:eastAsia="宋体" w:cs="宋体"/>
          <w:color w:val="auto"/>
          <w:w w:val="95"/>
          <w:highlight w:val="none"/>
          <w:lang w:val="en-US" w:eastAsia="zh-CN"/>
        </w:rPr>
        <w:t>或盖章</w:t>
      </w:r>
      <w:r>
        <w:rPr>
          <w:rFonts w:hint="eastAsia" w:ascii="宋体" w:hAnsi="宋体" w:eastAsia="宋体" w:cs="宋体"/>
          <w:color w:val="auto"/>
          <w:w w:val="95"/>
          <w:highlight w:val="none"/>
        </w:rPr>
        <w:t>）</w:t>
      </w:r>
    </w:p>
    <w:p>
      <w:pPr>
        <w:pStyle w:val="13"/>
        <w:tabs>
          <w:tab w:val="left" w:pos="5551"/>
          <w:tab w:val="left" w:pos="6511"/>
          <w:tab w:val="left" w:pos="7111"/>
          <w:tab w:val="left" w:pos="7711"/>
        </w:tabs>
        <w:kinsoku w:val="0"/>
        <w:overflowPunct w:val="0"/>
        <w:spacing w:before="46" w:line="360" w:lineRule="auto"/>
        <w:ind w:left="2583" w:firstLine="2248"/>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rPr>
        <w:tab/>
      </w:r>
      <w:r>
        <w:rPr>
          <w:rFonts w:hint="eastAsia" w:ascii="宋体" w:hAnsi="宋体" w:eastAsia="宋体" w:cs="宋体"/>
          <w:color w:val="auto"/>
          <w:highlight w:val="none"/>
        </w:rPr>
        <w:t>期：</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pPr>
        <w:pStyle w:val="13"/>
        <w:tabs>
          <w:tab w:val="left" w:pos="5551"/>
          <w:tab w:val="left" w:pos="6511"/>
          <w:tab w:val="left" w:pos="7111"/>
          <w:tab w:val="left" w:pos="7711"/>
        </w:tabs>
        <w:kinsoku w:val="0"/>
        <w:overflowPunct w:val="0"/>
        <w:spacing w:before="46" w:line="360" w:lineRule="auto"/>
        <w:ind w:left="0"/>
        <w:rPr>
          <w:rFonts w:hAnsi="仿宋"/>
          <w:color w:val="auto"/>
          <w:highlight w:val="none"/>
        </w:rPr>
      </w:pPr>
      <w:r>
        <w:rPr>
          <w:rFonts w:hint="eastAsia" w:hAnsi="仿宋" w:cs="仿宋"/>
          <w:color w:val="auto"/>
          <w:highlight w:val="none"/>
        </w:rPr>
        <w:br w:type="page"/>
      </w:r>
    </w:p>
    <w:p>
      <w:pPr>
        <w:pStyle w:val="13"/>
        <w:kinsoku w:val="0"/>
        <w:overflowPunct w:val="0"/>
        <w:spacing w:before="34" w:line="360" w:lineRule="auto"/>
        <w:ind w:right="126" w:firstLine="480"/>
        <w:jc w:val="center"/>
        <w:rPr>
          <w:rFonts w:hAnsi="仿宋"/>
          <w:b/>
          <w:bCs/>
          <w:color w:val="auto"/>
          <w:highlight w:val="none"/>
        </w:rPr>
      </w:pPr>
      <w:r>
        <w:rPr>
          <w:rFonts w:hint="eastAsia" w:hAnsi="仿宋" w:cs="仿宋"/>
          <w:b/>
          <w:bCs/>
          <w:color w:val="auto"/>
          <w:sz w:val="36"/>
          <w:szCs w:val="36"/>
          <w:highlight w:val="none"/>
          <w:lang w:eastAsia="zh-CN"/>
        </w:rPr>
        <w:t>七</w:t>
      </w:r>
      <w:r>
        <w:rPr>
          <w:rFonts w:hint="eastAsia" w:hAnsi="仿宋" w:cs="仿宋"/>
          <w:b/>
          <w:bCs/>
          <w:color w:val="auto"/>
          <w:sz w:val="36"/>
          <w:szCs w:val="36"/>
          <w:highlight w:val="none"/>
        </w:rPr>
        <w:t>、供应商基本情况</w:t>
      </w:r>
    </w:p>
    <w:p>
      <w:pPr>
        <w:pStyle w:val="13"/>
        <w:kinsoku w:val="0"/>
        <w:overflowPunct w:val="0"/>
        <w:spacing w:before="0" w:line="360" w:lineRule="auto"/>
        <w:ind w:left="3104" w:right="2998"/>
        <w:jc w:val="center"/>
        <w:rPr>
          <w:rFonts w:hint="eastAsia" w:ascii="宋体" w:hAnsi="宋体" w:eastAsia="宋体" w:cs="宋体"/>
          <w:color w:val="auto"/>
          <w:highlight w:val="none"/>
        </w:rPr>
      </w:pPr>
      <w:r>
        <w:rPr>
          <w:rFonts w:hint="eastAsia" w:ascii="宋体" w:hAnsi="宋体" w:eastAsia="宋体" w:cs="宋体"/>
          <w:b/>
          <w:bCs/>
          <w:color w:val="auto"/>
          <w:highlight w:val="none"/>
        </w:rPr>
        <w:t>（一）供应商基本情况表</w:t>
      </w:r>
    </w:p>
    <w:p>
      <w:pPr>
        <w:pStyle w:val="13"/>
        <w:kinsoku w:val="0"/>
        <w:overflowPunct w:val="0"/>
        <w:spacing w:before="5" w:line="360" w:lineRule="auto"/>
        <w:ind w:left="0"/>
        <w:rPr>
          <w:rFonts w:hAnsi="仿宋"/>
          <w:b/>
          <w:bCs/>
          <w:color w:val="auto"/>
          <w:sz w:val="6"/>
          <w:szCs w:val="6"/>
          <w:highlight w:val="none"/>
        </w:rPr>
      </w:pPr>
    </w:p>
    <w:tbl>
      <w:tblPr>
        <w:tblStyle w:val="30"/>
        <w:tblW w:w="8714" w:type="dxa"/>
        <w:jc w:val="center"/>
        <w:tblLayout w:type="fixed"/>
        <w:tblCellMar>
          <w:top w:w="0" w:type="dxa"/>
          <w:left w:w="0" w:type="dxa"/>
          <w:bottom w:w="0" w:type="dxa"/>
          <w:right w:w="0" w:type="dxa"/>
        </w:tblCellMar>
      </w:tblPr>
      <w:tblGrid>
        <w:gridCol w:w="1242"/>
        <w:gridCol w:w="1445"/>
        <w:gridCol w:w="849"/>
        <w:gridCol w:w="493"/>
        <w:gridCol w:w="655"/>
        <w:gridCol w:w="688"/>
        <w:gridCol w:w="458"/>
        <w:gridCol w:w="367"/>
        <w:gridCol w:w="552"/>
        <w:gridCol w:w="1965"/>
      </w:tblGrid>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5" w:line="360" w:lineRule="auto"/>
              <w:ind w:left="1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5" w:line="360" w:lineRule="auto"/>
              <w:ind w:left="1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5" w:line="360" w:lineRule="auto"/>
              <w:ind w:left="1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主管部门</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5" w:line="360" w:lineRule="auto"/>
              <w:ind w:left="1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2294"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2294" w:type="dxa"/>
            <w:gridSpan w:val="4"/>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5" w:line="360" w:lineRule="auto"/>
              <w:ind w:left="18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注册资金（万元）</w:t>
            </w:r>
          </w:p>
        </w:tc>
        <w:tc>
          <w:tcPr>
            <w:tcW w:w="2884"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6" w:line="360" w:lineRule="auto"/>
              <w:ind w:left="1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单位性质</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933"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1" w:line="360" w:lineRule="auto"/>
              <w:ind w:left="257" w:right="133" w:hanging="1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投标期间联系人</w:t>
            </w: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342" w:type="dxa"/>
            <w:gridSpan w:val="2"/>
            <w:tcBorders>
              <w:top w:val="single" w:color="000000" w:sz="4" w:space="0"/>
              <w:left w:val="single" w:color="000000" w:sz="4" w:space="0"/>
              <w:bottom w:val="single" w:color="000000" w:sz="4" w:space="0"/>
              <w:right w:val="single" w:color="000000" w:sz="4" w:space="0"/>
            </w:tcBorders>
          </w:tcPr>
          <w:p>
            <w:pPr>
              <w:pStyle w:val="47"/>
              <w:kinsoku w:val="0"/>
              <w:overflowPunct w:val="0"/>
              <w:spacing w:before="4" w:line="360" w:lineRule="auto"/>
              <w:rPr>
                <w:rFonts w:hint="eastAsia" w:ascii="宋体" w:hAnsi="宋体" w:eastAsia="宋体" w:cs="宋体"/>
                <w:b/>
                <w:bCs/>
                <w:color w:val="auto"/>
                <w:sz w:val="24"/>
                <w:szCs w:val="24"/>
                <w:highlight w:val="none"/>
              </w:rPr>
            </w:pPr>
          </w:p>
          <w:p>
            <w:pPr>
              <w:pStyle w:val="47"/>
              <w:kinsoku w:val="0"/>
              <w:overflowPunct w:val="0"/>
              <w:spacing w:line="360" w:lineRule="auto"/>
              <w:ind w:left="36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1343"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377" w:type="dxa"/>
            <w:gridSpan w:val="3"/>
            <w:tcBorders>
              <w:top w:val="single" w:color="000000" w:sz="4" w:space="0"/>
              <w:left w:val="single" w:color="000000" w:sz="4" w:space="0"/>
              <w:bottom w:val="single" w:color="000000" w:sz="4" w:space="0"/>
              <w:right w:val="single" w:color="000000" w:sz="4" w:space="0"/>
            </w:tcBorders>
          </w:tcPr>
          <w:p>
            <w:pPr>
              <w:pStyle w:val="47"/>
              <w:kinsoku w:val="0"/>
              <w:overflowPunct w:val="0"/>
              <w:spacing w:before="4" w:line="360" w:lineRule="auto"/>
              <w:rPr>
                <w:rFonts w:hint="eastAsia" w:ascii="宋体" w:hAnsi="宋体" w:eastAsia="宋体" w:cs="宋体"/>
                <w:b/>
                <w:bCs/>
                <w:color w:val="auto"/>
                <w:sz w:val="24"/>
                <w:szCs w:val="24"/>
                <w:highlight w:val="none"/>
              </w:rPr>
            </w:pPr>
          </w:p>
          <w:p>
            <w:pPr>
              <w:pStyle w:val="47"/>
              <w:kinsoku w:val="0"/>
              <w:overflowPunct w:val="0"/>
              <w:spacing w:line="360" w:lineRule="auto"/>
              <w:ind w:left="3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196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vMerge w:val="restart"/>
            <w:tcBorders>
              <w:top w:val="single" w:color="000000" w:sz="4" w:space="0"/>
              <w:left w:val="single" w:color="000000" w:sz="4" w:space="0"/>
              <w:bottom w:val="single" w:color="000000" w:sz="4" w:space="0"/>
              <w:right w:val="single" w:color="000000" w:sz="4" w:space="0"/>
            </w:tcBorders>
          </w:tcPr>
          <w:p>
            <w:pPr>
              <w:pStyle w:val="47"/>
              <w:kinsoku w:val="0"/>
              <w:overflowPunct w:val="0"/>
              <w:spacing w:line="360" w:lineRule="auto"/>
              <w:rPr>
                <w:rFonts w:hint="eastAsia" w:ascii="宋体" w:hAnsi="宋体" w:eastAsia="宋体" w:cs="宋体"/>
                <w:b/>
                <w:bCs/>
                <w:color w:val="auto"/>
                <w:sz w:val="24"/>
                <w:szCs w:val="24"/>
                <w:highlight w:val="none"/>
              </w:rPr>
            </w:pPr>
          </w:p>
          <w:p>
            <w:pPr>
              <w:pStyle w:val="47"/>
              <w:kinsoku w:val="0"/>
              <w:overflowPunct w:val="0"/>
              <w:spacing w:line="360" w:lineRule="auto"/>
              <w:rPr>
                <w:rFonts w:hint="eastAsia" w:ascii="宋体" w:hAnsi="宋体" w:eastAsia="宋体" w:cs="宋体"/>
                <w:b/>
                <w:bCs/>
                <w:color w:val="auto"/>
                <w:sz w:val="24"/>
                <w:szCs w:val="24"/>
                <w:highlight w:val="none"/>
              </w:rPr>
            </w:pPr>
          </w:p>
          <w:p>
            <w:pPr>
              <w:pStyle w:val="47"/>
              <w:kinsoku w:val="0"/>
              <w:overflowPunct w:val="0"/>
              <w:spacing w:line="360" w:lineRule="auto"/>
              <w:rPr>
                <w:rFonts w:hint="eastAsia" w:ascii="宋体" w:hAnsi="宋体" w:eastAsia="宋体" w:cs="宋体"/>
                <w:b/>
                <w:bCs/>
                <w:color w:val="auto"/>
                <w:sz w:val="24"/>
                <w:szCs w:val="24"/>
                <w:highlight w:val="none"/>
              </w:rPr>
            </w:pPr>
          </w:p>
          <w:p>
            <w:pPr>
              <w:pStyle w:val="47"/>
              <w:kinsoku w:val="0"/>
              <w:overflowPunct w:val="0"/>
              <w:spacing w:line="360" w:lineRule="auto"/>
              <w:ind w:left="497" w:right="493"/>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职工概况</w:t>
            </w:r>
          </w:p>
        </w:tc>
        <w:tc>
          <w:tcPr>
            <w:tcW w:w="1445" w:type="dxa"/>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4" w:line="360" w:lineRule="auto"/>
              <w:ind w:left="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职工总数</w:t>
            </w:r>
          </w:p>
        </w:tc>
        <w:tc>
          <w:tcPr>
            <w:tcW w:w="1342"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2168" w:type="dxa"/>
            <w:gridSpan w:val="4"/>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4" w:line="360" w:lineRule="auto"/>
              <w:ind w:left="1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其中：技术人员数</w:t>
            </w: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7472" w:type="dxa"/>
            <w:gridSpan w:val="9"/>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5"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单位行政和技术负责人</w:t>
            </w: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5" w:line="360" w:lineRule="auto"/>
              <w:jc w:val="center"/>
              <w:rPr>
                <w:rFonts w:hint="eastAsia" w:ascii="宋体" w:hAnsi="宋体" w:eastAsia="宋体" w:cs="宋体"/>
                <w:color w:val="auto"/>
                <w:sz w:val="24"/>
                <w:szCs w:val="24"/>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5" w:line="360" w:lineRule="auto"/>
              <w:ind w:left="4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997" w:type="dxa"/>
            <w:gridSpan w:val="3"/>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5" w:line="360" w:lineRule="auto"/>
              <w:ind w:left="4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职务/职称</w:t>
            </w:r>
          </w:p>
        </w:tc>
        <w:tc>
          <w:tcPr>
            <w:tcW w:w="1513" w:type="dxa"/>
            <w:gridSpan w:val="3"/>
            <w:tcBorders>
              <w:top w:val="single" w:color="000000" w:sz="4" w:space="0"/>
              <w:left w:val="single" w:color="000000" w:sz="4" w:space="0"/>
              <w:bottom w:val="single" w:color="000000" w:sz="4" w:space="0"/>
              <w:right w:val="single" w:color="000000" w:sz="4" w:space="0"/>
            </w:tcBorders>
          </w:tcPr>
          <w:p>
            <w:pPr>
              <w:pStyle w:val="47"/>
              <w:kinsoku w:val="0"/>
              <w:overflowPunct w:val="0"/>
              <w:spacing w:before="145" w:line="360" w:lineRule="auto"/>
              <w:ind w:left="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2517" w:type="dxa"/>
            <w:gridSpan w:val="2"/>
            <w:tcBorders>
              <w:top w:val="single" w:color="000000" w:sz="4" w:space="0"/>
              <w:left w:val="single" w:color="000000" w:sz="4" w:space="0"/>
              <w:bottom w:val="single" w:color="000000" w:sz="4" w:space="0"/>
              <w:right w:val="single" w:color="000000" w:sz="4" w:space="0"/>
            </w:tcBorders>
          </w:tcPr>
          <w:p>
            <w:pPr>
              <w:pStyle w:val="47"/>
              <w:tabs>
                <w:tab w:val="left" w:pos="479"/>
              </w:tabs>
              <w:kinsoku w:val="0"/>
              <w:overflowPunct w:val="0"/>
              <w:spacing w:before="145" w:line="360" w:lineRule="auto"/>
              <w:ind w:right="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业</w:t>
            </w: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pStyle w:val="47"/>
              <w:tabs>
                <w:tab w:val="left" w:pos="479"/>
              </w:tabs>
              <w:kinsoku w:val="0"/>
              <w:overflowPunct w:val="0"/>
              <w:spacing w:before="145" w:line="360" w:lineRule="auto"/>
              <w:ind w:right="1"/>
              <w:jc w:val="center"/>
              <w:rPr>
                <w:rFonts w:hint="eastAsia" w:ascii="宋体" w:hAnsi="宋体" w:eastAsia="宋体" w:cs="宋体"/>
                <w:color w:val="auto"/>
                <w:sz w:val="24"/>
                <w:szCs w:val="24"/>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909"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7"/>
              <w:kinsoku w:val="0"/>
              <w:overflowPunct w:val="0"/>
              <w:spacing w:line="360" w:lineRule="auto"/>
              <w:rPr>
                <w:rFonts w:hint="eastAsia" w:ascii="宋体" w:hAnsi="宋体" w:eastAsia="宋体" w:cs="宋体"/>
                <w:b/>
                <w:bCs/>
                <w:color w:val="auto"/>
                <w:sz w:val="24"/>
                <w:szCs w:val="24"/>
                <w:highlight w:val="none"/>
              </w:rPr>
            </w:pPr>
          </w:p>
          <w:p>
            <w:pPr>
              <w:pStyle w:val="47"/>
              <w:kinsoku w:val="0"/>
              <w:overflowPunct w:val="0"/>
              <w:spacing w:before="1" w:line="360" w:lineRule="auto"/>
              <w:rPr>
                <w:rFonts w:hint="eastAsia" w:ascii="宋体" w:hAnsi="宋体" w:eastAsia="宋体" w:cs="宋体"/>
                <w:b/>
                <w:bCs/>
                <w:color w:val="auto"/>
                <w:sz w:val="24"/>
                <w:szCs w:val="24"/>
                <w:highlight w:val="none"/>
              </w:rPr>
            </w:pPr>
          </w:p>
          <w:p>
            <w:pPr>
              <w:pStyle w:val="47"/>
              <w:kinsoku w:val="0"/>
              <w:overflowPunct w:val="0"/>
              <w:spacing w:line="360" w:lineRule="auto"/>
              <w:ind w:left="497" w:right="493"/>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单位概况</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bl>
    <w:p>
      <w:pPr>
        <w:pStyle w:val="13"/>
        <w:tabs>
          <w:tab w:val="left" w:pos="3380"/>
        </w:tabs>
        <w:kinsoku w:val="0"/>
        <w:overflowPunct w:val="0"/>
        <w:spacing w:before="26" w:line="360" w:lineRule="auto"/>
        <w:ind w:left="1717" w:leftChars="200" w:hanging="1297" w:hangingChars="680"/>
        <w:rPr>
          <w:rFonts w:hint="default" w:ascii="宋体" w:hAnsi="宋体" w:eastAsia="宋体" w:cs="宋体"/>
          <w:b/>
          <w:bCs/>
          <w:color w:val="auto"/>
          <w:w w:val="95"/>
          <w:sz w:val="20"/>
          <w:szCs w:val="20"/>
          <w:highlight w:val="none"/>
          <w:lang w:val="en-US" w:eastAsia="zh-CN"/>
        </w:rPr>
      </w:pPr>
      <w:r>
        <w:rPr>
          <w:rFonts w:hint="eastAsia" w:ascii="宋体" w:hAnsi="宋体" w:eastAsia="宋体" w:cs="宋体"/>
          <w:b/>
          <w:bCs/>
          <w:color w:val="auto"/>
          <w:w w:val="95"/>
          <w:sz w:val="20"/>
          <w:szCs w:val="20"/>
          <w:highlight w:val="none"/>
          <w:lang w:val="en-US" w:eastAsia="zh-CN"/>
        </w:rPr>
        <w:t>后附供应商类似业绩证明材料：合同或中标通知书或发包通知书或成交通知书（复印件加盖公章）</w:t>
      </w:r>
    </w:p>
    <w:p>
      <w:pPr>
        <w:pStyle w:val="13"/>
        <w:kinsoku w:val="0"/>
        <w:overflowPunct w:val="0"/>
        <w:spacing w:before="26" w:line="360" w:lineRule="auto"/>
        <w:ind w:left="0"/>
        <w:jc w:val="center"/>
        <w:rPr>
          <w:rFonts w:hint="eastAsia" w:hAnsi="仿宋" w:cs="仿宋"/>
          <w:b/>
          <w:bCs/>
          <w:color w:val="auto"/>
          <w:w w:val="95"/>
          <w:highlight w:val="none"/>
        </w:rPr>
      </w:pPr>
      <w:r>
        <w:rPr>
          <w:rFonts w:hint="eastAsia" w:hAnsi="仿宋" w:cs="仿宋"/>
          <w:b/>
          <w:bCs/>
          <w:color w:val="auto"/>
          <w:w w:val="95"/>
          <w:highlight w:val="none"/>
        </w:rPr>
        <w:br w:type="page"/>
      </w:r>
    </w:p>
    <w:p>
      <w:pPr>
        <w:pStyle w:val="13"/>
        <w:kinsoku w:val="0"/>
        <w:overflowPunct w:val="0"/>
        <w:spacing w:before="130" w:line="360" w:lineRule="auto"/>
        <w:ind w:right="7" w:firstLine="480"/>
        <w:rPr>
          <w:rFonts w:hint="eastAsia" w:asciiTheme="majorEastAsia" w:hAnsiTheme="majorEastAsia" w:eastAsiaTheme="majorEastAsia" w:cstheme="majorEastAsia"/>
          <w:color w:val="auto"/>
          <w:spacing w:val="4"/>
          <w:highlight w:val="none"/>
        </w:rPr>
      </w:pPr>
      <w:r>
        <w:rPr>
          <w:rFonts w:hint="eastAsia" w:asciiTheme="majorEastAsia" w:hAnsiTheme="majorEastAsia" w:eastAsiaTheme="majorEastAsia" w:cstheme="majorEastAsia"/>
          <w:b/>
          <w:bCs/>
          <w:color w:val="auto"/>
          <w:w w:val="95"/>
          <w:highlight w:val="none"/>
        </w:rPr>
        <w:t>（二</w:t>
      </w:r>
      <w:r>
        <w:rPr>
          <w:rFonts w:hint="eastAsia" w:asciiTheme="majorEastAsia" w:hAnsiTheme="majorEastAsia" w:eastAsiaTheme="majorEastAsia" w:cstheme="majorEastAsia"/>
          <w:b/>
          <w:bCs/>
          <w:color w:val="auto"/>
          <w:spacing w:val="-15"/>
          <w:w w:val="95"/>
          <w:highlight w:val="none"/>
        </w:rPr>
        <w:t>）</w:t>
      </w:r>
      <w:r>
        <w:rPr>
          <w:rFonts w:hint="eastAsia" w:asciiTheme="majorEastAsia" w:hAnsiTheme="majorEastAsia" w:eastAsiaTheme="majorEastAsia" w:cstheme="majorEastAsia"/>
          <w:color w:val="auto"/>
          <w:spacing w:val="4"/>
          <w:highlight w:val="none"/>
        </w:rPr>
        <w:t>具有有效的营业执照（复印件加盖公章）；具备国家级植保机械质量检测机构检验合格认证（复印件加盖公章）、拟实施作业服务组织的植保无人机操作手必须取得该机型的操作资格证书（复印件加盖公章）、在“信用中国”（www.creditchina.gov.cn）和中国政府采购网（www.ccgp.gov.cn）网站上未被列入失信被执行人、重大税收违法案件当事人名单以及政府采购严重违法失信行为记录名单的网页打印件（网页打印件须自招标公告发布之日起至首次提交投标文件截止时间内从上述网站中打印）并加盖公章；。</w:t>
      </w:r>
    </w:p>
    <w:p>
      <w:pPr>
        <w:pStyle w:val="13"/>
        <w:kinsoku w:val="0"/>
        <w:overflowPunct w:val="0"/>
        <w:spacing w:before="26" w:line="360" w:lineRule="auto"/>
        <w:ind w:left="0" w:firstLine="240" w:firstLineChars="100"/>
        <w:jc w:val="both"/>
        <w:rPr>
          <w:rFonts w:hint="eastAsia" w:hAnsi="仿宋" w:cs="仿宋"/>
          <w:color w:val="auto"/>
          <w:highlight w:val="none"/>
        </w:rPr>
      </w:pPr>
      <w:r>
        <w:rPr>
          <w:rFonts w:hint="eastAsia" w:hAnsi="仿宋" w:cs="仿宋"/>
          <w:color w:val="auto"/>
          <w:highlight w:val="none"/>
        </w:rPr>
        <w:br w:type="page"/>
      </w:r>
    </w:p>
    <w:p>
      <w:pPr>
        <w:pStyle w:val="2"/>
        <w:ind w:firstLine="3132" w:firstLineChars="1300"/>
        <w:rPr>
          <w:rFonts w:hint="default"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（三）项目负责人简历表</w:t>
      </w:r>
    </w:p>
    <w:p>
      <w:pPr>
        <w:spacing w:line="360" w:lineRule="auto"/>
        <w:jc w:val="center"/>
        <w:rPr>
          <w:rFonts w:hint="eastAsia" w:ascii="仿宋" w:hAnsi="仿宋" w:eastAsia="仿宋" w:cs="仿宋"/>
          <w:color w:val="auto"/>
          <w:highlight w:val="non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1160"/>
        <w:gridCol w:w="1292"/>
        <w:gridCol w:w="1509"/>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11" w:type="dxa"/>
            <w:noWrap w:val="0"/>
            <w:vAlign w:val="top"/>
          </w:tcPr>
          <w:p>
            <w:pPr>
              <w:spacing w:line="440" w:lineRule="exact"/>
              <w:jc w:val="center"/>
              <w:rPr>
                <w:rFonts w:hint="eastAsia" w:ascii="宋体" w:hAnsi="宋体" w:eastAsia="宋体"/>
                <w:color w:val="auto"/>
                <w:sz w:val="24"/>
                <w:szCs w:val="24"/>
                <w:lang w:eastAsia="zh-CN"/>
              </w:rPr>
            </w:pPr>
            <w:r>
              <w:rPr>
                <w:rFonts w:hint="eastAsia" w:ascii="宋体" w:hAnsi="宋体"/>
                <w:color w:val="auto"/>
                <w:sz w:val="24"/>
                <w:szCs w:val="24"/>
                <w:lang w:val="en-US" w:eastAsia="zh-CN"/>
              </w:rPr>
              <w:t>序号</w:t>
            </w:r>
          </w:p>
        </w:tc>
        <w:tc>
          <w:tcPr>
            <w:tcW w:w="1160" w:type="dxa"/>
            <w:noWrap w:val="0"/>
            <w:vAlign w:val="top"/>
          </w:tcPr>
          <w:p>
            <w:pPr>
              <w:spacing w:line="440" w:lineRule="exact"/>
              <w:jc w:val="center"/>
              <w:rPr>
                <w:rFonts w:hint="eastAsia" w:ascii="宋体" w:hAnsi="宋体"/>
                <w:color w:val="auto"/>
                <w:sz w:val="24"/>
                <w:szCs w:val="24"/>
              </w:rPr>
            </w:pPr>
            <w:r>
              <w:rPr>
                <w:rFonts w:hint="eastAsia" w:ascii="宋体" w:hAnsi="宋体"/>
                <w:color w:val="auto"/>
                <w:sz w:val="24"/>
                <w:szCs w:val="24"/>
              </w:rPr>
              <w:t>姓名</w:t>
            </w:r>
          </w:p>
        </w:tc>
        <w:tc>
          <w:tcPr>
            <w:tcW w:w="1292" w:type="dxa"/>
            <w:noWrap w:val="0"/>
            <w:vAlign w:val="top"/>
          </w:tcPr>
          <w:p>
            <w:pPr>
              <w:spacing w:line="440" w:lineRule="exact"/>
              <w:jc w:val="center"/>
              <w:rPr>
                <w:rFonts w:hint="eastAsia" w:ascii="宋体" w:hAnsi="宋体"/>
                <w:color w:val="auto"/>
                <w:sz w:val="24"/>
                <w:szCs w:val="24"/>
              </w:rPr>
            </w:pPr>
            <w:r>
              <w:rPr>
                <w:rFonts w:hint="eastAsia" w:ascii="宋体" w:hAnsi="宋体"/>
                <w:color w:val="auto"/>
                <w:sz w:val="24"/>
                <w:szCs w:val="24"/>
              </w:rPr>
              <w:t>学历</w:t>
            </w:r>
          </w:p>
        </w:tc>
        <w:tc>
          <w:tcPr>
            <w:tcW w:w="1509" w:type="dxa"/>
            <w:noWrap w:val="0"/>
            <w:vAlign w:val="top"/>
          </w:tcPr>
          <w:p>
            <w:pPr>
              <w:spacing w:line="440" w:lineRule="exact"/>
              <w:jc w:val="center"/>
              <w:rPr>
                <w:rFonts w:hint="eastAsia" w:ascii="宋体" w:hAnsi="宋体"/>
                <w:color w:val="auto"/>
                <w:sz w:val="24"/>
                <w:szCs w:val="24"/>
              </w:rPr>
            </w:pPr>
            <w:r>
              <w:rPr>
                <w:rFonts w:hint="eastAsia" w:ascii="宋体" w:hAnsi="宋体"/>
                <w:color w:val="auto"/>
                <w:sz w:val="24"/>
                <w:szCs w:val="24"/>
              </w:rPr>
              <w:t>专业</w:t>
            </w:r>
          </w:p>
        </w:tc>
        <w:tc>
          <w:tcPr>
            <w:tcW w:w="2730" w:type="dxa"/>
            <w:noWrap w:val="0"/>
            <w:vAlign w:val="top"/>
          </w:tcPr>
          <w:p>
            <w:pPr>
              <w:spacing w:line="440" w:lineRule="exact"/>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在本项目中承担的职务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11" w:type="dxa"/>
            <w:noWrap w:val="0"/>
            <w:vAlign w:val="top"/>
          </w:tcPr>
          <w:p>
            <w:pPr>
              <w:spacing w:line="440" w:lineRule="exact"/>
              <w:ind w:left="300"/>
              <w:jc w:val="center"/>
              <w:rPr>
                <w:rFonts w:hint="eastAsia" w:ascii="宋体" w:hAnsi="宋体"/>
                <w:color w:val="auto"/>
                <w:sz w:val="24"/>
                <w:szCs w:val="24"/>
              </w:rPr>
            </w:pPr>
          </w:p>
        </w:tc>
        <w:tc>
          <w:tcPr>
            <w:tcW w:w="1160" w:type="dxa"/>
            <w:noWrap w:val="0"/>
            <w:vAlign w:val="top"/>
          </w:tcPr>
          <w:p>
            <w:pPr>
              <w:spacing w:line="440" w:lineRule="exact"/>
              <w:ind w:left="300"/>
              <w:jc w:val="center"/>
              <w:rPr>
                <w:rFonts w:hint="eastAsia" w:ascii="宋体" w:hAnsi="宋体"/>
                <w:color w:val="auto"/>
                <w:sz w:val="24"/>
                <w:szCs w:val="24"/>
              </w:rPr>
            </w:pPr>
          </w:p>
        </w:tc>
        <w:tc>
          <w:tcPr>
            <w:tcW w:w="1292" w:type="dxa"/>
            <w:noWrap w:val="0"/>
            <w:vAlign w:val="top"/>
          </w:tcPr>
          <w:p>
            <w:pPr>
              <w:spacing w:line="440" w:lineRule="exact"/>
              <w:ind w:left="300"/>
              <w:jc w:val="center"/>
              <w:rPr>
                <w:rFonts w:hint="eastAsia" w:ascii="宋体" w:hAnsi="宋体"/>
                <w:color w:val="auto"/>
                <w:sz w:val="24"/>
                <w:szCs w:val="24"/>
              </w:rPr>
            </w:pPr>
          </w:p>
        </w:tc>
        <w:tc>
          <w:tcPr>
            <w:tcW w:w="1509" w:type="dxa"/>
            <w:noWrap w:val="0"/>
            <w:vAlign w:val="top"/>
          </w:tcPr>
          <w:p>
            <w:pPr>
              <w:spacing w:line="440" w:lineRule="exact"/>
              <w:ind w:left="300"/>
              <w:jc w:val="center"/>
              <w:rPr>
                <w:rFonts w:hint="eastAsia" w:ascii="宋体" w:hAnsi="宋体"/>
                <w:color w:val="auto"/>
                <w:sz w:val="24"/>
                <w:szCs w:val="24"/>
              </w:rPr>
            </w:pPr>
          </w:p>
        </w:tc>
        <w:tc>
          <w:tcPr>
            <w:tcW w:w="2730" w:type="dxa"/>
            <w:noWrap w:val="0"/>
            <w:vAlign w:val="top"/>
          </w:tcPr>
          <w:p>
            <w:pPr>
              <w:spacing w:line="440" w:lineRule="exact"/>
              <w:ind w:left="300"/>
              <w:jc w:val="center"/>
              <w:rPr>
                <w:rFonts w:hint="eastAsia"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11" w:type="dxa"/>
            <w:noWrap w:val="0"/>
            <w:vAlign w:val="top"/>
          </w:tcPr>
          <w:p>
            <w:pPr>
              <w:spacing w:line="440" w:lineRule="exact"/>
              <w:ind w:left="300"/>
              <w:jc w:val="center"/>
              <w:rPr>
                <w:rFonts w:hint="eastAsia" w:ascii="宋体" w:hAnsi="宋体"/>
                <w:color w:val="auto"/>
                <w:sz w:val="24"/>
                <w:szCs w:val="24"/>
              </w:rPr>
            </w:pPr>
          </w:p>
        </w:tc>
        <w:tc>
          <w:tcPr>
            <w:tcW w:w="1160" w:type="dxa"/>
            <w:noWrap w:val="0"/>
            <w:vAlign w:val="top"/>
          </w:tcPr>
          <w:p>
            <w:pPr>
              <w:spacing w:line="440" w:lineRule="exact"/>
              <w:ind w:left="300"/>
              <w:jc w:val="center"/>
              <w:rPr>
                <w:rFonts w:hint="eastAsia" w:ascii="宋体" w:hAnsi="宋体"/>
                <w:color w:val="auto"/>
                <w:sz w:val="24"/>
                <w:szCs w:val="24"/>
              </w:rPr>
            </w:pPr>
          </w:p>
        </w:tc>
        <w:tc>
          <w:tcPr>
            <w:tcW w:w="1292" w:type="dxa"/>
            <w:noWrap w:val="0"/>
            <w:vAlign w:val="top"/>
          </w:tcPr>
          <w:p>
            <w:pPr>
              <w:spacing w:line="440" w:lineRule="exact"/>
              <w:ind w:left="300"/>
              <w:jc w:val="center"/>
              <w:rPr>
                <w:rFonts w:hint="eastAsia" w:ascii="宋体" w:hAnsi="宋体"/>
                <w:color w:val="auto"/>
                <w:sz w:val="24"/>
                <w:szCs w:val="24"/>
              </w:rPr>
            </w:pPr>
          </w:p>
        </w:tc>
        <w:tc>
          <w:tcPr>
            <w:tcW w:w="1509" w:type="dxa"/>
            <w:noWrap w:val="0"/>
            <w:vAlign w:val="top"/>
          </w:tcPr>
          <w:p>
            <w:pPr>
              <w:spacing w:line="440" w:lineRule="exact"/>
              <w:ind w:left="300"/>
              <w:jc w:val="center"/>
              <w:rPr>
                <w:rFonts w:hint="eastAsia" w:ascii="宋体" w:hAnsi="宋体"/>
                <w:color w:val="auto"/>
                <w:sz w:val="24"/>
                <w:szCs w:val="24"/>
              </w:rPr>
            </w:pPr>
          </w:p>
        </w:tc>
        <w:tc>
          <w:tcPr>
            <w:tcW w:w="2730" w:type="dxa"/>
            <w:noWrap w:val="0"/>
            <w:vAlign w:val="top"/>
          </w:tcPr>
          <w:p>
            <w:pPr>
              <w:spacing w:line="440" w:lineRule="exact"/>
              <w:ind w:left="300"/>
              <w:jc w:val="center"/>
              <w:rPr>
                <w:rFonts w:hint="eastAsia"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11" w:type="dxa"/>
            <w:noWrap w:val="0"/>
            <w:vAlign w:val="top"/>
          </w:tcPr>
          <w:p>
            <w:pPr>
              <w:spacing w:line="440" w:lineRule="exact"/>
              <w:ind w:left="300"/>
              <w:jc w:val="center"/>
              <w:rPr>
                <w:rFonts w:hint="eastAsia" w:ascii="宋体" w:hAnsi="宋体"/>
                <w:color w:val="auto"/>
                <w:sz w:val="24"/>
                <w:szCs w:val="24"/>
              </w:rPr>
            </w:pPr>
          </w:p>
        </w:tc>
        <w:tc>
          <w:tcPr>
            <w:tcW w:w="1160" w:type="dxa"/>
            <w:noWrap w:val="0"/>
            <w:vAlign w:val="top"/>
          </w:tcPr>
          <w:p>
            <w:pPr>
              <w:spacing w:line="440" w:lineRule="exact"/>
              <w:ind w:left="300"/>
              <w:jc w:val="center"/>
              <w:rPr>
                <w:rFonts w:hint="eastAsia" w:ascii="宋体" w:hAnsi="宋体"/>
                <w:color w:val="auto"/>
                <w:sz w:val="24"/>
                <w:szCs w:val="24"/>
              </w:rPr>
            </w:pPr>
          </w:p>
        </w:tc>
        <w:tc>
          <w:tcPr>
            <w:tcW w:w="1292" w:type="dxa"/>
            <w:noWrap w:val="0"/>
            <w:vAlign w:val="top"/>
          </w:tcPr>
          <w:p>
            <w:pPr>
              <w:spacing w:line="440" w:lineRule="exact"/>
              <w:ind w:left="300"/>
              <w:jc w:val="center"/>
              <w:rPr>
                <w:rFonts w:hint="eastAsia" w:ascii="宋体" w:hAnsi="宋体"/>
                <w:color w:val="auto"/>
                <w:sz w:val="24"/>
                <w:szCs w:val="24"/>
              </w:rPr>
            </w:pPr>
          </w:p>
        </w:tc>
        <w:tc>
          <w:tcPr>
            <w:tcW w:w="1509" w:type="dxa"/>
            <w:noWrap w:val="0"/>
            <w:vAlign w:val="top"/>
          </w:tcPr>
          <w:p>
            <w:pPr>
              <w:spacing w:line="440" w:lineRule="exact"/>
              <w:ind w:left="300"/>
              <w:jc w:val="center"/>
              <w:rPr>
                <w:rFonts w:hint="eastAsia" w:ascii="宋体" w:hAnsi="宋体"/>
                <w:color w:val="auto"/>
                <w:sz w:val="24"/>
                <w:szCs w:val="24"/>
              </w:rPr>
            </w:pPr>
          </w:p>
        </w:tc>
        <w:tc>
          <w:tcPr>
            <w:tcW w:w="2730" w:type="dxa"/>
            <w:noWrap w:val="0"/>
            <w:vAlign w:val="top"/>
          </w:tcPr>
          <w:p>
            <w:pPr>
              <w:spacing w:line="440" w:lineRule="exact"/>
              <w:ind w:left="300"/>
              <w:jc w:val="center"/>
              <w:rPr>
                <w:rFonts w:hint="eastAsia"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11" w:type="dxa"/>
            <w:noWrap w:val="0"/>
            <w:vAlign w:val="top"/>
          </w:tcPr>
          <w:p>
            <w:pPr>
              <w:spacing w:line="440" w:lineRule="exact"/>
              <w:ind w:left="300"/>
              <w:jc w:val="center"/>
              <w:rPr>
                <w:rFonts w:hint="eastAsia" w:ascii="宋体" w:hAnsi="宋体"/>
                <w:color w:val="auto"/>
                <w:sz w:val="24"/>
                <w:szCs w:val="24"/>
              </w:rPr>
            </w:pPr>
          </w:p>
        </w:tc>
        <w:tc>
          <w:tcPr>
            <w:tcW w:w="1160" w:type="dxa"/>
            <w:noWrap w:val="0"/>
            <w:vAlign w:val="top"/>
          </w:tcPr>
          <w:p>
            <w:pPr>
              <w:spacing w:line="440" w:lineRule="exact"/>
              <w:ind w:left="300"/>
              <w:jc w:val="center"/>
              <w:rPr>
                <w:rFonts w:hint="eastAsia" w:ascii="宋体" w:hAnsi="宋体"/>
                <w:color w:val="auto"/>
                <w:sz w:val="24"/>
                <w:szCs w:val="24"/>
              </w:rPr>
            </w:pPr>
          </w:p>
        </w:tc>
        <w:tc>
          <w:tcPr>
            <w:tcW w:w="1292" w:type="dxa"/>
            <w:noWrap w:val="0"/>
            <w:vAlign w:val="top"/>
          </w:tcPr>
          <w:p>
            <w:pPr>
              <w:spacing w:line="440" w:lineRule="exact"/>
              <w:ind w:left="300"/>
              <w:jc w:val="center"/>
              <w:rPr>
                <w:rFonts w:hint="eastAsia" w:ascii="宋体" w:hAnsi="宋体"/>
                <w:color w:val="auto"/>
                <w:sz w:val="24"/>
                <w:szCs w:val="24"/>
              </w:rPr>
            </w:pPr>
          </w:p>
        </w:tc>
        <w:tc>
          <w:tcPr>
            <w:tcW w:w="1509" w:type="dxa"/>
            <w:noWrap w:val="0"/>
            <w:vAlign w:val="top"/>
          </w:tcPr>
          <w:p>
            <w:pPr>
              <w:spacing w:line="440" w:lineRule="exact"/>
              <w:ind w:left="300"/>
              <w:jc w:val="center"/>
              <w:rPr>
                <w:rFonts w:hint="eastAsia" w:ascii="宋体" w:hAnsi="宋体"/>
                <w:color w:val="auto"/>
                <w:sz w:val="24"/>
                <w:szCs w:val="24"/>
              </w:rPr>
            </w:pPr>
          </w:p>
        </w:tc>
        <w:tc>
          <w:tcPr>
            <w:tcW w:w="2730" w:type="dxa"/>
            <w:noWrap w:val="0"/>
            <w:vAlign w:val="top"/>
          </w:tcPr>
          <w:p>
            <w:pPr>
              <w:spacing w:line="440" w:lineRule="exact"/>
              <w:ind w:left="300"/>
              <w:jc w:val="center"/>
              <w:rPr>
                <w:rFonts w:hint="eastAsia"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11" w:type="dxa"/>
            <w:noWrap w:val="0"/>
            <w:vAlign w:val="top"/>
          </w:tcPr>
          <w:p>
            <w:pPr>
              <w:spacing w:line="440" w:lineRule="exact"/>
              <w:ind w:left="300"/>
              <w:jc w:val="center"/>
              <w:rPr>
                <w:rFonts w:hint="eastAsia" w:ascii="宋体" w:hAnsi="宋体"/>
                <w:color w:val="auto"/>
                <w:sz w:val="24"/>
                <w:szCs w:val="24"/>
              </w:rPr>
            </w:pPr>
          </w:p>
        </w:tc>
        <w:tc>
          <w:tcPr>
            <w:tcW w:w="1160" w:type="dxa"/>
            <w:noWrap w:val="0"/>
            <w:vAlign w:val="top"/>
          </w:tcPr>
          <w:p>
            <w:pPr>
              <w:spacing w:line="440" w:lineRule="exact"/>
              <w:ind w:left="300"/>
              <w:jc w:val="center"/>
              <w:rPr>
                <w:rFonts w:hint="eastAsia" w:ascii="宋体" w:hAnsi="宋体"/>
                <w:color w:val="auto"/>
                <w:sz w:val="24"/>
                <w:szCs w:val="24"/>
              </w:rPr>
            </w:pPr>
          </w:p>
        </w:tc>
        <w:tc>
          <w:tcPr>
            <w:tcW w:w="1292" w:type="dxa"/>
            <w:noWrap w:val="0"/>
            <w:vAlign w:val="top"/>
          </w:tcPr>
          <w:p>
            <w:pPr>
              <w:spacing w:line="440" w:lineRule="exact"/>
              <w:ind w:left="300"/>
              <w:jc w:val="center"/>
              <w:rPr>
                <w:rFonts w:hint="eastAsia" w:ascii="宋体" w:hAnsi="宋体"/>
                <w:color w:val="auto"/>
                <w:sz w:val="24"/>
                <w:szCs w:val="24"/>
              </w:rPr>
            </w:pPr>
          </w:p>
        </w:tc>
        <w:tc>
          <w:tcPr>
            <w:tcW w:w="1509" w:type="dxa"/>
            <w:noWrap w:val="0"/>
            <w:vAlign w:val="top"/>
          </w:tcPr>
          <w:p>
            <w:pPr>
              <w:spacing w:line="440" w:lineRule="exact"/>
              <w:ind w:left="300"/>
              <w:jc w:val="center"/>
              <w:rPr>
                <w:rFonts w:hint="eastAsia" w:ascii="宋体" w:hAnsi="宋体"/>
                <w:color w:val="auto"/>
                <w:sz w:val="24"/>
                <w:szCs w:val="24"/>
              </w:rPr>
            </w:pPr>
          </w:p>
        </w:tc>
        <w:tc>
          <w:tcPr>
            <w:tcW w:w="2730" w:type="dxa"/>
            <w:noWrap w:val="0"/>
            <w:vAlign w:val="top"/>
          </w:tcPr>
          <w:p>
            <w:pPr>
              <w:spacing w:line="440" w:lineRule="exact"/>
              <w:ind w:left="300"/>
              <w:jc w:val="center"/>
              <w:rPr>
                <w:rFonts w:hint="eastAsia"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11" w:type="dxa"/>
            <w:noWrap w:val="0"/>
            <w:vAlign w:val="top"/>
          </w:tcPr>
          <w:p>
            <w:pPr>
              <w:numPr>
                <w:ilvl w:val="0"/>
                <w:numId w:val="7"/>
              </w:numPr>
              <w:spacing w:line="360" w:lineRule="auto"/>
              <w:ind w:left="-469" w:leftChars="0" w:firstLineChars="0"/>
              <w:jc w:val="both"/>
              <w:rPr>
                <w:rFonts w:hint="eastAsia" w:ascii="仿宋" w:hAnsi="仿宋" w:eastAsia="仿宋" w:cs="仿宋"/>
                <w:b/>
                <w:bCs/>
                <w:color w:val="auto"/>
                <w:sz w:val="22"/>
                <w:szCs w:val="22"/>
                <w:highlight w:val="none"/>
                <w:lang w:val="en-US" w:eastAsia="zh-CN"/>
              </w:rPr>
            </w:pPr>
          </w:p>
        </w:tc>
        <w:tc>
          <w:tcPr>
            <w:tcW w:w="1160" w:type="dxa"/>
            <w:noWrap w:val="0"/>
            <w:vAlign w:val="top"/>
          </w:tcPr>
          <w:p>
            <w:pPr>
              <w:numPr>
                <w:ilvl w:val="0"/>
                <w:numId w:val="7"/>
              </w:numPr>
              <w:spacing w:line="360" w:lineRule="auto"/>
              <w:ind w:left="-469" w:leftChars="0" w:firstLineChars="0"/>
              <w:jc w:val="both"/>
              <w:rPr>
                <w:rFonts w:hint="eastAsia" w:ascii="仿宋" w:hAnsi="仿宋" w:eastAsia="仿宋" w:cs="仿宋"/>
                <w:b/>
                <w:bCs/>
                <w:color w:val="auto"/>
                <w:sz w:val="22"/>
                <w:szCs w:val="22"/>
                <w:highlight w:val="none"/>
                <w:lang w:val="en-US" w:eastAsia="zh-CN"/>
              </w:rPr>
            </w:pPr>
          </w:p>
        </w:tc>
        <w:tc>
          <w:tcPr>
            <w:tcW w:w="1292" w:type="dxa"/>
            <w:noWrap w:val="0"/>
            <w:vAlign w:val="top"/>
          </w:tcPr>
          <w:p>
            <w:pPr>
              <w:numPr>
                <w:ilvl w:val="0"/>
                <w:numId w:val="7"/>
              </w:numPr>
              <w:spacing w:line="360" w:lineRule="auto"/>
              <w:ind w:left="-469" w:leftChars="0" w:firstLineChars="0"/>
              <w:jc w:val="both"/>
              <w:rPr>
                <w:rFonts w:hint="eastAsia" w:ascii="仿宋" w:hAnsi="仿宋" w:eastAsia="仿宋" w:cs="仿宋"/>
                <w:b/>
                <w:bCs/>
                <w:color w:val="auto"/>
                <w:sz w:val="22"/>
                <w:szCs w:val="22"/>
                <w:highlight w:val="none"/>
                <w:lang w:val="en-US" w:eastAsia="zh-CN"/>
              </w:rPr>
            </w:pPr>
          </w:p>
        </w:tc>
        <w:tc>
          <w:tcPr>
            <w:tcW w:w="1509" w:type="dxa"/>
            <w:noWrap w:val="0"/>
            <w:vAlign w:val="top"/>
          </w:tcPr>
          <w:p>
            <w:pPr>
              <w:numPr>
                <w:ilvl w:val="0"/>
                <w:numId w:val="7"/>
              </w:numPr>
              <w:spacing w:line="360" w:lineRule="auto"/>
              <w:ind w:left="-469" w:leftChars="0" w:firstLineChars="0"/>
              <w:jc w:val="both"/>
              <w:rPr>
                <w:rFonts w:hint="eastAsia" w:ascii="仿宋" w:hAnsi="仿宋" w:eastAsia="仿宋" w:cs="仿宋"/>
                <w:b/>
                <w:bCs/>
                <w:color w:val="auto"/>
                <w:sz w:val="22"/>
                <w:szCs w:val="22"/>
                <w:highlight w:val="none"/>
                <w:lang w:val="en-US" w:eastAsia="zh-CN"/>
              </w:rPr>
            </w:pPr>
          </w:p>
        </w:tc>
        <w:tc>
          <w:tcPr>
            <w:tcW w:w="2730" w:type="dxa"/>
            <w:noWrap w:val="0"/>
            <w:vAlign w:val="top"/>
          </w:tcPr>
          <w:p>
            <w:pPr>
              <w:numPr>
                <w:ilvl w:val="0"/>
                <w:numId w:val="0"/>
              </w:numPr>
              <w:spacing w:line="360" w:lineRule="auto"/>
              <w:ind w:leftChars="0"/>
              <w:jc w:val="both"/>
              <w:rPr>
                <w:rFonts w:hint="eastAsia" w:ascii="仿宋" w:hAnsi="仿宋" w:eastAsia="仿宋" w:cs="仿宋"/>
                <w:b/>
                <w:bCs/>
                <w:color w:val="auto"/>
                <w:sz w:val="22"/>
                <w:szCs w:val="22"/>
                <w:highlight w:val="none"/>
                <w:lang w:val="en-US" w:eastAsia="zh-CN"/>
              </w:rPr>
            </w:pPr>
          </w:p>
        </w:tc>
      </w:tr>
    </w:tbl>
    <w:p>
      <w:pPr>
        <w:numPr>
          <w:ilvl w:val="0"/>
          <w:numId w:val="0"/>
        </w:numPr>
        <w:spacing w:line="360" w:lineRule="auto"/>
        <w:jc w:val="both"/>
        <w:rPr>
          <w:rFonts w:hint="default"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1、本表可扩展</w:t>
      </w:r>
    </w:p>
    <w:p>
      <w:pPr>
        <w:numPr>
          <w:ilvl w:val="0"/>
          <w:numId w:val="0"/>
        </w:numPr>
        <w:spacing w:line="360" w:lineRule="auto"/>
        <w:jc w:val="both"/>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2、后附身份证、学历、类似业绩等证明材料</w:t>
      </w:r>
    </w:p>
    <w:p>
      <w:pPr>
        <w:pStyle w:val="2"/>
        <w:ind w:left="0" w:leftChars="0" w:firstLine="0" w:firstLineChars="0"/>
        <w:rPr>
          <w:rFonts w:hint="default"/>
          <w:color w:val="auto"/>
          <w:lang w:val="en-US" w:eastAsia="zh-CN"/>
        </w:rPr>
      </w:pPr>
      <w:r>
        <w:rPr>
          <w:rFonts w:hint="eastAsia" w:ascii="仿宋" w:hAnsi="仿宋" w:eastAsia="仿宋" w:cs="仿宋"/>
          <w:b/>
          <w:bCs/>
          <w:color w:val="auto"/>
          <w:sz w:val="22"/>
          <w:szCs w:val="22"/>
          <w:highlight w:val="none"/>
          <w:lang w:val="en-US" w:eastAsia="zh-CN"/>
        </w:rPr>
        <w:t>3、类似业绩证明材料：合同或中标通知书或发包通知书或成交通知书（复印件加盖公章）</w:t>
      </w: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pStyle w:val="13"/>
        <w:tabs>
          <w:tab w:val="left" w:pos="6736"/>
        </w:tabs>
        <w:kinsoku w:val="0"/>
        <w:overflowPunct w:val="0"/>
        <w:spacing w:before="26" w:line="360" w:lineRule="auto"/>
        <w:ind w:right="1526" w:firstLine="3927" w:firstLineChars="1650"/>
        <w:rPr>
          <w:rFonts w:hint="eastAsia" w:ascii="宋体" w:hAnsi="宋体" w:eastAsia="宋体" w:cs="宋体"/>
          <w:color w:val="auto"/>
          <w:spacing w:val="23"/>
          <w:sz w:val="24"/>
          <w:szCs w:val="24"/>
          <w:highlight w:val="none"/>
        </w:rPr>
      </w:pPr>
      <w:r>
        <w:rPr>
          <w:rFonts w:hint="eastAsia" w:ascii="宋体" w:hAnsi="宋体" w:eastAsia="宋体" w:cs="宋体"/>
          <w:color w:val="auto"/>
          <w:spacing w:val="-1"/>
          <w:sz w:val="24"/>
          <w:szCs w:val="24"/>
          <w:highlight w:val="none"/>
        </w:rPr>
        <w:t>供应商：</w:t>
      </w:r>
      <w:r>
        <w:rPr>
          <w:rFonts w:hint="eastAsia" w:ascii="宋体" w:hAnsi="宋体" w:eastAsia="宋体" w:cs="宋体"/>
          <w:color w:val="auto"/>
          <w:sz w:val="24"/>
          <w:szCs w:val="24"/>
          <w:highlight w:val="none"/>
          <w:u w:val="single"/>
        </w:rPr>
        <w:t>（公章）</w:t>
      </w:r>
    </w:p>
    <w:p>
      <w:pPr>
        <w:pStyle w:val="13"/>
        <w:tabs>
          <w:tab w:val="left" w:pos="6736"/>
        </w:tabs>
        <w:kinsoku w:val="0"/>
        <w:overflowPunct w:val="0"/>
        <w:spacing w:before="26" w:line="360" w:lineRule="auto"/>
        <w:ind w:right="1526" w:firstLine="2499" w:firstLineChars="105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w:t>
      </w:r>
      <w:r>
        <w:rPr>
          <w:rFonts w:hint="eastAsia" w:ascii="宋体" w:hAnsi="宋体" w:eastAsia="宋体" w:cs="宋体"/>
          <w:color w:val="auto"/>
          <w:spacing w:val="-1"/>
          <w:sz w:val="24"/>
          <w:szCs w:val="24"/>
          <w:highlight w:val="none"/>
          <w:lang w:val="en-US" w:eastAsia="zh-CN"/>
        </w:rPr>
        <w:t>或</w:t>
      </w:r>
      <w:r>
        <w:rPr>
          <w:rFonts w:hint="eastAsia" w:ascii="宋体" w:hAnsi="宋体" w:eastAsia="宋体" w:cs="宋体"/>
          <w:color w:val="auto"/>
          <w:spacing w:val="-1"/>
          <w:sz w:val="24"/>
          <w:szCs w:val="24"/>
          <w:highlight w:val="none"/>
        </w:rPr>
        <w:t>委托人：</w:t>
      </w:r>
      <w:r>
        <w:rPr>
          <w:rFonts w:hint="eastAsia" w:ascii="宋体" w:hAnsi="宋体" w:eastAsia="宋体" w:cs="宋体"/>
          <w:color w:val="auto"/>
          <w:sz w:val="24"/>
          <w:szCs w:val="24"/>
          <w:highlight w:val="none"/>
          <w:u w:val="single"/>
        </w:rPr>
        <w:t>（签字</w:t>
      </w:r>
      <w:r>
        <w:rPr>
          <w:rFonts w:hint="eastAsia" w:ascii="宋体" w:hAnsi="宋体" w:eastAsia="宋体" w:cs="宋体"/>
          <w:color w:val="auto"/>
          <w:sz w:val="24"/>
          <w:szCs w:val="24"/>
          <w:highlight w:val="none"/>
          <w:u w:val="single"/>
          <w:lang w:val="en-US" w:eastAsia="zh-CN"/>
        </w:rPr>
        <w:t>或盖章</w:t>
      </w:r>
      <w:r>
        <w:rPr>
          <w:rFonts w:hint="eastAsia" w:ascii="宋体" w:hAnsi="宋体" w:eastAsia="宋体" w:cs="宋体"/>
          <w:color w:val="auto"/>
          <w:sz w:val="24"/>
          <w:szCs w:val="24"/>
          <w:highlight w:val="none"/>
          <w:u w:val="single"/>
        </w:rPr>
        <w:t>）</w:t>
      </w:r>
    </w:p>
    <w:p>
      <w:pPr>
        <w:pStyle w:val="13"/>
        <w:kinsoku w:val="0"/>
        <w:overflowPunct w:val="0"/>
        <w:spacing w:before="11" w:line="360" w:lineRule="auto"/>
        <w:ind w:left="0"/>
        <w:rPr>
          <w:rFonts w:hint="eastAsia" w:ascii="宋体" w:hAnsi="宋体" w:eastAsia="宋体" w:cs="宋体"/>
          <w:color w:val="auto"/>
          <w:sz w:val="24"/>
          <w:szCs w:val="24"/>
          <w:highlight w:val="none"/>
        </w:rPr>
      </w:pPr>
    </w:p>
    <w:p>
      <w:pPr>
        <w:pStyle w:val="13"/>
        <w:tabs>
          <w:tab w:val="left" w:pos="5418"/>
          <w:tab w:val="left" w:pos="6258"/>
          <w:tab w:val="left" w:pos="7098"/>
        </w:tabs>
        <w:kinsoku w:val="0"/>
        <w:overflowPunct w:val="0"/>
        <w:spacing w:before="26" w:line="360" w:lineRule="auto"/>
        <w:ind w:left="4697"/>
        <w:rPr>
          <w:rFonts w:hAnsi="仿宋"/>
          <w:color w:val="auto"/>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pacing w:val="-1"/>
          <w:sz w:val="24"/>
          <w:szCs w:val="24"/>
          <w:highlight w:val="none"/>
        </w:rPr>
        <w:t>年</w:t>
      </w:r>
      <w:r>
        <w:rPr>
          <w:rFonts w:hint="eastAsia" w:ascii="宋体" w:hAnsi="宋体" w:eastAsia="宋体" w:cs="宋体"/>
          <w:color w:val="auto"/>
          <w:spacing w:val="-1"/>
          <w:sz w:val="24"/>
          <w:szCs w:val="24"/>
          <w:highlight w:val="none"/>
          <w:u w:val="single"/>
        </w:rPr>
        <w:tab/>
      </w:r>
      <w:r>
        <w:rPr>
          <w:rFonts w:hint="eastAsia" w:ascii="宋体" w:hAnsi="宋体" w:eastAsia="宋体" w:cs="宋体"/>
          <w:color w:val="auto"/>
          <w:spacing w:val="-1"/>
          <w:sz w:val="24"/>
          <w:szCs w:val="24"/>
          <w:highlight w:val="none"/>
        </w:rPr>
        <w:t>月</w:t>
      </w:r>
      <w:r>
        <w:rPr>
          <w:rFonts w:hint="eastAsia" w:ascii="宋体" w:hAnsi="宋体" w:eastAsia="宋体" w:cs="宋体"/>
          <w:color w:val="auto"/>
          <w:spacing w:val="-1"/>
          <w:sz w:val="24"/>
          <w:szCs w:val="24"/>
          <w:highlight w:val="none"/>
          <w:u w:val="single"/>
        </w:rPr>
        <w:tab/>
      </w:r>
      <w:r>
        <w:rPr>
          <w:rFonts w:hint="eastAsia" w:ascii="宋体" w:hAnsi="宋体" w:eastAsia="宋体" w:cs="宋体"/>
          <w:color w:val="auto"/>
          <w:sz w:val="24"/>
          <w:szCs w:val="24"/>
          <w:highlight w:val="none"/>
        </w:rPr>
        <w:t>日</w:t>
      </w: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p>
    <w:p>
      <w:pPr>
        <w:spacing w:line="360" w:lineRule="auto"/>
        <w:jc w:val="center"/>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w:t>
      </w:r>
      <w:r>
        <w:rPr>
          <w:rFonts w:hint="eastAsia" w:ascii="宋体" w:hAnsi="宋体" w:cs="宋体"/>
          <w:b/>
          <w:bCs/>
          <w:color w:val="auto"/>
          <w:kern w:val="0"/>
          <w:sz w:val="24"/>
          <w:szCs w:val="24"/>
          <w:highlight w:val="none"/>
          <w:lang w:val="en-US" w:eastAsia="zh-CN" w:bidi="ar-SA"/>
        </w:rPr>
        <w:t>四</w:t>
      </w:r>
      <w:r>
        <w:rPr>
          <w:rFonts w:hint="eastAsia" w:ascii="宋体" w:hAnsi="宋体" w:eastAsia="宋体" w:cs="宋体"/>
          <w:b/>
          <w:bCs/>
          <w:color w:val="auto"/>
          <w:kern w:val="0"/>
          <w:sz w:val="24"/>
          <w:szCs w:val="24"/>
          <w:highlight w:val="none"/>
          <w:lang w:val="en-US" w:eastAsia="zh-CN" w:bidi="ar-SA"/>
        </w:rPr>
        <w:t>）拟投入本项目人员</w:t>
      </w:r>
      <w:r>
        <w:rPr>
          <w:rFonts w:hint="eastAsia" w:ascii="宋体" w:hAnsi="宋体" w:cs="宋体"/>
          <w:b/>
          <w:bCs/>
          <w:color w:val="auto"/>
          <w:kern w:val="0"/>
          <w:sz w:val="24"/>
          <w:szCs w:val="24"/>
          <w:highlight w:val="none"/>
          <w:lang w:val="en-US" w:eastAsia="zh-CN" w:bidi="ar-SA"/>
        </w:rPr>
        <w:t>汇总</w:t>
      </w:r>
      <w:r>
        <w:rPr>
          <w:rFonts w:hint="eastAsia" w:ascii="宋体" w:hAnsi="宋体" w:eastAsia="宋体" w:cs="宋体"/>
          <w:b/>
          <w:bCs/>
          <w:color w:val="auto"/>
          <w:kern w:val="0"/>
          <w:sz w:val="24"/>
          <w:szCs w:val="24"/>
          <w:highlight w:val="none"/>
          <w:lang w:val="en-US" w:eastAsia="zh-CN" w:bidi="ar-SA"/>
        </w:rPr>
        <w:t>表</w:t>
      </w:r>
      <w:r>
        <w:rPr>
          <w:rFonts w:hint="eastAsia" w:ascii="宋体" w:hAnsi="宋体" w:cs="宋体"/>
          <w:b/>
          <w:bCs/>
          <w:color w:val="auto"/>
          <w:kern w:val="0"/>
          <w:sz w:val="24"/>
          <w:szCs w:val="24"/>
          <w:highlight w:val="none"/>
          <w:lang w:val="en-US" w:eastAsia="zh-CN" w:bidi="ar-SA"/>
        </w:rPr>
        <w:t>（除项目负责人外）</w:t>
      </w:r>
    </w:p>
    <w:p>
      <w:pPr>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格式自拟</w:t>
      </w:r>
      <w:r>
        <w:rPr>
          <w:rFonts w:hint="eastAsia" w:ascii="仿宋" w:hAnsi="仿宋" w:eastAsia="仿宋" w:cs="仿宋"/>
          <w:color w:val="auto"/>
          <w:highlight w:val="none"/>
          <w:lang w:eastAsia="zh-CN"/>
        </w:rPr>
        <w:t>）</w:t>
      </w: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both"/>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ind w:firstLine="402" w:firstLineChars="200"/>
        <w:rPr>
          <w:rFonts w:hint="default" w:eastAsia="宋体"/>
          <w:b/>
          <w:bCs/>
          <w:color w:val="auto"/>
          <w:sz w:val="20"/>
          <w:szCs w:val="21"/>
          <w:highlight w:val="none"/>
          <w:lang w:val="en-US" w:eastAsia="zh-CN"/>
        </w:rPr>
      </w:pPr>
      <w:r>
        <w:rPr>
          <w:rFonts w:hint="eastAsia"/>
          <w:b/>
          <w:bCs/>
          <w:color w:val="auto"/>
          <w:sz w:val="20"/>
          <w:szCs w:val="21"/>
          <w:highlight w:val="none"/>
          <w:lang w:val="en-US" w:eastAsia="zh-CN"/>
        </w:rPr>
        <w:t>后附身份证、学历等证明材料</w:t>
      </w:r>
    </w:p>
    <w:p>
      <w:pPr>
        <w:numPr>
          <w:ilvl w:val="0"/>
          <w:numId w:val="0"/>
        </w:numPr>
        <w:spacing w:line="360" w:lineRule="auto"/>
        <w:jc w:val="both"/>
        <w:rPr>
          <w:rFonts w:hint="default" w:ascii="仿宋" w:hAnsi="仿宋" w:eastAsia="仿宋" w:cs="仿宋"/>
          <w:b/>
          <w:bCs/>
          <w:color w:val="auto"/>
          <w:sz w:val="22"/>
          <w:szCs w:val="22"/>
          <w:highlight w:val="none"/>
          <w:lang w:val="en-US" w:eastAsia="zh-CN"/>
        </w:rPr>
      </w:pPr>
      <w:r>
        <w:rPr>
          <w:rFonts w:hint="eastAsia"/>
          <w:color w:val="auto"/>
          <w:highlight w:val="none"/>
          <w:lang w:val="en-US" w:eastAsia="zh-CN"/>
        </w:rPr>
        <w:t xml:space="preserve">           </w:t>
      </w:r>
    </w:p>
    <w:p>
      <w:pPr>
        <w:spacing w:line="360" w:lineRule="auto"/>
        <w:jc w:val="center"/>
        <w:rPr>
          <w:rFonts w:hint="eastAsia" w:ascii="仿宋" w:hAnsi="仿宋" w:eastAsia="仿宋" w:cs="仿宋"/>
          <w:b/>
          <w:bCs/>
          <w:color w:val="auto"/>
          <w:sz w:val="36"/>
          <w:szCs w:val="36"/>
          <w:highlight w:val="none"/>
          <w:lang w:eastAsia="zh-CN"/>
        </w:rPr>
      </w:pPr>
    </w:p>
    <w:p>
      <w:pPr>
        <w:spacing w:line="360" w:lineRule="auto"/>
        <w:jc w:val="center"/>
        <w:rPr>
          <w:rFonts w:hint="eastAsia" w:ascii="仿宋" w:hAnsi="仿宋" w:eastAsia="仿宋" w:cs="仿宋"/>
          <w:b/>
          <w:bCs/>
          <w:color w:val="auto"/>
          <w:sz w:val="36"/>
          <w:szCs w:val="36"/>
          <w:highlight w:val="none"/>
          <w:lang w:eastAsia="zh-CN"/>
        </w:rPr>
      </w:pPr>
    </w:p>
    <w:p>
      <w:pPr>
        <w:spacing w:line="360" w:lineRule="auto"/>
        <w:jc w:val="center"/>
        <w:rPr>
          <w:rFonts w:hint="eastAsia" w:ascii="仿宋" w:hAnsi="仿宋" w:eastAsia="仿宋" w:cs="仿宋"/>
          <w:b/>
          <w:bCs/>
          <w:color w:val="auto"/>
          <w:sz w:val="36"/>
          <w:szCs w:val="36"/>
          <w:highlight w:val="none"/>
          <w:lang w:eastAsia="zh-CN"/>
        </w:rPr>
      </w:pPr>
    </w:p>
    <w:p>
      <w:pPr>
        <w:spacing w:line="360" w:lineRule="auto"/>
        <w:jc w:val="center"/>
        <w:rPr>
          <w:rFonts w:hint="eastAsia" w:ascii="仿宋" w:hAnsi="仿宋" w:eastAsia="仿宋" w:cs="仿宋"/>
          <w:b/>
          <w:bCs/>
          <w:color w:val="auto"/>
          <w:sz w:val="36"/>
          <w:szCs w:val="36"/>
          <w:highlight w:val="none"/>
          <w:lang w:eastAsia="zh-CN"/>
        </w:rPr>
      </w:pPr>
    </w:p>
    <w:p>
      <w:pPr>
        <w:spacing w:line="360" w:lineRule="auto"/>
        <w:jc w:val="center"/>
        <w:rPr>
          <w:rFonts w:ascii="仿宋" w:hAnsi="仿宋" w:eastAsia="仿宋" w:cs="仿宋"/>
          <w:color w:val="auto"/>
          <w:highlight w:val="none"/>
        </w:rPr>
      </w:pPr>
      <w:r>
        <w:rPr>
          <w:rFonts w:hint="eastAsia" w:ascii="仿宋" w:hAnsi="仿宋" w:eastAsia="仿宋" w:cs="仿宋"/>
          <w:b/>
          <w:bCs/>
          <w:color w:val="auto"/>
          <w:sz w:val="36"/>
          <w:szCs w:val="36"/>
          <w:highlight w:val="none"/>
          <w:lang w:eastAsia="zh-CN"/>
        </w:rPr>
        <w:t>八</w:t>
      </w:r>
      <w:r>
        <w:rPr>
          <w:rFonts w:hint="eastAsia" w:ascii="仿宋" w:hAnsi="仿宋" w:eastAsia="仿宋" w:cs="仿宋"/>
          <w:b/>
          <w:bCs/>
          <w:color w:val="auto"/>
          <w:sz w:val="36"/>
          <w:szCs w:val="36"/>
          <w:highlight w:val="none"/>
        </w:rPr>
        <w:t>、一般商务条款偏离表</w:t>
      </w:r>
    </w:p>
    <w:tbl>
      <w:tblPr>
        <w:tblStyle w:val="30"/>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54"/>
        <w:gridCol w:w="2269"/>
        <w:gridCol w:w="1134"/>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序号</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一般商务条款序号</w:t>
            </w:r>
          </w:p>
        </w:tc>
        <w:tc>
          <w:tcPr>
            <w:tcW w:w="2269" w:type="dxa"/>
            <w:vAlign w:val="center"/>
          </w:tcPr>
          <w:p>
            <w:pPr>
              <w:spacing w:line="360" w:lineRule="auto"/>
              <w:ind w:firstLine="476" w:firstLineChars="200"/>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条款内容</w:t>
            </w:r>
          </w:p>
        </w:tc>
        <w:tc>
          <w:tcPr>
            <w:tcW w:w="113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是否响应</w:t>
            </w:r>
          </w:p>
        </w:tc>
        <w:tc>
          <w:tcPr>
            <w:tcW w:w="2658"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1</w:t>
            </w:r>
          </w:p>
        </w:tc>
        <w:tc>
          <w:tcPr>
            <w:tcW w:w="2154" w:type="dxa"/>
            <w:vAlign w:val="center"/>
          </w:tcPr>
          <w:p>
            <w:pPr>
              <w:spacing w:line="360" w:lineRule="auto"/>
              <w:rPr>
                <w:rFonts w:hint="default"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第5条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134" w:type="dxa"/>
            <w:vAlign w:val="center"/>
          </w:tcPr>
          <w:p>
            <w:pPr>
              <w:spacing w:line="360" w:lineRule="auto"/>
              <w:rPr>
                <w:rFonts w:hint="eastAsia" w:ascii="宋体" w:hAnsi="宋体" w:eastAsia="宋体" w:cs="宋体"/>
                <w:color w:val="auto"/>
                <w:spacing w:val="-1"/>
                <w:kern w:val="0"/>
                <w:sz w:val="24"/>
                <w:szCs w:val="24"/>
                <w:highlight w:val="none"/>
              </w:rPr>
            </w:pPr>
          </w:p>
        </w:tc>
        <w:tc>
          <w:tcPr>
            <w:tcW w:w="2658"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2</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第6条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134" w:type="dxa"/>
            <w:vAlign w:val="center"/>
          </w:tcPr>
          <w:p>
            <w:pPr>
              <w:spacing w:line="360" w:lineRule="auto"/>
              <w:rPr>
                <w:rFonts w:hint="eastAsia" w:ascii="宋体" w:hAnsi="宋体" w:eastAsia="宋体" w:cs="宋体"/>
                <w:color w:val="auto"/>
                <w:spacing w:val="-1"/>
                <w:kern w:val="0"/>
                <w:sz w:val="24"/>
                <w:szCs w:val="24"/>
                <w:highlight w:val="none"/>
              </w:rPr>
            </w:pPr>
          </w:p>
        </w:tc>
        <w:tc>
          <w:tcPr>
            <w:tcW w:w="2658"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3</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第9条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134" w:type="dxa"/>
            <w:vAlign w:val="center"/>
          </w:tcPr>
          <w:p>
            <w:pPr>
              <w:spacing w:line="360" w:lineRule="auto"/>
              <w:rPr>
                <w:rFonts w:hint="eastAsia" w:ascii="宋体" w:hAnsi="宋体" w:eastAsia="宋体" w:cs="宋体"/>
                <w:color w:val="auto"/>
                <w:spacing w:val="-1"/>
                <w:kern w:val="0"/>
                <w:sz w:val="24"/>
                <w:szCs w:val="24"/>
                <w:highlight w:val="none"/>
              </w:rPr>
            </w:pPr>
          </w:p>
        </w:tc>
        <w:tc>
          <w:tcPr>
            <w:tcW w:w="2658"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lang w:eastAsia="zh-CN"/>
              </w:rPr>
            </w:pPr>
            <w:r>
              <w:rPr>
                <w:rFonts w:hint="eastAsia" w:ascii="宋体" w:hAnsi="宋体" w:cs="宋体"/>
                <w:color w:val="auto"/>
                <w:spacing w:val="-1"/>
                <w:kern w:val="0"/>
                <w:sz w:val="24"/>
                <w:szCs w:val="24"/>
                <w:highlight w:val="none"/>
                <w:lang w:val="en-US" w:eastAsia="zh-CN"/>
              </w:rPr>
              <w:t>4</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第12条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134" w:type="dxa"/>
            <w:vAlign w:val="center"/>
          </w:tcPr>
          <w:p>
            <w:pPr>
              <w:spacing w:line="360" w:lineRule="auto"/>
              <w:rPr>
                <w:rFonts w:hint="eastAsia" w:ascii="宋体" w:hAnsi="宋体" w:eastAsia="宋体" w:cs="宋体"/>
                <w:color w:val="auto"/>
                <w:spacing w:val="-1"/>
                <w:kern w:val="0"/>
                <w:sz w:val="24"/>
                <w:szCs w:val="24"/>
                <w:highlight w:val="none"/>
              </w:rPr>
            </w:pPr>
          </w:p>
        </w:tc>
        <w:tc>
          <w:tcPr>
            <w:tcW w:w="2658"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lang w:eastAsia="zh-CN"/>
              </w:rPr>
            </w:pPr>
            <w:r>
              <w:rPr>
                <w:rFonts w:hint="eastAsia" w:ascii="宋体" w:hAnsi="宋体" w:cs="宋体"/>
                <w:color w:val="auto"/>
                <w:spacing w:val="-1"/>
                <w:kern w:val="0"/>
                <w:sz w:val="24"/>
                <w:szCs w:val="24"/>
                <w:highlight w:val="none"/>
                <w:lang w:val="en-US" w:eastAsia="zh-CN"/>
              </w:rPr>
              <w:t>5</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第20条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134" w:type="dxa"/>
            <w:vAlign w:val="center"/>
          </w:tcPr>
          <w:p>
            <w:pPr>
              <w:spacing w:line="360" w:lineRule="auto"/>
              <w:rPr>
                <w:rFonts w:hint="eastAsia" w:ascii="宋体" w:hAnsi="宋体" w:eastAsia="宋体" w:cs="宋体"/>
                <w:color w:val="auto"/>
                <w:spacing w:val="-1"/>
                <w:kern w:val="0"/>
                <w:sz w:val="24"/>
                <w:szCs w:val="24"/>
                <w:highlight w:val="none"/>
              </w:rPr>
            </w:pPr>
          </w:p>
        </w:tc>
        <w:tc>
          <w:tcPr>
            <w:tcW w:w="2658"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lang w:eastAsia="zh-CN"/>
              </w:rPr>
            </w:pPr>
            <w:r>
              <w:rPr>
                <w:rFonts w:hint="eastAsia" w:ascii="宋体" w:hAnsi="宋体" w:cs="宋体"/>
                <w:color w:val="auto"/>
                <w:spacing w:val="-1"/>
                <w:kern w:val="0"/>
                <w:sz w:val="24"/>
                <w:szCs w:val="24"/>
                <w:highlight w:val="none"/>
                <w:lang w:val="en-US" w:eastAsia="zh-CN"/>
              </w:rPr>
              <w:t>6</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第2</w:t>
            </w:r>
            <w:r>
              <w:rPr>
                <w:rFonts w:hint="eastAsia" w:ascii="宋体" w:hAnsi="宋体" w:cs="宋体"/>
                <w:color w:val="auto"/>
                <w:spacing w:val="-1"/>
                <w:kern w:val="0"/>
                <w:sz w:val="24"/>
                <w:szCs w:val="24"/>
                <w:highlight w:val="none"/>
                <w:lang w:val="en-US" w:eastAsia="zh-CN"/>
              </w:rPr>
              <w:t>4</w:t>
            </w:r>
            <w:r>
              <w:rPr>
                <w:rFonts w:hint="eastAsia" w:ascii="宋体" w:hAnsi="宋体" w:eastAsia="宋体" w:cs="宋体"/>
                <w:color w:val="auto"/>
                <w:spacing w:val="-1"/>
                <w:kern w:val="0"/>
                <w:sz w:val="24"/>
                <w:szCs w:val="24"/>
                <w:highlight w:val="none"/>
                <w:lang w:val="en-US" w:eastAsia="zh-CN"/>
              </w:rPr>
              <w:t>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134" w:type="dxa"/>
            <w:vAlign w:val="center"/>
          </w:tcPr>
          <w:p>
            <w:pPr>
              <w:spacing w:line="360" w:lineRule="auto"/>
              <w:rPr>
                <w:rFonts w:hint="eastAsia" w:ascii="宋体" w:hAnsi="宋体" w:eastAsia="宋体" w:cs="宋体"/>
                <w:color w:val="auto"/>
                <w:spacing w:val="-1"/>
                <w:kern w:val="0"/>
                <w:sz w:val="24"/>
                <w:szCs w:val="24"/>
                <w:highlight w:val="none"/>
              </w:rPr>
            </w:pPr>
          </w:p>
        </w:tc>
        <w:tc>
          <w:tcPr>
            <w:tcW w:w="2658"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lang w:eastAsia="zh-CN"/>
              </w:rPr>
            </w:pPr>
            <w:r>
              <w:rPr>
                <w:rFonts w:hint="eastAsia" w:ascii="宋体" w:hAnsi="宋体" w:cs="宋体"/>
                <w:color w:val="auto"/>
                <w:spacing w:val="-1"/>
                <w:kern w:val="0"/>
                <w:sz w:val="24"/>
                <w:szCs w:val="24"/>
                <w:highlight w:val="none"/>
                <w:lang w:val="en-US" w:eastAsia="zh-CN"/>
              </w:rPr>
              <w:t>7</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第2</w:t>
            </w:r>
            <w:r>
              <w:rPr>
                <w:rFonts w:hint="eastAsia" w:ascii="宋体" w:hAnsi="宋体" w:cs="宋体"/>
                <w:color w:val="auto"/>
                <w:spacing w:val="-1"/>
                <w:kern w:val="0"/>
                <w:sz w:val="24"/>
                <w:szCs w:val="24"/>
                <w:highlight w:val="none"/>
                <w:lang w:val="en-US" w:eastAsia="zh-CN"/>
              </w:rPr>
              <w:t>7</w:t>
            </w:r>
            <w:r>
              <w:rPr>
                <w:rFonts w:hint="eastAsia" w:ascii="宋体" w:hAnsi="宋体" w:eastAsia="宋体" w:cs="宋体"/>
                <w:color w:val="auto"/>
                <w:spacing w:val="-1"/>
                <w:kern w:val="0"/>
                <w:sz w:val="24"/>
                <w:szCs w:val="24"/>
                <w:highlight w:val="none"/>
                <w:lang w:val="en-US" w:eastAsia="zh-CN"/>
              </w:rPr>
              <w:t>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134" w:type="dxa"/>
            <w:vAlign w:val="center"/>
          </w:tcPr>
          <w:p>
            <w:pPr>
              <w:spacing w:line="360" w:lineRule="auto"/>
              <w:rPr>
                <w:rFonts w:hint="eastAsia" w:ascii="宋体" w:hAnsi="宋体" w:eastAsia="宋体" w:cs="宋体"/>
                <w:color w:val="auto"/>
                <w:spacing w:val="-1"/>
                <w:kern w:val="0"/>
                <w:sz w:val="24"/>
                <w:szCs w:val="24"/>
                <w:highlight w:val="none"/>
              </w:rPr>
            </w:pPr>
          </w:p>
        </w:tc>
        <w:tc>
          <w:tcPr>
            <w:tcW w:w="2658"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lang w:eastAsia="zh-CN"/>
              </w:rPr>
            </w:pPr>
            <w:r>
              <w:rPr>
                <w:rFonts w:hint="eastAsia" w:ascii="宋体" w:hAnsi="宋体" w:cs="宋体"/>
                <w:color w:val="auto"/>
                <w:spacing w:val="-1"/>
                <w:kern w:val="0"/>
                <w:sz w:val="24"/>
                <w:szCs w:val="24"/>
                <w:highlight w:val="none"/>
                <w:lang w:val="en-US" w:eastAsia="zh-CN"/>
              </w:rPr>
              <w:t>8</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134" w:type="dxa"/>
            <w:vAlign w:val="center"/>
          </w:tcPr>
          <w:p>
            <w:pPr>
              <w:spacing w:line="360" w:lineRule="auto"/>
              <w:rPr>
                <w:rFonts w:hint="eastAsia" w:ascii="宋体" w:hAnsi="宋体" w:eastAsia="宋体" w:cs="宋体"/>
                <w:color w:val="auto"/>
                <w:spacing w:val="-1"/>
                <w:kern w:val="0"/>
                <w:sz w:val="24"/>
                <w:szCs w:val="24"/>
                <w:highlight w:val="none"/>
              </w:rPr>
            </w:pPr>
          </w:p>
        </w:tc>
        <w:tc>
          <w:tcPr>
            <w:tcW w:w="2658"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default" w:ascii="宋体" w:hAnsi="宋体" w:eastAsia="宋体" w:cs="宋体"/>
                <w:color w:val="auto"/>
                <w:spacing w:val="-1"/>
                <w:kern w:val="0"/>
                <w:sz w:val="24"/>
                <w:szCs w:val="24"/>
                <w:highlight w:val="none"/>
                <w:lang w:val="en-US" w:eastAsia="zh-CN"/>
              </w:rPr>
            </w:pPr>
            <w:r>
              <w:rPr>
                <w:rFonts w:hint="eastAsia" w:ascii="宋体" w:hAnsi="宋体" w:cs="宋体"/>
                <w:color w:val="auto"/>
                <w:spacing w:val="-1"/>
                <w:kern w:val="0"/>
                <w:sz w:val="24"/>
                <w:szCs w:val="24"/>
                <w:highlight w:val="none"/>
                <w:lang w:val="en-US" w:eastAsia="zh-CN"/>
              </w:rPr>
              <w:t>9</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134" w:type="dxa"/>
            <w:vAlign w:val="center"/>
          </w:tcPr>
          <w:p>
            <w:pPr>
              <w:spacing w:line="360" w:lineRule="auto"/>
              <w:rPr>
                <w:rFonts w:hint="eastAsia" w:ascii="宋体" w:hAnsi="宋体" w:eastAsia="宋体" w:cs="宋体"/>
                <w:color w:val="auto"/>
                <w:spacing w:val="-1"/>
                <w:kern w:val="0"/>
                <w:sz w:val="24"/>
                <w:szCs w:val="24"/>
                <w:highlight w:val="none"/>
              </w:rPr>
            </w:pPr>
          </w:p>
        </w:tc>
        <w:tc>
          <w:tcPr>
            <w:tcW w:w="2658" w:type="dxa"/>
            <w:vAlign w:val="center"/>
          </w:tcPr>
          <w:p>
            <w:pPr>
              <w:spacing w:line="360" w:lineRule="auto"/>
              <w:rPr>
                <w:rFonts w:hint="eastAsia" w:ascii="宋体" w:hAnsi="宋体" w:eastAsia="宋体" w:cs="宋体"/>
                <w:color w:val="auto"/>
                <w:spacing w:val="-1"/>
                <w:kern w:val="0"/>
                <w:sz w:val="24"/>
                <w:szCs w:val="24"/>
                <w:highlight w:val="none"/>
              </w:rPr>
            </w:pPr>
          </w:p>
        </w:tc>
      </w:tr>
    </w:tbl>
    <w:p>
      <w:pPr>
        <w:spacing w:line="360" w:lineRule="auto"/>
        <w:rPr>
          <w:rFonts w:hint="eastAsia" w:ascii="宋体" w:hAnsi="宋体" w:eastAsia="宋体" w:cs="宋体"/>
          <w:color w:val="auto"/>
          <w:spacing w:val="-1"/>
          <w:kern w:val="0"/>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1"/>
          <w:kern w:val="0"/>
          <w:sz w:val="24"/>
          <w:szCs w:val="24"/>
          <w:highlight w:val="none"/>
        </w:rPr>
        <w:t>注：请在“偏离说明”栏内扼要说明偏离情况，如无偏离则不需列明。</w:t>
      </w:r>
    </w:p>
    <w:p>
      <w:pPr>
        <w:pStyle w:val="13"/>
        <w:tabs>
          <w:tab w:val="left" w:pos="6736"/>
        </w:tabs>
        <w:kinsoku w:val="0"/>
        <w:overflowPunct w:val="0"/>
        <w:spacing w:before="26" w:line="360" w:lineRule="auto"/>
        <w:ind w:right="1526" w:firstLine="3927" w:firstLineChars="1650"/>
        <w:rPr>
          <w:rFonts w:hint="eastAsia" w:ascii="宋体" w:hAnsi="宋体" w:eastAsia="宋体" w:cs="宋体"/>
          <w:color w:val="auto"/>
          <w:spacing w:val="23"/>
          <w:sz w:val="24"/>
          <w:szCs w:val="24"/>
          <w:highlight w:val="none"/>
        </w:rPr>
      </w:pPr>
      <w:r>
        <w:rPr>
          <w:rFonts w:hint="eastAsia" w:ascii="宋体" w:hAnsi="宋体" w:eastAsia="宋体" w:cs="宋体"/>
          <w:color w:val="auto"/>
          <w:spacing w:val="-1"/>
          <w:sz w:val="24"/>
          <w:szCs w:val="24"/>
          <w:highlight w:val="none"/>
        </w:rPr>
        <w:t>供应商：</w:t>
      </w:r>
      <w:r>
        <w:rPr>
          <w:rFonts w:hint="eastAsia" w:ascii="宋体" w:hAnsi="宋体" w:eastAsia="宋体" w:cs="宋体"/>
          <w:color w:val="auto"/>
          <w:sz w:val="24"/>
          <w:szCs w:val="24"/>
          <w:highlight w:val="none"/>
          <w:u w:val="single"/>
        </w:rPr>
        <w:t>（公章）</w:t>
      </w:r>
    </w:p>
    <w:p>
      <w:pPr>
        <w:pStyle w:val="13"/>
        <w:tabs>
          <w:tab w:val="left" w:pos="6736"/>
        </w:tabs>
        <w:kinsoku w:val="0"/>
        <w:overflowPunct w:val="0"/>
        <w:spacing w:before="26" w:line="360" w:lineRule="auto"/>
        <w:ind w:right="1526" w:firstLine="2499" w:firstLineChars="105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w:t>
      </w:r>
      <w:r>
        <w:rPr>
          <w:rFonts w:hint="eastAsia" w:ascii="宋体" w:hAnsi="宋体" w:eastAsia="宋体" w:cs="宋体"/>
          <w:color w:val="auto"/>
          <w:spacing w:val="-1"/>
          <w:sz w:val="24"/>
          <w:szCs w:val="24"/>
          <w:highlight w:val="none"/>
          <w:lang w:val="en-US" w:eastAsia="zh-CN"/>
        </w:rPr>
        <w:t>或</w:t>
      </w:r>
      <w:r>
        <w:rPr>
          <w:rFonts w:hint="eastAsia" w:ascii="宋体" w:hAnsi="宋体" w:eastAsia="宋体" w:cs="宋体"/>
          <w:color w:val="auto"/>
          <w:spacing w:val="-1"/>
          <w:sz w:val="24"/>
          <w:szCs w:val="24"/>
          <w:highlight w:val="none"/>
        </w:rPr>
        <w:t>委托人：</w:t>
      </w:r>
      <w:r>
        <w:rPr>
          <w:rFonts w:hint="eastAsia" w:ascii="宋体" w:hAnsi="宋体" w:eastAsia="宋体" w:cs="宋体"/>
          <w:color w:val="auto"/>
          <w:sz w:val="24"/>
          <w:szCs w:val="24"/>
          <w:highlight w:val="none"/>
          <w:u w:val="single"/>
        </w:rPr>
        <w:t>（签字</w:t>
      </w:r>
      <w:r>
        <w:rPr>
          <w:rFonts w:hint="eastAsia" w:ascii="宋体" w:hAnsi="宋体" w:eastAsia="宋体" w:cs="宋体"/>
          <w:color w:val="auto"/>
          <w:sz w:val="24"/>
          <w:szCs w:val="24"/>
          <w:highlight w:val="none"/>
          <w:u w:val="single"/>
          <w:lang w:val="en-US" w:eastAsia="zh-CN"/>
        </w:rPr>
        <w:t>或盖章</w:t>
      </w:r>
      <w:r>
        <w:rPr>
          <w:rFonts w:hint="eastAsia" w:ascii="宋体" w:hAnsi="宋体" w:eastAsia="宋体" w:cs="宋体"/>
          <w:color w:val="auto"/>
          <w:sz w:val="24"/>
          <w:szCs w:val="24"/>
          <w:highlight w:val="none"/>
          <w:u w:val="single"/>
        </w:rPr>
        <w:t>）</w:t>
      </w:r>
    </w:p>
    <w:p>
      <w:pPr>
        <w:pStyle w:val="13"/>
        <w:kinsoku w:val="0"/>
        <w:overflowPunct w:val="0"/>
        <w:spacing w:before="11" w:line="360" w:lineRule="auto"/>
        <w:ind w:left="0"/>
        <w:rPr>
          <w:rFonts w:hint="eastAsia" w:ascii="宋体" w:hAnsi="宋体" w:eastAsia="宋体" w:cs="宋体"/>
          <w:color w:val="auto"/>
          <w:sz w:val="24"/>
          <w:szCs w:val="24"/>
          <w:highlight w:val="none"/>
        </w:rPr>
      </w:pPr>
    </w:p>
    <w:p>
      <w:pPr>
        <w:pStyle w:val="13"/>
        <w:tabs>
          <w:tab w:val="left" w:pos="5418"/>
          <w:tab w:val="left" w:pos="6258"/>
          <w:tab w:val="left" w:pos="7098"/>
        </w:tabs>
        <w:kinsoku w:val="0"/>
        <w:overflowPunct w:val="0"/>
        <w:spacing w:before="26" w:line="360" w:lineRule="auto"/>
        <w:ind w:left="4697"/>
        <w:rPr>
          <w:rFonts w:hAnsi="仿宋"/>
          <w:color w:val="auto"/>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pacing w:val="-1"/>
          <w:sz w:val="24"/>
          <w:szCs w:val="24"/>
          <w:highlight w:val="none"/>
        </w:rPr>
        <w:t>年</w:t>
      </w:r>
      <w:r>
        <w:rPr>
          <w:rFonts w:hint="eastAsia" w:ascii="宋体" w:hAnsi="宋体" w:eastAsia="宋体" w:cs="宋体"/>
          <w:color w:val="auto"/>
          <w:spacing w:val="-1"/>
          <w:sz w:val="24"/>
          <w:szCs w:val="24"/>
          <w:highlight w:val="none"/>
          <w:u w:val="single"/>
        </w:rPr>
        <w:tab/>
      </w:r>
      <w:r>
        <w:rPr>
          <w:rFonts w:hint="eastAsia" w:ascii="宋体" w:hAnsi="宋体" w:eastAsia="宋体" w:cs="宋体"/>
          <w:color w:val="auto"/>
          <w:spacing w:val="-1"/>
          <w:sz w:val="24"/>
          <w:szCs w:val="24"/>
          <w:highlight w:val="none"/>
        </w:rPr>
        <w:t>月</w:t>
      </w:r>
      <w:r>
        <w:rPr>
          <w:rFonts w:hint="eastAsia" w:ascii="宋体" w:hAnsi="宋体" w:eastAsia="宋体" w:cs="宋体"/>
          <w:color w:val="auto"/>
          <w:spacing w:val="-1"/>
          <w:sz w:val="24"/>
          <w:szCs w:val="24"/>
          <w:highlight w:val="none"/>
          <w:u w:val="single"/>
        </w:rPr>
        <w:tab/>
      </w:r>
      <w:r>
        <w:rPr>
          <w:rFonts w:hint="eastAsia" w:ascii="宋体" w:hAnsi="宋体" w:eastAsia="宋体" w:cs="宋体"/>
          <w:color w:val="auto"/>
          <w:sz w:val="24"/>
          <w:szCs w:val="24"/>
          <w:highlight w:val="none"/>
        </w:rPr>
        <w:t>日</w:t>
      </w:r>
    </w:p>
    <w:p>
      <w:pPr>
        <w:pStyle w:val="13"/>
        <w:tabs>
          <w:tab w:val="left" w:pos="5158"/>
          <w:tab w:val="left" w:pos="5998"/>
          <w:tab w:val="left" w:pos="6838"/>
        </w:tabs>
        <w:kinsoku w:val="0"/>
        <w:overflowPunct w:val="0"/>
        <w:spacing w:before="26" w:line="360" w:lineRule="auto"/>
        <w:ind w:left="4437" w:right="118"/>
        <w:rPr>
          <w:rFonts w:hAnsi="仿宋"/>
          <w:color w:val="auto"/>
          <w:highlight w:val="none"/>
        </w:rPr>
      </w:pPr>
      <w:r>
        <w:rPr>
          <w:rFonts w:hint="eastAsia" w:hAnsi="仿宋" w:cs="仿宋"/>
          <w:color w:val="auto"/>
          <w:highlight w:val="none"/>
        </w:rPr>
        <w:br w:type="page"/>
      </w:r>
    </w:p>
    <w:p>
      <w:pPr>
        <w:spacing w:line="360" w:lineRule="auto"/>
        <w:rPr>
          <w:rFonts w:hint="eastAsia"/>
          <w:b/>
          <w:color w:val="auto"/>
          <w:sz w:val="32"/>
          <w:szCs w:val="32"/>
          <w:highlight w:val="none"/>
        </w:rPr>
      </w:pPr>
      <w:r>
        <w:rPr>
          <w:rFonts w:hint="eastAsia" w:ascii="宋体" w:hAnsi="宋体" w:eastAsia="宋体" w:cs="宋体"/>
          <w:color w:val="auto"/>
          <w:kern w:val="0"/>
          <w:sz w:val="24"/>
          <w:szCs w:val="24"/>
          <w:highlight w:val="none"/>
        </w:rPr>
        <w:t xml:space="preserve">                 </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w:t>
      </w:r>
      <w:r>
        <w:rPr>
          <w:rFonts w:hint="eastAsia" w:eastAsia="宋体"/>
          <w:b/>
          <w:color w:val="auto"/>
          <w:sz w:val="32"/>
          <w:szCs w:val="32"/>
          <w:highlight w:val="none"/>
          <w:lang w:val="en-US" w:eastAsia="zh-CN"/>
        </w:rPr>
        <w:t>九、</w:t>
      </w:r>
      <w:r>
        <w:rPr>
          <w:rFonts w:hint="eastAsia"/>
          <w:b/>
          <w:color w:val="auto"/>
          <w:sz w:val="32"/>
          <w:szCs w:val="32"/>
          <w:highlight w:val="none"/>
        </w:rPr>
        <w:t>中小企业声明函(服务)</w:t>
      </w:r>
    </w:p>
    <w:p>
      <w:pPr>
        <w:pStyle w:val="2"/>
        <w:widowControl w:val="0"/>
        <w:numPr>
          <w:ilvl w:val="0"/>
          <w:numId w:val="0"/>
        </w:numPr>
        <w:spacing w:line="240" w:lineRule="auto"/>
        <w:jc w:val="both"/>
        <w:rPr>
          <w:rFonts w:hint="eastAsia"/>
          <w:color w:val="auto"/>
          <w:highlight w:val="none"/>
        </w:rPr>
      </w:pPr>
    </w:p>
    <w:p>
      <w:pPr>
        <w:rPr>
          <w:rFonts w:hint="eastAsia"/>
          <w:color w:val="auto"/>
          <w:highlight w:val="none"/>
        </w:rPr>
      </w:pPr>
    </w:p>
    <w:p>
      <w:pPr>
        <w:spacing w:line="360" w:lineRule="auto"/>
        <w:ind w:firstLine="720" w:firstLineChars="300"/>
        <w:rPr>
          <w:rFonts w:hint="eastAsia" w:hAnsi="宋体"/>
          <w:color w:val="auto"/>
          <w:kern w:val="0"/>
          <w:sz w:val="24"/>
          <w:szCs w:val="24"/>
          <w:highlight w:val="none"/>
        </w:rPr>
      </w:pPr>
      <w:r>
        <w:rPr>
          <w:rFonts w:hint="eastAsia" w:hAnsi="宋体"/>
          <w:color w:val="auto"/>
          <w:kern w:val="0"/>
          <w:sz w:val="24"/>
          <w:szCs w:val="24"/>
          <w:highlight w:val="none"/>
        </w:rPr>
        <w:t>本公司郑重声明，根据《政府采购促进中小企业发展管理办法》（财库[2020]46号）的规定，本公司参加</w:t>
      </w:r>
      <w:r>
        <w:rPr>
          <w:rFonts w:hint="eastAsia" w:hAnsi="宋体"/>
          <w:color w:val="auto"/>
          <w:kern w:val="0"/>
          <w:sz w:val="24"/>
          <w:szCs w:val="24"/>
          <w:highlight w:val="none"/>
          <w:u w:val="single"/>
        </w:rPr>
        <w:t>（单位名称）</w:t>
      </w:r>
      <w:r>
        <w:rPr>
          <w:rFonts w:hint="eastAsia" w:hAnsi="宋体"/>
          <w:color w:val="auto"/>
          <w:kern w:val="0"/>
          <w:sz w:val="24"/>
          <w:szCs w:val="24"/>
          <w:highlight w:val="none"/>
        </w:rPr>
        <w:t>的</w:t>
      </w:r>
      <w:r>
        <w:rPr>
          <w:rFonts w:hint="eastAsia" w:hAnsi="宋体"/>
          <w:color w:val="auto"/>
          <w:kern w:val="0"/>
          <w:sz w:val="24"/>
          <w:szCs w:val="24"/>
          <w:highlight w:val="none"/>
          <w:u w:val="single"/>
        </w:rPr>
        <w:t>（项目名称）</w:t>
      </w:r>
      <w:r>
        <w:rPr>
          <w:rFonts w:hint="eastAsia" w:hAnsi="宋体"/>
          <w:color w:val="auto"/>
          <w:kern w:val="0"/>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720" w:firstLineChars="300"/>
        <w:rPr>
          <w:rFonts w:hint="eastAsia" w:hAnsi="宋体"/>
          <w:color w:val="auto"/>
          <w:kern w:val="0"/>
          <w:sz w:val="24"/>
          <w:szCs w:val="24"/>
          <w:highlight w:val="none"/>
        </w:rPr>
      </w:pPr>
      <w:r>
        <w:rPr>
          <w:rFonts w:hint="eastAsia" w:hAnsi="宋体"/>
          <w:color w:val="auto"/>
          <w:kern w:val="0"/>
          <w:sz w:val="24"/>
          <w:szCs w:val="24"/>
          <w:highlight w:val="none"/>
        </w:rPr>
        <w:t>1.</w:t>
      </w:r>
      <w:r>
        <w:rPr>
          <w:rFonts w:hint="eastAsia" w:hAnsi="宋体"/>
          <w:color w:val="auto"/>
          <w:kern w:val="0"/>
          <w:sz w:val="24"/>
          <w:szCs w:val="24"/>
          <w:highlight w:val="none"/>
          <w:u w:val="single"/>
        </w:rPr>
        <w:t>（标的名称）</w:t>
      </w:r>
      <w:r>
        <w:rPr>
          <w:rFonts w:hint="eastAsia" w:hAnsi="宋体"/>
          <w:color w:val="auto"/>
          <w:kern w:val="0"/>
          <w:sz w:val="24"/>
          <w:szCs w:val="24"/>
          <w:highlight w:val="none"/>
        </w:rPr>
        <w:t>，属于</w:t>
      </w:r>
      <w:r>
        <w:rPr>
          <w:rFonts w:hint="eastAsia" w:hAnsi="宋体"/>
          <w:color w:val="auto"/>
          <w:kern w:val="0"/>
          <w:sz w:val="24"/>
          <w:szCs w:val="24"/>
          <w:highlight w:val="none"/>
          <w:u w:val="single"/>
        </w:rPr>
        <w:t>（采购文件中明确的所属行业）</w:t>
      </w:r>
      <w:r>
        <w:rPr>
          <w:rFonts w:hint="eastAsia" w:hAnsi="宋体"/>
          <w:color w:val="auto"/>
          <w:kern w:val="0"/>
          <w:sz w:val="24"/>
          <w:szCs w:val="24"/>
          <w:highlight w:val="none"/>
        </w:rPr>
        <w:t>；承建（承接）企业为</w:t>
      </w:r>
      <w:r>
        <w:rPr>
          <w:rFonts w:hint="eastAsia" w:hAnsi="宋体"/>
          <w:color w:val="auto"/>
          <w:kern w:val="0"/>
          <w:sz w:val="24"/>
          <w:szCs w:val="24"/>
          <w:highlight w:val="none"/>
          <w:u w:val="single"/>
        </w:rPr>
        <w:t>（企业名称）</w:t>
      </w:r>
      <w:r>
        <w:rPr>
          <w:rFonts w:hint="eastAsia" w:hAnsi="宋体"/>
          <w:color w:val="auto"/>
          <w:kern w:val="0"/>
          <w:sz w:val="24"/>
          <w:szCs w:val="24"/>
          <w:highlight w:val="none"/>
        </w:rPr>
        <w:t>，从业人员</w:t>
      </w:r>
      <w:r>
        <w:rPr>
          <w:rFonts w:hint="eastAsia" w:hAnsi="宋体"/>
          <w:color w:val="auto"/>
          <w:kern w:val="0"/>
          <w:sz w:val="24"/>
          <w:szCs w:val="24"/>
          <w:highlight w:val="none"/>
          <w:u w:val="single"/>
        </w:rPr>
        <w:t xml:space="preserve">  </w:t>
      </w:r>
      <w:r>
        <w:rPr>
          <w:rFonts w:hint="eastAsia" w:hAnsi="宋体"/>
          <w:color w:val="auto"/>
          <w:kern w:val="0"/>
          <w:sz w:val="24"/>
          <w:szCs w:val="24"/>
          <w:highlight w:val="none"/>
        </w:rPr>
        <w:t>人，营业收入为</w:t>
      </w:r>
      <w:r>
        <w:rPr>
          <w:rFonts w:hint="eastAsia" w:hAnsi="宋体"/>
          <w:color w:val="auto"/>
          <w:kern w:val="0"/>
          <w:sz w:val="24"/>
          <w:szCs w:val="24"/>
          <w:highlight w:val="none"/>
          <w:u w:val="single"/>
        </w:rPr>
        <w:t xml:space="preserve">  </w:t>
      </w:r>
      <w:r>
        <w:rPr>
          <w:rFonts w:hint="eastAsia" w:hAnsi="宋体"/>
          <w:color w:val="auto"/>
          <w:kern w:val="0"/>
          <w:sz w:val="24"/>
          <w:szCs w:val="24"/>
          <w:highlight w:val="none"/>
        </w:rPr>
        <w:t>万元，资产总额为</w:t>
      </w:r>
      <w:r>
        <w:rPr>
          <w:rFonts w:hint="eastAsia" w:hAnsi="宋体"/>
          <w:color w:val="auto"/>
          <w:kern w:val="0"/>
          <w:sz w:val="24"/>
          <w:szCs w:val="24"/>
          <w:highlight w:val="none"/>
          <w:u w:val="single"/>
        </w:rPr>
        <w:t xml:space="preserve">  </w:t>
      </w:r>
      <w:r>
        <w:rPr>
          <w:rFonts w:hint="eastAsia" w:hAnsi="宋体"/>
          <w:color w:val="auto"/>
          <w:kern w:val="0"/>
          <w:sz w:val="24"/>
          <w:szCs w:val="24"/>
          <w:highlight w:val="none"/>
        </w:rPr>
        <w:t>万元，属于</w:t>
      </w:r>
      <w:r>
        <w:rPr>
          <w:rFonts w:hint="eastAsia" w:hAnsi="宋体"/>
          <w:color w:val="auto"/>
          <w:kern w:val="0"/>
          <w:sz w:val="24"/>
          <w:szCs w:val="24"/>
          <w:highlight w:val="none"/>
          <w:u w:val="single"/>
        </w:rPr>
        <w:t>（中型企业、小型企业、微型企业）</w:t>
      </w:r>
      <w:r>
        <w:rPr>
          <w:rFonts w:hint="eastAsia" w:hAnsi="宋体"/>
          <w:color w:val="auto"/>
          <w:kern w:val="0"/>
          <w:sz w:val="24"/>
          <w:szCs w:val="24"/>
          <w:highlight w:val="none"/>
        </w:rPr>
        <w:t>；</w:t>
      </w:r>
    </w:p>
    <w:p>
      <w:pPr>
        <w:spacing w:line="360" w:lineRule="auto"/>
        <w:ind w:firstLine="720" w:firstLineChars="300"/>
        <w:rPr>
          <w:rFonts w:hint="eastAsia" w:hAnsi="宋体"/>
          <w:color w:val="auto"/>
          <w:kern w:val="0"/>
          <w:sz w:val="24"/>
          <w:szCs w:val="24"/>
          <w:highlight w:val="none"/>
        </w:rPr>
      </w:pPr>
      <w:r>
        <w:rPr>
          <w:rFonts w:hint="eastAsia" w:hAnsi="宋体"/>
          <w:color w:val="auto"/>
          <w:kern w:val="0"/>
          <w:sz w:val="24"/>
          <w:szCs w:val="24"/>
          <w:highlight w:val="none"/>
        </w:rPr>
        <w:t xml:space="preserve">2. </w:t>
      </w:r>
      <w:r>
        <w:rPr>
          <w:rFonts w:hint="eastAsia" w:hAnsi="宋体"/>
          <w:color w:val="auto"/>
          <w:kern w:val="0"/>
          <w:sz w:val="24"/>
          <w:szCs w:val="24"/>
          <w:highlight w:val="none"/>
          <w:u w:val="single"/>
        </w:rPr>
        <w:t>（标的名称）</w:t>
      </w:r>
      <w:r>
        <w:rPr>
          <w:rFonts w:hint="eastAsia" w:hAnsi="宋体"/>
          <w:color w:val="auto"/>
          <w:kern w:val="0"/>
          <w:sz w:val="24"/>
          <w:szCs w:val="24"/>
          <w:highlight w:val="none"/>
        </w:rPr>
        <w:t>，属于</w:t>
      </w:r>
      <w:r>
        <w:rPr>
          <w:rFonts w:hint="eastAsia" w:hAnsi="宋体"/>
          <w:color w:val="auto"/>
          <w:kern w:val="0"/>
          <w:sz w:val="24"/>
          <w:szCs w:val="24"/>
          <w:highlight w:val="none"/>
          <w:u w:val="single"/>
        </w:rPr>
        <w:t>（采购文件中明确的所属行业）</w:t>
      </w:r>
      <w:r>
        <w:rPr>
          <w:rFonts w:hint="eastAsia" w:hAnsi="宋体"/>
          <w:color w:val="auto"/>
          <w:kern w:val="0"/>
          <w:sz w:val="24"/>
          <w:szCs w:val="24"/>
          <w:highlight w:val="none"/>
        </w:rPr>
        <w:t>；承建（承接）企业为</w:t>
      </w:r>
      <w:r>
        <w:rPr>
          <w:rFonts w:hint="eastAsia" w:hAnsi="宋体"/>
          <w:color w:val="auto"/>
          <w:kern w:val="0"/>
          <w:sz w:val="24"/>
          <w:szCs w:val="24"/>
          <w:highlight w:val="none"/>
          <w:u w:val="single"/>
        </w:rPr>
        <w:t>（企业名称）</w:t>
      </w:r>
      <w:r>
        <w:rPr>
          <w:rFonts w:hint="eastAsia" w:hAnsi="宋体"/>
          <w:color w:val="auto"/>
          <w:kern w:val="0"/>
          <w:sz w:val="24"/>
          <w:szCs w:val="24"/>
          <w:highlight w:val="none"/>
        </w:rPr>
        <w:t>，从业人员</w:t>
      </w:r>
      <w:r>
        <w:rPr>
          <w:rFonts w:hint="eastAsia" w:hAnsi="宋体"/>
          <w:color w:val="auto"/>
          <w:kern w:val="0"/>
          <w:sz w:val="24"/>
          <w:szCs w:val="24"/>
          <w:highlight w:val="none"/>
          <w:u w:val="single"/>
        </w:rPr>
        <w:t xml:space="preserve">  </w:t>
      </w:r>
      <w:r>
        <w:rPr>
          <w:rFonts w:hint="eastAsia" w:hAnsi="宋体"/>
          <w:color w:val="auto"/>
          <w:kern w:val="0"/>
          <w:sz w:val="24"/>
          <w:szCs w:val="24"/>
          <w:highlight w:val="none"/>
        </w:rPr>
        <w:t>人，营业收入为</w:t>
      </w:r>
      <w:r>
        <w:rPr>
          <w:rFonts w:hint="eastAsia" w:hAnsi="宋体"/>
          <w:color w:val="auto"/>
          <w:kern w:val="0"/>
          <w:sz w:val="24"/>
          <w:szCs w:val="24"/>
          <w:highlight w:val="none"/>
          <w:u w:val="single"/>
        </w:rPr>
        <w:t xml:space="preserve">  </w:t>
      </w:r>
      <w:r>
        <w:rPr>
          <w:rFonts w:hint="eastAsia" w:hAnsi="宋体"/>
          <w:color w:val="auto"/>
          <w:kern w:val="0"/>
          <w:sz w:val="24"/>
          <w:szCs w:val="24"/>
          <w:highlight w:val="none"/>
        </w:rPr>
        <w:t>万元，资产总额为</w:t>
      </w:r>
      <w:r>
        <w:rPr>
          <w:rFonts w:hint="eastAsia" w:hAnsi="宋体"/>
          <w:color w:val="auto"/>
          <w:kern w:val="0"/>
          <w:sz w:val="24"/>
          <w:szCs w:val="24"/>
          <w:highlight w:val="none"/>
          <w:u w:val="single"/>
        </w:rPr>
        <w:t xml:space="preserve">  </w:t>
      </w:r>
      <w:r>
        <w:rPr>
          <w:rFonts w:hint="eastAsia" w:hAnsi="宋体"/>
          <w:color w:val="auto"/>
          <w:kern w:val="0"/>
          <w:sz w:val="24"/>
          <w:szCs w:val="24"/>
          <w:highlight w:val="none"/>
        </w:rPr>
        <w:t>万元，属于</w:t>
      </w:r>
      <w:r>
        <w:rPr>
          <w:rFonts w:hint="eastAsia" w:hAnsi="宋体"/>
          <w:color w:val="auto"/>
          <w:kern w:val="0"/>
          <w:sz w:val="24"/>
          <w:szCs w:val="24"/>
          <w:highlight w:val="none"/>
          <w:u w:val="single"/>
        </w:rPr>
        <w:t>（中型企业、小型企业、微型企业）</w:t>
      </w:r>
      <w:r>
        <w:rPr>
          <w:rFonts w:hint="eastAsia" w:hAnsi="宋体"/>
          <w:color w:val="auto"/>
          <w:kern w:val="0"/>
          <w:sz w:val="24"/>
          <w:szCs w:val="24"/>
          <w:highlight w:val="none"/>
        </w:rPr>
        <w:t>；</w:t>
      </w:r>
    </w:p>
    <w:p>
      <w:pPr>
        <w:spacing w:line="360" w:lineRule="auto"/>
        <w:ind w:firstLine="720" w:firstLineChars="300"/>
        <w:rPr>
          <w:rFonts w:hint="eastAsia" w:hAnsi="宋体"/>
          <w:color w:val="auto"/>
          <w:kern w:val="0"/>
          <w:sz w:val="24"/>
          <w:szCs w:val="24"/>
          <w:highlight w:val="none"/>
        </w:rPr>
      </w:pPr>
      <w:r>
        <w:rPr>
          <w:rFonts w:hint="eastAsia" w:hAnsi="宋体"/>
          <w:color w:val="auto"/>
          <w:kern w:val="0"/>
          <w:sz w:val="24"/>
          <w:szCs w:val="24"/>
          <w:highlight w:val="none"/>
        </w:rPr>
        <w:t>……</w:t>
      </w:r>
    </w:p>
    <w:p>
      <w:pPr>
        <w:spacing w:line="360" w:lineRule="auto"/>
        <w:ind w:firstLine="720" w:firstLineChars="300"/>
        <w:rPr>
          <w:rFonts w:hint="eastAsia" w:hAnsi="宋体"/>
          <w:color w:val="auto"/>
          <w:kern w:val="0"/>
          <w:sz w:val="24"/>
          <w:szCs w:val="24"/>
          <w:highlight w:val="none"/>
        </w:rPr>
      </w:pPr>
      <w:r>
        <w:rPr>
          <w:rFonts w:hint="eastAsia" w:hAnsi="宋体"/>
          <w:color w:val="auto"/>
          <w:kern w:val="0"/>
          <w:sz w:val="24"/>
          <w:szCs w:val="24"/>
          <w:highlight w:val="none"/>
        </w:rPr>
        <w:t>以上企业，不属于大企业的分支机构，不存在控股股东为大企业的情形，也不存在与大企业的负责人为同一人的情形。</w:t>
      </w:r>
    </w:p>
    <w:p>
      <w:pPr>
        <w:spacing w:line="360" w:lineRule="auto"/>
        <w:ind w:firstLine="720" w:firstLineChars="300"/>
        <w:rPr>
          <w:rFonts w:hint="eastAsia" w:hAnsi="宋体"/>
          <w:color w:val="auto"/>
          <w:kern w:val="0"/>
          <w:sz w:val="24"/>
          <w:szCs w:val="24"/>
          <w:highlight w:val="none"/>
        </w:rPr>
      </w:pPr>
      <w:r>
        <w:rPr>
          <w:rFonts w:hint="eastAsia" w:hAnsi="宋体"/>
          <w:color w:val="auto"/>
          <w:kern w:val="0"/>
          <w:sz w:val="24"/>
          <w:szCs w:val="24"/>
          <w:highlight w:val="none"/>
        </w:rPr>
        <w:t>本企业对上述声明内容的真实性负责。如有虚假，将依法承担相应责任。</w:t>
      </w:r>
    </w:p>
    <w:p>
      <w:pPr>
        <w:spacing w:line="360" w:lineRule="auto"/>
        <w:ind w:firstLine="720" w:firstLineChars="300"/>
        <w:rPr>
          <w:rFonts w:hint="eastAsia" w:hAnsi="宋体"/>
          <w:color w:val="auto"/>
          <w:kern w:val="0"/>
          <w:sz w:val="24"/>
          <w:szCs w:val="24"/>
          <w:highlight w:val="none"/>
        </w:rPr>
      </w:pPr>
      <w:r>
        <w:rPr>
          <w:rFonts w:hint="eastAsia" w:hAnsi="宋体"/>
          <w:color w:val="auto"/>
          <w:kern w:val="0"/>
          <w:sz w:val="24"/>
          <w:szCs w:val="24"/>
          <w:highlight w:val="none"/>
        </w:rPr>
        <w:t xml:space="preserve">                     </w:t>
      </w:r>
    </w:p>
    <w:p>
      <w:pPr>
        <w:spacing w:line="360" w:lineRule="auto"/>
        <w:ind w:firstLine="720" w:firstLineChars="300"/>
        <w:rPr>
          <w:rFonts w:hint="eastAsia" w:hAnsi="宋体"/>
          <w:color w:val="auto"/>
          <w:kern w:val="0"/>
          <w:sz w:val="24"/>
          <w:szCs w:val="24"/>
          <w:highlight w:val="none"/>
        </w:rPr>
      </w:pPr>
    </w:p>
    <w:p>
      <w:pPr>
        <w:spacing w:line="360" w:lineRule="auto"/>
        <w:ind w:firstLine="720" w:firstLineChars="300"/>
        <w:rPr>
          <w:rFonts w:hint="eastAsia" w:hAnsi="宋体"/>
          <w:color w:val="auto"/>
          <w:kern w:val="0"/>
          <w:sz w:val="24"/>
          <w:szCs w:val="24"/>
          <w:highlight w:val="none"/>
        </w:rPr>
      </w:pPr>
    </w:p>
    <w:p>
      <w:pPr>
        <w:spacing w:line="360" w:lineRule="auto"/>
        <w:ind w:firstLine="720" w:firstLineChars="300"/>
        <w:rPr>
          <w:rFonts w:hint="eastAsia" w:hAnsi="宋体"/>
          <w:color w:val="auto"/>
          <w:kern w:val="0"/>
          <w:sz w:val="24"/>
          <w:szCs w:val="24"/>
          <w:highlight w:val="none"/>
        </w:rPr>
      </w:pPr>
    </w:p>
    <w:p>
      <w:pPr>
        <w:spacing w:line="360" w:lineRule="auto"/>
        <w:ind w:firstLine="720" w:firstLineChars="300"/>
        <w:rPr>
          <w:rFonts w:hint="eastAsia" w:hAnsi="宋体"/>
          <w:color w:val="auto"/>
          <w:kern w:val="0"/>
          <w:sz w:val="24"/>
          <w:szCs w:val="24"/>
          <w:highlight w:val="none"/>
        </w:rPr>
      </w:pPr>
    </w:p>
    <w:p>
      <w:pPr>
        <w:spacing w:line="360" w:lineRule="auto"/>
        <w:ind w:firstLine="720" w:firstLineChars="300"/>
        <w:rPr>
          <w:rFonts w:hint="eastAsia" w:hAnsi="宋体"/>
          <w:color w:val="auto"/>
          <w:kern w:val="0"/>
          <w:sz w:val="24"/>
          <w:szCs w:val="24"/>
          <w:highlight w:val="none"/>
        </w:rPr>
      </w:pPr>
    </w:p>
    <w:p>
      <w:pPr>
        <w:spacing w:line="360" w:lineRule="auto"/>
        <w:ind w:firstLine="5520" w:firstLineChars="2300"/>
        <w:rPr>
          <w:rFonts w:hint="eastAsia" w:hAnsi="宋体"/>
          <w:color w:val="auto"/>
          <w:kern w:val="0"/>
          <w:sz w:val="24"/>
          <w:szCs w:val="24"/>
          <w:highlight w:val="none"/>
        </w:rPr>
      </w:pPr>
      <w:r>
        <w:rPr>
          <w:rFonts w:hint="eastAsia" w:hAnsi="宋体"/>
          <w:color w:val="auto"/>
          <w:kern w:val="0"/>
          <w:sz w:val="24"/>
          <w:szCs w:val="24"/>
          <w:highlight w:val="none"/>
        </w:rPr>
        <w:t xml:space="preserve"> 企业名称（盖章）：</w:t>
      </w:r>
    </w:p>
    <w:p>
      <w:pPr>
        <w:spacing w:line="360" w:lineRule="auto"/>
        <w:ind w:firstLine="720" w:firstLineChars="300"/>
        <w:rPr>
          <w:rFonts w:hint="eastAsia" w:hAnsi="宋体"/>
          <w:color w:val="auto"/>
          <w:kern w:val="0"/>
          <w:sz w:val="24"/>
          <w:szCs w:val="24"/>
          <w:highlight w:val="none"/>
        </w:rPr>
      </w:pPr>
      <w:r>
        <w:rPr>
          <w:rFonts w:hint="eastAsia" w:hAnsi="宋体"/>
          <w:color w:val="auto"/>
          <w:kern w:val="0"/>
          <w:sz w:val="24"/>
          <w:szCs w:val="24"/>
          <w:highlight w:val="none"/>
        </w:rPr>
        <w:t xml:space="preserve">                      </w:t>
      </w:r>
    </w:p>
    <w:p>
      <w:pPr>
        <w:spacing w:line="360" w:lineRule="auto"/>
        <w:ind w:firstLine="6960" w:firstLineChars="2900"/>
        <w:rPr>
          <w:rFonts w:hint="eastAsia" w:hAnsi="宋体"/>
          <w:color w:val="auto"/>
          <w:kern w:val="0"/>
          <w:sz w:val="24"/>
          <w:szCs w:val="24"/>
          <w:highlight w:val="none"/>
        </w:rPr>
      </w:pPr>
      <w:r>
        <w:rPr>
          <w:rFonts w:hint="eastAsia" w:hAnsi="宋体"/>
          <w:color w:val="auto"/>
          <w:kern w:val="0"/>
          <w:sz w:val="24"/>
          <w:szCs w:val="24"/>
          <w:highlight w:val="none"/>
        </w:rPr>
        <w:t>日期：</w:t>
      </w:r>
    </w:p>
    <w:p>
      <w:pPr>
        <w:adjustRightInd w:val="0"/>
        <w:snapToGrid w:val="0"/>
        <w:spacing w:line="360" w:lineRule="auto"/>
        <w:rPr>
          <w:rFonts w:hint="eastAsia" w:ascii="宋体" w:hAnsi="宋体"/>
          <w:b/>
          <w:color w:val="auto"/>
          <w:sz w:val="32"/>
          <w:szCs w:val="32"/>
          <w:highlight w:val="none"/>
        </w:rPr>
      </w:pPr>
    </w:p>
    <w:p>
      <w:pPr>
        <w:pStyle w:val="13"/>
        <w:kinsoku w:val="0"/>
        <w:overflowPunct w:val="0"/>
        <w:spacing w:before="34" w:line="360" w:lineRule="auto"/>
        <w:ind w:right="125"/>
        <w:jc w:val="both"/>
        <w:rPr>
          <w:rFonts w:hint="eastAsia" w:ascii="宋体" w:hAnsi="宋体"/>
          <w:bCs/>
          <w:color w:val="auto"/>
          <w:szCs w:val="21"/>
          <w:highlight w:val="none"/>
        </w:rPr>
      </w:pPr>
      <w:r>
        <w:rPr>
          <w:rFonts w:hint="eastAsia" w:ascii="宋体" w:hAnsi="宋体"/>
          <w:bCs/>
          <w:color w:val="auto"/>
          <w:szCs w:val="21"/>
          <w:highlight w:val="none"/>
        </w:rPr>
        <w:t>从业人员、营业收入、资产总额填报上一年度数据，无上一年度数据的新成立企业可不填报。</w:t>
      </w:r>
    </w:p>
    <w:p>
      <w:pPr>
        <w:pStyle w:val="13"/>
        <w:kinsoku w:val="0"/>
        <w:overflowPunct w:val="0"/>
        <w:spacing w:before="34" w:line="360" w:lineRule="auto"/>
        <w:ind w:left="0" w:right="125" w:firstLine="1680" w:firstLineChars="700"/>
        <w:jc w:val="both"/>
        <w:rPr>
          <w:rFonts w:hint="eastAsia" w:ascii="宋体" w:hAnsi="宋体"/>
          <w:bCs/>
          <w:color w:val="auto"/>
          <w:szCs w:val="21"/>
          <w:highlight w:val="none"/>
        </w:rPr>
      </w:pPr>
    </w:p>
    <w:p>
      <w:pPr>
        <w:pStyle w:val="13"/>
        <w:kinsoku w:val="0"/>
        <w:overflowPunct w:val="0"/>
        <w:spacing w:before="34" w:line="360" w:lineRule="auto"/>
        <w:ind w:left="0" w:right="125" w:firstLine="1680" w:firstLineChars="700"/>
        <w:jc w:val="both"/>
        <w:rPr>
          <w:rFonts w:hint="eastAsia" w:ascii="宋体" w:hAnsi="宋体"/>
          <w:bCs/>
          <w:color w:val="auto"/>
          <w:szCs w:val="21"/>
          <w:highlight w:val="none"/>
        </w:rPr>
      </w:pPr>
    </w:p>
    <w:p>
      <w:pPr>
        <w:pStyle w:val="13"/>
        <w:kinsoku w:val="0"/>
        <w:overflowPunct w:val="0"/>
        <w:spacing w:before="34" w:line="360" w:lineRule="auto"/>
        <w:ind w:left="0" w:right="125" w:firstLine="2530" w:firstLineChars="700"/>
        <w:jc w:val="both"/>
        <w:rPr>
          <w:rFonts w:hAnsi="仿宋"/>
          <w:b/>
          <w:bCs/>
          <w:color w:val="auto"/>
          <w:sz w:val="36"/>
          <w:szCs w:val="36"/>
          <w:highlight w:val="none"/>
        </w:rPr>
      </w:pPr>
      <w:r>
        <w:rPr>
          <w:rFonts w:hint="eastAsia" w:hAnsi="仿宋" w:cs="仿宋"/>
          <w:b/>
          <w:bCs/>
          <w:color w:val="auto"/>
          <w:sz w:val="36"/>
          <w:szCs w:val="36"/>
          <w:highlight w:val="none"/>
        </w:rPr>
        <w:t>十、其他商务资格证明资料</w:t>
      </w:r>
    </w:p>
    <w:p>
      <w:pPr>
        <w:pStyle w:val="13"/>
        <w:kinsoku w:val="0"/>
        <w:overflowPunct w:val="0"/>
        <w:spacing w:before="0" w:line="360" w:lineRule="auto"/>
        <w:ind w:left="0"/>
        <w:jc w:val="center"/>
        <w:rPr>
          <w:rFonts w:hint="eastAsia" w:ascii="宋体" w:hAnsi="宋体" w:eastAsia="宋体" w:cs="宋体"/>
          <w:color w:val="auto"/>
          <w:sz w:val="24"/>
          <w:szCs w:val="24"/>
          <w:highlight w:val="none"/>
        </w:rPr>
      </w:pPr>
      <w:r>
        <w:rPr>
          <w:rFonts w:hint="eastAsia" w:hAnsi="仿宋" w:cs="仿宋"/>
          <w:color w:val="auto"/>
          <w:highlight w:val="none"/>
        </w:rPr>
        <w:t xml:space="preserve"> </w:t>
      </w:r>
      <w:r>
        <w:rPr>
          <w:rFonts w:hint="eastAsia" w:hAnsi="仿宋" w:cs="仿宋"/>
          <w:color w:val="auto"/>
          <w:sz w:val="22"/>
          <w:szCs w:val="22"/>
          <w:highlight w:val="none"/>
        </w:rPr>
        <w:t xml:space="preserve"> </w:t>
      </w:r>
      <w:r>
        <w:rPr>
          <w:rFonts w:hint="eastAsia" w:ascii="宋体" w:hAnsi="宋体" w:eastAsia="宋体" w:cs="宋体"/>
          <w:color w:val="auto"/>
          <w:sz w:val="24"/>
          <w:szCs w:val="24"/>
          <w:highlight w:val="none"/>
        </w:rPr>
        <w:t>供应商认为需要提交的其他商务资格证明资料，</w:t>
      </w:r>
    </w:p>
    <w:p>
      <w:pPr>
        <w:pStyle w:val="13"/>
        <w:kinsoku w:val="0"/>
        <w:overflowPunct w:val="0"/>
        <w:spacing w:before="0" w:line="360" w:lineRule="auto"/>
        <w:ind w:left="0"/>
        <w:jc w:val="center"/>
        <w:rPr>
          <w:rFonts w:hAnsi="仿宋"/>
          <w:color w:val="auto"/>
          <w:highlight w:val="none"/>
        </w:rPr>
      </w:pPr>
      <w:r>
        <w:rPr>
          <w:rFonts w:hint="eastAsia" w:ascii="宋体" w:hAnsi="宋体" w:eastAsia="宋体" w:cs="宋体"/>
          <w:color w:val="auto"/>
          <w:sz w:val="24"/>
          <w:szCs w:val="24"/>
          <w:highlight w:val="none"/>
        </w:rPr>
        <w:t>包含但不限于第三章评标办法中商务部分审查内容，格式自拟。</w:t>
      </w:r>
      <w:r>
        <w:rPr>
          <w:rFonts w:hint="eastAsia" w:hAnsi="仿宋" w:cs="仿宋"/>
          <w:color w:val="auto"/>
          <w:highlight w:val="none"/>
        </w:rPr>
        <w:br w:type="page"/>
      </w:r>
    </w:p>
    <w:p>
      <w:pPr>
        <w:pStyle w:val="13"/>
        <w:kinsoku w:val="0"/>
        <w:overflowPunct w:val="0"/>
        <w:spacing w:before="0" w:line="360" w:lineRule="auto"/>
        <w:ind w:left="0"/>
        <w:jc w:val="center"/>
        <w:rPr>
          <w:rFonts w:hAnsi="仿宋"/>
          <w:color w:val="auto"/>
          <w:highlight w:val="none"/>
        </w:rPr>
      </w:pPr>
    </w:p>
    <w:p>
      <w:pPr>
        <w:pStyle w:val="13"/>
        <w:kinsoku w:val="0"/>
        <w:overflowPunct w:val="0"/>
        <w:spacing w:before="0" w:line="360" w:lineRule="auto"/>
        <w:ind w:left="0"/>
        <w:jc w:val="center"/>
        <w:rPr>
          <w:rFonts w:hAnsi="仿宋"/>
          <w:color w:val="auto"/>
          <w:highlight w:val="none"/>
        </w:rPr>
      </w:pPr>
    </w:p>
    <w:p>
      <w:pPr>
        <w:pStyle w:val="13"/>
        <w:kinsoku w:val="0"/>
        <w:overflowPunct w:val="0"/>
        <w:spacing w:before="0" w:line="360" w:lineRule="auto"/>
        <w:ind w:left="0"/>
        <w:jc w:val="center"/>
        <w:rPr>
          <w:rFonts w:hAnsi="仿宋"/>
          <w:color w:val="auto"/>
          <w:highlight w:val="none"/>
        </w:rPr>
      </w:pPr>
    </w:p>
    <w:p>
      <w:pPr>
        <w:pStyle w:val="13"/>
        <w:kinsoku w:val="0"/>
        <w:overflowPunct w:val="0"/>
        <w:spacing w:before="0" w:line="360" w:lineRule="auto"/>
        <w:ind w:left="0"/>
        <w:jc w:val="center"/>
        <w:rPr>
          <w:rFonts w:hAnsi="仿宋"/>
          <w:color w:val="auto"/>
          <w:highlight w:val="none"/>
        </w:rPr>
      </w:pPr>
    </w:p>
    <w:p>
      <w:pPr>
        <w:pStyle w:val="13"/>
        <w:kinsoku w:val="0"/>
        <w:overflowPunct w:val="0"/>
        <w:spacing w:before="0" w:line="360" w:lineRule="auto"/>
        <w:ind w:left="0"/>
        <w:jc w:val="center"/>
        <w:rPr>
          <w:rFonts w:hAnsi="仿宋"/>
          <w:color w:val="auto"/>
          <w:highlight w:val="none"/>
        </w:rPr>
      </w:pPr>
    </w:p>
    <w:p>
      <w:pPr>
        <w:pStyle w:val="13"/>
        <w:kinsoku w:val="0"/>
        <w:overflowPunct w:val="0"/>
        <w:spacing w:before="0" w:line="360" w:lineRule="auto"/>
        <w:ind w:left="0"/>
        <w:jc w:val="center"/>
        <w:rPr>
          <w:rFonts w:hAnsi="仿宋"/>
          <w:color w:val="auto"/>
          <w:highlight w:val="none"/>
        </w:rPr>
      </w:pPr>
    </w:p>
    <w:p>
      <w:pPr>
        <w:pStyle w:val="13"/>
        <w:kinsoku w:val="0"/>
        <w:overflowPunct w:val="0"/>
        <w:spacing w:before="0" w:line="360" w:lineRule="auto"/>
        <w:ind w:left="0"/>
        <w:jc w:val="center"/>
        <w:rPr>
          <w:rFonts w:hAnsi="仿宋"/>
          <w:color w:val="auto"/>
          <w:sz w:val="96"/>
          <w:szCs w:val="84"/>
          <w:highlight w:val="none"/>
        </w:rPr>
      </w:pPr>
      <w:r>
        <w:rPr>
          <w:rFonts w:hint="eastAsia" w:hAnsi="仿宋" w:cs="仿宋"/>
          <w:b/>
          <w:bCs/>
          <w:color w:val="auto"/>
          <w:spacing w:val="2"/>
          <w:sz w:val="96"/>
          <w:szCs w:val="84"/>
          <w:highlight w:val="none"/>
        </w:rPr>
        <w:t>（二）技术部分</w:t>
      </w:r>
    </w:p>
    <w:p>
      <w:pPr>
        <w:pStyle w:val="13"/>
        <w:kinsoku w:val="0"/>
        <w:overflowPunct w:val="0"/>
        <w:spacing w:before="34" w:line="360" w:lineRule="auto"/>
        <w:ind w:left="0" w:right="126"/>
        <w:jc w:val="center"/>
        <w:rPr>
          <w:rFonts w:hAnsi="仿宋"/>
          <w:b/>
          <w:bCs/>
          <w:color w:val="auto"/>
          <w:highlight w:val="none"/>
        </w:rPr>
      </w:pPr>
      <w:r>
        <w:rPr>
          <w:rFonts w:hint="eastAsia" w:hAnsi="仿宋" w:cs="仿宋"/>
          <w:color w:val="auto"/>
          <w:highlight w:val="none"/>
        </w:rPr>
        <w:br w:type="page"/>
      </w:r>
      <w:r>
        <w:rPr>
          <w:rFonts w:hint="eastAsia" w:hAnsi="仿宋" w:cs="仿宋"/>
          <w:b/>
          <w:bCs/>
          <w:color w:val="auto"/>
          <w:sz w:val="36"/>
          <w:szCs w:val="36"/>
          <w:highlight w:val="none"/>
        </w:rPr>
        <w:t>十</w:t>
      </w:r>
      <w:r>
        <w:rPr>
          <w:rFonts w:hint="eastAsia" w:hAnsi="仿宋" w:cs="仿宋"/>
          <w:b/>
          <w:bCs/>
          <w:color w:val="auto"/>
          <w:sz w:val="36"/>
          <w:szCs w:val="36"/>
          <w:highlight w:val="none"/>
          <w:lang w:val="en-US" w:eastAsia="zh-CN"/>
        </w:rPr>
        <w:t>一</w:t>
      </w:r>
      <w:r>
        <w:rPr>
          <w:rFonts w:hint="eastAsia" w:hAnsi="仿宋" w:cs="仿宋"/>
          <w:b/>
          <w:bCs/>
          <w:color w:val="auto"/>
          <w:sz w:val="36"/>
          <w:szCs w:val="36"/>
          <w:highlight w:val="none"/>
        </w:rPr>
        <w:t>、项目实施方案</w:t>
      </w: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3"/>
        <w:kinsoku w:val="0"/>
        <w:overflowPunct w:val="0"/>
        <w:spacing w:before="34" w:line="360" w:lineRule="auto"/>
        <w:ind w:left="0" w:right="126" w:firstLine="181" w:firstLineChars="50"/>
        <w:jc w:val="center"/>
        <w:rPr>
          <w:rFonts w:hAnsi="仿宋" w:cs="仿宋"/>
          <w:b/>
          <w:bCs/>
          <w:color w:val="auto"/>
          <w:sz w:val="36"/>
          <w:szCs w:val="36"/>
          <w:highlight w:val="none"/>
        </w:rPr>
      </w:pPr>
      <w:r>
        <w:rPr>
          <w:rFonts w:hint="eastAsia" w:hAnsi="仿宋" w:cs="仿宋"/>
          <w:b/>
          <w:bCs/>
          <w:color w:val="auto"/>
          <w:sz w:val="36"/>
          <w:szCs w:val="36"/>
          <w:highlight w:val="none"/>
        </w:rPr>
        <w:t>十</w:t>
      </w:r>
      <w:r>
        <w:rPr>
          <w:rFonts w:hint="eastAsia" w:hAnsi="仿宋" w:cs="仿宋"/>
          <w:b/>
          <w:bCs/>
          <w:color w:val="auto"/>
          <w:sz w:val="36"/>
          <w:szCs w:val="36"/>
          <w:highlight w:val="none"/>
          <w:lang w:val="en-US" w:eastAsia="zh-CN"/>
        </w:rPr>
        <w:t>二</w:t>
      </w:r>
      <w:r>
        <w:rPr>
          <w:rFonts w:hint="eastAsia" w:hAnsi="仿宋" w:cs="仿宋"/>
          <w:b/>
          <w:bCs/>
          <w:color w:val="auto"/>
          <w:sz w:val="36"/>
          <w:szCs w:val="36"/>
          <w:highlight w:val="none"/>
        </w:rPr>
        <w:t>、供应商认为需要提交的技术资料</w:t>
      </w:r>
    </w:p>
    <w:p>
      <w:pPr>
        <w:spacing w:line="360" w:lineRule="auto"/>
        <w:ind w:left="220" w:hanging="220" w:hangingChars="100"/>
        <w:rPr>
          <w:rFonts w:hint="eastAsia" w:hAnsi="仿宋" w:cs="仿宋"/>
          <w:color w:val="auto"/>
          <w:sz w:val="22"/>
          <w:highlight w:val="none"/>
        </w:rPr>
      </w:pPr>
      <w:r>
        <w:rPr>
          <w:rFonts w:hint="eastAsia" w:hAnsi="仿宋" w:cs="仿宋"/>
          <w:color w:val="auto"/>
          <w:sz w:val="22"/>
          <w:highlight w:val="none"/>
        </w:rPr>
        <w:t xml:space="preserve"> </w:t>
      </w:r>
      <w:r>
        <w:rPr>
          <w:rFonts w:hint="eastAsia" w:hAnsi="仿宋" w:cs="仿宋"/>
          <w:color w:val="auto"/>
          <w:sz w:val="24"/>
          <w:szCs w:val="24"/>
          <w:highlight w:val="none"/>
        </w:rPr>
        <w:t>供应商认为需要提交的其他的技术资料，包含但不限于第三章评标办法中技术部分审查内容，格式自拟。</w:t>
      </w: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pStyle w:val="2"/>
        <w:rPr>
          <w:rFonts w:hint="eastAsia"/>
          <w:color w:val="auto"/>
          <w:highlight w:val="none"/>
        </w:rPr>
      </w:pPr>
    </w:p>
    <w:p>
      <w:pPr>
        <w:rPr>
          <w:rFonts w:hint="eastAsia" w:hAnsi="仿宋" w:cs="仿宋"/>
          <w:color w:val="auto"/>
          <w:sz w:val="22"/>
          <w:highlight w:val="none"/>
        </w:rPr>
      </w:pPr>
    </w:p>
    <w:p>
      <w:pPr>
        <w:pStyle w:val="22"/>
        <w:rPr>
          <w:rFonts w:hint="eastAsia" w:hAnsi="仿宋" w:cs="仿宋"/>
          <w:color w:val="auto"/>
          <w:sz w:val="22"/>
          <w:highlight w:val="none"/>
        </w:rPr>
      </w:pPr>
    </w:p>
    <w:p>
      <w:pPr>
        <w:pStyle w:val="9"/>
        <w:rPr>
          <w:rFonts w:hint="eastAsia" w:hAnsi="仿宋" w:cs="仿宋"/>
          <w:color w:val="auto"/>
          <w:sz w:val="22"/>
          <w:highlight w:val="none"/>
        </w:rPr>
      </w:pPr>
    </w:p>
    <w:p>
      <w:pPr>
        <w:rPr>
          <w:rFonts w:hint="eastAsia" w:hAnsi="仿宋" w:cs="仿宋"/>
          <w:color w:val="auto"/>
          <w:sz w:val="22"/>
          <w:highlight w:val="none"/>
        </w:rPr>
      </w:pPr>
    </w:p>
    <w:p>
      <w:pPr>
        <w:autoSpaceDE w:val="0"/>
        <w:autoSpaceDN w:val="0"/>
        <w:adjustRightInd w:val="0"/>
        <w:jc w:val="center"/>
        <w:rPr>
          <w:rFonts w:ascii="宋体" w:hAnsi="Arial" w:cs="宋体"/>
          <w:b/>
          <w:bCs/>
          <w:color w:val="auto"/>
          <w:kern w:val="0"/>
          <w:sz w:val="32"/>
          <w:szCs w:val="32"/>
          <w:highlight w:val="none"/>
          <w:lang w:val="zh-CN"/>
        </w:rPr>
      </w:pPr>
      <w:r>
        <w:rPr>
          <w:rFonts w:hint="eastAsia" w:ascii="宋体" w:hAnsi="Arial" w:cs="宋体"/>
          <w:b/>
          <w:bCs/>
          <w:color w:val="auto"/>
          <w:kern w:val="0"/>
          <w:sz w:val="32"/>
          <w:szCs w:val="32"/>
          <w:highlight w:val="none"/>
          <w:lang w:val="zh-CN"/>
        </w:rPr>
        <w:t>最后报价一览表</w:t>
      </w:r>
    </w:p>
    <w:p>
      <w:pPr>
        <w:autoSpaceDE w:val="0"/>
        <w:autoSpaceDN w:val="0"/>
        <w:adjustRightInd w:val="0"/>
        <w:jc w:val="center"/>
        <w:rPr>
          <w:rFonts w:ascii="宋体" w:hAnsi="Arial" w:cs="宋体"/>
          <w:color w:val="auto"/>
          <w:kern w:val="0"/>
          <w:sz w:val="24"/>
          <w:highlight w:val="none"/>
          <w:lang w:val="zh-CN"/>
        </w:rPr>
      </w:pPr>
    </w:p>
    <w:p>
      <w:pPr>
        <w:spacing w:line="360" w:lineRule="exact"/>
        <w:rPr>
          <w:rFonts w:hint="eastAsia" w:ascii="FangSong_GB2312" w:hAnsi="宋体" w:eastAsia="FangSong_GB2312"/>
          <w:color w:val="auto"/>
          <w:sz w:val="24"/>
          <w:highlight w:val="none"/>
        </w:rPr>
      </w:pPr>
      <w:r>
        <w:rPr>
          <w:rFonts w:hint="eastAsia" w:ascii="FangSong_GB2312" w:hAnsi="宋体" w:eastAsia="FangSong_GB2312"/>
          <w:color w:val="auto"/>
          <w:sz w:val="24"/>
          <w:highlight w:val="none"/>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2195"/>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trPr>
        <w:tc>
          <w:tcPr>
            <w:tcW w:w="670" w:type="dxa"/>
            <w:tcBorders>
              <w:top w:val="single" w:color="000000" w:sz="2" w:space="0"/>
              <w:left w:val="single" w:color="000000" w:sz="2" w:space="0"/>
              <w:right w:val="single" w:color="000000" w:sz="2"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序号</w:t>
            </w:r>
          </w:p>
        </w:tc>
        <w:tc>
          <w:tcPr>
            <w:tcW w:w="2195" w:type="dxa"/>
            <w:tcBorders>
              <w:top w:val="single" w:color="000000" w:sz="2" w:space="0"/>
              <w:left w:val="single" w:color="auto" w:sz="4"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项目名称</w:t>
            </w:r>
          </w:p>
        </w:tc>
        <w:tc>
          <w:tcPr>
            <w:tcW w:w="6780" w:type="dxa"/>
            <w:tcBorders>
              <w:top w:val="single" w:color="000000" w:sz="2" w:space="0"/>
              <w:left w:val="single" w:color="auto" w:sz="4" w:space="0"/>
            </w:tcBorders>
            <w:noWrap w:val="0"/>
            <w:vAlign w:val="center"/>
          </w:tcPr>
          <w:p>
            <w:pPr>
              <w:jc w:val="left"/>
              <w:rPr>
                <w:rFonts w:hint="eastAsia" w:ascii="宋体" w:hAnsi="Arial" w:cs="宋体"/>
                <w:color w:val="auto"/>
                <w:kern w:val="0"/>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trPr>
        <w:tc>
          <w:tcPr>
            <w:tcW w:w="670" w:type="dxa"/>
            <w:vMerge w:val="restart"/>
            <w:tcBorders>
              <w:top w:val="single" w:color="auto" w:sz="4" w:space="0"/>
              <w:left w:val="single" w:color="000000" w:sz="2" w:space="0"/>
              <w:right w:val="single" w:color="000000" w:sz="2"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1</w:t>
            </w:r>
          </w:p>
        </w:tc>
        <w:tc>
          <w:tcPr>
            <w:tcW w:w="2195"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报价</w:t>
            </w:r>
          </w:p>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（币种：人民币）</w:t>
            </w:r>
          </w:p>
        </w:tc>
        <w:tc>
          <w:tcPr>
            <w:tcW w:w="6780" w:type="dxa"/>
            <w:tcBorders>
              <w:top w:val="single" w:color="auto" w:sz="4" w:space="0"/>
              <w:left w:val="single" w:color="auto" w:sz="4" w:space="0"/>
              <w:right w:val="single" w:color="000000" w:sz="2" w:space="0"/>
            </w:tcBorders>
            <w:noWrap w:val="0"/>
            <w:vAlign w:val="center"/>
          </w:tcPr>
          <w:p>
            <w:pPr>
              <w:jc w:val="left"/>
              <w:rPr>
                <w:rFonts w:ascii="宋体" w:hAnsi="Arial" w:cs="宋体"/>
                <w:color w:val="auto"/>
                <w:kern w:val="0"/>
                <w:sz w:val="24"/>
                <w:highlight w:val="none"/>
                <w:lang w:val="zh-CN"/>
              </w:rPr>
            </w:pPr>
            <w:r>
              <w:rPr>
                <w:rFonts w:hint="eastAsia" w:ascii="宋体" w:hAnsi="宋体" w:cs="宋体"/>
                <w:color w:val="auto"/>
                <w:kern w:val="0"/>
                <w:sz w:val="24"/>
                <w:highlight w:val="none"/>
                <w:lang w:val="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8" w:hRule="atLeast"/>
        </w:trPr>
        <w:tc>
          <w:tcPr>
            <w:tcW w:w="670" w:type="dxa"/>
            <w:vMerge w:val="continue"/>
            <w:tcBorders>
              <w:left w:val="single" w:color="000000" w:sz="2" w:space="0"/>
              <w:right w:val="single" w:color="000000" w:sz="2" w:space="0"/>
            </w:tcBorders>
            <w:noWrap w:val="0"/>
            <w:vAlign w:val="center"/>
          </w:tcPr>
          <w:p>
            <w:pPr>
              <w:jc w:val="center"/>
              <w:rPr>
                <w:rFonts w:hint="eastAsia" w:ascii="宋体" w:hAnsi="Arial" w:cs="宋体"/>
                <w:color w:val="auto"/>
                <w:kern w:val="0"/>
                <w:sz w:val="24"/>
                <w:highlight w:val="none"/>
                <w:lang w:val="zh-CN"/>
              </w:rPr>
            </w:pPr>
          </w:p>
        </w:tc>
        <w:tc>
          <w:tcPr>
            <w:tcW w:w="2195" w:type="dxa"/>
            <w:vMerge w:val="continue"/>
            <w:tcBorders>
              <w:left w:val="single" w:color="auto" w:sz="4" w:space="0"/>
              <w:right w:val="single" w:color="auto" w:sz="4" w:space="0"/>
            </w:tcBorders>
            <w:noWrap w:val="0"/>
            <w:vAlign w:val="center"/>
          </w:tcPr>
          <w:p>
            <w:pPr>
              <w:jc w:val="center"/>
              <w:rPr>
                <w:rFonts w:hint="eastAsia" w:ascii="宋体" w:hAnsi="Arial" w:cs="宋体"/>
                <w:color w:val="auto"/>
                <w:kern w:val="0"/>
                <w:sz w:val="24"/>
                <w:highlight w:val="none"/>
                <w:lang w:val="zh-CN"/>
              </w:rPr>
            </w:pPr>
          </w:p>
        </w:tc>
        <w:tc>
          <w:tcPr>
            <w:tcW w:w="6780" w:type="dxa"/>
            <w:tcBorders>
              <w:top w:val="single" w:color="auto" w:sz="4" w:space="0"/>
              <w:left w:val="single" w:color="auto" w:sz="4" w:space="0"/>
              <w:right w:val="single" w:color="000000" w:sz="2" w:space="0"/>
            </w:tcBorders>
            <w:noWrap w:val="0"/>
            <w:vAlign w:val="center"/>
          </w:tcPr>
          <w:p>
            <w:pPr>
              <w:jc w:val="left"/>
              <w:rPr>
                <w:rFonts w:ascii="宋体" w:hAnsi="Arial" w:cs="宋体"/>
                <w:color w:val="auto"/>
                <w:kern w:val="0"/>
                <w:sz w:val="24"/>
                <w:highlight w:val="none"/>
                <w:lang w:val="zh-CN"/>
              </w:rPr>
            </w:pPr>
            <w:r>
              <w:rPr>
                <w:rFonts w:hint="eastAsia" w:ascii="宋体" w:hAnsi="宋体" w:cs="宋体"/>
                <w:color w:val="auto"/>
                <w:kern w:val="0"/>
                <w:sz w:val="24"/>
                <w:highlight w:val="none"/>
                <w:lang w:val="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9" w:hRule="atLeast"/>
        </w:trPr>
        <w:tc>
          <w:tcPr>
            <w:tcW w:w="670" w:type="dxa"/>
            <w:tcBorders>
              <w:left w:val="single" w:color="000000" w:sz="2" w:space="0"/>
              <w:bottom w:val="single" w:color="000000" w:sz="2" w:space="0"/>
              <w:right w:val="single" w:color="000000" w:sz="2"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2</w:t>
            </w:r>
          </w:p>
        </w:tc>
        <w:tc>
          <w:tcPr>
            <w:tcW w:w="2195" w:type="dxa"/>
            <w:tcBorders>
              <w:top w:val="single" w:color="auto" w:sz="4" w:space="0"/>
              <w:left w:val="single" w:color="auto" w:sz="4" w:space="0"/>
              <w:bottom w:val="single" w:color="000000" w:sz="2" w:space="0"/>
              <w:right w:val="single" w:color="auto" w:sz="4"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合同履行期限</w:t>
            </w:r>
          </w:p>
        </w:tc>
        <w:tc>
          <w:tcPr>
            <w:tcW w:w="6780"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color w:val="auto"/>
                <w:kern w:val="0"/>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88" w:hRule="atLeast"/>
        </w:trPr>
        <w:tc>
          <w:tcPr>
            <w:tcW w:w="670" w:type="dxa"/>
            <w:tcBorders>
              <w:top w:val="single" w:color="auto" w:sz="4" w:space="0"/>
              <w:left w:val="single" w:color="000000" w:sz="2" w:space="0"/>
              <w:bottom w:val="single" w:color="000000" w:sz="2" w:space="0"/>
              <w:right w:val="single" w:color="000000" w:sz="2" w:space="0"/>
            </w:tcBorders>
            <w:noWrap w:val="0"/>
            <w:vAlign w:val="center"/>
          </w:tcPr>
          <w:p>
            <w:pPr>
              <w:jc w:val="center"/>
              <w:rPr>
                <w:rFonts w:ascii="宋体" w:hAnsi="Arial" w:cs="宋体"/>
                <w:color w:val="auto"/>
                <w:kern w:val="0"/>
                <w:sz w:val="24"/>
                <w:highlight w:val="none"/>
                <w:lang w:val="zh-CN"/>
              </w:rPr>
            </w:pPr>
            <w:r>
              <w:rPr>
                <w:rFonts w:hint="eastAsia" w:ascii="宋体" w:hAnsi="宋体" w:cs="宋体"/>
                <w:color w:val="auto"/>
                <w:kern w:val="0"/>
                <w:sz w:val="24"/>
                <w:highlight w:val="none"/>
                <w:lang w:val="zh-CN"/>
              </w:rPr>
              <w:t>3</w:t>
            </w:r>
          </w:p>
        </w:tc>
        <w:tc>
          <w:tcPr>
            <w:tcW w:w="2195" w:type="dxa"/>
            <w:tcBorders>
              <w:top w:val="single" w:color="auto" w:sz="4" w:space="0"/>
              <w:left w:val="single" w:color="auto" w:sz="4" w:space="0"/>
              <w:bottom w:val="single" w:color="000000" w:sz="2" w:space="0"/>
              <w:right w:val="single" w:color="000000" w:sz="2" w:space="0"/>
            </w:tcBorders>
            <w:noWrap w:val="0"/>
            <w:vAlign w:val="center"/>
          </w:tcPr>
          <w:p>
            <w:pPr>
              <w:jc w:val="center"/>
              <w:rPr>
                <w:rFonts w:hint="eastAsia"/>
                <w:color w:val="auto"/>
                <w:highlight w:val="none"/>
              </w:rPr>
            </w:pPr>
          </w:p>
          <w:p>
            <w:pPr>
              <w:pStyle w:val="2"/>
              <w:rPr>
                <w:rFonts w:hint="eastAsia"/>
                <w:color w:val="auto"/>
                <w:highlight w:val="none"/>
              </w:rPr>
            </w:pPr>
          </w:p>
        </w:tc>
        <w:tc>
          <w:tcPr>
            <w:tcW w:w="6780"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color w:val="auto"/>
                <w:kern w:val="0"/>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4" w:hRule="atLeast"/>
        </w:trPr>
        <w:tc>
          <w:tcPr>
            <w:tcW w:w="670" w:type="dxa"/>
            <w:tcBorders>
              <w:top w:val="single" w:color="auto" w:sz="4" w:space="0"/>
              <w:left w:val="single" w:color="000000" w:sz="2" w:space="0"/>
              <w:bottom w:val="single" w:color="000000" w:sz="2" w:space="0"/>
              <w:right w:val="single" w:color="000000" w:sz="2"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rPr>
              <w:t>4</w:t>
            </w:r>
          </w:p>
        </w:tc>
        <w:tc>
          <w:tcPr>
            <w:tcW w:w="2195" w:type="dxa"/>
            <w:tcBorders>
              <w:top w:val="single" w:color="auto" w:sz="4" w:space="0"/>
              <w:left w:val="single" w:color="auto" w:sz="4" w:space="0"/>
              <w:bottom w:val="single" w:color="000000" w:sz="2" w:space="0"/>
              <w:right w:val="single" w:color="000000" w:sz="2" w:space="0"/>
            </w:tcBorders>
            <w:noWrap w:val="0"/>
            <w:vAlign w:val="center"/>
          </w:tcPr>
          <w:p>
            <w:pPr>
              <w:jc w:val="center"/>
              <w:rPr>
                <w:rFonts w:hint="eastAsia" w:ascii="宋体" w:hAnsi="宋体" w:cs="宋体"/>
                <w:color w:val="auto"/>
                <w:sz w:val="24"/>
                <w:highlight w:val="none"/>
              </w:rPr>
            </w:pPr>
          </w:p>
        </w:tc>
        <w:tc>
          <w:tcPr>
            <w:tcW w:w="6780"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color w:val="auto"/>
                <w:kern w:val="0"/>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84" w:hRule="atLeast"/>
        </w:trPr>
        <w:tc>
          <w:tcPr>
            <w:tcW w:w="9645" w:type="dxa"/>
            <w:gridSpan w:val="3"/>
            <w:tcBorders>
              <w:top w:val="single" w:color="auto" w:sz="4" w:space="0"/>
              <w:left w:val="single" w:color="000000" w:sz="2" w:space="0"/>
              <w:bottom w:val="single" w:color="000000" w:sz="2" w:space="0"/>
              <w:right w:val="single" w:color="000000" w:sz="2" w:space="0"/>
            </w:tcBorders>
            <w:noWrap w:val="0"/>
            <w:vAlign w:val="center"/>
          </w:tcPr>
          <w:p>
            <w:pPr>
              <w:pStyle w:val="15"/>
              <w:ind w:firstLine="480" w:firstLineChars="200"/>
              <w:outlineLvl w:val="1"/>
              <w:rPr>
                <w:rFonts w:hint="eastAsia" w:hAnsi="Arial" w:cs="宋体"/>
                <w:color w:val="auto"/>
                <w:kern w:val="0"/>
                <w:sz w:val="24"/>
                <w:highlight w:val="none"/>
                <w:lang w:val="zh-CN"/>
              </w:rPr>
            </w:pPr>
            <w:r>
              <w:rPr>
                <w:rFonts w:hint="eastAsia" w:hAnsi="宋体" w:cs="宋体"/>
                <w:color w:val="auto"/>
                <w:kern w:val="0"/>
                <w:sz w:val="24"/>
                <w:szCs w:val="24"/>
                <w:highlight w:val="none"/>
                <w:lang w:val="zh-CN"/>
              </w:rPr>
              <w:t>备注：</w:t>
            </w:r>
          </w:p>
        </w:tc>
      </w:tr>
    </w:tbl>
    <w:p>
      <w:pPr>
        <w:spacing w:line="360" w:lineRule="exact"/>
        <w:rPr>
          <w:rFonts w:hint="eastAsia" w:ascii="宋体" w:hAnsi="Arial" w:cs="宋体"/>
          <w:color w:val="auto"/>
          <w:kern w:val="0"/>
          <w:sz w:val="24"/>
          <w:highlight w:val="none"/>
          <w:lang w:val="zh-CN"/>
        </w:rPr>
      </w:pPr>
    </w:p>
    <w:p>
      <w:pPr>
        <w:autoSpaceDE w:val="0"/>
        <w:autoSpaceDN w:val="0"/>
        <w:adjustRightInd w:val="0"/>
        <w:spacing w:line="360" w:lineRule="auto"/>
        <w:jc w:val="left"/>
        <w:rPr>
          <w:color w:val="auto"/>
          <w:kern w:val="0"/>
          <w:sz w:val="24"/>
          <w:highlight w:val="none"/>
        </w:rPr>
      </w:pPr>
      <w:r>
        <w:rPr>
          <w:rFonts w:hint="eastAsia" w:ascii="宋体" w:cs="宋体"/>
          <w:color w:val="auto"/>
          <w:kern w:val="0"/>
          <w:sz w:val="24"/>
          <w:highlight w:val="none"/>
          <w:lang w:val="zh-CN"/>
        </w:rPr>
        <w:t>供应商名称：</w:t>
      </w:r>
      <w:r>
        <w:rPr>
          <w:color w:val="auto"/>
          <w:kern w:val="0"/>
          <w:sz w:val="24"/>
          <w:highlight w:val="none"/>
          <w:u w:val="single"/>
        </w:rPr>
        <w:t xml:space="preserve">                       </w:t>
      </w:r>
      <w:r>
        <w:rPr>
          <w:rFonts w:hint="eastAsia"/>
          <w:color w:val="auto"/>
          <w:kern w:val="0"/>
          <w:sz w:val="24"/>
          <w:highlight w:val="none"/>
          <w:u w:val="single"/>
        </w:rPr>
        <w:t>（盖章）</w:t>
      </w:r>
      <w:r>
        <w:rPr>
          <w:color w:val="auto"/>
          <w:kern w:val="0"/>
          <w:sz w:val="24"/>
          <w:highlight w:val="none"/>
          <w:u w:val="single"/>
        </w:rPr>
        <w:t xml:space="preserve"> </w:t>
      </w:r>
    </w:p>
    <w:p>
      <w:pPr>
        <w:tabs>
          <w:tab w:val="left" w:pos="5580"/>
        </w:tabs>
        <w:autoSpaceDE w:val="0"/>
        <w:autoSpaceDN w:val="0"/>
        <w:adjustRightInd w:val="0"/>
        <w:spacing w:line="360" w:lineRule="auto"/>
        <w:jc w:val="left"/>
        <w:rPr>
          <w:rFonts w:hint="eastAsia"/>
          <w:color w:val="auto"/>
          <w:kern w:val="0"/>
          <w:sz w:val="24"/>
          <w:highlight w:val="none"/>
          <w:u w:val="single"/>
        </w:rPr>
      </w:pPr>
      <w:r>
        <w:rPr>
          <w:rFonts w:hint="eastAsia" w:ascii="宋体" w:cs="宋体"/>
          <w:color w:val="auto"/>
          <w:kern w:val="0"/>
          <w:sz w:val="24"/>
          <w:highlight w:val="none"/>
          <w:lang w:val="zh-CN"/>
        </w:rPr>
        <w:t>法定代表人</w:t>
      </w:r>
      <w:r>
        <w:rPr>
          <w:rFonts w:hint="eastAsia" w:ascii="宋体" w:cs="宋体"/>
          <w:color w:val="auto"/>
          <w:kern w:val="0"/>
          <w:sz w:val="24"/>
          <w:highlight w:val="none"/>
        </w:rPr>
        <w:t>：</w:t>
      </w:r>
      <w:r>
        <w:rPr>
          <w:rFonts w:hint="eastAsia" w:ascii="宋体" w:cs="宋体"/>
          <w:color w:val="auto"/>
          <w:kern w:val="0"/>
          <w:sz w:val="24"/>
          <w:highlight w:val="none"/>
          <w:u w:val="single"/>
        </w:rPr>
        <w:t xml:space="preserve">              </w:t>
      </w:r>
      <w:r>
        <w:rPr>
          <w:rFonts w:hint="eastAsia"/>
          <w:color w:val="auto"/>
          <w:kern w:val="0"/>
          <w:sz w:val="24"/>
          <w:highlight w:val="none"/>
          <w:u w:val="single"/>
        </w:rPr>
        <w:t>（</w:t>
      </w:r>
      <w:r>
        <w:rPr>
          <w:rFonts w:hint="eastAsia" w:ascii="宋体" w:cs="宋体"/>
          <w:color w:val="auto"/>
          <w:kern w:val="0"/>
          <w:sz w:val="24"/>
          <w:highlight w:val="none"/>
          <w:u w:val="single"/>
        </w:rPr>
        <w:t xml:space="preserve"> </w:t>
      </w:r>
      <w:r>
        <w:rPr>
          <w:rFonts w:hint="eastAsia"/>
          <w:color w:val="auto"/>
          <w:kern w:val="0"/>
          <w:sz w:val="24"/>
          <w:highlight w:val="none"/>
          <w:u w:val="single"/>
        </w:rPr>
        <w:t>签字或盖章）</w:t>
      </w:r>
      <w:r>
        <w:rPr>
          <w:color w:val="auto"/>
          <w:kern w:val="0"/>
          <w:sz w:val="24"/>
          <w:highlight w:val="none"/>
          <w:u w:val="single"/>
        </w:rPr>
        <w:t xml:space="preserve">   </w:t>
      </w:r>
    </w:p>
    <w:p>
      <w:pPr>
        <w:tabs>
          <w:tab w:val="left" w:pos="5580"/>
        </w:tabs>
        <w:autoSpaceDE w:val="0"/>
        <w:autoSpaceDN w:val="0"/>
        <w:adjustRightInd w:val="0"/>
        <w:spacing w:line="360" w:lineRule="auto"/>
        <w:jc w:val="left"/>
        <w:rPr>
          <w:rFonts w:ascii="宋体" w:cs="宋体"/>
          <w:color w:val="auto"/>
          <w:kern w:val="0"/>
          <w:sz w:val="24"/>
          <w:highlight w:val="none"/>
          <w:u w:val="single"/>
        </w:rPr>
      </w:pPr>
      <w:r>
        <w:rPr>
          <w:rFonts w:hint="eastAsia"/>
          <w:color w:val="auto"/>
          <w:kern w:val="0"/>
          <w:sz w:val="24"/>
          <w:highlight w:val="none"/>
        </w:rPr>
        <w:t xml:space="preserve">被授权人签字: </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  </w:t>
      </w:r>
    </w:p>
    <w:p>
      <w:pPr>
        <w:tabs>
          <w:tab w:val="left" w:pos="5580"/>
        </w:tabs>
        <w:autoSpaceDE w:val="0"/>
        <w:autoSpaceDN w:val="0"/>
        <w:adjustRightInd w:val="0"/>
        <w:ind w:left="630" w:hanging="630"/>
        <w:rPr>
          <w:rFonts w:hint="eastAsia" w:ascii="宋体" w:cs="宋体"/>
          <w:color w:val="auto"/>
          <w:kern w:val="0"/>
          <w:sz w:val="24"/>
          <w:highlight w:val="none"/>
          <w:lang w:val="zh-CN"/>
        </w:rPr>
      </w:pPr>
      <w:r>
        <w:rPr>
          <w:rFonts w:hint="eastAsia" w:ascii="宋体" w:cs="宋体"/>
          <w:color w:val="auto"/>
          <w:kern w:val="0"/>
          <w:sz w:val="24"/>
          <w:highlight w:val="none"/>
          <w:lang w:val="zh-CN"/>
        </w:rPr>
        <w:t xml:space="preserve">                                         </w:t>
      </w:r>
    </w:p>
    <w:p>
      <w:pPr>
        <w:tabs>
          <w:tab w:val="left" w:pos="5580"/>
        </w:tabs>
        <w:autoSpaceDE w:val="0"/>
        <w:autoSpaceDN w:val="0"/>
        <w:adjustRightInd w:val="0"/>
        <w:ind w:left="630" w:hanging="630"/>
        <w:rPr>
          <w:rFonts w:hint="eastAsia" w:ascii="宋体" w:cs="宋体"/>
          <w:color w:val="auto"/>
          <w:kern w:val="0"/>
          <w:sz w:val="24"/>
          <w:highlight w:val="none"/>
          <w:lang w:val="zh-CN"/>
        </w:rPr>
      </w:pPr>
    </w:p>
    <w:p>
      <w:pPr>
        <w:tabs>
          <w:tab w:val="left" w:pos="5580"/>
        </w:tabs>
        <w:autoSpaceDE w:val="0"/>
        <w:autoSpaceDN w:val="0"/>
        <w:adjustRightInd w:val="0"/>
        <w:ind w:left="630" w:hanging="630"/>
        <w:rPr>
          <w:rFonts w:hint="eastAsia" w:ascii="宋体" w:cs="宋体"/>
          <w:color w:val="auto"/>
          <w:kern w:val="0"/>
          <w:sz w:val="24"/>
          <w:highlight w:val="none"/>
          <w:lang w:val="zh-CN"/>
        </w:rPr>
      </w:pPr>
    </w:p>
    <w:p>
      <w:pPr>
        <w:tabs>
          <w:tab w:val="left" w:pos="5580"/>
        </w:tabs>
        <w:autoSpaceDE w:val="0"/>
        <w:autoSpaceDN w:val="0"/>
        <w:adjustRightInd w:val="0"/>
        <w:ind w:left="638" w:leftChars="304" w:firstLine="4320" w:firstLineChars="1800"/>
        <w:rPr>
          <w:rFonts w:hint="eastAsia" w:ascii="宋体" w:cs="宋体"/>
          <w:color w:val="auto"/>
          <w:kern w:val="0"/>
          <w:sz w:val="24"/>
          <w:highlight w:val="none"/>
          <w:lang w:val="zh-CN"/>
        </w:rPr>
      </w:pPr>
      <w:r>
        <w:rPr>
          <w:rFonts w:hint="eastAsia" w:ascii="宋体" w:cs="宋体"/>
          <w:color w:val="auto"/>
          <w:kern w:val="0"/>
          <w:sz w:val="24"/>
          <w:highlight w:val="none"/>
          <w:lang w:val="zh-CN"/>
        </w:rPr>
        <w:t>日期</w:t>
      </w:r>
      <w:r>
        <w:rPr>
          <w:rFonts w:hint="eastAsia" w:ascii="宋体" w:cs="宋体"/>
          <w:color w:val="auto"/>
          <w:kern w:val="0"/>
          <w:sz w:val="24"/>
          <w:highlight w:val="none"/>
        </w:rPr>
        <w:t>：</w:t>
      </w:r>
      <w:r>
        <w:rPr>
          <w:rFonts w:hint="eastAsia" w:ascii="宋体" w:cs="宋体"/>
          <w:color w:val="auto"/>
          <w:kern w:val="0"/>
          <w:sz w:val="24"/>
          <w:highlight w:val="none"/>
          <w:lang w:val="en-US" w:eastAsia="zh-CN"/>
        </w:rPr>
        <w:t xml:space="preserve">    </w:t>
      </w:r>
      <w:r>
        <w:rPr>
          <w:rFonts w:hint="eastAsia" w:ascii="宋体" w:cs="宋体"/>
          <w:color w:val="auto"/>
          <w:kern w:val="0"/>
          <w:sz w:val="24"/>
          <w:highlight w:val="none"/>
        </w:rPr>
        <w:t>年    月      日</w:t>
      </w:r>
    </w:p>
    <w:p>
      <w:pPr>
        <w:tabs>
          <w:tab w:val="left" w:pos="5580"/>
        </w:tabs>
        <w:autoSpaceDE w:val="0"/>
        <w:autoSpaceDN w:val="0"/>
        <w:adjustRightInd w:val="0"/>
        <w:ind w:left="660" w:leftChars="200" w:hanging="240" w:hangingChars="100"/>
        <w:rPr>
          <w:rFonts w:hint="eastAsia" w:ascii="宋体" w:cs="宋体"/>
          <w:color w:val="auto"/>
          <w:kern w:val="0"/>
          <w:sz w:val="24"/>
          <w:highlight w:val="none"/>
          <w:lang w:val="zh-CN"/>
        </w:rPr>
      </w:pPr>
    </w:p>
    <w:p>
      <w:pPr>
        <w:pStyle w:val="38"/>
        <w:spacing w:line="360" w:lineRule="auto"/>
        <w:rPr>
          <w:rFonts w:hint="eastAsia" w:asciiTheme="majorEastAsia" w:hAnsiTheme="majorEastAsia" w:eastAsiaTheme="majorEastAsia" w:cstheme="majorEastAsia"/>
          <w:b/>
          <w:bCs/>
          <w:color w:val="auto"/>
          <w:kern w:val="0"/>
          <w:sz w:val="24"/>
          <w:highlight w:val="none"/>
          <w:lang w:val="en-US" w:eastAsia="zh-CN"/>
        </w:rPr>
      </w:pPr>
      <w:r>
        <w:rPr>
          <w:rFonts w:hint="eastAsia" w:asciiTheme="majorEastAsia" w:hAnsiTheme="majorEastAsia" w:eastAsiaTheme="majorEastAsia" w:cstheme="majorEastAsia"/>
          <w:color w:val="auto"/>
          <w:kern w:val="0"/>
          <w:sz w:val="24"/>
          <w:highlight w:val="none"/>
          <w:lang w:val="zh-CN"/>
        </w:rPr>
        <w:t>注：1、以上报价是供应商为完成本项目、满足竞争性磋商文件全部要求的所有费用（</w:t>
      </w:r>
      <w:r>
        <w:rPr>
          <w:rFonts w:hint="eastAsia" w:asciiTheme="majorEastAsia" w:hAnsiTheme="majorEastAsia" w:eastAsiaTheme="majorEastAsia" w:cstheme="majorEastAsia"/>
          <w:b/>
          <w:bCs/>
          <w:color w:val="auto"/>
          <w:kern w:val="0"/>
          <w:sz w:val="24"/>
          <w:highlight w:val="none"/>
          <w:lang w:val="zh-CN"/>
        </w:rPr>
        <w:t>供应商应按以上格式制作“最后报价一览表”，用于供应商线上进行最后报价，需单独提供，填写完毕后并加盖单位公章的扫描件发送至政采云平台，限时20分钟内完成此项报价，若超过20分钟则视为报价无效，因字迹模糊辨认不清使得报价无效的风险由供应商</w:t>
      </w:r>
      <w:r>
        <w:rPr>
          <w:rFonts w:hint="eastAsia" w:asciiTheme="majorEastAsia" w:hAnsiTheme="majorEastAsia" w:eastAsiaTheme="majorEastAsia" w:cstheme="majorEastAsia"/>
          <w:b/>
          <w:bCs/>
          <w:color w:val="auto"/>
          <w:kern w:val="0"/>
          <w:sz w:val="24"/>
          <w:highlight w:val="none"/>
          <w:lang w:val="en-US" w:eastAsia="zh-CN"/>
        </w:rPr>
        <w:t>承担。）</w:t>
      </w:r>
    </w:p>
    <w:p>
      <w:pPr>
        <w:pStyle w:val="38"/>
        <w:spacing w:line="360" w:lineRule="auto"/>
        <w:rPr>
          <w:rStyle w:val="59"/>
          <w:rFonts w:hint="eastAsia" w:asciiTheme="majorEastAsia" w:hAnsiTheme="majorEastAsia" w:eastAsiaTheme="majorEastAsia" w:cstheme="majorEastAsia"/>
          <w:b/>
          <w:bCs/>
          <w:color w:val="auto"/>
          <w:kern w:val="0"/>
          <w:sz w:val="24"/>
          <w:szCs w:val="44"/>
          <w:highlight w:val="none"/>
          <w:lang w:val="zh-CN" w:eastAsia="zh-CN" w:bidi="ar-SA"/>
        </w:rPr>
      </w:pPr>
    </w:p>
    <w:p>
      <w:pPr>
        <w:pStyle w:val="38"/>
        <w:ind w:firstLine="3534" w:firstLineChars="800"/>
        <w:rPr>
          <w:rStyle w:val="59"/>
          <w:rFonts w:hint="eastAsia" w:asciiTheme="majorEastAsia" w:hAnsiTheme="majorEastAsia" w:eastAsiaTheme="majorEastAsia" w:cstheme="majorEastAsia"/>
          <w:b/>
          <w:color w:val="auto"/>
          <w:kern w:val="2"/>
          <w:sz w:val="44"/>
          <w:szCs w:val="44"/>
          <w:highlight w:val="none"/>
          <w:lang w:val="en-US" w:eastAsia="zh-CN" w:bidi="ar-SA"/>
        </w:rPr>
      </w:pPr>
    </w:p>
    <w:p>
      <w:pPr>
        <w:pStyle w:val="38"/>
        <w:ind w:firstLine="3534" w:firstLineChars="800"/>
        <w:rPr>
          <w:rStyle w:val="59"/>
          <w:rFonts w:hint="eastAsia" w:ascii="宋体" w:hAnsi="宋体"/>
          <w:b/>
          <w:color w:val="auto"/>
          <w:kern w:val="2"/>
          <w:sz w:val="44"/>
          <w:szCs w:val="44"/>
          <w:highlight w:val="none"/>
          <w:lang w:val="en-US" w:eastAsia="zh-CN" w:bidi="ar-SA"/>
        </w:rPr>
      </w:pPr>
    </w:p>
    <w:p>
      <w:pPr>
        <w:pStyle w:val="38"/>
        <w:ind w:firstLine="3534" w:firstLineChars="800"/>
        <w:rPr>
          <w:rStyle w:val="59"/>
          <w:rFonts w:hint="eastAsia" w:ascii="宋体" w:hAnsi="宋体"/>
          <w:b/>
          <w:color w:val="auto"/>
          <w:kern w:val="2"/>
          <w:sz w:val="44"/>
          <w:szCs w:val="44"/>
          <w:highlight w:val="none"/>
          <w:lang w:val="en-US" w:eastAsia="zh-CN" w:bidi="ar-SA"/>
        </w:rPr>
      </w:pPr>
    </w:p>
    <w:p>
      <w:pPr>
        <w:pStyle w:val="38"/>
        <w:ind w:firstLine="4417" w:firstLineChars="1000"/>
        <w:rPr>
          <w:rStyle w:val="59"/>
          <w:rFonts w:hint="eastAsia" w:ascii="宋体" w:hAnsi="宋体" w:eastAsia="宋体" w:cs="宋体"/>
          <w:b/>
          <w:color w:val="auto"/>
          <w:kern w:val="2"/>
          <w:sz w:val="44"/>
          <w:szCs w:val="44"/>
          <w:highlight w:val="none"/>
          <w:lang w:val="en-US" w:eastAsia="zh-CN" w:bidi="ar-SA"/>
        </w:rPr>
      </w:pPr>
      <w:r>
        <w:rPr>
          <w:rStyle w:val="59"/>
          <w:rFonts w:hint="eastAsia" w:ascii="宋体" w:hAnsi="宋体" w:eastAsia="宋体" w:cs="宋体"/>
          <w:b/>
          <w:color w:val="auto"/>
          <w:kern w:val="2"/>
          <w:sz w:val="44"/>
          <w:szCs w:val="44"/>
          <w:highlight w:val="none"/>
          <w:lang w:val="en-US" w:eastAsia="zh-CN" w:bidi="ar-SA"/>
        </w:rPr>
        <w:t>投标说明</w:t>
      </w:r>
    </w:p>
    <w:p>
      <w:pPr>
        <w:pStyle w:val="38"/>
        <w:rPr>
          <w:rStyle w:val="59"/>
          <w:rFonts w:hint="eastAsia" w:ascii="宋体" w:hAnsi="宋体" w:eastAsia="宋体" w:cs="宋体"/>
          <w:b/>
          <w:color w:val="auto"/>
          <w:kern w:val="2"/>
          <w:sz w:val="44"/>
          <w:szCs w:val="44"/>
          <w:highlight w:val="none"/>
          <w:lang w:val="en-US" w:eastAsia="zh-CN" w:bidi="ar-SA"/>
        </w:rPr>
      </w:pPr>
    </w:p>
    <w:p>
      <w:pPr>
        <w:pStyle w:val="38"/>
        <w:keepNext w:val="0"/>
        <w:keepLines w:val="0"/>
        <w:pageBreakBefore w:val="0"/>
        <w:widowControl w:val="0"/>
        <w:numPr>
          <w:ilvl w:val="0"/>
          <w:numId w:val="8"/>
        </w:numPr>
        <w:kinsoku/>
        <w:wordWrap/>
        <w:overflowPunct/>
        <w:topLinePunct w:val="0"/>
        <w:autoSpaceDE w:val="0"/>
        <w:autoSpaceDN w:val="0"/>
        <w:bidi w:val="0"/>
        <w:adjustRightInd w:val="0"/>
        <w:snapToGrid/>
        <w:spacing w:line="360" w:lineRule="auto"/>
        <w:textAlignment w:val="auto"/>
        <w:rPr>
          <w:rStyle w:val="59"/>
          <w:rFonts w:hint="eastAsia" w:ascii="宋体" w:hAnsi="宋体" w:eastAsia="宋体" w:cs="宋体"/>
          <w:b/>
          <w:color w:val="auto"/>
          <w:kern w:val="2"/>
          <w:sz w:val="28"/>
          <w:szCs w:val="28"/>
          <w:highlight w:val="none"/>
          <w:lang w:val="en-US" w:eastAsia="zh-CN" w:bidi="ar-SA"/>
        </w:rPr>
      </w:pPr>
      <w:r>
        <w:rPr>
          <w:rStyle w:val="59"/>
          <w:rFonts w:hint="eastAsia" w:ascii="宋体" w:hAnsi="宋体" w:eastAsia="宋体" w:cs="宋体"/>
          <w:b/>
          <w:color w:val="auto"/>
          <w:kern w:val="2"/>
          <w:sz w:val="28"/>
          <w:szCs w:val="28"/>
          <w:highlight w:val="none"/>
          <w:lang w:val="en-US" w:eastAsia="zh-CN" w:bidi="ar-SA"/>
        </w:rPr>
        <w:t>磋商保证金缴纳说明：</w:t>
      </w:r>
    </w:p>
    <w:p>
      <w:pPr>
        <w:pStyle w:val="38"/>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textAlignment w:val="auto"/>
        <w:rPr>
          <w:rStyle w:val="59"/>
          <w:rFonts w:hint="eastAsia" w:ascii="宋体" w:hAnsi="宋体" w:eastAsia="宋体" w:cs="宋体"/>
          <w:b/>
          <w:color w:val="auto"/>
          <w:kern w:val="2"/>
          <w:sz w:val="28"/>
          <w:szCs w:val="28"/>
          <w:highlight w:val="none"/>
          <w:lang w:val="en-US" w:eastAsia="zh-CN" w:bidi="ar-SA"/>
        </w:rPr>
      </w:pPr>
      <w:r>
        <w:rPr>
          <w:rStyle w:val="59"/>
          <w:rFonts w:hint="eastAsia" w:ascii="宋体" w:hAnsi="宋体" w:eastAsia="宋体" w:cs="宋体"/>
          <w:b/>
          <w:color w:val="auto"/>
          <w:kern w:val="2"/>
          <w:sz w:val="28"/>
          <w:szCs w:val="28"/>
          <w:highlight w:val="none"/>
          <w:lang w:val="en-US" w:eastAsia="zh-CN" w:bidi="ar-SA"/>
        </w:rPr>
        <w:t>供应商以电汇或网银转账方式缴纳磋商保证金，无需到采购代理公司换取磋商保证金收据，需携带磋商保证金缴纳凭证加盖公章用于开标现场资格查验，同时需要将磋商保证金缴纳凭证加盖公章放入响应文件中；</w:t>
      </w:r>
    </w:p>
    <w:p>
      <w:pPr>
        <w:pStyle w:val="38"/>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textAlignment w:val="auto"/>
        <w:rPr>
          <w:rStyle w:val="59"/>
          <w:rFonts w:hint="eastAsia" w:ascii="宋体" w:hAnsi="宋体" w:eastAsia="宋体" w:cs="宋体"/>
          <w:b/>
          <w:color w:val="auto"/>
          <w:kern w:val="2"/>
          <w:sz w:val="28"/>
          <w:szCs w:val="28"/>
          <w:highlight w:val="none"/>
          <w:lang w:val="en-US" w:eastAsia="zh-CN" w:bidi="ar-SA"/>
        </w:rPr>
      </w:pPr>
      <w:r>
        <w:rPr>
          <w:rStyle w:val="59"/>
          <w:rFonts w:hint="eastAsia" w:ascii="宋体" w:hAnsi="宋体" w:eastAsia="宋体" w:cs="宋体"/>
          <w:b/>
          <w:color w:val="auto"/>
          <w:kern w:val="2"/>
          <w:sz w:val="28"/>
          <w:szCs w:val="28"/>
          <w:highlight w:val="none"/>
          <w:lang w:val="en-US" w:eastAsia="zh-CN" w:bidi="ar-SA"/>
        </w:rPr>
        <w:t>供应商以支票、汇票、本票等非现金形式缴纳，需到采购代理公司换取磋商保证金收据，需携带磋商保证金收据原件用于开标现场资格查验，同时需要将磋商保证金收据复印件加盖公章放入响应文件中；</w:t>
      </w:r>
    </w:p>
    <w:p>
      <w:pPr>
        <w:pStyle w:val="38"/>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textAlignment w:val="auto"/>
        <w:rPr>
          <w:rStyle w:val="59"/>
          <w:rFonts w:hint="eastAsia" w:ascii="宋体" w:hAnsi="宋体" w:eastAsia="宋体" w:cs="宋体"/>
          <w:b/>
          <w:color w:val="auto"/>
          <w:kern w:val="2"/>
          <w:sz w:val="28"/>
          <w:szCs w:val="28"/>
          <w:highlight w:val="none"/>
          <w:lang w:val="en-US" w:eastAsia="zh-CN" w:bidi="ar-SA"/>
        </w:rPr>
      </w:pPr>
      <w:r>
        <w:rPr>
          <w:rStyle w:val="59"/>
          <w:rFonts w:hint="eastAsia" w:ascii="宋体" w:hAnsi="宋体" w:eastAsia="宋体" w:cs="宋体"/>
          <w:b/>
          <w:color w:val="auto"/>
          <w:kern w:val="2"/>
          <w:sz w:val="28"/>
          <w:szCs w:val="28"/>
          <w:highlight w:val="none"/>
          <w:lang w:val="en-US" w:eastAsia="zh-CN" w:bidi="ar-SA"/>
        </w:rPr>
        <w:t>供应商以金融机构、担保机构出具的保函形式缴纳，需缴纳保函复印件壹份至采购代理公司；保函原件用于开标现场资格查验，同时需要将保函复印件加盖公章放入响应文件中；</w:t>
      </w:r>
    </w:p>
    <w:p>
      <w:pPr>
        <w:pStyle w:val="38"/>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textAlignment w:val="auto"/>
        <w:rPr>
          <w:rStyle w:val="59"/>
          <w:rFonts w:hint="eastAsia" w:ascii="宋体" w:hAnsi="宋体" w:eastAsia="宋体" w:cs="宋体"/>
          <w:b/>
          <w:color w:val="auto"/>
          <w:kern w:val="2"/>
          <w:sz w:val="28"/>
          <w:szCs w:val="28"/>
          <w:highlight w:val="none"/>
          <w:lang w:val="en-US" w:eastAsia="zh-CN" w:bidi="ar-SA"/>
        </w:rPr>
      </w:pPr>
      <w:r>
        <w:rPr>
          <w:rStyle w:val="59"/>
          <w:rFonts w:hint="eastAsia" w:ascii="宋体" w:hAnsi="宋体" w:eastAsia="宋体" w:cs="宋体"/>
          <w:b/>
          <w:color w:val="auto"/>
          <w:kern w:val="2"/>
          <w:sz w:val="28"/>
          <w:szCs w:val="28"/>
          <w:highlight w:val="none"/>
          <w:lang w:val="en-US" w:eastAsia="zh-CN" w:bidi="ar-SA"/>
        </w:rPr>
        <w:t>供应商应充分考虑磋商保证金到账时间，在规定的时限前自行办妥磋商保证金缴纳手续，磋商保证金的缴付时间以实际到账时间为准，超过缴纳的时限缴纳磋商保证金视为投标无效。</w:t>
      </w:r>
    </w:p>
    <w:p>
      <w:pPr>
        <w:pStyle w:val="38"/>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Style w:val="59"/>
          <w:rFonts w:hint="eastAsia" w:ascii="宋体" w:hAnsi="宋体" w:eastAsia="宋体" w:cs="宋体"/>
          <w:b/>
          <w:color w:val="auto"/>
          <w:kern w:val="2"/>
          <w:sz w:val="28"/>
          <w:szCs w:val="28"/>
          <w:highlight w:val="none"/>
          <w:lang w:val="en-US" w:eastAsia="zh-CN" w:bidi="ar-SA"/>
        </w:rPr>
      </w:pPr>
      <w:r>
        <w:rPr>
          <w:rStyle w:val="59"/>
          <w:rFonts w:hint="eastAsia" w:ascii="宋体" w:hAnsi="宋体" w:eastAsia="宋体" w:cs="宋体"/>
          <w:b/>
          <w:color w:val="auto"/>
          <w:kern w:val="2"/>
          <w:sz w:val="28"/>
          <w:szCs w:val="28"/>
          <w:highlight w:val="none"/>
          <w:lang w:val="en-US" w:eastAsia="zh-CN" w:bidi="ar-SA"/>
        </w:rPr>
        <w:t>二、本采购文件正文叙述部分与相关法律法规有歧义之处，依照相关法律法规执行。</w:t>
      </w:r>
    </w:p>
    <w:p>
      <w:pPr>
        <w:pStyle w:val="22"/>
        <w:rPr>
          <w:rFonts w:hint="eastAsia" w:ascii="宋体" w:hAnsi="宋体" w:eastAsia="宋体" w:cs="宋体"/>
          <w:color w:val="auto"/>
          <w:highlight w:val="none"/>
        </w:rPr>
      </w:pPr>
    </w:p>
    <w:sectPr>
      <w:headerReference r:id="rId6" w:type="first"/>
      <w:footerReference r:id="rId8" w:type="first"/>
      <w:headerReference r:id="rId5" w:type="default"/>
      <w:footerReference r:id="rId7" w:type="default"/>
      <w:pgSz w:w="11910" w:h="16840"/>
      <w:pgMar w:top="1040" w:right="1137" w:bottom="960" w:left="1080" w:header="763" w:footer="766" w:gutter="0"/>
      <w:pgNumType w:fmt="decimal"/>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GungsuhChe">
    <w:altName w:val="Malgun Gothic"/>
    <w:panose1 w:val="0203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FangSong_GB2312">
    <w:altName w:val="仿宋"/>
    <w:panose1 w:val="02010609060101010101"/>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w:pict>
        <v:shape id="_x0000_s4106" o:spid="_x0000_s410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sz w:val="24"/>
        <w:szCs w:val="24"/>
      </w:rPr>
    </w:pPr>
    <w:r>
      <w:rPr>
        <w:sz w:val="24"/>
      </w:rPr>
      <w:pict>
        <v:shape id="_x0000_s4109" o:spid="_x0000_s410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w:pict>
        <v:shape id="_x0000_s4110" o:spid="_x0000_s411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rPr>
        <w:rFonts w:ascii="宋体" w:hAnsi="宋体" w:cs="宋体"/>
        <w:sz w:val="21"/>
      </w:rPr>
    </w:pPr>
    <w:r>
      <w:rPr>
        <w:rFonts w:hint="eastAsia" w:ascii="宋体" w:hAnsi="宋体" w:cs="宋体"/>
        <w:sz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insoku w:val="0"/>
      <w:overflowPunct w:val="0"/>
      <w:spacing w:before="0" w:line="14" w:lineRule="auto"/>
      <w:ind w:left="0"/>
      <w:rPr>
        <w:rFonts w:ascii="Times New Roman" w:eastAsia="宋体"/>
        <w:sz w:val="20"/>
        <w:szCs w:val="20"/>
      </w:rPr>
    </w:pPr>
    <w:r>
      <w:rPr>
        <w:rFonts w:cs="仿宋"/>
      </w:rPr>
      <w:pict>
        <v:shape id="任意多边形 55" o:spid="_x0000_s4098" o:spt="100" style="position:absolute;left:0pt;margin-left:70.9pt;margin-top:53.2pt;height:1pt;width:453.55pt;mso-position-horizontal-relative:page;mso-position-vertical-relative:page;z-index:-251657216;mso-width-relative:page;mso-height-relative:page;" filled="f" coordsize="9071,20" o:allowincell="f" o:gfxdata="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S9ostoAAAAMAQAADwAAAAAAAAABACAAAAAiAAAAZHJzL2Rvd25yZXYueG1sUEsBAhQAFAAAAAgA&#10;h07iQCqjJ7kjAgAATQQAAA4AAAAAAAAAAQAgAAAAKQEAAGRycy9lMm9Eb2MueG1sUEsFBgAAAAAG&#10;AAYAWQEAAL4FAAAAAAAA&#10;" path="m0,0l9071,0e">
          <v:path o:connecttype="segments"/>
          <v:fill on="f" focussize="0,0"/>
          <v:stroke weight="0.82pt" joinstyle="round"/>
          <v:imagedata o:title=""/>
          <o:lock v:ext="edi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dotted" w:color="auto" w:sz="4"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AF8FAC"/>
    <w:multiLevelType w:val="singleLevel"/>
    <w:tmpl w:val="A5AF8FAC"/>
    <w:lvl w:ilvl="0" w:tentative="0">
      <w:start w:val="1"/>
      <w:numFmt w:val="decimal"/>
      <w:suff w:val="nothing"/>
      <w:lvlText w:val="%1、"/>
      <w:lvlJc w:val="left"/>
      <w:pPr>
        <w:ind w:left="-469"/>
      </w:pPr>
    </w:lvl>
  </w:abstractNum>
  <w:abstractNum w:abstractNumId="1">
    <w:nsid w:val="AB4DDA03"/>
    <w:multiLevelType w:val="singleLevel"/>
    <w:tmpl w:val="AB4DDA03"/>
    <w:lvl w:ilvl="0" w:tentative="0">
      <w:start w:val="1"/>
      <w:numFmt w:val="chineseCounting"/>
      <w:suff w:val="nothing"/>
      <w:lvlText w:val="%1、"/>
      <w:lvlJc w:val="left"/>
      <w:rPr>
        <w:rFonts w:hint="eastAsia"/>
      </w:rPr>
    </w:lvl>
  </w:abstractNum>
  <w:abstractNum w:abstractNumId="2">
    <w:nsid w:val="DBC9EC81"/>
    <w:multiLevelType w:val="singleLevel"/>
    <w:tmpl w:val="DBC9EC81"/>
    <w:lvl w:ilvl="0" w:tentative="0">
      <w:start w:val="5"/>
      <w:numFmt w:val="chineseCounting"/>
      <w:lvlText w:val="第%1章"/>
      <w:lvlJc w:val="left"/>
      <w:rPr>
        <w:rFonts w:hint="eastAsia"/>
      </w:rPr>
    </w:lvl>
  </w:abstractNum>
  <w:abstractNum w:abstractNumId="3">
    <w:nsid w:val="0053208E"/>
    <w:multiLevelType w:val="multilevel"/>
    <w:tmpl w:val="0053208E"/>
    <w:lvl w:ilvl="0" w:tentative="0">
      <w:start w:val="1"/>
      <w:numFmt w:val="decimal"/>
      <w:pStyle w:val="37"/>
      <w:lvlText w:val="表%1："/>
      <w:lvlJc w:val="left"/>
      <w:pPr>
        <w:ind w:left="480" w:firstLine="0"/>
      </w:pPr>
    </w:lvl>
    <w:lvl w:ilvl="1" w:tentative="0">
      <w:start w:val="1"/>
      <w:numFmt w:val="lowerLetter"/>
      <w:lvlText w:val="%2)"/>
      <w:lvlJc w:val="left"/>
      <w:pPr>
        <w:ind w:left="900" w:firstLine="0"/>
      </w:pPr>
    </w:lvl>
    <w:lvl w:ilvl="2" w:tentative="0">
      <w:start w:val="1"/>
      <w:numFmt w:val="lowerRoman"/>
      <w:lvlText w:val="%3."/>
      <w:lvlJc w:val="left"/>
      <w:pPr>
        <w:ind w:left="1320" w:firstLine="0"/>
      </w:pPr>
    </w:lvl>
    <w:lvl w:ilvl="3" w:tentative="0">
      <w:start w:val="1"/>
      <w:numFmt w:val="decimal"/>
      <w:lvlText w:val="%4."/>
      <w:lvlJc w:val="left"/>
      <w:pPr>
        <w:ind w:left="1740" w:firstLine="0"/>
      </w:pPr>
    </w:lvl>
    <w:lvl w:ilvl="4" w:tentative="0">
      <w:start w:val="1"/>
      <w:numFmt w:val="lowerLetter"/>
      <w:lvlText w:val="%5)"/>
      <w:lvlJc w:val="left"/>
      <w:pPr>
        <w:ind w:left="2160" w:firstLine="0"/>
      </w:pPr>
    </w:lvl>
    <w:lvl w:ilvl="5" w:tentative="0">
      <w:start w:val="1"/>
      <w:numFmt w:val="lowerRoman"/>
      <w:lvlText w:val="%6."/>
      <w:lvlJc w:val="left"/>
      <w:pPr>
        <w:ind w:left="2580" w:firstLine="0"/>
      </w:pPr>
    </w:lvl>
    <w:lvl w:ilvl="6" w:tentative="0">
      <w:start w:val="1"/>
      <w:numFmt w:val="decimal"/>
      <w:lvlText w:val="%7."/>
      <w:lvlJc w:val="left"/>
      <w:pPr>
        <w:ind w:left="3000" w:firstLine="0"/>
      </w:pPr>
    </w:lvl>
    <w:lvl w:ilvl="7" w:tentative="0">
      <w:start w:val="1"/>
      <w:numFmt w:val="lowerLetter"/>
      <w:lvlText w:val="%8)"/>
      <w:lvlJc w:val="left"/>
      <w:pPr>
        <w:ind w:left="3420" w:firstLine="0"/>
      </w:pPr>
    </w:lvl>
    <w:lvl w:ilvl="8" w:tentative="0">
      <w:start w:val="1"/>
      <w:numFmt w:val="lowerRoman"/>
      <w:lvlText w:val="%9."/>
      <w:lvlJc w:val="left"/>
      <w:pPr>
        <w:ind w:left="3840" w:firstLine="0"/>
      </w:pPr>
    </w:lvl>
  </w:abstractNum>
  <w:abstractNum w:abstractNumId="4">
    <w:nsid w:val="0C9C796C"/>
    <w:multiLevelType w:val="multilevel"/>
    <w:tmpl w:val="0C9C796C"/>
    <w:lvl w:ilvl="0" w:tentative="0">
      <w:start w:val="1"/>
      <w:numFmt w:val="decimal"/>
      <w:lvlText w:val="%1 "/>
      <w:lvlJc w:val="left"/>
      <w:pPr>
        <w:tabs>
          <w:tab w:val="left" w:pos="432"/>
        </w:tabs>
        <w:ind w:left="432" w:hanging="432"/>
      </w:pPr>
      <w:rPr>
        <w:rFonts w:hint="eastAsia"/>
      </w:rPr>
    </w:lvl>
    <w:lvl w:ilvl="1" w:tentative="0">
      <w:start w:val="1"/>
      <w:numFmt w:val="decimal"/>
      <w:lvlText w:val="%1.%2"/>
      <w:lvlJc w:val="left"/>
      <w:pPr>
        <w:tabs>
          <w:tab w:val="left" w:pos="996"/>
        </w:tabs>
        <w:ind w:left="996" w:hanging="576"/>
      </w:pPr>
      <w:rPr>
        <w:rFonts w:hint="eastAsia"/>
      </w:rPr>
    </w:lvl>
    <w:lvl w:ilvl="2" w:tentative="0">
      <w:start w:val="1"/>
      <w:numFmt w:val="decimal"/>
      <w:pStyle w:val="6"/>
      <w:lvlText w:val="%1.%2.%3"/>
      <w:lvlJc w:val="left"/>
      <w:pPr>
        <w:tabs>
          <w:tab w:val="left" w:pos="900"/>
        </w:tabs>
        <w:ind w:left="900" w:hanging="720"/>
      </w:pPr>
      <w:rPr>
        <w:rFonts w:hint="eastAsia" w:eastAsia="宋体"/>
        <w:b w:val="0"/>
        <w:i w:val="0"/>
        <w:sz w:val="24"/>
      </w:rPr>
    </w:lvl>
    <w:lvl w:ilvl="3" w:tentative="0">
      <w:start w:val="1"/>
      <w:numFmt w:val="decimal"/>
      <w:pStyle w:val="7"/>
      <w:lvlText w:val="%1.%2.%3.%4 "/>
      <w:lvlJc w:val="left"/>
      <w:pPr>
        <w:tabs>
          <w:tab w:val="left" w:pos="864"/>
        </w:tabs>
        <w:ind w:left="864" w:hanging="864"/>
      </w:pPr>
      <w:rPr>
        <w:rFonts w:hint="eastAsia" w:eastAsia="宋体"/>
        <w:b w:val="0"/>
        <w:i w:val="0"/>
        <w:sz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349900AE"/>
    <w:multiLevelType w:val="singleLevel"/>
    <w:tmpl w:val="349900AE"/>
    <w:lvl w:ilvl="0" w:tentative="0">
      <w:start w:val="4"/>
      <w:numFmt w:val="chineseCounting"/>
      <w:suff w:val="space"/>
      <w:lvlText w:val="第%1章"/>
      <w:lvlJc w:val="left"/>
      <w:rPr>
        <w:rFonts w:hint="eastAsia"/>
      </w:rPr>
    </w:lvl>
  </w:abstractNum>
  <w:abstractNum w:abstractNumId="6">
    <w:nsid w:val="47F8699A"/>
    <w:multiLevelType w:val="singleLevel"/>
    <w:tmpl w:val="47F8699A"/>
    <w:lvl w:ilvl="0" w:tentative="0">
      <w:start w:val="1"/>
      <w:numFmt w:val="decimal"/>
      <w:suff w:val="nothing"/>
      <w:lvlText w:val="（%1）"/>
      <w:lvlJc w:val="left"/>
    </w:lvl>
  </w:abstractNum>
  <w:abstractNum w:abstractNumId="7">
    <w:nsid w:val="545E5D6C"/>
    <w:multiLevelType w:val="multilevel"/>
    <w:tmpl w:val="545E5D6C"/>
    <w:lvl w:ilvl="0" w:tentative="0">
      <w:start w:val="1"/>
      <w:numFmt w:val="decimal"/>
      <w:pStyle w:val="51"/>
      <w:lvlText w:val="%1."/>
      <w:lvlJc w:val="left"/>
      <w:pPr>
        <w:tabs>
          <w:tab w:val="left" w:pos="420"/>
        </w:tabs>
        <w:ind w:left="420" w:hanging="420"/>
      </w:pPr>
      <w:rPr>
        <w:rFonts w:hint="default"/>
      </w:rPr>
    </w:lvl>
    <w:lvl w:ilvl="1" w:tentative="0">
      <w:start w:val="1"/>
      <w:numFmt w:val="bullet"/>
      <w:lvlText w:val=""/>
      <w:lvlJc w:val="left"/>
      <w:pPr>
        <w:tabs>
          <w:tab w:val="left" w:pos="600"/>
        </w:tabs>
        <w:ind w:left="60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9CF0981"/>
    <w:multiLevelType w:val="singleLevel"/>
    <w:tmpl w:val="59CF0981"/>
    <w:lvl w:ilvl="0" w:tentative="0">
      <w:start w:val="1"/>
      <w:numFmt w:val="decimal"/>
      <w:suff w:val="nothing"/>
      <w:lvlText w:val="%1、"/>
      <w:lvlJc w:val="left"/>
      <w:pPr>
        <w:tabs>
          <w:tab w:val="left" w:pos="0"/>
        </w:tabs>
        <w:ind w:left="0" w:firstLine="0"/>
      </w:pPr>
    </w:lvl>
  </w:abstractNum>
  <w:num w:numId="1">
    <w:abstractNumId w:val="4"/>
  </w:num>
  <w:num w:numId="2">
    <w:abstractNumId w:val="3"/>
  </w:num>
  <w:num w:numId="3">
    <w:abstractNumId w:val="7"/>
  </w:num>
  <w:num w:numId="4">
    <w:abstractNumId w:val="8"/>
  </w:num>
  <w:num w:numId="5">
    <w:abstractNumId w:val="5"/>
  </w:num>
  <w:num w:numId="6">
    <w:abstractNumId w:val="2"/>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DExNDkyYjZiMTgyYTQ3NmUzZTMwMzM3YWRhZGIwMGUifQ=="/>
  </w:docVars>
  <w:rsids>
    <w:rsidRoot w:val="00814A0B"/>
    <w:rsid w:val="00060C6A"/>
    <w:rsid w:val="00255962"/>
    <w:rsid w:val="002B0445"/>
    <w:rsid w:val="004500C3"/>
    <w:rsid w:val="00511621"/>
    <w:rsid w:val="00556E3F"/>
    <w:rsid w:val="005F3CA5"/>
    <w:rsid w:val="006F72ED"/>
    <w:rsid w:val="00814766"/>
    <w:rsid w:val="00814A0B"/>
    <w:rsid w:val="008322BB"/>
    <w:rsid w:val="00860E13"/>
    <w:rsid w:val="0090665A"/>
    <w:rsid w:val="0095628D"/>
    <w:rsid w:val="009C194B"/>
    <w:rsid w:val="009C3355"/>
    <w:rsid w:val="00B16D13"/>
    <w:rsid w:val="00B46FEA"/>
    <w:rsid w:val="00D02D6B"/>
    <w:rsid w:val="00D23F77"/>
    <w:rsid w:val="00EE7D76"/>
    <w:rsid w:val="00FD4CF8"/>
    <w:rsid w:val="010756D0"/>
    <w:rsid w:val="01302E79"/>
    <w:rsid w:val="01303AC5"/>
    <w:rsid w:val="0164066A"/>
    <w:rsid w:val="01E05401"/>
    <w:rsid w:val="01E50D53"/>
    <w:rsid w:val="01E7687A"/>
    <w:rsid w:val="026A45B1"/>
    <w:rsid w:val="02BD6F83"/>
    <w:rsid w:val="02C32E43"/>
    <w:rsid w:val="03035935"/>
    <w:rsid w:val="033D7FEF"/>
    <w:rsid w:val="03525F75"/>
    <w:rsid w:val="03A72764"/>
    <w:rsid w:val="03E47515"/>
    <w:rsid w:val="03FF60FC"/>
    <w:rsid w:val="043A0660"/>
    <w:rsid w:val="053F69CD"/>
    <w:rsid w:val="05C44F98"/>
    <w:rsid w:val="05E50DBB"/>
    <w:rsid w:val="05EC445F"/>
    <w:rsid w:val="06540256"/>
    <w:rsid w:val="06541258"/>
    <w:rsid w:val="065D535C"/>
    <w:rsid w:val="065E2E82"/>
    <w:rsid w:val="068C4DED"/>
    <w:rsid w:val="068E19BA"/>
    <w:rsid w:val="06DF0467"/>
    <w:rsid w:val="06F916DF"/>
    <w:rsid w:val="070B2170"/>
    <w:rsid w:val="071874D5"/>
    <w:rsid w:val="072D2F81"/>
    <w:rsid w:val="07972AF0"/>
    <w:rsid w:val="07A56FBB"/>
    <w:rsid w:val="07EB0E6D"/>
    <w:rsid w:val="07F7533D"/>
    <w:rsid w:val="081D5DCC"/>
    <w:rsid w:val="08762705"/>
    <w:rsid w:val="089432A5"/>
    <w:rsid w:val="08B70F7F"/>
    <w:rsid w:val="08E8390E"/>
    <w:rsid w:val="092C1016"/>
    <w:rsid w:val="094B5940"/>
    <w:rsid w:val="09713AE2"/>
    <w:rsid w:val="09F14687"/>
    <w:rsid w:val="0A140428"/>
    <w:rsid w:val="0A3301E5"/>
    <w:rsid w:val="0A3960E0"/>
    <w:rsid w:val="0A524FC3"/>
    <w:rsid w:val="0A587AEB"/>
    <w:rsid w:val="0A756062"/>
    <w:rsid w:val="0A7B04A7"/>
    <w:rsid w:val="0AD025A1"/>
    <w:rsid w:val="0ADA1CF2"/>
    <w:rsid w:val="0B185CF6"/>
    <w:rsid w:val="0B356193"/>
    <w:rsid w:val="0B553934"/>
    <w:rsid w:val="0B68508F"/>
    <w:rsid w:val="0B7A42BB"/>
    <w:rsid w:val="0B8D2240"/>
    <w:rsid w:val="0BEB6F66"/>
    <w:rsid w:val="0BF978D5"/>
    <w:rsid w:val="0C0A3890"/>
    <w:rsid w:val="0C4C3EA9"/>
    <w:rsid w:val="0C546788"/>
    <w:rsid w:val="0C6A30A6"/>
    <w:rsid w:val="0C8B564D"/>
    <w:rsid w:val="0CCE6B27"/>
    <w:rsid w:val="0CE0236A"/>
    <w:rsid w:val="0D7D62E4"/>
    <w:rsid w:val="0D963F32"/>
    <w:rsid w:val="0DA675E9"/>
    <w:rsid w:val="0DBE2B84"/>
    <w:rsid w:val="0DF952B6"/>
    <w:rsid w:val="0E762F77"/>
    <w:rsid w:val="0E7E2314"/>
    <w:rsid w:val="0E8D2557"/>
    <w:rsid w:val="0E975183"/>
    <w:rsid w:val="0EA1587A"/>
    <w:rsid w:val="0EF67728"/>
    <w:rsid w:val="0EFB5712"/>
    <w:rsid w:val="0F166D2F"/>
    <w:rsid w:val="0F32746F"/>
    <w:rsid w:val="0F4470B9"/>
    <w:rsid w:val="0F670FFA"/>
    <w:rsid w:val="0F694D72"/>
    <w:rsid w:val="0F7F00F1"/>
    <w:rsid w:val="0F8B2F3A"/>
    <w:rsid w:val="0FB349EF"/>
    <w:rsid w:val="0FCE1079"/>
    <w:rsid w:val="0FDF071F"/>
    <w:rsid w:val="0FF31EAE"/>
    <w:rsid w:val="101C4E3B"/>
    <w:rsid w:val="102C2A8E"/>
    <w:rsid w:val="106A5660"/>
    <w:rsid w:val="10765998"/>
    <w:rsid w:val="11292457"/>
    <w:rsid w:val="118F4DD2"/>
    <w:rsid w:val="11A402E3"/>
    <w:rsid w:val="12000547"/>
    <w:rsid w:val="12183CE9"/>
    <w:rsid w:val="12A559A2"/>
    <w:rsid w:val="12FB2185"/>
    <w:rsid w:val="13021765"/>
    <w:rsid w:val="131C20FB"/>
    <w:rsid w:val="13362A7A"/>
    <w:rsid w:val="13385187"/>
    <w:rsid w:val="134E49AB"/>
    <w:rsid w:val="13516249"/>
    <w:rsid w:val="135B67F8"/>
    <w:rsid w:val="13685340"/>
    <w:rsid w:val="138F0AA4"/>
    <w:rsid w:val="13EE33E0"/>
    <w:rsid w:val="140B464A"/>
    <w:rsid w:val="14773A8D"/>
    <w:rsid w:val="147F2942"/>
    <w:rsid w:val="14821D65"/>
    <w:rsid w:val="148B12E6"/>
    <w:rsid w:val="14B545B5"/>
    <w:rsid w:val="14BA6E7D"/>
    <w:rsid w:val="14C8253B"/>
    <w:rsid w:val="15155054"/>
    <w:rsid w:val="154F4A0A"/>
    <w:rsid w:val="15852642"/>
    <w:rsid w:val="15AE1730"/>
    <w:rsid w:val="15B46581"/>
    <w:rsid w:val="15C40BF0"/>
    <w:rsid w:val="15D46CBD"/>
    <w:rsid w:val="1658169C"/>
    <w:rsid w:val="165A18B8"/>
    <w:rsid w:val="1666200B"/>
    <w:rsid w:val="16A13043"/>
    <w:rsid w:val="16DD7041"/>
    <w:rsid w:val="16F21AF1"/>
    <w:rsid w:val="16FC0682"/>
    <w:rsid w:val="17111DB8"/>
    <w:rsid w:val="176E2494"/>
    <w:rsid w:val="177B64B1"/>
    <w:rsid w:val="17BE5D21"/>
    <w:rsid w:val="17CA65CA"/>
    <w:rsid w:val="184D6820"/>
    <w:rsid w:val="18670F3B"/>
    <w:rsid w:val="18A0644B"/>
    <w:rsid w:val="18D771F0"/>
    <w:rsid w:val="18F51CEA"/>
    <w:rsid w:val="19EF40C6"/>
    <w:rsid w:val="19FB318B"/>
    <w:rsid w:val="1A023DF9"/>
    <w:rsid w:val="1A4B159C"/>
    <w:rsid w:val="1A604FC3"/>
    <w:rsid w:val="1A787C64"/>
    <w:rsid w:val="1ACA6F56"/>
    <w:rsid w:val="1AD35795"/>
    <w:rsid w:val="1B102545"/>
    <w:rsid w:val="1B1F307C"/>
    <w:rsid w:val="1B6D1746"/>
    <w:rsid w:val="1BAD1A75"/>
    <w:rsid w:val="1BB750B7"/>
    <w:rsid w:val="1BB83309"/>
    <w:rsid w:val="1BE0460E"/>
    <w:rsid w:val="1C402137"/>
    <w:rsid w:val="1C4C219E"/>
    <w:rsid w:val="1CA51053"/>
    <w:rsid w:val="1CDF0421"/>
    <w:rsid w:val="1CFF5EAA"/>
    <w:rsid w:val="1D0D1432"/>
    <w:rsid w:val="1D1D0F4A"/>
    <w:rsid w:val="1D1D719C"/>
    <w:rsid w:val="1D7E40DE"/>
    <w:rsid w:val="1DA13929"/>
    <w:rsid w:val="1DCA10D2"/>
    <w:rsid w:val="1DD65CC8"/>
    <w:rsid w:val="1E0068A1"/>
    <w:rsid w:val="1E317F2E"/>
    <w:rsid w:val="1E6D471D"/>
    <w:rsid w:val="1E7A6296"/>
    <w:rsid w:val="1E8D194F"/>
    <w:rsid w:val="1E933A1E"/>
    <w:rsid w:val="1EDC730E"/>
    <w:rsid w:val="1EEE2B9E"/>
    <w:rsid w:val="1EF40C1F"/>
    <w:rsid w:val="1F303B19"/>
    <w:rsid w:val="1F7D3F22"/>
    <w:rsid w:val="1FA47700"/>
    <w:rsid w:val="1FDD2ED9"/>
    <w:rsid w:val="20052895"/>
    <w:rsid w:val="20372CE8"/>
    <w:rsid w:val="206C021E"/>
    <w:rsid w:val="21605BCA"/>
    <w:rsid w:val="21AF33B5"/>
    <w:rsid w:val="21C5434F"/>
    <w:rsid w:val="21E85FCA"/>
    <w:rsid w:val="220629C8"/>
    <w:rsid w:val="221C2118"/>
    <w:rsid w:val="22205764"/>
    <w:rsid w:val="223F3753"/>
    <w:rsid w:val="224C6559"/>
    <w:rsid w:val="22745AB0"/>
    <w:rsid w:val="228F28EA"/>
    <w:rsid w:val="2298179E"/>
    <w:rsid w:val="22A30143"/>
    <w:rsid w:val="22D95913"/>
    <w:rsid w:val="22E54F71"/>
    <w:rsid w:val="22FE5379"/>
    <w:rsid w:val="2309444A"/>
    <w:rsid w:val="237E524F"/>
    <w:rsid w:val="239670AA"/>
    <w:rsid w:val="23D5432C"/>
    <w:rsid w:val="23E707FA"/>
    <w:rsid w:val="240466BB"/>
    <w:rsid w:val="242F1693"/>
    <w:rsid w:val="24532B73"/>
    <w:rsid w:val="24704055"/>
    <w:rsid w:val="24756D52"/>
    <w:rsid w:val="24973CD7"/>
    <w:rsid w:val="24B959FC"/>
    <w:rsid w:val="24C809C9"/>
    <w:rsid w:val="24EE5AB3"/>
    <w:rsid w:val="254503C5"/>
    <w:rsid w:val="255B7898"/>
    <w:rsid w:val="25630D89"/>
    <w:rsid w:val="256C2A6E"/>
    <w:rsid w:val="259124D5"/>
    <w:rsid w:val="259326F1"/>
    <w:rsid w:val="259E7F78"/>
    <w:rsid w:val="25B83F05"/>
    <w:rsid w:val="26795201"/>
    <w:rsid w:val="267E6EFD"/>
    <w:rsid w:val="26802C75"/>
    <w:rsid w:val="268111FC"/>
    <w:rsid w:val="26B73F0D"/>
    <w:rsid w:val="26B80BC8"/>
    <w:rsid w:val="26C06BD8"/>
    <w:rsid w:val="273F35D9"/>
    <w:rsid w:val="27674EF1"/>
    <w:rsid w:val="27B626C7"/>
    <w:rsid w:val="27B84691"/>
    <w:rsid w:val="27D668C5"/>
    <w:rsid w:val="27ED6C0C"/>
    <w:rsid w:val="27FA0805"/>
    <w:rsid w:val="28887BBF"/>
    <w:rsid w:val="28D9666D"/>
    <w:rsid w:val="293B2750"/>
    <w:rsid w:val="293D6685"/>
    <w:rsid w:val="2961485C"/>
    <w:rsid w:val="29DB5CE0"/>
    <w:rsid w:val="2A254A26"/>
    <w:rsid w:val="2AD90BA6"/>
    <w:rsid w:val="2AE82B97"/>
    <w:rsid w:val="2B54647E"/>
    <w:rsid w:val="2B8E1990"/>
    <w:rsid w:val="2B9778B9"/>
    <w:rsid w:val="2BBE1B4A"/>
    <w:rsid w:val="2BEF1B5D"/>
    <w:rsid w:val="2C2E0A7D"/>
    <w:rsid w:val="2C4C53A8"/>
    <w:rsid w:val="2CA15D0E"/>
    <w:rsid w:val="2CBA2398"/>
    <w:rsid w:val="2CD5606B"/>
    <w:rsid w:val="2CEA0487"/>
    <w:rsid w:val="2D031BEA"/>
    <w:rsid w:val="2D0A6DC3"/>
    <w:rsid w:val="2D202ABC"/>
    <w:rsid w:val="2D9D235F"/>
    <w:rsid w:val="2DA37753"/>
    <w:rsid w:val="2DF857E7"/>
    <w:rsid w:val="2E053A60"/>
    <w:rsid w:val="2E0F1F9F"/>
    <w:rsid w:val="2E1D6FFC"/>
    <w:rsid w:val="2E3141E6"/>
    <w:rsid w:val="2E400F3C"/>
    <w:rsid w:val="2E816581"/>
    <w:rsid w:val="2E980D78"/>
    <w:rsid w:val="2EA63504"/>
    <w:rsid w:val="2EB77450"/>
    <w:rsid w:val="2EC61441"/>
    <w:rsid w:val="2EFF2CBC"/>
    <w:rsid w:val="2F044070"/>
    <w:rsid w:val="2F177EEF"/>
    <w:rsid w:val="2F4800A8"/>
    <w:rsid w:val="2F4E487E"/>
    <w:rsid w:val="2F7C084A"/>
    <w:rsid w:val="2FCF55A3"/>
    <w:rsid w:val="30030473"/>
    <w:rsid w:val="30457F88"/>
    <w:rsid w:val="30872E52"/>
    <w:rsid w:val="30980BBB"/>
    <w:rsid w:val="30F93D50"/>
    <w:rsid w:val="31954504"/>
    <w:rsid w:val="31B41A25"/>
    <w:rsid w:val="31B732C3"/>
    <w:rsid w:val="31C6799D"/>
    <w:rsid w:val="31DA544F"/>
    <w:rsid w:val="31DB2E0F"/>
    <w:rsid w:val="321E1594"/>
    <w:rsid w:val="32255235"/>
    <w:rsid w:val="32A221C5"/>
    <w:rsid w:val="32FB3683"/>
    <w:rsid w:val="32FC18D5"/>
    <w:rsid w:val="330662B0"/>
    <w:rsid w:val="333948D8"/>
    <w:rsid w:val="33435474"/>
    <w:rsid w:val="336B0809"/>
    <w:rsid w:val="33884D89"/>
    <w:rsid w:val="339A4C4A"/>
    <w:rsid w:val="33A152A5"/>
    <w:rsid w:val="33CA1D1D"/>
    <w:rsid w:val="33CD66B7"/>
    <w:rsid w:val="33F8744A"/>
    <w:rsid w:val="3430253C"/>
    <w:rsid w:val="34572B3B"/>
    <w:rsid w:val="34A02734"/>
    <w:rsid w:val="34CB75E5"/>
    <w:rsid w:val="350F3D8A"/>
    <w:rsid w:val="353D61D5"/>
    <w:rsid w:val="354E2190"/>
    <w:rsid w:val="35645510"/>
    <w:rsid w:val="35DB2F41"/>
    <w:rsid w:val="361A2073"/>
    <w:rsid w:val="369E2844"/>
    <w:rsid w:val="36A50FD6"/>
    <w:rsid w:val="36C56482"/>
    <w:rsid w:val="36CD1F9B"/>
    <w:rsid w:val="36D05553"/>
    <w:rsid w:val="36DE12F2"/>
    <w:rsid w:val="372413FB"/>
    <w:rsid w:val="37545447"/>
    <w:rsid w:val="37774A03"/>
    <w:rsid w:val="377A101B"/>
    <w:rsid w:val="37B207B5"/>
    <w:rsid w:val="37D45BD1"/>
    <w:rsid w:val="37DC3D12"/>
    <w:rsid w:val="382C4A0B"/>
    <w:rsid w:val="38685317"/>
    <w:rsid w:val="387C5336"/>
    <w:rsid w:val="387D5266"/>
    <w:rsid w:val="38830ECE"/>
    <w:rsid w:val="38E56968"/>
    <w:rsid w:val="39495149"/>
    <w:rsid w:val="397600ED"/>
    <w:rsid w:val="399A59A4"/>
    <w:rsid w:val="399C1F11"/>
    <w:rsid w:val="39A44A75"/>
    <w:rsid w:val="39AA4B3F"/>
    <w:rsid w:val="39C4688C"/>
    <w:rsid w:val="39C944DB"/>
    <w:rsid w:val="39CE1E5F"/>
    <w:rsid w:val="39E06711"/>
    <w:rsid w:val="3A2F3866"/>
    <w:rsid w:val="3A5F274A"/>
    <w:rsid w:val="3AAA48EB"/>
    <w:rsid w:val="3ABD5DEE"/>
    <w:rsid w:val="3AE9023F"/>
    <w:rsid w:val="3B24543D"/>
    <w:rsid w:val="3B366641"/>
    <w:rsid w:val="3BD95B6C"/>
    <w:rsid w:val="3BDD601C"/>
    <w:rsid w:val="3BEC505C"/>
    <w:rsid w:val="3C027831"/>
    <w:rsid w:val="3C302B8A"/>
    <w:rsid w:val="3C3507B3"/>
    <w:rsid w:val="3C3976F6"/>
    <w:rsid w:val="3C463F53"/>
    <w:rsid w:val="3C8D08FA"/>
    <w:rsid w:val="3CDA4432"/>
    <w:rsid w:val="3CE52B33"/>
    <w:rsid w:val="3CF06232"/>
    <w:rsid w:val="3D0C6BB9"/>
    <w:rsid w:val="3D2626D7"/>
    <w:rsid w:val="3D675C09"/>
    <w:rsid w:val="3DA7445B"/>
    <w:rsid w:val="3DAA7B63"/>
    <w:rsid w:val="3DE25B6C"/>
    <w:rsid w:val="3E0930F8"/>
    <w:rsid w:val="3E173A67"/>
    <w:rsid w:val="3E752231"/>
    <w:rsid w:val="3EA1326B"/>
    <w:rsid w:val="3ECA05C6"/>
    <w:rsid w:val="3ED92663"/>
    <w:rsid w:val="3EFA6A7F"/>
    <w:rsid w:val="3F051B12"/>
    <w:rsid w:val="3F12422F"/>
    <w:rsid w:val="3F3E1B37"/>
    <w:rsid w:val="3F861408"/>
    <w:rsid w:val="3FC86095"/>
    <w:rsid w:val="3FF04764"/>
    <w:rsid w:val="3FF57E2E"/>
    <w:rsid w:val="405C2A81"/>
    <w:rsid w:val="406175FD"/>
    <w:rsid w:val="406867FC"/>
    <w:rsid w:val="407707ED"/>
    <w:rsid w:val="40E51BFB"/>
    <w:rsid w:val="4107542E"/>
    <w:rsid w:val="411D3005"/>
    <w:rsid w:val="413E3026"/>
    <w:rsid w:val="419270E4"/>
    <w:rsid w:val="41A24D4C"/>
    <w:rsid w:val="41F145CF"/>
    <w:rsid w:val="420F4A55"/>
    <w:rsid w:val="425F1C1D"/>
    <w:rsid w:val="426D634C"/>
    <w:rsid w:val="428611BC"/>
    <w:rsid w:val="42A72EE0"/>
    <w:rsid w:val="42BC4BDD"/>
    <w:rsid w:val="435A12B8"/>
    <w:rsid w:val="438164A1"/>
    <w:rsid w:val="439711A6"/>
    <w:rsid w:val="43A65D4C"/>
    <w:rsid w:val="43AE6CDA"/>
    <w:rsid w:val="43D146B8"/>
    <w:rsid w:val="43E02B4D"/>
    <w:rsid w:val="43F76613"/>
    <w:rsid w:val="43FF1225"/>
    <w:rsid w:val="444C6E65"/>
    <w:rsid w:val="446679FF"/>
    <w:rsid w:val="4468051E"/>
    <w:rsid w:val="449D27EC"/>
    <w:rsid w:val="455E3D2A"/>
    <w:rsid w:val="45982835"/>
    <w:rsid w:val="45A1415D"/>
    <w:rsid w:val="45A35BE1"/>
    <w:rsid w:val="45D64E3C"/>
    <w:rsid w:val="45DB181E"/>
    <w:rsid w:val="45DD7344"/>
    <w:rsid w:val="45E85D97"/>
    <w:rsid w:val="46144D30"/>
    <w:rsid w:val="46366A55"/>
    <w:rsid w:val="46367DE0"/>
    <w:rsid w:val="463F4E4E"/>
    <w:rsid w:val="465E7D59"/>
    <w:rsid w:val="467001B9"/>
    <w:rsid w:val="46A14816"/>
    <w:rsid w:val="47316E6D"/>
    <w:rsid w:val="47480BD1"/>
    <w:rsid w:val="478C7274"/>
    <w:rsid w:val="479954ED"/>
    <w:rsid w:val="47B37FE7"/>
    <w:rsid w:val="47D518A8"/>
    <w:rsid w:val="47E36768"/>
    <w:rsid w:val="47E81FD1"/>
    <w:rsid w:val="480D4C49"/>
    <w:rsid w:val="48117779"/>
    <w:rsid w:val="483A14AB"/>
    <w:rsid w:val="483E7625"/>
    <w:rsid w:val="48474F49"/>
    <w:rsid w:val="488067E3"/>
    <w:rsid w:val="492736A5"/>
    <w:rsid w:val="49583CDC"/>
    <w:rsid w:val="49A620CE"/>
    <w:rsid w:val="49D141E4"/>
    <w:rsid w:val="49DE341B"/>
    <w:rsid w:val="49E54A1A"/>
    <w:rsid w:val="49FB30EB"/>
    <w:rsid w:val="4A0B1FA6"/>
    <w:rsid w:val="4A2117CA"/>
    <w:rsid w:val="4A3752D8"/>
    <w:rsid w:val="4A3B0ADD"/>
    <w:rsid w:val="4A91376B"/>
    <w:rsid w:val="4B03005C"/>
    <w:rsid w:val="4B665E87"/>
    <w:rsid w:val="4B6978CC"/>
    <w:rsid w:val="4B7A3887"/>
    <w:rsid w:val="4B874325"/>
    <w:rsid w:val="4BB9615E"/>
    <w:rsid w:val="4BEB208F"/>
    <w:rsid w:val="4BED3098"/>
    <w:rsid w:val="4BF947AC"/>
    <w:rsid w:val="4C106D24"/>
    <w:rsid w:val="4C633D3F"/>
    <w:rsid w:val="4C7E4CB1"/>
    <w:rsid w:val="4C88731A"/>
    <w:rsid w:val="4CB37051"/>
    <w:rsid w:val="4CC9352A"/>
    <w:rsid w:val="4CDF1BF4"/>
    <w:rsid w:val="4CE14D98"/>
    <w:rsid w:val="4D88228C"/>
    <w:rsid w:val="4DE94248"/>
    <w:rsid w:val="4DF47921"/>
    <w:rsid w:val="4E255D2C"/>
    <w:rsid w:val="4E5571C7"/>
    <w:rsid w:val="4E9F5024"/>
    <w:rsid w:val="4EFD4EF3"/>
    <w:rsid w:val="4F7505EE"/>
    <w:rsid w:val="4FAA1BFE"/>
    <w:rsid w:val="4FAE1D52"/>
    <w:rsid w:val="4FBA06F6"/>
    <w:rsid w:val="4FDC6A72"/>
    <w:rsid w:val="4FE731F6"/>
    <w:rsid w:val="4FF04118"/>
    <w:rsid w:val="504E3EFA"/>
    <w:rsid w:val="505E3ABF"/>
    <w:rsid w:val="50770396"/>
    <w:rsid w:val="50772144"/>
    <w:rsid w:val="507F724A"/>
    <w:rsid w:val="508036EE"/>
    <w:rsid w:val="51741309"/>
    <w:rsid w:val="51AB6549"/>
    <w:rsid w:val="51D3784E"/>
    <w:rsid w:val="51F16637"/>
    <w:rsid w:val="52043EAB"/>
    <w:rsid w:val="52274A6F"/>
    <w:rsid w:val="522E0F28"/>
    <w:rsid w:val="522F1CC0"/>
    <w:rsid w:val="5253273C"/>
    <w:rsid w:val="52A86F2C"/>
    <w:rsid w:val="52F757BE"/>
    <w:rsid w:val="53B64A46"/>
    <w:rsid w:val="53C871E1"/>
    <w:rsid w:val="53F31447"/>
    <w:rsid w:val="540A2234"/>
    <w:rsid w:val="54297BF9"/>
    <w:rsid w:val="542B03F1"/>
    <w:rsid w:val="542C1497"/>
    <w:rsid w:val="54646E83"/>
    <w:rsid w:val="5499309A"/>
    <w:rsid w:val="54A2185A"/>
    <w:rsid w:val="54D629FF"/>
    <w:rsid w:val="54EA7388"/>
    <w:rsid w:val="54ED6DE3"/>
    <w:rsid w:val="55286102"/>
    <w:rsid w:val="552B2435"/>
    <w:rsid w:val="556A04C9"/>
    <w:rsid w:val="557B4484"/>
    <w:rsid w:val="558F56B9"/>
    <w:rsid w:val="55BB2AD2"/>
    <w:rsid w:val="55FD30EB"/>
    <w:rsid w:val="561E53CE"/>
    <w:rsid w:val="5621502B"/>
    <w:rsid w:val="562E7748"/>
    <w:rsid w:val="56AE2637"/>
    <w:rsid w:val="56C8346B"/>
    <w:rsid w:val="56CF6B4A"/>
    <w:rsid w:val="576016B5"/>
    <w:rsid w:val="57810F25"/>
    <w:rsid w:val="57944235"/>
    <w:rsid w:val="57AA2DFF"/>
    <w:rsid w:val="57B0706C"/>
    <w:rsid w:val="57D415B3"/>
    <w:rsid w:val="57D81F1C"/>
    <w:rsid w:val="57E8108A"/>
    <w:rsid w:val="581E1A7C"/>
    <w:rsid w:val="586236D9"/>
    <w:rsid w:val="587753D7"/>
    <w:rsid w:val="58841F99"/>
    <w:rsid w:val="58BC7676"/>
    <w:rsid w:val="58E73644"/>
    <w:rsid w:val="59687CB2"/>
    <w:rsid w:val="5A317807"/>
    <w:rsid w:val="5A3317D1"/>
    <w:rsid w:val="5A563396"/>
    <w:rsid w:val="5B167B6A"/>
    <w:rsid w:val="5B184523"/>
    <w:rsid w:val="5B266C40"/>
    <w:rsid w:val="5B465534"/>
    <w:rsid w:val="5B48305A"/>
    <w:rsid w:val="5B523ED9"/>
    <w:rsid w:val="5B5B2397"/>
    <w:rsid w:val="5B7A6F8C"/>
    <w:rsid w:val="5B8322E4"/>
    <w:rsid w:val="5BD00032"/>
    <w:rsid w:val="5BD448EE"/>
    <w:rsid w:val="5BE52951"/>
    <w:rsid w:val="5BFB71D7"/>
    <w:rsid w:val="5C270EC2"/>
    <w:rsid w:val="5CA469DE"/>
    <w:rsid w:val="5CB54F55"/>
    <w:rsid w:val="5DB03139"/>
    <w:rsid w:val="5DF57B92"/>
    <w:rsid w:val="5E394C5E"/>
    <w:rsid w:val="5E420235"/>
    <w:rsid w:val="5E5973D7"/>
    <w:rsid w:val="5F061262"/>
    <w:rsid w:val="5F13397F"/>
    <w:rsid w:val="5F1576F7"/>
    <w:rsid w:val="5F180F96"/>
    <w:rsid w:val="5F9525E6"/>
    <w:rsid w:val="5FCB69E5"/>
    <w:rsid w:val="5FED37AC"/>
    <w:rsid w:val="5FFE63DD"/>
    <w:rsid w:val="60114B1B"/>
    <w:rsid w:val="60824693"/>
    <w:rsid w:val="608A1A1F"/>
    <w:rsid w:val="60C211B9"/>
    <w:rsid w:val="60D62EB6"/>
    <w:rsid w:val="60FE43B8"/>
    <w:rsid w:val="6122434D"/>
    <w:rsid w:val="61412A26"/>
    <w:rsid w:val="617863C1"/>
    <w:rsid w:val="61AE3001"/>
    <w:rsid w:val="61F04D0E"/>
    <w:rsid w:val="620121B5"/>
    <w:rsid w:val="62031A89"/>
    <w:rsid w:val="626A1C2F"/>
    <w:rsid w:val="62861DC5"/>
    <w:rsid w:val="62C531E2"/>
    <w:rsid w:val="630C3949"/>
    <w:rsid w:val="6390559E"/>
    <w:rsid w:val="63930E21"/>
    <w:rsid w:val="63F860FB"/>
    <w:rsid w:val="64300B2F"/>
    <w:rsid w:val="6449399F"/>
    <w:rsid w:val="648462E6"/>
    <w:rsid w:val="64C25C2B"/>
    <w:rsid w:val="64D4595F"/>
    <w:rsid w:val="655B1BDC"/>
    <w:rsid w:val="656D3BB9"/>
    <w:rsid w:val="658904F7"/>
    <w:rsid w:val="658B561B"/>
    <w:rsid w:val="65A53433"/>
    <w:rsid w:val="65A70AFF"/>
    <w:rsid w:val="65C007AD"/>
    <w:rsid w:val="65C243F8"/>
    <w:rsid w:val="65D57BE0"/>
    <w:rsid w:val="663743F7"/>
    <w:rsid w:val="66383CCB"/>
    <w:rsid w:val="663C1A0D"/>
    <w:rsid w:val="666D606B"/>
    <w:rsid w:val="6672718B"/>
    <w:rsid w:val="66816FB3"/>
    <w:rsid w:val="66BA2932"/>
    <w:rsid w:val="66FE6CC3"/>
    <w:rsid w:val="670D5158"/>
    <w:rsid w:val="67231F85"/>
    <w:rsid w:val="67323462"/>
    <w:rsid w:val="6734160A"/>
    <w:rsid w:val="67791B00"/>
    <w:rsid w:val="679338AF"/>
    <w:rsid w:val="67B724F2"/>
    <w:rsid w:val="67EE6D37"/>
    <w:rsid w:val="67FD4CEB"/>
    <w:rsid w:val="6849573D"/>
    <w:rsid w:val="684B418A"/>
    <w:rsid w:val="68552B82"/>
    <w:rsid w:val="686B0388"/>
    <w:rsid w:val="689432C7"/>
    <w:rsid w:val="68A85138"/>
    <w:rsid w:val="68B65AA7"/>
    <w:rsid w:val="68B914D7"/>
    <w:rsid w:val="68EC7CE8"/>
    <w:rsid w:val="69AE2C22"/>
    <w:rsid w:val="69C63E88"/>
    <w:rsid w:val="69F8081A"/>
    <w:rsid w:val="6A164324"/>
    <w:rsid w:val="6A164C3B"/>
    <w:rsid w:val="6A244471"/>
    <w:rsid w:val="6A274783"/>
    <w:rsid w:val="6A484E25"/>
    <w:rsid w:val="6A7A443C"/>
    <w:rsid w:val="6B167BD5"/>
    <w:rsid w:val="6B347157"/>
    <w:rsid w:val="6B455C42"/>
    <w:rsid w:val="6B601CFA"/>
    <w:rsid w:val="6BB8745F"/>
    <w:rsid w:val="6BD3071E"/>
    <w:rsid w:val="6BD44496"/>
    <w:rsid w:val="6BFA0F14"/>
    <w:rsid w:val="6C110DDB"/>
    <w:rsid w:val="6C1A125B"/>
    <w:rsid w:val="6C240F7A"/>
    <w:rsid w:val="6C775FB9"/>
    <w:rsid w:val="6C8C7222"/>
    <w:rsid w:val="6CDF50FA"/>
    <w:rsid w:val="6CFB793A"/>
    <w:rsid w:val="6D2D1DF5"/>
    <w:rsid w:val="6D464F20"/>
    <w:rsid w:val="6D4F2026"/>
    <w:rsid w:val="6D54763D"/>
    <w:rsid w:val="6DB54814"/>
    <w:rsid w:val="6E407BC1"/>
    <w:rsid w:val="6E6C09B6"/>
    <w:rsid w:val="6E8E4DD0"/>
    <w:rsid w:val="6EB1286D"/>
    <w:rsid w:val="6F481423"/>
    <w:rsid w:val="6F4D07E7"/>
    <w:rsid w:val="6F7B35A7"/>
    <w:rsid w:val="6FAB6514"/>
    <w:rsid w:val="70207CAA"/>
    <w:rsid w:val="703A5210"/>
    <w:rsid w:val="705F6A24"/>
    <w:rsid w:val="706C1141"/>
    <w:rsid w:val="715F7A5B"/>
    <w:rsid w:val="718A5E8E"/>
    <w:rsid w:val="71AA3CCF"/>
    <w:rsid w:val="71D81E30"/>
    <w:rsid w:val="71E33685"/>
    <w:rsid w:val="71F633B8"/>
    <w:rsid w:val="721B2E1F"/>
    <w:rsid w:val="72D51220"/>
    <w:rsid w:val="72DD1E82"/>
    <w:rsid w:val="72E67307"/>
    <w:rsid w:val="72F0605A"/>
    <w:rsid w:val="72F07E38"/>
    <w:rsid w:val="73047C26"/>
    <w:rsid w:val="731735E6"/>
    <w:rsid w:val="73472725"/>
    <w:rsid w:val="735B035D"/>
    <w:rsid w:val="73B26435"/>
    <w:rsid w:val="73F43927"/>
    <w:rsid w:val="74082F2F"/>
    <w:rsid w:val="74681D94"/>
    <w:rsid w:val="746A5B1A"/>
    <w:rsid w:val="74785E09"/>
    <w:rsid w:val="748C516E"/>
    <w:rsid w:val="74A01BB3"/>
    <w:rsid w:val="74C90910"/>
    <w:rsid w:val="74CC7E1D"/>
    <w:rsid w:val="750F2CE2"/>
    <w:rsid w:val="7528308E"/>
    <w:rsid w:val="75346580"/>
    <w:rsid w:val="753B6A7A"/>
    <w:rsid w:val="754E0E15"/>
    <w:rsid w:val="757545F4"/>
    <w:rsid w:val="758D454A"/>
    <w:rsid w:val="758F3806"/>
    <w:rsid w:val="75E4177A"/>
    <w:rsid w:val="7607726B"/>
    <w:rsid w:val="76242A14"/>
    <w:rsid w:val="768A4FAE"/>
    <w:rsid w:val="76C137CF"/>
    <w:rsid w:val="772067E2"/>
    <w:rsid w:val="777A7213"/>
    <w:rsid w:val="777F5FC1"/>
    <w:rsid w:val="778B6351"/>
    <w:rsid w:val="77C33D3D"/>
    <w:rsid w:val="77D73344"/>
    <w:rsid w:val="78837FF4"/>
    <w:rsid w:val="79241561"/>
    <w:rsid w:val="79662B35"/>
    <w:rsid w:val="797C7A60"/>
    <w:rsid w:val="79A11E5C"/>
    <w:rsid w:val="79A25BD4"/>
    <w:rsid w:val="79C02219"/>
    <w:rsid w:val="79EC1111"/>
    <w:rsid w:val="79F94E0A"/>
    <w:rsid w:val="7A262361"/>
    <w:rsid w:val="7A5318F9"/>
    <w:rsid w:val="7A713939"/>
    <w:rsid w:val="7A8315BD"/>
    <w:rsid w:val="7A923E9A"/>
    <w:rsid w:val="7A9F2EDA"/>
    <w:rsid w:val="7AA634A2"/>
    <w:rsid w:val="7AED58B8"/>
    <w:rsid w:val="7B0D2D05"/>
    <w:rsid w:val="7B191EC6"/>
    <w:rsid w:val="7B22521E"/>
    <w:rsid w:val="7B242D44"/>
    <w:rsid w:val="7B51165F"/>
    <w:rsid w:val="7B545D9C"/>
    <w:rsid w:val="7B7443E1"/>
    <w:rsid w:val="7B894058"/>
    <w:rsid w:val="7B941C09"/>
    <w:rsid w:val="7B9C62B1"/>
    <w:rsid w:val="7B9F7206"/>
    <w:rsid w:val="7C042B76"/>
    <w:rsid w:val="7C714D43"/>
    <w:rsid w:val="7C95557C"/>
    <w:rsid w:val="7CA37C99"/>
    <w:rsid w:val="7CB00608"/>
    <w:rsid w:val="7CF90201"/>
    <w:rsid w:val="7D603DDC"/>
    <w:rsid w:val="7D7358BD"/>
    <w:rsid w:val="7D7A4E9D"/>
    <w:rsid w:val="7D833559"/>
    <w:rsid w:val="7D9F528B"/>
    <w:rsid w:val="7DC26844"/>
    <w:rsid w:val="7DE844FD"/>
    <w:rsid w:val="7E1C41A7"/>
    <w:rsid w:val="7E37792D"/>
    <w:rsid w:val="7E520CB2"/>
    <w:rsid w:val="7E747B3F"/>
    <w:rsid w:val="7E963DD8"/>
    <w:rsid w:val="7E9E49F9"/>
    <w:rsid w:val="7EA61CC2"/>
    <w:rsid w:val="7EF7251E"/>
    <w:rsid w:val="7F17496E"/>
    <w:rsid w:val="7F594F87"/>
    <w:rsid w:val="7F74176C"/>
    <w:rsid w:val="7FAC3780"/>
    <w:rsid w:val="7FF64583"/>
    <w:rsid w:val="7FF92F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59"/>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link w:val="62"/>
    <w:qFormat/>
    <w:uiPriority w:val="9"/>
    <w:pPr>
      <w:keepNext/>
      <w:keepLines/>
      <w:spacing w:line="800" w:lineRule="exact"/>
      <w:jc w:val="center"/>
      <w:outlineLvl w:val="0"/>
    </w:pPr>
    <w:rPr>
      <w:rFonts w:eastAsia="仿宋"/>
      <w:b/>
      <w:bCs/>
      <w:kern w:val="44"/>
      <w:sz w:val="32"/>
      <w:szCs w:val="44"/>
    </w:rPr>
  </w:style>
  <w:style w:type="paragraph" w:styleId="5">
    <w:name w:val="heading 2"/>
    <w:basedOn w:val="1"/>
    <w:next w:val="1"/>
    <w:link w:val="53"/>
    <w:qFormat/>
    <w:uiPriority w:val="9"/>
    <w:pPr>
      <w:keepNext/>
      <w:keepLines/>
      <w:spacing w:line="416" w:lineRule="auto"/>
      <w:jc w:val="center"/>
      <w:outlineLvl w:val="1"/>
    </w:pPr>
    <w:rPr>
      <w:rFonts w:ascii="Cambria" w:hAnsi="Cambria" w:eastAsia="仿宋"/>
      <w:b/>
      <w:bCs/>
      <w:sz w:val="32"/>
      <w:szCs w:val="32"/>
    </w:rPr>
  </w:style>
  <w:style w:type="paragraph" w:styleId="6">
    <w:name w:val="heading 3"/>
    <w:basedOn w:val="1"/>
    <w:next w:val="1"/>
    <w:qFormat/>
    <w:uiPriority w:val="0"/>
    <w:pPr>
      <w:keepNext/>
      <w:keepLines/>
      <w:numPr>
        <w:ilvl w:val="2"/>
        <w:numId w:val="1"/>
      </w:numPr>
      <w:adjustRightInd w:val="0"/>
      <w:spacing w:line="416" w:lineRule="atLeast"/>
      <w:jc w:val="left"/>
      <w:textAlignment w:val="baseline"/>
      <w:outlineLvl w:val="2"/>
    </w:pPr>
    <w:rPr>
      <w:bCs/>
      <w:kern w:val="0"/>
      <w:sz w:val="24"/>
      <w:szCs w:val="20"/>
    </w:rPr>
  </w:style>
  <w:style w:type="paragraph" w:styleId="7">
    <w:name w:val="heading 4"/>
    <w:basedOn w:val="1"/>
    <w:next w:val="1"/>
    <w:qFormat/>
    <w:uiPriority w:val="0"/>
    <w:pPr>
      <w:keepNext/>
      <w:keepLines/>
      <w:numPr>
        <w:ilvl w:val="3"/>
        <w:numId w:val="1"/>
      </w:numPr>
      <w:adjustRightInd w:val="0"/>
      <w:spacing w:line="360" w:lineRule="auto"/>
      <w:textAlignment w:val="baseline"/>
      <w:outlineLvl w:val="3"/>
    </w:pPr>
    <w:rPr>
      <w:rFonts w:ascii="宋体" w:hAnsi="宋体"/>
      <w:kern w:val="0"/>
      <w:sz w:val="24"/>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40" w:lineRule="auto"/>
      <w:ind w:left="200" w:leftChars="200" w:firstLine="200" w:firstLineChars="200"/>
    </w:pPr>
  </w:style>
  <w:style w:type="paragraph" w:styleId="3">
    <w:name w:val="Body Text Indent"/>
    <w:basedOn w:val="1"/>
    <w:next w:val="1"/>
    <w:qFormat/>
    <w:uiPriority w:val="0"/>
    <w:pPr>
      <w:spacing w:line="400" w:lineRule="exact"/>
      <w:ind w:left="630"/>
    </w:pPr>
    <w:rPr>
      <w:rFonts w:ascii="楷体_GB2312"/>
      <w:sz w:val="30"/>
      <w:szCs w:val="30"/>
    </w:rPr>
  </w:style>
  <w:style w:type="paragraph" w:styleId="8">
    <w:name w:val="Normal Indent"/>
    <w:basedOn w:val="1"/>
    <w:next w:val="1"/>
    <w:qFormat/>
    <w:uiPriority w:val="0"/>
    <w:pPr>
      <w:adjustRightInd w:val="0"/>
      <w:ind w:firstLine="420"/>
      <w:jc w:val="left"/>
      <w:textAlignment w:val="baseline"/>
    </w:pPr>
    <w:rPr>
      <w:sz w:val="24"/>
    </w:rPr>
  </w:style>
  <w:style w:type="paragraph" w:styleId="9">
    <w:name w:val="index 5"/>
    <w:basedOn w:val="1"/>
    <w:next w:val="1"/>
    <w:unhideWhenUsed/>
    <w:qFormat/>
    <w:uiPriority w:val="99"/>
    <w:pPr>
      <w:ind w:left="1680"/>
    </w:pPr>
  </w:style>
  <w:style w:type="paragraph" w:styleId="10">
    <w:name w:val="Document Map"/>
    <w:basedOn w:val="1"/>
    <w:link w:val="54"/>
    <w:unhideWhenUsed/>
    <w:qFormat/>
    <w:uiPriority w:val="99"/>
    <w:rPr>
      <w:rFonts w:ascii="宋体"/>
      <w:sz w:val="18"/>
      <w:szCs w:val="18"/>
    </w:rPr>
  </w:style>
  <w:style w:type="paragraph" w:styleId="11">
    <w:name w:val="annotation text"/>
    <w:basedOn w:val="1"/>
    <w:link w:val="71"/>
    <w:unhideWhenUsed/>
    <w:qFormat/>
    <w:uiPriority w:val="99"/>
    <w:pPr>
      <w:jc w:val="left"/>
    </w:pPr>
  </w:style>
  <w:style w:type="paragraph" w:styleId="12">
    <w:name w:val="Body Text 3"/>
    <w:basedOn w:val="1"/>
    <w:next w:val="1"/>
    <w:qFormat/>
    <w:uiPriority w:val="0"/>
    <w:pPr>
      <w:spacing w:after="120" w:line="540" w:lineRule="exact"/>
      <w:ind w:firstLine="200" w:firstLineChars="200"/>
    </w:pPr>
    <w:rPr>
      <w:rFonts w:eastAsia="仿宋_GB2312"/>
      <w:sz w:val="16"/>
      <w:szCs w:val="16"/>
    </w:rPr>
  </w:style>
  <w:style w:type="paragraph" w:styleId="13">
    <w:name w:val="Body Text"/>
    <w:basedOn w:val="1"/>
    <w:next w:val="12"/>
    <w:link w:val="58"/>
    <w:qFormat/>
    <w:uiPriority w:val="99"/>
    <w:pPr>
      <w:autoSpaceDE w:val="0"/>
      <w:autoSpaceDN w:val="0"/>
      <w:adjustRightInd w:val="0"/>
      <w:spacing w:before="154"/>
      <w:ind w:left="118"/>
      <w:jc w:val="left"/>
    </w:pPr>
    <w:rPr>
      <w:rFonts w:ascii="仿宋" w:eastAsia="仿宋"/>
      <w:kern w:val="0"/>
      <w:sz w:val="24"/>
      <w:szCs w:val="24"/>
    </w:rPr>
  </w:style>
  <w:style w:type="paragraph" w:styleId="14">
    <w:name w:val="List Bullet 2"/>
    <w:basedOn w:val="1"/>
    <w:qFormat/>
    <w:uiPriority w:val="99"/>
    <w:pPr>
      <w:suppressAutoHyphens/>
      <w:ind w:left="100" w:hanging="200"/>
    </w:pPr>
    <w:rPr>
      <w:szCs w:val="24"/>
    </w:rPr>
  </w:style>
  <w:style w:type="paragraph" w:styleId="15">
    <w:name w:val="Plain Text"/>
    <w:basedOn w:val="1"/>
    <w:link w:val="63"/>
    <w:qFormat/>
    <w:uiPriority w:val="0"/>
    <w:rPr>
      <w:rFonts w:ascii="宋体"/>
      <w:szCs w:val="24"/>
    </w:rPr>
  </w:style>
  <w:style w:type="paragraph" w:styleId="16">
    <w:name w:val="Balloon Text"/>
    <w:basedOn w:val="1"/>
    <w:link w:val="73"/>
    <w:semiHidden/>
    <w:unhideWhenUsed/>
    <w:qFormat/>
    <w:uiPriority w:val="99"/>
    <w:rPr>
      <w:sz w:val="18"/>
      <w:szCs w:val="18"/>
    </w:rPr>
  </w:style>
  <w:style w:type="paragraph" w:styleId="17">
    <w:name w:val="footer"/>
    <w:basedOn w:val="1"/>
    <w:next w:val="1"/>
    <w:link w:val="60"/>
    <w:unhideWhenUsed/>
    <w:qFormat/>
    <w:uiPriority w:val="99"/>
    <w:pPr>
      <w:tabs>
        <w:tab w:val="center" w:pos="4153"/>
        <w:tab w:val="right" w:pos="8306"/>
      </w:tabs>
      <w:snapToGrid w:val="0"/>
      <w:jc w:val="left"/>
    </w:pPr>
    <w:rPr>
      <w:sz w:val="18"/>
      <w:szCs w:val="18"/>
    </w:rPr>
  </w:style>
  <w:style w:type="paragraph" w:styleId="18">
    <w:name w:val="header"/>
    <w:basedOn w:val="1"/>
    <w:next w:val="17"/>
    <w:link w:val="65"/>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tabs>
        <w:tab w:val="right" w:leader="dot" w:pos="9400"/>
      </w:tabs>
      <w:spacing w:line="520" w:lineRule="exact"/>
      <w:jc w:val="left"/>
    </w:pPr>
  </w:style>
  <w:style w:type="paragraph" w:styleId="20">
    <w:name w:val="Subtitle"/>
    <w:basedOn w:val="1"/>
    <w:next w:val="1"/>
    <w:link w:val="81"/>
    <w:qFormat/>
    <w:uiPriority w:val="11"/>
    <w:pPr>
      <w:spacing w:before="240" w:after="60" w:line="312" w:lineRule="auto"/>
      <w:jc w:val="center"/>
      <w:outlineLvl w:val="1"/>
    </w:pPr>
    <w:rPr>
      <w:rFonts w:ascii="Cambria" w:hAnsi="Cambria"/>
      <w:b/>
      <w:bCs/>
      <w:kern w:val="28"/>
      <w:sz w:val="32"/>
      <w:szCs w:val="32"/>
    </w:rPr>
  </w:style>
  <w:style w:type="paragraph" w:styleId="21">
    <w:name w:val="List"/>
    <w:basedOn w:val="1"/>
    <w:qFormat/>
    <w:uiPriority w:val="0"/>
    <w:pPr>
      <w:ind w:left="200" w:hanging="200" w:hangingChars="200"/>
    </w:pPr>
    <w:rPr>
      <w:szCs w:val="20"/>
    </w:rPr>
  </w:style>
  <w:style w:type="paragraph" w:styleId="22">
    <w:name w:val="footnote text"/>
    <w:basedOn w:val="1"/>
    <w:next w:val="9"/>
    <w:qFormat/>
    <w:uiPriority w:val="0"/>
    <w:pPr>
      <w:snapToGrid w:val="0"/>
    </w:pPr>
    <w:rPr>
      <w:sz w:val="18"/>
    </w:rPr>
  </w:style>
  <w:style w:type="paragraph" w:styleId="23">
    <w:name w:val="toc 2"/>
    <w:basedOn w:val="1"/>
    <w:next w:val="1"/>
    <w:unhideWhenUsed/>
    <w:qFormat/>
    <w:uiPriority w:val="39"/>
    <w:pPr>
      <w:ind w:left="420" w:leftChars="200"/>
    </w:pPr>
  </w:style>
  <w:style w:type="paragraph" w:styleId="24">
    <w:name w:val="Body Text 2"/>
    <w:basedOn w:val="1"/>
    <w:next w:val="13"/>
    <w:qFormat/>
    <w:uiPriority w:val="0"/>
    <w:pPr>
      <w:suppressAutoHyphens/>
      <w:jc w:val="left"/>
    </w:pPr>
    <w:rPr>
      <w:color w:val="000000"/>
      <w:kern w:val="1"/>
      <w:sz w:val="28"/>
      <w:szCs w:val="20"/>
    </w:rPr>
  </w:style>
  <w:style w:type="paragraph" w:styleId="2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6">
    <w:name w:val="Normal (Web)"/>
    <w:basedOn w:val="1"/>
    <w:qFormat/>
    <w:uiPriority w:val="0"/>
    <w:pPr>
      <w:spacing w:before="100" w:beforeAutospacing="1" w:after="100" w:afterAutospacing="1"/>
      <w:jc w:val="left"/>
    </w:pPr>
    <w:rPr>
      <w:kern w:val="0"/>
      <w:sz w:val="24"/>
    </w:rPr>
  </w:style>
  <w:style w:type="paragraph" w:styleId="27">
    <w:name w:val="Title"/>
    <w:basedOn w:val="1"/>
    <w:next w:val="1"/>
    <w:link w:val="80"/>
    <w:qFormat/>
    <w:uiPriority w:val="0"/>
    <w:pPr>
      <w:spacing w:before="240" w:after="60"/>
      <w:jc w:val="center"/>
      <w:outlineLvl w:val="0"/>
    </w:pPr>
    <w:rPr>
      <w:rFonts w:ascii="Arial" w:hAnsi="Arial"/>
      <w:b/>
      <w:sz w:val="32"/>
    </w:rPr>
  </w:style>
  <w:style w:type="paragraph" w:styleId="28">
    <w:name w:val="annotation subject"/>
    <w:basedOn w:val="11"/>
    <w:next w:val="11"/>
    <w:link w:val="72"/>
    <w:semiHidden/>
    <w:unhideWhenUsed/>
    <w:qFormat/>
    <w:uiPriority w:val="99"/>
    <w:rPr>
      <w:b/>
      <w:bCs/>
    </w:rPr>
  </w:style>
  <w:style w:type="paragraph" w:styleId="29">
    <w:name w:val="Body Text First Indent"/>
    <w:basedOn w:val="13"/>
    <w:next w:val="1"/>
    <w:qFormat/>
    <w:uiPriority w:val="0"/>
    <w:pPr>
      <w:spacing w:line="540" w:lineRule="exact"/>
      <w:ind w:firstLine="420" w:firstLineChars="100"/>
    </w:pPr>
    <w:rPr>
      <w:rFonts w:eastAsia="仿宋_GB2312"/>
      <w:sz w:val="28"/>
      <w:szCs w:val="24"/>
    </w:rPr>
  </w:style>
  <w:style w:type="table" w:styleId="31">
    <w:name w:val="Table Grid"/>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b/>
    </w:rPr>
  </w:style>
  <w:style w:type="character" w:styleId="34">
    <w:name w:val="FollowedHyperlink"/>
    <w:unhideWhenUsed/>
    <w:qFormat/>
    <w:uiPriority w:val="99"/>
    <w:rPr>
      <w:color w:val="800080"/>
      <w:u w:val="single"/>
    </w:rPr>
  </w:style>
  <w:style w:type="character" w:styleId="35">
    <w:name w:val="Hyperlink"/>
    <w:basedOn w:val="32"/>
    <w:unhideWhenUsed/>
    <w:qFormat/>
    <w:uiPriority w:val="99"/>
    <w:rPr>
      <w:color w:val="0000FF"/>
      <w:u w:val="single"/>
    </w:rPr>
  </w:style>
  <w:style w:type="character" w:styleId="36">
    <w:name w:val="annotation reference"/>
    <w:unhideWhenUsed/>
    <w:qFormat/>
    <w:uiPriority w:val="99"/>
    <w:rPr>
      <w:sz w:val="21"/>
      <w:szCs w:val="21"/>
    </w:rPr>
  </w:style>
  <w:style w:type="paragraph" w:customStyle="1" w:styleId="37">
    <w:name w:val="表名称"/>
    <w:basedOn w:val="8"/>
    <w:qFormat/>
    <w:uiPriority w:val="0"/>
    <w:pPr>
      <w:widowControl w:val="0"/>
      <w:numPr>
        <w:ilvl w:val="0"/>
        <w:numId w:val="2"/>
      </w:numPr>
      <w:pBdr>
        <w:top w:val="none" w:color="000000" w:sz="0" w:space="3"/>
        <w:left w:val="none" w:color="000000" w:sz="0" w:space="3"/>
        <w:bottom w:val="none" w:color="000000" w:sz="0" w:space="3"/>
        <w:right w:val="none" w:color="000000" w:sz="0" w:space="3"/>
        <w:between w:val="none" w:color="000000" w:sz="0" w:space="0"/>
      </w:pBdr>
      <w:shd w:val="solid" w:color="auto" w:fill="auto"/>
      <w:ind w:left="900" w:firstLine="0"/>
      <w:jc w:val="center"/>
    </w:pPr>
    <w:rPr>
      <w:rFonts w:ascii="Times New Roman" w:hAnsi="Times New Roman" w:eastAsia="宋体" w:cs="Times New Roman"/>
      <w:kern w:val="1"/>
      <w:sz w:val="21"/>
      <w:szCs w:val="20"/>
      <w:lang w:val="en-US" w:eastAsia="zh-CN" w:bidi="ar-SA"/>
    </w:rPr>
  </w:style>
  <w:style w:type="paragraph" w:customStyle="1" w:styleId="38">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9">
    <w:name w:val="缺省文本"/>
    <w:qFormat/>
    <w:uiPriority w:val="99"/>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40">
    <w:name w:val="正文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1">
    <w:name w:val="Heading 2"/>
    <w:basedOn w:val="1"/>
    <w:qFormat/>
    <w:uiPriority w:val="1"/>
    <w:pPr>
      <w:autoSpaceDE w:val="0"/>
      <w:autoSpaceDN w:val="0"/>
      <w:adjustRightInd w:val="0"/>
      <w:jc w:val="left"/>
      <w:outlineLvl w:val="1"/>
    </w:pPr>
    <w:rPr>
      <w:rFonts w:ascii="仿宋" w:eastAsia="仿宋" w:cs="仿宋"/>
      <w:b/>
      <w:bCs/>
      <w:kern w:val="0"/>
      <w:sz w:val="72"/>
      <w:szCs w:val="72"/>
    </w:rPr>
  </w:style>
  <w:style w:type="paragraph" w:customStyle="1" w:styleId="42">
    <w:name w:val="Heading 6"/>
    <w:basedOn w:val="1"/>
    <w:qFormat/>
    <w:uiPriority w:val="1"/>
    <w:pPr>
      <w:autoSpaceDE w:val="0"/>
      <w:autoSpaceDN w:val="0"/>
      <w:adjustRightInd w:val="0"/>
      <w:ind w:left="1448"/>
      <w:jc w:val="left"/>
      <w:outlineLvl w:val="5"/>
    </w:pPr>
    <w:rPr>
      <w:rFonts w:ascii="仿宋" w:eastAsia="仿宋" w:cs="仿宋"/>
      <w:b/>
      <w:bCs/>
      <w:kern w:val="0"/>
      <w:sz w:val="32"/>
      <w:szCs w:val="32"/>
    </w:rPr>
  </w:style>
  <w:style w:type="paragraph" w:customStyle="1" w:styleId="43">
    <w:name w:val="正文缩进2格"/>
    <w:basedOn w:val="1"/>
    <w:qFormat/>
    <w:uiPriority w:val="0"/>
    <w:pPr>
      <w:spacing w:line="600" w:lineRule="exact"/>
      <w:ind w:firstLine="639" w:firstLineChars="206"/>
    </w:pPr>
    <w:rPr>
      <w:rFonts w:ascii="仿宋_GB2312" w:hAnsi="宋体" w:eastAsia="仿宋_GB2312"/>
      <w:sz w:val="31"/>
    </w:rPr>
  </w:style>
  <w:style w:type="paragraph" w:customStyle="1" w:styleId="44">
    <w:name w:val="Heading 8"/>
    <w:basedOn w:val="1"/>
    <w:qFormat/>
    <w:uiPriority w:val="1"/>
    <w:pPr>
      <w:autoSpaceDE w:val="0"/>
      <w:autoSpaceDN w:val="0"/>
      <w:adjustRightInd w:val="0"/>
      <w:spacing w:before="14"/>
      <w:ind w:left="118"/>
      <w:jc w:val="left"/>
      <w:outlineLvl w:val="7"/>
    </w:pPr>
    <w:rPr>
      <w:rFonts w:ascii="仿宋" w:eastAsia="仿宋" w:cs="仿宋"/>
      <w:b/>
      <w:bCs/>
      <w:kern w:val="0"/>
      <w:sz w:val="28"/>
      <w:szCs w:val="28"/>
    </w:rPr>
  </w:style>
  <w:style w:type="paragraph" w:customStyle="1" w:styleId="45">
    <w:name w:val="列出段落1"/>
    <w:basedOn w:val="1"/>
    <w:qFormat/>
    <w:uiPriority w:val="1"/>
    <w:pPr>
      <w:autoSpaceDE w:val="0"/>
      <w:autoSpaceDN w:val="0"/>
      <w:adjustRightInd w:val="0"/>
      <w:jc w:val="left"/>
    </w:pPr>
    <w:rPr>
      <w:kern w:val="0"/>
      <w:sz w:val="24"/>
      <w:szCs w:val="24"/>
    </w:rPr>
  </w:style>
  <w:style w:type="paragraph" w:customStyle="1" w:styleId="46">
    <w:name w:val="Heading 1"/>
    <w:basedOn w:val="1"/>
    <w:qFormat/>
    <w:uiPriority w:val="1"/>
    <w:pPr>
      <w:autoSpaceDE w:val="0"/>
      <w:autoSpaceDN w:val="0"/>
      <w:adjustRightInd w:val="0"/>
      <w:ind w:left="82"/>
      <w:jc w:val="left"/>
      <w:outlineLvl w:val="0"/>
    </w:pPr>
    <w:rPr>
      <w:rFonts w:ascii="宋体" w:cs="宋体"/>
      <w:b/>
      <w:bCs/>
      <w:kern w:val="0"/>
      <w:sz w:val="32"/>
      <w:szCs w:val="32"/>
    </w:rPr>
  </w:style>
  <w:style w:type="paragraph" w:customStyle="1" w:styleId="47">
    <w:name w:val="Table Paragraph"/>
    <w:basedOn w:val="1"/>
    <w:qFormat/>
    <w:uiPriority w:val="1"/>
    <w:pPr>
      <w:autoSpaceDE w:val="0"/>
      <w:autoSpaceDN w:val="0"/>
      <w:adjustRightInd w:val="0"/>
      <w:jc w:val="left"/>
    </w:pPr>
    <w:rPr>
      <w:kern w:val="0"/>
      <w:sz w:val="24"/>
      <w:szCs w:val="24"/>
    </w:rPr>
  </w:style>
  <w:style w:type="paragraph" w:customStyle="1" w:styleId="48">
    <w:name w:val="Heading 3"/>
    <w:basedOn w:val="1"/>
    <w:qFormat/>
    <w:uiPriority w:val="1"/>
    <w:pPr>
      <w:autoSpaceDE w:val="0"/>
      <w:autoSpaceDN w:val="0"/>
      <w:adjustRightInd w:val="0"/>
      <w:ind w:left="9"/>
      <w:jc w:val="left"/>
      <w:outlineLvl w:val="2"/>
    </w:pPr>
    <w:rPr>
      <w:rFonts w:ascii="仿宋" w:eastAsia="仿宋" w:cs="仿宋"/>
      <w:b/>
      <w:bCs/>
      <w:kern w:val="0"/>
      <w:sz w:val="40"/>
      <w:szCs w:val="40"/>
    </w:rPr>
  </w:style>
  <w:style w:type="paragraph" w:customStyle="1" w:styleId="49">
    <w:name w:val="Heading 9"/>
    <w:basedOn w:val="1"/>
    <w:qFormat/>
    <w:uiPriority w:val="1"/>
    <w:pPr>
      <w:autoSpaceDE w:val="0"/>
      <w:autoSpaceDN w:val="0"/>
      <w:adjustRightInd w:val="0"/>
      <w:ind w:left="118" w:hanging="560"/>
      <w:jc w:val="left"/>
      <w:outlineLvl w:val="8"/>
    </w:pPr>
    <w:rPr>
      <w:rFonts w:ascii="仿宋" w:eastAsia="仿宋" w:cs="仿宋"/>
      <w:kern w:val="0"/>
      <w:sz w:val="28"/>
      <w:szCs w:val="28"/>
    </w:rPr>
  </w:style>
  <w:style w:type="paragraph" w:customStyle="1" w:styleId="50">
    <w:name w:val="Heading 4"/>
    <w:basedOn w:val="1"/>
    <w:qFormat/>
    <w:uiPriority w:val="1"/>
    <w:pPr>
      <w:autoSpaceDE w:val="0"/>
      <w:autoSpaceDN w:val="0"/>
      <w:adjustRightInd w:val="0"/>
      <w:ind w:left="120"/>
      <w:jc w:val="left"/>
      <w:outlineLvl w:val="3"/>
    </w:pPr>
    <w:rPr>
      <w:rFonts w:ascii="宋体" w:cs="宋体"/>
      <w:b/>
      <w:bCs/>
      <w:kern w:val="0"/>
      <w:szCs w:val="21"/>
    </w:rPr>
  </w:style>
  <w:style w:type="paragraph" w:customStyle="1" w:styleId="51">
    <w:name w:val="_Style 14"/>
    <w:basedOn w:val="1"/>
    <w:next w:val="1"/>
    <w:qFormat/>
    <w:uiPriority w:val="0"/>
    <w:pPr>
      <w:numPr>
        <w:ilvl w:val="0"/>
        <w:numId w:val="3"/>
      </w:numPr>
      <w:spacing w:before="120" w:after="120"/>
      <w:jc w:val="left"/>
    </w:pPr>
    <w:rPr>
      <w:b/>
      <w:bCs/>
      <w:caps/>
      <w:szCs w:val="24"/>
    </w:rPr>
  </w:style>
  <w:style w:type="paragraph" w:customStyle="1" w:styleId="52">
    <w:name w:val="列出段落11"/>
    <w:basedOn w:val="1"/>
    <w:qFormat/>
    <w:uiPriority w:val="34"/>
    <w:pPr>
      <w:ind w:firstLine="420" w:firstLineChars="200"/>
    </w:pPr>
    <w:rPr>
      <w:rFonts w:ascii="Calibri" w:hAnsi="Calibri"/>
    </w:rPr>
  </w:style>
  <w:style w:type="character" w:customStyle="1" w:styleId="53">
    <w:name w:val="标题 2 Char"/>
    <w:link w:val="5"/>
    <w:qFormat/>
    <w:uiPriority w:val="9"/>
    <w:rPr>
      <w:rFonts w:ascii="Cambria" w:hAnsi="Cambria" w:eastAsia="仿宋" w:cs="Times New Roman"/>
      <w:b/>
      <w:bCs/>
      <w:kern w:val="2"/>
      <w:sz w:val="32"/>
      <w:szCs w:val="32"/>
    </w:rPr>
  </w:style>
  <w:style w:type="character" w:customStyle="1" w:styleId="54">
    <w:name w:val="文档结构图 Char"/>
    <w:link w:val="10"/>
    <w:semiHidden/>
    <w:qFormat/>
    <w:uiPriority w:val="99"/>
    <w:rPr>
      <w:rFonts w:ascii="宋体"/>
      <w:kern w:val="2"/>
      <w:sz w:val="18"/>
      <w:szCs w:val="18"/>
    </w:rPr>
  </w:style>
  <w:style w:type="character" w:customStyle="1" w:styleId="55">
    <w:name w:val="font161"/>
    <w:qFormat/>
    <w:uiPriority w:val="0"/>
    <w:rPr>
      <w:rFonts w:ascii="Verdana" w:hAnsi="Verdana" w:eastAsia="楷体_GB2312"/>
      <w:b/>
      <w:bCs/>
      <w:i/>
      <w:iCs/>
      <w:color w:val="000000"/>
      <w:kern w:val="0"/>
      <w:sz w:val="32"/>
      <w:szCs w:val="32"/>
      <w:lang w:eastAsia="en-US"/>
    </w:rPr>
  </w:style>
  <w:style w:type="character" w:customStyle="1" w:styleId="56">
    <w:name w:val="font31"/>
    <w:qFormat/>
    <w:uiPriority w:val="0"/>
    <w:rPr>
      <w:rFonts w:hint="eastAsia" w:ascii="GungsuhChe" w:hAnsi="GungsuhChe" w:eastAsia="GungsuhChe" w:cs="GungsuhChe"/>
      <w:color w:val="000000"/>
      <w:sz w:val="18"/>
      <w:szCs w:val="18"/>
      <w:u w:val="none"/>
    </w:rPr>
  </w:style>
  <w:style w:type="character" w:customStyle="1" w:styleId="57">
    <w:name w:val="font01"/>
    <w:qFormat/>
    <w:uiPriority w:val="0"/>
    <w:rPr>
      <w:rFonts w:hint="eastAsia" w:ascii="宋体" w:hAnsi="宋体" w:eastAsia="宋体" w:cs="宋体"/>
      <w:color w:val="000000"/>
      <w:sz w:val="20"/>
      <w:szCs w:val="20"/>
      <w:u w:val="none"/>
    </w:rPr>
  </w:style>
  <w:style w:type="character" w:customStyle="1" w:styleId="58">
    <w:name w:val="正文文本 Char"/>
    <w:link w:val="13"/>
    <w:qFormat/>
    <w:uiPriority w:val="99"/>
    <w:rPr>
      <w:rFonts w:ascii="仿宋" w:hAnsi="Times New Roman" w:eastAsia="仿宋" w:cs="仿宋"/>
      <w:sz w:val="24"/>
      <w:szCs w:val="24"/>
    </w:rPr>
  </w:style>
  <w:style w:type="character" w:customStyle="1" w:styleId="59">
    <w:name w:val="NormalCharacter"/>
    <w:link w:val="1"/>
    <w:qFormat/>
    <w:uiPriority w:val="0"/>
    <w:rPr>
      <w:rFonts w:ascii="Times New Roman" w:hAnsi="Times New Roman" w:eastAsia="宋体" w:cs="Times New Roman"/>
      <w:kern w:val="2"/>
      <w:sz w:val="21"/>
      <w:szCs w:val="22"/>
      <w:lang w:val="en-US" w:eastAsia="zh-CN" w:bidi="ar-SA"/>
    </w:rPr>
  </w:style>
  <w:style w:type="character" w:customStyle="1" w:styleId="60">
    <w:name w:val="页脚 Char"/>
    <w:link w:val="17"/>
    <w:qFormat/>
    <w:uiPriority w:val="99"/>
    <w:rPr>
      <w:kern w:val="2"/>
      <w:sz w:val="18"/>
      <w:szCs w:val="18"/>
    </w:rPr>
  </w:style>
  <w:style w:type="character" w:customStyle="1" w:styleId="61">
    <w:name w:val="font81"/>
    <w:qFormat/>
    <w:uiPriority w:val="0"/>
    <w:rPr>
      <w:rFonts w:hint="default" w:ascii="仿宋_GB2312" w:eastAsia="仿宋_GB2312" w:cs="仿宋_GB2312"/>
      <w:color w:val="000000"/>
      <w:sz w:val="22"/>
      <w:szCs w:val="22"/>
      <w:u w:val="none"/>
    </w:rPr>
  </w:style>
  <w:style w:type="character" w:customStyle="1" w:styleId="62">
    <w:name w:val="标题 1 Char"/>
    <w:link w:val="4"/>
    <w:qFormat/>
    <w:uiPriority w:val="9"/>
    <w:rPr>
      <w:rFonts w:eastAsia="仿宋"/>
      <w:b/>
      <w:bCs/>
      <w:kern w:val="44"/>
      <w:sz w:val="32"/>
      <w:szCs w:val="44"/>
    </w:rPr>
  </w:style>
  <w:style w:type="character" w:customStyle="1" w:styleId="63">
    <w:name w:val="纯文本 Char"/>
    <w:link w:val="15"/>
    <w:qFormat/>
    <w:uiPriority w:val="0"/>
    <w:rPr>
      <w:rFonts w:ascii="宋体" w:hAnsi="Times New Roman"/>
      <w:kern w:val="2"/>
      <w:sz w:val="21"/>
      <w:szCs w:val="24"/>
    </w:rPr>
  </w:style>
  <w:style w:type="character" w:customStyle="1" w:styleId="64">
    <w:name w:val="font51"/>
    <w:qFormat/>
    <w:uiPriority w:val="0"/>
    <w:rPr>
      <w:rFonts w:hint="default" w:ascii="仿宋_GB2312" w:eastAsia="仿宋_GB2312" w:cs="仿宋_GB2312"/>
      <w:color w:val="000000"/>
      <w:sz w:val="22"/>
      <w:szCs w:val="22"/>
      <w:u w:val="none"/>
    </w:rPr>
  </w:style>
  <w:style w:type="character" w:customStyle="1" w:styleId="65">
    <w:name w:val="页眉 Char"/>
    <w:link w:val="18"/>
    <w:semiHidden/>
    <w:qFormat/>
    <w:uiPriority w:val="99"/>
    <w:rPr>
      <w:kern w:val="2"/>
      <w:sz w:val="18"/>
      <w:szCs w:val="18"/>
    </w:rPr>
  </w:style>
  <w:style w:type="character" w:customStyle="1" w:styleId="66">
    <w:name w:val="font21"/>
    <w:basedOn w:val="32"/>
    <w:qFormat/>
    <w:uiPriority w:val="0"/>
    <w:rPr>
      <w:rFonts w:hint="eastAsia" w:ascii="宋体" w:hAnsi="宋体" w:eastAsia="宋体" w:cs="宋体"/>
      <w:color w:val="000000"/>
      <w:sz w:val="20"/>
      <w:szCs w:val="20"/>
      <w:u w:val="none"/>
    </w:rPr>
  </w:style>
  <w:style w:type="character" w:customStyle="1" w:styleId="67">
    <w:name w:val="font41"/>
    <w:qFormat/>
    <w:uiPriority w:val="0"/>
    <w:rPr>
      <w:rFonts w:hint="default" w:ascii="仿宋_GB2312" w:eastAsia="仿宋_GB2312" w:cs="仿宋_GB2312"/>
      <w:color w:val="000000"/>
      <w:sz w:val="22"/>
      <w:szCs w:val="22"/>
      <w:u w:val="none"/>
    </w:rPr>
  </w:style>
  <w:style w:type="character" w:customStyle="1" w:styleId="68">
    <w:name w:val="font71"/>
    <w:qFormat/>
    <w:uiPriority w:val="0"/>
    <w:rPr>
      <w:rFonts w:hint="eastAsia" w:ascii="宋体" w:hAnsi="宋体" w:eastAsia="宋体" w:cs="宋体"/>
      <w:color w:val="000000"/>
      <w:sz w:val="18"/>
      <w:szCs w:val="18"/>
      <w:u w:val="none"/>
    </w:rPr>
  </w:style>
  <w:style w:type="character" w:customStyle="1" w:styleId="69">
    <w:name w:val="font11"/>
    <w:basedOn w:val="32"/>
    <w:qFormat/>
    <w:uiPriority w:val="0"/>
    <w:rPr>
      <w:rFonts w:hint="eastAsia" w:ascii="宋体" w:hAnsi="宋体" w:eastAsia="宋体" w:cs="宋体"/>
      <w:color w:val="000000"/>
      <w:sz w:val="18"/>
      <w:szCs w:val="18"/>
      <w:u w:val="none"/>
    </w:rPr>
  </w:style>
  <w:style w:type="paragraph" w:customStyle="1" w:styleId="70">
    <w:name w:val="*正文"/>
    <w:basedOn w:val="1"/>
    <w:next w:val="1"/>
    <w:qFormat/>
    <w:uiPriority w:val="0"/>
    <w:pPr>
      <w:widowControl/>
      <w:ind w:firstLine="482"/>
    </w:pPr>
    <w:rPr>
      <w:rFonts w:ascii="微软雅黑" w:hAnsi="微软雅黑" w:eastAsia="微软雅黑"/>
    </w:rPr>
  </w:style>
  <w:style w:type="character" w:customStyle="1" w:styleId="71">
    <w:name w:val="批注文字 Char"/>
    <w:basedOn w:val="32"/>
    <w:link w:val="11"/>
    <w:qFormat/>
    <w:uiPriority w:val="99"/>
    <w:rPr>
      <w:kern w:val="2"/>
      <w:sz w:val="21"/>
      <w:szCs w:val="22"/>
    </w:rPr>
  </w:style>
  <w:style w:type="character" w:customStyle="1" w:styleId="72">
    <w:name w:val="批注主题 Char"/>
    <w:basedOn w:val="71"/>
    <w:link w:val="28"/>
    <w:qFormat/>
    <w:uiPriority w:val="0"/>
  </w:style>
  <w:style w:type="character" w:customStyle="1" w:styleId="73">
    <w:name w:val="批注框文本 Char"/>
    <w:basedOn w:val="32"/>
    <w:link w:val="16"/>
    <w:semiHidden/>
    <w:qFormat/>
    <w:uiPriority w:val="99"/>
    <w:rPr>
      <w:kern w:val="2"/>
      <w:sz w:val="18"/>
      <w:szCs w:val="18"/>
    </w:rPr>
  </w:style>
  <w:style w:type="character" w:customStyle="1" w:styleId="74">
    <w:name w:val="bookmark-item"/>
    <w:basedOn w:val="32"/>
    <w:qFormat/>
    <w:uiPriority w:val="0"/>
  </w:style>
  <w:style w:type="paragraph" w:customStyle="1" w:styleId="7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zhang"/>
    <w:basedOn w:val="1"/>
    <w:qFormat/>
    <w:uiPriority w:val="0"/>
    <w:pPr>
      <w:spacing w:before="100" w:beforeAutospacing="1" w:after="100" w:afterAutospacing="1"/>
    </w:pPr>
    <w:rPr>
      <w:b/>
      <w:bCs/>
      <w:smallCaps/>
      <w:color w:val="000000"/>
      <w:sz w:val="20"/>
    </w:rPr>
  </w:style>
  <w:style w:type="paragraph" w:customStyle="1" w:styleId="77">
    <w:name w:val="TOC 标题1"/>
    <w:basedOn w:val="4"/>
    <w:next w:val="1"/>
    <w:qFormat/>
    <w:uiPriority w:val="0"/>
    <w:pPr>
      <w:widowControl w:val="0"/>
      <w:tabs>
        <w:tab w:val="left" w:pos="1440"/>
      </w:tabs>
      <w:spacing w:line="576" w:lineRule="auto"/>
      <w:jc w:val="both"/>
      <w:outlineLvl w:val="9"/>
    </w:pPr>
    <w:rPr>
      <w:rFonts w:ascii="Calibri" w:hAnsi="Calibri"/>
    </w:rPr>
  </w:style>
  <w:style w:type="paragraph" w:customStyle="1" w:styleId="78">
    <w:name w:val="p0"/>
    <w:basedOn w:val="1"/>
    <w:qFormat/>
    <w:uiPriority w:val="0"/>
    <w:pPr>
      <w:widowControl/>
    </w:pPr>
    <w:rPr>
      <w:rFonts w:ascii="Courier New" w:hAnsi="Courier New" w:cs="Courier New"/>
      <w:kern w:val="0"/>
      <w:szCs w:val="21"/>
    </w:rPr>
  </w:style>
  <w:style w:type="character" w:customStyle="1" w:styleId="79">
    <w:name w:val="15"/>
    <w:qFormat/>
    <w:uiPriority w:val="0"/>
    <w:rPr>
      <w:rFonts w:hint="default" w:ascii="Times New Roman" w:hAnsi="Times New Roman" w:cs="Times New Roman"/>
      <w:color w:val="464445"/>
      <w:u w:val="none"/>
    </w:rPr>
  </w:style>
  <w:style w:type="character" w:customStyle="1" w:styleId="80">
    <w:name w:val="标题 Char"/>
    <w:link w:val="27"/>
    <w:qFormat/>
    <w:uiPriority w:val="10"/>
    <w:rPr>
      <w:rFonts w:ascii="Arial" w:hAnsi="Arial"/>
      <w:b/>
      <w:sz w:val="32"/>
    </w:rPr>
  </w:style>
  <w:style w:type="character" w:customStyle="1" w:styleId="81">
    <w:name w:val="副标题 Char"/>
    <w:link w:val="20"/>
    <w:qFormat/>
    <w:uiPriority w:val="11"/>
    <w:rPr>
      <w:rFonts w:ascii="Cambria" w:hAnsi="Cambria"/>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106" textRotate="1"/>
    <customShpInfo spid="_x0000_s4098"/>
    <customShpInfo spid="_x0000_s4109" textRotate="1"/>
    <customShpInfo spid="_x0000_s411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23440</Words>
  <Characters>24630</Characters>
  <Lines>262</Lines>
  <Paragraphs>73</Paragraphs>
  <TotalTime>18</TotalTime>
  <ScaleCrop>false</ScaleCrop>
  <LinksUpToDate>false</LinksUpToDate>
  <CharactersWithSpaces>25660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2018-07-30T23:49:00Z</dcterms:created>
  <dc:creator>Administrator</dc:creator>
  <cp:lastModifiedBy>殷海建</cp:lastModifiedBy>
  <cp:lastPrinted>2020-05-29T00:16:00Z</cp:lastPrinted>
  <dcterms:modified xsi:type="dcterms:W3CDTF">2023-05-30T10:07:36Z</dcterms:modified>
  <dc:title>新疆维吾尔自治区疾病预防控制中心学术厅舞台LED显示屏设备采购项目</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02293A0BC7C64925A9FAEC6010C895B9</vt:lpwstr>
  </property>
</Properties>
</file>