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b/>
          <w:color w:val="auto"/>
          <w:sz w:val="56"/>
          <w:szCs w:val="56"/>
          <w:highlight w:val="none"/>
          <w:lang w:val="en-US" w:eastAsia="zh-CN"/>
        </w:rPr>
      </w:pPr>
      <w:bookmarkStart w:id="379" w:name="_GoBack"/>
    </w:p>
    <w:p>
      <w:pPr>
        <w:pStyle w:val="2"/>
        <w:rPr>
          <w:rFonts w:hint="eastAsia" w:ascii="宋体" w:hAnsi="宋体"/>
          <w:b/>
          <w:color w:val="auto"/>
          <w:sz w:val="56"/>
          <w:szCs w:val="56"/>
          <w:highlight w:val="none"/>
          <w:lang w:val="en-US" w:eastAsia="zh-CN"/>
        </w:rPr>
      </w:pPr>
    </w:p>
    <w:p>
      <w:pPr>
        <w:pStyle w:val="32"/>
        <w:rPr>
          <w:rFonts w:hint="eastAsia"/>
          <w:color w:val="auto"/>
          <w:highlight w:val="none"/>
          <w:lang w:val="en-US" w:eastAsia="zh-CN"/>
        </w:rPr>
      </w:pPr>
    </w:p>
    <w:p>
      <w:pPr>
        <w:pStyle w:val="25"/>
        <w:tabs>
          <w:tab w:val="left" w:pos="567"/>
        </w:tabs>
        <w:ind w:left="0" w:leftChars="0" w:firstLine="0" w:firstLineChars="0"/>
        <w:jc w:val="center"/>
        <w:rPr>
          <w:rFonts w:hint="eastAsia" w:ascii="宋体" w:hAnsi="宋体" w:eastAsia="宋体" w:cs="宋体"/>
          <w:b/>
          <w:color w:val="auto"/>
          <w:sz w:val="52"/>
          <w:szCs w:val="52"/>
          <w:highlight w:val="none"/>
          <w:lang w:val="en-US" w:eastAsia="zh-CN"/>
        </w:rPr>
      </w:pPr>
      <w:r>
        <w:rPr>
          <w:rFonts w:hint="eastAsia" w:ascii="宋体" w:hAnsi="宋体" w:eastAsia="宋体" w:cs="宋体"/>
          <w:b/>
          <w:bCs/>
          <w:color w:val="auto"/>
          <w:sz w:val="52"/>
          <w:szCs w:val="52"/>
          <w:highlight w:val="none"/>
        </w:rPr>
        <w:t>新疆天山东部国有林管理局吉木萨尔分局2023年森林防火无人机巡护</w:t>
      </w:r>
      <w:r>
        <w:rPr>
          <w:rFonts w:hint="eastAsia" w:ascii="宋体" w:hAnsi="宋体" w:cs="宋体"/>
          <w:b/>
          <w:bCs/>
          <w:color w:val="auto"/>
          <w:sz w:val="52"/>
          <w:szCs w:val="52"/>
          <w:highlight w:val="none"/>
          <w:lang w:val="en-US" w:eastAsia="zh-CN"/>
        </w:rPr>
        <w:t>项目</w:t>
      </w:r>
    </w:p>
    <w:p>
      <w:pPr>
        <w:pStyle w:val="25"/>
        <w:tabs>
          <w:tab w:val="left" w:pos="567"/>
        </w:tabs>
        <w:ind w:left="0" w:leftChars="0" w:firstLine="0" w:firstLineChars="0"/>
        <w:jc w:val="center"/>
        <w:rPr>
          <w:rFonts w:hint="eastAsia" w:ascii="宋体" w:hAnsi="宋体"/>
          <w:b/>
          <w:color w:val="auto"/>
          <w:sz w:val="72"/>
          <w:szCs w:val="72"/>
          <w:highlight w:val="none"/>
          <w:lang w:val="en-US" w:eastAsia="zh-CN"/>
        </w:rPr>
      </w:pPr>
    </w:p>
    <w:p>
      <w:pPr>
        <w:pStyle w:val="25"/>
        <w:tabs>
          <w:tab w:val="left" w:pos="567"/>
        </w:tabs>
        <w:ind w:left="0" w:leftChars="0" w:firstLine="0" w:firstLineChars="0"/>
        <w:jc w:val="center"/>
        <w:rPr>
          <w:rFonts w:hint="eastAsia"/>
          <w:color w:val="auto"/>
          <w:sz w:val="36"/>
          <w:szCs w:val="24"/>
          <w:highlight w:val="none"/>
        </w:rPr>
      </w:pPr>
      <w:r>
        <w:rPr>
          <w:rFonts w:hint="eastAsia" w:ascii="宋体" w:hAnsi="宋体"/>
          <w:b/>
          <w:color w:val="auto"/>
          <w:sz w:val="72"/>
          <w:szCs w:val="72"/>
          <w:highlight w:val="none"/>
          <w:lang w:val="en-US" w:eastAsia="zh-CN"/>
        </w:rPr>
        <w:t>竞争性磋商文件</w:t>
      </w:r>
    </w:p>
    <w:p>
      <w:pPr>
        <w:pStyle w:val="34"/>
        <w:spacing w:line="440" w:lineRule="exact"/>
        <w:jc w:val="both"/>
        <w:rPr>
          <w:rFonts w:hint="eastAsia" w:ascii="宋体" w:hAnsi="宋体"/>
          <w:color w:val="auto"/>
          <w:sz w:val="96"/>
          <w:szCs w:val="96"/>
          <w:highlight w:val="none"/>
        </w:rPr>
      </w:pPr>
    </w:p>
    <w:p>
      <w:pPr>
        <w:pStyle w:val="34"/>
        <w:spacing w:line="440" w:lineRule="exact"/>
        <w:jc w:val="both"/>
        <w:rPr>
          <w:rFonts w:hint="eastAsia" w:ascii="宋体" w:hAnsi="宋体"/>
          <w:color w:val="auto"/>
          <w:sz w:val="96"/>
          <w:szCs w:val="96"/>
          <w:highlight w:val="none"/>
        </w:rPr>
      </w:pPr>
    </w:p>
    <w:p>
      <w:pPr>
        <w:pStyle w:val="34"/>
        <w:spacing w:line="440" w:lineRule="exact"/>
        <w:jc w:val="both"/>
        <w:rPr>
          <w:rFonts w:ascii="宋体" w:hAnsi="宋体"/>
          <w:color w:val="auto"/>
          <w:sz w:val="96"/>
          <w:szCs w:val="96"/>
          <w:highlight w:val="none"/>
        </w:rPr>
      </w:pPr>
    </w:p>
    <w:p>
      <w:pPr>
        <w:ind w:left="2530" w:hanging="2530" w:hangingChars="700"/>
        <w:jc w:val="left"/>
        <w:rPr>
          <w:rFonts w:hint="default" w:ascii="宋体" w:hAnsi="宋体" w:eastAsia="宋体" w:cs="宋体"/>
          <w:b/>
          <w:bCs/>
          <w:color w:val="auto"/>
          <w:kern w:val="0"/>
          <w:sz w:val="36"/>
          <w:szCs w:val="36"/>
          <w:highlight w:val="none"/>
          <w:u w:val="single"/>
          <w:lang w:val="en-US" w:eastAsia="zh-CN" w:bidi="ar-SA"/>
        </w:rPr>
      </w:pPr>
      <w:r>
        <w:rPr>
          <w:rFonts w:hint="eastAsia" w:ascii="宋体" w:hAnsi="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项目名称：</w:t>
      </w:r>
      <w:r>
        <w:rPr>
          <w:rFonts w:hint="eastAsia" w:ascii="宋体" w:hAnsi="宋体" w:cs="宋体"/>
          <w:b/>
          <w:bCs/>
          <w:color w:val="auto"/>
          <w:kern w:val="0"/>
          <w:sz w:val="36"/>
          <w:szCs w:val="36"/>
          <w:highlight w:val="none"/>
          <w:u w:val="single"/>
          <w:lang w:val="en-US" w:eastAsia="zh-CN" w:bidi="ar-SA"/>
        </w:rPr>
        <w:t>新疆天山东部国有林管理局吉木萨尔分局2023年森林防火无人机巡护项目</w:t>
      </w:r>
      <w:r>
        <w:rPr>
          <w:rFonts w:hint="eastAsia" w:ascii="宋体" w:hAnsi="宋体" w:eastAsia="宋体" w:cs="宋体"/>
          <w:b/>
          <w:bCs/>
          <w:color w:val="auto"/>
          <w:kern w:val="0"/>
          <w:sz w:val="36"/>
          <w:szCs w:val="36"/>
          <w:highlight w:val="none"/>
          <w:u w:val="single"/>
          <w:lang w:val="en-US" w:eastAsia="zh-CN" w:bidi="ar-SA"/>
        </w:rPr>
        <w:t xml:space="preserve">                      </w:t>
      </w:r>
    </w:p>
    <w:p>
      <w:pPr>
        <w:pStyle w:val="23"/>
        <w:spacing w:line="360" w:lineRule="auto"/>
        <w:ind w:firstLine="723" w:firstLineChars="200"/>
        <w:jc w:val="left"/>
        <w:rPr>
          <w:rFonts w:hint="eastAsia" w:ascii="宋体" w:hAnsi="宋体" w:eastAsia="宋体" w:cs="宋体"/>
          <w:color w:val="auto"/>
          <w:sz w:val="36"/>
          <w:szCs w:val="36"/>
          <w:highlight w:val="none"/>
          <w:lang w:val="en-US" w:eastAsia="zh-CN"/>
        </w:rPr>
      </w:pPr>
      <w:r>
        <w:rPr>
          <w:rFonts w:hint="eastAsia" w:ascii="宋体" w:hAnsi="宋体" w:eastAsia="宋体" w:cs="宋体"/>
          <w:b/>
          <w:bCs/>
          <w:color w:val="auto"/>
          <w:sz w:val="36"/>
          <w:szCs w:val="36"/>
          <w:highlight w:val="none"/>
        </w:rPr>
        <w:t>项目编号：</w:t>
      </w:r>
      <w:r>
        <w:rPr>
          <w:rFonts w:hint="eastAsia" w:ascii="宋体" w:hAnsi="宋体" w:eastAsia="宋体" w:cs="宋体"/>
          <w:b/>
          <w:bCs/>
          <w:color w:val="auto"/>
          <w:kern w:val="0"/>
          <w:sz w:val="36"/>
          <w:szCs w:val="36"/>
          <w:highlight w:val="none"/>
          <w:u w:val="single"/>
          <w:lang w:val="en-US" w:eastAsia="zh-CN" w:bidi="ar-SA"/>
        </w:rPr>
        <w:t xml:space="preserve">2023-0526-124147   </w:t>
      </w:r>
      <w:r>
        <w:rPr>
          <w:rFonts w:hint="eastAsia" w:cs="宋体"/>
          <w:b/>
          <w:bCs/>
          <w:color w:val="auto"/>
          <w:kern w:val="2"/>
          <w:sz w:val="36"/>
          <w:szCs w:val="36"/>
          <w:highlight w:val="none"/>
          <w:u w:val="single"/>
          <w:lang w:val="en-US" w:eastAsia="zh-CN"/>
        </w:rPr>
        <w:t xml:space="preserve">          </w:t>
      </w:r>
      <w:r>
        <w:rPr>
          <w:rFonts w:hint="eastAsia" w:ascii="宋体" w:hAnsi="宋体" w:eastAsia="宋体" w:cs="宋体"/>
          <w:b/>
          <w:bCs/>
          <w:color w:val="auto"/>
          <w:kern w:val="2"/>
          <w:sz w:val="36"/>
          <w:szCs w:val="36"/>
          <w:highlight w:val="none"/>
          <w:u w:val="single"/>
          <w:lang w:val="en-US" w:eastAsia="zh-CN"/>
        </w:rPr>
        <w:t xml:space="preserve">   </w:t>
      </w:r>
      <w:r>
        <w:rPr>
          <w:rFonts w:hint="eastAsia" w:cs="宋体"/>
          <w:b/>
          <w:bCs/>
          <w:color w:val="auto"/>
          <w:kern w:val="2"/>
          <w:sz w:val="36"/>
          <w:szCs w:val="36"/>
          <w:highlight w:val="none"/>
          <w:u w:val="single"/>
          <w:lang w:val="en-US" w:eastAsia="zh-CN"/>
        </w:rPr>
        <w:t xml:space="preserve">  </w:t>
      </w:r>
      <w:r>
        <w:rPr>
          <w:rFonts w:hint="eastAsia" w:ascii="宋体" w:hAnsi="宋体" w:eastAsia="宋体" w:cs="宋体"/>
          <w:b/>
          <w:bCs/>
          <w:color w:val="auto"/>
          <w:kern w:val="2"/>
          <w:sz w:val="36"/>
          <w:szCs w:val="36"/>
          <w:highlight w:val="none"/>
          <w:u w:val="single"/>
          <w:lang w:val="en-US" w:eastAsia="zh-CN"/>
        </w:rPr>
        <w:t xml:space="preserve">   </w:t>
      </w:r>
      <w:r>
        <w:rPr>
          <w:rFonts w:hint="eastAsia" w:cs="宋体"/>
          <w:b/>
          <w:bCs/>
          <w:color w:val="auto"/>
          <w:kern w:val="2"/>
          <w:sz w:val="36"/>
          <w:szCs w:val="36"/>
          <w:highlight w:val="none"/>
          <w:u w:val="single"/>
          <w:lang w:val="en-US" w:eastAsia="zh-CN"/>
        </w:rPr>
        <w:t xml:space="preserve">   </w:t>
      </w:r>
      <w:r>
        <w:rPr>
          <w:rFonts w:hint="eastAsia" w:cs="宋体"/>
          <w:b/>
          <w:bCs/>
          <w:color w:val="auto"/>
          <w:kern w:val="2"/>
          <w:sz w:val="36"/>
          <w:szCs w:val="36"/>
          <w:highlight w:val="none"/>
          <w:u w:val="none"/>
          <w:lang w:val="en-US" w:eastAsia="zh-CN"/>
        </w:rPr>
        <w:t xml:space="preserve"> </w:t>
      </w:r>
      <w:r>
        <w:rPr>
          <w:rFonts w:hint="eastAsia" w:ascii="宋体" w:hAnsi="宋体" w:eastAsia="宋体" w:cs="宋体"/>
          <w:b/>
          <w:bCs/>
          <w:color w:val="auto"/>
          <w:kern w:val="2"/>
          <w:sz w:val="36"/>
          <w:szCs w:val="36"/>
          <w:highlight w:val="none"/>
          <w:u w:val="none"/>
          <w:lang w:val="en-US" w:eastAsia="zh-CN"/>
        </w:rPr>
        <w:t xml:space="preserve">   </w:t>
      </w:r>
    </w:p>
    <w:p>
      <w:pPr>
        <w:pStyle w:val="23"/>
        <w:spacing w:line="360" w:lineRule="auto"/>
        <w:ind w:firstLine="723" w:firstLineChars="200"/>
        <w:jc w:val="left"/>
        <w:rPr>
          <w:rFonts w:hint="default" w:ascii="宋体" w:hAnsi="宋体" w:eastAsia="宋体" w:cs="宋体"/>
          <w:color w:val="auto"/>
          <w:sz w:val="36"/>
          <w:szCs w:val="36"/>
          <w:highlight w:val="none"/>
          <w:lang w:val="en-US" w:eastAsia="zh-CN"/>
        </w:rPr>
      </w:pPr>
      <w:r>
        <w:rPr>
          <w:rFonts w:hint="eastAsia" w:ascii="宋体" w:hAnsi="宋体" w:eastAsia="宋体" w:cs="宋体"/>
          <w:b/>
          <w:bCs/>
          <w:color w:val="auto"/>
          <w:sz w:val="36"/>
          <w:szCs w:val="36"/>
          <w:highlight w:val="none"/>
        </w:rPr>
        <w:t>采</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购</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人：</w:t>
      </w:r>
      <w:r>
        <w:rPr>
          <w:rFonts w:hint="eastAsia" w:ascii="宋体" w:hAnsi="宋体" w:cs="宋体"/>
          <w:b/>
          <w:bCs/>
          <w:color w:val="auto"/>
          <w:kern w:val="0"/>
          <w:sz w:val="36"/>
          <w:szCs w:val="36"/>
          <w:highlight w:val="none"/>
          <w:u w:val="single"/>
          <w:lang w:val="en-US" w:eastAsia="zh-CN" w:bidi="ar-SA"/>
        </w:rPr>
        <w:t>新疆天山东部国有林管理局吉木萨尔分局</w:t>
      </w:r>
      <w:r>
        <w:rPr>
          <w:rFonts w:hint="eastAsia" w:cs="宋体"/>
          <w:b/>
          <w:bCs/>
          <w:color w:val="auto"/>
          <w:sz w:val="36"/>
          <w:szCs w:val="36"/>
          <w:highlight w:val="none"/>
          <w:u w:val="single"/>
          <w:lang w:val="en-US" w:eastAsia="zh-CN"/>
        </w:rPr>
        <w:t xml:space="preserve">                    </w:t>
      </w:r>
      <w:r>
        <w:rPr>
          <w:rFonts w:hint="eastAsia" w:cs="宋体"/>
          <w:b/>
          <w:bCs/>
          <w:color w:val="auto"/>
          <w:sz w:val="36"/>
          <w:szCs w:val="36"/>
          <w:highlight w:val="none"/>
          <w:u w:val="none"/>
          <w:lang w:val="en-US" w:eastAsia="zh-CN"/>
        </w:rPr>
        <w:t xml:space="preserve">    </w:t>
      </w:r>
      <w:r>
        <w:rPr>
          <w:rFonts w:hint="eastAsia" w:cs="宋体"/>
          <w:b/>
          <w:bCs/>
          <w:color w:val="auto"/>
          <w:sz w:val="36"/>
          <w:szCs w:val="36"/>
          <w:highlight w:val="none"/>
          <w:u w:val="single"/>
          <w:lang w:val="en-US" w:eastAsia="zh-CN"/>
        </w:rPr>
        <w:t xml:space="preserve">                  </w:t>
      </w:r>
      <w:r>
        <w:rPr>
          <w:rFonts w:hint="eastAsia" w:cs="宋体"/>
          <w:b/>
          <w:bCs/>
          <w:color w:val="auto"/>
          <w:sz w:val="36"/>
          <w:szCs w:val="36"/>
          <w:highlight w:val="none"/>
          <w:lang w:val="en-US" w:eastAsia="zh-CN"/>
        </w:rPr>
        <w:t xml:space="preserve">   </w:t>
      </w:r>
    </w:p>
    <w:p>
      <w:pPr>
        <w:pStyle w:val="2"/>
        <w:tabs>
          <w:tab w:val="left" w:pos="567"/>
        </w:tabs>
        <w:spacing w:before="154" w:line="360" w:lineRule="auto"/>
        <w:ind w:firstLine="723" w:firstLineChars="200"/>
        <w:jc w:val="left"/>
        <w:rPr>
          <w:rFonts w:hint="eastAsia" w:ascii="宋体" w:hAnsi="宋体" w:eastAsia="宋体" w:cs="宋体"/>
          <w:color w:val="auto"/>
          <w:sz w:val="36"/>
          <w:szCs w:val="36"/>
          <w:highlight w:val="none"/>
        </w:rPr>
      </w:pPr>
      <w:r>
        <w:rPr>
          <w:rFonts w:hint="eastAsia" w:ascii="宋体" w:hAnsi="宋体" w:eastAsia="宋体" w:cs="宋体"/>
          <w:b/>
          <w:bCs/>
          <w:color w:val="auto"/>
          <w:sz w:val="36"/>
          <w:szCs w:val="36"/>
          <w:highlight w:val="none"/>
          <w:u w:val="none"/>
        </w:rPr>
        <w:t>代理机构：</w:t>
      </w:r>
      <w:r>
        <w:rPr>
          <w:rFonts w:hint="eastAsia" w:ascii="宋体" w:hAnsi="宋体" w:eastAsia="宋体" w:cs="宋体"/>
          <w:b/>
          <w:bCs/>
          <w:color w:val="auto"/>
          <w:sz w:val="36"/>
          <w:szCs w:val="36"/>
          <w:highlight w:val="none"/>
          <w:u w:val="single"/>
        </w:rPr>
        <w:t>新疆诚信达招标代理有限责任公司</w:t>
      </w:r>
      <w:r>
        <w:rPr>
          <w:rFonts w:hint="eastAsia" w:ascii="宋体" w:hAnsi="宋体" w:cs="宋体"/>
          <w:b/>
          <w:bCs/>
          <w:color w:val="auto"/>
          <w:sz w:val="36"/>
          <w:szCs w:val="36"/>
          <w:highlight w:val="none"/>
          <w:u w:val="single"/>
          <w:lang w:val="en-US" w:eastAsia="zh-CN"/>
        </w:rPr>
        <w:t xml:space="preserve">          </w:t>
      </w:r>
      <w:r>
        <w:rPr>
          <w:rFonts w:hint="eastAsia" w:ascii="宋体" w:hAnsi="宋体" w:cs="宋体"/>
          <w:b/>
          <w:bCs/>
          <w:color w:val="auto"/>
          <w:sz w:val="36"/>
          <w:szCs w:val="36"/>
          <w:highlight w:val="none"/>
          <w:u w:val="none"/>
          <w:lang w:val="en-US" w:eastAsia="zh-CN"/>
        </w:rPr>
        <w:t xml:space="preserve">    </w:t>
      </w:r>
      <w:r>
        <w:rPr>
          <w:rFonts w:hint="eastAsia" w:ascii="宋体" w:hAnsi="宋体" w:cs="宋体"/>
          <w:b/>
          <w:bCs/>
          <w:color w:val="auto"/>
          <w:sz w:val="36"/>
          <w:szCs w:val="36"/>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723" w:firstLineChars="200"/>
        <w:jc w:val="left"/>
        <w:textAlignment w:val="auto"/>
        <w:rPr>
          <w:rFonts w:hint="default" w:ascii="宋体" w:hAnsi="宋体" w:eastAsia="宋体" w:cs="宋体"/>
          <w:b/>
          <w:bCs/>
          <w:color w:val="auto"/>
          <w:sz w:val="36"/>
          <w:szCs w:val="36"/>
          <w:highlight w:val="none"/>
          <w:u w:val="single"/>
          <w:lang w:val="en-US" w:eastAsia="zh-CN"/>
        </w:rPr>
      </w:pPr>
      <w:r>
        <w:rPr>
          <w:rFonts w:hint="eastAsia" w:ascii="宋体" w:hAnsi="宋体" w:eastAsia="宋体" w:cs="宋体"/>
          <w:b/>
          <w:bCs/>
          <w:color w:val="auto"/>
          <w:sz w:val="36"/>
          <w:szCs w:val="36"/>
          <w:highlight w:val="none"/>
          <w:u w:val="none"/>
          <w:lang w:val="en-US" w:eastAsia="zh-CN"/>
        </w:rPr>
        <w:t>日    期：</w:t>
      </w:r>
      <w:r>
        <w:rPr>
          <w:rFonts w:hint="eastAsia" w:ascii="宋体" w:hAnsi="宋体" w:cs="宋体"/>
          <w:b/>
          <w:bCs/>
          <w:color w:val="auto"/>
          <w:sz w:val="36"/>
          <w:szCs w:val="36"/>
          <w:highlight w:val="none"/>
          <w:u w:val="single"/>
          <w:lang w:val="en-US" w:eastAsia="zh-CN"/>
        </w:rPr>
        <w:t>2023</w:t>
      </w:r>
      <w:r>
        <w:rPr>
          <w:rFonts w:hint="eastAsia" w:ascii="宋体" w:hAnsi="宋体" w:eastAsia="宋体" w:cs="宋体"/>
          <w:b/>
          <w:bCs/>
          <w:color w:val="auto"/>
          <w:sz w:val="36"/>
          <w:szCs w:val="36"/>
          <w:highlight w:val="none"/>
          <w:u w:val="single"/>
          <w:lang w:val="en-US" w:eastAsia="zh-CN"/>
        </w:rPr>
        <w:t>年</w:t>
      </w:r>
      <w:r>
        <w:rPr>
          <w:rFonts w:hint="eastAsia" w:ascii="宋体" w:hAnsi="宋体" w:cs="宋体"/>
          <w:b/>
          <w:bCs/>
          <w:color w:val="auto"/>
          <w:sz w:val="36"/>
          <w:szCs w:val="36"/>
          <w:highlight w:val="none"/>
          <w:u w:val="single"/>
          <w:lang w:val="en-US" w:eastAsia="zh-CN"/>
        </w:rPr>
        <w:t>5</w:t>
      </w:r>
      <w:r>
        <w:rPr>
          <w:rFonts w:hint="eastAsia" w:ascii="宋体" w:hAnsi="宋体" w:eastAsia="宋体" w:cs="宋体"/>
          <w:b/>
          <w:bCs/>
          <w:color w:val="auto"/>
          <w:sz w:val="36"/>
          <w:szCs w:val="36"/>
          <w:highlight w:val="none"/>
          <w:u w:val="single"/>
          <w:lang w:val="en-US" w:eastAsia="zh-CN"/>
        </w:rPr>
        <w:t>月</w:t>
      </w:r>
      <w:r>
        <w:rPr>
          <w:rFonts w:hint="eastAsia" w:ascii="宋体" w:hAnsi="宋体" w:cs="宋体"/>
          <w:b/>
          <w:bCs/>
          <w:color w:val="auto"/>
          <w:sz w:val="36"/>
          <w:szCs w:val="36"/>
          <w:highlight w:val="none"/>
          <w:u w:val="single"/>
          <w:lang w:val="en-US" w:eastAsia="zh-CN"/>
        </w:rPr>
        <w:t xml:space="preserve">26 日                            </w:t>
      </w:r>
    </w:p>
    <w:p>
      <w:pPr>
        <w:rPr>
          <w:color w:val="auto"/>
          <w:highlight w:val="none"/>
        </w:rPr>
      </w:pPr>
    </w:p>
    <w:p>
      <w:pPr>
        <w:pStyle w:val="2"/>
        <w:rPr>
          <w:color w:val="auto"/>
          <w:highlight w:val="none"/>
        </w:rPr>
      </w:pPr>
    </w:p>
    <w:p>
      <w:pPr>
        <w:pStyle w:val="32"/>
        <w:rPr>
          <w:color w:val="auto"/>
          <w:highlight w:val="none"/>
        </w:rPr>
        <w:sectPr>
          <w:headerReference r:id="rId4" w:type="first"/>
          <w:footerReference r:id="rId5" w:type="first"/>
          <w:head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720" w:num="1"/>
          <w:titlePg/>
          <w:docGrid w:type="lines" w:linePitch="333" w:charSpace="0"/>
        </w:sectPr>
      </w:pPr>
    </w:p>
    <w:p>
      <w:pPr>
        <w:pStyle w:val="32"/>
        <w:rPr>
          <w:color w:val="auto"/>
          <w:highlight w:val="none"/>
        </w:rPr>
      </w:pPr>
    </w:p>
    <w:p>
      <w:pPr>
        <w:pStyle w:val="19"/>
        <w:jc w:val="center"/>
        <w:rPr>
          <w:rFonts w:ascii="宋体" w:hAnsi="宋体" w:eastAsia="宋体"/>
          <w:color w:val="auto"/>
          <w:highlight w:val="none"/>
        </w:rPr>
      </w:pPr>
      <w:r>
        <w:rPr>
          <w:rFonts w:hint="eastAsia" w:ascii="宋体" w:hAnsi="宋体" w:eastAsia="宋体"/>
          <w:color w:val="auto"/>
          <w:highlight w:val="none"/>
          <w:lang w:val="en-US" w:eastAsia="zh-CN"/>
        </w:rPr>
        <w:t xml:space="preserve">   </w:t>
      </w:r>
      <w:r>
        <w:rPr>
          <w:rFonts w:hint="eastAsia" w:ascii="宋体" w:hAnsi="宋体" w:eastAsia="宋体"/>
          <w:color w:val="auto"/>
          <w:highlight w:val="none"/>
        </w:rPr>
        <w:t>目录</w:t>
      </w:r>
    </w:p>
    <w:p>
      <w:pPr>
        <w:rPr>
          <w:rFonts w:ascii="宋体" w:hAnsi="宋体"/>
          <w:color w:val="auto"/>
          <w:highlight w:val="none"/>
        </w:rPr>
      </w:pPr>
    </w:p>
    <w:p>
      <w:pPr>
        <w:pStyle w:val="19"/>
        <w:spacing w:line="360" w:lineRule="auto"/>
        <w:rPr>
          <w:rFonts w:hint="eastAsia" w:ascii="宋体" w:hAnsi="宋体" w:eastAsia="宋体"/>
          <w:b/>
          <w:bCs w:val="0"/>
          <w:color w:val="auto"/>
          <w:sz w:val="28"/>
          <w:szCs w:val="28"/>
          <w:highlight w:val="none"/>
          <w:lang w:val="en-US" w:eastAsia="zh-CN"/>
        </w:rPr>
      </w:pPr>
      <w:r>
        <w:rPr>
          <w:rFonts w:ascii="宋体" w:hAnsi="宋体" w:eastAsia="宋体"/>
          <w:b/>
          <w:bCs w:val="0"/>
          <w:color w:val="auto"/>
          <w:sz w:val="28"/>
          <w:szCs w:val="28"/>
          <w:highlight w:val="none"/>
        </w:rPr>
        <w:fldChar w:fldCharType="begin"/>
      </w:r>
      <w:r>
        <w:rPr>
          <w:rStyle w:val="31"/>
          <w:rFonts w:ascii="宋体" w:hAnsi="宋体" w:eastAsia="宋体"/>
          <w:b/>
          <w:bCs w:val="0"/>
          <w:color w:val="auto"/>
          <w:sz w:val="28"/>
          <w:szCs w:val="28"/>
          <w:highlight w:val="none"/>
        </w:rPr>
        <w:instrText xml:space="preserve"> TOC \o "1-3" \h \z \u </w:instrText>
      </w:r>
      <w:r>
        <w:rPr>
          <w:rFonts w:ascii="宋体" w:hAnsi="宋体" w:eastAsia="宋体"/>
          <w:b/>
          <w:bCs w:val="0"/>
          <w:color w:val="auto"/>
          <w:sz w:val="28"/>
          <w:szCs w:val="28"/>
          <w:highlight w:val="none"/>
        </w:rPr>
        <w:fldChar w:fldCharType="separate"/>
      </w:r>
      <w:r>
        <w:rPr>
          <w:rFonts w:ascii="宋体" w:hAnsi="宋体" w:eastAsia="宋体"/>
          <w:b/>
          <w:bCs w:val="0"/>
          <w:color w:val="auto"/>
          <w:sz w:val="28"/>
          <w:szCs w:val="28"/>
          <w:highlight w:val="none"/>
        </w:rPr>
        <w:fldChar w:fldCharType="begin"/>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instrText xml:space="preserve">HYPERLINK \l "_Toc497239281"</w:instrText>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fldChar w:fldCharType="separate"/>
      </w:r>
      <w:r>
        <w:rPr>
          <w:rFonts w:hint="eastAsia" w:ascii="宋体" w:hAnsi="宋体" w:eastAsia="宋体"/>
          <w:b/>
          <w:bCs w:val="0"/>
          <w:color w:val="auto"/>
          <w:sz w:val="28"/>
          <w:szCs w:val="28"/>
          <w:highlight w:val="none"/>
          <w:lang w:val="en-US" w:eastAsia="zh-CN"/>
        </w:rPr>
        <w:t>竞争性磋商</w:t>
      </w:r>
      <w:r>
        <w:rPr>
          <w:rStyle w:val="31"/>
          <w:rFonts w:hint="eastAsia" w:ascii="宋体" w:hAnsi="宋体" w:eastAsia="宋体"/>
          <w:b/>
          <w:bCs w:val="0"/>
          <w:color w:val="auto"/>
          <w:sz w:val="28"/>
          <w:szCs w:val="28"/>
          <w:highlight w:val="none"/>
        </w:rPr>
        <w:t>公告</w:t>
      </w:r>
      <w:bookmarkStart w:id="0" w:name="_Hlt497239298"/>
      <w:r>
        <w:rPr>
          <w:rFonts w:ascii="宋体" w:hAnsi="宋体" w:eastAsia="宋体"/>
          <w:b/>
          <w:bCs w:val="0"/>
          <w:color w:val="auto"/>
          <w:sz w:val="28"/>
          <w:szCs w:val="28"/>
          <w:highlight w:val="none"/>
        </w:rPr>
        <w:tab/>
      </w:r>
      <w:bookmarkEnd w:id="0"/>
      <w:r>
        <w:rPr>
          <w:rFonts w:ascii="宋体" w:hAnsi="宋体" w:eastAsia="宋体"/>
          <w:b/>
          <w:bCs w:val="0"/>
          <w:color w:val="auto"/>
          <w:sz w:val="28"/>
          <w:szCs w:val="28"/>
          <w:highlight w:val="none"/>
        </w:rPr>
        <w:fldChar w:fldCharType="end"/>
      </w:r>
      <w:r>
        <w:rPr>
          <w:rFonts w:hint="eastAsia" w:ascii="宋体" w:hAnsi="宋体" w:eastAsia="宋体"/>
          <w:b/>
          <w:bCs w:val="0"/>
          <w:color w:val="auto"/>
          <w:sz w:val="28"/>
          <w:szCs w:val="28"/>
          <w:highlight w:val="none"/>
          <w:lang w:val="en-US" w:eastAsia="zh-CN"/>
        </w:rPr>
        <w:t>1</w:t>
      </w:r>
    </w:p>
    <w:p>
      <w:pPr>
        <w:pStyle w:val="19"/>
        <w:spacing w:line="360" w:lineRule="auto"/>
        <w:rPr>
          <w:rFonts w:hint="eastAsia" w:ascii="宋体" w:hAnsi="宋体" w:eastAsia="宋体"/>
          <w:b/>
          <w:bCs w:val="0"/>
          <w:color w:val="auto"/>
          <w:sz w:val="28"/>
          <w:szCs w:val="28"/>
          <w:highlight w:val="none"/>
          <w:lang w:val="en-US" w:eastAsia="zh-CN"/>
        </w:rPr>
      </w:pPr>
      <w:r>
        <w:rPr>
          <w:rFonts w:ascii="宋体" w:hAnsi="宋体" w:eastAsia="宋体"/>
          <w:b/>
          <w:bCs w:val="0"/>
          <w:color w:val="auto"/>
          <w:sz w:val="28"/>
          <w:szCs w:val="28"/>
          <w:highlight w:val="none"/>
        </w:rPr>
        <w:fldChar w:fldCharType="begin"/>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instrText xml:space="preserve">HYPERLINK \l "_Toc497239282"</w:instrText>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fldChar w:fldCharType="separate"/>
      </w:r>
      <w:r>
        <w:rPr>
          <w:rStyle w:val="31"/>
          <w:rFonts w:hint="eastAsia" w:ascii="宋体" w:hAnsi="宋体" w:eastAsia="宋体"/>
          <w:b/>
          <w:bCs w:val="0"/>
          <w:color w:val="auto"/>
          <w:sz w:val="28"/>
          <w:szCs w:val="28"/>
          <w:highlight w:val="none"/>
        </w:rPr>
        <w:t>第一部</w:t>
      </w:r>
      <w:r>
        <w:rPr>
          <w:rStyle w:val="31"/>
          <w:rFonts w:hint="eastAsia" w:ascii="宋体" w:hAnsi="宋体" w:eastAsia="宋体"/>
          <w:b/>
          <w:bCs w:val="0"/>
          <w:color w:val="auto"/>
          <w:sz w:val="28"/>
          <w:szCs w:val="28"/>
          <w:highlight w:val="none"/>
          <w:lang w:val="en-US" w:eastAsia="zh-CN"/>
        </w:rPr>
        <w:t>分</w:t>
      </w:r>
      <w:r>
        <w:rPr>
          <w:rStyle w:val="31"/>
          <w:rFonts w:ascii="宋体" w:hAnsi="宋体" w:eastAsia="宋体"/>
          <w:b/>
          <w:bCs w:val="0"/>
          <w:color w:val="auto"/>
          <w:sz w:val="28"/>
          <w:szCs w:val="28"/>
          <w:highlight w:val="none"/>
        </w:rPr>
        <w:t xml:space="preserve"> </w:t>
      </w:r>
      <w:r>
        <w:rPr>
          <w:rStyle w:val="31"/>
          <w:rFonts w:hint="eastAsia" w:ascii="宋体" w:hAnsi="宋体" w:eastAsia="宋体"/>
          <w:b/>
          <w:bCs w:val="0"/>
          <w:color w:val="auto"/>
          <w:sz w:val="28"/>
          <w:szCs w:val="28"/>
          <w:highlight w:val="none"/>
        </w:rPr>
        <w:t>投标</w:t>
      </w:r>
      <w:r>
        <w:rPr>
          <w:rStyle w:val="31"/>
          <w:rFonts w:hint="eastAsia" w:ascii="宋体" w:hAnsi="宋体" w:eastAsia="宋体"/>
          <w:b/>
          <w:bCs w:val="0"/>
          <w:color w:val="auto"/>
          <w:sz w:val="28"/>
          <w:szCs w:val="28"/>
          <w:highlight w:val="none"/>
          <w:lang w:val="en-US" w:eastAsia="zh-CN"/>
        </w:rPr>
        <w:t>人</w:t>
      </w:r>
      <w:r>
        <w:rPr>
          <w:rStyle w:val="31"/>
          <w:rFonts w:hint="eastAsia" w:ascii="宋体" w:hAnsi="宋体" w:eastAsia="宋体"/>
          <w:b/>
          <w:bCs w:val="0"/>
          <w:color w:val="auto"/>
          <w:sz w:val="28"/>
          <w:szCs w:val="28"/>
          <w:highlight w:val="none"/>
        </w:rPr>
        <w:t>须知</w:t>
      </w:r>
      <w:r>
        <w:rPr>
          <w:rStyle w:val="31"/>
          <w:rFonts w:hint="eastAsia" w:ascii="宋体" w:hAnsi="宋体" w:eastAsia="宋体"/>
          <w:b/>
          <w:bCs w:val="0"/>
          <w:color w:val="auto"/>
          <w:sz w:val="28"/>
          <w:szCs w:val="28"/>
          <w:highlight w:val="none"/>
          <w:lang w:val="en-US" w:eastAsia="zh-CN"/>
        </w:rPr>
        <w:t>前附表</w:t>
      </w:r>
      <w:r>
        <w:rPr>
          <w:rFonts w:ascii="宋体" w:hAnsi="宋体" w:eastAsia="宋体"/>
          <w:b/>
          <w:bCs w:val="0"/>
          <w:color w:val="auto"/>
          <w:sz w:val="28"/>
          <w:szCs w:val="28"/>
          <w:highlight w:val="none"/>
        </w:rPr>
        <w:tab/>
      </w:r>
      <w:r>
        <w:rPr>
          <w:rFonts w:ascii="宋体" w:hAnsi="宋体" w:eastAsia="宋体"/>
          <w:b/>
          <w:bCs w:val="0"/>
          <w:color w:val="auto"/>
          <w:sz w:val="28"/>
          <w:szCs w:val="28"/>
          <w:highlight w:val="none"/>
        </w:rPr>
        <w:fldChar w:fldCharType="end"/>
      </w:r>
      <w:r>
        <w:rPr>
          <w:rFonts w:hint="eastAsia" w:ascii="宋体" w:hAnsi="宋体" w:eastAsia="宋体"/>
          <w:b/>
          <w:bCs w:val="0"/>
          <w:color w:val="auto"/>
          <w:sz w:val="28"/>
          <w:szCs w:val="28"/>
          <w:highlight w:val="none"/>
          <w:lang w:val="en-US" w:eastAsia="zh-CN"/>
        </w:rPr>
        <w:t>5</w:t>
      </w:r>
    </w:p>
    <w:p>
      <w:pPr>
        <w:pStyle w:val="19"/>
        <w:spacing w:line="360" w:lineRule="auto"/>
        <w:rPr>
          <w:rFonts w:hint="eastAsia" w:ascii="宋体" w:hAnsi="宋体" w:eastAsia="宋体"/>
          <w:b/>
          <w:bCs w:val="0"/>
          <w:color w:val="auto"/>
          <w:sz w:val="28"/>
          <w:szCs w:val="28"/>
          <w:highlight w:val="none"/>
          <w:lang w:val="en-US" w:eastAsia="zh-CN"/>
        </w:rPr>
      </w:pPr>
      <w:r>
        <w:rPr>
          <w:rFonts w:ascii="宋体" w:hAnsi="宋体" w:eastAsia="宋体"/>
          <w:b/>
          <w:bCs w:val="0"/>
          <w:color w:val="auto"/>
          <w:sz w:val="28"/>
          <w:szCs w:val="28"/>
          <w:highlight w:val="none"/>
        </w:rPr>
        <w:fldChar w:fldCharType="begin"/>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instrText xml:space="preserve">HYPERLINK \l "_Toc497239283"</w:instrText>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fldChar w:fldCharType="separate"/>
      </w:r>
      <w:r>
        <w:rPr>
          <w:rStyle w:val="31"/>
          <w:rFonts w:hint="eastAsia" w:ascii="宋体" w:hAnsi="宋体" w:eastAsia="宋体"/>
          <w:b/>
          <w:bCs w:val="0"/>
          <w:color w:val="auto"/>
          <w:sz w:val="28"/>
          <w:szCs w:val="28"/>
          <w:highlight w:val="none"/>
        </w:rPr>
        <w:t>第二部分</w:t>
      </w:r>
      <w:r>
        <w:rPr>
          <w:rStyle w:val="31"/>
          <w:rFonts w:hint="eastAsia" w:ascii="宋体" w:hAnsi="宋体" w:eastAsia="宋体"/>
          <w:b/>
          <w:bCs w:val="0"/>
          <w:color w:val="auto"/>
          <w:sz w:val="28"/>
          <w:szCs w:val="28"/>
          <w:highlight w:val="none"/>
          <w:lang w:val="en-US" w:eastAsia="zh-CN"/>
        </w:rPr>
        <w:t xml:space="preserve"> </w:t>
      </w:r>
      <w:r>
        <w:rPr>
          <w:rStyle w:val="31"/>
          <w:rFonts w:hint="eastAsia" w:ascii="宋体" w:hAnsi="宋体" w:eastAsia="宋体"/>
          <w:b/>
          <w:bCs w:val="0"/>
          <w:color w:val="auto"/>
          <w:sz w:val="28"/>
          <w:szCs w:val="28"/>
          <w:highlight w:val="none"/>
        </w:rPr>
        <w:t>招标说明</w:t>
      </w:r>
      <w:r>
        <w:rPr>
          <w:rFonts w:ascii="宋体" w:hAnsi="宋体" w:eastAsia="宋体"/>
          <w:b/>
          <w:bCs w:val="0"/>
          <w:color w:val="auto"/>
          <w:sz w:val="28"/>
          <w:szCs w:val="28"/>
          <w:highlight w:val="none"/>
        </w:rPr>
        <w:tab/>
      </w:r>
      <w:r>
        <w:rPr>
          <w:rFonts w:ascii="宋体" w:hAnsi="宋体" w:eastAsia="宋体"/>
          <w:b/>
          <w:bCs w:val="0"/>
          <w:color w:val="auto"/>
          <w:sz w:val="28"/>
          <w:szCs w:val="28"/>
          <w:highlight w:val="none"/>
        </w:rPr>
        <w:fldChar w:fldCharType="end"/>
      </w:r>
      <w:r>
        <w:rPr>
          <w:rFonts w:hint="eastAsia" w:ascii="宋体" w:hAnsi="宋体" w:eastAsia="宋体"/>
          <w:b/>
          <w:bCs w:val="0"/>
          <w:color w:val="auto"/>
          <w:sz w:val="28"/>
          <w:szCs w:val="28"/>
          <w:highlight w:val="none"/>
          <w:lang w:val="en-US" w:eastAsia="zh-CN"/>
        </w:rPr>
        <w:t>8</w:t>
      </w:r>
    </w:p>
    <w:p>
      <w:pPr>
        <w:pStyle w:val="21"/>
        <w:spacing w:line="360" w:lineRule="auto"/>
        <w:rPr>
          <w:rFonts w:hint="eastAsia" w:ascii="宋体" w:hAnsi="宋体" w:eastAsia="宋体"/>
          <w:b/>
          <w:bCs w:val="0"/>
          <w:color w:val="auto"/>
          <w:sz w:val="28"/>
          <w:szCs w:val="28"/>
          <w:highlight w:val="none"/>
          <w:lang w:val="en-US" w:eastAsia="zh-CN"/>
        </w:rPr>
      </w:pPr>
      <w:r>
        <w:rPr>
          <w:rFonts w:ascii="宋体" w:hAnsi="宋体"/>
          <w:b/>
          <w:bCs w:val="0"/>
          <w:color w:val="auto"/>
          <w:sz w:val="28"/>
          <w:szCs w:val="28"/>
          <w:highlight w:val="none"/>
        </w:rPr>
        <w:fldChar w:fldCharType="begin"/>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instrText xml:space="preserve">HYPERLINK \l "_Toc497239284"</w:instrText>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fldChar w:fldCharType="separate"/>
      </w:r>
      <w:r>
        <w:rPr>
          <w:rStyle w:val="31"/>
          <w:rFonts w:hint="eastAsia" w:ascii="宋体" w:hAnsi="宋体"/>
          <w:b/>
          <w:bCs w:val="0"/>
          <w:color w:val="auto"/>
          <w:sz w:val="28"/>
          <w:szCs w:val="28"/>
          <w:highlight w:val="none"/>
        </w:rPr>
        <w:t>第一章</w:t>
      </w:r>
      <w:r>
        <w:rPr>
          <w:rStyle w:val="31"/>
          <w:rFonts w:hint="eastAsia" w:ascii="宋体" w:hAnsi="宋体"/>
          <w:b/>
          <w:bCs w:val="0"/>
          <w:color w:val="auto"/>
          <w:sz w:val="28"/>
          <w:szCs w:val="28"/>
          <w:highlight w:val="none"/>
          <w:lang w:val="en-US" w:eastAsia="zh-CN"/>
        </w:rPr>
        <w:t xml:space="preserve"> </w:t>
      </w:r>
      <w:r>
        <w:rPr>
          <w:rStyle w:val="31"/>
          <w:rFonts w:hint="eastAsia" w:ascii="宋体" w:hAnsi="宋体"/>
          <w:b/>
          <w:bCs w:val="0"/>
          <w:color w:val="auto"/>
          <w:sz w:val="28"/>
          <w:szCs w:val="28"/>
          <w:highlight w:val="none"/>
        </w:rPr>
        <w:t>总则</w:t>
      </w:r>
      <w:r>
        <w:rPr>
          <w:rFonts w:ascii="宋体" w:hAnsi="宋体"/>
          <w:b/>
          <w:bCs w:val="0"/>
          <w:color w:val="auto"/>
          <w:sz w:val="28"/>
          <w:szCs w:val="28"/>
          <w:highlight w:val="none"/>
        </w:rPr>
        <w:tab/>
      </w:r>
      <w:r>
        <w:rPr>
          <w:rFonts w:ascii="宋体" w:hAnsi="宋体"/>
          <w:b/>
          <w:bCs w:val="0"/>
          <w:color w:val="auto"/>
          <w:sz w:val="28"/>
          <w:szCs w:val="28"/>
          <w:highlight w:val="none"/>
        </w:rPr>
        <w:fldChar w:fldCharType="end"/>
      </w:r>
      <w:r>
        <w:rPr>
          <w:rFonts w:hint="eastAsia" w:ascii="宋体" w:hAnsi="宋体"/>
          <w:b/>
          <w:bCs w:val="0"/>
          <w:color w:val="auto"/>
          <w:sz w:val="28"/>
          <w:szCs w:val="28"/>
          <w:highlight w:val="none"/>
          <w:lang w:val="en-US" w:eastAsia="zh-CN"/>
        </w:rPr>
        <w:t>8</w:t>
      </w:r>
    </w:p>
    <w:p>
      <w:pPr>
        <w:pStyle w:val="21"/>
        <w:spacing w:line="360" w:lineRule="auto"/>
        <w:rPr>
          <w:rFonts w:hint="default" w:ascii="宋体" w:hAnsi="宋体" w:eastAsia="宋体"/>
          <w:b/>
          <w:bCs w:val="0"/>
          <w:color w:val="auto"/>
          <w:sz w:val="28"/>
          <w:szCs w:val="28"/>
          <w:highlight w:val="none"/>
          <w:lang w:val="en-US" w:eastAsia="zh-CN"/>
        </w:rPr>
      </w:pPr>
      <w:r>
        <w:rPr>
          <w:rFonts w:ascii="宋体" w:hAnsi="宋体"/>
          <w:b/>
          <w:bCs w:val="0"/>
          <w:color w:val="auto"/>
          <w:sz w:val="28"/>
          <w:szCs w:val="28"/>
          <w:highlight w:val="none"/>
        </w:rPr>
        <w:fldChar w:fldCharType="begin"/>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instrText xml:space="preserve">HYPERLINK \l "_Toc497239285"</w:instrText>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fldChar w:fldCharType="separate"/>
      </w:r>
      <w:r>
        <w:rPr>
          <w:rStyle w:val="31"/>
          <w:rFonts w:hint="eastAsia" w:ascii="宋体" w:hAnsi="宋体"/>
          <w:b/>
          <w:bCs w:val="0"/>
          <w:color w:val="auto"/>
          <w:sz w:val="28"/>
          <w:szCs w:val="28"/>
          <w:highlight w:val="none"/>
        </w:rPr>
        <w:t>第二章</w:t>
      </w:r>
      <w:r>
        <w:rPr>
          <w:rStyle w:val="31"/>
          <w:rFonts w:hint="eastAsia" w:ascii="宋体" w:hAnsi="宋体"/>
          <w:b/>
          <w:bCs w:val="0"/>
          <w:color w:val="auto"/>
          <w:sz w:val="28"/>
          <w:szCs w:val="28"/>
          <w:highlight w:val="none"/>
          <w:lang w:val="en-US" w:eastAsia="zh-CN"/>
        </w:rPr>
        <w:t xml:space="preserve"> 磋商文件</w:t>
      </w:r>
      <w:r>
        <w:rPr>
          <w:rFonts w:ascii="宋体" w:hAnsi="宋体"/>
          <w:b/>
          <w:bCs w:val="0"/>
          <w:color w:val="auto"/>
          <w:sz w:val="28"/>
          <w:szCs w:val="28"/>
          <w:highlight w:val="none"/>
        </w:rPr>
        <w:tab/>
      </w:r>
      <w:r>
        <w:rPr>
          <w:rFonts w:ascii="宋体" w:hAnsi="宋体"/>
          <w:b/>
          <w:bCs w:val="0"/>
          <w:color w:val="auto"/>
          <w:sz w:val="28"/>
          <w:szCs w:val="28"/>
          <w:highlight w:val="none"/>
        </w:rPr>
        <w:fldChar w:fldCharType="end"/>
      </w:r>
      <w:r>
        <w:rPr>
          <w:rFonts w:hint="eastAsia" w:ascii="宋体" w:hAnsi="宋体"/>
          <w:b/>
          <w:bCs w:val="0"/>
          <w:color w:val="auto"/>
          <w:sz w:val="28"/>
          <w:szCs w:val="28"/>
          <w:highlight w:val="none"/>
          <w:lang w:val="en-US" w:eastAsia="zh-CN"/>
        </w:rPr>
        <w:t>10</w:t>
      </w:r>
    </w:p>
    <w:p>
      <w:pPr>
        <w:pStyle w:val="19"/>
        <w:spacing w:line="360" w:lineRule="auto"/>
        <w:rPr>
          <w:rFonts w:hint="default" w:ascii="宋体" w:hAnsi="宋体" w:eastAsia="宋体"/>
          <w:b/>
          <w:bCs w:val="0"/>
          <w:color w:val="auto"/>
          <w:sz w:val="28"/>
          <w:szCs w:val="28"/>
          <w:highlight w:val="none"/>
          <w:lang w:val="en-US" w:eastAsia="zh-CN"/>
        </w:rPr>
      </w:pPr>
      <w:r>
        <w:rPr>
          <w:rFonts w:ascii="宋体" w:hAnsi="宋体" w:eastAsia="宋体"/>
          <w:b/>
          <w:bCs w:val="0"/>
          <w:color w:val="auto"/>
          <w:sz w:val="28"/>
          <w:szCs w:val="28"/>
          <w:highlight w:val="none"/>
        </w:rPr>
        <w:fldChar w:fldCharType="begin"/>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instrText xml:space="preserve">HYPERLINK \l "_Toc497239286"</w:instrText>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fldChar w:fldCharType="separate"/>
      </w:r>
      <w:r>
        <w:rPr>
          <w:rStyle w:val="31"/>
          <w:rFonts w:hint="eastAsia" w:ascii="宋体" w:hAnsi="宋体" w:eastAsia="宋体"/>
          <w:b/>
          <w:bCs w:val="0"/>
          <w:color w:val="auto"/>
          <w:sz w:val="28"/>
          <w:szCs w:val="28"/>
          <w:highlight w:val="none"/>
        </w:rPr>
        <w:t>第三部分</w:t>
      </w:r>
      <w:r>
        <w:rPr>
          <w:rStyle w:val="31"/>
          <w:rFonts w:hint="eastAsia" w:ascii="宋体" w:hAnsi="宋体" w:eastAsia="宋体"/>
          <w:b/>
          <w:bCs w:val="0"/>
          <w:color w:val="auto"/>
          <w:sz w:val="28"/>
          <w:szCs w:val="28"/>
          <w:highlight w:val="none"/>
          <w:lang w:val="en-US" w:eastAsia="zh-CN"/>
        </w:rPr>
        <w:t xml:space="preserve"> </w:t>
      </w:r>
      <w:r>
        <w:rPr>
          <w:rStyle w:val="31"/>
          <w:rFonts w:hint="eastAsia" w:ascii="宋体" w:hAnsi="宋体" w:eastAsia="宋体"/>
          <w:b/>
          <w:bCs w:val="0"/>
          <w:color w:val="auto"/>
          <w:sz w:val="28"/>
          <w:szCs w:val="28"/>
          <w:highlight w:val="none"/>
        </w:rPr>
        <w:t>投标说明</w:t>
      </w:r>
      <w:r>
        <w:rPr>
          <w:rFonts w:ascii="宋体" w:hAnsi="宋体" w:eastAsia="宋体"/>
          <w:b/>
          <w:bCs w:val="0"/>
          <w:color w:val="auto"/>
          <w:sz w:val="28"/>
          <w:szCs w:val="28"/>
          <w:highlight w:val="none"/>
        </w:rPr>
        <w:tab/>
      </w:r>
      <w:r>
        <w:rPr>
          <w:rFonts w:ascii="宋体" w:hAnsi="宋体" w:eastAsia="宋体"/>
          <w:b/>
          <w:bCs w:val="0"/>
          <w:color w:val="auto"/>
          <w:sz w:val="28"/>
          <w:szCs w:val="28"/>
          <w:highlight w:val="none"/>
        </w:rPr>
        <w:fldChar w:fldCharType="end"/>
      </w:r>
      <w:r>
        <w:rPr>
          <w:rFonts w:hint="eastAsia" w:ascii="宋体" w:hAnsi="宋体" w:eastAsia="宋体"/>
          <w:b/>
          <w:bCs w:val="0"/>
          <w:color w:val="auto"/>
          <w:sz w:val="28"/>
          <w:szCs w:val="28"/>
          <w:highlight w:val="none"/>
          <w:lang w:val="en-US" w:eastAsia="zh-CN"/>
        </w:rPr>
        <w:t>11</w:t>
      </w:r>
    </w:p>
    <w:p>
      <w:pPr>
        <w:pStyle w:val="21"/>
        <w:spacing w:line="360" w:lineRule="auto"/>
        <w:rPr>
          <w:rFonts w:hint="default" w:ascii="宋体" w:hAnsi="宋体" w:eastAsia="宋体"/>
          <w:b/>
          <w:bCs w:val="0"/>
          <w:color w:val="auto"/>
          <w:sz w:val="28"/>
          <w:szCs w:val="28"/>
          <w:highlight w:val="none"/>
          <w:lang w:val="en-US" w:eastAsia="zh-CN"/>
        </w:rPr>
      </w:pPr>
      <w:r>
        <w:rPr>
          <w:rFonts w:ascii="宋体" w:hAnsi="宋体"/>
          <w:b/>
          <w:bCs w:val="0"/>
          <w:color w:val="auto"/>
          <w:sz w:val="28"/>
          <w:szCs w:val="28"/>
          <w:highlight w:val="none"/>
        </w:rPr>
        <w:fldChar w:fldCharType="begin"/>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instrText xml:space="preserve">HYPERLINK \l "_Toc497239287"</w:instrText>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fldChar w:fldCharType="separate"/>
      </w:r>
      <w:r>
        <w:rPr>
          <w:rStyle w:val="31"/>
          <w:rFonts w:hint="eastAsia" w:ascii="宋体" w:hAnsi="宋体"/>
          <w:b/>
          <w:bCs w:val="0"/>
          <w:color w:val="auto"/>
          <w:sz w:val="28"/>
          <w:szCs w:val="28"/>
          <w:highlight w:val="none"/>
        </w:rPr>
        <w:t>第一章</w:t>
      </w:r>
      <w:r>
        <w:rPr>
          <w:rStyle w:val="31"/>
          <w:rFonts w:hint="eastAsia" w:ascii="宋体" w:hAnsi="宋体"/>
          <w:b/>
          <w:bCs w:val="0"/>
          <w:color w:val="auto"/>
          <w:sz w:val="28"/>
          <w:szCs w:val="28"/>
          <w:highlight w:val="none"/>
          <w:lang w:val="en-US" w:eastAsia="zh-CN"/>
        </w:rPr>
        <w:t xml:space="preserve"> </w:t>
      </w:r>
      <w:r>
        <w:rPr>
          <w:rStyle w:val="31"/>
          <w:rFonts w:hint="eastAsia" w:ascii="宋体" w:hAnsi="宋体"/>
          <w:b/>
          <w:bCs w:val="0"/>
          <w:color w:val="auto"/>
          <w:sz w:val="28"/>
          <w:szCs w:val="28"/>
          <w:highlight w:val="none"/>
        </w:rPr>
        <w:t>对投标人的资质要求</w:t>
      </w:r>
      <w:r>
        <w:rPr>
          <w:rFonts w:ascii="宋体" w:hAnsi="宋体"/>
          <w:b/>
          <w:bCs w:val="0"/>
          <w:color w:val="auto"/>
          <w:sz w:val="28"/>
          <w:szCs w:val="28"/>
          <w:highlight w:val="none"/>
        </w:rPr>
        <w:tab/>
      </w:r>
      <w:r>
        <w:rPr>
          <w:rFonts w:ascii="宋体" w:hAnsi="宋体"/>
          <w:b/>
          <w:bCs w:val="0"/>
          <w:color w:val="auto"/>
          <w:sz w:val="28"/>
          <w:szCs w:val="28"/>
          <w:highlight w:val="none"/>
        </w:rPr>
        <w:fldChar w:fldCharType="end"/>
      </w:r>
      <w:r>
        <w:rPr>
          <w:rFonts w:hint="eastAsia" w:ascii="宋体" w:hAnsi="宋体"/>
          <w:b/>
          <w:bCs w:val="0"/>
          <w:color w:val="auto"/>
          <w:sz w:val="28"/>
          <w:szCs w:val="28"/>
          <w:highlight w:val="none"/>
          <w:lang w:val="en-US" w:eastAsia="zh-CN"/>
        </w:rPr>
        <w:t>11</w:t>
      </w:r>
    </w:p>
    <w:p>
      <w:pPr>
        <w:pStyle w:val="21"/>
        <w:spacing w:line="360" w:lineRule="auto"/>
        <w:rPr>
          <w:rFonts w:hint="default" w:ascii="宋体" w:hAnsi="宋体" w:eastAsia="宋体"/>
          <w:b/>
          <w:bCs w:val="0"/>
          <w:color w:val="auto"/>
          <w:sz w:val="28"/>
          <w:szCs w:val="28"/>
          <w:highlight w:val="none"/>
          <w:lang w:val="en-US" w:eastAsia="zh-CN"/>
        </w:rPr>
      </w:pPr>
      <w:r>
        <w:rPr>
          <w:rFonts w:ascii="宋体" w:hAnsi="宋体"/>
          <w:b/>
          <w:bCs w:val="0"/>
          <w:color w:val="auto"/>
          <w:sz w:val="28"/>
          <w:szCs w:val="28"/>
          <w:highlight w:val="none"/>
        </w:rPr>
        <w:fldChar w:fldCharType="begin"/>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instrText xml:space="preserve">HYPERLINK \l "_Toc497239288"</w:instrText>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fldChar w:fldCharType="separate"/>
      </w:r>
      <w:r>
        <w:rPr>
          <w:rStyle w:val="31"/>
          <w:rFonts w:hint="eastAsia" w:ascii="宋体" w:hAnsi="宋体"/>
          <w:b/>
          <w:bCs w:val="0"/>
          <w:color w:val="auto"/>
          <w:sz w:val="28"/>
          <w:szCs w:val="28"/>
          <w:highlight w:val="none"/>
        </w:rPr>
        <w:t>第二章</w:t>
      </w:r>
      <w:r>
        <w:rPr>
          <w:rStyle w:val="31"/>
          <w:rFonts w:hint="eastAsia" w:ascii="宋体" w:hAnsi="宋体"/>
          <w:b/>
          <w:bCs w:val="0"/>
          <w:color w:val="auto"/>
          <w:sz w:val="28"/>
          <w:szCs w:val="28"/>
          <w:highlight w:val="none"/>
          <w:lang w:val="en-US" w:eastAsia="zh-CN"/>
        </w:rPr>
        <w:t xml:space="preserve"> 投标文件</w:t>
      </w:r>
      <w:r>
        <w:rPr>
          <w:rStyle w:val="31"/>
          <w:rFonts w:hint="eastAsia" w:ascii="宋体" w:hAnsi="宋体"/>
          <w:b/>
          <w:bCs w:val="0"/>
          <w:color w:val="auto"/>
          <w:sz w:val="28"/>
          <w:szCs w:val="28"/>
          <w:highlight w:val="none"/>
        </w:rPr>
        <w:t>的编写</w:t>
      </w:r>
      <w:r>
        <w:rPr>
          <w:rFonts w:ascii="宋体" w:hAnsi="宋体"/>
          <w:b/>
          <w:bCs w:val="0"/>
          <w:color w:val="auto"/>
          <w:sz w:val="28"/>
          <w:szCs w:val="28"/>
          <w:highlight w:val="none"/>
        </w:rPr>
        <w:tab/>
      </w:r>
      <w:r>
        <w:rPr>
          <w:rFonts w:ascii="宋体" w:hAnsi="宋体"/>
          <w:b/>
          <w:bCs w:val="0"/>
          <w:color w:val="auto"/>
          <w:sz w:val="28"/>
          <w:szCs w:val="28"/>
          <w:highlight w:val="none"/>
        </w:rPr>
        <w:fldChar w:fldCharType="end"/>
      </w:r>
      <w:r>
        <w:rPr>
          <w:rFonts w:hint="eastAsia" w:ascii="宋体" w:hAnsi="宋体"/>
          <w:b/>
          <w:bCs w:val="0"/>
          <w:color w:val="auto"/>
          <w:sz w:val="28"/>
          <w:szCs w:val="28"/>
          <w:highlight w:val="none"/>
          <w:lang w:val="en-US" w:eastAsia="zh-CN"/>
        </w:rPr>
        <w:t>12</w:t>
      </w:r>
    </w:p>
    <w:p>
      <w:pPr>
        <w:pStyle w:val="21"/>
        <w:spacing w:line="360" w:lineRule="auto"/>
        <w:rPr>
          <w:rFonts w:hint="default" w:ascii="宋体" w:hAnsi="宋体" w:eastAsia="宋体"/>
          <w:b/>
          <w:bCs w:val="0"/>
          <w:color w:val="auto"/>
          <w:sz w:val="28"/>
          <w:szCs w:val="28"/>
          <w:highlight w:val="none"/>
          <w:lang w:val="en-US" w:eastAsia="zh-CN"/>
        </w:rPr>
      </w:pPr>
      <w:r>
        <w:rPr>
          <w:rFonts w:ascii="宋体" w:hAnsi="宋体"/>
          <w:b/>
          <w:bCs w:val="0"/>
          <w:color w:val="auto"/>
          <w:sz w:val="28"/>
          <w:szCs w:val="28"/>
          <w:highlight w:val="none"/>
        </w:rPr>
        <w:fldChar w:fldCharType="begin"/>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instrText xml:space="preserve">HYPERLINK \l "_Toc497239289"</w:instrText>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fldChar w:fldCharType="separate"/>
      </w:r>
      <w:r>
        <w:rPr>
          <w:rStyle w:val="31"/>
          <w:rFonts w:hint="eastAsia" w:ascii="宋体" w:hAnsi="宋体"/>
          <w:b/>
          <w:bCs w:val="0"/>
          <w:color w:val="auto"/>
          <w:sz w:val="28"/>
          <w:szCs w:val="28"/>
          <w:highlight w:val="none"/>
        </w:rPr>
        <w:t>第三章</w:t>
      </w:r>
      <w:r>
        <w:rPr>
          <w:rStyle w:val="31"/>
          <w:rFonts w:hint="eastAsia" w:ascii="宋体" w:hAnsi="宋体"/>
          <w:b/>
          <w:bCs w:val="0"/>
          <w:color w:val="auto"/>
          <w:sz w:val="28"/>
          <w:szCs w:val="28"/>
          <w:highlight w:val="none"/>
          <w:lang w:val="en-US" w:eastAsia="zh-CN"/>
        </w:rPr>
        <w:t xml:space="preserve"> 投标文件</w:t>
      </w:r>
      <w:r>
        <w:rPr>
          <w:rStyle w:val="31"/>
          <w:rFonts w:hint="eastAsia" w:ascii="宋体" w:hAnsi="宋体"/>
          <w:b/>
          <w:bCs w:val="0"/>
          <w:color w:val="auto"/>
          <w:sz w:val="28"/>
          <w:szCs w:val="28"/>
          <w:highlight w:val="none"/>
        </w:rPr>
        <w:t>的递交</w:t>
      </w:r>
      <w:r>
        <w:rPr>
          <w:rFonts w:ascii="宋体" w:hAnsi="宋体"/>
          <w:b/>
          <w:bCs w:val="0"/>
          <w:color w:val="auto"/>
          <w:sz w:val="28"/>
          <w:szCs w:val="28"/>
          <w:highlight w:val="none"/>
        </w:rPr>
        <w:tab/>
      </w:r>
      <w:r>
        <w:rPr>
          <w:rFonts w:ascii="宋体" w:hAnsi="宋体"/>
          <w:b/>
          <w:bCs w:val="0"/>
          <w:color w:val="auto"/>
          <w:sz w:val="28"/>
          <w:szCs w:val="28"/>
          <w:highlight w:val="none"/>
        </w:rPr>
        <w:fldChar w:fldCharType="end"/>
      </w:r>
      <w:r>
        <w:rPr>
          <w:rFonts w:hint="eastAsia" w:ascii="宋体" w:hAnsi="宋体"/>
          <w:b/>
          <w:bCs w:val="0"/>
          <w:color w:val="auto"/>
          <w:sz w:val="28"/>
          <w:szCs w:val="28"/>
          <w:highlight w:val="none"/>
          <w:lang w:val="en-US" w:eastAsia="zh-CN"/>
        </w:rPr>
        <w:t>17</w:t>
      </w:r>
    </w:p>
    <w:p>
      <w:pPr>
        <w:pStyle w:val="21"/>
        <w:spacing w:line="360" w:lineRule="auto"/>
        <w:rPr>
          <w:rFonts w:hint="default" w:ascii="宋体" w:hAnsi="宋体" w:eastAsia="宋体"/>
          <w:b/>
          <w:bCs w:val="0"/>
          <w:color w:val="auto"/>
          <w:sz w:val="28"/>
          <w:szCs w:val="28"/>
          <w:highlight w:val="none"/>
          <w:lang w:val="en-US" w:eastAsia="zh-CN"/>
        </w:rPr>
      </w:pPr>
      <w:r>
        <w:rPr>
          <w:rFonts w:ascii="宋体" w:hAnsi="宋体"/>
          <w:b/>
          <w:bCs w:val="0"/>
          <w:color w:val="auto"/>
          <w:sz w:val="28"/>
          <w:szCs w:val="28"/>
          <w:highlight w:val="none"/>
        </w:rPr>
        <w:fldChar w:fldCharType="begin"/>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instrText xml:space="preserve">HYPERLINK \l "_Toc497239290"</w:instrText>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fldChar w:fldCharType="separate"/>
      </w:r>
      <w:r>
        <w:rPr>
          <w:rStyle w:val="31"/>
          <w:rFonts w:hint="eastAsia" w:ascii="宋体" w:hAnsi="宋体"/>
          <w:b/>
          <w:bCs w:val="0"/>
          <w:color w:val="auto"/>
          <w:sz w:val="28"/>
          <w:szCs w:val="28"/>
          <w:highlight w:val="none"/>
        </w:rPr>
        <w:t>第四章</w:t>
      </w:r>
      <w:r>
        <w:rPr>
          <w:rStyle w:val="31"/>
          <w:rFonts w:hint="eastAsia" w:ascii="宋体" w:hAnsi="宋体"/>
          <w:b/>
          <w:bCs w:val="0"/>
          <w:color w:val="auto"/>
          <w:sz w:val="28"/>
          <w:szCs w:val="28"/>
          <w:highlight w:val="none"/>
          <w:lang w:val="en-US" w:eastAsia="zh-CN"/>
        </w:rPr>
        <w:t xml:space="preserve"> 磋商小组</w:t>
      </w:r>
      <w:r>
        <w:rPr>
          <w:rFonts w:ascii="宋体" w:hAnsi="宋体"/>
          <w:b/>
          <w:bCs w:val="0"/>
          <w:color w:val="auto"/>
          <w:sz w:val="28"/>
          <w:szCs w:val="28"/>
          <w:highlight w:val="none"/>
        </w:rPr>
        <w:tab/>
      </w:r>
      <w:r>
        <w:rPr>
          <w:rFonts w:ascii="宋体" w:hAnsi="宋体"/>
          <w:b/>
          <w:bCs w:val="0"/>
          <w:color w:val="auto"/>
          <w:sz w:val="28"/>
          <w:szCs w:val="28"/>
          <w:highlight w:val="none"/>
        </w:rPr>
        <w:fldChar w:fldCharType="end"/>
      </w:r>
      <w:r>
        <w:rPr>
          <w:rFonts w:hint="eastAsia" w:ascii="宋体" w:hAnsi="宋体"/>
          <w:b/>
          <w:bCs w:val="0"/>
          <w:color w:val="auto"/>
          <w:sz w:val="28"/>
          <w:szCs w:val="28"/>
          <w:highlight w:val="none"/>
          <w:lang w:val="en-US" w:eastAsia="zh-CN"/>
        </w:rPr>
        <w:t>17</w:t>
      </w:r>
    </w:p>
    <w:p>
      <w:pPr>
        <w:pStyle w:val="21"/>
        <w:spacing w:line="360" w:lineRule="auto"/>
        <w:rPr>
          <w:rFonts w:hint="default" w:ascii="宋体" w:hAnsi="宋体" w:eastAsia="宋体"/>
          <w:b/>
          <w:bCs w:val="0"/>
          <w:color w:val="auto"/>
          <w:sz w:val="28"/>
          <w:szCs w:val="28"/>
          <w:highlight w:val="none"/>
          <w:lang w:val="en-US" w:eastAsia="zh-CN"/>
        </w:rPr>
      </w:pPr>
      <w:r>
        <w:rPr>
          <w:rFonts w:ascii="宋体" w:hAnsi="宋体"/>
          <w:b/>
          <w:bCs w:val="0"/>
          <w:color w:val="auto"/>
          <w:sz w:val="28"/>
          <w:szCs w:val="28"/>
          <w:highlight w:val="none"/>
        </w:rPr>
        <w:fldChar w:fldCharType="begin"/>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instrText xml:space="preserve">HYPERLINK \l "_Toc497239291"</w:instrText>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fldChar w:fldCharType="separate"/>
      </w:r>
      <w:r>
        <w:rPr>
          <w:rStyle w:val="31"/>
          <w:rFonts w:hint="eastAsia" w:ascii="宋体" w:hAnsi="宋体"/>
          <w:b/>
          <w:bCs w:val="0"/>
          <w:color w:val="auto"/>
          <w:sz w:val="28"/>
          <w:szCs w:val="28"/>
          <w:highlight w:val="none"/>
        </w:rPr>
        <w:t>第五章</w:t>
      </w:r>
      <w:r>
        <w:rPr>
          <w:rStyle w:val="31"/>
          <w:rFonts w:hint="eastAsia" w:ascii="宋体" w:hAnsi="宋体"/>
          <w:b/>
          <w:bCs w:val="0"/>
          <w:color w:val="auto"/>
          <w:sz w:val="28"/>
          <w:szCs w:val="28"/>
          <w:highlight w:val="none"/>
          <w:lang w:val="en-US" w:eastAsia="zh-CN"/>
        </w:rPr>
        <w:t xml:space="preserve"> </w:t>
      </w:r>
      <w:r>
        <w:rPr>
          <w:rStyle w:val="31"/>
          <w:rFonts w:hint="eastAsia" w:ascii="宋体" w:hAnsi="宋体"/>
          <w:b/>
          <w:bCs w:val="0"/>
          <w:color w:val="auto"/>
          <w:sz w:val="28"/>
          <w:szCs w:val="28"/>
          <w:highlight w:val="none"/>
        </w:rPr>
        <w:t>开　标</w:t>
      </w:r>
      <w:r>
        <w:rPr>
          <w:rFonts w:ascii="宋体" w:hAnsi="宋体"/>
          <w:b/>
          <w:bCs w:val="0"/>
          <w:color w:val="auto"/>
          <w:sz w:val="28"/>
          <w:szCs w:val="28"/>
          <w:highlight w:val="none"/>
        </w:rPr>
        <w:tab/>
      </w:r>
      <w:r>
        <w:rPr>
          <w:rFonts w:ascii="宋体" w:hAnsi="宋体"/>
          <w:b/>
          <w:bCs w:val="0"/>
          <w:color w:val="auto"/>
          <w:sz w:val="28"/>
          <w:szCs w:val="28"/>
          <w:highlight w:val="none"/>
        </w:rPr>
        <w:fldChar w:fldCharType="end"/>
      </w:r>
      <w:r>
        <w:rPr>
          <w:rFonts w:hint="eastAsia" w:ascii="宋体" w:hAnsi="宋体"/>
          <w:b/>
          <w:bCs w:val="0"/>
          <w:color w:val="auto"/>
          <w:sz w:val="28"/>
          <w:szCs w:val="28"/>
          <w:highlight w:val="none"/>
          <w:lang w:val="en-US" w:eastAsia="zh-CN"/>
        </w:rPr>
        <w:t>19</w:t>
      </w:r>
    </w:p>
    <w:p>
      <w:pPr>
        <w:pStyle w:val="21"/>
        <w:spacing w:line="360" w:lineRule="auto"/>
        <w:rPr>
          <w:rFonts w:hint="default" w:ascii="宋体" w:hAnsi="宋体" w:eastAsia="宋体"/>
          <w:b/>
          <w:bCs w:val="0"/>
          <w:color w:val="auto"/>
          <w:sz w:val="28"/>
          <w:szCs w:val="28"/>
          <w:highlight w:val="none"/>
          <w:lang w:val="en-US" w:eastAsia="zh-CN"/>
        </w:rPr>
      </w:pPr>
      <w:r>
        <w:rPr>
          <w:rFonts w:ascii="宋体" w:hAnsi="宋体"/>
          <w:b/>
          <w:bCs w:val="0"/>
          <w:color w:val="auto"/>
          <w:sz w:val="28"/>
          <w:szCs w:val="28"/>
          <w:highlight w:val="none"/>
        </w:rPr>
        <w:fldChar w:fldCharType="begin"/>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instrText xml:space="preserve">HYPERLINK \l "_Toc497239292"</w:instrText>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fldChar w:fldCharType="separate"/>
      </w:r>
      <w:r>
        <w:rPr>
          <w:rStyle w:val="31"/>
          <w:rFonts w:hint="eastAsia" w:ascii="宋体" w:hAnsi="宋体"/>
          <w:b/>
          <w:bCs w:val="0"/>
          <w:color w:val="auto"/>
          <w:sz w:val="28"/>
          <w:szCs w:val="28"/>
          <w:highlight w:val="none"/>
        </w:rPr>
        <w:t>第六章</w:t>
      </w:r>
      <w:r>
        <w:rPr>
          <w:rStyle w:val="31"/>
          <w:rFonts w:hint="eastAsia" w:ascii="宋体" w:hAnsi="宋体"/>
          <w:b/>
          <w:bCs w:val="0"/>
          <w:color w:val="auto"/>
          <w:sz w:val="28"/>
          <w:szCs w:val="28"/>
          <w:highlight w:val="none"/>
          <w:lang w:val="en-US" w:eastAsia="zh-CN"/>
        </w:rPr>
        <w:t xml:space="preserve"> </w:t>
      </w:r>
      <w:r>
        <w:rPr>
          <w:rStyle w:val="31"/>
          <w:rFonts w:hint="eastAsia" w:ascii="宋体" w:hAnsi="宋体"/>
          <w:b/>
          <w:bCs w:val="0"/>
          <w:color w:val="auto"/>
          <w:sz w:val="28"/>
          <w:szCs w:val="28"/>
          <w:highlight w:val="none"/>
        </w:rPr>
        <w:t>评　标</w:t>
      </w:r>
      <w:r>
        <w:rPr>
          <w:rFonts w:ascii="宋体" w:hAnsi="宋体"/>
          <w:b/>
          <w:bCs w:val="0"/>
          <w:color w:val="auto"/>
          <w:sz w:val="28"/>
          <w:szCs w:val="28"/>
          <w:highlight w:val="none"/>
        </w:rPr>
        <w:tab/>
      </w:r>
      <w:r>
        <w:rPr>
          <w:rFonts w:ascii="宋体" w:hAnsi="宋体"/>
          <w:b/>
          <w:bCs w:val="0"/>
          <w:color w:val="auto"/>
          <w:sz w:val="28"/>
          <w:szCs w:val="28"/>
          <w:highlight w:val="none"/>
        </w:rPr>
        <w:fldChar w:fldCharType="end"/>
      </w:r>
      <w:r>
        <w:rPr>
          <w:rFonts w:hint="eastAsia" w:ascii="宋体" w:hAnsi="宋体"/>
          <w:b/>
          <w:bCs w:val="0"/>
          <w:color w:val="auto"/>
          <w:sz w:val="28"/>
          <w:szCs w:val="28"/>
          <w:highlight w:val="none"/>
          <w:lang w:val="en-US" w:eastAsia="zh-CN"/>
        </w:rPr>
        <w:t>20</w:t>
      </w:r>
    </w:p>
    <w:p>
      <w:pPr>
        <w:pStyle w:val="21"/>
        <w:spacing w:line="360" w:lineRule="auto"/>
        <w:rPr>
          <w:rFonts w:hint="default" w:ascii="宋体" w:hAnsi="宋体" w:eastAsia="宋体"/>
          <w:b/>
          <w:bCs w:val="0"/>
          <w:color w:val="auto"/>
          <w:sz w:val="28"/>
          <w:szCs w:val="28"/>
          <w:highlight w:val="none"/>
          <w:lang w:val="en-US" w:eastAsia="zh-CN"/>
        </w:rPr>
      </w:pPr>
      <w:r>
        <w:rPr>
          <w:rFonts w:ascii="宋体" w:hAnsi="宋体"/>
          <w:b/>
          <w:bCs w:val="0"/>
          <w:color w:val="auto"/>
          <w:sz w:val="28"/>
          <w:szCs w:val="28"/>
          <w:highlight w:val="none"/>
        </w:rPr>
        <w:fldChar w:fldCharType="begin"/>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instrText xml:space="preserve">HYPERLINK \l "_Toc497239293"</w:instrText>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fldChar w:fldCharType="separate"/>
      </w:r>
      <w:r>
        <w:rPr>
          <w:rStyle w:val="31"/>
          <w:rFonts w:hint="eastAsia" w:ascii="宋体" w:hAnsi="宋体"/>
          <w:b/>
          <w:bCs w:val="0"/>
          <w:color w:val="auto"/>
          <w:sz w:val="28"/>
          <w:szCs w:val="28"/>
          <w:highlight w:val="none"/>
        </w:rPr>
        <w:t>第七章</w:t>
      </w:r>
      <w:r>
        <w:rPr>
          <w:rStyle w:val="31"/>
          <w:rFonts w:hint="eastAsia" w:ascii="宋体" w:hAnsi="宋体"/>
          <w:b/>
          <w:bCs w:val="0"/>
          <w:color w:val="auto"/>
          <w:sz w:val="28"/>
          <w:szCs w:val="28"/>
          <w:highlight w:val="none"/>
          <w:lang w:val="en-US" w:eastAsia="zh-CN"/>
        </w:rPr>
        <w:t xml:space="preserve"> </w:t>
      </w:r>
      <w:r>
        <w:rPr>
          <w:rStyle w:val="31"/>
          <w:rFonts w:hint="eastAsia" w:ascii="宋体" w:hAnsi="宋体"/>
          <w:b/>
          <w:bCs w:val="0"/>
          <w:color w:val="auto"/>
          <w:sz w:val="28"/>
          <w:szCs w:val="28"/>
          <w:highlight w:val="none"/>
        </w:rPr>
        <w:t>定　标</w:t>
      </w:r>
      <w:r>
        <w:rPr>
          <w:rFonts w:ascii="宋体" w:hAnsi="宋体"/>
          <w:b/>
          <w:bCs w:val="0"/>
          <w:color w:val="auto"/>
          <w:sz w:val="28"/>
          <w:szCs w:val="28"/>
          <w:highlight w:val="none"/>
        </w:rPr>
        <w:tab/>
      </w:r>
      <w:r>
        <w:rPr>
          <w:rFonts w:ascii="宋体" w:hAnsi="宋体"/>
          <w:b/>
          <w:bCs w:val="0"/>
          <w:color w:val="auto"/>
          <w:sz w:val="28"/>
          <w:szCs w:val="28"/>
          <w:highlight w:val="none"/>
        </w:rPr>
        <w:fldChar w:fldCharType="end"/>
      </w:r>
      <w:r>
        <w:rPr>
          <w:rFonts w:hint="eastAsia" w:ascii="宋体" w:hAnsi="宋体"/>
          <w:b/>
          <w:bCs w:val="0"/>
          <w:color w:val="auto"/>
          <w:sz w:val="28"/>
          <w:szCs w:val="28"/>
          <w:highlight w:val="none"/>
          <w:lang w:val="en-US" w:eastAsia="zh-CN"/>
        </w:rPr>
        <w:t>28</w:t>
      </w:r>
    </w:p>
    <w:p>
      <w:pPr>
        <w:pStyle w:val="21"/>
        <w:spacing w:line="360" w:lineRule="auto"/>
        <w:rPr>
          <w:rFonts w:hint="default" w:ascii="宋体" w:hAnsi="宋体" w:eastAsia="宋体"/>
          <w:b/>
          <w:bCs w:val="0"/>
          <w:color w:val="auto"/>
          <w:sz w:val="28"/>
          <w:szCs w:val="28"/>
          <w:highlight w:val="none"/>
          <w:lang w:val="en-US" w:eastAsia="zh-CN"/>
        </w:rPr>
      </w:pPr>
      <w:r>
        <w:rPr>
          <w:rFonts w:ascii="宋体" w:hAnsi="宋体"/>
          <w:b/>
          <w:bCs w:val="0"/>
          <w:color w:val="auto"/>
          <w:sz w:val="28"/>
          <w:szCs w:val="28"/>
          <w:highlight w:val="none"/>
        </w:rPr>
        <w:fldChar w:fldCharType="begin"/>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instrText xml:space="preserve">HYPERLINK \l "_Toc497239294"</w:instrText>
      </w:r>
      <w:r>
        <w:rPr>
          <w:rStyle w:val="31"/>
          <w:rFonts w:ascii="宋体" w:hAnsi="宋体"/>
          <w:b/>
          <w:bCs w:val="0"/>
          <w:color w:val="auto"/>
          <w:sz w:val="28"/>
          <w:szCs w:val="28"/>
          <w:highlight w:val="none"/>
        </w:rPr>
        <w:instrText xml:space="preserve"> </w:instrText>
      </w:r>
      <w:r>
        <w:rPr>
          <w:rFonts w:ascii="宋体" w:hAnsi="宋体"/>
          <w:b/>
          <w:bCs w:val="0"/>
          <w:color w:val="auto"/>
          <w:sz w:val="28"/>
          <w:szCs w:val="28"/>
          <w:highlight w:val="none"/>
        </w:rPr>
        <w:fldChar w:fldCharType="separate"/>
      </w:r>
      <w:r>
        <w:rPr>
          <w:rStyle w:val="31"/>
          <w:rFonts w:hint="eastAsia" w:ascii="宋体" w:hAnsi="宋体"/>
          <w:b/>
          <w:bCs w:val="0"/>
          <w:color w:val="auto"/>
          <w:sz w:val="28"/>
          <w:szCs w:val="28"/>
          <w:highlight w:val="none"/>
        </w:rPr>
        <w:t>第八章</w:t>
      </w:r>
      <w:r>
        <w:rPr>
          <w:rStyle w:val="31"/>
          <w:rFonts w:hint="eastAsia" w:ascii="宋体" w:hAnsi="宋体"/>
          <w:b/>
          <w:bCs w:val="0"/>
          <w:color w:val="auto"/>
          <w:sz w:val="28"/>
          <w:szCs w:val="28"/>
          <w:highlight w:val="none"/>
          <w:lang w:val="en-US" w:eastAsia="zh-CN"/>
        </w:rPr>
        <w:t xml:space="preserve"> </w:t>
      </w:r>
      <w:r>
        <w:rPr>
          <w:rStyle w:val="31"/>
          <w:rFonts w:hint="eastAsia" w:ascii="宋体" w:hAnsi="宋体"/>
          <w:b/>
          <w:bCs w:val="0"/>
          <w:color w:val="auto"/>
          <w:sz w:val="28"/>
          <w:szCs w:val="28"/>
          <w:highlight w:val="none"/>
        </w:rPr>
        <w:t>授予合同</w:t>
      </w:r>
      <w:r>
        <w:rPr>
          <w:rFonts w:ascii="宋体" w:hAnsi="宋体"/>
          <w:b/>
          <w:bCs w:val="0"/>
          <w:color w:val="auto"/>
          <w:sz w:val="28"/>
          <w:szCs w:val="28"/>
          <w:highlight w:val="none"/>
        </w:rPr>
        <w:tab/>
      </w:r>
      <w:r>
        <w:rPr>
          <w:rFonts w:ascii="宋体" w:hAnsi="宋体"/>
          <w:b/>
          <w:bCs w:val="0"/>
          <w:color w:val="auto"/>
          <w:sz w:val="28"/>
          <w:szCs w:val="28"/>
          <w:highlight w:val="none"/>
        </w:rPr>
        <w:fldChar w:fldCharType="end"/>
      </w:r>
      <w:r>
        <w:rPr>
          <w:rFonts w:hint="eastAsia" w:ascii="宋体" w:hAnsi="宋体"/>
          <w:b/>
          <w:bCs w:val="0"/>
          <w:color w:val="auto"/>
          <w:sz w:val="28"/>
          <w:szCs w:val="28"/>
          <w:highlight w:val="none"/>
          <w:lang w:val="en-US" w:eastAsia="zh-CN"/>
        </w:rPr>
        <w:t>29</w:t>
      </w:r>
    </w:p>
    <w:p>
      <w:pPr>
        <w:pStyle w:val="19"/>
        <w:spacing w:line="360" w:lineRule="auto"/>
        <w:rPr>
          <w:rFonts w:hint="default" w:ascii="宋体" w:hAnsi="宋体" w:eastAsia="宋体"/>
          <w:b/>
          <w:bCs w:val="0"/>
          <w:color w:val="auto"/>
          <w:sz w:val="28"/>
          <w:szCs w:val="28"/>
          <w:highlight w:val="none"/>
          <w:lang w:val="en-US" w:eastAsia="zh-CN"/>
        </w:rPr>
      </w:pPr>
      <w:r>
        <w:rPr>
          <w:rFonts w:ascii="宋体" w:hAnsi="宋体" w:eastAsia="宋体"/>
          <w:b/>
          <w:bCs w:val="0"/>
          <w:color w:val="auto"/>
          <w:sz w:val="28"/>
          <w:szCs w:val="28"/>
          <w:highlight w:val="none"/>
        </w:rPr>
        <w:fldChar w:fldCharType="begin"/>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instrText xml:space="preserve">HYPERLINK \l "_Toc497239295"</w:instrText>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fldChar w:fldCharType="separate"/>
      </w:r>
      <w:r>
        <w:rPr>
          <w:rStyle w:val="31"/>
          <w:rFonts w:hint="eastAsia" w:ascii="宋体" w:hAnsi="宋体" w:eastAsia="宋体"/>
          <w:b/>
          <w:bCs w:val="0"/>
          <w:color w:val="auto"/>
          <w:sz w:val="28"/>
          <w:szCs w:val="28"/>
          <w:highlight w:val="none"/>
        </w:rPr>
        <w:t>第四部</w:t>
      </w:r>
      <w:r>
        <w:rPr>
          <w:rStyle w:val="31"/>
          <w:rFonts w:hint="eastAsia" w:ascii="宋体" w:hAnsi="宋体" w:eastAsia="宋体"/>
          <w:b/>
          <w:bCs w:val="0"/>
          <w:color w:val="auto"/>
          <w:sz w:val="28"/>
          <w:szCs w:val="28"/>
          <w:highlight w:val="none"/>
          <w:lang w:val="en-US" w:eastAsia="zh-CN"/>
        </w:rPr>
        <w:t xml:space="preserve">分 </w:t>
      </w:r>
      <w:r>
        <w:rPr>
          <w:rStyle w:val="31"/>
          <w:rFonts w:hint="eastAsia" w:ascii="宋体" w:hAnsi="宋体" w:eastAsia="宋体"/>
          <w:b/>
          <w:bCs w:val="0"/>
          <w:color w:val="auto"/>
          <w:kern w:val="2"/>
          <w:sz w:val="28"/>
          <w:szCs w:val="28"/>
          <w:highlight w:val="none"/>
          <w:lang w:val="en-US" w:eastAsia="zh-CN" w:bidi="ar-SA"/>
        </w:rPr>
        <w:t>采购服务及要求</w:t>
      </w:r>
      <w:r>
        <w:rPr>
          <w:rFonts w:ascii="宋体" w:hAnsi="宋体" w:eastAsia="宋体"/>
          <w:b/>
          <w:bCs w:val="0"/>
          <w:color w:val="auto"/>
          <w:sz w:val="28"/>
          <w:szCs w:val="28"/>
          <w:highlight w:val="none"/>
        </w:rPr>
        <w:tab/>
      </w:r>
      <w:r>
        <w:rPr>
          <w:rFonts w:ascii="宋体" w:hAnsi="宋体" w:eastAsia="宋体"/>
          <w:b/>
          <w:bCs w:val="0"/>
          <w:color w:val="auto"/>
          <w:sz w:val="28"/>
          <w:szCs w:val="28"/>
          <w:highlight w:val="none"/>
        </w:rPr>
        <w:fldChar w:fldCharType="end"/>
      </w:r>
      <w:r>
        <w:rPr>
          <w:rFonts w:hint="eastAsia" w:ascii="宋体" w:hAnsi="宋体" w:eastAsia="宋体"/>
          <w:b/>
          <w:bCs w:val="0"/>
          <w:color w:val="auto"/>
          <w:sz w:val="28"/>
          <w:szCs w:val="28"/>
          <w:highlight w:val="none"/>
          <w:lang w:val="en-US" w:eastAsia="zh-CN"/>
        </w:rPr>
        <w:t>30</w:t>
      </w:r>
    </w:p>
    <w:p>
      <w:pPr>
        <w:pStyle w:val="19"/>
        <w:spacing w:line="360" w:lineRule="auto"/>
        <w:rPr>
          <w:rFonts w:hint="default" w:ascii="宋体" w:hAnsi="宋体" w:eastAsia="宋体"/>
          <w:b/>
          <w:bCs w:val="0"/>
          <w:color w:val="auto"/>
          <w:sz w:val="28"/>
          <w:szCs w:val="28"/>
          <w:highlight w:val="none"/>
          <w:lang w:val="en-US" w:eastAsia="zh-CN"/>
        </w:rPr>
      </w:pPr>
      <w:r>
        <w:rPr>
          <w:rFonts w:ascii="宋体" w:hAnsi="宋体" w:eastAsia="宋体"/>
          <w:b/>
          <w:bCs w:val="0"/>
          <w:color w:val="auto"/>
          <w:sz w:val="28"/>
          <w:szCs w:val="28"/>
          <w:highlight w:val="none"/>
        </w:rPr>
        <w:fldChar w:fldCharType="begin"/>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instrText xml:space="preserve">HYPERLINK \l "_Toc497239296"</w:instrText>
      </w:r>
      <w:r>
        <w:rPr>
          <w:rStyle w:val="31"/>
          <w:rFonts w:ascii="宋体" w:hAnsi="宋体" w:eastAsia="宋体"/>
          <w:b/>
          <w:bCs w:val="0"/>
          <w:color w:val="auto"/>
          <w:sz w:val="28"/>
          <w:szCs w:val="28"/>
          <w:highlight w:val="none"/>
        </w:rPr>
        <w:instrText xml:space="preserve"> </w:instrText>
      </w:r>
      <w:r>
        <w:rPr>
          <w:rFonts w:ascii="宋体" w:hAnsi="宋体" w:eastAsia="宋体"/>
          <w:b/>
          <w:bCs w:val="0"/>
          <w:color w:val="auto"/>
          <w:sz w:val="28"/>
          <w:szCs w:val="28"/>
          <w:highlight w:val="none"/>
        </w:rPr>
        <w:fldChar w:fldCharType="separate"/>
      </w:r>
      <w:r>
        <w:rPr>
          <w:rStyle w:val="31"/>
          <w:rFonts w:hint="eastAsia" w:ascii="宋体" w:hAnsi="宋体" w:eastAsia="宋体"/>
          <w:b/>
          <w:bCs w:val="0"/>
          <w:color w:val="auto"/>
          <w:sz w:val="28"/>
          <w:szCs w:val="28"/>
          <w:highlight w:val="none"/>
        </w:rPr>
        <w:t>第五部分 合同部分</w:t>
      </w:r>
      <w:r>
        <w:rPr>
          <w:rFonts w:ascii="宋体" w:hAnsi="宋体" w:eastAsia="宋体"/>
          <w:b/>
          <w:bCs w:val="0"/>
          <w:color w:val="auto"/>
          <w:sz w:val="28"/>
          <w:szCs w:val="28"/>
          <w:highlight w:val="none"/>
        </w:rPr>
        <w:tab/>
      </w:r>
      <w:r>
        <w:rPr>
          <w:rFonts w:ascii="宋体" w:hAnsi="宋体" w:eastAsia="宋体"/>
          <w:b/>
          <w:bCs w:val="0"/>
          <w:color w:val="auto"/>
          <w:sz w:val="28"/>
          <w:szCs w:val="28"/>
          <w:highlight w:val="none"/>
        </w:rPr>
        <w:fldChar w:fldCharType="end"/>
      </w:r>
      <w:r>
        <w:rPr>
          <w:rFonts w:hint="eastAsia" w:ascii="宋体" w:hAnsi="宋体" w:eastAsia="宋体"/>
          <w:b/>
          <w:bCs w:val="0"/>
          <w:color w:val="auto"/>
          <w:sz w:val="28"/>
          <w:szCs w:val="28"/>
          <w:highlight w:val="none"/>
          <w:lang w:val="en-US" w:eastAsia="zh-CN"/>
        </w:rPr>
        <w:t>56</w:t>
      </w:r>
    </w:p>
    <w:p>
      <w:pPr>
        <w:pStyle w:val="19"/>
        <w:spacing w:line="360" w:lineRule="auto"/>
        <w:rPr>
          <w:rFonts w:hint="default" w:ascii="宋体" w:hAnsi="宋体" w:eastAsia="宋体"/>
          <w:b/>
          <w:bCs w:val="0"/>
          <w:color w:val="auto"/>
          <w:sz w:val="28"/>
          <w:szCs w:val="28"/>
          <w:highlight w:val="none"/>
          <w:lang w:val="en-US" w:eastAsia="zh-CN"/>
        </w:rPr>
        <w:sectPr>
          <w:footerReference r:id="rId7" w:type="first"/>
          <w:footerReference r:id="rId6"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720" w:num="1"/>
          <w:titlePg/>
          <w:docGrid w:type="lines" w:linePitch="333" w:charSpace="0"/>
        </w:sectPr>
      </w:pPr>
      <w:r>
        <w:rPr>
          <w:rFonts w:ascii="宋体" w:hAnsi="宋体"/>
          <w:b/>
          <w:bCs w:val="0"/>
          <w:color w:val="auto"/>
          <w:sz w:val="28"/>
          <w:szCs w:val="28"/>
          <w:highlight w:val="none"/>
        </w:rPr>
        <w:fldChar w:fldCharType="end"/>
      </w:r>
      <w:r>
        <w:rPr>
          <w:rFonts w:ascii="宋体" w:hAnsi="宋体" w:eastAsia="宋体"/>
          <w:b/>
          <w:bCs w:val="0"/>
          <w:color w:val="auto"/>
          <w:sz w:val="28"/>
          <w:szCs w:val="28"/>
          <w:highlight w:val="none"/>
        </w:rPr>
        <w:fldChar w:fldCharType="begin"/>
      </w:r>
      <w:r>
        <w:rPr>
          <w:rFonts w:ascii="宋体" w:hAnsi="宋体" w:eastAsia="宋体"/>
          <w:b/>
          <w:bCs w:val="0"/>
          <w:color w:val="auto"/>
          <w:sz w:val="28"/>
          <w:szCs w:val="28"/>
          <w:highlight w:val="none"/>
        </w:rPr>
        <w:instrText xml:space="preserve"> HYPERLINK \l "_Toc497239297" </w:instrText>
      </w:r>
      <w:r>
        <w:rPr>
          <w:rFonts w:ascii="宋体" w:hAnsi="宋体" w:eastAsia="宋体"/>
          <w:b/>
          <w:bCs w:val="0"/>
          <w:color w:val="auto"/>
          <w:sz w:val="28"/>
          <w:szCs w:val="28"/>
          <w:highlight w:val="none"/>
        </w:rPr>
        <w:fldChar w:fldCharType="separate"/>
      </w:r>
      <w:r>
        <w:rPr>
          <w:rFonts w:hint="eastAsia" w:ascii="宋体" w:hAnsi="宋体" w:eastAsia="宋体"/>
          <w:b/>
          <w:bCs w:val="0"/>
          <w:color w:val="auto"/>
          <w:sz w:val="28"/>
          <w:szCs w:val="28"/>
          <w:highlight w:val="none"/>
        </w:rPr>
        <w:t>第六部分</w:t>
      </w:r>
      <w:r>
        <w:rPr>
          <w:rFonts w:hint="eastAsia" w:ascii="宋体" w:hAnsi="宋体" w:eastAsia="宋体"/>
          <w:b/>
          <w:bCs w:val="0"/>
          <w:color w:val="auto"/>
          <w:sz w:val="28"/>
          <w:szCs w:val="28"/>
          <w:highlight w:val="none"/>
          <w:lang w:val="en-US" w:eastAsia="zh-CN"/>
        </w:rPr>
        <w:t xml:space="preserve"> </w:t>
      </w:r>
      <w:r>
        <w:rPr>
          <w:rFonts w:hint="eastAsia" w:ascii="宋体" w:hAnsi="宋体" w:eastAsia="宋体"/>
          <w:b/>
          <w:bCs w:val="0"/>
          <w:color w:val="auto"/>
          <w:sz w:val="28"/>
          <w:szCs w:val="28"/>
          <w:highlight w:val="none"/>
        </w:rPr>
        <w:t>附　件</w:t>
      </w:r>
      <w:r>
        <w:rPr>
          <w:rFonts w:ascii="宋体" w:hAnsi="宋体" w:eastAsia="宋体"/>
          <w:b/>
          <w:bCs w:val="0"/>
          <w:color w:val="auto"/>
          <w:sz w:val="28"/>
          <w:szCs w:val="28"/>
          <w:highlight w:val="none"/>
        </w:rPr>
        <w:tab/>
      </w:r>
      <w:r>
        <w:rPr>
          <w:rFonts w:ascii="宋体" w:hAnsi="宋体" w:eastAsia="宋体"/>
          <w:b/>
          <w:bCs w:val="0"/>
          <w:color w:val="auto"/>
          <w:sz w:val="28"/>
          <w:szCs w:val="28"/>
          <w:highlight w:val="none"/>
        </w:rPr>
        <w:fldChar w:fldCharType="end"/>
      </w:r>
      <w:r>
        <w:rPr>
          <w:rFonts w:hint="eastAsia" w:ascii="宋体" w:hAnsi="宋体" w:eastAsia="宋体"/>
          <w:b/>
          <w:bCs w:val="0"/>
          <w:color w:val="auto"/>
          <w:sz w:val="28"/>
          <w:szCs w:val="28"/>
          <w:highlight w:val="none"/>
          <w:lang w:val="en-US" w:eastAsia="zh-CN"/>
        </w:rPr>
        <w:t>67</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center"/>
        <w:textAlignment w:val="auto"/>
        <w:rPr>
          <w:rFonts w:hint="eastAsia" w:asciiTheme="minorEastAsia" w:hAnsiTheme="minorEastAsia" w:cstheme="minorEastAsia"/>
          <w:b/>
          <w:bCs/>
          <w:color w:val="auto"/>
          <w:sz w:val="44"/>
          <w:szCs w:val="44"/>
          <w:highlight w:val="none"/>
          <w:lang w:val="en-US" w:eastAsia="zh-CN"/>
        </w:rPr>
      </w:pPr>
      <w:r>
        <w:rPr>
          <w:rFonts w:hint="eastAsia" w:asciiTheme="minorEastAsia" w:hAnsiTheme="minorEastAsia" w:cstheme="minorEastAsia"/>
          <w:b/>
          <w:bCs/>
          <w:color w:val="auto"/>
          <w:sz w:val="44"/>
          <w:szCs w:val="44"/>
          <w:highlight w:val="none"/>
          <w:lang w:val="en-US" w:eastAsia="zh-CN"/>
        </w:rPr>
        <w:t>竞争性磋商公告</w:t>
      </w:r>
    </w:p>
    <w:p>
      <w:pPr>
        <w:pStyle w:val="2"/>
        <w:numPr>
          <w:ilvl w:val="0"/>
          <w:numId w:val="0"/>
        </w:numPr>
        <w:rPr>
          <w:rFonts w:hint="default"/>
          <w:color w:val="auto"/>
          <w:lang w:val="en-US" w:eastAsia="zh-CN"/>
        </w:rPr>
      </w:pPr>
    </w:p>
    <w:p>
      <w:pPr>
        <w:pStyle w:val="2"/>
        <w:numPr>
          <w:ilvl w:val="0"/>
          <w:numId w:val="0"/>
        </w:numPr>
        <w:tabs>
          <w:tab w:val="left" w:pos="567"/>
        </w:tabs>
        <w:jc w:val="center"/>
        <w:rPr>
          <w:rFonts w:hint="default"/>
          <w:b w:val="0"/>
          <w:bCs w:val="0"/>
          <w:color w:val="auto"/>
          <w:sz w:val="36"/>
          <w:szCs w:val="36"/>
          <w:highlight w:val="none"/>
          <w:u w:val="none" w:color="auto"/>
          <w:lang w:val="en-US" w:eastAsia="zh-CN"/>
        </w:rPr>
      </w:pPr>
      <w:r>
        <w:rPr>
          <w:rFonts w:hint="eastAsia" w:ascii="宋体" w:hAnsi="宋体" w:cs="宋体"/>
          <w:b w:val="0"/>
          <w:bCs w:val="0"/>
          <w:color w:val="auto"/>
          <w:kern w:val="0"/>
          <w:sz w:val="36"/>
          <w:szCs w:val="36"/>
          <w:highlight w:val="none"/>
          <w:u w:val="none" w:color="auto"/>
          <w:lang w:val="en-US" w:eastAsia="zh-CN" w:bidi="ar-SA"/>
        </w:rPr>
        <w:t>新疆天山东部国有林管理局吉木萨尔分局2023年森林防火无人机巡护项目竞争性磋商</w:t>
      </w:r>
      <w:r>
        <w:rPr>
          <w:rFonts w:hint="eastAsia" w:ascii="宋体" w:hAnsi="宋体" w:eastAsia="宋体" w:cs="宋体"/>
          <w:b w:val="0"/>
          <w:bCs w:val="0"/>
          <w:color w:val="auto"/>
          <w:kern w:val="0"/>
          <w:sz w:val="36"/>
          <w:szCs w:val="36"/>
          <w:highlight w:val="none"/>
          <w:u w:val="none" w:color="auto"/>
          <w:lang w:val="en-US" w:eastAsia="zh-CN" w:bidi="ar-SA"/>
        </w:rPr>
        <w:t>公告</w:t>
      </w:r>
    </w:p>
    <w:p>
      <w:pPr>
        <w:pStyle w:val="12"/>
        <w:ind w:left="0" w:leftChars="0" w:firstLine="0" w:firstLineChars="0"/>
        <w:jc w:val="center"/>
        <w:rPr>
          <w:rFonts w:hint="default"/>
          <w:b w:val="0"/>
          <w:bCs w:val="0"/>
          <w:color w:val="auto"/>
          <w:sz w:val="28"/>
          <w:szCs w:val="28"/>
          <w:highlight w:val="none"/>
          <w:u w:val="none"/>
          <w:lang w:val="en-US" w:eastAsia="zh-CN"/>
        </w:rPr>
      </w:pPr>
      <w:r>
        <w:rPr>
          <w:rFonts w:hint="eastAsia" w:asciiTheme="minorEastAsia" w:hAnsiTheme="minorEastAsia" w:cstheme="minorEastAsia"/>
          <w:b w:val="0"/>
          <w:bCs w:val="0"/>
          <w:color w:val="auto"/>
          <w:sz w:val="28"/>
          <w:szCs w:val="28"/>
          <w:highlight w:val="none"/>
          <w:u w:val="none"/>
          <w:lang w:val="en-US" w:eastAsia="zh-CN"/>
        </w:rPr>
        <w:t>（项目编号：2023-0526-124147）</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一、招标条件 </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本</w:t>
      </w:r>
      <w:r>
        <w:rPr>
          <w:rFonts w:hint="eastAsia" w:ascii="宋体" w:hAnsi="宋体" w:cs="宋体"/>
          <w:b w:val="0"/>
          <w:bCs w:val="0"/>
          <w:color w:val="auto"/>
          <w:kern w:val="0"/>
          <w:sz w:val="24"/>
          <w:szCs w:val="24"/>
          <w:highlight w:val="none"/>
          <w:lang w:val="en-US" w:eastAsia="zh-CN" w:bidi="ar"/>
        </w:rPr>
        <w:t>新疆天山东部国有林管理局吉木萨尔分局2023年森林防火无人机巡护项目</w:t>
      </w:r>
      <w:r>
        <w:rPr>
          <w:rFonts w:hint="eastAsia" w:ascii="宋体" w:hAnsi="宋体" w:eastAsia="宋体" w:cs="宋体"/>
          <w:b w:val="0"/>
          <w:bCs w:val="0"/>
          <w:color w:val="auto"/>
          <w:kern w:val="0"/>
          <w:sz w:val="24"/>
          <w:szCs w:val="24"/>
          <w:highlight w:val="none"/>
          <w:lang w:val="en-US" w:eastAsia="zh-CN" w:bidi="ar"/>
        </w:rPr>
        <w:t>已</w:t>
      </w:r>
      <w:r>
        <w:rPr>
          <w:rFonts w:hint="eastAsia" w:ascii="宋体" w:hAnsi="宋体" w:eastAsia="宋体" w:cs="宋体"/>
          <w:b w:val="0"/>
          <w:bCs w:val="0"/>
          <w:color w:val="auto"/>
          <w:kern w:val="0"/>
          <w:sz w:val="24"/>
          <w:szCs w:val="24"/>
          <w:highlight w:val="none"/>
          <w:lang w:val="en-US" w:eastAsia="zh-CN" w:bidi="ar"/>
        </w:rPr>
        <w:t>由项目审批/核准/备案机关批准，项目资金来源为</w:t>
      </w:r>
      <w:r>
        <w:rPr>
          <w:rFonts w:hint="eastAsia" w:ascii="宋体" w:hAnsi="宋体" w:eastAsia="宋体" w:cs="宋体"/>
          <w:b w:val="0"/>
          <w:bCs w:val="0"/>
          <w:color w:val="auto"/>
          <w:kern w:val="0"/>
          <w:sz w:val="24"/>
          <w:szCs w:val="24"/>
          <w:highlight w:val="none"/>
          <w:lang w:val="en-US" w:eastAsia="zh-CN" w:bidi="ar"/>
        </w:rPr>
        <w:t>一般公共预算</w:t>
      </w:r>
      <w:r>
        <w:rPr>
          <w:rFonts w:cs="仿宋_GB2312" w:asciiTheme="minorEastAsia" w:hAnsiTheme="minorEastAsia"/>
          <w:color w:val="auto"/>
          <w:kern w:val="0"/>
          <w:sz w:val="28"/>
          <w:szCs w:val="28"/>
          <w:highlight w:val="none"/>
          <w:lang w:bidi="ar"/>
        </w:rPr>
        <w:t>52.5</w:t>
      </w:r>
      <w:r>
        <w:rPr>
          <w:rFonts w:hint="eastAsia" w:cs="仿宋_GB2312" w:asciiTheme="minorEastAsia" w:hAnsiTheme="minorEastAsia"/>
          <w:color w:val="auto"/>
          <w:kern w:val="0"/>
          <w:sz w:val="28"/>
          <w:szCs w:val="28"/>
          <w:highlight w:val="none"/>
          <w:lang w:val="en-US" w:eastAsia="zh-CN" w:bidi="ar"/>
        </w:rPr>
        <w:t>万</w:t>
      </w:r>
      <w:r>
        <w:rPr>
          <w:rFonts w:hint="eastAsia" w:ascii="宋体" w:hAnsi="宋体" w:eastAsia="宋体" w:cs="宋体"/>
          <w:b w:val="0"/>
          <w:bCs w:val="0"/>
          <w:color w:val="auto"/>
          <w:kern w:val="0"/>
          <w:sz w:val="24"/>
          <w:szCs w:val="24"/>
          <w:highlight w:val="none"/>
          <w:lang w:val="en-US" w:eastAsia="zh-CN" w:bidi="ar"/>
        </w:rPr>
        <w:t>元，</w:t>
      </w:r>
      <w:r>
        <w:rPr>
          <w:rFonts w:hint="eastAsia" w:ascii="宋体" w:hAnsi="宋体" w:eastAsia="宋体" w:cs="宋体"/>
          <w:b w:val="0"/>
          <w:bCs w:val="0"/>
          <w:color w:val="auto"/>
          <w:kern w:val="0"/>
          <w:sz w:val="24"/>
          <w:szCs w:val="24"/>
          <w:highlight w:val="none"/>
          <w:lang w:val="en-US" w:eastAsia="zh-CN" w:bidi="ar"/>
        </w:rPr>
        <w:t>招标人为</w:t>
      </w:r>
      <w:r>
        <w:rPr>
          <w:rFonts w:hint="eastAsia" w:ascii="宋体" w:hAnsi="宋体" w:cs="宋体"/>
          <w:b w:val="0"/>
          <w:bCs w:val="0"/>
          <w:color w:val="auto"/>
          <w:kern w:val="0"/>
          <w:sz w:val="24"/>
          <w:szCs w:val="24"/>
          <w:highlight w:val="none"/>
          <w:lang w:val="en-US" w:eastAsia="zh-CN" w:bidi="ar"/>
        </w:rPr>
        <w:t>新疆天山东部国有林管理局吉木萨尔分局</w:t>
      </w: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b w:val="0"/>
          <w:bCs w:val="0"/>
          <w:color w:val="auto"/>
          <w:kern w:val="0"/>
          <w:sz w:val="24"/>
          <w:szCs w:val="24"/>
          <w:highlight w:val="none"/>
          <w:lang w:val="en-US" w:eastAsia="zh-CN" w:bidi="ar"/>
        </w:rPr>
        <w:t>本项目已具备招标条件，现招标方式为公开招标</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440" w:lineRule="exact"/>
        <w:jc w:val="both"/>
        <w:textAlignment w:val="auto"/>
        <w:rPr>
          <w:rFonts w:hint="eastAsia" w:ascii="宋体" w:hAnsi="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项目</w:t>
      </w:r>
      <w:r>
        <w:rPr>
          <w:rFonts w:hint="eastAsia" w:ascii="宋体" w:hAnsi="宋体" w:cs="宋体"/>
          <w:b w:val="0"/>
          <w:bCs w:val="0"/>
          <w:color w:val="auto"/>
          <w:kern w:val="0"/>
          <w:sz w:val="24"/>
          <w:szCs w:val="24"/>
          <w:highlight w:val="none"/>
          <w:lang w:val="en-US" w:eastAsia="zh-CN" w:bidi="ar"/>
        </w:rPr>
        <w:t>基本情况</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 xml:space="preserve"> 1、项目编号：</w:t>
      </w:r>
      <w:r>
        <w:rPr>
          <w:rFonts w:hint="eastAsia" w:asciiTheme="minorEastAsia" w:hAnsiTheme="minorEastAsia" w:cstheme="minorEastAsia"/>
          <w:b w:val="0"/>
          <w:bCs w:val="0"/>
          <w:color w:val="auto"/>
          <w:sz w:val="28"/>
          <w:szCs w:val="28"/>
          <w:highlight w:val="none"/>
          <w:u w:val="none"/>
          <w:lang w:val="en-US" w:eastAsia="zh-CN"/>
        </w:rPr>
        <w:t>2023-0526-124147</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2、项目名称</w:t>
      </w:r>
      <w:r>
        <w:rPr>
          <w:rFonts w:hint="eastAsia" w:ascii="宋体" w:hAnsi="宋体" w:eastAsia="宋体" w:cs="宋体"/>
          <w:color w:val="auto"/>
          <w:sz w:val="24"/>
          <w:szCs w:val="24"/>
          <w:highlight w:val="none"/>
          <w:lang w:eastAsia="zh-CN"/>
        </w:rPr>
        <w:t>：</w:t>
      </w:r>
      <w:r>
        <w:rPr>
          <w:rFonts w:hint="eastAsia" w:ascii="宋体" w:hAnsi="宋体" w:cs="宋体"/>
          <w:b w:val="0"/>
          <w:bCs w:val="0"/>
          <w:color w:val="auto"/>
          <w:kern w:val="0"/>
          <w:sz w:val="24"/>
          <w:szCs w:val="24"/>
          <w:highlight w:val="none"/>
          <w:lang w:val="en-US" w:eastAsia="zh-CN" w:bidi="ar"/>
        </w:rPr>
        <w:t>新疆天山东部国有林管理局吉木萨尔分局2023年森林防火无人机巡护项目</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内容:</w:t>
      </w:r>
      <w:r>
        <w:rPr>
          <w:rFonts w:hint="eastAsia" w:ascii="宋体" w:hAnsi="宋体" w:cs="宋体"/>
          <w:b w:val="0"/>
          <w:bCs w:val="0"/>
          <w:color w:val="auto"/>
          <w:kern w:val="0"/>
          <w:sz w:val="24"/>
          <w:szCs w:val="24"/>
          <w:highlight w:val="none"/>
          <w:lang w:val="en-US" w:eastAsia="zh-CN" w:bidi="ar"/>
        </w:rPr>
        <w:t>新疆天山东部国有林管理局吉木萨尔分局2023年森林防火无人机巡护服务</w:t>
      </w:r>
      <w:r>
        <w:rPr>
          <w:rFonts w:hint="eastAsia" w:ascii="宋体" w:hAnsi="宋体" w:eastAsia="宋体" w:cs="宋体"/>
          <w:b w:val="0"/>
          <w:bCs w:val="0"/>
          <w:color w:val="auto"/>
          <w:sz w:val="24"/>
          <w:szCs w:val="24"/>
          <w:highlight w:val="none"/>
          <w:lang w:val="en-US" w:eastAsia="zh-CN"/>
        </w:rPr>
        <w:t>（详见</w:t>
      </w:r>
      <w:r>
        <w:rPr>
          <w:rFonts w:hint="eastAsia" w:ascii="宋体" w:hAnsi="宋体" w:cs="宋体"/>
          <w:b w:val="0"/>
          <w:bCs w:val="0"/>
          <w:color w:val="auto"/>
          <w:sz w:val="24"/>
          <w:szCs w:val="24"/>
          <w:highlight w:val="none"/>
          <w:lang w:val="en-US" w:eastAsia="zh-CN"/>
        </w:rPr>
        <w:t>磋商文件</w:t>
      </w:r>
      <w:r>
        <w:rPr>
          <w:rFonts w:hint="eastAsia" w:ascii="宋体" w:hAnsi="宋体" w:eastAsia="宋体" w:cs="宋体"/>
          <w:b w:val="0"/>
          <w:bCs w:val="0"/>
          <w:color w:val="auto"/>
          <w:sz w:val="24"/>
          <w:szCs w:val="24"/>
          <w:highlight w:val="none"/>
          <w:lang w:val="en-US" w:eastAsia="zh-CN"/>
        </w:rPr>
        <w:t>）</w:t>
      </w:r>
    </w:p>
    <w:p>
      <w:pPr>
        <w:pStyle w:val="51"/>
        <w:keepNext w:val="0"/>
        <w:keepLines w:val="0"/>
        <w:pageBreakBefore w:val="0"/>
        <w:kinsoku/>
        <w:overflowPunct/>
        <w:topLinePunct w:val="0"/>
        <w:autoSpaceDE w:val="0"/>
        <w:autoSpaceDN/>
        <w:bidi w:val="0"/>
        <w:adjustRightInd/>
        <w:snapToGrid/>
        <w:spacing w:line="520" w:lineRule="exact"/>
        <w:ind w:firstLine="480" w:firstLineChars="200"/>
        <w:textAlignment w:val="auto"/>
        <w:rPr>
          <w:rFonts w:hint="eastAsia" w:cs="宋体"/>
          <w:color w:val="auto"/>
          <w:sz w:val="24"/>
          <w:szCs w:val="24"/>
          <w:highlight w:val="none"/>
          <w:u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szCs w:val="24"/>
          <w:highlight w:val="none"/>
          <w:lang w:val="en-US" w:eastAsia="zh-CN"/>
        </w:rPr>
        <w:t>项目</w:t>
      </w:r>
      <w:r>
        <w:rPr>
          <w:rFonts w:hint="eastAsia" w:ascii="宋体" w:hAnsi="宋体" w:eastAsia="宋体" w:cs="宋体"/>
          <w:color w:val="auto"/>
          <w:sz w:val="24"/>
          <w:szCs w:val="24"/>
          <w:highlight w:val="none"/>
          <w:lang w:val="en-US" w:eastAsia="zh-CN"/>
        </w:rPr>
        <w:t>地点：</w:t>
      </w:r>
      <w:r>
        <w:rPr>
          <w:rFonts w:hint="eastAsia" w:ascii="宋体" w:hAnsi="宋体" w:cs="宋体"/>
          <w:b w:val="0"/>
          <w:bCs w:val="0"/>
          <w:color w:val="auto"/>
          <w:kern w:val="0"/>
          <w:sz w:val="24"/>
          <w:szCs w:val="24"/>
          <w:highlight w:val="none"/>
          <w:lang w:val="en-US" w:eastAsia="zh-CN" w:bidi="ar"/>
        </w:rPr>
        <w:t>吉木萨尔县</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rFonts w:hint="eastAsia" w:cs="宋体"/>
          <w:color w:val="auto"/>
          <w:sz w:val="24"/>
          <w:szCs w:val="24"/>
          <w:highlight w:val="none"/>
          <w:u w:val="none"/>
          <w:lang w:val="en-US" w:eastAsia="zh-CN"/>
        </w:rPr>
      </w:pPr>
      <w:r>
        <w:rPr>
          <w:rFonts w:hint="eastAsia" w:cs="宋体"/>
          <w:color w:val="auto"/>
          <w:sz w:val="24"/>
          <w:szCs w:val="24"/>
          <w:highlight w:val="none"/>
          <w:u w:val="none"/>
          <w:lang w:val="en-US" w:eastAsia="zh-CN"/>
        </w:rPr>
        <w:t>5、</w:t>
      </w:r>
      <w:r>
        <w:rPr>
          <w:rFonts w:hint="eastAsia" w:ascii="宋体" w:hAnsi="宋体" w:eastAsia="宋体" w:cs="宋体"/>
          <w:b w:val="0"/>
          <w:bCs w:val="0"/>
          <w:color w:val="auto"/>
          <w:kern w:val="0"/>
          <w:sz w:val="24"/>
          <w:szCs w:val="24"/>
          <w:highlight w:val="none"/>
          <w:lang w:val="en-US" w:eastAsia="zh-Hans" w:bidi="ar"/>
        </w:rPr>
        <w:t>服务周期：</w:t>
      </w:r>
      <w:r>
        <w:rPr>
          <w:rFonts w:hint="eastAsia" w:ascii="宋体" w:hAnsi="宋体" w:cs="宋体"/>
          <w:b w:val="0"/>
          <w:bCs w:val="0"/>
          <w:color w:val="auto"/>
          <w:kern w:val="0"/>
          <w:sz w:val="24"/>
          <w:szCs w:val="24"/>
          <w:highlight w:val="none"/>
          <w:lang w:val="en-US" w:eastAsia="zh-CN" w:bidi="ar"/>
        </w:rPr>
        <w:t>2023年6月-10月</w:t>
      </w:r>
    </w:p>
    <w:p>
      <w:pPr>
        <w:pStyle w:val="51"/>
        <w:keepNext w:val="0"/>
        <w:keepLines w:val="0"/>
        <w:pageBreakBefore w:val="0"/>
        <w:kinsoku/>
        <w:overflowPunct/>
        <w:topLinePunct w:val="0"/>
        <w:autoSpaceDE w:val="0"/>
        <w:autoSpaceDN/>
        <w:bidi w:val="0"/>
        <w:adjustRightInd/>
        <w:snapToGrid/>
        <w:spacing w:line="52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、投资额：</w:t>
      </w:r>
      <w:r>
        <w:rPr>
          <w:rFonts w:hint="eastAsia" w:ascii="宋体" w:hAnsi="宋体" w:cs="宋体"/>
          <w:b w:val="0"/>
          <w:bCs w:val="0"/>
          <w:color w:val="auto"/>
          <w:kern w:val="0"/>
          <w:sz w:val="24"/>
          <w:szCs w:val="24"/>
          <w:highlight w:val="none"/>
          <w:lang w:val="en-US" w:eastAsia="zh-CN" w:bidi="ar"/>
        </w:rPr>
        <w:t>525000</w:t>
      </w:r>
      <w:r>
        <w:rPr>
          <w:rFonts w:hint="eastAsia" w:ascii="宋体" w:hAnsi="宋体" w:eastAsia="宋体" w:cs="宋体"/>
          <w:b w:val="0"/>
          <w:bCs w:val="0"/>
          <w:color w:val="auto"/>
          <w:kern w:val="0"/>
          <w:sz w:val="24"/>
          <w:szCs w:val="24"/>
          <w:highlight w:val="none"/>
          <w:lang w:val="en-US" w:eastAsia="zh-CN" w:bidi="ar"/>
        </w:rPr>
        <w:t>元</w:t>
      </w:r>
    </w:p>
    <w:p>
      <w:pPr>
        <w:pStyle w:val="51"/>
        <w:keepNext w:val="0"/>
        <w:keepLines w:val="0"/>
        <w:pageBreakBefore w:val="0"/>
        <w:kinsoku/>
        <w:overflowPunct/>
        <w:topLinePunct w:val="0"/>
        <w:autoSpaceDE w:val="0"/>
        <w:autoSpaceDN/>
        <w:bidi w:val="0"/>
        <w:adjustRightInd/>
        <w:snapToGrid/>
        <w:spacing w:line="52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、资金来源：</w:t>
      </w:r>
      <w:r>
        <w:rPr>
          <w:rFonts w:hint="eastAsia" w:ascii="宋体" w:hAnsi="宋体" w:eastAsia="宋体" w:cs="宋体"/>
          <w:b w:val="0"/>
          <w:bCs w:val="0"/>
          <w:color w:val="auto"/>
          <w:kern w:val="0"/>
          <w:sz w:val="24"/>
          <w:szCs w:val="24"/>
          <w:highlight w:val="none"/>
          <w:lang w:val="en-US" w:eastAsia="zh-CN" w:bidi="ar"/>
        </w:rPr>
        <w:t>一般公共预算</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三、投标人资格要求 </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1、符合《中华人民共和国政府采购法》第二十二条规定，并提供《中华人民共和国政府采购法实施条例》第十七条所要求的材料；</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2、采购项目需要落实的政府采购政策：</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鼓励节能政策：财政部、发展改革委、生态环境部、市场监管总局《关于调整优化节能产品、环境标志产品政府采购执行机制的通知》（财库【2019】9号）、财政部、发展改革委《关于印发节能产品政府采购品目清单的通知》（财库【2019】19号）、《市场监管总局关于发布参与实施政府采购节能、环境标志产品认证机构名录的公告》（2019年第16号）；</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鼓励环保政策：财政部、发展改革委、生态环境部、市场监管总局《关于调整优化节能产品、环境标志产品政府采购执行机制的通知》（财库【2019】9号）、财政部、生态环境部《关于印发环境标志产品政府采购品目清单的通知》（财库【2019】18号）、《市场监管总局关于发布参与实施政府采购节能、环境标志产品认证机构名录的公告》（2019年第16号）；</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（3）财政部、工业和信息化部文件关于印发《政府采购促进</w:t>
      </w:r>
      <w:r>
        <w:rPr>
          <w:rFonts w:hint="eastAsia" w:ascii="宋体" w:hAnsi="宋体" w:cs="宋体"/>
          <w:color w:val="auto"/>
          <w:kern w:val="2"/>
          <w:sz w:val="24"/>
          <w:szCs w:val="24"/>
          <w:highlight w:val="none"/>
          <w:lang w:val="en-US" w:eastAsia="zh-CN" w:bidi="ar-SA"/>
        </w:rPr>
        <w:t>中小微企业</w:t>
      </w:r>
      <w:r>
        <w:rPr>
          <w:rFonts w:hint="eastAsia" w:ascii="宋体" w:hAnsi="宋体" w:eastAsia="宋体" w:cs="宋体"/>
          <w:color w:val="auto"/>
          <w:kern w:val="2"/>
          <w:sz w:val="24"/>
          <w:szCs w:val="24"/>
          <w:highlight w:val="none"/>
          <w:lang w:val="en-US" w:eastAsia="zh-CN" w:bidi="ar-SA"/>
        </w:rPr>
        <w:t>发展管理办法》（财库[2020]46号文）；</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（4）财政部、司法部《关于政府采购支持监狱企业发展有关问题的通知》（财库〔2014〕68 号）；</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财政部、民政部、中国残疾人联合会文件《关于促进残疾人就业政府采购政策的通知》（财库[2017]141号）；监狱企业、残疾人福利性单位视同小型、微型企业，享受小型、微型企业评审中价格扣除的政府采购政策。</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3、单位负责人为同一人或者存在直接控股、管理关系的不同投标人，不得参加同一合同项下的政府采购活动。</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4、投标人必须为前三年内（</w:t>
      </w:r>
      <w:r>
        <w:rPr>
          <w:rFonts w:hint="eastAsia" w:ascii="宋体" w:hAnsi="宋体" w:cs="宋体"/>
          <w:color w:val="auto"/>
          <w:kern w:val="2"/>
          <w:sz w:val="24"/>
          <w:szCs w:val="24"/>
          <w:highlight w:val="none"/>
          <w:lang w:val="en-US" w:eastAsia="zh-CN" w:bidi="ar-SA"/>
        </w:rPr>
        <w:t>2020</w:t>
      </w:r>
      <w:r>
        <w:rPr>
          <w:rFonts w:hint="eastAsia" w:ascii="宋体" w:hAnsi="宋体" w:eastAsia="宋体" w:cs="宋体"/>
          <w:color w:val="auto"/>
          <w:kern w:val="2"/>
          <w:sz w:val="24"/>
          <w:szCs w:val="24"/>
          <w:highlight w:val="none"/>
          <w:lang w:val="en-US" w:eastAsia="zh-CN" w:bidi="ar-SA"/>
        </w:rPr>
        <w:t>年1 月 1 日至投标文件递交截止之日前）未被列入“信用中国”网站（www.creditchina.gov.cn）、中国政府采购网（www.ccgp.gov.cn）信用记录失信被执行人、重大税收违法案件当事人名单、政府采购严重违法失信行为记录名单的；（查询的时间须为本项目公告之日至投标截止日之间）。</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、本项目不接受联合体投标</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四、</w:t>
      </w:r>
      <w:r>
        <w:rPr>
          <w:rFonts w:hint="eastAsia" w:ascii="宋体" w:hAnsi="宋体" w:cs="宋体"/>
          <w:b w:val="0"/>
          <w:bCs w:val="0"/>
          <w:color w:val="auto"/>
          <w:kern w:val="0"/>
          <w:sz w:val="24"/>
          <w:szCs w:val="24"/>
          <w:highlight w:val="none"/>
          <w:lang w:val="en-US" w:eastAsia="zh-CN" w:bidi="ar"/>
        </w:rPr>
        <w:t>磋商文件</w:t>
      </w:r>
      <w:r>
        <w:rPr>
          <w:rFonts w:hint="eastAsia" w:ascii="宋体" w:hAnsi="宋体" w:eastAsia="宋体" w:cs="宋体"/>
          <w:b w:val="0"/>
          <w:bCs w:val="0"/>
          <w:color w:val="auto"/>
          <w:kern w:val="0"/>
          <w:sz w:val="24"/>
          <w:szCs w:val="24"/>
          <w:highlight w:val="none"/>
          <w:lang w:val="en-US" w:eastAsia="zh-CN" w:bidi="ar"/>
        </w:rPr>
        <w:t xml:space="preserve">的获取 </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1、获取时间：</w:t>
      </w:r>
      <w:r>
        <w:rPr>
          <w:rFonts w:hint="eastAsia" w:ascii="宋体" w:hAnsi="宋体" w:eastAsia="宋体" w:cs="宋体"/>
          <w:b w:val="0"/>
          <w:bCs w:val="0"/>
          <w:color w:val="auto"/>
          <w:kern w:val="0"/>
          <w:sz w:val="24"/>
          <w:szCs w:val="24"/>
          <w:highlight w:val="none"/>
          <w:lang w:val="en-US" w:eastAsia="zh-CN" w:bidi="ar"/>
        </w:rPr>
        <w:t>从 20</w:t>
      </w:r>
      <w:r>
        <w:rPr>
          <w:rFonts w:hint="eastAsia" w:ascii="宋体" w:hAnsi="宋体" w:cs="宋体"/>
          <w:b w:val="0"/>
          <w:bCs w:val="0"/>
          <w:color w:val="auto"/>
          <w:kern w:val="0"/>
          <w:sz w:val="24"/>
          <w:szCs w:val="24"/>
          <w:highlight w:val="none"/>
          <w:lang w:val="en-US" w:eastAsia="zh-CN" w:bidi="ar"/>
        </w:rPr>
        <w:t>23年5</w:t>
      </w:r>
      <w:r>
        <w:rPr>
          <w:rFonts w:hint="eastAsia" w:ascii="宋体" w:hAnsi="宋体" w:eastAsia="宋体" w:cs="宋体"/>
          <w:b w:val="0"/>
          <w:bCs w:val="0"/>
          <w:color w:val="auto"/>
          <w:kern w:val="0"/>
          <w:sz w:val="24"/>
          <w:szCs w:val="24"/>
          <w:highlight w:val="none"/>
          <w:lang w:val="en-US" w:eastAsia="zh-CN" w:bidi="ar"/>
        </w:rPr>
        <w:t>月</w:t>
      </w:r>
      <w:r>
        <w:rPr>
          <w:rFonts w:hint="eastAsia" w:ascii="宋体" w:hAnsi="宋体" w:cs="宋体"/>
          <w:b w:val="0"/>
          <w:bCs w:val="0"/>
          <w:color w:val="auto"/>
          <w:kern w:val="0"/>
          <w:sz w:val="24"/>
          <w:szCs w:val="24"/>
          <w:highlight w:val="none"/>
          <w:lang w:val="en-US" w:eastAsia="zh-CN" w:bidi="ar"/>
        </w:rPr>
        <w:t>31</w:t>
      </w:r>
      <w:r>
        <w:rPr>
          <w:rFonts w:hint="eastAsia" w:ascii="宋体" w:hAnsi="宋体" w:eastAsia="宋体" w:cs="宋体"/>
          <w:b w:val="0"/>
          <w:bCs w:val="0"/>
          <w:color w:val="auto"/>
          <w:kern w:val="0"/>
          <w:sz w:val="24"/>
          <w:szCs w:val="24"/>
          <w:highlight w:val="none"/>
          <w:lang w:val="en-US" w:eastAsia="zh-CN" w:bidi="ar"/>
        </w:rPr>
        <w:t>日10 时30分到20</w:t>
      </w:r>
      <w:r>
        <w:rPr>
          <w:rFonts w:hint="eastAsia" w:ascii="宋体" w:hAnsi="宋体" w:cs="宋体"/>
          <w:b w:val="0"/>
          <w:bCs w:val="0"/>
          <w:color w:val="auto"/>
          <w:kern w:val="0"/>
          <w:sz w:val="24"/>
          <w:szCs w:val="24"/>
          <w:highlight w:val="none"/>
          <w:lang w:val="en-US" w:eastAsia="zh-CN" w:bidi="ar"/>
        </w:rPr>
        <w:t>23年6</w:t>
      </w:r>
      <w:r>
        <w:rPr>
          <w:rFonts w:hint="eastAsia" w:ascii="宋体" w:hAnsi="宋体" w:eastAsia="宋体" w:cs="宋体"/>
          <w:b w:val="0"/>
          <w:bCs w:val="0"/>
          <w:color w:val="auto"/>
          <w:kern w:val="0"/>
          <w:sz w:val="24"/>
          <w:szCs w:val="24"/>
          <w:highlight w:val="none"/>
          <w:lang w:val="en-US" w:eastAsia="zh-CN" w:bidi="ar"/>
        </w:rPr>
        <w:t>月</w:t>
      </w:r>
      <w:r>
        <w:rPr>
          <w:rFonts w:hint="eastAsia" w:ascii="宋体" w:hAnsi="宋体" w:cs="宋体"/>
          <w:b w:val="0"/>
          <w:bCs w:val="0"/>
          <w:color w:val="auto"/>
          <w:kern w:val="0"/>
          <w:sz w:val="24"/>
          <w:szCs w:val="24"/>
          <w:highlight w:val="none"/>
          <w:lang w:val="en-US" w:eastAsia="zh-CN" w:bidi="ar"/>
        </w:rPr>
        <w:t>6</w:t>
      </w:r>
      <w:r>
        <w:rPr>
          <w:rFonts w:hint="eastAsia" w:ascii="宋体" w:hAnsi="宋体" w:eastAsia="宋体" w:cs="宋体"/>
          <w:b w:val="0"/>
          <w:bCs w:val="0"/>
          <w:color w:val="auto"/>
          <w:kern w:val="0"/>
          <w:sz w:val="24"/>
          <w:szCs w:val="24"/>
          <w:highlight w:val="none"/>
          <w:lang w:val="en-US" w:eastAsia="zh-CN" w:bidi="ar"/>
        </w:rPr>
        <w:t xml:space="preserve">日19 时 00 分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val="0"/>
        <w:snapToGrid/>
        <w:spacing w:beforeAutospacing="0" w:after="0" w:afterAutospacing="0" w:line="440" w:lineRule="exact"/>
        <w:ind w:right="0" w:firstLine="480" w:firstLineChars="200"/>
        <w:jc w:val="both"/>
        <w:textAlignment w:val="auto"/>
        <w:outlineLvl w:val="9"/>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2、获取方式：供应商登录政采云平台https://www.zcygov.cn/在线申请获取采购文件（进入“项目采购”应用，在获取采购文件菜单中选择项目，申请获取采购文件）</w:t>
      </w:r>
    </w:p>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eastAsia" w:ascii="宋体" w:hAnsi="宋体" w:eastAsia="宋体" w:cs="宋体"/>
          <w:b w:val="0"/>
          <w:bCs w:val="0"/>
          <w:color w:val="auto"/>
          <w:sz w:val="24"/>
          <w:szCs w:val="24"/>
          <w:highlight w:val="none"/>
        </w:rPr>
      </w:pPr>
      <w:r>
        <w:rPr>
          <w:rFonts w:hint="eastAsia" w:cs="宋体"/>
          <w:b w:val="0"/>
          <w:bCs w:val="0"/>
          <w:color w:val="auto"/>
          <w:sz w:val="24"/>
          <w:szCs w:val="24"/>
          <w:highlight w:val="none"/>
          <w:lang w:val="en-US" w:eastAsia="zh-CN"/>
        </w:rPr>
        <w:t>磋商文件</w:t>
      </w:r>
      <w:r>
        <w:rPr>
          <w:rFonts w:hint="eastAsia" w:ascii="宋体" w:hAnsi="宋体" w:eastAsia="宋体" w:cs="宋体"/>
          <w:b w:val="0"/>
          <w:bCs w:val="0"/>
          <w:color w:val="auto"/>
          <w:sz w:val="24"/>
          <w:szCs w:val="24"/>
          <w:highlight w:val="none"/>
          <w:lang w:val="en-US" w:eastAsia="zh-CN"/>
        </w:rPr>
        <w:t>获取地址：</w:t>
      </w:r>
      <w:r>
        <w:rPr>
          <w:rFonts w:hint="eastAsia" w:ascii="宋体" w:hAnsi="宋体" w:eastAsia="宋体" w:cs="宋体"/>
          <w:b w:val="0"/>
          <w:bCs w:val="0"/>
          <w:color w:val="auto"/>
          <w:kern w:val="0"/>
          <w:sz w:val="24"/>
          <w:szCs w:val="24"/>
          <w:highlight w:val="none"/>
          <w:lang w:val="en-US" w:eastAsia="zh-CN" w:bidi="ar"/>
        </w:rPr>
        <w:t>政采云平台线上获取</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五、</w:t>
      </w:r>
      <w:r>
        <w:rPr>
          <w:rFonts w:hint="eastAsia" w:ascii="宋体" w:hAnsi="宋体" w:cs="宋体"/>
          <w:b w:val="0"/>
          <w:bCs w:val="0"/>
          <w:color w:val="auto"/>
          <w:kern w:val="0"/>
          <w:sz w:val="24"/>
          <w:szCs w:val="24"/>
          <w:highlight w:val="none"/>
          <w:lang w:val="en-US" w:eastAsia="zh-CN" w:bidi="ar"/>
        </w:rPr>
        <w:t>投标文件</w:t>
      </w:r>
      <w:r>
        <w:rPr>
          <w:rFonts w:hint="eastAsia" w:ascii="宋体" w:hAnsi="宋体" w:eastAsia="宋体" w:cs="宋体"/>
          <w:b w:val="0"/>
          <w:bCs w:val="0"/>
          <w:color w:val="auto"/>
          <w:kern w:val="0"/>
          <w:sz w:val="24"/>
          <w:szCs w:val="24"/>
          <w:highlight w:val="none"/>
          <w:lang w:val="en-US" w:eastAsia="zh-CN" w:bidi="ar"/>
        </w:rPr>
        <w:t xml:space="preserve">的递交 </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递交截止时间：202</w:t>
      </w:r>
      <w:r>
        <w:rPr>
          <w:rFonts w:hint="eastAsia" w:ascii="宋体" w:hAnsi="宋体" w:cs="宋体"/>
          <w:b w:val="0"/>
          <w:bCs w:val="0"/>
          <w:color w:val="auto"/>
          <w:kern w:val="0"/>
          <w:sz w:val="24"/>
          <w:szCs w:val="24"/>
          <w:highlight w:val="none"/>
          <w:lang w:val="en-US" w:eastAsia="zh-CN" w:bidi="ar"/>
        </w:rPr>
        <w:t>3</w:t>
      </w:r>
      <w:r>
        <w:rPr>
          <w:rFonts w:hint="eastAsia" w:ascii="宋体" w:hAnsi="宋体" w:eastAsia="宋体" w:cs="宋体"/>
          <w:b w:val="0"/>
          <w:bCs w:val="0"/>
          <w:color w:val="auto"/>
          <w:kern w:val="0"/>
          <w:sz w:val="24"/>
          <w:szCs w:val="24"/>
          <w:highlight w:val="none"/>
          <w:lang w:val="en-US" w:eastAsia="zh-CN" w:bidi="ar"/>
        </w:rPr>
        <w:t xml:space="preserve"> 年</w:t>
      </w:r>
      <w:r>
        <w:rPr>
          <w:rFonts w:hint="eastAsia" w:ascii="宋体" w:hAnsi="宋体" w:cs="宋体"/>
          <w:b w:val="0"/>
          <w:bCs w:val="0"/>
          <w:color w:val="auto"/>
          <w:kern w:val="0"/>
          <w:sz w:val="24"/>
          <w:szCs w:val="24"/>
          <w:highlight w:val="none"/>
          <w:lang w:val="en-US" w:eastAsia="zh-CN" w:bidi="ar"/>
        </w:rPr>
        <w:t>6</w:t>
      </w:r>
      <w:r>
        <w:rPr>
          <w:rFonts w:hint="eastAsia" w:ascii="宋体" w:hAnsi="宋体" w:eastAsia="宋体" w:cs="宋体"/>
          <w:b w:val="0"/>
          <w:bCs w:val="0"/>
          <w:color w:val="auto"/>
          <w:kern w:val="0"/>
          <w:sz w:val="24"/>
          <w:szCs w:val="24"/>
          <w:highlight w:val="none"/>
          <w:lang w:val="en-US" w:eastAsia="zh-CN" w:bidi="ar"/>
        </w:rPr>
        <w:t>月</w:t>
      </w:r>
      <w:r>
        <w:rPr>
          <w:rFonts w:hint="eastAsia" w:ascii="宋体" w:hAnsi="宋体" w:cs="宋体"/>
          <w:b w:val="0"/>
          <w:bCs w:val="0"/>
          <w:color w:val="auto"/>
          <w:kern w:val="0"/>
          <w:sz w:val="24"/>
          <w:szCs w:val="24"/>
          <w:highlight w:val="none"/>
          <w:lang w:val="en-US" w:eastAsia="zh-CN" w:bidi="ar"/>
        </w:rPr>
        <w:t>12</w:t>
      </w:r>
      <w:r>
        <w:rPr>
          <w:rFonts w:hint="eastAsia" w:ascii="宋体" w:hAnsi="宋体" w:eastAsia="宋体" w:cs="宋体"/>
          <w:b w:val="0"/>
          <w:bCs w:val="0"/>
          <w:color w:val="auto"/>
          <w:kern w:val="0"/>
          <w:sz w:val="24"/>
          <w:szCs w:val="24"/>
          <w:highlight w:val="none"/>
          <w:lang w:val="en-US" w:eastAsia="zh-CN" w:bidi="ar"/>
        </w:rPr>
        <w:t xml:space="preserve">日 </w:t>
      </w:r>
      <w:r>
        <w:rPr>
          <w:rFonts w:hint="eastAsia" w:ascii="宋体" w:hAnsi="宋体" w:cs="宋体"/>
          <w:b w:val="0"/>
          <w:bCs w:val="0"/>
          <w:color w:val="auto"/>
          <w:kern w:val="0"/>
          <w:sz w:val="24"/>
          <w:szCs w:val="24"/>
          <w:highlight w:val="none"/>
          <w:lang w:val="en-US" w:eastAsia="zh-CN" w:bidi="ar"/>
        </w:rPr>
        <w:t>15</w:t>
      </w:r>
      <w:r>
        <w:rPr>
          <w:rFonts w:hint="eastAsia" w:ascii="宋体" w:hAnsi="宋体" w:eastAsia="宋体" w:cs="宋体"/>
          <w:b w:val="0"/>
          <w:bCs w:val="0"/>
          <w:color w:val="auto"/>
          <w:kern w:val="0"/>
          <w:sz w:val="24"/>
          <w:szCs w:val="24"/>
          <w:highlight w:val="none"/>
          <w:lang w:val="en-US" w:eastAsia="zh-CN" w:bidi="ar"/>
        </w:rPr>
        <w:t xml:space="preserve"> 时 </w:t>
      </w:r>
      <w:r>
        <w:rPr>
          <w:rFonts w:hint="eastAsia" w:ascii="宋体" w:hAnsi="宋体" w:cs="宋体"/>
          <w:b w:val="0"/>
          <w:bCs w:val="0"/>
          <w:color w:val="auto"/>
          <w:kern w:val="0"/>
          <w:sz w:val="24"/>
          <w:szCs w:val="24"/>
          <w:highlight w:val="none"/>
          <w:lang w:val="en-US" w:eastAsia="zh-CN" w:bidi="ar"/>
        </w:rPr>
        <w:t>30</w:t>
      </w:r>
      <w:r>
        <w:rPr>
          <w:rFonts w:hint="eastAsia" w:ascii="宋体" w:hAnsi="宋体" w:eastAsia="宋体" w:cs="宋体"/>
          <w:b w:val="0"/>
          <w:bCs w:val="0"/>
          <w:color w:val="auto"/>
          <w:kern w:val="0"/>
          <w:sz w:val="24"/>
          <w:szCs w:val="24"/>
          <w:highlight w:val="none"/>
          <w:lang w:val="en-US" w:eastAsia="zh-CN" w:bidi="ar"/>
        </w:rPr>
        <w:t xml:space="preserve">分 </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递交方式：</w:t>
      </w:r>
      <w:r>
        <w:rPr>
          <w:rFonts w:hint="eastAsia" w:ascii="宋体" w:hAnsi="宋体" w:cs="宋体"/>
          <w:b w:val="0"/>
          <w:bCs w:val="0"/>
          <w:color w:val="auto"/>
          <w:kern w:val="0"/>
          <w:sz w:val="24"/>
          <w:szCs w:val="24"/>
          <w:highlight w:val="none"/>
          <w:lang w:val="en-US" w:eastAsia="zh-CN" w:bidi="ar"/>
        </w:rPr>
        <w:t>请登录政采云投标客户端投标</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六、开标时间及地点 </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开标时间：202</w:t>
      </w:r>
      <w:r>
        <w:rPr>
          <w:rFonts w:hint="eastAsia" w:ascii="宋体" w:hAnsi="宋体" w:cs="宋体"/>
          <w:b w:val="0"/>
          <w:bCs w:val="0"/>
          <w:color w:val="auto"/>
          <w:kern w:val="0"/>
          <w:sz w:val="24"/>
          <w:szCs w:val="24"/>
          <w:highlight w:val="none"/>
          <w:lang w:val="en-US" w:eastAsia="zh-CN" w:bidi="ar"/>
        </w:rPr>
        <w:t>3</w:t>
      </w:r>
      <w:r>
        <w:rPr>
          <w:rFonts w:hint="eastAsia" w:ascii="宋体" w:hAnsi="宋体" w:eastAsia="宋体" w:cs="宋体"/>
          <w:b w:val="0"/>
          <w:bCs w:val="0"/>
          <w:color w:val="auto"/>
          <w:kern w:val="0"/>
          <w:sz w:val="24"/>
          <w:szCs w:val="24"/>
          <w:highlight w:val="none"/>
          <w:lang w:val="en-US" w:eastAsia="zh-CN" w:bidi="ar"/>
        </w:rPr>
        <w:t xml:space="preserve"> 年</w:t>
      </w:r>
      <w:r>
        <w:rPr>
          <w:rFonts w:hint="eastAsia" w:ascii="宋体" w:hAnsi="宋体" w:cs="宋体"/>
          <w:b w:val="0"/>
          <w:bCs w:val="0"/>
          <w:color w:val="auto"/>
          <w:kern w:val="0"/>
          <w:sz w:val="24"/>
          <w:szCs w:val="24"/>
          <w:highlight w:val="none"/>
          <w:lang w:val="en-US" w:eastAsia="zh-CN" w:bidi="ar"/>
        </w:rPr>
        <w:t>6</w:t>
      </w:r>
      <w:r>
        <w:rPr>
          <w:rFonts w:hint="eastAsia" w:ascii="宋体" w:hAnsi="宋体" w:eastAsia="宋体" w:cs="宋体"/>
          <w:b w:val="0"/>
          <w:bCs w:val="0"/>
          <w:color w:val="auto"/>
          <w:kern w:val="0"/>
          <w:sz w:val="24"/>
          <w:szCs w:val="24"/>
          <w:highlight w:val="none"/>
          <w:lang w:val="en-US" w:eastAsia="zh-CN" w:bidi="ar"/>
        </w:rPr>
        <w:t>月</w:t>
      </w:r>
      <w:r>
        <w:rPr>
          <w:rFonts w:hint="eastAsia" w:ascii="宋体" w:hAnsi="宋体" w:cs="宋体"/>
          <w:b w:val="0"/>
          <w:bCs w:val="0"/>
          <w:color w:val="auto"/>
          <w:kern w:val="0"/>
          <w:sz w:val="24"/>
          <w:szCs w:val="24"/>
          <w:highlight w:val="none"/>
          <w:lang w:val="en-US" w:eastAsia="zh-CN" w:bidi="ar"/>
        </w:rPr>
        <w:t>12</w:t>
      </w:r>
      <w:r>
        <w:rPr>
          <w:rFonts w:hint="eastAsia" w:ascii="宋体" w:hAnsi="宋体" w:eastAsia="宋体" w:cs="宋体"/>
          <w:b w:val="0"/>
          <w:bCs w:val="0"/>
          <w:color w:val="auto"/>
          <w:kern w:val="0"/>
          <w:sz w:val="24"/>
          <w:szCs w:val="24"/>
          <w:highlight w:val="none"/>
          <w:lang w:val="en-US" w:eastAsia="zh-CN" w:bidi="ar"/>
        </w:rPr>
        <w:t xml:space="preserve">日 </w:t>
      </w:r>
      <w:r>
        <w:rPr>
          <w:rFonts w:hint="eastAsia" w:ascii="宋体" w:hAnsi="宋体" w:cs="宋体"/>
          <w:b w:val="0"/>
          <w:bCs w:val="0"/>
          <w:color w:val="auto"/>
          <w:kern w:val="0"/>
          <w:sz w:val="24"/>
          <w:szCs w:val="24"/>
          <w:highlight w:val="none"/>
          <w:lang w:val="en-US" w:eastAsia="zh-CN" w:bidi="ar"/>
        </w:rPr>
        <w:t>15</w:t>
      </w:r>
      <w:r>
        <w:rPr>
          <w:rFonts w:hint="eastAsia" w:ascii="宋体" w:hAnsi="宋体" w:eastAsia="宋体" w:cs="宋体"/>
          <w:b w:val="0"/>
          <w:bCs w:val="0"/>
          <w:color w:val="auto"/>
          <w:kern w:val="0"/>
          <w:sz w:val="24"/>
          <w:szCs w:val="24"/>
          <w:highlight w:val="none"/>
          <w:lang w:val="en-US" w:eastAsia="zh-CN" w:bidi="ar"/>
        </w:rPr>
        <w:t xml:space="preserve"> 时 </w:t>
      </w:r>
      <w:r>
        <w:rPr>
          <w:rFonts w:hint="eastAsia" w:ascii="宋体" w:hAnsi="宋体" w:cs="宋体"/>
          <w:b w:val="0"/>
          <w:bCs w:val="0"/>
          <w:color w:val="auto"/>
          <w:kern w:val="0"/>
          <w:sz w:val="24"/>
          <w:szCs w:val="24"/>
          <w:highlight w:val="none"/>
          <w:lang w:val="en-US" w:eastAsia="zh-CN" w:bidi="ar"/>
        </w:rPr>
        <w:t>30</w:t>
      </w:r>
      <w:r>
        <w:rPr>
          <w:rFonts w:hint="eastAsia" w:ascii="宋体" w:hAnsi="宋体" w:eastAsia="宋体" w:cs="宋体"/>
          <w:b w:val="0"/>
          <w:bCs w:val="0"/>
          <w:color w:val="auto"/>
          <w:kern w:val="0"/>
          <w:sz w:val="24"/>
          <w:szCs w:val="24"/>
          <w:highlight w:val="none"/>
          <w:lang w:val="en-US" w:eastAsia="zh-CN" w:bidi="ar"/>
        </w:rPr>
        <w:t xml:space="preserve">分 </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
        </w:rPr>
        <w:t>开标地点：</w:t>
      </w:r>
      <w:r>
        <w:rPr>
          <w:rFonts w:hint="eastAsia" w:ascii="宋体" w:hAnsi="宋体" w:cs="宋体"/>
          <w:b w:val="0"/>
          <w:bCs w:val="0"/>
          <w:color w:val="auto"/>
          <w:kern w:val="0"/>
          <w:sz w:val="24"/>
          <w:szCs w:val="24"/>
          <w:highlight w:val="none"/>
          <w:lang w:val="en-US" w:eastAsia="zh-CN" w:bidi="ar"/>
        </w:rPr>
        <w:t>新疆政府采购网政采云平台（www.zcygov.cn）</w:t>
      </w:r>
      <w:r>
        <w:rPr>
          <w:rFonts w:hint="eastAsia" w:ascii="宋体" w:hAnsi="宋体" w:eastAsia="宋体" w:cs="宋体"/>
          <w:color w:val="auto"/>
          <w:kern w:val="2"/>
          <w:sz w:val="24"/>
          <w:szCs w:val="24"/>
          <w:highlight w:val="none"/>
          <w:lang w:val="en-US" w:eastAsia="zh-CN" w:bidi="ar-SA"/>
        </w:rPr>
        <w:t>投标人无需到达投标现场，仅需在任意地点登录政采云平台</w:t>
      </w:r>
    </w:p>
    <w:p>
      <w:pPr>
        <w:pStyle w:val="2"/>
        <w:rPr>
          <w:rFonts w:hint="eastAsia"/>
          <w:color w:val="auto"/>
          <w:highlight w:val="none"/>
          <w:lang w:val="en-US" w:eastAsia="zh-CN"/>
        </w:rPr>
      </w:pPr>
      <w:r>
        <w:rPr>
          <w:rFonts w:hint="eastAsia" w:ascii="宋体" w:hAnsi="宋体" w:cs="宋体"/>
          <w:color w:val="auto"/>
          <w:kern w:val="2"/>
          <w:sz w:val="24"/>
          <w:szCs w:val="24"/>
          <w:highlight w:val="none"/>
          <w:lang w:val="en-US" w:eastAsia="zh-CN" w:bidi="ar-SA"/>
        </w:rPr>
        <w:t>评标地点：</w:t>
      </w:r>
      <w:r>
        <w:rPr>
          <w:rFonts w:hint="eastAsia" w:ascii="宋体" w:hAnsi="宋体" w:cs="宋体"/>
          <w:color w:val="auto"/>
          <w:kern w:val="0"/>
          <w:sz w:val="24"/>
          <w:szCs w:val="24"/>
          <w:highlight w:val="none"/>
          <w:lang w:val="en-US" w:eastAsia="zh-CN" w:bidi="ar"/>
        </w:rPr>
        <w:t>新疆乌鲁木齐高新区（新市区）北京北路3999号阳光恒昌商务公园E座办公楼商务办公3层304号</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八、监督部门 </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本招标项目的监督部门为：天东林管局</w:t>
      </w:r>
      <w:r>
        <w:rPr>
          <w:rFonts w:hint="eastAsia" w:ascii="宋体" w:hAnsi="宋体" w:cs="宋体"/>
          <w:b w:val="0"/>
          <w:bCs w:val="0"/>
          <w:color w:val="auto"/>
          <w:kern w:val="0"/>
          <w:sz w:val="24"/>
          <w:szCs w:val="24"/>
          <w:highlight w:val="none"/>
          <w:lang w:val="en-US" w:eastAsia="zh-CN" w:bidi="ar"/>
        </w:rPr>
        <w:t>吉木萨尔</w:t>
      </w:r>
      <w:r>
        <w:rPr>
          <w:rFonts w:hint="eastAsia" w:ascii="宋体" w:hAnsi="宋体" w:eastAsia="宋体" w:cs="宋体"/>
          <w:b w:val="0"/>
          <w:bCs w:val="0"/>
          <w:color w:val="auto"/>
          <w:kern w:val="0"/>
          <w:sz w:val="24"/>
          <w:szCs w:val="24"/>
          <w:highlight w:val="none"/>
          <w:lang w:val="en-US" w:eastAsia="zh-CN" w:bidi="ar"/>
        </w:rPr>
        <w:t>分局纪检监察室（工会）室</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九</w:t>
      </w: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cs="宋体"/>
          <w:b w:val="0"/>
          <w:bCs w:val="0"/>
          <w:color w:val="auto"/>
          <w:kern w:val="0"/>
          <w:sz w:val="24"/>
          <w:szCs w:val="24"/>
          <w:highlight w:val="none"/>
          <w:lang w:val="en-US" w:eastAsia="zh-CN" w:bidi="ar"/>
        </w:rPr>
        <w:t>备注：</w:t>
      </w:r>
    </w:p>
    <w:p>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1</w:t>
      </w:r>
      <w:r>
        <w:rPr>
          <w:rFonts w:hint="eastAsia" w:ascii="宋体" w:hAnsi="宋体" w:cs="宋体"/>
          <w:b w:val="0"/>
          <w:bCs w:val="0"/>
          <w:color w:val="auto"/>
          <w:kern w:val="0"/>
          <w:sz w:val="24"/>
          <w:szCs w:val="24"/>
          <w:highlight w:val="none"/>
          <w:lang w:val="en-US" w:eastAsia="zh-CN" w:bidi="ar"/>
        </w:rPr>
        <w:t>、</w:t>
      </w:r>
      <w:r>
        <w:rPr>
          <w:rFonts w:hint="default" w:ascii="宋体" w:hAnsi="宋体" w:eastAsia="宋体" w:cs="宋体"/>
          <w:b w:val="0"/>
          <w:bCs w:val="0"/>
          <w:color w:val="auto"/>
          <w:kern w:val="0"/>
          <w:sz w:val="24"/>
          <w:szCs w:val="24"/>
          <w:highlight w:val="none"/>
          <w:lang w:val="en-US" w:eastAsia="zh-CN" w:bidi="ar"/>
        </w:rPr>
        <w:t>本项目采用全流程不见面电子开评标，投标供应商需要使用CA加密设备，供应商可通过新疆数字证书认证中心官网（https://www.xjca.com.cn/）或下载“新疆政务通”APP自行进行申领。</w:t>
      </w:r>
    </w:p>
    <w:p>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2</w:t>
      </w:r>
      <w:r>
        <w:rPr>
          <w:rFonts w:hint="eastAsia" w:ascii="宋体" w:hAnsi="宋体" w:cs="宋体"/>
          <w:b w:val="0"/>
          <w:bCs w:val="0"/>
          <w:color w:val="auto"/>
          <w:kern w:val="0"/>
          <w:sz w:val="24"/>
          <w:szCs w:val="24"/>
          <w:highlight w:val="none"/>
          <w:lang w:val="en-US" w:eastAsia="zh-CN" w:bidi="ar"/>
        </w:rPr>
        <w:t>、</w:t>
      </w:r>
      <w:r>
        <w:rPr>
          <w:rFonts w:hint="default" w:ascii="宋体" w:hAnsi="宋体" w:eastAsia="宋体" w:cs="宋体"/>
          <w:b w:val="0"/>
          <w:bCs w:val="0"/>
          <w:color w:val="auto"/>
          <w:kern w:val="0"/>
          <w:sz w:val="24"/>
          <w:szCs w:val="24"/>
          <w:highlight w:val="none"/>
          <w:lang w:val="en-US" w:eastAsia="zh-CN" w:bidi="ar"/>
        </w:rPr>
        <w:t>本项目实行网上投标，采用加密电子投标文件(供应商须使用CA加密设备通过政采云电子投标客户端制作投标文件)。若供应商参与投标，自行承担投标一切费用。</w:t>
      </w:r>
    </w:p>
    <w:p>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3</w:t>
      </w:r>
      <w:r>
        <w:rPr>
          <w:rFonts w:hint="eastAsia" w:ascii="宋体" w:hAnsi="宋体" w:cs="宋体"/>
          <w:b w:val="0"/>
          <w:bCs w:val="0"/>
          <w:color w:val="auto"/>
          <w:kern w:val="0"/>
          <w:sz w:val="24"/>
          <w:szCs w:val="24"/>
          <w:highlight w:val="none"/>
          <w:lang w:val="en-US" w:eastAsia="zh-CN" w:bidi="ar"/>
        </w:rPr>
        <w:t>、</w:t>
      </w:r>
      <w:r>
        <w:rPr>
          <w:rFonts w:hint="default" w:ascii="宋体" w:hAnsi="宋体" w:eastAsia="宋体" w:cs="宋体"/>
          <w:b w:val="0"/>
          <w:bCs w:val="0"/>
          <w:color w:val="auto"/>
          <w:kern w:val="0"/>
          <w:sz w:val="24"/>
          <w:szCs w:val="24"/>
          <w:highlight w:val="none"/>
          <w:lang w:val="en-US" w:eastAsia="zh-CN" w:bidi="ar"/>
        </w:rPr>
        <w:t>各供应商在开标前应确保成为新疆维吾尔自治区政府采购网正式注册入库供应商，（已在政采云平台其他省份入驻的供应商无需重复注册），并完成CA数字证书申领。因未注册入库、未办理CA数字证书等原因造成无法投标或投标失败等后果由供应商自行承担。</w:t>
      </w:r>
    </w:p>
    <w:p>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4</w:t>
      </w:r>
      <w:r>
        <w:rPr>
          <w:rFonts w:hint="eastAsia" w:ascii="宋体" w:hAnsi="宋体" w:cs="宋体"/>
          <w:b w:val="0"/>
          <w:bCs w:val="0"/>
          <w:color w:val="auto"/>
          <w:kern w:val="0"/>
          <w:sz w:val="24"/>
          <w:szCs w:val="24"/>
          <w:highlight w:val="none"/>
          <w:lang w:val="en-US" w:eastAsia="zh-CN" w:bidi="ar"/>
        </w:rPr>
        <w:t>、</w:t>
      </w:r>
      <w:r>
        <w:rPr>
          <w:rFonts w:hint="default" w:ascii="宋体" w:hAnsi="宋体" w:eastAsia="宋体" w:cs="宋体"/>
          <w:b w:val="0"/>
          <w:bCs w:val="0"/>
          <w:color w:val="auto"/>
          <w:kern w:val="0"/>
          <w:sz w:val="24"/>
          <w:szCs w:val="24"/>
          <w:highlight w:val="none"/>
          <w:lang w:val="en-US" w:eastAsia="zh-CN" w:bidi="ar"/>
        </w:rPr>
        <w:t>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p>
    <w:p>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5</w:t>
      </w:r>
      <w:r>
        <w:rPr>
          <w:rFonts w:hint="eastAsia" w:ascii="宋体" w:hAnsi="宋体" w:cs="宋体"/>
          <w:b w:val="0"/>
          <w:bCs w:val="0"/>
          <w:color w:val="auto"/>
          <w:kern w:val="0"/>
          <w:sz w:val="24"/>
          <w:szCs w:val="24"/>
          <w:highlight w:val="none"/>
          <w:lang w:val="en-US" w:eastAsia="zh-CN" w:bidi="ar"/>
        </w:rPr>
        <w:t>、</w:t>
      </w:r>
      <w:r>
        <w:rPr>
          <w:rFonts w:hint="default" w:ascii="宋体" w:hAnsi="宋体" w:eastAsia="宋体" w:cs="宋体"/>
          <w:b w:val="0"/>
          <w:bCs w:val="0"/>
          <w:color w:val="auto"/>
          <w:kern w:val="0"/>
          <w:sz w:val="24"/>
          <w:szCs w:val="24"/>
          <w:highlight w:val="none"/>
          <w:lang w:val="en-US" w:eastAsia="zh-CN" w:bidi="ar"/>
        </w:rPr>
        <w:t>供应商在开标时须使用制作加密电子投标文件所使用的CA锁及电脑，电脑须提前配置好浏览器（建议使用谷歌浏览器），以便开标时解锁。</w:t>
      </w:r>
    </w:p>
    <w:p>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6、</w:t>
      </w:r>
      <w:r>
        <w:rPr>
          <w:rFonts w:hint="default" w:ascii="宋体" w:hAnsi="宋体" w:eastAsia="宋体" w:cs="宋体"/>
          <w:b w:val="0"/>
          <w:bCs w:val="0"/>
          <w:color w:val="auto"/>
          <w:kern w:val="0"/>
          <w:sz w:val="24"/>
          <w:szCs w:val="24"/>
          <w:highlight w:val="none"/>
          <w:lang w:val="en-US" w:eastAsia="zh-CN" w:bidi="ar"/>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kern w:val="0"/>
          <w:sz w:val="24"/>
          <w:szCs w:val="24"/>
          <w:highlight w:val="none"/>
          <w:lang w:val="en-US" w:eastAsia="zh-CN" w:bidi="ar"/>
        </w:rPr>
      </w:pPr>
      <w:r>
        <w:rPr>
          <w:rFonts w:hint="default" w:ascii="宋体" w:hAnsi="宋体" w:eastAsia="宋体" w:cs="宋体"/>
          <w:b w:val="0"/>
          <w:bCs w:val="0"/>
          <w:color w:val="auto"/>
          <w:kern w:val="0"/>
          <w:sz w:val="24"/>
          <w:szCs w:val="24"/>
          <w:highlight w:val="none"/>
          <w:lang w:val="en-US" w:eastAsia="zh-CN" w:bidi="ar"/>
        </w:rPr>
        <w:t>7</w:t>
      </w:r>
      <w:r>
        <w:rPr>
          <w:rFonts w:hint="eastAsia" w:ascii="宋体" w:hAnsi="宋体" w:cs="宋体"/>
          <w:b w:val="0"/>
          <w:bCs w:val="0"/>
          <w:color w:val="auto"/>
          <w:kern w:val="0"/>
          <w:sz w:val="24"/>
          <w:szCs w:val="24"/>
          <w:highlight w:val="none"/>
          <w:lang w:val="en-US" w:eastAsia="zh-CN" w:bidi="ar"/>
        </w:rPr>
        <w:t>、</w:t>
      </w:r>
      <w:r>
        <w:rPr>
          <w:rFonts w:hint="default" w:ascii="宋体" w:hAnsi="宋体" w:eastAsia="宋体" w:cs="宋体"/>
          <w:b w:val="0"/>
          <w:bCs w:val="0"/>
          <w:color w:val="auto"/>
          <w:kern w:val="0"/>
          <w:sz w:val="24"/>
          <w:szCs w:val="24"/>
          <w:highlight w:val="none"/>
          <w:lang w:val="en-US" w:eastAsia="zh-CN" w:bidi="ar"/>
        </w:rPr>
        <w:t>为了保证开评标顺利进行，政采云线上开标功能完全实现，供应商开标所使用的电脑设备须具有视频及语音功能。</w:t>
      </w:r>
    </w:p>
    <w:p>
      <w:pPr>
        <w:pStyle w:val="25"/>
        <w:numPr>
          <w:ilvl w:val="0"/>
          <w:numId w:val="0"/>
        </w:numPr>
        <w:ind w:leftChars="0" w:firstLine="480" w:firstLineChars="200"/>
        <w:rPr>
          <w:rFonts w:hint="default" w:ascii="宋体" w:hAnsi="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8、</w:t>
      </w:r>
      <w:r>
        <w:rPr>
          <w:rFonts w:hint="default" w:ascii="宋体" w:hAnsi="宋体" w:eastAsia="宋体" w:cs="宋体"/>
          <w:b w:val="0"/>
          <w:bCs w:val="0"/>
          <w:color w:val="auto"/>
          <w:kern w:val="0"/>
          <w:sz w:val="24"/>
          <w:szCs w:val="24"/>
          <w:highlight w:val="none"/>
          <w:lang w:val="en-US" w:eastAsia="zh-CN" w:bidi="ar"/>
        </w:rPr>
        <w:t>根据财政部、工业和信息化部关于印发《政府采购促进中小</w:t>
      </w:r>
      <w:r>
        <w:rPr>
          <w:rFonts w:hint="eastAsia" w:ascii="宋体" w:hAnsi="宋体" w:cs="宋体"/>
          <w:b w:val="0"/>
          <w:bCs w:val="0"/>
          <w:color w:val="auto"/>
          <w:kern w:val="0"/>
          <w:sz w:val="24"/>
          <w:szCs w:val="24"/>
          <w:highlight w:val="none"/>
          <w:lang w:val="en-US" w:eastAsia="zh-CN" w:bidi="ar"/>
        </w:rPr>
        <w:t>微</w:t>
      </w:r>
      <w:r>
        <w:rPr>
          <w:rFonts w:hint="default" w:ascii="宋体" w:hAnsi="宋体" w:eastAsia="宋体" w:cs="宋体"/>
          <w:b w:val="0"/>
          <w:bCs w:val="0"/>
          <w:color w:val="auto"/>
          <w:kern w:val="0"/>
          <w:sz w:val="24"/>
          <w:szCs w:val="24"/>
          <w:highlight w:val="none"/>
          <w:lang w:val="en-US" w:eastAsia="zh-CN" w:bidi="ar"/>
        </w:rPr>
        <w:t>企业发展管理办法》的通知(财库[2020]46号)，第三条款：采购人在政府采购活动中应当通过加强采购需求管理，落实预留采购份额、价格评审优惠、优先采购等措施，提高</w:t>
      </w:r>
      <w:r>
        <w:rPr>
          <w:rFonts w:hint="eastAsia" w:ascii="宋体" w:hAnsi="宋体" w:cs="宋体"/>
          <w:b w:val="0"/>
          <w:bCs w:val="0"/>
          <w:color w:val="auto"/>
          <w:kern w:val="0"/>
          <w:sz w:val="24"/>
          <w:szCs w:val="24"/>
          <w:highlight w:val="none"/>
          <w:lang w:val="en-US" w:eastAsia="zh-CN" w:bidi="ar"/>
        </w:rPr>
        <w:t>中小微企业</w:t>
      </w:r>
      <w:r>
        <w:rPr>
          <w:rFonts w:hint="default" w:ascii="宋体" w:hAnsi="宋体" w:eastAsia="宋体" w:cs="宋体"/>
          <w:b w:val="0"/>
          <w:bCs w:val="0"/>
          <w:color w:val="auto"/>
          <w:kern w:val="0"/>
          <w:sz w:val="24"/>
          <w:szCs w:val="24"/>
          <w:highlight w:val="none"/>
          <w:lang w:val="en-US" w:eastAsia="zh-CN" w:bidi="ar"/>
        </w:rPr>
        <w:t>在政府采购中的份额，支持中小</w:t>
      </w:r>
      <w:r>
        <w:rPr>
          <w:rFonts w:hint="eastAsia" w:ascii="宋体" w:hAnsi="宋体" w:cs="宋体"/>
          <w:b w:val="0"/>
          <w:bCs w:val="0"/>
          <w:color w:val="auto"/>
          <w:kern w:val="0"/>
          <w:sz w:val="24"/>
          <w:szCs w:val="24"/>
          <w:highlight w:val="none"/>
          <w:lang w:val="en-US" w:eastAsia="zh-CN" w:bidi="ar"/>
        </w:rPr>
        <w:t>微</w:t>
      </w:r>
      <w:r>
        <w:rPr>
          <w:rFonts w:hint="default" w:ascii="宋体" w:hAnsi="宋体" w:eastAsia="宋体" w:cs="宋体"/>
          <w:b w:val="0"/>
          <w:bCs w:val="0"/>
          <w:color w:val="auto"/>
          <w:kern w:val="0"/>
          <w:sz w:val="24"/>
          <w:szCs w:val="24"/>
          <w:highlight w:val="none"/>
          <w:lang w:val="en-US" w:eastAsia="zh-CN" w:bidi="ar"/>
        </w:rPr>
        <w:t>企业发展。本项目全面面向中小</w:t>
      </w:r>
      <w:r>
        <w:rPr>
          <w:rFonts w:hint="eastAsia" w:ascii="宋体" w:hAnsi="宋体" w:cs="宋体"/>
          <w:b w:val="0"/>
          <w:bCs w:val="0"/>
          <w:color w:val="auto"/>
          <w:kern w:val="0"/>
          <w:sz w:val="24"/>
          <w:szCs w:val="24"/>
          <w:highlight w:val="none"/>
          <w:lang w:val="en-US" w:eastAsia="zh-CN" w:bidi="ar"/>
        </w:rPr>
        <w:t>微</w:t>
      </w:r>
      <w:r>
        <w:rPr>
          <w:rFonts w:hint="default" w:ascii="宋体" w:hAnsi="宋体" w:eastAsia="宋体" w:cs="宋体"/>
          <w:b w:val="0"/>
          <w:bCs w:val="0"/>
          <w:color w:val="auto"/>
          <w:kern w:val="0"/>
          <w:sz w:val="24"/>
          <w:szCs w:val="24"/>
          <w:highlight w:val="none"/>
          <w:lang w:val="en-US" w:eastAsia="zh-CN" w:bidi="ar"/>
        </w:rPr>
        <w:t>企业</w:t>
      </w:r>
      <w:r>
        <w:rPr>
          <w:rFonts w:hint="eastAsia" w:ascii="宋体" w:hAnsi="宋体" w:eastAsia="宋体" w:cs="宋体"/>
          <w:b w:val="0"/>
          <w:bCs w:val="0"/>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十</w:t>
      </w:r>
      <w:r>
        <w:rPr>
          <w:rFonts w:hint="eastAsia" w:ascii="宋体" w:hAnsi="宋体" w:eastAsia="宋体" w:cs="宋体"/>
          <w:b w:val="0"/>
          <w:bCs w:val="0"/>
          <w:color w:val="auto"/>
          <w:kern w:val="0"/>
          <w:sz w:val="24"/>
          <w:szCs w:val="24"/>
          <w:highlight w:val="none"/>
          <w:lang w:val="en-US" w:eastAsia="zh-CN" w:bidi="ar"/>
        </w:rPr>
        <w:t xml:space="preserve">、联系方式 </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招 标 人：</w:t>
      </w:r>
      <w:r>
        <w:rPr>
          <w:rFonts w:hint="eastAsia" w:ascii="宋体" w:hAnsi="宋体" w:cs="宋体"/>
          <w:b w:val="0"/>
          <w:bCs w:val="0"/>
          <w:color w:val="auto"/>
          <w:kern w:val="0"/>
          <w:sz w:val="24"/>
          <w:szCs w:val="24"/>
          <w:highlight w:val="none"/>
          <w:lang w:val="en-US" w:eastAsia="zh-CN" w:bidi="ar"/>
        </w:rPr>
        <w:t>新疆天山东部国有林管理局吉木萨尔分局</w:t>
      </w:r>
      <w:r>
        <w:rPr>
          <w:rFonts w:hint="eastAsia" w:ascii="宋体" w:hAnsi="宋体" w:eastAsia="宋体" w:cs="宋体"/>
          <w:b w:val="0"/>
          <w:bCs w:val="0"/>
          <w:color w:val="auto"/>
          <w:kern w:val="0"/>
          <w:sz w:val="24"/>
          <w:szCs w:val="24"/>
          <w:highlight w:val="none"/>
          <w:lang w:val="en-US" w:eastAsia="zh-CN" w:bidi="ar"/>
        </w:rPr>
        <w:t xml:space="preserve"> </w:t>
      </w:r>
    </w:p>
    <w:p>
      <w:pPr>
        <w:keepNext w:val="0"/>
        <w:keepLines w:val="0"/>
        <w:pageBreakBefore w:val="0"/>
        <w:widowControl/>
        <w:suppressLineNumbers w:val="0"/>
        <w:kinsoku/>
        <w:overflowPunct/>
        <w:topLinePunct w:val="0"/>
        <w:autoSpaceDE/>
        <w:autoSpaceDN/>
        <w:bidi w:val="0"/>
        <w:spacing w:line="440" w:lineRule="exact"/>
        <w:jc w:val="both"/>
        <w:textAlignment w:val="auto"/>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地 址：</w:t>
      </w:r>
      <w:r>
        <w:rPr>
          <w:rFonts w:hint="eastAsia" w:ascii="宋体" w:hAnsi="宋体" w:cs="宋体"/>
          <w:b w:val="0"/>
          <w:bCs w:val="0"/>
          <w:color w:val="auto"/>
          <w:kern w:val="0"/>
          <w:sz w:val="24"/>
          <w:szCs w:val="24"/>
          <w:highlight w:val="none"/>
          <w:lang w:val="en-US" w:eastAsia="zh-CN" w:bidi="ar"/>
        </w:rPr>
        <w:t>新疆吉木萨尔县文化西路17号</w:t>
      </w:r>
    </w:p>
    <w:p>
      <w:pPr>
        <w:keepNext w:val="0"/>
        <w:keepLines w:val="0"/>
        <w:pageBreakBefore w:val="0"/>
        <w:widowControl/>
        <w:suppressLineNumbers w:val="0"/>
        <w:kinsoku/>
        <w:overflowPunct/>
        <w:topLinePunct w:val="0"/>
        <w:autoSpaceDE/>
        <w:autoSpaceDN/>
        <w:bidi w:val="0"/>
        <w:spacing w:line="440" w:lineRule="exact"/>
        <w:jc w:val="both"/>
        <w:textAlignment w:val="auto"/>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联 系 人：</w:t>
      </w:r>
      <w:r>
        <w:rPr>
          <w:rFonts w:hint="eastAsia" w:ascii="宋体" w:hAnsi="宋体" w:cs="宋体"/>
          <w:b w:val="0"/>
          <w:bCs w:val="0"/>
          <w:color w:val="auto"/>
          <w:kern w:val="0"/>
          <w:sz w:val="24"/>
          <w:szCs w:val="24"/>
          <w:highlight w:val="none"/>
          <w:lang w:val="en-US" w:eastAsia="zh-CN" w:bidi="ar"/>
        </w:rPr>
        <w:t>陈龙</w:t>
      </w:r>
    </w:p>
    <w:p>
      <w:pPr>
        <w:keepNext w:val="0"/>
        <w:keepLines w:val="0"/>
        <w:pageBreakBefore w:val="0"/>
        <w:widowControl/>
        <w:suppressLineNumbers w:val="0"/>
        <w:kinsoku/>
        <w:overflowPunct/>
        <w:topLinePunct w:val="0"/>
        <w:autoSpaceDE/>
        <w:autoSpaceDN/>
        <w:bidi w:val="0"/>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电 话：</w:t>
      </w:r>
      <w:r>
        <w:rPr>
          <w:rFonts w:hint="eastAsia" w:ascii="宋体" w:hAnsi="宋体" w:cs="宋体"/>
          <w:b w:val="0"/>
          <w:bCs/>
          <w:i w:val="0"/>
          <w:iCs w:val="0"/>
          <w:color w:val="auto"/>
          <w:kern w:val="0"/>
          <w:sz w:val="24"/>
          <w:szCs w:val="24"/>
          <w:highlight w:val="none"/>
          <w:u w:val="none"/>
          <w:lang w:val="en-US" w:eastAsia="zh-CN" w:bidi="ar"/>
        </w:rPr>
        <w:t>13009604449</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招标代理机构：新疆诚信达招标代理有限责任公司 </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地 址： </w:t>
      </w:r>
      <w:r>
        <w:rPr>
          <w:rFonts w:hint="eastAsia" w:ascii="宋体" w:hAnsi="宋体" w:eastAsia="宋体" w:cs="宋体"/>
          <w:b w:val="0"/>
          <w:bCs w:val="0"/>
          <w:color w:val="auto"/>
          <w:kern w:val="0"/>
          <w:sz w:val="24"/>
          <w:szCs w:val="24"/>
          <w:highlight w:val="none"/>
          <w:lang w:val="en-US" w:eastAsia="zh-CN" w:bidi="ar"/>
        </w:rPr>
        <w:t>乌鲁木齐市新市区天津南路431号博雅居B栋2单元301室</w:t>
      </w:r>
      <w:r>
        <w:rPr>
          <w:rFonts w:hint="eastAsia" w:ascii="宋体" w:hAnsi="宋体" w:eastAsia="宋体" w:cs="宋体"/>
          <w:b w:val="0"/>
          <w:bCs w:val="0"/>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联 系 人：</w:t>
      </w:r>
      <w:r>
        <w:rPr>
          <w:rFonts w:hint="eastAsia" w:ascii="宋体" w:hAnsi="宋体" w:cs="宋体"/>
          <w:b w:val="0"/>
          <w:bCs w:val="0"/>
          <w:color w:val="auto"/>
          <w:kern w:val="0"/>
          <w:sz w:val="24"/>
          <w:szCs w:val="24"/>
          <w:highlight w:val="none"/>
          <w:lang w:val="en-US" w:eastAsia="zh-CN" w:bidi="ar"/>
        </w:rPr>
        <w:t>赵女士</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电 话： </w:t>
      </w:r>
      <w:r>
        <w:rPr>
          <w:rFonts w:hint="eastAsia" w:ascii="宋体" w:hAnsi="宋体" w:cs="宋体"/>
          <w:b w:val="0"/>
          <w:bCs w:val="0"/>
          <w:color w:val="auto"/>
          <w:kern w:val="0"/>
          <w:sz w:val="24"/>
          <w:szCs w:val="24"/>
          <w:highlight w:val="none"/>
          <w:lang w:val="en-US" w:eastAsia="zh-CN" w:bidi="ar"/>
        </w:rPr>
        <w:t>15292638547</w:t>
      </w:r>
      <w:r>
        <w:rPr>
          <w:rFonts w:hint="eastAsia" w:ascii="宋体" w:hAnsi="宋体" w:eastAsia="宋体" w:cs="宋体"/>
          <w:b w:val="0"/>
          <w:bCs w:val="0"/>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kern w:val="0"/>
          <w:sz w:val="24"/>
          <w:szCs w:val="24"/>
          <w:highlight w:val="none"/>
          <w:u w:val="none"/>
          <w:lang w:val="en-US" w:eastAsia="zh-CN" w:bidi="ar"/>
        </w:rPr>
      </w:pPr>
      <w:r>
        <w:rPr>
          <w:rFonts w:hint="eastAsia" w:ascii="宋体" w:hAnsi="宋体" w:eastAsia="宋体" w:cs="宋体"/>
          <w:b w:val="0"/>
          <w:bCs w:val="0"/>
          <w:color w:val="auto"/>
          <w:kern w:val="0"/>
          <w:sz w:val="24"/>
          <w:szCs w:val="24"/>
          <w:highlight w:val="none"/>
          <w:lang w:val="en-US" w:eastAsia="zh-CN" w:bidi="ar"/>
        </w:rPr>
        <w:t>电子邮件：</w:t>
      </w:r>
      <w:r>
        <w:rPr>
          <w:rFonts w:hint="eastAsia" w:ascii="宋体" w:hAnsi="宋体" w:eastAsia="宋体" w:cs="宋体"/>
          <w:b w:val="0"/>
          <w:bCs w:val="0"/>
          <w:color w:val="auto"/>
          <w:kern w:val="0"/>
          <w:sz w:val="24"/>
          <w:szCs w:val="24"/>
          <w:highlight w:val="none"/>
          <w:u w:val="none"/>
          <w:lang w:val="en-US" w:eastAsia="zh-CN" w:bidi="ar"/>
        </w:rPr>
        <w:t xml:space="preserve"> </w:t>
      </w:r>
      <w:r>
        <w:rPr>
          <w:rFonts w:hint="eastAsia" w:ascii="宋体" w:hAnsi="宋体" w:eastAsia="宋体" w:cs="宋体"/>
          <w:b w:val="0"/>
          <w:bCs w:val="0"/>
          <w:color w:val="auto"/>
          <w:kern w:val="0"/>
          <w:sz w:val="24"/>
          <w:szCs w:val="24"/>
          <w:highlight w:val="none"/>
          <w:u w:val="none"/>
          <w:lang w:val="en-US" w:eastAsia="zh-CN" w:bidi="ar"/>
        </w:rPr>
        <w:fldChar w:fldCharType="begin"/>
      </w:r>
      <w:r>
        <w:rPr>
          <w:rFonts w:hint="eastAsia" w:ascii="宋体" w:hAnsi="宋体" w:eastAsia="宋体" w:cs="宋体"/>
          <w:b w:val="0"/>
          <w:bCs w:val="0"/>
          <w:color w:val="auto"/>
          <w:kern w:val="0"/>
          <w:sz w:val="24"/>
          <w:szCs w:val="24"/>
          <w:highlight w:val="none"/>
          <w:u w:val="none"/>
          <w:lang w:val="en-US" w:eastAsia="zh-CN" w:bidi="ar"/>
        </w:rPr>
        <w:instrText xml:space="preserve"> HYPERLINK "mailto:2957670019@qq.com" </w:instrText>
      </w:r>
      <w:r>
        <w:rPr>
          <w:rFonts w:hint="eastAsia" w:ascii="宋体" w:hAnsi="宋体" w:eastAsia="宋体" w:cs="宋体"/>
          <w:b w:val="0"/>
          <w:bCs w:val="0"/>
          <w:color w:val="auto"/>
          <w:kern w:val="0"/>
          <w:sz w:val="24"/>
          <w:szCs w:val="24"/>
          <w:highlight w:val="none"/>
          <w:u w:val="none"/>
          <w:lang w:val="en-US" w:eastAsia="zh-CN" w:bidi="ar"/>
        </w:rPr>
        <w:fldChar w:fldCharType="separate"/>
      </w:r>
      <w:r>
        <w:rPr>
          <w:rStyle w:val="31"/>
          <w:rFonts w:hint="eastAsia" w:ascii="宋体" w:hAnsi="宋体" w:eastAsia="宋体" w:cs="宋体"/>
          <w:b w:val="0"/>
          <w:bCs w:val="0"/>
          <w:color w:val="auto"/>
          <w:kern w:val="0"/>
          <w:sz w:val="24"/>
          <w:szCs w:val="24"/>
          <w:highlight w:val="none"/>
          <w:u w:val="none"/>
          <w:lang w:val="en-US" w:eastAsia="zh-CN" w:bidi="ar"/>
        </w:rPr>
        <w:t>2957670019@qq.com</w:t>
      </w:r>
      <w:r>
        <w:rPr>
          <w:rFonts w:hint="eastAsia" w:ascii="宋体" w:hAnsi="宋体" w:eastAsia="宋体" w:cs="宋体"/>
          <w:b w:val="0"/>
          <w:bCs w:val="0"/>
          <w:color w:val="auto"/>
          <w:kern w:val="0"/>
          <w:sz w:val="24"/>
          <w:szCs w:val="24"/>
          <w:highlight w:val="none"/>
          <w:u w:val="none"/>
          <w:lang w:val="en-US" w:eastAsia="zh-CN" w:bidi="ar"/>
        </w:rPr>
        <w:fldChar w:fldCharType="end"/>
      </w: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2"/>
        <w:rPr>
          <w:rFonts w:hint="eastAsia" w:ascii="宋体" w:hAnsi="宋体" w:eastAsia="宋体" w:cs="宋体"/>
          <w:color w:val="auto"/>
          <w:kern w:val="0"/>
          <w:sz w:val="24"/>
          <w:szCs w:val="24"/>
          <w:highlight w:val="none"/>
          <w:u w:val="none"/>
          <w:lang w:val="en-US" w:eastAsia="zh-CN" w:bidi="ar"/>
        </w:rPr>
      </w:pPr>
    </w:p>
    <w:p>
      <w:pPr>
        <w:pStyle w:val="34"/>
        <w:spacing w:line="440" w:lineRule="exact"/>
        <w:jc w:val="center"/>
        <w:outlineLvl w:val="0"/>
        <w:rPr>
          <w:rFonts w:hint="eastAsia" w:ascii="宋体" w:hAnsi="宋体"/>
          <w:b/>
          <w:color w:val="auto"/>
          <w:kern w:val="2"/>
          <w:sz w:val="36"/>
          <w:szCs w:val="36"/>
          <w:highlight w:val="none"/>
          <w:lang w:val="en-US" w:eastAsia="zh-CN"/>
        </w:rPr>
      </w:pPr>
    </w:p>
    <w:p>
      <w:pPr>
        <w:pStyle w:val="34"/>
        <w:spacing w:line="440" w:lineRule="exact"/>
        <w:jc w:val="center"/>
        <w:outlineLvl w:val="0"/>
        <w:rPr>
          <w:rFonts w:hint="eastAsia" w:ascii="宋体" w:hAnsi="宋体"/>
          <w:b/>
          <w:color w:val="auto"/>
          <w:kern w:val="2"/>
          <w:sz w:val="36"/>
          <w:szCs w:val="36"/>
          <w:highlight w:val="none"/>
        </w:rPr>
      </w:pPr>
      <w:r>
        <w:rPr>
          <w:rFonts w:hint="eastAsia" w:ascii="宋体" w:hAnsi="宋体"/>
          <w:b/>
          <w:color w:val="auto"/>
          <w:kern w:val="2"/>
          <w:sz w:val="36"/>
          <w:szCs w:val="36"/>
          <w:highlight w:val="none"/>
          <w:lang w:val="en-US" w:eastAsia="zh-CN"/>
        </w:rPr>
        <w:t>第一部分</w:t>
      </w:r>
      <w:r>
        <w:rPr>
          <w:rFonts w:ascii="宋体" w:hAnsi="宋体"/>
          <w:b/>
          <w:color w:val="auto"/>
          <w:kern w:val="2"/>
          <w:sz w:val="36"/>
          <w:szCs w:val="36"/>
          <w:highlight w:val="none"/>
        </w:rPr>
        <w:t xml:space="preserve"> </w:t>
      </w:r>
      <w:r>
        <w:rPr>
          <w:rFonts w:hint="eastAsia" w:ascii="宋体" w:hAnsi="宋体"/>
          <w:b/>
          <w:color w:val="auto"/>
          <w:kern w:val="2"/>
          <w:sz w:val="36"/>
          <w:szCs w:val="36"/>
          <w:highlight w:val="none"/>
        </w:rPr>
        <w:t>投标</w:t>
      </w:r>
      <w:r>
        <w:rPr>
          <w:rFonts w:hint="eastAsia" w:ascii="宋体" w:hAnsi="宋体"/>
          <w:b/>
          <w:color w:val="auto"/>
          <w:kern w:val="2"/>
          <w:sz w:val="36"/>
          <w:szCs w:val="36"/>
          <w:highlight w:val="none"/>
          <w:lang w:val="en-US" w:eastAsia="zh-CN"/>
        </w:rPr>
        <w:t>人</w:t>
      </w:r>
      <w:r>
        <w:rPr>
          <w:rFonts w:hint="eastAsia" w:ascii="宋体" w:hAnsi="宋体"/>
          <w:b/>
          <w:color w:val="auto"/>
          <w:kern w:val="2"/>
          <w:sz w:val="36"/>
          <w:szCs w:val="36"/>
          <w:highlight w:val="none"/>
        </w:rPr>
        <w:t>须知</w:t>
      </w:r>
      <w:r>
        <w:rPr>
          <w:rFonts w:hint="eastAsia" w:ascii="宋体" w:hAnsi="宋体"/>
          <w:b/>
          <w:color w:val="auto"/>
          <w:kern w:val="2"/>
          <w:sz w:val="36"/>
          <w:szCs w:val="36"/>
          <w:highlight w:val="none"/>
          <w:lang w:val="en-US" w:eastAsia="zh-CN"/>
        </w:rPr>
        <w:t>前附表</w:t>
      </w:r>
    </w:p>
    <w:tbl>
      <w:tblPr>
        <w:tblStyle w:val="27"/>
        <w:tblW w:w="9807" w:type="dxa"/>
        <w:tblInd w:w="-3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554"/>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bookmarkStart w:id="1" w:name="_Toc349573121"/>
            <w:bookmarkStart w:id="2" w:name="_Toc298240405"/>
            <w:bookmarkStart w:id="3" w:name="_Toc356488102"/>
            <w:bookmarkStart w:id="4" w:name="_Toc267301282"/>
            <w:bookmarkStart w:id="5" w:name="_Toc21924"/>
            <w:bookmarkStart w:id="6" w:name="_Toc349637920"/>
            <w:r>
              <w:rPr>
                <w:rFonts w:hint="eastAsia" w:ascii="宋体" w:hAnsi="宋体" w:eastAsia="宋体" w:cs="宋体"/>
                <w:b w:val="0"/>
                <w:bCs/>
                <w:i w:val="0"/>
                <w:iCs w:val="0"/>
                <w:color w:val="auto"/>
                <w:kern w:val="0"/>
                <w:sz w:val="24"/>
                <w:szCs w:val="24"/>
                <w:highlight w:val="none"/>
                <w:u w:val="none"/>
                <w:lang w:val="en-US" w:eastAsia="zh-CN" w:bidi="ar"/>
              </w:rPr>
              <w:t>序号</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名称</w:t>
            </w:r>
          </w:p>
        </w:tc>
        <w:tc>
          <w:tcPr>
            <w:tcW w:w="774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1</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项目名称</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cs="宋体"/>
                <w:b w:val="0"/>
                <w:bCs w:val="0"/>
                <w:color w:val="auto"/>
                <w:kern w:val="0"/>
                <w:sz w:val="24"/>
                <w:szCs w:val="24"/>
                <w:highlight w:val="none"/>
                <w:lang w:val="en-US" w:eastAsia="zh-CN" w:bidi="ar"/>
              </w:rPr>
              <w:t>新疆天山东部国有林管理局吉木萨尔分局2023年森林防火无人机巡护项目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2</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项目编号</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cs="宋体"/>
                <w:b w:val="0"/>
                <w:bCs/>
                <w:color w:val="auto"/>
                <w:sz w:val="24"/>
                <w:szCs w:val="24"/>
                <w:highlight w:val="none"/>
                <w:u w:val="none"/>
                <w:lang w:val="en-US" w:eastAsia="zh-CN"/>
              </w:rPr>
              <w:t>2023-0526-124147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3</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预算金额</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cs="宋体"/>
                <w:b w:val="0"/>
                <w:bCs/>
                <w:i w:val="0"/>
                <w:iCs w:val="0"/>
                <w:color w:val="auto"/>
                <w:kern w:val="0"/>
                <w:sz w:val="24"/>
                <w:szCs w:val="24"/>
                <w:highlight w:val="none"/>
                <w:u w:val="none"/>
                <w:lang w:val="en-US" w:eastAsia="zh-CN" w:bidi="ar"/>
              </w:rPr>
              <w:t>525000</w:t>
            </w:r>
            <w:r>
              <w:rPr>
                <w:rFonts w:hint="eastAsia" w:ascii="宋体" w:hAnsi="宋体" w:eastAsia="宋体" w:cs="宋体"/>
                <w:b w:val="0"/>
                <w:bCs/>
                <w:i w:val="0"/>
                <w:iCs w:val="0"/>
                <w:color w:val="auto"/>
                <w:kern w:val="0"/>
                <w:sz w:val="24"/>
                <w:szCs w:val="24"/>
                <w:highlight w:val="none"/>
                <w:u w:val="none"/>
                <w:lang w:val="en-US" w:eastAsia="zh-CN" w:bidi="ar"/>
              </w:rPr>
              <w:t>元（大写：</w:t>
            </w:r>
            <w:r>
              <w:rPr>
                <w:rFonts w:hint="eastAsia" w:ascii="宋体" w:hAnsi="宋体" w:cs="宋体"/>
                <w:b w:val="0"/>
                <w:bCs/>
                <w:i w:val="0"/>
                <w:iCs w:val="0"/>
                <w:color w:val="auto"/>
                <w:kern w:val="0"/>
                <w:sz w:val="24"/>
                <w:szCs w:val="24"/>
                <w:highlight w:val="none"/>
                <w:u w:val="none"/>
                <w:lang w:val="en-US" w:eastAsia="zh-CN" w:bidi="ar"/>
              </w:rPr>
              <w:t>伍拾贰万伍仟元</w:t>
            </w:r>
            <w:r>
              <w:rPr>
                <w:rFonts w:hint="eastAsia" w:ascii="宋体" w:hAnsi="宋体" w:eastAsia="宋体" w:cs="宋体"/>
                <w:b w:val="0"/>
                <w:bCs/>
                <w:i w:val="0"/>
                <w:iCs w:val="0"/>
                <w:color w:val="auto"/>
                <w:kern w:val="0"/>
                <w:sz w:val="24"/>
                <w:szCs w:val="24"/>
                <w:highlight w:val="none"/>
                <w:u w:val="none"/>
                <w:lang w:val="en-US" w:eastAsia="zh-CN" w:bidi="ar"/>
              </w:rPr>
              <w:t>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4</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资金来源</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val="0"/>
                <w:color w:val="auto"/>
                <w:kern w:val="0"/>
                <w:sz w:val="24"/>
                <w:szCs w:val="24"/>
                <w:highlight w:val="none"/>
                <w:lang w:val="en-US" w:eastAsia="zh-CN" w:bidi="ar"/>
              </w:rPr>
              <w:t>一般公共预算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09"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521</w:t>
            </w:r>
          </w:p>
        </w:tc>
        <w:tc>
          <w:tcPr>
            <w:tcW w:w="1554"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招标人联系方式</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单位：</w:t>
            </w:r>
            <w:r>
              <w:rPr>
                <w:rFonts w:hint="eastAsia" w:ascii="宋体" w:hAnsi="宋体" w:cs="宋体"/>
                <w:b w:val="0"/>
                <w:bCs/>
                <w:color w:val="auto"/>
                <w:sz w:val="24"/>
                <w:szCs w:val="24"/>
                <w:highlight w:val="none"/>
                <w:u w:val="none"/>
                <w:lang w:val="en-US" w:eastAsia="zh-CN"/>
              </w:rPr>
              <w:t>新疆天山东部国有林管理局吉木萨尔分局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default"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联系人：</w:t>
            </w:r>
            <w:r>
              <w:rPr>
                <w:rFonts w:hint="eastAsia" w:ascii="宋体" w:hAnsi="宋体" w:cs="宋体"/>
                <w:b w:val="0"/>
                <w:bCs/>
                <w:i w:val="0"/>
                <w:iCs w:val="0"/>
                <w:color w:val="auto"/>
                <w:kern w:val="0"/>
                <w:sz w:val="24"/>
                <w:szCs w:val="24"/>
                <w:highlight w:val="none"/>
                <w:u w:val="none"/>
                <w:lang w:val="en-US" w:eastAsia="zh-CN" w:bidi="ar"/>
              </w:rPr>
              <w:t>陈龙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default"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联系电话：</w:t>
            </w:r>
            <w:r>
              <w:rPr>
                <w:rFonts w:hint="eastAsia" w:ascii="宋体" w:hAnsi="宋体" w:cs="宋体"/>
                <w:b w:val="0"/>
                <w:bCs/>
                <w:i w:val="0"/>
                <w:iCs w:val="0"/>
                <w:color w:val="auto"/>
                <w:kern w:val="0"/>
                <w:sz w:val="24"/>
                <w:szCs w:val="24"/>
                <w:highlight w:val="none"/>
                <w:u w:val="none"/>
                <w:lang w:val="en-US" w:eastAsia="zh-CN" w:bidi="ar"/>
              </w:rPr>
              <w:t>13009604449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09"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6</w:t>
            </w:r>
          </w:p>
        </w:tc>
        <w:tc>
          <w:tcPr>
            <w:tcW w:w="1554"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代理机构联系方式</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新疆诚信达招标代理有限责任公司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联系人</w:t>
            </w:r>
            <w:r>
              <w:rPr>
                <w:rFonts w:hint="eastAsia" w:ascii="宋体" w:hAnsi="宋体" w:cs="宋体"/>
                <w:b w:val="0"/>
                <w:bCs/>
                <w:i w:val="0"/>
                <w:iCs w:val="0"/>
                <w:color w:val="auto"/>
                <w:kern w:val="0"/>
                <w:sz w:val="24"/>
                <w:szCs w:val="24"/>
                <w:highlight w:val="none"/>
                <w:u w:val="none"/>
                <w:lang w:val="en-US" w:eastAsia="zh-CN" w:bidi="ar"/>
              </w:rPr>
              <w:t>:赵女士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联系电话：</w:t>
            </w:r>
            <w:r>
              <w:rPr>
                <w:rStyle w:val="39"/>
                <w:rFonts w:hint="eastAsia" w:ascii="宋体" w:hAnsi="宋体" w:cs="宋体"/>
                <w:b w:val="0"/>
                <w:bCs/>
                <w:color w:val="auto"/>
                <w:sz w:val="24"/>
                <w:szCs w:val="24"/>
                <w:highlight w:val="none"/>
                <w:lang w:val="en-US" w:eastAsia="zh-CN" w:bidi="ar"/>
              </w:rPr>
              <w:t>15292638547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地址：</w:t>
            </w:r>
            <w:r>
              <w:rPr>
                <w:rFonts w:hint="eastAsia" w:ascii="宋体" w:hAnsi="宋体" w:eastAsia="宋体" w:cs="宋体"/>
                <w:b w:val="0"/>
                <w:bCs/>
                <w:color w:val="auto"/>
                <w:kern w:val="0"/>
                <w:sz w:val="24"/>
                <w:szCs w:val="24"/>
                <w:highlight w:val="none"/>
                <w:lang w:val="en-US" w:eastAsia="zh-CN" w:bidi="ar"/>
              </w:rPr>
              <w:t>乌鲁木齐市新市区天津南路431号博雅居B栋2单元301室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7</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投标人资格要求</w:t>
            </w:r>
          </w:p>
        </w:tc>
        <w:tc>
          <w:tcPr>
            <w:tcW w:w="7744" w:type="dxa"/>
            <w:noWrap w:val="0"/>
            <w:vAlign w:val="center"/>
          </w:tcPr>
          <w:p>
            <w:pPr>
              <w:pStyle w:val="50"/>
              <w:keepNext w:val="0"/>
              <w:keepLines w:val="0"/>
              <w:pageBreakBefore w:val="0"/>
              <w:widowControl w:val="0"/>
              <w:kinsoku/>
              <w:wordWrap w:val="0"/>
              <w:overflowPunct/>
              <w:topLinePunct w:val="0"/>
              <w:autoSpaceDE w:val="0"/>
              <w:autoSpaceDN/>
              <w:bidi w:val="0"/>
              <w:adjustRightInd/>
              <w:snapToGrid/>
              <w:spacing w:before="0" w:beforeAutospacing="0" w:after="0" w:afterAutospacing="0" w:line="440" w:lineRule="exact"/>
              <w:jc w:val="both"/>
              <w:textAlignment w:val="auto"/>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1、符合《中华人民共和国政府采购法》第二十二条规定，并提供《中华人民共和国政府采购法实施条例》第十七条所要求的材料；</w:t>
            </w:r>
          </w:p>
          <w:p>
            <w:pPr>
              <w:pStyle w:val="50"/>
              <w:keepNext w:val="0"/>
              <w:keepLines w:val="0"/>
              <w:pageBreakBefore w:val="0"/>
              <w:widowControl w:val="0"/>
              <w:kinsoku/>
              <w:wordWrap w:val="0"/>
              <w:overflowPunct/>
              <w:topLinePunct w:val="0"/>
              <w:autoSpaceDE w:val="0"/>
              <w:autoSpaceDN/>
              <w:bidi w:val="0"/>
              <w:adjustRightInd/>
              <w:snapToGrid/>
              <w:spacing w:before="0" w:beforeAutospacing="0" w:after="0" w:afterAutospacing="0" w:line="440" w:lineRule="exact"/>
              <w:jc w:val="both"/>
              <w:textAlignment w:val="auto"/>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2、采购项目需要落实的政府采购政策：</w:t>
            </w:r>
          </w:p>
          <w:p>
            <w:pPr>
              <w:pStyle w:val="50"/>
              <w:keepNext w:val="0"/>
              <w:keepLines w:val="0"/>
              <w:pageBreakBefore w:val="0"/>
              <w:widowControl w:val="0"/>
              <w:kinsoku/>
              <w:wordWrap w:val="0"/>
              <w:overflowPunct/>
              <w:topLinePunct w:val="0"/>
              <w:autoSpaceDE w:val="0"/>
              <w:autoSpaceDN/>
              <w:bidi w:val="0"/>
              <w:adjustRightInd/>
              <w:snapToGrid/>
              <w:spacing w:before="0" w:beforeAutospacing="0" w:after="0" w:afterAutospacing="0" w:line="440" w:lineRule="exact"/>
              <w:jc w:val="both"/>
              <w:textAlignment w:val="auto"/>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1）鼓励节能政策：财政部、发展改革委、生态环境部、市场监管总局《关于调整优化节能产品、环境标志产品政府采购执行机制的通知》（财库【2019】9号）、财政部、发展改革委《关于印发节能产品政府采购品目清单的通知》（财库【2019】19号）、《市场监管总局关于发布参与实施政府采购节能、环境标志产品认证机构名录的公告》（2019年第16号）；</w:t>
            </w:r>
          </w:p>
          <w:p>
            <w:pPr>
              <w:pStyle w:val="50"/>
              <w:keepNext w:val="0"/>
              <w:keepLines w:val="0"/>
              <w:pageBreakBefore w:val="0"/>
              <w:widowControl w:val="0"/>
              <w:kinsoku/>
              <w:wordWrap w:val="0"/>
              <w:overflowPunct/>
              <w:topLinePunct w:val="0"/>
              <w:autoSpaceDE w:val="0"/>
              <w:autoSpaceDN/>
              <w:bidi w:val="0"/>
              <w:adjustRightInd/>
              <w:snapToGrid/>
              <w:spacing w:before="0" w:beforeAutospacing="0" w:after="0" w:afterAutospacing="0" w:line="440" w:lineRule="exact"/>
              <w:jc w:val="both"/>
              <w:textAlignment w:val="auto"/>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2）鼓励环保政策：财政部、发展改革委、生态环境部、市场监管总局《关于调整优化节能产品、环境标志产品政府采购执行机制的通知》（财库【2019】9号）、财政部、生态环境部《关于印发环境标志产品政府采购品目清单的通知》（财库【2019】18号）、《市场监管总局关于发布参与实施政府采购节能、环境标志产品认证机构名录的公告》（2019年第16号）；</w:t>
            </w:r>
          </w:p>
          <w:p>
            <w:pPr>
              <w:pStyle w:val="50"/>
              <w:keepNext w:val="0"/>
              <w:keepLines w:val="0"/>
              <w:pageBreakBefore w:val="0"/>
              <w:widowControl w:val="0"/>
              <w:kinsoku/>
              <w:wordWrap w:val="0"/>
              <w:overflowPunct/>
              <w:topLinePunct w:val="0"/>
              <w:autoSpaceDE w:val="0"/>
              <w:autoSpaceDN/>
              <w:bidi w:val="0"/>
              <w:adjustRightInd/>
              <w:snapToGrid/>
              <w:spacing w:before="0" w:beforeAutospacing="0" w:after="0" w:afterAutospacing="0" w:line="440" w:lineRule="exact"/>
              <w:jc w:val="both"/>
              <w:textAlignment w:val="auto"/>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（3）财政部、工业和信息化部文件关于印发《政府采购促进</w:t>
            </w:r>
            <w:r>
              <w:rPr>
                <w:rFonts w:hint="eastAsia" w:ascii="宋体" w:hAnsi="宋体" w:cs="宋体"/>
                <w:b w:val="0"/>
                <w:bCs/>
                <w:i w:val="0"/>
                <w:iCs w:val="0"/>
                <w:color w:val="auto"/>
                <w:kern w:val="0"/>
                <w:sz w:val="24"/>
                <w:szCs w:val="24"/>
                <w:highlight w:val="none"/>
                <w:u w:val="none"/>
                <w:lang w:val="en-US" w:eastAsia="zh-CN" w:bidi="ar"/>
              </w:rPr>
              <w:t>中小微企业</w:t>
            </w:r>
            <w:r>
              <w:rPr>
                <w:rFonts w:hint="eastAsia" w:ascii="宋体" w:hAnsi="宋体" w:eastAsia="宋体" w:cs="宋体"/>
                <w:b w:val="0"/>
                <w:bCs/>
                <w:i w:val="0"/>
                <w:iCs w:val="0"/>
                <w:color w:val="auto"/>
                <w:kern w:val="0"/>
                <w:sz w:val="24"/>
                <w:szCs w:val="24"/>
                <w:highlight w:val="none"/>
                <w:u w:val="none"/>
                <w:lang w:val="en-US" w:eastAsia="zh-CN" w:bidi="ar"/>
              </w:rPr>
              <w:t>发展管理办法》（财库[2020]46号文）；</w:t>
            </w:r>
          </w:p>
          <w:p>
            <w:pPr>
              <w:pStyle w:val="50"/>
              <w:keepNext w:val="0"/>
              <w:keepLines w:val="0"/>
              <w:pageBreakBefore w:val="0"/>
              <w:widowControl w:val="0"/>
              <w:kinsoku/>
              <w:wordWrap w:val="0"/>
              <w:overflowPunct/>
              <w:topLinePunct w:val="0"/>
              <w:autoSpaceDE w:val="0"/>
              <w:autoSpaceDN/>
              <w:bidi w:val="0"/>
              <w:adjustRightInd/>
              <w:snapToGrid/>
              <w:spacing w:before="0" w:beforeAutospacing="0" w:after="0" w:afterAutospacing="0" w:line="440" w:lineRule="exact"/>
              <w:jc w:val="both"/>
              <w:textAlignment w:val="auto"/>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（4）财政部、司法部《关于政府采购支持监狱企业发展有关问题的通知》（财库〔2014〕68 号）；</w:t>
            </w:r>
          </w:p>
          <w:p>
            <w:pPr>
              <w:pStyle w:val="50"/>
              <w:keepNext w:val="0"/>
              <w:keepLines w:val="0"/>
              <w:pageBreakBefore w:val="0"/>
              <w:widowControl w:val="0"/>
              <w:kinsoku/>
              <w:wordWrap w:val="0"/>
              <w:overflowPunct/>
              <w:topLinePunct w:val="0"/>
              <w:autoSpaceDE w:val="0"/>
              <w:autoSpaceDN/>
              <w:bidi w:val="0"/>
              <w:adjustRightInd/>
              <w:snapToGrid/>
              <w:spacing w:before="0" w:beforeAutospacing="0" w:after="0" w:afterAutospacing="0" w:line="440" w:lineRule="exact"/>
              <w:jc w:val="both"/>
              <w:textAlignment w:val="auto"/>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5）财政部、民政部、中国残疾人联合会文件《关于促进残疾人就业政府采购政策的通知》（财库[2017]141号）；监狱企业、残疾人福利性单位视同小型、微型企业，享受小型、微型企业评审中价格扣除的政府采购政策。</w:t>
            </w:r>
          </w:p>
          <w:p>
            <w:pPr>
              <w:pStyle w:val="50"/>
              <w:keepNext w:val="0"/>
              <w:keepLines w:val="0"/>
              <w:pageBreakBefore w:val="0"/>
              <w:widowControl w:val="0"/>
              <w:kinsoku/>
              <w:wordWrap w:val="0"/>
              <w:overflowPunct/>
              <w:topLinePunct w:val="0"/>
              <w:autoSpaceDE w:val="0"/>
              <w:autoSpaceDN/>
              <w:bidi w:val="0"/>
              <w:adjustRightInd/>
              <w:snapToGrid/>
              <w:spacing w:before="0" w:beforeAutospacing="0" w:after="0" w:afterAutospacing="0" w:line="440" w:lineRule="exact"/>
              <w:jc w:val="both"/>
              <w:textAlignment w:val="auto"/>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3、单位负责人为同一人或者存在直接控股、管理关系的不同投标人，不得参加同一合同项下的政府采购活动。</w:t>
            </w:r>
          </w:p>
          <w:p>
            <w:pPr>
              <w:pStyle w:val="50"/>
              <w:keepNext w:val="0"/>
              <w:keepLines w:val="0"/>
              <w:pageBreakBefore w:val="0"/>
              <w:widowControl w:val="0"/>
              <w:kinsoku/>
              <w:wordWrap w:val="0"/>
              <w:overflowPunct/>
              <w:topLinePunct w:val="0"/>
              <w:autoSpaceDE w:val="0"/>
              <w:autoSpaceDN/>
              <w:bidi w:val="0"/>
              <w:adjustRightInd/>
              <w:snapToGrid/>
              <w:spacing w:before="0" w:beforeAutospacing="0" w:after="0" w:afterAutospacing="0" w:line="440" w:lineRule="exact"/>
              <w:jc w:val="both"/>
              <w:textAlignment w:val="auto"/>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4、投标人必须为前三年内（</w:t>
            </w:r>
            <w:r>
              <w:rPr>
                <w:rFonts w:hint="eastAsia" w:ascii="宋体" w:hAnsi="宋体" w:cs="宋体"/>
                <w:b w:val="0"/>
                <w:bCs/>
                <w:i w:val="0"/>
                <w:iCs w:val="0"/>
                <w:color w:val="auto"/>
                <w:kern w:val="0"/>
                <w:sz w:val="24"/>
                <w:szCs w:val="24"/>
                <w:highlight w:val="none"/>
                <w:u w:val="none"/>
                <w:lang w:val="en-US" w:eastAsia="zh-CN" w:bidi="ar"/>
              </w:rPr>
              <w:t>2020</w:t>
            </w:r>
            <w:r>
              <w:rPr>
                <w:rFonts w:hint="eastAsia" w:ascii="宋体" w:hAnsi="宋体" w:eastAsia="宋体" w:cs="宋体"/>
                <w:b w:val="0"/>
                <w:bCs/>
                <w:i w:val="0"/>
                <w:iCs w:val="0"/>
                <w:color w:val="auto"/>
                <w:kern w:val="0"/>
                <w:sz w:val="24"/>
                <w:szCs w:val="24"/>
                <w:highlight w:val="none"/>
                <w:u w:val="none"/>
                <w:lang w:val="en-US" w:eastAsia="zh-CN" w:bidi="ar"/>
              </w:rPr>
              <w:t xml:space="preserve">年1 月 1 日至投标文件递交截止之日前）未被列入“信用中国”网站（www.creditchina.gov.cn）、中国政府采购网（www.ccgp.gov.cn）信用记录失信被执行人、重大税收违法案件当事人名单、政府采购严重违法失信行为记录名单的；（查询的时间须为本项目公告之日至投标截止日之间）。  </w:t>
            </w:r>
          </w:p>
          <w:p>
            <w:pPr>
              <w:pStyle w:val="22"/>
              <w:keepNext w:val="0"/>
              <w:keepLines w:val="0"/>
              <w:pageBreakBefore w:val="0"/>
              <w:widowControl w:val="0"/>
              <w:kinsoku/>
              <w:overflowPunct/>
              <w:topLinePunct w:val="0"/>
              <w:autoSpaceDE/>
              <w:autoSpaceDN/>
              <w:bidi w:val="0"/>
              <w:adjustRightInd/>
              <w:snapToGrid/>
              <w:spacing w:line="440" w:lineRule="exact"/>
              <w:textAlignment w:val="auto"/>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5、本项目不接受联合体投标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9" w:type="dxa"/>
            <w:noWrap/>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8</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评标方法</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 xml:space="preserve"> 9</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投标保证金</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w:t>
            </w:r>
            <w:r>
              <w:rPr>
                <w:rFonts w:hint="eastAsia" w:ascii="宋体" w:hAnsi="宋体" w:cs="宋体"/>
                <w:b w:val="0"/>
                <w:bCs/>
                <w:i w:val="0"/>
                <w:iCs w:val="0"/>
                <w:color w:val="auto"/>
                <w:kern w:val="0"/>
                <w:sz w:val="24"/>
                <w:szCs w:val="24"/>
                <w:highlight w:val="none"/>
                <w:u w:val="none"/>
                <w:lang w:val="en-US" w:eastAsia="zh-CN" w:bidi="ar"/>
              </w:rPr>
              <w:t>10500</w:t>
            </w:r>
            <w:r>
              <w:rPr>
                <w:rFonts w:hint="eastAsia" w:ascii="宋体" w:hAnsi="宋体" w:eastAsia="宋体" w:cs="宋体"/>
                <w:b w:val="0"/>
                <w:bCs/>
                <w:i w:val="0"/>
                <w:iCs w:val="0"/>
                <w:color w:val="auto"/>
                <w:kern w:val="0"/>
                <w:sz w:val="24"/>
                <w:szCs w:val="24"/>
                <w:highlight w:val="none"/>
                <w:u w:val="none"/>
                <w:lang w:val="en-US" w:eastAsia="zh-CN" w:bidi="ar"/>
              </w:rPr>
              <w:t>元（大写：</w:t>
            </w:r>
            <w:r>
              <w:rPr>
                <w:rFonts w:hint="eastAsia" w:ascii="宋体" w:hAnsi="宋体" w:cs="宋体"/>
                <w:b w:val="0"/>
                <w:bCs/>
                <w:i w:val="0"/>
                <w:iCs w:val="0"/>
                <w:color w:val="auto"/>
                <w:kern w:val="0"/>
                <w:sz w:val="24"/>
                <w:szCs w:val="24"/>
                <w:highlight w:val="none"/>
                <w:u w:val="none"/>
                <w:lang w:val="en-US" w:eastAsia="zh-CN" w:bidi="ar"/>
              </w:rPr>
              <w:t>壹万零伍佰</w:t>
            </w:r>
            <w:r>
              <w:rPr>
                <w:rFonts w:hint="eastAsia" w:ascii="宋体" w:hAnsi="宋体" w:eastAsia="宋体" w:cs="宋体"/>
                <w:b w:val="0"/>
                <w:bCs/>
                <w:i w:val="0"/>
                <w:iCs w:val="0"/>
                <w:color w:val="auto"/>
                <w:kern w:val="0"/>
                <w:sz w:val="24"/>
                <w:szCs w:val="24"/>
                <w:highlight w:val="none"/>
                <w:u w:val="none"/>
                <w:lang w:val="en-US" w:eastAsia="zh-CN" w:bidi="ar"/>
              </w:rPr>
              <w:t>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09"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10</w:t>
            </w:r>
          </w:p>
        </w:tc>
        <w:tc>
          <w:tcPr>
            <w:tcW w:w="1554"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相关账号</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投标保证金缴纳账号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账户名：新疆诚信达招标代理有限责任公司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开户行：招商银行股份有限公司乌鲁木齐苏州路支行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帐号：991905775010601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注：提交方式为投标人基本账户以网银或银行电汇</w:t>
            </w:r>
            <w:r>
              <w:rPr>
                <w:rFonts w:hint="eastAsia" w:ascii="宋体" w:hAnsi="宋体" w:cs="宋体"/>
                <w:b w:val="0"/>
                <w:bCs/>
                <w:i w:val="0"/>
                <w:iCs w:val="0"/>
                <w:color w:val="auto"/>
                <w:kern w:val="0"/>
                <w:sz w:val="24"/>
                <w:szCs w:val="24"/>
                <w:highlight w:val="none"/>
                <w:u w:val="none"/>
                <w:lang w:val="en-US" w:eastAsia="zh-CN" w:bidi="ar"/>
              </w:rPr>
              <w:t>转账</w:t>
            </w:r>
            <w:r>
              <w:rPr>
                <w:rFonts w:hint="eastAsia" w:ascii="宋体" w:hAnsi="宋体" w:eastAsia="宋体" w:cs="宋体"/>
                <w:b w:val="0"/>
                <w:bCs/>
                <w:i w:val="0"/>
                <w:iCs w:val="0"/>
                <w:color w:val="auto"/>
                <w:kern w:val="0"/>
                <w:sz w:val="24"/>
                <w:szCs w:val="24"/>
                <w:highlight w:val="none"/>
                <w:u w:val="none"/>
                <w:lang w:val="en-US" w:eastAsia="zh-CN" w:bidi="ar"/>
              </w:rPr>
              <w:t>形式，汇款单上需注明项目名称、项目编号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投标保证金缴纳期限：开标时间及投标文件递交截止时间</w:t>
            </w:r>
            <w:r>
              <w:rPr>
                <w:rFonts w:hint="eastAsia" w:ascii="宋体" w:hAnsi="宋体" w:cs="宋体"/>
                <w:b w:val="0"/>
                <w:bCs/>
                <w:i w:val="0"/>
                <w:iCs w:val="0"/>
                <w:color w:val="auto"/>
                <w:kern w:val="0"/>
                <w:sz w:val="24"/>
                <w:szCs w:val="24"/>
                <w:highlight w:val="none"/>
                <w:u w:val="none"/>
                <w:lang w:val="en-US" w:eastAsia="zh-CN" w:bidi="ar"/>
              </w:rPr>
              <w:t>48</w:t>
            </w:r>
            <w:r>
              <w:rPr>
                <w:rFonts w:hint="eastAsia" w:ascii="宋体" w:hAnsi="宋体" w:eastAsia="宋体" w:cs="宋体"/>
                <w:b w:val="0"/>
                <w:bCs/>
                <w:i w:val="0"/>
                <w:iCs w:val="0"/>
                <w:color w:val="auto"/>
                <w:kern w:val="0"/>
                <w:sz w:val="24"/>
                <w:szCs w:val="24"/>
                <w:highlight w:val="none"/>
                <w:u w:val="none"/>
                <w:lang w:val="en-US" w:eastAsia="zh-CN" w:bidi="ar"/>
              </w:rPr>
              <w:t>小时前缴纳完毕（以到账时间为准），逾期不予受理。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09"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11</w:t>
            </w:r>
          </w:p>
        </w:tc>
        <w:tc>
          <w:tcPr>
            <w:tcW w:w="1554"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招标代理服务费</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sz w:val="24"/>
                <w:szCs w:val="24"/>
                <w:highlight w:val="none"/>
                <w:u w:val="none"/>
              </w:rPr>
              <w:t>以中标价为基准价，参照原国家计委计价格【2002】1980号文和国家发改委发改办价格【2003】857号文的计算方法收取。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注：招标代理服务收费按差额定率累进法计算。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支付方式：电汇、</w:t>
            </w:r>
            <w:r>
              <w:rPr>
                <w:rFonts w:hint="eastAsia" w:ascii="宋体" w:hAnsi="宋体" w:cs="宋体"/>
                <w:b w:val="0"/>
                <w:bCs/>
                <w:i w:val="0"/>
                <w:iCs w:val="0"/>
                <w:color w:val="auto"/>
                <w:kern w:val="0"/>
                <w:sz w:val="24"/>
                <w:szCs w:val="24"/>
                <w:highlight w:val="none"/>
                <w:u w:val="none"/>
                <w:lang w:val="en-US" w:eastAsia="zh-CN" w:bidi="ar"/>
              </w:rPr>
              <w:t>网银、</w:t>
            </w:r>
            <w:r>
              <w:rPr>
                <w:rFonts w:hint="eastAsia" w:ascii="宋体" w:hAnsi="宋体" w:eastAsia="宋体" w:cs="宋体"/>
                <w:b w:val="0"/>
                <w:bCs/>
                <w:i w:val="0"/>
                <w:iCs w:val="0"/>
                <w:color w:val="auto"/>
                <w:kern w:val="0"/>
                <w:sz w:val="24"/>
                <w:szCs w:val="24"/>
                <w:highlight w:val="none"/>
                <w:u w:val="none"/>
                <w:lang w:val="en-US" w:eastAsia="zh-CN" w:bidi="ar"/>
              </w:rPr>
              <w:t>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招标代理服务费缴纳账号和投标保证金账号相同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09"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eastAsia="zh-CN"/>
              </w:rPr>
            </w:pPr>
            <w:r>
              <w:rPr>
                <w:rFonts w:hint="eastAsia" w:ascii="宋体" w:hAnsi="宋体" w:eastAsia="宋体" w:cs="宋体"/>
                <w:b w:val="0"/>
                <w:bCs/>
                <w:i w:val="0"/>
                <w:iCs w:val="0"/>
                <w:color w:val="auto"/>
                <w:sz w:val="24"/>
                <w:szCs w:val="24"/>
                <w:highlight w:val="none"/>
                <w:u w:val="none"/>
                <w:lang w:val="en-US" w:eastAsia="zh-CN"/>
              </w:rPr>
              <w:t>12</w:t>
            </w:r>
          </w:p>
        </w:tc>
        <w:tc>
          <w:tcPr>
            <w:tcW w:w="1554"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投标文件</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投标文件：</w:t>
            </w:r>
            <w:r>
              <w:rPr>
                <w:rFonts w:hint="default" w:ascii="宋体" w:hAnsi="宋体" w:eastAsia="宋体" w:cs="宋体"/>
                <w:b w:val="0"/>
                <w:bCs w:val="0"/>
                <w:color w:val="auto"/>
                <w:kern w:val="0"/>
                <w:sz w:val="24"/>
                <w:szCs w:val="24"/>
                <w:highlight w:val="none"/>
                <w:lang w:val="en-US" w:eastAsia="zh-CN" w:bidi="ar"/>
              </w:rPr>
              <w:t>加密电子投标文件</w:t>
            </w:r>
            <w:r>
              <w:rPr>
                <w:rFonts w:hint="eastAsia" w:ascii="宋体" w:hAnsi="宋体" w:cs="宋体"/>
                <w:b w:val="0"/>
                <w:bCs w:val="0"/>
                <w:color w:val="auto"/>
                <w:kern w:val="0"/>
                <w:sz w:val="24"/>
                <w:szCs w:val="24"/>
                <w:highlight w:val="none"/>
                <w:lang w:val="en-US" w:eastAsia="zh-CN" w:bidi="ar"/>
              </w:rPr>
              <w:t>。（</w:t>
            </w:r>
            <w:r>
              <w:rPr>
                <w:rFonts w:hint="default" w:ascii="宋体" w:hAnsi="宋体" w:eastAsia="宋体" w:cs="宋体"/>
                <w:b w:val="0"/>
                <w:bCs w:val="0"/>
                <w:color w:val="auto"/>
                <w:kern w:val="0"/>
                <w:sz w:val="24"/>
                <w:szCs w:val="24"/>
                <w:highlight w:val="none"/>
                <w:lang w:val="en-US" w:eastAsia="zh-CN" w:bidi="ar"/>
              </w:rPr>
              <w:t>供应商将政采云电子交易客户端下载、安装完成后，可通过账号密码或CA登录客户端进行投标文件制作</w:t>
            </w:r>
            <w:r>
              <w:rPr>
                <w:rFonts w:hint="eastAsia" w:ascii="宋体" w:hAnsi="宋体" w:cs="宋体"/>
                <w:b w:val="0"/>
                <w:bCs w:val="0"/>
                <w:color w:val="auto"/>
                <w:kern w:val="0"/>
                <w:sz w:val="24"/>
                <w:szCs w:val="24"/>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09" w:type="dxa"/>
            <w:vMerge w:val="continue"/>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eastAsia="zh-CN"/>
              </w:rPr>
            </w:pPr>
          </w:p>
        </w:tc>
        <w:tc>
          <w:tcPr>
            <w:tcW w:w="1554" w:type="dxa"/>
            <w:vMerge w:val="continue"/>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24"/>
                <w:szCs w:val="24"/>
                <w:highlight w:val="none"/>
                <w:u w:val="none"/>
                <w:lang w:val="en-US" w:eastAsia="zh-CN" w:bidi="ar"/>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中标单位投标文件：</w:t>
            </w:r>
            <w:r>
              <w:rPr>
                <w:rStyle w:val="40"/>
                <w:rFonts w:hint="eastAsia" w:ascii="宋体" w:hAnsi="宋体" w:eastAsia="宋体" w:cs="宋体"/>
                <w:b w:val="0"/>
                <w:bCs/>
                <w:color w:val="auto"/>
                <w:sz w:val="24"/>
                <w:szCs w:val="24"/>
                <w:highlight w:val="none"/>
                <w:lang w:val="en-US" w:eastAsia="zh-CN" w:bidi="ar"/>
              </w:rPr>
              <w:t>正本壹份、副本肆份（胶装装订不能出现活页</w:t>
            </w:r>
            <w:r>
              <w:rPr>
                <w:rStyle w:val="40"/>
                <w:rFonts w:hint="eastAsia" w:ascii="宋体" w:hAnsi="宋体" w:cs="宋体"/>
                <w:b w:val="0"/>
                <w:bCs/>
                <w:color w:val="auto"/>
                <w:sz w:val="24"/>
                <w:szCs w:val="24"/>
                <w:highlight w:val="none"/>
                <w:lang w:val="en-US" w:eastAsia="zh-CN" w:bidi="ar"/>
              </w:rPr>
              <w:t>，双面打印</w:t>
            </w:r>
            <w:r>
              <w:rPr>
                <w:rStyle w:val="40"/>
                <w:rFonts w:hint="eastAsia" w:ascii="宋体" w:hAnsi="宋体" w:eastAsia="宋体" w:cs="宋体"/>
                <w:b w:val="0"/>
                <w:bCs/>
                <w:color w:val="auto"/>
                <w:sz w:val="24"/>
                <w:szCs w:val="24"/>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09" w:type="dxa"/>
            <w:vMerge w:val="continue"/>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eastAsia="zh-CN"/>
              </w:rPr>
            </w:pPr>
          </w:p>
        </w:tc>
        <w:tc>
          <w:tcPr>
            <w:tcW w:w="1554" w:type="dxa"/>
            <w:vMerge w:val="continue"/>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0"/>
                <w:sz w:val="24"/>
                <w:szCs w:val="24"/>
                <w:highlight w:val="none"/>
                <w:u w:val="none"/>
                <w:lang w:val="en-US" w:eastAsia="zh-CN" w:bidi="ar"/>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cs="宋体"/>
                <w:b w:val="0"/>
                <w:bCs/>
                <w:i w:val="0"/>
                <w:iCs w:val="0"/>
                <w:color w:val="auto"/>
                <w:kern w:val="0"/>
                <w:sz w:val="24"/>
                <w:szCs w:val="24"/>
                <w:highlight w:val="none"/>
                <w:u w:val="none"/>
                <w:lang w:val="en-US" w:eastAsia="zh-CN" w:bidi="ar"/>
              </w:rPr>
              <w:t>中标单位</w:t>
            </w:r>
            <w:r>
              <w:rPr>
                <w:rFonts w:hint="eastAsia" w:ascii="宋体" w:hAnsi="宋体" w:eastAsia="宋体" w:cs="宋体"/>
                <w:b w:val="0"/>
                <w:bCs/>
                <w:i w:val="0"/>
                <w:iCs w:val="0"/>
                <w:color w:val="auto"/>
                <w:kern w:val="0"/>
                <w:sz w:val="24"/>
                <w:szCs w:val="24"/>
                <w:highlight w:val="none"/>
                <w:u w:val="none"/>
                <w:lang w:val="en-US" w:eastAsia="zh-CN" w:bidi="ar"/>
              </w:rPr>
              <w:t>投标文件电子版一份（U盘PDF格式，U盘内容需同正本内容保持一致）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509" w:type="dxa"/>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auto"/>
                <w:sz w:val="24"/>
                <w:szCs w:val="24"/>
                <w:highlight w:val="none"/>
                <w:u w:val="none"/>
                <w:lang w:val="en-US" w:eastAsia="zh-CN"/>
              </w:rPr>
            </w:pPr>
            <w:r>
              <w:rPr>
                <w:rFonts w:hint="eastAsia" w:ascii="宋体" w:hAnsi="宋体" w:cs="宋体"/>
                <w:b w:val="0"/>
                <w:bCs/>
                <w:i w:val="0"/>
                <w:iCs w:val="0"/>
                <w:color w:val="auto"/>
                <w:sz w:val="24"/>
                <w:szCs w:val="24"/>
                <w:highlight w:val="none"/>
                <w:u w:val="none"/>
                <w:lang w:val="en-US" w:eastAsia="zh-CN"/>
              </w:rPr>
              <w:t>13</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投标文件签字或盖章要求</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投标格式中要求法定代表人签字或授权人签字或盖法人章的，必须签字或盖章，投标文件要求每一页加盖投标单位公章，否则做无效标处理。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14</w:t>
            </w:r>
          </w:p>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rPr>
            </w:pP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cs="宋体"/>
                <w:b w:val="0"/>
                <w:bCs/>
                <w:i w:val="0"/>
                <w:iCs w:val="0"/>
                <w:color w:val="auto"/>
                <w:kern w:val="0"/>
                <w:sz w:val="24"/>
                <w:szCs w:val="24"/>
                <w:highlight w:val="none"/>
                <w:u w:val="none"/>
                <w:lang w:val="en-US" w:eastAsia="zh-CN" w:bidi="ar"/>
              </w:rPr>
              <w:t>投标文件</w:t>
            </w:r>
            <w:r>
              <w:rPr>
                <w:rFonts w:hint="eastAsia" w:ascii="宋体" w:hAnsi="宋体" w:eastAsia="宋体" w:cs="宋体"/>
                <w:b w:val="0"/>
                <w:bCs/>
                <w:i w:val="0"/>
                <w:iCs w:val="0"/>
                <w:color w:val="auto"/>
                <w:kern w:val="0"/>
                <w:sz w:val="24"/>
                <w:szCs w:val="24"/>
                <w:highlight w:val="none"/>
                <w:u w:val="none"/>
                <w:lang w:val="en-US" w:eastAsia="zh-CN" w:bidi="ar"/>
              </w:rPr>
              <w:t>应载明的信息</w:t>
            </w:r>
          </w:p>
        </w:tc>
        <w:tc>
          <w:tcPr>
            <w:tcW w:w="7744" w:type="dxa"/>
            <w:noWrap w:val="0"/>
            <w:vAlign w:val="top"/>
          </w:tcPr>
          <w:p>
            <w:pPr>
              <w:keepNext w:val="0"/>
              <w:keepLines w:val="0"/>
              <w:widowControl/>
              <w:suppressLineNumbers w:val="0"/>
              <w:jc w:val="left"/>
              <w:textAlignment w:val="top"/>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招标人名称、项目名称、项目编号、投标人名称、法定代表人或授权代理人（签字及加盖公章）、联系人、联系电话、日期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15</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投标文件截止时间（开标时间）</w:t>
            </w:r>
          </w:p>
        </w:tc>
        <w:tc>
          <w:tcPr>
            <w:tcW w:w="774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开标时间：202</w:t>
            </w:r>
            <w:r>
              <w:rPr>
                <w:rFonts w:hint="eastAsia" w:ascii="宋体" w:hAnsi="宋体" w:cs="宋体"/>
                <w:b w:val="0"/>
                <w:bCs w:val="0"/>
                <w:color w:val="auto"/>
                <w:kern w:val="0"/>
                <w:sz w:val="24"/>
                <w:szCs w:val="24"/>
                <w:highlight w:val="none"/>
                <w:lang w:val="en-US" w:eastAsia="zh-CN" w:bidi="ar"/>
              </w:rPr>
              <w:t>3</w:t>
            </w:r>
            <w:r>
              <w:rPr>
                <w:rFonts w:hint="eastAsia" w:ascii="宋体" w:hAnsi="宋体" w:eastAsia="宋体" w:cs="宋体"/>
                <w:b w:val="0"/>
                <w:bCs w:val="0"/>
                <w:color w:val="auto"/>
                <w:kern w:val="0"/>
                <w:sz w:val="24"/>
                <w:szCs w:val="24"/>
                <w:highlight w:val="none"/>
                <w:lang w:val="en-US" w:eastAsia="zh-CN" w:bidi="ar"/>
              </w:rPr>
              <w:t xml:space="preserve"> 年</w:t>
            </w:r>
            <w:r>
              <w:rPr>
                <w:rFonts w:hint="eastAsia" w:ascii="宋体" w:hAnsi="宋体" w:cs="宋体"/>
                <w:b w:val="0"/>
                <w:bCs w:val="0"/>
                <w:color w:val="auto"/>
                <w:kern w:val="0"/>
                <w:sz w:val="24"/>
                <w:szCs w:val="24"/>
                <w:highlight w:val="none"/>
                <w:lang w:val="en-US" w:eastAsia="zh-CN" w:bidi="ar"/>
              </w:rPr>
              <w:t>6</w:t>
            </w:r>
            <w:r>
              <w:rPr>
                <w:rFonts w:hint="eastAsia" w:ascii="宋体" w:hAnsi="宋体" w:eastAsia="宋体" w:cs="宋体"/>
                <w:b w:val="0"/>
                <w:bCs w:val="0"/>
                <w:color w:val="auto"/>
                <w:kern w:val="0"/>
                <w:sz w:val="24"/>
                <w:szCs w:val="24"/>
                <w:highlight w:val="none"/>
                <w:lang w:val="en-US" w:eastAsia="zh-CN" w:bidi="ar"/>
              </w:rPr>
              <w:t>月</w:t>
            </w:r>
            <w:r>
              <w:rPr>
                <w:rFonts w:hint="eastAsia" w:ascii="宋体" w:hAnsi="宋体" w:cs="宋体"/>
                <w:b w:val="0"/>
                <w:bCs w:val="0"/>
                <w:color w:val="auto"/>
                <w:kern w:val="0"/>
                <w:sz w:val="24"/>
                <w:szCs w:val="24"/>
                <w:highlight w:val="none"/>
                <w:lang w:val="en-US" w:eastAsia="zh-CN" w:bidi="ar"/>
              </w:rPr>
              <w:t>12</w:t>
            </w:r>
            <w:r>
              <w:rPr>
                <w:rFonts w:hint="eastAsia" w:ascii="宋体" w:hAnsi="宋体" w:eastAsia="宋体" w:cs="宋体"/>
                <w:b w:val="0"/>
                <w:bCs w:val="0"/>
                <w:color w:val="auto"/>
                <w:kern w:val="0"/>
                <w:sz w:val="24"/>
                <w:szCs w:val="24"/>
                <w:highlight w:val="none"/>
                <w:lang w:val="en-US" w:eastAsia="zh-CN" w:bidi="ar"/>
              </w:rPr>
              <w:t xml:space="preserve">日 </w:t>
            </w:r>
            <w:r>
              <w:rPr>
                <w:rFonts w:hint="eastAsia" w:ascii="宋体" w:hAnsi="宋体" w:cs="宋体"/>
                <w:b w:val="0"/>
                <w:bCs w:val="0"/>
                <w:color w:val="auto"/>
                <w:kern w:val="0"/>
                <w:sz w:val="24"/>
                <w:szCs w:val="24"/>
                <w:highlight w:val="none"/>
                <w:lang w:val="en-US" w:eastAsia="zh-CN" w:bidi="ar"/>
              </w:rPr>
              <w:t>15</w:t>
            </w:r>
            <w:r>
              <w:rPr>
                <w:rFonts w:hint="eastAsia" w:ascii="宋体" w:hAnsi="宋体" w:eastAsia="宋体" w:cs="宋体"/>
                <w:b w:val="0"/>
                <w:bCs w:val="0"/>
                <w:color w:val="auto"/>
                <w:kern w:val="0"/>
                <w:sz w:val="24"/>
                <w:szCs w:val="24"/>
                <w:highlight w:val="none"/>
                <w:lang w:val="en-US" w:eastAsia="zh-CN" w:bidi="ar"/>
              </w:rPr>
              <w:t xml:space="preserve"> 时 </w:t>
            </w:r>
            <w:r>
              <w:rPr>
                <w:rFonts w:hint="eastAsia" w:ascii="宋体" w:hAnsi="宋体" w:cs="宋体"/>
                <w:b w:val="0"/>
                <w:bCs w:val="0"/>
                <w:color w:val="auto"/>
                <w:kern w:val="0"/>
                <w:sz w:val="24"/>
                <w:szCs w:val="24"/>
                <w:highlight w:val="none"/>
                <w:lang w:val="en-US" w:eastAsia="zh-CN" w:bidi="ar"/>
              </w:rPr>
              <w:t>30</w:t>
            </w:r>
            <w:r>
              <w:rPr>
                <w:rFonts w:hint="eastAsia" w:ascii="宋体" w:hAnsi="宋体" w:eastAsia="宋体" w:cs="宋体"/>
                <w:b w:val="0"/>
                <w:bCs w:val="0"/>
                <w:color w:val="auto"/>
                <w:kern w:val="0"/>
                <w:sz w:val="24"/>
                <w:szCs w:val="24"/>
                <w:highlight w:val="none"/>
                <w:lang w:val="en-US" w:eastAsia="zh-CN" w:bidi="ar"/>
              </w:rPr>
              <w:t xml:space="preserve">分 </w:t>
            </w:r>
          </w:p>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16</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投标文件地址</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cs="宋体"/>
                <w:b w:val="0"/>
                <w:bCs w:val="0"/>
                <w:color w:val="auto"/>
                <w:kern w:val="0"/>
                <w:sz w:val="24"/>
                <w:szCs w:val="24"/>
                <w:highlight w:val="none"/>
                <w:lang w:val="en-US" w:eastAsia="zh-CN" w:bidi="ar"/>
              </w:rPr>
              <w:t>请登录政采云投标客户端投标。</w:t>
            </w:r>
            <w:r>
              <w:rPr>
                <w:rFonts w:hint="default" w:ascii="宋体" w:hAnsi="宋体" w:eastAsia="宋体" w:cs="宋体"/>
                <w:b w:val="0"/>
                <w:bCs w:val="0"/>
                <w:color w:val="auto"/>
                <w:kern w:val="0"/>
                <w:sz w:val="24"/>
                <w:szCs w:val="24"/>
                <w:highlight w:val="none"/>
                <w:lang w:val="en-US" w:eastAsia="zh-CN" w:bidi="ar"/>
              </w:rPr>
              <w:t>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r>
              <w:rPr>
                <w:rFonts w:hint="eastAsia" w:ascii="宋体" w:hAnsi="宋体" w:eastAsia="宋体" w:cs="宋体"/>
                <w:b w:val="0"/>
                <w:bCs/>
                <w:color w:val="auto"/>
                <w:kern w:val="0"/>
                <w:sz w:val="24"/>
                <w:szCs w:val="24"/>
                <w:highlight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17</w:t>
            </w:r>
          </w:p>
        </w:tc>
        <w:tc>
          <w:tcPr>
            <w:tcW w:w="1554" w:type="dxa"/>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auto"/>
                <w:kern w:val="0"/>
                <w:sz w:val="24"/>
                <w:szCs w:val="24"/>
                <w:highlight w:val="none"/>
                <w:u w:val="none"/>
                <w:lang w:val="en-US" w:eastAsia="zh-CN" w:bidi="ar"/>
              </w:rPr>
            </w:pPr>
            <w:r>
              <w:rPr>
                <w:rFonts w:hint="eastAsia" w:ascii="宋体" w:hAnsi="宋体" w:cs="宋体"/>
                <w:b w:val="0"/>
                <w:bCs/>
                <w:i w:val="0"/>
                <w:iCs w:val="0"/>
                <w:color w:val="auto"/>
                <w:kern w:val="0"/>
                <w:sz w:val="24"/>
                <w:szCs w:val="24"/>
                <w:highlight w:val="none"/>
                <w:u w:val="none"/>
                <w:lang w:val="en-US" w:eastAsia="zh-CN" w:bidi="ar"/>
              </w:rPr>
              <w:t>开标地址</w:t>
            </w:r>
          </w:p>
        </w:tc>
        <w:tc>
          <w:tcPr>
            <w:tcW w:w="7744" w:type="dxa"/>
            <w:noWrap w:val="0"/>
            <w:vAlign w:val="center"/>
          </w:tcPr>
          <w:p>
            <w:pPr>
              <w:keepNext w:val="0"/>
              <w:keepLines w:val="0"/>
              <w:widowControl/>
              <w:suppressLineNumbers w:val="0"/>
              <w:jc w:val="left"/>
              <w:textAlignment w:val="center"/>
              <w:rPr>
                <w:rFonts w:hint="eastAsia" w:ascii="宋体" w:hAnsi="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新疆政府采购网政采云平台（www.zcygov.cn）</w:t>
            </w:r>
            <w:r>
              <w:rPr>
                <w:rFonts w:hint="eastAsia" w:ascii="宋体" w:hAnsi="宋体" w:eastAsia="宋体" w:cs="宋体"/>
                <w:color w:val="auto"/>
                <w:kern w:val="2"/>
                <w:sz w:val="24"/>
                <w:szCs w:val="24"/>
                <w:highlight w:val="none"/>
                <w:lang w:val="en-US" w:eastAsia="zh-CN" w:bidi="ar-SA"/>
              </w:rPr>
              <w:t>投标人无需到达投标现场，仅需在任意地点登录政采云平台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09"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18</w:t>
            </w:r>
          </w:p>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lang w:val="en-US"/>
              </w:rPr>
            </w:pPr>
          </w:p>
        </w:tc>
        <w:tc>
          <w:tcPr>
            <w:tcW w:w="1554"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中标人公告媒体及期限</w:t>
            </w:r>
          </w:p>
        </w:tc>
        <w:tc>
          <w:tcPr>
            <w:tcW w:w="7744" w:type="dxa"/>
            <w:noWrap w:val="0"/>
            <w:vAlign w:val="top"/>
          </w:tcPr>
          <w:p>
            <w:pPr>
              <w:keepNext w:val="0"/>
              <w:keepLines w:val="0"/>
              <w:widowControl/>
              <w:suppressLineNumbers w:val="0"/>
              <w:jc w:val="left"/>
              <w:textAlignment w:val="top"/>
              <w:rPr>
                <w:rFonts w:hint="default"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公告媒体：</w:t>
            </w:r>
            <w:r>
              <w:rPr>
                <w:rFonts w:hint="eastAsia" w:ascii="宋体" w:hAnsi="宋体" w:cs="宋体"/>
                <w:b w:val="0"/>
                <w:bCs/>
                <w:i w:val="0"/>
                <w:iCs w:val="0"/>
                <w:color w:val="auto"/>
                <w:kern w:val="0"/>
                <w:sz w:val="24"/>
                <w:szCs w:val="24"/>
                <w:highlight w:val="none"/>
                <w:u w:val="none"/>
                <w:lang w:val="en-US" w:eastAsia="zh-CN" w:bidi="ar"/>
              </w:rPr>
              <w:t>新疆政府采购网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09" w:type="dxa"/>
            <w:vMerge w:val="continue"/>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top"/>
          </w:tcPr>
          <w:p>
            <w:pPr>
              <w:keepNext w:val="0"/>
              <w:keepLines w:val="0"/>
              <w:widowControl/>
              <w:suppressLineNumbers w:val="0"/>
              <w:jc w:val="left"/>
              <w:textAlignment w:val="top"/>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公告期限：</w:t>
            </w:r>
            <w:r>
              <w:rPr>
                <w:rStyle w:val="41"/>
                <w:rFonts w:hint="eastAsia" w:ascii="宋体" w:hAnsi="宋体" w:eastAsia="宋体" w:cs="宋体"/>
                <w:b w:val="0"/>
                <w:bCs/>
                <w:color w:val="auto"/>
                <w:sz w:val="24"/>
                <w:szCs w:val="24"/>
                <w:highlight w:val="none"/>
                <w:lang w:val="en-US" w:eastAsia="zh-CN" w:bidi="ar"/>
              </w:rPr>
              <w:t xml:space="preserve"> 1</w:t>
            </w:r>
            <w:r>
              <w:rPr>
                <w:rStyle w:val="40"/>
                <w:rFonts w:hint="eastAsia" w:ascii="宋体" w:hAnsi="宋体" w:eastAsia="宋体" w:cs="宋体"/>
                <w:b w:val="0"/>
                <w:bCs/>
                <w:color w:val="auto"/>
                <w:sz w:val="24"/>
                <w:szCs w:val="24"/>
                <w:highlight w:val="none"/>
                <w:lang w:val="en-US" w:eastAsia="zh-CN" w:bidi="ar"/>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09" w:type="dxa"/>
            <w:vMerge w:val="restart"/>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auto"/>
                <w:sz w:val="24"/>
                <w:szCs w:val="24"/>
                <w:highlight w:val="none"/>
                <w:u w:val="none"/>
                <w:lang w:val="en-US" w:eastAsia="zh-CN"/>
              </w:rPr>
            </w:pPr>
            <w:r>
              <w:rPr>
                <w:rFonts w:hint="eastAsia" w:ascii="宋体" w:hAnsi="宋体" w:cs="宋体"/>
                <w:b w:val="0"/>
                <w:bCs/>
                <w:i w:val="0"/>
                <w:iCs w:val="0"/>
                <w:color w:val="auto"/>
                <w:sz w:val="24"/>
                <w:szCs w:val="24"/>
                <w:highlight w:val="none"/>
                <w:u w:val="none"/>
                <w:lang w:val="en-US" w:eastAsia="zh-CN"/>
              </w:rPr>
              <w:t>19</w:t>
            </w:r>
          </w:p>
        </w:tc>
        <w:tc>
          <w:tcPr>
            <w:tcW w:w="1554"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质疑须知</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接收质疑函的方式：递交纸质版及Word格式电子版质疑文件并加盖单位鲜章至接受单位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接受质疑的单位：新疆诚信达招标代理有限责任公司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联系电话：</w:t>
            </w:r>
            <w:r>
              <w:rPr>
                <w:rStyle w:val="40"/>
                <w:rFonts w:hint="eastAsia" w:ascii="宋体" w:hAnsi="宋体" w:cs="宋体"/>
                <w:b w:val="0"/>
                <w:bCs/>
                <w:color w:val="auto"/>
                <w:sz w:val="24"/>
                <w:szCs w:val="24"/>
                <w:highlight w:val="none"/>
                <w:lang w:val="en-US" w:eastAsia="zh-CN" w:bidi="ar"/>
              </w:rPr>
              <w:t>15292638547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09" w:type="dxa"/>
            <w:vMerge w:val="continue"/>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地址：</w:t>
            </w:r>
            <w:r>
              <w:rPr>
                <w:rFonts w:hint="eastAsia" w:ascii="宋体" w:hAnsi="宋体" w:eastAsia="宋体" w:cs="宋体"/>
                <w:b w:val="0"/>
                <w:bCs/>
                <w:color w:val="auto"/>
                <w:kern w:val="0"/>
                <w:sz w:val="24"/>
                <w:szCs w:val="24"/>
                <w:highlight w:val="none"/>
                <w:lang w:val="en-US" w:eastAsia="zh-CN" w:bidi="ar"/>
              </w:rPr>
              <w:t>乌鲁木齐市新市区天津南路431号博雅居B栋2单元301室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9" w:type="dxa"/>
            <w:vMerge w:val="restart"/>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bidi="ar"/>
              </w:rPr>
              <w:t>20</w:t>
            </w:r>
          </w:p>
        </w:tc>
        <w:tc>
          <w:tcPr>
            <w:tcW w:w="1554"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投标有效期</w:t>
            </w:r>
          </w:p>
        </w:tc>
        <w:tc>
          <w:tcPr>
            <w:tcW w:w="7744" w:type="dxa"/>
            <w:vMerge w:val="restart"/>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投标截止期结束后</w:t>
            </w:r>
            <w:r>
              <w:rPr>
                <w:rStyle w:val="40"/>
                <w:rFonts w:hint="eastAsia" w:ascii="宋体" w:hAnsi="宋体" w:eastAsia="宋体" w:cs="宋体"/>
                <w:b w:val="0"/>
                <w:bCs/>
                <w:color w:val="auto"/>
                <w:sz w:val="24"/>
                <w:szCs w:val="24"/>
                <w:highlight w:val="none"/>
                <w:lang w:val="en-US" w:eastAsia="zh-CN" w:bidi="ar"/>
              </w:rPr>
              <w:t>90</w:t>
            </w:r>
            <w:r>
              <w:rPr>
                <w:rFonts w:hint="eastAsia" w:ascii="宋体" w:hAnsi="宋体" w:eastAsia="宋体" w:cs="宋体"/>
                <w:b w:val="0"/>
                <w:bCs/>
                <w:i w:val="0"/>
                <w:iCs w:val="0"/>
                <w:color w:val="auto"/>
                <w:kern w:val="0"/>
                <w:sz w:val="24"/>
                <w:szCs w:val="24"/>
                <w:highlight w:val="none"/>
                <w:u w:val="none"/>
                <w:lang w:val="en-US" w:eastAsia="zh-CN" w:bidi="ar"/>
              </w:rPr>
              <w:t>日历天，有效期不足将导致其投标文件被拒绝。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9" w:type="dxa"/>
            <w:vMerge w:val="continue"/>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vMerge w:val="continue"/>
            <w:noWrap w:val="0"/>
            <w:vAlign w:val="center"/>
          </w:tcPr>
          <w:p>
            <w:pPr>
              <w:jc w:val="left"/>
              <w:rPr>
                <w:rFonts w:hint="eastAsia" w:ascii="宋体" w:hAnsi="宋体" w:eastAsia="宋体" w:cs="宋体"/>
                <w:b w:val="0"/>
                <w:bCs/>
                <w:i w:val="0"/>
                <w:iCs w:val="0"/>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21</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开标程序</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lang w:val="en-US" w:eastAsia="zh-CN"/>
              </w:rPr>
            </w:pPr>
            <w:r>
              <w:rPr>
                <w:rFonts w:hint="eastAsia" w:ascii="宋体" w:hAnsi="宋体" w:eastAsia="宋体" w:cs="宋体"/>
                <w:b w:val="0"/>
                <w:bCs/>
                <w:i w:val="0"/>
                <w:iCs w:val="0"/>
                <w:color w:val="auto"/>
                <w:kern w:val="0"/>
                <w:sz w:val="24"/>
                <w:szCs w:val="24"/>
                <w:highlight w:val="none"/>
                <w:u w:val="none"/>
                <w:lang w:val="en-US" w:eastAsia="zh-CN" w:bidi="ar"/>
              </w:rPr>
              <w:t>（1）密封情况检查：密封性完好（2）开标顺序：按递交投标文件顺序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22</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cs="宋体"/>
                <w:b w:val="0"/>
                <w:bCs/>
                <w:i w:val="0"/>
                <w:iCs w:val="0"/>
                <w:color w:val="auto"/>
                <w:kern w:val="0"/>
                <w:sz w:val="24"/>
                <w:szCs w:val="24"/>
                <w:highlight w:val="none"/>
                <w:u w:val="none"/>
                <w:lang w:val="en-US" w:eastAsia="zh-CN" w:bidi="ar"/>
              </w:rPr>
              <w:t>磋商小组</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（1）构成：</w:t>
            </w:r>
            <w:r>
              <w:rPr>
                <w:rStyle w:val="40"/>
                <w:rFonts w:hint="eastAsia" w:ascii="宋体" w:hAnsi="宋体" w:eastAsia="宋体" w:cs="宋体"/>
                <w:b w:val="0"/>
                <w:bCs/>
                <w:color w:val="auto"/>
                <w:sz w:val="24"/>
                <w:szCs w:val="24"/>
                <w:highlight w:val="none"/>
                <w:lang w:val="en-US" w:eastAsia="zh-CN" w:bidi="ar"/>
              </w:rPr>
              <w:t>专家</w:t>
            </w:r>
            <w:r>
              <w:rPr>
                <w:rStyle w:val="40"/>
                <w:rFonts w:hint="eastAsia" w:ascii="宋体" w:hAnsi="宋体" w:cs="宋体"/>
                <w:b w:val="0"/>
                <w:bCs/>
                <w:color w:val="auto"/>
                <w:sz w:val="24"/>
                <w:szCs w:val="24"/>
                <w:highlight w:val="none"/>
                <w:lang w:val="en-US" w:eastAsia="zh-CN" w:bidi="ar"/>
              </w:rPr>
              <w:t>3</w:t>
            </w:r>
            <w:r>
              <w:rPr>
                <w:rStyle w:val="40"/>
                <w:rFonts w:hint="eastAsia" w:ascii="宋体" w:hAnsi="宋体" w:eastAsia="宋体" w:cs="宋体"/>
                <w:b w:val="0"/>
                <w:bCs/>
                <w:color w:val="auto"/>
                <w:sz w:val="24"/>
                <w:szCs w:val="24"/>
                <w:highlight w:val="none"/>
                <w:lang w:val="en-US" w:eastAsia="zh-CN" w:bidi="ar"/>
              </w:rPr>
              <w:t>人</w:t>
            </w:r>
            <w:r>
              <w:rPr>
                <w:rFonts w:hint="eastAsia" w:ascii="宋体" w:hAnsi="宋体" w:eastAsia="宋体" w:cs="宋体"/>
                <w:b w:val="0"/>
                <w:bCs/>
                <w:i w:val="0"/>
                <w:iCs w:val="0"/>
                <w:color w:val="auto"/>
                <w:kern w:val="0"/>
                <w:sz w:val="24"/>
                <w:szCs w:val="24"/>
                <w:highlight w:val="none"/>
                <w:u w:val="none"/>
                <w:lang w:val="en-US" w:eastAsia="zh-CN" w:bidi="ar"/>
              </w:rPr>
              <w:t>；</w:t>
            </w:r>
            <w:r>
              <w:rPr>
                <w:rStyle w:val="40"/>
                <w:rFonts w:hint="eastAsia" w:ascii="宋体" w:hAnsi="宋体" w:eastAsia="宋体" w:cs="宋体"/>
                <w:b w:val="0"/>
                <w:bCs/>
                <w:color w:val="auto"/>
                <w:sz w:val="24"/>
                <w:szCs w:val="24"/>
                <w:highlight w:val="none"/>
                <w:lang w:val="en-US" w:eastAsia="zh-CN" w:bidi="ar"/>
              </w:rPr>
              <w:t>（2）评标专家确定方式：由招标代理在开标前48小时在专家库中随机抽取此次评标专家。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23</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评标</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各投标人的投标文件将提交</w:t>
            </w:r>
            <w:r>
              <w:rPr>
                <w:rFonts w:hint="eastAsia" w:ascii="宋体" w:hAnsi="宋体" w:cs="宋体"/>
                <w:b w:val="0"/>
                <w:bCs/>
                <w:i w:val="0"/>
                <w:iCs w:val="0"/>
                <w:color w:val="auto"/>
                <w:kern w:val="0"/>
                <w:sz w:val="24"/>
                <w:szCs w:val="24"/>
                <w:highlight w:val="none"/>
                <w:u w:val="none"/>
                <w:lang w:val="en-US" w:eastAsia="zh-CN" w:bidi="ar"/>
              </w:rPr>
              <w:t>磋商小组</w:t>
            </w:r>
            <w:r>
              <w:rPr>
                <w:rFonts w:hint="eastAsia" w:ascii="宋体" w:hAnsi="宋体" w:eastAsia="宋体" w:cs="宋体"/>
                <w:b w:val="0"/>
                <w:bCs/>
                <w:i w:val="0"/>
                <w:iCs w:val="0"/>
                <w:color w:val="auto"/>
                <w:kern w:val="0"/>
                <w:sz w:val="24"/>
                <w:szCs w:val="24"/>
                <w:highlight w:val="none"/>
                <w:u w:val="none"/>
                <w:lang w:val="en-US" w:eastAsia="zh-CN" w:bidi="ar"/>
              </w:rPr>
              <w:t>审核；即使投标人所提交的投标文件通过了审核，在评标过程中乃至确定中标人后，如发现投标人所提供的资格类文件不合法或不真实、或投标文件中存在虚假资料的，招标人仍可废除中标人其中标资格并追究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09"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kern w:val="2"/>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24</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退投标保证金需携带资料</w:t>
            </w:r>
          </w:p>
        </w:tc>
        <w:tc>
          <w:tcPr>
            <w:tcW w:w="7744" w:type="dxa"/>
            <w:noWrap w:val="0"/>
            <w:vAlign w:val="center"/>
          </w:tcPr>
          <w:p>
            <w:pPr>
              <w:keepNext w:val="0"/>
              <w:keepLines w:val="0"/>
              <w:widowControl/>
              <w:numPr>
                <w:ilvl w:val="0"/>
                <w:numId w:val="0"/>
              </w:numPr>
              <w:suppressLineNumbers w:val="0"/>
              <w:jc w:val="left"/>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1、未中标的投标人的投标保证金，将在中标通知书发出后5个工作日内无息退还。</w:t>
            </w:r>
          </w:p>
          <w:p>
            <w:pPr>
              <w:keepNext w:val="0"/>
              <w:keepLines w:val="0"/>
              <w:widowControl/>
              <w:numPr>
                <w:ilvl w:val="0"/>
                <w:numId w:val="0"/>
              </w:numPr>
              <w:suppressLineNumbers w:val="0"/>
              <w:jc w:val="left"/>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2、中标方的投标保证金，将在领取中标通知书、缴纳招标代理服务费和签订合同后5个工作日内无息退还。（合同应当自中标通知书发出之日起30日内签订完成）</w:t>
            </w:r>
          </w:p>
          <w:p>
            <w:pPr>
              <w:keepNext w:val="0"/>
              <w:keepLines w:val="0"/>
              <w:widowControl/>
              <w:numPr>
                <w:ilvl w:val="0"/>
                <w:numId w:val="0"/>
              </w:numPr>
              <w:suppressLineNumbers w:val="0"/>
              <w:jc w:val="left"/>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3、退还保证金时，需提供:</w:t>
            </w:r>
          </w:p>
          <w:p>
            <w:pPr>
              <w:keepNext w:val="0"/>
              <w:keepLines w:val="0"/>
              <w:widowControl/>
              <w:numPr>
                <w:ilvl w:val="0"/>
                <w:numId w:val="0"/>
              </w:numPr>
              <w:suppressLineNumbers w:val="0"/>
              <w:jc w:val="left"/>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（1）投标保证金收据原件</w:t>
            </w:r>
          </w:p>
          <w:p>
            <w:pPr>
              <w:keepNext w:val="0"/>
              <w:keepLines w:val="0"/>
              <w:widowControl/>
              <w:numPr>
                <w:ilvl w:val="0"/>
                <w:numId w:val="0"/>
              </w:numPr>
              <w:suppressLineNumbers w:val="0"/>
              <w:jc w:val="left"/>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（2）公司开户信息加盖公章</w:t>
            </w:r>
          </w:p>
          <w:p>
            <w:pPr>
              <w:keepNext w:val="0"/>
              <w:keepLines w:val="0"/>
              <w:widowControl/>
              <w:numPr>
                <w:ilvl w:val="0"/>
                <w:numId w:val="0"/>
              </w:numPr>
              <w:suppressLineNumbers w:val="0"/>
              <w:jc w:val="left"/>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（3）中标人与招标人签订合同的复印件</w:t>
            </w:r>
          </w:p>
          <w:p>
            <w:pPr>
              <w:keepNext w:val="0"/>
              <w:keepLines w:val="0"/>
              <w:widowControl/>
              <w:numPr>
                <w:ilvl w:val="0"/>
                <w:numId w:val="0"/>
              </w:numPr>
              <w:suppressLineNumbers w:val="0"/>
              <w:jc w:val="left"/>
              <w:textAlignment w:val="center"/>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（4）收件地址：</w:t>
            </w:r>
            <w:r>
              <w:rPr>
                <w:rFonts w:hint="eastAsia" w:ascii="宋体" w:hAnsi="宋体" w:eastAsia="宋体" w:cs="宋体"/>
                <w:b w:val="0"/>
                <w:bCs/>
                <w:color w:val="auto"/>
                <w:kern w:val="0"/>
                <w:sz w:val="24"/>
                <w:szCs w:val="24"/>
                <w:highlight w:val="none"/>
                <w:lang w:val="en-US" w:eastAsia="zh-CN" w:bidi="ar"/>
              </w:rPr>
              <w:t>乌鲁木齐市新市区天津南路431号博雅居B栋2单元301室</w:t>
            </w:r>
          </w:p>
          <w:p>
            <w:pPr>
              <w:keepNext w:val="0"/>
              <w:keepLines w:val="0"/>
              <w:widowControl/>
              <w:numPr>
                <w:ilvl w:val="0"/>
                <w:numId w:val="0"/>
              </w:numPr>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（5）联系人：</w:t>
            </w:r>
            <w:r>
              <w:rPr>
                <w:rFonts w:hint="eastAsia" w:ascii="宋体" w:hAnsi="宋体" w:cs="宋体"/>
                <w:b w:val="0"/>
                <w:bCs/>
                <w:i w:val="0"/>
                <w:iCs w:val="0"/>
                <w:color w:val="auto"/>
                <w:kern w:val="0"/>
                <w:sz w:val="24"/>
                <w:szCs w:val="24"/>
                <w:highlight w:val="none"/>
                <w:u w:val="none"/>
                <w:lang w:val="en-US" w:eastAsia="zh-CN" w:bidi="ar"/>
              </w:rPr>
              <w:t>赵女士</w:t>
            </w:r>
          </w:p>
          <w:p>
            <w:pPr>
              <w:keepNext w:val="0"/>
              <w:keepLines w:val="0"/>
              <w:widowControl/>
              <w:numPr>
                <w:ilvl w:val="0"/>
                <w:numId w:val="0"/>
              </w:numPr>
              <w:suppressLineNumbers w:val="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（6）联系电话：</w:t>
            </w:r>
            <w:r>
              <w:rPr>
                <w:rFonts w:hint="eastAsia" w:ascii="宋体" w:hAnsi="宋体" w:cs="宋体"/>
                <w:b w:val="0"/>
                <w:bCs/>
                <w:i w:val="0"/>
                <w:iCs w:val="0"/>
                <w:color w:val="auto"/>
                <w:kern w:val="0"/>
                <w:sz w:val="24"/>
                <w:szCs w:val="24"/>
                <w:highlight w:val="none"/>
                <w:u w:val="none"/>
                <w:lang w:val="en-US" w:eastAsia="zh-CN" w:bidi="ar"/>
              </w:rPr>
              <w:t>15292638547</w:t>
            </w:r>
          </w:p>
          <w:p>
            <w:pPr>
              <w:keepNext w:val="0"/>
              <w:keepLines w:val="0"/>
              <w:widowControl/>
              <w:numPr>
                <w:ilvl w:val="0"/>
                <w:numId w:val="0"/>
              </w:numPr>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（注：未中标的投标人退还投标保证金时提供（1）、（2）中标人提供（1）、（2）、（3））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8" w:hRule="atLeast"/>
        </w:trPr>
        <w:tc>
          <w:tcPr>
            <w:tcW w:w="509" w:type="dxa"/>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auto"/>
                <w:kern w:val="2"/>
                <w:sz w:val="24"/>
                <w:szCs w:val="24"/>
                <w:highlight w:val="none"/>
                <w:u w:val="none"/>
                <w:lang w:val="en-US" w:eastAsia="zh-CN" w:bidi="ar-SA"/>
              </w:rPr>
            </w:pPr>
            <w:r>
              <w:rPr>
                <w:rFonts w:hint="eastAsia" w:ascii="宋体" w:hAnsi="宋体" w:eastAsia="宋体" w:cs="宋体"/>
                <w:b w:val="0"/>
                <w:bCs/>
                <w:i w:val="0"/>
                <w:iCs w:val="0"/>
                <w:color w:val="auto"/>
                <w:kern w:val="0"/>
                <w:sz w:val="24"/>
                <w:szCs w:val="24"/>
                <w:highlight w:val="none"/>
                <w:u w:val="none"/>
                <w:lang w:val="en-US" w:eastAsia="zh-CN" w:bidi="ar"/>
              </w:rPr>
              <w:t>25</w:t>
            </w:r>
          </w:p>
        </w:tc>
        <w:tc>
          <w:tcPr>
            <w:tcW w:w="1554" w:type="dxa"/>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cs="宋体"/>
                <w:b w:val="0"/>
                <w:bCs/>
                <w:i w:val="0"/>
                <w:iCs w:val="0"/>
                <w:color w:val="auto"/>
                <w:kern w:val="0"/>
                <w:sz w:val="24"/>
                <w:szCs w:val="24"/>
                <w:highlight w:val="none"/>
                <w:u w:val="none"/>
                <w:lang w:val="en-US" w:eastAsia="zh-CN" w:bidi="ar"/>
              </w:rPr>
              <w:t>中、</w:t>
            </w:r>
            <w:r>
              <w:rPr>
                <w:rFonts w:hint="eastAsia" w:ascii="宋体" w:hAnsi="宋体" w:eastAsia="宋体" w:cs="宋体"/>
                <w:b w:val="0"/>
                <w:bCs/>
                <w:i w:val="0"/>
                <w:iCs w:val="0"/>
                <w:color w:val="auto"/>
                <w:kern w:val="0"/>
                <w:sz w:val="24"/>
                <w:szCs w:val="24"/>
                <w:highlight w:val="none"/>
                <w:u w:val="none"/>
                <w:lang w:val="en-US" w:eastAsia="zh-CN" w:bidi="ar"/>
              </w:rPr>
              <w:t>小</w:t>
            </w:r>
            <w:r>
              <w:rPr>
                <w:rFonts w:hint="eastAsia" w:ascii="宋体" w:hAnsi="宋体" w:cs="宋体"/>
                <w:b w:val="0"/>
                <w:bCs/>
                <w:i w:val="0"/>
                <w:iCs w:val="0"/>
                <w:color w:val="auto"/>
                <w:kern w:val="0"/>
                <w:sz w:val="24"/>
                <w:szCs w:val="24"/>
                <w:highlight w:val="none"/>
                <w:u w:val="none"/>
                <w:lang w:val="en-US" w:eastAsia="zh-CN" w:bidi="ar"/>
              </w:rPr>
              <w:t>微</w:t>
            </w:r>
            <w:r>
              <w:rPr>
                <w:rFonts w:hint="eastAsia" w:ascii="宋体" w:hAnsi="宋体" w:eastAsia="宋体" w:cs="宋体"/>
                <w:b w:val="0"/>
                <w:bCs/>
                <w:i w:val="0"/>
                <w:iCs w:val="0"/>
                <w:color w:val="auto"/>
                <w:kern w:val="0"/>
                <w:sz w:val="24"/>
                <w:szCs w:val="24"/>
                <w:highlight w:val="none"/>
                <w:u w:val="none"/>
                <w:lang w:val="en-US" w:eastAsia="zh-CN" w:bidi="ar"/>
              </w:rPr>
              <w:t>企业投标产品价格扣除</w:t>
            </w:r>
          </w:p>
        </w:tc>
        <w:tc>
          <w:tcPr>
            <w:tcW w:w="7744" w:type="dxa"/>
            <w:noWrap w:val="0"/>
            <w:vAlign w:val="center"/>
          </w:tcPr>
          <w:p>
            <w:pPr>
              <w:keepNext w:val="0"/>
              <w:keepLines w:val="0"/>
              <w:widowControl/>
              <w:suppressLineNumbers w:val="0"/>
              <w:jc w:val="left"/>
              <w:textAlignment w:val="center"/>
              <w:rPr>
                <w:rFonts w:hint="default" w:ascii="宋体" w:hAnsi="宋体" w:eastAsia="宋体" w:cs="宋体"/>
                <w:b w:val="0"/>
                <w:bCs/>
                <w:i w:val="0"/>
                <w:iCs w:val="0"/>
                <w:color w:val="auto"/>
                <w:sz w:val="24"/>
                <w:szCs w:val="24"/>
                <w:highlight w:val="none"/>
                <w:u w:val="none"/>
                <w:lang w:val="en-US"/>
              </w:rPr>
            </w:pPr>
            <w:r>
              <w:rPr>
                <w:rFonts w:hint="eastAsia" w:ascii="宋体" w:hAnsi="宋体" w:eastAsia="宋体" w:cs="宋体"/>
                <w:b w:val="0"/>
                <w:bCs/>
                <w:i w:val="0"/>
                <w:iCs w:val="0"/>
                <w:color w:val="auto"/>
                <w:kern w:val="0"/>
                <w:sz w:val="24"/>
                <w:szCs w:val="24"/>
                <w:highlight w:val="none"/>
                <w:u w:val="none"/>
                <w:lang w:val="en-US" w:eastAsia="zh-CN"/>
              </w:rPr>
              <w:t>根据《政府采购促进中小</w:t>
            </w:r>
            <w:r>
              <w:rPr>
                <w:rFonts w:hint="eastAsia" w:ascii="宋体" w:hAnsi="宋体" w:cs="宋体"/>
                <w:b w:val="0"/>
                <w:bCs/>
                <w:i w:val="0"/>
                <w:iCs w:val="0"/>
                <w:color w:val="auto"/>
                <w:kern w:val="0"/>
                <w:sz w:val="24"/>
                <w:szCs w:val="24"/>
                <w:highlight w:val="none"/>
                <w:u w:val="none"/>
                <w:lang w:val="en-US" w:eastAsia="zh-CN"/>
              </w:rPr>
              <w:t>微</w:t>
            </w:r>
            <w:r>
              <w:rPr>
                <w:rFonts w:hint="eastAsia" w:ascii="宋体" w:hAnsi="宋体" w:eastAsia="宋体" w:cs="宋体"/>
                <w:b w:val="0"/>
                <w:bCs/>
                <w:i w:val="0"/>
                <w:iCs w:val="0"/>
                <w:color w:val="auto"/>
                <w:kern w:val="0"/>
                <w:sz w:val="24"/>
                <w:szCs w:val="24"/>
                <w:highlight w:val="none"/>
                <w:u w:val="none"/>
                <w:lang w:val="en-US" w:eastAsia="zh-CN"/>
              </w:rPr>
              <w:t>企业发展暂行办法》（财库〔2011〕181号）文的有关规定，投标人属于符合本办法第二条之规定的中小</w:t>
            </w:r>
            <w:r>
              <w:rPr>
                <w:rFonts w:hint="eastAsia" w:ascii="宋体" w:hAnsi="宋体" w:cs="宋体"/>
                <w:b w:val="0"/>
                <w:bCs/>
                <w:i w:val="0"/>
                <w:iCs w:val="0"/>
                <w:color w:val="auto"/>
                <w:kern w:val="0"/>
                <w:sz w:val="24"/>
                <w:szCs w:val="24"/>
                <w:highlight w:val="none"/>
                <w:u w:val="none"/>
                <w:lang w:val="en-US" w:eastAsia="zh-CN"/>
              </w:rPr>
              <w:t>微</w:t>
            </w:r>
            <w:r>
              <w:rPr>
                <w:rFonts w:hint="eastAsia" w:ascii="宋体" w:hAnsi="宋体" w:eastAsia="宋体" w:cs="宋体"/>
                <w:b w:val="0"/>
                <w:bCs/>
                <w:i w:val="0"/>
                <w:iCs w:val="0"/>
                <w:color w:val="auto"/>
                <w:kern w:val="0"/>
                <w:sz w:val="24"/>
                <w:szCs w:val="24"/>
                <w:highlight w:val="none"/>
                <w:u w:val="none"/>
                <w:lang w:val="en-US" w:eastAsia="zh-CN"/>
              </w:rPr>
              <w:t>企业者，应在</w:t>
            </w:r>
            <w:r>
              <w:rPr>
                <w:rFonts w:hint="eastAsia" w:cs="宋体"/>
                <w:b w:val="0"/>
                <w:bCs/>
                <w:i w:val="0"/>
                <w:iCs w:val="0"/>
                <w:color w:val="auto"/>
                <w:kern w:val="0"/>
                <w:sz w:val="24"/>
                <w:szCs w:val="24"/>
                <w:highlight w:val="none"/>
                <w:u w:val="none"/>
                <w:lang w:val="en-US" w:eastAsia="zh-CN"/>
              </w:rPr>
              <w:t>投标文件</w:t>
            </w:r>
            <w:r>
              <w:rPr>
                <w:rFonts w:hint="eastAsia" w:ascii="宋体" w:hAnsi="宋体" w:eastAsia="宋体" w:cs="宋体"/>
                <w:b w:val="0"/>
                <w:bCs/>
                <w:i w:val="0"/>
                <w:iCs w:val="0"/>
                <w:color w:val="auto"/>
                <w:kern w:val="0"/>
                <w:sz w:val="24"/>
                <w:szCs w:val="24"/>
                <w:highlight w:val="none"/>
                <w:u w:val="none"/>
                <w:lang w:val="en-US" w:eastAsia="zh-CN"/>
              </w:rPr>
              <w:t>中按财库〔2011〕181号文规定的《中小</w:t>
            </w:r>
            <w:r>
              <w:rPr>
                <w:rFonts w:hint="eastAsia" w:ascii="宋体" w:hAnsi="宋体" w:cs="宋体"/>
                <w:b w:val="0"/>
                <w:bCs/>
                <w:i w:val="0"/>
                <w:iCs w:val="0"/>
                <w:color w:val="auto"/>
                <w:kern w:val="0"/>
                <w:sz w:val="24"/>
                <w:szCs w:val="24"/>
                <w:highlight w:val="none"/>
                <w:u w:val="none"/>
                <w:lang w:val="en-US" w:eastAsia="zh-CN"/>
              </w:rPr>
              <w:t>微</w:t>
            </w:r>
            <w:r>
              <w:rPr>
                <w:rFonts w:hint="eastAsia" w:ascii="宋体" w:hAnsi="宋体" w:eastAsia="宋体" w:cs="宋体"/>
                <w:b w:val="0"/>
                <w:bCs/>
                <w:i w:val="0"/>
                <w:iCs w:val="0"/>
                <w:color w:val="auto"/>
                <w:kern w:val="0"/>
                <w:sz w:val="24"/>
                <w:szCs w:val="24"/>
                <w:highlight w:val="none"/>
                <w:u w:val="none"/>
                <w:lang w:val="en-US" w:eastAsia="zh-CN"/>
              </w:rPr>
              <w:t>企业声明函》格式提供《中小</w:t>
            </w:r>
            <w:r>
              <w:rPr>
                <w:rFonts w:hint="eastAsia" w:ascii="宋体" w:hAnsi="宋体" w:cs="宋体"/>
                <w:b w:val="0"/>
                <w:bCs/>
                <w:i w:val="0"/>
                <w:iCs w:val="0"/>
                <w:color w:val="auto"/>
                <w:kern w:val="0"/>
                <w:sz w:val="24"/>
                <w:szCs w:val="24"/>
                <w:highlight w:val="none"/>
                <w:u w:val="none"/>
                <w:lang w:val="en-US" w:eastAsia="zh-CN"/>
              </w:rPr>
              <w:t>微</w:t>
            </w:r>
            <w:r>
              <w:rPr>
                <w:rFonts w:hint="eastAsia" w:ascii="宋体" w:hAnsi="宋体" w:eastAsia="宋体" w:cs="宋体"/>
                <w:b w:val="0"/>
                <w:bCs/>
                <w:i w:val="0"/>
                <w:iCs w:val="0"/>
                <w:color w:val="auto"/>
                <w:kern w:val="0"/>
                <w:sz w:val="24"/>
                <w:szCs w:val="24"/>
                <w:highlight w:val="none"/>
                <w:u w:val="none"/>
                <w:lang w:val="en-US" w:eastAsia="zh-CN"/>
              </w:rPr>
              <w:t>企业声明函》。根据《国务院关于印发扎实稳住经济一揽子政策措施的通知》（国发〔2022〕12号，以下简称《通知》）：“对于非专门面向</w:t>
            </w:r>
            <w:r>
              <w:rPr>
                <w:rFonts w:hint="eastAsia" w:ascii="宋体" w:hAnsi="宋体" w:cs="宋体"/>
                <w:b w:val="0"/>
                <w:bCs/>
                <w:i w:val="0"/>
                <w:iCs w:val="0"/>
                <w:color w:val="auto"/>
                <w:kern w:val="0"/>
                <w:sz w:val="24"/>
                <w:szCs w:val="24"/>
                <w:highlight w:val="none"/>
                <w:u w:val="none"/>
                <w:lang w:val="en-US" w:eastAsia="zh-CN"/>
              </w:rPr>
              <w:t>中小微企业</w:t>
            </w:r>
            <w:r>
              <w:rPr>
                <w:rFonts w:hint="eastAsia" w:ascii="宋体" w:hAnsi="宋体" w:eastAsia="宋体" w:cs="宋体"/>
                <w:b w:val="0"/>
                <w:bCs/>
                <w:i w:val="0"/>
                <w:iCs w:val="0"/>
                <w:color w:val="auto"/>
                <w:kern w:val="0"/>
                <w:sz w:val="24"/>
                <w:szCs w:val="24"/>
                <w:highlight w:val="none"/>
                <w:u w:val="none"/>
                <w:lang w:val="en-US" w:eastAsia="zh-CN"/>
              </w:rPr>
              <w:t>的项目，对小型和微型企业产品的价格给予</w:t>
            </w:r>
            <w:r>
              <w:rPr>
                <w:rFonts w:hint="eastAsia" w:ascii="宋体" w:hAnsi="宋体" w:cs="宋体"/>
                <w:b w:val="0"/>
                <w:bCs/>
                <w:i w:val="0"/>
                <w:iCs w:val="0"/>
                <w:color w:val="auto"/>
                <w:kern w:val="0"/>
                <w:sz w:val="24"/>
                <w:szCs w:val="24"/>
                <w:highlight w:val="none"/>
                <w:u w:val="none"/>
                <w:lang w:val="en-US" w:eastAsia="zh-CN"/>
              </w:rPr>
              <w:t>10</w:t>
            </w:r>
            <w:r>
              <w:rPr>
                <w:rFonts w:hint="eastAsia" w:ascii="宋体" w:hAnsi="宋体" w:eastAsia="宋体" w:cs="宋体"/>
                <w:b w:val="0"/>
                <w:bCs/>
                <w:i w:val="0"/>
                <w:iCs w:val="0"/>
                <w:color w:val="auto"/>
                <w:kern w:val="0"/>
                <w:sz w:val="24"/>
                <w:szCs w:val="24"/>
                <w:highlight w:val="none"/>
                <w:u w:val="none"/>
                <w:lang w:val="en-US" w:eastAsia="zh-CN"/>
              </w:rPr>
              <w:t>%～</w:t>
            </w:r>
            <w:r>
              <w:rPr>
                <w:rFonts w:hint="eastAsia" w:ascii="宋体" w:hAnsi="宋体" w:cs="宋体"/>
                <w:b w:val="0"/>
                <w:bCs/>
                <w:i w:val="0"/>
                <w:iCs w:val="0"/>
                <w:color w:val="auto"/>
                <w:kern w:val="0"/>
                <w:sz w:val="24"/>
                <w:szCs w:val="24"/>
                <w:highlight w:val="none"/>
                <w:u w:val="none"/>
                <w:lang w:val="en-US" w:eastAsia="zh-CN"/>
              </w:rPr>
              <w:t>20</w:t>
            </w:r>
            <w:r>
              <w:rPr>
                <w:rFonts w:hint="eastAsia" w:ascii="宋体" w:hAnsi="宋体" w:eastAsia="宋体" w:cs="宋体"/>
                <w:b w:val="0"/>
                <w:bCs/>
                <w:i w:val="0"/>
                <w:iCs w:val="0"/>
                <w:color w:val="auto"/>
                <w:kern w:val="0"/>
                <w:sz w:val="24"/>
                <w:szCs w:val="24"/>
                <w:highlight w:val="none"/>
                <w:u w:val="none"/>
                <w:lang w:val="en-US" w:eastAsia="zh-CN"/>
              </w:rPr>
              <w:t>%的扣除，用扣除后的价格参与评审，具体扣除比例由采购人确定，在评审过程中，</w:t>
            </w:r>
            <w:r>
              <w:rPr>
                <w:rFonts w:hint="eastAsia" w:ascii="宋体" w:hAnsi="宋体" w:eastAsia="宋体" w:cs="宋体"/>
                <w:i w:val="0"/>
                <w:iCs w:val="0"/>
                <w:color w:val="auto"/>
                <w:kern w:val="0"/>
                <w:sz w:val="24"/>
                <w:szCs w:val="24"/>
                <w:highlight w:val="none"/>
                <w:u w:val="none"/>
                <w:lang w:val="en-US" w:eastAsia="zh-CN" w:bidi="ar"/>
              </w:rPr>
              <w:t>给予 10%的扣除</w:t>
            </w:r>
            <w:r>
              <w:rPr>
                <w:rFonts w:hint="eastAsia" w:ascii="宋体" w:hAnsi="宋体" w:cs="宋体"/>
                <w:i w:val="0"/>
                <w:iCs w:val="0"/>
                <w:color w:val="auto"/>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509" w:type="dxa"/>
            <w:vMerge w:val="restart"/>
            <w:noWrap w:val="0"/>
            <w:vAlign w:val="center"/>
          </w:tcPr>
          <w:p>
            <w:pPr>
              <w:keepNext w:val="0"/>
              <w:keepLines w:val="0"/>
              <w:widowControl/>
              <w:suppressLineNumbers w:val="0"/>
              <w:jc w:val="center"/>
              <w:textAlignment w:val="center"/>
              <w:rPr>
                <w:rFonts w:hint="default" w:ascii="宋体" w:hAnsi="宋体" w:eastAsia="宋体" w:cs="宋体"/>
                <w:b w:val="0"/>
                <w:bCs/>
                <w:i w:val="0"/>
                <w:iCs w:val="0"/>
                <w:color w:val="auto"/>
                <w:sz w:val="24"/>
                <w:szCs w:val="24"/>
                <w:highlight w:val="none"/>
                <w:u w:val="none"/>
                <w:lang w:val="en-US" w:eastAsia="zh-CN"/>
              </w:rPr>
            </w:pPr>
            <w:r>
              <w:rPr>
                <w:rFonts w:hint="eastAsia" w:ascii="宋体" w:hAnsi="宋体" w:cs="宋体"/>
                <w:b w:val="0"/>
                <w:bCs/>
                <w:i w:val="0"/>
                <w:iCs w:val="0"/>
                <w:color w:val="auto"/>
                <w:sz w:val="24"/>
                <w:szCs w:val="24"/>
                <w:highlight w:val="none"/>
                <w:u w:val="none"/>
                <w:lang w:val="en-US" w:eastAsia="zh-CN"/>
              </w:rPr>
              <w:t>26</w:t>
            </w:r>
          </w:p>
        </w:tc>
        <w:tc>
          <w:tcPr>
            <w:tcW w:w="1554" w:type="dxa"/>
            <w:vMerge w:val="restart"/>
            <w:noWrap w:val="0"/>
            <w:vAlign w:val="center"/>
          </w:tcPr>
          <w:p>
            <w:pPr>
              <w:keepNext w:val="0"/>
              <w:keepLines w:val="0"/>
              <w:widowControl/>
              <w:suppressLineNumbers w:val="0"/>
              <w:jc w:val="center"/>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备注</w:t>
            </w: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1、</w:t>
            </w:r>
            <w:r>
              <w:rPr>
                <w:rFonts w:hint="eastAsia" w:ascii="宋体" w:hAnsi="宋体" w:cs="宋体"/>
                <w:b w:val="0"/>
                <w:bCs/>
                <w:i w:val="0"/>
                <w:iCs w:val="0"/>
                <w:color w:val="auto"/>
                <w:kern w:val="0"/>
                <w:sz w:val="24"/>
                <w:szCs w:val="24"/>
                <w:highlight w:val="none"/>
                <w:u w:val="none"/>
                <w:lang w:val="en-US" w:eastAsia="zh-CN" w:bidi="ar"/>
              </w:rPr>
              <w:t>磋商文件</w:t>
            </w:r>
            <w:r>
              <w:rPr>
                <w:rFonts w:hint="eastAsia" w:ascii="宋体" w:hAnsi="宋体" w:eastAsia="宋体" w:cs="宋体"/>
                <w:b w:val="0"/>
                <w:bCs/>
                <w:i w:val="0"/>
                <w:iCs w:val="0"/>
                <w:color w:val="auto"/>
                <w:kern w:val="0"/>
                <w:sz w:val="24"/>
                <w:szCs w:val="24"/>
                <w:highlight w:val="none"/>
                <w:u w:val="none"/>
                <w:lang w:val="en-US" w:eastAsia="zh-CN" w:bidi="ar"/>
              </w:rPr>
              <w:t>中部分加“★”、加粗、加下划线、废标、无效标、投标被拒绝字样的条款，为招标的实质性要求和条件，着重提醒各投标人注意，并认真查看</w:t>
            </w:r>
            <w:r>
              <w:rPr>
                <w:rFonts w:hint="eastAsia" w:ascii="宋体" w:hAnsi="宋体" w:cs="宋体"/>
                <w:b w:val="0"/>
                <w:bCs/>
                <w:i w:val="0"/>
                <w:iCs w:val="0"/>
                <w:color w:val="auto"/>
                <w:kern w:val="0"/>
                <w:sz w:val="24"/>
                <w:szCs w:val="24"/>
                <w:highlight w:val="none"/>
                <w:u w:val="none"/>
                <w:lang w:val="en-US" w:eastAsia="zh-CN" w:bidi="ar"/>
              </w:rPr>
              <w:t>磋商文件</w:t>
            </w:r>
            <w:r>
              <w:rPr>
                <w:rFonts w:hint="eastAsia" w:ascii="宋体" w:hAnsi="宋体" w:eastAsia="宋体" w:cs="宋体"/>
                <w:b w:val="0"/>
                <w:bCs/>
                <w:i w:val="0"/>
                <w:iCs w:val="0"/>
                <w:color w:val="auto"/>
                <w:kern w:val="0"/>
                <w:sz w:val="24"/>
                <w:szCs w:val="24"/>
                <w:highlight w:val="none"/>
                <w:u w:val="none"/>
                <w:lang w:val="en-US" w:eastAsia="zh-CN" w:bidi="ar"/>
              </w:rPr>
              <w:t>中的每一个条款及要求，因误读</w:t>
            </w:r>
            <w:r>
              <w:rPr>
                <w:rFonts w:hint="eastAsia" w:ascii="宋体" w:hAnsi="宋体" w:cs="宋体"/>
                <w:b w:val="0"/>
                <w:bCs/>
                <w:i w:val="0"/>
                <w:iCs w:val="0"/>
                <w:color w:val="auto"/>
                <w:kern w:val="0"/>
                <w:sz w:val="24"/>
                <w:szCs w:val="24"/>
                <w:highlight w:val="none"/>
                <w:u w:val="none"/>
                <w:lang w:val="en-US" w:eastAsia="zh-CN" w:bidi="ar"/>
              </w:rPr>
              <w:t>磋商文件</w:t>
            </w:r>
            <w:r>
              <w:rPr>
                <w:rFonts w:hint="eastAsia" w:ascii="宋体" w:hAnsi="宋体" w:eastAsia="宋体" w:cs="宋体"/>
                <w:b w:val="0"/>
                <w:bCs/>
                <w:i w:val="0"/>
                <w:iCs w:val="0"/>
                <w:color w:val="auto"/>
                <w:kern w:val="0"/>
                <w:sz w:val="24"/>
                <w:szCs w:val="24"/>
                <w:highlight w:val="none"/>
                <w:u w:val="none"/>
                <w:lang w:val="en-US" w:eastAsia="zh-CN" w:bidi="ar"/>
              </w:rPr>
              <w:t>而造成的后果，招标人概不负责。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509"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1554" w:type="dxa"/>
            <w:vMerge w:val="continue"/>
            <w:noWrap w:val="0"/>
            <w:vAlign w:val="center"/>
          </w:tcPr>
          <w:p>
            <w:pPr>
              <w:jc w:val="center"/>
              <w:rPr>
                <w:rFonts w:hint="eastAsia" w:ascii="宋体" w:hAnsi="宋体" w:eastAsia="宋体" w:cs="宋体"/>
                <w:b w:val="0"/>
                <w:bCs/>
                <w:i w:val="0"/>
                <w:iCs w:val="0"/>
                <w:color w:val="auto"/>
                <w:sz w:val="24"/>
                <w:szCs w:val="24"/>
                <w:highlight w:val="none"/>
                <w:u w:val="none"/>
              </w:rPr>
            </w:pPr>
          </w:p>
        </w:tc>
        <w:tc>
          <w:tcPr>
            <w:tcW w:w="7744" w:type="dxa"/>
            <w:noWrap w:val="0"/>
            <w:vAlign w:val="center"/>
          </w:tcPr>
          <w:p>
            <w:pPr>
              <w:keepNext w:val="0"/>
              <w:keepLines w:val="0"/>
              <w:widowControl/>
              <w:suppressLineNumbers w:val="0"/>
              <w:jc w:val="left"/>
              <w:textAlignment w:val="center"/>
              <w:rPr>
                <w:rFonts w:hint="eastAsia" w:ascii="宋体" w:hAnsi="宋体" w:eastAsia="宋体" w:cs="宋体"/>
                <w:b w:val="0"/>
                <w:bCs/>
                <w:i w:val="0"/>
                <w:iCs w:val="0"/>
                <w:color w:val="auto"/>
                <w:sz w:val="24"/>
                <w:szCs w:val="24"/>
                <w:highlight w:val="none"/>
                <w:u w:val="none"/>
              </w:rPr>
            </w:pPr>
            <w:r>
              <w:rPr>
                <w:rFonts w:hint="eastAsia" w:ascii="宋体" w:hAnsi="宋体" w:eastAsia="宋体" w:cs="宋体"/>
                <w:b w:val="0"/>
                <w:bCs/>
                <w:i w:val="0"/>
                <w:iCs w:val="0"/>
                <w:color w:val="auto"/>
                <w:kern w:val="0"/>
                <w:sz w:val="24"/>
                <w:szCs w:val="24"/>
                <w:highlight w:val="none"/>
                <w:u w:val="none"/>
                <w:lang w:val="en-US" w:eastAsia="zh-CN" w:bidi="ar"/>
              </w:rPr>
              <w:t>2、投标文件中有弄虚作假的内容，其投标文件作废。（如假证书、假业绩、隐瞒不良行为记录、夸大荣誉、使用非本单位在职员工的相关证件及不符合</w:t>
            </w:r>
            <w:r>
              <w:rPr>
                <w:rFonts w:hint="eastAsia" w:ascii="宋体" w:hAnsi="宋体" w:cs="宋体"/>
                <w:b w:val="0"/>
                <w:bCs/>
                <w:i w:val="0"/>
                <w:iCs w:val="0"/>
                <w:color w:val="auto"/>
                <w:kern w:val="0"/>
                <w:sz w:val="24"/>
                <w:szCs w:val="24"/>
                <w:highlight w:val="none"/>
                <w:u w:val="none"/>
                <w:lang w:val="en-US" w:eastAsia="zh-CN" w:bidi="ar"/>
              </w:rPr>
              <w:t>磋商文件</w:t>
            </w:r>
            <w:r>
              <w:rPr>
                <w:rFonts w:hint="eastAsia" w:ascii="宋体" w:hAnsi="宋体" w:eastAsia="宋体" w:cs="宋体"/>
                <w:b w:val="0"/>
                <w:bCs/>
                <w:i w:val="0"/>
                <w:iCs w:val="0"/>
                <w:color w:val="auto"/>
                <w:kern w:val="0"/>
                <w:sz w:val="24"/>
                <w:szCs w:val="24"/>
                <w:highlight w:val="none"/>
                <w:u w:val="none"/>
                <w:lang w:val="en-US" w:eastAsia="zh-CN" w:bidi="ar"/>
              </w:rPr>
              <w:t>规定的条款等）；在签订合同之前，招标人如发现投标人的投标文件有弄虚作假内容，招标人可拒绝与其签订合同。并将其列入政府采购黑名单库。</w:t>
            </w:r>
          </w:p>
        </w:tc>
      </w:tr>
    </w:tbl>
    <w:p>
      <w:pPr>
        <w:pStyle w:val="5"/>
        <w:numPr>
          <w:ilvl w:val="0"/>
          <w:numId w:val="0"/>
        </w:numPr>
        <w:spacing w:before="100" w:beforeAutospacing="1" w:after="100" w:afterAutospacing="1" w:line="400" w:lineRule="atLeast"/>
        <w:jc w:val="center"/>
        <w:rPr>
          <w:rFonts w:hint="default" w:ascii="宋体" w:hAnsi="宋体" w:eastAsia="宋体" w:cs="宋体"/>
          <w:color w:val="auto"/>
          <w:sz w:val="36"/>
          <w:szCs w:val="36"/>
          <w:highlight w:val="none"/>
          <w:lang w:val="en-US"/>
        </w:rPr>
      </w:pPr>
      <w:r>
        <w:rPr>
          <w:rFonts w:hint="eastAsia" w:ascii="宋体" w:hAnsi="宋体" w:eastAsia="宋体" w:cs="宋体"/>
          <w:b/>
          <w:bCs w:val="0"/>
          <w:color w:val="auto"/>
          <w:sz w:val="36"/>
          <w:szCs w:val="36"/>
          <w:highlight w:val="none"/>
          <w:lang w:val="en-US" w:eastAsia="zh-CN"/>
        </w:rPr>
        <w:t xml:space="preserve">第二部分 </w:t>
      </w:r>
      <w:bookmarkEnd w:id="1"/>
      <w:bookmarkEnd w:id="2"/>
      <w:bookmarkEnd w:id="3"/>
      <w:bookmarkEnd w:id="4"/>
      <w:bookmarkEnd w:id="5"/>
      <w:bookmarkEnd w:id="6"/>
      <w:r>
        <w:rPr>
          <w:rFonts w:hint="eastAsia" w:ascii="宋体" w:hAnsi="宋体" w:eastAsia="宋体" w:cs="宋体"/>
          <w:b/>
          <w:bCs w:val="0"/>
          <w:color w:val="auto"/>
          <w:sz w:val="36"/>
          <w:szCs w:val="36"/>
          <w:highlight w:val="none"/>
          <w:lang w:val="en-US" w:eastAsia="zh-CN"/>
        </w:rPr>
        <w:t>招标说明</w:t>
      </w:r>
    </w:p>
    <w:p>
      <w:pPr>
        <w:jc w:val="center"/>
        <w:rPr>
          <w:rFonts w:hint="default"/>
          <w:color w:val="auto"/>
          <w:sz w:val="32"/>
          <w:szCs w:val="32"/>
          <w:highlight w:val="none"/>
          <w:lang w:val="en-US"/>
        </w:rPr>
      </w:pPr>
      <w:r>
        <w:rPr>
          <w:rFonts w:hint="eastAsia" w:ascii="宋体" w:hAnsi="宋体" w:cs="宋体"/>
          <w:b/>
          <w:bCs w:val="0"/>
          <w:color w:val="auto"/>
          <w:sz w:val="32"/>
          <w:szCs w:val="32"/>
          <w:highlight w:val="none"/>
          <w:lang w:val="en-US" w:eastAsia="zh-CN"/>
        </w:rPr>
        <w:t xml:space="preserve">第一章 </w:t>
      </w:r>
      <w:r>
        <w:rPr>
          <w:rFonts w:hint="eastAsia" w:ascii="宋体" w:hAnsi="宋体" w:eastAsia="宋体" w:cs="宋体"/>
          <w:b/>
          <w:bCs w:val="0"/>
          <w:color w:val="auto"/>
          <w:sz w:val="32"/>
          <w:szCs w:val="32"/>
          <w:highlight w:val="none"/>
          <w:lang w:val="en-US" w:eastAsia="zh-CN"/>
        </w:rPr>
        <w:t>总则</w:t>
      </w:r>
    </w:p>
    <w:p>
      <w:pPr>
        <w:spacing w:line="440" w:lineRule="exact"/>
        <w:ind w:firstLine="472" w:firstLineChars="196"/>
        <w:rPr>
          <w:rFonts w:hint="eastAsia" w:ascii="宋体" w:hAnsi="宋体" w:eastAsia="宋体" w:cs="宋体"/>
          <w:b/>
          <w:color w:val="auto"/>
          <w:sz w:val="24"/>
          <w:szCs w:val="24"/>
          <w:highlight w:val="none"/>
        </w:rPr>
      </w:pPr>
      <w:bookmarkStart w:id="7" w:name="_Toc10335"/>
      <w:r>
        <w:rPr>
          <w:rFonts w:hint="eastAsia" w:ascii="宋体" w:hAnsi="宋体" w:eastAsia="宋体" w:cs="宋体"/>
          <w:b/>
          <w:color w:val="auto"/>
          <w:sz w:val="24"/>
          <w:szCs w:val="24"/>
          <w:highlight w:val="none"/>
        </w:rPr>
        <w:t>1. 适用范围</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本</w:t>
      </w:r>
      <w:r>
        <w:rPr>
          <w:rFonts w:hint="eastAsia" w:ascii="宋体" w:hAnsi="宋体" w:cs="宋体"/>
          <w:b w:val="0"/>
          <w:bCs/>
          <w:i w:val="0"/>
          <w:iCs w:val="0"/>
          <w:color w:val="auto"/>
          <w:kern w:val="0"/>
          <w:sz w:val="24"/>
          <w:szCs w:val="24"/>
          <w:highlight w:val="none"/>
          <w:u w:val="none"/>
          <w:lang w:val="en-US" w:eastAsia="zh-CN" w:bidi="ar"/>
        </w:rPr>
        <w:t>磋商文件</w:t>
      </w:r>
      <w:r>
        <w:rPr>
          <w:rFonts w:hint="eastAsia" w:ascii="宋体" w:hAnsi="宋体" w:eastAsia="宋体" w:cs="宋体"/>
          <w:color w:val="auto"/>
          <w:sz w:val="24"/>
          <w:szCs w:val="24"/>
          <w:highlight w:val="none"/>
        </w:rPr>
        <w:t>仅适用于</w:t>
      </w:r>
      <w:r>
        <w:rPr>
          <w:rFonts w:hint="eastAsia" w:ascii="宋体" w:hAnsi="宋体" w:eastAsia="宋体" w:cs="宋体"/>
          <w:color w:val="auto"/>
          <w:sz w:val="24"/>
          <w:szCs w:val="24"/>
          <w:highlight w:val="none"/>
          <w:lang w:val="en-US" w:eastAsia="zh-CN"/>
        </w:rPr>
        <w:t>新疆诚信达招标代理有限责任公司</w:t>
      </w:r>
      <w:r>
        <w:rPr>
          <w:rFonts w:hint="eastAsia" w:ascii="宋体" w:hAnsi="宋体" w:eastAsia="宋体" w:cs="宋体"/>
          <w:color w:val="auto"/>
          <w:sz w:val="24"/>
          <w:szCs w:val="24"/>
          <w:highlight w:val="none"/>
        </w:rPr>
        <w:t>本次招标活动。</w:t>
      </w:r>
    </w:p>
    <w:p>
      <w:pPr>
        <w:tabs>
          <w:tab w:val="left" w:pos="1185"/>
        </w:tabs>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 投标资格</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具有承担本项目的能力以及符合下述条件的（制造商、代理商）均为合格的投标人：</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1、符合《中华人民共和国政府采购法》第二十二条规定，并提供《中华人民共和国政府采购法实施条例》第十七条所要求的材料；</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2、采购项目需要落实的政府采购政策：</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鼓励节能政策：财政部、发展改革委、生态环境部、市场监管总局《关于调整优化节能产品、环境标志产品政府采购执行机制的通知》（财库【2019】9号）、财政部、发展改革委《关于印发节能产品政府采购品目清单的通知》（财库【2019】19号）、《市场监管总局关于发布参与实施政府采购节能、环境标志产品认证机构名录的公告》（2019年第16号）；</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鼓励环保政策：财政部、发展改革委、生态环境部、市场监管总局《关于调整优化节能产品、环境标志产品政府采购执行机制的通知》（财库【2019】9号）、财政部、生态环境部《关于印发环境标志产品政府采购品目清单的通知》（财库【2019】18号）、《市场监管总局关于发布参与实施政府采购节能、环境标志产品认证机构名录的公告》（2019年第16号）；</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（3）财政部、工业和信息化部文件关于印发《政府采购促进</w:t>
      </w:r>
      <w:r>
        <w:rPr>
          <w:rFonts w:hint="eastAsia" w:ascii="宋体" w:hAnsi="宋体" w:cs="宋体"/>
          <w:color w:val="auto"/>
          <w:kern w:val="2"/>
          <w:sz w:val="24"/>
          <w:szCs w:val="24"/>
          <w:highlight w:val="none"/>
          <w:lang w:val="en-US" w:eastAsia="zh-CN" w:bidi="ar-SA"/>
        </w:rPr>
        <w:t>中小微企业</w:t>
      </w:r>
      <w:r>
        <w:rPr>
          <w:rFonts w:hint="eastAsia" w:ascii="宋体" w:hAnsi="宋体" w:eastAsia="宋体" w:cs="宋体"/>
          <w:color w:val="auto"/>
          <w:kern w:val="2"/>
          <w:sz w:val="24"/>
          <w:szCs w:val="24"/>
          <w:highlight w:val="none"/>
          <w:lang w:val="en-US" w:eastAsia="zh-CN" w:bidi="ar-SA"/>
        </w:rPr>
        <w:t>发展管理办法》（财库[2020]46号文）；</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（4）财政部、司法部《关于政府采购支持监狱企业发展有关问题的通知》（财库〔2014〕68 号）；</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财政部、民政部、中国残疾人联合会文件《关于促进残疾人就业政府采购政策的通知》（财库[2017]141号）；监狱企业、残疾人福利性单位视同小型、微型企业，享受小型、微型企业评审中价格扣除的政府采购政策。</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3、单位负责人为同一人或者存在直接控股、管理关系的不同投标人，不得参加同一合同项下的政府采购活动。</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4、投标人必须为前三年内（</w:t>
      </w:r>
      <w:r>
        <w:rPr>
          <w:rFonts w:hint="eastAsia" w:ascii="宋体" w:hAnsi="宋体" w:cs="宋体"/>
          <w:color w:val="auto"/>
          <w:kern w:val="2"/>
          <w:sz w:val="24"/>
          <w:szCs w:val="24"/>
          <w:highlight w:val="none"/>
          <w:lang w:val="en-US" w:eastAsia="zh-CN" w:bidi="ar-SA"/>
        </w:rPr>
        <w:t>2020</w:t>
      </w:r>
      <w:r>
        <w:rPr>
          <w:rFonts w:hint="eastAsia" w:ascii="宋体" w:hAnsi="宋体" w:eastAsia="宋体" w:cs="宋体"/>
          <w:color w:val="auto"/>
          <w:kern w:val="2"/>
          <w:sz w:val="24"/>
          <w:szCs w:val="24"/>
          <w:highlight w:val="none"/>
          <w:lang w:val="en-US" w:eastAsia="zh-CN" w:bidi="ar-SA"/>
        </w:rPr>
        <w:t>年1 月 1 日至投标文件递交截止之日前）未被列入“信用中国”网站（www.creditchina.gov.cn）、中国政府采购网（www.ccgp.gov.cn）信用记录失信被执行人、重大税收违法案件当事人名单、政府采购严重违法失信行为记录名单的；（查询的时间须为本项目公告之日至投标截止日之间）。</w:t>
      </w:r>
    </w:p>
    <w:p>
      <w:pPr>
        <w:spacing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、本项目不接受联合体投标</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投标人存在下列情形之一的，拒绝其参加本次投标（已投标的按无效标处理）：</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人不具有独立法人资格的附属机构（单位）；</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）为本标段提供招标代理服务的；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）法定代表人为同一人的两个及两个以上法人，母公司、全资子公司及其控股公司，在同一</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招标中同时投标的；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）被责令停业的；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）被暂停或取消投标资格的；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）财产被接管或冻结的；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）在最近三年内有骗取中标或严重违约或重大质量问题的，受到行政处罚的。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有下列情形之一的，视为投标人串通投标，其投标无效：</w:t>
      </w:r>
    </w:p>
    <w:p>
      <w:pPr>
        <w:spacing w:line="440" w:lineRule="exact"/>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（1）不同投标人的</w:t>
      </w:r>
      <w:r>
        <w:rPr>
          <w:rFonts w:hint="eastAsia" w:ascii="宋体" w:hAnsi="宋体" w:cs="宋体"/>
          <w:b w:val="0"/>
          <w:bCs/>
          <w:i w:val="0"/>
          <w:iCs w:val="0"/>
          <w:color w:val="auto"/>
          <w:kern w:val="0"/>
          <w:sz w:val="24"/>
          <w:szCs w:val="24"/>
          <w:highlight w:val="none"/>
          <w:u w:val="none"/>
          <w:lang w:val="en-US" w:eastAsia="zh-CN" w:bidi="ar"/>
        </w:rPr>
        <w:t>投标文件</w:t>
      </w:r>
      <w:r>
        <w:rPr>
          <w:rFonts w:hint="eastAsia" w:ascii="宋体" w:hAnsi="宋体" w:eastAsia="宋体" w:cs="宋体"/>
          <w:color w:val="auto"/>
          <w:sz w:val="24"/>
          <w:szCs w:val="24"/>
          <w:highlight w:val="none"/>
        </w:rPr>
        <w:t>由同一单位或者个人编制。</w:t>
      </w:r>
    </w:p>
    <w:p>
      <w:pPr>
        <w:spacing w:line="440" w:lineRule="exact"/>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（2）不同投标人委托同一单位或者个人办理投标事宜。</w:t>
      </w:r>
    </w:p>
    <w:p>
      <w:pPr>
        <w:spacing w:line="440" w:lineRule="exact"/>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（3）不同投标人的</w:t>
      </w:r>
      <w:r>
        <w:rPr>
          <w:rFonts w:hint="eastAsia" w:ascii="宋体" w:hAnsi="宋体" w:cs="宋体"/>
          <w:b w:val="0"/>
          <w:bCs/>
          <w:i w:val="0"/>
          <w:iCs w:val="0"/>
          <w:color w:val="auto"/>
          <w:kern w:val="0"/>
          <w:sz w:val="24"/>
          <w:szCs w:val="24"/>
          <w:highlight w:val="none"/>
          <w:u w:val="none"/>
          <w:lang w:val="en-US" w:eastAsia="zh-CN" w:bidi="ar"/>
        </w:rPr>
        <w:t>投标文件</w:t>
      </w:r>
      <w:r>
        <w:rPr>
          <w:rFonts w:hint="eastAsia" w:ascii="宋体" w:hAnsi="宋体" w:eastAsia="宋体" w:cs="宋体"/>
          <w:color w:val="auto"/>
          <w:sz w:val="24"/>
          <w:szCs w:val="24"/>
          <w:highlight w:val="none"/>
        </w:rPr>
        <w:t>载明的项目管理成员或者联系人员为同一人。</w:t>
      </w:r>
    </w:p>
    <w:p>
      <w:pPr>
        <w:spacing w:line="440" w:lineRule="exact"/>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（4）不同投标人的</w:t>
      </w:r>
      <w:r>
        <w:rPr>
          <w:rFonts w:hint="eastAsia" w:ascii="宋体" w:hAnsi="宋体" w:cs="宋体"/>
          <w:b w:val="0"/>
          <w:bCs/>
          <w:i w:val="0"/>
          <w:iCs w:val="0"/>
          <w:color w:val="auto"/>
          <w:kern w:val="0"/>
          <w:sz w:val="24"/>
          <w:szCs w:val="24"/>
          <w:highlight w:val="none"/>
          <w:u w:val="none"/>
          <w:lang w:val="en-US" w:eastAsia="zh-CN" w:bidi="ar"/>
        </w:rPr>
        <w:t>投标文件</w:t>
      </w:r>
      <w:r>
        <w:rPr>
          <w:rFonts w:hint="eastAsia" w:ascii="宋体" w:hAnsi="宋体" w:eastAsia="宋体" w:cs="宋体"/>
          <w:color w:val="auto"/>
          <w:sz w:val="24"/>
          <w:szCs w:val="24"/>
          <w:highlight w:val="none"/>
        </w:rPr>
        <w:t>异常一致或者投标报价呈规律性差异。</w:t>
      </w:r>
    </w:p>
    <w:p>
      <w:pPr>
        <w:spacing w:line="440" w:lineRule="exact"/>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（5）不同投标人的</w:t>
      </w:r>
      <w:r>
        <w:rPr>
          <w:rFonts w:hint="eastAsia" w:ascii="宋体" w:hAnsi="宋体" w:cs="宋体"/>
          <w:b w:val="0"/>
          <w:bCs/>
          <w:i w:val="0"/>
          <w:iCs w:val="0"/>
          <w:color w:val="auto"/>
          <w:kern w:val="0"/>
          <w:sz w:val="24"/>
          <w:szCs w:val="24"/>
          <w:highlight w:val="none"/>
          <w:u w:val="none"/>
          <w:lang w:val="en-US" w:eastAsia="zh-CN" w:bidi="ar"/>
        </w:rPr>
        <w:t>投标文件</w:t>
      </w:r>
      <w:r>
        <w:rPr>
          <w:rFonts w:hint="eastAsia" w:ascii="宋体" w:hAnsi="宋体" w:eastAsia="宋体" w:cs="宋体"/>
          <w:color w:val="auto"/>
          <w:sz w:val="24"/>
          <w:szCs w:val="24"/>
          <w:highlight w:val="none"/>
        </w:rPr>
        <w:t>相互混装。</w:t>
      </w:r>
    </w:p>
    <w:p>
      <w:pPr>
        <w:spacing w:line="440" w:lineRule="exact"/>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（6）不同投标人的投标保证金从同一单位或者个人的账户转出。</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2.4投标人在本次招标活动中，必须遵守《中华人民共和国政府采购法》的规定。</w:t>
      </w:r>
    </w:p>
    <w:p>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 定义</w:t>
      </w:r>
    </w:p>
    <w:p>
      <w:pPr>
        <w:spacing w:line="440" w:lineRule="exact"/>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下列术语和缩写的定义为：</w:t>
      </w:r>
    </w:p>
    <w:p>
      <w:pPr>
        <w:tabs>
          <w:tab w:val="left" w:pos="1320"/>
        </w:tabs>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“采购人”系指</w:t>
      </w:r>
      <w:r>
        <w:rPr>
          <w:rFonts w:hint="eastAsia" w:ascii="宋体" w:hAnsi="宋体" w:eastAsia="宋体" w:cs="宋体"/>
          <w:color w:val="auto"/>
          <w:sz w:val="24"/>
          <w:szCs w:val="24"/>
          <w:highlight w:val="none"/>
          <w:lang w:eastAsia="zh-CN"/>
        </w:rPr>
        <w:t>：</w:t>
      </w:r>
      <w:r>
        <w:rPr>
          <w:rFonts w:hint="eastAsia" w:ascii="宋体" w:hAnsi="宋体" w:cs="宋体"/>
          <w:color w:val="auto"/>
          <w:kern w:val="0"/>
          <w:sz w:val="24"/>
          <w:szCs w:val="24"/>
          <w:highlight w:val="none"/>
          <w:lang w:val="en-US" w:eastAsia="zh-CN" w:bidi="ar"/>
        </w:rPr>
        <w:t>新疆天山东部国有林管理局吉木萨尔分局</w:t>
      </w:r>
      <w:r>
        <w:rPr>
          <w:rFonts w:hint="eastAsia" w:ascii="宋体" w:hAnsi="宋体" w:eastAsia="宋体" w:cs="宋体"/>
          <w:color w:val="auto"/>
          <w:sz w:val="24"/>
          <w:szCs w:val="24"/>
          <w:highlight w:val="none"/>
        </w:rPr>
        <w:t>。</w:t>
      </w:r>
    </w:p>
    <w:p>
      <w:pPr>
        <w:tabs>
          <w:tab w:val="left" w:pos="1320"/>
        </w:tabs>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“招标代理机构”系指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新疆诚信达招标代理有限责任公司</w:t>
      </w:r>
      <w:r>
        <w:rPr>
          <w:rFonts w:hint="eastAsia" w:ascii="宋体" w:hAnsi="宋体" w:eastAsia="宋体" w:cs="宋体"/>
          <w:color w:val="auto"/>
          <w:sz w:val="24"/>
          <w:szCs w:val="24"/>
          <w:highlight w:val="none"/>
        </w:rPr>
        <w:t>。</w:t>
      </w:r>
    </w:p>
    <w:p>
      <w:pPr>
        <w:tabs>
          <w:tab w:val="left" w:pos="900"/>
        </w:tabs>
        <w:spacing w:line="440" w:lineRule="exact"/>
        <w:ind w:left="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“招标方”系指采购人和招标代理机构的统称。</w:t>
      </w:r>
    </w:p>
    <w:p>
      <w:pPr>
        <w:tabs>
          <w:tab w:val="left" w:pos="1185"/>
        </w:tabs>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 “投标人”系指有资格的（制造商、代理商）及投标表现人。</w:t>
      </w:r>
    </w:p>
    <w:p>
      <w:pPr>
        <w:spacing w:line="440" w:lineRule="exact"/>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 “中标方”系指经</w:t>
      </w:r>
      <w:r>
        <w:rPr>
          <w:rFonts w:hint="eastAsia" w:ascii="宋体" w:hAnsi="宋体" w:cs="宋体"/>
          <w:color w:val="auto"/>
          <w:sz w:val="24"/>
          <w:szCs w:val="24"/>
          <w:highlight w:val="none"/>
          <w:lang w:val="en-US" w:eastAsia="zh-CN"/>
        </w:rPr>
        <w:t>磋商小组</w:t>
      </w:r>
      <w:r>
        <w:rPr>
          <w:rFonts w:hint="eastAsia" w:ascii="宋体" w:hAnsi="宋体" w:eastAsia="宋体" w:cs="宋体"/>
          <w:color w:val="auto"/>
          <w:sz w:val="24"/>
          <w:szCs w:val="24"/>
          <w:highlight w:val="none"/>
        </w:rPr>
        <w:t>评定后，</w:t>
      </w:r>
      <w:r>
        <w:rPr>
          <w:rFonts w:hint="eastAsia" w:ascii="宋体" w:hAnsi="宋体" w:cs="宋体"/>
          <w:color w:val="auto"/>
          <w:spacing w:val="-2"/>
          <w:sz w:val="24"/>
          <w:szCs w:val="24"/>
          <w:highlight w:val="none"/>
          <w:lang w:val="en-US" w:eastAsia="zh-CN"/>
        </w:rPr>
        <w:t>投标文件</w:t>
      </w:r>
      <w:r>
        <w:rPr>
          <w:rFonts w:hint="eastAsia" w:ascii="宋体" w:hAnsi="宋体" w:eastAsia="宋体" w:cs="宋体"/>
          <w:color w:val="auto"/>
          <w:spacing w:val="-2"/>
          <w:sz w:val="24"/>
          <w:szCs w:val="24"/>
          <w:highlight w:val="none"/>
          <w:lang w:val="en-US" w:eastAsia="zh-CN"/>
        </w:rPr>
        <w:t>完全实质性响应</w:t>
      </w:r>
      <w:r>
        <w:rPr>
          <w:rFonts w:hint="eastAsia" w:ascii="宋体" w:hAnsi="宋体" w:cs="宋体"/>
          <w:color w:val="auto"/>
          <w:spacing w:val="-2"/>
          <w:sz w:val="24"/>
          <w:szCs w:val="24"/>
          <w:highlight w:val="none"/>
          <w:lang w:val="en-US" w:eastAsia="zh-CN"/>
        </w:rPr>
        <w:t>磋商文件</w:t>
      </w:r>
      <w:r>
        <w:rPr>
          <w:rFonts w:hint="eastAsia" w:ascii="宋体" w:hAnsi="宋体" w:eastAsia="宋体" w:cs="宋体"/>
          <w:color w:val="auto"/>
          <w:spacing w:val="-2"/>
          <w:sz w:val="24"/>
          <w:szCs w:val="24"/>
          <w:highlight w:val="none"/>
          <w:lang w:val="en-US" w:eastAsia="zh-CN"/>
        </w:rPr>
        <w:t>且报价最低的供应商</w:t>
      </w:r>
      <w:r>
        <w:rPr>
          <w:rFonts w:hint="eastAsia" w:ascii="宋体" w:hAnsi="宋体" w:eastAsia="宋体" w:cs="宋体"/>
          <w:color w:val="auto"/>
          <w:sz w:val="24"/>
          <w:szCs w:val="24"/>
          <w:highlight w:val="none"/>
        </w:rPr>
        <w:t>。</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 “服务”</w:t>
      </w:r>
      <w:r>
        <w:rPr>
          <w:rFonts w:hint="eastAsia" w:ascii="宋体" w:hAnsi="宋体" w:eastAsia="宋体" w:cs="宋体"/>
          <w:color w:val="auto"/>
          <w:sz w:val="24"/>
          <w:szCs w:val="24"/>
          <w:highlight w:val="none"/>
          <w:lang w:val="en-US" w:eastAsia="zh-CN"/>
        </w:rPr>
        <w:t>系</w:t>
      </w:r>
      <w:r>
        <w:rPr>
          <w:rFonts w:hint="eastAsia" w:ascii="宋体" w:hAnsi="宋体" w:eastAsia="宋体" w:cs="宋体"/>
          <w:color w:val="auto"/>
          <w:sz w:val="24"/>
          <w:szCs w:val="24"/>
          <w:highlight w:val="none"/>
        </w:rPr>
        <w:t>指本</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rPr>
        <w:t>第四部分</w:t>
      </w:r>
      <w:r>
        <w:rPr>
          <w:rFonts w:hint="eastAsia" w:ascii="宋体" w:hAnsi="宋体" w:cs="宋体"/>
          <w:color w:val="auto"/>
          <w:sz w:val="24"/>
          <w:szCs w:val="24"/>
          <w:highlight w:val="none"/>
          <w:lang w:val="en-US" w:eastAsia="zh-CN"/>
        </w:rPr>
        <w:t>采购服务及要求</w:t>
      </w:r>
      <w:r>
        <w:rPr>
          <w:rFonts w:hint="eastAsia" w:ascii="宋体" w:hAnsi="宋体" w:eastAsia="宋体" w:cs="宋体"/>
          <w:color w:val="auto"/>
          <w:sz w:val="24"/>
          <w:szCs w:val="24"/>
          <w:highlight w:val="none"/>
        </w:rPr>
        <w:t>(财库[2013]189号)所述所有货物及相关服务。</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3.6.1采购信息安全产品的，应当采购经国家认证的信息安全产品；供应货物中的相关产品，制造商、代理商应提供由中国信息安全认证中心按国家标准认证颁发的有效认证证书。</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“节能产品”或者“环保产品”</w:t>
      </w:r>
      <w:r>
        <w:rPr>
          <w:rFonts w:hint="eastAsia" w:ascii="宋体" w:hAnsi="宋体" w:eastAsia="宋体" w:cs="宋体"/>
          <w:color w:val="auto"/>
          <w:sz w:val="24"/>
          <w:szCs w:val="24"/>
          <w:highlight w:val="none"/>
          <w:lang w:val="en-US" w:eastAsia="zh-CN"/>
        </w:rPr>
        <w:t>系</w:t>
      </w:r>
      <w:r>
        <w:rPr>
          <w:rFonts w:hint="eastAsia" w:ascii="宋体" w:hAnsi="宋体" w:eastAsia="宋体" w:cs="宋体"/>
          <w:color w:val="auto"/>
          <w:sz w:val="24"/>
          <w:szCs w:val="24"/>
          <w:highlight w:val="none"/>
        </w:rPr>
        <w:t>指财政部发布的《节能产品政府采购清单》或者《环境标志产品政府采购清单》的产品。</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 “进口产品”</w:t>
      </w:r>
      <w:r>
        <w:rPr>
          <w:rFonts w:hint="eastAsia" w:ascii="宋体" w:hAnsi="宋体" w:eastAsia="宋体" w:cs="宋体"/>
          <w:color w:val="auto"/>
          <w:sz w:val="24"/>
          <w:szCs w:val="24"/>
          <w:highlight w:val="none"/>
          <w:lang w:val="en-US" w:eastAsia="zh-CN"/>
        </w:rPr>
        <w:t>系</w:t>
      </w:r>
      <w:r>
        <w:rPr>
          <w:rFonts w:hint="eastAsia" w:ascii="宋体" w:hAnsi="宋体" w:eastAsia="宋体" w:cs="宋体"/>
          <w:color w:val="auto"/>
          <w:sz w:val="24"/>
          <w:szCs w:val="24"/>
          <w:highlight w:val="none"/>
        </w:rPr>
        <w:t>是指通过中国海关报关验放进入中国境内且产自关境外的产品，详见《关于政府采购进口产品管理有关问题的通知》(财库[2007]119号)。</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 “服务”</w:t>
      </w:r>
      <w:r>
        <w:rPr>
          <w:rFonts w:hint="eastAsia" w:ascii="宋体" w:hAnsi="宋体" w:eastAsia="宋体" w:cs="宋体"/>
          <w:color w:val="auto"/>
          <w:sz w:val="24"/>
          <w:szCs w:val="24"/>
          <w:highlight w:val="none"/>
          <w:lang w:eastAsia="zh-CN"/>
        </w:rPr>
        <w:t>系</w:t>
      </w:r>
      <w:r>
        <w:rPr>
          <w:rFonts w:hint="eastAsia" w:ascii="宋体" w:hAnsi="宋体" w:eastAsia="宋体" w:cs="宋体"/>
          <w:color w:val="auto"/>
          <w:sz w:val="24"/>
          <w:szCs w:val="24"/>
          <w:highlight w:val="none"/>
          <w:lang w:val="en-US" w:eastAsia="zh-CN"/>
        </w:rPr>
        <w:t>是</w:t>
      </w:r>
      <w:r>
        <w:rPr>
          <w:rFonts w:hint="eastAsia" w:ascii="宋体" w:hAnsi="宋体" w:eastAsia="宋体" w:cs="宋体"/>
          <w:color w:val="auto"/>
          <w:sz w:val="24"/>
          <w:szCs w:val="24"/>
          <w:highlight w:val="none"/>
        </w:rPr>
        <w:t>指</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中规定投标人须承担的质保、技术协助、培训及其他类似的责任。</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3.10 “响应”系指投标人根据招标代理机构发布的</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，编制</w:t>
      </w:r>
      <w:r>
        <w:rPr>
          <w:rFonts w:hint="eastAsia" w:ascii="宋体" w:hAnsi="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并按规定投标的行为。</w:t>
      </w:r>
    </w:p>
    <w:p>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 投标费用</w:t>
      </w:r>
    </w:p>
    <w:p>
      <w:pPr>
        <w:spacing w:line="440" w:lineRule="exact"/>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  无论投标结果如何，凡参与招标、投标活动有关的所有费用将由投标人自行承担。</w:t>
      </w:r>
    </w:p>
    <w:p>
      <w:pPr>
        <w:tabs>
          <w:tab w:val="left" w:pos="1185"/>
        </w:tabs>
        <w:spacing w:line="440" w:lineRule="exact"/>
        <w:ind w:firstLine="480" w:firstLineChars="200"/>
        <w:rPr>
          <w:rFonts w:hint="eastAsia" w:ascii="宋体" w:hAnsi="宋体" w:eastAsia="宋体" w:cs="宋体"/>
          <w:b/>
          <w:color w:val="auto"/>
          <w:kern w:val="2"/>
          <w:sz w:val="24"/>
          <w:szCs w:val="24"/>
          <w:highlight w:val="none"/>
        </w:rPr>
      </w:pPr>
      <w:r>
        <w:rPr>
          <w:rFonts w:hint="eastAsia" w:ascii="宋体" w:hAnsi="宋体" w:eastAsia="宋体" w:cs="宋体"/>
          <w:color w:val="auto"/>
          <w:sz w:val="24"/>
          <w:szCs w:val="24"/>
          <w:highlight w:val="none"/>
        </w:rPr>
        <w:t>4.2  投标人被视为熟悉本招标项目的各种情况以及与履行合同有关的一切情况。</w:t>
      </w:r>
      <w:bookmarkStart w:id="8" w:name="_Toc497239285"/>
    </w:p>
    <w:p>
      <w:pPr>
        <w:pStyle w:val="34"/>
        <w:spacing w:line="440" w:lineRule="exact"/>
        <w:jc w:val="center"/>
        <w:outlineLvl w:val="1"/>
        <w:rPr>
          <w:rFonts w:ascii="宋体" w:hAnsi="宋体"/>
          <w:b/>
          <w:color w:val="auto"/>
          <w:kern w:val="2"/>
          <w:sz w:val="32"/>
          <w:szCs w:val="32"/>
          <w:highlight w:val="none"/>
        </w:rPr>
      </w:pPr>
      <w:r>
        <w:rPr>
          <w:rFonts w:hint="eastAsia" w:ascii="宋体" w:hAnsi="宋体"/>
          <w:b/>
          <w:color w:val="auto"/>
          <w:kern w:val="2"/>
          <w:sz w:val="32"/>
          <w:szCs w:val="32"/>
          <w:highlight w:val="none"/>
          <w:lang w:val="en-US" w:eastAsia="zh-CN"/>
        </w:rPr>
        <w:t xml:space="preserve">第二章 </w:t>
      </w:r>
      <w:bookmarkEnd w:id="8"/>
      <w:r>
        <w:rPr>
          <w:rFonts w:hint="eastAsia" w:ascii="宋体" w:hAnsi="宋体"/>
          <w:b/>
          <w:color w:val="auto"/>
          <w:kern w:val="2"/>
          <w:sz w:val="32"/>
          <w:szCs w:val="32"/>
          <w:highlight w:val="none"/>
          <w:lang w:val="en-US" w:eastAsia="zh-CN"/>
        </w:rPr>
        <w:t>磋商文件</w:t>
      </w:r>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 xml:space="preserve">5. </w:t>
      </w:r>
      <w:r>
        <w:rPr>
          <w:rFonts w:hint="eastAsia" w:ascii="宋体" w:hAnsi="宋体"/>
          <w:b/>
          <w:color w:val="auto"/>
          <w:sz w:val="24"/>
          <w:szCs w:val="24"/>
          <w:highlight w:val="none"/>
          <w:lang w:val="en-US" w:eastAsia="zh-CN"/>
        </w:rPr>
        <w:t>磋商文件</w:t>
      </w:r>
      <w:r>
        <w:rPr>
          <w:rFonts w:hint="eastAsia" w:ascii="宋体" w:hAnsi="宋体"/>
          <w:b/>
          <w:color w:val="auto"/>
          <w:sz w:val="24"/>
          <w:szCs w:val="24"/>
          <w:highlight w:val="none"/>
        </w:rPr>
        <w:t>说明</w:t>
      </w:r>
    </w:p>
    <w:p>
      <w:pPr>
        <w:tabs>
          <w:tab w:val="left" w:pos="1185"/>
        </w:tabs>
        <w:spacing w:line="440" w:lineRule="exact"/>
        <w:ind w:firstLine="480" w:firstLineChars="200"/>
        <w:rPr>
          <w:rFonts w:ascii="宋体" w:hAnsi="宋体"/>
          <w:b/>
          <w:color w:val="auto"/>
          <w:sz w:val="24"/>
          <w:szCs w:val="24"/>
          <w:highlight w:val="none"/>
        </w:rPr>
      </w:pPr>
      <w:r>
        <w:rPr>
          <w:rFonts w:ascii="宋体" w:hAnsi="宋体"/>
          <w:color w:val="auto"/>
          <w:sz w:val="24"/>
          <w:szCs w:val="24"/>
          <w:highlight w:val="none"/>
        </w:rPr>
        <w:t xml:space="preserve">5.1  </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组成如下：</w:t>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lang w:val="en-US" w:eastAsia="zh-CN"/>
        </w:rPr>
        <w:t>竞争性磋商</w:t>
      </w:r>
      <w:r>
        <w:rPr>
          <w:rFonts w:hint="eastAsia" w:ascii="宋体" w:hAnsi="宋体"/>
          <w:color w:val="auto"/>
          <w:sz w:val="24"/>
          <w:szCs w:val="24"/>
          <w:highlight w:val="none"/>
        </w:rPr>
        <w:t>公告</w:t>
      </w:r>
    </w:p>
    <w:p>
      <w:pPr>
        <w:spacing w:line="440" w:lineRule="exact"/>
        <w:ind w:firstLine="720" w:firstLineChars="30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第一部分</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投标人须知前附表</w:t>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第二部分</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招标说明</w:t>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第三部分</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投标说明</w:t>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第四部分</w:t>
      </w:r>
      <w:r>
        <w:rPr>
          <w:rFonts w:hint="eastAsia" w:ascii="宋体" w:hAnsi="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采购服务及要求</w:t>
      </w:r>
    </w:p>
    <w:p>
      <w:pPr>
        <w:tabs>
          <w:tab w:val="left" w:pos="5857"/>
        </w:tabs>
        <w:spacing w:line="440" w:lineRule="exact"/>
        <w:ind w:firstLine="720" w:firstLineChars="30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第五部分</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合同部分</w:t>
      </w:r>
      <w:r>
        <w:rPr>
          <w:rFonts w:hint="eastAsia" w:ascii="宋体" w:hAnsi="宋体"/>
          <w:color w:val="auto"/>
          <w:sz w:val="24"/>
          <w:szCs w:val="24"/>
          <w:highlight w:val="none"/>
          <w:lang w:eastAsia="zh-CN"/>
        </w:rPr>
        <w:tab/>
      </w:r>
    </w:p>
    <w:p>
      <w:pPr>
        <w:spacing w:line="44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第六部分</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附件</w:t>
      </w:r>
    </w:p>
    <w:p>
      <w:pPr>
        <w:tabs>
          <w:tab w:val="left" w:pos="1185"/>
        </w:tabs>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 xml:space="preserve">5.2  </w:t>
      </w:r>
      <w:r>
        <w:rPr>
          <w:rFonts w:hint="eastAsia" w:ascii="宋体" w:hAnsi="宋体"/>
          <w:color w:val="auto"/>
          <w:sz w:val="24"/>
          <w:szCs w:val="24"/>
          <w:highlight w:val="none"/>
        </w:rPr>
        <w:t>投标人应详细阅读</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的全部内容。如果投标人未按照</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要求提交全部资料或者</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没有对</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在各方面的要求做出实质性响应，将导致其投标被拒绝。</w:t>
      </w:r>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 xml:space="preserve">6. </w:t>
      </w:r>
      <w:r>
        <w:rPr>
          <w:rFonts w:hint="eastAsia" w:ascii="宋体" w:hAnsi="宋体"/>
          <w:b/>
          <w:color w:val="auto"/>
          <w:sz w:val="24"/>
          <w:szCs w:val="24"/>
          <w:highlight w:val="none"/>
          <w:lang w:val="en-US" w:eastAsia="zh-CN"/>
        </w:rPr>
        <w:t>磋商文件</w:t>
      </w:r>
      <w:r>
        <w:rPr>
          <w:rFonts w:hint="eastAsia" w:ascii="宋体" w:hAnsi="宋体"/>
          <w:b/>
          <w:color w:val="auto"/>
          <w:sz w:val="24"/>
          <w:szCs w:val="24"/>
          <w:highlight w:val="none"/>
        </w:rPr>
        <w:t>的修改或补充</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6.1</w:t>
      </w:r>
      <w:r>
        <w:rPr>
          <w:rFonts w:hint="eastAsia" w:ascii="宋体" w:hAnsi="宋体"/>
          <w:color w:val="auto"/>
          <w:sz w:val="24"/>
          <w:szCs w:val="24"/>
          <w:highlight w:val="none"/>
        </w:rPr>
        <w:t>　澄清或者修改的内容可能影响</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编制的，在投标截止</w:t>
      </w:r>
      <w:r>
        <w:rPr>
          <w:rFonts w:hint="eastAsia" w:ascii="宋体" w:hAnsi="宋体"/>
          <w:color w:val="auto"/>
          <w:sz w:val="24"/>
          <w:szCs w:val="24"/>
          <w:highlight w:val="none"/>
        </w:rPr>
        <w:t>期</w:t>
      </w:r>
      <w:r>
        <w:rPr>
          <w:rFonts w:hint="eastAsia" w:ascii="宋体" w:hAnsi="宋体"/>
          <w:color w:val="auto"/>
          <w:sz w:val="24"/>
          <w:szCs w:val="24"/>
          <w:highlight w:val="none"/>
          <w:u w:val="single"/>
          <w:lang w:val="en-US" w:eastAsia="zh-CN"/>
        </w:rPr>
        <w:t>15日</w:t>
      </w:r>
      <w:r>
        <w:rPr>
          <w:rFonts w:hint="eastAsia" w:ascii="宋体" w:hAnsi="宋体"/>
          <w:color w:val="auto"/>
          <w:sz w:val="24"/>
          <w:szCs w:val="24"/>
          <w:highlight w:val="none"/>
          <w:u w:val="single"/>
        </w:rPr>
        <w:t>前</w:t>
      </w:r>
      <w:r>
        <w:rPr>
          <w:rFonts w:hint="eastAsia" w:ascii="宋体" w:hAnsi="宋体"/>
          <w:color w:val="auto"/>
          <w:sz w:val="24"/>
          <w:szCs w:val="24"/>
          <w:highlight w:val="none"/>
        </w:rPr>
        <w:t>的任何时间，招标方可主动或依据投标人要求澄清的问题而修改或补充</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，并以书面形式或网上公告通知所有投标人，投标人在收到该通知后应立即以电报或传真的形式予以确认。</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6.2</w:t>
      </w:r>
      <w:r>
        <w:rPr>
          <w:rFonts w:hint="eastAsia" w:ascii="宋体" w:hAnsi="宋体"/>
          <w:color w:val="auto"/>
          <w:sz w:val="24"/>
          <w:szCs w:val="24"/>
          <w:highlight w:val="none"/>
        </w:rPr>
        <w:t>　为使投标人在准备投标时有适当的时间考虑</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的修改，招标方有权决定推迟投标截止时间和开标时间，并将此变更通知所有的投标人。</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6.3</w:t>
      </w:r>
      <w:r>
        <w:rPr>
          <w:rFonts w:hint="eastAsia" w:ascii="宋体" w:hAnsi="宋体"/>
          <w:color w:val="auto"/>
          <w:sz w:val="24"/>
          <w:szCs w:val="24"/>
          <w:highlight w:val="none"/>
        </w:rPr>
        <w:t>　</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的修改和补充文件将构成</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的一部分，并且对投标人具有优先约束力。</w:t>
      </w:r>
    </w:p>
    <w:p>
      <w:pPr>
        <w:widowControl/>
        <w:ind w:firstLine="480" w:firstLineChars="200"/>
        <w:jc w:val="left"/>
        <w:rPr>
          <w:rFonts w:hint="eastAsia" w:ascii="宋体" w:hAnsi="宋体" w:eastAsia="宋体" w:cs="宋体"/>
          <w:color w:val="auto"/>
          <w:kern w:val="0"/>
          <w:sz w:val="24"/>
          <w:szCs w:val="24"/>
          <w:highlight w:val="none"/>
          <w:lang w:eastAsia="zh-CN"/>
        </w:rPr>
      </w:pPr>
      <w:r>
        <w:rPr>
          <w:rFonts w:ascii="宋体" w:hAnsi="宋体" w:cs="宋体"/>
          <w:color w:val="auto"/>
          <w:kern w:val="0"/>
          <w:sz w:val="24"/>
          <w:szCs w:val="24"/>
          <w:highlight w:val="none"/>
        </w:rPr>
        <w:t>7.</w:t>
      </w:r>
      <w:r>
        <w:rPr>
          <w:rFonts w:hint="eastAsia" w:ascii="宋体" w:hAnsi="宋体" w:cs="宋体"/>
          <w:color w:val="auto"/>
          <w:kern w:val="0"/>
          <w:sz w:val="24"/>
          <w:szCs w:val="24"/>
          <w:highlight w:val="none"/>
          <w:lang w:val="en-US" w:eastAsia="zh-CN"/>
        </w:rPr>
        <w:t xml:space="preserve"> </w:t>
      </w:r>
      <w:r>
        <w:rPr>
          <w:rFonts w:ascii="宋体" w:hAnsi="宋体" w:cs="宋体"/>
          <w:color w:val="auto"/>
          <w:kern w:val="0"/>
          <w:sz w:val="24"/>
          <w:szCs w:val="24"/>
          <w:highlight w:val="none"/>
        </w:rPr>
        <w:t>质疑须知</w:t>
      </w:r>
    </w:p>
    <w:p>
      <w:pPr>
        <w:widowControl/>
        <w:ind w:firstLine="480" w:firstLineChars="200"/>
        <w:jc w:val="left"/>
        <w:rPr>
          <w:rFonts w:ascii="宋体" w:hAnsi="宋体" w:cs="宋体"/>
          <w:color w:val="auto"/>
          <w:kern w:val="0"/>
          <w:sz w:val="24"/>
          <w:szCs w:val="24"/>
          <w:highlight w:val="none"/>
        </w:rPr>
      </w:pPr>
      <w:r>
        <w:rPr>
          <w:rFonts w:ascii="宋体" w:hAnsi="宋体" w:cs="宋体"/>
          <w:color w:val="auto"/>
          <w:kern w:val="0"/>
          <w:sz w:val="24"/>
          <w:szCs w:val="24"/>
          <w:highlight w:val="none"/>
        </w:rPr>
        <w:t>投标人如需提出质疑的，应在法定质疑期内一次性提出针对同一采购程序环节的质疑。</w:t>
      </w:r>
    </w:p>
    <w:p>
      <w:pPr>
        <w:pStyle w:val="34"/>
        <w:spacing w:line="440" w:lineRule="exact"/>
        <w:jc w:val="both"/>
        <w:outlineLvl w:val="0"/>
        <w:rPr>
          <w:rFonts w:ascii="宋体" w:hAnsi="宋体"/>
          <w:b/>
          <w:color w:val="auto"/>
          <w:kern w:val="2"/>
          <w:sz w:val="24"/>
          <w:szCs w:val="24"/>
          <w:highlight w:val="none"/>
        </w:rPr>
      </w:pPr>
    </w:p>
    <w:p>
      <w:pPr>
        <w:pStyle w:val="34"/>
        <w:spacing w:line="440" w:lineRule="exact"/>
        <w:jc w:val="center"/>
        <w:outlineLvl w:val="0"/>
        <w:rPr>
          <w:rFonts w:ascii="宋体" w:hAnsi="宋体"/>
          <w:b/>
          <w:color w:val="auto"/>
          <w:kern w:val="2"/>
          <w:sz w:val="36"/>
          <w:szCs w:val="20"/>
          <w:highlight w:val="none"/>
        </w:rPr>
      </w:pPr>
      <w:bookmarkStart w:id="9" w:name="_Toc497239286"/>
      <w:r>
        <w:rPr>
          <w:rFonts w:hint="eastAsia" w:ascii="宋体" w:hAnsi="宋体"/>
          <w:b/>
          <w:color w:val="auto"/>
          <w:kern w:val="2"/>
          <w:sz w:val="36"/>
          <w:szCs w:val="20"/>
          <w:highlight w:val="none"/>
          <w:lang w:val="en-US" w:eastAsia="zh-CN"/>
        </w:rPr>
        <w:t xml:space="preserve">第三部分  </w:t>
      </w:r>
      <w:r>
        <w:rPr>
          <w:rFonts w:hint="eastAsia" w:ascii="宋体" w:hAnsi="宋体"/>
          <w:b/>
          <w:color w:val="auto"/>
          <w:kern w:val="2"/>
          <w:sz w:val="36"/>
          <w:szCs w:val="20"/>
          <w:highlight w:val="none"/>
        </w:rPr>
        <w:t>投标说明</w:t>
      </w:r>
      <w:bookmarkEnd w:id="9"/>
    </w:p>
    <w:p>
      <w:pPr>
        <w:spacing w:line="440" w:lineRule="exact"/>
        <w:ind w:firstLine="2891" w:firstLineChars="900"/>
        <w:outlineLvl w:val="1"/>
        <w:rPr>
          <w:rFonts w:ascii="宋体" w:hAnsi="宋体"/>
          <w:b/>
          <w:color w:val="auto"/>
          <w:sz w:val="32"/>
          <w:highlight w:val="none"/>
        </w:rPr>
      </w:pPr>
      <w:bookmarkStart w:id="10" w:name="_Toc497239287"/>
      <w:r>
        <w:rPr>
          <w:rFonts w:hint="eastAsia" w:ascii="宋体" w:hAnsi="宋体"/>
          <w:b/>
          <w:color w:val="auto"/>
          <w:sz w:val="32"/>
          <w:highlight w:val="none"/>
          <w:lang w:val="en-US" w:eastAsia="zh-CN"/>
        </w:rPr>
        <w:t xml:space="preserve">第一章 </w:t>
      </w:r>
      <w:r>
        <w:rPr>
          <w:rFonts w:hint="eastAsia" w:ascii="宋体" w:hAnsi="宋体"/>
          <w:b/>
          <w:color w:val="auto"/>
          <w:sz w:val="32"/>
          <w:highlight w:val="none"/>
        </w:rPr>
        <w:t>对投标人的资质要求</w:t>
      </w:r>
      <w:bookmarkEnd w:id="10"/>
    </w:p>
    <w:p>
      <w:pPr>
        <w:spacing w:line="440" w:lineRule="exact"/>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开标会的资质要求、开标时间及</w:t>
      </w:r>
      <w:r>
        <w:rPr>
          <w:rFonts w:hint="eastAsia" w:ascii="宋体" w:hAnsi="宋体" w:eastAsia="宋体" w:cs="宋体"/>
          <w:b/>
          <w:color w:val="auto"/>
          <w:sz w:val="24"/>
          <w:szCs w:val="24"/>
          <w:highlight w:val="none"/>
          <w:lang w:eastAsia="zh-CN"/>
        </w:rPr>
        <w:t>地址</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本项目开标的时间、</w:t>
      </w:r>
      <w:r>
        <w:rPr>
          <w:rFonts w:hint="eastAsia" w:ascii="宋体" w:hAnsi="宋体" w:eastAsia="宋体" w:cs="宋体"/>
          <w:color w:val="auto"/>
          <w:sz w:val="24"/>
          <w:szCs w:val="24"/>
          <w:highlight w:val="none"/>
          <w:lang w:eastAsia="zh-CN"/>
        </w:rPr>
        <w:t>地址</w:t>
      </w:r>
      <w:r>
        <w:rPr>
          <w:rFonts w:hint="eastAsia" w:ascii="宋体" w:hAnsi="宋体" w:eastAsia="宋体" w:cs="宋体"/>
          <w:color w:val="auto"/>
          <w:sz w:val="24"/>
          <w:szCs w:val="24"/>
          <w:highlight w:val="none"/>
        </w:rPr>
        <w:t>已在投标人须知前附表列清。</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招标人将邀请所有投标人派代表参加开标会，投标人必须提交能够证明其具有履行本招标项目合同能力的资质证明文件，作为</w:t>
      </w:r>
      <w:r>
        <w:rPr>
          <w:rFonts w:hint="eastAsia" w:ascii="宋体" w:hAnsi="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的一部分，具体要求如下：</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1、符合《中华人民共和国政府采购法》第二十二条规定，并提供《中华人民共和国政府采购法实施条例》第十七条所要求的材料；</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2、采购项目需要落实的政府采购政策：</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鼓励节能政策：财政部、发展改革委、生态环境部、市场监管总局《关于调整优化节能产品、环境标志产品政府采购执行机制的通知》（财库【2019】9号）、财政部、发展改革委《关于印发节能产品政府采购品目清单的通知》（财库【2019】19号）、《市场监管总局关于发布参与实施政府采购节能、环境标志产品认证机构名录的公告》（2019年第16号）；</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鼓励环保政策：财政部、发展改革委、生态环境部、市场监管总局《关于调整优化节能产品、环境标志产品政府采购执行机制的通知》（财库【2019】9号）、财政部、生态环境部《关于印发环境标志产品政府采购品目清单的通知》（财库【2019】18号）、《市场监管总局关于发布参与实施政府采购节能、环境标志产品认证机构名录的公告》（2019年第16号）；</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（3）财政部、工业和信息化部文件关于印发《政府采购促进</w:t>
      </w:r>
      <w:r>
        <w:rPr>
          <w:rFonts w:hint="eastAsia" w:ascii="宋体" w:hAnsi="宋体" w:cs="宋体"/>
          <w:color w:val="auto"/>
          <w:kern w:val="2"/>
          <w:sz w:val="24"/>
          <w:szCs w:val="24"/>
          <w:highlight w:val="none"/>
          <w:lang w:val="en-US" w:eastAsia="zh-CN" w:bidi="ar-SA"/>
        </w:rPr>
        <w:t>中小微企业</w:t>
      </w:r>
      <w:r>
        <w:rPr>
          <w:rFonts w:hint="eastAsia" w:ascii="宋体" w:hAnsi="宋体" w:eastAsia="宋体" w:cs="宋体"/>
          <w:color w:val="auto"/>
          <w:kern w:val="2"/>
          <w:sz w:val="24"/>
          <w:szCs w:val="24"/>
          <w:highlight w:val="none"/>
          <w:lang w:val="en-US" w:eastAsia="zh-CN" w:bidi="ar-SA"/>
        </w:rPr>
        <w:t>发展管理办法》（财库[2020]46号文）；</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（4）财政部、司法部《关于政府采购支持监狱企业发展有关问题的通知》（财库〔2014〕68 号）；</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财政部、民政部、中国残疾人联合会文件《关于促进残疾人就业政府采购政策的通知》（财库[2017]141号）；监狱企业、残疾人福利性单位视同小型、微型企业，享受小型、微型企业评审中价格扣除的政府采购政策。</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3、单位负责人为同一人或者存在直接控股、管理关系的不同投标人，不得参加同一合同项下的政府采购活动。</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52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4、投标人必须为前三年内（</w:t>
      </w:r>
      <w:r>
        <w:rPr>
          <w:rFonts w:hint="eastAsia" w:ascii="宋体" w:hAnsi="宋体" w:cs="宋体"/>
          <w:color w:val="auto"/>
          <w:kern w:val="2"/>
          <w:sz w:val="24"/>
          <w:szCs w:val="24"/>
          <w:highlight w:val="none"/>
          <w:lang w:val="en-US" w:eastAsia="zh-CN" w:bidi="ar-SA"/>
        </w:rPr>
        <w:t>2020</w:t>
      </w:r>
      <w:r>
        <w:rPr>
          <w:rFonts w:hint="eastAsia" w:ascii="宋体" w:hAnsi="宋体" w:eastAsia="宋体" w:cs="宋体"/>
          <w:color w:val="auto"/>
          <w:kern w:val="2"/>
          <w:sz w:val="24"/>
          <w:szCs w:val="24"/>
          <w:highlight w:val="none"/>
          <w:lang w:val="en-US" w:eastAsia="zh-CN" w:bidi="ar-SA"/>
        </w:rPr>
        <w:t>年1 月 1 日至投标文件递交截止之日前）未被列入“信用中国”网站（www.creditchina.gov.cn）、中国政府采购网（www.ccgp.gov.cn）信用记录失信被执行人、重大税收违法案件当事人名单、政府采购严重违法失信行为记录名单的；（查询的时间须为本项目公告之日至投标截止日之间</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  </w:t>
      </w:r>
    </w:p>
    <w:p>
      <w:pPr>
        <w:spacing w:line="440" w:lineRule="exact"/>
        <w:ind w:firstLine="470" w:firstLineChars="196"/>
        <w:rPr>
          <w:rFonts w:hint="eastAsia" w:ascii="宋体" w:hAnsi="宋体" w:eastAsia="宋体" w:cs="宋体"/>
          <w:b/>
          <w:bCs/>
          <w:color w:val="auto"/>
          <w:sz w:val="24"/>
          <w:szCs w:val="24"/>
          <w:highlight w:val="none"/>
        </w:rPr>
      </w:pP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、本项目不接受联合体投标</w:t>
      </w:r>
      <w:r>
        <w:rPr>
          <w:rFonts w:hint="eastAsia" w:ascii="宋体" w:hAnsi="宋体" w:eastAsia="宋体" w:cs="宋体"/>
          <w:b/>
          <w:bCs/>
          <w:color w:val="auto"/>
          <w:sz w:val="24"/>
          <w:szCs w:val="24"/>
          <w:highlight w:val="none"/>
        </w:rPr>
        <w:t xml:space="preserve"> </w:t>
      </w:r>
    </w:p>
    <w:p>
      <w:pPr>
        <w:spacing w:line="440" w:lineRule="exact"/>
        <w:ind w:firstLine="592" w:firstLineChars="24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 xml:space="preserve">  所有资格证明文件，</w:t>
      </w:r>
      <w:r>
        <w:rPr>
          <w:rFonts w:hint="eastAsia" w:ascii="宋体" w:hAnsi="宋体" w:eastAsia="宋体" w:cs="宋体"/>
          <w:b/>
          <w:bCs/>
          <w:color w:val="auto"/>
          <w:sz w:val="24"/>
          <w:szCs w:val="24"/>
          <w:highlight w:val="none"/>
          <w:em w:val="dot"/>
        </w:rPr>
        <w:t>在正本中资格证明文件的复印件须加盖公章</w:t>
      </w:r>
      <w:r>
        <w:rPr>
          <w:rFonts w:hint="eastAsia" w:ascii="宋体" w:hAnsi="宋体" w:eastAsia="宋体" w:cs="宋体"/>
          <w:bCs/>
          <w:color w:val="auto"/>
          <w:sz w:val="24"/>
          <w:szCs w:val="24"/>
          <w:highlight w:val="none"/>
        </w:rPr>
        <w:t>，以备开标时与原件核对（有特别说明的除外），副本可为</w:t>
      </w:r>
      <w:r>
        <w:rPr>
          <w:rFonts w:hint="eastAsia" w:ascii="宋体" w:hAnsi="宋体" w:eastAsia="宋体" w:cs="宋体"/>
          <w:bCs/>
          <w:color w:val="auto"/>
          <w:sz w:val="24"/>
          <w:szCs w:val="24"/>
          <w:highlight w:val="none"/>
          <w:lang w:val="en-US" w:eastAsia="zh-CN"/>
        </w:rPr>
        <w:t>正本的</w:t>
      </w:r>
      <w:r>
        <w:rPr>
          <w:rFonts w:hint="eastAsia" w:ascii="宋体" w:hAnsi="宋体" w:eastAsia="宋体" w:cs="宋体"/>
          <w:bCs/>
          <w:color w:val="auto"/>
          <w:sz w:val="24"/>
          <w:szCs w:val="24"/>
          <w:highlight w:val="none"/>
        </w:rPr>
        <w:t>复印件。</w:t>
      </w:r>
    </w:p>
    <w:p>
      <w:pPr>
        <w:spacing w:line="440" w:lineRule="exact"/>
        <w:ind w:firstLine="592" w:firstLineChars="247"/>
        <w:rPr>
          <w:rFonts w:ascii="宋体" w:hAnsi="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　所有资格证明文件必须满足</w:t>
      </w:r>
      <w:r>
        <w:rPr>
          <w:rFonts w:hint="eastAsia" w:ascii="宋体" w:hAnsi="宋体" w:cs="宋体"/>
          <w:bCs/>
          <w:color w:val="auto"/>
          <w:sz w:val="24"/>
          <w:szCs w:val="24"/>
          <w:highlight w:val="none"/>
          <w:lang w:val="en-US" w:eastAsia="zh-CN"/>
        </w:rPr>
        <w:t>磋商文件</w:t>
      </w:r>
      <w:r>
        <w:rPr>
          <w:rFonts w:hint="eastAsia" w:ascii="宋体" w:hAnsi="宋体" w:eastAsia="宋体" w:cs="宋体"/>
          <w:bCs/>
          <w:color w:val="auto"/>
          <w:sz w:val="24"/>
          <w:szCs w:val="24"/>
          <w:highlight w:val="none"/>
        </w:rPr>
        <w:t>的要求，否则将导致废标。</w:t>
      </w:r>
    </w:p>
    <w:p>
      <w:pPr>
        <w:spacing w:line="440" w:lineRule="exact"/>
        <w:jc w:val="center"/>
        <w:outlineLvl w:val="1"/>
        <w:rPr>
          <w:rFonts w:ascii="宋体" w:hAnsi="宋体"/>
          <w:b/>
          <w:color w:val="auto"/>
          <w:sz w:val="32"/>
          <w:szCs w:val="32"/>
          <w:highlight w:val="none"/>
        </w:rPr>
      </w:pPr>
      <w:bookmarkStart w:id="11" w:name="_Toc497239288"/>
      <w:r>
        <w:rPr>
          <w:rFonts w:hint="eastAsia" w:ascii="宋体" w:hAnsi="宋体"/>
          <w:b/>
          <w:color w:val="auto"/>
          <w:sz w:val="32"/>
          <w:szCs w:val="32"/>
          <w:highlight w:val="none"/>
          <w:lang w:val="en-US" w:eastAsia="zh-CN"/>
        </w:rPr>
        <w:t>第二章 投标文件</w:t>
      </w:r>
      <w:r>
        <w:rPr>
          <w:rFonts w:hint="eastAsia" w:ascii="宋体" w:hAnsi="宋体"/>
          <w:b/>
          <w:color w:val="auto"/>
          <w:sz w:val="32"/>
          <w:szCs w:val="32"/>
          <w:highlight w:val="none"/>
        </w:rPr>
        <w:t>的编写</w:t>
      </w:r>
      <w:bookmarkEnd w:id="11"/>
    </w:p>
    <w:p>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 要求</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shd w:val="clear" w:fill="FFFFFF" w:themeFill="background1"/>
        </w:rPr>
        <w:t>2.1  投标人应详细阅读</w:t>
      </w:r>
      <w:r>
        <w:rPr>
          <w:rFonts w:hint="eastAsia" w:ascii="宋体" w:hAnsi="宋体" w:cs="宋体"/>
          <w:color w:val="auto"/>
          <w:sz w:val="24"/>
          <w:szCs w:val="24"/>
          <w:highlight w:val="none"/>
          <w:shd w:val="clear" w:fill="FFFFFF" w:themeFill="background1"/>
          <w:lang w:val="en-US" w:eastAsia="zh-CN"/>
        </w:rPr>
        <w:t>磋商文件</w:t>
      </w:r>
      <w:r>
        <w:rPr>
          <w:rFonts w:hint="eastAsia" w:ascii="宋体" w:hAnsi="宋体" w:eastAsia="宋体" w:cs="宋体"/>
          <w:color w:val="auto"/>
          <w:sz w:val="24"/>
          <w:szCs w:val="24"/>
          <w:highlight w:val="none"/>
          <w:shd w:val="clear" w:fill="FFFFFF" w:themeFill="background1"/>
        </w:rPr>
        <w:t>中的条款、规范、表示、条件和格式等所有内容，按</w:t>
      </w:r>
      <w:r>
        <w:rPr>
          <w:rFonts w:hint="eastAsia" w:ascii="宋体" w:hAnsi="宋体" w:cs="宋体"/>
          <w:color w:val="auto"/>
          <w:sz w:val="24"/>
          <w:szCs w:val="24"/>
          <w:highlight w:val="none"/>
          <w:shd w:val="clear" w:fill="FFFFFF" w:themeFill="background1"/>
          <w:lang w:val="en-US" w:eastAsia="zh-CN"/>
        </w:rPr>
        <w:t>磋商文件</w:t>
      </w:r>
      <w:r>
        <w:rPr>
          <w:rFonts w:hint="eastAsia" w:ascii="宋体" w:hAnsi="宋体" w:eastAsia="宋体" w:cs="宋体"/>
          <w:color w:val="auto"/>
          <w:sz w:val="24"/>
          <w:szCs w:val="24"/>
          <w:highlight w:val="none"/>
          <w:shd w:val="clear" w:fill="FFFFFF" w:themeFill="background1"/>
        </w:rPr>
        <w:t>的要求份数提供</w:t>
      </w:r>
      <w:r>
        <w:rPr>
          <w:rFonts w:hint="eastAsia" w:ascii="宋体" w:hAnsi="宋体" w:eastAsia="宋体" w:cs="宋体"/>
          <w:color w:val="auto"/>
          <w:sz w:val="24"/>
          <w:szCs w:val="24"/>
          <w:highlight w:val="none"/>
          <w:shd w:val="clear" w:fill="FFFFFF" w:themeFill="background1"/>
          <w:lang w:val="en-US" w:eastAsia="zh-CN"/>
        </w:rPr>
        <w:t>投标文件</w:t>
      </w:r>
      <w:r>
        <w:rPr>
          <w:rFonts w:hint="eastAsia" w:ascii="宋体" w:hAnsi="宋体" w:eastAsia="宋体" w:cs="宋体"/>
          <w:color w:val="auto"/>
          <w:sz w:val="24"/>
          <w:szCs w:val="24"/>
          <w:highlight w:val="none"/>
          <w:shd w:val="clear" w:fill="FFFFFF" w:themeFill="background1"/>
        </w:rPr>
        <w:t>，并保证所提供全部材料的真实性，使其投标对</w:t>
      </w:r>
      <w:r>
        <w:rPr>
          <w:rFonts w:hint="eastAsia" w:ascii="宋体" w:hAnsi="宋体" w:cs="宋体"/>
          <w:color w:val="auto"/>
          <w:sz w:val="24"/>
          <w:szCs w:val="24"/>
          <w:highlight w:val="none"/>
          <w:shd w:val="clear" w:fill="FFFFFF" w:themeFill="background1"/>
          <w:lang w:val="en-US" w:eastAsia="zh-CN"/>
        </w:rPr>
        <w:t>磋商文件</w:t>
      </w:r>
      <w:r>
        <w:rPr>
          <w:rFonts w:hint="eastAsia" w:ascii="宋体" w:hAnsi="宋体" w:eastAsia="宋体" w:cs="宋体"/>
          <w:color w:val="auto"/>
          <w:sz w:val="24"/>
          <w:szCs w:val="24"/>
          <w:highlight w:val="none"/>
        </w:rPr>
        <w:t>做出实质性响应</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否则，其投标视为无效。</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允许投标人对本</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的所有包投标，也可根据本企业生产或代理产品的情况对部分包进行投标，但不允许投标人对某一包中的一项或部分项进行投标。招标人可选择一家投标单位为所有包的中标人，也可选择若干个投标单位分别中标。</w:t>
      </w:r>
    </w:p>
    <w:p>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3. </w:t>
      </w:r>
      <w:r>
        <w:rPr>
          <w:rFonts w:hint="eastAsia" w:ascii="宋体" w:hAnsi="宋体" w:eastAsia="宋体" w:cs="宋体"/>
          <w:b/>
          <w:color w:val="auto"/>
          <w:sz w:val="24"/>
          <w:szCs w:val="24"/>
          <w:highlight w:val="none"/>
          <w:lang w:val="en-US" w:eastAsia="zh-CN"/>
        </w:rPr>
        <w:t>投标文件</w:t>
      </w:r>
      <w:r>
        <w:rPr>
          <w:rFonts w:hint="eastAsia" w:ascii="宋体" w:hAnsi="宋体" w:eastAsia="宋体" w:cs="宋体"/>
          <w:b/>
          <w:color w:val="auto"/>
          <w:sz w:val="24"/>
          <w:szCs w:val="24"/>
          <w:highlight w:val="none"/>
        </w:rPr>
        <w:t>语言和度量单位</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  </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及投标人和招标方就招标、投标交换的文件和往来信件，须以中文书写。</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除在</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的技术规格中另有规定外，计量单位应使用中华人民共和国法定计量单位。</w:t>
      </w:r>
    </w:p>
    <w:p>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4. </w:t>
      </w:r>
      <w:r>
        <w:rPr>
          <w:rFonts w:hint="eastAsia" w:ascii="宋体" w:hAnsi="宋体" w:eastAsia="宋体" w:cs="宋体"/>
          <w:b/>
          <w:color w:val="auto"/>
          <w:sz w:val="24"/>
          <w:szCs w:val="24"/>
          <w:highlight w:val="none"/>
          <w:lang w:val="en-US" w:eastAsia="zh-CN"/>
        </w:rPr>
        <w:t>投标文件</w:t>
      </w:r>
      <w:r>
        <w:rPr>
          <w:rFonts w:hint="eastAsia" w:ascii="宋体" w:hAnsi="宋体" w:eastAsia="宋体" w:cs="宋体"/>
          <w:b/>
          <w:color w:val="auto"/>
          <w:sz w:val="24"/>
          <w:szCs w:val="24"/>
          <w:highlight w:val="none"/>
        </w:rPr>
        <w:t>的组成</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　投标人编写的</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应包括下列内容：</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（1）开标一览表；</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（2）投标资格证明文件；</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（3）所投设备的相关技术证明资料；</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中所要求的采购货物需求及技术规格、合同特殊条款中要求提交的文件、资料等。</w:t>
      </w:r>
    </w:p>
    <w:p>
      <w:pPr>
        <w:spacing w:line="44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4.2.投标人的服务承诺应按不低于</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中要求的服务标准做出响应。</w:t>
      </w:r>
    </w:p>
    <w:p>
      <w:pPr>
        <w:spacing w:line="440" w:lineRule="exact"/>
        <w:ind w:firstLine="361" w:firstLineChars="150"/>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4.2.</w:t>
      </w:r>
      <w:r>
        <w:rPr>
          <w:rFonts w:hint="eastAsia" w:ascii="宋体" w:hAnsi="宋体" w:cs="宋体"/>
          <w:b/>
          <w:color w:val="auto"/>
          <w:sz w:val="24"/>
          <w:szCs w:val="24"/>
          <w:highlight w:val="none"/>
          <w:u w:val="single"/>
          <w:lang w:val="en-US" w:eastAsia="zh-CN"/>
        </w:rPr>
        <w:t>1</w:t>
      </w:r>
      <w:r>
        <w:rPr>
          <w:rFonts w:hint="eastAsia" w:ascii="宋体" w:hAnsi="宋体" w:eastAsia="宋体" w:cs="宋体"/>
          <w:b/>
          <w:color w:val="auto"/>
          <w:sz w:val="24"/>
          <w:szCs w:val="24"/>
          <w:highlight w:val="none"/>
          <w:u w:val="single"/>
          <w:lang w:val="en-US" w:eastAsia="zh-CN"/>
        </w:rPr>
        <w:t>投标文件</w:t>
      </w:r>
      <w:r>
        <w:rPr>
          <w:rFonts w:hint="eastAsia" w:ascii="宋体" w:hAnsi="宋体" w:eastAsia="宋体" w:cs="宋体"/>
          <w:b/>
          <w:color w:val="auto"/>
          <w:sz w:val="24"/>
          <w:szCs w:val="24"/>
          <w:highlight w:val="none"/>
          <w:u w:val="single"/>
        </w:rPr>
        <w:t>正本中所提供资料需加盖公章，副本为正本的复印件，正、副本不一致时，以正本为准。</w:t>
      </w:r>
    </w:p>
    <w:p>
      <w:pPr>
        <w:spacing w:line="44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 开标一览表</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提交开标一览表是为了便于开标时唱标，投标人必须按本</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所附的格式填写，签字并加盖公章，开标一览表中小写和大写不符，以大写为准。开标一览表中的大小写均须按法定格式正确填写。投标报价没有同时填报大写和小写的，其投标将被拒绝。</w:t>
      </w:r>
    </w:p>
    <w:p>
      <w:pPr>
        <w:spacing w:line="440" w:lineRule="exact"/>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 xml:space="preserve">5. </w:t>
      </w:r>
      <w:r>
        <w:rPr>
          <w:rFonts w:hint="eastAsia" w:ascii="宋体" w:hAnsi="宋体" w:eastAsia="宋体" w:cs="宋体"/>
          <w:b/>
          <w:color w:val="auto"/>
          <w:sz w:val="24"/>
          <w:szCs w:val="24"/>
          <w:highlight w:val="none"/>
          <w:lang w:val="en-US" w:eastAsia="zh-CN"/>
        </w:rPr>
        <w:t>投标文件</w:t>
      </w:r>
      <w:r>
        <w:rPr>
          <w:rFonts w:hint="eastAsia" w:ascii="宋体" w:hAnsi="宋体" w:eastAsia="宋体" w:cs="宋体"/>
          <w:b/>
          <w:color w:val="auto"/>
          <w:sz w:val="24"/>
          <w:szCs w:val="24"/>
          <w:highlight w:val="none"/>
        </w:rPr>
        <w:t>格式</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详见第六部分 附件</w:t>
      </w:r>
      <w:r>
        <w:rPr>
          <w:rFonts w:hint="eastAsia" w:ascii="宋体" w:hAnsi="宋体" w:cs="宋体"/>
          <w:b/>
          <w:color w:val="auto"/>
          <w:sz w:val="24"/>
          <w:szCs w:val="24"/>
          <w:highlight w:val="none"/>
          <w:lang w:eastAsia="zh-CN"/>
        </w:rPr>
        <w:t>）</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5.1投标人应按</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提供的范本格式认真填写</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、开标一览表。</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5.2投标人应严格按</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的格式要求及附件向招标公司提交</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，否则视为不响应</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要求，如</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没有提供格式的，投标人可自行设置。</w:t>
      </w:r>
    </w:p>
    <w:p>
      <w:pPr>
        <w:spacing w:line="4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5.3</w:t>
      </w:r>
      <w:r>
        <w:rPr>
          <w:rFonts w:hint="eastAsia" w:ascii="宋体" w:hAnsi="宋体" w:eastAsia="宋体" w:cs="宋体"/>
          <w:color w:val="auto"/>
          <w:sz w:val="24"/>
          <w:szCs w:val="24"/>
          <w:highlight w:val="none"/>
        </w:rPr>
        <w:t>投标人应将</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按规定的顺序编排、并应编制目录、逐页标注连续页码</w:t>
      </w:r>
      <w:r>
        <w:rPr>
          <w:rFonts w:hint="eastAsia" w:ascii="宋体" w:hAnsi="宋体" w:eastAsia="宋体" w:cs="宋体"/>
          <w:b/>
          <w:color w:val="auto"/>
          <w:sz w:val="24"/>
          <w:szCs w:val="24"/>
          <w:highlight w:val="none"/>
        </w:rPr>
        <w:t>。</w:t>
      </w:r>
    </w:p>
    <w:p>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投标报价</w:t>
      </w:r>
    </w:p>
    <w:p>
      <w:pPr>
        <w:spacing w:line="440" w:lineRule="exact"/>
        <w:ind w:firstLine="482" w:firstLineChars="200"/>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6.1  投标报价超预算金额（最高限价）的，其报价无效，不进入评标阶段。</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  投标人应在明细报价表上标明综合单价和总价。</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（1）开标一览表内容与</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中相应内容不一致的，以开标一览表为准；</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（2）大写金额和小写金额不一致的，以大写金额为准；</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（3）综合单价金额小数点有明显错位的，以开标一览表的总价为准，并修改综合单价；</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（4）总价金额与按综合单价汇总金额不一致的，以综合单价金额计算结果为准。</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同时出现两种以上不一致的，按照前款规定的顺序修正。修正后的报价经投标人确认后产生约束力，投标人不确认的，其投标无效。</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 投标人如果免费提供某项产品、部件或服务，除在价格栏中填写“0”外，还必须在备注栏中声明免费或赠送。</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 投标报价时应注意包括下列几项费用：</w:t>
      </w:r>
    </w:p>
    <w:p>
      <w:pPr>
        <w:spacing w:line="44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中特别要求的备品备件、易损件和专用工具的费用；</w:t>
      </w:r>
    </w:p>
    <w:p>
      <w:pPr>
        <w:spacing w:line="44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中特别要求的安装、调试、培训、运输、保险及其它附带服务的全部费用；</w:t>
      </w:r>
    </w:p>
    <w:p>
      <w:pPr>
        <w:spacing w:line="44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（3）投标人提供的在中华人民共和国制造的货物，其货物的投标价即交货价中，包括制造、组装该货物所使用的零部件及原材料已付的全部关税、销售税和其他税。</w:t>
      </w:r>
    </w:p>
    <w:p>
      <w:pPr>
        <w:spacing w:line="440" w:lineRule="exact"/>
        <w:ind w:left="480"/>
        <w:rPr>
          <w:rFonts w:hint="eastAsia" w:ascii="宋体" w:hAnsi="宋体" w:eastAsia="宋体" w:cs="宋体"/>
          <w:b/>
          <w:bCs/>
          <w:color w:val="auto"/>
          <w:sz w:val="24"/>
          <w:szCs w:val="24"/>
          <w:highlight w:val="none"/>
          <w:u w:val="single"/>
        </w:rPr>
      </w:pPr>
      <w:r>
        <w:rPr>
          <w:rFonts w:hint="eastAsia" w:ascii="宋体" w:hAnsi="宋体" w:eastAsia="宋体" w:cs="宋体"/>
          <w:color w:val="auto"/>
          <w:sz w:val="24"/>
          <w:szCs w:val="24"/>
          <w:highlight w:val="none"/>
        </w:rPr>
        <w:t>6.5 投标人应对投标</w:t>
      </w:r>
      <w:r>
        <w:rPr>
          <w:rFonts w:hint="eastAsia" w:ascii="宋体" w:hAnsi="宋体" w:eastAsia="宋体" w:cs="宋体"/>
          <w:color w:val="auto"/>
          <w:sz w:val="24"/>
          <w:szCs w:val="24"/>
          <w:highlight w:val="none"/>
          <w:lang w:val="en-US" w:eastAsia="zh-CN"/>
        </w:rPr>
        <w:t>服</w:t>
      </w:r>
      <w:r>
        <w:rPr>
          <w:rFonts w:hint="eastAsia" w:ascii="宋体" w:hAnsi="宋体" w:eastAsia="宋体" w:cs="宋体"/>
          <w:color w:val="auto"/>
          <w:sz w:val="24"/>
          <w:szCs w:val="24"/>
          <w:highlight w:val="none"/>
        </w:rPr>
        <w:t>物提供完整的详细的书面说明。</w:t>
      </w:r>
    </w:p>
    <w:p>
      <w:pPr>
        <w:spacing w:line="440" w:lineRule="exact"/>
        <w:ind w:left="48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投标报价的货币单位</w:t>
      </w:r>
    </w:p>
    <w:p>
      <w:pPr>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　投标报价单位为人民币。各项价格必须清楚、准确、详细。</w:t>
      </w:r>
    </w:p>
    <w:p>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 投标有效期</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　</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从开标之日起，投标有效期为</w:t>
      </w:r>
      <w:r>
        <w:rPr>
          <w:rFonts w:hint="eastAsia" w:ascii="宋体" w:hAnsi="宋体" w:eastAsia="宋体" w:cs="宋体"/>
          <w:color w:val="auto"/>
          <w:sz w:val="24"/>
          <w:szCs w:val="24"/>
          <w:highlight w:val="none"/>
          <w:u w:val="single"/>
        </w:rPr>
        <w:t>九十</w:t>
      </w:r>
      <w:r>
        <w:rPr>
          <w:rFonts w:hint="eastAsia" w:ascii="宋体" w:hAnsi="宋体" w:eastAsia="宋体" w:cs="宋体"/>
          <w:color w:val="auto"/>
          <w:sz w:val="24"/>
          <w:szCs w:val="24"/>
          <w:highlight w:val="none"/>
        </w:rPr>
        <w:t>天（如不满足将导致废标）。</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　在特殊情况下，招标方可与投标人协商延长</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的有效期。</w:t>
      </w:r>
    </w:p>
    <w:p>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9. </w:t>
      </w:r>
      <w:r>
        <w:rPr>
          <w:rFonts w:hint="eastAsia" w:ascii="宋体" w:hAnsi="宋体" w:eastAsia="宋体" w:cs="宋体"/>
          <w:b/>
          <w:color w:val="auto"/>
          <w:sz w:val="24"/>
          <w:szCs w:val="24"/>
          <w:highlight w:val="none"/>
          <w:lang w:val="en-US" w:eastAsia="zh-CN"/>
        </w:rPr>
        <w:t>投标文件</w:t>
      </w:r>
      <w:r>
        <w:rPr>
          <w:rFonts w:hint="eastAsia" w:ascii="宋体" w:hAnsi="宋体" w:eastAsia="宋体" w:cs="宋体"/>
          <w:b/>
          <w:color w:val="auto"/>
          <w:sz w:val="24"/>
          <w:szCs w:val="24"/>
          <w:highlight w:val="none"/>
        </w:rPr>
        <w:t>的签署规定</w:t>
      </w:r>
    </w:p>
    <w:p>
      <w:pPr>
        <w:spacing w:line="44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9.1　</w:t>
      </w:r>
      <w:r>
        <w:rPr>
          <w:rFonts w:hint="eastAsia" w:ascii="宋体" w:hAnsi="宋体" w:cs="宋体"/>
          <w:color w:val="auto"/>
          <w:sz w:val="24"/>
          <w:szCs w:val="24"/>
          <w:highlight w:val="none"/>
          <w:lang w:val="en-US" w:eastAsia="zh-CN"/>
        </w:rPr>
        <w:t>请在政采云客户端投标。</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应清楚工整，一般不准修改。个别非实质性修改之处必须由投标人的法定代表人（负责人）或经其正式授权的代表在修改的每一页上签字或盖投标单位公章后才有效。</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应由法人代表或法人授权代表在规定的签章处逐一签署或加盖单位公章</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投标文件</w:t>
      </w:r>
      <w:r>
        <w:rPr>
          <w:rFonts w:hint="eastAsia" w:ascii="宋体" w:hAnsi="宋体" w:eastAsia="宋体" w:cs="宋体"/>
          <w:bCs/>
          <w:color w:val="auto"/>
          <w:sz w:val="24"/>
          <w:szCs w:val="24"/>
          <w:highlight w:val="none"/>
        </w:rPr>
        <w:t>方为有效。</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w:t>
      </w:r>
      <w:r>
        <w:rPr>
          <w:rFonts w:hint="eastAsia" w:ascii="宋体" w:hAnsi="宋体" w:eastAsia="宋体" w:cs="宋体"/>
          <w:b w:val="0"/>
          <w:bCs/>
          <w:i w:val="0"/>
          <w:iCs w:val="0"/>
          <w:color w:val="auto"/>
          <w:kern w:val="0"/>
          <w:sz w:val="24"/>
          <w:szCs w:val="24"/>
          <w:highlight w:val="none"/>
          <w:u w:val="none"/>
          <w:lang w:val="en-US" w:eastAsia="zh-CN" w:bidi="ar"/>
        </w:rPr>
        <w:t>中标单位投标文件：</w:t>
      </w:r>
      <w:r>
        <w:rPr>
          <w:rStyle w:val="40"/>
          <w:rFonts w:hint="eastAsia" w:ascii="宋体" w:hAnsi="宋体" w:eastAsia="宋体" w:cs="宋体"/>
          <w:b w:val="0"/>
          <w:bCs/>
          <w:color w:val="auto"/>
          <w:sz w:val="24"/>
          <w:szCs w:val="24"/>
          <w:highlight w:val="none"/>
          <w:lang w:val="en-US" w:eastAsia="zh-CN" w:bidi="ar"/>
        </w:rPr>
        <w:t>正本壹份、副本肆份（胶装装订不能出现活页</w:t>
      </w:r>
      <w:r>
        <w:rPr>
          <w:rStyle w:val="40"/>
          <w:rFonts w:hint="eastAsia" w:ascii="宋体" w:hAnsi="宋体" w:cs="宋体"/>
          <w:b w:val="0"/>
          <w:bCs/>
          <w:color w:val="auto"/>
          <w:sz w:val="24"/>
          <w:szCs w:val="24"/>
          <w:highlight w:val="none"/>
          <w:lang w:val="en-US" w:eastAsia="zh-CN" w:bidi="ar"/>
        </w:rPr>
        <w:t>，双面打印</w:t>
      </w:r>
      <w:r>
        <w:rPr>
          <w:rStyle w:val="40"/>
          <w:rFonts w:hint="eastAsia" w:ascii="宋体" w:hAnsi="宋体" w:eastAsia="宋体" w:cs="宋体"/>
          <w:b w:val="0"/>
          <w:bCs/>
          <w:color w:val="auto"/>
          <w:sz w:val="24"/>
          <w:szCs w:val="24"/>
          <w:highlight w:val="none"/>
          <w:lang w:val="en-US" w:eastAsia="zh-CN" w:bidi="ar"/>
        </w:rPr>
        <w:t>）</w:t>
      </w:r>
    </w:p>
    <w:p>
      <w:pPr>
        <w:spacing w:line="44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9.5  </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的正本与副本应当完全一致。当正本和副本之间出现差异时，以正本为准。</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9.6  电报、电话、传真、电子邮件等形式的投标概不接受。</w:t>
      </w:r>
    </w:p>
    <w:p>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投标保证金</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  招标方因投标人的违规行为而受到损害时将不予退还投标人的投标保证金，将其作为所受损害的补偿。</w:t>
      </w:r>
    </w:p>
    <w:p>
      <w:pPr>
        <w:pStyle w:val="16"/>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10.2　</w:t>
      </w:r>
      <w:r>
        <w:rPr>
          <w:rFonts w:hint="eastAsia" w:ascii="宋体" w:hAnsi="宋体" w:eastAsia="宋体" w:cs="宋体"/>
          <w:color w:val="auto"/>
          <w:sz w:val="24"/>
          <w:szCs w:val="24"/>
          <w:highlight w:val="none"/>
        </w:rPr>
        <w:t>投标保证金提交方式为投标人基本账户以网银或银行电汇形式，汇款单上需注明项目名称、项目编号</w:t>
      </w:r>
      <w:r>
        <w:rPr>
          <w:rFonts w:hint="eastAsia" w:ascii="宋体" w:hAnsi="宋体" w:eastAsia="宋体" w:cs="宋体"/>
          <w:color w:val="auto"/>
          <w:sz w:val="24"/>
          <w:szCs w:val="24"/>
          <w:highlight w:val="none"/>
          <w:lang w:eastAsia="zh-CN"/>
        </w:rPr>
        <w:t>。</w:t>
      </w:r>
    </w:p>
    <w:p>
      <w:pPr>
        <w:pStyle w:val="16"/>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10.3  </w:t>
      </w:r>
      <w:r>
        <w:rPr>
          <w:rFonts w:hint="eastAsia" w:ascii="宋体" w:hAnsi="宋体" w:eastAsia="宋体" w:cs="宋体"/>
          <w:color w:val="auto"/>
          <w:sz w:val="24"/>
          <w:szCs w:val="24"/>
          <w:highlight w:val="none"/>
        </w:rPr>
        <w:t>投标人提交投标保证金缴纳期限：开标时间及</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递交截止时间</w:t>
      </w:r>
      <w:r>
        <w:rPr>
          <w:rFonts w:hint="eastAsia" w:hAnsi="宋体" w:cs="宋体"/>
          <w:color w:val="auto"/>
          <w:sz w:val="24"/>
          <w:szCs w:val="24"/>
          <w:highlight w:val="none"/>
          <w:lang w:val="en-US" w:eastAsia="zh-CN"/>
        </w:rPr>
        <w:t>48</w:t>
      </w:r>
      <w:r>
        <w:rPr>
          <w:rFonts w:hint="eastAsia" w:ascii="宋体" w:hAnsi="宋体" w:eastAsia="宋体" w:cs="宋体"/>
          <w:color w:val="auto"/>
          <w:sz w:val="24"/>
          <w:szCs w:val="24"/>
          <w:highlight w:val="none"/>
        </w:rPr>
        <w:t>小时前缴纳完毕（以到账时间为准），逾期不予受理</w:t>
      </w:r>
      <w:r>
        <w:rPr>
          <w:rFonts w:hint="eastAsia" w:ascii="宋体" w:hAnsi="宋体" w:eastAsia="宋体" w:cs="宋体"/>
          <w:color w:val="auto"/>
          <w:sz w:val="24"/>
          <w:szCs w:val="24"/>
          <w:highlight w:val="none"/>
        </w:rPr>
        <w:t>。</w:t>
      </w:r>
    </w:p>
    <w:p>
      <w:pPr>
        <w:pStyle w:val="16"/>
        <w:spacing w:line="44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投标保证金交入：见</w:t>
      </w:r>
      <w:r>
        <w:rPr>
          <w:rFonts w:hint="eastAsia" w:ascii="宋体" w:hAnsi="宋体" w:eastAsia="宋体" w:cs="宋体"/>
          <w:color w:val="auto"/>
          <w:sz w:val="24"/>
          <w:szCs w:val="24"/>
          <w:highlight w:val="none"/>
          <w:lang w:eastAsia="zh-CN"/>
        </w:rPr>
        <w:t>投标人须知前附表</w:t>
      </w:r>
    </w:p>
    <w:p>
      <w:pPr>
        <w:pStyle w:val="16"/>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　未中标的投标人的投标保证金，将在中标通知书发出后5个工作日内无息退还。</w:t>
      </w:r>
    </w:p>
    <w:p>
      <w:pPr>
        <w:keepNext w:val="0"/>
        <w:keepLines w:val="0"/>
        <w:widowControl/>
        <w:suppressLineNumbers w:val="0"/>
        <w:ind w:firstLine="480" w:firstLineChars="200"/>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10.5  中标方的投标保证金，将在领取中标通知书，缴纳</w:t>
      </w:r>
      <w:r>
        <w:rPr>
          <w:rFonts w:hint="eastAsia" w:ascii="宋体" w:hAnsi="宋体" w:eastAsia="宋体" w:cs="宋体"/>
          <w:color w:val="auto"/>
          <w:sz w:val="24"/>
          <w:szCs w:val="24"/>
          <w:highlight w:val="none"/>
          <w:lang w:val="en-US" w:eastAsia="zh-CN"/>
        </w:rPr>
        <w:t>招标代理服务费和</w:t>
      </w:r>
      <w:r>
        <w:rPr>
          <w:rFonts w:hint="eastAsia" w:ascii="宋体" w:hAnsi="宋体" w:eastAsia="宋体" w:cs="宋体"/>
          <w:color w:val="auto"/>
          <w:sz w:val="24"/>
          <w:szCs w:val="24"/>
          <w:highlight w:val="none"/>
        </w:rPr>
        <w:t>签订合同后5个工作日内无息退还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（合同应当自中标通知书发出之日起30日内签订完成）</w:t>
      </w:r>
    </w:p>
    <w:p>
      <w:pPr>
        <w:keepNext w:val="0"/>
        <w:keepLines w:val="0"/>
        <w:widowControl/>
        <w:suppressLineNumbers w:val="0"/>
        <w:ind w:firstLine="480" w:firstLineChars="200"/>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退还保证金时，需提供</w:t>
      </w:r>
      <w:r>
        <w:rPr>
          <w:rFonts w:hint="eastAsia" w:ascii="宋体" w:hAnsi="宋体" w:eastAsia="宋体" w:cs="宋体"/>
          <w:color w:val="auto"/>
          <w:sz w:val="24"/>
          <w:szCs w:val="24"/>
          <w:highlight w:val="none"/>
          <w:lang w:val="en-US" w:eastAsia="zh-CN"/>
        </w:rPr>
        <w:t>:</w:t>
      </w:r>
    </w:p>
    <w:p>
      <w:pPr>
        <w:keepNext w:val="0"/>
        <w:keepLines w:val="0"/>
        <w:widowControl/>
        <w:suppressLineNumbers w:val="0"/>
        <w:ind w:firstLine="240" w:firstLineChars="10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（1）投标保证金收据原件</w:t>
      </w:r>
    </w:p>
    <w:p>
      <w:pPr>
        <w:keepNext w:val="0"/>
        <w:keepLines w:val="0"/>
        <w:widowControl/>
        <w:suppressLineNumbers w:val="0"/>
        <w:ind w:firstLine="240" w:firstLineChars="10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（2）公司开户信息加盖公章</w:t>
      </w:r>
    </w:p>
    <w:p>
      <w:pPr>
        <w:keepNext w:val="0"/>
        <w:keepLines w:val="0"/>
        <w:widowControl/>
        <w:suppressLineNumbers w:val="0"/>
        <w:ind w:firstLine="240" w:firstLineChars="10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（3）中标人与招标人签订合同的复印件</w:t>
      </w:r>
    </w:p>
    <w:p>
      <w:pPr>
        <w:keepNext w:val="0"/>
        <w:keepLines w:val="0"/>
        <w:widowControl/>
        <w:suppressLineNumbers w:val="0"/>
        <w:ind w:firstLine="240" w:firstLineChars="10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（4）收件地址：</w:t>
      </w:r>
      <w:r>
        <w:rPr>
          <w:rFonts w:hint="eastAsia" w:ascii="宋体" w:hAnsi="宋体" w:eastAsia="宋体" w:cs="宋体"/>
          <w:color w:val="auto"/>
          <w:kern w:val="0"/>
          <w:sz w:val="24"/>
          <w:szCs w:val="24"/>
          <w:highlight w:val="none"/>
          <w:lang w:val="en-US" w:eastAsia="zh-CN" w:bidi="ar"/>
        </w:rPr>
        <w:t>乌鲁木齐市新市区天津南路431号博雅居B栋2单元301室</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ind w:firstLine="240" w:firstLineChars="10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（5）联系人：</w:t>
      </w:r>
      <w:r>
        <w:rPr>
          <w:rFonts w:hint="eastAsia" w:ascii="宋体" w:hAnsi="宋体" w:cs="宋体"/>
          <w:b w:val="0"/>
          <w:bCs/>
          <w:i w:val="0"/>
          <w:iCs w:val="0"/>
          <w:color w:val="auto"/>
          <w:kern w:val="0"/>
          <w:sz w:val="24"/>
          <w:szCs w:val="24"/>
          <w:highlight w:val="none"/>
          <w:u w:val="none"/>
          <w:lang w:val="en-US" w:eastAsia="zh-CN" w:bidi="ar"/>
        </w:rPr>
        <w:t>赵女士</w:t>
      </w:r>
    </w:p>
    <w:p>
      <w:pPr>
        <w:keepNext w:val="0"/>
        <w:keepLines w:val="0"/>
        <w:widowControl/>
        <w:suppressLineNumbers w:val="0"/>
        <w:ind w:firstLine="240" w:firstLineChars="100"/>
        <w:jc w:val="left"/>
        <w:textAlignment w:val="center"/>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（6）联系电话：</w:t>
      </w:r>
      <w:r>
        <w:rPr>
          <w:rFonts w:hint="eastAsia" w:ascii="宋体" w:hAnsi="宋体" w:cs="宋体"/>
          <w:b w:val="0"/>
          <w:bCs/>
          <w:i w:val="0"/>
          <w:iCs w:val="0"/>
          <w:color w:val="auto"/>
          <w:kern w:val="0"/>
          <w:sz w:val="24"/>
          <w:szCs w:val="24"/>
          <w:highlight w:val="none"/>
          <w:u w:val="none"/>
          <w:lang w:val="en-US" w:eastAsia="zh-CN" w:bidi="ar"/>
        </w:rPr>
        <w:t>15292638547</w:t>
      </w:r>
    </w:p>
    <w:p>
      <w:pPr>
        <w:pStyle w:val="10"/>
        <w:ind w:firstLine="241" w:firstLineChars="10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i w:val="0"/>
          <w:iCs w:val="0"/>
          <w:color w:val="auto"/>
          <w:kern w:val="0"/>
          <w:sz w:val="24"/>
          <w:szCs w:val="24"/>
          <w:highlight w:val="none"/>
          <w:u w:val="none"/>
          <w:lang w:val="en-US" w:eastAsia="zh-CN" w:bidi="ar"/>
        </w:rPr>
        <w:t>注：未中标的投标人退还投标保证金时提供（1）、（2）中标人提供（1）、（2）、（3）</w:t>
      </w:r>
    </w:p>
    <w:p>
      <w:pPr>
        <w:widowControl w:val="0"/>
        <w:pBdr>
          <w:top w:val="none" w:color="auto" w:sz="0" w:space="1"/>
          <w:left w:val="none" w:color="auto" w:sz="0" w:space="4"/>
          <w:bottom w:val="none" w:color="auto" w:sz="0" w:space="1"/>
          <w:right w:val="none" w:color="auto" w:sz="0" w:space="4"/>
          <w:between w:val="none" w:color="auto" w:sz="0" w:space="0"/>
        </w:pBdr>
        <w:spacing w:line="44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在评标过程中，如发现下列情况之一的，其投标将被拒绝；</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技术规格中的响应与事实不符或虚假投标的；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（2）投标人复制</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的技术规格相关部分内容作为其</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的一部分；</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符合</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中规定废标的其它技术条款；</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有不符合</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要求的内容的；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（5）其他不符合</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重要参数的。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以下情形被视为投标无效；</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（1）未按规定提交投标保证金的投标；</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与</w:t>
      </w:r>
      <w:r>
        <w:rPr>
          <w:rFonts w:hint="eastAsia" w:ascii="宋体" w:hAnsi="宋体" w:cs="宋体"/>
          <w:color w:val="auto"/>
          <w:sz w:val="24"/>
          <w:szCs w:val="24"/>
          <w:highlight w:val="none"/>
          <w:lang w:eastAsia="zh-CN"/>
        </w:rPr>
        <w:t>磋商文件</w:t>
      </w:r>
      <w:r>
        <w:rPr>
          <w:rFonts w:hint="eastAsia" w:ascii="宋体" w:hAnsi="宋体" w:eastAsia="宋体" w:cs="宋体"/>
          <w:color w:val="auto"/>
          <w:sz w:val="24"/>
          <w:szCs w:val="24"/>
          <w:highlight w:val="none"/>
        </w:rPr>
        <w:t>有重大负偏离的；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（3）投标人拒绝修正错误的；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的关键内容字迹模糊，无法辨认的；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（5）投标有效期不足的；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（6）投标人的报价超出预算金额（或最高限价）的；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（7）其他违反相关法律法规规定的行为的；</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认为是其他应当否决的投标。</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下列任何情况发生时，投标保证金将不予退还，转为违约金：</w:t>
      </w:r>
    </w:p>
    <w:p>
      <w:pPr>
        <w:spacing w:line="44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投标人在投标截止期后，投标有效期内撤回投标；</w:t>
      </w:r>
    </w:p>
    <w:p>
      <w:pPr>
        <w:spacing w:line="44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标人在规定期限内未按规定</w:t>
      </w:r>
      <w:r>
        <w:rPr>
          <w:rFonts w:hint="eastAsia" w:ascii="宋体" w:hAnsi="宋体" w:eastAsia="宋体" w:cs="宋体"/>
          <w:color w:val="auto"/>
          <w:sz w:val="24"/>
          <w:szCs w:val="24"/>
          <w:highlight w:val="none"/>
          <w:lang w:val="en-US" w:eastAsia="zh-CN"/>
        </w:rPr>
        <w:t>未和招标人签订合同</w:t>
      </w:r>
      <w:r>
        <w:rPr>
          <w:rFonts w:hint="eastAsia" w:ascii="宋体" w:hAnsi="宋体" w:eastAsia="宋体" w:cs="宋体"/>
          <w:color w:val="auto"/>
          <w:sz w:val="24"/>
          <w:szCs w:val="24"/>
          <w:highlight w:val="none"/>
        </w:rPr>
        <w:t>；</w:t>
      </w:r>
    </w:p>
    <w:p>
      <w:pPr>
        <w:spacing w:line="44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中标方未按投标人须知规定缴纳招标代理费；</w:t>
      </w:r>
    </w:p>
    <w:p>
      <w:pPr>
        <w:spacing w:line="44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以他人名义投标或者以其他方式弄虚作假，骗取中标；</w:t>
      </w:r>
    </w:p>
    <w:p>
      <w:pPr>
        <w:spacing w:line="44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打架斗殴，扰乱标场秩序；</w:t>
      </w:r>
    </w:p>
    <w:p>
      <w:pPr>
        <w:spacing w:line="44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本</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中或《</w:t>
      </w:r>
      <w:r>
        <w:rPr>
          <w:rFonts w:hint="eastAsia" w:ascii="宋体" w:hAnsi="宋体" w:eastAsia="宋体" w:cs="宋体"/>
          <w:color w:val="auto"/>
          <w:sz w:val="24"/>
          <w:szCs w:val="24"/>
          <w:highlight w:val="none"/>
          <w:lang w:val="en-US" w:eastAsia="zh-CN"/>
        </w:rPr>
        <w:t>政府采购非招标采购方式管理办法</w:t>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二十</w:t>
      </w:r>
      <w:r>
        <w:rPr>
          <w:rFonts w:hint="eastAsia" w:ascii="宋体" w:hAnsi="宋体" w:eastAsia="宋体" w:cs="宋体"/>
          <w:color w:val="auto"/>
          <w:sz w:val="24"/>
          <w:szCs w:val="24"/>
          <w:highlight w:val="none"/>
        </w:rPr>
        <w:t>条规定的其他不予退还投标保证金的情形。</w:t>
      </w:r>
    </w:p>
    <w:p>
      <w:pPr>
        <w:spacing w:line="440" w:lineRule="exact"/>
        <w:ind w:firstLine="840" w:firstLineChars="3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上述不予退还投标保证金的情况并给招标代理机构造成损失的，还要承担赔偿责任。</w:t>
      </w:r>
      <w:bookmarkStart w:id="12" w:name="_Toc497239289"/>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10.9</w:t>
      </w:r>
      <w:r>
        <w:rPr>
          <w:rFonts w:hint="eastAsia" w:ascii="宋体" w:hAnsi="宋体" w:eastAsia="宋体" w:cs="宋体"/>
          <w:color w:val="auto"/>
          <w:sz w:val="24"/>
          <w:szCs w:val="24"/>
          <w:highlight w:val="none"/>
        </w:rPr>
        <w:t>有下列情形之一的，视为投标人串通投标，其投标无效：</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1</w:t>
      </w: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rPr>
        <w:t>同一项目中不同投标人的投标文件由同一单位或者个人编制，例如：不同单位的投标文件出自同一台电脑，或者出自同一把投标锁或计价锁：</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1.不同投标人的电子投标文件上传计算机的网卡MAC 地址、CPU 序列号和硬盘序列号等硬件信息均相同的（开标现场上传电子投标文件的除外）；</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2.不同投标人的组价工程最清单 XML 标准接口文件记录的计价软件加密锁序列号信总有一条及以上相同或出自同一电子文档的，或者记录的硬件信息中存在一条及以上的计算机网卡 MAG 地址（如有）、CPU 序列号和硬盘序列号等硬件信息均相同的：</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3.不同投标人的电子投标文件（已标价工程量清单 XML 电子文档除外）编制时的计算机硬件信息中存在一条及以上的计算机网卡 MAC 地址（奶有）、CPU序列号和硬盘序列号均相同的；</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 xml:space="preserve">4. 投标人递交的已标价工程量清单 </w:t>
      </w:r>
      <w:r>
        <w:rPr>
          <w:rFonts w:hint="eastAsia" w:ascii="宋体" w:hAnsi="宋体" w:cs="Times New Roman"/>
          <w:color w:val="auto"/>
          <w:sz w:val="24"/>
          <w:highlight w:val="none"/>
          <w:lang w:val="en-US" w:eastAsia="zh-CN"/>
        </w:rPr>
        <w:t>X</w:t>
      </w:r>
      <w:r>
        <w:rPr>
          <w:rFonts w:hint="eastAsia" w:ascii="宋体" w:hAnsi="宋体" w:cs="Times New Roman"/>
          <w:color w:val="auto"/>
          <w:sz w:val="24"/>
          <w:highlight w:val="none"/>
        </w:rPr>
        <w:t>ML 电子文档末按照规定记录软硬件信息的，或者记录的软硬件信息经电子招标投标交易平台认定被篡改的；</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5.不同投标人的投标文件经查重分析，内容异常一致或者实质性相同的；</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6.不同投标人的投标文件由同一投标人的附屈设备打印、复印的。</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(二）不同投标人委托同一单位或者个人办事投标車宜，例如：委托同一人办理同一项目投标的不同环节的；</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(三）不同投标人的投标文件载明的项目管理成员为同一人或同一单位；</w:t>
      </w:r>
    </w:p>
    <w:p>
      <w:pPr>
        <w:spacing w:line="360" w:lineRule="auto"/>
        <w:ind w:firstLine="720" w:firstLineChars="300"/>
        <w:rPr>
          <w:rFonts w:hint="eastAsia" w:ascii="宋体" w:hAnsi="宋体" w:cs="Times New Roman"/>
          <w:color w:val="auto"/>
          <w:sz w:val="24"/>
          <w:highlight w:val="none"/>
        </w:rPr>
      </w:pPr>
      <w:r>
        <w:rPr>
          <w:rFonts w:hint="eastAsia" w:ascii="宋体" w:hAnsi="宋体" w:cs="Times New Roman"/>
          <w:color w:val="auto"/>
          <w:sz w:val="24"/>
          <w:highlight w:val="none"/>
        </w:rPr>
        <w:t>（四）不同投标人的投标报价量规律性差异或者投标文件异常一致；</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(五）不同投标人的投标文件互相混装；</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（六）不同投标人的投标保证金从同一单位或个人的账户转出，或者不同投标人的投标保证金虽然经由投标人自己的基本账户转出，但所需的资金均是来自同一单位或个人的账户的；</w:t>
      </w:r>
    </w:p>
    <w:p>
      <w:pPr>
        <w:spacing w:line="360" w:lineRule="auto"/>
        <w:ind w:left="901"/>
        <w:rPr>
          <w:rFonts w:hint="eastAsia" w:ascii="宋体" w:hAnsi="宋体" w:cs="Times New Roman"/>
          <w:color w:val="auto"/>
          <w:sz w:val="24"/>
          <w:highlight w:val="none"/>
        </w:rPr>
      </w:pPr>
      <w:r>
        <w:rPr>
          <w:rFonts w:hint="eastAsia" w:ascii="宋体" w:hAnsi="宋体" w:cs="Times New Roman"/>
          <w:color w:val="auto"/>
          <w:sz w:val="24"/>
          <w:highlight w:val="none"/>
        </w:rPr>
        <w:t>(七）法律、法规、规章规定的串通投标的其他行为，</w:t>
      </w:r>
    </w:p>
    <w:p>
      <w:pPr>
        <w:pStyle w:val="2"/>
        <w:rPr>
          <w:rFonts w:hint="eastAsia"/>
          <w:color w:val="auto"/>
          <w:highlight w:val="none"/>
        </w:rPr>
      </w:pPr>
      <w:r>
        <w:rPr>
          <w:rFonts w:hint="eastAsia"/>
          <w:color w:val="auto"/>
          <w:highlight w:val="none"/>
          <w:lang w:val="en-US" w:eastAsia="zh-CN"/>
        </w:rPr>
        <w:t>10.10</w:t>
      </w:r>
      <w:r>
        <w:rPr>
          <w:rFonts w:hint="eastAsia" w:ascii="宋体" w:hAnsi="宋体" w:eastAsia="宋体" w:cs="宋体"/>
          <w:color w:val="auto"/>
          <w:sz w:val="24"/>
          <w:szCs w:val="24"/>
          <w:highlight w:val="none"/>
        </w:rPr>
        <w:t>投标人在本次招标活动中，必须遵守《中华人民共和国政府采购法》</w:t>
      </w:r>
      <w:r>
        <w:rPr>
          <w:rFonts w:hint="eastAsia" w:ascii="宋体" w:hAnsi="宋体" w:cs="宋体"/>
          <w:color w:val="auto"/>
          <w:sz w:val="24"/>
          <w:szCs w:val="24"/>
          <w:highlight w:val="none"/>
          <w:lang w:val="en-US" w:eastAsia="zh-CN"/>
        </w:rPr>
        <w:t>和《中华人民共和国招标投标法》</w:t>
      </w:r>
      <w:r>
        <w:rPr>
          <w:rFonts w:hint="eastAsia" w:ascii="宋体" w:hAnsi="宋体" w:eastAsia="宋体" w:cs="宋体"/>
          <w:color w:val="auto"/>
          <w:sz w:val="24"/>
          <w:szCs w:val="24"/>
          <w:highlight w:val="none"/>
        </w:rPr>
        <w:t>的规定。</w:t>
      </w:r>
    </w:p>
    <w:p>
      <w:pPr>
        <w:pStyle w:val="2"/>
        <w:rPr>
          <w:rFonts w:hint="eastAsia"/>
          <w:color w:val="auto"/>
          <w:highlight w:val="none"/>
          <w:lang w:val="en-US" w:eastAsia="zh-CN"/>
        </w:rPr>
      </w:pPr>
    </w:p>
    <w:p>
      <w:pPr>
        <w:spacing w:line="440" w:lineRule="exact"/>
        <w:ind w:firstLine="480"/>
        <w:jc w:val="center"/>
        <w:outlineLvl w:val="1"/>
        <w:rPr>
          <w:rFonts w:ascii="宋体" w:hAnsi="宋体"/>
          <w:b/>
          <w:color w:val="auto"/>
          <w:sz w:val="32"/>
          <w:szCs w:val="32"/>
          <w:highlight w:val="none"/>
        </w:rPr>
      </w:pPr>
      <w:r>
        <w:rPr>
          <w:rFonts w:hint="eastAsia" w:ascii="宋体" w:hAnsi="宋体"/>
          <w:b/>
          <w:color w:val="auto"/>
          <w:sz w:val="32"/>
          <w:szCs w:val="32"/>
          <w:highlight w:val="none"/>
          <w:lang w:val="en-US" w:eastAsia="zh-CN"/>
        </w:rPr>
        <w:t>第三章 投标文件</w:t>
      </w:r>
      <w:r>
        <w:rPr>
          <w:rFonts w:hint="eastAsia" w:ascii="宋体" w:hAnsi="宋体"/>
          <w:b/>
          <w:color w:val="auto"/>
          <w:sz w:val="32"/>
          <w:szCs w:val="32"/>
          <w:highlight w:val="none"/>
        </w:rPr>
        <w:t>的递交</w:t>
      </w:r>
      <w:bookmarkEnd w:id="12"/>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1</w:t>
      </w:r>
      <w:r>
        <w:rPr>
          <w:rFonts w:hint="eastAsia" w:ascii="宋体" w:hAnsi="宋体"/>
          <w:b/>
          <w:color w:val="auto"/>
          <w:sz w:val="24"/>
          <w:szCs w:val="24"/>
          <w:highlight w:val="none"/>
        </w:rPr>
        <w:t>1</w:t>
      </w:r>
      <w:r>
        <w:rPr>
          <w:rFonts w:ascii="宋体" w:hAnsi="宋体"/>
          <w:b/>
          <w:color w:val="auto"/>
          <w:sz w:val="24"/>
          <w:szCs w:val="24"/>
          <w:highlight w:val="none"/>
        </w:rPr>
        <w:t xml:space="preserve">. </w:t>
      </w:r>
      <w:r>
        <w:rPr>
          <w:rFonts w:hint="eastAsia" w:ascii="宋体" w:hAnsi="宋体"/>
          <w:b/>
          <w:color w:val="auto"/>
          <w:sz w:val="24"/>
          <w:szCs w:val="24"/>
          <w:highlight w:val="none"/>
          <w:lang w:val="en-US" w:eastAsia="zh-CN"/>
        </w:rPr>
        <w:t>投标文件</w:t>
      </w:r>
      <w:r>
        <w:rPr>
          <w:rFonts w:hint="eastAsia" w:ascii="宋体" w:hAnsi="宋体"/>
          <w:b/>
          <w:color w:val="auto"/>
          <w:sz w:val="24"/>
          <w:szCs w:val="24"/>
          <w:highlight w:val="none"/>
        </w:rPr>
        <w:t>的标记</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1</w:t>
      </w:r>
      <w:r>
        <w:rPr>
          <w:rFonts w:ascii="宋体" w:hAnsi="宋体"/>
          <w:color w:val="auto"/>
          <w:sz w:val="24"/>
          <w:szCs w:val="24"/>
          <w:highlight w:val="none"/>
        </w:rPr>
        <w:t>.1</w:t>
      </w:r>
      <w:r>
        <w:rPr>
          <w:rFonts w:hint="eastAsia" w:ascii="宋体" w:hAnsi="宋体"/>
          <w:color w:val="auto"/>
          <w:sz w:val="24"/>
          <w:szCs w:val="24"/>
          <w:highlight w:val="none"/>
        </w:rPr>
        <w:t>　任何不完整或不满足</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要求的</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将被拒绝。</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1</w:t>
      </w:r>
      <w:r>
        <w:rPr>
          <w:rFonts w:ascii="宋体" w:hAnsi="宋体"/>
          <w:color w:val="auto"/>
          <w:sz w:val="24"/>
          <w:szCs w:val="24"/>
          <w:highlight w:val="none"/>
        </w:rPr>
        <w:t>.2</w:t>
      </w:r>
      <w:r>
        <w:rPr>
          <w:rFonts w:hint="eastAsia" w:ascii="宋体" w:hAnsi="宋体"/>
          <w:color w:val="auto"/>
          <w:sz w:val="24"/>
          <w:szCs w:val="24"/>
          <w:highlight w:val="none"/>
        </w:rPr>
        <w:t>　由于不可抗拒原因或无法控制的事件而导致的丢失或损坏投标包装体内的</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时，招标方将不负责任。</w:t>
      </w:r>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1</w:t>
      </w:r>
      <w:r>
        <w:rPr>
          <w:rFonts w:hint="eastAsia" w:ascii="宋体" w:hAnsi="宋体"/>
          <w:b/>
          <w:color w:val="auto"/>
          <w:sz w:val="24"/>
          <w:szCs w:val="24"/>
          <w:highlight w:val="none"/>
        </w:rPr>
        <w:t>2</w:t>
      </w:r>
      <w:r>
        <w:rPr>
          <w:rFonts w:ascii="宋体" w:hAnsi="宋体"/>
          <w:b/>
          <w:color w:val="auto"/>
          <w:sz w:val="24"/>
          <w:szCs w:val="24"/>
          <w:highlight w:val="none"/>
        </w:rPr>
        <w:t xml:space="preserve">. </w:t>
      </w:r>
      <w:r>
        <w:rPr>
          <w:rFonts w:hint="eastAsia" w:ascii="宋体" w:hAnsi="宋体"/>
          <w:b/>
          <w:color w:val="auto"/>
          <w:sz w:val="24"/>
          <w:szCs w:val="24"/>
          <w:highlight w:val="none"/>
        </w:rPr>
        <w:t>投标截止时间</w:t>
      </w:r>
    </w:p>
    <w:p>
      <w:pPr>
        <w:widowControl w:val="0"/>
        <w:pBdr>
          <w:top w:val="none" w:color="auto" w:sz="0" w:space="1"/>
          <w:left w:val="none" w:color="auto" w:sz="0" w:space="4"/>
          <w:bottom w:val="none" w:color="auto" w:sz="0" w:space="1"/>
          <w:right w:val="none" w:color="auto" w:sz="0" w:space="4"/>
          <w:between w:val="none" w:color="auto" w:sz="0" w:space="0"/>
        </w:pBdr>
        <w:spacing w:line="440" w:lineRule="exact"/>
        <w:ind w:firstLine="480" w:firstLineChars="200"/>
        <w:jc w:val="both"/>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2</w:t>
      </w:r>
      <w:r>
        <w:rPr>
          <w:rFonts w:ascii="宋体" w:hAnsi="宋体"/>
          <w:color w:val="auto"/>
          <w:sz w:val="24"/>
          <w:szCs w:val="24"/>
          <w:highlight w:val="none"/>
        </w:rPr>
        <w:t xml:space="preserve">.1  </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的递交不得迟于</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规定的截止时间，以密封形式递交至指定开标</w:t>
      </w:r>
      <w:r>
        <w:rPr>
          <w:rFonts w:hint="eastAsia" w:ascii="宋体" w:hAnsi="宋体"/>
          <w:color w:val="auto"/>
          <w:sz w:val="24"/>
          <w:szCs w:val="24"/>
          <w:highlight w:val="none"/>
          <w:lang w:eastAsia="zh-CN"/>
        </w:rPr>
        <w:t>地址</w:t>
      </w:r>
      <w:r>
        <w:rPr>
          <w:rFonts w:hint="eastAsia" w:ascii="宋体" w:hAnsi="宋体"/>
          <w:color w:val="auto"/>
          <w:sz w:val="24"/>
          <w:szCs w:val="24"/>
          <w:highlight w:val="none"/>
        </w:rPr>
        <w:t>。</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2</w:t>
      </w:r>
      <w:r>
        <w:rPr>
          <w:rFonts w:ascii="宋体" w:hAnsi="宋体"/>
          <w:color w:val="auto"/>
          <w:sz w:val="24"/>
          <w:szCs w:val="24"/>
          <w:highlight w:val="none"/>
        </w:rPr>
        <w:t>.2</w:t>
      </w:r>
      <w:r>
        <w:rPr>
          <w:rFonts w:hint="eastAsia" w:ascii="宋体" w:hAnsi="宋体"/>
          <w:color w:val="auto"/>
          <w:sz w:val="24"/>
          <w:szCs w:val="24"/>
          <w:highlight w:val="none"/>
        </w:rPr>
        <w:t>　所有</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不论派人送交还是通过邮寄的方式递交，都必须在招标方规定的投标截止时间之前送达</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指定</w:t>
      </w:r>
      <w:r>
        <w:rPr>
          <w:rFonts w:hint="eastAsia" w:ascii="宋体" w:hAnsi="宋体"/>
          <w:color w:val="auto"/>
          <w:sz w:val="24"/>
          <w:szCs w:val="24"/>
          <w:highlight w:val="none"/>
          <w:lang w:eastAsia="zh-CN"/>
        </w:rPr>
        <w:t>地址</w:t>
      </w:r>
      <w:r>
        <w:rPr>
          <w:rFonts w:hint="eastAsia" w:ascii="宋体" w:hAnsi="宋体"/>
          <w:color w:val="auto"/>
          <w:sz w:val="24"/>
          <w:szCs w:val="24"/>
          <w:highlight w:val="none"/>
        </w:rPr>
        <w:t>，在此之后送达的</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，为无效投标，</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将一律被拒绝。</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2</w:t>
      </w:r>
      <w:r>
        <w:rPr>
          <w:rFonts w:ascii="宋体" w:hAnsi="宋体"/>
          <w:color w:val="auto"/>
          <w:sz w:val="24"/>
          <w:szCs w:val="24"/>
          <w:highlight w:val="none"/>
        </w:rPr>
        <w:t xml:space="preserve">.3  </w:t>
      </w:r>
      <w:r>
        <w:rPr>
          <w:rFonts w:hint="eastAsia" w:ascii="宋体" w:hAnsi="宋体"/>
          <w:color w:val="auto"/>
          <w:sz w:val="24"/>
          <w:szCs w:val="24"/>
          <w:highlight w:val="none"/>
        </w:rPr>
        <w:t>出现因</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的修改而推迟投标截止时间的情况时，投标人则需按招标方的书面修改通知重新规定的投标时间递交。</w:t>
      </w:r>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1</w:t>
      </w:r>
      <w:r>
        <w:rPr>
          <w:rFonts w:hint="eastAsia" w:ascii="宋体" w:hAnsi="宋体"/>
          <w:b/>
          <w:color w:val="auto"/>
          <w:sz w:val="24"/>
          <w:szCs w:val="24"/>
          <w:highlight w:val="none"/>
        </w:rPr>
        <w:t>3</w:t>
      </w:r>
      <w:r>
        <w:rPr>
          <w:rFonts w:ascii="宋体" w:hAnsi="宋体"/>
          <w:b/>
          <w:color w:val="auto"/>
          <w:sz w:val="24"/>
          <w:szCs w:val="24"/>
          <w:highlight w:val="none"/>
        </w:rPr>
        <w:t xml:space="preserve">. </w:t>
      </w:r>
      <w:r>
        <w:rPr>
          <w:rFonts w:hint="eastAsia" w:ascii="宋体" w:hAnsi="宋体"/>
          <w:b/>
          <w:color w:val="auto"/>
          <w:sz w:val="24"/>
          <w:szCs w:val="24"/>
          <w:highlight w:val="none"/>
          <w:lang w:val="en-US" w:eastAsia="zh-CN"/>
        </w:rPr>
        <w:t>投标文件</w:t>
      </w:r>
      <w:r>
        <w:rPr>
          <w:rFonts w:hint="eastAsia" w:ascii="宋体" w:hAnsi="宋体"/>
          <w:b/>
          <w:color w:val="auto"/>
          <w:sz w:val="24"/>
          <w:szCs w:val="24"/>
          <w:highlight w:val="none"/>
        </w:rPr>
        <w:t>的修改和撤销</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3</w:t>
      </w:r>
      <w:r>
        <w:rPr>
          <w:rFonts w:ascii="宋体" w:hAnsi="宋体"/>
          <w:color w:val="auto"/>
          <w:sz w:val="24"/>
          <w:szCs w:val="24"/>
          <w:highlight w:val="none"/>
        </w:rPr>
        <w:t>.1</w:t>
      </w:r>
      <w:r>
        <w:rPr>
          <w:rFonts w:hint="eastAsia" w:ascii="宋体" w:hAnsi="宋体"/>
          <w:color w:val="auto"/>
          <w:sz w:val="24"/>
          <w:szCs w:val="24"/>
          <w:highlight w:val="none"/>
        </w:rPr>
        <w:t>　投标人在递交</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后，可在规定的投标截止时间之前，对其</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以书面通知的形式进行修改或撤消。该通知须有投标人的法人代表或其委托代理人的签字，并得到招标方的确认。</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3</w:t>
      </w:r>
      <w:r>
        <w:rPr>
          <w:rFonts w:ascii="宋体" w:hAnsi="宋体"/>
          <w:color w:val="auto"/>
          <w:sz w:val="24"/>
          <w:szCs w:val="24"/>
          <w:highlight w:val="none"/>
        </w:rPr>
        <w:t xml:space="preserve">.2  </w:t>
      </w:r>
      <w:r>
        <w:rPr>
          <w:rFonts w:hint="eastAsia" w:ascii="宋体" w:hAnsi="宋体"/>
          <w:color w:val="auto"/>
          <w:sz w:val="24"/>
          <w:szCs w:val="24"/>
          <w:highlight w:val="none"/>
        </w:rPr>
        <w:t>投标人对</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修改的书面材料或撤消通知应按</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要求进行密封、标注和递交，并注明“修改</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”或“撤消投标”字样，修改或撤销的内容须按</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的要求签署、盖章，并作为</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的组成部分。</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3</w:t>
      </w:r>
      <w:r>
        <w:rPr>
          <w:rFonts w:ascii="宋体" w:hAnsi="宋体"/>
          <w:color w:val="auto"/>
          <w:sz w:val="24"/>
          <w:szCs w:val="24"/>
          <w:highlight w:val="none"/>
        </w:rPr>
        <w:t>.3</w:t>
      </w:r>
      <w:r>
        <w:rPr>
          <w:rFonts w:hint="eastAsia" w:ascii="宋体" w:hAnsi="宋体"/>
          <w:color w:val="auto"/>
          <w:sz w:val="24"/>
          <w:szCs w:val="24"/>
          <w:highlight w:val="none"/>
        </w:rPr>
        <w:t>　对</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修改的书面材料应于投标截止日前送达招标方，投标截止时间以后不得修改</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w:t>
      </w:r>
    </w:p>
    <w:p>
      <w:pPr>
        <w:spacing w:line="440" w:lineRule="exact"/>
        <w:ind w:firstLine="480" w:firstLineChars="200"/>
        <w:rPr>
          <w:rFonts w:hint="eastAsia"/>
          <w:color w:val="auto"/>
          <w:highlight w:val="none"/>
          <w:lang w:val="en-US" w:eastAsia="zh-CN"/>
        </w:rPr>
      </w:pPr>
      <w:r>
        <w:rPr>
          <w:rFonts w:ascii="宋体" w:hAnsi="宋体"/>
          <w:color w:val="auto"/>
          <w:sz w:val="24"/>
          <w:szCs w:val="24"/>
          <w:highlight w:val="none"/>
        </w:rPr>
        <w:t>1</w:t>
      </w:r>
      <w:r>
        <w:rPr>
          <w:rFonts w:hint="eastAsia" w:ascii="宋体" w:hAnsi="宋体"/>
          <w:color w:val="auto"/>
          <w:sz w:val="24"/>
          <w:szCs w:val="24"/>
          <w:highlight w:val="none"/>
        </w:rPr>
        <w:t>3</w:t>
      </w:r>
      <w:r>
        <w:rPr>
          <w:rFonts w:ascii="宋体" w:hAnsi="宋体"/>
          <w:color w:val="auto"/>
          <w:sz w:val="24"/>
          <w:szCs w:val="24"/>
          <w:highlight w:val="none"/>
        </w:rPr>
        <w:t xml:space="preserve">.4  </w:t>
      </w:r>
      <w:r>
        <w:rPr>
          <w:rFonts w:hint="eastAsia" w:ascii="宋体" w:hAnsi="宋体"/>
          <w:color w:val="auto"/>
          <w:sz w:val="24"/>
          <w:szCs w:val="24"/>
          <w:highlight w:val="none"/>
        </w:rPr>
        <w:t>投标人不得在开标后至投标有效期期满前撤销</w:t>
      </w:r>
      <w:r>
        <w:rPr>
          <w:rFonts w:hint="eastAsia" w:ascii="宋体" w:hAnsi="宋体"/>
          <w:color w:val="auto"/>
          <w:sz w:val="24"/>
          <w:szCs w:val="24"/>
          <w:highlight w:val="none"/>
          <w:lang w:val="en-US" w:eastAsia="zh-CN"/>
        </w:rPr>
        <w:t>投标文件</w:t>
      </w:r>
      <w:r>
        <w:rPr>
          <w:rFonts w:hint="eastAsia" w:ascii="宋体" w:hAnsi="宋体"/>
          <w:color w:val="auto"/>
          <w:sz w:val="24"/>
          <w:szCs w:val="24"/>
          <w:highlight w:val="none"/>
        </w:rPr>
        <w:t>，否则招标方将不予退还其投标保证金。</w:t>
      </w:r>
    </w:p>
    <w:p>
      <w:pPr>
        <w:spacing w:line="440" w:lineRule="exact"/>
        <w:ind w:firstLine="482" w:firstLineChars="150"/>
        <w:jc w:val="center"/>
        <w:outlineLvl w:val="1"/>
        <w:rPr>
          <w:rFonts w:hint="default" w:ascii="宋体" w:hAnsi="宋体" w:eastAsia="宋体"/>
          <w:color w:val="auto"/>
          <w:sz w:val="24"/>
          <w:highlight w:val="none"/>
          <w:lang w:val="en-US" w:eastAsia="zh-CN"/>
        </w:rPr>
      </w:pPr>
      <w:r>
        <w:rPr>
          <w:rFonts w:hint="eastAsia" w:ascii="宋体" w:hAnsi="宋体"/>
          <w:b/>
          <w:color w:val="auto"/>
          <w:sz w:val="32"/>
          <w:szCs w:val="32"/>
          <w:highlight w:val="none"/>
          <w:lang w:val="en-US" w:eastAsia="zh-CN"/>
        </w:rPr>
        <w:t>第四章 磋商小组</w:t>
      </w:r>
    </w:p>
    <w:p>
      <w:pPr>
        <w:spacing w:line="440" w:lineRule="exact"/>
        <w:ind w:left="481" w:leftChars="229"/>
        <w:rPr>
          <w:rFonts w:hint="eastAsia" w:ascii="宋体" w:hAnsi="宋体" w:eastAsia="宋体"/>
          <w:b/>
          <w:color w:val="auto"/>
          <w:sz w:val="24"/>
          <w:szCs w:val="24"/>
          <w:highlight w:val="none"/>
          <w:lang w:eastAsia="zh-CN"/>
        </w:rPr>
      </w:pPr>
      <w:r>
        <w:rPr>
          <w:rFonts w:ascii="宋体" w:hAnsi="宋体"/>
          <w:b/>
          <w:color w:val="auto"/>
          <w:sz w:val="24"/>
          <w:szCs w:val="24"/>
          <w:highlight w:val="none"/>
        </w:rPr>
        <w:t>1</w:t>
      </w:r>
      <w:r>
        <w:rPr>
          <w:rFonts w:hint="eastAsia" w:ascii="宋体" w:hAnsi="宋体"/>
          <w:b/>
          <w:color w:val="auto"/>
          <w:sz w:val="24"/>
          <w:szCs w:val="24"/>
          <w:highlight w:val="none"/>
        </w:rPr>
        <w:t>4</w:t>
      </w:r>
      <w:r>
        <w:rPr>
          <w:rFonts w:ascii="宋体" w:hAnsi="宋体"/>
          <w:b/>
          <w:color w:val="auto"/>
          <w:sz w:val="24"/>
          <w:szCs w:val="24"/>
          <w:highlight w:val="none"/>
        </w:rPr>
        <w:t xml:space="preserve">. </w:t>
      </w:r>
      <w:r>
        <w:rPr>
          <w:rFonts w:hint="eastAsia" w:ascii="宋体" w:hAnsi="宋体"/>
          <w:b/>
          <w:color w:val="auto"/>
          <w:sz w:val="24"/>
          <w:szCs w:val="24"/>
          <w:highlight w:val="none"/>
          <w:lang w:val="en-US" w:eastAsia="zh-CN"/>
        </w:rPr>
        <w:t>磋商小组</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 xml:space="preserve">.1  </w:t>
      </w:r>
      <w:r>
        <w:rPr>
          <w:rFonts w:hint="eastAsia" w:ascii="宋体" w:hAnsi="宋体"/>
          <w:color w:val="auto"/>
          <w:spacing w:val="-2"/>
          <w:sz w:val="24"/>
          <w:szCs w:val="24"/>
          <w:highlight w:val="none"/>
        </w:rPr>
        <w:t>招标方将根据《中华人民共和国政府采购法》和《中华人民共和国招投标法》，依法组建本次</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，负责本次招标的评标活动。</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负责向招标方推荐一至三名中标候选人，并标明排列顺序。</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.2</w:t>
      </w:r>
      <w:r>
        <w:rPr>
          <w:rFonts w:hint="eastAsia" w:ascii="宋体" w:hAnsi="宋体"/>
          <w:color w:val="auto"/>
          <w:spacing w:val="-2"/>
          <w:sz w:val="24"/>
          <w:szCs w:val="24"/>
          <w:highlight w:val="none"/>
        </w:rPr>
        <w:t>　</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人选于开标前确定。</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成员名单在中标结果确定前保密。</w:t>
      </w:r>
    </w:p>
    <w:p>
      <w:pPr>
        <w:spacing w:line="440" w:lineRule="exact"/>
        <w:ind w:firstLine="472" w:firstLineChars="200"/>
        <w:rPr>
          <w:rFonts w:hint="eastAsia" w:ascii="宋体" w:hAnsi="宋体" w:eastAsia="宋体"/>
          <w:color w:val="auto"/>
          <w:spacing w:val="-2"/>
          <w:sz w:val="24"/>
          <w:szCs w:val="24"/>
          <w:highlight w:val="none"/>
          <w:lang w:val="en-US" w:eastAsia="zh-CN"/>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 xml:space="preserve">.3  </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由有关技术、经济等方面的</w:t>
      </w:r>
      <w:r>
        <w:rPr>
          <w:rFonts w:hint="eastAsia" w:ascii="宋体" w:hAnsi="宋体"/>
          <w:color w:val="auto"/>
          <w:spacing w:val="-2"/>
          <w:sz w:val="24"/>
          <w:szCs w:val="24"/>
          <w:highlight w:val="none"/>
          <w:lang w:val="en-US" w:eastAsia="zh-CN"/>
        </w:rPr>
        <w:t>3</w:t>
      </w:r>
      <w:r>
        <w:rPr>
          <w:rFonts w:hint="eastAsia" w:ascii="宋体" w:hAnsi="宋体"/>
          <w:color w:val="auto"/>
          <w:spacing w:val="-2"/>
          <w:sz w:val="24"/>
          <w:szCs w:val="24"/>
          <w:highlight w:val="none"/>
        </w:rPr>
        <w:t>名专家组成</w:t>
      </w:r>
      <w:r>
        <w:rPr>
          <w:rFonts w:hint="eastAsia" w:ascii="宋体" w:hAnsi="宋体"/>
          <w:color w:val="auto"/>
          <w:spacing w:val="-2"/>
          <w:sz w:val="24"/>
          <w:szCs w:val="24"/>
          <w:highlight w:val="none"/>
          <w:lang w:eastAsia="zh-CN"/>
        </w:rPr>
        <w:t>。</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 xml:space="preserve">.4  </w:t>
      </w:r>
      <w:r>
        <w:rPr>
          <w:rFonts w:hint="eastAsia" w:ascii="宋体" w:hAnsi="宋体"/>
          <w:color w:val="auto"/>
          <w:spacing w:val="-2"/>
          <w:sz w:val="24"/>
          <w:szCs w:val="24"/>
          <w:highlight w:val="none"/>
        </w:rPr>
        <w:t>按前款规定，</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的成员，由</w:t>
      </w:r>
      <w:r>
        <w:rPr>
          <w:rFonts w:hint="eastAsia" w:ascii="宋体" w:hAnsi="宋体"/>
          <w:color w:val="auto"/>
          <w:spacing w:val="-2"/>
          <w:sz w:val="24"/>
          <w:szCs w:val="24"/>
          <w:highlight w:val="none"/>
          <w:lang w:val="en-US" w:eastAsia="zh-CN"/>
        </w:rPr>
        <w:t>招标代理机构</w:t>
      </w:r>
      <w:r>
        <w:rPr>
          <w:rFonts w:hint="eastAsia" w:ascii="宋体" w:hAnsi="宋体"/>
          <w:color w:val="auto"/>
          <w:spacing w:val="-2"/>
          <w:sz w:val="24"/>
          <w:szCs w:val="24"/>
          <w:highlight w:val="none"/>
        </w:rPr>
        <w:t>从</w:t>
      </w:r>
      <w:r>
        <w:rPr>
          <w:rFonts w:hint="eastAsia" w:ascii="宋体" w:hAnsi="宋体"/>
          <w:color w:val="auto"/>
          <w:spacing w:val="-2"/>
          <w:sz w:val="24"/>
          <w:szCs w:val="24"/>
          <w:highlight w:val="none"/>
          <w:lang w:val="en-US" w:eastAsia="zh-CN"/>
        </w:rPr>
        <w:t>政采云</w:t>
      </w:r>
      <w:r>
        <w:rPr>
          <w:rFonts w:hint="eastAsia" w:ascii="宋体" w:hAnsi="宋体"/>
          <w:color w:val="auto"/>
          <w:spacing w:val="-2"/>
          <w:sz w:val="24"/>
          <w:szCs w:val="24"/>
          <w:highlight w:val="none"/>
        </w:rPr>
        <w:t>专家库采取随机抽取的方式确定。对于技术复杂、专业性要求较高或者国家有特殊要求的招标项目，采取随机抽取的方式抽取的专家不能满足评标工作需要时，将采取直接确定的方式选定</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的人选。</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.5</w:t>
      </w:r>
      <w:r>
        <w:rPr>
          <w:rFonts w:hint="eastAsia" w:ascii="宋体" w:hAnsi="宋体"/>
          <w:color w:val="auto"/>
          <w:spacing w:val="-2"/>
          <w:sz w:val="24"/>
          <w:szCs w:val="24"/>
          <w:highlight w:val="none"/>
        </w:rPr>
        <w:t>　评标专家的条件和回避规定。</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.5.1</w:t>
      </w:r>
      <w:r>
        <w:rPr>
          <w:rFonts w:hint="eastAsia" w:ascii="宋体" w:hAnsi="宋体"/>
          <w:color w:val="auto"/>
          <w:spacing w:val="-2"/>
          <w:sz w:val="24"/>
          <w:szCs w:val="24"/>
          <w:highlight w:val="none"/>
        </w:rPr>
        <w:t>　评标专家应符合下列条件：</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w:t>
      </w:r>
      <w:r>
        <w:rPr>
          <w:rFonts w:hint="eastAsia" w:ascii="宋体" w:hAnsi="宋体"/>
          <w:color w:val="auto"/>
          <w:spacing w:val="-2"/>
          <w:sz w:val="24"/>
          <w:szCs w:val="24"/>
          <w:highlight w:val="none"/>
        </w:rPr>
        <w:t>熟悉有关政府采购和招标投标的法律法规；</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w:t>
      </w:r>
      <w:r>
        <w:rPr>
          <w:rFonts w:hint="eastAsia" w:ascii="宋体" w:hAnsi="宋体"/>
          <w:color w:val="auto"/>
          <w:spacing w:val="-2"/>
          <w:sz w:val="24"/>
          <w:szCs w:val="24"/>
          <w:highlight w:val="none"/>
        </w:rPr>
        <w:t>在相关专业领域工作满八年并具有高级职称或者同等专业水平；</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w:t>
      </w:r>
      <w:r>
        <w:rPr>
          <w:rFonts w:hint="eastAsia" w:ascii="宋体" w:hAnsi="宋体"/>
          <w:color w:val="auto"/>
          <w:spacing w:val="-2"/>
          <w:sz w:val="24"/>
          <w:szCs w:val="24"/>
          <w:highlight w:val="none"/>
        </w:rPr>
        <w:t>具有与招标项目相关的实践经验；</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olor w:val="auto"/>
          <w:sz w:val="24"/>
          <w:szCs w:val="24"/>
          <w:highlight w:val="none"/>
        </w:rPr>
        <w:t>）</w:t>
      </w:r>
      <w:r>
        <w:rPr>
          <w:rFonts w:hint="eastAsia" w:ascii="宋体" w:hAnsi="宋体"/>
          <w:color w:val="auto"/>
          <w:spacing w:val="-2"/>
          <w:sz w:val="24"/>
          <w:szCs w:val="24"/>
          <w:highlight w:val="none"/>
        </w:rPr>
        <w:t>能够认真、公正、诚实、廉洁的履行职责。</w:t>
      </w:r>
    </w:p>
    <w:p>
      <w:pPr>
        <w:spacing w:line="440" w:lineRule="exact"/>
        <w:ind w:left="474" w:leftChars="224" w:hanging="4" w:hangingChars="2"/>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 xml:space="preserve">.5.2  </w:t>
      </w:r>
      <w:r>
        <w:rPr>
          <w:rFonts w:hint="eastAsia" w:ascii="宋体" w:hAnsi="宋体"/>
          <w:color w:val="auto"/>
          <w:spacing w:val="-2"/>
          <w:sz w:val="24"/>
          <w:szCs w:val="24"/>
          <w:highlight w:val="none"/>
        </w:rPr>
        <w:t>有下列情形之一的，不得担任</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成员：</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w:t>
      </w:r>
      <w:r>
        <w:rPr>
          <w:rFonts w:hint="eastAsia" w:ascii="宋体" w:hAnsi="宋体"/>
          <w:color w:val="auto"/>
          <w:spacing w:val="-2"/>
          <w:sz w:val="24"/>
          <w:szCs w:val="24"/>
          <w:highlight w:val="none"/>
        </w:rPr>
        <w:t>与投标人或者投标人主要负责人有近亲关系的；</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w:t>
      </w:r>
      <w:r>
        <w:rPr>
          <w:rFonts w:hint="eastAsia" w:ascii="宋体" w:hAnsi="宋体"/>
          <w:color w:val="auto"/>
          <w:spacing w:val="-2"/>
          <w:sz w:val="24"/>
          <w:szCs w:val="24"/>
          <w:highlight w:val="none"/>
        </w:rPr>
        <w:t>与项目主管部门或者行政监督部门的人员有近亲关系的；</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w:t>
      </w:r>
      <w:r>
        <w:rPr>
          <w:rFonts w:hint="eastAsia" w:ascii="宋体" w:hAnsi="宋体"/>
          <w:color w:val="auto"/>
          <w:spacing w:val="-2"/>
          <w:sz w:val="24"/>
          <w:szCs w:val="24"/>
          <w:highlight w:val="none"/>
        </w:rPr>
        <w:t>与投标人有经济利益关系，可能影响对投标公正评审的；</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olor w:val="auto"/>
          <w:sz w:val="24"/>
          <w:szCs w:val="24"/>
          <w:highlight w:val="none"/>
        </w:rPr>
        <w:t>）</w:t>
      </w:r>
      <w:r>
        <w:rPr>
          <w:rFonts w:hint="eastAsia" w:ascii="宋体" w:hAnsi="宋体"/>
          <w:color w:val="auto"/>
          <w:spacing w:val="-2"/>
          <w:sz w:val="24"/>
          <w:szCs w:val="24"/>
          <w:highlight w:val="none"/>
        </w:rPr>
        <w:t>曾因在招标、评标以及其他与招标投标有关活动中从事违法行为而受过行政处罚或刑事处罚的。</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成员有前款规定情形之一的，应当主动提出回避。</w:t>
      </w:r>
    </w:p>
    <w:p>
      <w:pPr>
        <w:spacing w:line="440" w:lineRule="exact"/>
        <w:ind w:firstLine="480" w:firstLineChars="200"/>
        <w:rPr>
          <w:rFonts w:ascii="宋体" w:hAnsi="宋体"/>
          <w:color w:val="auto"/>
          <w:spacing w:val="-2"/>
          <w:sz w:val="24"/>
          <w:szCs w:val="24"/>
          <w:highlight w:val="none"/>
        </w:rPr>
      </w:pPr>
      <w:r>
        <w:rPr>
          <w:rFonts w:ascii="宋体" w:hAnsi="宋体"/>
          <w:bCs/>
          <w:color w:val="auto"/>
          <w:sz w:val="24"/>
          <w:szCs w:val="24"/>
          <w:highlight w:val="none"/>
        </w:rPr>
        <w:t>1</w:t>
      </w:r>
      <w:r>
        <w:rPr>
          <w:rFonts w:hint="eastAsia" w:ascii="宋体" w:hAnsi="宋体"/>
          <w:bCs/>
          <w:color w:val="auto"/>
          <w:sz w:val="24"/>
          <w:szCs w:val="24"/>
          <w:highlight w:val="none"/>
        </w:rPr>
        <w:t>4</w:t>
      </w:r>
      <w:r>
        <w:rPr>
          <w:rFonts w:ascii="宋体" w:hAnsi="宋体"/>
          <w:bCs/>
          <w:color w:val="auto"/>
          <w:sz w:val="24"/>
          <w:szCs w:val="24"/>
          <w:highlight w:val="none"/>
        </w:rPr>
        <w:t>.6</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成员应当熟悉并认真研究</w:t>
      </w:r>
      <w:r>
        <w:rPr>
          <w:rFonts w:hint="eastAsia" w:ascii="宋体" w:hAnsi="宋体"/>
          <w:color w:val="auto"/>
          <w:spacing w:val="-2"/>
          <w:sz w:val="24"/>
          <w:szCs w:val="24"/>
          <w:highlight w:val="none"/>
          <w:lang w:val="en-US" w:eastAsia="zh-CN"/>
        </w:rPr>
        <w:t>磋商文件</w:t>
      </w:r>
      <w:r>
        <w:rPr>
          <w:rFonts w:hint="eastAsia" w:ascii="宋体" w:hAnsi="宋体"/>
          <w:color w:val="auto"/>
          <w:spacing w:val="-2"/>
          <w:sz w:val="24"/>
          <w:szCs w:val="24"/>
          <w:highlight w:val="none"/>
        </w:rPr>
        <w:t>，至少应了解和熟悉以下内容：</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1</w:t>
      </w:r>
      <w:r>
        <w:rPr>
          <w:rFonts w:hint="eastAsia" w:ascii="宋体" w:hAnsi="宋体"/>
          <w:color w:val="auto"/>
          <w:sz w:val="24"/>
          <w:szCs w:val="24"/>
          <w:highlight w:val="none"/>
        </w:rPr>
        <w:t>）</w:t>
      </w:r>
      <w:r>
        <w:rPr>
          <w:rFonts w:hint="eastAsia" w:ascii="宋体" w:hAnsi="宋体"/>
          <w:color w:val="auto"/>
          <w:spacing w:val="-2"/>
          <w:sz w:val="24"/>
          <w:szCs w:val="24"/>
          <w:highlight w:val="none"/>
        </w:rPr>
        <w:t>招标目的；</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w:t>
      </w:r>
      <w:r>
        <w:rPr>
          <w:rFonts w:hint="eastAsia" w:ascii="宋体" w:hAnsi="宋体"/>
          <w:color w:val="auto"/>
          <w:spacing w:val="-2"/>
          <w:sz w:val="24"/>
          <w:szCs w:val="24"/>
          <w:highlight w:val="none"/>
        </w:rPr>
        <w:t>招标项目的范围、性质；</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w:t>
      </w:r>
      <w:r>
        <w:rPr>
          <w:rFonts w:hint="eastAsia" w:ascii="宋体" w:hAnsi="宋体"/>
          <w:color w:val="auto"/>
          <w:spacing w:val="-2"/>
          <w:sz w:val="24"/>
          <w:szCs w:val="24"/>
          <w:highlight w:val="none"/>
          <w:lang w:val="en-US" w:eastAsia="zh-CN"/>
        </w:rPr>
        <w:t>磋商文件</w:t>
      </w:r>
      <w:r>
        <w:rPr>
          <w:rFonts w:hint="eastAsia" w:ascii="宋体" w:hAnsi="宋体"/>
          <w:color w:val="auto"/>
          <w:spacing w:val="-2"/>
          <w:sz w:val="24"/>
          <w:szCs w:val="24"/>
          <w:highlight w:val="none"/>
        </w:rPr>
        <w:t>中规定的主要技术要求、标准和商务条款；</w:t>
      </w:r>
    </w:p>
    <w:p>
      <w:pPr>
        <w:spacing w:line="440" w:lineRule="exact"/>
        <w:ind w:firstLine="480" w:firstLineChars="200"/>
        <w:rPr>
          <w:rFonts w:ascii="宋体" w:hAnsi="宋体"/>
          <w:color w:val="auto"/>
          <w:spacing w:val="-2"/>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磋商文件</w:t>
      </w:r>
      <w:r>
        <w:rPr>
          <w:rFonts w:hint="eastAsia" w:ascii="宋体" w:hAnsi="宋体"/>
          <w:color w:val="auto"/>
          <w:spacing w:val="-2"/>
          <w:sz w:val="24"/>
          <w:szCs w:val="24"/>
          <w:highlight w:val="none"/>
        </w:rPr>
        <w:t>规定的评标标准、评标方法和在评标过程中应考虑的相关因素。</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 xml:space="preserve">.7  </w:t>
      </w:r>
      <w:r>
        <w:rPr>
          <w:rFonts w:hint="eastAsia" w:ascii="宋体" w:hAnsi="宋体"/>
          <w:color w:val="auto"/>
          <w:spacing w:val="-2"/>
          <w:sz w:val="24"/>
          <w:szCs w:val="24"/>
          <w:highlight w:val="none"/>
        </w:rPr>
        <w:t>招标方应当向</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提供评标所需的重要信息和数据。</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 xml:space="preserve">.8  </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应当根据</w:t>
      </w:r>
      <w:r>
        <w:rPr>
          <w:rFonts w:hint="eastAsia" w:ascii="宋体" w:hAnsi="宋体"/>
          <w:color w:val="auto"/>
          <w:spacing w:val="-2"/>
          <w:sz w:val="24"/>
          <w:szCs w:val="24"/>
          <w:highlight w:val="none"/>
          <w:lang w:val="en-US" w:eastAsia="zh-CN"/>
        </w:rPr>
        <w:t>磋商文件</w:t>
      </w:r>
      <w:r>
        <w:rPr>
          <w:rFonts w:hint="eastAsia" w:ascii="宋体" w:hAnsi="宋体"/>
          <w:color w:val="auto"/>
          <w:spacing w:val="-2"/>
          <w:sz w:val="24"/>
          <w:szCs w:val="24"/>
          <w:highlight w:val="none"/>
        </w:rPr>
        <w:t>规定的评标标准和方法，对</w:t>
      </w:r>
      <w:r>
        <w:rPr>
          <w:rFonts w:hint="eastAsia" w:ascii="宋体" w:hAnsi="宋体"/>
          <w:color w:val="auto"/>
          <w:spacing w:val="-2"/>
          <w:sz w:val="24"/>
          <w:szCs w:val="24"/>
          <w:highlight w:val="none"/>
          <w:lang w:val="en-US" w:eastAsia="zh-CN"/>
        </w:rPr>
        <w:t>投标文件</w:t>
      </w:r>
      <w:r>
        <w:rPr>
          <w:rFonts w:hint="eastAsia" w:ascii="宋体" w:hAnsi="宋体"/>
          <w:color w:val="auto"/>
          <w:spacing w:val="-2"/>
          <w:sz w:val="24"/>
          <w:szCs w:val="24"/>
          <w:highlight w:val="none"/>
        </w:rPr>
        <w:t>进行系统地评审和比较。</w:t>
      </w:r>
      <w:r>
        <w:rPr>
          <w:rFonts w:hint="eastAsia" w:ascii="宋体" w:hAnsi="宋体"/>
          <w:color w:val="auto"/>
          <w:spacing w:val="-2"/>
          <w:sz w:val="24"/>
          <w:szCs w:val="24"/>
          <w:highlight w:val="none"/>
          <w:lang w:val="en-US" w:eastAsia="zh-CN"/>
        </w:rPr>
        <w:t>磋商文件</w:t>
      </w:r>
      <w:r>
        <w:rPr>
          <w:rFonts w:hint="eastAsia" w:ascii="宋体" w:hAnsi="宋体"/>
          <w:color w:val="auto"/>
          <w:spacing w:val="-2"/>
          <w:sz w:val="24"/>
          <w:szCs w:val="24"/>
          <w:highlight w:val="none"/>
        </w:rPr>
        <w:t>中没有规定的标准和方法不得作为评标的依据。</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 xml:space="preserve">.9 </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成员应当客观、公正地履行职责，遵守职业道德，并对所提出的评审意见承担个人责任。</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成员不得与任何投标人或者与招标结果有利害关系的人员进行私下接触，不得收受投标人、中介人或其他有利害关系人的财物或好处。</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 xml:space="preserve">.10  </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成员和与本次评标活动有关的工作人员，不得透露对</w:t>
      </w:r>
      <w:r>
        <w:rPr>
          <w:rFonts w:hint="eastAsia" w:ascii="宋体" w:hAnsi="宋体"/>
          <w:color w:val="auto"/>
          <w:spacing w:val="-2"/>
          <w:sz w:val="24"/>
          <w:szCs w:val="24"/>
          <w:highlight w:val="none"/>
          <w:lang w:val="en-US" w:eastAsia="zh-CN"/>
        </w:rPr>
        <w:t>投标文件</w:t>
      </w:r>
      <w:r>
        <w:rPr>
          <w:rFonts w:hint="eastAsia" w:ascii="宋体" w:hAnsi="宋体"/>
          <w:color w:val="auto"/>
          <w:spacing w:val="-2"/>
          <w:sz w:val="24"/>
          <w:szCs w:val="24"/>
          <w:highlight w:val="none"/>
        </w:rPr>
        <w:t>的评审和比较、中标候选人的推荐情况以及与评标有关的其他情况。</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w:t>
      </w:r>
      <w:r>
        <w:rPr>
          <w:rFonts w:hint="eastAsia" w:ascii="宋体" w:hAnsi="宋体"/>
          <w:color w:val="auto"/>
          <w:spacing w:val="-2"/>
          <w:sz w:val="24"/>
          <w:szCs w:val="24"/>
          <w:highlight w:val="none"/>
        </w:rPr>
        <w:t>4</w:t>
      </w:r>
      <w:r>
        <w:rPr>
          <w:rFonts w:ascii="宋体" w:hAnsi="宋体"/>
          <w:color w:val="auto"/>
          <w:spacing w:val="-2"/>
          <w:sz w:val="24"/>
          <w:szCs w:val="24"/>
          <w:highlight w:val="none"/>
        </w:rPr>
        <w:t>.11</w:t>
      </w:r>
      <w:r>
        <w:rPr>
          <w:rFonts w:hint="eastAsia" w:ascii="宋体" w:hAnsi="宋体"/>
          <w:color w:val="auto"/>
          <w:spacing w:val="-2"/>
          <w:sz w:val="24"/>
          <w:szCs w:val="24"/>
          <w:highlight w:val="none"/>
        </w:rPr>
        <w:t>　与评标活动有关的工作人员，是指</w:t>
      </w:r>
      <w:r>
        <w:rPr>
          <w:rFonts w:hint="eastAsia" w:ascii="宋体" w:hAnsi="宋体"/>
          <w:color w:val="auto"/>
          <w:spacing w:val="-2"/>
          <w:sz w:val="24"/>
          <w:szCs w:val="24"/>
          <w:highlight w:val="none"/>
          <w:lang w:val="en-US" w:eastAsia="zh-CN"/>
        </w:rPr>
        <w:t>磋商小组</w:t>
      </w:r>
      <w:r>
        <w:rPr>
          <w:rFonts w:hint="eastAsia" w:ascii="宋体" w:hAnsi="宋体"/>
          <w:color w:val="auto"/>
          <w:spacing w:val="-2"/>
          <w:sz w:val="24"/>
          <w:szCs w:val="24"/>
          <w:highlight w:val="none"/>
        </w:rPr>
        <w:t>成员以外的、因参与评标监督工作或者事务性工作而知悉有关评标情况的所有人员。</w:t>
      </w:r>
    </w:p>
    <w:p>
      <w:pPr>
        <w:pStyle w:val="2"/>
        <w:rPr>
          <w:rFonts w:ascii="宋体" w:hAnsi="宋体"/>
          <w:b/>
          <w:color w:val="auto"/>
          <w:sz w:val="24"/>
          <w:szCs w:val="24"/>
          <w:highlight w:val="none"/>
        </w:rPr>
      </w:pPr>
    </w:p>
    <w:p>
      <w:pPr>
        <w:rPr>
          <w:color w:val="auto"/>
          <w:highlight w:val="none"/>
        </w:rPr>
      </w:pPr>
    </w:p>
    <w:p>
      <w:pPr>
        <w:spacing w:line="440" w:lineRule="exact"/>
        <w:jc w:val="center"/>
        <w:outlineLvl w:val="1"/>
        <w:rPr>
          <w:rFonts w:ascii="宋体" w:hAnsi="宋体"/>
          <w:b/>
          <w:color w:val="auto"/>
          <w:sz w:val="32"/>
          <w:szCs w:val="32"/>
          <w:highlight w:val="none"/>
        </w:rPr>
      </w:pPr>
      <w:bookmarkStart w:id="13" w:name="_Toc497239291"/>
      <w:r>
        <w:rPr>
          <w:rFonts w:hint="eastAsia" w:ascii="宋体" w:hAnsi="宋体"/>
          <w:b/>
          <w:color w:val="auto"/>
          <w:sz w:val="32"/>
          <w:szCs w:val="32"/>
          <w:highlight w:val="none"/>
          <w:lang w:val="en-US" w:eastAsia="zh-CN"/>
        </w:rPr>
        <w:t xml:space="preserve">第五章 </w:t>
      </w:r>
      <w:r>
        <w:rPr>
          <w:rFonts w:hint="eastAsia" w:ascii="宋体" w:hAnsi="宋体"/>
          <w:b/>
          <w:color w:val="auto"/>
          <w:sz w:val="32"/>
          <w:szCs w:val="32"/>
          <w:highlight w:val="none"/>
        </w:rPr>
        <w:t>开　标</w:t>
      </w:r>
      <w:bookmarkEnd w:id="13"/>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1</w:t>
      </w:r>
      <w:r>
        <w:rPr>
          <w:rFonts w:hint="eastAsia" w:ascii="宋体" w:hAnsi="宋体"/>
          <w:b/>
          <w:color w:val="auto"/>
          <w:sz w:val="24"/>
          <w:szCs w:val="24"/>
          <w:highlight w:val="none"/>
        </w:rPr>
        <w:t>5</w:t>
      </w:r>
      <w:r>
        <w:rPr>
          <w:rFonts w:ascii="宋体" w:hAnsi="宋体"/>
          <w:b/>
          <w:color w:val="auto"/>
          <w:sz w:val="24"/>
          <w:szCs w:val="24"/>
          <w:highlight w:val="none"/>
        </w:rPr>
        <w:t xml:space="preserve">. </w:t>
      </w:r>
      <w:r>
        <w:rPr>
          <w:rFonts w:hint="eastAsia" w:ascii="宋体" w:hAnsi="宋体"/>
          <w:b/>
          <w:color w:val="auto"/>
          <w:sz w:val="24"/>
          <w:szCs w:val="24"/>
          <w:highlight w:val="none"/>
        </w:rPr>
        <w:t>开标</w:t>
      </w:r>
    </w:p>
    <w:p>
      <w:pPr>
        <w:spacing w:line="440" w:lineRule="exact"/>
        <w:ind w:firstLine="480" w:firstLineChars="200"/>
        <w:rPr>
          <w:rFonts w:ascii="宋体" w:hAnsi="宋体"/>
          <w:color w:val="auto"/>
          <w:sz w:val="24"/>
          <w:szCs w:val="24"/>
          <w:highlight w:val="none"/>
        </w:rPr>
      </w:pPr>
      <w:bookmarkStart w:id="14" w:name="_Toc497239292"/>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.1</w:t>
      </w:r>
      <w:r>
        <w:rPr>
          <w:rFonts w:hint="eastAsia" w:ascii="宋体" w:hAnsi="宋体"/>
          <w:color w:val="auto"/>
          <w:sz w:val="24"/>
          <w:szCs w:val="24"/>
          <w:highlight w:val="none"/>
        </w:rPr>
        <w:t>　本次招标按</w:t>
      </w:r>
      <w:r>
        <w:rPr>
          <w:rFonts w:hint="eastAsia" w:ascii="宋体" w:hAnsi="宋体"/>
          <w:color w:val="auto"/>
          <w:sz w:val="24"/>
          <w:szCs w:val="24"/>
          <w:highlight w:val="none"/>
          <w:lang w:val="en-US" w:eastAsia="zh-CN"/>
        </w:rPr>
        <w:t>磋商文件</w:t>
      </w:r>
      <w:r>
        <w:rPr>
          <w:rFonts w:hint="eastAsia" w:ascii="宋体" w:hAnsi="宋体"/>
          <w:color w:val="auto"/>
          <w:sz w:val="24"/>
          <w:szCs w:val="24"/>
          <w:highlight w:val="none"/>
        </w:rPr>
        <w:t>的投标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rPr>
        <w:t>须知</w:t>
      </w:r>
      <w:r>
        <w:rPr>
          <w:rFonts w:hint="eastAsia" w:ascii="宋体" w:hAnsi="宋体"/>
          <w:color w:val="auto"/>
          <w:sz w:val="24"/>
          <w:szCs w:val="24"/>
          <w:highlight w:val="none"/>
          <w:lang w:val="en-US" w:eastAsia="zh-CN"/>
        </w:rPr>
        <w:t>前附表</w:t>
      </w:r>
      <w:r>
        <w:rPr>
          <w:rFonts w:hint="eastAsia" w:ascii="宋体" w:hAnsi="宋体"/>
          <w:color w:val="auto"/>
          <w:sz w:val="24"/>
          <w:szCs w:val="24"/>
          <w:highlight w:val="none"/>
        </w:rPr>
        <w:t>中规定的时间和</w:t>
      </w:r>
      <w:r>
        <w:rPr>
          <w:rFonts w:hint="eastAsia" w:ascii="宋体" w:hAnsi="宋体"/>
          <w:color w:val="auto"/>
          <w:sz w:val="24"/>
          <w:szCs w:val="24"/>
          <w:highlight w:val="none"/>
          <w:lang w:eastAsia="zh-CN"/>
        </w:rPr>
        <w:t>地址</w:t>
      </w:r>
      <w:r>
        <w:rPr>
          <w:rFonts w:hint="eastAsia" w:ascii="宋体" w:hAnsi="宋体"/>
          <w:color w:val="auto"/>
          <w:sz w:val="24"/>
          <w:szCs w:val="24"/>
          <w:highlight w:val="none"/>
        </w:rPr>
        <w:t>进行公开开标，允许</w:t>
      </w:r>
      <w:r>
        <w:rPr>
          <w:rFonts w:hint="eastAsia" w:ascii="宋体" w:hAnsi="宋体"/>
          <w:color w:val="auto"/>
          <w:sz w:val="24"/>
          <w:szCs w:val="24"/>
          <w:highlight w:val="none"/>
          <w:lang w:val="en-US" w:eastAsia="zh-CN"/>
        </w:rPr>
        <w:t>符合条件的供应商</w:t>
      </w:r>
      <w:r>
        <w:rPr>
          <w:rFonts w:hint="eastAsia" w:ascii="宋体" w:hAnsi="宋体"/>
          <w:color w:val="auto"/>
          <w:sz w:val="24"/>
          <w:szCs w:val="24"/>
          <w:highlight w:val="none"/>
        </w:rPr>
        <w:t>参加开标会。</w:t>
      </w:r>
    </w:p>
    <w:p>
      <w:pPr>
        <w:spacing w:line="440" w:lineRule="exact"/>
        <w:ind w:firstLine="480" w:firstLineChars="200"/>
        <w:rPr>
          <w:rFonts w:hint="default" w:ascii="宋体" w:hAnsi="宋体"/>
          <w:color w:val="auto"/>
          <w:sz w:val="24"/>
          <w:szCs w:val="24"/>
          <w:highlight w:val="none"/>
          <w:lang w:val="en-US" w:eastAsia="zh-CN"/>
        </w:rPr>
      </w:pPr>
      <w:r>
        <w:rPr>
          <w:rFonts w:hint="eastAsia" w:ascii="宋体" w:hAnsi="宋体" w:cs="宋体"/>
          <w:b w:val="0"/>
          <w:bCs w:val="0"/>
          <w:color w:val="auto"/>
          <w:kern w:val="0"/>
          <w:sz w:val="24"/>
          <w:szCs w:val="24"/>
          <w:highlight w:val="none"/>
          <w:lang w:val="en-US" w:eastAsia="zh-CN" w:bidi="ar"/>
        </w:rPr>
        <w:t xml:space="preserve">15.2 </w:t>
      </w:r>
      <w:r>
        <w:rPr>
          <w:rFonts w:hint="default" w:ascii="宋体" w:hAnsi="宋体" w:eastAsia="宋体" w:cs="宋体"/>
          <w:b w:val="0"/>
          <w:bCs w:val="0"/>
          <w:color w:val="auto"/>
          <w:kern w:val="0"/>
          <w:sz w:val="24"/>
          <w:szCs w:val="24"/>
          <w:highlight w:val="none"/>
          <w:lang w:val="en-US" w:eastAsia="zh-CN" w:bidi="ar"/>
        </w:rPr>
        <w:t>本项目采用全流程不见面电子开评标，投标供应商需要使用CA加密设备，供应商可通过新疆数字证书认证中心官网（https://www.xjca.com.cn/）或下载“新</w:t>
      </w:r>
      <w:r>
        <w:rPr>
          <w:rFonts w:hint="default" w:ascii="宋体" w:hAnsi="宋体"/>
          <w:color w:val="auto"/>
          <w:sz w:val="24"/>
          <w:szCs w:val="24"/>
          <w:highlight w:val="none"/>
          <w:lang w:val="en-US" w:eastAsia="zh-CN"/>
        </w:rPr>
        <w:t>疆政务通”APP自行进行申领。</w:t>
      </w:r>
    </w:p>
    <w:p>
      <w:pPr>
        <w:spacing w:line="440" w:lineRule="exact"/>
        <w:ind w:firstLine="480" w:firstLineChars="200"/>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15.3 </w:t>
      </w:r>
      <w:r>
        <w:rPr>
          <w:rFonts w:hint="default" w:ascii="宋体" w:hAnsi="宋体"/>
          <w:color w:val="auto"/>
          <w:sz w:val="24"/>
          <w:szCs w:val="24"/>
          <w:highlight w:val="none"/>
          <w:lang w:val="en-US" w:eastAsia="zh-CN"/>
        </w:rPr>
        <w:t>本项目实行网上投标，采用加密电子投标文件(供应商须使用CA加密设备通过政采云电子投标客户端制作投标文件)。若供应商参与投标，自行承担投标一切费用。</w:t>
      </w:r>
    </w:p>
    <w:p>
      <w:pPr>
        <w:spacing w:line="440" w:lineRule="exact"/>
        <w:ind w:firstLine="480" w:firstLineChars="200"/>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15.4 </w:t>
      </w:r>
      <w:r>
        <w:rPr>
          <w:rFonts w:hint="default" w:ascii="宋体" w:hAnsi="宋体"/>
          <w:color w:val="auto"/>
          <w:sz w:val="24"/>
          <w:szCs w:val="24"/>
          <w:highlight w:val="none"/>
          <w:lang w:val="en-US" w:eastAsia="zh-CN"/>
        </w:rPr>
        <w:t>各供应商在开标前应确保成为新疆维吾尔自治区政府采购网正式注册入库供应商，（已在政采云平台其他省份入驻的供应商无需重复注册），并完成CA数字证书申领。因未注册入库、未办理CA数字证书等原因造成无法投标或投标失败等后果由供应商自行承担。</w:t>
      </w:r>
    </w:p>
    <w:p>
      <w:pPr>
        <w:spacing w:line="440" w:lineRule="exact"/>
        <w:ind w:firstLine="480" w:firstLineChars="200"/>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15.5 </w:t>
      </w:r>
      <w:r>
        <w:rPr>
          <w:rFonts w:hint="default" w:ascii="宋体" w:hAnsi="宋体"/>
          <w:color w:val="auto"/>
          <w:sz w:val="24"/>
          <w:szCs w:val="24"/>
          <w:highlight w:val="none"/>
          <w:lang w:val="en-US" w:eastAsia="zh-CN"/>
        </w:rPr>
        <w:t>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p>
    <w:p>
      <w:pPr>
        <w:spacing w:line="440" w:lineRule="exact"/>
        <w:ind w:firstLine="480" w:firstLineChars="200"/>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15.6 </w:t>
      </w:r>
      <w:r>
        <w:rPr>
          <w:rFonts w:hint="default" w:ascii="宋体" w:hAnsi="宋体"/>
          <w:color w:val="auto"/>
          <w:sz w:val="24"/>
          <w:szCs w:val="24"/>
          <w:highlight w:val="none"/>
          <w:lang w:val="en-US" w:eastAsia="zh-CN"/>
        </w:rPr>
        <w:t>供应商在开标时须使用制作加密电子投标文件所使用的CA锁及电脑，电脑须提前配置好浏览器（建议使用谷歌浏览器），以便开标时解锁。</w:t>
      </w:r>
    </w:p>
    <w:p>
      <w:pPr>
        <w:spacing w:line="440" w:lineRule="exact"/>
        <w:ind w:firstLine="480" w:firstLineChars="200"/>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15.7</w:t>
      </w:r>
      <w:r>
        <w:rPr>
          <w:rFonts w:hint="default" w:ascii="宋体" w:hAnsi="宋体"/>
          <w:color w:val="auto"/>
          <w:sz w:val="24"/>
          <w:szCs w:val="24"/>
          <w:highlight w:val="none"/>
          <w:lang w:val="en-US"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pPr>
        <w:spacing w:line="440" w:lineRule="exact"/>
        <w:ind w:firstLine="480" w:firstLineChars="200"/>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15.8 </w:t>
      </w:r>
      <w:r>
        <w:rPr>
          <w:rFonts w:hint="default" w:ascii="宋体" w:hAnsi="宋体"/>
          <w:color w:val="auto"/>
          <w:sz w:val="24"/>
          <w:szCs w:val="24"/>
          <w:highlight w:val="none"/>
          <w:lang w:val="en-US" w:eastAsia="zh-CN"/>
        </w:rPr>
        <w:t>为了保证开评标顺利进行，政采云线上开标功能完全实现，供应商开标所使用的电脑设备须具有视频及语音功能。</w:t>
      </w:r>
    </w:p>
    <w:p>
      <w:pPr>
        <w:spacing w:line="44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15.9 </w:t>
      </w:r>
      <w:r>
        <w:rPr>
          <w:rFonts w:hint="default" w:ascii="宋体" w:hAnsi="宋体"/>
          <w:color w:val="auto"/>
          <w:sz w:val="24"/>
          <w:szCs w:val="24"/>
          <w:highlight w:val="none"/>
          <w:lang w:val="en-US" w:eastAsia="zh-CN"/>
        </w:rPr>
        <w:t>根据财政部、工业和信息化部关于印发《政府采购促进</w:t>
      </w:r>
      <w:r>
        <w:rPr>
          <w:rFonts w:hint="eastAsia" w:ascii="宋体" w:hAnsi="宋体"/>
          <w:color w:val="auto"/>
          <w:sz w:val="24"/>
          <w:szCs w:val="24"/>
          <w:highlight w:val="none"/>
          <w:lang w:val="en-US" w:eastAsia="zh-CN"/>
        </w:rPr>
        <w:t>中小微企业</w:t>
      </w:r>
      <w:r>
        <w:rPr>
          <w:rFonts w:hint="default" w:ascii="宋体" w:hAnsi="宋体"/>
          <w:color w:val="auto"/>
          <w:sz w:val="24"/>
          <w:szCs w:val="24"/>
          <w:highlight w:val="none"/>
          <w:lang w:val="en-US" w:eastAsia="zh-CN"/>
        </w:rPr>
        <w:t>发展管理办法》的通知(财库[2020]46号)，第三条款：采购人在政府采购活动中应当通过加强采购需求管理，落实预留采购份额、价格评审优惠、优先采购等措施，提高</w:t>
      </w:r>
      <w:r>
        <w:rPr>
          <w:rFonts w:hint="eastAsia" w:ascii="宋体" w:hAnsi="宋体"/>
          <w:color w:val="auto"/>
          <w:sz w:val="24"/>
          <w:szCs w:val="24"/>
          <w:highlight w:val="none"/>
          <w:lang w:val="en-US" w:eastAsia="zh-CN"/>
        </w:rPr>
        <w:t>中小微企业</w:t>
      </w:r>
      <w:r>
        <w:rPr>
          <w:rFonts w:hint="default" w:ascii="宋体" w:hAnsi="宋体"/>
          <w:color w:val="auto"/>
          <w:sz w:val="24"/>
          <w:szCs w:val="24"/>
          <w:highlight w:val="none"/>
          <w:lang w:val="en-US" w:eastAsia="zh-CN"/>
        </w:rPr>
        <w:t>在政府采购中的份额，支持</w:t>
      </w:r>
      <w:r>
        <w:rPr>
          <w:rFonts w:hint="eastAsia" w:ascii="宋体" w:hAnsi="宋体"/>
          <w:color w:val="auto"/>
          <w:sz w:val="24"/>
          <w:szCs w:val="24"/>
          <w:highlight w:val="none"/>
          <w:lang w:val="en-US" w:eastAsia="zh-CN"/>
        </w:rPr>
        <w:t>中小微企业</w:t>
      </w:r>
      <w:r>
        <w:rPr>
          <w:rFonts w:hint="default" w:ascii="宋体" w:hAnsi="宋体"/>
          <w:color w:val="auto"/>
          <w:sz w:val="24"/>
          <w:szCs w:val="24"/>
          <w:highlight w:val="none"/>
          <w:lang w:val="en-US" w:eastAsia="zh-CN"/>
        </w:rPr>
        <w:t>发展。本项目全面面向</w:t>
      </w:r>
      <w:r>
        <w:rPr>
          <w:rFonts w:hint="eastAsia" w:ascii="宋体" w:hAnsi="宋体"/>
          <w:color w:val="auto"/>
          <w:sz w:val="24"/>
          <w:szCs w:val="24"/>
          <w:highlight w:val="none"/>
          <w:lang w:val="en-US" w:eastAsia="zh-CN"/>
        </w:rPr>
        <w:t>中小微企业。</w:t>
      </w:r>
    </w:p>
    <w:p>
      <w:pPr>
        <w:pStyle w:val="33"/>
        <w:rPr>
          <w:rFonts w:hint="eastAsia" w:ascii="宋体" w:hAnsi="宋体"/>
          <w:b/>
          <w:bCs/>
          <w:color w:val="auto"/>
          <w:sz w:val="32"/>
          <w:highlight w:val="none"/>
        </w:rPr>
      </w:pPr>
      <w:r>
        <w:rPr>
          <w:rFonts w:hint="eastAsia" w:ascii="宋体" w:hAnsi="宋体" w:cs="宋体"/>
          <w:color w:val="auto"/>
          <w:sz w:val="24"/>
          <w:szCs w:val="24"/>
          <w:highlight w:val="none"/>
          <w:lang w:val="en-US" w:eastAsia="zh-CN"/>
        </w:rPr>
        <w:t xml:space="preserve">    16. </w:t>
      </w:r>
      <w:r>
        <w:rPr>
          <w:rFonts w:hint="eastAsia" w:ascii="宋体" w:hAnsi="宋体" w:cs="宋体"/>
          <w:color w:val="auto"/>
          <w:sz w:val="24"/>
          <w:szCs w:val="24"/>
          <w:highlight w:val="none"/>
        </w:rPr>
        <w:t>已经进行资格预审的，可以不再对供应商资格进行审查，资格预审合格的供应商在评审阶段资格发生变化的，应当通知采购人和采购代理机构。</w:t>
      </w:r>
    </w:p>
    <w:p>
      <w:pPr>
        <w:rPr>
          <w:rFonts w:hint="eastAsia"/>
          <w:color w:val="auto"/>
          <w:highlight w:val="none"/>
        </w:rPr>
      </w:pPr>
    </w:p>
    <w:p>
      <w:pPr>
        <w:pStyle w:val="16"/>
        <w:rPr>
          <w:rFonts w:hint="eastAsia"/>
          <w:color w:val="auto"/>
          <w:highlight w:val="none"/>
        </w:rPr>
      </w:pPr>
    </w:p>
    <w:p>
      <w:pPr>
        <w:pStyle w:val="16"/>
        <w:rPr>
          <w:rFonts w:hint="eastAsia"/>
          <w:color w:val="auto"/>
          <w:highlight w:val="none"/>
        </w:rPr>
      </w:pPr>
    </w:p>
    <w:p>
      <w:pPr>
        <w:spacing w:line="440" w:lineRule="exact"/>
        <w:ind w:firstLine="643" w:firstLineChars="200"/>
        <w:jc w:val="center"/>
        <w:outlineLvl w:val="1"/>
        <w:rPr>
          <w:rFonts w:ascii="宋体" w:hAnsi="宋体"/>
          <w:b/>
          <w:bCs/>
          <w:color w:val="auto"/>
          <w:sz w:val="32"/>
          <w:highlight w:val="none"/>
        </w:rPr>
      </w:pPr>
      <w:r>
        <w:rPr>
          <w:rFonts w:hint="eastAsia" w:ascii="宋体" w:hAnsi="宋体"/>
          <w:b/>
          <w:bCs/>
          <w:color w:val="auto"/>
          <w:sz w:val="32"/>
          <w:highlight w:val="none"/>
          <w:lang w:val="en-US" w:eastAsia="zh-CN"/>
        </w:rPr>
        <w:t xml:space="preserve">第六章 </w:t>
      </w:r>
      <w:r>
        <w:rPr>
          <w:rFonts w:hint="eastAsia" w:ascii="宋体" w:hAnsi="宋体"/>
          <w:b/>
          <w:bCs/>
          <w:color w:val="auto"/>
          <w:sz w:val="32"/>
          <w:highlight w:val="none"/>
        </w:rPr>
        <w:t>评　标</w:t>
      </w:r>
      <w:bookmarkEnd w:id="14"/>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 xml:space="preserve">17. </w:t>
      </w:r>
      <w:r>
        <w:rPr>
          <w:rFonts w:hint="eastAsia" w:ascii="宋体" w:hAnsi="宋体"/>
          <w:b/>
          <w:color w:val="auto"/>
          <w:sz w:val="24"/>
          <w:szCs w:val="24"/>
          <w:highlight w:val="none"/>
        </w:rPr>
        <w:t>评标依据</w:t>
      </w:r>
    </w:p>
    <w:p>
      <w:pPr>
        <w:spacing w:line="440" w:lineRule="exact"/>
        <w:ind w:firstLine="480" w:firstLineChars="200"/>
        <w:rPr>
          <w:rFonts w:ascii="宋体" w:hAnsi="宋体"/>
          <w:color w:val="auto"/>
          <w:sz w:val="24"/>
          <w:szCs w:val="24"/>
          <w:highlight w:val="none"/>
        </w:rPr>
      </w:pPr>
      <w:r>
        <w:rPr>
          <w:rFonts w:ascii="宋体" w:hAnsi="宋体"/>
          <w:color w:val="auto"/>
          <w:sz w:val="24"/>
          <w:szCs w:val="24"/>
          <w:highlight w:val="none"/>
        </w:rPr>
        <w:t>17.1</w:t>
      </w:r>
      <w:r>
        <w:rPr>
          <w:rFonts w:hint="eastAsia" w:ascii="宋体" w:hAnsi="宋体"/>
          <w:color w:val="auto"/>
          <w:sz w:val="24"/>
          <w:szCs w:val="24"/>
          <w:highlight w:val="none"/>
        </w:rPr>
        <w:t>　评标的依据为</w:t>
      </w:r>
      <w:r>
        <w:rPr>
          <w:rFonts w:hint="eastAsia" w:ascii="宋体" w:hAnsi="宋体"/>
          <w:color w:val="auto"/>
          <w:sz w:val="24"/>
          <w:szCs w:val="24"/>
          <w:highlight w:val="none"/>
          <w:lang w:eastAsia="zh-CN"/>
        </w:rPr>
        <w:t>磋商文件</w:t>
      </w:r>
      <w:r>
        <w:rPr>
          <w:rFonts w:hint="eastAsia" w:ascii="宋体" w:hAnsi="宋体"/>
          <w:color w:val="auto"/>
          <w:sz w:val="24"/>
          <w:szCs w:val="24"/>
          <w:highlight w:val="none"/>
        </w:rPr>
        <w:t>。</w:t>
      </w:r>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 xml:space="preserve">18. </w:t>
      </w:r>
      <w:r>
        <w:rPr>
          <w:rFonts w:hint="eastAsia" w:ascii="宋体" w:hAnsi="宋体"/>
          <w:b/>
          <w:color w:val="auto"/>
          <w:sz w:val="24"/>
          <w:szCs w:val="24"/>
          <w:highlight w:val="none"/>
        </w:rPr>
        <w:t>投标文件的澄清</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18.1</w:t>
      </w:r>
      <w:r>
        <w:rPr>
          <w:rFonts w:hint="eastAsia" w:ascii="宋体" w:hAnsi="宋体"/>
          <w:color w:val="auto"/>
          <w:spacing w:val="-2"/>
          <w:sz w:val="24"/>
          <w:szCs w:val="24"/>
          <w:highlight w:val="none"/>
        </w:rPr>
        <w:t>　为有助于对投标文件进行审查、评估和比较，</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将对认为需要（不是每一个）的投标人进行询标，请投标人澄清其投标内容，投标人有责任按照招标方通知的时间、地点指派专人进行答疑和澄清。询标时投标人代表应作书面记录，并对答疑和澄清的内容做出书面答复。</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18.2</w:t>
      </w:r>
      <w:r>
        <w:rPr>
          <w:rFonts w:hint="eastAsia" w:ascii="宋体" w:hAnsi="宋体"/>
          <w:color w:val="auto"/>
          <w:spacing w:val="-2"/>
          <w:sz w:val="24"/>
          <w:szCs w:val="24"/>
          <w:highlight w:val="none"/>
        </w:rPr>
        <w:t>　答疑和澄清的内容应是书面的，但不得对投标的价格、技术指标和参数等内容进行实质性修改。澄清文件须由投标人法定代表人或其授权代表签字或加盖投标人公章，并作为投标文件的组成部分。</w:t>
      </w:r>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 xml:space="preserve">19. </w:t>
      </w:r>
      <w:r>
        <w:rPr>
          <w:rFonts w:hint="eastAsia" w:ascii="宋体" w:hAnsi="宋体"/>
          <w:b/>
          <w:color w:val="auto"/>
          <w:sz w:val="24"/>
          <w:szCs w:val="24"/>
          <w:highlight w:val="none"/>
        </w:rPr>
        <w:t>对投标文件的评估和比较</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19.1</w:t>
      </w:r>
      <w:r>
        <w:rPr>
          <w:rFonts w:hint="eastAsia" w:ascii="宋体" w:hAnsi="宋体"/>
          <w:color w:val="auto"/>
          <w:spacing w:val="-2"/>
          <w:sz w:val="24"/>
          <w:szCs w:val="24"/>
          <w:highlight w:val="none"/>
        </w:rPr>
        <w:t>　对实质性响应的投标文件进行评估和比较。</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19.</w:t>
      </w:r>
      <w:r>
        <w:rPr>
          <w:rFonts w:hint="eastAsia" w:ascii="宋体" w:hAnsi="宋体"/>
          <w:color w:val="auto"/>
          <w:spacing w:val="-2"/>
          <w:sz w:val="24"/>
          <w:szCs w:val="24"/>
          <w:highlight w:val="none"/>
        </w:rPr>
        <w:t>2　对以下因素进行评估和比较：</w:t>
      </w:r>
    </w:p>
    <w:p>
      <w:pPr>
        <w:numPr>
          <w:ilvl w:val="0"/>
          <w:numId w:val="4"/>
        </w:numPr>
        <w:tabs>
          <w:tab w:val="left" w:pos="540"/>
        </w:tabs>
        <w:spacing w:line="440" w:lineRule="exact"/>
        <w:ind w:left="720" w:hanging="180"/>
        <w:rPr>
          <w:rFonts w:ascii="宋体" w:hAnsi="宋体"/>
          <w:color w:val="auto"/>
          <w:sz w:val="24"/>
          <w:szCs w:val="24"/>
          <w:highlight w:val="none"/>
        </w:rPr>
      </w:pPr>
      <w:r>
        <w:rPr>
          <w:rFonts w:hint="eastAsia" w:ascii="宋体" w:hAnsi="宋体"/>
          <w:color w:val="auto"/>
          <w:sz w:val="24"/>
          <w:szCs w:val="24"/>
          <w:highlight w:val="none"/>
        </w:rPr>
        <w:t>对投标文件的审查和响应性的确定；</w:t>
      </w:r>
    </w:p>
    <w:p>
      <w:pPr>
        <w:numPr>
          <w:ilvl w:val="0"/>
          <w:numId w:val="4"/>
        </w:numPr>
        <w:tabs>
          <w:tab w:val="left" w:pos="540"/>
        </w:tabs>
        <w:spacing w:line="440" w:lineRule="exact"/>
        <w:ind w:left="540" w:firstLine="0"/>
        <w:rPr>
          <w:rFonts w:ascii="宋体" w:hAnsi="宋体"/>
          <w:color w:val="auto"/>
          <w:sz w:val="24"/>
          <w:szCs w:val="24"/>
          <w:highlight w:val="none"/>
        </w:rPr>
      </w:pPr>
      <w:r>
        <w:rPr>
          <w:rFonts w:hint="eastAsia" w:ascii="宋体" w:hAnsi="宋体"/>
          <w:color w:val="auto"/>
          <w:sz w:val="24"/>
          <w:szCs w:val="24"/>
          <w:highlight w:val="none"/>
        </w:rPr>
        <w:t>对投标文件中投标人的财务、技术和生产/供货能力的确定；</w:t>
      </w:r>
    </w:p>
    <w:p>
      <w:pPr>
        <w:numPr>
          <w:ilvl w:val="0"/>
          <w:numId w:val="4"/>
        </w:numPr>
        <w:tabs>
          <w:tab w:val="left" w:pos="540"/>
        </w:tabs>
        <w:spacing w:line="440" w:lineRule="exact"/>
        <w:ind w:left="720" w:hanging="180"/>
        <w:rPr>
          <w:rFonts w:ascii="宋体" w:hAnsi="宋体"/>
          <w:color w:val="auto"/>
          <w:sz w:val="24"/>
          <w:szCs w:val="24"/>
          <w:highlight w:val="none"/>
        </w:rPr>
      </w:pPr>
      <w:r>
        <w:rPr>
          <w:rFonts w:hint="eastAsia" w:ascii="宋体" w:hAnsi="宋体"/>
          <w:color w:val="auto"/>
          <w:sz w:val="24"/>
          <w:szCs w:val="24"/>
          <w:highlight w:val="none"/>
        </w:rPr>
        <w:t>对投标产品技术性能先进性和经济性的确定；</w:t>
      </w:r>
    </w:p>
    <w:p>
      <w:pPr>
        <w:numPr>
          <w:ilvl w:val="0"/>
          <w:numId w:val="4"/>
        </w:numPr>
        <w:tabs>
          <w:tab w:val="left" w:pos="540"/>
        </w:tabs>
        <w:spacing w:line="440" w:lineRule="exact"/>
        <w:ind w:left="720" w:hanging="180"/>
        <w:rPr>
          <w:rFonts w:ascii="宋体" w:hAnsi="宋体"/>
          <w:color w:val="auto"/>
          <w:sz w:val="24"/>
          <w:szCs w:val="24"/>
          <w:highlight w:val="none"/>
        </w:rPr>
      </w:pPr>
      <w:r>
        <w:rPr>
          <w:rFonts w:hint="eastAsia" w:ascii="宋体" w:hAnsi="宋体"/>
          <w:color w:val="auto"/>
          <w:sz w:val="24"/>
          <w:szCs w:val="24"/>
          <w:highlight w:val="none"/>
        </w:rPr>
        <w:t>对投标人售后服务机构设置和能力的确定；</w:t>
      </w:r>
    </w:p>
    <w:p>
      <w:pPr>
        <w:numPr>
          <w:ilvl w:val="0"/>
          <w:numId w:val="4"/>
        </w:numPr>
        <w:tabs>
          <w:tab w:val="left" w:pos="540"/>
        </w:tabs>
        <w:spacing w:line="440" w:lineRule="exact"/>
        <w:ind w:left="720" w:hanging="180"/>
        <w:rPr>
          <w:rFonts w:ascii="宋体" w:hAnsi="宋体"/>
          <w:color w:val="auto"/>
          <w:sz w:val="24"/>
          <w:szCs w:val="24"/>
          <w:highlight w:val="none"/>
        </w:rPr>
      </w:pPr>
      <w:r>
        <w:rPr>
          <w:rFonts w:hint="eastAsia" w:ascii="宋体" w:hAnsi="宋体"/>
          <w:color w:val="auto"/>
          <w:sz w:val="24"/>
          <w:szCs w:val="24"/>
          <w:highlight w:val="none"/>
        </w:rPr>
        <w:t>对投标人投标文件技术规格偏差的调整确定；</w:t>
      </w:r>
    </w:p>
    <w:p>
      <w:pPr>
        <w:numPr>
          <w:ilvl w:val="0"/>
          <w:numId w:val="4"/>
        </w:numPr>
        <w:tabs>
          <w:tab w:val="left" w:pos="540"/>
        </w:tabs>
        <w:spacing w:line="440" w:lineRule="exact"/>
        <w:ind w:left="720" w:hanging="180"/>
        <w:rPr>
          <w:rFonts w:ascii="宋体" w:hAnsi="宋体"/>
          <w:color w:val="auto"/>
          <w:sz w:val="24"/>
          <w:szCs w:val="24"/>
          <w:highlight w:val="none"/>
        </w:rPr>
      </w:pPr>
      <w:r>
        <w:rPr>
          <w:rFonts w:hint="eastAsia" w:ascii="宋体" w:hAnsi="宋体"/>
          <w:color w:val="auto"/>
          <w:sz w:val="24"/>
          <w:szCs w:val="24"/>
          <w:highlight w:val="none"/>
        </w:rPr>
        <w:t>对投标人投标文件商务偏差的调整确定；</w:t>
      </w:r>
    </w:p>
    <w:p>
      <w:pPr>
        <w:numPr>
          <w:ilvl w:val="0"/>
          <w:numId w:val="4"/>
        </w:numPr>
        <w:tabs>
          <w:tab w:val="left" w:pos="540"/>
        </w:tabs>
        <w:spacing w:line="440" w:lineRule="exact"/>
        <w:ind w:left="720" w:hanging="180"/>
        <w:rPr>
          <w:rFonts w:ascii="宋体" w:hAnsi="宋体"/>
          <w:color w:val="auto"/>
          <w:sz w:val="24"/>
          <w:szCs w:val="24"/>
          <w:highlight w:val="none"/>
        </w:rPr>
      </w:pPr>
      <w:r>
        <w:rPr>
          <w:rFonts w:hint="eastAsia" w:ascii="宋体" w:hAnsi="宋体"/>
          <w:color w:val="auto"/>
          <w:sz w:val="24"/>
          <w:szCs w:val="24"/>
          <w:highlight w:val="none"/>
        </w:rPr>
        <w:t>对投标人的技术、商务澄清内容答复的确定；</w:t>
      </w:r>
    </w:p>
    <w:p>
      <w:pPr>
        <w:numPr>
          <w:ilvl w:val="0"/>
          <w:numId w:val="4"/>
        </w:numPr>
        <w:tabs>
          <w:tab w:val="left" w:pos="540"/>
          <w:tab w:val="left" w:pos="1260"/>
        </w:tabs>
        <w:spacing w:line="440" w:lineRule="exact"/>
        <w:ind w:left="720" w:hanging="180"/>
        <w:rPr>
          <w:rFonts w:ascii="宋体" w:hAnsi="宋体"/>
          <w:color w:val="auto"/>
          <w:sz w:val="24"/>
          <w:szCs w:val="24"/>
          <w:highlight w:val="none"/>
        </w:rPr>
      </w:pPr>
      <w:r>
        <w:rPr>
          <w:rFonts w:hint="eastAsia" w:ascii="宋体" w:hAnsi="宋体"/>
          <w:color w:val="auto"/>
          <w:sz w:val="24"/>
          <w:szCs w:val="24"/>
          <w:highlight w:val="none"/>
        </w:rPr>
        <w:t xml:space="preserve">  对近三年经营业绩表的业绩评估确定；</w:t>
      </w:r>
    </w:p>
    <w:p>
      <w:pPr>
        <w:numPr>
          <w:ilvl w:val="0"/>
          <w:numId w:val="4"/>
        </w:numPr>
        <w:tabs>
          <w:tab w:val="left" w:pos="540"/>
        </w:tabs>
        <w:spacing w:line="440" w:lineRule="exact"/>
        <w:ind w:left="720" w:hanging="180"/>
        <w:rPr>
          <w:rFonts w:ascii="宋体" w:hAnsi="宋体"/>
          <w:color w:val="auto"/>
          <w:sz w:val="24"/>
          <w:szCs w:val="24"/>
          <w:highlight w:val="none"/>
        </w:rPr>
      </w:pPr>
      <w:r>
        <w:rPr>
          <w:rFonts w:hint="eastAsia" w:ascii="宋体" w:hAnsi="宋体"/>
          <w:color w:val="auto"/>
          <w:sz w:val="24"/>
          <w:szCs w:val="24"/>
          <w:highlight w:val="none"/>
        </w:rPr>
        <w:t>其他特殊要求因素（如节能、安全和环保等）。</w:t>
      </w:r>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 xml:space="preserve">20. </w:t>
      </w:r>
      <w:r>
        <w:rPr>
          <w:rFonts w:hint="eastAsia" w:ascii="宋体" w:hAnsi="宋体"/>
          <w:b/>
          <w:color w:val="auto"/>
          <w:sz w:val="24"/>
          <w:szCs w:val="24"/>
          <w:highlight w:val="none"/>
        </w:rPr>
        <w:t>评标过程的保密</w:t>
      </w:r>
    </w:p>
    <w:p>
      <w:pPr>
        <w:spacing w:line="440" w:lineRule="exact"/>
        <w:ind w:firstLine="480" w:firstLineChars="200"/>
        <w:rPr>
          <w:rFonts w:ascii="宋体" w:hAnsi="宋体"/>
          <w:color w:val="auto"/>
          <w:spacing w:val="-2"/>
          <w:sz w:val="24"/>
          <w:szCs w:val="24"/>
          <w:highlight w:val="none"/>
        </w:rPr>
      </w:pPr>
      <w:r>
        <w:rPr>
          <w:rFonts w:ascii="宋体" w:hAnsi="宋体"/>
          <w:color w:val="auto"/>
          <w:sz w:val="24"/>
          <w:szCs w:val="24"/>
          <w:highlight w:val="none"/>
        </w:rPr>
        <w:t xml:space="preserve">20.1  </w:t>
      </w:r>
      <w:r>
        <w:rPr>
          <w:rFonts w:hint="eastAsia" w:ascii="宋体" w:hAnsi="宋体"/>
          <w:color w:val="auto"/>
          <w:spacing w:val="-2"/>
          <w:sz w:val="24"/>
          <w:szCs w:val="24"/>
          <w:highlight w:val="none"/>
        </w:rPr>
        <w:t>开标后，凡是属于审查、澄清、评价和比较的有关资料以及授标建议等，</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成员或参与评标的有关工作人员均不得向投标人或其他无关的人员透露，违者给予警告、取消担任</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成员的资格，不得再参加任何投标项目的评标。</w:t>
      </w:r>
    </w:p>
    <w:p>
      <w:pPr>
        <w:spacing w:line="440" w:lineRule="exact"/>
        <w:ind w:firstLine="480" w:firstLineChars="200"/>
        <w:rPr>
          <w:rFonts w:ascii="宋体" w:hAnsi="宋体"/>
          <w:color w:val="auto"/>
          <w:spacing w:val="-2"/>
          <w:sz w:val="24"/>
          <w:szCs w:val="24"/>
          <w:highlight w:val="none"/>
        </w:rPr>
      </w:pPr>
      <w:r>
        <w:rPr>
          <w:rFonts w:ascii="宋体" w:hAnsi="宋体"/>
          <w:color w:val="auto"/>
          <w:sz w:val="24"/>
          <w:szCs w:val="24"/>
          <w:highlight w:val="none"/>
        </w:rPr>
        <w:t xml:space="preserve">20.2 </w:t>
      </w:r>
      <w:r>
        <w:rPr>
          <w:rFonts w:hint="eastAsia" w:ascii="宋体" w:hAnsi="宋体"/>
          <w:color w:val="auto"/>
          <w:spacing w:val="-2"/>
          <w:sz w:val="24"/>
          <w:szCs w:val="24"/>
          <w:highlight w:val="none"/>
        </w:rPr>
        <w:t>投标人在评标过程中，所进行的试图影响评标结果的不符合《中华人民共和国政府采购法》</w:t>
      </w:r>
      <w:r>
        <w:rPr>
          <w:rFonts w:hint="eastAsia" w:ascii="宋体" w:hAnsi="宋体"/>
          <w:color w:val="auto"/>
          <w:sz w:val="24"/>
          <w:szCs w:val="24"/>
          <w:highlight w:val="none"/>
        </w:rPr>
        <w:t>和《中华人民共和国招标投标法》</w:t>
      </w:r>
      <w:r>
        <w:rPr>
          <w:rFonts w:hint="eastAsia" w:ascii="宋体" w:hAnsi="宋体"/>
          <w:color w:val="auto"/>
          <w:spacing w:val="-2"/>
          <w:sz w:val="24"/>
          <w:szCs w:val="24"/>
          <w:highlight w:val="none"/>
        </w:rPr>
        <w:t>及本次招标有关规定的活动，将被取消中标资格。</w:t>
      </w:r>
    </w:p>
    <w:p>
      <w:pPr>
        <w:spacing w:line="440" w:lineRule="exact"/>
        <w:ind w:firstLine="482" w:firstLineChars="200"/>
        <w:rPr>
          <w:rFonts w:ascii="宋体" w:hAnsi="宋体"/>
          <w:b/>
          <w:color w:val="auto"/>
          <w:sz w:val="24"/>
          <w:szCs w:val="24"/>
          <w:highlight w:val="none"/>
        </w:rPr>
      </w:pPr>
      <w:r>
        <w:rPr>
          <w:rFonts w:ascii="宋体" w:hAnsi="宋体"/>
          <w:b/>
          <w:color w:val="auto"/>
          <w:sz w:val="24"/>
          <w:szCs w:val="24"/>
          <w:highlight w:val="none"/>
        </w:rPr>
        <w:t xml:space="preserve">21. </w:t>
      </w:r>
      <w:r>
        <w:rPr>
          <w:rFonts w:hint="eastAsia" w:ascii="宋体" w:hAnsi="宋体"/>
          <w:b/>
          <w:color w:val="auto"/>
          <w:sz w:val="24"/>
          <w:szCs w:val="24"/>
          <w:highlight w:val="none"/>
        </w:rPr>
        <w:t>初步评审</w:t>
      </w:r>
    </w:p>
    <w:p>
      <w:pPr>
        <w:spacing w:line="440" w:lineRule="exact"/>
        <w:ind w:firstLine="472" w:firstLineChars="200"/>
        <w:rPr>
          <w:rFonts w:hint="eastAsia" w:ascii="宋体" w:hAnsi="宋体"/>
          <w:color w:val="auto"/>
          <w:spacing w:val="-2"/>
          <w:sz w:val="24"/>
          <w:szCs w:val="24"/>
          <w:highlight w:val="none"/>
        </w:rPr>
      </w:pPr>
      <w:r>
        <w:rPr>
          <w:rFonts w:ascii="宋体" w:hAnsi="宋体"/>
          <w:color w:val="auto"/>
          <w:spacing w:val="-2"/>
          <w:sz w:val="24"/>
          <w:szCs w:val="24"/>
          <w:highlight w:val="none"/>
        </w:rPr>
        <w:t xml:space="preserve">21.1  </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可以以书面方式要求投标人对投标文件中含义不明确、对同类问题表述不一致或者有明显文字和计算错误的内容作必要的澄清、说明或补正。澄清、说明或补正应以书面方式进行</w:t>
      </w:r>
      <w:r>
        <w:rPr>
          <w:rFonts w:ascii="宋体" w:hAnsi="宋体"/>
          <w:color w:val="auto"/>
          <w:spacing w:val="-2"/>
          <w:sz w:val="24"/>
          <w:szCs w:val="24"/>
          <w:highlight w:val="none"/>
        </w:rPr>
        <w:t>,</w:t>
      </w:r>
      <w:r>
        <w:rPr>
          <w:rFonts w:hint="eastAsia" w:ascii="宋体" w:hAnsi="宋体"/>
          <w:color w:val="auto"/>
          <w:spacing w:val="-2"/>
          <w:sz w:val="24"/>
          <w:szCs w:val="24"/>
          <w:highlight w:val="none"/>
        </w:rPr>
        <w:t>且不得超出投标文件的范围或者改变投标文件的实质性内容。</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21.</w:t>
      </w:r>
      <w:r>
        <w:rPr>
          <w:rFonts w:hint="eastAsia" w:ascii="宋体" w:hAnsi="宋体"/>
          <w:color w:val="auto"/>
          <w:spacing w:val="-2"/>
          <w:sz w:val="24"/>
          <w:szCs w:val="24"/>
          <w:highlight w:val="none"/>
        </w:rPr>
        <w:t>2　招标方不接受不符合国家有关部门相关规定的投标报价或优惠方案。</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21.</w:t>
      </w:r>
      <w:r>
        <w:rPr>
          <w:rFonts w:hint="eastAsia" w:ascii="宋体" w:hAnsi="宋体"/>
          <w:color w:val="auto"/>
          <w:spacing w:val="-2"/>
          <w:sz w:val="24"/>
          <w:szCs w:val="24"/>
          <w:highlight w:val="none"/>
        </w:rPr>
        <w:t>3　在评标过程中，</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发现投标人以他人名义投标、串通投标、以行贿手段谋取中标或者以其他弄虚作假方式投标的，该投标人的投标应作废标处理。</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21.</w:t>
      </w:r>
      <w:r>
        <w:rPr>
          <w:rFonts w:hint="eastAsia" w:ascii="宋体" w:hAnsi="宋体"/>
          <w:color w:val="auto"/>
          <w:spacing w:val="-2"/>
          <w:sz w:val="24"/>
          <w:szCs w:val="24"/>
          <w:highlight w:val="none"/>
        </w:rPr>
        <w:t>4</w:t>
      </w:r>
      <w:r>
        <w:rPr>
          <w:rFonts w:ascii="宋体" w:hAnsi="宋体"/>
          <w:color w:val="auto"/>
          <w:spacing w:val="-2"/>
          <w:sz w:val="24"/>
          <w:szCs w:val="24"/>
          <w:highlight w:val="none"/>
        </w:rPr>
        <w:t xml:space="preserve">  </w:t>
      </w:r>
      <w:r>
        <w:rPr>
          <w:rFonts w:hint="eastAsia" w:ascii="宋体" w:hAnsi="宋体"/>
          <w:color w:val="auto"/>
          <w:spacing w:val="-2"/>
          <w:sz w:val="24"/>
          <w:szCs w:val="24"/>
          <w:highlight w:val="none"/>
        </w:rPr>
        <w:t>投标人的资格条件不符合国家有关规定和</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要求的，或者拒不按照要求对投标文件进行澄清、说明或补正的，</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可以否决其投标。</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21.</w:t>
      </w:r>
      <w:r>
        <w:rPr>
          <w:rFonts w:hint="eastAsia" w:ascii="宋体" w:hAnsi="宋体"/>
          <w:color w:val="auto"/>
          <w:spacing w:val="-2"/>
          <w:sz w:val="24"/>
          <w:szCs w:val="24"/>
          <w:highlight w:val="none"/>
        </w:rPr>
        <w:t>5</w:t>
      </w:r>
      <w:r>
        <w:rPr>
          <w:rFonts w:ascii="宋体" w:hAnsi="宋体"/>
          <w:color w:val="auto"/>
          <w:spacing w:val="-2"/>
          <w:sz w:val="24"/>
          <w:szCs w:val="24"/>
          <w:highlight w:val="none"/>
        </w:rPr>
        <w:t xml:space="preserve">  </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应当审查每一投标文件是否对</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提出的所有实质性要求和条件做出满足。未能在实质上满足的投标，应作废标处理。</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21.</w:t>
      </w:r>
      <w:r>
        <w:rPr>
          <w:rFonts w:hint="eastAsia" w:ascii="宋体" w:hAnsi="宋体"/>
          <w:color w:val="auto"/>
          <w:spacing w:val="-2"/>
          <w:sz w:val="24"/>
          <w:szCs w:val="24"/>
          <w:highlight w:val="none"/>
        </w:rPr>
        <w:t>6　投标人不得误导、干扰招标方的评标活动，否则将废除其投标。</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21.</w:t>
      </w:r>
      <w:r>
        <w:rPr>
          <w:rFonts w:hint="eastAsia" w:ascii="宋体" w:hAnsi="宋体"/>
          <w:color w:val="auto"/>
          <w:spacing w:val="-2"/>
          <w:sz w:val="24"/>
          <w:szCs w:val="24"/>
          <w:highlight w:val="none"/>
        </w:rPr>
        <w:t>7　</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应当根据</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，审查并逐项列出投标文件的全部投标偏差。投标偏差分为重大偏差和细微偏差。</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21.</w:t>
      </w:r>
      <w:r>
        <w:rPr>
          <w:rFonts w:hint="eastAsia" w:ascii="宋体" w:hAnsi="宋体"/>
          <w:color w:val="auto"/>
          <w:spacing w:val="-2"/>
          <w:sz w:val="24"/>
          <w:szCs w:val="24"/>
          <w:highlight w:val="none"/>
        </w:rPr>
        <w:t>8</w:t>
      </w:r>
      <w:r>
        <w:rPr>
          <w:rFonts w:ascii="宋体" w:hAnsi="宋体"/>
          <w:color w:val="auto"/>
          <w:spacing w:val="-2"/>
          <w:sz w:val="24"/>
          <w:szCs w:val="24"/>
          <w:highlight w:val="none"/>
        </w:rPr>
        <w:t xml:space="preserve">  </w:t>
      </w:r>
      <w:r>
        <w:rPr>
          <w:rFonts w:hint="eastAsia" w:ascii="宋体" w:hAnsi="宋体"/>
          <w:color w:val="auto"/>
          <w:spacing w:val="-2"/>
          <w:sz w:val="24"/>
          <w:szCs w:val="24"/>
          <w:highlight w:val="none"/>
        </w:rPr>
        <w:t>下列情况属于重大偏差：</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rPr>
        <w:t>（</w:t>
      </w:r>
      <w:r>
        <w:rPr>
          <w:rFonts w:ascii="宋体" w:hAnsi="宋体"/>
          <w:color w:val="auto"/>
          <w:spacing w:val="-2"/>
          <w:sz w:val="24"/>
          <w:szCs w:val="24"/>
          <w:highlight w:val="none"/>
        </w:rPr>
        <w:t>1</w:t>
      </w:r>
      <w:r>
        <w:rPr>
          <w:rFonts w:hint="eastAsia" w:ascii="宋体" w:hAnsi="宋体"/>
          <w:color w:val="auto"/>
          <w:spacing w:val="-2"/>
          <w:sz w:val="24"/>
          <w:szCs w:val="24"/>
          <w:highlight w:val="none"/>
        </w:rPr>
        <w:t>）没有按照</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要求提供投标保证金的；</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rPr>
        <w:t>（</w:t>
      </w:r>
      <w:r>
        <w:rPr>
          <w:rFonts w:ascii="宋体" w:hAnsi="宋体"/>
          <w:color w:val="auto"/>
          <w:spacing w:val="-2"/>
          <w:sz w:val="24"/>
          <w:szCs w:val="24"/>
          <w:highlight w:val="none"/>
        </w:rPr>
        <w:t>2</w:t>
      </w:r>
      <w:r>
        <w:rPr>
          <w:rFonts w:hint="eastAsia" w:ascii="宋体" w:hAnsi="宋体"/>
          <w:color w:val="auto"/>
          <w:spacing w:val="-2"/>
          <w:sz w:val="24"/>
          <w:szCs w:val="24"/>
          <w:highlight w:val="none"/>
        </w:rPr>
        <w:t>）投标文件没有投标人授权代表签字和加盖公章的；</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rPr>
        <w:t>（</w:t>
      </w:r>
      <w:r>
        <w:rPr>
          <w:rFonts w:ascii="宋体" w:hAnsi="宋体"/>
          <w:color w:val="auto"/>
          <w:spacing w:val="-2"/>
          <w:sz w:val="24"/>
          <w:szCs w:val="24"/>
          <w:highlight w:val="none"/>
        </w:rPr>
        <w:t>3</w:t>
      </w:r>
      <w:r>
        <w:rPr>
          <w:rFonts w:hint="eastAsia" w:ascii="宋体" w:hAnsi="宋体"/>
          <w:color w:val="auto"/>
          <w:spacing w:val="-2"/>
          <w:sz w:val="24"/>
          <w:szCs w:val="24"/>
          <w:highlight w:val="none"/>
        </w:rPr>
        <w:t>）投标文件中附有招标方不能接受的条件的；</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rPr>
        <w:t>（</w:t>
      </w:r>
      <w:r>
        <w:rPr>
          <w:rFonts w:ascii="宋体" w:hAnsi="宋体"/>
          <w:color w:val="auto"/>
          <w:spacing w:val="-2"/>
          <w:sz w:val="24"/>
          <w:szCs w:val="24"/>
          <w:highlight w:val="none"/>
        </w:rPr>
        <w:t>4</w:t>
      </w:r>
      <w:r>
        <w:rPr>
          <w:rFonts w:hint="eastAsia" w:ascii="宋体" w:hAnsi="宋体"/>
          <w:color w:val="auto"/>
          <w:spacing w:val="-2"/>
          <w:sz w:val="24"/>
          <w:szCs w:val="24"/>
          <w:highlight w:val="none"/>
        </w:rPr>
        <w:t>）不符合</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中规定的其他实质性要求的。</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rPr>
        <w:t>投标文件有上述情形之一的，为未能对</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做出实质性满足的投标，并作废标处理。</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21.</w:t>
      </w:r>
      <w:r>
        <w:rPr>
          <w:rFonts w:hint="eastAsia" w:ascii="宋体" w:hAnsi="宋体"/>
          <w:color w:val="auto"/>
          <w:spacing w:val="-2"/>
          <w:sz w:val="24"/>
          <w:szCs w:val="24"/>
          <w:highlight w:val="none"/>
        </w:rPr>
        <w:t>9</w:t>
      </w:r>
      <w:r>
        <w:rPr>
          <w:rFonts w:ascii="宋体" w:hAnsi="宋体"/>
          <w:color w:val="auto"/>
          <w:spacing w:val="-2"/>
          <w:sz w:val="24"/>
          <w:szCs w:val="24"/>
          <w:highlight w:val="none"/>
        </w:rPr>
        <w:t xml:space="preserve">  </w:t>
      </w:r>
      <w:r>
        <w:rPr>
          <w:rFonts w:hint="eastAsia" w:ascii="宋体" w:hAnsi="宋体"/>
          <w:color w:val="auto"/>
          <w:spacing w:val="-2"/>
          <w:sz w:val="24"/>
          <w:szCs w:val="24"/>
          <w:highlight w:val="none"/>
        </w:rPr>
        <w:t>细微偏差是指投标实质上满足了</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要求，但在个别地方存在漏项或者提供了不完整的技术信息和数据等情况，并且补正这些遗漏或不完整不会对其他投标人造成不公平的结果。细微偏差不影响投标文件的有效性。</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应当要求存在细小偏差的投标人在评标结束前以书面形式予以补正。拒绝补正的，在详细评审时可以对细微偏差作不利于该投标人的量化。</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21.1</w:t>
      </w:r>
      <w:r>
        <w:rPr>
          <w:rFonts w:hint="eastAsia" w:ascii="宋体" w:hAnsi="宋体"/>
          <w:color w:val="auto"/>
          <w:spacing w:val="-2"/>
          <w:sz w:val="24"/>
          <w:szCs w:val="24"/>
          <w:highlight w:val="none"/>
        </w:rPr>
        <w:t>0</w:t>
      </w:r>
      <w:r>
        <w:rPr>
          <w:rFonts w:ascii="宋体" w:hAnsi="宋体"/>
          <w:color w:val="auto"/>
          <w:spacing w:val="-2"/>
          <w:sz w:val="24"/>
          <w:szCs w:val="24"/>
          <w:highlight w:val="none"/>
        </w:rPr>
        <w:t xml:space="preserve"> </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根据本规定否决不合格投标或者界定为废标后，因有效投标不足三个使得投标明显缺乏竞争性时，根据《中华人民共和国政府采购法》</w:t>
      </w:r>
      <w:r>
        <w:rPr>
          <w:rFonts w:hint="eastAsia" w:ascii="宋体" w:hAnsi="宋体"/>
          <w:color w:val="auto"/>
          <w:sz w:val="24"/>
          <w:szCs w:val="24"/>
          <w:highlight w:val="none"/>
        </w:rPr>
        <w:t>及《中华人民共和国招标投标法》</w:t>
      </w:r>
      <w:r>
        <w:rPr>
          <w:rFonts w:hint="eastAsia" w:ascii="宋体" w:hAnsi="宋体"/>
          <w:color w:val="auto"/>
          <w:spacing w:val="-2"/>
          <w:sz w:val="24"/>
          <w:szCs w:val="24"/>
          <w:highlight w:val="none"/>
        </w:rPr>
        <w:t>的相关规定，将作废标处理。</w:t>
      </w:r>
    </w:p>
    <w:p>
      <w:pPr>
        <w:spacing w:line="440" w:lineRule="exact"/>
        <w:ind w:firstLine="472" w:firstLineChars="200"/>
        <w:rPr>
          <w:rFonts w:ascii="宋体" w:hAnsi="宋体"/>
          <w:color w:val="auto"/>
          <w:spacing w:val="-2"/>
          <w:sz w:val="24"/>
          <w:szCs w:val="24"/>
          <w:highlight w:val="none"/>
        </w:rPr>
      </w:pPr>
      <w:r>
        <w:rPr>
          <w:rFonts w:ascii="宋体" w:hAnsi="宋体"/>
          <w:color w:val="auto"/>
          <w:spacing w:val="-2"/>
          <w:sz w:val="24"/>
          <w:szCs w:val="24"/>
          <w:highlight w:val="none"/>
        </w:rPr>
        <w:t>21.1</w:t>
      </w:r>
      <w:r>
        <w:rPr>
          <w:rFonts w:hint="eastAsia" w:ascii="宋体" w:hAnsi="宋体"/>
          <w:color w:val="auto"/>
          <w:spacing w:val="-2"/>
          <w:sz w:val="24"/>
          <w:szCs w:val="24"/>
          <w:highlight w:val="none"/>
        </w:rPr>
        <w:t>1</w:t>
      </w:r>
      <w:r>
        <w:rPr>
          <w:rFonts w:ascii="宋体" w:hAnsi="宋体"/>
          <w:color w:val="auto"/>
          <w:spacing w:val="-2"/>
          <w:sz w:val="24"/>
          <w:szCs w:val="24"/>
          <w:highlight w:val="none"/>
        </w:rPr>
        <w:t xml:space="preserve">  </w:t>
      </w:r>
      <w:r>
        <w:rPr>
          <w:rFonts w:hint="eastAsia" w:ascii="宋体" w:hAnsi="宋体"/>
          <w:color w:val="auto"/>
          <w:spacing w:val="-2"/>
          <w:sz w:val="24"/>
          <w:szCs w:val="24"/>
          <w:highlight w:val="none"/>
        </w:rPr>
        <w:t>对投标文件满足</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条款的审查：</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rPr>
        <w:t>（</w:t>
      </w:r>
      <w:r>
        <w:rPr>
          <w:rFonts w:ascii="宋体" w:hAnsi="宋体"/>
          <w:color w:val="auto"/>
          <w:spacing w:val="-2"/>
          <w:sz w:val="24"/>
          <w:szCs w:val="24"/>
          <w:highlight w:val="none"/>
        </w:rPr>
        <w:t>1</w:t>
      </w:r>
      <w:r>
        <w:rPr>
          <w:rFonts w:hint="eastAsia" w:ascii="宋体" w:hAnsi="宋体"/>
          <w:color w:val="auto"/>
          <w:spacing w:val="-2"/>
          <w:sz w:val="24"/>
          <w:szCs w:val="24"/>
          <w:highlight w:val="none"/>
        </w:rPr>
        <w:t>）开标后，</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将组织对投标文件进行审查，检查投标文件是否完整，是否出现计算性错误，投标文件正本是否满足</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的格式要求；</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rPr>
        <w:t>（2）</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将确定每一投标人是否对</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的要求做出了实质性满足，而没有重大偏离。实质性满足的投标是指符合</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的所有条款、条件和规定且没有重大偏离和保留的投标。重大偏离或保留系指影响到</w:t>
      </w:r>
      <w:r>
        <w:rPr>
          <w:rFonts w:hint="eastAsia" w:ascii="宋体" w:hAnsi="宋体"/>
          <w:color w:val="auto"/>
          <w:spacing w:val="-2"/>
          <w:sz w:val="24"/>
          <w:szCs w:val="24"/>
          <w:highlight w:val="none"/>
          <w:lang w:eastAsia="zh-CN"/>
        </w:rPr>
        <w:t>磋商文件</w:t>
      </w:r>
      <w:r>
        <w:rPr>
          <w:rFonts w:hint="eastAsia" w:ascii="宋体" w:hAnsi="宋体"/>
          <w:color w:val="auto"/>
          <w:spacing w:val="-2"/>
          <w:sz w:val="24"/>
          <w:szCs w:val="24"/>
          <w:highlight w:val="none"/>
        </w:rPr>
        <w:t>规定的服务范围和质量，或限制了招标人的权力和投标人义务的规定，而纠正这些偏离将影响到其他提交实质性满足的投标人的公平竞争地位；</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rPr>
        <w:t>（3）</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判断投标文件的满足性仅基于投标文件本身而不靠外部证据；</w:t>
      </w:r>
    </w:p>
    <w:p>
      <w:pPr>
        <w:spacing w:line="440" w:lineRule="exact"/>
        <w:ind w:firstLine="472" w:firstLineChars="200"/>
        <w:rPr>
          <w:rFonts w:hint="eastAsia" w:ascii="宋体" w:hAnsi="宋体" w:eastAsia="宋体" w:cs="宋体"/>
          <w:color w:val="auto"/>
          <w:sz w:val="28"/>
          <w:szCs w:val="28"/>
          <w:highlight w:val="none"/>
          <w:lang w:val="en-US" w:eastAsia="zh-CN"/>
        </w:rPr>
      </w:pPr>
      <w:r>
        <w:rPr>
          <w:rFonts w:hint="eastAsia" w:ascii="宋体" w:hAnsi="宋体"/>
          <w:color w:val="auto"/>
          <w:spacing w:val="-2"/>
          <w:sz w:val="24"/>
          <w:szCs w:val="24"/>
          <w:highlight w:val="none"/>
        </w:rPr>
        <w:t>（4）</w:t>
      </w:r>
      <w:r>
        <w:rPr>
          <w:rFonts w:hint="eastAsia" w:ascii="宋体" w:hAnsi="宋体"/>
          <w:color w:val="auto"/>
          <w:spacing w:val="-2"/>
          <w:sz w:val="24"/>
          <w:szCs w:val="24"/>
          <w:highlight w:val="none"/>
          <w:lang w:eastAsia="zh-CN"/>
        </w:rPr>
        <w:t>磋商小组</w:t>
      </w:r>
      <w:r>
        <w:rPr>
          <w:rFonts w:hint="eastAsia" w:ascii="宋体" w:hAnsi="宋体"/>
          <w:color w:val="auto"/>
          <w:spacing w:val="-2"/>
          <w:sz w:val="24"/>
          <w:szCs w:val="24"/>
          <w:highlight w:val="none"/>
        </w:rPr>
        <w:t>将拒绝被确定为非实质性满足的投标。投标人不能通过修正或撤消不符合之处而使其投标成为实质性满足的投标。</w:t>
      </w:r>
    </w:p>
    <w:p>
      <w:pPr>
        <w:spacing w:line="460" w:lineRule="exact"/>
        <w:ind w:firstLine="559"/>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投标文件</w:t>
      </w:r>
      <w:r>
        <w:rPr>
          <w:rFonts w:hint="eastAsia" w:ascii="宋体" w:hAnsi="宋体" w:cs="宋体"/>
          <w:color w:val="auto"/>
          <w:sz w:val="28"/>
          <w:szCs w:val="28"/>
          <w:highlight w:val="none"/>
          <w:lang w:val="en-US" w:eastAsia="zh-CN"/>
        </w:rPr>
        <w:t>初步评审</w:t>
      </w:r>
      <w:r>
        <w:rPr>
          <w:rFonts w:hint="eastAsia" w:ascii="宋体" w:hAnsi="宋体" w:eastAsia="宋体" w:cs="宋体"/>
          <w:color w:val="auto"/>
          <w:sz w:val="28"/>
          <w:szCs w:val="28"/>
          <w:highlight w:val="none"/>
        </w:rPr>
        <w:t>表</w:t>
      </w:r>
    </w:p>
    <w:p>
      <w:pPr>
        <w:pStyle w:val="16"/>
        <w:rPr>
          <w:rFonts w:hint="eastAsia"/>
          <w:color w:val="auto"/>
          <w:highlight w:val="none"/>
          <w:lang w:val="en-US" w:eastAsia="zh-CN"/>
        </w:rPr>
      </w:pPr>
    </w:p>
    <w:tbl>
      <w:tblPr>
        <w:tblStyle w:val="27"/>
        <w:tblW w:w="5899" w:type="pct"/>
        <w:tblInd w:w="-314"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605"/>
        <w:gridCol w:w="472"/>
        <w:gridCol w:w="1826"/>
        <w:gridCol w:w="6866"/>
        <w:gridCol w:w="361"/>
        <w:gridCol w:w="286"/>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435" w:hRule="atLeast"/>
        </w:trPr>
        <w:tc>
          <w:tcPr>
            <w:tcW w:w="516" w:type="pct"/>
            <w:gridSpan w:val="2"/>
            <w:vMerge w:val="restart"/>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评分因素</w:t>
            </w:r>
          </w:p>
        </w:tc>
        <w:tc>
          <w:tcPr>
            <w:tcW w:w="876" w:type="pct"/>
            <w:vMerge w:val="restart"/>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评分点</w:t>
            </w:r>
          </w:p>
        </w:tc>
        <w:tc>
          <w:tcPr>
            <w:tcW w:w="3295" w:type="pct"/>
            <w:vMerge w:val="restart"/>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评分标准</w:t>
            </w:r>
          </w:p>
        </w:tc>
        <w:tc>
          <w:tcPr>
            <w:tcW w:w="311" w:type="pct"/>
            <w:gridSpan w:val="2"/>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评审意见</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90" w:hRule="atLeast"/>
        </w:trPr>
        <w:tc>
          <w:tcPr>
            <w:tcW w:w="516" w:type="pct"/>
            <w:gridSpan w:val="2"/>
            <w:vMerge w:val="continue"/>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p>
        </w:tc>
        <w:tc>
          <w:tcPr>
            <w:tcW w:w="876" w:type="pct"/>
            <w:vMerge w:val="continue"/>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p>
        </w:tc>
        <w:tc>
          <w:tcPr>
            <w:tcW w:w="3295" w:type="pct"/>
            <w:vMerge w:val="continue"/>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是</w:t>
            </w: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否</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719" w:hRule="atLeast"/>
        </w:trPr>
        <w:tc>
          <w:tcPr>
            <w:tcW w:w="290" w:type="pct"/>
            <w:vMerge w:val="restart"/>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初步评审</w:t>
            </w:r>
          </w:p>
        </w:tc>
        <w:tc>
          <w:tcPr>
            <w:tcW w:w="226" w:type="pct"/>
            <w:vMerge w:val="restart"/>
            <w:tcBorders>
              <w:top w:val="outset" w:color="auto" w:sz="6" w:space="0"/>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资格检查</w:t>
            </w: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tc>
        <w:tc>
          <w:tcPr>
            <w:tcW w:w="3295"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投标人法人营业执照（副本）或事业单位法人证书（副本）或个体工商户营业执照或有效的自然人身份证明、组织机构代码证</w:t>
            </w:r>
            <w:r>
              <w:rPr>
                <w:rFonts w:hint="eastAsia" w:ascii="宋体" w:hAnsi="宋体" w:eastAsia="宋体" w:cs="宋体"/>
                <w:b/>
                <w:bCs/>
                <w:color w:val="auto"/>
                <w:sz w:val="24"/>
                <w:szCs w:val="24"/>
                <w:highlight w:val="none"/>
                <w:lang w:eastAsia="zh-CN"/>
              </w:rPr>
              <w:t>扫描件</w:t>
            </w:r>
            <w:r>
              <w:rPr>
                <w:rFonts w:hint="eastAsia" w:ascii="宋体" w:hAnsi="宋体" w:eastAsia="宋体" w:cs="宋体"/>
                <w:b/>
                <w:bCs/>
                <w:color w:val="auto"/>
                <w:sz w:val="24"/>
                <w:szCs w:val="24"/>
                <w:highlight w:val="none"/>
                <w:lang w:val="en-US" w:eastAsia="zh-CN"/>
              </w:rPr>
              <w:t>并加盖公章</w:t>
            </w:r>
            <w:r>
              <w:rPr>
                <w:rFonts w:hint="eastAsia" w:ascii="宋体" w:hAnsi="宋体" w:eastAsia="宋体" w:cs="宋体"/>
                <w:color w:val="auto"/>
                <w:sz w:val="24"/>
                <w:szCs w:val="24"/>
                <w:highlight w:val="none"/>
              </w:rPr>
              <w:t>（投标人按“三证合一”登记制度办理营业执照的，组织机构代码证和税务登记证（副本）以投标人所提供的营业执照（副本）</w:t>
            </w:r>
            <w:r>
              <w:rPr>
                <w:rFonts w:hint="eastAsia" w:ascii="宋体" w:hAnsi="宋体" w:cs="宋体"/>
                <w:color w:val="auto"/>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bidi="ar"/>
              </w:rPr>
              <w:t>《民用无人驾驶航空器经营许可证》</w:t>
            </w:r>
            <w:r>
              <w:rPr>
                <w:rFonts w:hint="eastAsia" w:ascii="宋体" w:hAnsi="宋体" w:eastAsia="宋体" w:cs="宋体"/>
                <w:b/>
                <w:bCs/>
                <w:color w:val="auto"/>
                <w:sz w:val="24"/>
                <w:szCs w:val="24"/>
                <w:highlight w:val="none"/>
                <w:lang w:eastAsia="zh-CN"/>
              </w:rPr>
              <w:t>扫描件</w:t>
            </w:r>
            <w:r>
              <w:rPr>
                <w:rFonts w:hint="eastAsia" w:ascii="宋体" w:hAnsi="宋体" w:eastAsia="宋体" w:cs="宋体"/>
                <w:color w:val="auto"/>
                <w:sz w:val="24"/>
                <w:szCs w:val="24"/>
                <w:highlight w:val="none"/>
              </w:rPr>
              <w:t xml:space="preserve">为准。）； </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2）法定代表人身份证明及法定代表人授权书</w:t>
            </w:r>
          </w:p>
        </w:tc>
        <w:tc>
          <w:tcPr>
            <w:tcW w:w="3295"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投标人法定代表人身份证明和法定代表人授权代表委托书</w:t>
            </w:r>
            <w:r>
              <w:rPr>
                <w:rFonts w:hint="eastAsia" w:ascii="宋体" w:hAnsi="宋体" w:eastAsia="宋体" w:cs="宋体"/>
                <w:b/>
                <w:bCs/>
                <w:color w:val="auto"/>
                <w:sz w:val="24"/>
                <w:szCs w:val="24"/>
                <w:highlight w:val="none"/>
                <w:lang w:eastAsia="zh-CN"/>
              </w:rPr>
              <w:t>扫描件</w:t>
            </w:r>
            <w:r>
              <w:rPr>
                <w:rFonts w:hint="eastAsia" w:ascii="宋体" w:hAnsi="宋体" w:eastAsia="宋体" w:cs="宋体"/>
                <w:b/>
                <w:bCs/>
                <w:color w:val="auto"/>
                <w:sz w:val="24"/>
                <w:szCs w:val="24"/>
                <w:highlight w:val="none"/>
                <w:lang w:val="en-US" w:eastAsia="zh-CN"/>
              </w:rPr>
              <w:t>；</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（3）投</w:t>
            </w:r>
            <w:r>
              <w:rPr>
                <w:rFonts w:hint="eastAsia" w:ascii="宋体" w:hAnsi="宋体" w:eastAsia="宋体" w:cs="宋体"/>
                <w:color w:val="auto"/>
                <w:kern w:val="2"/>
                <w:sz w:val="24"/>
                <w:szCs w:val="24"/>
                <w:highlight w:val="none"/>
                <w:lang w:val="en-US" w:eastAsia="zh-CN" w:bidi="ar-SA"/>
              </w:rPr>
              <w:t>标人提供基本账户开户许可证或基本存款账户信息并加盖公章</w:t>
            </w:r>
          </w:p>
        </w:tc>
        <w:tc>
          <w:tcPr>
            <w:tcW w:w="3295"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w:t>
            </w:r>
            <w:r>
              <w:rPr>
                <w:rFonts w:hint="eastAsia" w:ascii="宋体" w:hAnsi="宋体" w:eastAsia="宋体" w:cs="宋体"/>
                <w:color w:val="auto"/>
                <w:kern w:val="2"/>
                <w:sz w:val="24"/>
                <w:szCs w:val="24"/>
                <w:highlight w:val="none"/>
                <w:lang w:val="en-US" w:eastAsia="zh-CN" w:bidi="ar-SA"/>
              </w:rPr>
              <w:t>标人提供基本账户开户许可证或基本存款账户信息并加盖公章；</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（4）具有良好的商业信誉和健全的财务会计制度 </w:t>
            </w:r>
          </w:p>
        </w:tc>
        <w:tc>
          <w:tcPr>
            <w:tcW w:w="3295"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具有良好的商业信誉和健全的财务会计制度提供2022年度经第三方审计的财务会计报告或者投标人基本开户银行出具的开标日前六个月以内的资信证明；若企业成立期限不足一年者以营业执照实际成立期限为准，并按实际成立期限之日起提供健全的财务会计制度；（若上年度财务审计报告未出结果则用前一年财务审计报告）</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90" w:hRule="atLeast"/>
        </w:trPr>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（5）具有履行合同所必需的设备和专业技术能力 </w:t>
            </w:r>
          </w:p>
        </w:tc>
        <w:tc>
          <w:tcPr>
            <w:tcW w:w="3295"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须附书面声明（格式</w:t>
            </w:r>
            <w:r>
              <w:rPr>
                <w:rFonts w:hint="eastAsia" w:ascii="宋体" w:hAnsi="宋体" w:cs="宋体"/>
                <w:color w:val="auto"/>
                <w:sz w:val="24"/>
                <w:szCs w:val="24"/>
                <w:highlight w:val="none"/>
                <w:lang w:val="en-US" w:eastAsia="zh-CN"/>
              </w:rPr>
              <w:t>自定</w:t>
            </w:r>
            <w:r>
              <w:rPr>
                <w:rFonts w:hint="eastAsia" w:ascii="宋体" w:hAnsi="宋体" w:eastAsia="宋体" w:cs="宋体"/>
                <w:color w:val="auto"/>
                <w:sz w:val="24"/>
                <w:szCs w:val="24"/>
                <w:highlight w:val="none"/>
                <w:lang w:val="en-US" w:eastAsia="zh-CN"/>
              </w:rPr>
              <w:t>）；</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90" w:hRule="atLeast"/>
        </w:trPr>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（6）有依法缴纳税收和社会保障金的良好记录 </w:t>
            </w:r>
          </w:p>
        </w:tc>
        <w:tc>
          <w:tcPr>
            <w:tcW w:w="3295" w:type="pct"/>
            <w:tcBorders>
              <w:top w:val="outset" w:color="auto" w:sz="6" w:space="0"/>
              <w:left w:val="outset" w:color="auto" w:sz="6" w:space="0"/>
              <w:bottom w:val="outset" w:color="auto" w:sz="6" w:space="0"/>
              <w:right w:val="outset" w:color="auto" w:sz="6" w:space="0"/>
            </w:tcBorders>
            <w:noWrap w:val="0"/>
            <w:vAlign w:val="center"/>
          </w:tcPr>
          <w:p>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有依法缴纳社会保障资金的良好记录：投标人逐月交纳社会保障资金的，须提供参加本次政府采购活动近六个月内任意一个月由税务局或社保局或银行出具的社会保障资金缴费凭证（须加盖本单位公章）；投标人逐年缴纳社会保障资金的，须提供参加本次政府采购活动上年度由税务局或社保局或银行出具的社会保障资金缴费凭证（须加盖本单位公章）；</w:t>
            </w:r>
          </w:p>
          <w:p>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注：依法不需要缴纳社会保障资金的投标人，须提供相应文件证明。</w:t>
            </w:r>
          </w:p>
          <w:p>
            <w:pPr>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2、有依法缴纳税收的良好记录（投标人提供参加本次政府采购活动近六个月内任意一个月由税务局或银行出具的缴纳凭证复印件（须加盖本单位公章）；</w:t>
            </w:r>
            <w:r>
              <w:rPr>
                <w:rFonts w:hint="eastAsia" w:ascii="宋体" w:hAnsi="宋体" w:eastAsia="宋体" w:cs="宋体"/>
                <w:b/>
                <w:bCs/>
                <w:color w:val="auto"/>
                <w:kern w:val="2"/>
                <w:sz w:val="24"/>
                <w:szCs w:val="24"/>
                <w:highlight w:val="none"/>
                <w:lang w:val="en-US" w:eastAsia="zh-CN" w:bidi="ar-SA"/>
              </w:rPr>
              <w:t>注：依法免税或零报税的投标人，须提供相应文件证明并加盖公章。</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876" w:type="pct"/>
            <w:vMerge w:val="restart"/>
            <w:tcBorders>
              <w:top w:val="outset" w:color="auto" w:sz="6" w:space="0"/>
              <w:left w:val="outset" w:color="auto" w:sz="6" w:space="0"/>
              <w:right w:val="outset" w:color="auto" w:sz="6" w:space="0"/>
            </w:tcBorders>
            <w:noWrap w:val="0"/>
            <w:vAlign w:val="center"/>
          </w:tcPr>
          <w:p>
            <w:pPr>
              <w:pStyle w:val="59"/>
              <w:spacing w:line="288"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）法律、行政法规规定的其他条件</w:t>
            </w:r>
          </w:p>
        </w:tc>
        <w:tc>
          <w:tcPr>
            <w:tcW w:w="3295" w:type="pct"/>
            <w:vMerge w:val="restart"/>
            <w:tcBorders>
              <w:top w:val="outset" w:color="auto" w:sz="6" w:space="0"/>
              <w:left w:val="outset" w:color="auto" w:sz="6" w:space="0"/>
              <w:right w:val="outset" w:color="auto" w:sz="6" w:space="0"/>
            </w:tcBorders>
            <w:noWrap w:val="0"/>
            <w:vAlign w:val="center"/>
          </w:tcPr>
          <w:p>
            <w:pPr>
              <w:pStyle w:val="59"/>
              <w:spacing w:line="288"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投标人必须为前三年内（2020 年1 月 1 日至投标文件递交截止之日前）未被列入“信用中国”网站（www.creditchina.gov.cn）、中国政府采购网（www.ccgp.gov.cn）信用记录失信被执行人、重大税收违法案件当事人名单、政府采购严重违法失信行为记录名单的；（查询的时间须为本项目公告之日至投标截止日之间）。</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370" w:hRule="atLeast"/>
        </w:trPr>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876" w:type="pct"/>
            <w:vMerge w:val="continue"/>
            <w:tcBorders>
              <w:left w:val="outset" w:color="auto" w:sz="6" w:space="0"/>
              <w:bottom w:val="outset" w:color="auto" w:sz="6" w:space="0"/>
              <w:right w:val="outset" w:color="auto" w:sz="6" w:space="0"/>
            </w:tcBorders>
            <w:noWrap w:val="0"/>
            <w:vAlign w:val="center"/>
          </w:tcPr>
          <w:p>
            <w:pPr>
              <w:pStyle w:val="59"/>
              <w:spacing w:line="288" w:lineRule="auto"/>
              <w:jc w:val="left"/>
              <w:rPr>
                <w:rFonts w:hint="eastAsia" w:ascii="宋体" w:hAnsi="宋体" w:eastAsia="宋体" w:cs="宋体"/>
                <w:color w:val="auto"/>
                <w:sz w:val="24"/>
                <w:szCs w:val="24"/>
                <w:highlight w:val="none"/>
                <w:lang w:eastAsia="zh-CN"/>
              </w:rPr>
            </w:pPr>
          </w:p>
        </w:tc>
        <w:tc>
          <w:tcPr>
            <w:tcW w:w="3295" w:type="pct"/>
            <w:vMerge w:val="continue"/>
            <w:tcBorders>
              <w:left w:val="outset" w:color="auto" w:sz="6" w:space="0"/>
              <w:bottom w:val="outset" w:color="auto" w:sz="6" w:space="0"/>
              <w:right w:val="outset" w:color="auto" w:sz="6" w:space="0"/>
            </w:tcBorders>
            <w:noWrap w:val="0"/>
            <w:vAlign w:val="center"/>
          </w:tcPr>
          <w:p>
            <w:pPr>
              <w:pStyle w:val="59"/>
              <w:spacing w:line="288" w:lineRule="auto"/>
              <w:jc w:val="left"/>
              <w:rPr>
                <w:rFonts w:hint="eastAsia" w:ascii="宋体" w:hAnsi="宋体" w:eastAsia="宋体" w:cs="宋体"/>
                <w:color w:val="auto"/>
                <w:sz w:val="24"/>
                <w:szCs w:val="24"/>
                <w:highlight w:val="none"/>
                <w:lang w:val="en-US" w:eastAsia="zh-CN"/>
              </w:rPr>
            </w:pP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p>
        </w:tc>
        <w:tc>
          <w:tcPr>
            <w:tcW w:w="4172" w:type="pct"/>
            <w:gridSpan w:val="2"/>
            <w:tcBorders>
              <w:top w:val="outset" w:color="auto" w:sz="6" w:space="0"/>
              <w:left w:val="outset" w:color="auto" w:sz="6" w:space="0"/>
              <w:bottom w:val="outset" w:color="auto" w:sz="6" w:space="0"/>
              <w:right w:val="outset" w:color="auto" w:sz="6" w:space="0"/>
            </w:tcBorders>
            <w:noWrap w:val="0"/>
            <w:vAlign w:val="center"/>
          </w:tcPr>
          <w:p>
            <w:pPr>
              <w:pStyle w:val="59"/>
              <w:spacing w:line="288"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注：资格审查： </w:t>
            </w:r>
          </w:p>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开标后，招标人或代理机构应当依法对投标人的资格进行审查《政府采购货物和服务招标投标管理办法》第四十四条。资格审查合格的投标人不足3家的，按无效标处理（经财政部门批准本项目转为其他采购方式的除外）。</w:t>
            </w:r>
            <w:r>
              <w:rPr>
                <w:rFonts w:hint="eastAsia" w:ascii="宋体" w:hAnsi="宋体" w:eastAsia="宋体" w:cs="宋体"/>
                <w:b/>
                <w:bCs/>
                <w:color w:val="auto"/>
                <w:sz w:val="24"/>
                <w:szCs w:val="24"/>
                <w:highlight w:val="none"/>
                <w:lang w:val="en-US" w:eastAsia="zh-CN"/>
              </w:rPr>
              <w:t>若提供的资格证明文件不全或不实，将导致其投标无效。</w:t>
            </w:r>
            <w:r>
              <w:rPr>
                <w:rFonts w:hint="eastAsia" w:ascii="宋体" w:hAnsi="宋体" w:eastAsia="宋体" w:cs="宋体"/>
                <w:color w:val="auto"/>
                <w:sz w:val="24"/>
                <w:szCs w:val="24"/>
                <w:highlight w:val="none"/>
                <w:lang w:val="en-US" w:eastAsia="zh-CN"/>
              </w:rPr>
              <w:t>投标人应在投标文件中按</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lang w:val="en-US" w:eastAsia="zh-CN"/>
              </w:rPr>
              <w:t>的规定和要求附上所有的资格证明文件。</w:t>
            </w:r>
            <w:r>
              <w:rPr>
                <w:rFonts w:hint="eastAsia" w:ascii="宋体" w:hAnsi="宋体" w:eastAsia="宋体" w:cs="宋体"/>
                <w:b/>
                <w:bCs/>
                <w:color w:val="auto"/>
                <w:sz w:val="24"/>
                <w:szCs w:val="24"/>
                <w:highlight w:val="none"/>
                <w:lang w:val="en-US" w:eastAsia="zh-CN"/>
              </w:rPr>
              <w:t>若提供的资格证明文件不全或不实，或将导致其投标或中标资格被取消。</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637" w:hRule="atLeast"/>
        </w:trPr>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restart"/>
            <w:tcBorders>
              <w:top w:val="outset" w:color="auto" w:sz="6" w:space="0"/>
              <w:left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符合性检查</w:t>
            </w: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电子投标文件签署</w:t>
            </w:r>
          </w:p>
        </w:tc>
        <w:tc>
          <w:tcPr>
            <w:tcW w:w="675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电子投标文件上公司签章、法定代表人或其授权代表人的签章或签字是否按照要求签署完整。</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485" w:hRule="atLeast"/>
        </w:trPr>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center"/>
              <w:rPr>
                <w:rFonts w:hint="eastAsia" w:ascii="宋体" w:hAnsi="宋体" w:eastAsia="宋体" w:cs="宋体"/>
                <w:color w:val="auto"/>
                <w:sz w:val="24"/>
                <w:szCs w:val="24"/>
                <w:highlight w:val="none"/>
              </w:rPr>
            </w:pP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（2）投标报价</w:t>
            </w:r>
          </w:p>
        </w:tc>
        <w:tc>
          <w:tcPr>
            <w:tcW w:w="675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是否满足</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要求,且不超过本项目的最高限价金额。</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1" w:hRule="atLeast"/>
        </w:trPr>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（3）投标</w:t>
            </w:r>
            <w:r>
              <w:rPr>
                <w:rFonts w:hint="eastAsia" w:ascii="宋体" w:hAnsi="宋体" w:eastAsia="宋体" w:cs="宋体"/>
                <w:color w:val="auto"/>
                <w:sz w:val="24"/>
                <w:szCs w:val="24"/>
                <w:highlight w:val="none"/>
              </w:rPr>
              <w:t>保证金</w:t>
            </w:r>
          </w:p>
        </w:tc>
        <w:tc>
          <w:tcPr>
            <w:tcW w:w="675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lang w:val="en-US" w:eastAsia="zh-CN" w:bidi="ar-SA"/>
              </w:rPr>
              <w:t>是否提供注明项目编号或项目名称并通过</w:t>
            </w:r>
            <w:r>
              <w:rPr>
                <w:rFonts w:hint="eastAsia" w:ascii="宋体" w:hAnsi="宋体" w:eastAsia="宋体" w:cs="宋体"/>
                <w:i w:val="0"/>
                <w:iCs w:val="0"/>
                <w:color w:val="auto"/>
                <w:kern w:val="0"/>
                <w:sz w:val="24"/>
                <w:szCs w:val="24"/>
                <w:highlight w:val="none"/>
                <w:lang w:bidi="ar-SA"/>
              </w:rPr>
              <w:t>基本账户转出</w:t>
            </w:r>
            <w:r>
              <w:rPr>
                <w:rFonts w:hint="eastAsia" w:ascii="宋体" w:hAnsi="宋体" w:eastAsia="宋体" w:cs="宋体"/>
                <w:i w:val="0"/>
                <w:iCs w:val="0"/>
                <w:color w:val="auto"/>
                <w:kern w:val="0"/>
                <w:sz w:val="24"/>
                <w:szCs w:val="24"/>
                <w:highlight w:val="none"/>
                <w:lang w:val="en-US" w:eastAsia="zh-CN" w:bidi="ar-SA"/>
              </w:rPr>
              <w:t>的投标保证金汇款凭证；</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86" w:hRule="atLeast"/>
        </w:trPr>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（4）实质性响应</w:t>
            </w:r>
          </w:p>
        </w:tc>
        <w:tc>
          <w:tcPr>
            <w:tcW w:w="675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是否符合</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lang w:val="en-US" w:eastAsia="zh-CN"/>
              </w:rPr>
              <w:t>中的实质性要求和条件。</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743" w:hRule="atLeast"/>
        </w:trPr>
        <w:tc>
          <w:tcPr>
            <w:tcW w:w="290" w:type="pct"/>
            <w:vMerge w:val="continue"/>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226" w:type="pct"/>
            <w:vMerge w:val="continue"/>
            <w:tcBorders>
              <w:left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876" w:type="pct"/>
            <w:tcBorders>
              <w:top w:val="outset" w:color="auto" w:sz="6" w:space="0"/>
              <w:left w:val="outset" w:color="auto" w:sz="6" w:space="0"/>
              <w:bottom w:val="outset" w:color="auto" w:sz="6" w:space="0"/>
              <w:right w:val="outset" w:color="auto" w:sz="6" w:space="0"/>
            </w:tcBorders>
            <w:noWrap w:val="0"/>
            <w:vAlign w:val="center"/>
          </w:tcPr>
          <w:p>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（5）其它</w:t>
            </w:r>
          </w:p>
        </w:tc>
        <w:tc>
          <w:tcPr>
            <w:tcW w:w="6759" w:type="dxa"/>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1、投标文件是否含有采购人不能接受的附加条件；</w:t>
            </w:r>
          </w:p>
          <w:p>
            <w:p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2、是否违反国家法律、法规和采购文件规定的其他无效情形。</w:t>
            </w:r>
          </w:p>
        </w:tc>
        <w:tc>
          <w:tcPr>
            <w:tcW w:w="173"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c>
          <w:tcPr>
            <w:tcW w:w="137" w:type="pct"/>
            <w:tcBorders>
              <w:top w:val="outset" w:color="auto" w:sz="6" w:space="0"/>
              <w:left w:val="outset" w:color="auto" w:sz="6" w:space="0"/>
              <w:bottom w:val="outset" w:color="auto" w:sz="6" w:space="0"/>
              <w:right w:val="outset" w:color="auto" w:sz="6" w:space="0"/>
            </w:tcBorders>
            <w:noWrap w:val="0"/>
            <w:vAlign w:val="center"/>
          </w:tcPr>
          <w:p>
            <w:pPr>
              <w:jc w:val="left"/>
              <w:rPr>
                <w:rFonts w:hint="eastAsia" w:ascii="宋体" w:hAnsi="宋体" w:eastAsia="宋体" w:cs="宋体"/>
                <w:color w:val="auto"/>
                <w:sz w:val="24"/>
                <w:szCs w:val="24"/>
                <w:highlight w:val="none"/>
              </w:rPr>
            </w:pPr>
          </w:p>
        </w:tc>
      </w:tr>
    </w:tbl>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投标文件响应程度初步审查通过的投标企业，进入下一步详细评审阶段，未通过投标文件响应程度初步审查的企业，其投标作为无效标，不进入后期评审阶段。</w:t>
      </w:r>
    </w:p>
    <w:p>
      <w:pPr>
        <w:tabs>
          <w:tab w:val="left" w:pos="0"/>
        </w:tabs>
        <w:adjustRightInd w:val="0"/>
        <w:snapToGrid w:val="0"/>
        <w:spacing w:line="44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21.12</w:t>
      </w:r>
      <w:r>
        <w:rPr>
          <w:rFonts w:hint="eastAsia" w:ascii="宋体" w:hAnsi="宋体" w:cs="宋体"/>
          <w:color w:val="auto"/>
          <w:kern w:val="0"/>
          <w:sz w:val="24"/>
          <w:szCs w:val="24"/>
          <w:highlight w:val="none"/>
          <w:lang w:eastAsia="zh-CN"/>
        </w:rPr>
        <w:t>磋商小组</w:t>
      </w:r>
      <w:r>
        <w:rPr>
          <w:rFonts w:hint="eastAsia" w:ascii="宋体" w:hAnsi="宋体" w:eastAsia="宋体" w:cs="宋体"/>
          <w:color w:val="auto"/>
          <w:kern w:val="0"/>
          <w:sz w:val="24"/>
          <w:szCs w:val="24"/>
          <w:highlight w:val="none"/>
        </w:rPr>
        <w:t>将根据政府采购政策支持</w:t>
      </w:r>
      <w:r>
        <w:rPr>
          <w:rFonts w:hint="eastAsia" w:ascii="宋体" w:hAnsi="宋体" w:cs="宋体"/>
          <w:color w:val="auto"/>
          <w:kern w:val="0"/>
          <w:sz w:val="24"/>
          <w:szCs w:val="24"/>
          <w:highlight w:val="none"/>
          <w:lang w:eastAsia="zh-CN"/>
        </w:rPr>
        <w:t>中小微企业</w:t>
      </w:r>
      <w:r>
        <w:rPr>
          <w:rFonts w:hint="eastAsia" w:ascii="宋体" w:hAnsi="宋体" w:eastAsia="宋体" w:cs="宋体"/>
          <w:color w:val="auto"/>
          <w:kern w:val="0"/>
          <w:sz w:val="24"/>
          <w:szCs w:val="24"/>
          <w:highlight w:val="none"/>
        </w:rPr>
        <w:t>政策对最后报价进行价格折扣，折扣的价格将作为评审价格。</w:t>
      </w:r>
      <w:r>
        <w:rPr>
          <w:rFonts w:hint="eastAsia" w:ascii="宋体" w:hAnsi="宋体" w:eastAsia="宋体" w:cs="宋体"/>
          <w:color w:val="auto"/>
          <w:kern w:val="0"/>
          <w:sz w:val="24"/>
          <w:szCs w:val="24"/>
          <w:highlight w:val="none"/>
          <w:lang w:val="zh-CN"/>
        </w:rPr>
        <w:t>供应商的评审</w:t>
      </w:r>
      <w:r>
        <w:rPr>
          <w:rFonts w:hint="eastAsia" w:ascii="宋体" w:hAnsi="宋体" w:eastAsia="宋体" w:cs="宋体"/>
          <w:bCs/>
          <w:color w:val="auto"/>
          <w:sz w:val="24"/>
          <w:szCs w:val="24"/>
          <w:highlight w:val="none"/>
        </w:rPr>
        <w:t>价格由供应商代表签字确认。</w:t>
      </w:r>
    </w:p>
    <w:p>
      <w:pPr>
        <w:tabs>
          <w:tab w:val="left" w:pos="0"/>
        </w:tabs>
        <w:adjustRightInd w:val="0"/>
        <w:snapToGrid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（1）节能产品及环保产品</w:t>
      </w:r>
      <w:r>
        <w:rPr>
          <w:rFonts w:hint="eastAsia" w:ascii="宋体" w:hAnsi="宋体" w:eastAsia="宋体" w:cs="宋体"/>
          <w:color w:val="auto"/>
          <w:sz w:val="24"/>
          <w:szCs w:val="24"/>
          <w:highlight w:val="none"/>
        </w:rPr>
        <w:t>价格折扣比例及方法</w:t>
      </w:r>
    </w:p>
    <w:tbl>
      <w:tblPr>
        <w:tblStyle w:val="27"/>
        <w:tblW w:w="1027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
      <w:tblGrid>
        <w:gridCol w:w="844"/>
        <w:gridCol w:w="1393"/>
        <w:gridCol w:w="80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420" w:hRule="atLeast"/>
        </w:trPr>
        <w:tc>
          <w:tcPr>
            <w:tcW w:w="844" w:type="dxa"/>
            <w:tcBorders>
              <w:top w:val="single" w:color="auto" w:sz="4" w:space="0"/>
            </w:tcBorders>
            <w:noWrap w:val="0"/>
            <w:vAlign w:val="center"/>
          </w:tcPr>
          <w:p>
            <w:pPr>
              <w:adjustRightInd w:val="0"/>
              <w:snapToGrid w:val="0"/>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393" w:type="dxa"/>
            <w:tcBorders>
              <w:top w:val="single" w:color="auto" w:sz="4" w:space="0"/>
            </w:tcBorders>
            <w:noWrap w:val="0"/>
            <w:vAlign w:val="center"/>
          </w:tcPr>
          <w:p>
            <w:pPr>
              <w:adjustRightInd w:val="0"/>
              <w:snapToGrid w:val="0"/>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8038" w:type="dxa"/>
            <w:tcBorders>
              <w:top w:val="single" w:color="auto" w:sz="4" w:space="0"/>
            </w:tcBorders>
            <w:noWrap w:val="0"/>
            <w:vAlign w:val="center"/>
          </w:tcPr>
          <w:p>
            <w:pPr>
              <w:adjustRightInd w:val="0"/>
              <w:snapToGrid w:val="0"/>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折扣比例及方法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493" w:hRule="atLeast"/>
        </w:trPr>
        <w:tc>
          <w:tcPr>
            <w:tcW w:w="844" w:type="dxa"/>
            <w:noWrap w:val="0"/>
            <w:vAlign w:val="center"/>
          </w:tcPr>
          <w:p>
            <w:pPr>
              <w:adjustRightInd w:val="0"/>
              <w:snapToGrid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93" w:type="dxa"/>
            <w:noWrap w:val="0"/>
            <w:vAlign w:val="center"/>
          </w:tcPr>
          <w:p>
            <w:pPr>
              <w:adjustRightInd w:val="0"/>
              <w:snapToGrid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节能产品</w:t>
            </w:r>
          </w:p>
        </w:tc>
        <w:tc>
          <w:tcPr>
            <w:tcW w:w="8038" w:type="dxa"/>
            <w:noWrap w:val="0"/>
            <w:vAlign w:val="center"/>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折扣金额=（节能清单部分产品的价格/首次报价）×3%×最后报价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354" w:hRule="atLeast"/>
        </w:trPr>
        <w:tc>
          <w:tcPr>
            <w:tcW w:w="844" w:type="dxa"/>
            <w:noWrap w:val="0"/>
            <w:vAlign w:val="center"/>
          </w:tcPr>
          <w:p>
            <w:pPr>
              <w:adjustRightInd w:val="0"/>
              <w:snapToGrid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93" w:type="dxa"/>
            <w:noWrap w:val="0"/>
            <w:vAlign w:val="center"/>
          </w:tcPr>
          <w:p>
            <w:pPr>
              <w:adjustRightInd w:val="0"/>
              <w:snapToGrid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环保产品</w:t>
            </w:r>
          </w:p>
        </w:tc>
        <w:tc>
          <w:tcPr>
            <w:tcW w:w="8038" w:type="dxa"/>
            <w:noWrap w:val="0"/>
            <w:vAlign w:val="center"/>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折扣金额=（环境清单部分产品的价格/首次报价）×3%×最后报价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438" w:hRule="atLeast"/>
        </w:trPr>
        <w:tc>
          <w:tcPr>
            <w:tcW w:w="844" w:type="dxa"/>
            <w:tcBorders>
              <w:bottom w:val="single" w:color="auto" w:sz="4" w:space="0"/>
            </w:tcBorders>
            <w:noWrap w:val="0"/>
            <w:vAlign w:val="center"/>
          </w:tcPr>
          <w:p>
            <w:pPr>
              <w:adjustRightInd w:val="0"/>
              <w:snapToGrid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393" w:type="dxa"/>
            <w:tcBorders>
              <w:bottom w:val="single" w:color="auto" w:sz="4" w:space="0"/>
            </w:tcBorders>
            <w:noWrap w:val="0"/>
            <w:vAlign w:val="center"/>
          </w:tcPr>
          <w:p>
            <w:pPr>
              <w:adjustRightInd w:val="0"/>
              <w:snapToGrid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证明材料说明</w:t>
            </w:r>
          </w:p>
        </w:tc>
        <w:tc>
          <w:tcPr>
            <w:tcW w:w="8038" w:type="dxa"/>
            <w:tcBorders>
              <w:bottom w:val="single" w:color="auto" w:sz="4" w:space="0"/>
            </w:tcBorders>
            <w:noWrap w:val="0"/>
            <w:vAlign w:val="center"/>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1、须提供中国政府采购网节能环保查询结果</w:t>
            </w:r>
          </w:p>
        </w:tc>
      </w:tr>
    </w:tbl>
    <w:p>
      <w:pPr>
        <w:tabs>
          <w:tab w:val="left" w:pos="0"/>
        </w:tabs>
        <w:adjustRightInd w:val="0"/>
        <w:snapToGrid w:val="0"/>
        <w:spacing w:line="44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说明：1.如有多种产品符合此项政策时，折扣价格为每种产品的折扣金额汇总。</w:t>
      </w:r>
    </w:p>
    <w:p>
      <w:pPr>
        <w:tabs>
          <w:tab w:val="left" w:pos="0"/>
        </w:tabs>
        <w:adjustRightInd w:val="0"/>
        <w:snapToGrid w:val="0"/>
        <w:spacing w:line="44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2.若所投产品同时属于节能产品及环保产品，只进行一次价格折扣认定。</w:t>
      </w:r>
    </w:p>
    <w:p>
      <w:pPr>
        <w:tabs>
          <w:tab w:val="left" w:pos="0"/>
        </w:tabs>
        <w:adjustRightInd w:val="0"/>
        <w:snapToGrid w:val="0"/>
        <w:spacing w:line="44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cs="宋体"/>
          <w:color w:val="auto"/>
          <w:kern w:val="0"/>
          <w:sz w:val="24"/>
          <w:szCs w:val="24"/>
          <w:highlight w:val="none"/>
          <w:lang w:eastAsia="zh-CN"/>
        </w:rPr>
        <w:t>中小微企业</w:t>
      </w:r>
      <w:r>
        <w:rPr>
          <w:rFonts w:hint="eastAsia" w:ascii="宋体" w:hAnsi="宋体" w:eastAsia="宋体" w:cs="宋体"/>
          <w:color w:val="auto"/>
          <w:kern w:val="0"/>
          <w:sz w:val="24"/>
          <w:szCs w:val="24"/>
          <w:highlight w:val="none"/>
        </w:rPr>
        <w:t>价格折扣比例及方法</w:t>
      </w:r>
    </w:p>
    <w:p>
      <w:pPr>
        <w:spacing w:line="440" w:lineRule="exact"/>
        <w:ind w:firstLine="480" w:firstLineChars="200"/>
        <w:rPr>
          <w:rFonts w:hint="eastAsia" w:ascii="宋体" w:hAnsi="宋体" w:eastAsia="宋体" w:cs="宋体"/>
          <w:b w:val="0"/>
          <w:bCs/>
          <w:i w:val="0"/>
          <w:iCs w:val="0"/>
          <w:color w:val="auto"/>
          <w:kern w:val="0"/>
          <w:sz w:val="24"/>
          <w:szCs w:val="24"/>
          <w:highlight w:val="none"/>
          <w:u w:val="none"/>
          <w:lang w:val="en-US" w:eastAsia="zh-CN" w:bidi="ar"/>
        </w:rPr>
      </w:pPr>
      <w:r>
        <w:rPr>
          <w:rFonts w:hint="eastAsia" w:ascii="宋体" w:hAnsi="宋体" w:eastAsia="宋体" w:cs="宋体"/>
          <w:b w:val="0"/>
          <w:bCs/>
          <w:i w:val="0"/>
          <w:iCs w:val="0"/>
          <w:color w:val="auto"/>
          <w:kern w:val="0"/>
          <w:sz w:val="24"/>
          <w:szCs w:val="24"/>
          <w:highlight w:val="none"/>
          <w:u w:val="none"/>
          <w:lang w:val="en-US" w:eastAsia="zh-CN" w:bidi="ar"/>
        </w:rPr>
        <w:t>根据《政府采购促进</w:t>
      </w:r>
      <w:r>
        <w:rPr>
          <w:rFonts w:hint="eastAsia" w:ascii="宋体" w:hAnsi="宋体" w:cs="宋体"/>
          <w:b w:val="0"/>
          <w:bCs/>
          <w:i w:val="0"/>
          <w:iCs w:val="0"/>
          <w:color w:val="auto"/>
          <w:kern w:val="0"/>
          <w:sz w:val="24"/>
          <w:szCs w:val="24"/>
          <w:highlight w:val="none"/>
          <w:u w:val="none"/>
          <w:lang w:val="en-US" w:eastAsia="zh-CN" w:bidi="ar"/>
        </w:rPr>
        <w:t>中小微企业</w:t>
      </w:r>
      <w:r>
        <w:rPr>
          <w:rFonts w:hint="eastAsia" w:ascii="宋体" w:hAnsi="宋体" w:eastAsia="宋体" w:cs="宋体"/>
          <w:b w:val="0"/>
          <w:bCs/>
          <w:i w:val="0"/>
          <w:iCs w:val="0"/>
          <w:color w:val="auto"/>
          <w:kern w:val="0"/>
          <w:sz w:val="24"/>
          <w:szCs w:val="24"/>
          <w:highlight w:val="none"/>
          <w:u w:val="none"/>
          <w:lang w:val="en-US" w:eastAsia="zh-CN" w:bidi="ar"/>
        </w:rPr>
        <w:t>发展暂行办法》（财库〔2011〕181号）文的有关规定，投标人属于符合本办法第二条之规定的</w:t>
      </w:r>
      <w:r>
        <w:rPr>
          <w:rFonts w:hint="eastAsia" w:ascii="宋体" w:hAnsi="宋体" w:cs="宋体"/>
          <w:b w:val="0"/>
          <w:bCs/>
          <w:i w:val="0"/>
          <w:iCs w:val="0"/>
          <w:color w:val="auto"/>
          <w:kern w:val="0"/>
          <w:sz w:val="24"/>
          <w:szCs w:val="24"/>
          <w:highlight w:val="none"/>
          <w:u w:val="none"/>
          <w:lang w:val="en-US" w:eastAsia="zh-CN" w:bidi="ar"/>
        </w:rPr>
        <w:t>中小微企业</w:t>
      </w:r>
      <w:r>
        <w:rPr>
          <w:rFonts w:hint="eastAsia" w:ascii="宋体" w:hAnsi="宋体" w:eastAsia="宋体" w:cs="宋体"/>
          <w:b w:val="0"/>
          <w:bCs/>
          <w:i w:val="0"/>
          <w:iCs w:val="0"/>
          <w:color w:val="auto"/>
          <w:kern w:val="0"/>
          <w:sz w:val="24"/>
          <w:szCs w:val="24"/>
          <w:highlight w:val="none"/>
          <w:u w:val="none"/>
          <w:lang w:val="en-US" w:eastAsia="zh-CN" w:bidi="ar"/>
        </w:rPr>
        <w:t>者，应在</w:t>
      </w:r>
      <w:r>
        <w:rPr>
          <w:rFonts w:hint="eastAsia" w:ascii="宋体" w:hAnsi="宋体" w:cs="宋体"/>
          <w:b w:val="0"/>
          <w:bCs/>
          <w:i w:val="0"/>
          <w:iCs w:val="0"/>
          <w:color w:val="auto"/>
          <w:kern w:val="0"/>
          <w:sz w:val="24"/>
          <w:szCs w:val="24"/>
          <w:highlight w:val="none"/>
          <w:u w:val="none"/>
          <w:lang w:val="en-US" w:eastAsia="zh-CN" w:bidi="ar"/>
        </w:rPr>
        <w:t>投标文件</w:t>
      </w:r>
      <w:r>
        <w:rPr>
          <w:rFonts w:hint="eastAsia" w:ascii="宋体" w:hAnsi="宋体" w:eastAsia="宋体" w:cs="宋体"/>
          <w:b w:val="0"/>
          <w:bCs/>
          <w:i w:val="0"/>
          <w:iCs w:val="0"/>
          <w:color w:val="auto"/>
          <w:kern w:val="0"/>
          <w:sz w:val="24"/>
          <w:szCs w:val="24"/>
          <w:highlight w:val="none"/>
          <w:u w:val="none"/>
          <w:lang w:val="en-US" w:eastAsia="zh-CN" w:bidi="ar"/>
        </w:rPr>
        <w:t>中按财库〔2011〕181号文规定的《</w:t>
      </w:r>
      <w:r>
        <w:rPr>
          <w:rFonts w:hint="eastAsia" w:ascii="宋体" w:hAnsi="宋体" w:cs="宋体"/>
          <w:b w:val="0"/>
          <w:bCs/>
          <w:i w:val="0"/>
          <w:iCs w:val="0"/>
          <w:color w:val="auto"/>
          <w:kern w:val="0"/>
          <w:sz w:val="24"/>
          <w:szCs w:val="24"/>
          <w:highlight w:val="none"/>
          <w:u w:val="none"/>
          <w:lang w:val="en-US" w:eastAsia="zh-CN" w:bidi="ar"/>
        </w:rPr>
        <w:t>中小微企业</w:t>
      </w:r>
      <w:r>
        <w:rPr>
          <w:rFonts w:hint="eastAsia" w:ascii="宋体" w:hAnsi="宋体" w:eastAsia="宋体" w:cs="宋体"/>
          <w:b w:val="0"/>
          <w:bCs/>
          <w:i w:val="0"/>
          <w:iCs w:val="0"/>
          <w:color w:val="auto"/>
          <w:kern w:val="0"/>
          <w:sz w:val="24"/>
          <w:szCs w:val="24"/>
          <w:highlight w:val="none"/>
          <w:u w:val="none"/>
          <w:lang w:val="en-US" w:eastAsia="zh-CN" w:bidi="ar"/>
        </w:rPr>
        <w:t>声明函》格式提供《</w:t>
      </w:r>
      <w:r>
        <w:rPr>
          <w:rFonts w:hint="eastAsia" w:ascii="宋体" w:hAnsi="宋体" w:cs="宋体"/>
          <w:b w:val="0"/>
          <w:bCs/>
          <w:i w:val="0"/>
          <w:iCs w:val="0"/>
          <w:color w:val="auto"/>
          <w:kern w:val="0"/>
          <w:sz w:val="24"/>
          <w:szCs w:val="24"/>
          <w:highlight w:val="none"/>
          <w:u w:val="none"/>
          <w:lang w:val="en-US" w:eastAsia="zh-CN" w:bidi="ar"/>
        </w:rPr>
        <w:t>中小微企业</w:t>
      </w:r>
      <w:r>
        <w:rPr>
          <w:rFonts w:hint="eastAsia" w:ascii="宋体" w:hAnsi="宋体" w:eastAsia="宋体" w:cs="宋体"/>
          <w:b w:val="0"/>
          <w:bCs/>
          <w:i w:val="0"/>
          <w:iCs w:val="0"/>
          <w:color w:val="auto"/>
          <w:kern w:val="0"/>
          <w:sz w:val="24"/>
          <w:szCs w:val="24"/>
          <w:highlight w:val="none"/>
          <w:u w:val="none"/>
          <w:lang w:val="en-US" w:eastAsia="zh-CN" w:bidi="ar"/>
        </w:rPr>
        <w:t>声明函》。根据国务院关于印发</w:t>
      </w:r>
      <w:r>
        <w:rPr>
          <w:rFonts w:hint="eastAsia" w:cs="宋体"/>
          <w:b w:val="0"/>
          <w:bCs/>
          <w:i w:val="0"/>
          <w:iCs w:val="0"/>
          <w:color w:val="auto"/>
          <w:kern w:val="0"/>
          <w:sz w:val="24"/>
          <w:szCs w:val="24"/>
          <w:highlight w:val="none"/>
          <w:u w:val="none"/>
          <w:lang w:val="en-US" w:eastAsia="zh-CN" w:bidi="ar"/>
        </w:rPr>
        <w:t>《</w:t>
      </w:r>
      <w:r>
        <w:rPr>
          <w:rFonts w:hint="eastAsia" w:ascii="宋体" w:hAnsi="宋体" w:eastAsia="宋体" w:cs="宋体"/>
          <w:b w:val="0"/>
          <w:bCs/>
          <w:i w:val="0"/>
          <w:iCs w:val="0"/>
          <w:color w:val="auto"/>
          <w:kern w:val="0"/>
          <w:sz w:val="24"/>
          <w:szCs w:val="24"/>
          <w:highlight w:val="none"/>
          <w:u w:val="none"/>
          <w:lang w:val="en-US" w:eastAsia="zh-CN" w:bidi="ar"/>
        </w:rPr>
        <w:t>扎实稳住经济一揽子政策措施的通知</w:t>
      </w:r>
      <w:r>
        <w:rPr>
          <w:rFonts w:hint="eastAsia" w:cs="宋体"/>
          <w:b w:val="0"/>
          <w:bCs/>
          <w:i w:val="0"/>
          <w:iCs w:val="0"/>
          <w:color w:val="auto"/>
          <w:kern w:val="0"/>
          <w:sz w:val="24"/>
          <w:szCs w:val="24"/>
          <w:highlight w:val="none"/>
          <w:u w:val="none"/>
          <w:lang w:val="en-US" w:eastAsia="zh-CN" w:bidi="ar"/>
        </w:rPr>
        <w:t>》</w:t>
      </w:r>
      <w:r>
        <w:rPr>
          <w:rFonts w:hint="eastAsia" w:ascii="宋体" w:hAnsi="宋体" w:eastAsia="宋体" w:cs="宋体"/>
          <w:b w:val="0"/>
          <w:bCs/>
          <w:i w:val="0"/>
          <w:iCs w:val="0"/>
          <w:color w:val="auto"/>
          <w:kern w:val="0"/>
          <w:sz w:val="24"/>
          <w:szCs w:val="24"/>
          <w:highlight w:val="none"/>
          <w:u w:val="none"/>
          <w:lang w:val="en-US" w:eastAsia="zh-CN" w:bidi="ar"/>
        </w:rPr>
        <w:t>国发〔2022〕12号：</w:t>
      </w:r>
      <w:r>
        <w:rPr>
          <w:rFonts w:hint="eastAsia" w:ascii="宋体" w:hAnsi="宋体" w:eastAsia="宋体" w:cs="宋体"/>
          <w:b w:val="0"/>
          <w:bCs/>
          <w:i w:val="0"/>
          <w:iCs w:val="0"/>
          <w:color w:val="auto"/>
          <w:kern w:val="0"/>
          <w:sz w:val="24"/>
          <w:szCs w:val="24"/>
          <w:highlight w:val="none"/>
          <w:u w:val="none"/>
          <w:lang w:val="en-US" w:eastAsia="zh-CN" w:bidi="ar"/>
        </w:rPr>
        <w:t>“对于非专门面向</w:t>
      </w:r>
      <w:r>
        <w:rPr>
          <w:rFonts w:hint="eastAsia" w:ascii="宋体" w:hAnsi="宋体" w:cs="宋体"/>
          <w:b w:val="0"/>
          <w:bCs/>
          <w:i w:val="0"/>
          <w:iCs w:val="0"/>
          <w:color w:val="auto"/>
          <w:kern w:val="0"/>
          <w:sz w:val="24"/>
          <w:szCs w:val="24"/>
          <w:highlight w:val="none"/>
          <w:u w:val="none"/>
          <w:lang w:val="en-US" w:eastAsia="zh-CN" w:bidi="ar"/>
        </w:rPr>
        <w:t>中小微企业</w:t>
      </w:r>
      <w:r>
        <w:rPr>
          <w:rFonts w:hint="eastAsia" w:ascii="宋体" w:hAnsi="宋体" w:eastAsia="宋体" w:cs="宋体"/>
          <w:b w:val="0"/>
          <w:bCs/>
          <w:i w:val="0"/>
          <w:iCs w:val="0"/>
          <w:color w:val="auto"/>
          <w:kern w:val="0"/>
          <w:sz w:val="24"/>
          <w:szCs w:val="24"/>
          <w:highlight w:val="none"/>
          <w:u w:val="none"/>
          <w:lang w:val="en-US" w:eastAsia="zh-CN" w:bidi="ar"/>
        </w:rPr>
        <w:t>的项目，对</w:t>
      </w:r>
      <w:r>
        <w:rPr>
          <w:rFonts w:hint="eastAsia" w:ascii="宋体" w:hAnsi="宋体" w:cs="宋体"/>
          <w:b w:val="0"/>
          <w:bCs/>
          <w:i w:val="0"/>
          <w:iCs w:val="0"/>
          <w:color w:val="auto"/>
          <w:kern w:val="0"/>
          <w:sz w:val="24"/>
          <w:szCs w:val="24"/>
          <w:highlight w:val="none"/>
          <w:u w:val="none"/>
          <w:lang w:val="en-US" w:eastAsia="zh-CN" w:bidi="ar"/>
        </w:rPr>
        <w:t>中</w:t>
      </w:r>
      <w:r>
        <w:rPr>
          <w:rFonts w:hint="eastAsia" w:cs="宋体"/>
          <w:b w:val="0"/>
          <w:bCs/>
          <w:i w:val="0"/>
          <w:iCs w:val="0"/>
          <w:color w:val="auto"/>
          <w:kern w:val="0"/>
          <w:sz w:val="24"/>
          <w:szCs w:val="24"/>
          <w:highlight w:val="none"/>
          <w:u w:val="none"/>
          <w:lang w:val="en-US" w:eastAsia="zh-CN" w:bidi="ar"/>
        </w:rPr>
        <w:t>小微</w:t>
      </w:r>
      <w:r>
        <w:rPr>
          <w:rFonts w:hint="eastAsia" w:ascii="宋体" w:hAnsi="宋体" w:eastAsia="宋体" w:cs="宋体"/>
          <w:b w:val="0"/>
          <w:bCs/>
          <w:i w:val="0"/>
          <w:iCs w:val="0"/>
          <w:color w:val="auto"/>
          <w:kern w:val="0"/>
          <w:sz w:val="24"/>
          <w:szCs w:val="24"/>
          <w:highlight w:val="none"/>
          <w:u w:val="none"/>
          <w:lang w:val="en-US" w:eastAsia="zh-CN" w:bidi="ar"/>
        </w:rPr>
        <w:t>企业产品的价格给予</w:t>
      </w:r>
      <w:r>
        <w:rPr>
          <w:rFonts w:hint="eastAsia" w:cs="宋体"/>
          <w:b w:val="0"/>
          <w:bCs/>
          <w:i w:val="0"/>
          <w:iCs w:val="0"/>
          <w:color w:val="auto"/>
          <w:kern w:val="0"/>
          <w:sz w:val="24"/>
          <w:szCs w:val="24"/>
          <w:highlight w:val="none"/>
          <w:u w:val="none"/>
          <w:lang w:val="en-US" w:eastAsia="zh-CN" w:bidi="ar"/>
        </w:rPr>
        <w:t>10</w:t>
      </w:r>
      <w:r>
        <w:rPr>
          <w:rFonts w:hint="eastAsia" w:ascii="宋体" w:hAnsi="宋体" w:eastAsia="宋体" w:cs="宋体"/>
          <w:b w:val="0"/>
          <w:bCs/>
          <w:i w:val="0"/>
          <w:iCs w:val="0"/>
          <w:color w:val="auto"/>
          <w:kern w:val="0"/>
          <w:sz w:val="24"/>
          <w:szCs w:val="24"/>
          <w:highlight w:val="none"/>
          <w:u w:val="none"/>
          <w:lang w:val="en-US" w:eastAsia="zh-CN" w:bidi="ar"/>
        </w:rPr>
        <w:t>%～</w:t>
      </w:r>
      <w:r>
        <w:rPr>
          <w:rFonts w:hint="eastAsia" w:cs="宋体"/>
          <w:b w:val="0"/>
          <w:bCs/>
          <w:i w:val="0"/>
          <w:iCs w:val="0"/>
          <w:color w:val="auto"/>
          <w:kern w:val="0"/>
          <w:sz w:val="24"/>
          <w:szCs w:val="24"/>
          <w:highlight w:val="none"/>
          <w:u w:val="none"/>
          <w:lang w:val="en-US" w:eastAsia="zh-CN" w:bidi="ar"/>
        </w:rPr>
        <w:t>2</w:t>
      </w:r>
      <w:r>
        <w:rPr>
          <w:rFonts w:hint="eastAsia" w:ascii="宋体" w:hAnsi="宋体" w:eastAsia="宋体" w:cs="宋体"/>
          <w:b w:val="0"/>
          <w:bCs/>
          <w:i w:val="0"/>
          <w:iCs w:val="0"/>
          <w:color w:val="auto"/>
          <w:kern w:val="0"/>
          <w:sz w:val="24"/>
          <w:szCs w:val="24"/>
          <w:highlight w:val="none"/>
          <w:u w:val="none"/>
          <w:lang w:val="en-US" w:eastAsia="zh-CN" w:bidi="ar"/>
        </w:rPr>
        <w:t>0%的扣除，用扣除后的价格参与评审，具体扣除比例由采购人或者采购代理机构确定”的规定，在评审过程中，</w:t>
      </w:r>
      <w:r>
        <w:rPr>
          <w:rFonts w:hint="eastAsia" w:ascii="宋体" w:hAnsi="宋体" w:eastAsia="宋体" w:cs="宋体"/>
          <w:i w:val="0"/>
          <w:iCs w:val="0"/>
          <w:color w:val="auto"/>
          <w:kern w:val="0"/>
          <w:sz w:val="24"/>
          <w:szCs w:val="24"/>
          <w:highlight w:val="none"/>
          <w:u w:val="none"/>
          <w:lang w:val="en-US" w:eastAsia="zh-CN" w:bidi="ar"/>
        </w:rPr>
        <w:t>给予 10%的扣除</w:t>
      </w:r>
      <w:r>
        <w:rPr>
          <w:rFonts w:hint="eastAsia" w:ascii="宋体" w:hAnsi="宋体" w:eastAsia="宋体" w:cs="宋体"/>
          <w:b w:val="0"/>
          <w:bCs/>
          <w:i w:val="0"/>
          <w:iCs w:val="0"/>
          <w:color w:val="auto"/>
          <w:kern w:val="0"/>
          <w:sz w:val="24"/>
          <w:szCs w:val="24"/>
          <w:highlight w:val="none"/>
          <w:u w:val="none"/>
          <w:lang w:val="en-US" w:eastAsia="zh-CN" w:bidi="ar"/>
        </w:rPr>
        <w:t>。</w:t>
      </w:r>
    </w:p>
    <w:p>
      <w:p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22. 详细评审</w:t>
      </w:r>
    </w:p>
    <w:p>
      <w:pPr>
        <w:spacing w:line="440" w:lineRule="exact"/>
        <w:ind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22.1  经初步评审合格的投标文件，</w:t>
      </w:r>
      <w:r>
        <w:rPr>
          <w:rFonts w:hint="eastAsia" w:ascii="宋体" w:hAnsi="宋体" w:cs="宋体"/>
          <w:color w:val="auto"/>
          <w:spacing w:val="-2"/>
          <w:sz w:val="24"/>
          <w:szCs w:val="24"/>
          <w:highlight w:val="none"/>
          <w:lang w:eastAsia="zh-CN"/>
        </w:rPr>
        <w:t>磋商小组</w:t>
      </w:r>
      <w:r>
        <w:rPr>
          <w:rFonts w:hint="eastAsia" w:ascii="宋体" w:hAnsi="宋体" w:eastAsia="宋体" w:cs="宋体"/>
          <w:color w:val="auto"/>
          <w:spacing w:val="-2"/>
          <w:sz w:val="24"/>
          <w:szCs w:val="24"/>
          <w:highlight w:val="none"/>
        </w:rPr>
        <w:t>应当根据</w:t>
      </w:r>
      <w:r>
        <w:rPr>
          <w:rFonts w:hint="eastAsia" w:ascii="宋体" w:hAnsi="宋体" w:cs="宋体"/>
          <w:color w:val="auto"/>
          <w:spacing w:val="-2"/>
          <w:sz w:val="24"/>
          <w:szCs w:val="24"/>
          <w:highlight w:val="none"/>
          <w:lang w:eastAsia="zh-CN"/>
        </w:rPr>
        <w:t>磋商文件</w:t>
      </w:r>
      <w:r>
        <w:rPr>
          <w:rFonts w:hint="eastAsia" w:ascii="宋体" w:hAnsi="宋体" w:eastAsia="宋体" w:cs="宋体"/>
          <w:color w:val="auto"/>
          <w:spacing w:val="-2"/>
          <w:sz w:val="24"/>
          <w:szCs w:val="24"/>
          <w:highlight w:val="none"/>
        </w:rPr>
        <w:t>确定的评标标准和方法，对</w:t>
      </w:r>
      <w:r>
        <w:rPr>
          <w:rFonts w:hint="eastAsia" w:ascii="宋体" w:hAnsi="宋体" w:eastAsia="宋体" w:cs="宋体"/>
          <w:color w:val="auto"/>
          <w:sz w:val="24"/>
          <w:szCs w:val="24"/>
          <w:highlight w:val="none"/>
        </w:rPr>
        <w:t>投标人所有投标产品的</w:t>
      </w:r>
      <w:r>
        <w:rPr>
          <w:rFonts w:hint="eastAsia" w:ascii="宋体" w:hAnsi="宋体" w:eastAsia="宋体" w:cs="宋体"/>
          <w:color w:val="auto"/>
          <w:spacing w:val="-2"/>
          <w:sz w:val="24"/>
          <w:szCs w:val="24"/>
          <w:highlight w:val="none"/>
        </w:rPr>
        <w:t>技术和商务部分进行详细评审和比较</w:t>
      </w:r>
      <w:r>
        <w:rPr>
          <w:rFonts w:hint="eastAsia" w:ascii="宋体" w:hAnsi="宋体" w:eastAsia="宋体" w:cs="宋体"/>
          <w:color w:val="auto"/>
          <w:sz w:val="24"/>
          <w:szCs w:val="24"/>
          <w:highlight w:val="none"/>
        </w:rPr>
        <w:t>，未通过详细评审的投标产品视为无效投标产品。</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22.2  在评审过程中，为了有助于对投标文件进行审查、评估和比较，投标人有责任按照招标方通知的时间、地点指派专人进行答疑和澄清。</w:t>
      </w:r>
      <w:r>
        <w:rPr>
          <w:rFonts w:hint="eastAsia" w:ascii="宋体" w:hAnsi="宋体" w:cs="宋体"/>
          <w:color w:val="auto"/>
          <w:spacing w:val="-2"/>
          <w:sz w:val="24"/>
          <w:szCs w:val="24"/>
          <w:highlight w:val="none"/>
          <w:lang w:eastAsia="zh-CN"/>
        </w:rPr>
        <w:t>磋商小组</w:t>
      </w:r>
      <w:r>
        <w:rPr>
          <w:rFonts w:hint="eastAsia" w:ascii="宋体" w:hAnsi="宋体" w:eastAsia="宋体" w:cs="宋体"/>
          <w:color w:val="auto"/>
          <w:spacing w:val="-2"/>
          <w:sz w:val="24"/>
          <w:szCs w:val="24"/>
          <w:highlight w:val="none"/>
        </w:rPr>
        <w:t>可能要求投标人就投标文件中的内容进行答辩，招标方将以书面形式通知投标人，投标人应按要求进行答辩。</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22.3采用综合评分法衡量投标文件在是否最大限度地满足</w:t>
      </w:r>
      <w:r>
        <w:rPr>
          <w:rFonts w:hint="eastAsia" w:ascii="宋体" w:hAnsi="宋体" w:cs="宋体"/>
          <w:color w:val="auto"/>
          <w:spacing w:val="-2"/>
          <w:sz w:val="24"/>
          <w:szCs w:val="24"/>
          <w:highlight w:val="none"/>
          <w:lang w:eastAsia="zh-CN"/>
        </w:rPr>
        <w:t>磋商文件</w:t>
      </w:r>
      <w:r>
        <w:rPr>
          <w:rFonts w:hint="eastAsia" w:ascii="宋体" w:hAnsi="宋体" w:eastAsia="宋体" w:cs="宋体"/>
          <w:color w:val="auto"/>
          <w:spacing w:val="-2"/>
          <w:sz w:val="24"/>
          <w:szCs w:val="24"/>
          <w:highlight w:val="none"/>
        </w:rPr>
        <w:t>实质性要求前提下，按照</w:t>
      </w:r>
      <w:r>
        <w:rPr>
          <w:rFonts w:hint="eastAsia" w:ascii="宋体" w:hAnsi="宋体" w:cs="宋体"/>
          <w:color w:val="auto"/>
          <w:spacing w:val="-2"/>
          <w:sz w:val="24"/>
          <w:szCs w:val="24"/>
          <w:highlight w:val="none"/>
          <w:lang w:eastAsia="zh-CN"/>
        </w:rPr>
        <w:t>磋商文件</w:t>
      </w:r>
      <w:r>
        <w:rPr>
          <w:rFonts w:hint="eastAsia" w:ascii="宋体" w:hAnsi="宋体" w:eastAsia="宋体" w:cs="宋体"/>
          <w:color w:val="auto"/>
          <w:spacing w:val="-2"/>
          <w:sz w:val="24"/>
          <w:szCs w:val="24"/>
          <w:highlight w:val="none"/>
        </w:rPr>
        <w:t>中规定的各项因素进行综合评审后，依据得分高低，依次确定为中标候选人。</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cs="宋体"/>
          <w:color w:val="auto"/>
          <w:spacing w:val="-2"/>
          <w:sz w:val="24"/>
          <w:szCs w:val="24"/>
          <w:highlight w:val="none"/>
          <w:lang w:eastAsia="zh-CN"/>
        </w:rPr>
        <w:t>磋商小组</w:t>
      </w:r>
      <w:r>
        <w:rPr>
          <w:rFonts w:hint="eastAsia" w:ascii="宋体" w:hAnsi="宋体" w:eastAsia="宋体" w:cs="宋体"/>
          <w:color w:val="auto"/>
          <w:spacing w:val="-2"/>
          <w:sz w:val="24"/>
          <w:szCs w:val="24"/>
          <w:highlight w:val="none"/>
        </w:rPr>
        <w:t>按照</w:t>
      </w:r>
      <w:r>
        <w:rPr>
          <w:rFonts w:hint="eastAsia" w:ascii="宋体" w:hAnsi="宋体" w:cs="宋体"/>
          <w:color w:val="auto"/>
          <w:spacing w:val="-2"/>
          <w:sz w:val="24"/>
          <w:szCs w:val="24"/>
          <w:highlight w:val="none"/>
          <w:lang w:eastAsia="zh-CN"/>
        </w:rPr>
        <w:t>磋商文件</w:t>
      </w:r>
      <w:r>
        <w:rPr>
          <w:rFonts w:hint="eastAsia" w:ascii="宋体" w:hAnsi="宋体" w:eastAsia="宋体" w:cs="宋体"/>
          <w:color w:val="auto"/>
          <w:spacing w:val="-2"/>
          <w:sz w:val="24"/>
          <w:szCs w:val="24"/>
          <w:highlight w:val="none"/>
        </w:rPr>
        <w:t>规定的方式确定一个投标人获得中标人推荐资格，</w:t>
      </w:r>
      <w:r>
        <w:rPr>
          <w:rFonts w:hint="eastAsia" w:ascii="宋体" w:hAnsi="宋体" w:cs="宋体"/>
          <w:color w:val="auto"/>
          <w:spacing w:val="-2"/>
          <w:sz w:val="24"/>
          <w:szCs w:val="24"/>
          <w:highlight w:val="none"/>
          <w:lang w:eastAsia="zh-CN"/>
        </w:rPr>
        <w:t>磋商文件</w:t>
      </w:r>
      <w:r>
        <w:rPr>
          <w:rFonts w:hint="eastAsia" w:ascii="宋体" w:hAnsi="宋体" w:eastAsia="宋体" w:cs="宋体"/>
          <w:color w:val="auto"/>
          <w:spacing w:val="-2"/>
          <w:sz w:val="24"/>
          <w:szCs w:val="24"/>
          <w:highlight w:val="none"/>
        </w:rPr>
        <w:t>未规定的采取随机抽取方式确定，其他同品牌投标人不作为中标候选人。</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非单一产品采购项目，采购人应当根据采购项目技术构成、产品价格比重等合理确定核心产品，并在</w:t>
      </w:r>
      <w:r>
        <w:rPr>
          <w:rFonts w:hint="eastAsia" w:ascii="宋体" w:hAnsi="宋体" w:cs="宋体"/>
          <w:color w:val="auto"/>
          <w:spacing w:val="-2"/>
          <w:sz w:val="24"/>
          <w:szCs w:val="24"/>
          <w:highlight w:val="none"/>
          <w:lang w:eastAsia="zh-CN"/>
        </w:rPr>
        <w:t>磋商文件</w:t>
      </w:r>
      <w:r>
        <w:rPr>
          <w:rFonts w:hint="eastAsia" w:ascii="宋体" w:hAnsi="宋体" w:eastAsia="宋体" w:cs="宋体"/>
          <w:color w:val="auto"/>
          <w:spacing w:val="-2"/>
          <w:sz w:val="24"/>
          <w:szCs w:val="24"/>
          <w:highlight w:val="none"/>
        </w:rPr>
        <w:t>中载明。多家投标人提供的核心产品品牌相同的，按前款规定处理。</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22.3.1当投标人总得分相同时，以投标价格低者排位在前。</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22.4根据综合评分法完成评标后，</w:t>
      </w:r>
      <w:r>
        <w:rPr>
          <w:rFonts w:hint="eastAsia" w:ascii="宋体" w:hAnsi="宋体" w:cs="宋体"/>
          <w:color w:val="auto"/>
          <w:spacing w:val="-2"/>
          <w:sz w:val="24"/>
          <w:szCs w:val="24"/>
          <w:highlight w:val="none"/>
          <w:lang w:eastAsia="zh-CN"/>
        </w:rPr>
        <w:t>磋商小组</w:t>
      </w:r>
      <w:r>
        <w:rPr>
          <w:rFonts w:hint="eastAsia" w:ascii="宋体" w:hAnsi="宋体" w:eastAsia="宋体" w:cs="宋体"/>
          <w:color w:val="auto"/>
          <w:spacing w:val="-2"/>
          <w:sz w:val="24"/>
          <w:szCs w:val="24"/>
          <w:highlight w:val="none"/>
        </w:rPr>
        <w:t>应当拟定一份书面评标报告提交招标方。评标报告应当载明投标人的投标项目、所作的任何修正、对商业偏差的调整、对技术偏差的调整、对各评审因素的评估以及对每一投标的最终评审结果。</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22.5投标人自本次招标采购活动前三年内在投标活动中有违法违纪活动一经查出，将取消投标资格，已经中标的，取消中标资格。</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22.6评标和定标一般应当在开标后7个工作日内完成，项目金额较大、技术较为复杂等特殊项目的评标工作应当在30个工作日内完成。不能在开标后30个工作日内完成评标和定标的，招标人应当提前3天通知所有投标人延长投标有效期。同意延长投标有效期的投标人应当相应延长投标保证金的有效期，但不得修改投标文件的实质性内容。</w:t>
      </w:r>
    </w:p>
    <w:p>
      <w:pPr>
        <w:numPr>
          <w:ilvl w:val="0"/>
          <w:numId w:val="5"/>
        </w:numPr>
        <w:spacing w:line="460" w:lineRule="exact"/>
        <w:ind w:firstLine="559"/>
        <w:jc w:val="left"/>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eastAsia="zh-CN"/>
        </w:rPr>
        <w:t>磋商小组</w:t>
      </w:r>
      <w:r>
        <w:rPr>
          <w:rFonts w:hint="eastAsia" w:ascii="宋体" w:hAnsi="宋体" w:eastAsia="宋体" w:cs="宋体"/>
          <w:b/>
          <w:bCs/>
          <w:color w:val="auto"/>
          <w:sz w:val="24"/>
          <w:szCs w:val="24"/>
          <w:highlight w:val="none"/>
        </w:rPr>
        <w:t>将对下述评审因素进行量化，并根据评委会每个成员对投标文件的评审和理解进行打分，满分为100分。报价权重占</w:t>
      </w:r>
      <w:r>
        <w:rPr>
          <w:rFonts w:hint="eastAsia" w:ascii="宋体" w:hAnsi="宋体" w:cs="宋体"/>
          <w:b/>
          <w:bCs/>
          <w:color w:val="auto"/>
          <w:sz w:val="24"/>
          <w:szCs w:val="24"/>
          <w:highlight w:val="none"/>
          <w:lang w:val="en-US" w:eastAsia="zh-CN"/>
        </w:rPr>
        <w:t>20</w:t>
      </w:r>
      <w:r>
        <w:rPr>
          <w:rFonts w:hint="eastAsia" w:ascii="宋体" w:hAnsi="宋体" w:eastAsia="宋体" w:cs="宋体"/>
          <w:b/>
          <w:bCs/>
          <w:color w:val="auto"/>
          <w:sz w:val="24"/>
          <w:szCs w:val="24"/>
          <w:highlight w:val="none"/>
        </w:rPr>
        <w:t>%，满分为</w:t>
      </w:r>
      <w:r>
        <w:rPr>
          <w:rFonts w:hint="eastAsia" w:ascii="宋体" w:hAnsi="宋体" w:cs="宋体"/>
          <w:b/>
          <w:bCs/>
          <w:color w:val="auto"/>
          <w:sz w:val="24"/>
          <w:szCs w:val="24"/>
          <w:highlight w:val="none"/>
          <w:lang w:val="en-US" w:eastAsia="zh-CN"/>
        </w:rPr>
        <w:t>20</w:t>
      </w:r>
      <w:r>
        <w:rPr>
          <w:rFonts w:hint="eastAsia" w:ascii="宋体" w:hAnsi="宋体" w:eastAsia="宋体" w:cs="宋体"/>
          <w:b/>
          <w:bCs/>
          <w:color w:val="auto"/>
          <w:sz w:val="24"/>
          <w:szCs w:val="24"/>
          <w:highlight w:val="none"/>
        </w:rPr>
        <w:t>分</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技术部分权重占</w:t>
      </w:r>
      <w:r>
        <w:rPr>
          <w:rFonts w:hint="eastAsia" w:ascii="宋体" w:hAnsi="宋体" w:cs="宋体"/>
          <w:b/>
          <w:bCs/>
          <w:color w:val="auto"/>
          <w:sz w:val="24"/>
          <w:szCs w:val="24"/>
          <w:highlight w:val="none"/>
          <w:lang w:val="en-US" w:eastAsia="zh-CN"/>
        </w:rPr>
        <w:t>80</w:t>
      </w:r>
      <w:r>
        <w:rPr>
          <w:rFonts w:hint="eastAsia" w:ascii="宋体" w:hAnsi="宋体" w:eastAsia="宋体" w:cs="宋体"/>
          <w:b/>
          <w:bCs/>
          <w:color w:val="auto"/>
          <w:sz w:val="24"/>
          <w:szCs w:val="24"/>
          <w:highlight w:val="none"/>
        </w:rPr>
        <w:t>%，满分为</w:t>
      </w:r>
      <w:r>
        <w:rPr>
          <w:rFonts w:hint="eastAsia" w:ascii="宋体" w:hAnsi="宋体" w:cs="宋体"/>
          <w:b/>
          <w:bCs/>
          <w:color w:val="auto"/>
          <w:sz w:val="24"/>
          <w:szCs w:val="24"/>
          <w:highlight w:val="none"/>
          <w:lang w:val="en-US" w:eastAsia="zh-CN"/>
        </w:rPr>
        <w:t>80</w:t>
      </w:r>
      <w:r>
        <w:rPr>
          <w:rFonts w:hint="eastAsia" w:ascii="宋体" w:hAnsi="宋体" w:eastAsia="宋体" w:cs="宋体"/>
          <w:b/>
          <w:bCs/>
          <w:color w:val="auto"/>
          <w:sz w:val="24"/>
          <w:szCs w:val="24"/>
          <w:highlight w:val="none"/>
        </w:rPr>
        <w:t>分。投标人两部分的分值相加，即为该投标人的综合评估分。具体分值见下表：</w:t>
      </w:r>
    </w:p>
    <w:tbl>
      <w:tblPr>
        <w:tblStyle w:val="27"/>
        <w:tblW w:w="9582" w:type="dxa"/>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6"/>
        <w:gridCol w:w="742"/>
        <w:gridCol w:w="1341"/>
        <w:gridCol w:w="6159"/>
        <w:gridCol w:w="8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12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评分因素</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评分点</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评分标准</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分值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4" w:hRule="atLeast"/>
        </w:trPr>
        <w:tc>
          <w:tcPr>
            <w:tcW w:w="4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详细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评审</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价格评审</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分</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投标报价</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投标报价得分=(评标基准价/修正后投标报价)×</w:t>
            </w: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备注：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1.投标价格评分采用低价优先法计算；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2.评标基准价：满足</w:t>
            </w:r>
            <w:r>
              <w:rPr>
                <w:rFonts w:hint="eastAsia" w:ascii="宋体" w:hAnsi="宋体" w:cs="宋体"/>
                <w:i w:val="0"/>
                <w:iCs w:val="0"/>
                <w:color w:val="auto"/>
                <w:kern w:val="0"/>
                <w:sz w:val="24"/>
                <w:szCs w:val="24"/>
                <w:highlight w:val="none"/>
                <w:u w:val="none"/>
                <w:lang w:val="en-US" w:eastAsia="zh-CN" w:bidi="ar"/>
              </w:rPr>
              <w:t>磋商文件</w:t>
            </w:r>
            <w:r>
              <w:rPr>
                <w:rFonts w:hint="eastAsia" w:ascii="宋体" w:hAnsi="宋体" w:eastAsia="宋体" w:cs="宋体"/>
                <w:i w:val="0"/>
                <w:iCs w:val="0"/>
                <w:color w:val="auto"/>
                <w:kern w:val="0"/>
                <w:sz w:val="24"/>
                <w:szCs w:val="24"/>
                <w:highlight w:val="none"/>
                <w:u w:val="none"/>
                <w:lang w:val="en-US" w:eastAsia="zh-CN" w:bidi="ar"/>
              </w:rPr>
              <w:t>要求且经算术修正，依据政府采购政策进行价格扣除后的最低报价为评标基准价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3.修正后投标报价：</w:t>
            </w:r>
            <w:r>
              <w:rPr>
                <w:rFonts w:hint="eastAsia" w:ascii="宋体" w:hAnsi="宋体" w:cs="宋体"/>
                <w:i w:val="0"/>
                <w:iCs w:val="0"/>
                <w:color w:val="auto"/>
                <w:kern w:val="0"/>
                <w:sz w:val="24"/>
                <w:szCs w:val="24"/>
                <w:highlight w:val="none"/>
                <w:u w:val="none"/>
                <w:lang w:val="en-US" w:eastAsia="zh-CN" w:bidi="ar"/>
              </w:rPr>
              <w:t>磋商小组</w:t>
            </w:r>
            <w:r>
              <w:rPr>
                <w:rFonts w:hint="eastAsia" w:ascii="宋体" w:hAnsi="宋体" w:eastAsia="宋体" w:cs="宋体"/>
                <w:i w:val="0"/>
                <w:iCs w:val="0"/>
                <w:color w:val="auto"/>
                <w:kern w:val="0"/>
                <w:sz w:val="24"/>
                <w:szCs w:val="24"/>
                <w:highlight w:val="none"/>
                <w:u w:val="none"/>
                <w:lang w:val="en-US" w:eastAsia="zh-CN" w:bidi="ar"/>
              </w:rPr>
              <w:t>依据政府采购政策进行价格扣除后，作为投标报价计算的依据。有效投标报价为通过初步审查的投标人报价。依据财政部《关于印发《政府采购促进</w:t>
            </w:r>
            <w:r>
              <w:rPr>
                <w:rFonts w:hint="eastAsia" w:ascii="宋体" w:hAnsi="宋体" w:cs="宋体"/>
                <w:i w:val="0"/>
                <w:iCs w:val="0"/>
                <w:color w:val="auto"/>
                <w:kern w:val="0"/>
                <w:sz w:val="24"/>
                <w:szCs w:val="24"/>
                <w:highlight w:val="none"/>
                <w:u w:val="none"/>
                <w:lang w:val="en-US" w:eastAsia="zh-CN" w:bidi="ar"/>
              </w:rPr>
              <w:t>中小微企业</w:t>
            </w:r>
            <w:r>
              <w:rPr>
                <w:rFonts w:hint="eastAsia" w:ascii="宋体" w:hAnsi="宋体" w:eastAsia="宋体" w:cs="宋体"/>
                <w:i w:val="0"/>
                <w:iCs w:val="0"/>
                <w:color w:val="auto"/>
                <w:kern w:val="0"/>
                <w:sz w:val="24"/>
                <w:szCs w:val="24"/>
                <w:highlight w:val="none"/>
                <w:u w:val="none"/>
                <w:lang w:val="en-US" w:eastAsia="zh-CN" w:bidi="ar"/>
              </w:rPr>
              <w:t>发展管理办法》 的通知》（财库〔2020〕46 号）、《国务院关于印发扎实稳住经济一揽子政策措施的通知》（国发〔2022〕12号，以下简称《通知》）：规定本项目对</w:t>
            </w:r>
            <w:r>
              <w:rPr>
                <w:rFonts w:hint="eastAsia" w:ascii="宋体" w:hAnsi="宋体" w:cs="宋体"/>
                <w:i w:val="0"/>
                <w:iCs w:val="0"/>
                <w:color w:val="auto"/>
                <w:kern w:val="0"/>
                <w:sz w:val="24"/>
                <w:szCs w:val="24"/>
                <w:highlight w:val="none"/>
                <w:u w:val="none"/>
                <w:lang w:val="en-US" w:eastAsia="zh-CN" w:bidi="ar"/>
              </w:rPr>
              <w:t>中小微企业</w:t>
            </w:r>
            <w:r>
              <w:rPr>
                <w:rFonts w:hint="eastAsia" w:ascii="宋体" w:hAnsi="宋体" w:eastAsia="宋体" w:cs="宋体"/>
                <w:i w:val="0"/>
                <w:iCs w:val="0"/>
                <w:color w:val="auto"/>
                <w:kern w:val="0"/>
                <w:sz w:val="24"/>
                <w:szCs w:val="24"/>
                <w:highlight w:val="none"/>
                <w:u w:val="none"/>
                <w:lang w:val="en-US" w:eastAsia="zh-CN" w:bidi="ar"/>
              </w:rPr>
              <w:t>产品的价格给予 10%的扣除，用扣除后的价格参与评审，但参加本次采购活动的</w:t>
            </w:r>
            <w:r>
              <w:rPr>
                <w:rFonts w:hint="eastAsia" w:ascii="宋体" w:hAnsi="宋体" w:cs="宋体"/>
                <w:i w:val="0"/>
                <w:iCs w:val="0"/>
                <w:color w:val="auto"/>
                <w:kern w:val="0"/>
                <w:sz w:val="24"/>
                <w:szCs w:val="24"/>
                <w:highlight w:val="none"/>
                <w:u w:val="none"/>
                <w:lang w:val="en-US" w:eastAsia="zh-CN" w:bidi="ar"/>
              </w:rPr>
              <w:t>中小微企业</w:t>
            </w:r>
            <w:r>
              <w:rPr>
                <w:rFonts w:hint="eastAsia" w:ascii="宋体" w:hAnsi="宋体" w:eastAsia="宋体" w:cs="宋体"/>
                <w:i w:val="0"/>
                <w:iCs w:val="0"/>
                <w:color w:val="auto"/>
                <w:kern w:val="0"/>
                <w:sz w:val="24"/>
                <w:szCs w:val="24"/>
                <w:highlight w:val="none"/>
                <w:u w:val="none"/>
                <w:lang w:val="en-US" w:eastAsia="zh-CN" w:bidi="ar"/>
              </w:rPr>
              <w:t>应当提供本办法规定的《</w:t>
            </w:r>
            <w:r>
              <w:rPr>
                <w:rFonts w:hint="eastAsia" w:ascii="宋体" w:hAnsi="宋体" w:cs="宋体"/>
                <w:i w:val="0"/>
                <w:iCs w:val="0"/>
                <w:color w:val="auto"/>
                <w:kern w:val="0"/>
                <w:sz w:val="24"/>
                <w:szCs w:val="24"/>
                <w:highlight w:val="none"/>
                <w:u w:val="none"/>
                <w:lang w:val="en-US" w:eastAsia="zh-CN" w:bidi="ar"/>
              </w:rPr>
              <w:t>中小微企业</w:t>
            </w:r>
            <w:r>
              <w:rPr>
                <w:rFonts w:hint="eastAsia" w:ascii="宋体" w:hAnsi="宋体" w:eastAsia="宋体" w:cs="宋体"/>
                <w:i w:val="0"/>
                <w:iCs w:val="0"/>
                <w:color w:val="auto"/>
                <w:kern w:val="0"/>
                <w:sz w:val="24"/>
                <w:szCs w:val="24"/>
                <w:highlight w:val="none"/>
                <w:u w:val="none"/>
                <w:lang w:val="en-US" w:eastAsia="zh-CN" w:bidi="ar"/>
              </w:rPr>
              <w:t>声明函》和出具相关行政部门证明。小型、微型企业提供中型企业制造的货物的，视同为中型企业。</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7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商务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评审</w:t>
            </w:r>
            <w:r>
              <w:rPr>
                <w:rFonts w:hint="eastAsia" w:ascii="宋体" w:hAnsi="宋体" w:eastAsia="宋体" w:cs="宋体"/>
                <w:i w:val="0"/>
                <w:iCs w:val="0"/>
                <w:color w:val="auto"/>
                <w:kern w:val="0"/>
                <w:sz w:val="24"/>
                <w:szCs w:val="24"/>
                <w:highlight w:val="none"/>
                <w:u w:val="none"/>
                <w:lang w:val="en-US" w:eastAsia="zh-CN" w:bidi="ar"/>
              </w:rPr>
              <w:br w:type="textWrapping"/>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7</w:t>
            </w:r>
            <w:r>
              <w:rPr>
                <w:rFonts w:hint="eastAsia" w:ascii="宋体" w:hAnsi="宋体" w:eastAsia="宋体" w:cs="宋体"/>
                <w:i w:val="0"/>
                <w:iCs w:val="0"/>
                <w:color w:val="auto"/>
                <w:kern w:val="0"/>
                <w:sz w:val="24"/>
                <w:szCs w:val="24"/>
                <w:highlight w:val="none"/>
                <w:u w:val="none"/>
                <w:lang w:val="en-US" w:eastAsia="zh-CN" w:bidi="ar"/>
              </w:rPr>
              <w:t>分</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经营业绩</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分）</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根据投标文件所提供的投标人投标截止日前三年内同类项目经营业绩进行比较：每一份有效业绩加2分，直至满1</w:t>
            </w: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分。未提供相关证明的该项为0分。</w:t>
            </w:r>
          </w:p>
        </w:tc>
        <w:tc>
          <w:tcPr>
            <w:tcW w:w="8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r>
              <w:rPr>
                <w:rFonts w:hint="eastAsia" w:ascii="宋体" w:hAnsi="宋体" w:cs="宋体"/>
                <w:i w:val="0"/>
                <w:iCs w:val="0"/>
                <w:color w:val="auto"/>
                <w:kern w:val="0"/>
                <w:sz w:val="24"/>
                <w:szCs w:val="24"/>
                <w:highlight w:val="none"/>
                <w:u w:val="none"/>
                <w:lang w:val="en-US" w:eastAsia="zh-CN" w:bidi="ar"/>
              </w:rPr>
              <w:t>7</w:t>
            </w:r>
            <w:r>
              <w:rPr>
                <w:rFonts w:hint="eastAsia" w:ascii="宋体" w:hAnsi="宋体" w:eastAsia="宋体" w:cs="宋体"/>
                <w:i w:val="0"/>
                <w:iCs w:val="0"/>
                <w:color w:val="auto"/>
                <w:kern w:val="0"/>
                <w:sz w:val="24"/>
                <w:szCs w:val="24"/>
                <w:highlight w:val="none"/>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5" w:hRule="atLeast"/>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综合实力</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分）</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根据投标商为其他单位提供的无人机巡护及应急救援服务的质量、反馈满意情况</w:t>
            </w:r>
            <w:r>
              <w:rPr>
                <w:rFonts w:hint="eastAsia" w:ascii="宋体" w:hAnsi="宋体" w:cs="宋体"/>
                <w:i w:val="0"/>
                <w:iCs w:val="0"/>
                <w:color w:val="auto"/>
                <w:kern w:val="0"/>
                <w:sz w:val="24"/>
                <w:szCs w:val="24"/>
                <w:highlight w:val="none"/>
                <w:u w:val="none"/>
                <w:lang w:val="en-US" w:eastAsia="zh-CN" w:bidi="ar"/>
              </w:rPr>
              <w:t>，提供其他单位的反馈情况单，每提供一份反馈情况单得1分，最高5分</w:t>
            </w:r>
          </w:p>
        </w:tc>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3" w:hRule="atLeast"/>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742"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技术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评审</w:t>
            </w:r>
            <w:r>
              <w:rPr>
                <w:rFonts w:hint="eastAsia" w:ascii="宋体" w:hAnsi="宋体" w:eastAsia="宋体" w:cs="宋体"/>
                <w:i w:val="0"/>
                <w:iCs w:val="0"/>
                <w:color w:val="auto"/>
                <w:kern w:val="0"/>
                <w:sz w:val="24"/>
                <w:szCs w:val="24"/>
                <w:highlight w:val="none"/>
                <w:u w:val="none"/>
                <w:lang w:val="en-US" w:eastAsia="zh-CN" w:bidi="ar"/>
              </w:rPr>
              <w:br w:type="textWrapping"/>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63</w:t>
            </w:r>
            <w:r>
              <w:rPr>
                <w:rFonts w:hint="eastAsia" w:ascii="宋体" w:hAnsi="宋体" w:eastAsia="宋体" w:cs="宋体"/>
                <w:i w:val="0"/>
                <w:iCs w:val="0"/>
                <w:color w:val="auto"/>
                <w:kern w:val="0"/>
                <w:sz w:val="24"/>
                <w:szCs w:val="24"/>
                <w:highlight w:val="none"/>
                <w:u w:val="none"/>
                <w:lang w:val="en-US" w:eastAsia="zh-CN" w:bidi="ar"/>
              </w:rPr>
              <w:t>分</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实施方案</w:t>
            </w:r>
          </w:p>
          <w:p>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（20分）</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人基于本项目建设目标、要求以及对项目的理解，针对招标人管辖区域采用的旋翼机巢及固定翼巡护服务方案，根据需求及防火任务不同，提出不同的解决方案，具有一定的科学、合理性。方案能够与巡护员、管护所及分局形成有效的联动机制，方案能够有效利用林区的基础通信、电力资源，提升方案的可行性及巡护效益。评委根据方案的合理性、科学性和可操作性等方面进行综合评价，优秀的酌情按照15-20分进行评分，良好的酌情按照</w:t>
            </w:r>
            <w:r>
              <w:rPr>
                <w:rFonts w:hint="eastAsia" w:ascii="宋体" w:hAnsi="宋体" w:cs="宋体"/>
                <w:i w:val="0"/>
                <w:iCs w:val="0"/>
                <w:color w:val="auto"/>
                <w:kern w:val="0"/>
                <w:sz w:val="24"/>
                <w:szCs w:val="24"/>
                <w:highlight w:val="none"/>
                <w:u w:val="none"/>
                <w:lang w:val="en-US" w:eastAsia="zh-CN" w:bidi="ar"/>
              </w:rPr>
              <w:t>10-14</w:t>
            </w:r>
            <w:r>
              <w:rPr>
                <w:rFonts w:hint="eastAsia" w:ascii="宋体" w:hAnsi="宋体" w:eastAsia="宋体" w:cs="宋体"/>
                <w:i w:val="0"/>
                <w:iCs w:val="0"/>
                <w:color w:val="auto"/>
                <w:kern w:val="0"/>
                <w:sz w:val="24"/>
                <w:szCs w:val="24"/>
                <w:highlight w:val="none"/>
                <w:u w:val="none"/>
                <w:lang w:val="en-US" w:eastAsia="zh-CN" w:bidi="ar"/>
              </w:rPr>
              <w:t>分进行评分，一般的酌情</w:t>
            </w:r>
            <w:r>
              <w:rPr>
                <w:rFonts w:hint="eastAsia" w:ascii="宋体" w:hAnsi="宋体" w:cs="宋体"/>
                <w:i w:val="0"/>
                <w:iCs w:val="0"/>
                <w:color w:val="auto"/>
                <w:kern w:val="0"/>
                <w:sz w:val="24"/>
                <w:szCs w:val="24"/>
                <w:highlight w:val="none"/>
                <w:u w:val="none"/>
                <w:lang w:val="en-US" w:eastAsia="zh-CN" w:bidi="ar"/>
              </w:rPr>
              <w:t>5-9</w:t>
            </w:r>
            <w:r>
              <w:rPr>
                <w:rFonts w:hint="eastAsia" w:ascii="宋体" w:hAnsi="宋体" w:eastAsia="宋体" w:cs="宋体"/>
                <w:i w:val="0"/>
                <w:iCs w:val="0"/>
                <w:color w:val="auto"/>
                <w:kern w:val="0"/>
                <w:sz w:val="24"/>
                <w:szCs w:val="24"/>
                <w:highlight w:val="none"/>
                <w:u w:val="none"/>
                <w:lang w:val="en-US" w:eastAsia="zh-CN" w:bidi="ar"/>
              </w:rPr>
              <w:t>分进行评分，差的酌情按照</w:t>
            </w:r>
            <w:r>
              <w:rPr>
                <w:rFonts w:hint="eastAsia" w:ascii="宋体" w:hAnsi="宋体" w:cs="宋体"/>
                <w:i w:val="0"/>
                <w:iCs w:val="0"/>
                <w:color w:val="auto"/>
                <w:kern w:val="0"/>
                <w:sz w:val="24"/>
                <w:szCs w:val="24"/>
                <w:highlight w:val="none"/>
                <w:u w:val="none"/>
                <w:lang w:val="en-US" w:eastAsia="zh-CN" w:bidi="ar"/>
              </w:rPr>
              <w:t>4-5</w:t>
            </w:r>
            <w:r>
              <w:rPr>
                <w:rFonts w:hint="eastAsia" w:ascii="宋体" w:hAnsi="宋体" w:eastAsia="宋体" w:cs="宋体"/>
                <w:i w:val="0"/>
                <w:iCs w:val="0"/>
                <w:color w:val="auto"/>
                <w:kern w:val="0"/>
                <w:sz w:val="24"/>
                <w:szCs w:val="24"/>
                <w:highlight w:val="none"/>
                <w:u w:val="none"/>
                <w:lang w:val="en-US" w:eastAsia="zh-CN" w:bidi="ar"/>
              </w:rPr>
              <w:t>分进行评分。</w:t>
            </w:r>
          </w:p>
        </w:tc>
        <w:tc>
          <w:tcPr>
            <w:tcW w:w="864"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63</w:t>
            </w:r>
            <w:r>
              <w:rPr>
                <w:rFonts w:hint="eastAsia" w:ascii="宋体" w:hAnsi="宋体" w:eastAsia="宋体" w:cs="宋体"/>
                <w:i w:val="0"/>
                <w:iCs w:val="0"/>
                <w:color w:val="auto"/>
                <w:kern w:val="0"/>
                <w:sz w:val="24"/>
                <w:szCs w:val="24"/>
                <w:highlight w:val="none"/>
                <w:u w:val="none"/>
                <w:lang w:val="en-US" w:eastAsia="zh-CN"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74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无人机配备情况</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10</w:t>
            </w:r>
            <w:r>
              <w:rPr>
                <w:rFonts w:hint="eastAsia" w:ascii="宋体" w:hAnsi="宋体" w:eastAsia="宋体" w:cs="宋体"/>
                <w:i w:val="0"/>
                <w:iCs w:val="0"/>
                <w:color w:val="auto"/>
                <w:kern w:val="0"/>
                <w:sz w:val="24"/>
                <w:szCs w:val="24"/>
                <w:highlight w:val="none"/>
                <w:u w:val="none"/>
                <w:lang w:val="en-US" w:eastAsia="zh-CN" w:bidi="ar"/>
              </w:rPr>
              <w:t>分）</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针对本项目及拟投入提供的设备清单、数量、备用机器等三方面进行评审，高于项目需求得</w:t>
            </w:r>
            <w:r>
              <w:rPr>
                <w:rFonts w:hint="eastAsia" w:ascii="宋体" w:hAnsi="宋体" w:cs="宋体"/>
                <w:i w:val="0"/>
                <w:iCs w:val="0"/>
                <w:color w:val="auto"/>
                <w:kern w:val="0"/>
                <w:sz w:val="24"/>
                <w:szCs w:val="24"/>
                <w:highlight w:val="none"/>
                <w:u w:val="none"/>
                <w:lang w:val="en-US" w:eastAsia="zh-CN" w:bidi="ar"/>
              </w:rPr>
              <w:t>7-10</w:t>
            </w:r>
            <w:r>
              <w:rPr>
                <w:rFonts w:hint="eastAsia" w:ascii="宋体" w:hAnsi="宋体" w:eastAsia="宋体" w:cs="宋体"/>
                <w:i w:val="0"/>
                <w:iCs w:val="0"/>
                <w:color w:val="auto"/>
                <w:kern w:val="0"/>
                <w:sz w:val="24"/>
                <w:szCs w:val="24"/>
                <w:highlight w:val="none"/>
                <w:u w:val="none"/>
                <w:lang w:val="en-US" w:eastAsia="zh-CN" w:bidi="ar"/>
              </w:rPr>
              <w:t>分，满足项目需求得</w:t>
            </w:r>
            <w:r>
              <w:rPr>
                <w:rFonts w:hint="eastAsia" w:ascii="宋体" w:hAnsi="宋体" w:cs="宋体"/>
                <w:i w:val="0"/>
                <w:iCs w:val="0"/>
                <w:color w:val="auto"/>
                <w:kern w:val="0"/>
                <w:sz w:val="24"/>
                <w:szCs w:val="24"/>
                <w:highlight w:val="none"/>
                <w:u w:val="none"/>
                <w:lang w:val="en-US" w:eastAsia="zh-CN" w:bidi="ar"/>
              </w:rPr>
              <w:t>4-6</w:t>
            </w:r>
            <w:r>
              <w:rPr>
                <w:rFonts w:hint="eastAsia" w:ascii="宋体" w:hAnsi="宋体" w:eastAsia="宋体" w:cs="宋体"/>
                <w:i w:val="0"/>
                <w:iCs w:val="0"/>
                <w:color w:val="auto"/>
                <w:kern w:val="0"/>
                <w:sz w:val="24"/>
                <w:szCs w:val="24"/>
                <w:highlight w:val="none"/>
                <w:u w:val="none"/>
                <w:lang w:val="en-US" w:eastAsia="zh-CN" w:bidi="ar"/>
              </w:rPr>
              <w:t>分，基本满足项目需求得</w:t>
            </w:r>
            <w:r>
              <w:rPr>
                <w:rFonts w:hint="eastAsia" w:ascii="宋体" w:hAnsi="宋体" w:cs="宋体"/>
                <w:i w:val="0"/>
                <w:iCs w:val="0"/>
                <w:color w:val="auto"/>
                <w:kern w:val="0"/>
                <w:sz w:val="24"/>
                <w:szCs w:val="24"/>
                <w:highlight w:val="none"/>
                <w:u w:val="none"/>
                <w:lang w:val="en-US" w:eastAsia="zh-CN" w:bidi="ar"/>
              </w:rPr>
              <w:t>1-3</w:t>
            </w:r>
            <w:r>
              <w:rPr>
                <w:rFonts w:hint="eastAsia" w:ascii="宋体" w:hAnsi="宋体" w:eastAsia="宋体" w:cs="宋体"/>
                <w:i w:val="0"/>
                <w:iCs w:val="0"/>
                <w:color w:val="auto"/>
                <w:kern w:val="0"/>
                <w:sz w:val="24"/>
                <w:szCs w:val="24"/>
                <w:highlight w:val="none"/>
                <w:u w:val="none"/>
                <w:lang w:val="en-US" w:eastAsia="zh-CN" w:bidi="ar"/>
              </w:rPr>
              <w:t>分，不满足得0分。</w:t>
            </w:r>
          </w:p>
        </w:tc>
        <w:tc>
          <w:tcPr>
            <w:tcW w:w="86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74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售后</w:t>
            </w:r>
            <w:r>
              <w:rPr>
                <w:rFonts w:hint="eastAsia" w:ascii="宋体" w:hAnsi="宋体" w:eastAsia="宋体" w:cs="宋体"/>
                <w:i w:val="0"/>
                <w:iCs w:val="0"/>
                <w:color w:val="auto"/>
                <w:kern w:val="0"/>
                <w:sz w:val="24"/>
                <w:szCs w:val="24"/>
                <w:highlight w:val="none"/>
                <w:u w:val="none"/>
                <w:lang w:val="en-US" w:eastAsia="zh-CN" w:bidi="ar"/>
              </w:rPr>
              <w:t>服务方案</w:t>
            </w:r>
          </w:p>
          <w:p>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10</w:t>
            </w:r>
            <w:r>
              <w:rPr>
                <w:rFonts w:hint="eastAsia" w:ascii="宋体" w:hAnsi="宋体" w:eastAsia="宋体" w:cs="宋体"/>
                <w:i w:val="0"/>
                <w:iCs w:val="0"/>
                <w:color w:val="auto"/>
                <w:kern w:val="0"/>
                <w:sz w:val="24"/>
                <w:szCs w:val="24"/>
                <w:highlight w:val="none"/>
                <w:u w:val="none"/>
                <w:lang w:val="en-US" w:eastAsia="zh-CN" w:bidi="ar"/>
              </w:rPr>
              <w:t>分)</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按照</w:t>
            </w:r>
            <w:r>
              <w:rPr>
                <w:rFonts w:hint="eastAsia" w:ascii="宋体" w:hAnsi="宋体" w:cs="宋体"/>
                <w:i w:val="0"/>
                <w:iCs w:val="0"/>
                <w:color w:val="auto"/>
                <w:kern w:val="0"/>
                <w:sz w:val="24"/>
                <w:szCs w:val="24"/>
                <w:highlight w:val="none"/>
                <w:u w:val="none"/>
                <w:lang w:val="en-US" w:eastAsia="zh-CN" w:bidi="ar"/>
              </w:rPr>
              <w:t>磋商文件</w:t>
            </w:r>
            <w:r>
              <w:rPr>
                <w:rFonts w:hint="eastAsia" w:ascii="宋体" w:hAnsi="宋体" w:eastAsia="宋体" w:cs="宋体"/>
                <w:i w:val="0"/>
                <w:iCs w:val="0"/>
                <w:color w:val="auto"/>
                <w:kern w:val="0"/>
                <w:sz w:val="24"/>
                <w:szCs w:val="24"/>
                <w:highlight w:val="none"/>
                <w:u w:val="none"/>
                <w:lang w:val="en-US" w:eastAsia="zh-CN" w:bidi="ar"/>
              </w:rPr>
              <w:t>要求，</w:t>
            </w:r>
            <w:r>
              <w:rPr>
                <w:rFonts w:hint="eastAsia" w:ascii="宋体" w:hAnsi="宋体" w:cs="宋体"/>
                <w:i w:val="0"/>
                <w:iCs w:val="0"/>
                <w:color w:val="auto"/>
                <w:kern w:val="0"/>
                <w:sz w:val="24"/>
                <w:szCs w:val="24"/>
                <w:highlight w:val="none"/>
                <w:u w:val="none"/>
                <w:lang w:val="en-US" w:eastAsia="zh-CN" w:bidi="ar"/>
              </w:rPr>
              <w:t>磋商小组</w:t>
            </w:r>
            <w:r>
              <w:rPr>
                <w:rFonts w:hint="eastAsia" w:ascii="宋体" w:hAnsi="宋体" w:eastAsia="宋体" w:cs="宋体"/>
                <w:i w:val="0"/>
                <w:iCs w:val="0"/>
                <w:color w:val="auto"/>
                <w:kern w:val="0"/>
                <w:sz w:val="24"/>
                <w:szCs w:val="24"/>
                <w:highlight w:val="none"/>
                <w:u w:val="none"/>
                <w:lang w:val="en-US" w:eastAsia="zh-CN" w:bidi="ar"/>
              </w:rPr>
              <w:t>根据投标人提供的售后服务方案、技术支持内容、故障响应、优惠条件、售后服务承诺以及保障措施进行评定。根据方案优劣进行评分。方案详实、科学、合理，可操作性很强，得</w:t>
            </w:r>
            <w:r>
              <w:rPr>
                <w:rFonts w:hint="eastAsia" w:ascii="宋体" w:hAnsi="宋体" w:cs="宋体"/>
                <w:i w:val="0"/>
                <w:iCs w:val="0"/>
                <w:color w:val="auto"/>
                <w:kern w:val="0"/>
                <w:sz w:val="24"/>
                <w:szCs w:val="24"/>
                <w:highlight w:val="none"/>
                <w:u w:val="none"/>
                <w:lang w:val="en-US" w:eastAsia="zh-CN" w:bidi="ar"/>
              </w:rPr>
              <w:t>7-10</w:t>
            </w:r>
            <w:r>
              <w:rPr>
                <w:rFonts w:hint="eastAsia" w:ascii="宋体" w:hAnsi="宋体" w:eastAsia="宋体" w:cs="宋体"/>
                <w:i w:val="0"/>
                <w:iCs w:val="0"/>
                <w:color w:val="auto"/>
                <w:kern w:val="0"/>
                <w:sz w:val="24"/>
                <w:szCs w:val="24"/>
                <w:highlight w:val="none"/>
                <w:u w:val="none"/>
                <w:lang w:val="en-US" w:eastAsia="zh-CN" w:bidi="ar"/>
              </w:rPr>
              <w:t>分；方案较为科学、合理，可操作性强，得</w:t>
            </w:r>
            <w:r>
              <w:rPr>
                <w:rFonts w:hint="eastAsia" w:ascii="宋体" w:hAnsi="宋体" w:cs="宋体"/>
                <w:i w:val="0"/>
                <w:iCs w:val="0"/>
                <w:color w:val="auto"/>
                <w:kern w:val="0"/>
                <w:sz w:val="24"/>
                <w:szCs w:val="24"/>
                <w:highlight w:val="none"/>
                <w:u w:val="none"/>
                <w:lang w:val="en-US" w:eastAsia="zh-CN" w:bidi="ar"/>
              </w:rPr>
              <w:t>4-6</w:t>
            </w:r>
            <w:r>
              <w:rPr>
                <w:rFonts w:hint="eastAsia" w:ascii="宋体" w:hAnsi="宋体" w:eastAsia="宋体" w:cs="宋体"/>
                <w:i w:val="0"/>
                <w:iCs w:val="0"/>
                <w:color w:val="auto"/>
                <w:kern w:val="0"/>
                <w:sz w:val="24"/>
                <w:szCs w:val="24"/>
                <w:highlight w:val="none"/>
                <w:u w:val="none"/>
                <w:lang w:val="en-US" w:eastAsia="zh-CN" w:bidi="ar"/>
              </w:rPr>
              <w:t>分；方案可操作性一般的得</w:t>
            </w:r>
            <w:r>
              <w:rPr>
                <w:rFonts w:hint="eastAsia" w:ascii="宋体" w:hAnsi="宋体" w:cs="宋体"/>
                <w:i w:val="0"/>
                <w:iCs w:val="0"/>
                <w:color w:val="auto"/>
                <w:kern w:val="0"/>
                <w:sz w:val="24"/>
                <w:szCs w:val="24"/>
                <w:highlight w:val="none"/>
                <w:u w:val="none"/>
                <w:lang w:val="en-US" w:eastAsia="zh-CN" w:bidi="ar"/>
              </w:rPr>
              <w:t>1-3</w:t>
            </w:r>
            <w:r>
              <w:rPr>
                <w:rFonts w:hint="eastAsia" w:ascii="宋体" w:hAnsi="宋体" w:eastAsia="宋体" w:cs="宋体"/>
                <w:i w:val="0"/>
                <w:iCs w:val="0"/>
                <w:color w:val="auto"/>
                <w:kern w:val="0"/>
                <w:sz w:val="24"/>
                <w:szCs w:val="24"/>
                <w:highlight w:val="none"/>
                <w:u w:val="none"/>
                <w:lang w:val="en-US" w:eastAsia="zh-CN" w:bidi="ar"/>
              </w:rPr>
              <w:t>分</w:t>
            </w:r>
            <w:r>
              <w:rPr>
                <w:rFonts w:hint="eastAsia" w:ascii="宋体" w:hAnsi="宋体" w:cs="宋体"/>
                <w:i w:val="0"/>
                <w:iCs w:val="0"/>
                <w:color w:val="auto"/>
                <w:kern w:val="0"/>
                <w:sz w:val="24"/>
                <w:szCs w:val="24"/>
                <w:highlight w:val="none"/>
                <w:u w:val="none"/>
                <w:lang w:val="en-US" w:eastAsia="zh-CN" w:bidi="ar"/>
              </w:rPr>
              <w:t>，不提供不得分</w:t>
            </w:r>
            <w:r>
              <w:rPr>
                <w:rFonts w:hint="eastAsia" w:ascii="宋体" w:hAnsi="宋体" w:eastAsia="宋体" w:cs="宋体"/>
                <w:i w:val="0"/>
                <w:iCs w:val="0"/>
                <w:color w:val="auto"/>
                <w:kern w:val="0"/>
                <w:sz w:val="24"/>
                <w:szCs w:val="24"/>
                <w:highlight w:val="none"/>
                <w:u w:val="none"/>
                <w:lang w:val="en-US" w:eastAsia="zh-CN" w:bidi="ar"/>
              </w:rPr>
              <w:t>。</w:t>
            </w:r>
          </w:p>
        </w:tc>
        <w:tc>
          <w:tcPr>
            <w:tcW w:w="86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74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Calibri" w:hAnsi="Calibri" w:eastAsia="宋体" w:cs="Times New Roman"/>
                <w:color w:val="auto"/>
                <w:szCs w:val="21"/>
                <w:highlight w:val="none"/>
              </w:rPr>
              <w:t>产品技术参数及要求</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15</w:t>
            </w:r>
            <w:r>
              <w:rPr>
                <w:rFonts w:hint="eastAsia" w:ascii="宋体" w:hAnsi="宋体" w:eastAsia="宋体" w:cs="宋体"/>
                <w:i w:val="0"/>
                <w:iCs w:val="0"/>
                <w:color w:val="auto"/>
                <w:kern w:val="0"/>
                <w:sz w:val="24"/>
                <w:szCs w:val="24"/>
                <w:highlight w:val="none"/>
                <w:u w:val="none"/>
                <w:lang w:val="en-US" w:eastAsia="zh-CN" w:bidi="ar"/>
              </w:rPr>
              <w:t>分）</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投标人</w:t>
            </w:r>
            <w:r>
              <w:rPr>
                <w:rFonts w:hint="eastAsia" w:ascii="宋体" w:hAnsi="宋体" w:cs="宋体"/>
                <w:i w:val="0"/>
                <w:iCs w:val="0"/>
                <w:color w:val="auto"/>
                <w:kern w:val="0"/>
                <w:sz w:val="24"/>
                <w:szCs w:val="24"/>
                <w:highlight w:val="none"/>
                <w:u w:val="none"/>
                <w:lang w:val="en-US" w:eastAsia="zh-CN" w:bidi="ar"/>
              </w:rPr>
              <w:t>提供的无人机设备和人员服务，</w:t>
            </w:r>
            <w:r>
              <w:rPr>
                <w:rFonts w:hint="eastAsia" w:ascii="宋体" w:hAnsi="宋体" w:eastAsia="宋体" w:cs="宋体"/>
                <w:i w:val="0"/>
                <w:iCs w:val="0"/>
                <w:color w:val="auto"/>
                <w:kern w:val="0"/>
                <w:sz w:val="24"/>
                <w:szCs w:val="24"/>
                <w:highlight w:val="none"/>
                <w:u w:val="none"/>
                <w:lang w:val="en-US" w:eastAsia="zh-CN" w:bidi="ar"/>
              </w:rPr>
              <w:t>所有技术参数标准全部满足或优于</w:t>
            </w:r>
            <w:r>
              <w:rPr>
                <w:rFonts w:hint="eastAsia" w:ascii="宋体" w:hAnsi="宋体" w:cs="宋体"/>
                <w:i w:val="0"/>
                <w:iCs w:val="0"/>
                <w:color w:val="auto"/>
                <w:kern w:val="0"/>
                <w:sz w:val="24"/>
                <w:szCs w:val="24"/>
                <w:highlight w:val="none"/>
                <w:u w:val="none"/>
                <w:lang w:val="en-US" w:eastAsia="zh-CN" w:bidi="ar"/>
              </w:rPr>
              <w:t>磋商文件</w:t>
            </w:r>
            <w:r>
              <w:rPr>
                <w:rFonts w:hint="eastAsia" w:ascii="宋体" w:hAnsi="宋体" w:eastAsia="宋体" w:cs="宋体"/>
                <w:i w:val="0"/>
                <w:iCs w:val="0"/>
                <w:color w:val="auto"/>
                <w:kern w:val="0"/>
                <w:sz w:val="24"/>
                <w:szCs w:val="24"/>
                <w:highlight w:val="none"/>
                <w:u w:val="none"/>
                <w:lang w:val="en-US" w:eastAsia="zh-CN" w:bidi="ar"/>
              </w:rPr>
              <w:t>要求的，得15分。未满足技术参数的1项扣</w:t>
            </w: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分</w:t>
            </w:r>
            <w:r>
              <w:rPr>
                <w:rFonts w:hint="eastAsia" w:ascii="宋体" w:hAnsi="宋体" w:cs="宋体"/>
                <w:i w:val="0"/>
                <w:iCs w:val="0"/>
                <w:color w:val="auto"/>
                <w:kern w:val="0"/>
                <w:sz w:val="24"/>
                <w:szCs w:val="24"/>
                <w:highlight w:val="none"/>
                <w:u w:val="none"/>
                <w:lang w:val="en-US" w:eastAsia="zh-CN" w:bidi="ar"/>
              </w:rPr>
              <w:t>。</w:t>
            </w:r>
          </w:p>
        </w:tc>
        <w:tc>
          <w:tcPr>
            <w:tcW w:w="86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9" w:hRule="atLeast"/>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74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专业技术人员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8</w:t>
            </w:r>
            <w:r>
              <w:rPr>
                <w:rFonts w:hint="eastAsia" w:ascii="宋体" w:hAnsi="宋体" w:eastAsia="宋体" w:cs="宋体"/>
                <w:i w:val="0"/>
                <w:iCs w:val="0"/>
                <w:color w:val="auto"/>
                <w:kern w:val="0"/>
                <w:sz w:val="24"/>
                <w:szCs w:val="24"/>
                <w:highlight w:val="none"/>
                <w:u w:val="none"/>
                <w:lang w:val="en-US" w:eastAsia="zh-CN" w:bidi="ar"/>
              </w:rPr>
              <w:t>分）</w:t>
            </w:r>
          </w:p>
        </w:tc>
        <w:tc>
          <w:tcPr>
            <w:tcW w:w="6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人拟派的项目负责人（1人）具备通信专业技术人员职业资格初级及以上证书，按职称资格等级打分，第1名得标准分3分，按排名递减0.5分，并列得同分。注：需提供以上相关资质证书扫描件并加盖公章，无提供不得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2、投标人或投标产品供应商无人机飞行员具有无人机驾驶证（照），按证书等级打分，第1名得标准分3分，按排名递减0.5分，并列得同分。注：需提供以上相关资质证书扫描件并加盖公章，无提供不得分。</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3、供应商拟派项目培训人员及远程支撑技术人员职称或职业资格情况，第1名得标准分2分，按排名递减0.5分，并列得同分。</w:t>
            </w:r>
          </w:p>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注：需提供以上相关资质证书扫描件并加盖公章，无提供不得分。</w:t>
            </w:r>
          </w:p>
        </w:tc>
        <w:tc>
          <w:tcPr>
            <w:tcW w:w="86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trPr>
        <w:tc>
          <w:tcPr>
            <w:tcW w:w="4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汇总</w:t>
            </w:r>
          </w:p>
        </w:tc>
        <w:tc>
          <w:tcPr>
            <w:tcW w:w="82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合计</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91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注：评分分值计算保留小数点后两位，小数点后第三位“四舍五入”</w:t>
            </w:r>
          </w:p>
        </w:tc>
      </w:tr>
    </w:tbl>
    <w:p>
      <w:pPr>
        <w:pStyle w:val="16"/>
        <w:rPr>
          <w:rFonts w:hint="eastAsia" w:ascii="宋体" w:hAnsi="宋体" w:eastAsia="宋体" w:cs="宋体"/>
          <w:b/>
          <w:bCs/>
          <w:color w:val="auto"/>
          <w:sz w:val="24"/>
          <w:szCs w:val="24"/>
          <w:highlight w:val="none"/>
        </w:rPr>
      </w:pPr>
    </w:p>
    <w:p>
      <w:pPr>
        <w:pStyle w:val="25"/>
        <w:numPr>
          <w:ilvl w:val="0"/>
          <w:numId w:val="0"/>
        </w:numPr>
        <w:rPr>
          <w:rFonts w:hint="eastAsia"/>
          <w:color w:val="auto"/>
          <w:highlight w:val="none"/>
        </w:rPr>
      </w:pPr>
    </w:p>
    <w:p>
      <w:pPr>
        <w:spacing w:line="46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 xml:space="preserve">23.1 </w:t>
      </w:r>
      <w:r>
        <w:rPr>
          <w:rFonts w:hint="eastAsia" w:ascii="宋体" w:hAnsi="宋体" w:eastAsia="宋体" w:cs="宋体"/>
          <w:b/>
          <w:bCs/>
          <w:color w:val="auto"/>
          <w:sz w:val="24"/>
          <w:szCs w:val="24"/>
          <w:highlight w:val="none"/>
        </w:rPr>
        <w:t>对于商务部分（投标报价）的评分，按以下方法进行：</w:t>
      </w:r>
    </w:p>
    <w:p>
      <w:pPr>
        <w:spacing w:line="460" w:lineRule="exact"/>
        <w:ind w:firstLine="559"/>
        <w:jc w:val="left"/>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投标报价得分=(评标基准价/修正后投标报价)×</w:t>
      </w:r>
      <w:r>
        <w:rPr>
          <w:rFonts w:hint="eastAsia" w:ascii="宋体" w:hAnsi="宋体" w:cs="宋体"/>
          <w:b/>
          <w:bCs/>
          <w:color w:val="auto"/>
          <w:sz w:val="24"/>
          <w:szCs w:val="24"/>
          <w:highlight w:val="none"/>
          <w:lang w:val="en-US" w:eastAsia="zh-CN"/>
        </w:rPr>
        <w:t>20</w:t>
      </w:r>
    </w:p>
    <w:p>
      <w:pPr>
        <w:spacing w:line="460" w:lineRule="exact"/>
        <w:ind w:firstLine="559"/>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说明：</w:t>
      </w:r>
    </w:p>
    <w:p>
      <w:pPr>
        <w:spacing w:line="460" w:lineRule="exact"/>
        <w:ind w:firstLine="559"/>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1.投标价格评分采用低价优先法计算；</w:t>
      </w:r>
    </w:p>
    <w:p>
      <w:pPr>
        <w:spacing w:line="460" w:lineRule="exact"/>
        <w:ind w:firstLine="559"/>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2.评标基准价：满足</w:t>
      </w:r>
      <w:r>
        <w:rPr>
          <w:rFonts w:hint="eastAsia" w:ascii="宋体" w:hAnsi="宋体" w:cs="宋体"/>
          <w:b/>
          <w:bCs/>
          <w:color w:val="auto"/>
          <w:sz w:val="24"/>
          <w:szCs w:val="24"/>
          <w:highlight w:val="none"/>
          <w:lang w:val="en-US" w:eastAsia="zh-CN"/>
        </w:rPr>
        <w:t>磋商文件</w:t>
      </w:r>
      <w:r>
        <w:rPr>
          <w:rFonts w:hint="eastAsia" w:ascii="宋体" w:hAnsi="宋体" w:eastAsia="宋体" w:cs="宋体"/>
          <w:b/>
          <w:bCs/>
          <w:color w:val="auto"/>
          <w:sz w:val="24"/>
          <w:szCs w:val="24"/>
          <w:highlight w:val="none"/>
          <w:lang w:val="en-US" w:eastAsia="zh-CN"/>
        </w:rPr>
        <w:t>要求且经算术修正，依据政府采购政策进行价格扣除后的最低报价为评标基准价；</w:t>
      </w:r>
    </w:p>
    <w:p>
      <w:pPr>
        <w:spacing w:line="460" w:lineRule="exact"/>
        <w:ind w:firstLine="559"/>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3.修正后投标报价：</w:t>
      </w:r>
      <w:r>
        <w:rPr>
          <w:rFonts w:hint="eastAsia" w:ascii="宋体" w:hAnsi="宋体" w:cs="宋体"/>
          <w:b/>
          <w:bCs/>
          <w:color w:val="auto"/>
          <w:sz w:val="24"/>
          <w:szCs w:val="24"/>
          <w:highlight w:val="none"/>
          <w:lang w:val="en-US" w:eastAsia="zh-CN"/>
        </w:rPr>
        <w:t>磋商小组</w:t>
      </w:r>
      <w:r>
        <w:rPr>
          <w:rFonts w:hint="eastAsia" w:ascii="宋体" w:hAnsi="宋体" w:eastAsia="宋体" w:cs="宋体"/>
          <w:b/>
          <w:bCs/>
          <w:color w:val="auto"/>
          <w:sz w:val="24"/>
          <w:szCs w:val="24"/>
          <w:highlight w:val="none"/>
          <w:lang w:val="en-US" w:eastAsia="zh-CN"/>
        </w:rPr>
        <w:t>依据政府采购政策进行价格扣除后，作为投标报价计算的依据。</w:t>
      </w:r>
    </w:p>
    <w:p>
      <w:pPr>
        <w:spacing w:line="46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备注：计算得分小于0时，按0分计。</w:t>
      </w:r>
    </w:p>
    <w:p>
      <w:pPr>
        <w:spacing w:line="460" w:lineRule="exact"/>
        <w:ind w:firstLine="559"/>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 xml:space="preserve">23.2 </w:t>
      </w:r>
      <w:r>
        <w:rPr>
          <w:rFonts w:hint="eastAsia" w:ascii="宋体" w:hAnsi="宋体" w:eastAsia="宋体" w:cs="宋体"/>
          <w:b/>
          <w:bCs/>
          <w:color w:val="auto"/>
          <w:sz w:val="24"/>
          <w:szCs w:val="24"/>
          <w:highlight w:val="none"/>
        </w:rPr>
        <w:t>在价格评审中，若</w:t>
      </w:r>
      <w:r>
        <w:rPr>
          <w:rFonts w:hint="eastAsia" w:ascii="宋体" w:hAnsi="宋体" w:cs="宋体"/>
          <w:b/>
          <w:bCs/>
          <w:color w:val="auto"/>
          <w:sz w:val="24"/>
          <w:szCs w:val="24"/>
          <w:highlight w:val="none"/>
          <w:lang w:eastAsia="zh-CN"/>
        </w:rPr>
        <w:t>磋商小组</w:t>
      </w:r>
      <w:r>
        <w:rPr>
          <w:rFonts w:hint="eastAsia" w:ascii="宋体" w:hAnsi="宋体" w:eastAsia="宋体" w:cs="宋体"/>
          <w:b/>
          <w:bCs/>
          <w:color w:val="auto"/>
          <w:sz w:val="24"/>
          <w:szCs w:val="24"/>
          <w:highlight w:val="none"/>
        </w:rPr>
        <w:t>发现投标人以明显低于市场或成本的价格投标，而投标人又未在投标文件中提供有力证据证明其报价合理的，</w:t>
      </w:r>
      <w:r>
        <w:rPr>
          <w:rFonts w:hint="eastAsia" w:ascii="宋体" w:hAnsi="宋体" w:cs="宋体"/>
          <w:b/>
          <w:bCs/>
          <w:color w:val="auto"/>
          <w:sz w:val="24"/>
          <w:szCs w:val="24"/>
          <w:highlight w:val="none"/>
          <w:lang w:eastAsia="zh-CN"/>
        </w:rPr>
        <w:t>磋商小组</w:t>
      </w:r>
      <w:r>
        <w:rPr>
          <w:rFonts w:hint="eastAsia" w:ascii="宋体" w:hAnsi="宋体" w:eastAsia="宋体" w:cs="宋体"/>
          <w:b/>
          <w:bCs/>
          <w:color w:val="auto"/>
          <w:sz w:val="24"/>
          <w:szCs w:val="24"/>
          <w:highlight w:val="none"/>
        </w:rPr>
        <w:t>可以认定该投标以低于成本的价格投标。被认定为低于成本价格的投标文件将按废标处理。</w:t>
      </w:r>
    </w:p>
    <w:p>
      <w:pPr>
        <w:spacing w:line="460" w:lineRule="exact"/>
        <w:ind w:firstLine="559"/>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24 </w:t>
      </w:r>
      <w:r>
        <w:rPr>
          <w:rFonts w:hint="eastAsia" w:ascii="宋体" w:hAnsi="宋体" w:eastAsia="宋体" w:cs="宋体"/>
          <w:color w:val="auto"/>
          <w:sz w:val="24"/>
          <w:szCs w:val="24"/>
          <w:highlight w:val="none"/>
        </w:rPr>
        <w:t>投标文件的澄清</w:t>
      </w:r>
    </w:p>
    <w:p>
      <w:pPr>
        <w:spacing w:line="460" w:lineRule="exact"/>
        <w:ind w:firstLine="559"/>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24.1</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可以要求投标人就投标文件中含混不清和含义不明确之处作出书面澄清或说明，书面澄清或说明应由投标人</w:t>
      </w:r>
      <w:r>
        <w:rPr>
          <w:rFonts w:hint="eastAsia" w:ascii="宋体" w:hAnsi="宋体" w:eastAsia="宋体" w:cs="宋体"/>
          <w:color w:val="auto"/>
          <w:sz w:val="24"/>
          <w:szCs w:val="24"/>
          <w:highlight w:val="none"/>
          <w:lang w:eastAsia="zh-CN"/>
        </w:rPr>
        <w:t>法定代表人</w:t>
      </w:r>
      <w:r>
        <w:rPr>
          <w:rFonts w:hint="eastAsia" w:ascii="宋体" w:hAnsi="宋体" w:eastAsia="宋体" w:cs="宋体"/>
          <w:color w:val="auto"/>
          <w:sz w:val="24"/>
          <w:szCs w:val="24"/>
          <w:highlight w:val="none"/>
        </w:rPr>
        <w:t>或授权代表的签字（或签章）或盖章。</w:t>
      </w:r>
    </w:p>
    <w:p>
      <w:pPr>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24.2</w:t>
      </w:r>
      <w:r>
        <w:rPr>
          <w:rFonts w:hint="eastAsia" w:ascii="宋体" w:hAnsi="宋体" w:eastAsia="宋体" w:cs="宋体"/>
          <w:color w:val="auto"/>
          <w:sz w:val="24"/>
          <w:szCs w:val="24"/>
          <w:highlight w:val="none"/>
        </w:rPr>
        <w:t>投标人澄清或说明的内容不得超出投标文件的范围和改变投标文件的实质性内容。投标人拒绝澄清或说明、澄清或说明的内容超出了投标文件的范围和改变了投标文件的实质性内容。投标书有可能会被拒绝。</w:t>
      </w:r>
    </w:p>
    <w:p>
      <w:pPr>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投标报价的算术性复核和调整修正</w:t>
      </w:r>
    </w:p>
    <w:p>
      <w:pPr>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25.1</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在对实质上响应</w:t>
      </w:r>
      <w:r>
        <w:rPr>
          <w:rFonts w:hint="eastAsia" w:ascii="宋体" w:hAnsi="宋体" w:cs="宋体"/>
          <w:color w:val="auto"/>
          <w:sz w:val="24"/>
          <w:szCs w:val="24"/>
          <w:highlight w:val="none"/>
          <w:lang w:eastAsia="zh-CN"/>
        </w:rPr>
        <w:t>磋商文件</w:t>
      </w:r>
      <w:r>
        <w:rPr>
          <w:rFonts w:hint="eastAsia" w:ascii="宋体" w:hAnsi="宋体" w:eastAsia="宋体" w:cs="宋体"/>
          <w:color w:val="auto"/>
          <w:sz w:val="24"/>
          <w:szCs w:val="24"/>
          <w:highlight w:val="none"/>
        </w:rPr>
        <w:t>要求的投标报价进行评估时，应当按下述原则进行修正：</w:t>
      </w:r>
    </w:p>
    <w:p>
      <w:pPr>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25.1.1</w:t>
      </w:r>
      <w:r>
        <w:rPr>
          <w:rFonts w:hint="eastAsia" w:ascii="宋体" w:hAnsi="宋体" w:eastAsia="宋体" w:cs="宋体"/>
          <w:color w:val="auto"/>
          <w:sz w:val="24"/>
          <w:szCs w:val="24"/>
          <w:highlight w:val="none"/>
        </w:rPr>
        <w:t>投标总报价如果小写数额与大写数额不一致时，应以大写数额为准。大写金额不能确认时，报价无效。</w:t>
      </w:r>
    </w:p>
    <w:p>
      <w:pPr>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1.2报价单价金额与项目量的乘积与合价（金额）不一致时，应同时修改单价和合价并修正总报价。</w:t>
      </w:r>
    </w:p>
    <w:p>
      <w:pPr>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1.3当单价与项目量的乘积与合价（金额）虽然一致，但单价有明显的小数点错位（有明显错误而投标单位不能提供正当的理由时），应同时修改单价和合价并调整修正总报价。</w:t>
      </w:r>
    </w:p>
    <w:p>
      <w:pPr>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1.4当各细目的合价累计不等于合计时，调整合计和修正总报价。上述各项调整和修正值均四舍五入保留两位小数。</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1.5当投标人的总报价或在投标函中承诺的报价与投标人单价报价表中的单价或合价合计结果不一致时，如果投标人在投标报价单中明确了修正后的单价，且单价合计与投标总价是一致的，则以投标人修正后的单价为准；如果投标书中未予明确，</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将确定该投标总价与报价表中的单价或合价的合计结果的下浮（或上浮）比率，并按确定的下浮（或上浮）比率对所有单价（或合价）按此比率下浮（或上浮），投标人应予以确认经</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修正后的单价，如果投标人不接受经</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修正后的单价者投标将被拒绝，且不影响评标工作。</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.2按上述规定调整后的报价投标人必须确认，如果投标人不接受修正后的投标报价则其投标将被拒绝。且并不影响评标工作。</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.3以上述方法修正后的报价将作为评分中评标价的计算依据。上述修正原则仍然适用于在发出中标通知书后到合同签订时对项目量进行核查所发现的错误。</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在评标过程中，凡投标被依法否定或被</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界定为废标的投标文件后，有效投标人少于三个的，招标人将依法重新招标。</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参与评标的有关人员必须严格遵守招标投标的有关保密规定，不得泄露与评标有关的情况，不得索贿受贿，不得参加影响评标公正性的任何活动。如有违反将按国家有关法律及有关规定严肃处理。</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投标人不得采取任何方式干扰评标工作，一经发现，该投标人的投标文件作废标处理。</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确定中标单位：</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29.1</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根据投标人最终得分的高低顺序推荐三名中标候选人，原则上以投标人实质性响应</w:t>
      </w:r>
      <w:r>
        <w:rPr>
          <w:rFonts w:hint="eastAsia" w:ascii="宋体" w:hAnsi="宋体" w:cs="宋体"/>
          <w:color w:val="auto"/>
          <w:sz w:val="24"/>
          <w:szCs w:val="24"/>
          <w:highlight w:val="none"/>
          <w:lang w:eastAsia="zh-CN"/>
        </w:rPr>
        <w:t>磋商文件</w:t>
      </w:r>
      <w:r>
        <w:rPr>
          <w:rFonts w:hint="eastAsia" w:ascii="宋体" w:hAnsi="宋体" w:eastAsia="宋体" w:cs="宋体"/>
          <w:color w:val="auto"/>
          <w:sz w:val="24"/>
          <w:szCs w:val="24"/>
          <w:highlight w:val="none"/>
        </w:rPr>
        <w:t>要求，报价合理且排名第一的中标候选人中标，当排名第一的中标候选人放弃中标、因不可抗力提出不能履行合同，或者</w:t>
      </w:r>
      <w:r>
        <w:rPr>
          <w:rFonts w:hint="eastAsia" w:ascii="宋体" w:hAnsi="宋体" w:cs="宋体"/>
          <w:color w:val="auto"/>
          <w:sz w:val="24"/>
          <w:szCs w:val="24"/>
          <w:highlight w:val="none"/>
          <w:lang w:eastAsia="zh-CN"/>
        </w:rPr>
        <w:t>磋商文件</w:t>
      </w:r>
      <w:r>
        <w:rPr>
          <w:rFonts w:hint="eastAsia" w:ascii="宋体" w:hAnsi="宋体" w:eastAsia="宋体" w:cs="宋体"/>
          <w:color w:val="auto"/>
          <w:sz w:val="24"/>
          <w:szCs w:val="24"/>
          <w:highlight w:val="none"/>
        </w:rPr>
        <w:t>规定应当提交履约保证金而在规定的期限内未能提交的，招标人可以确定排名第二的中标候选人为中标人。</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.2排名第二的中标候选人因前款规定的同样原因不能签订合同的，招标人可以确定排名第三的中标候选人为中标人。</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.3如果中标候选人全部放弃中标时，招标人将重新招标。</w:t>
      </w:r>
    </w:p>
    <w:p>
      <w:pPr>
        <w:spacing w:line="4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30 </w:t>
      </w:r>
      <w:r>
        <w:rPr>
          <w:rFonts w:hint="eastAsia" w:ascii="宋体" w:hAnsi="宋体" w:eastAsia="宋体" w:cs="宋体"/>
          <w:color w:val="auto"/>
          <w:sz w:val="24"/>
          <w:szCs w:val="24"/>
          <w:highlight w:val="none"/>
        </w:rPr>
        <w:t>评标过程保密</w:t>
      </w:r>
    </w:p>
    <w:p>
      <w:pPr>
        <w:spacing w:line="42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30.1</w:t>
      </w:r>
      <w:r>
        <w:rPr>
          <w:rFonts w:hint="eastAsia" w:ascii="宋体" w:hAnsi="宋体" w:eastAsia="宋体" w:cs="宋体"/>
          <w:color w:val="auto"/>
          <w:sz w:val="24"/>
          <w:szCs w:val="24"/>
          <w:highlight w:val="none"/>
        </w:rPr>
        <w:t>开标之后，直到与中标人签署合同之前，凡是属于审查、评标的有关资料以及决定中标人的信息等，任何人均不得向投标人或其他无关的人员透露，否则按有关规定追究责</w:t>
      </w:r>
      <w:r>
        <w:rPr>
          <w:rFonts w:hint="eastAsia" w:ascii="宋体" w:hAnsi="宋体" w:eastAsia="宋体" w:cs="宋体"/>
          <w:color w:val="auto"/>
          <w:sz w:val="24"/>
          <w:szCs w:val="24"/>
          <w:highlight w:val="none"/>
          <w:lang w:eastAsia="zh-CN"/>
        </w:rPr>
        <w:t>任。</w:t>
      </w:r>
    </w:p>
    <w:p>
      <w:pPr>
        <w:spacing w:line="440" w:lineRule="exact"/>
        <w:jc w:val="center"/>
        <w:outlineLvl w:val="1"/>
        <w:rPr>
          <w:rFonts w:ascii="宋体" w:hAnsi="宋体"/>
          <w:b/>
          <w:color w:val="auto"/>
          <w:sz w:val="32"/>
          <w:szCs w:val="32"/>
          <w:highlight w:val="none"/>
        </w:rPr>
      </w:pPr>
      <w:r>
        <w:rPr>
          <w:rFonts w:hint="eastAsia" w:ascii="宋体" w:hAnsi="宋体"/>
          <w:b/>
          <w:color w:val="auto"/>
          <w:sz w:val="32"/>
          <w:szCs w:val="32"/>
          <w:highlight w:val="none"/>
        </w:rPr>
        <w:t>第七章 定　标</w:t>
      </w:r>
    </w:p>
    <w:p>
      <w:pPr>
        <w:spacing w:line="440" w:lineRule="exact"/>
        <w:ind w:firstLine="482" w:firstLineChars="200"/>
        <w:rPr>
          <w:rFonts w:ascii="宋体" w:hAnsi="宋体"/>
          <w:b/>
          <w:color w:val="auto"/>
          <w:sz w:val="24"/>
          <w:highlight w:val="none"/>
        </w:rPr>
      </w:pPr>
      <w:r>
        <w:rPr>
          <w:rFonts w:hint="eastAsia" w:ascii="宋体" w:hAnsi="宋体"/>
          <w:b/>
          <w:color w:val="auto"/>
          <w:sz w:val="24"/>
          <w:highlight w:val="none"/>
          <w:lang w:val="en-US" w:eastAsia="zh-CN"/>
        </w:rPr>
        <w:t>31</w:t>
      </w:r>
      <w:r>
        <w:rPr>
          <w:rFonts w:ascii="宋体" w:hAnsi="宋体"/>
          <w:b/>
          <w:color w:val="auto"/>
          <w:sz w:val="24"/>
          <w:highlight w:val="none"/>
        </w:rPr>
        <w:t xml:space="preserve">. </w:t>
      </w:r>
      <w:r>
        <w:rPr>
          <w:rFonts w:hint="eastAsia" w:ascii="宋体" w:hAnsi="宋体"/>
          <w:b/>
          <w:color w:val="auto"/>
          <w:sz w:val="24"/>
          <w:highlight w:val="none"/>
        </w:rPr>
        <w:t>定标标准</w:t>
      </w:r>
    </w:p>
    <w:p>
      <w:pPr>
        <w:spacing w:line="440" w:lineRule="exact"/>
        <w:ind w:firstLine="472" w:firstLineChars="200"/>
        <w:rPr>
          <w:rFonts w:ascii="宋体" w:hAnsi="宋体" w:eastAsia="宋体" w:cs="Times New Roman"/>
          <w:color w:val="auto"/>
          <w:spacing w:val="-2"/>
          <w:sz w:val="24"/>
          <w:szCs w:val="24"/>
          <w:highlight w:val="none"/>
        </w:rPr>
      </w:pPr>
      <w:r>
        <w:rPr>
          <w:rFonts w:hint="eastAsia" w:ascii="宋体" w:hAnsi="宋体"/>
          <w:color w:val="auto"/>
          <w:spacing w:val="-2"/>
          <w:sz w:val="24"/>
          <w:szCs w:val="24"/>
          <w:highlight w:val="none"/>
          <w:lang w:val="en-US" w:eastAsia="zh-CN"/>
        </w:rPr>
        <w:t>31</w:t>
      </w:r>
      <w:r>
        <w:rPr>
          <w:rFonts w:ascii="宋体" w:hAnsi="宋体"/>
          <w:color w:val="auto"/>
          <w:spacing w:val="-2"/>
          <w:sz w:val="24"/>
          <w:szCs w:val="24"/>
          <w:highlight w:val="none"/>
        </w:rPr>
        <w:t>.1</w:t>
      </w:r>
      <w:r>
        <w:rPr>
          <w:rFonts w:hint="eastAsia" w:ascii="宋体" w:hAnsi="宋体" w:cs="Times New Roman"/>
          <w:color w:val="auto"/>
          <w:spacing w:val="-2"/>
          <w:sz w:val="24"/>
          <w:szCs w:val="24"/>
          <w:highlight w:val="none"/>
          <w:lang w:eastAsia="zh-CN"/>
        </w:rPr>
        <w:t>磋商小组</w:t>
      </w:r>
      <w:r>
        <w:rPr>
          <w:rFonts w:ascii="宋体" w:hAnsi="宋体" w:eastAsia="宋体" w:cs="Times New Roman"/>
          <w:color w:val="auto"/>
          <w:spacing w:val="-2"/>
          <w:sz w:val="24"/>
          <w:szCs w:val="24"/>
          <w:highlight w:val="none"/>
        </w:rPr>
        <w:t>将从质量和服务均能满足采购文件实质性响应要求的供应商中，按照最后报价由低到高顺序推荐 3 名成交候选供应商，并编写评审报告。采购人从评审报告提出的成交候选供应商中，根据质量和服务均能满足</w:t>
      </w:r>
      <w:r>
        <w:rPr>
          <w:rFonts w:hint="eastAsia" w:ascii="宋体" w:hAnsi="宋体" w:cs="Times New Roman"/>
          <w:color w:val="auto"/>
          <w:spacing w:val="-2"/>
          <w:sz w:val="24"/>
          <w:szCs w:val="24"/>
          <w:highlight w:val="none"/>
          <w:lang w:val="en-US" w:eastAsia="zh-CN"/>
        </w:rPr>
        <w:t>磋商文件</w:t>
      </w:r>
      <w:r>
        <w:rPr>
          <w:rFonts w:ascii="宋体" w:hAnsi="宋体" w:eastAsia="宋体" w:cs="Times New Roman"/>
          <w:color w:val="auto"/>
          <w:spacing w:val="-2"/>
          <w:sz w:val="24"/>
          <w:szCs w:val="24"/>
          <w:highlight w:val="none"/>
        </w:rPr>
        <w:t>实质性响应要求且最后报价最低的原则确定成交供应商。采购人确定成交供应商后，</w:t>
      </w:r>
      <w:r>
        <w:rPr>
          <w:rFonts w:hint="eastAsia" w:ascii="宋体" w:hAnsi="宋体" w:eastAsia="宋体" w:cs="Times New Roman"/>
          <w:color w:val="auto"/>
          <w:spacing w:val="-2"/>
          <w:sz w:val="24"/>
          <w:szCs w:val="24"/>
          <w:highlight w:val="none"/>
          <w:lang w:val="en-US" w:eastAsia="zh-CN"/>
        </w:rPr>
        <w:t>采购代理机构</w:t>
      </w:r>
      <w:r>
        <w:rPr>
          <w:rFonts w:ascii="宋体" w:hAnsi="宋体" w:eastAsia="宋体" w:cs="Times New Roman"/>
          <w:color w:val="auto"/>
          <w:spacing w:val="-2"/>
          <w:sz w:val="24"/>
          <w:szCs w:val="24"/>
          <w:highlight w:val="none"/>
        </w:rPr>
        <w:t>将在“</w:t>
      </w:r>
      <w:r>
        <w:rPr>
          <w:rFonts w:hint="eastAsia" w:ascii="宋体" w:hAnsi="宋体" w:cs="宋体"/>
          <w:b w:val="0"/>
          <w:bCs w:val="0"/>
          <w:color w:val="auto"/>
          <w:kern w:val="0"/>
          <w:sz w:val="24"/>
          <w:szCs w:val="24"/>
          <w:highlight w:val="none"/>
          <w:lang w:val="en-US" w:eastAsia="zh-CN" w:bidi="ar"/>
        </w:rPr>
        <w:t>新疆政府采购网政采云平台</w:t>
      </w:r>
      <w:r>
        <w:rPr>
          <w:rFonts w:ascii="宋体" w:hAnsi="宋体" w:eastAsia="宋体" w:cs="Times New Roman"/>
          <w:color w:val="auto"/>
          <w:spacing w:val="-2"/>
          <w:sz w:val="24"/>
          <w:szCs w:val="24"/>
          <w:highlight w:val="none"/>
        </w:rPr>
        <w:t xml:space="preserve">”发布成交结果公告，公告期限为 1 个工作日。 </w:t>
      </w:r>
    </w:p>
    <w:p>
      <w:pPr>
        <w:spacing w:line="440" w:lineRule="exact"/>
        <w:ind w:firstLine="482" w:firstLineChars="200"/>
        <w:rPr>
          <w:rFonts w:ascii="宋体" w:hAnsi="宋体"/>
          <w:b/>
          <w:color w:val="auto"/>
          <w:sz w:val="24"/>
          <w:highlight w:val="none"/>
        </w:rPr>
      </w:pPr>
      <w:r>
        <w:rPr>
          <w:rFonts w:hint="eastAsia" w:ascii="宋体" w:hAnsi="宋体"/>
          <w:b/>
          <w:color w:val="auto"/>
          <w:sz w:val="24"/>
          <w:highlight w:val="none"/>
          <w:lang w:val="en-US" w:eastAsia="zh-CN"/>
        </w:rPr>
        <w:t>32.</w:t>
      </w:r>
      <w:r>
        <w:rPr>
          <w:rFonts w:ascii="宋体" w:hAnsi="宋体"/>
          <w:b/>
          <w:color w:val="auto"/>
          <w:sz w:val="24"/>
          <w:highlight w:val="none"/>
        </w:rPr>
        <w:t xml:space="preserve"> </w:t>
      </w:r>
      <w:r>
        <w:rPr>
          <w:rFonts w:hint="eastAsia" w:ascii="宋体" w:hAnsi="宋体"/>
          <w:b/>
          <w:color w:val="auto"/>
          <w:sz w:val="24"/>
          <w:highlight w:val="none"/>
        </w:rPr>
        <w:t>接受和拒绝任何或所有投标的权力</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lang w:val="en-US" w:eastAsia="zh-CN"/>
        </w:rPr>
        <w:t>32</w:t>
      </w:r>
      <w:r>
        <w:rPr>
          <w:rFonts w:ascii="宋体" w:hAnsi="宋体"/>
          <w:color w:val="auto"/>
          <w:spacing w:val="-2"/>
          <w:sz w:val="24"/>
          <w:szCs w:val="24"/>
          <w:highlight w:val="none"/>
        </w:rPr>
        <w:t>.1</w:t>
      </w:r>
      <w:r>
        <w:rPr>
          <w:rFonts w:hint="eastAsia" w:ascii="宋体" w:hAnsi="宋体"/>
          <w:color w:val="auto"/>
          <w:spacing w:val="-2"/>
          <w:sz w:val="24"/>
          <w:szCs w:val="24"/>
          <w:highlight w:val="none"/>
        </w:rPr>
        <w:t>　为维护国家利益，招标方在授予合同之前仍有选择或拒绝任何全部投标的权力。</w:t>
      </w:r>
    </w:p>
    <w:p>
      <w:pPr>
        <w:spacing w:line="440" w:lineRule="exact"/>
        <w:ind w:firstLine="482" w:firstLineChars="200"/>
        <w:rPr>
          <w:rFonts w:ascii="宋体" w:hAnsi="宋体"/>
          <w:b/>
          <w:color w:val="auto"/>
          <w:sz w:val="24"/>
          <w:highlight w:val="none"/>
        </w:rPr>
      </w:pPr>
      <w:r>
        <w:rPr>
          <w:rFonts w:hint="eastAsia" w:ascii="宋体" w:hAnsi="宋体"/>
          <w:b/>
          <w:color w:val="auto"/>
          <w:sz w:val="24"/>
          <w:highlight w:val="none"/>
          <w:lang w:val="en-US" w:eastAsia="zh-CN"/>
        </w:rPr>
        <w:t>33.</w:t>
      </w:r>
      <w:r>
        <w:rPr>
          <w:rFonts w:ascii="宋体" w:hAnsi="宋体"/>
          <w:b/>
          <w:color w:val="auto"/>
          <w:sz w:val="24"/>
          <w:highlight w:val="none"/>
        </w:rPr>
        <w:t xml:space="preserve"> </w:t>
      </w:r>
      <w:r>
        <w:rPr>
          <w:rFonts w:hint="eastAsia" w:ascii="宋体" w:hAnsi="宋体"/>
          <w:b/>
          <w:color w:val="auto"/>
          <w:sz w:val="24"/>
          <w:highlight w:val="none"/>
        </w:rPr>
        <w:t>中标通知书</w:t>
      </w:r>
    </w:p>
    <w:p>
      <w:pPr>
        <w:spacing w:line="440" w:lineRule="exact"/>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lang w:val="en-US" w:eastAsia="zh-CN"/>
        </w:rPr>
        <w:t>33</w:t>
      </w:r>
      <w:r>
        <w:rPr>
          <w:rFonts w:ascii="宋体" w:hAnsi="宋体"/>
          <w:color w:val="auto"/>
          <w:spacing w:val="-2"/>
          <w:sz w:val="24"/>
          <w:szCs w:val="24"/>
          <w:highlight w:val="none"/>
        </w:rPr>
        <w:t xml:space="preserve">.1 </w:t>
      </w:r>
      <w:r>
        <w:rPr>
          <w:rFonts w:hint="eastAsia" w:ascii="宋体" w:hAnsi="宋体"/>
          <w:color w:val="auto"/>
          <w:spacing w:val="-2"/>
          <w:sz w:val="24"/>
          <w:szCs w:val="24"/>
          <w:highlight w:val="none"/>
        </w:rPr>
        <w:t>中标结果确定后，招标方将以书面形式发出《中标通知书》，但发出时间不超过投标有效期，《中标通知书》一经发出即发生法律效力。</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cs="宋体"/>
          <w:color w:val="auto"/>
          <w:spacing w:val="-2"/>
          <w:sz w:val="24"/>
          <w:szCs w:val="24"/>
          <w:highlight w:val="none"/>
          <w:lang w:val="en-US" w:eastAsia="zh-CN"/>
        </w:rPr>
        <w:t>33</w:t>
      </w:r>
      <w:r>
        <w:rPr>
          <w:rFonts w:hint="eastAsia" w:ascii="宋体" w:hAnsi="宋体" w:eastAsia="宋体" w:cs="宋体"/>
          <w:color w:val="auto"/>
          <w:spacing w:val="-2"/>
          <w:sz w:val="24"/>
          <w:szCs w:val="24"/>
          <w:highlight w:val="none"/>
        </w:rPr>
        <w:t>.2  《中标通知书》将作为签订合同的依据。</w:t>
      </w:r>
    </w:p>
    <w:p>
      <w:pPr>
        <w:pStyle w:val="32"/>
        <w:ind w:firstLine="472" w:firstLineChars="200"/>
        <w:rPr>
          <w:rFonts w:hint="eastAsia" w:ascii="宋体" w:hAnsi="宋体" w:eastAsia="宋体" w:cs="宋体"/>
          <w:b w:val="0"/>
          <w:bCs w:val="0"/>
          <w:color w:val="auto"/>
          <w:spacing w:val="-2"/>
          <w:sz w:val="24"/>
          <w:highlight w:val="none"/>
        </w:rPr>
      </w:pPr>
      <w:r>
        <w:rPr>
          <w:rFonts w:hint="eastAsia" w:ascii="宋体" w:hAnsi="宋体" w:eastAsia="宋体" w:cs="宋体"/>
          <w:color w:val="auto"/>
          <w:spacing w:val="-2"/>
          <w:sz w:val="24"/>
          <w:highlight w:val="none"/>
          <w:lang w:val="en-US" w:eastAsia="zh-CN"/>
        </w:rPr>
        <w:t>33</w:t>
      </w:r>
      <w:r>
        <w:rPr>
          <w:rFonts w:hint="eastAsia" w:ascii="宋体" w:hAnsi="宋体" w:eastAsia="宋体" w:cs="宋体"/>
          <w:color w:val="auto"/>
          <w:spacing w:val="-2"/>
          <w:sz w:val="24"/>
          <w:highlight w:val="none"/>
        </w:rPr>
        <w:t xml:space="preserve">.3  </w:t>
      </w:r>
      <w:r>
        <w:rPr>
          <w:rFonts w:hint="eastAsia" w:ascii="宋体" w:hAnsi="宋体" w:eastAsia="宋体" w:cs="宋体"/>
          <w:b w:val="0"/>
          <w:bCs w:val="0"/>
          <w:color w:val="auto"/>
          <w:spacing w:val="-2"/>
          <w:sz w:val="24"/>
          <w:highlight w:val="none"/>
        </w:rPr>
        <w:t>中标方在领取《中标通知书》时，必须按</w:t>
      </w:r>
      <w:r>
        <w:rPr>
          <w:rFonts w:hint="eastAsia" w:ascii="宋体" w:hAnsi="宋体" w:eastAsia="宋体" w:cs="宋体"/>
          <w:b w:val="0"/>
          <w:bCs w:val="0"/>
          <w:color w:val="auto"/>
          <w:spacing w:val="-2"/>
          <w:sz w:val="24"/>
          <w:highlight w:val="none"/>
          <w:lang w:val="en-US" w:eastAsia="zh-CN"/>
        </w:rPr>
        <w:t>磋商文件</w:t>
      </w:r>
      <w:r>
        <w:rPr>
          <w:rFonts w:hint="eastAsia" w:ascii="宋体" w:hAnsi="宋体" w:eastAsia="宋体" w:cs="宋体"/>
          <w:b w:val="0"/>
          <w:bCs w:val="0"/>
          <w:color w:val="auto"/>
          <w:spacing w:val="-2"/>
          <w:sz w:val="24"/>
          <w:highlight w:val="none"/>
        </w:rPr>
        <w:t>规定向招标代理机构缴纳招标代理服务费。</w:t>
      </w:r>
    </w:p>
    <w:p>
      <w:pPr>
        <w:pStyle w:val="32"/>
        <w:ind w:firstLine="472" w:firstLineChars="200"/>
        <w:rPr>
          <w:rFonts w:hint="eastAsia" w:ascii="宋体" w:hAnsi="宋体" w:eastAsia="宋体" w:cs="宋体"/>
          <w:b w:val="0"/>
          <w:bCs w:val="0"/>
          <w:color w:val="auto"/>
          <w:spacing w:val="-2"/>
          <w:sz w:val="24"/>
          <w:highlight w:val="none"/>
        </w:rPr>
      </w:pPr>
    </w:p>
    <w:p>
      <w:pPr>
        <w:pStyle w:val="32"/>
        <w:rPr>
          <w:rFonts w:hint="eastAsia" w:ascii="宋体" w:hAnsi="宋体" w:eastAsia="宋体" w:cs="宋体"/>
          <w:b w:val="0"/>
          <w:bCs w:val="0"/>
          <w:color w:val="auto"/>
          <w:spacing w:val="-2"/>
          <w:sz w:val="24"/>
          <w:highlight w:val="none"/>
        </w:rPr>
      </w:pPr>
    </w:p>
    <w:p>
      <w:pPr>
        <w:pStyle w:val="32"/>
        <w:ind w:firstLine="472" w:firstLineChars="200"/>
        <w:rPr>
          <w:rFonts w:hint="eastAsia" w:ascii="宋体" w:hAnsi="宋体" w:eastAsia="宋体" w:cs="宋体"/>
          <w:b w:val="0"/>
          <w:bCs w:val="0"/>
          <w:color w:val="auto"/>
          <w:spacing w:val="-2"/>
          <w:sz w:val="24"/>
          <w:highlight w:val="none"/>
        </w:rPr>
      </w:pPr>
    </w:p>
    <w:p>
      <w:pPr>
        <w:spacing w:line="440" w:lineRule="exact"/>
        <w:ind w:firstLine="643" w:firstLineChars="200"/>
        <w:jc w:val="center"/>
        <w:outlineLvl w:val="1"/>
        <w:rPr>
          <w:rFonts w:ascii="宋体" w:hAnsi="宋体"/>
          <w:b/>
          <w:color w:val="auto"/>
          <w:sz w:val="32"/>
          <w:szCs w:val="32"/>
          <w:highlight w:val="none"/>
        </w:rPr>
      </w:pPr>
      <w:r>
        <w:rPr>
          <w:rFonts w:hint="eastAsia" w:ascii="宋体" w:hAnsi="宋体"/>
          <w:b/>
          <w:color w:val="auto"/>
          <w:sz w:val="32"/>
          <w:szCs w:val="32"/>
          <w:highlight w:val="none"/>
        </w:rPr>
        <w:t>第八章</w:t>
      </w:r>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rPr>
        <w:t>授予合同</w:t>
      </w:r>
    </w:p>
    <w:p>
      <w:pPr>
        <w:spacing w:line="440" w:lineRule="exact"/>
        <w:ind w:firstLine="482" w:firstLineChars="200"/>
        <w:rPr>
          <w:rFonts w:hint="eastAsia" w:ascii="宋体" w:hAnsi="宋体" w:eastAsia="宋体" w:cs="宋体"/>
          <w:b/>
          <w:color w:val="auto"/>
          <w:sz w:val="24"/>
          <w:highlight w:val="none"/>
        </w:rPr>
      </w:pPr>
      <w:r>
        <w:rPr>
          <w:rFonts w:hint="eastAsia" w:ascii="宋体" w:hAnsi="宋体" w:cs="宋体"/>
          <w:b/>
          <w:color w:val="auto"/>
          <w:sz w:val="24"/>
          <w:highlight w:val="none"/>
          <w:lang w:val="en-US" w:eastAsia="zh-CN"/>
        </w:rPr>
        <w:t>34</w:t>
      </w:r>
      <w:r>
        <w:rPr>
          <w:rFonts w:hint="eastAsia" w:ascii="宋体" w:hAnsi="宋体" w:eastAsia="宋体" w:cs="宋体"/>
          <w:b/>
          <w:color w:val="auto"/>
          <w:sz w:val="24"/>
          <w:highlight w:val="none"/>
        </w:rPr>
        <w:t>. 签订合同</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cs="宋体"/>
          <w:color w:val="auto"/>
          <w:spacing w:val="-2"/>
          <w:sz w:val="24"/>
          <w:szCs w:val="24"/>
          <w:highlight w:val="none"/>
          <w:lang w:val="en-US" w:eastAsia="zh-CN"/>
        </w:rPr>
        <w:t>34</w:t>
      </w:r>
      <w:r>
        <w:rPr>
          <w:rFonts w:hint="eastAsia" w:ascii="宋体" w:hAnsi="宋体" w:eastAsia="宋体" w:cs="宋体"/>
          <w:color w:val="auto"/>
          <w:spacing w:val="-2"/>
          <w:sz w:val="24"/>
          <w:szCs w:val="24"/>
          <w:highlight w:val="none"/>
        </w:rPr>
        <w:t>.1  中标方收到招标方的《中标通知书》后三十日内，按照</w:t>
      </w:r>
      <w:r>
        <w:rPr>
          <w:rFonts w:hint="eastAsia" w:ascii="宋体" w:hAnsi="宋体" w:cs="宋体"/>
          <w:color w:val="auto"/>
          <w:spacing w:val="-2"/>
          <w:sz w:val="24"/>
          <w:szCs w:val="24"/>
          <w:highlight w:val="none"/>
          <w:lang w:val="en-US" w:eastAsia="zh-CN"/>
        </w:rPr>
        <w:t>磋商文件</w:t>
      </w:r>
      <w:r>
        <w:rPr>
          <w:rFonts w:hint="eastAsia" w:ascii="宋体" w:hAnsi="宋体" w:eastAsia="宋体" w:cs="宋体"/>
          <w:color w:val="auto"/>
          <w:spacing w:val="-2"/>
          <w:sz w:val="24"/>
          <w:szCs w:val="24"/>
          <w:highlight w:val="none"/>
        </w:rPr>
        <w:t>和中标方</w:t>
      </w:r>
      <w:r>
        <w:rPr>
          <w:rFonts w:hint="eastAsia" w:ascii="宋体" w:hAnsi="宋体" w:cs="宋体"/>
          <w:color w:val="auto"/>
          <w:spacing w:val="-2"/>
          <w:sz w:val="24"/>
          <w:szCs w:val="24"/>
          <w:highlight w:val="none"/>
          <w:lang w:val="en-US" w:eastAsia="zh-CN"/>
        </w:rPr>
        <w:t>投标文件</w:t>
      </w:r>
      <w:r>
        <w:rPr>
          <w:rFonts w:hint="eastAsia" w:ascii="宋体" w:hAnsi="宋体" w:eastAsia="宋体" w:cs="宋体"/>
          <w:color w:val="auto"/>
          <w:spacing w:val="-2"/>
          <w:sz w:val="24"/>
          <w:szCs w:val="24"/>
          <w:highlight w:val="none"/>
        </w:rPr>
        <w:t>中的约定与采购人签订书面合同，所签订的合同不得对</w:t>
      </w:r>
      <w:r>
        <w:rPr>
          <w:rFonts w:hint="eastAsia" w:ascii="宋体" w:hAnsi="宋体" w:cs="宋体"/>
          <w:color w:val="auto"/>
          <w:spacing w:val="-2"/>
          <w:sz w:val="24"/>
          <w:szCs w:val="24"/>
          <w:highlight w:val="none"/>
          <w:lang w:val="en-US" w:eastAsia="zh-CN"/>
        </w:rPr>
        <w:t>磋商文件</w:t>
      </w:r>
      <w:r>
        <w:rPr>
          <w:rFonts w:hint="eastAsia" w:ascii="宋体" w:hAnsi="宋体" w:eastAsia="宋体" w:cs="宋体"/>
          <w:color w:val="auto"/>
          <w:spacing w:val="-2"/>
          <w:sz w:val="24"/>
          <w:szCs w:val="24"/>
          <w:highlight w:val="none"/>
        </w:rPr>
        <w:t>和中标方的</w:t>
      </w:r>
      <w:r>
        <w:rPr>
          <w:rFonts w:hint="eastAsia" w:ascii="宋体" w:hAnsi="宋体" w:cs="宋体"/>
          <w:color w:val="auto"/>
          <w:spacing w:val="-2"/>
          <w:sz w:val="24"/>
          <w:szCs w:val="24"/>
          <w:highlight w:val="none"/>
          <w:lang w:val="en-US" w:eastAsia="zh-CN"/>
        </w:rPr>
        <w:t>投标文件</w:t>
      </w:r>
      <w:r>
        <w:rPr>
          <w:rFonts w:hint="eastAsia" w:ascii="宋体" w:hAnsi="宋体" w:eastAsia="宋体" w:cs="宋体"/>
          <w:color w:val="auto"/>
          <w:spacing w:val="-2"/>
          <w:sz w:val="24"/>
          <w:szCs w:val="24"/>
          <w:highlight w:val="none"/>
        </w:rPr>
        <w:t>作实质性修改。</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cs="宋体"/>
          <w:color w:val="auto"/>
          <w:spacing w:val="-2"/>
          <w:sz w:val="24"/>
          <w:szCs w:val="24"/>
          <w:highlight w:val="none"/>
          <w:lang w:val="en-US" w:eastAsia="zh-CN"/>
        </w:rPr>
        <w:t>34</w:t>
      </w:r>
      <w:r>
        <w:rPr>
          <w:rFonts w:hint="eastAsia" w:ascii="宋体" w:hAnsi="宋体" w:eastAsia="宋体" w:cs="宋体"/>
          <w:color w:val="auto"/>
          <w:spacing w:val="-2"/>
          <w:sz w:val="24"/>
          <w:szCs w:val="24"/>
          <w:highlight w:val="none"/>
        </w:rPr>
        <w:t>.2  招标方在授予合同时，有权对</w:t>
      </w:r>
      <w:r>
        <w:rPr>
          <w:rFonts w:hint="eastAsia" w:ascii="宋体" w:hAnsi="宋体" w:cs="宋体"/>
          <w:color w:val="auto"/>
          <w:spacing w:val="-2"/>
          <w:sz w:val="24"/>
          <w:szCs w:val="24"/>
          <w:highlight w:val="none"/>
          <w:lang w:val="en-US" w:eastAsia="zh-CN"/>
        </w:rPr>
        <w:t>磋商文件</w:t>
      </w:r>
      <w:r>
        <w:rPr>
          <w:rFonts w:hint="eastAsia" w:ascii="宋体" w:hAnsi="宋体" w:eastAsia="宋体" w:cs="宋体"/>
          <w:color w:val="auto"/>
          <w:spacing w:val="-2"/>
          <w:sz w:val="24"/>
          <w:szCs w:val="24"/>
          <w:highlight w:val="none"/>
        </w:rPr>
        <w:t>中规定的货物和服务的数量在10%的幅度内予以增加或减少。</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cs="宋体"/>
          <w:color w:val="auto"/>
          <w:spacing w:val="-2"/>
          <w:sz w:val="24"/>
          <w:szCs w:val="24"/>
          <w:highlight w:val="none"/>
          <w:lang w:val="en-US" w:eastAsia="zh-CN"/>
        </w:rPr>
        <w:t>34</w:t>
      </w:r>
      <w:r>
        <w:rPr>
          <w:rFonts w:hint="eastAsia" w:ascii="宋体" w:hAnsi="宋体" w:eastAsia="宋体" w:cs="宋体"/>
          <w:color w:val="auto"/>
          <w:spacing w:val="-2"/>
          <w:sz w:val="24"/>
          <w:szCs w:val="24"/>
          <w:highlight w:val="none"/>
        </w:rPr>
        <w:t>.3  如中标方拒签合同，则按违约处理。招标方将不予退还其</w:t>
      </w:r>
      <w:r>
        <w:rPr>
          <w:rFonts w:hint="eastAsia" w:ascii="宋体" w:hAnsi="宋体" w:eastAsia="宋体" w:cs="宋体"/>
          <w:color w:val="auto"/>
          <w:spacing w:val="-2"/>
          <w:sz w:val="24"/>
          <w:szCs w:val="24"/>
          <w:highlight w:val="none"/>
          <w:lang w:val="en-US" w:eastAsia="zh-CN"/>
        </w:rPr>
        <w:t>投标</w:t>
      </w:r>
      <w:r>
        <w:rPr>
          <w:rFonts w:hint="eastAsia" w:ascii="宋体" w:hAnsi="宋体" w:eastAsia="宋体" w:cs="宋体"/>
          <w:color w:val="auto"/>
          <w:spacing w:val="-2"/>
          <w:sz w:val="24"/>
          <w:szCs w:val="24"/>
          <w:highlight w:val="none"/>
        </w:rPr>
        <w:t>保证金。</w:t>
      </w:r>
    </w:p>
    <w:p>
      <w:pPr>
        <w:spacing w:line="440" w:lineRule="exact"/>
        <w:ind w:firstLine="472" w:firstLineChars="200"/>
        <w:rPr>
          <w:rFonts w:hint="eastAsia" w:ascii="宋体" w:hAnsi="宋体" w:eastAsia="宋体" w:cs="宋体"/>
          <w:color w:val="auto"/>
          <w:spacing w:val="-2"/>
          <w:sz w:val="24"/>
          <w:szCs w:val="24"/>
          <w:highlight w:val="none"/>
        </w:rPr>
      </w:pPr>
      <w:r>
        <w:rPr>
          <w:rFonts w:hint="eastAsia" w:ascii="宋体" w:hAnsi="宋体" w:cs="宋体"/>
          <w:color w:val="auto"/>
          <w:spacing w:val="-2"/>
          <w:sz w:val="24"/>
          <w:szCs w:val="24"/>
          <w:highlight w:val="none"/>
          <w:lang w:val="en-US" w:eastAsia="zh-CN"/>
        </w:rPr>
        <w:t>34</w:t>
      </w:r>
      <w:r>
        <w:rPr>
          <w:rFonts w:hint="eastAsia" w:ascii="宋体" w:hAnsi="宋体" w:eastAsia="宋体" w:cs="宋体"/>
          <w:color w:val="auto"/>
          <w:spacing w:val="-2"/>
          <w:sz w:val="24"/>
          <w:szCs w:val="24"/>
          <w:highlight w:val="none"/>
        </w:rPr>
        <w:t xml:space="preserve">.4  </w:t>
      </w:r>
      <w:r>
        <w:rPr>
          <w:rFonts w:hint="eastAsia" w:ascii="宋体" w:hAnsi="宋体" w:cs="宋体"/>
          <w:color w:val="auto"/>
          <w:spacing w:val="-2"/>
          <w:sz w:val="24"/>
          <w:szCs w:val="24"/>
          <w:highlight w:val="none"/>
          <w:lang w:val="en-US" w:eastAsia="zh-CN"/>
        </w:rPr>
        <w:t>磋商文件</w:t>
      </w:r>
      <w:r>
        <w:rPr>
          <w:rFonts w:hint="eastAsia" w:ascii="宋体" w:hAnsi="宋体" w:eastAsia="宋体" w:cs="宋体"/>
          <w:color w:val="auto"/>
          <w:spacing w:val="-2"/>
          <w:sz w:val="24"/>
          <w:szCs w:val="24"/>
          <w:highlight w:val="none"/>
        </w:rPr>
        <w:t>、中标方的</w:t>
      </w:r>
      <w:r>
        <w:rPr>
          <w:rFonts w:hint="eastAsia" w:ascii="宋体" w:hAnsi="宋体" w:cs="宋体"/>
          <w:color w:val="auto"/>
          <w:spacing w:val="-2"/>
          <w:sz w:val="24"/>
          <w:szCs w:val="24"/>
          <w:highlight w:val="none"/>
          <w:lang w:val="en-US" w:eastAsia="zh-CN"/>
        </w:rPr>
        <w:t>投标文件</w:t>
      </w:r>
      <w:r>
        <w:rPr>
          <w:rFonts w:hint="eastAsia" w:ascii="宋体" w:hAnsi="宋体" w:eastAsia="宋体" w:cs="宋体"/>
          <w:color w:val="auto"/>
          <w:spacing w:val="-2"/>
          <w:sz w:val="24"/>
          <w:szCs w:val="24"/>
          <w:highlight w:val="none"/>
        </w:rPr>
        <w:t>及其澄清文件等，均为签订经济合同的依据。</w:t>
      </w:r>
    </w:p>
    <w:p>
      <w:pPr>
        <w:pStyle w:val="32"/>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34</w:t>
      </w:r>
      <w:r>
        <w:rPr>
          <w:rFonts w:hint="eastAsia" w:ascii="宋体" w:hAnsi="宋体" w:eastAsia="宋体" w:cs="宋体"/>
          <w:color w:val="auto"/>
          <w:spacing w:val="-2"/>
          <w:sz w:val="24"/>
          <w:szCs w:val="24"/>
          <w:highlight w:val="none"/>
        </w:rPr>
        <w:t>.5  不允许中标方将中标项目分包或转交他人承担。</w:t>
      </w: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2"/>
        <w:rPr>
          <w:rFonts w:hint="eastAsia" w:ascii="宋体" w:hAnsi="宋体" w:eastAsia="宋体" w:cs="宋体"/>
          <w:color w:val="auto"/>
          <w:spacing w:val="-2"/>
          <w:sz w:val="24"/>
          <w:szCs w:val="24"/>
          <w:highlight w:val="none"/>
        </w:rPr>
      </w:pPr>
    </w:p>
    <w:p>
      <w:pPr>
        <w:pStyle w:val="3"/>
        <w:keepLines w:val="0"/>
        <w:pageBreakBefore w:val="0"/>
        <w:widowControl w:val="0"/>
        <w:numPr>
          <w:ilvl w:val="0"/>
          <w:numId w:val="6"/>
        </w:numPr>
        <w:tabs>
          <w:tab w:val="clear" w:pos="360"/>
        </w:tabs>
        <w:kinsoku/>
        <w:wordWrap/>
        <w:overflowPunct/>
        <w:topLinePunct w:val="0"/>
        <w:autoSpaceDE/>
        <w:autoSpaceDN/>
        <w:bidi w:val="0"/>
        <w:adjustRightInd/>
        <w:snapToGrid/>
        <w:spacing w:line="360" w:lineRule="auto"/>
        <w:ind w:leftChars="0"/>
        <w:jc w:val="center"/>
        <w:textAlignment w:val="auto"/>
        <w:rPr>
          <w:rFonts w:hint="eastAsia" w:ascii="宋体" w:hAnsi="宋体" w:cs="宋体"/>
          <w:color w:val="auto"/>
          <w:sz w:val="36"/>
          <w:szCs w:val="36"/>
          <w:highlight w:val="none"/>
          <w:lang w:val="en-US" w:eastAsia="zh-CN"/>
        </w:rPr>
      </w:pPr>
      <w:r>
        <w:rPr>
          <w:rFonts w:hint="eastAsia" w:ascii="宋体" w:hAnsi="宋体" w:eastAsia="宋体" w:cs="宋体"/>
          <w:color w:val="auto"/>
          <w:sz w:val="36"/>
          <w:szCs w:val="36"/>
          <w:highlight w:val="none"/>
        </w:rPr>
        <w:t xml:space="preserve"> </w:t>
      </w:r>
      <w:bookmarkEnd w:id="7"/>
      <w:r>
        <w:rPr>
          <w:rFonts w:hint="eastAsia" w:ascii="宋体" w:hAnsi="宋体" w:cs="宋体"/>
          <w:color w:val="auto"/>
          <w:sz w:val="36"/>
          <w:szCs w:val="36"/>
          <w:highlight w:val="none"/>
          <w:lang w:val="en-US" w:eastAsia="zh-CN"/>
        </w:rPr>
        <w:t>采购服务及要求</w:t>
      </w:r>
    </w:p>
    <w:p>
      <w:pPr>
        <w:pStyle w:val="3"/>
        <w:numPr>
          <w:ilvl w:val="0"/>
          <w:numId w:val="0"/>
        </w:numPr>
        <w:ind w:leftChars="0"/>
        <w:jc w:val="center"/>
        <w:rPr>
          <w:rFonts w:hint="default"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第一章 项目情况</w:t>
      </w:r>
    </w:p>
    <w:p>
      <w:pPr>
        <w:pStyle w:val="32"/>
        <w:keepNext w:val="0"/>
        <w:keepLines w:val="0"/>
        <w:pageBreakBefore w:val="0"/>
        <w:kinsoku/>
        <w:overflowPunct/>
        <w:topLinePunct w:val="0"/>
        <w:bidi w:val="0"/>
        <w:snapToGrid/>
        <w:spacing w:line="360" w:lineRule="auto"/>
        <w:textAlignment w:val="auto"/>
        <w:rPr>
          <w:rFonts w:hint="eastAsia" w:ascii="宋体" w:hAnsi="宋体" w:eastAsia="宋体" w:cs="宋体"/>
          <w:b/>
          <w:bCs/>
          <w:color w:val="auto"/>
          <w:sz w:val="24"/>
          <w:szCs w:val="24"/>
          <w:highlight w:val="none"/>
          <w:lang w:val="en-US" w:eastAsia="zh-CN"/>
        </w:rPr>
      </w:pPr>
      <w:bookmarkStart w:id="15" w:name="_bookmark1"/>
      <w:bookmarkEnd w:id="15"/>
      <w:bookmarkStart w:id="16" w:name="_Toc1235"/>
      <w:r>
        <w:rPr>
          <w:rFonts w:hint="eastAsia" w:ascii="宋体" w:hAnsi="宋体" w:cs="宋体"/>
          <w:b w:val="0"/>
          <w:bCs w:val="0"/>
          <w:color w:val="auto"/>
          <w:kern w:val="0"/>
          <w:sz w:val="24"/>
          <w:szCs w:val="24"/>
          <w:highlight w:val="none"/>
          <w:lang w:val="en-US" w:eastAsia="zh-CN" w:bidi="ar"/>
        </w:rPr>
        <w:t xml:space="preserve"> </w:t>
      </w:r>
      <w:r>
        <w:rPr>
          <w:rFonts w:hint="eastAsia" w:ascii="宋体" w:hAnsi="宋体" w:eastAsia="宋体" w:cs="宋体"/>
          <w:b/>
          <w:bCs/>
          <w:color w:val="auto"/>
          <w:sz w:val="24"/>
          <w:szCs w:val="24"/>
          <w:highlight w:val="none"/>
          <w:lang w:val="en-US" w:eastAsia="zh-CN"/>
        </w:rPr>
        <w:t>一、项目基本情况</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1、项目编号：</w:t>
      </w:r>
      <w:r>
        <w:rPr>
          <w:rFonts w:hint="eastAsia" w:ascii="宋体" w:hAnsi="宋体" w:cs="宋体"/>
          <w:b w:val="0"/>
          <w:bCs w:val="0"/>
          <w:color w:val="auto"/>
          <w:sz w:val="24"/>
          <w:szCs w:val="24"/>
          <w:highlight w:val="none"/>
          <w:u w:val="none"/>
          <w:lang w:val="en-US" w:eastAsia="zh-CN"/>
        </w:rPr>
        <w:t>2023-0526-124147</w:t>
      </w:r>
    </w:p>
    <w:p>
      <w:pPr>
        <w:pStyle w:val="50"/>
        <w:keepNext w:val="0"/>
        <w:keepLines w:val="0"/>
        <w:pageBreakBefore w:val="0"/>
        <w:kinsoku/>
        <w:wordWrap w:val="0"/>
        <w:overflowPunct/>
        <w:topLinePunct w:val="0"/>
        <w:autoSpaceDE w:val="0"/>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2、项目名称</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bidi="ar"/>
        </w:rPr>
        <w:t>新疆天山东部国有林管理局吉木萨尔分局2023年森林防火无人机巡护项目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内容:</w:t>
      </w:r>
      <w:r>
        <w:rPr>
          <w:rFonts w:hint="eastAsia" w:ascii="宋体" w:hAnsi="宋体" w:eastAsia="宋体" w:cs="宋体"/>
          <w:b w:val="0"/>
          <w:bCs w:val="0"/>
          <w:color w:val="auto"/>
          <w:kern w:val="0"/>
          <w:sz w:val="24"/>
          <w:szCs w:val="24"/>
          <w:highlight w:val="none"/>
          <w:lang w:val="en-US" w:eastAsia="zh-CN" w:bidi="ar"/>
        </w:rPr>
        <w:t>新疆天山东部国有林管理局吉木萨尔分局2023年森林防火无人机巡护服务</w:t>
      </w:r>
      <w:r>
        <w:rPr>
          <w:rFonts w:hint="eastAsia" w:ascii="宋体" w:hAnsi="宋体" w:eastAsia="宋体" w:cs="宋体"/>
          <w:b w:val="0"/>
          <w:bCs w:val="0"/>
          <w:color w:val="auto"/>
          <w:sz w:val="24"/>
          <w:szCs w:val="24"/>
          <w:highlight w:val="none"/>
          <w:lang w:val="en-US" w:eastAsia="zh-CN"/>
        </w:rPr>
        <w:t>（详见</w:t>
      </w:r>
      <w:r>
        <w:rPr>
          <w:rFonts w:hint="eastAsia" w:ascii="宋体" w:hAnsi="宋体" w:cs="宋体"/>
          <w:b w:val="0"/>
          <w:bCs w:val="0"/>
          <w:color w:val="auto"/>
          <w:sz w:val="24"/>
          <w:szCs w:val="24"/>
          <w:highlight w:val="none"/>
          <w:lang w:val="en-US" w:eastAsia="zh-CN"/>
        </w:rPr>
        <w:t>磋商文件</w:t>
      </w:r>
      <w:r>
        <w:rPr>
          <w:rFonts w:hint="eastAsia" w:ascii="宋体" w:hAnsi="宋体" w:eastAsia="宋体" w:cs="宋体"/>
          <w:b w:val="0"/>
          <w:bCs w:val="0"/>
          <w:color w:val="auto"/>
          <w:sz w:val="24"/>
          <w:szCs w:val="24"/>
          <w:highlight w:val="none"/>
          <w:lang w:val="en-US" w:eastAsia="zh-CN"/>
        </w:rPr>
        <w:t>）</w:t>
      </w:r>
    </w:p>
    <w:p>
      <w:pPr>
        <w:pStyle w:val="51"/>
        <w:keepNext w:val="0"/>
        <w:keepLines w:val="0"/>
        <w:pageBreakBefore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lang w:val="en-US" w:eastAsia="zh-CN"/>
        </w:rPr>
        <w:t>4、项目地点：</w:t>
      </w:r>
      <w:r>
        <w:rPr>
          <w:rFonts w:hint="eastAsia" w:ascii="宋体" w:hAnsi="宋体" w:eastAsia="宋体" w:cs="宋体"/>
          <w:b w:val="0"/>
          <w:bCs w:val="0"/>
          <w:color w:val="auto"/>
          <w:kern w:val="0"/>
          <w:sz w:val="24"/>
          <w:szCs w:val="24"/>
          <w:highlight w:val="none"/>
          <w:lang w:val="en-US" w:eastAsia="zh-CN" w:bidi="ar"/>
        </w:rPr>
        <w:t>吉木萨尔县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5、</w:t>
      </w:r>
      <w:r>
        <w:rPr>
          <w:rFonts w:hint="eastAsia" w:ascii="宋体" w:hAnsi="宋体" w:eastAsia="宋体" w:cs="宋体"/>
          <w:b w:val="0"/>
          <w:bCs w:val="0"/>
          <w:color w:val="auto"/>
          <w:kern w:val="0"/>
          <w:sz w:val="24"/>
          <w:szCs w:val="24"/>
          <w:highlight w:val="none"/>
          <w:lang w:val="en-US" w:eastAsia="zh-Hans" w:bidi="ar"/>
        </w:rPr>
        <w:t>服务周期：</w:t>
      </w:r>
      <w:r>
        <w:rPr>
          <w:rFonts w:hint="eastAsia" w:ascii="宋体" w:hAnsi="宋体" w:eastAsia="宋体" w:cs="宋体"/>
          <w:b w:val="0"/>
          <w:bCs w:val="0"/>
          <w:color w:val="auto"/>
          <w:kern w:val="0"/>
          <w:sz w:val="24"/>
          <w:szCs w:val="24"/>
          <w:highlight w:val="none"/>
          <w:lang w:val="en-US" w:eastAsia="zh-CN" w:bidi="ar"/>
        </w:rPr>
        <w:t>2023年6月-10月</w:t>
      </w:r>
    </w:p>
    <w:p>
      <w:pPr>
        <w:pStyle w:val="51"/>
        <w:keepNext w:val="0"/>
        <w:keepLines w:val="0"/>
        <w:pageBreakBefore w:val="0"/>
        <w:kinsoku/>
        <w:overflowPunct/>
        <w:topLinePunct w:val="0"/>
        <w:autoSpaceDE w:val="0"/>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6、投资额：</w:t>
      </w:r>
      <w:r>
        <w:rPr>
          <w:rFonts w:hint="eastAsia" w:ascii="宋体" w:hAnsi="宋体" w:eastAsia="宋体" w:cs="宋体"/>
          <w:b w:val="0"/>
          <w:bCs w:val="0"/>
          <w:color w:val="auto"/>
          <w:kern w:val="0"/>
          <w:sz w:val="24"/>
          <w:szCs w:val="24"/>
          <w:highlight w:val="none"/>
          <w:lang w:val="en-US" w:eastAsia="zh-CN" w:bidi="ar"/>
        </w:rPr>
        <w:t>525000元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8、资金来源：一般公共预算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9、绩效目标和成效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本项目的主要目标在于通过开展无人机巡护，用于补充人工巡护和地面监控难以到达的远山偏山、“三无两有”林区，确保林区防火工作做到无死角、全覆盖。同时利用无人机搭载可见光、红外相机、多/高光谱相机等设备，可对林区进行分时间段、指定区域面积、定点空中监测、巡护实时传输、火情现场指挥等，实现对森林草原高效、全面监控。充分发挥无人机在森林草原火灾预警监测、火情扑救、森林健康监测和野生动物疫源疫病监测等方面的作用。</w:t>
      </w:r>
    </w:p>
    <w:p>
      <w:pPr>
        <w:pStyle w:val="3"/>
        <w:numPr>
          <w:ilvl w:val="0"/>
          <w:numId w:val="0"/>
        </w:numPr>
        <w:ind w:leftChars="0"/>
        <w:jc w:val="center"/>
        <w:rPr>
          <w:rFonts w:hint="eastAsia" w:ascii="宋体" w:hAnsi="宋体" w:eastAsia="宋体" w:cs="宋体"/>
          <w:color w:val="auto"/>
          <w:sz w:val="24"/>
          <w:szCs w:val="24"/>
          <w:highlight w:val="none"/>
          <w:lang w:eastAsia="zh-CN" w:bidi="ar"/>
        </w:rPr>
      </w:pPr>
      <w:bookmarkStart w:id="17" w:name="_Toc135919915"/>
      <w:r>
        <w:rPr>
          <w:rFonts w:hint="eastAsia" w:ascii="宋体" w:hAnsi="宋体" w:eastAsia="宋体" w:cs="宋体"/>
          <w:color w:val="auto"/>
          <w:sz w:val="24"/>
          <w:szCs w:val="24"/>
          <w:highlight w:val="none"/>
          <w:lang w:bidi="ar"/>
        </w:rPr>
        <w:t>第二章 项目</w:t>
      </w:r>
      <w:bookmarkEnd w:id="17"/>
      <w:r>
        <w:rPr>
          <w:rFonts w:hint="eastAsia" w:ascii="宋体" w:hAnsi="宋体" w:eastAsia="宋体" w:cs="宋体"/>
          <w:color w:val="auto"/>
          <w:sz w:val="24"/>
          <w:szCs w:val="24"/>
          <w:highlight w:val="none"/>
          <w:lang w:val="en-US" w:eastAsia="zh-CN" w:bidi="ar"/>
        </w:rPr>
        <w:t>需求</w:t>
      </w:r>
    </w:p>
    <w:p>
      <w:pPr>
        <w:widowControl/>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吉木萨尔分局所属林区大部在后山区域，林区分布偏远、地形复杂、山势陡峭，部分火灾高发区域巡护人员难以到达，属“三无两有”（无道路、无通讯、无电、有人为活动、有雷击火）林区，特别是雷击火易发区域均在高山腹地，仅靠现有的地面监控和人工日常巡护，难以保证林区防火工作做到无死角、全覆盖，不能满足及时发现火情的要求，且由于林区交通不畅和公网通讯未覆盖等原因，发现火情后难以第一时间传递火情信息，容易延误战机，导致小火蔓延成大火。</w:t>
      </w:r>
    </w:p>
    <w:p>
      <w:pPr>
        <w:widowControl/>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无人机通过搭载可见光、红外等多种载荷，可对林区草原进行长时间、大面积、定点空中监测，实现对森林草原的高效、全面监控，提高监测森林草原火情时效性和识别能力，为森林草原火情早处置打下基础。</w:t>
      </w:r>
    </w:p>
    <w:p>
      <w:pPr>
        <w:widowControl/>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为了解决这些问题，吉木萨尔分局计划开展无人机航空巡护项目。通过搭载可见光、红外热感、多/高光谱相机等多种载荷，无人机可以在分时间段、指定区域面积、定点空中监测、巡护实时传输、火情现场指挥等方面快速响应，实现对森林的高效、全面监控。无人机巡护可以覆盖人工难以到达的区域，特别是在陡峭山区、深谷、河流等难以到达的地方，无人机能够高效地完成巡护任务。此外，无人机巡护可以大大减少人力成本，提高巡护效率，同时可以提高巡护的准确性和可靠性，快速发现火灾、盗伐、病虫害等问题，避免生态破坏和资源浪费。</w:t>
      </w:r>
    </w:p>
    <w:p>
      <w:pPr>
        <w:widowControl/>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除此之外，无人机巡护还具有多种优势，例如可以全天候巡护、高空俯瞰、精准定位、保存数据等，从而提高了巡护的效率和准确性。同时，无人机巡护还可以提高工作安全性，避免人工巡护存在的人身安全问题。</w:t>
      </w:r>
    </w:p>
    <w:p>
      <w:pPr>
        <w:widowControl/>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综上所述，无人机巡护在吉木萨尔分局是必要的，它可以提高巡护效率、减少人力成本、提高巡护准确性和可靠性，并提高工作安全性。无人机巡护还具有广阔的应用前景，可以为森林资源的保护和管理提供更加高效、精准和全面的技术支持。</w:t>
      </w:r>
    </w:p>
    <w:p>
      <w:pPr>
        <w:widowControl/>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                    </w:t>
      </w:r>
    </w:p>
    <w:p>
      <w:pPr>
        <w:pStyle w:val="3"/>
        <w:numPr>
          <w:ilvl w:val="0"/>
          <w:numId w:val="0"/>
        </w:numPr>
        <w:ind w:leftChars="0"/>
        <w:jc w:val="center"/>
        <w:rPr>
          <w:rFonts w:hint="eastAsia" w:ascii="宋体" w:hAnsi="宋体" w:eastAsia="宋体" w:cs="宋体"/>
          <w:color w:val="auto"/>
          <w:sz w:val="24"/>
          <w:szCs w:val="24"/>
          <w:highlight w:val="none"/>
          <w:lang w:bidi="ar"/>
        </w:rPr>
      </w:pPr>
      <w:bookmarkStart w:id="18" w:name="_Toc135919916"/>
      <w:r>
        <w:rPr>
          <w:rFonts w:hint="eastAsia" w:ascii="宋体" w:hAnsi="宋体" w:eastAsia="宋体" w:cs="宋体"/>
          <w:color w:val="auto"/>
          <w:sz w:val="24"/>
          <w:szCs w:val="24"/>
          <w:highlight w:val="none"/>
          <w:lang w:bidi="ar"/>
        </w:rPr>
        <w:t>第三章 项目实施条件</w:t>
      </w:r>
      <w:bookmarkEnd w:id="18"/>
    </w:p>
    <w:p>
      <w:pPr>
        <w:widowControl/>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吉木萨尔林区地处天山东端北麓、准噶尔盆地东南缘，地势南北高、中间低吉木萨尔位于新疆维吾尔自治区东北部，地理坐标为东经88°30′-89°30′，北纬43°30′-45°30′。东邻奇台县，西与阜康市接壤，北越卡拉麦里岭和富蕴相连，南以博格达山分水岭同吐鲁番地区、乌鲁木齐市为界。</w:t>
      </w:r>
    </w:p>
    <w:p>
      <w:pPr>
        <w:widowControl/>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吉木萨尔所属林区总面积150万亩，全区域乔木及灌木、草地，其中林地55万亩.主要区域：潘家台子管护所</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二工河管护站，大东沟管护站，新地管护所，新地沟管护站，路家泉管护站，大有管护所，广泉管护站，泉子街管护所，吾塘沟管护站，白杨河管护站。重点区域白杨河、吾塘沟、泉子街、大有、新地、潘家台子管护站范围。重点区域白杨河、吾塘沟、泉子街、大有、新地、潘家台子管护站范围。其中重点防护区：白杨河、吾塘沟、泉子街、大有、新地、潘家台子管护站范围</w:t>
      </w:r>
    </w:p>
    <w:p>
      <w:pPr>
        <w:widowControl/>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吉木萨尔分局森林集中分布在海拔1900—2500米之间，乔木及灌木、草地（全区域）。森林呈山地草原相间分布，接近森林上限处的林木多呈现生长不良、分布稀疏。降雨量较小、夏季降雨量多发期。</w:t>
      </w:r>
    </w:p>
    <w:p>
      <w:pPr>
        <w:widowControl/>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从近20年来林区火情发生情况分析，6-8月夏季火灾占比最高，达到71.43%。原因主要为牧民、游客吸烟、游客野炊引发森林草原失火。在森林草原失火发生时段上分析，高发日时段为一天中上午12:00至下午19:00，该时段是一天中温度最高、湿度最低、人为活动最频繁、野外用火频率最高的时段。</w:t>
      </w:r>
    </w:p>
    <w:p>
      <w:pPr>
        <w:pStyle w:val="2"/>
        <w:rPr>
          <w:rFonts w:hint="eastAsia" w:ascii="宋体" w:hAnsi="宋体" w:eastAsia="宋体" w:cs="宋体"/>
          <w:color w:val="auto"/>
          <w:sz w:val="24"/>
          <w:szCs w:val="24"/>
          <w:highlight w:val="none"/>
          <w:lang w:bidi="ar"/>
        </w:rPr>
      </w:pPr>
    </w:p>
    <w:p>
      <w:pPr>
        <w:pStyle w:val="3"/>
        <w:numPr>
          <w:ilvl w:val="0"/>
          <w:numId w:val="0"/>
        </w:numPr>
        <w:ind w:leftChars="0"/>
        <w:jc w:val="center"/>
        <w:rPr>
          <w:rFonts w:hint="eastAsia" w:ascii="宋体" w:hAnsi="宋体" w:eastAsia="宋体" w:cs="宋体"/>
          <w:color w:val="auto"/>
          <w:sz w:val="24"/>
          <w:szCs w:val="24"/>
          <w:highlight w:val="none"/>
          <w:lang w:bidi="ar"/>
        </w:rPr>
      </w:pPr>
      <w:bookmarkStart w:id="19" w:name="_Toc135919917"/>
      <w:r>
        <w:rPr>
          <w:rFonts w:hint="eastAsia" w:ascii="宋体" w:hAnsi="宋体" w:eastAsia="宋体" w:cs="宋体"/>
          <w:color w:val="auto"/>
          <w:sz w:val="24"/>
          <w:szCs w:val="24"/>
          <w:highlight w:val="none"/>
          <w:lang w:bidi="ar"/>
        </w:rPr>
        <w:t>第四章 项目建设规模和布局</w:t>
      </w:r>
      <w:bookmarkEnd w:id="19"/>
    </w:p>
    <w:p>
      <w:pPr>
        <w:pStyle w:val="20"/>
        <w:jc w:val="left"/>
        <w:rPr>
          <w:rFonts w:hint="eastAsia" w:ascii="宋体" w:hAnsi="宋体" w:eastAsia="宋体" w:cs="宋体"/>
          <w:color w:val="auto"/>
          <w:sz w:val="24"/>
          <w:szCs w:val="24"/>
          <w:highlight w:val="none"/>
          <w:lang w:bidi="ar"/>
        </w:rPr>
      </w:pPr>
      <w:bookmarkStart w:id="20" w:name="_Toc135919918"/>
      <w:r>
        <w:rPr>
          <w:rFonts w:hint="eastAsia" w:ascii="宋体" w:hAnsi="宋体" w:eastAsia="宋体" w:cs="宋体"/>
          <w:color w:val="auto"/>
          <w:sz w:val="24"/>
          <w:szCs w:val="24"/>
          <w:highlight w:val="none"/>
          <w:lang w:bidi="ar"/>
        </w:rPr>
        <w:t>4.1项目编制依据</w:t>
      </w:r>
      <w:bookmarkEnd w:id="20"/>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1.《中华人民共和国森林法》（2019年修订）；</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2.《中华人民共和国森林法实施条例》（2018年修订）；</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3.《中华人民共和国森林防火条例》；</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4.《关于做好2023年中央财政林业草原项目储备入库工作的通知》 （新林规字〔2022〕177号文件）；</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5.《关于提前下达2023年中央林业草原生态保护恢复资金预算的通知》（新财资环〔2022〕122号）</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6.自治区林草局《关于印发2023年中央财政天然林保护管理资金项目申报指南的通知》（新林规字〔2022〕227号）</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7.自治区林草局《关于提前下达2023年中央财政林业草原生态保护恢复资金建设任务的通知》（新林规字〔2022〕260号）</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8.自治区林草局《关于开展无人机航空巡护工作的通知》（新林防字〔2022〕3号）</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9.转发自治区林草局《关于开展无人机航空巡护工作的通知》 新（天东林长办函〔2022〕60号文件）</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 自治区天山东部国有林管理局无人机航空巡护规范（试行）</w:t>
      </w:r>
    </w:p>
    <w:p>
      <w:pPr>
        <w:pStyle w:val="20"/>
        <w:jc w:val="left"/>
        <w:rPr>
          <w:rFonts w:hint="eastAsia" w:ascii="宋体" w:hAnsi="宋体" w:eastAsia="宋体" w:cs="宋体"/>
          <w:color w:val="auto"/>
          <w:sz w:val="24"/>
          <w:szCs w:val="24"/>
          <w:highlight w:val="none"/>
          <w:lang w:bidi="ar"/>
        </w:rPr>
      </w:pPr>
      <w:bookmarkStart w:id="21" w:name="_Toc135919919"/>
      <w:r>
        <w:rPr>
          <w:rFonts w:hint="eastAsia" w:ascii="宋体" w:hAnsi="宋体" w:eastAsia="宋体" w:cs="宋体"/>
          <w:color w:val="auto"/>
          <w:sz w:val="24"/>
          <w:szCs w:val="24"/>
          <w:highlight w:val="none"/>
          <w:lang w:bidi="ar"/>
        </w:rPr>
        <w:t>4.2 项目建设规模</w:t>
      </w:r>
      <w:bookmarkEnd w:id="21"/>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w:t>
      </w:r>
      <w:r>
        <w:rPr>
          <w:rFonts w:hint="eastAsia" w:ascii="宋体" w:hAnsi="宋体" w:eastAsia="宋体" w:cs="宋体"/>
          <w:color w:val="auto"/>
          <w:sz w:val="24"/>
          <w:szCs w:val="24"/>
          <w:highlight w:val="none"/>
        </w:rPr>
        <w:t>本项目计划将于2023年6月至10月期间在吉木萨尔分局辖区范围内开展无人机林区巡护，侧重于在森林防火一级火险区、林区旅游人员聚集区、“三无两有”林区等开展巡护。同时通过无人机进行火灾预警监测、火情扑救指挥、森林健康监测等。</w:t>
      </w: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主要包括以下的建设内容：</w:t>
      </w:r>
    </w:p>
    <w:p>
      <w:pPr>
        <w:pStyle w:val="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 森林消防无人机航空巡护：</w:t>
      </w:r>
    </w:p>
    <w:p>
      <w:pPr>
        <w:pStyle w:val="2"/>
        <w:numPr>
          <w:ilvl w:val="0"/>
          <w:numId w:val="7"/>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巡护区域：二工河管护站，潘家台子管护所，大东沟管护站，新地管护所，新地沟管护站，路家泉管护站，大有管护所，广泉管护站，泉子街管护所，吾塘沟管护站，白杨河管护站。重点区域白杨河、吾塘沟、泉子街、大有、新地、潘家台子管护站等主要森林火险区进行巡护。</w:t>
      </w:r>
    </w:p>
    <w:p>
      <w:pPr>
        <w:pStyle w:val="2"/>
        <w:numPr>
          <w:ilvl w:val="0"/>
          <w:numId w:val="7"/>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服务周期：2023年6月-10月；</w:t>
      </w:r>
    </w:p>
    <w:p>
      <w:pPr>
        <w:pStyle w:val="2"/>
        <w:numPr>
          <w:ilvl w:val="0"/>
          <w:numId w:val="7"/>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巡护频率及要求：6月共飞行3天6架次；每架次2.5h。 7-9月共飞行30天36架次；每架次2.5h。10月每月飞行13天14架次；每架次2.5h。总时长140h。</w:t>
      </w:r>
    </w:p>
    <w:p>
      <w:pPr>
        <w:pStyle w:val="2"/>
        <w:numPr>
          <w:ilvl w:val="0"/>
          <w:numId w:val="7"/>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巡护成果：历次无人机巡查飞行报告，及吊舱视频电子档资料</w:t>
      </w:r>
    </w:p>
    <w:p>
      <w:pPr>
        <w:pStyle w:val="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4.2.2航空巡护任务表</w:t>
      </w:r>
    </w:p>
    <w:p>
      <w:pPr>
        <w:widowControl/>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吉木萨尔分局森林防火无人机航空巡护任务表</w:t>
      </w:r>
    </w:p>
    <w:tbl>
      <w:tblPr>
        <w:tblStyle w:val="2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709"/>
        <w:gridCol w:w="692"/>
        <w:gridCol w:w="709"/>
        <w:gridCol w:w="850"/>
        <w:gridCol w:w="709"/>
        <w:gridCol w:w="1559"/>
        <w:gridCol w:w="3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57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月份</w:t>
            </w:r>
          </w:p>
        </w:tc>
        <w:tc>
          <w:tcPr>
            <w:tcW w:w="692" w:type="dxa"/>
            <w:vAlign w:val="center"/>
          </w:tcPr>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月巡护天数（天）</w:t>
            </w:r>
          </w:p>
        </w:tc>
        <w:tc>
          <w:tcPr>
            <w:tcW w:w="709" w:type="dxa"/>
            <w:vAlign w:val="center"/>
          </w:tcPr>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固定翼月巡护时数（小时）</w:t>
            </w:r>
          </w:p>
        </w:tc>
        <w:tc>
          <w:tcPr>
            <w:tcW w:w="850" w:type="dxa"/>
            <w:vAlign w:val="center"/>
          </w:tcPr>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多旋翼月巡护时数（小时）</w:t>
            </w:r>
          </w:p>
        </w:tc>
        <w:tc>
          <w:tcPr>
            <w:tcW w:w="709" w:type="dxa"/>
            <w:vAlign w:val="center"/>
          </w:tcPr>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巡护面积</w:t>
            </w:r>
          </w:p>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（万亩）</w:t>
            </w:r>
          </w:p>
        </w:tc>
        <w:tc>
          <w:tcPr>
            <w:tcW w:w="155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重点巡护时间</w:t>
            </w:r>
          </w:p>
        </w:tc>
        <w:tc>
          <w:tcPr>
            <w:tcW w:w="3603"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巡护方式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6月</w:t>
            </w:r>
          </w:p>
        </w:tc>
        <w:tc>
          <w:tcPr>
            <w:tcW w:w="692"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w:t>
            </w:r>
          </w:p>
        </w:tc>
        <w:tc>
          <w:tcPr>
            <w:tcW w:w="850"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60</w:t>
            </w:r>
          </w:p>
        </w:tc>
        <w:tc>
          <w:tcPr>
            <w:tcW w:w="1559" w:type="dxa"/>
            <w:vAlign w:val="center"/>
          </w:tcPr>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端午节3天；</w:t>
            </w:r>
          </w:p>
        </w:tc>
        <w:tc>
          <w:tcPr>
            <w:tcW w:w="3603" w:type="dxa"/>
            <w:vAlign w:val="center"/>
          </w:tcPr>
          <w:p>
            <w:pPr>
              <w:widowControl/>
              <w:spacing w:line="220" w:lineRule="exact"/>
              <w:ind w:right="1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固定翼：后山重点区域巡护；</w:t>
            </w:r>
          </w:p>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旋翼机巢：端午节及周末游客区域喇叭防火宣传+热成像防火巡护（白天+夜晚）。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7月</w:t>
            </w:r>
          </w:p>
        </w:tc>
        <w:tc>
          <w:tcPr>
            <w:tcW w:w="692"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850"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120</w:t>
            </w:r>
          </w:p>
        </w:tc>
        <w:tc>
          <w:tcPr>
            <w:tcW w:w="1559" w:type="dxa"/>
            <w:vAlign w:val="center"/>
          </w:tcPr>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周末10天重点时段；</w:t>
            </w:r>
          </w:p>
        </w:tc>
        <w:tc>
          <w:tcPr>
            <w:tcW w:w="3603" w:type="dxa"/>
            <w:vAlign w:val="center"/>
          </w:tcPr>
          <w:p>
            <w:pPr>
              <w:widowControl/>
              <w:spacing w:line="220" w:lineRule="exact"/>
              <w:ind w:right="1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固定翼：后山重点区域巡护；</w:t>
            </w:r>
          </w:p>
          <w:p>
            <w:pPr>
              <w:widowControl/>
              <w:spacing w:line="280" w:lineRule="exact"/>
              <w:ind w:right="1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旋翼机巢：周末游客区域喇叭防火宣传+热成像防火巡护（白天+夜晚）。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8月</w:t>
            </w:r>
          </w:p>
        </w:tc>
        <w:tc>
          <w:tcPr>
            <w:tcW w:w="692"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12.5</w:t>
            </w:r>
          </w:p>
        </w:tc>
        <w:tc>
          <w:tcPr>
            <w:tcW w:w="850"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110</w:t>
            </w:r>
          </w:p>
        </w:tc>
        <w:tc>
          <w:tcPr>
            <w:tcW w:w="1559" w:type="dxa"/>
            <w:vAlign w:val="center"/>
          </w:tcPr>
          <w:p>
            <w:pPr>
              <w:widowControl/>
              <w:spacing w:line="280" w:lineRule="exact"/>
              <w:ind w:right="1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中元节1天；</w:t>
            </w:r>
          </w:p>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周末8天；</w:t>
            </w:r>
          </w:p>
        </w:tc>
        <w:tc>
          <w:tcPr>
            <w:tcW w:w="3603" w:type="dxa"/>
            <w:vAlign w:val="center"/>
          </w:tcPr>
          <w:p>
            <w:pPr>
              <w:widowControl/>
              <w:spacing w:line="220" w:lineRule="exact"/>
              <w:ind w:right="1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固定翼：中元节墓地区域重点巡护；</w:t>
            </w:r>
          </w:p>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旋翼机巢：中元节及周末游客区域喇叭防火宣传+热成像防火巡护（白天+夜晚）。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9月</w:t>
            </w:r>
          </w:p>
        </w:tc>
        <w:tc>
          <w:tcPr>
            <w:tcW w:w="692"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17.5</w:t>
            </w:r>
          </w:p>
        </w:tc>
        <w:tc>
          <w:tcPr>
            <w:tcW w:w="850"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130</w:t>
            </w:r>
          </w:p>
        </w:tc>
        <w:tc>
          <w:tcPr>
            <w:tcW w:w="1559" w:type="dxa"/>
            <w:vAlign w:val="center"/>
          </w:tcPr>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中秋2天；</w:t>
            </w:r>
          </w:p>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周末9天；</w:t>
            </w:r>
          </w:p>
        </w:tc>
        <w:tc>
          <w:tcPr>
            <w:tcW w:w="3603" w:type="dxa"/>
            <w:vAlign w:val="center"/>
          </w:tcPr>
          <w:p>
            <w:pPr>
              <w:widowControl/>
              <w:spacing w:line="220" w:lineRule="exact"/>
              <w:ind w:right="1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固定翼：中秋节露营区域重点巡护；</w:t>
            </w:r>
          </w:p>
          <w:p>
            <w:pPr>
              <w:widowControl/>
              <w:spacing w:line="280" w:lineRule="exact"/>
              <w:ind w:right="1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旋翼机巢：中秋节及周末游客区域喇叭防火宣传+热成像防火巡护（白天+夜晚）。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57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10月</w:t>
            </w:r>
          </w:p>
        </w:tc>
        <w:tc>
          <w:tcPr>
            <w:tcW w:w="692"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17.5</w:t>
            </w:r>
          </w:p>
        </w:tc>
        <w:tc>
          <w:tcPr>
            <w:tcW w:w="850"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17.5</w:t>
            </w: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140</w:t>
            </w:r>
          </w:p>
        </w:tc>
        <w:tc>
          <w:tcPr>
            <w:tcW w:w="1559" w:type="dxa"/>
            <w:vAlign w:val="center"/>
          </w:tcPr>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周末6天；</w:t>
            </w:r>
          </w:p>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国庆6天</w:t>
            </w:r>
          </w:p>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重阳节1天；</w:t>
            </w:r>
          </w:p>
        </w:tc>
        <w:tc>
          <w:tcPr>
            <w:tcW w:w="3603" w:type="dxa"/>
            <w:vAlign w:val="center"/>
          </w:tcPr>
          <w:p>
            <w:pPr>
              <w:widowControl/>
              <w:spacing w:line="220" w:lineRule="exact"/>
              <w:ind w:right="11"/>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固定翼：国庆节游客、驴友、露营重点区域夜间巡护；</w:t>
            </w:r>
          </w:p>
          <w:p>
            <w:pPr>
              <w:widowControl/>
              <w:spacing w:line="28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旋翼机巢：国庆及周末游客区域喇叭防火宣传+热成像防火巡护（白天+夜晚）。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widowControl/>
              <w:spacing w:line="500" w:lineRule="exact"/>
              <w:ind w:right="11"/>
              <w:jc w:val="center"/>
              <w:rPr>
                <w:rFonts w:hint="eastAsia" w:ascii="宋体" w:hAnsi="宋体" w:eastAsia="宋体" w:cs="宋体"/>
                <w:color w:val="auto"/>
                <w:sz w:val="24"/>
                <w:szCs w:val="24"/>
                <w:highlight w:val="none"/>
              </w:rPr>
            </w:pPr>
          </w:p>
        </w:tc>
        <w:tc>
          <w:tcPr>
            <w:tcW w:w="709" w:type="dxa"/>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692" w:type="dxa"/>
            <w:vAlign w:val="center"/>
          </w:tcPr>
          <w:p>
            <w:pPr>
              <w:widowControl/>
              <w:spacing w:line="500" w:lineRule="exact"/>
              <w:ind w:right="11"/>
              <w:jc w:val="center"/>
              <w:rPr>
                <w:rFonts w:hint="eastAsia" w:ascii="宋体" w:hAnsi="宋体" w:eastAsia="宋体" w:cs="宋体"/>
                <w:color w:val="auto"/>
                <w:sz w:val="24"/>
                <w:szCs w:val="24"/>
                <w:highlight w:val="none"/>
              </w:rPr>
            </w:pPr>
          </w:p>
        </w:tc>
        <w:tc>
          <w:tcPr>
            <w:tcW w:w="1559" w:type="dxa"/>
            <w:gridSpan w:val="2"/>
            <w:vAlign w:val="center"/>
          </w:tcPr>
          <w:p>
            <w:pPr>
              <w:widowControl/>
              <w:spacing w:line="500" w:lineRule="exact"/>
              <w:ind w:right="1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140</w:t>
            </w:r>
          </w:p>
        </w:tc>
        <w:tc>
          <w:tcPr>
            <w:tcW w:w="5871" w:type="dxa"/>
            <w:gridSpan w:val="3"/>
            <w:vAlign w:val="center"/>
          </w:tcPr>
          <w:p>
            <w:pPr>
              <w:widowControl/>
              <w:spacing w:line="500" w:lineRule="exact"/>
              <w:ind w:right="11"/>
              <w:jc w:val="center"/>
              <w:rPr>
                <w:rFonts w:hint="eastAsia" w:ascii="宋体" w:hAnsi="宋体" w:eastAsia="宋体" w:cs="宋体"/>
                <w:color w:val="auto"/>
                <w:sz w:val="24"/>
                <w:szCs w:val="24"/>
                <w:highlight w:val="none"/>
              </w:rPr>
            </w:pPr>
          </w:p>
        </w:tc>
      </w:tr>
    </w:tbl>
    <w:p>
      <w:pPr>
        <w:pStyle w:val="20"/>
        <w:jc w:val="left"/>
        <w:rPr>
          <w:rFonts w:hint="eastAsia" w:ascii="宋体" w:hAnsi="宋体" w:eastAsia="宋体" w:cs="宋体"/>
          <w:color w:val="auto"/>
          <w:kern w:val="0"/>
          <w:sz w:val="24"/>
          <w:szCs w:val="24"/>
          <w:highlight w:val="none"/>
          <w:lang w:bidi="ar"/>
        </w:rPr>
      </w:pPr>
      <w:bookmarkStart w:id="22" w:name="_Toc135919920"/>
      <w:r>
        <w:rPr>
          <w:rFonts w:hint="eastAsia" w:ascii="宋体" w:hAnsi="宋体" w:eastAsia="宋体" w:cs="宋体"/>
          <w:color w:val="auto"/>
          <w:kern w:val="0"/>
          <w:sz w:val="24"/>
          <w:szCs w:val="24"/>
          <w:highlight w:val="none"/>
          <w:lang w:bidi="ar"/>
        </w:rPr>
        <w:t>4.2.3 视频巡检线路规划</w:t>
      </w:r>
      <w:bookmarkEnd w:id="22"/>
    </w:p>
    <w:p>
      <w:pPr>
        <w:widowControl/>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整体巡查面积大概为40KM*50KM。</w:t>
      </w:r>
    </w:p>
    <w:p>
      <w:pPr>
        <w:widowControl/>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预估航线高度500m（仿地飞行）,航线边长40000m，航线间隔600m，航点速度25m/s，每架次航线覆盖宽度为1.8km。</w:t>
      </w: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273675" cy="3455670"/>
            <wp:effectExtent l="0" t="0" r="1460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277620" cy="3458796"/>
                    </a:xfrm>
                    <a:prstGeom prst="rect">
                      <a:avLst/>
                    </a:prstGeom>
                    <a:noFill/>
                    <a:ln>
                      <a:noFill/>
                    </a:ln>
                  </pic:spPr>
                </pic:pic>
              </a:graphicData>
            </a:graphic>
          </wp:inline>
        </w:drawing>
      </w:r>
    </w:p>
    <w:p>
      <w:pP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267960" cy="4437380"/>
            <wp:effectExtent l="0" t="0" r="5080" b="12700"/>
            <wp:docPr id="1" name="图片 1" descr="1baac73f0a0ecfff6de2ec698d30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baac73f0a0ecfff6de2ec698d30fae"/>
                    <pic:cNvPicPr>
                      <a:picLocks noChangeAspect="1"/>
                    </pic:cNvPicPr>
                  </pic:nvPicPr>
                  <pic:blipFill>
                    <a:blip r:embed="rId14"/>
                    <a:stretch>
                      <a:fillRect/>
                    </a:stretch>
                  </pic:blipFill>
                  <pic:spPr>
                    <a:xfrm>
                      <a:off x="0" y="0"/>
                      <a:ext cx="5271651" cy="4440885"/>
                    </a:xfrm>
                    <a:prstGeom prst="rect">
                      <a:avLst/>
                    </a:prstGeom>
                  </pic:spPr>
                </pic:pic>
              </a:graphicData>
            </a:graphic>
          </wp:inline>
        </w:drawing>
      </w:r>
    </w:p>
    <w:p>
      <w:pPr>
        <w:pStyle w:val="2"/>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6-10月</w:t>
      </w:r>
      <w:r>
        <w:rPr>
          <w:rFonts w:hint="eastAsia" w:ascii="宋体" w:hAnsi="宋体" w:eastAsia="宋体" w:cs="宋体"/>
          <w:color w:val="auto"/>
          <w:sz w:val="24"/>
          <w:szCs w:val="24"/>
          <w:highlight w:val="none"/>
          <w:lang w:eastAsia="zh-CN" w:bidi="ar"/>
        </w:rPr>
        <w:t>吉木萨尔分局</w:t>
      </w:r>
      <w:r>
        <w:rPr>
          <w:rFonts w:hint="eastAsia" w:ascii="宋体" w:hAnsi="宋体" w:eastAsia="宋体" w:cs="宋体"/>
          <w:color w:val="auto"/>
          <w:sz w:val="24"/>
          <w:szCs w:val="24"/>
          <w:highlight w:val="none"/>
          <w:lang w:bidi="ar"/>
        </w:rPr>
        <w:t>所辖林区巡护区域分飞行规划示意图</w:t>
      </w:r>
    </w:p>
    <w:p>
      <w:pP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5215255" cy="3690620"/>
            <wp:effectExtent l="0" t="0" r="12065" b="12700"/>
            <wp:docPr id="6" name="图片 6" descr="c470aa9f2a661b0e5490f1b799c4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470aa9f2a661b0e5490f1b799c447e"/>
                    <pic:cNvPicPr>
                      <a:picLocks noChangeAspect="1"/>
                    </pic:cNvPicPr>
                  </pic:nvPicPr>
                  <pic:blipFill>
                    <a:blip r:embed="rId15"/>
                    <a:stretch>
                      <a:fillRect/>
                    </a:stretch>
                  </pic:blipFill>
                  <pic:spPr>
                    <a:xfrm>
                      <a:off x="0" y="0"/>
                      <a:ext cx="5227190" cy="3699231"/>
                    </a:xfrm>
                    <a:prstGeom prst="rect">
                      <a:avLst/>
                    </a:prstGeom>
                  </pic:spPr>
                </pic:pic>
              </a:graphicData>
            </a:graphic>
          </wp:inline>
        </w:drawing>
      </w:r>
    </w:p>
    <w:p>
      <w:pPr>
        <w:pStyle w:val="2"/>
        <w:ind w:firstLine="1680" w:firstLineChars="7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6-9月</w:t>
      </w:r>
      <w:r>
        <w:rPr>
          <w:rFonts w:hint="eastAsia" w:ascii="宋体" w:hAnsi="宋体" w:eastAsia="宋体" w:cs="宋体"/>
          <w:color w:val="auto"/>
          <w:sz w:val="24"/>
          <w:szCs w:val="24"/>
          <w:highlight w:val="none"/>
          <w:lang w:eastAsia="zh-CN" w:bidi="ar"/>
        </w:rPr>
        <w:t>吉木萨尔分局</w:t>
      </w:r>
      <w:r>
        <w:rPr>
          <w:rFonts w:hint="eastAsia" w:ascii="宋体" w:hAnsi="宋体" w:eastAsia="宋体" w:cs="宋体"/>
          <w:color w:val="auto"/>
          <w:sz w:val="24"/>
          <w:szCs w:val="24"/>
          <w:highlight w:val="none"/>
          <w:lang w:bidi="ar"/>
        </w:rPr>
        <w:t>所辖林区重点巡护区域增加分飞行规划示意图</w:t>
      </w:r>
    </w:p>
    <w:p>
      <w:pPr>
        <w:pStyle w:val="20"/>
        <w:jc w:val="left"/>
        <w:rPr>
          <w:rFonts w:hint="eastAsia" w:ascii="宋体" w:hAnsi="宋体" w:eastAsia="宋体" w:cs="宋体"/>
          <w:color w:val="auto"/>
          <w:kern w:val="0"/>
          <w:sz w:val="24"/>
          <w:szCs w:val="24"/>
          <w:highlight w:val="none"/>
          <w:lang w:bidi="ar"/>
        </w:rPr>
      </w:pPr>
      <w:bookmarkStart w:id="23" w:name="_Toc135919921"/>
      <w:r>
        <w:rPr>
          <w:rFonts w:hint="eastAsia" w:ascii="宋体" w:hAnsi="宋体" w:eastAsia="宋体" w:cs="宋体"/>
          <w:color w:val="auto"/>
          <w:kern w:val="0"/>
          <w:sz w:val="24"/>
          <w:szCs w:val="24"/>
          <w:highlight w:val="none"/>
          <w:lang w:bidi="ar"/>
        </w:rPr>
        <w:t>4.2.4森林消防无人机航空应急救援：</w:t>
      </w:r>
      <w:bookmarkEnd w:id="23"/>
    </w:p>
    <w:p>
      <w:pPr>
        <w:pStyle w:val="2"/>
        <w:numPr>
          <w:ilvl w:val="0"/>
          <w:numId w:val="8"/>
        </w:numP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在固定翼无人机巡航过程中，重点森林防火风险区发生火点，需通过备用大载重无人机挂载灭火弹（可降解）将灭火剂（植物环保型）运载至火场，利用无人飞行器瞄准、控制技术，实现半径1-10km范围内远距离精准灭火。</w:t>
      </w:r>
    </w:p>
    <w:p>
      <w:pPr>
        <w:pStyle w:val="2"/>
        <w:numPr>
          <w:ilvl w:val="0"/>
          <w:numId w:val="8"/>
        </w:numP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通过大载重消防无人机能够载荷救援物资，满足半径1-10km范围的物资投送需求。</w:t>
      </w:r>
    </w:p>
    <w:p>
      <w:pPr>
        <w:pStyle w:val="2"/>
        <w:numPr>
          <w:ilvl w:val="0"/>
          <w:numId w:val="8"/>
        </w:numP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救援服务总时长5小时。</w:t>
      </w:r>
    </w:p>
    <w:p>
      <w:pPr>
        <w:pStyle w:val="20"/>
        <w:jc w:val="left"/>
        <w:rPr>
          <w:rFonts w:hint="eastAsia" w:ascii="宋体" w:hAnsi="宋体" w:eastAsia="宋体" w:cs="宋体"/>
          <w:color w:val="auto"/>
          <w:kern w:val="0"/>
          <w:sz w:val="24"/>
          <w:szCs w:val="24"/>
          <w:highlight w:val="none"/>
          <w:lang w:bidi="ar"/>
        </w:rPr>
      </w:pPr>
      <w:bookmarkStart w:id="24" w:name="_Toc135919922"/>
      <w:r>
        <w:rPr>
          <w:rFonts w:hint="eastAsia" w:ascii="宋体" w:hAnsi="宋体" w:eastAsia="宋体" w:cs="宋体"/>
          <w:color w:val="auto"/>
          <w:kern w:val="0"/>
          <w:sz w:val="24"/>
          <w:szCs w:val="24"/>
          <w:highlight w:val="none"/>
          <w:lang w:bidi="ar"/>
        </w:rPr>
        <w:t>4.2.5森林草原防火演练：</w:t>
      </w:r>
      <w:bookmarkEnd w:id="24"/>
    </w:p>
    <w:p>
      <w:pPr>
        <w:pStyle w:val="2"/>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8月森林草原防火演练配合1次，含无人机火场侦查、现场态势实时图传，每次不少于3小时；</w:t>
      </w:r>
    </w:p>
    <w:p>
      <w:pPr>
        <w:pStyle w:val="20"/>
        <w:jc w:val="left"/>
        <w:rPr>
          <w:rFonts w:hint="eastAsia" w:ascii="宋体" w:hAnsi="宋体" w:eastAsia="宋体" w:cs="宋体"/>
          <w:color w:val="auto"/>
          <w:kern w:val="0"/>
          <w:sz w:val="24"/>
          <w:szCs w:val="24"/>
          <w:highlight w:val="none"/>
          <w:lang w:bidi="ar"/>
        </w:rPr>
      </w:pPr>
      <w:bookmarkStart w:id="25" w:name="_Toc135919923"/>
      <w:r>
        <w:rPr>
          <w:rFonts w:hint="eastAsia" w:ascii="宋体" w:hAnsi="宋体" w:eastAsia="宋体" w:cs="宋体"/>
          <w:color w:val="auto"/>
          <w:kern w:val="0"/>
          <w:sz w:val="24"/>
          <w:szCs w:val="24"/>
          <w:highlight w:val="none"/>
          <w:lang w:bidi="ar"/>
        </w:rPr>
        <w:t>4.2.6重点区域生态环保监测：</w:t>
      </w:r>
      <w:bookmarkEnd w:id="25"/>
    </w:p>
    <w:p>
      <w:pPr>
        <w:pStyle w:val="2"/>
        <w:numPr>
          <w:ilvl w:val="0"/>
          <w:numId w:val="9"/>
        </w:numP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对重点林业资源防护区域获取多种植被指数。评估土壤生产力和分析植物健康及植被覆盖情况。</w:t>
      </w:r>
    </w:p>
    <w:p>
      <w:pPr>
        <w:pStyle w:val="2"/>
        <w:numPr>
          <w:ilvl w:val="0"/>
          <w:numId w:val="9"/>
        </w:numP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分析面积80亩。</w:t>
      </w:r>
    </w:p>
    <w:p>
      <w:pPr>
        <w:pStyle w:val="20"/>
        <w:jc w:val="left"/>
        <w:rPr>
          <w:rFonts w:hint="eastAsia" w:ascii="宋体" w:hAnsi="宋体" w:eastAsia="宋体" w:cs="宋体"/>
          <w:color w:val="auto"/>
          <w:kern w:val="0"/>
          <w:sz w:val="24"/>
          <w:szCs w:val="24"/>
          <w:highlight w:val="none"/>
          <w:lang w:bidi="ar"/>
        </w:rPr>
      </w:pPr>
      <w:bookmarkStart w:id="26" w:name="_Toc135919924"/>
      <w:r>
        <w:rPr>
          <w:rFonts w:hint="eastAsia" w:ascii="宋体" w:hAnsi="宋体" w:eastAsia="宋体" w:cs="宋体"/>
          <w:color w:val="auto"/>
          <w:kern w:val="0"/>
          <w:sz w:val="24"/>
          <w:szCs w:val="24"/>
          <w:highlight w:val="none"/>
          <w:lang w:bidi="ar"/>
        </w:rPr>
        <w:t>4.2.7无人机监控指挥云平台</w:t>
      </w:r>
      <w:bookmarkEnd w:id="26"/>
    </w:p>
    <w:p>
      <w:pPr>
        <w:pStyle w:val="2"/>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人机飞行数据、挂载设备数据通过基站链接，数据通过基站网络回传指挥中心。在指挥中心部署无人机监控指挥云平台，实现无人机及各类设备的统一管控与调度，时空信息大数据、视频大数据的云端存储、分析、可视化，通过 AI 智能识别系统对数据进行模型分析并预测预警，通过标准 WebService、GB28181 与其他平台实现互联互通。</w:t>
      </w:r>
    </w:p>
    <w:p>
      <w:pPr>
        <w:pStyle w:val="2"/>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平台为用户提供团队管理、地图融合、视频融合等功能，为无人机作业时，快速查看无人机当前地图位置与飞行数据，远程掌控飞行任务进度。</w:t>
      </w:r>
    </w:p>
    <w:p>
      <w:pPr>
        <w:pStyle w:val="3"/>
        <w:numPr>
          <w:ilvl w:val="0"/>
          <w:numId w:val="0"/>
        </w:numPr>
        <w:ind w:leftChars="0"/>
        <w:jc w:val="center"/>
        <w:rPr>
          <w:rFonts w:hint="eastAsia" w:ascii="宋体" w:hAnsi="宋体" w:eastAsia="宋体" w:cs="宋体"/>
          <w:color w:val="auto"/>
          <w:sz w:val="24"/>
          <w:szCs w:val="24"/>
          <w:highlight w:val="none"/>
        </w:rPr>
      </w:pPr>
      <w:bookmarkStart w:id="27" w:name="_Toc135919925"/>
      <w:r>
        <w:rPr>
          <w:rFonts w:hint="eastAsia" w:ascii="宋体" w:hAnsi="宋体" w:eastAsia="宋体" w:cs="宋体"/>
          <w:color w:val="auto"/>
          <w:sz w:val="24"/>
          <w:szCs w:val="24"/>
          <w:highlight w:val="none"/>
          <w:lang w:bidi="ar"/>
        </w:rPr>
        <w:t>第五章 项目建设内容</w:t>
      </w:r>
      <w:bookmarkEnd w:id="27"/>
    </w:p>
    <w:p>
      <w:pPr>
        <w:pStyle w:val="20"/>
        <w:jc w:val="left"/>
        <w:rPr>
          <w:rFonts w:hint="eastAsia" w:ascii="宋体" w:hAnsi="宋体" w:eastAsia="宋体" w:cs="宋体"/>
          <w:color w:val="auto"/>
          <w:sz w:val="24"/>
          <w:szCs w:val="24"/>
          <w:highlight w:val="none"/>
          <w:lang w:bidi="ar"/>
        </w:rPr>
      </w:pPr>
      <w:bookmarkStart w:id="28" w:name="_Toc135919926"/>
      <w:r>
        <w:rPr>
          <w:rFonts w:hint="eastAsia" w:ascii="宋体" w:hAnsi="宋体" w:eastAsia="宋体" w:cs="宋体"/>
          <w:color w:val="auto"/>
          <w:sz w:val="24"/>
          <w:szCs w:val="24"/>
          <w:highlight w:val="none"/>
          <w:lang w:bidi="ar"/>
        </w:rPr>
        <w:t>5.1 项目主要建设内容</w:t>
      </w:r>
      <w:bookmarkEnd w:id="28"/>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本项目将于2023年6月至10月期间，在吉木萨尔分局所属林区开展无人机巡护工作，主要包括以下的建设内容：</w:t>
      </w:r>
    </w:p>
    <w:p>
      <w:pPr>
        <w:widowControl/>
        <w:spacing w:line="5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5.1.1 飞行技术人员</w:t>
      </w:r>
    </w:p>
    <w:p>
      <w:pPr>
        <w:widowControl/>
        <w:spacing w:line="5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.无人机操作人员要求</w:t>
      </w:r>
    </w:p>
    <w:p>
      <w:pPr>
        <w:widowControl/>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 应具备 CAAC\AOPA\ALPA 任意一种飞行驾驶执照，且证件须在有效期，符合操作当前机型视距外驾驶要求。</w:t>
      </w:r>
    </w:p>
    <w:p>
      <w:pPr>
        <w:widowControl/>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B)熟悉掌握民航组织和地方空域管制规定。</w:t>
      </w:r>
    </w:p>
    <w:p>
      <w:pPr>
        <w:widowControl/>
        <w:spacing w:line="560" w:lineRule="exact"/>
        <w:rPr>
          <w:rFonts w:hint="eastAsia" w:ascii="宋体" w:hAnsi="宋体" w:eastAsia="宋体" w:cs="宋体"/>
          <w:color w:val="auto"/>
          <w:sz w:val="24"/>
          <w:szCs w:val="24"/>
          <w:highlight w:val="none"/>
        </w:rPr>
      </w:pPr>
      <w:bookmarkStart w:id="29" w:name="_bookmark11"/>
      <w:bookmarkEnd w:id="29"/>
      <w:r>
        <w:rPr>
          <w:rFonts w:hint="eastAsia" w:ascii="宋体" w:hAnsi="宋体" w:eastAsia="宋体" w:cs="宋体"/>
          <w:color w:val="auto"/>
          <w:sz w:val="24"/>
          <w:szCs w:val="24"/>
          <w:highlight w:val="none"/>
        </w:rPr>
        <w:t>C)应具备应急处置能力。</w:t>
      </w:r>
    </w:p>
    <w:p>
      <w:pPr>
        <w:widowControl/>
        <w:spacing w:line="56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安全监测人员要求</w:t>
      </w:r>
    </w:p>
    <w:p>
      <w:pPr>
        <w:widowControl/>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 应具备应急处置、人员救援和故障排除能力。</w:t>
      </w:r>
    </w:p>
    <w:p>
      <w:pPr>
        <w:widowControl/>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B)应经过保密教育培训。</w:t>
      </w:r>
    </w:p>
    <w:p>
      <w:pPr>
        <w:widowControl/>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C)应熟悉森林草原防火相关知识。</w:t>
      </w:r>
    </w:p>
    <w:p>
      <w:pPr>
        <w:widowControl/>
        <w:spacing w:line="560" w:lineRule="exact"/>
        <w:ind w:firstLine="480" w:firstLineChars="200"/>
        <w:rPr>
          <w:rFonts w:hint="eastAsia" w:ascii="宋体" w:hAnsi="宋体" w:eastAsia="宋体" w:cs="宋体"/>
          <w:color w:val="auto"/>
          <w:sz w:val="24"/>
          <w:szCs w:val="24"/>
          <w:highlight w:val="none"/>
        </w:rPr>
      </w:pPr>
      <w:bookmarkStart w:id="30" w:name="_bookmark12"/>
      <w:bookmarkEnd w:id="30"/>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人员配置</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一般 2 人及以上为一个无人机组，明确一人为组长 (飞行负责人)，一个无人机组至少配备一名安全监测人员 </w:t>
      </w:r>
      <w:bookmarkStart w:id="31" w:name="_bookmark13"/>
      <w:bookmarkEnd w:id="31"/>
      <w:r>
        <w:rPr>
          <w:rFonts w:hint="eastAsia" w:ascii="宋体" w:hAnsi="宋体" w:eastAsia="宋体" w:cs="宋体"/>
          <w:color w:val="auto"/>
          <w:sz w:val="24"/>
          <w:szCs w:val="24"/>
          <w:highlight w:val="none"/>
        </w:rPr>
        <w:t>(可兼)。</w:t>
      </w:r>
    </w:p>
    <w:p>
      <w:pPr>
        <w:widowControl/>
        <w:spacing w:line="5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(二)无人机要求</w:t>
      </w:r>
      <w:r>
        <w:rPr>
          <w:rFonts w:hint="eastAsia" w:ascii="宋体" w:hAnsi="宋体" w:eastAsia="宋体" w:cs="宋体"/>
          <w:color w:val="auto"/>
          <w:sz w:val="24"/>
          <w:szCs w:val="24"/>
          <w:highlight w:val="none"/>
          <w:lang w:val="en-US" w:eastAsia="zh-CN"/>
        </w:rPr>
        <w:t>方案</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A)无人机配备</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作业方应配备垂直升降固定翼无人机系统不少于 2 套， 重型多旋翼无人机系统不少于 1 套， 多旋翼无人机系统不少 于 1 套。</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 详细参数</w:t>
      </w:r>
    </w:p>
    <w:p>
      <w:pPr>
        <w:widowControl/>
        <w:spacing w:line="560" w:lineRule="exact"/>
        <w:ind w:firstLine="480" w:firstLineChars="200"/>
        <w:rPr>
          <w:rFonts w:hint="eastAsia" w:ascii="宋体" w:hAnsi="宋体" w:eastAsia="宋体" w:cs="宋体"/>
          <w:color w:val="auto"/>
          <w:sz w:val="24"/>
          <w:szCs w:val="24"/>
          <w:highlight w:val="none"/>
        </w:rPr>
      </w:pPr>
    </w:p>
    <w:tbl>
      <w:tblPr>
        <w:tblStyle w:val="95"/>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267"/>
        <w:gridCol w:w="1775"/>
        <w:gridCol w:w="1773"/>
        <w:gridCol w:w="17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0" w:hRule="atLeast"/>
        </w:trPr>
        <w:tc>
          <w:tcPr>
            <w:tcW w:w="707" w:type="dxa"/>
            <w:textDirection w:val="tbRlV"/>
            <w:vAlign w:val="top"/>
          </w:tcPr>
          <w:p>
            <w:pPr>
              <w:spacing w:before="275" w:line="213" w:lineRule="auto"/>
              <w:ind w:left="181"/>
              <w:rPr>
                <w:rFonts w:hint="eastAsia" w:ascii="宋体" w:hAnsi="宋体" w:eastAsia="宋体" w:cs="宋体"/>
                <w:color w:val="auto"/>
                <w:sz w:val="24"/>
                <w:szCs w:val="24"/>
                <w:highlight w:val="none"/>
              </w:rPr>
            </w:pPr>
            <w:r>
              <w:rPr>
                <w:rFonts w:hint="eastAsia" w:ascii="宋体" w:hAnsi="宋体" w:eastAsia="宋体" w:cs="宋体"/>
                <w:color w:val="auto"/>
                <w:spacing w:val="35"/>
                <w:sz w:val="24"/>
                <w:szCs w:val="24"/>
                <w:highlight w:val="none"/>
              </w:rPr>
              <w:t>序</w:t>
            </w:r>
            <w:r>
              <w:rPr>
                <w:rFonts w:hint="eastAsia" w:ascii="宋体" w:hAnsi="宋体" w:eastAsia="宋体" w:cs="宋体"/>
                <w:color w:val="auto"/>
                <w:spacing w:val="34"/>
                <w:sz w:val="24"/>
                <w:szCs w:val="24"/>
                <w:highlight w:val="none"/>
              </w:rPr>
              <w:t xml:space="preserve"> 号</w:t>
            </w:r>
          </w:p>
        </w:tc>
        <w:tc>
          <w:tcPr>
            <w:tcW w:w="2267" w:type="dxa"/>
            <w:vAlign w:val="top"/>
          </w:tcPr>
          <w:p>
            <w:pPr>
              <w:spacing w:before="181" w:line="226" w:lineRule="auto"/>
              <w:ind w:left="13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类</w:t>
            </w:r>
            <w:r>
              <w:rPr>
                <w:rFonts w:hint="eastAsia" w:ascii="宋体" w:hAnsi="宋体" w:eastAsia="宋体" w:cs="宋体"/>
                <w:color w:val="auto"/>
                <w:spacing w:val="-2"/>
                <w:sz w:val="24"/>
                <w:szCs w:val="24"/>
                <w:highlight w:val="none"/>
              </w:rPr>
              <w:t>目</w:t>
            </w:r>
          </w:p>
        </w:tc>
        <w:tc>
          <w:tcPr>
            <w:tcW w:w="1775" w:type="dxa"/>
            <w:vAlign w:val="top"/>
          </w:tcPr>
          <w:p>
            <w:pPr>
              <w:spacing w:before="181" w:line="333" w:lineRule="auto"/>
              <w:ind w:left="144" w:right="106" w:hanging="17"/>
              <w:rPr>
                <w:rFonts w:hint="eastAsia" w:ascii="宋体" w:hAnsi="宋体" w:eastAsia="宋体" w:cs="宋体"/>
                <w:color w:val="auto"/>
                <w:sz w:val="24"/>
                <w:szCs w:val="24"/>
                <w:highlight w:val="none"/>
              </w:rPr>
            </w:pPr>
            <w:r>
              <w:rPr>
                <w:rFonts w:hint="eastAsia" w:ascii="宋体" w:hAnsi="宋体" w:eastAsia="宋体" w:cs="宋体"/>
                <w:color w:val="auto"/>
                <w:spacing w:val="-26"/>
                <w:sz w:val="24"/>
                <w:szCs w:val="24"/>
                <w:highlight w:val="none"/>
              </w:rPr>
              <w:t>垂</w:t>
            </w:r>
            <w:r>
              <w:rPr>
                <w:rFonts w:hint="eastAsia" w:ascii="宋体" w:hAnsi="宋体" w:eastAsia="宋体" w:cs="宋体"/>
                <w:color w:val="auto"/>
                <w:spacing w:val="-24"/>
                <w:sz w:val="24"/>
                <w:szCs w:val="24"/>
                <w:highlight w:val="none"/>
              </w:rPr>
              <w:t xml:space="preserve"> 直 起 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2"/>
                <w:sz w:val="24"/>
                <w:szCs w:val="24"/>
                <w:highlight w:val="none"/>
              </w:rPr>
              <w:t>固</w:t>
            </w:r>
            <w:r>
              <w:rPr>
                <w:rFonts w:hint="eastAsia" w:ascii="宋体" w:hAnsi="宋体" w:eastAsia="宋体" w:cs="宋体"/>
                <w:color w:val="auto"/>
                <w:spacing w:val="-26"/>
                <w:sz w:val="24"/>
                <w:szCs w:val="24"/>
                <w:highlight w:val="none"/>
              </w:rPr>
              <w:t xml:space="preserve"> 定 翼 无</w:t>
            </w:r>
          </w:p>
          <w:p>
            <w:pPr>
              <w:spacing w:line="223"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人</w:t>
            </w:r>
            <w:r>
              <w:rPr>
                <w:rFonts w:hint="eastAsia" w:ascii="宋体" w:hAnsi="宋体" w:eastAsia="宋体" w:cs="宋体"/>
                <w:color w:val="auto"/>
                <w:spacing w:val="5"/>
                <w:sz w:val="24"/>
                <w:szCs w:val="24"/>
                <w:highlight w:val="none"/>
              </w:rPr>
              <w:t>机系统</w:t>
            </w:r>
          </w:p>
        </w:tc>
        <w:tc>
          <w:tcPr>
            <w:tcW w:w="1773" w:type="dxa"/>
            <w:vAlign w:val="top"/>
          </w:tcPr>
          <w:p>
            <w:pPr>
              <w:spacing w:before="181" w:line="333" w:lineRule="auto"/>
              <w:ind w:left="141" w:right="103" w:hanging="8"/>
              <w:rPr>
                <w:rFonts w:hint="eastAsia" w:ascii="宋体" w:hAnsi="宋体" w:eastAsia="宋体" w:cs="宋体"/>
                <w:color w:val="auto"/>
                <w:sz w:val="24"/>
                <w:szCs w:val="24"/>
                <w:highlight w:val="none"/>
              </w:rPr>
            </w:pPr>
            <w:r>
              <w:rPr>
                <w:rFonts w:hint="eastAsia" w:ascii="宋体" w:hAnsi="宋体" w:eastAsia="宋体" w:cs="宋体"/>
                <w:color w:val="auto"/>
                <w:spacing w:val="-30"/>
                <w:sz w:val="24"/>
                <w:szCs w:val="24"/>
                <w:highlight w:val="none"/>
              </w:rPr>
              <w:t>重</w:t>
            </w:r>
            <w:r>
              <w:rPr>
                <w:rFonts w:hint="eastAsia" w:ascii="宋体" w:hAnsi="宋体" w:eastAsia="宋体" w:cs="宋体"/>
                <w:color w:val="auto"/>
                <w:spacing w:val="-24"/>
                <w:sz w:val="24"/>
                <w:szCs w:val="24"/>
                <w:highlight w:val="none"/>
              </w:rPr>
              <w:t xml:space="preserve"> 载 多 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7"/>
                <w:sz w:val="24"/>
                <w:szCs w:val="24"/>
                <w:highlight w:val="none"/>
              </w:rPr>
              <w:t>翼</w:t>
            </w:r>
            <w:r>
              <w:rPr>
                <w:rFonts w:hint="eastAsia" w:ascii="宋体" w:hAnsi="宋体" w:eastAsia="宋体" w:cs="宋体"/>
                <w:color w:val="auto"/>
                <w:spacing w:val="-26"/>
                <w:sz w:val="24"/>
                <w:szCs w:val="24"/>
                <w:highlight w:val="none"/>
              </w:rPr>
              <w:t xml:space="preserve"> 无 人 机</w:t>
            </w:r>
          </w:p>
          <w:p>
            <w:pPr>
              <w:spacing w:before="1" w:line="225" w:lineRule="auto"/>
              <w:ind w:left="13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系</w:t>
            </w:r>
            <w:r>
              <w:rPr>
                <w:rFonts w:hint="eastAsia" w:ascii="宋体" w:hAnsi="宋体" w:eastAsia="宋体" w:cs="宋体"/>
                <w:color w:val="auto"/>
                <w:spacing w:val="-2"/>
                <w:sz w:val="24"/>
                <w:szCs w:val="24"/>
                <w:highlight w:val="none"/>
              </w:rPr>
              <w:t>统</w:t>
            </w:r>
          </w:p>
        </w:tc>
        <w:tc>
          <w:tcPr>
            <w:tcW w:w="1780" w:type="dxa"/>
            <w:vAlign w:val="top"/>
          </w:tcPr>
          <w:p>
            <w:pPr>
              <w:spacing w:before="180" w:line="343" w:lineRule="auto"/>
              <w:ind w:left="122" w:right="109" w:firstLine="13"/>
              <w:rPr>
                <w:rFonts w:hint="eastAsia" w:ascii="宋体" w:hAnsi="宋体" w:eastAsia="宋体" w:cs="宋体"/>
                <w:color w:val="auto"/>
                <w:sz w:val="24"/>
                <w:szCs w:val="24"/>
                <w:highlight w:val="none"/>
              </w:rPr>
            </w:pPr>
            <w:r>
              <w:rPr>
                <w:rFonts w:hint="eastAsia" w:ascii="宋体" w:hAnsi="宋体" w:eastAsia="宋体" w:cs="宋体"/>
                <w:color w:val="auto"/>
                <w:spacing w:val="-27"/>
                <w:sz w:val="24"/>
                <w:szCs w:val="24"/>
                <w:highlight w:val="none"/>
              </w:rPr>
              <w:t>多</w:t>
            </w:r>
            <w:r>
              <w:rPr>
                <w:rFonts w:hint="eastAsia" w:ascii="宋体" w:hAnsi="宋体" w:eastAsia="宋体" w:cs="宋体"/>
                <w:color w:val="auto"/>
                <w:spacing w:val="-25"/>
                <w:sz w:val="24"/>
                <w:szCs w:val="24"/>
                <w:highlight w:val="none"/>
              </w:rPr>
              <w:t xml:space="preserve"> 旋 翼 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人</w:t>
            </w:r>
            <w:r>
              <w:rPr>
                <w:rFonts w:hint="eastAsia" w:ascii="宋体" w:hAnsi="宋体" w:eastAsia="宋体" w:cs="宋体"/>
                <w:color w:val="auto"/>
                <w:spacing w:val="5"/>
                <w:sz w:val="24"/>
                <w:szCs w:val="24"/>
                <w:highlight w:val="none"/>
              </w:rPr>
              <w:t>机系统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07" w:type="dxa"/>
            <w:vAlign w:val="top"/>
          </w:tcPr>
          <w:p>
            <w:pPr>
              <w:spacing w:before="232" w:line="183" w:lineRule="auto"/>
              <w:ind w:left="14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267" w:type="dxa"/>
            <w:vAlign w:val="top"/>
          </w:tcPr>
          <w:p>
            <w:pPr>
              <w:spacing w:before="175" w:line="224" w:lineRule="auto"/>
              <w:ind w:left="12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数量</w:t>
            </w:r>
          </w:p>
        </w:tc>
        <w:tc>
          <w:tcPr>
            <w:tcW w:w="1775" w:type="dxa"/>
            <w:vAlign w:val="top"/>
          </w:tcPr>
          <w:p>
            <w:pPr>
              <w:spacing w:before="175" w:line="231" w:lineRule="auto"/>
              <w:ind w:left="186"/>
              <w:rPr>
                <w:rFonts w:hint="eastAsia" w:ascii="宋体" w:hAnsi="宋体" w:eastAsia="宋体" w:cs="宋体"/>
                <w:color w:val="auto"/>
                <w:sz w:val="24"/>
                <w:szCs w:val="24"/>
                <w:highlight w:val="none"/>
              </w:rPr>
            </w:pPr>
            <w:r>
              <w:rPr>
                <w:rFonts w:hint="eastAsia" w:ascii="宋体" w:hAnsi="宋体" w:eastAsia="宋体" w:cs="宋体"/>
                <w:color w:val="auto"/>
                <w:spacing w:val="-29"/>
                <w:sz w:val="24"/>
                <w:szCs w:val="24"/>
                <w:highlight w:val="none"/>
              </w:rPr>
              <w:t>≥</w:t>
            </w:r>
            <w:r>
              <w:rPr>
                <w:rFonts w:hint="eastAsia" w:ascii="宋体" w:hAnsi="宋体" w:eastAsia="宋体" w:cs="宋体"/>
                <w:color w:val="auto"/>
                <w:spacing w:val="-28"/>
                <w:sz w:val="24"/>
                <w:szCs w:val="24"/>
                <w:highlight w:val="none"/>
              </w:rPr>
              <w:t>2</w:t>
            </w:r>
          </w:p>
        </w:tc>
        <w:tc>
          <w:tcPr>
            <w:tcW w:w="1773" w:type="dxa"/>
            <w:vAlign w:val="top"/>
          </w:tcPr>
          <w:p>
            <w:pPr>
              <w:spacing w:before="175" w:line="231" w:lineRule="auto"/>
              <w:ind w:left="187"/>
              <w:rPr>
                <w:rFonts w:hint="eastAsia" w:ascii="宋体" w:hAnsi="宋体" w:eastAsia="宋体" w:cs="宋体"/>
                <w:color w:val="auto"/>
                <w:sz w:val="24"/>
                <w:szCs w:val="24"/>
                <w:highlight w:val="none"/>
              </w:rPr>
            </w:pPr>
            <w:r>
              <w:rPr>
                <w:rFonts w:hint="eastAsia" w:ascii="宋体" w:hAnsi="宋体" w:eastAsia="宋体" w:cs="宋体"/>
                <w:color w:val="auto"/>
                <w:spacing w:val="-14"/>
                <w:w w:val="90"/>
                <w:sz w:val="24"/>
                <w:szCs w:val="24"/>
                <w:highlight w:val="none"/>
              </w:rPr>
              <w:t>≥</w:t>
            </w:r>
            <w:r>
              <w:rPr>
                <w:rFonts w:hint="eastAsia" w:ascii="宋体" w:hAnsi="宋体" w:eastAsia="宋体" w:cs="宋体"/>
                <w:color w:val="auto"/>
                <w:spacing w:val="-118"/>
                <w:sz w:val="24"/>
                <w:szCs w:val="24"/>
                <w:highlight w:val="none"/>
              </w:rPr>
              <w:t xml:space="preserve"> </w:t>
            </w:r>
            <w:r>
              <w:rPr>
                <w:rFonts w:hint="eastAsia" w:ascii="宋体" w:hAnsi="宋体" w:eastAsia="宋体" w:cs="宋体"/>
                <w:color w:val="auto"/>
                <w:spacing w:val="-14"/>
                <w:w w:val="90"/>
                <w:sz w:val="24"/>
                <w:szCs w:val="24"/>
                <w:highlight w:val="none"/>
              </w:rPr>
              <w:t>1</w:t>
            </w:r>
          </w:p>
        </w:tc>
        <w:tc>
          <w:tcPr>
            <w:tcW w:w="1780" w:type="dxa"/>
            <w:vAlign w:val="top"/>
          </w:tcPr>
          <w:p>
            <w:pPr>
              <w:spacing w:before="175" w:line="231" w:lineRule="auto"/>
              <w:ind w:left="188"/>
              <w:rPr>
                <w:rFonts w:hint="eastAsia" w:ascii="宋体" w:hAnsi="宋体" w:eastAsia="宋体" w:cs="宋体"/>
                <w:color w:val="auto"/>
                <w:sz w:val="24"/>
                <w:szCs w:val="24"/>
                <w:highlight w:val="none"/>
              </w:rPr>
            </w:pPr>
            <w:r>
              <w:rPr>
                <w:rFonts w:hint="eastAsia" w:ascii="宋体" w:hAnsi="宋体" w:eastAsia="宋体" w:cs="宋体"/>
                <w:color w:val="auto"/>
                <w:spacing w:val="-14"/>
                <w:w w:val="90"/>
                <w:sz w:val="24"/>
                <w:szCs w:val="24"/>
                <w:highlight w:val="none"/>
              </w:rPr>
              <w:t>≥</w:t>
            </w:r>
            <w:r>
              <w:rPr>
                <w:rFonts w:hint="eastAsia" w:ascii="宋体" w:hAnsi="宋体" w:eastAsia="宋体" w:cs="宋体"/>
                <w:color w:val="auto"/>
                <w:spacing w:val="-118"/>
                <w:sz w:val="24"/>
                <w:szCs w:val="24"/>
                <w:highlight w:val="none"/>
              </w:rPr>
              <w:t xml:space="preserve"> </w:t>
            </w:r>
            <w:r>
              <w:rPr>
                <w:rFonts w:hint="eastAsia" w:ascii="宋体" w:hAnsi="宋体" w:eastAsia="宋体" w:cs="宋体"/>
                <w:color w:val="auto"/>
                <w:spacing w:val="-14"/>
                <w:w w:val="90"/>
                <w:sz w:val="24"/>
                <w:szCs w:val="24"/>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07" w:type="dxa"/>
            <w:vAlign w:val="top"/>
          </w:tcPr>
          <w:p>
            <w:pPr>
              <w:spacing w:before="234" w:line="182" w:lineRule="auto"/>
              <w:ind w:left="12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267" w:type="dxa"/>
            <w:vAlign w:val="top"/>
          </w:tcPr>
          <w:p>
            <w:pPr>
              <w:spacing w:before="176" w:line="225" w:lineRule="auto"/>
              <w:ind w:left="13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动力</w:t>
            </w:r>
          </w:p>
        </w:tc>
        <w:tc>
          <w:tcPr>
            <w:tcW w:w="1775" w:type="dxa"/>
            <w:vAlign w:val="top"/>
          </w:tcPr>
          <w:p>
            <w:pPr>
              <w:spacing w:before="176" w:line="225"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电驱动</w:t>
            </w:r>
          </w:p>
        </w:tc>
        <w:tc>
          <w:tcPr>
            <w:tcW w:w="1773" w:type="dxa"/>
            <w:vAlign w:val="top"/>
          </w:tcPr>
          <w:p>
            <w:pPr>
              <w:spacing w:before="176" w:line="225" w:lineRule="auto"/>
              <w:ind w:left="156"/>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电驱动</w:t>
            </w:r>
          </w:p>
        </w:tc>
        <w:tc>
          <w:tcPr>
            <w:tcW w:w="1780" w:type="dxa"/>
            <w:vAlign w:val="top"/>
          </w:tcPr>
          <w:p>
            <w:pPr>
              <w:spacing w:before="176" w:line="225" w:lineRule="auto"/>
              <w:ind w:left="157"/>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电驱动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07" w:type="dxa"/>
            <w:vAlign w:val="top"/>
          </w:tcPr>
          <w:p>
            <w:pPr>
              <w:spacing w:before="234" w:line="182" w:lineRule="auto"/>
              <w:ind w:left="1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267" w:type="dxa"/>
            <w:vAlign w:val="top"/>
          </w:tcPr>
          <w:p>
            <w:pPr>
              <w:spacing w:before="175" w:line="226"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抗风</w:t>
            </w:r>
          </w:p>
        </w:tc>
        <w:tc>
          <w:tcPr>
            <w:tcW w:w="1775" w:type="dxa"/>
            <w:vAlign w:val="top"/>
          </w:tcPr>
          <w:p>
            <w:pPr>
              <w:spacing w:before="175" w:line="225" w:lineRule="auto"/>
              <w:ind w:left="186"/>
              <w:rPr>
                <w:rFonts w:hint="eastAsia" w:ascii="宋体" w:hAnsi="宋体" w:eastAsia="宋体" w:cs="宋体"/>
                <w:color w:val="auto"/>
                <w:sz w:val="24"/>
                <w:szCs w:val="24"/>
                <w:highlight w:val="none"/>
              </w:rPr>
            </w:pPr>
            <w:r>
              <w:rPr>
                <w:rFonts w:hint="eastAsia" w:ascii="宋体" w:hAnsi="宋体" w:eastAsia="宋体" w:cs="宋体"/>
                <w:color w:val="auto"/>
                <w:spacing w:val="-29"/>
                <w:sz w:val="24"/>
                <w:szCs w:val="24"/>
                <w:highlight w:val="none"/>
              </w:rPr>
              <w:t>≥6 级</w:t>
            </w:r>
          </w:p>
        </w:tc>
        <w:tc>
          <w:tcPr>
            <w:tcW w:w="1773" w:type="dxa"/>
            <w:vAlign w:val="top"/>
          </w:tcPr>
          <w:p>
            <w:pPr>
              <w:spacing w:before="175" w:line="225" w:lineRule="auto"/>
              <w:ind w:left="187"/>
              <w:rPr>
                <w:rFonts w:hint="eastAsia" w:ascii="宋体" w:hAnsi="宋体" w:eastAsia="宋体" w:cs="宋体"/>
                <w:color w:val="auto"/>
                <w:sz w:val="24"/>
                <w:szCs w:val="24"/>
                <w:highlight w:val="none"/>
              </w:rPr>
            </w:pPr>
            <w:r>
              <w:rPr>
                <w:rFonts w:hint="eastAsia" w:ascii="宋体" w:hAnsi="宋体" w:eastAsia="宋体" w:cs="宋体"/>
                <w:color w:val="auto"/>
                <w:spacing w:val="-29"/>
                <w:sz w:val="24"/>
                <w:szCs w:val="24"/>
                <w:highlight w:val="none"/>
              </w:rPr>
              <w:t>≥7 级</w:t>
            </w:r>
          </w:p>
        </w:tc>
        <w:tc>
          <w:tcPr>
            <w:tcW w:w="1780" w:type="dxa"/>
            <w:vAlign w:val="top"/>
          </w:tcPr>
          <w:p>
            <w:pPr>
              <w:spacing w:before="175" w:line="225" w:lineRule="auto"/>
              <w:ind w:left="188"/>
              <w:rPr>
                <w:rFonts w:hint="eastAsia" w:ascii="宋体" w:hAnsi="宋体" w:eastAsia="宋体" w:cs="宋体"/>
                <w:color w:val="auto"/>
                <w:sz w:val="24"/>
                <w:szCs w:val="24"/>
                <w:highlight w:val="none"/>
              </w:rPr>
            </w:pPr>
            <w:r>
              <w:rPr>
                <w:rFonts w:hint="eastAsia" w:ascii="宋体" w:hAnsi="宋体" w:eastAsia="宋体" w:cs="宋体"/>
                <w:color w:val="auto"/>
                <w:spacing w:val="-32"/>
                <w:sz w:val="24"/>
                <w:szCs w:val="24"/>
                <w:highlight w:val="none"/>
              </w:rPr>
              <w:t>≥</w:t>
            </w:r>
            <w:r>
              <w:rPr>
                <w:rFonts w:hint="eastAsia" w:ascii="宋体" w:hAnsi="宋体" w:eastAsia="宋体" w:cs="宋体"/>
                <w:color w:val="auto"/>
                <w:spacing w:val="-28"/>
                <w:sz w:val="24"/>
                <w:szCs w:val="24"/>
                <w:highlight w:val="none"/>
              </w:rPr>
              <w:t>6 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7" w:type="dxa"/>
            <w:vAlign w:val="top"/>
          </w:tcPr>
          <w:p>
            <w:pPr>
              <w:spacing w:before="235" w:line="182" w:lineRule="auto"/>
              <w:ind w:left="1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267" w:type="dxa"/>
            <w:vAlign w:val="top"/>
          </w:tcPr>
          <w:p>
            <w:pPr>
              <w:spacing w:before="175" w:line="224" w:lineRule="auto"/>
              <w:ind w:left="153"/>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图</w:t>
            </w:r>
            <w:r>
              <w:rPr>
                <w:rFonts w:hint="eastAsia" w:ascii="宋体" w:hAnsi="宋体" w:eastAsia="宋体" w:cs="宋体"/>
                <w:color w:val="auto"/>
                <w:spacing w:val="-2"/>
                <w:sz w:val="24"/>
                <w:szCs w:val="24"/>
                <w:highlight w:val="none"/>
              </w:rPr>
              <w:t>传距离</w:t>
            </w:r>
          </w:p>
        </w:tc>
        <w:tc>
          <w:tcPr>
            <w:tcW w:w="1775" w:type="dxa"/>
            <w:vAlign w:val="top"/>
          </w:tcPr>
          <w:p>
            <w:pPr>
              <w:spacing w:before="233" w:line="183" w:lineRule="auto"/>
              <w:ind w:left="123"/>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30-12</w:t>
            </w:r>
            <w:r>
              <w:rPr>
                <w:rFonts w:hint="eastAsia" w:ascii="宋体" w:hAnsi="宋体" w:eastAsia="宋体" w:cs="宋体"/>
                <w:color w:val="auto"/>
                <w:spacing w:val="2"/>
                <w:sz w:val="24"/>
                <w:szCs w:val="24"/>
                <w:highlight w:val="none"/>
              </w:rPr>
              <w:t>0</w:t>
            </w:r>
            <w:r>
              <w:rPr>
                <w:rFonts w:hint="eastAsia" w:ascii="宋体" w:hAnsi="宋体" w:eastAsia="宋体" w:cs="宋体"/>
                <w:color w:val="auto"/>
                <w:sz w:val="24"/>
                <w:szCs w:val="24"/>
                <w:highlight w:val="none"/>
              </w:rPr>
              <w:t>Km</w:t>
            </w:r>
          </w:p>
        </w:tc>
        <w:tc>
          <w:tcPr>
            <w:tcW w:w="1773" w:type="dxa"/>
            <w:vAlign w:val="top"/>
          </w:tcPr>
          <w:p>
            <w:pPr>
              <w:spacing w:before="233" w:line="183" w:lineRule="auto"/>
              <w:ind w:left="1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
                <w:sz w:val="24"/>
                <w:szCs w:val="24"/>
                <w:highlight w:val="none"/>
              </w:rPr>
              <w:t>0Km</w:t>
            </w:r>
          </w:p>
        </w:tc>
        <w:tc>
          <w:tcPr>
            <w:tcW w:w="1780" w:type="dxa"/>
            <w:vAlign w:val="top"/>
          </w:tcPr>
          <w:p>
            <w:pPr>
              <w:spacing w:before="235" w:line="182" w:lineRule="auto"/>
              <w:ind w:left="11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8</w:t>
            </w:r>
            <w:r>
              <w:rPr>
                <w:rFonts w:hint="eastAsia" w:ascii="宋体" w:hAnsi="宋体" w:eastAsia="宋体" w:cs="宋体"/>
                <w:color w:val="auto"/>
                <w:sz w:val="24"/>
                <w:szCs w:val="24"/>
                <w:highlight w:val="none"/>
              </w:rPr>
              <w:t>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07" w:type="dxa"/>
            <w:vAlign w:val="top"/>
          </w:tcPr>
          <w:p>
            <w:pPr>
              <w:spacing w:before="236" w:line="181" w:lineRule="auto"/>
              <w:ind w:left="1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267" w:type="dxa"/>
            <w:vAlign w:val="top"/>
          </w:tcPr>
          <w:p>
            <w:pPr>
              <w:spacing w:before="176" w:line="224" w:lineRule="auto"/>
              <w:ind w:left="12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最大载重</w:t>
            </w:r>
          </w:p>
        </w:tc>
        <w:tc>
          <w:tcPr>
            <w:tcW w:w="1775" w:type="dxa"/>
            <w:vAlign w:val="top"/>
          </w:tcPr>
          <w:p>
            <w:pPr>
              <w:spacing w:before="177" w:line="217" w:lineRule="auto"/>
              <w:ind w:left="186"/>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≥5Kg</w:t>
            </w:r>
          </w:p>
        </w:tc>
        <w:tc>
          <w:tcPr>
            <w:tcW w:w="1773" w:type="dxa"/>
            <w:vAlign w:val="top"/>
          </w:tcPr>
          <w:p>
            <w:pPr>
              <w:spacing w:before="177" w:line="217" w:lineRule="auto"/>
              <w:ind w:left="187"/>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≥50Kg</w:t>
            </w:r>
          </w:p>
        </w:tc>
        <w:tc>
          <w:tcPr>
            <w:tcW w:w="1780" w:type="dxa"/>
            <w:vAlign w:val="top"/>
          </w:tcPr>
          <w:p>
            <w:pPr>
              <w:spacing w:before="177" w:line="217" w:lineRule="auto"/>
              <w:ind w:left="188"/>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≥5Kg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7" w:type="dxa"/>
            <w:vAlign w:val="top"/>
          </w:tcPr>
          <w:p>
            <w:pPr>
              <w:spacing w:before="236" w:line="182" w:lineRule="auto"/>
              <w:ind w:left="12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267" w:type="dxa"/>
            <w:vAlign w:val="top"/>
          </w:tcPr>
          <w:p>
            <w:pPr>
              <w:spacing w:before="178" w:line="224" w:lineRule="auto"/>
              <w:ind w:left="126"/>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续</w:t>
            </w:r>
            <w:r>
              <w:rPr>
                <w:rFonts w:hint="eastAsia" w:ascii="宋体" w:hAnsi="宋体" w:eastAsia="宋体" w:cs="宋体"/>
                <w:color w:val="auto"/>
                <w:spacing w:val="3"/>
                <w:sz w:val="24"/>
                <w:szCs w:val="24"/>
                <w:highlight w:val="none"/>
              </w:rPr>
              <w:t>航时间</w:t>
            </w:r>
          </w:p>
        </w:tc>
        <w:tc>
          <w:tcPr>
            <w:tcW w:w="1775" w:type="dxa"/>
            <w:vAlign w:val="top"/>
          </w:tcPr>
          <w:p>
            <w:pPr>
              <w:spacing w:before="178" w:line="231" w:lineRule="auto"/>
              <w:ind w:left="186"/>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19"/>
                <w:sz w:val="24"/>
                <w:szCs w:val="24"/>
                <w:highlight w:val="none"/>
              </w:rPr>
              <w:t>3h</w:t>
            </w:r>
          </w:p>
        </w:tc>
        <w:tc>
          <w:tcPr>
            <w:tcW w:w="1773" w:type="dxa"/>
            <w:vAlign w:val="top"/>
          </w:tcPr>
          <w:p>
            <w:pPr>
              <w:spacing w:before="178" w:line="231" w:lineRule="auto"/>
              <w:ind w:left="187"/>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7"/>
                <w:sz w:val="24"/>
                <w:szCs w:val="24"/>
                <w:highlight w:val="none"/>
              </w:rPr>
              <w:t>45min</w:t>
            </w:r>
          </w:p>
        </w:tc>
        <w:tc>
          <w:tcPr>
            <w:tcW w:w="1780" w:type="dxa"/>
            <w:vAlign w:val="top"/>
          </w:tcPr>
          <w:p>
            <w:pPr>
              <w:spacing w:before="178" w:line="231" w:lineRule="auto"/>
              <w:ind w:left="18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7"/>
                <w:sz w:val="24"/>
                <w:szCs w:val="24"/>
                <w:highlight w:val="none"/>
              </w:rPr>
              <w:t>65min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07" w:type="dxa"/>
            <w:vAlign w:val="top"/>
          </w:tcPr>
          <w:p>
            <w:pPr>
              <w:spacing w:before="237" w:line="181" w:lineRule="auto"/>
              <w:ind w:left="1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267" w:type="dxa"/>
            <w:vAlign w:val="top"/>
          </w:tcPr>
          <w:p>
            <w:pPr>
              <w:spacing w:before="177" w:line="224" w:lineRule="auto"/>
              <w:ind w:left="124"/>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最</w:t>
            </w:r>
            <w:r>
              <w:rPr>
                <w:rFonts w:hint="eastAsia" w:ascii="宋体" w:hAnsi="宋体" w:eastAsia="宋体" w:cs="宋体"/>
                <w:color w:val="auto"/>
                <w:spacing w:val="6"/>
                <w:sz w:val="24"/>
                <w:szCs w:val="24"/>
                <w:highlight w:val="none"/>
              </w:rPr>
              <w:t>大巡航速度</w:t>
            </w:r>
          </w:p>
        </w:tc>
        <w:tc>
          <w:tcPr>
            <w:tcW w:w="1775" w:type="dxa"/>
            <w:vAlign w:val="top"/>
          </w:tcPr>
          <w:p>
            <w:pPr>
              <w:spacing w:before="178" w:line="227" w:lineRule="auto"/>
              <w:ind w:left="1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≥90Km/</w:t>
            </w:r>
            <w:r>
              <w:rPr>
                <w:rFonts w:hint="eastAsia" w:ascii="宋体" w:hAnsi="宋体" w:eastAsia="宋体" w:cs="宋体"/>
                <w:color w:val="auto"/>
                <w:spacing w:val="-5"/>
                <w:sz w:val="24"/>
                <w:szCs w:val="24"/>
                <w:highlight w:val="none"/>
              </w:rPr>
              <w:t>h</w:t>
            </w:r>
          </w:p>
        </w:tc>
        <w:tc>
          <w:tcPr>
            <w:tcW w:w="1773" w:type="dxa"/>
            <w:vAlign w:val="top"/>
          </w:tcPr>
          <w:p>
            <w:pPr>
              <w:spacing w:before="178" w:line="227" w:lineRule="auto"/>
              <w:ind w:left="187"/>
              <w:rPr>
                <w:rFonts w:hint="eastAsia" w:ascii="宋体" w:hAnsi="宋体" w:eastAsia="宋体" w:cs="宋体"/>
                <w:color w:val="auto"/>
                <w:sz w:val="24"/>
                <w:szCs w:val="24"/>
                <w:highlight w:val="none"/>
              </w:rPr>
            </w:pPr>
            <w:r>
              <w:rPr>
                <w:rFonts w:hint="eastAsia" w:ascii="宋体" w:hAnsi="宋体" w:eastAsia="宋体" w:cs="宋体"/>
                <w:color w:val="auto"/>
                <w:spacing w:val="-32"/>
                <w:sz w:val="24"/>
                <w:szCs w:val="24"/>
                <w:highlight w:val="none"/>
              </w:rPr>
              <w:t>≥</w:t>
            </w:r>
            <w:r>
              <w:rPr>
                <w:rFonts w:hint="eastAsia" w:ascii="宋体" w:hAnsi="宋体" w:eastAsia="宋体" w:cs="宋体"/>
                <w:color w:val="auto"/>
                <w:spacing w:val="-28"/>
                <w:sz w:val="24"/>
                <w:szCs w:val="24"/>
                <w:highlight w:val="none"/>
              </w:rPr>
              <w:t xml:space="preserve"> 15m/s</w:t>
            </w:r>
          </w:p>
        </w:tc>
        <w:tc>
          <w:tcPr>
            <w:tcW w:w="1780" w:type="dxa"/>
            <w:vAlign w:val="top"/>
          </w:tcPr>
          <w:p>
            <w:pPr>
              <w:spacing w:before="178" w:line="227" w:lineRule="auto"/>
              <w:ind w:left="188"/>
              <w:rPr>
                <w:rFonts w:hint="eastAsia" w:ascii="宋体" w:hAnsi="宋体" w:eastAsia="宋体" w:cs="宋体"/>
                <w:color w:val="auto"/>
                <w:sz w:val="24"/>
                <w:szCs w:val="24"/>
                <w:highlight w:val="none"/>
              </w:rPr>
            </w:pP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28"/>
                <w:sz w:val="24"/>
                <w:szCs w:val="24"/>
                <w:highlight w:val="none"/>
              </w:rPr>
              <w:t xml:space="preserve"> 15m/s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7" w:type="dxa"/>
            <w:vAlign w:val="top"/>
          </w:tcPr>
          <w:p>
            <w:pPr>
              <w:spacing w:before="236" w:line="182" w:lineRule="auto"/>
              <w:ind w:left="1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2267" w:type="dxa"/>
            <w:vAlign w:val="top"/>
          </w:tcPr>
          <w:p>
            <w:pPr>
              <w:spacing w:before="177" w:line="224" w:lineRule="auto"/>
              <w:ind w:left="12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最</w:t>
            </w:r>
            <w:r>
              <w:rPr>
                <w:rFonts w:hint="eastAsia" w:ascii="宋体" w:hAnsi="宋体" w:eastAsia="宋体" w:cs="宋体"/>
                <w:color w:val="auto"/>
                <w:spacing w:val="5"/>
                <w:sz w:val="24"/>
                <w:szCs w:val="24"/>
                <w:highlight w:val="none"/>
              </w:rPr>
              <w:t>大爬升率</w:t>
            </w:r>
          </w:p>
        </w:tc>
        <w:tc>
          <w:tcPr>
            <w:tcW w:w="1775" w:type="dxa"/>
            <w:vAlign w:val="top"/>
          </w:tcPr>
          <w:p>
            <w:pPr>
              <w:spacing w:before="178" w:line="227" w:lineRule="auto"/>
              <w:ind w:left="186"/>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≥5m/s</w:t>
            </w:r>
          </w:p>
        </w:tc>
        <w:tc>
          <w:tcPr>
            <w:tcW w:w="1773" w:type="dxa"/>
            <w:vAlign w:val="top"/>
          </w:tcPr>
          <w:p>
            <w:pPr>
              <w:spacing w:before="178" w:line="227" w:lineRule="auto"/>
              <w:ind w:left="187"/>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≥5m/s</w:t>
            </w:r>
          </w:p>
        </w:tc>
        <w:tc>
          <w:tcPr>
            <w:tcW w:w="1780" w:type="dxa"/>
            <w:vAlign w:val="top"/>
          </w:tcPr>
          <w:p>
            <w:pPr>
              <w:spacing w:before="178" w:line="227" w:lineRule="auto"/>
              <w:ind w:left="188"/>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≥5m/s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07" w:type="dxa"/>
            <w:vAlign w:val="top"/>
          </w:tcPr>
          <w:p>
            <w:pPr>
              <w:spacing w:before="236" w:line="182" w:lineRule="auto"/>
              <w:ind w:left="1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2267" w:type="dxa"/>
            <w:vAlign w:val="top"/>
          </w:tcPr>
          <w:p>
            <w:pPr>
              <w:spacing w:before="177" w:line="223" w:lineRule="auto"/>
              <w:ind w:left="124"/>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有</w:t>
            </w:r>
            <w:r>
              <w:rPr>
                <w:rFonts w:hint="eastAsia" w:ascii="宋体" w:hAnsi="宋体" w:eastAsia="宋体" w:cs="宋体"/>
                <w:color w:val="auto"/>
                <w:spacing w:val="6"/>
                <w:sz w:val="24"/>
                <w:szCs w:val="24"/>
                <w:highlight w:val="none"/>
              </w:rPr>
              <w:t>效壁障距离</w:t>
            </w:r>
          </w:p>
        </w:tc>
        <w:tc>
          <w:tcPr>
            <w:tcW w:w="1775" w:type="dxa"/>
            <w:vAlign w:val="top"/>
          </w:tcPr>
          <w:p>
            <w:pPr>
              <w:spacing w:before="178" w:line="229" w:lineRule="auto"/>
              <w:ind w:left="186"/>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≥200m</w:t>
            </w:r>
          </w:p>
        </w:tc>
        <w:tc>
          <w:tcPr>
            <w:tcW w:w="1773" w:type="dxa"/>
            <w:vAlign w:val="top"/>
          </w:tcPr>
          <w:p>
            <w:pPr>
              <w:spacing w:before="178" w:line="229" w:lineRule="auto"/>
              <w:ind w:left="187"/>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≥200m</w:t>
            </w:r>
          </w:p>
        </w:tc>
        <w:tc>
          <w:tcPr>
            <w:tcW w:w="1780" w:type="dxa"/>
            <w:vAlign w:val="top"/>
          </w:tcPr>
          <w:p>
            <w:pPr>
              <w:spacing w:before="178" w:line="229" w:lineRule="auto"/>
              <w:ind w:left="188"/>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≥200m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7" w:type="dxa"/>
            <w:vAlign w:val="top"/>
          </w:tcPr>
          <w:p>
            <w:pPr>
              <w:spacing w:before="235" w:line="183" w:lineRule="auto"/>
              <w:ind w:left="142"/>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1</w:t>
            </w:r>
            <w:r>
              <w:rPr>
                <w:rFonts w:hint="eastAsia" w:ascii="宋体" w:hAnsi="宋体" w:eastAsia="宋体" w:cs="宋体"/>
                <w:color w:val="auto"/>
                <w:spacing w:val="-12"/>
                <w:sz w:val="24"/>
                <w:szCs w:val="24"/>
                <w:highlight w:val="none"/>
              </w:rPr>
              <w:t>0</w:t>
            </w:r>
          </w:p>
        </w:tc>
        <w:tc>
          <w:tcPr>
            <w:tcW w:w="2267" w:type="dxa"/>
            <w:vAlign w:val="top"/>
          </w:tcPr>
          <w:p>
            <w:pPr>
              <w:spacing w:before="178" w:line="223" w:lineRule="auto"/>
              <w:ind w:left="14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防雨能力</w:t>
            </w:r>
          </w:p>
        </w:tc>
        <w:tc>
          <w:tcPr>
            <w:tcW w:w="1775" w:type="dxa"/>
            <w:vAlign w:val="top"/>
          </w:tcPr>
          <w:p>
            <w:pPr>
              <w:spacing w:before="178" w:line="224"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中雨</w:t>
            </w:r>
          </w:p>
        </w:tc>
        <w:tc>
          <w:tcPr>
            <w:tcW w:w="1773" w:type="dxa"/>
            <w:vAlign w:val="top"/>
          </w:tcPr>
          <w:p>
            <w:pPr>
              <w:spacing w:before="178" w:line="224" w:lineRule="auto"/>
              <w:ind w:left="1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中雨</w:t>
            </w:r>
          </w:p>
        </w:tc>
        <w:tc>
          <w:tcPr>
            <w:tcW w:w="1780" w:type="dxa"/>
            <w:vAlign w:val="top"/>
          </w:tcPr>
          <w:p>
            <w:pPr>
              <w:spacing w:before="178" w:line="224" w:lineRule="auto"/>
              <w:ind w:left="15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中雨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07" w:type="dxa"/>
            <w:vAlign w:val="top"/>
          </w:tcPr>
          <w:p>
            <w:pPr>
              <w:spacing w:before="236" w:line="183" w:lineRule="auto"/>
              <w:ind w:left="142"/>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1</w:t>
            </w:r>
            <w:r>
              <w:rPr>
                <w:rFonts w:hint="eastAsia" w:ascii="宋体" w:hAnsi="宋体" w:eastAsia="宋体" w:cs="宋体"/>
                <w:color w:val="auto"/>
                <w:spacing w:val="-12"/>
                <w:sz w:val="24"/>
                <w:szCs w:val="24"/>
                <w:highlight w:val="none"/>
              </w:rPr>
              <w:t>1</w:t>
            </w:r>
          </w:p>
        </w:tc>
        <w:tc>
          <w:tcPr>
            <w:tcW w:w="2267" w:type="dxa"/>
            <w:vAlign w:val="top"/>
          </w:tcPr>
          <w:p>
            <w:pPr>
              <w:spacing w:before="178" w:line="224" w:lineRule="auto"/>
              <w:ind w:left="173"/>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自</w:t>
            </w:r>
            <w:r>
              <w:rPr>
                <w:rFonts w:hint="eastAsia" w:ascii="宋体" w:hAnsi="宋体" w:eastAsia="宋体" w:cs="宋体"/>
                <w:color w:val="auto"/>
                <w:spacing w:val="-4"/>
                <w:sz w:val="24"/>
                <w:szCs w:val="24"/>
                <w:highlight w:val="none"/>
              </w:rPr>
              <w:t>组网中继</w:t>
            </w:r>
          </w:p>
        </w:tc>
        <w:tc>
          <w:tcPr>
            <w:tcW w:w="5328" w:type="dxa"/>
            <w:gridSpan w:val="3"/>
            <w:vAlign w:val="top"/>
          </w:tcPr>
          <w:p>
            <w:pPr>
              <w:spacing w:before="178" w:line="223"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具</w:t>
            </w:r>
            <w:r>
              <w:rPr>
                <w:rFonts w:hint="eastAsia" w:ascii="宋体" w:hAnsi="宋体" w:eastAsia="宋体" w:cs="宋体"/>
                <w:color w:val="auto"/>
                <w:spacing w:val="7"/>
                <w:sz w:val="24"/>
                <w:szCs w:val="24"/>
                <w:highlight w:val="none"/>
              </w:rPr>
              <w:t>备自组网中继功能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7" w:type="dxa"/>
            <w:vAlign w:val="top"/>
          </w:tcPr>
          <w:p>
            <w:pPr>
              <w:spacing w:before="236" w:line="183" w:lineRule="auto"/>
              <w:ind w:left="142"/>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1</w:t>
            </w:r>
            <w:r>
              <w:rPr>
                <w:rFonts w:hint="eastAsia" w:ascii="宋体" w:hAnsi="宋体" w:eastAsia="宋体" w:cs="宋体"/>
                <w:color w:val="auto"/>
                <w:spacing w:val="-12"/>
                <w:sz w:val="24"/>
                <w:szCs w:val="24"/>
                <w:highlight w:val="none"/>
              </w:rPr>
              <w:t>2</w:t>
            </w:r>
          </w:p>
        </w:tc>
        <w:tc>
          <w:tcPr>
            <w:tcW w:w="2267" w:type="dxa"/>
            <w:vAlign w:val="top"/>
          </w:tcPr>
          <w:p>
            <w:pPr>
              <w:spacing w:before="178" w:line="223" w:lineRule="auto"/>
              <w:ind w:left="1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避</w:t>
            </w:r>
            <w:r>
              <w:rPr>
                <w:rFonts w:hint="eastAsia" w:ascii="宋体" w:hAnsi="宋体" w:eastAsia="宋体" w:cs="宋体"/>
                <w:color w:val="auto"/>
                <w:spacing w:val="6"/>
                <w:sz w:val="24"/>
                <w:szCs w:val="24"/>
                <w:highlight w:val="none"/>
              </w:rPr>
              <w:t>障功能</w:t>
            </w:r>
          </w:p>
        </w:tc>
        <w:tc>
          <w:tcPr>
            <w:tcW w:w="1775" w:type="dxa"/>
            <w:vAlign w:val="top"/>
          </w:tcPr>
          <w:p>
            <w:pPr>
              <w:spacing w:before="179" w:line="227" w:lineRule="auto"/>
              <w:ind w:left="186"/>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2"/>
                <w:sz w:val="24"/>
                <w:szCs w:val="24"/>
                <w:highlight w:val="none"/>
              </w:rPr>
              <w:t>4 向</w:t>
            </w:r>
          </w:p>
        </w:tc>
        <w:tc>
          <w:tcPr>
            <w:tcW w:w="1773" w:type="dxa"/>
            <w:vAlign w:val="top"/>
          </w:tcPr>
          <w:p>
            <w:pPr>
              <w:spacing w:before="179" w:line="227" w:lineRule="auto"/>
              <w:ind w:left="187"/>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2"/>
                <w:sz w:val="24"/>
                <w:szCs w:val="24"/>
                <w:highlight w:val="none"/>
              </w:rPr>
              <w:t>4 向</w:t>
            </w:r>
          </w:p>
        </w:tc>
        <w:tc>
          <w:tcPr>
            <w:tcW w:w="1780" w:type="dxa"/>
            <w:vAlign w:val="top"/>
          </w:tcPr>
          <w:p>
            <w:pPr>
              <w:spacing w:before="179" w:line="227" w:lineRule="auto"/>
              <w:ind w:left="188"/>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2"/>
                <w:sz w:val="24"/>
                <w:szCs w:val="24"/>
                <w:highlight w:val="none"/>
              </w:rPr>
              <w:t>4 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0" w:hRule="atLeast"/>
        </w:trPr>
        <w:tc>
          <w:tcPr>
            <w:tcW w:w="707" w:type="dxa"/>
            <w:vAlign w:val="top"/>
          </w:tcPr>
          <w:p>
            <w:pPr>
              <w:spacing w:before="236" w:line="183" w:lineRule="auto"/>
              <w:ind w:left="142"/>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1</w:t>
            </w:r>
            <w:r>
              <w:rPr>
                <w:rFonts w:hint="eastAsia" w:ascii="宋体" w:hAnsi="宋体" w:eastAsia="宋体" w:cs="宋体"/>
                <w:color w:val="auto"/>
                <w:spacing w:val="-12"/>
                <w:sz w:val="24"/>
                <w:szCs w:val="24"/>
                <w:highlight w:val="none"/>
              </w:rPr>
              <w:t>3</w:t>
            </w:r>
          </w:p>
        </w:tc>
        <w:tc>
          <w:tcPr>
            <w:tcW w:w="2267" w:type="dxa"/>
            <w:vAlign w:val="top"/>
          </w:tcPr>
          <w:p>
            <w:pPr>
              <w:spacing w:before="178" w:line="224" w:lineRule="auto"/>
              <w:ind w:left="12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安全策略</w:t>
            </w:r>
          </w:p>
        </w:tc>
        <w:tc>
          <w:tcPr>
            <w:tcW w:w="5328" w:type="dxa"/>
            <w:gridSpan w:val="3"/>
            <w:vAlign w:val="top"/>
          </w:tcPr>
          <w:p>
            <w:pPr>
              <w:spacing w:before="179" w:line="560" w:lineRule="exact"/>
              <w:ind w:left="115"/>
              <w:rPr>
                <w:rFonts w:hint="eastAsia" w:ascii="宋体" w:hAnsi="宋体" w:eastAsia="宋体" w:cs="宋体"/>
                <w:color w:val="auto"/>
                <w:sz w:val="24"/>
                <w:szCs w:val="24"/>
                <w:highlight w:val="none"/>
              </w:rPr>
            </w:pPr>
            <w:r>
              <w:rPr>
                <w:rFonts w:hint="eastAsia" w:ascii="宋体" w:hAnsi="宋体" w:eastAsia="宋体" w:cs="宋体"/>
                <w:color w:val="auto"/>
                <w:spacing w:val="-2"/>
                <w:position w:val="18"/>
                <w:sz w:val="24"/>
                <w:szCs w:val="24"/>
                <w:highlight w:val="none"/>
              </w:rPr>
              <w:t>低</w:t>
            </w:r>
            <w:r>
              <w:rPr>
                <w:rFonts w:hint="eastAsia" w:ascii="宋体" w:hAnsi="宋体" w:eastAsia="宋体" w:cs="宋体"/>
                <w:color w:val="auto"/>
                <w:spacing w:val="-1"/>
                <w:position w:val="18"/>
                <w:sz w:val="24"/>
                <w:szCs w:val="24"/>
                <w:highlight w:val="none"/>
              </w:rPr>
              <w:t>电压返航、掉高返航、 GPS 丢失返</w:t>
            </w:r>
          </w:p>
          <w:p>
            <w:pPr>
              <w:spacing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航</w:t>
            </w:r>
            <w:r>
              <w:rPr>
                <w:rFonts w:hint="eastAsia" w:ascii="宋体" w:hAnsi="宋体" w:eastAsia="宋体" w:cs="宋体"/>
                <w:color w:val="auto"/>
                <w:spacing w:val="8"/>
                <w:sz w:val="24"/>
                <w:szCs w:val="24"/>
                <w:highlight w:val="none"/>
              </w:rPr>
              <w:t>、高度过低返航、姿态过大保护等</w:t>
            </w:r>
          </w:p>
        </w:tc>
      </w:tr>
    </w:tbl>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垂直起降固定翼无人机系统的图传距离一般为 30- 120Km。应根据林区无信号盲区纵深， 科学制定垂直起降 </w:t>
      </w:r>
      <w:bookmarkStart w:id="32" w:name="_bookmark14"/>
      <w:bookmarkEnd w:id="32"/>
      <w:r>
        <w:rPr>
          <w:rFonts w:hint="eastAsia" w:ascii="宋体" w:hAnsi="宋体" w:eastAsia="宋体" w:cs="宋体"/>
          <w:color w:val="auto"/>
          <w:sz w:val="24"/>
          <w:szCs w:val="24"/>
          <w:highlight w:val="none"/>
        </w:rPr>
        <w:t>固定翼无人机系统图传距离。</w:t>
      </w:r>
    </w:p>
    <w:p>
      <w:pPr>
        <w:widowControl/>
        <w:spacing w:line="5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5.1.2空域分析及执行办理</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对航飞区域进行空域分析，从气候条件、空域条件、地形地貌条件等综合分析实施飞行巡护难度。飞行任务空域由实施单位进行申报，提供办理过程中所需资料信息及必要协助。 </w:t>
      </w:r>
    </w:p>
    <w:p>
      <w:pPr>
        <w:widowControl/>
        <w:spacing w:line="5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5.1.3建立无人机监控指挥云平台</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1.实时远程对无人机进行数据监控等，实现多架无人机的视频和飞行数据远程同时接入。</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2.创建角色，赋予角色系统功能页面权限、操作权限、数据权限。</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3.拍摄成果实时在线预览，并可在线直播。</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4.将林班数据叠加至无人机飞行地图，对巡护辖区的管护所、水源地、消防物资储备地等消防物资、人力资源在无人机巡护系统地图中进行标注。</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可主动或自动获取无人机当前状态信息实时路径显示、飞行距离动态计算。</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6.根据飞行任务紧急度进行弹屏显示以及告警通知。</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7.实时查看飞行数据及飞行成果，也可查询历史飞行数据及飞行成果，数据自动回传至云端保存。</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按季度对无人机服务质量及巡护结果进行汇总、评价。提高各次航空巡护的文字报告、巡护拍摄的照片和影像资料，相关科室将巡护工作小结按时上报天东局森保处。</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9.单次飞行完毕形成无人机巡检报告，巡检报告要求巡护区域涉及的各管护所所长签字认可。</w:t>
      </w:r>
    </w:p>
    <w:p>
      <w:pPr>
        <w:pStyle w:val="20"/>
        <w:jc w:val="left"/>
        <w:rPr>
          <w:rFonts w:hint="eastAsia" w:ascii="宋体" w:hAnsi="宋体" w:eastAsia="宋体" w:cs="宋体"/>
          <w:color w:val="auto"/>
          <w:sz w:val="24"/>
          <w:szCs w:val="24"/>
          <w:highlight w:val="none"/>
          <w:lang w:bidi="ar"/>
        </w:rPr>
      </w:pPr>
      <w:bookmarkStart w:id="33" w:name="_Toc135919927"/>
      <w:r>
        <w:rPr>
          <w:rFonts w:hint="eastAsia" w:ascii="宋体" w:hAnsi="宋体" w:eastAsia="宋体" w:cs="宋体"/>
          <w:color w:val="auto"/>
          <w:sz w:val="24"/>
          <w:szCs w:val="24"/>
          <w:highlight w:val="none"/>
          <w:lang w:bidi="ar"/>
        </w:rPr>
        <w:t>5.2巡检报告需要提供的相关巡护数据</w:t>
      </w:r>
      <w:bookmarkEnd w:id="33"/>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人机将对吉木萨尔分局所辖的林区进行日常巡护，巡护内容包括白天和夜间的巡视监测。白天的巡视监测主要针对林区的重点部位，包括景区景点、生产施工单位、农林草结合部、牧民聚集区（点）和游客经常出没的区域进行实时巡查。夜间的巡视监测则主要针对野生动物和林区内的热（火）点进行巡查。飞行方法包括高空大范围的飞行巡护，以及低空细节的巡视监测。</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巡护过程中，无人机将精准定位林区的牧民居住地、居民点等，并在飞行报告内统计汇总出牧民点的结构（木质、石头、蒙古包）、数量、坐标、转场日期、巡护时间等信息，以掌握林区牧民居住点的动态变化。此外，无人机还将对林区内的生产经营单位，如道路施工、水利水电、景区景点、养护站等进行精准定位，统计其数量、坐标、巡护时间，以掌握林区生产经营单位生产活动和人员等的动态变化。对重点防火区域，无人机将巡视监测该区域的道路、水源等情况，并记录完好与否、充沛与否等情况。</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重点火险期（6-8月），无人机将对一级火险区进山车辆和人员进行精准定位，统计其数量、坐标、巡护时间，以掌握火险区车辆、人员活动等的动态变化。特别是在周末、五一等节假日、高温季节等时间节点，无人机将延长巡护时间，强化巡护，做到两周三报。在重点火险期（6-8月），无人机还将利用红外视频图像进行监测分析，综合自治区或当地气象部门发布的火险预警预报以及林区可燃物载量、人员密度、活动范围等信息，对</w:t>
      </w:r>
      <w:r>
        <w:rPr>
          <w:rFonts w:hint="eastAsia" w:ascii="宋体" w:hAnsi="宋体" w:eastAsia="宋体" w:cs="宋体"/>
          <w:color w:val="auto"/>
          <w:sz w:val="24"/>
          <w:szCs w:val="24"/>
          <w:highlight w:val="none"/>
          <w:lang w:eastAsia="zh-CN"/>
        </w:rPr>
        <w:t>吉木萨尔分局</w:t>
      </w:r>
      <w:r>
        <w:rPr>
          <w:rFonts w:hint="eastAsia" w:ascii="宋体" w:hAnsi="宋体" w:eastAsia="宋体" w:cs="宋体"/>
          <w:color w:val="auto"/>
          <w:sz w:val="24"/>
          <w:szCs w:val="24"/>
          <w:highlight w:val="none"/>
        </w:rPr>
        <w:t>重点火险区进行火险指数的精准预测预报，做到两周三报。同时，无人机将对林区预判的火灾风险点进行监测，捕捉热点，保障实时下达火险处置指令。</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无人机还将结合</w:t>
      </w:r>
      <w:r>
        <w:rPr>
          <w:rFonts w:hint="eastAsia" w:ascii="宋体" w:hAnsi="宋体" w:eastAsia="宋体" w:cs="宋体"/>
          <w:color w:val="auto"/>
          <w:sz w:val="24"/>
          <w:szCs w:val="24"/>
          <w:highlight w:val="none"/>
          <w:lang w:eastAsia="zh-CN"/>
        </w:rPr>
        <w:t>吉木萨尔分局</w:t>
      </w:r>
      <w:r>
        <w:rPr>
          <w:rFonts w:hint="eastAsia" w:ascii="宋体" w:hAnsi="宋体" w:eastAsia="宋体" w:cs="宋体"/>
          <w:color w:val="auto"/>
          <w:sz w:val="24"/>
          <w:szCs w:val="24"/>
          <w:highlight w:val="none"/>
        </w:rPr>
        <w:t>森林防火演练情况，适时联合开展防火演练，发挥无人机在保障火场信息畅通、火场侦查、扑火路线设定、火场指挥、火场清理等方面的作用。本年度（8月）将提供应急服务。</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此外，无人机还将对巡护区域内的森林资源进行巡视，排查疑似图斑、有无植被破坏和盗伐林木等现象，排查有无非法征（占）用林业用地、非法施工等现象，每巡护一次报告一次。对巡护区域野生动物栖息地（有无破坏、人为干扰等）、野生动物活动情况（有无异常情况）进行白天或者夜间巡护，每巡护一次报告一次。</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后，无人机还将为人流比较集中的景区景点、一级火险区域以及林区附近村庄、居民居住地的群众、游客进行空中森林防火宣传。利用无人机对重点林区内擅自野外用火的人员进行违规违法行为定位、取证（车牌）、拍照、警示、宣传、劝离等，在飞行报告中统计汇总。在重点火险期（6-8月），每巡护一次报告一次。</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上所述，无人机对吉木萨尔分局所辖的林区进行日常巡护，涵盖了林区牧民点、生产经营单位、重点防火区域、一级火险区进山车辆和人员、火险指数预测预报、火灾风险点监测、森林资源排查、野生动物巡护和空中森林防火宣传等多个方面的内容。通过无人机的高效、精准、实时巡护和监测，可以加强对林区的防火、防灾、监管和保护，保障生态环境的可持续发展和人民群众的生命财产安全。</w:t>
      </w:r>
    </w:p>
    <w:p>
      <w:pPr>
        <w:pStyle w:val="20"/>
        <w:jc w:val="left"/>
        <w:rPr>
          <w:rFonts w:hint="eastAsia" w:ascii="宋体" w:hAnsi="宋体" w:eastAsia="宋体" w:cs="宋体"/>
          <w:color w:val="auto"/>
          <w:sz w:val="24"/>
          <w:szCs w:val="24"/>
          <w:highlight w:val="none"/>
          <w:lang w:bidi="ar"/>
        </w:rPr>
      </w:pPr>
      <w:bookmarkStart w:id="34" w:name="_Toc135919928"/>
      <w:r>
        <w:rPr>
          <w:rFonts w:hint="eastAsia" w:ascii="宋体" w:hAnsi="宋体" w:eastAsia="宋体" w:cs="宋体"/>
          <w:color w:val="auto"/>
          <w:sz w:val="24"/>
          <w:szCs w:val="24"/>
          <w:highlight w:val="none"/>
          <w:lang w:bidi="ar"/>
        </w:rPr>
        <w:t>5.3 巡检验收成果</w:t>
      </w:r>
      <w:bookmarkEnd w:id="34"/>
    </w:p>
    <w:p>
      <w:p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1.火灾风险点进行监测，捕捉热点、火源点。</w:t>
      </w:r>
    </w:p>
    <w:p>
      <w:p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2.对森林资源进行巡视，筛查疑似图斑、有无植被破坏和盗伐林木等定位及结果统计资料</w:t>
      </w:r>
    </w:p>
    <w:p>
      <w:p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3.飞行日志，以及原始采集数据资料。（日志包括飞行时间、飞行距离、行飞线路、视频资料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7"/>
          <w:sz w:val="24"/>
          <w:szCs w:val="24"/>
          <w:highlight w:val="none"/>
        </w:rPr>
        <w:t>按时间顺序</w:t>
      </w:r>
      <w:r>
        <w:rPr>
          <w:rFonts w:hint="eastAsia" w:ascii="宋体" w:hAnsi="宋体" w:eastAsia="宋体" w:cs="宋体"/>
          <w:color w:val="auto"/>
          <w:spacing w:val="7"/>
          <w:sz w:val="24"/>
          <w:szCs w:val="24"/>
          <w:highlight w:val="none"/>
          <w:lang w:val="en-US" w:eastAsia="zh-CN"/>
        </w:rPr>
        <w:t>提交</w:t>
      </w:r>
      <w:r>
        <w:rPr>
          <w:rFonts w:hint="eastAsia" w:ascii="宋体" w:hAnsi="宋体" w:eastAsia="宋体" w:cs="宋体"/>
          <w:color w:val="auto"/>
          <w:sz w:val="24"/>
          <w:szCs w:val="24"/>
          <w:highlight w:val="none"/>
        </w:rPr>
        <w:t>）。</w:t>
      </w:r>
    </w:p>
    <w:p>
      <w:p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4.单次巡检报告及项目总巡检报告。</w:t>
      </w:r>
    </w:p>
    <w:p>
      <w:p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5.项目验收单</w:t>
      </w:r>
      <w:bookmarkStart w:id="35" w:name="_Toc28750"/>
    </w:p>
    <w:p>
      <w:p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以上资料提供电子版、纸质版各一套。</w:t>
      </w:r>
      <w:bookmarkEnd w:id="35"/>
    </w:p>
    <w:p>
      <w:pPr>
        <w:rPr>
          <w:rFonts w:hint="eastAsia" w:ascii="宋体" w:hAnsi="宋体" w:eastAsia="宋体" w:cs="宋体"/>
          <w:color w:val="auto"/>
          <w:sz w:val="24"/>
          <w:szCs w:val="24"/>
          <w:highlight w:val="none"/>
          <w:lang w:bidi="ar"/>
        </w:rPr>
      </w:pPr>
    </w:p>
    <w:p>
      <w:pPr>
        <w:pStyle w:val="3"/>
        <w:numPr>
          <w:ilvl w:val="0"/>
          <w:numId w:val="0"/>
        </w:numPr>
        <w:ind w:leftChars="0"/>
        <w:jc w:val="center"/>
        <w:rPr>
          <w:rFonts w:hint="eastAsia" w:ascii="宋体" w:hAnsi="宋体" w:eastAsia="宋体" w:cs="宋体"/>
          <w:color w:val="auto"/>
          <w:sz w:val="24"/>
          <w:szCs w:val="24"/>
          <w:highlight w:val="none"/>
        </w:rPr>
      </w:pPr>
      <w:bookmarkStart w:id="36" w:name="_Toc135919929"/>
      <w:r>
        <w:rPr>
          <w:rFonts w:hint="eastAsia" w:ascii="宋体" w:hAnsi="宋体" w:eastAsia="宋体" w:cs="宋体"/>
          <w:color w:val="auto"/>
          <w:sz w:val="24"/>
          <w:szCs w:val="24"/>
          <w:highlight w:val="none"/>
          <w:lang w:bidi="ar"/>
        </w:rPr>
        <w:t>第六章 项目建设期限及进度</w:t>
      </w:r>
      <w:bookmarkEnd w:id="36"/>
    </w:p>
    <w:p>
      <w:pPr>
        <w:pStyle w:val="20"/>
        <w:jc w:val="left"/>
        <w:rPr>
          <w:rFonts w:hint="eastAsia" w:ascii="宋体" w:hAnsi="宋体" w:eastAsia="宋体" w:cs="宋体"/>
          <w:color w:val="auto"/>
          <w:sz w:val="24"/>
          <w:szCs w:val="24"/>
          <w:highlight w:val="none"/>
          <w:lang w:bidi="ar"/>
        </w:rPr>
      </w:pPr>
      <w:bookmarkStart w:id="37" w:name="_Toc135919930"/>
      <w:r>
        <w:rPr>
          <w:rFonts w:hint="eastAsia" w:ascii="宋体" w:hAnsi="宋体" w:eastAsia="宋体" w:cs="宋体"/>
          <w:color w:val="auto"/>
          <w:sz w:val="24"/>
          <w:szCs w:val="24"/>
          <w:highlight w:val="none"/>
          <w:lang w:bidi="ar"/>
        </w:rPr>
        <w:t>6.1 项目建设期限</w:t>
      </w:r>
      <w:bookmarkEnd w:id="37"/>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2023年6月--10月</w:t>
      </w:r>
    </w:p>
    <w:p>
      <w:pPr>
        <w:pStyle w:val="20"/>
        <w:jc w:val="left"/>
        <w:rPr>
          <w:rFonts w:hint="eastAsia" w:ascii="宋体" w:hAnsi="宋体" w:eastAsia="宋体" w:cs="宋体"/>
          <w:color w:val="auto"/>
          <w:sz w:val="24"/>
          <w:szCs w:val="24"/>
          <w:highlight w:val="none"/>
          <w:lang w:bidi="ar"/>
        </w:rPr>
      </w:pPr>
      <w:bookmarkStart w:id="38" w:name="_Toc135919931"/>
      <w:r>
        <w:rPr>
          <w:rFonts w:hint="eastAsia" w:ascii="宋体" w:hAnsi="宋体" w:eastAsia="宋体" w:cs="宋体"/>
          <w:color w:val="auto"/>
          <w:sz w:val="24"/>
          <w:szCs w:val="24"/>
          <w:highlight w:val="none"/>
          <w:lang w:bidi="ar"/>
        </w:rPr>
        <w:t>6.2 项目进度安排</w:t>
      </w:r>
      <w:bookmarkEnd w:id="38"/>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1、项目中标后，在6月20日前完成签约及设备安装、测试。</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2、2023年6月下旬--10月下旬，配合无人机巡护服务公司进行无人机巡护，按指标要求完成各项巡护工作。每月30日前将巡护报告上报天东林管局吉木萨尔分局。</w:t>
      </w:r>
    </w:p>
    <w:p>
      <w:pPr>
        <w:pStyle w:val="3"/>
        <w:numPr>
          <w:ilvl w:val="0"/>
          <w:numId w:val="0"/>
        </w:numPr>
        <w:ind w:leftChars="0"/>
        <w:jc w:val="center"/>
        <w:rPr>
          <w:rFonts w:hint="eastAsia" w:ascii="宋体" w:hAnsi="宋体" w:eastAsia="宋体" w:cs="宋体"/>
          <w:color w:val="auto"/>
          <w:sz w:val="24"/>
          <w:szCs w:val="24"/>
          <w:highlight w:val="none"/>
          <w:lang w:bidi="ar"/>
        </w:rPr>
      </w:pPr>
      <w:bookmarkStart w:id="39" w:name="_Toc135919932"/>
      <w:r>
        <w:rPr>
          <w:rFonts w:hint="eastAsia" w:ascii="宋体" w:hAnsi="宋体" w:eastAsia="宋体" w:cs="宋体"/>
          <w:color w:val="auto"/>
          <w:sz w:val="24"/>
          <w:szCs w:val="24"/>
          <w:highlight w:val="none"/>
          <w:lang w:bidi="ar"/>
        </w:rPr>
        <w:t>第七章 绩效目标及成效</w:t>
      </w:r>
      <w:bookmarkEnd w:id="39"/>
    </w:p>
    <w:p>
      <w:pPr>
        <w:pStyle w:val="20"/>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 xml:space="preserve"> </w:t>
      </w:r>
      <w:bookmarkStart w:id="40" w:name="_Toc135919933"/>
      <w:r>
        <w:rPr>
          <w:rFonts w:hint="eastAsia" w:ascii="宋体" w:hAnsi="宋体" w:eastAsia="宋体" w:cs="宋体"/>
          <w:color w:val="auto"/>
          <w:sz w:val="24"/>
          <w:szCs w:val="24"/>
          <w:highlight w:val="none"/>
          <w:lang w:bidi="ar"/>
        </w:rPr>
        <w:t>7.1 项目绩效目标</w:t>
      </w:r>
      <w:bookmarkEnd w:id="40"/>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将在吉木萨尔分局所辖区域开展森林防火无人机巡护工作，旨在加强对森林草原火灾的预防和控制，确保林区防火工作做到无死角、全覆盖。同时，利用无人机搭载可见光、红外热感等设备，可以对森林草原进行高效、全面监控，及时发现火源、火灾、热点等情况。</w:t>
      </w:r>
    </w:p>
    <w:p>
      <w:pPr>
        <w:pStyle w:val="20"/>
        <w:jc w:val="left"/>
        <w:rPr>
          <w:rFonts w:hint="eastAsia" w:ascii="宋体" w:hAnsi="宋体" w:eastAsia="宋体" w:cs="宋体"/>
          <w:color w:val="auto"/>
          <w:sz w:val="24"/>
          <w:szCs w:val="24"/>
          <w:highlight w:val="none"/>
          <w:lang w:bidi="ar"/>
        </w:rPr>
      </w:pPr>
      <w:bookmarkStart w:id="41" w:name="_Toc135919934"/>
      <w:r>
        <w:rPr>
          <w:rFonts w:hint="eastAsia" w:ascii="宋体" w:hAnsi="宋体" w:eastAsia="宋体" w:cs="宋体"/>
          <w:color w:val="auto"/>
          <w:sz w:val="24"/>
          <w:szCs w:val="24"/>
          <w:highlight w:val="none"/>
          <w:lang w:bidi="ar"/>
        </w:rPr>
        <w:t>7.2 预期效益分析（经济、社会、生态效益）</w:t>
      </w:r>
      <w:bookmarkEnd w:id="41"/>
      <w:r>
        <w:rPr>
          <w:rFonts w:hint="eastAsia" w:ascii="宋体" w:hAnsi="宋体" w:eastAsia="宋体" w:cs="宋体"/>
          <w:color w:val="auto"/>
          <w:sz w:val="24"/>
          <w:szCs w:val="24"/>
          <w:highlight w:val="none"/>
          <w:lang w:bidi="ar"/>
        </w:rPr>
        <w:t xml:space="preserve"> </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吉木萨尔分局通过开展森林防火无人机巡护工作，在弥补人工巡护和视频监控不足的同时，将科技支撑应用于森林健康监测，进一步加强了森林草原防火力度，保障了野生动植物资源的多样性和持续性，实现了生态效益的提升。</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持续开展森林防火无人机巡护工作，有助于促进吉木萨尔的生态环境保护，进而对水源涵养和水土保持等方面产生积极的社会效益。这将有助于提高旅游业的吸引力和竞争力，促进当地经济的健康稳定发展，进而实现了一定程度上的经济效益。</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的来说，吉木萨尔分局通过开展森林防火无人机巡护工作，实现了生态、社会和经济效益的综合提升。通过运用无人机的科技优势，弥补了传统人工巡护和视频监控的不足，提高了森林草原防火效率和监测能力，保障了野生动植物资源的多样性和持续性，实现了生态效益的提升。持续开展无人机巡护工作，有助于促进吉木萨尔的生态环境保护，进而对水源涵养和水土保持等方面产生积极的社会效益。这将有助于提高旅游业的吸引力和竞争力，促进当地经济的健康稳定发展，进而实现了一定程度上的经济效益。</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无人机巡护，可以实现对森林草原的高效、全面监控，及时发现火源、火灾、热点等情况，进而提高森林防火的效率和水平，减少火灾造成的经济损失和社会影响，实现了一定程度上的经济效益。同时，无人机巡护还可以用于森林健康监测，在保障生态安全和多样性的同时，对于促进天山北坡丝绸之路经济带的健康发展，有力地促进了吉木萨尔市的社会和经济发展，实现了社会效益的提升。</w:t>
      </w:r>
    </w:p>
    <w:p>
      <w:pPr>
        <w:pStyle w:val="3"/>
        <w:numPr>
          <w:ilvl w:val="0"/>
          <w:numId w:val="0"/>
        </w:numPr>
        <w:ind w:leftChars="0"/>
        <w:jc w:val="center"/>
        <w:rPr>
          <w:rFonts w:hint="eastAsia" w:ascii="宋体" w:hAnsi="宋体" w:eastAsia="宋体" w:cs="宋体"/>
          <w:color w:val="auto"/>
          <w:sz w:val="24"/>
          <w:szCs w:val="24"/>
          <w:highlight w:val="none"/>
          <w:lang w:bidi="ar"/>
        </w:rPr>
      </w:pPr>
      <w:bookmarkStart w:id="42" w:name="_Toc135919935"/>
      <w:r>
        <w:rPr>
          <w:rFonts w:hint="eastAsia" w:ascii="宋体" w:hAnsi="宋体" w:eastAsia="宋体" w:cs="宋体"/>
          <w:color w:val="auto"/>
          <w:sz w:val="24"/>
          <w:szCs w:val="24"/>
          <w:highlight w:val="none"/>
          <w:lang w:bidi="ar"/>
        </w:rPr>
        <w:t>第八章 保障措施</w:t>
      </w:r>
      <w:bookmarkEnd w:id="42"/>
    </w:p>
    <w:p>
      <w:pPr>
        <w:pStyle w:val="20"/>
        <w:jc w:val="left"/>
        <w:rPr>
          <w:rFonts w:hint="eastAsia" w:ascii="宋体" w:hAnsi="宋体" w:eastAsia="宋体" w:cs="宋体"/>
          <w:color w:val="auto"/>
          <w:sz w:val="24"/>
          <w:szCs w:val="24"/>
          <w:highlight w:val="none"/>
          <w:lang w:bidi="ar"/>
        </w:rPr>
      </w:pPr>
      <w:bookmarkStart w:id="43" w:name="_Toc135919936"/>
      <w:r>
        <w:rPr>
          <w:rFonts w:hint="eastAsia" w:ascii="宋体" w:hAnsi="宋体" w:eastAsia="宋体" w:cs="宋体"/>
          <w:color w:val="auto"/>
          <w:sz w:val="24"/>
          <w:szCs w:val="24"/>
          <w:highlight w:val="none"/>
          <w:lang w:bidi="ar"/>
        </w:rPr>
        <w:t>8.1 组织保障</w:t>
      </w:r>
      <w:bookmarkEnd w:id="43"/>
      <w:r>
        <w:rPr>
          <w:rFonts w:hint="eastAsia" w:ascii="宋体" w:hAnsi="宋体" w:eastAsia="宋体" w:cs="宋体"/>
          <w:color w:val="auto"/>
          <w:sz w:val="24"/>
          <w:szCs w:val="24"/>
          <w:highlight w:val="none"/>
          <w:lang w:bidi="ar"/>
        </w:rPr>
        <w:t xml:space="preserve"> </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本项目由天东林管局吉木萨尔分局组织实施，统筹监管项目实施的全过程。</w:t>
      </w:r>
      <w:r>
        <w:rPr>
          <w:rFonts w:hint="eastAsia" w:ascii="宋体" w:hAnsi="宋体" w:eastAsia="宋体" w:cs="宋体"/>
          <w:color w:val="auto"/>
          <w:sz w:val="24"/>
          <w:szCs w:val="24"/>
          <w:highlight w:val="none"/>
          <w:lang w:val="en-US" w:eastAsia="zh-CN"/>
        </w:rPr>
        <w:t>公</w:t>
      </w:r>
      <w:r>
        <w:rPr>
          <w:rFonts w:hint="eastAsia" w:ascii="宋体" w:hAnsi="宋体" w:eastAsia="宋体" w:cs="宋体"/>
          <w:color w:val="auto"/>
          <w:sz w:val="24"/>
          <w:szCs w:val="24"/>
          <w:highlight w:val="none"/>
        </w:rPr>
        <w:t>司</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rPr>
        <w:t>派驻专项负责管理团队、培训团队、技术支撑团队，对项目实施过程加强监管与服务，落实目标，及时与客户沟通，向客户负责领导会汇报实施进度，确保项目按要求完成服务。</w:t>
      </w:r>
    </w:p>
    <w:p>
      <w:pPr>
        <w:pStyle w:val="20"/>
        <w:jc w:val="left"/>
        <w:rPr>
          <w:rFonts w:hint="eastAsia" w:ascii="宋体" w:hAnsi="宋体" w:eastAsia="宋体" w:cs="宋体"/>
          <w:color w:val="auto"/>
          <w:sz w:val="24"/>
          <w:szCs w:val="24"/>
          <w:highlight w:val="none"/>
          <w:lang w:bidi="ar"/>
        </w:rPr>
      </w:pPr>
      <w:bookmarkStart w:id="44" w:name="_Toc135919937"/>
      <w:r>
        <w:rPr>
          <w:rFonts w:hint="eastAsia" w:ascii="宋体" w:hAnsi="宋体" w:eastAsia="宋体" w:cs="宋体"/>
          <w:color w:val="auto"/>
          <w:sz w:val="24"/>
          <w:szCs w:val="24"/>
          <w:highlight w:val="none"/>
          <w:lang w:bidi="ar"/>
        </w:rPr>
        <w:t>8.2 技术保障</w:t>
      </w:r>
      <w:bookmarkEnd w:id="44"/>
      <w:r>
        <w:rPr>
          <w:rFonts w:hint="eastAsia" w:ascii="宋体" w:hAnsi="宋体" w:eastAsia="宋体" w:cs="宋体"/>
          <w:color w:val="auto"/>
          <w:sz w:val="24"/>
          <w:szCs w:val="24"/>
          <w:highlight w:val="none"/>
          <w:lang w:bidi="ar"/>
        </w:rPr>
        <w:t xml:space="preserve"> </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承担单位完成委托方任务需求的业务积累、技术人才储备和履行责任能力。项目组成员具有丰富无人机巡护技术人员组成，能够运用科学有效的无人机巡护技术和方法开展巡护，并将巡护结果生成汇报总结上报天东林管局。</w:t>
      </w:r>
    </w:p>
    <w:p>
      <w:pPr>
        <w:pStyle w:val="20"/>
        <w:jc w:val="left"/>
        <w:rPr>
          <w:rFonts w:hint="eastAsia" w:ascii="宋体" w:hAnsi="宋体" w:eastAsia="宋体" w:cs="宋体"/>
          <w:color w:val="auto"/>
          <w:sz w:val="24"/>
          <w:szCs w:val="24"/>
          <w:highlight w:val="none"/>
          <w:lang w:bidi="ar"/>
        </w:rPr>
      </w:pPr>
      <w:bookmarkStart w:id="45" w:name="_Toc135919938"/>
      <w:r>
        <w:rPr>
          <w:rFonts w:hint="eastAsia" w:ascii="宋体" w:hAnsi="宋体" w:eastAsia="宋体" w:cs="宋体"/>
          <w:color w:val="auto"/>
          <w:sz w:val="24"/>
          <w:szCs w:val="24"/>
          <w:highlight w:val="none"/>
          <w:lang w:bidi="ar"/>
        </w:rPr>
        <w:t>8.3 档案管理</w:t>
      </w:r>
      <w:bookmarkEnd w:id="45"/>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根据《中华人民共和国档案法》、《中华人民共和国森林法》等，在项目实施过程中形成的各类档案，按档案整理相关要求归档并移交单位档案管理部门。</w:t>
      </w:r>
    </w:p>
    <w:p>
      <w:pPr>
        <w:pStyle w:val="20"/>
        <w:jc w:val="left"/>
        <w:rPr>
          <w:rFonts w:hint="eastAsia" w:ascii="宋体" w:hAnsi="宋体" w:eastAsia="宋体" w:cs="宋体"/>
          <w:color w:val="auto"/>
          <w:sz w:val="24"/>
          <w:szCs w:val="24"/>
          <w:highlight w:val="none"/>
          <w:lang w:bidi="ar"/>
        </w:rPr>
      </w:pPr>
      <w:bookmarkStart w:id="46" w:name="_Toc135919939"/>
      <w:r>
        <w:rPr>
          <w:rFonts w:hint="eastAsia" w:ascii="宋体" w:hAnsi="宋体" w:eastAsia="宋体" w:cs="宋体"/>
          <w:color w:val="auto"/>
          <w:sz w:val="24"/>
          <w:szCs w:val="24"/>
          <w:highlight w:val="none"/>
          <w:lang w:bidi="ar"/>
        </w:rPr>
        <w:t>8.4制度保障</w:t>
      </w:r>
      <w:bookmarkEnd w:id="46"/>
    </w:p>
    <w:p>
      <w:pPr>
        <w:pStyle w:val="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8.4.1项目承担单位职责</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w:t>
      </w:r>
      <w:r>
        <w:rPr>
          <w:rFonts w:hint="eastAsia" w:ascii="宋体" w:hAnsi="宋体" w:eastAsia="宋体" w:cs="宋体"/>
          <w:color w:val="auto"/>
          <w:sz w:val="24"/>
          <w:szCs w:val="24"/>
          <w:highlight w:val="none"/>
        </w:rPr>
        <w:t>天东林管局吉木萨尔分局</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管护所无人机巡护专员进行无人机业务培训；</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2.按照无人机巡护服务合同要求准备符合服务标准的无人机设备、无人机驾驶员、无人机飞控系统、平台的建设等工作，保障巡护服务的正常履行。</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3.对无人机的日常检修、测试，保障无人机巡护任务的有效开展。</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4.负责尽快处理无人机各类故障问题，保证不影响后续巡护任务的执行。</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5.将巡护辖区的管护所、水源地、消防物资储备地等消防物资、人力资源在无人机巡护系统地图中标注，在发生紧急火情后可显示附近物资情况，引导扑火工作。</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6.负责对</w:t>
      </w:r>
      <w:r>
        <w:rPr>
          <w:rFonts w:hint="eastAsia" w:ascii="宋体" w:hAnsi="宋体" w:eastAsia="宋体" w:cs="宋体"/>
          <w:color w:val="auto"/>
          <w:sz w:val="24"/>
          <w:szCs w:val="24"/>
          <w:highlight w:val="none"/>
          <w:lang w:eastAsia="zh-CN"/>
        </w:rPr>
        <w:t>吉木萨尔分局</w:t>
      </w:r>
      <w:r>
        <w:rPr>
          <w:rFonts w:hint="eastAsia" w:ascii="宋体" w:hAnsi="宋体" w:eastAsia="宋体" w:cs="宋体"/>
          <w:color w:val="auto"/>
          <w:sz w:val="24"/>
          <w:szCs w:val="24"/>
          <w:highlight w:val="none"/>
        </w:rPr>
        <w:t>提供技术支撑工作，对无人机巡护长期规划提出科学合理建议，利用自身产品、技术资源优势，结合社会通信资源、</w:t>
      </w:r>
      <w:r>
        <w:rPr>
          <w:rFonts w:hint="eastAsia" w:ascii="宋体" w:hAnsi="宋体" w:eastAsia="宋体" w:cs="宋体"/>
          <w:color w:val="auto"/>
          <w:sz w:val="24"/>
          <w:szCs w:val="24"/>
          <w:highlight w:val="none"/>
          <w:lang w:eastAsia="zh-CN"/>
        </w:rPr>
        <w:t>吉木萨尔分局</w:t>
      </w:r>
      <w:r>
        <w:rPr>
          <w:rFonts w:hint="eastAsia" w:ascii="宋体" w:hAnsi="宋体" w:eastAsia="宋体" w:cs="宋体"/>
          <w:color w:val="auto"/>
          <w:sz w:val="24"/>
          <w:szCs w:val="24"/>
          <w:highlight w:val="none"/>
        </w:rPr>
        <w:t>自有防火云台等存量资源，为</w:t>
      </w:r>
      <w:r>
        <w:rPr>
          <w:rFonts w:hint="eastAsia" w:ascii="宋体" w:hAnsi="宋体" w:eastAsia="宋体" w:cs="宋体"/>
          <w:color w:val="auto"/>
          <w:sz w:val="24"/>
          <w:szCs w:val="24"/>
          <w:highlight w:val="none"/>
          <w:lang w:eastAsia="zh-CN"/>
        </w:rPr>
        <w:t>吉木萨尔分局</w:t>
      </w:r>
      <w:r>
        <w:rPr>
          <w:rFonts w:hint="eastAsia" w:ascii="宋体" w:hAnsi="宋体" w:eastAsia="宋体" w:cs="宋体"/>
          <w:color w:val="auto"/>
          <w:sz w:val="24"/>
          <w:szCs w:val="24"/>
          <w:highlight w:val="none"/>
        </w:rPr>
        <w:t>制定无人机通信基础设施网络及大数据分析平台。持续提升无人机巡护效率及品质，助力森林防火事业的信息化发展。</w:t>
      </w:r>
    </w:p>
    <w:p>
      <w:pPr>
        <w:pStyle w:val="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8.4.2管护站长职责</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1.负责统筹本站辖区内所有林班小班的无人机巡护作业落地。</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2.负责无人机专员的日常管理及考核工作；</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3.负责本区域无人机巡护质量对无人机服务厂家的打分评价工作。</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4.配合无人机服务厂家执行好辖区的无人机巡护任务。</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5.组织协调无人机巡护组与人工巡护组在巡护时间、巡护区域、巡护面积等方面的互相配合、相互补充，形成本管护所辖区内的多维度、多轮次、全方位的森林防火巡护体系。</w:t>
      </w:r>
    </w:p>
    <w:p>
      <w:pPr>
        <w:pStyle w:val="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8.4.3无人机巡护专员岗位要求</w:t>
      </w:r>
    </w:p>
    <w:p>
      <w:pPr>
        <w:pStyle w:val="37"/>
        <w:widowControl/>
        <w:numPr>
          <w:ilvl w:val="0"/>
          <w:numId w:val="10"/>
        </w:numPr>
        <w:spacing w:line="560" w:lineRule="exact"/>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无人机巡护专员专业技能要求</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系统掌握森林防火无人机飞行管理和森林火灾发生特点的相关理论基础知识，能够准确使用各类专业术语，做出火灾发展的初步判断，通过火灾情况分析，分类分级完成应急预案处置流程。</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（1）熟悉</w:t>
      </w:r>
      <w:r>
        <w:rPr>
          <w:rFonts w:hint="eastAsia" w:ascii="宋体" w:hAnsi="宋体" w:eastAsia="宋体" w:cs="宋体"/>
          <w:color w:val="auto"/>
          <w:sz w:val="24"/>
          <w:szCs w:val="24"/>
          <w:highlight w:val="none"/>
          <w:lang w:eastAsia="zh-CN"/>
        </w:rPr>
        <w:t>吉木萨尔分局</w:t>
      </w:r>
      <w:r>
        <w:rPr>
          <w:rFonts w:hint="eastAsia" w:ascii="宋体" w:hAnsi="宋体" w:eastAsia="宋体" w:cs="宋体"/>
          <w:color w:val="auto"/>
          <w:sz w:val="24"/>
          <w:szCs w:val="24"/>
          <w:highlight w:val="none"/>
        </w:rPr>
        <w:t>森林防火、野生动物保护等应急预案及相关管理办法；</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（2）初步分析起火原因及森林火灾类型判断；</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（3）正确使用火场部位专业术语；</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（4）准确识别林火种类和林火蔓延形状；</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（5）能够做出无人机安全影响因素判断；</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（6）收集和记录森林火灾情报；</w:t>
      </w:r>
    </w:p>
    <w:p>
      <w:pPr>
        <w:pStyle w:val="37"/>
        <w:widowControl/>
        <w:numPr>
          <w:ilvl w:val="0"/>
          <w:numId w:val="10"/>
        </w:numPr>
        <w:spacing w:line="560" w:lineRule="exact"/>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无人机巡护专员巡护管理要求</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（1）应急处置。熟悉应急预案分类分级处置流程，能够准确判断突发事件的类型及上报、处置标准，形成对应急事件的闭关管理流程。</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（2）航线规划。负责配合无人机驾驶员做好本辖区林班小班的巡护航线的规划工作。</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（3）巡护全程参与。负责与无人机驾驶员一同完成巡护任务。做好巡护过程的航线指导、监督、应急处突工作。</w:t>
      </w:r>
    </w:p>
    <w:p>
      <w:pPr>
        <w:widowControl/>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（4）人工巡护协调。负责与人工巡护组做好森林防火巡护无人机巡护与人工巡护在巡护面积、巡护时间、巡护任务等多方面的协调配合工作。</w:t>
      </w:r>
    </w:p>
    <w:p>
      <w:pPr>
        <w:widowControl/>
        <w:spacing w:line="560" w:lineRule="exact"/>
        <w:rPr>
          <w:rFonts w:hint="eastAsia" w:ascii="宋体" w:hAnsi="宋体" w:eastAsia="宋体" w:cs="宋体"/>
          <w:color w:val="auto"/>
          <w:sz w:val="24"/>
          <w:szCs w:val="24"/>
          <w:highlight w:val="none"/>
        </w:rPr>
      </w:pPr>
    </w:p>
    <w:p>
      <w:pPr>
        <w:pStyle w:val="3"/>
        <w:numPr>
          <w:ilvl w:val="0"/>
          <w:numId w:val="0"/>
        </w:numPr>
        <w:ind w:leftChars="0"/>
        <w:jc w:val="center"/>
        <w:rPr>
          <w:rFonts w:hint="eastAsia" w:ascii="宋体" w:hAnsi="宋体" w:eastAsia="宋体" w:cs="宋体"/>
          <w:color w:val="auto"/>
          <w:sz w:val="24"/>
          <w:szCs w:val="24"/>
          <w:highlight w:val="none"/>
        </w:rPr>
      </w:pPr>
      <w:bookmarkStart w:id="47" w:name="_Toc135919940"/>
      <w:r>
        <w:rPr>
          <w:rFonts w:hint="eastAsia" w:ascii="宋体" w:hAnsi="宋体" w:eastAsia="宋体" w:cs="宋体"/>
          <w:color w:val="auto"/>
          <w:sz w:val="24"/>
          <w:szCs w:val="24"/>
          <w:highlight w:val="none"/>
        </w:rPr>
        <w:t>第九章、项目实施设备配置要求</w:t>
      </w:r>
      <w:bookmarkEnd w:id="47"/>
    </w:p>
    <w:p>
      <w:pPr>
        <w:pStyle w:val="20"/>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9.1</w:t>
      </w:r>
      <w:r>
        <w:rPr>
          <w:rFonts w:hint="eastAsia" w:ascii="宋体" w:hAnsi="宋体" w:eastAsia="宋体" w:cs="宋体"/>
          <w:color w:val="auto"/>
          <w:spacing w:val="-26"/>
          <w:sz w:val="24"/>
          <w:szCs w:val="24"/>
          <w:highlight w:val="none"/>
        </w:rPr>
        <w:t>垂</w:t>
      </w:r>
      <w:r>
        <w:rPr>
          <w:rFonts w:hint="eastAsia" w:ascii="宋体" w:hAnsi="宋体" w:eastAsia="宋体" w:cs="宋体"/>
          <w:color w:val="auto"/>
          <w:spacing w:val="-24"/>
          <w:sz w:val="24"/>
          <w:szCs w:val="24"/>
          <w:highlight w:val="none"/>
        </w:rPr>
        <w:t xml:space="preserve"> 直 起 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2"/>
          <w:sz w:val="24"/>
          <w:szCs w:val="24"/>
          <w:highlight w:val="none"/>
        </w:rPr>
        <w:t>固</w:t>
      </w:r>
      <w:r>
        <w:rPr>
          <w:rFonts w:hint="eastAsia" w:ascii="宋体" w:hAnsi="宋体" w:eastAsia="宋体" w:cs="宋体"/>
          <w:color w:val="auto"/>
          <w:spacing w:val="-26"/>
          <w:sz w:val="24"/>
          <w:szCs w:val="24"/>
          <w:highlight w:val="none"/>
        </w:rPr>
        <w:t xml:space="preserve"> 定 翼 无</w:t>
      </w:r>
      <w:r>
        <w:rPr>
          <w:rFonts w:hint="eastAsia" w:ascii="宋体" w:hAnsi="宋体" w:eastAsia="宋体" w:cs="宋体"/>
          <w:color w:val="auto"/>
          <w:spacing w:val="6"/>
          <w:sz w:val="24"/>
          <w:szCs w:val="24"/>
          <w:highlight w:val="none"/>
        </w:rPr>
        <w:t>人</w:t>
      </w:r>
      <w:r>
        <w:rPr>
          <w:rFonts w:hint="eastAsia" w:ascii="宋体" w:hAnsi="宋体" w:eastAsia="宋体" w:cs="宋体"/>
          <w:color w:val="auto"/>
          <w:spacing w:val="5"/>
          <w:sz w:val="24"/>
          <w:szCs w:val="24"/>
          <w:highlight w:val="none"/>
        </w:rPr>
        <w:t>机系统</w:t>
      </w:r>
    </w:p>
    <w:p>
      <w:pPr>
        <w:pStyle w:val="37"/>
        <w:spacing w:line="360" w:lineRule="auto"/>
        <w:ind w:left="-2" w:leftChars="-1"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1.飞行平台：航空复合碳纤维材料机身,采用固定翼与多旋翼结合的复合翼机型设计；纯电动力系统；</w:t>
      </w:r>
    </w:p>
    <w:p>
      <w:pPr>
        <w:pStyle w:val="37"/>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2.翼展≥3.6m；</w:t>
      </w:r>
    </w:p>
    <w:p>
      <w:pPr>
        <w:pStyle w:val="37"/>
        <w:spacing w:line="360" w:lineRule="auto"/>
        <w:ind w:left="-2" w:leftChars="-1"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3.最大续航时间：≥3小时；</w:t>
      </w:r>
    </w:p>
    <w:p>
      <w:pPr>
        <w:pStyle w:val="37"/>
        <w:spacing w:line="360" w:lineRule="auto"/>
        <w:ind w:left="-2" w:leftChars="-1"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4.最大起飞重量≥25kg；</w:t>
      </w:r>
    </w:p>
    <w:p>
      <w:pPr>
        <w:pStyle w:val="37"/>
        <w:spacing w:line="360" w:lineRule="auto"/>
        <w:ind w:left="-2" w:leftChars="-1"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5.巡航速度≥90km/h；</w:t>
      </w:r>
    </w:p>
    <w:p>
      <w:pPr>
        <w:pStyle w:val="37"/>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6.海平面最大飞行速度≥120km/h；</w:t>
      </w:r>
    </w:p>
    <w:p>
      <w:pPr>
        <w:pStyle w:val="37"/>
        <w:spacing w:line="360" w:lineRule="auto"/>
        <w:ind w:left="-2" w:leftChars="-1"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7.最大爬升率：≥</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m/s；</w:t>
      </w:r>
    </w:p>
    <w:p>
      <w:pPr>
        <w:pStyle w:val="37"/>
        <w:spacing w:line="360" w:lineRule="auto"/>
        <w:ind w:left="-2" w:leftChars="-1"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8.飞行抗风能力：≥6级风；</w:t>
      </w:r>
    </w:p>
    <w:p>
      <w:pPr>
        <w:pStyle w:val="37"/>
        <w:spacing w:line="360" w:lineRule="auto"/>
        <w:ind w:left="-2" w:leftChars="-1"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9.防雨能力：</w:t>
      </w:r>
      <w:r>
        <w:rPr>
          <w:rFonts w:hint="eastAsia" w:ascii="宋体" w:hAnsi="宋体" w:eastAsia="宋体" w:cs="宋体"/>
          <w:color w:val="auto"/>
          <w:spacing w:val="-8"/>
          <w:sz w:val="24"/>
          <w:szCs w:val="24"/>
          <w:highlight w:val="none"/>
        </w:rPr>
        <w:t>中雨</w:t>
      </w:r>
      <w:r>
        <w:rPr>
          <w:rFonts w:hint="eastAsia" w:ascii="宋体" w:hAnsi="宋体" w:eastAsia="宋体" w:cs="宋体"/>
          <w:color w:val="auto"/>
          <w:sz w:val="24"/>
          <w:szCs w:val="24"/>
          <w:highlight w:val="none"/>
        </w:rPr>
        <w:t>；</w:t>
      </w:r>
    </w:p>
    <w:p>
      <w:pPr>
        <w:pStyle w:val="37"/>
        <w:spacing w:line="360" w:lineRule="auto"/>
        <w:ind w:left="-2" w:leftChars="-1"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10.最大平飞升限≥4000m；</w:t>
      </w:r>
    </w:p>
    <w:p>
      <w:pPr>
        <w:pStyle w:val="37"/>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11.采用RTK双定位系统，二个或多个气压高度传感器、姿态传感器和卫星导航定位传感器独立工作，互为备份；</w:t>
      </w:r>
    </w:p>
    <w:p>
      <w:pPr>
        <w:pStyle w:val="37"/>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13.图数传数据链：测控传输距离≥50km（通视条件下）；</w:t>
      </w:r>
    </w:p>
    <w:p>
      <w:pPr>
        <w:pStyle w:val="37"/>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地面站：支持多频多星，支持北斗、GPS系统；</w:t>
      </w:r>
    </w:p>
    <w:p>
      <w:pPr>
        <w:pStyle w:val="37"/>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0" distR="0">
            <wp:extent cx="5293995" cy="1299845"/>
            <wp:effectExtent l="0" t="0" r="9525" b="10795"/>
            <wp:docPr id="7171" name="图片 7171" descr="https://timgsa.baidu.com/timg?image&amp;quality=80&amp;size=b9999_10000&amp;sec=1605774054556&amp;di=9f74fc3bcbc57db44e94c6b0633fb0ed&amp;imgtype=0&amp;src=http%3A%2F%2F5b0988e595225.cdn.sohucs.com%2Fimages%2F20180922%2F7e3210b615d1469fa2a217c42e37f4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图片 7171" descr="https://timgsa.baidu.com/timg?image&amp;quality=80&amp;size=b9999_10000&amp;sec=1605774054556&amp;di=9f74fc3bcbc57db44e94c6b0633fb0ed&amp;imgtype=0&amp;src=http%3A%2F%2F5b0988e595225.cdn.sohucs.com%2Fimages%2F20180922%2F7e3210b615d1469fa2a217c42e37f4a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36042" cy="1310607"/>
                    </a:xfrm>
                    <a:prstGeom prst="rect">
                      <a:avLst/>
                    </a:prstGeom>
                    <a:noFill/>
                    <a:ln>
                      <a:noFill/>
                    </a:ln>
                  </pic:spPr>
                </pic:pic>
              </a:graphicData>
            </a:graphic>
          </wp:inline>
        </w:drawing>
      </w:r>
    </w:p>
    <w:p>
      <w:pPr>
        <w:pStyle w:val="37"/>
        <w:spacing w:line="360" w:lineRule="auto"/>
        <w:ind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火灾侦查</w:t>
      </w:r>
    </w:p>
    <w:p>
      <w:pPr>
        <w:pStyle w:val="20"/>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9.2</w:t>
      </w:r>
      <w:r>
        <w:rPr>
          <w:rFonts w:hint="eastAsia" w:ascii="宋体" w:hAnsi="宋体" w:eastAsia="宋体" w:cs="宋体"/>
          <w:color w:val="auto"/>
          <w:spacing w:val="-27"/>
          <w:sz w:val="24"/>
          <w:szCs w:val="24"/>
          <w:highlight w:val="none"/>
        </w:rPr>
        <w:t>多</w:t>
      </w:r>
      <w:r>
        <w:rPr>
          <w:rFonts w:hint="eastAsia" w:ascii="宋体" w:hAnsi="宋体" w:eastAsia="宋体" w:cs="宋体"/>
          <w:color w:val="auto"/>
          <w:spacing w:val="-25"/>
          <w:sz w:val="24"/>
          <w:szCs w:val="24"/>
          <w:highlight w:val="none"/>
        </w:rPr>
        <w:t xml:space="preserve"> 旋 翼 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人</w:t>
      </w:r>
      <w:r>
        <w:rPr>
          <w:rFonts w:hint="eastAsia" w:ascii="宋体" w:hAnsi="宋体" w:eastAsia="宋体" w:cs="宋体"/>
          <w:color w:val="auto"/>
          <w:spacing w:val="5"/>
          <w:sz w:val="24"/>
          <w:szCs w:val="24"/>
          <w:highlight w:val="none"/>
        </w:rPr>
        <w:t>机系统</w:t>
      </w:r>
    </w:p>
    <w:p>
      <w:pPr>
        <w:ind w:firstLine="480" w:firstLineChars="200"/>
        <w:rPr>
          <w:rFonts w:hint="eastAsia" w:ascii="宋体" w:hAnsi="宋体" w:eastAsia="宋体" w:cs="宋体"/>
          <w:color w:val="auto"/>
          <w:sz w:val="24"/>
          <w:szCs w:val="24"/>
          <w:highlight w:val="none"/>
        </w:rPr>
      </w:pPr>
      <w:bookmarkStart w:id="48" w:name="_Hlk116464846"/>
      <w:bookmarkEnd w:id="48"/>
      <w:r>
        <w:rPr>
          <w:rFonts w:hint="eastAsia" w:ascii="宋体" w:hAnsi="宋体" w:eastAsia="宋体" w:cs="宋体"/>
          <w:color w:val="auto"/>
          <w:sz w:val="24"/>
          <w:szCs w:val="24"/>
          <w:highlight w:val="none"/>
        </w:rPr>
        <w:t>以下是无人机的产品介绍、功能介绍和技术指标：</w:t>
      </w:r>
    </w:p>
    <w:p>
      <w:pPr>
        <w:pStyle w:val="37"/>
        <w:numPr>
          <w:ilvl w:val="0"/>
          <w:numId w:val="11"/>
        </w:numPr>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产品介绍：</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人机拥有卓越的飞行性能和稳定性，适用于各种复杂环境下的应用需求。无人机搭载了高精度的惯性导航系统和多种传感器，可实现自主飞行、定点悬停、精准航线飞行等多种飞行模式。同时，具备高度智能化的功能，可以实现自主障碍物避障、智能返航等操作。</w:t>
      </w:r>
    </w:p>
    <w:p>
      <w:pPr>
        <w:pStyle w:val="37"/>
        <w:numPr>
          <w:ilvl w:val="0"/>
          <w:numId w:val="11"/>
        </w:numPr>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功能介绍：</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（1）高精度飞控系统：采用了六轴陀螺仪和三轴加速度计，可实现高精度的飞行控制和姿态稳定。</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（2）多种飞行模式：支持手动、GPS定点悬停、智能返航、航线飞行、点选飞行等多种飞行模式，适用于各种复杂环境下的应用需求。</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（3）智能避障系统：搭载了多种传感器，如视觉传感器、激光雷达、超声波传感器等，可实现自主避障，提高了飞行安全性和稳定性。</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（4）高清图像传输系统：采用了高清图像传输系统，可实现实时高清图像传输和拍摄，提高了应用的实用性和效率。</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（5）长航时：搭载了高能量密度锂电池，可实现长达55分钟的飞行时间，满足长时间航拍和应用需求。</w:t>
      </w:r>
    </w:p>
    <w:p>
      <w:pPr>
        <w:pStyle w:val="37"/>
        <w:numPr>
          <w:ilvl w:val="0"/>
          <w:numId w:val="11"/>
        </w:numPr>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技术指标：</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（1）最大起飞重量：≥9.8kg</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（2）最大飞行速度：≥72km/h</w:t>
      </w:r>
    </w:p>
    <w:p>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（3）最大飞行高度：≥</w:t>
      </w:r>
      <w:r>
        <w:rPr>
          <w:rFonts w:hint="eastAsia" w:ascii="宋体" w:hAnsi="宋体" w:eastAsia="宋体" w:cs="宋体"/>
          <w:color w:val="auto"/>
          <w:sz w:val="24"/>
          <w:szCs w:val="24"/>
          <w:highlight w:val="none"/>
          <w:lang w:val="en-US" w:eastAsia="zh-CN"/>
        </w:rPr>
        <w:t>4000m</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（4）最大飞行时间：≥</w:t>
      </w:r>
      <w:r>
        <w:rPr>
          <w:rFonts w:hint="eastAsia" w:ascii="宋体" w:hAnsi="宋体" w:eastAsia="宋体" w:cs="宋体"/>
          <w:color w:val="auto"/>
          <w:sz w:val="24"/>
          <w:szCs w:val="24"/>
          <w:highlight w:val="none"/>
          <w:lang w:val="en-US" w:eastAsia="zh-CN"/>
        </w:rPr>
        <w:t>65</w:t>
      </w:r>
      <w:r>
        <w:rPr>
          <w:rFonts w:hint="eastAsia" w:ascii="宋体" w:hAnsi="宋体" w:eastAsia="宋体" w:cs="宋体"/>
          <w:color w:val="auto"/>
          <w:sz w:val="24"/>
          <w:szCs w:val="24"/>
          <w:highlight w:val="none"/>
        </w:rPr>
        <w:t>分钟</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（5）航程：≥15km</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（6）传输距离：≥10km</w:t>
      </w:r>
    </w:p>
    <w:p>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（7）最大载荷：≥2.7kg</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（8）支持的遥控器频率：2.400-2.483 GHz、5.725-5.850 GHz</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（9）支持的图像传输频率：2.400-2.483 GHz、5.725-5.850 GHz</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（10）支持的图像传输分辨率：720p/1080p</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（11）支持的操作系统：iOS、Android</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（12）支持的工作温度：-20℃至50℃</w:t>
      </w:r>
    </w:p>
    <w:p>
      <w:pPr>
        <w:pStyle w:val="20"/>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 xml:space="preserve">9.3 </w:t>
      </w:r>
      <w:r>
        <w:rPr>
          <w:rFonts w:hint="eastAsia" w:ascii="宋体" w:hAnsi="宋体" w:eastAsia="宋体" w:cs="宋体"/>
          <w:color w:val="auto"/>
          <w:spacing w:val="-30"/>
          <w:sz w:val="24"/>
          <w:szCs w:val="24"/>
          <w:highlight w:val="none"/>
        </w:rPr>
        <w:t>重</w:t>
      </w:r>
      <w:r>
        <w:rPr>
          <w:rFonts w:hint="eastAsia" w:ascii="宋体" w:hAnsi="宋体" w:eastAsia="宋体" w:cs="宋体"/>
          <w:color w:val="auto"/>
          <w:spacing w:val="-24"/>
          <w:sz w:val="24"/>
          <w:szCs w:val="24"/>
          <w:highlight w:val="none"/>
        </w:rPr>
        <w:t xml:space="preserve"> 载 多 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7"/>
          <w:sz w:val="24"/>
          <w:szCs w:val="24"/>
          <w:highlight w:val="none"/>
        </w:rPr>
        <w:t>翼</w:t>
      </w:r>
      <w:r>
        <w:rPr>
          <w:rFonts w:hint="eastAsia" w:ascii="宋体" w:hAnsi="宋体" w:eastAsia="宋体" w:cs="宋体"/>
          <w:color w:val="auto"/>
          <w:spacing w:val="-26"/>
          <w:sz w:val="24"/>
          <w:szCs w:val="24"/>
          <w:highlight w:val="none"/>
        </w:rPr>
        <w:t xml:space="preserve"> 无 人 机</w:t>
      </w:r>
      <w:r>
        <w:rPr>
          <w:rFonts w:hint="eastAsia" w:ascii="宋体" w:hAnsi="宋体" w:eastAsia="宋体" w:cs="宋体"/>
          <w:color w:val="auto"/>
          <w:spacing w:val="-3"/>
          <w:sz w:val="24"/>
          <w:szCs w:val="24"/>
          <w:highlight w:val="none"/>
        </w:rPr>
        <w:t>系</w:t>
      </w:r>
      <w:r>
        <w:rPr>
          <w:rFonts w:hint="eastAsia" w:ascii="宋体" w:hAnsi="宋体" w:eastAsia="宋体" w:cs="宋体"/>
          <w:color w:val="auto"/>
          <w:spacing w:val="-2"/>
          <w:sz w:val="24"/>
          <w:szCs w:val="24"/>
          <w:highlight w:val="none"/>
        </w:rPr>
        <w:t>统</w:t>
      </w:r>
    </w:p>
    <w:p>
      <w:pPr>
        <w:pStyle w:val="37"/>
        <w:numPr>
          <w:ilvl w:val="0"/>
          <w:numId w:val="12"/>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八轴八旋翼结构，纯电动力系统。</w:t>
      </w:r>
    </w:p>
    <w:p>
      <w:pPr>
        <w:pStyle w:val="37"/>
        <w:numPr>
          <w:ilvl w:val="0"/>
          <w:numId w:val="12"/>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标准载荷：≥50公斤，最大载荷：≥</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公斤。</w:t>
      </w:r>
    </w:p>
    <w:p>
      <w:pPr>
        <w:pStyle w:val="37"/>
        <w:numPr>
          <w:ilvl w:val="0"/>
          <w:numId w:val="12"/>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空载留空时间不小于</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分钟；载荷留空时间不小于25分钟。</w:t>
      </w:r>
    </w:p>
    <w:p>
      <w:pPr>
        <w:pStyle w:val="37"/>
        <w:numPr>
          <w:ilvl w:val="0"/>
          <w:numId w:val="12"/>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设计有发射挂载装置，航空灭火弹挂载于发射装置上，且有二级物理安全解保机构，保证灭火弹在无人飞行平台飞行过程中不会脱离发射装置。</w:t>
      </w:r>
    </w:p>
    <w:p>
      <w:pPr>
        <w:pStyle w:val="37"/>
        <w:numPr>
          <w:ilvl w:val="0"/>
          <w:numId w:val="12"/>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无人飞行平台挂载任务：最大9枚4公斤/5枚10公斤灭火弹，针对半径5km范围区域内的火灾实施消防灭火及救援物资投送作业。具有发射、投放瞄准系统。</w:t>
      </w:r>
    </w:p>
    <w:p>
      <w:pPr>
        <w:pStyle w:val="37"/>
        <w:numPr>
          <w:ilvl w:val="0"/>
          <w:numId w:val="12"/>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可携带≥10KG/枚直投式应急救援弹，并可实现依次连续投放；可携带≥4KG/枚水平发射式应急救援弹，并可实现依次连续发射，有效射程20-25m。</w:t>
      </w:r>
    </w:p>
    <w:p>
      <w:pPr>
        <w:pStyle w:val="37"/>
        <w:numPr>
          <w:ilvl w:val="0"/>
          <w:numId w:val="12"/>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航电系统：飞控系统全国产化自主可控（提供飞腾信息或龙芯中科认证证明文件）；采用RTK双定位系统，二个或多个气压高度传感器、姿态传感器和卫星导航定位传感器独立工作，互为备份。</w:t>
      </w:r>
    </w:p>
    <w:p>
      <w:pPr>
        <w:pStyle w:val="20"/>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9.4 三光吊舱</w:t>
      </w:r>
    </w:p>
    <w:p>
      <w:pPr>
        <w:pStyle w:val="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9.4.1 三光: 可见光、热成像、激光；</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可实现水平 360°、垂直120°全方位监控；</w:t>
      </w:r>
    </w:p>
    <w:p>
      <w:pPr>
        <w:pStyle w:val="37"/>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数据存储最大容量 ≥256GB；</w:t>
      </w:r>
    </w:p>
    <w:p>
      <w:pPr>
        <w:pStyle w:val="37"/>
        <w:numPr>
          <w:ilvl w:val="0"/>
          <w:numId w:val="13"/>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可见光镜头参数；</w:t>
      </w:r>
    </w:p>
    <w:p>
      <w:pPr>
        <w:pStyle w:val="37"/>
        <w:spacing w:line="360" w:lineRule="auto"/>
        <w:ind w:left="42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传感器:CMOS1/2.8"</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镜头:30 倍光学变焦，f4.3mm ~129mm；</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光圈:F1.6~F4.7;</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数字变焦:12 倍数字变焦；</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图像质量:1080P；</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最低照度:0.01Lux；</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信噪比: ≥50db；</w:t>
      </w:r>
    </w:p>
    <w:p>
      <w:pPr>
        <w:pStyle w:val="37"/>
        <w:spacing w:line="360" w:lineRule="auto"/>
        <w:ind w:left="420" w:leftChars="20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调焦系统:自动，一键自动对焦，自动，间隔自动对焦变焦触发自动对焦，ICR 对焦补偿；</w:t>
      </w:r>
    </w:p>
    <w:p>
      <w:pPr>
        <w:pStyle w:val="37"/>
        <w:spacing w:line="360" w:lineRule="auto"/>
        <w:ind w:left="420" w:leftChars="20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视场角: 63.6-2.3°。</w:t>
      </w:r>
    </w:p>
    <w:p>
      <w:pPr>
        <w:pStyle w:val="37"/>
        <w:numPr>
          <w:ilvl w:val="0"/>
          <w:numId w:val="13"/>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热成像镜头参数:</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工作方式:非制冷 8~14um 热像仪;探测器像素:640x480；</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探测距离: ≥500m；</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像元大小:17um；</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调焦方式: 无热化免调焦；</w:t>
      </w:r>
    </w:p>
    <w:p>
      <w:pPr>
        <w:pStyle w:val="37"/>
        <w:spacing w:line="360" w:lineRule="auto"/>
        <w:ind w:left="420" w:leftChars="20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发射率校正:发射率 0.01~1 可调；</w:t>
      </w:r>
    </w:p>
    <w:p>
      <w:pPr>
        <w:pStyle w:val="37"/>
        <w:spacing w:line="360" w:lineRule="auto"/>
        <w:ind w:left="420" w:leftChars="20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NETD(热灵敏度/噪声等效温差):≤50mK ( @25C ) ；</w:t>
      </w:r>
    </w:p>
    <w:p>
      <w:pPr>
        <w:pStyle w:val="37"/>
        <w:spacing w:line="360" w:lineRule="auto"/>
        <w:ind w:left="420" w:leftChars="20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MRTD(最口可分辨温差): ≤ 650mK(特征频率下)；</w:t>
      </w:r>
    </w:p>
    <w:p>
      <w:pPr>
        <w:pStyle w:val="37"/>
        <w:spacing w:line="360" w:lineRule="auto"/>
        <w:ind w:left="420" w:leftChars="20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图像增强:自动调节图像亮度和对比度；</w:t>
      </w:r>
    </w:p>
    <w:p>
      <w:pPr>
        <w:pStyle w:val="37"/>
        <w:spacing w:line="360" w:lineRule="auto"/>
        <w:ind w:left="420" w:leftChars="20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调色板:黑热、白热、伪彩；</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自动非均匀校正功能: 支持；</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电子倍焦:2X4X；</w:t>
      </w:r>
    </w:p>
    <w:p>
      <w:pPr>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同步对时功能: 支持；</w:t>
      </w:r>
    </w:p>
    <w:p>
      <w:pPr>
        <w:pStyle w:val="37"/>
        <w:spacing w:line="360" w:lineRule="auto"/>
        <w:ind w:left="420" w:leftChars="20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测温模式: 温度条(伪彩显示 ) 最高温、最低温、视场中心温度；</w:t>
      </w:r>
    </w:p>
    <w:p>
      <w:pPr>
        <w:pStyle w:val="37"/>
        <w:spacing w:line="360" w:lineRule="auto"/>
        <w:ind w:left="420" w:leftChars="20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温度预警预警温度-20C ~120C；</w:t>
      </w:r>
    </w:p>
    <w:p>
      <w:pPr>
        <w:pStyle w:val="37"/>
        <w:numPr>
          <w:ilvl w:val="0"/>
          <w:numId w:val="13"/>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激光测距镜头:距离:5-1500m;</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分辨率:0.5m;</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工作电流:80mA;</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发射光束:905nm 脉冲激光;</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发射角:3 豪弧度;</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激光脉冲频率:1Hz;功率:&lt;1mW;</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测距方式:脉冲方式;</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数据刷新率:25Hz;</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输出延时滞后:&lt;3ms;</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跟踪速度: ±32 像素/场</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目标记忆时间:4s;</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目标尺寸:16x16~128x128;</w:t>
      </w:r>
    </w:p>
    <w:p>
      <w:pPr>
        <w:pStyle w:val="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9.4.2 吊舱设备</w:t>
      </w:r>
    </w:p>
    <w:p>
      <w:pPr>
        <w:pStyle w:val="37"/>
        <w:numPr>
          <w:ilvl w:val="0"/>
          <w:numId w:val="14"/>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喊话吊舱</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可远程喊话，声音扩散远，无线喊话距离≥2000m，功率≥100W，可播放多种预设声音和报警声音。</w:t>
      </w:r>
    </w:p>
    <w:p>
      <w:pPr>
        <w:pStyle w:val="37"/>
        <w:numPr>
          <w:ilvl w:val="0"/>
          <w:numId w:val="14"/>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正射影像吊舱</w:t>
      </w:r>
    </w:p>
    <w:p>
      <w:pPr>
        <w:pStyle w:val="2"/>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传感器类型:全画幅 (35.9*24mm ) ExmorRCMOS；</w:t>
      </w:r>
    </w:p>
    <w:p>
      <w:pPr>
        <w:pStyle w:val="2"/>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像素: 2000 万像素；</w:t>
      </w:r>
    </w:p>
    <w:p>
      <w:pPr>
        <w:pStyle w:val="2"/>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数码变焦: 4 倍；</w:t>
      </w:r>
    </w:p>
    <w:p>
      <w:pPr>
        <w:pStyle w:val="2"/>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防抖性能: 五轴防抖。</w:t>
      </w:r>
    </w:p>
    <w:p>
      <w:pPr>
        <w:pStyle w:val="37"/>
        <w:numPr>
          <w:ilvl w:val="0"/>
          <w:numId w:val="14"/>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倾斜摄影吊舱</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单像素镜头: 2430 万；</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曝光间隔: 0.8s；</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总像素: 12150 万；</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图像分辨率: 6000*4000；</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测图分辨率: &gt; 1.5cm；</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测量镜头: 1个正射、4 个倾斜；</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镜头:正射: 20mm*1;倾斜: 35mm*4；</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数据存储: 80GB。</w:t>
      </w:r>
    </w:p>
    <w:p>
      <w:pPr>
        <w:pStyle w:val="37"/>
        <w:numPr>
          <w:ilvl w:val="0"/>
          <w:numId w:val="14"/>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灭火弹抛投吊舱</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控制方式: 远程控制发射、投掷；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灭火剂充装量: &gt;5kg；</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灭火剂种类: 水基或干粉；</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触发方式: 热触发或空爆。</w:t>
      </w:r>
    </w:p>
    <w:p>
      <w:pPr>
        <w:pStyle w:val="37"/>
        <w:numPr>
          <w:ilvl w:val="0"/>
          <w:numId w:val="14"/>
        </w:numPr>
        <w:spacing w:line="360" w:lineRule="auto"/>
        <w:ind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物资投送吊舱</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可挂载重量: &gt;50kg。</w:t>
      </w:r>
    </w:p>
    <w:p>
      <w:pPr>
        <w:spacing w:before="195" w:line="221" w:lineRule="auto"/>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pacing w:val="1"/>
          <w:sz w:val="24"/>
          <w:szCs w:val="24"/>
          <w:highlight w:val="none"/>
          <w:lang w:val="en-US" w:eastAsia="zh-CN"/>
        </w:rPr>
        <w:t>9.4.3</w:t>
      </w:r>
      <w:r>
        <w:rPr>
          <w:rFonts w:hint="eastAsia" w:ascii="宋体" w:hAnsi="宋体" w:eastAsia="宋体" w:cs="宋体"/>
          <w:b/>
          <w:bCs/>
          <w:color w:val="auto"/>
          <w:spacing w:val="1"/>
          <w:sz w:val="24"/>
          <w:szCs w:val="24"/>
          <w:highlight w:val="none"/>
        </w:rPr>
        <w:t>软件</w:t>
      </w:r>
      <w:r>
        <w:rPr>
          <w:rFonts w:hint="eastAsia" w:ascii="宋体" w:hAnsi="宋体" w:eastAsia="宋体" w:cs="宋体"/>
          <w:b/>
          <w:bCs/>
          <w:color w:val="auto"/>
          <w:sz w:val="24"/>
          <w:szCs w:val="24"/>
          <w:highlight w:val="none"/>
        </w:rPr>
        <w:t>系统要求</w:t>
      </w:r>
    </w:p>
    <w:p>
      <w:pPr>
        <w:spacing w:before="191" w:line="409" w:lineRule="exact"/>
        <w:ind w:left="690"/>
        <w:outlineLvl w:val="2"/>
        <w:rPr>
          <w:rFonts w:hint="eastAsia" w:ascii="宋体" w:hAnsi="宋体" w:eastAsia="宋体" w:cs="宋体"/>
          <w:color w:val="auto"/>
          <w:sz w:val="24"/>
          <w:szCs w:val="24"/>
          <w:highlight w:val="none"/>
        </w:rPr>
      </w:pPr>
      <w:r>
        <w:rPr>
          <w:rFonts w:hint="eastAsia" w:ascii="宋体" w:hAnsi="宋体" w:eastAsia="宋体" w:cs="宋体"/>
          <w:color w:val="auto"/>
          <w:spacing w:val="3"/>
          <w:position w:val="2"/>
          <w:sz w:val="24"/>
          <w:szCs w:val="24"/>
          <w:highlight w:val="none"/>
        </w:rPr>
        <w:t>1</w:t>
      </w:r>
      <w:r>
        <w:rPr>
          <w:rFonts w:hint="eastAsia" w:ascii="宋体" w:hAnsi="宋体" w:eastAsia="宋体" w:cs="宋体"/>
          <w:color w:val="auto"/>
          <w:spacing w:val="2"/>
          <w:position w:val="2"/>
          <w:sz w:val="24"/>
          <w:szCs w:val="24"/>
          <w:highlight w:val="none"/>
        </w:rPr>
        <w:t>.系统架构</w:t>
      </w:r>
    </w:p>
    <w:p>
      <w:pPr>
        <w:spacing w:before="147" w:line="334" w:lineRule="auto"/>
        <w:ind w:left="30" w:firstLine="64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软件系统可基于公</w:t>
      </w:r>
      <w:r>
        <w:rPr>
          <w:rFonts w:hint="eastAsia" w:ascii="宋体" w:hAnsi="宋体" w:eastAsia="宋体" w:cs="宋体"/>
          <w:color w:val="auto"/>
          <w:sz w:val="24"/>
          <w:szCs w:val="24"/>
          <w:highlight w:val="none"/>
        </w:rPr>
        <w:t xml:space="preserve">有云或私有服务器部署， 利用大数据、 </w:t>
      </w:r>
      <w:r>
        <w:rPr>
          <w:rFonts w:hint="eastAsia" w:ascii="宋体" w:hAnsi="宋体" w:eastAsia="宋体" w:cs="宋体"/>
          <w:color w:val="auto"/>
          <w:spacing w:val="4"/>
          <w:sz w:val="24"/>
          <w:szCs w:val="24"/>
          <w:highlight w:val="none"/>
        </w:rPr>
        <w:t>云计算等技术处</w:t>
      </w:r>
      <w:r>
        <w:rPr>
          <w:rFonts w:hint="eastAsia" w:ascii="宋体" w:hAnsi="宋体" w:eastAsia="宋体" w:cs="宋体"/>
          <w:color w:val="auto"/>
          <w:spacing w:val="3"/>
          <w:sz w:val="24"/>
          <w:szCs w:val="24"/>
          <w:highlight w:val="none"/>
        </w:rPr>
        <w:t>理</w:t>
      </w:r>
      <w:r>
        <w:rPr>
          <w:rFonts w:hint="eastAsia" w:ascii="宋体" w:hAnsi="宋体" w:eastAsia="宋体" w:cs="宋体"/>
          <w:color w:val="auto"/>
          <w:spacing w:val="2"/>
          <w:sz w:val="24"/>
          <w:szCs w:val="24"/>
          <w:highlight w:val="none"/>
        </w:rPr>
        <w:t>数据， 对无人机、传感器和第三方接入数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4"/>
          <w:sz w:val="24"/>
          <w:szCs w:val="24"/>
          <w:highlight w:val="none"/>
        </w:rPr>
        <w:t>据</w:t>
      </w:r>
      <w:r>
        <w:rPr>
          <w:rFonts w:hint="eastAsia" w:ascii="宋体" w:hAnsi="宋体" w:eastAsia="宋体" w:cs="宋体"/>
          <w:color w:val="auto"/>
          <w:spacing w:val="8"/>
          <w:sz w:val="24"/>
          <w:szCs w:val="24"/>
          <w:highlight w:val="none"/>
        </w:rPr>
        <w:t>进行管理分析，实现可视化的界面展示。</w:t>
      </w:r>
    </w:p>
    <w:p>
      <w:pPr>
        <w:spacing w:line="409" w:lineRule="exact"/>
        <w:ind w:left="670"/>
        <w:outlineLvl w:val="2"/>
        <w:rPr>
          <w:rFonts w:hint="eastAsia" w:ascii="宋体" w:hAnsi="宋体" w:eastAsia="宋体" w:cs="宋体"/>
          <w:color w:val="auto"/>
          <w:sz w:val="24"/>
          <w:szCs w:val="24"/>
          <w:highlight w:val="none"/>
        </w:rPr>
      </w:pPr>
      <w:bookmarkStart w:id="49" w:name="_bookmark24"/>
      <w:bookmarkEnd w:id="49"/>
      <w:r>
        <w:rPr>
          <w:rFonts w:hint="eastAsia" w:ascii="宋体" w:hAnsi="宋体" w:eastAsia="宋体" w:cs="宋体"/>
          <w:color w:val="auto"/>
          <w:spacing w:val="8"/>
          <w:position w:val="2"/>
          <w:sz w:val="24"/>
          <w:szCs w:val="24"/>
          <w:highlight w:val="none"/>
        </w:rPr>
        <w:t>2</w:t>
      </w:r>
      <w:r>
        <w:rPr>
          <w:rFonts w:hint="eastAsia" w:ascii="宋体" w:hAnsi="宋体" w:eastAsia="宋体" w:cs="宋体"/>
          <w:color w:val="auto"/>
          <w:spacing w:val="5"/>
          <w:position w:val="2"/>
          <w:sz w:val="24"/>
          <w:szCs w:val="24"/>
          <w:highlight w:val="none"/>
        </w:rPr>
        <w:t>.大屏展示</w:t>
      </w:r>
    </w:p>
    <w:p>
      <w:pPr>
        <w:spacing w:before="147" w:line="334" w:lineRule="auto"/>
        <w:ind w:left="23" w:right="256" w:firstLine="65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软件系统在 2</w:t>
      </w:r>
      <w:r>
        <w:rPr>
          <w:rFonts w:hint="eastAsia" w:ascii="宋体" w:hAnsi="宋体" w:eastAsia="宋体" w:cs="宋体"/>
          <w:color w:val="auto"/>
          <w:sz w:val="24"/>
          <w:szCs w:val="24"/>
          <w:highlight w:val="none"/>
        </w:rPr>
        <w:t>D</w:t>
      </w:r>
      <w:r>
        <w:rPr>
          <w:rFonts w:hint="eastAsia" w:ascii="宋体" w:hAnsi="宋体" w:eastAsia="宋体" w:cs="宋体"/>
          <w:color w:val="auto"/>
          <w:spacing w:val="8"/>
          <w:sz w:val="24"/>
          <w:szCs w:val="24"/>
          <w:highlight w:val="none"/>
        </w:rPr>
        <w:t xml:space="preserve"> 和卫星地图上实时显示当前工作无人</w:t>
      </w:r>
      <w:r>
        <w:rPr>
          <w:rFonts w:hint="eastAsia" w:ascii="宋体" w:hAnsi="宋体" w:eastAsia="宋体" w:cs="宋体"/>
          <w:color w:val="auto"/>
          <w:spacing w:val="6"/>
          <w:sz w:val="24"/>
          <w:szCs w:val="24"/>
          <w:highlight w:val="none"/>
        </w:rPr>
        <w:t>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的飞行轨迹、 实时监测</w:t>
      </w:r>
      <w:r>
        <w:rPr>
          <w:rFonts w:hint="eastAsia" w:ascii="宋体" w:hAnsi="宋体" w:eastAsia="宋体" w:cs="宋体"/>
          <w:color w:val="auto"/>
          <w:spacing w:val="-2"/>
          <w:sz w:val="24"/>
          <w:szCs w:val="24"/>
          <w:highlight w:val="none"/>
        </w:rPr>
        <w:t>画面、 人工智能识别要素、飞行器状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态信息等，可以远程指挥调度无人机，实现地面控制站和</w:t>
      </w:r>
      <w:r>
        <w:rPr>
          <w:rFonts w:hint="eastAsia" w:ascii="宋体" w:hAnsi="宋体" w:eastAsia="宋体" w:cs="宋体"/>
          <w:color w:val="auto"/>
          <w:spacing w:val="8"/>
          <w:sz w:val="24"/>
          <w:szCs w:val="24"/>
          <w:highlight w:val="none"/>
        </w:rPr>
        <w:t>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挥中心通信畅通，实现多架无人机的视频和飞行数据远程同</w:t>
      </w:r>
      <w:r>
        <w:rPr>
          <w:rFonts w:hint="eastAsia" w:ascii="宋体" w:hAnsi="宋体" w:eastAsia="宋体" w:cs="宋体"/>
          <w:color w:val="auto"/>
          <w:sz w:val="24"/>
          <w:szCs w:val="24"/>
          <w:highlight w:val="none"/>
        </w:rPr>
        <w:t xml:space="preserve"> </w:t>
      </w:r>
      <w:bookmarkStart w:id="50" w:name="_bookmark25"/>
      <w:bookmarkEnd w:id="50"/>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7"/>
          <w:sz w:val="24"/>
          <w:szCs w:val="24"/>
          <w:highlight w:val="none"/>
        </w:rPr>
        <w:t>接入。</w:t>
      </w:r>
    </w:p>
    <w:p>
      <w:pPr>
        <w:spacing w:line="224" w:lineRule="auto"/>
        <w:ind w:left="672"/>
        <w:outlineLvl w:val="2"/>
        <w:rPr>
          <w:rFonts w:hint="eastAsia" w:ascii="宋体" w:hAnsi="宋体" w:eastAsia="宋体" w:cs="宋体"/>
          <w:color w:val="auto"/>
          <w:sz w:val="24"/>
          <w:szCs w:val="24"/>
          <w:highlight w:val="none"/>
        </w:rPr>
      </w:pPr>
      <w:r>
        <w:rPr>
          <w:rFonts w:hint="eastAsia" w:ascii="宋体" w:hAnsi="宋体" w:eastAsia="宋体" w:cs="宋体"/>
          <w:color w:val="auto"/>
          <w:spacing w:val="-11"/>
          <w:sz w:val="24"/>
          <w:szCs w:val="24"/>
          <w:highlight w:val="none"/>
        </w:rPr>
        <w:t>3</w:t>
      </w:r>
      <w:r>
        <w:rPr>
          <w:rFonts w:hint="eastAsia" w:ascii="宋体" w:hAnsi="宋体" w:eastAsia="宋体" w:cs="宋体"/>
          <w:color w:val="auto"/>
          <w:spacing w:val="-8"/>
          <w:sz w:val="24"/>
          <w:szCs w:val="24"/>
          <w:highlight w:val="none"/>
        </w:rPr>
        <w:t xml:space="preserve"> 任务管理</w:t>
      </w:r>
    </w:p>
    <w:p>
      <w:pPr>
        <w:spacing w:before="185" w:line="333" w:lineRule="auto"/>
        <w:ind w:left="29" w:right="172" w:firstLine="64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对飞行区域、飞行时间、飞行人员和使用设备进行</w:t>
      </w:r>
      <w:r>
        <w:rPr>
          <w:rFonts w:hint="eastAsia" w:ascii="宋体" w:hAnsi="宋体" w:eastAsia="宋体" w:cs="宋体"/>
          <w:color w:val="auto"/>
          <w:sz w:val="24"/>
          <w:szCs w:val="24"/>
          <w:highlight w:val="none"/>
        </w:rPr>
        <w:t xml:space="preserve">申请， </w:t>
      </w:r>
      <w:r>
        <w:rPr>
          <w:rFonts w:hint="eastAsia" w:ascii="宋体" w:hAnsi="宋体" w:eastAsia="宋体" w:cs="宋体"/>
          <w:color w:val="auto"/>
          <w:sz w:val="24"/>
          <w:szCs w:val="24"/>
          <w:highlight w:val="none"/>
          <w:lang w:val="en-US" w:eastAsia="zh-CN"/>
        </w:rPr>
        <w:t>由</w:t>
      </w:r>
      <w:r>
        <w:rPr>
          <w:rFonts w:hint="eastAsia" w:ascii="宋体" w:hAnsi="宋体" w:eastAsia="宋体" w:cs="宋体"/>
          <w:color w:val="auto"/>
          <w:sz w:val="24"/>
          <w:szCs w:val="24"/>
          <w:highlight w:val="none"/>
        </w:rPr>
        <w:t>天东林管局吉木萨尔分局</w:t>
      </w:r>
      <w:r>
        <w:rPr>
          <w:rFonts w:hint="eastAsia" w:ascii="宋体" w:hAnsi="宋体" w:eastAsia="宋体" w:cs="宋体"/>
          <w:color w:val="auto"/>
          <w:spacing w:val="12"/>
          <w:sz w:val="24"/>
          <w:szCs w:val="24"/>
          <w:highlight w:val="none"/>
        </w:rPr>
        <w:t>确认后即可进行飞行作业；记录任务执行时间、地点，</w:t>
      </w:r>
      <w:r>
        <w:rPr>
          <w:rFonts w:hint="eastAsia" w:ascii="宋体" w:hAnsi="宋体" w:eastAsia="宋体" w:cs="宋体"/>
          <w:color w:val="auto"/>
          <w:spacing w:val="16"/>
          <w:sz w:val="24"/>
          <w:szCs w:val="24"/>
          <w:highlight w:val="none"/>
        </w:rPr>
        <w:t>任</w:t>
      </w:r>
      <w:r>
        <w:rPr>
          <w:rFonts w:hint="eastAsia" w:ascii="宋体" w:hAnsi="宋体" w:eastAsia="宋体" w:cs="宋体"/>
          <w:color w:val="auto"/>
          <w:spacing w:val="12"/>
          <w:sz w:val="24"/>
          <w:szCs w:val="24"/>
          <w:highlight w:val="none"/>
        </w:rPr>
        <w:t>务</w:t>
      </w:r>
      <w:r>
        <w:rPr>
          <w:rFonts w:hint="eastAsia" w:ascii="宋体" w:hAnsi="宋体" w:eastAsia="宋体" w:cs="宋体"/>
          <w:color w:val="auto"/>
          <w:spacing w:val="8"/>
          <w:sz w:val="24"/>
          <w:szCs w:val="24"/>
          <w:highlight w:val="none"/>
        </w:rPr>
        <w:t>执行情况等要素；支持多个任务并行管理。</w:t>
      </w:r>
    </w:p>
    <w:p>
      <w:pPr>
        <w:spacing w:before="1" w:line="241" w:lineRule="auto"/>
        <w:ind w:left="665"/>
        <w:outlineLvl w:val="2"/>
        <w:rPr>
          <w:rFonts w:hint="eastAsia" w:ascii="宋体" w:hAnsi="宋体" w:eastAsia="宋体" w:cs="宋体"/>
          <w:color w:val="auto"/>
          <w:sz w:val="24"/>
          <w:szCs w:val="24"/>
          <w:highlight w:val="none"/>
        </w:rPr>
      </w:pPr>
      <w:bookmarkStart w:id="51" w:name="_bookmark26"/>
      <w:bookmarkEnd w:id="51"/>
      <w:r>
        <w:rPr>
          <w:rFonts w:hint="eastAsia" w:ascii="宋体" w:hAnsi="宋体" w:eastAsia="宋体" w:cs="宋体"/>
          <w:color w:val="auto"/>
          <w:spacing w:val="12"/>
          <w:sz w:val="24"/>
          <w:szCs w:val="24"/>
          <w:highlight w:val="none"/>
        </w:rPr>
        <w:t>4</w:t>
      </w:r>
      <w:r>
        <w:rPr>
          <w:rFonts w:hint="eastAsia" w:ascii="宋体" w:hAnsi="宋体" w:eastAsia="宋体" w:cs="宋体"/>
          <w:color w:val="auto"/>
          <w:spacing w:val="7"/>
          <w:sz w:val="24"/>
          <w:szCs w:val="24"/>
          <w:highlight w:val="none"/>
        </w:rPr>
        <w:t>.作业自动化等级</w:t>
      </w:r>
    </w:p>
    <w:p>
      <w:pPr>
        <w:spacing w:before="157" w:line="592" w:lineRule="exact"/>
        <w:ind w:left="677"/>
        <w:rPr>
          <w:rFonts w:hint="eastAsia" w:ascii="宋体" w:hAnsi="宋体" w:eastAsia="宋体" w:cs="宋体"/>
          <w:color w:val="auto"/>
          <w:spacing w:val="-3"/>
          <w:sz w:val="24"/>
          <w:szCs w:val="24"/>
          <w:highlight w:val="none"/>
        </w:rPr>
      </w:pPr>
      <w:r>
        <w:rPr>
          <w:rFonts w:hint="eastAsia" w:ascii="宋体" w:hAnsi="宋体" w:eastAsia="宋体" w:cs="宋体"/>
          <w:color w:val="auto"/>
          <w:spacing w:val="-1"/>
          <w:position w:val="21"/>
          <w:sz w:val="24"/>
          <w:szCs w:val="24"/>
          <w:highlight w:val="none"/>
        </w:rPr>
        <w:t>软件</w:t>
      </w:r>
      <w:r>
        <w:rPr>
          <w:rFonts w:hint="eastAsia" w:ascii="宋体" w:hAnsi="宋体" w:eastAsia="宋体" w:cs="宋体"/>
          <w:color w:val="auto"/>
          <w:position w:val="21"/>
          <w:sz w:val="24"/>
          <w:szCs w:val="24"/>
          <w:highlight w:val="none"/>
        </w:rPr>
        <w:t>系统自动化飞行作业应符合表 2 要求。</w:t>
      </w:r>
    </w:p>
    <w:p>
      <w:pPr>
        <w:spacing w:before="1" w:line="214" w:lineRule="auto"/>
        <w:ind w:left="256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表</w:t>
      </w:r>
      <w:r>
        <w:rPr>
          <w:rFonts w:hint="eastAsia" w:ascii="宋体" w:hAnsi="宋体" w:eastAsia="宋体" w:cs="宋体"/>
          <w:color w:val="auto"/>
          <w:spacing w:val="-2"/>
          <w:sz w:val="24"/>
          <w:szCs w:val="24"/>
          <w:highlight w:val="none"/>
        </w:rPr>
        <w:t xml:space="preserve"> 2 自动化飞行作业等级</w:t>
      </w:r>
    </w:p>
    <w:tbl>
      <w:tblPr>
        <w:tblStyle w:val="95"/>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0"/>
        <w:gridCol w:w="58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2430" w:type="dxa"/>
            <w:vAlign w:val="top"/>
          </w:tcPr>
          <w:p>
            <w:pPr>
              <w:spacing w:before="182" w:line="224" w:lineRule="auto"/>
              <w:ind w:left="77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级别</w:t>
            </w:r>
          </w:p>
        </w:tc>
        <w:tc>
          <w:tcPr>
            <w:tcW w:w="5872" w:type="dxa"/>
            <w:vAlign w:val="top"/>
          </w:tcPr>
          <w:p>
            <w:pPr>
              <w:spacing w:before="180" w:line="224" w:lineRule="auto"/>
              <w:ind w:left="81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自动化等</w:t>
            </w:r>
            <w:r>
              <w:rPr>
                <w:rFonts w:hint="eastAsia" w:ascii="宋体" w:hAnsi="宋体" w:eastAsia="宋体" w:cs="宋体"/>
                <w:color w:val="auto"/>
                <w:sz w:val="24"/>
                <w:szCs w:val="24"/>
                <w:highlight w:val="none"/>
              </w:rPr>
              <w:t>级描述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2430" w:type="dxa"/>
            <w:vAlign w:val="top"/>
          </w:tcPr>
          <w:p>
            <w:pPr>
              <w:spacing w:before="175" w:line="559" w:lineRule="exact"/>
              <w:ind w:left="649"/>
              <w:rPr>
                <w:rFonts w:hint="eastAsia" w:ascii="宋体" w:hAnsi="宋体" w:eastAsia="宋体" w:cs="宋体"/>
                <w:color w:val="auto"/>
                <w:sz w:val="24"/>
                <w:szCs w:val="24"/>
                <w:highlight w:val="none"/>
              </w:rPr>
            </w:pPr>
            <w:r>
              <w:rPr>
                <w:rFonts w:hint="eastAsia" w:ascii="宋体" w:hAnsi="宋体" w:eastAsia="宋体" w:cs="宋体"/>
                <w:color w:val="auto"/>
                <w:position w:val="18"/>
                <w:sz w:val="24"/>
                <w:szCs w:val="24"/>
                <w:highlight w:val="none"/>
              </w:rPr>
              <w:t>Level</w:t>
            </w:r>
            <w:r>
              <w:rPr>
                <w:rFonts w:hint="eastAsia" w:ascii="宋体" w:hAnsi="宋体" w:eastAsia="宋体" w:cs="宋体"/>
                <w:color w:val="auto"/>
                <w:spacing w:val="18"/>
                <w:position w:val="18"/>
                <w:sz w:val="24"/>
                <w:szCs w:val="24"/>
                <w:highlight w:val="none"/>
              </w:rPr>
              <w:t xml:space="preserve"> 0</w:t>
            </w:r>
          </w:p>
          <w:p>
            <w:pPr>
              <w:spacing w:line="224" w:lineRule="auto"/>
              <w:ind w:left="90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手动</w:t>
            </w:r>
          </w:p>
        </w:tc>
        <w:tc>
          <w:tcPr>
            <w:tcW w:w="5872" w:type="dxa"/>
            <w:vAlign w:val="top"/>
          </w:tcPr>
          <w:p>
            <w:pPr>
              <w:spacing w:before="176"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全程使用手动飞行模式完成巡检作业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2430" w:type="dxa"/>
            <w:vAlign w:val="top"/>
          </w:tcPr>
          <w:p>
            <w:pPr>
              <w:spacing w:before="177" w:line="560" w:lineRule="exact"/>
              <w:ind w:left="649"/>
              <w:rPr>
                <w:rFonts w:hint="eastAsia" w:ascii="宋体" w:hAnsi="宋体" w:eastAsia="宋体" w:cs="宋体"/>
                <w:color w:val="auto"/>
                <w:sz w:val="24"/>
                <w:szCs w:val="24"/>
                <w:highlight w:val="none"/>
              </w:rPr>
            </w:pPr>
            <w:r>
              <w:rPr>
                <w:rFonts w:hint="eastAsia" w:ascii="宋体" w:hAnsi="宋体" w:eastAsia="宋体" w:cs="宋体"/>
                <w:color w:val="auto"/>
                <w:position w:val="18"/>
                <w:sz w:val="24"/>
                <w:szCs w:val="24"/>
                <w:highlight w:val="none"/>
              </w:rPr>
              <w:t>Level</w:t>
            </w:r>
            <w:r>
              <w:rPr>
                <w:rFonts w:hint="eastAsia" w:ascii="宋体" w:hAnsi="宋体" w:eastAsia="宋体" w:cs="宋体"/>
                <w:color w:val="auto"/>
                <w:spacing w:val="29"/>
                <w:position w:val="18"/>
                <w:sz w:val="24"/>
                <w:szCs w:val="24"/>
                <w:highlight w:val="none"/>
              </w:rPr>
              <w:t xml:space="preserve"> </w:t>
            </w:r>
            <w:r>
              <w:rPr>
                <w:rFonts w:hint="eastAsia" w:ascii="宋体" w:hAnsi="宋体" w:eastAsia="宋体" w:cs="宋体"/>
                <w:color w:val="auto"/>
                <w:spacing w:val="28"/>
                <w:position w:val="18"/>
                <w:sz w:val="24"/>
                <w:szCs w:val="24"/>
                <w:highlight w:val="none"/>
              </w:rPr>
              <w:t>1</w:t>
            </w:r>
          </w:p>
          <w:p>
            <w:pPr>
              <w:spacing w:line="223" w:lineRule="auto"/>
              <w:ind w:left="412"/>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部分自动化</w:t>
            </w:r>
          </w:p>
        </w:tc>
        <w:tc>
          <w:tcPr>
            <w:tcW w:w="5872" w:type="dxa"/>
            <w:vAlign w:val="top"/>
          </w:tcPr>
          <w:p>
            <w:pPr>
              <w:spacing w:before="177" w:line="560" w:lineRule="exact"/>
              <w:ind w:left="125"/>
              <w:rPr>
                <w:rFonts w:hint="eastAsia" w:ascii="宋体" w:hAnsi="宋体" w:eastAsia="宋体" w:cs="宋体"/>
                <w:color w:val="auto"/>
                <w:sz w:val="24"/>
                <w:szCs w:val="24"/>
                <w:highlight w:val="none"/>
              </w:rPr>
            </w:pPr>
            <w:r>
              <w:rPr>
                <w:rFonts w:hint="eastAsia" w:ascii="宋体" w:hAnsi="宋体" w:eastAsia="宋体" w:cs="宋体"/>
                <w:color w:val="auto"/>
                <w:spacing w:val="-4"/>
                <w:position w:val="18"/>
                <w:sz w:val="24"/>
                <w:szCs w:val="24"/>
                <w:highlight w:val="none"/>
              </w:rPr>
              <w:t>通过飞行前人工预先设计飞行路径， 能</w:t>
            </w:r>
            <w:r>
              <w:rPr>
                <w:rFonts w:hint="eastAsia" w:ascii="宋体" w:hAnsi="宋体" w:eastAsia="宋体" w:cs="宋体"/>
                <w:color w:val="auto"/>
                <w:spacing w:val="-2"/>
                <w:position w:val="18"/>
                <w:sz w:val="24"/>
                <w:szCs w:val="24"/>
                <w:highlight w:val="none"/>
              </w:rPr>
              <w:t>够</w:t>
            </w:r>
          </w:p>
          <w:p>
            <w:pPr>
              <w:spacing w:line="222" w:lineRule="auto"/>
              <w:ind w:left="133"/>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实</w:t>
            </w:r>
            <w:r>
              <w:rPr>
                <w:rFonts w:hint="eastAsia" w:ascii="宋体" w:hAnsi="宋体" w:eastAsia="宋体" w:cs="宋体"/>
                <w:color w:val="auto"/>
                <w:spacing w:val="7"/>
                <w:sz w:val="24"/>
                <w:szCs w:val="24"/>
                <w:highlight w:val="none"/>
              </w:rPr>
              <w:t>现根据预设的路径自主飞行</w:t>
            </w:r>
          </w:p>
        </w:tc>
      </w:tr>
    </w:tbl>
    <w:p>
      <w:pPr>
        <w:spacing w:line="91" w:lineRule="auto"/>
        <w:rPr>
          <w:rFonts w:hint="eastAsia" w:ascii="宋体" w:hAnsi="宋体" w:eastAsia="宋体" w:cs="宋体"/>
          <w:color w:val="auto"/>
          <w:sz w:val="24"/>
          <w:szCs w:val="24"/>
          <w:highlight w:val="none"/>
        </w:rPr>
      </w:pPr>
    </w:p>
    <w:tbl>
      <w:tblPr>
        <w:tblStyle w:val="95"/>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8"/>
        <w:gridCol w:w="58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8" w:hRule="atLeast"/>
        </w:trPr>
        <w:tc>
          <w:tcPr>
            <w:tcW w:w="2408" w:type="dxa"/>
            <w:vAlign w:val="top"/>
          </w:tcPr>
          <w:p>
            <w:pPr>
              <w:spacing w:before="179" w:line="344" w:lineRule="auto"/>
              <w:ind w:left="426" w:right="404" w:firstLine="22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Level</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3"/>
                <w:sz w:val="24"/>
                <w:szCs w:val="24"/>
                <w:highlight w:val="none"/>
              </w:rPr>
              <w:t>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高</w:t>
            </w:r>
            <w:r>
              <w:rPr>
                <w:rFonts w:hint="eastAsia" w:ascii="宋体" w:hAnsi="宋体" w:eastAsia="宋体" w:cs="宋体"/>
                <w:color w:val="auto"/>
                <w:spacing w:val="4"/>
                <w:sz w:val="24"/>
                <w:szCs w:val="24"/>
                <w:highlight w:val="none"/>
              </w:rPr>
              <w:t>度自动化</w:t>
            </w:r>
          </w:p>
        </w:tc>
        <w:tc>
          <w:tcPr>
            <w:tcW w:w="5894" w:type="dxa"/>
            <w:vAlign w:val="top"/>
          </w:tcPr>
          <w:p>
            <w:pPr>
              <w:spacing w:before="178" w:line="334" w:lineRule="auto"/>
              <w:ind w:left="121" w:right="113" w:firstLine="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无需</w:t>
            </w:r>
            <w:r>
              <w:rPr>
                <w:rFonts w:hint="eastAsia" w:ascii="宋体" w:hAnsi="宋体" w:eastAsia="宋体" w:cs="宋体"/>
                <w:color w:val="auto"/>
                <w:spacing w:val="-7"/>
                <w:sz w:val="24"/>
                <w:szCs w:val="24"/>
                <w:highlight w:val="none"/>
              </w:rPr>
              <w:t>人</w:t>
            </w:r>
            <w:r>
              <w:rPr>
                <w:rFonts w:hint="eastAsia" w:ascii="宋体" w:hAnsi="宋体" w:eastAsia="宋体" w:cs="宋体"/>
                <w:color w:val="auto"/>
                <w:spacing w:val="-4"/>
                <w:sz w:val="24"/>
                <w:szCs w:val="24"/>
                <w:highlight w:val="none"/>
              </w:rPr>
              <w:t>工预先设计飞行路径</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rPr>
              <w:t>且在飞行过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程</w:t>
            </w:r>
            <w:r>
              <w:rPr>
                <w:rFonts w:hint="eastAsia" w:ascii="宋体" w:hAnsi="宋体" w:eastAsia="宋体" w:cs="宋体"/>
                <w:color w:val="auto"/>
                <w:spacing w:val="-5"/>
                <w:sz w:val="24"/>
                <w:szCs w:val="24"/>
                <w:highlight w:val="none"/>
              </w:rPr>
              <w:t>中</w:t>
            </w:r>
            <w:r>
              <w:rPr>
                <w:rFonts w:hint="eastAsia" w:ascii="宋体" w:hAnsi="宋体" w:eastAsia="宋体" w:cs="宋体"/>
                <w:color w:val="auto"/>
                <w:spacing w:val="-4"/>
                <w:sz w:val="24"/>
                <w:szCs w:val="24"/>
                <w:highlight w:val="none"/>
              </w:rPr>
              <w:t>自动追踪巡检目标，能够实现自主飞</w:t>
            </w:r>
          </w:p>
          <w:p>
            <w:pPr>
              <w:spacing w:line="221"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行</w:t>
            </w:r>
            <w:r>
              <w:rPr>
                <w:rFonts w:hint="eastAsia" w:ascii="宋体" w:hAnsi="宋体" w:eastAsia="宋体" w:cs="宋体"/>
                <w:color w:val="auto"/>
                <w:spacing w:val="8"/>
                <w:sz w:val="24"/>
                <w:szCs w:val="24"/>
                <w:highlight w:val="none"/>
              </w:rPr>
              <w:t>以及自主获取巡检数据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7" w:hRule="atLeast"/>
        </w:trPr>
        <w:tc>
          <w:tcPr>
            <w:tcW w:w="2408" w:type="dxa"/>
            <w:vAlign w:val="top"/>
          </w:tcPr>
          <w:p>
            <w:pPr>
              <w:spacing w:before="176" w:line="344" w:lineRule="auto"/>
              <w:ind w:left="430" w:right="404" w:firstLine="2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Level</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3"/>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完</w:t>
            </w:r>
            <w:r>
              <w:rPr>
                <w:rFonts w:hint="eastAsia" w:ascii="宋体" w:hAnsi="宋体" w:eastAsia="宋体" w:cs="宋体"/>
                <w:color w:val="auto"/>
                <w:spacing w:val="3"/>
                <w:sz w:val="24"/>
                <w:szCs w:val="24"/>
                <w:highlight w:val="none"/>
              </w:rPr>
              <w:t>全自动化</w:t>
            </w:r>
          </w:p>
        </w:tc>
        <w:tc>
          <w:tcPr>
            <w:tcW w:w="5894" w:type="dxa"/>
            <w:vAlign w:val="top"/>
          </w:tcPr>
          <w:p>
            <w:pPr>
              <w:spacing w:before="175" w:line="334" w:lineRule="auto"/>
              <w:ind w:left="131" w:right="108" w:firstLine="30"/>
              <w:rPr>
                <w:rFonts w:hint="eastAsia" w:ascii="宋体" w:hAnsi="宋体" w:eastAsia="宋体" w:cs="宋体"/>
                <w:color w:val="auto"/>
                <w:sz w:val="24"/>
                <w:szCs w:val="24"/>
                <w:highlight w:val="none"/>
              </w:rPr>
            </w:pPr>
            <w:r>
              <w:rPr>
                <w:rFonts w:hint="eastAsia" w:ascii="宋体" w:hAnsi="宋体" w:eastAsia="宋体" w:cs="宋体"/>
                <w:color w:val="auto"/>
                <w:spacing w:val="15"/>
                <w:sz w:val="24"/>
                <w:szCs w:val="24"/>
                <w:highlight w:val="none"/>
              </w:rPr>
              <w:t>以</w:t>
            </w:r>
            <w:r>
              <w:rPr>
                <w:rFonts w:hint="eastAsia" w:ascii="宋体" w:hAnsi="宋体" w:eastAsia="宋体" w:cs="宋体"/>
                <w:color w:val="auto"/>
                <w:spacing w:val="10"/>
                <w:sz w:val="24"/>
                <w:szCs w:val="24"/>
                <w:highlight w:val="none"/>
              </w:rPr>
              <w:t>自主飞行模式完成巡检作业过程中的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飞行路径设计，起降执行，返航，充电</w:t>
            </w:r>
            <w:r>
              <w:rPr>
                <w:rFonts w:hint="eastAsia" w:ascii="宋体" w:hAnsi="宋体" w:eastAsia="宋体" w:cs="宋体"/>
                <w:color w:val="auto"/>
                <w:sz w:val="24"/>
                <w:szCs w:val="24"/>
                <w:highlight w:val="none"/>
              </w:rPr>
              <w:t xml:space="preserve">换 </w:t>
            </w:r>
            <w:r>
              <w:rPr>
                <w:rFonts w:hint="eastAsia" w:ascii="宋体" w:hAnsi="宋体" w:eastAsia="宋体" w:cs="宋体"/>
                <w:color w:val="auto"/>
                <w:spacing w:val="6"/>
                <w:sz w:val="24"/>
                <w:szCs w:val="24"/>
                <w:highlight w:val="none"/>
              </w:rPr>
              <w:t>电的能量</w:t>
            </w:r>
            <w:r>
              <w:rPr>
                <w:rFonts w:hint="eastAsia" w:ascii="宋体" w:hAnsi="宋体" w:eastAsia="宋体" w:cs="宋体"/>
                <w:color w:val="auto"/>
                <w:spacing w:val="3"/>
                <w:sz w:val="24"/>
                <w:szCs w:val="24"/>
                <w:highlight w:val="none"/>
              </w:rPr>
              <w:t>补充，全程不需要人工干预。该</w:t>
            </w:r>
            <w:r>
              <w:rPr>
                <w:rFonts w:hint="eastAsia" w:ascii="宋体" w:hAnsi="宋体" w:eastAsia="宋体" w:cs="宋体"/>
                <w:color w:val="auto"/>
                <w:spacing w:val="6"/>
                <w:sz w:val="24"/>
                <w:szCs w:val="24"/>
                <w:highlight w:val="none"/>
              </w:rPr>
              <w:t>级别下</w:t>
            </w:r>
            <w:r>
              <w:rPr>
                <w:rFonts w:hint="eastAsia" w:ascii="宋体" w:hAnsi="宋体" w:eastAsia="宋体" w:cs="宋体"/>
                <w:color w:val="auto"/>
                <w:spacing w:val="5"/>
                <w:sz w:val="24"/>
                <w:szCs w:val="24"/>
                <w:highlight w:val="none"/>
              </w:rPr>
              <w:t>无</w:t>
            </w:r>
            <w:r>
              <w:rPr>
                <w:rFonts w:hint="eastAsia" w:ascii="宋体" w:hAnsi="宋体" w:eastAsia="宋体" w:cs="宋体"/>
                <w:color w:val="auto"/>
                <w:spacing w:val="3"/>
                <w:sz w:val="24"/>
                <w:szCs w:val="24"/>
                <w:highlight w:val="none"/>
              </w:rPr>
              <w:t>人机出现偏离作业、路径或者其</w:t>
            </w:r>
          </w:p>
          <w:p>
            <w:pPr>
              <w:spacing w:before="1" w:line="222"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他危险状况时， 实现安全自动返航</w:t>
            </w:r>
          </w:p>
        </w:tc>
      </w:tr>
    </w:tbl>
    <w:p>
      <w:pPr>
        <w:spacing w:before="175" w:line="242" w:lineRule="auto"/>
        <w:ind w:left="672"/>
        <w:outlineLvl w:val="2"/>
        <w:rPr>
          <w:rFonts w:hint="eastAsia" w:ascii="宋体" w:hAnsi="宋体" w:eastAsia="宋体" w:cs="宋体"/>
          <w:color w:val="auto"/>
          <w:sz w:val="24"/>
          <w:szCs w:val="24"/>
          <w:highlight w:val="none"/>
        </w:rPr>
      </w:pPr>
      <w:bookmarkStart w:id="52" w:name="_bookmark27"/>
      <w:bookmarkEnd w:id="52"/>
      <w:r>
        <w:rPr>
          <w:rFonts w:hint="eastAsia" w:ascii="宋体" w:hAnsi="宋体" w:eastAsia="宋体" w:cs="宋体"/>
          <w:color w:val="auto"/>
          <w:spacing w:val="5"/>
          <w:sz w:val="24"/>
          <w:szCs w:val="24"/>
          <w:highlight w:val="none"/>
        </w:rPr>
        <w:t>5.数据存储</w:t>
      </w:r>
    </w:p>
    <w:p>
      <w:pPr>
        <w:spacing w:before="152" w:line="334" w:lineRule="auto"/>
        <w:ind w:left="24" w:firstLine="648"/>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任务</w:t>
      </w:r>
      <w:r>
        <w:rPr>
          <w:rFonts w:hint="eastAsia" w:ascii="宋体" w:hAnsi="宋体" w:eastAsia="宋体" w:cs="宋体"/>
          <w:color w:val="auto"/>
          <w:spacing w:val="-11"/>
          <w:sz w:val="24"/>
          <w:szCs w:val="24"/>
          <w:highlight w:val="none"/>
        </w:rPr>
        <w:t>数</w:t>
      </w:r>
      <w:r>
        <w:rPr>
          <w:rFonts w:hint="eastAsia" w:ascii="宋体" w:hAnsi="宋体" w:eastAsia="宋体" w:cs="宋体"/>
          <w:color w:val="auto"/>
          <w:spacing w:val="-6"/>
          <w:sz w:val="24"/>
          <w:szCs w:val="24"/>
          <w:highlight w:val="none"/>
        </w:rPr>
        <w:t>据、飞行数据、火情信息、火灾隐患、航拍照片、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2"/>
          <w:sz w:val="24"/>
          <w:szCs w:val="24"/>
          <w:highlight w:val="none"/>
        </w:rPr>
        <w:t>航</w:t>
      </w:r>
      <w:r>
        <w:rPr>
          <w:rFonts w:hint="eastAsia" w:ascii="宋体" w:hAnsi="宋体" w:eastAsia="宋体" w:cs="宋体"/>
          <w:color w:val="auto"/>
          <w:spacing w:val="19"/>
          <w:sz w:val="24"/>
          <w:szCs w:val="24"/>
          <w:highlight w:val="none"/>
        </w:rPr>
        <w:t>拍</w:t>
      </w:r>
      <w:r>
        <w:rPr>
          <w:rFonts w:hint="eastAsia" w:ascii="宋体" w:hAnsi="宋体" w:eastAsia="宋体" w:cs="宋体"/>
          <w:color w:val="auto"/>
          <w:spacing w:val="11"/>
          <w:sz w:val="24"/>
          <w:szCs w:val="24"/>
          <w:highlight w:val="none"/>
        </w:rPr>
        <w:t>视频等存储到云数据库或本地数据库；支持信息检索；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4"/>
          <w:sz w:val="24"/>
          <w:szCs w:val="24"/>
          <w:highlight w:val="none"/>
        </w:rPr>
        <w:t>支</w:t>
      </w:r>
      <w:r>
        <w:rPr>
          <w:rFonts w:hint="eastAsia" w:ascii="宋体" w:hAnsi="宋体" w:eastAsia="宋体" w:cs="宋体"/>
          <w:color w:val="auto"/>
          <w:spacing w:val="10"/>
          <w:sz w:val="24"/>
          <w:szCs w:val="24"/>
          <w:highlight w:val="none"/>
        </w:rPr>
        <w:t>持</w:t>
      </w:r>
      <w:r>
        <w:rPr>
          <w:rFonts w:hint="eastAsia" w:ascii="宋体" w:hAnsi="宋体" w:eastAsia="宋体" w:cs="宋体"/>
          <w:color w:val="auto"/>
          <w:spacing w:val="7"/>
          <w:sz w:val="24"/>
          <w:szCs w:val="24"/>
          <w:highlight w:val="none"/>
        </w:rPr>
        <w:t>按时间顺序浏览航拍视频信息；支持数据导出。</w:t>
      </w:r>
    </w:p>
    <w:p>
      <w:pPr>
        <w:spacing w:line="333" w:lineRule="auto"/>
        <w:ind w:left="30" w:right="72" w:firstLine="6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作业数据应存储不少于 3 年， 作业方应于指定时间销</w:t>
      </w:r>
      <w:r>
        <w:rPr>
          <w:rFonts w:hint="eastAsia" w:ascii="宋体" w:hAnsi="宋体" w:eastAsia="宋体" w:cs="宋体"/>
          <w:color w:val="auto"/>
          <w:sz w:val="24"/>
          <w:szCs w:val="24"/>
          <w:highlight w:val="none"/>
        </w:rPr>
        <w:t>毁</w:t>
      </w:r>
      <w:bookmarkStart w:id="53" w:name="_bookmark28"/>
      <w:bookmarkEnd w:id="53"/>
      <w:r>
        <w:rPr>
          <w:rFonts w:hint="eastAsia" w:ascii="宋体" w:hAnsi="宋体" w:eastAsia="宋体" w:cs="宋体"/>
          <w:color w:val="auto"/>
          <w:spacing w:val="4"/>
          <w:sz w:val="24"/>
          <w:szCs w:val="24"/>
          <w:highlight w:val="none"/>
        </w:rPr>
        <w:t>作业数据。</w:t>
      </w:r>
    </w:p>
    <w:p>
      <w:pPr>
        <w:spacing w:line="242" w:lineRule="auto"/>
        <w:ind w:left="668"/>
        <w:outlineLvl w:val="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6</w:t>
      </w:r>
      <w:r>
        <w:rPr>
          <w:rFonts w:hint="eastAsia" w:ascii="宋体" w:hAnsi="宋体" w:eastAsia="宋体" w:cs="宋体"/>
          <w:color w:val="auto"/>
          <w:spacing w:val="7"/>
          <w:sz w:val="24"/>
          <w:szCs w:val="24"/>
          <w:highlight w:val="none"/>
        </w:rPr>
        <w:t>.数据处理和分析</w:t>
      </w:r>
    </w:p>
    <w:p>
      <w:pPr>
        <w:spacing w:before="152" w:line="334" w:lineRule="auto"/>
        <w:ind w:left="24" w:right="72" w:firstLine="650"/>
        <w:rPr>
          <w:rFonts w:hint="eastAsia" w:ascii="宋体" w:hAnsi="宋体" w:eastAsia="宋体" w:cs="宋体"/>
          <w:color w:val="auto"/>
          <w:sz w:val="24"/>
          <w:szCs w:val="24"/>
          <w:highlight w:val="none"/>
        </w:rPr>
      </w:pPr>
      <w:r>
        <w:rPr>
          <w:rFonts w:hint="eastAsia" w:ascii="宋体" w:hAnsi="宋体" w:eastAsia="宋体" w:cs="宋体"/>
          <w:color w:val="auto"/>
          <w:spacing w:val="-22"/>
          <w:sz w:val="24"/>
          <w:szCs w:val="24"/>
          <w:highlight w:val="none"/>
        </w:rPr>
        <w:t>通</w:t>
      </w:r>
      <w:r>
        <w:rPr>
          <w:rFonts w:hint="eastAsia" w:ascii="宋体" w:hAnsi="宋体" w:eastAsia="宋体" w:cs="宋体"/>
          <w:color w:val="auto"/>
          <w:spacing w:val="-18"/>
          <w:sz w:val="24"/>
          <w:szCs w:val="24"/>
          <w:highlight w:val="none"/>
        </w:rPr>
        <w:t>过</w:t>
      </w:r>
      <w:r>
        <w:rPr>
          <w:rFonts w:hint="eastAsia" w:ascii="宋体" w:hAnsi="宋体" w:eastAsia="宋体" w:cs="宋体"/>
          <w:color w:val="auto"/>
          <w:spacing w:val="-11"/>
          <w:sz w:val="24"/>
          <w:szCs w:val="24"/>
          <w:highlight w:val="none"/>
        </w:rPr>
        <w:t>软件上的 2D/3D 建模功能，快速建模；飞行过程中，</w:t>
      </w:r>
      <w:r>
        <w:rPr>
          <w:rFonts w:hint="eastAsia" w:ascii="宋体" w:hAnsi="宋体" w:eastAsia="宋体" w:cs="宋体"/>
          <w:color w:val="auto"/>
          <w:spacing w:val="9"/>
          <w:sz w:val="24"/>
          <w:szCs w:val="24"/>
          <w:highlight w:val="none"/>
        </w:rPr>
        <w:t>实时识别明火、车辆、人员、野生动物等，并标记发现的</w:t>
      </w:r>
      <w:r>
        <w:rPr>
          <w:rFonts w:hint="eastAsia" w:ascii="宋体" w:hAnsi="宋体" w:eastAsia="宋体" w:cs="宋体"/>
          <w:color w:val="auto"/>
          <w:spacing w:val="8"/>
          <w:sz w:val="24"/>
          <w:szCs w:val="24"/>
          <w:highlight w:val="none"/>
        </w:rPr>
        <w:t>坐</w:t>
      </w:r>
      <w:r>
        <w:rPr>
          <w:rFonts w:hint="eastAsia" w:ascii="宋体" w:hAnsi="宋体" w:eastAsia="宋体" w:cs="宋体"/>
          <w:color w:val="auto"/>
          <w:sz w:val="24"/>
          <w:szCs w:val="24"/>
          <w:highlight w:val="none"/>
        </w:rPr>
        <w:t xml:space="preserve"> </w:t>
      </w:r>
      <w:bookmarkStart w:id="54" w:name="_bookmark29"/>
      <w:bookmarkEnd w:id="54"/>
      <w:r>
        <w:rPr>
          <w:rFonts w:hint="eastAsia" w:ascii="宋体" w:hAnsi="宋体" w:eastAsia="宋体" w:cs="宋体"/>
          <w:color w:val="auto"/>
          <w:spacing w:val="6"/>
          <w:sz w:val="24"/>
          <w:szCs w:val="24"/>
          <w:highlight w:val="none"/>
        </w:rPr>
        <w:t>标</w:t>
      </w:r>
      <w:r>
        <w:rPr>
          <w:rFonts w:hint="eastAsia" w:ascii="宋体" w:hAnsi="宋体" w:eastAsia="宋体" w:cs="宋体"/>
          <w:color w:val="auto"/>
          <w:spacing w:val="5"/>
          <w:sz w:val="24"/>
          <w:szCs w:val="24"/>
          <w:highlight w:val="none"/>
        </w:rPr>
        <w:t>和时间。</w:t>
      </w:r>
    </w:p>
    <w:p>
      <w:pPr>
        <w:spacing w:line="242" w:lineRule="auto"/>
        <w:ind w:left="674"/>
        <w:outlineLvl w:val="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7.通信功</w:t>
      </w:r>
      <w:r>
        <w:rPr>
          <w:rFonts w:hint="eastAsia" w:ascii="宋体" w:hAnsi="宋体" w:eastAsia="宋体" w:cs="宋体"/>
          <w:color w:val="auto"/>
          <w:spacing w:val="4"/>
          <w:sz w:val="24"/>
          <w:szCs w:val="24"/>
          <w:highlight w:val="none"/>
        </w:rPr>
        <w:t>能</w:t>
      </w:r>
    </w:p>
    <w:p>
      <w:pPr>
        <w:spacing w:before="152" w:line="334" w:lineRule="auto"/>
        <w:ind w:left="54" w:right="75" w:firstLine="620"/>
        <w:rPr>
          <w:rFonts w:hint="eastAsia" w:ascii="宋体" w:hAnsi="宋体" w:eastAsia="宋体" w:cs="宋体"/>
          <w:color w:val="auto"/>
          <w:sz w:val="24"/>
          <w:szCs w:val="24"/>
          <w:highlight w:val="none"/>
        </w:rPr>
      </w:pPr>
      <w:r>
        <w:rPr>
          <w:rFonts w:hint="eastAsia" w:ascii="宋体" w:hAnsi="宋体" w:eastAsia="宋体" w:cs="宋体"/>
          <w:color w:val="auto"/>
          <w:spacing w:val="15"/>
          <w:sz w:val="24"/>
          <w:szCs w:val="24"/>
          <w:highlight w:val="none"/>
        </w:rPr>
        <w:t>支</w:t>
      </w:r>
      <w:r>
        <w:rPr>
          <w:rFonts w:hint="eastAsia" w:ascii="宋体" w:hAnsi="宋体" w:eastAsia="宋体" w:cs="宋体"/>
          <w:color w:val="auto"/>
          <w:spacing w:val="8"/>
          <w:sz w:val="24"/>
          <w:szCs w:val="24"/>
          <w:highlight w:val="none"/>
        </w:rPr>
        <w:t>持指挥中心、无人机控制站和手持信号中继设备之间</w:t>
      </w:r>
      <w:bookmarkStart w:id="55" w:name="_bookmark30"/>
      <w:bookmarkEnd w:id="55"/>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4"/>
          <w:sz w:val="24"/>
          <w:szCs w:val="24"/>
          <w:highlight w:val="none"/>
        </w:rPr>
        <w:t>指挥通信。</w:t>
      </w:r>
    </w:p>
    <w:p>
      <w:pPr>
        <w:pStyle w:val="2"/>
        <w:rPr>
          <w:rFonts w:hint="eastAsia" w:ascii="宋体" w:hAnsi="宋体" w:eastAsia="宋体" w:cs="宋体"/>
          <w:color w:val="auto"/>
          <w:sz w:val="24"/>
          <w:szCs w:val="24"/>
          <w:highlight w:val="none"/>
        </w:rPr>
      </w:pPr>
    </w:p>
    <w:p>
      <w:pPr>
        <w:pStyle w:val="20"/>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9.5无人机监控指挥云平台功能</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时远程对无人机进行数据监控等，实现多架无人机的视频和飞行数据远程同时接入。创建角色，赋予角色系统功能页面权限、操作权限、数据权限。拍摄成果实时预览。可实时接入无人机视频。支持添加本地地图。</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主动或自动获取无人机当前状态信息实时路径显示、飞行距离动态计算以及远程指挥。根据飞行任务紧急度进行弹屏显示以及告警通知。实时查看飞行数据及飞行成果，也可查询历史飞行数据及飞行成果，数据自动回传至云端保存。正在执行的任务列表，未执行的任务列表，已执行过的所有任务汇总统计。</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展现选择日期当日的所有任务，根据时间轴，展示任务执行时间、耗电情况及任务完成度。可通过操作类型、设备名称、时间区间筛选出该站点对任务、设备进行的操作。分析统计展示所有站点无人机飞行历史。系统并发用户数不小于全部使用用户数的30％。系统具有7×24小时稳定运行能力，关键业务系统支持群集系统，避免意外的系统异常状态。</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处理操作响应不大于3秒，复杂操作、查询响应不大于10秒，智能决策支持、预测预警等复杂业务实现生成操作耗时控制在10秒左右。系统具有集成其他应用系统接口、进行数据交换的能力。服务器系统时间与标准时间应实现同步。系统实现多种接报的途径：计算机网络、电话、传真、短信等。</w:t>
      </w:r>
    </w:p>
    <w:p>
      <w:pPr>
        <w:pStyle w:val="20"/>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9.6 作业车辆及通信设备</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准备3辆无人机配套车辆，可通过地面控制站对无人机进行控制、数据传输等。可使用林区内通信基站的通信传输设备。可通过地面单兵设备、中继器或系留无人机等组建应急指挥通信网络。</w:t>
      </w:r>
    </w:p>
    <w:p>
      <w:pPr>
        <w:pStyle w:val="2"/>
        <w:rPr>
          <w:rFonts w:hint="eastAsia" w:ascii="宋体" w:hAnsi="宋体" w:eastAsia="宋体" w:cs="宋体"/>
          <w:color w:val="auto"/>
          <w:sz w:val="24"/>
          <w:szCs w:val="24"/>
          <w:highlight w:val="none"/>
        </w:rPr>
      </w:pPr>
    </w:p>
    <w:p>
      <w:pPr>
        <w:spacing w:before="1" w:line="223" w:lineRule="auto"/>
        <w:ind w:left="677"/>
        <w:jc w:val="center"/>
        <w:outlineLvl w:val="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pacing w:val="-18"/>
          <w:sz w:val="24"/>
          <w:szCs w:val="24"/>
          <w:highlight w:val="none"/>
          <w:lang w:val="en-US" w:eastAsia="zh-CN"/>
        </w:rPr>
        <w:t>第十章</w:t>
      </w:r>
      <w:r>
        <w:rPr>
          <w:rFonts w:hint="eastAsia" w:ascii="宋体" w:hAnsi="宋体" w:eastAsia="宋体" w:cs="宋体"/>
          <w:b/>
          <w:bCs/>
          <w:color w:val="auto"/>
          <w:spacing w:val="-17"/>
          <w:sz w:val="24"/>
          <w:szCs w:val="24"/>
          <w:highlight w:val="none"/>
        </w:rPr>
        <w:t>、 作业</w:t>
      </w:r>
      <w:r>
        <w:rPr>
          <w:rFonts w:hint="eastAsia" w:ascii="宋体" w:hAnsi="宋体" w:eastAsia="宋体" w:cs="宋体"/>
          <w:b/>
          <w:bCs/>
          <w:color w:val="auto"/>
          <w:spacing w:val="-17"/>
          <w:sz w:val="24"/>
          <w:szCs w:val="24"/>
          <w:highlight w:val="none"/>
          <w:lang w:val="en-US" w:eastAsia="zh-CN"/>
        </w:rPr>
        <w:t>要求</w:t>
      </w:r>
    </w:p>
    <w:p>
      <w:pPr>
        <w:spacing w:before="187" w:line="230" w:lineRule="auto"/>
        <w:ind w:left="660"/>
        <w:outlineLvl w:val="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
          <w:sz w:val="24"/>
          <w:szCs w:val="24"/>
          <w:highlight w:val="none"/>
        </w:rPr>
        <w:t>一)作业编号</w:t>
      </w:r>
    </w:p>
    <w:p>
      <w:pPr>
        <w:spacing w:before="184" w:line="221" w:lineRule="auto"/>
        <w:ind w:firstLine="44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 xml:space="preserve">编制 </w:t>
      </w:r>
      <w:r>
        <w:rPr>
          <w:rFonts w:hint="eastAsia" w:ascii="宋体" w:hAnsi="宋体" w:eastAsia="宋体" w:cs="宋体"/>
          <w:color w:val="auto"/>
          <w:spacing w:val="-5"/>
          <w:sz w:val="24"/>
          <w:szCs w:val="24"/>
          <w:highlight w:val="none"/>
        </w:rPr>
        <w:t>11 位作业编号</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以便提交天东林管局（以甲方需求进行编号）。</w:t>
      </w:r>
    </w:p>
    <w:p>
      <w:pPr>
        <w:spacing w:before="186" w:line="334" w:lineRule="auto"/>
        <w:ind w:left="35" w:right="20" w:firstLine="640"/>
        <w:rPr>
          <w:rFonts w:hint="eastAsia" w:ascii="宋体" w:hAnsi="宋体" w:eastAsia="宋体" w:cs="宋体"/>
          <w:color w:val="auto"/>
          <w:sz w:val="24"/>
          <w:szCs w:val="24"/>
          <w:highlight w:val="none"/>
        </w:rPr>
      </w:pPr>
      <w:r>
        <w:rPr>
          <w:rFonts w:hint="eastAsia" w:ascii="宋体" w:hAnsi="宋体" w:eastAsia="宋体" w:cs="宋体"/>
          <w:color w:val="auto"/>
          <w:spacing w:val="23"/>
          <w:sz w:val="24"/>
          <w:szCs w:val="24"/>
          <w:highlight w:val="none"/>
          <w:lang w:val="en-US" w:eastAsia="zh-CN"/>
        </w:rPr>
        <w:t>上交至</w:t>
      </w:r>
      <w:r>
        <w:rPr>
          <w:rFonts w:hint="eastAsia" w:ascii="宋体" w:hAnsi="宋体" w:eastAsia="宋体" w:cs="宋体"/>
          <w:color w:val="auto"/>
          <w:spacing w:val="23"/>
          <w:sz w:val="24"/>
          <w:szCs w:val="24"/>
          <w:highlight w:val="none"/>
        </w:rPr>
        <w:t>天</w:t>
      </w:r>
      <w:r>
        <w:rPr>
          <w:rFonts w:hint="eastAsia" w:ascii="宋体" w:hAnsi="宋体" w:eastAsia="宋体" w:cs="宋体"/>
          <w:color w:val="auto"/>
          <w:spacing w:val="22"/>
          <w:sz w:val="24"/>
          <w:szCs w:val="24"/>
          <w:highlight w:val="none"/>
        </w:rPr>
        <w:t>东林管局无人机森林草原防灭火工作提交的文字和</w:t>
      </w:r>
      <w:bookmarkStart w:id="56" w:name="_bookmark75"/>
      <w:bookmarkEnd w:id="56"/>
      <w:r>
        <w:rPr>
          <w:rFonts w:hint="eastAsia" w:ascii="宋体" w:hAnsi="宋体" w:eastAsia="宋体" w:cs="宋体"/>
          <w:color w:val="auto"/>
          <w:spacing w:val="8"/>
          <w:sz w:val="24"/>
          <w:szCs w:val="24"/>
          <w:highlight w:val="none"/>
        </w:rPr>
        <w:t>数字</w:t>
      </w:r>
      <w:r>
        <w:rPr>
          <w:rFonts w:hint="eastAsia" w:ascii="宋体" w:hAnsi="宋体" w:eastAsia="宋体" w:cs="宋体"/>
          <w:color w:val="auto"/>
          <w:spacing w:val="5"/>
          <w:sz w:val="24"/>
          <w:szCs w:val="24"/>
          <w:highlight w:val="none"/>
        </w:rPr>
        <w:t>材</w:t>
      </w:r>
      <w:r>
        <w:rPr>
          <w:rFonts w:hint="eastAsia" w:ascii="宋体" w:hAnsi="宋体" w:eastAsia="宋体" w:cs="宋体"/>
          <w:color w:val="auto"/>
          <w:spacing w:val="4"/>
          <w:sz w:val="24"/>
          <w:szCs w:val="24"/>
          <w:highlight w:val="none"/>
        </w:rPr>
        <w:t>料，应注明作业编号。</w:t>
      </w:r>
    </w:p>
    <w:p>
      <w:pPr>
        <w:spacing w:line="224" w:lineRule="auto"/>
        <w:ind w:left="660"/>
        <w:outlineLvl w:val="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(二)整体情</w:t>
      </w:r>
      <w:r>
        <w:rPr>
          <w:rFonts w:hint="eastAsia" w:ascii="宋体" w:hAnsi="宋体" w:eastAsia="宋体" w:cs="宋体"/>
          <w:color w:val="auto"/>
          <w:sz w:val="24"/>
          <w:szCs w:val="24"/>
          <w:highlight w:val="none"/>
        </w:rPr>
        <w:t>况说明</w:t>
      </w:r>
    </w:p>
    <w:p>
      <w:pPr>
        <w:spacing w:before="182" w:line="334" w:lineRule="auto"/>
        <w:ind w:left="39" w:right="18" w:firstLine="632"/>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作</w:t>
      </w:r>
      <w:r>
        <w:rPr>
          <w:rFonts w:hint="eastAsia" w:ascii="宋体" w:hAnsi="宋体" w:eastAsia="宋体" w:cs="宋体"/>
          <w:color w:val="auto"/>
          <w:spacing w:val="12"/>
          <w:sz w:val="24"/>
          <w:szCs w:val="24"/>
          <w:highlight w:val="none"/>
        </w:rPr>
        <w:t>业</w:t>
      </w:r>
      <w:r>
        <w:rPr>
          <w:rFonts w:hint="eastAsia" w:ascii="宋体" w:hAnsi="宋体" w:eastAsia="宋体" w:cs="宋体"/>
          <w:color w:val="auto"/>
          <w:spacing w:val="8"/>
          <w:sz w:val="24"/>
          <w:szCs w:val="24"/>
          <w:highlight w:val="none"/>
        </w:rPr>
        <w:t>方案应对飞行作业所涉及的区域面积、山情社情林</w:t>
      </w:r>
      <w:r>
        <w:rPr>
          <w:rFonts w:hint="eastAsia" w:ascii="宋体" w:hAnsi="宋体" w:eastAsia="宋体" w:cs="宋体"/>
          <w:color w:val="auto"/>
          <w:spacing w:val="11"/>
          <w:sz w:val="24"/>
          <w:szCs w:val="24"/>
          <w:highlight w:val="none"/>
        </w:rPr>
        <w:t>情</w:t>
      </w:r>
      <w:r>
        <w:rPr>
          <w:rFonts w:hint="eastAsia" w:ascii="宋体" w:hAnsi="宋体" w:eastAsia="宋体" w:cs="宋体"/>
          <w:color w:val="auto"/>
          <w:spacing w:val="8"/>
          <w:sz w:val="24"/>
          <w:szCs w:val="24"/>
          <w:highlight w:val="none"/>
        </w:rPr>
        <w:t>做简述，根据实际情况对本次整体方案做简述。</w:t>
      </w:r>
    </w:p>
    <w:p>
      <w:pPr>
        <w:spacing w:before="1" w:line="220" w:lineRule="auto"/>
        <w:ind w:left="727"/>
        <w:outlineLvl w:val="1"/>
        <w:rPr>
          <w:rFonts w:hint="eastAsia" w:ascii="宋体" w:hAnsi="宋体" w:eastAsia="宋体" w:cs="宋体"/>
          <w:color w:val="auto"/>
          <w:sz w:val="24"/>
          <w:szCs w:val="24"/>
          <w:highlight w:val="none"/>
        </w:rPr>
      </w:pPr>
      <w:bookmarkStart w:id="57" w:name="_bookmark76"/>
      <w:bookmarkEnd w:id="57"/>
      <w:r>
        <w:rPr>
          <w:rFonts w:hint="eastAsia" w:ascii="宋体" w:hAnsi="宋体" w:eastAsia="宋体" w:cs="宋体"/>
          <w:color w:val="auto"/>
          <w:spacing w:val="1"/>
          <w:sz w:val="24"/>
          <w:szCs w:val="24"/>
          <w:highlight w:val="none"/>
        </w:rPr>
        <w:t>(三)作业</w:t>
      </w:r>
      <w:r>
        <w:rPr>
          <w:rFonts w:hint="eastAsia" w:ascii="宋体" w:hAnsi="宋体" w:eastAsia="宋体" w:cs="宋体"/>
          <w:color w:val="auto"/>
          <w:sz w:val="24"/>
          <w:szCs w:val="24"/>
          <w:highlight w:val="none"/>
        </w:rPr>
        <w:t>情况说明</w:t>
      </w:r>
    </w:p>
    <w:p>
      <w:pPr>
        <w:spacing w:before="187" w:line="334" w:lineRule="auto"/>
        <w:ind w:left="26" w:right="16" w:firstLine="64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作</w:t>
      </w:r>
      <w:r>
        <w:rPr>
          <w:rFonts w:hint="eastAsia" w:ascii="宋体" w:hAnsi="宋体" w:eastAsia="宋体" w:cs="宋体"/>
          <w:color w:val="auto"/>
          <w:spacing w:val="-4"/>
          <w:sz w:val="24"/>
          <w:szCs w:val="24"/>
          <w:highlight w:val="none"/>
        </w:rPr>
        <w:t>业方案应对作业任务、飞行时长、作业机型无人机</w:t>
      </w:r>
      <w:r>
        <w:rPr>
          <w:rFonts w:hint="eastAsia" w:ascii="宋体" w:hAnsi="宋体" w:eastAsia="宋体" w:cs="宋体"/>
          <w:color w:val="auto"/>
          <w:spacing w:val="7"/>
          <w:sz w:val="24"/>
          <w:szCs w:val="24"/>
          <w:highlight w:val="none"/>
        </w:rPr>
        <w:t>挂载、飞行方式、航线规划、巡护面积等做详细说明</w:t>
      </w:r>
      <w:r>
        <w:rPr>
          <w:rFonts w:hint="eastAsia" w:ascii="宋体" w:hAnsi="宋体" w:eastAsia="宋体" w:cs="宋体"/>
          <w:color w:val="auto"/>
          <w:spacing w:val="4"/>
          <w:sz w:val="24"/>
          <w:szCs w:val="24"/>
          <w:highlight w:val="none"/>
        </w:rPr>
        <w:t>。</w:t>
      </w:r>
    </w:p>
    <w:p>
      <w:pPr>
        <w:spacing w:before="1" w:line="224" w:lineRule="auto"/>
        <w:ind w:left="727"/>
        <w:outlineLvl w:val="1"/>
        <w:rPr>
          <w:rFonts w:hint="eastAsia" w:ascii="宋体" w:hAnsi="宋体" w:eastAsia="宋体" w:cs="宋体"/>
          <w:color w:val="auto"/>
          <w:sz w:val="24"/>
          <w:szCs w:val="24"/>
          <w:highlight w:val="none"/>
        </w:rPr>
      </w:pPr>
      <w:bookmarkStart w:id="58" w:name="_bookmark77"/>
      <w:bookmarkEnd w:id="58"/>
      <w:r>
        <w:rPr>
          <w:rFonts w:hint="eastAsia" w:ascii="宋体" w:hAnsi="宋体" w:eastAsia="宋体" w:cs="宋体"/>
          <w:color w:val="auto"/>
          <w:spacing w:val="1"/>
          <w:sz w:val="24"/>
          <w:szCs w:val="24"/>
          <w:highlight w:val="none"/>
        </w:rPr>
        <w:t>(四)人员配</w:t>
      </w:r>
      <w:r>
        <w:rPr>
          <w:rFonts w:hint="eastAsia" w:ascii="宋体" w:hAnsi="宋体" w:eastAsia="宋体" w:cs="宋体"/>
          <w:color w:val="auto"/>
          <w:sz w:val="24"/>
          <w:szCs w:val="24"/>
          <w:highlight w:val="none"/>
        </w:rPr>
        <w:t>置说明</w:t>
      </w:r>
    </w:p>
    <w:p>
      <w:pPr>
        <w:spacing w:before="182" w:line="334" w:lineRule="auto"/>
        <w:ind w:left="21" w:right="16" w:firstLine="64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作</w:t>
      </w:r>
      <w:r>
        <w:rPr>
          <w:rFonts w:hint="eastAsia" w:ascii="宋体" w:hAnsi="宋体" w:eastAsia="宋体" w:cs="宋体"/>
          <w:color w:val="auto"/>
          <w:spacing w:val="2"/>
          <w:sz w:val="24"/>
          <w:szCs w:val="24"/>
          <w:highlight w:val="none"/>
        </w:rPr>
        <w:t>业方案</w:t>
      </w:r>
      <w:r>
        <w:rPr>
          <w:rFonts w:hint="eastAsia" w:ascii="宋体" w:hAnsi="宋体" w:eastAsia="宋体" w:cs="宋体"/>
          <w:color w:val="auto"/>
          <w:spacing w:val="2"/>
          <w:sz w:val="24"/>
          <w:szCs w:val="24"/>
          <w:highlight w:val="none"/>
          <w:lang w:val="en-US" w:eastAsia="zh-CN"/>
        </w:rPr>
        <w:t>对</w:t>
      </w:r>
      <w:r>
        <w:rPr>
          <w:rFonts w:hint="eastAsia" w:ascii="宋体" w:hAnsi="宋体" w:eastAsia="宋体" w:cs="宋体"/>
          <w:color w:val="auto"/>
          <w:sz w:val="24"/>
          <w:szCs w:val="24"/>
          <w:highlight w:val="none"/>
        </w:rPr>
        <w:t>天东林管局吉木萨尔分局</w:t>
      </w:r>
      <w:r>
        <w:rPr>
          <w:rFonts w:hint="eastAsia" w:ascii="宋体" w:hAnsi="宋体" w:eastAsia="宋体" w:cs="宋体"/>
          <w:color w:val="auto"/>
          <w:spacing w:val="2"/>
          <w:sz w:val="24"/>
          <w:szCs w:val="24"/>
          <w:highlight w:val="none"/>
        </w:rPr>
        <w:t>和作业方负责人员进行说明， 包括姓</w:t>
      </w:r>
      <w:r>
        <w:rPr>
          <w:rFonts w:hint="eastAsia" w:ascii="宋体" w:hAnsi="宋体" w:eastAsia="宋体" w:cs="宋体"/>
          <w:color w:val="auto"/>
          <w:spacing w:val="12"/>
          <w:sz w:val="24"/>
          <w:szCs w:val="24"/>
          <w:highlight w:val="none"/>
        </w:rPr>
        <w:t>名</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6"/>
          <w:sz w:val="24"/>
          <w:szCs w:val="24"/>
          <w:highlight w:val="none"/>
        </w:rPr>
        <w:t>职务、性别、联系方式等信息。</w:t>
      </w:r>
    </w:p>
    <w:p>
      <w:pPr>
        <w:spacing w:before="2" w:line="333" w:lineRule="auto"/>
        <w:ind w:left="30" w:right="16" w:firstLine="6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天东林管局吉木萨尔分局</w:t>
      </w:r>
      <w:r>
        <w:rPr>
          <w:rFonts w:hint="eastAsia" w:ascii="宋体" w:hAnsi="宋体" w:eastAsia="宋体" w:cs="宋体"/>
          <w:color w:val="auto"/>
          <w:spacing w:val="2"/>
          <w:sz w:val="24"/>
          <w:szCs w:val="24"/>
          <w:highlight w:val="none"/>
        </w:rPr>
        <w:t>指派联系人。联系人应熟知火情要素， 熟练掌</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6"/>
          <w:sz w:val="24"/>
          <w:szCs w:val="24"/>
          <w:highlight w:val="none"/>
        </w:rPr>
        <w:t>握巡</w:t>
      </w:r>
      <w:r>
        <w:rPr>
          <w:rFonts w:hint="eastAsia" w:ascii="宋体" w:hAnsi="宋体" w:eastAsia="宋体" w:cs="宋体"/>
          <w:color w:val="auto"/>
          <w:spacing w:val="10"/>
          <w:sz w:val="24"/>
          <w:szCs w:val="24"/>
          <w:highlight w:val="none"/>
        </w:rPr>
        <w:t>护</w:t>
      </w:r>
      <w:r>
        <w:rPr>
          <w:rFonts w:hint="eastAsia" w:ascii="宋体" w:hAnsi="宋体" w:eastAsia="宋体" w:cs="宋体"/>
          <w:color w:val="auto"/>
          <w:spacing w:val="8"/>
          <w:sz w:val="24"/>
          <w:szCs w:val="24"/>
          <w:highlight w:val="none"/>
        </w:rPr>
        <w:t>区域山情社情林情，熟练掌握火情报告流程，负责与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作业方的协调事宜</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
          <w:sz w:val="24"/>
          <w:szCs w:val="24"/>
          <w:highlight w:val="none"/>
        </w:rPr>
        <w:t xml:space="preserve"> 应对执行情况、执行成果、日志周报等</w:t>
      </w:r>
      <w:bookmarkStart w:id="59" w:name="_bookmark78"/>
      <w:bookmarkEnd w:id="59"/>
      <w:r>
        <w:rPr>
          <w:rFonts w:hint="eastAsia" w:ascii="宋体" w:hAnsi="宋体" w:eastAsia="宋体" w:cs="宋体"/>
          <w:color w:val="auto"/>
          <w:spacing w:val="4"/>
          <w:sz w:val="24"/>
          <w:szCs w:val="24"/>
          <w:highlight w:val="none"/>
        </w:rPr>
        <w:t>内容</w:t>
      </w:r>
      <w:r>
        <w:rPr>
          <w:rFonts w:hint="eastAsia" w:ascii="宋体" w:hAnsi="宋体" w:eastAsia="宋体" w:cs="宋体"/>
          <w:color w:val="auto"/>
          <w:spacing w:val="3"/>
          <w:sz w:val="24"/>
          <w:szCs w:val="24"/>
          <w:highlight w:val="none"/>
        </w:rPr>
        <w:t>负</w:t>
      </w:r>
      <w:r>
        <w:rPr>
          <w:rFonts w:hint="eastAsia" w:ascii="宋体" w:hAnsi="宋体" w:eastAsia="宋体" w:cs="宋体"/>
          <w:color w:val="auto"/>
          <w:spacing w:val="2"/>
          <w:sz w:val="24"/>
          <w:szCs w:val="24"/>
          <w:highlight w:val="none"/>
        </w:rPr>
        <w:t>审核监督的责任。</w:t>
      </w:r>
    </w:p>
    <w:p>
      <w:pPr>
        <w:spacing w:before="1" w:line="224" w:lineRule="auto"/>
        <w:ind w:left="727"/>
        <w:outlineLvl w:val="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(五)安全</w:t>
      </w:r>
      <w:r>
        <w:rPr>
          <w:rFonts w:hint="eastAsia" w:ascii="宋体" w:hAnsi="宋体" w:eastAsia="宋体" w:cs="宋体"/>
          <w:color w:val="auto"/>
          <w:sz w:val="24"/>
          <w:szCs w:val="24"/>
          <w:highlight w:val="none"/>
        </w:rPr>
        <w:t>保证措施</w:t>
      </w:r>
    </w:p>
    <w:p>
      <w:pPr>
        <w:spacing w:before="188" w:line="333" w:lineRule="auto"/>
        <w:ind w:left="26" w:right="12" w:firstLine="644"/>
        <w:rPr>
          <w:rFonts w:hint="eastAsia" w:ascii="宋体" w:hAnsi="宋体" w:eastAsia="宋体" w:cs="宋体"/>
          <w:color w:val="auto"/>
          <w:spacing w:val="6"/>
          <w:sz w:val="24"/>
          <w:szCs w:val="24"/>
          <w:highlight w:val="none"/>
        </w:rPr>
      </w:pPr>
      <w:r>
        <w:rPr>
          <w:rFonts w:hint="eastAsia" w:ascii="宋体" w:hAnsi="宋体" w:eastAsia="宋体" w:cs="宋体"/>
          <w:color w:val="auto"/>
          <w:spacing w:val="36"/>
          <w:sz w:val="24"/>
          <w:szCs w:val="24"/>
          <w:highlight w:val="none"/>
        </w:rPr>
        <w:t>作</w:t>
      </w:r>
      <w:r>
        <w:rPr>
          <w:rFonts w:hint="eastAsia" w:ascii="宋体" w:hAnsi="宋体" w:eastAsia="宋体" w:cs="宋体"/>
          <w:color w:val="auto"/>
          <w:spacing w:val="22"/>
          <w:sz w:val="24"/>
          <w:szCs w:val="24"/>
          <w:highlight w:val="none"/>
        </w:rPr>
        <w:t>业方案应对作业过程中可能发生的突发事件处置措</w:t>
      </w:r>
      <w:r>
        <w:rPr>
          <w:rFonts w:hint="eastAsia" w:ascii="宋体" w:hAnsi="宋体" w:eastAsia="宋体" w:cs="宋体"/>
          <w:color w:val="auto"/>
          <w:spacing w:val="3"/>
          <w:sz w:val="24"/>
          <w:szCs w:val="24"/>
          <w:highlight w:val="none"/>
        </w:rPr>
        <w:t>施、极端天气情况、禁飞区规定、飞行安全、人员状况等</w:t>
      </w:r>
      <w:r>
        <w:rPr>
          <w:rFonts w:hint="eastAsia" w:ascii="宋体" w:hAnsi="宋体" w:eastAsia="宋体" w:cs="宋体"/>
          <w:color w:val="auto"/>
          <w:sz w:val="24"/>
          <w:szCs w:val="24"/>
          <w:highlight w:val="none"/>
        </w:rPr>
        <w:t>进</w:t>
      </w:r>
      <w:r>
        <w:rPr>
          <w:rFonts w:hint="eastAsia" w:ascii="宋体" w:hAnsi="宋体" w:eastAsia="宋体" w:cs="宋体"/>
          <w:color w:val="auto"/>
          <w:spacing w:val="11"/>
          <w:sz w:val="24"/>
          <w:szCs w:val="24"/>
          <w:highlight w:val="none"/>
        </w:rPr>
        <w:t>行</w:t>
      </w:r>
      <w:r>
        <w:rPr>
          <w:rFonts w:hint="eastAsia" w:ascii="宋体" w:hAnsi="宋体" w:eastAsia="宋体" w:cs="宋体"/>
          <w:color w:val="auto"/>
          <w:spacing w:val="8"/>
          <w:sz w:val="24"/>
          <w:szCs w:val="24"/>
          <w:highlight w:val="none"/>
        </w:rPr>
        <w:t>说明。如应急救援确实需要在禁(限)飞区飞行， 应按相</w:t>
      </w:r>
      <w:bookmarkStart w:id="60" w:name="_bookmark79"/>
      <w:bookmarkEnd w:id="60"/>
      <w:r>
        <w:rPr>
          <w:rFonts w:hint="eastAsia" w:ascii="宋体" w:hAnsi="宋体" w:eastAsia="宋体" w:cs="宋体"/>
          <w:color w:val="auto"/>
          <w:spacing w:val="12"/>
          <w:sz w:val="24"/>
          <w:szCs w:val="24"/>
          <w:highlight w:val="none"/>
        </w:rPr>
        <w:t>关</w:t>
      </w:r>
      <w:r>
        <w:rPr>
          <w:rFonts w:hint="eastAsia" w:ascii="宋体" w:hAnsi="宋体" w:eastAsia="宋体" w:cs="宋体"/>
          <w:color w:val="auto"/>
          <w:spacing w:val="6"/>
          <w:sz w:val="24"/>
          <w:szCs w:val="24"/>
          <w:highlight w:val="none"/>
        </w:rPr>
        <w:t>要求提前解禁。</w:t>
      </w:r>
    </w:p>
    <w:p>
      <w:pPr>
        <w:pStyle w:val="2"/>
        <w:rPr>
          <w:rFonts w:hint="eastAsia" w:ascii="宋体" w:hAnsi="宋体" w:eastAsia="宋体" w:cs="宋体"/>
          <w:color w:val="auto"/>
          <w:sz w:val="24"/>
          <w:szCs w:val="24"/>
          <w:highlight w:val="none"/>
        </w:rPr>
      </w:pPr>
    </w:p>
    <w:p>
      <w:pPr>
        <w:numPr>
          <w:ilvl w:val="0"/>
          <w:numId w:val="15"/>
        </w:numPr>
        <w:spacing w:before="202" w:line="224" w:lineRule="auto"/>
        <w:ind w:firstLine="48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作业方</w:t>
      </w:r>
      <w:r>
        <w:rPr>
          <w:rFonts w:hint="eastAsia" w:ascii="宋体" w:hAnsi="宋体" w:eastAsia="宋体" w:cs="宋体"/>
          <w:color w:val="auto"/>
          <w:sz w:val="24"/>
          <w:szCs w:val="24"/>
          <w:highlight w:val="none"/>
        </w:rPr>
        <w:t>案格式</w:t>
      </w:r>
    </w:p>
    <w:p>
      <w:pPr>
        <w:numPr>
          <w:ilvl w:val="0"/>
          <w:numId w:val="0"/>
        </w:numPr>
        <w:spacing w:before="202" w:line="22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作</w:t>
      </w:r>
      <w:r>
        <w:rPr>
          <w:rFonts w:hint="eastAsia" w:ascii="宋体" w:hAnsi="宋体" w:eastAsia="宋体" w:cs="宋体"/>
          <w:color w:val="auto"/>
          <w:spacing w:val="6"/>
          <w:sz w:val="24"/>
          <w:szCs w:val="24"/>
          <w:highlight w:val="none"/>
        </w:rPr>
        <w:t>业方案</w:t>
      </w:r>
    </w:p>
    <w:p>
      <w:pPr>
        <w:spacing w:line="138" w:lineRule="exact"/>
        <w:rPr>
          <w:rFonts w:hint="eastAsia" w:ascii="宋体" w:hAnsi="宋体" w:eastAsia="宋体" w:cs="宋体"/>
          <w:color w:val="auto"/>
          <w:sz w:val="24"/>
          <w:szCs w:val="24"/>
          <w:highlight w:val="none"/>
        </w:rPr>
      </w:pPr>
    </w:p>
    <w:tbl>
      <w:tblPr>
        <w:tblStyle w:val="95"/>
        <w:tblW w:w="88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3"/>
        <w:gridCol w:w="1735"/>
        <w:gridCol w:w="2085"/>
        <w:gridCol w:w="983"/>
        <w:gridCol w:w="986"/>
        <w:gridCol w:w="19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103" w:type="dxa"/>
            <w:vAlign w:val="top"/>
          </w:tcPr>
          <w:p>
            <w:pPr>
              <w:spacing w:before="145" w:line="217" w:lineRule="auto"/>
              <w:ind w:left="11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作业编</w:t>
            </w:r>
            <w:r>
              <w:rPr>
                <w:rFonts w:hint="eastAsia" w:ascii="宋体" w:hAnsi="宋体" w:eastAsia="宋体" w:cs="宋体"/>
                <w:color w:val="auto"/>
                <w:spacing w:val="-1"/>
                <w:sz w:val="24"/>
                <w:szCs w:val="24"/>
                <w:highlight w:val="none"/>
              </w:rPr>
              <w:t>号</w:t>
            </w:r>
          </w:p>
        </w:tc>
        <w:tc>
          <w:tcPr>
            <w:tcW w:w="7703" w:type="dxa"/>
            <w:gridSpan w:val="5"/>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03" w:type="dxa"/>
            <w:vMerge w:val="restart"/>
            <w:tcBorders>
              <w:bottom w:val="nil"/>
            </w:tcBorders>
            <w:vAlign w:val="top"/>
          </w:tcPr>
          <w:p>
            <w:pPr>
              <w:spacing w:line="264" w:lineRule="auto"/>
              <w:rPr>
                <w:rFonts w:hint="eastAsia" w:ascii="宋体" w:hAnsi="宋体" w:eastAsia="宋体" w:cs="宋体"/>
                <w:color w:val="auto"/>
                <w:sz w:val="24"/>
                <w:szCs w:val="24"/>
                <w:highlight w:val="none"/>
              </w:rPr>
            </w:pPr>
          </w:p>
          <w:p>
            <w:pPr>
              <w:spacing w:line="264" w:lineRule="auto"/>
              <w:rPr>
                <w:rFonts w:hint="eastAsia" w:ascii="宋体" w:hAnsi="宋体" w:eastAsia="宋体" w:cs="宋体"/>
                <w:color w:val="auto"/>
                <w:sz w:val="24"/>
                <w:szCs w:val="24"/>
                <w:highlight w:val="none"/>
              </w:rPr>
            </w:pPr>
          </w:p>
          <w:p>
            <w:pPr>
              <w:spacing w:line="265" w:lineRule="auto"/>
              <w:rPr>
                <w:rFonts w:hint="eastAsia" w:ascii="宋体" w:hAnsi="宋体" w:eastAsia="宋体" w:cs="宋体"/>
                <w:color w:val="auto"/>
                <w:sz w:val="24"/>
                <w:szCs w:val="24"/>
                <w:highlight w:val="none"/>
              </w:rPr>
            </w:pPr>
          </w:p>
          <w:p>
            <w:pPr>
              <w:spacing w:line="265" w:lineRule="auto"/>
              <w:rPr>
                <w:rFonts w:hint="eastAsia" w:ascii="宋体" w:hAnsi="宋体" w:eastAsia="宋体" w:cs="宋体"/>
                <w:color w:val="auto"/>
                <w:sz w:val="24"/>
                <w:szCs w:val="24"/>
                <w:highlight w:val="none"/>
              </w:rPr>
            </w:pPr>
          </w:p>
          <w:p>
            <w:pPr>
              <w:spacing w:line="265" w:lineRule="auto"/>
              <w:rPr>
                <w:rFonts w:hint="eastAsia" w:ascii="宋体" w:hAnsi="宋体" w:eastAsia="宋体" w:cs="宋体"/>
                <w:color w:val="auto"/>
                <w:sz w:val="24"/>
                <w:szCs w:val="24"/>
                <w:highlight w:val="none"/>
              </w:rPr>
            </w:pPr>
          </w:p>
          <w:p>
            <w:pPr>
              <w:spacing w:line="265" w:lineRule="auto"/>
              <w:rPr>
                <w:rFonts w:hint="eastAsia" w:ascii="宋体" w:hAnsi="宋体" w:eastAsia="宋体" w:cs="宋体"/>
                <w:color w:val="auto"/>
                <w:sz w:val="24"/>
                <w:szCs w:val="24"/>
                <w:highlight w:val="none"/>
              </w:rPr>
            </w:pPr>
          </w:p>
          <w:p>
            <w:pPr>
              <w:spacing w:before="71" w:line="217" w:lineRule="auto"/>
              <w:ind w:left="11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作业情</w:t>
            </w:r>
            <w:r>
              <w:rPr>
                <w:rFonts w:hint="eastAsia" w:ascii="宋体" w:hAnsi="宋体" w:eastAsia="宋体" w:cs="宋体"/>
                <w:color w:val="auto"/>
                <w:spacing w:val="-1"/>
                <w:sz w:val="24"/>
                <w:szCs w:val="24"/>
                <w:highlight w:val="none"/>
              </w:rPr>
              <w:t>况</w:t>
            </w:r>
          </w:p>
        </w:tc>
        <w:tc>
          <w:tcPr>
            <w:tcW w:w="1735" w:type="dxa"/>
            <w:vAlign w:val="top"/>
          </w:tcPr>
          <w:p>
            <w:pPr>
              <w:spacing w:before="140" w:line="217" w:lineRule="auto"/>
              <w:ind w:left="21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作业开</w:t>
            </w:r>
            <w:r>
              <w:rPr>
                <w:rFonts w:hint="eastAsia" w:ascii="宋体" w:hAnsi="宋体" w:eastAsia="宋体" w:cs="宋体"/>
                <w:color w:val="auto"/>
                <w:spacing w:val="-1"/>
                <w:sz w:val="24"/>
                <w:szCs w:val="24"/>
                <w:highlight w:val="none"/>
              </w:rPr>
              <w:t>始时间</w:t>
            </w:r>
          </w:p>
        </w:tc>
        <w:tc>
          <w:tcPr>
            <w:tcW w:w="2085" w:type="dxa"/>
            <w:vAlign w:val="top"/>
          </w:tcPr>
          <w:p>
            <w:pPr>
              <w:rPr>
                <w:rFonts w:hint="eastAsia" w:ascii="宋体" w:hAnsi="宋体" w:eastAsia="宋体" w:cs="宋体"/>
                <w:color w:val="auto"/>
                <w:sz w:val="24"/>
                <w:szCs w:val="24"/>
                <w:highlight w:val="none"/>
              </w:rPr>
            </w:pPr>
          </w:p>
        </w:tc>
        <w:tc>
          <w:tcPr>
            <w:tcW w:w="1969" w:type="dxa"/>
            <w:gridSpan w:val="2"/>
            <w:vMerge w:val="restart"/>
            <w:tcBorders>
              <w:bottom w:val="nil"/>
            </w:tcBorders>
            <w:vAlign w:val="top"/>
          </w:tcPr>
          <w:p>
            <w:pPr>
              <w:spacing w:before="177" w:line="434" w:lineRule="exact"/>
              <w:ind w:left="774"/>
              <w:rPr>
                <w:rFonts w:hint="eastAsia" w:ascii="宋体" w:hAnsi="宋体" w:eastAsia="宋体" w:cs="宋体"/>
                <w:color w:val="auto"/>
                <w:sz w:val="24"/>
                <w:szCs w:val="24"/>
                <w:highlight w:val="none"/>
              </w:rPr>
            </w:pPr>
            <w:r>
              <w:rPr>
                <w:rFonts w:hint="eastAsia" w:ascii="宋体" w:hAnsi="宋体" w:eastAsia="宋体" w:cs="宋体"/>
                <w:color w:val="auto"/>
                <w:spacing w:val="-3"/>
                <w:position w:val="16"/>
                <w:sz w:val="24"/>
                <w:szCs w:val="24"/>
                <w:highlight w:val="none"/>
              </w:rPr>
              <w:t>作</w:t>
            </w:r>
            <w:r>
              <w:rPr>
                <w:rFonts w:hint="eastAsia" w:ascii="宋体" w:hAnsi="宋体" w:eastAsia="宋体" w:cs="宋体"/>
                <w:color w:val="auto"/>
                <w:spacing w:val="-2"/>
                <w:position w:val="16"/>
                <w:sz w:val="24"/>
                <w:szCs w:val="24"/>
                <w:highlight w:val="none"/>
              </w:rPr>
              <w:t>业</w:t>
            </w:r>
          </w:p>
          <w:p>
            <w:pPr>
              <w:spacing w:line="219" w:lineRule="auto"/>
              <w:ind w:left="792"/>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时长</w:t>
            </w:r>
          </w:p>
        </w:tc>
        <w:tc>
          <w:tcPr>
            <w:tcW w:w="1914" w:type="dxa"/>
            <w:vMerge w:val="restart"/>
            <w:tcBorders>
              <w:bottom w:val="nil"/>
            </w:tcBorders>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103" w:type="dxa"/>
            <w:vMerge w:val="continue"/>
            <w:tcBorders>
              <w:top w:val="nil"/>
              <w:bottom w:val="nil"/>
            </w:tcBorders>
            <w:vAlign w:val="top"/>
          </w:tcPr>
          <w:p>
            <w:pPr>
              <w:rPr>
                <w:rFonts w:hint="eastAsia" w:ascii="宋体" w:hAnsi="宋体" w:eastAsia="宋体" w:cs="宋体"/>
                <w:color w:val="auto"/>
                <w:sz w:val="24"/>
                <w:szCs w:val="24"/>
                <w:highlight w:val="none"/>
              </w:rPr>
            </w:pPr>
          </w:p>
        </w:tc>
        <w:tc>
          <w:tcPr>
            <w:tcW w:w="1735" w:type="dxa"/>
            <w:vAlign w:val="top"/>
          </w:tcPr>
          <w:p>
            <w:pPr>
              <w:spacing w:before="140" w:line="217" w:lineRule="auto"/>
              <w:ind w:left="21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作业结</w:t>
            </w:r>
            <w:r>
              <w:rPr>
                <w:rFonts w:hint="eastAsia" w:ascii="宋体" w:hAnsi="宋体" w:eastAsia="宋体" w:cs="宋体"/>
                <w:color w:val="auto"/>
                <w:spacing w:val="-1"/>
                <w:sz w:val="24"/>
                <w:szCs w:val="24"/>
                <w:highlight w:val="none"/>
              </w:rPr>
              <w:t>束时间</w:t>
            </w:r>
          </w:p>
        </w:tc>
        <w:tc>
          <w:tcPr>
            <w:tcW w:w="2085" w:type="dxa"/>
            <w:vAlign w:val="top"/>
          </w:tcPr>
          <w:p>
            <w:pPr>
              <w:rPr>
                <w:rFonts w:hint="eastAsia" w:ascii="宋体" w:hAnsi="宋体" w:eastAsia="宋体" w:cs="宋体"/>
                <w:color w:val="auto"/>
                <w:sz w:val="24"/>
                <w:szCs w:val="24"/>
                <w:highlight w:val="none"/>
              </w:rPr>
            </w:pPr>
          </w:p>
        </w:tc>
        <w:tc>
          <w:tcPr>
            <w:tcW w:w="1969" w:type="dxa"/>
            <w:gridSpan w:val="2"/>
            <w:vMerge w:val="continue"/>
            <w:tcBorders>
              <w:top w:val="nil"/>
            </w:tcBorders>
            <w:vAlign w:val="top"/>
          </w:tcPr>
          <w:p>
            <w:pPr>
              <w:rPr>
                <w:rFonts w:hint="eastAsia" w:ascii="宋体" w:hAnsi="宋体" w:eastAsia="宋体" w:cs="宋体"/>
                <w:color w:val="auto"/>
                <w:sz w:val="24"/>
                <w:szCs w:val="24"/>
                <w:highlight w:val="none"/>
              </w:rPr>
            </w:pPr>
          </w:p>
        </w:tc>
        <w:tc>
          <w:tcPr>
            <w:tcW w:w="1914" w:type="dxa"/>
            <w:vMerge w:val="continue"/>
            <w:tcBorders>
              <w:top w:val="nil"/>
            </w:tcBorders>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103" w:type="dxa"/>
            <w:vMerge w:val="continue"/>
            <w:tcBorders>
              <w:top w:val="nil"/>
              <w:bottom w:val="nil"/>
            </w:tcBorders>
            <w:vAlign w:val="top"/>
          </w:tcPr>
          <w:p>
            <w:pPr>
              <w:rPr>
                <w:rFonts w:hint="eastAsia" w:ascii="宋体" w:hAnsi="宋体" w:eastAsia="宋体" w:cs="宋体"/>
                <w:color w:val="auto"/>
                <w:sz w:val="24"/>
                <w:szCs w:val="24"/>
                <w:highlight w:val="none"/>
              </w:rPr>
            </w:pPr>
          </w:p>
        </w:tc>
        <w:tc>
          <w:tcPr>
            <w:tcW w:w="1735" w:type="dxa"/>
            <w:vAlign w:val="top"/>
          </w:tcPr>
          <w:p>
            <w:pPr>
              <w:spacing w:before="140" w:line="217"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作业任</w:t>
            </w:r>
            <w:r>
              <w:rPr>
                <w:rFonts w:hint="eastAsia" w:ascii="宋体" w:hAnsi="宋体" w:eastAsia="宋体" w:cs="宋体"/>
                <w:color w:val="auto"/>
                <w:spacing w:val="-1"/>
                <w:sz w:val="24"/>
                <w:szCs w:val="24"/>
                <w:highlight w:val="none"/>
              </w:rPr>
              <w:t>务</w:t>
            </w:r>
          </w:p>
        </w:tc>
        <w:tc>
          <w:tcPr>
            <w:tcW w:w="5968" w:type="dxa"/>
            <w:gridSpan w:val="4"/>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103" w:type="dxa"/>
            <w:vMerge w:val="continue"/>
            <w:tcBorders>
              <w:top w:val="nil"/>
              <w:bottom w:val="nil"/>
            </w:tcBorders>
            <w:vAlign w:val="top"/>
          </w:tcPr>
          <w:p>
            <w:pPr>
              <w:rPr>
                <w:rFonts w:hint="eastAsia" w:ascii="宋体" w:hAnsi="宋体" w:eastAsia="宋体" w:cs="宋体"/>
                <w:color w:val="auto"/>
                <w:sz w:val="24"/>
                <w:szCs w:val="24"/>
                <w:highlight w:val="none"/>
              </w:rPr>
            </w:pPr>
          </w:p>
        </w:tc>
        <w:tc>
          <w:tcPr>
            <w:tcW w:w="1735" w:type="dxa"/>
            <w:vAlign w:val="top"/>
          </w:tcPr>
          <w:p>
            <w:pPr>
              <w:spacing w:before="141" w:line="217"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作业机</w:t>
            </w:r>
            <w:r>
              <w:rPr>
                <w:rFonts w:hint="eastAsia" w:ascii="宋体" w:hAnsi="宋体" w:eastAsia="宋体" w:cs="宋体"/>
                <w:color w:val="auto"/>
                <w:spacing w:val="-1"/>
                <w:sz w:val="24"/>
                <w:szCs w:val="24"/>
                <w:highlight w:val="none"/>
              </w:rPr>
              <w:t>型</w:t>
            </w:r>
          </w:p>
        </w:tc>
        <w:tc>
          <w:tcPr>
            <w:tcW w:w="5968" w:type="dxa"/>
            <w:gridSpan w:val="4"/>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03" w:type="dxa"/>
            <w:vMerge w:val="continue"/>
            <w:tcBorders>
              <w:top w:val="nil"/>
              <w:bottom w:val="nil"/>
            </w:tcBorders>
            <w:vAlign w:val="top"/>
          </w:tcPr>
          <w:p>
            <w:pPr>
              <w:rPr>
                <w:rFonts w:hint="eastAsia" w:ascii="宋体" w:hAnsi="宋体" w:eastAsia="宋体" w:cs="宋体"/>
                <w:color w:val="auto"/>
                <w:sz w:val="24"/>
                <w:szCs w:val="24"/>
                <w:highlight w:val="none"/>
              </w:rPr>
            </w:pPr>
          </w:p>
        </w:tc>
        <w:tc>
          <w:tcPr>
            <w:tcW w:w="1735" w:type="dxa"/>
            <w:vAlign w:val="top"/>
          </w:tcPr>
          <w:p>
            <w:pPr>
              <w:spacing w:before="142" w:line="219" w:lineRule="auto"/>
              <w:ind w:left="43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任务挂</w:t>
            </w:r>
            <w:r>
              <w:rPr>
                <w:rFonts w:hint="eastAsia" w:ascii="宋体" w:hAnsi="宋体" w:eastAsia="宋体" w:cs="宋体"/>
                <w:color w:val="auto"/>
                <w:spacing w:val="-1"/>
                <w:sz w:val="24"/>
                <w:szCs w:val="24"/>
                <w:highlight w:val="none"/>
              </w:rPr>
              <w:t>载</w:t>
            </w:r>
          </w:p>
        </w:tc>
        <w:tc>
          <w:tcPr>
            <w:tcW w:w="5968" w:type="dxa"/>
            <w:gridSpan w:val="4"/>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103" w:type="dxa"/>
            <w:vMerge w:val="continue"/>
            <w:tcBorders>
              <w:top w:val="nil"/>
              <w:bottom w:val="nil"/>
            </w:tcBorders>
            <w:vAlign w:val="top"/>
          </w:tcPr>
          <w:p>
            <w:pPr>
              <w:rPr>
                <w:rFonts w:hint="eastAsia" w:ascii="宋体" w:hAnsi="宋体" w:eastAsia="宋体" w:cs="宋体"/>
                <w:color w:val="auto"/>
                <w:sz w:val="24"/>
                <w:szCs w:val="24"/>
                <w:highlight w:val="none"/>
              </w:rPr>
            </w:pPr>
          </w:p>
        </w:tc>
        <w:tc>
          <w:tcPr>
            <w:tcW w:w="1735" w:type="dxa"/>
            <w:vAlign w:val="top"/>
          </w:tcPr>
          <w:p>
            <w:pPr>
              <w:spacing w:before="142" w:line="217"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作业区</w:t>
            </w:r>
            <w:r>
              <w:rPr>
                <w:rFonts w:hint="eastAsia" w:ascii="宋体" w:hAnsi="宋体" w:eastAsia="宋体" w:cs="宋体"/>
                <w:color w:val="auto"/>
                <w:spacing w:val="-1"/>
                <w:sz w:val="24"/>
                <w:szCs w:val="24"/>
                <w:highlight w:val="none"/>
              </w:rPr>
              <w:t>域</w:t>
            </w:r>
          </w:p>
        </w:tc>
        <w:tc>
          <w:tcPr>
            <w:tcW w:w="5968" w:type="dxa"/>
            <w:gridSpan w:val="4"/>
            <w:vAlign w:val="top"/>
          </w:tcPr>
          <w:p>
            <w:pPr>
              <w:spacing w:before="143" w:line="219" w:lineRule="auto"/>
              <w:ind w:left="2318"/>
              <w:rPr>
                <w:rFonts w:hint="eastAsia" w:ascii="宋体" w:hAnsi="宋体" w:eastAsia="宋体" w:cs="宋体"/>
                <w:color w:val="auto"/>
                <w:sz w:val="24"/>
                <w:szCs w:val="24"/>
                <w:highlight w:val="none"/>
              </w:rPr>
            </w:pPr>
            <w:r>
              <w:rPr>
                <w:rFonts w:hint="eastAsia" w:ascii="宋体" w:hAnsi="宋体" w:eastAsia="宋体" w:cs="宋体"/>
                <w:color w:val="auto"/>
                <w:spacing w:val="21"/>
                <w:sz w:val="24"/>
                <w:szCs w:val="24"/>
                <w:highlight w:val="none"/>
              </w:rPr>
              <w:t>(</w:t>
            </w:r>
            <w:r>
              <w:rPr>
                <w:rFonts w:hint="eastAsia" w:ascii="宋体" w:hAnsi="宋体" w:eastAsia="宋体" w:cs="宋体"/>
                <w:color w:val="auto"/>
                <w:spacing w:val="18"/>
                <w:sz w:val="24"/>
                <w:szCs w:val="24"/>
                <w:highlight w:val="none"/>
              </w:rPr>
              <w:t>四至边境)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103" w:type="dxa"/>
            <w:vMerge w:val="continue"/>
            <w:tcBorders>
              <w:top w:val="nil"/>
            </w:tcBorders>
            <w:vAlign w:val="top"/>
          </w:tcPr>
          <w:p>
            <w:pPr>
              <w:rPr>
                <w:rFonts w:hint="eastAsia" w:ascii="宋体" w:hAnsi="宋体" w:eastAsia="宋体" w:cs="宋体"/>
                <w:color w:val="auto"/>
                <w:sz w:val="24"/>
                <w:szCs w:val="24"/>
                <w:highlight w:val="none"/>
              </w:rPr>
            </w:pPr>
          </w:p>
        </w:tc>
        <w:tc>
          <w:tcPr>
            <w:tcW w:w="1735" w:type="dxa"/>
            <w:vAlign w:val="top"/>
          </w:tcPr>
          <w:p>
            <w:pPr>
              <w:spacing w:before="142" w:line="219"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巡护面</w:t>
            </w:r>
            <w:r>
              <w:rPr>
                <w:rFonts w:hint="eastAsia" w:ascii="宋体" w:hAnsi="宋体" w:eastAsia="宋体" w:cs="宋体"/>
                <w:color w:val="auto"/>
                <w:spacing w:val="-1"/>
                <w:sz w:val="24"/>
                <w:szCs w:val="24"/>
                <w:highlight w:val="none"/>
              </w:rPr>
              <w:t>积</w:t>
            </w:r>
          </w:p>
        </w:tc>
        <w:tc>
          <w:tcPr>
            <w:tcW w:w="5968" w:type="dxa"/>
            <w:gridSpan w:val="4"/>
            <w:vAlign w:val="top"/>
          </w:tcPr>
          <w:p>
            <w:pPr>
              <w:spacing w:before="143" w:line="220" w:lineRule="auto"/>
              <w:ind w:left="2649"/>
              <w:rPr>
                <w:rFonts w:hint="eastAsia" w:ascii="宋体" w:hAnsi="宋体" w:eastAsia="宋体" w:cs="宋体"/>
                <w:color w:val="auto"/>
                <w:sz w:val="24"/>
                <w:szCs w:val="24"/>
                <w:highlight w:val="none"/>
              </w:rPr>
            </w:pPr>
            <w:r>
              <w:rPr>
                <w:rFonts w:hint="eastAsia" w:ascii="宋体" w:hAnsi="宋体" w:eastAsia="宋体" w:cs="宋体"/>
                <w:color w:val="auto"/>
                <w:spacing w:val="37"/>
                <w:sz w:val="24"/>
                <w:szCs w:val="24"/>
                <w:highlight w:val="none"/>
              </w:rPr>
              <w:t>(亩)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7" w:hRule="atLeast"/>
        </w:trPr>
        <w:tc>
          <w:tcPr>
            <w:tcW w:w="1103" w:type="dxa"/>
            <w:vMerge w:val="restart"/>
            <w:tcBorders>
              <w:bottom w:val="nil"/>
            </w:tcBorders>
            <w:vAlign w:val="top"/>
          </w:tcPr>
          <w:p>
            <w:pPr>
              <w:spacing w:line="247" w:lineRule="auto"/>
              <w:rPr>
                <w:rFonts w:hint="eastAsia" w:ascii="宋体" w:hAnsi="宋体" w:eastAsia="宋体" w:cs="宋体"/>
                <w:color w:val="auto"/>
                <w:sz w:val="24"/>
                <w:szCs w:val="24"/>
                <w:highlight w:val="none"/>
              </w:rPr>
            </w:pPr>
          </w:p>
          <w:p>
            <w:pPr>
              <w:spacing w:line="247" w:lineRule="auto"/>
              <w:rPr>
                <w:rFonts w:hint="eastAsia" w:ascii="宋体" w:hAnsi="宋体" w:eastAsia="宋体" w:cs="宋体"/>
                <w:color w:val="auto"/>
                <w:sz w:val="24"/>
                <w:szCs w:val="24"/>
                <w:highlight w:val="none"/>
              </w:rPr>
            </w:pPr>
          </w:p>
          <w:p>
            <w:pPr>
              <w:spacing w:line="248" w:lineRule="auto"/>
              <w:rPr>
                <w:rFonts w:hint="eastAsia" w:ascii="宋体" w:hAnsi="宋体" w:eastAsia="宋体" w:cs="宋体"/>
                <w:color w:val="auto"/>
                <w:sz w:val="24"/>
                <w:szCs w:val="24"/>
                <w:highlight w:val="none"/>
              </w:rPr>
            </w:pPr>
          </w:p>
          <w:p>
            <w:pPr>
              <w:spacing w:line="248" w:lineRule="auto"/>
              <w:rPr>
                <w:rFonts w:hint="eastAsia" w:ascii="宋体" w:hAnsi="宋体" w:eastAsia="宋体" w:cs="宋体"/>
                <w:color w:val="auto"/>
                <w:sz w:val="24"/>
                <w:szCs w:val="24"/>
                <w:highlight w:val="none"/>
              </w:rPr>
            </w:pPr>
          </w:p>
          <w:p>
            <w:pPr>
              <w:spacing w:line="248" w:lineRule="auto"/>
              <w:rPr>
                <w:rFonts w:hint="eastAsia" w:ascii="宋体" w:hAnsi="宋体" w:eastAsia="宋体" w:cs="宋体"/>
                <w:color w:val="auto"/>
                <w:sz w:val="24"/>
                <w:szCs w:val="24"/>
                <w:highlight w:val="none"/>
              </w:rPr>
            </w:pPr>
          </w:p>
          <w:p>
            <w:pPr>
              <w:spacing w:line="248" w:lineRule="auto"/>
              <w:rPr>
                <w:rFonts w:hint="eastAsia" w:ascii="宋体" w:hAnsi="宋体" w:eastAsia="宋体" w:cs="宋体"/>
                <w:color w:val="auto"/>
                <w:sz w:val="24"/>
                <w:szCs w:val="24"/>
                <w:highlight w:val="none"/>
              </w:rPr>
            </w:pPr>
          </w:p>
          <w:p>
            <w:pPr>
              <w:spacing w:line="248" w:lineRule="auto"/>
              <w:rPr>
                <w:rFonts w:hint="eastAsia" w:ascii="宋体" w:hAnsi="宋体" w:eastAsia="宋体" w:cs="宋体"/>
                <w:color w:val="auto"/>
                <w:sz w:val="24"/>
                <w:szCs w:val="24"/>
                <w:highlight w:val="none"/>
              </w:rPr>
            </w:pPr>
          </w:p>
          <w:p>
            <w:pPr>
              <w:spacing w:before="71" w:line="219" w:lineRule="auto"/>
              <w:ind w:left="11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整体情</w:t>
            </w:r>
            <w:r>
              <w:rPr>
                <w:rFonts w:hint="eastAsia" w:ascii="宋体" w:hAnsi="宋体" w:eastAsia="宋体" w:cs="宋体"/>
                <w:color w:val="auto"/>
                <w:spacing w:val="-1"/>
                <w:sz w:val="24"/>
                <w:szCs w:val="24"/>
                <w:highlight w:val="none"/>
              </w:rPr>
              <w:t>况</w:t>
            </w:r>
          </w:p>
        </w:tc>
        <w:tc>
          <w:tcPr>
            <w:tcW w:w="1735" w:type="dxa"/>
            <w:vAlign w:val="top"/>
          </w:tcPr>
          <w:p>
            <w:pPr>
              <w:spacing w:line="249" w:lineRule="auto"/>
              <w:rPr>
                <w:rFonts w:hint="eastAsia" w:ascii="宋体" w:hAnsi="宋体" w:eastAsia="宋体" w:cs="宋体"/>
                <w:color w:val="auto"/>
                <w:sz w:val="24"/>
                <w:szCs w:val="24"/>
                <w:highlight w:val="none"/>
              </w:rPr>
            </w:pPr>
          </w:p>
          <w:p>
            <w:pPr>
              <w:spacing w:line="249" w:lineRule="auto"/>
              <w:rPr>
                <w:rFonts w:hint="eastAsia" w:ascii="宋体" w:hAnsi="宋体" w:eastAsia="宋体" w:cs="宋体"/>
                <w:color w:val="auto"/>
                <w:sz w:val="24"/>
                <w:szCs w:val="24"/>
                <w:highlight w:val="none"/>
              </w:rPr>
            </w:pPr>
          </w:p>
          <w:p>
            <w:pPr>
              <w:spacing w:line="250" w:lineRule="auto"/>
              <w:rPr>
                <w:rFonts w:hint="eastAsia" w:ascii="宋体" w:hAnsi="宋体" w:eastAsia="宋体" w:cs="宋体"/>
                <w:color w:val="auto"/>
                <w:sz w:val="24"/>
                <w:szCs w:val="24"/>
                <w:highlight w:val="none"/>
              </w:rPr>
            </w:pPr>
          </w:p>
          <w:p>
            <w:pPr>
              <w:spacing w:before="72" w:line="219"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山</w:t>
            </w:r>
            <w:r>
              <w:rPr>
                <w:rFonts w:hint="eastAsia" w:ascii="宋体" w:hAnsi="宋体" w:eastAsia="宋体" w:cs="宋体"/>
                <w:color w:val="auto"/>
                <w:spacing w:val="-5"/>
                <w:sz w:val="24"/>
                <w:szCs w:val="24"/>
                <w:highlight w:val="none"/>
              </w:rPr>
              <w:t>情社情林情</w:t>
            </w:r>
          </w:p>
        </w:tc>
        <w:tc>
          <w:tcPr>
            <w:tcW w:w="5968" w:type="dxa"/>
            <w:gridSpan w:val="4"/>
            <w:vAlign w:val="top"/>
          </w:tcPr>
          <w:p>
            <w:pPr>
              <w:spacing w:line="249" w:lineRule="auto"/>
              <w:rPr>
                <w:rFonts w:hint="eastAsia" w:ascii="宋体" w:hAnsi="宋体" w:eastAsia="宋体" w:cs="宋体"/>
                <w:color w:val="auto"/>
                <w:sz w:val="24"/>
                <w:szCs w:val="24"/>
                <w:highlight w:val="none"/>
              </w:rPr>
            </w:pPr>
          </w:p>
          <w:p>
            <w:pPr>
              <w:spacing w:line="249" w:lineRule="auto"/>
              <w:rPr>
                <w:rFonts w:hint="eastAsia" w:ascii="宋体" w:hAnsi="宋体" w:eastAsia="宋体" w:cs="宋体"/>
                <w:color w:val="auto"/>
                <w:sz w:val="24"/>
                <w:szCs w:val="24"/>
                <w:highlight w:val="none"/>
              </w:rPr>
            </w:pPr>
          </w:p>
          <w:p>
            <w:pPr>
              <w:spacing w:line="250" w:lineRule="auto"/>
              <w:rPr>
                <w:rFonts w:hint="eastAsia" w:ascii="宋体" w:hAnsi="宋体" w:eastAsia="宋体" w:cs="宋体"/>
                <w:color w:val="auto"/>
                <w:sz w:val="24"/>
                <w:szCs w:val="24"/>
                <w:highlight w:val="none"/>
              </w:rPr>
            </w:pPr>
          </w:p>
          <w:p>
            <w:pPr>
              <w:spacing w:before="72" w:line="217" w:lineRule="auto"/>
              <w:ind w:left="1879"/>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w:t>
            </w:r>
            <w:r>
              <w:rPr>
                <w:rFonts w:hint="eastAsia" w:ascii="宋体" w:hAnsi="宋体" w:eastAsia="宋体" w:cs="宋体"/>
                <w:color w:val="auto"/>
                <w:spacing w:val="11"/>
                <w:sz w:val="24"/>
                <w:szCs w:val="24"/>
                <w:highlight w:val="none"/>
              </w:rPr>
              <w:t>作业区域基本情况)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9" w:hRule="atLeast"/>
        </w:trPr>
        <w:tc>
          <w:tcPr>
            <w:tcW w:w="1103" w:type="dxa"/>
            <w:vMerge w:val="continue"/>
            <w:tcBorders>
              <w:top w:val="nil"/>
            </w:tcBorders>
            <w:vAlign w:val="top"/>
          </w:tcPr>
          <w:p>
            <w:pPr>
              <w:rPr>
                <w:rFonts w:hint="eastAsia" w:ascii="宋体" w:hAnsi="宋体" w:eastAsia="宋体" w:cs="宋体"/>
                <w:color w:val="auto"/>
                <w:sz w:val="24"/>
                <w:szCs w:val="24"/>
                <w:highlight w:val="none"/>
              </w:rPr>
            </w:pPr>
          </w:p>
        </w:tc>
        <w:tc>
          <w:tcPr>
            <w:tcW w:w="1735" w:type="dxa"/>
            <w:vAlign w:val="top"/>
          </w:tcPr>
          <w:p>
            <w:pPr>
              <w:spacing w:line="268" w:lineRule="auto"/>
              <w:rPr>
                <w:rFonts w:hint="eastAsia" w:ascii="宋体" w:hAnsi="宋体" w:eastAsia="宋体" w:cs="宋体"/>
                <w:color w:val="auto"/>
                <w:sz w:val="24"/>
                <w:szCs w:val="24"/>
                <w:highlight w:val="none"/>
              </w:rPr>
            </w:pPr>
          </w:p>
          <w:p>
            <w:pPr>
              <w:spacing w:line="268" w:lineRule="auto"/>
              <w:rPr>
                <w:rFonts w:hint="eastAsia" w:ascii="宋体" w:hAnsi="宋体" w:eastAsia="宋体" w:cs="宋体"/>
                <w:color w:val="auto"/>
                <w:sz w:val="24"/>
                <w:szCs w:val="24"/>
                <w:highlight w:val="none"/>
              </w:rPr>
            </w:pPr>
          </w:p>
          <w:p>
            <w:pPr>
              <w:spacing w:line="268" w:lineRule="auto"/>
              <w:rPr>
                <w:rFonts w:hint="eastAsia" w:ascii="宋体" w:hAnsi="宋体" w:eastAsia="宋体" w:cs="宋体"/>
                <w:color w:val="auto"/>
                <w:sz w:val="24"/>
                <w:szCs w:val="24"/>
                <w:highlight w:val="none"/>
              </w:rPr>
            </w:pPr>
          </w:p>
          <w:p>
            <w:pPr>
              <w:spacing w:before="72" w:line="217" w:lineRule="auto"/>
              <w:ind w:left="44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飞</w:t>
            </w:r>
            <w:r>
              <w:rPr>
                <w:rFonts w:hint="eastAsia" w:ascii="宋体" w:hAnsi="宋体" w:eastAsia="宋体" w:cs="宋体"/>
                <w:color w:val="auto"/>
                <w:spacing w:val="-3"/>
                <w:sz w:val="24"/>
                <w:szCs w:val="24"/>
                <w:highlight w:val="none"/>
              </w:rPr>
              <w:t>行方案</w:t>
            </w:r>
          </w:p>
        </w:tc>
        <w:tc>
          <w:tcPr>
            <w:tcW w:w="5968" w:type="dxa"/>
            <w:gridSpan w:val="4"/>
            <w:vAlign w:val="top"/>
          </w:tcPr>
          <w:p>
            <w:pPr>
              <w:spacing w:line="268" w:lineRule="auto"/>
              <w:rPr>
                <w:rFonts w:hint="eastAsia" w:ascii="宋体" w:hAnsi="宋体" w:eastAsia="宋体" w:cs="宋体"/>
                <w:color w:val="auto"/>
                <w:sz w:val="24"/>
                <w:szCs w:val="24"/>
                <w:highlight w:val="none"/>
              </w:rPr>
            </w:pPr>
          </w:p>
          <w:p>
            <w:pPr>
              <w:spacing w:line="268" w:lineRule="auto"/>
              <w:rPr>
                <w:rFonts w:hint="eastAsia" w:ascii="宋体" w:hAnsi="宋体" w:eastAsia="宋体" w:cs="宋体"/>
                <w:color w:val="auto"/>
                <w:sz w:val="24"/>
                <w:szCs w:val="24"/>
                <w:highlight w:val="none"/>
              </w:rPr>
            </w:pPr>
          </w:p>
          <w:p>
            <w:pPr>
              <w:spacing w:line="269" w:lineRule="auto"/>
              <w:rPr>
                <w:rFonts w:hint="eastAsia" w:ascii="宋体" w:hAnsi="宋体" w:eastAsia="宋体" w:cs="宋体"/>
                <w:color w:val="auto"/>
                <w:sz w:val="24"/>
                <w:szCs w:val="24"/>
                <w:highlight w:val="none"/>
              </w:rPr>
            </w:pPr>
          </w:p>
          <w:p>
            <w:pPr>
              <w:spacing w:before="71" w:line="219" w:lineRule="auto"/>
              <w:ind w:left="1329"/>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w:t>
            </w:r>
            <w:r>
              <w:rPr>
                <w:rFonts w:hint="eastAsia" w:ascii="宋体" w:hAnsi="宋体" w:eastAsia="宋体" w:cs="宋体"/>
                <w:color w:val="auto"/>
                <w:spacing w:val="7"/>
                <w:sz w:val="24"/>
                <w:szCs w:val="24"/>
                <w:highlight w:val="none"/>
              </w:rPr>
              <w:t>起降点、航线、速度、高度等)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103" w:type="dxa"/>
            <w:vMerge w:val="restart"/>
            <w:tcBorders>
              <w:bottom w:val="nil"/>
            </w:tcBorders>
            <w:vAlign w:val="top"/>
          </w:tcPr>
          <w:p>
            <w:pPr>
              <w:spacing w:line="271" w:lineRule="auto"/>
              <w:rPr>
                <w:rFonts w:hint="eastAsia" w:ascii="宋体" w:hAnsi="宋体" w:eastAsia="宋体" w:cs="宋体"/>
                <w:color w:val="auto"/>
                <w:sz w:val="24"/>
                <w:szCs w:val="24"/>
                <w:highlight w:val="none"/>
              </w:rPr>
            </w:pPr>
          </w:p>
          <w:p>
            <w:pPr>
              <w:spacing w:line="272" w:lineRule="auto"/>
              <w:rPr>
                <w:rFonts w:hint="eastAsia" w:ascii="宋体" w:hAnsi="宋体" w:eastAsia="宋体" w:cs="宋体"/>
                <w:color w:val="auto"/>
                <w:sz w:val="24"/>
                <w:szCs w:val="24"/>
                <w:highlight w:val="none"/>
              </w:rPr>
            </w:pPr>
          </w:p>
          <w:p>
            <w:pPr>
              <w:spacing w:line="272" w:lineRule="auto"/>
              <w:rPr>
                <w:rFonts w:hint="eastAsia" w:ascii="宋体" w:hAnsi="宋体" w:eastAsia="宋体" w:cs="宋体"/>
                <w:color w:val="auto"/>
                <w:sz w:val="24"/>
                <w:szCs w:val="24"/>
                <w:highlight w:val="none"/>
              </w:rPr>
            </w:pPr>
          </w:p>
          <w:p>
            <w:pPr>
              <w:spacing w:line="272" w:lineRule="auto"/>
              <w:rPr>
                <w:rFonts w:hint="eastAsia" w:ascii="宋体" w:hAnsi="宋体" w:eastAsia="宋体" w:cs="宋体"/>
                <w:color w:val="auto"/>
                <w:sz w:val="24"/>
                <w:szCs w:val="24"/>
                <w:highlight w:val="none"/>
              </w:rPr>
            </w:pPr>
          </w:p>
          <w:p>
            <w:pPr>
              <w:spacing w:before="7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人员</w:t>
            </w:r>
            <w:r>
              <w:rPr>
                <w:rFonts w:hint="eastAsia" w:ascii="宋体" w:hAnsi="宋体" w:eastAsia="宋体" w:cs="宋体"/>
                <w:color w:val="auto"/>
                <w:spacing w:val="-1"/>
                <w:sz w:val="24"/>
                <w:szCs w:val="24"/>
                <w:highlight w:val="none"/>
              </w:rPr>
              <w:t>配置</w:t>
            </w:r>
          </w:p>
        </w:tc>
        <w:tc>
          <w:tcPr>
            <w:tcW w:w="1735" w:type="dxa"/>
            <w:vAlign w:val="top"/>
          </w:tcPr>
          <w:p>
            <w:pPr>
              <w:rPr>
                <w:rFonts w:hint="eastAsia" w:ascii="宋体" w:hAnsi="宋体" w:eastAsia="宋体" w:cs="宋体"/>
                <w:color w:val="auto"/>
                <w:sz w:val="24"/>
                <w:szCs w:val="24"/>
                <w:highlight w:val="none"/>
              </w:rPr>
            </w:pPr>
          </w:p>
        </w:tc>
        <w:tc>
          <w:tcPr>
            <w:tcW w:w="2085" w:type="dxa"/>
            <w:vAlign w:val="top"/>
          </w:tcPr>
          <w:p>
            <w:pPr>
              <w:spacing w:before="144" w:line="221" w:lineRule="auto"/>
              <w:ind w:left="82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姓名</w:t>
            </w:r>
          </w:p>
        </w:tc>
        <w:tc>
          <w:tcPr>
            <w:tcW w:w="983" w:type="dxa"/>
            <w:vAlign w:val="top"/>
          </w:tcPr>
          <w:p>
            <w:pPr>
              <w:spacing w:before="145" w:line="219" w:lineRule="auto"/>
              <w:ind w:left="28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职</w:t>
            </w:r>
            <w:r>
              <w:rPr>
                <w:rFonts w:hint="eastAsia" w:ascii="宋体" w:hAnsi="宋体" w:eastAsia="宋体" w:cs="宋体"/>
                <w:color w:val="auto"/>
                <w:spacing w:val="-4"/>
                <w:sz w:val="24"/>
                <w:szCs w:val="24"/>
                <w:highlight w:val="none"/>
              </w:rPr>
              <w:t>务</w:t>
            </w:r>
          </w:p>
        </w:tc>
        <w:tc>
          <w:tcPr>
            <w:tcW w:w="986" w:type="dxa"/>
            <w:vAlign w:val="top"/>
          </w:tcPr>
          <w:p>
            <w:pPr>
              <w:spacing w:before="144" w:line="217" w:lineRule="auto"/>
              <w:ind w:left="28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性别</w:t>
            </w:r>
          </w:p>
        </w:tc>
        <w:tc>
          <w:tcPr>
            <w:tcW w:w="1914" w:type="dxa"/>
            <w:vAlign w:val="top"/>
          </w:tcPr>
          <w:p>
            <w:pPr>
              <w:spacing w:before="145" w:line="219" w:lineRule="auto"/>
              <w:ind w:left="52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联</w:t>
            </w:r>
            <w:r>
              <w:rPr>
                <w:rFonts w:hint="eastAsia" w:ascii="宋体" w:hAnsi="宋体" w:eastAsia="宋体" w:cs="宋体"/>
                <w:color w:val="auto"/>
                <w:spacing w:val="-1"/>
                <w:sz w:val="24"/>
                <w:szCs w:val="24"/>
                <w:highlight w:val="none"/>
              </w:rPr>
              <w:t>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03" w:type="dxa"/>
            <w:vMerge w:val="continue"/>
            <w:tcBorders>
              <w:top w:val="nil"/>
              <w:bottom w:val="nil"/>
            </w:tcBorders>
            <w:vAlign w:val="top"/>
          </w:tcPr>
          <w:p>
            <w:pPr>
              <w:rPr>
                <w:rFonts w:hint="eastAsia" w:ascii="宋体" w:hAnsi="宋体" w:eastAsia="宋体" w:cs="宋体"/>
                <w:color w:val="auto"/>
                <w:sz w:val="24"/>
                <w:szCs w:val="24"/>
                <w:highlight w:val="none"/>
              </w:rPr>
            </w:pPr>
          </w:p>
        </w:tc>
        <w:tc>
          <w:tcPr>
            <w:tcW w:w="1735" w:type="dxa"/>
            <w:vAlign w:val="top"/>
          </w:tcPr>
          <w:p>
            <w:pPr>
              <w:spacing w:before="142" w:line="221" w:lineRule="auto"/>
              <w:ind w:left="54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联系</w:t>
            </w:r>
            <w:r>
              <w:rPr>
                <w:rFonts w:hint="eastAsia" w:ascii="宋体" w:hAnsi="宋体" w:eastAsia="宋体" w:cs="宋体"/>
                <w:color w:val="auto"/>
                <w:spacing w:val="-1"/>
                <w:sz w:val="24"/>
                <w:szCs w:val="24"/>
                <w:highlight w:val="none"/>
              </w:rPr>
              <w:t>人</w:t>
            </w:r>
          </w:p>
        </w:tc>
        <w:tc>
          <w:tcPr>
            <w:tcW w:w="2085" w:type="dxa"/>
            <w:vAlign w:val="top"/>
          </w:tcPr>
          <w:p>
            <w:pPr>
              <w:rPr>
                <w:rFonts w:hint="eastAsia" w:ascii="宋体" w:hAnsi="宋体" w:eastAsia="宋体" w:cs="宋体"/>
                <w:color w:val="auto"/>
                <w:sz w:val="24"/>
                <w:szCs w:val="24"/>
                <w:highlight w:val="none"/>
              </w:rPr>
            </w:pPr>
          </w:p>
        </w:tc>
        <w:tc>
          <w:tcPr>
            <w:tcW w:w="983" w:type="dxa"/>
            <w:vAlign w:val="top"/>
          </w:tcPr>
          <w:p>
            <w:pPr>
              <w:rPr>
                <w:rFonts w:hint="eastAsia" w:ascii="宋体" w:hAnsi="宋体" w:eastAsia="宋体" w:cs="宋体"/>
                <w:color w:val="auto"/>
                <w:sz w:val="24"/>
                <w:szCs w:val="24"/>
                <w:highlight w:val="none"/>
              </w:rPr>
            </w:pPr>
          </w:p>
        </w:tc>
        <w:tc>
          <w:tcPr>
            <w:tcW w:w="986" w:type="dxa"/>
            <w:vAlign w:val="top"/>
          </w:tcPr>
          <w:p>
            <w:pPr>
              <w:rPr>
                <w:rFonts w:hint="eastAsia" w:ascii="宋体" w:hAnsi="宋体" w:eastAsia="宋体" w:cs="宋体"/>
                <w:color w:val="auto"/>
                <w:sz w:val="24"/>
                <w:szCs w:val="24"/>
                <w:highlight w:val="none"/>
              </w:rPr>
            </w:pPr>
          </w:p>
        </w:tc>
        <w:tc>
          <w:tcPr>
            <w:tcW w:w="1914" w:type="dxa"/>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103" w:type="dxa"/>
            <w:vMerge w:val="continue"/>
            <w:tcBorders>
              <w:top w:val="nil"/>
              <w:bottom w:val="nil"/>
            </w:tcBorders>
            <w:vAlign w:val="top"/>
          </w:tcPr>
          <w:p>
            <w:pPr>
              <w:rPr>
                <w:rFonts w:hint="eastAsia" w:ascii="宋体" w:hAnsi="宋体" w:eastAsia="宋体" w:cs="宋体"/>
                <w:color w:val="auto"/>
                <w:sz w:val="24"/>
                <w:szCs w:val="24"/>
                <w:highlight w:val="none"/>
              </w:rPr>
            </w:pPr>
          </w:p>
        </w:tc>
        <w:tc>
          <w:tcPr>
            <w:tcW w:w="1735" w:type="dxa"/>
            <w:vAlign w:val="top"/>
          </w:tcPr>
          <w:p>
            <w:pPr>
              <w:spacing w:before="145" w:line="217" w:lineRule="auto"/>
              <w:ind w:left="21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无</w:t>
            </w:r>
            <w:r>
              <w:rPr>
                <w:rFonts w:hint="eastAsia" w:ascii="宋体" w:hAnsi="宋体" w:eastAsia="宋体" w:cs="宋体"/>
                <w:color w:val="auto"/>
                <w:spacing w:val="-2"/>
                <w:sz w:val="24"/>
                <w:szCs w:val="24"/>
                <w:highlight w:val="none"/>
              </w:rPr>
              <w:t>人机操作员</w:t>
            </w:r>
          </w:p>
        </w:tc>
        <w:tc>
          <w:tcPr>
            <w:tcW w:w="2085" w:type="dxa"/>
            <w:vAlign w:val="top"/>
          </w:tcPr>
          <w:p>
            <w:pPr>
              <w:rPr>
                <w:rFonts w:hint="eastAsia" w:ascii="宋体" w:hAnsi="宋体" w:eastAsia="宋体" w:cs="宋体"/>
                <w:color w:val="auto"/>
                <w:sz w:val="24"/>
                <w:szCs w:val="24"/>
                <w:highlight w:val="none"/>
              </w:rPr>
            </w:pPr>
          </w:p>
        </w:tc>
        <w:tc>
          <w:tcPr>
            <w:tcW w:w="983" w:type="dxa"/>
            <w:vAlign w:val="top"/>
          </w:tcPr>
          <w:p>
            <w:pPr>
              <w:rPr>
                <w:rFonts w:hint="eastAsia" w:ascii="宋体" w:hAnsi="宋体" w:eastAsia="宋体" w:cs="宋体"/>
                <w:color w:val="auto"/>
                <w:sz w:val="24"/>
                <w:szCs w:val="24"/>
                <w:highlight w:val="none"/>
              </w:rPr>
            </w:pPr>
          </w:p>
        </w:tc>
        <w:tc>
          <w:tcPr>
            <w:tcW w:w="986" w:type="dxa"/>
            <w:vAlign w:val="top"/>
          </w:tcPr>
          <w:p>
            <w:pPr>
              <w:rPr>
                <w:rFonts w:hint="eastAsia" w:ascii="宋体" w:hAnsi="宋体" w:eastAsia="宋体" w:cs="宋体"/>
                <w:color w:val="auto"/>
                <w:sz w:val="24"/>
                <w:szCs w:val="24"/>
                <w:highlight w:val="none"/>
              </w:rPr>
            </w:pPr>
          </w:p>
        </w:tc>
        <w:tc>
          <w:tcPr>
            <w:tcW w:w="1914" w:type="dxa"/>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03" w:type="dxa"/>
            <w:vMerge w:val="continue"/>
            <w:tcBorders>
              <w:top w:val="nil"/>
              <w:bottom w:val="nil"/>
            </w:tcBorders>
            <w:vAlign w:val="top"/>
          </w:tcPr>
          <w:p>
            <w:pPr>
              <w:rPr>
                <w:rFonts w:hint="eastAsia" w:ascii="宋体" w:hAnsi="宋体" w:eastAsia="宋体" w:cs="宋体"/>
                <w:color w:val="auto"/>
                <w:sz w:val="24"/>
                <w:szCs w:val="24"/>
                <w:highlight w:val="none"/>
              </w:rPr>
            </w:pPr>
          </w:p>
        </w:tc>
        <w:tc>
          <w:tcPr>
            <w:tcW w:w="1735" w:type="dxa"/>
            <w:vAlign w:val="top"/>
          </w:tcPr>
          <w:p>
            <w:pPr>
              <w:spacing w:before="143" w:line="219" w:lineRule="auto"/>
              <w:ind w:left="2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安全监测人员</w:t>
            </w:r>
          </w:p>
        </w:tc>
        <w:tc>
          <w:tcPr>
            <w:tcW w:w="2085" w:type="dxa"/>
            <w:vAlign w:val="top"/>
          </w:tcPr>
          <w:p>
            <w:pPr>
              <w:rPr>
                <w:rFonts w:hint="eastAsia" w:ascii="宋体" w:hAnsi="宋体" w:eastAsia="宋体" w:cs="宋体"/>
                <w:color w:val="auto"/>
                <w:sz w:val="24"/>
                <w:szCs w:val="24"/>
                <w:highlight w:val="none"/>
              </w:rPr>
            </w:pPr>
          </w:p>
        </w:tc>
        <w:tc>
          <w:tcPr>
            <w:tcW w:w="983" w:type="dxa"/>
            <w:vAlign w:val="top"/>
          </w:tcPr>
          <w:p>
            <w:pPr>
              <w:rPr>
                <w:rFonts w:hint="eastAsia" w:ascii="宋体" w:hAnsi="宋体" w:eastAsia="宋体" w:cs="宋体"/>
                <w:color w:val="auto"/>
                <w:sz w:val="24"/>
                <w:szCs w:val="24"/>
                <w:highlight w:val="none"/>
              </w:rPr>
            </w:pPr>
          </w:p>
        </w:tc>
        <w:tc>
          <w:tcPr>
            <w:tcW w:w="986" w:type="dxa"/>
            <w:vAlign w:val="top"/>
          </w:tcPr>
          <w:p>
            <w:pPr>
              <w:rPr>
                <w:rFonts w:hint="eastAsia" w:ascii="宋体" w:hAnsi="宋体" w:eastAsia="宋体" w:cs="宋体"/>
                <w:color w:val="auto"/>
                <w:sz w:val="24"/>
                <w:szCs w:val="24"/>
                <w:highlight w:val="none"/>
              </w:rPr>
            </w:pPr>
          </w:p>
        </w:tc>
        <w:tc>
          <w:tcPr>
            <w:tcW w:w="1914" w:type="dxa"/>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103" w:type="dxa"/>
            <w:vMerge w:val="continue"/>
            <w:tcBorders>
              <w:top w:val="nil"/>
            </w:tcBorders>
            <w:vAlign w:val="top"/>
          </w:tcPr>
          <w:p>
            <w:pPr>
              <w:rPr>
                <w:rFonts w:hint="eastAsia" w:ascii="宋体" w:hAnsi="宋体" w:eastAsia="宋体" w:cs="宋体"/>
                <w:color w:val="auto"/>
                <w:sz w:val="24"/>
                <w:szCs w:val="24"/>
                <w:highlight w:val="none"/>
              </w:rPr>
            </w:pPr>
          </w:p>
        </w:tc>
        <w:tc>
          <w:tcPr>
            <w:tcW w:w="1735" w:type="dxa"/>
            <w:vAlign w:val="top"/>
          </w:tcPr>
          <w:p>
            <w:pPr>
              <w:spacing w:before="285" w:line="176" w:lineRule="exact"/>
              <w:ind w:left="680"/>
              <w:rPr>
                <w:rFonts w:hint="eastAsia" w:ascii="宋体" w:hAnsi="宋体" w:eastAsia="宋体" w:cs="宋体"/>
                <w:color w:val="auto"/>
                <w:sz w:val="24"/>
                <w:szCs w:val="24"/>
                <w:highlight w:val="none"/>
              </w:rPr>
            </w:pPr>
            <w:r>
              <w:rPr>
                <w:rFonts w:hint="eastAsia" w:ascii="宋体" w:hAnsi="宋体" w:eastAsia="宋体" w:cs="宋体"/>
                <w:color w:val="auto"/>
                <w:spacing w:val="-10"/>
                <w:position w:val="-3"/>
                <w:sz w:val="24"/>
                <w:szCs w:val="24"/>
                <w:highlight w:val="none"/>
              </w:rPr>
              <w:t>…</w:t>
            </w:r>
            <w:r>
              <w:rPr>
                <w:rFonts w:hint="eastAsia" w:ascii="宋体" w:hAnsi="宋体" w:eastAsia="宋体" w:cs="宋体"/>
                <w:color w:val="auto"/>
                <w:spacing w:val="-8"/>
                <w:position w:val="-3"/>
                <w:sz w:val="24"/>
                <w:szCs w:val="24"/>
                <w:highlight w:val="none"/>
              </w:rPr>
              <w:t>…</w:t>
            </w:r>
          </w:p>
        </w:tc>
        <w:tc>
          <w:tcPr>
            <w:tcW w:w="2085" w:type="dxa"/>
            <w:vAlign w:val="top"/>
          </w:tcPr>
          <w:p>
            <w:pPr>
              <w:rPr>
                <w:rFonts w:hint="eastAsia" w:ascii="宋体" w:hAnsi="宋体" w:eastAsia="宋体" w:cs="宋体"/>
                <w:color w:val="auto"/>
                <w:sz w:val="24"/>
                <w:szCs w:val="24"/>
                <w:highlight w:val="none"/>
              </w:rPr>
            </w:pPr>
          </w:p>
        </w:tc>
        <w:tc>
          <w:tcPr>
            <w:tcW w:w="983" w:type="dxa"/>
            <w:vAlign w:val="top"/>
          </w:tcPr>
          <w:p>
            <w:pPr>
              <w:rPr>
                <w:rFonts w:hint="eastAsia" w:ascii="宋体" w:hAnsi="宋体" w:eastAsia="宋体" w:cs="宋体"/>
                <w:color w:val="auto"/>
                <w:sz w:val="24"/>
                <w:szCs w:val="24"/>
                <w:highlight w:val="none"/>
              </w:rPr>
            </w:pPr>
          </w:p>
        </w:tc>
        <w:tc>
          <w:tcPr>
            <w:tcW w:w="986" w:type="dxa"/>
            <w:vAlign w:val="top"/>
          </w:tcPr>
          <w:p>
            <w:pPr>
              <w:rPr>
                <w:rFonts w:hint="eastAsia" w:ascii="宋体" w:hAnsi="宋体" w:eastAsia="宋体" w:cs="宋体"/>
                <w:color w:val="auto"/>
                <w:sz w:val="24"/>
                <w:szCs w:val="24"/>
                <w:highlight w:val="none"/>
              </w:rPr>
            </w:pPr>
          </w:p>
        </w:tc>
        <w:tc>
          <w:tcPr>
            <w:tcW w:w="1914" w:type="dxa"/>
            <w:vAlign w:val="top"/>
          </w:tcPr>
          <w:p>
            <w:pPr>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0" w:hRule="atLeast"/>
        </w:trPr>
        <w:tc>
          <w:tcPr>
            <w:tcW w:w="1103" w:type="dxa"/>
            <w:vAlign w:val="top"/>
          </w:tcPr>
          <w:p>
            <w:pPr>
              <w:spacing w:line="241" w:lineRule="auto"/>
              <w:rPr>
                <w:rFonts w:hint="eastAsia" w:ascii="宋体" w:hAnsi="宋体" w:eastAsia="宋体" w:cs="宋体"/>
                <w:color w:val="auto"/>
                <w:sz w:val="24"/>
                <w:szCs w:val="24"/>
                <w:highlight w:val="none"/>
              </w:rPr>
            </w:pPr>
          </w:p>
          <w:p>
            <w:pPr>
              <w:spacing w:line="241" w:lineRule="auto"/>
              <w:rPr>
                <w:rFonts w:hint="eastAsia" w:ascii="宋体" w:hAnsi="宋体" w:eastAsia="宋体" w:cs="宋体"/>
                <w:color w:val="auto"/>
                <w:sz w:val="24"/>
                <w:szCs w:val="24"/>
                <w:highlight w:val="none"/>
              </w:rPr>
            </w:pPr>
          </w:p>
          <w:p>
            <w:pPr>
              <w:spacing w:line="241" w:lineRule="auto"/>
              <w:rPr>
                <w:rFonts w:hint="eastAsia" w:ascii="宋体" w:hAnsi="宋体" w:eastAsia="宋体" w:cs="宋体"/>
                <w:color w:val="auto"/>
                <w:sz w:val="24"/>
                <w:szCs w:val="24"/>
                <w:highlight w:val="none"/>
              </w:rPr>
            </w:pPr>
          </w:p>
          <w:p>
            <w:pPr>
              <w:spacing w:before="72" w:line="375" w:lineRule="auto"/>
              <w:ind w:left="233" w:right="217" w:hanging="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安全保</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证</w:t>
            </w:r>
            <w:r>
              <w:rPr>
                <w:rFonts w:hint="eastAsia" w:ascii="宋体" w:hAnsi="宋体" w:eastAsia="宋体" w:cs="宋体"/>
                <w:color w:val="auto"/>
                <w:spacing w:val="-4"/>
                <w:sz w:val="24"/>
                <w:szCs w:val="24"/>
                <w:highlight w:val="none"/>
              </w:rPr>
              <w:t>措施</w:t>
            </w:r>
          </w:p>
        </w:tc>
        <w:tc>
          <w:tcPr>
            <w:tcW w:w="7703" w:type="dxa"/>
            <w:gridSpan w:val="5"/>
            <w:vAlign w:val="top"/>
          </w:tcPr>
          <w:p>
            <w:pPr>
              <w:spacing w:line="242" w:lineRule="auto"/>
              <w:rPr>
                <w:rFonts w:hint="eastAsia" w:ascii="宋体" w:hAnsi="宋体" w:eastAsia="宋体" w:cs="宋体"/>
                <w:color w:val="auto"/>
                <w:sz w:val="24"/>
                <w:szCs w:val="24"/>
                <w:highlight w:val="none"/>
              </w:rPr>
            </w:pPr>
          </w:p>
          <w:p>
            <w:pPr>
              <w:spacing w:line="242" w:lineRule="auto"/>
              <w:rPr>
                <w:rFonts w:hint="eastAsia" w:ascii="宋体" w:hAnsi="宋体" w:eastAsia="宋体" w:cs="宋体"/>
                <w:color w:val="auto"/>
                <w:sz w:val="24"/>
                <w:szCs w:val="24"/>
                <w:highlight w:val="none"/>
              </w:rPr>
            </w:pPr>
          </w:p>
          <w:p>
            <w:pPr>
              <w:spacing w:line="242" w:lineRule="auto"/>
              <w:rPr>
                <w:rFonts w:hint="eastAsia" w:ascii="宋体" w:hAnsi="宋体" w:eastAsia="宋体" w:cs="宋体"/>
                <w:color w:val="auto"/>
                <w:sz w:val="24"/>
                <w:szCs w:val="24"/>
                <w:highlight w:val="none"/>
              </w:rPr>
            </w:pPr>
          </w:p>
          <w:p>
            <w:pPr>
              <w:spacing w:before="71" w:line="373" w:lineRule="auto"/>
              <w:ind w:left="2216" w:right="154" w:hanging="21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(对作业过程中可能发生的突发事件处置措施、极端天气情况、禁飞区规定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飞行安全、人</w:t>
            </w:r>
            <w:r>
              <w:rPr>
                <w:rFonts w:hint="eastAsia" w:ascii="宋体" w:hAnsi="宋体" w:eastAsia="宋体" w:cs="宋体"/>
                <w:color w:val="auto"/>
                <w:spacing w:val="-1"/>
                <w:sz w:val="24"/>
                <w:szCs w:val="24"/>
                <w:highlight w:val="none"/>
              </w:rPr>
              <w:t>员状况等进行说明)</w:t>
            </w:r>
          </w:p>
        </w:tc>
      </w:tr>
    </w:tbl>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sectPr>
          <w:footerReference r:id="rId8" w:type="default"/>
          <w:pgSz w:w="11907" w:h="16839"/>
          <w:pgMar w:top="1431" w:right="1546" w:bottom="567" w:left="1548" w:header="0" w:footer="170" w:gutter="0"/>
          <w:pgNumType w:fmt="decimal" w:start="1"/>
          <w:cols w:space="720" w:num="1"/>
        </w:sectPr>
      </w:pPr>
    </w:p>
    <w:p>
      <w:pPr>
        <w:spacing w:before="183" w:line="225" w:lineRule="auto"/>
        <w:ind w:left="666"/>
        <w:outlineLvl w:val="0"/>
        <w:rPr>
          <w:rFonts w:hint="eastAsia" w:ascii="宋体" w:hAnsi="宋体" w:eastAsia="宋体" w:cs="宋体"/>
          <w:color w:val="auto"/>
          <w:sz w:val="24"/>
          <w:szCs w:val="24"/>
          <w:highlight w:val="none"/>
          <w:lang w:val="en-US" w:eastAsia="zh-CN"/>
        </w:rPr>
      </w:pPr>
      <w:bookmarkStart w:id="61" w:name="_bookmark80"/>
      <w:bookmarkEnd w:id="61"/>
      <w:r>
        <w:rPr>
          <w:rFonts w:hint="eastAsia" w:ascii="宋体" w:hAnsi="宋体" w:eastAsia="宋体" w:cs="宋体"/>
          <w:color w:val="auto"/>
          <w:spacing w:val="-19"/>
          <w:sz w:val="24"/>
          <w:szCs w:val="24"/>
          <w:highlight w:val="none"/>
        </w:rPr>
        <w:t>七</w:t>
      </w:r>
      <w:r>
        <w:rPr>
          <w:rFonts w:hint="eastAsia" w:ascii="宋体" w:hAnsi="宋体" w:eastAsia="宋体" w:cs="宋体"/>
          <w:color w:val="auto"/>
          <w:spacing w:val="-15"/>
          <w:sz w:val="24"/>
          <w:szCs w:val="24"/>
          <w:highlight w:val="none"/>
        </w:rPr>
        <w:t>、 成果提交</w:t>
      </w:r>
      <w:r>
        <w:rPr>
          <w:rFonts w:hint="eastAsia" w:ascii="宋体" w:hAnsi="宋体" w:eastAsia="宋体" w:cs="宋体"/>
          <w:color w:val="auto"/>
          <w:spacing w:val="-15"/>
          <w:sz w:val="24"/>
          <w:szCs w:val="24"/>
          <w:highlight w:val="none"/>
          <w:lang w:val="en-US" w:eastAsia="zh-CN"/>
        </w:rPr>
        <w:t>方案</w:t>
      </w:r>
    </w:p>
    <w:p>
      <w:pPr>
        <w:spacing w:before="180" w:line="334" w:lineRule="auto"/>
        <w:ind w:left="36" w:right="88" w:firstLine="653"/>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1</w:t>
      </w:r>
      <w:r>
        <w:rPr>
          <w:rFonts w:hint="eastAsia" w:ascii="宋体" w:hAnsi="宋体" w:eastAsia="宋体" w:cs="宋体"/>
          <w:color w:val="auto"/>
          <w:spacing w:val="7"/>
          <w:sz w:val="24"/>
          <w:szCs w:val="24"/>
          <w:highlight w:val="none"/>
        </w:rPr>
        <w:t xml:space="preserve">.提交按时间顺序浏览的 </w:t>
      </w:r>
      <w:r>
        <w:rPr>
          <w:rFonts w:hint="eastAsia" w:ascii="宋体" w:hAnsi="宋体" w:eastAsia="宋体" w:cs="宋体"/>
          <w:color w:val="auto"/>
          <w:sz w:val="24"/>
          <w:szCs w:val="24"/>
          <w:highlight w:val="none"/>
        </w:rPr>
        <w:t>MP</w:t>
      </w:r>
      <w:r>
        <w:rPr>
          <w:rFonts w:hint="eastAsia" w:ascii="宋体" w:hAnsi="宋体" w:eastAsia="宋体" w:cs="宋体"/>
          <w:color w:val="auto"/>
          <w:spacing w:val="7"/>
          <w:sz w:val="24"/>
          <w:szCs w:val="24"/>
          <w:highlight w:val="none"/>
        </w:rPr>
        <w:t>4 格式视频文件,包括可见</w:t>
      </w:r>
      <w:r>
        <w:rPr>
          <w:rFonts w:hint="eastAsia" w:ascii="宋体" w:hAnsi="宋体" w:eastAsia="宋体" w:cs="宋体"/>
          <w:color w:val="auto"/>
          <w:spacing w:val="4"/>
          <w:sz w:val="24"/>
          <w:szCs w:val="24"/>
          <w:highlight w:val="none"/>
        </w:rPr>
        <w:t>光及热感。可见光视频分辨率不低于 1080</w:t>
      </w:r>
      <w:r>
        <w:rPr>
          <w:rFonts w:hint="eastAsia" w:ascii="宋体" w:hAnsi="宋体" w:eastAsia="宋体" w:cs="宋体"/>
          <w:color w:val="auto"/>
          <w:sz w:val="24"/>
          <w:szCs w:val="24"/>
          <w:highlight w:val="none"/>
        </w:rPr>
        <w:t>P</w:t>
      </w:r>
      <w:r>
        <w:rPr>
          <w:rFonts w:hint="eastAsia" w:ascii="宋体" w:hAnsi="宋体" w:eastAsia="宋体" w:cs="宋体"/>
          <w:color w:val="auto"/>
          <w:spacing w:val="3"/>
          <w:sz w:val="24"/>
          <w:szCs w:val="24"/>
          <w:highlight w:val="none"/>
        </w:rPr>
        <w:t>。</w:t>
      </w:r>
    </w:p>
    <w:p>
      <w:pPr>
        <w:spacing w:before="5" w:line="333" w:lineRule="auto"/>
        <w:ind w:left="21" w:firstLine="648"/>
        <w:rPr>
          <w:rFonts w:hint="eastAsia" w:ascii="宋体" w:hAnsi="宋体" w:eastAsia="宋体" w:cs="宋体"/>
          <w:color w:val="auto"/>
          <w:sz w:val="24"/>
          <w:szCs w:val="24"/>
          <w:highlight w:val="none"/>
        </w:rPr>
      </w:pPr>
      <w:r>
        <w:rPr>
          <w:rFonts w:hint="eastAsia" w:ascii="宋体" w:hAnsi="宋体" w:eastAsia="宋体" w:cs="宋体"/>
          <w:color w:val="auto"/>
          <w:spacing w:val="29"/>
          <w:sz w:val="24"/>
          <w:szCs w:val="24"/>
          <w:highlight w:val="none"/>
        </w:rPr>
        <w:t>2</w:t>
      </w:r>
      <w:r>
        <w:rPr>
          <w:rFonts w:hint="eastAsia" w:ascii="宋体" w:hAnsi="宋体" w:eastAsia="宋体" w:cs="宋体"/>
          <w:color w:val="auto"/>
          <w:spacing w:val="17"/>
          <w:sz w:val="24"/>
          <w:szCs w:val="24"/>
          <w:highlight w:val="none"/>
        </w:rPr>
        <w:t>.提交重点火险区域正射影像及原始图片(格式标准：</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TIFF</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13"/>
          <w:sz w:val="24"/>
          <w:szCs w:val="24"/>
          <w:highlight w:val="none"/>
        </w:rPr>
        <w:t>级</w:t>
      </w:r>
      <w:r>
        <w:rPr>
          <w:rFonts w:hint="eastAsia" w:ascii="宋体" w:hAnsi="宋体" w:eastAsia="宋体" w:cs="宋体"/>
          <w:color w:val="auto"/>
          <w:spacing w:val="-10"/>
          <w:sz w:val="24"/>
          <w:szCs w:val="24"/>
          <w:highlight w:val="none"/>
        </w:rPr>
        <w:t>别标准： 1:1000；坐标系标准： 大地 2000)，影像不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4"/>
          <w:sz w:val="24"/>
          <w:szCs w:val="24"/>
          <w:highlight w:val="none"/>
        </w:rPr>
        <w:t>得</w:t>
      </w:r>
      <w:r>
        <w:rPr>
          <w:rFonts w:hint="eastAsia" w:ascii="宋体" w:hAnsi="宋体" w:eastAsia="宋体" w:cs="宋体"/>
          <w:color w:val="auto"/>
          <w:spacing w:val="14"/>
          <w:sz w:val="24"/>
          <w:szCs w:val="24"/>
          <w:highlight w:val="none"/>
        </w:rPr>
        <w:t>存</w:t>
      </w:r>
      <w:r>
        <w:rPr>
          <w:rFonts w:hint="eastAsia" w:ascii="宋体" w:hAnsi="宋体" w:eastAsia="宋体" w:cs="宋体"/>
          <w:color w:val="auto"/>
          <w:spacing w:val="12"/>
          <w:sz w:val="24"/>
          <w:szCs w:val="24"/>
          <w:highlight w:val="none"/>
        </w:rPr>
        <w:t>在大面积噪声和条带，不得存在数据丢失、地物扭曲、</w:t>
      </w:r>
      <w:r>
        <w:rPr>
          <w:rFonts w:hint="eastAsia" w:ascii="宋体" w:hAnsi="宋体" w:eastAsia="宋体" w:cs="宋体"/>
          <w:color w:val="auto"/>
          <w:spacing w:val="3"/>
          <w:sz w:val="24"/>
          <w:szCs w:val="24"/>
          <w:highlight w:val="none"/>
        </w:rPr>
        <w:t>变形现象，影像接边处色彩过渡自然，反差适中，色彩基</w:t>
      </w:r>
      <w:r>
        <w:rPr>
          <w:rFonts w:hint="eastAsia" w:ascii="宋体" w:hAnsi="宋体" w:eastAsia="宋体" w:cs="宋体"/>
          <w:color w:val="auto"/>
          <w:spacing w:val="1"/>
          <w:sz w:val="24"/>
          <w:szCs w:val="24"/>
          <w:highlight w:val="none"/>
        </w:rPr>
        <w:t>本</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9"/>
          <w:sz w:val="24"/>
          <w:szCs w:val="24"/>
          <w:highlight w:val="none"/>
        </w:rPr>
        <w:t>平</w:t>
      </w:r>
      <w:r>
        <w:rPr>
          <w:rFonts w:hint="eastAsia" w:ascii="宋体" w:hAnsi="宋体" w:eastAsia="宋体" w:cs="宋体"/>
          <w:color w:val="auto"/>
          <w:spacing w:val="-10"/>
          <w:sz w:val="24"/>
          <w:szCs w:val="24"/>
          <w:highlight w:val="none"/>
        </w:rPr>
        <w:t>衡。二维模型应对消防设施、人居区域、管护所、水源地、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消</w:t>
      </w:r>
      <w:r>
        <w:rPr>
          <w:rFonts w:hint="eastAsia" w:ascii="宋体" w:hAnsi="宋体" w:eastAsia="宋体" w:cs="宋体"/>
          <w:color w:val="auto"/>
          <w:spacing w:val="9"/>
          <w:sz w:val="24"/>
          <w:szCs w:val="24"/>
          <w:highlight w:val="none"/>
        </w:rPr>
        <w:t>防</w:t>
      </w:r>
      <w:r>
        <w:rPr>
          <w:rFonts w:hint="eastAsia" w:ascii="宋体" w:hAnsi="宋体" w:eastAsia="宋体" w:cs="宋体"/>
          <w:color w:val="auto"/>
          <w:spacing w:val="5"/>
          <w:sz w:val="24"/>
          <w:szCs w:val="24"/>
          <w:highlight w:val="none"/>
        </w:rPr>
        <w:t>物资储备地等进行标注。</w:t>
      </w:r>
    </w:p>
    <w:p>
      <w:pPr>
        <w:spacing w:before="5" w:line="333" w:lineRule="auto"/>
        <w:ind w:left="30" w:right="85" w:firstLine="64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3</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提交重点区域 ( 1-2 个重点区域)1：1000 实景</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5"/>
          <w:sz w:val="24"/>
          <w:szCs w:val="24"/>
          <w:highlight w:val="none"/>
        </w:rPr>
        <w:t>三</w:t>
      </w:r>
      <w:r>
        <w:rPr>
          <w:rFonts w:hint="eastAsia" w:ascii="宋体" w:hAnsi="宋体" w:eastAsia="宋体" w:cs="宋体"/>
          <w:color w:val="auto"/>
          <w:spacing w:val="8"/>
          <w:sz w:val="24"/>
          <w:szCs w:val="24"/>
          <w:highlight w:val="none"/>
        </w:rPr>
        <w:t>维建模数据(格式标准：</w:t>
      </w:r>
      <w:r>
        <w:rPr>
          <w:rFonts w:hint="eastAsia" w:ascii="宋体" w:hAnsi="宋体" w:eastAsia="宋体" w:cs="宋体"/>
          <w:color w:val="auto"/>
          <w:sz w:val="24"/>
          <w:szCs w:val="24"/>
          <w:highlight w:val="none"/>
        </w:rPr>
        <w:t>OSGB</w:t>
      </w:r>
      <w:r>
        <w:rPr>
          <w:rFonts w:hint="eastAsia" w:ascii="宋体" w:hAnsi="宋体" w:eastAsia="宋体" w:cs="宋体"/>
          <w:color w:val="auto"/>
          <w:spacing w:val="8"/>
          <w:sz w:val="24"/>
          <w:szCs w:val="24"/>
          <w:highlight w:val="none"/>
        </w:rPr>
        <w:t>；级别标准： 1:1000；坐标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 xml:space="preserve">系标准： </w:t>
      </w:r>
      <w:r>
        <w:rPr>
          <w:rFonts w:hint="eastAsia" w:ascii="宋体" w:hAnsi="宋体" w:eastAsia="宋体" w:cs="宋体"/>
          <w:color w:val="auto"/>
          <w:spacing w:val="2"/>
          <w:sz w:val="24"/>
          <w:szCs w:val="24"/>
          <w:highlight w:val="none"/>
        </w:rPr>
        <w:t>大地 2000)，影像不存在大面积噪声和条带，不存</w:t>
      </w:r>
      <w:r>
        <w:rPr>
          <w:rFonts w:hint="eastAsia" w:ascii="宋体" w:hAnsi="宋体" w:eastAsia="宋体" w:cs="宋体"/>
          <w:color w:val="auto"/>
          <w:spacing w:val="16"/>
          <w:sz w:val="24"/>
          <w:szCs w:val="24"/>
          <w:highlight w:val="none"/>
        </w:rPr>
        <w:t>在数</w:t>
      </w:r>
      <w:r>
        <w:rPr>
          <w:rFonts w:hint="eastAsia" w:ascii="宋体" w:hAnsi="宋体" w:eastAsia="宋体" w:cs="宋体"/>
          <w:color w:val="auto"/>
          <w:spacing w:val="10"/>
          <w:sz w:val="24"/>
          <w:szCs w:val="24"/>
          <w:highlight w:val="none"/>
        </w:rPr>
        <w:t>据</w:t>
      </w:r>
      <w:r>
        <w:rPr>
          <w:rFonts w:hint="eastAsia" w:ascii="宋体" w:hAnsi="宋体" w:eastAsia="宋体" w:cs="宋体"/>
          <w:color w:val="auto"/>
          <w:spacing w:val="8"/>
          <w:sz w:val="24"/>
          <w:szCs w:val="24"/>
          <w:highlight w:val="none"/>
        </w:rPr>
        <w:t>丢失、地物扭曲、变形现象。影像接边处色彩过渡自</w:t>
      </w:r>
      <w:r>
        <w:rPr>
          <w:rFonts w:hint="eastAsia" w:ascii="宋体" w:hAnsi="宋体" w:eastAsia="宋体" w:cs="宋体"/>
          <w:color w:val="auto"/>
          <w:spacing w:val="12"/>
          <w:sz w:val="24"/>
          <w:szCs w:val="24"/>
          <w:highlight w:val="none"/>
        </w:rPr>
        <w:t>然，</w:t>
      </w:r>
      <w:r>
        <w:rPr>
          <w:rFonts w:hint="eastAsia" w:ascii="宋体" w:hAnsi="宋体" w:eastAsia="宋体" w:cs="宋体"/>
          <w:color w:val="auto"/>
          <w:spacing w:val="9"/>
          <w:sz w:val="24"/>
          <w:szCs w:val="24"/>
          <w:highlight w:val="none"/>
        </w:rPr>
        <w:t>地</w:t>
      </w:r>
      <w:r>
        <w:rPr>
          <w:rFonts w:hint="eastAsia" w:ascii="宋体" w:hAnsi="宋体" w:eastAsia="宋体" w:cs="宋体"/>
          <w:color w:val="auto"/>
          <w:spacing w:val="6"/>
          <w:sz w:val="24"/>
          <w:szCs w:val="24"/>
          <w:highlight w:val="none"/>
        </w:rPr>
        <w:t>物合理接边，人工地物完整，无重影和发虚现象。</w:t>
      </w:r>
    </w:p>
    <w:p>
      <w:pPr>
        <w:spacing w:before="3" w:line="333" w:lineRule="auto"/>
        <w:ind w:left="26" w:right="92" w:firstLine="638"/>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4</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8"/>
          <w:sz w:val="24"/>
          <w:szCs w:val="24"/>
          <w:highlight w:val="none"/>
        </w:rPr>
        <w:t>提交包含但不限于无人机飞行坐标、速度、高度、飞</w:t>
      </w:r>
      <w:r>
        <w:rPr>
          <w:rFonts w:hint="eastAsia" w:ascii="宋体" w:hAnsi="宋体" w:eastAsia="宋体" w:cs="宋体"/>
          <w:color w:val="auto"/>
          <w:spacing w:val="-3"/>
          <w:sz w:val="24"/>
          <w:szCs w:val="24"/>
          <w:highlight w:val="none"/>
        </w:rPr>
        <w:t>行路线、飞行速度、 故障信息， 任务设备相机参数、云台</w:t>
      </w:r>
      <w:r>
        <w:rPr>
          <w:rFonts w:hint="eastAsia" w:ascii="宋体" w:hAnsi="宋体" w:eastAsia="宋体" w:cs="宋体"/>
          <w:color w:val="auto"/>
          <w:spacing w:val="-1"/>
          <w:sz w:val="24"/>
          <w:szCs w:val="24"/>
          <w:highlight w:val="none"/>
        </w:rPr>
        <w:t>姿</w:t>
      </w:r>
      <w:r>
        <w:rPr>
          <w:rFonts w:hint="eastAsia" w:ascii="宋体" w:hAnsi="宋体" w:eastAsia="宋体" w:cs="宋体"/>
          <w:color w:val="auto"/>
          <w:spacing w:val="5"/>
          <w:sz w:val="24"/>
          <w:szCs w:val="24"/>
          <w:highlight w:val="none"/>
        </w:rPr>
        <w:t>态</w:t>
      </w:r>
      <w:r>
        <w:rPr>
          <w:rFonts w:hint="eastAsia" w:ascii="宋体" w:hAnsi="宋体" w:eastAsia="宋体" w:cs="宋体"/>
          <w:color w:val="auto"/>
          <w:spacing w:val="3"/>
          <w:sz w:val="24"/>
          <w:szCs w:val="24"/>
          <w:highlight w:val="none"/>
        </w:rPr>
        <w:t>角度等存储记录。</w:t>
      </w:r>
    </w:p>
    <w:p>
      <w:pPr>
        <w:spacing w:line="333" w:lineRule="auto"/>
        <w:ind w:left="40" w:right="93" w:firstLine="632"/>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5</w:t>
      </w:r>
      <w:r>
        <w:rPr>
          <w:rFonts w:hint="eastAsia" w:ascii="宋体" w:hAnsi="宋体" w:eastAsia="宋体" w:cs="宋体"/>
          <w:color w:val="auto"/>
          <w:spacing w:val="8"/>
          <w:sz w:val="24"/>
          <w:szCs w:val="24"/>
          <w:highlight w:val="none"/>
        </w:rPr>
        <w:t>.提交火灾风险隐患数据，包括但不限于发现地点、类</w:t>
      </w:r>
      <w:r>
        <w:rPr>
          <w:rFonts w:hint="eastAsia" w:ascii="宋体" w:hAnsi="宋体" w:eastAsia="宋体" w:cs="宋体"/>
          <w:color w:val="auto"/>
          <w:spacing w:val="-4"/>
          <w:sz w:val="24"/>
          <w:szCs w:val="24"/>
          <w:highlight w:val="none"/>
        </w:rPr>
        <w:t>型</w:t>
      </w:r>
      <w:r>
        <w:rPr>
          <w:rFonts w:hint="eastAsia" w:ascii="宋体" w:hAnsi="宋体" w:eastAsia="宋体" w:cs="宋体"/>
          <w:color w:val="auto"/>
          <w:spacing w:val="-2"/>
          <w:sz w:val="24"/>
          <w:szCs w:val="24"/>
          <w:highlight w:val="none"/>
        </w:rPr>
        <w:t>、详情等。</w:t>
      </w:r>
    </w:p>
    <w:p>
      <w:pPr>
        <w:spacing w:before="2" w:line="333" w:lineRule="auto"/>
        <w:ind w:left="24" w:right="91" w:firstLine="644"/>
        <w:rPr>
          <w:rFonts w:hint="eastAsia" w:ascii="宋体" w:hAnsi="宋体" w:eastAsia="宋体" w:cs="宋体"/>
          <w:color w:val="auto"/>
          <w:sz w:val="24"/>
          <w:szCs w:val="24"/>
          <w:highlight w:val="none"/>
        </w:rPr>
      </w:pPr>
      <w:r>
        <w:rPr>
          <w:rFonts w:hint="eastAsia" w:ascii="宋体" w:hAnsi="宋体" w:eastAsia="宋体" w:cs="宋体"/>
          <w:color w:val="auto"/>
          <w:spacing w:val="15"/>
          <w:sz w:val="24"/>
          <w:szCs w:val="24"/>
          <w:highlight w:val="none"/>
        </w:rPr>
        <w:t>6</w:t>
      </w:r>
      <w:r>
        <w:rPr>
          <w:rFonts w:hint="eastAsia" w:ascii="宋体" w:hAnsi="宋体" w:eastAsia="宋体" w:cs="宋体"/>
          <w:color w:val="auto"/>
          <w:spacing w:val="8"/>
          <w:sz w:val="24"/>
          <w:szCs w:val="24"/>
          <w:highlight w:val="none"/>
        </w:rPr>
        <w:t>.无人机开展野生动物搜寻任务，应提交野生动物发现</w:t>
      </w:r>
      <w:r>
        <w:rPr>
          <w:rFonts w:hint="eastAsia" w:ascii="宋体" w:hAnsi="宋体" w:eastAsia="宋体" w:cs="宋体"/>
          <w:color w:val="auto"/>
          <w:spacing w:val="-5"/>
          <w:sz w:val="24"/>
          <w:szCs w:val="24"/>
          <w:highlight w:val="none"/>
        </w:rPr>
        <w:t>地</w:t>
      </w:r>
      <w:r>
        <w:rPr>
          <w:rFonts w:hint="eastAsia" w:ascii="宋体" w:hAnsi="宋体" w:eastAsia="宋体" w:cs="宋体"/>
          <w:color w:val="auto"/>
          <w:spacing w:val="-3"/>
          <w:sz w:val="24"/>
          <w:szCs w:val="24"/>
          <w:highlight w:val="none"/>
        </w:rPr>
        <w:t>坐标， 野生动物种群、数量等数据。</w:t>
      </w:r>
    </w:p>
    <w:p>
      <w:pPr>
        <w:spacing w:before="3" w:line="333" w:lineRule="auto"/>
        <w:ind w:left="20" w:right="90" w:firstLine="65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7.无人机开展林业有害生物监测与普查任务， 应提</w:t>
      </w:r>
      <w:r>
        <w:rPr>
          <w:rFonts w:hint="eastAsia" w:ascii="宋体" w:hAnsi="宋体" w:eastAsia="宋体" w:cs="宋体"/>
          <w:color w:val="auto"/>
          <w:sz w:val="24"/>
          <w:szCs w:val="24"/>
          <w:highlight w:val="none"/>
        </w:rPr>
        <w:t>交植</w:t>
      </w:r>
      <w:r>
        <w:rPr>
          <w:rFonts w:hint="eastAsia" w:ascii="宋体" w:hAnsi="宋体" w:eastAsia="宋体" w:cs="宋体"/>
          <w:color w:val="auto"/>
          <w:spacing w:val="7"/>
          <w:sz w:val="24"/>
          <w:szCs w:val="24"/>
          <w:highlight w:val="none"/>
        </w:rPr>
        <w:t>被健康状况指数监测、植被覆盖率监测等数据</w:t>
      </w:r>
      <w:r>
        <w:rPr>
          <w:rFonts w:hint="eastAsia" w:ascii="宋体" w:hAnsi="宋体" w:eastAsia="宋体" w:cs="宋体"/>
          <w:color w:val="auto"/>
          <w:spacing w:val="3"/>
          <w:sz w:val="24"/>
          <w:szCs w:val="24"/>
          <w:highlight w:val="none"/>
        </w:rPr>
        <w:t>。</w:t>
      </w:r>
    </w:p>
    <w:p>
      <w:pPr>
        <w:spacing w:before="1" w:line="221" w:lineRule="auto"/>
        <w:ind w:left="6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8.无人机开展生物多样性调查，应提交作业区域内监测</w:t>
      </w:r>
      <w:bookmarkStart w:id="62" w:name="_bookmark81"/>
      <w:bookmarkEnd w:id="62"/>
      <w:r>
        <w:rPr>
          <w:rFonts w:hint="eastAsia" w:ascii="宋体" w:hAnsi="宋体" w:eastAsia="宋体" w:cs="宋体"/>
          <w:color w:val="auto"/>
          <w:spacing w:val="3"/>
          <w:sz w:val="24"/>
          <w:szCs w:val="24"/>
          <w:highlight w:val="none"/>
        </w:rPr>
        <w:t>到的物种、数量、位置等信息</w:t>
      </w:r>
      <w:r>
        <w:rPr>
          <w:rFonts w:hint="eastAsia" w:ascii="宋体" w:hAnsi="宋体" w:eastAsia="宋体" w:cs="宋体"/>
          <w:color w:val="auto"/>
          <w:spacing w:val="2"/>
          <w:sz w:val="24"/>
          <w:szCs w:val="24"/>
          <w:highlight w:val="none"/>
        </w:rPr>
        <w:t>。</w:t>
      </w:r>
    </w:p>
    <w:p>
      <w:pPr>
        <w:spacing w:before="185" w:line="226" w:lineRule="auto"/>
        <w:ind w:left="667"/>
        <w:outlineLvl w:val="0"/>
        <w:rPr>
          <w:rFonts w:hint="eastAsia" w:ascii="宋体" w:hAnsi="宋体" w:eastAsia="宋体" w:cs="宋体"/>
          <w:color w:val="auto"/>
          <w:sz w:val="24"/>
          <w:szCs w:val="24"/>
          <w:highlight w:val="none"/>
          <w:lang w:val="en-US" w:eastAsia="zh-CN"/>
        </w:rPr>
      </w:pPr>
      <w:bookmarkStart w:id="63" w:name="_bookmark82"/>
      <w:bookmarkEnd w:id="63"/>
      <w:r>
        <w:rPr>
          <w:rFonts w:hint="eastAsia" w:ascii="宋体" w:hAnsi="宋体" w:eastAsia="宋体" w:cs="宋体"/>
          <w:color w:val="auto"/>
          <w:spacing w:val="-20"/>
          <w:sz w:val="24"/>
          <w:szCs w:val="24"/>
          <w:highlight w:val="none"/>
        </w:rPr>
        <w:t>八</w:t>
      </w:r>
      <w:r>
        <w:rPr>
          <w:rFonts w:hint="eastAsia" w:ascii="宋体" w:hAnsi="宋体" w:eastAsia="宋体" w:cs="宋体"/>
          <w:color w:val="auto"/>
          <w:spacing w:val="-15"/>
          <w:sz w:val="24"/>
          <w:szCs w:val="24"/>
          <w:highlight w:val="none"/>
        </w:rPr>
        <w:t>、 报表填报</w:t>
      </w:r>
      <w:r>
        <w:rPr>
          <w:rFonts w:hint="eastAsia" w:ascii="宋体" w:hAnsi="宋体" w:eastAsia="宋体" w:cs="宋体"/>
          <w:color w:val="auto"/>
          <w:spacing w:val="-15"/>
          <w:sz w:val="24"/>
          <w:szCs w:val="24"/>
          <w:highlight w:val="none"/>
          <w:lang w:val="en-US" w:eastAsia="zh-CN"/>
        </w:rPr>
        <w:t>方案</w:t>
      </w:r>
    </w:p>
    <w:p>
      <w:pPr>
        <w:spacing w:before="182" w:line="230" w:lineRule="auto"/>
        <w:ind w:left="660"/>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3"/>
          <w:sz w:val="24"/>
          <w:szCs w:val="24"/>
          <w:highlight w:val="none"/>
        </w:rPr>
        <w:t>(一)飞行日报表填写原则</w:t>
      </w:r>
      <w:r>
        <w:rPr>
          <w:rFonts w:hint="eastAsia" w:ascii="宋体" w:hAnsi="宋体" w:eastAsia="宋体" w:cs="宋体"/>
          <w:color w:val="auto"/>
          <w:spacing w:val="3"/>
          <w:sz w:val="24"/>
          <w:szCs w:val="24"/>
          <w:highlight w:val="none"/>
          <w:lang w:val="en-US" w:eastAsia="zh-CN"/>
        </w:rPr>
        <w:t>方案</w:t>
      </w:r>
    </w:p>
    <w:p>
      <w:pPr>
        <w:spacing w:before="173" w:line="409" w:lineRule="exact"/>
        <w:ind w:left="690"/>
        <w:outlineLvl w:val="2"/>
        <w:rPr>
          <w:rFonts w:hint="eastAsia" w:ascii="宋体" w:hAnsi="宋体" w:eastAsia="宋体" w:cs="宋体"/>
          <w:color w:val="auto"/>
          <w:sz w:val="24"/>
          <w:szCs w:val="24"/>
          <w:highlight w:val="none"/>
        </w:rPr>
      </w:pPr>
      <w:bookmarkStart w:id="64" w:name="_bookmark83"/>
      <w:bookmarkEnd w:id="64"/>
      <w:r>
        <w:rPr>
          <w:rFonts w:hint="eastAsia" w:ascii="宋体" w:hAnsi="宋体" w:eastAsia="宋体" w:cs="宋体"/>
          <w:color w:val="auto"/>
          <w:spacing w:val="4"/>
          <w:position w:val="2"/>
          <w:sz w:val="24"/>
          <w:szCs w:val="24"/>
          <w:highlight w:val="none"/>
        </w:rPr>
        <w:t>1.飞行记录整理</w:t>
      </w:r>
    </w:p>
    <w:p>
      <w:pPr>
        <w:spacing w:before="150" w:line="334" w:lineRule="auto"/>
        <w:ind w:left="26" w:right="97" w:firstLine="64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整理飞行相关数据， 包括作业编号、作业时间、巡护</w:t>
      </w:r>
      <w:r>
        <w:rPr>
          <w:rFonts w:hint="eastAsia" w:ascii="宋体" w:hAnsi="宋体" w:eastAsia="宋体" w:cs="宋体"/>
          <w:color w:val="auto"/>
          <w:spacing w:val="1"/>
          <w:sz w:val="24"/>
          <w:szCs w:val="24"/>
          <w:highlight w:val="none"/>
        </w:rPr>
        <w:t>区</w:t>
      </w:r>
      <w:bookmarkStart w:id="65" w:name="_bookmark84"/>
      <w:bookmarkEnd w:id="65"/>
      <w:r>
        <w:rPr>
          <w:rFonts w:hint="eastAsia" w:ascii="宋体" w:hAnsi="宋体" w:eastAsia="宋体" w:cs="宋体"/>
          <w:color w:val="auto"/>
          <w:spacing w:val="9"/>
          <w:sz w:val="24"/>
          <w:szCs w:val="24"/>
          <w:highlight w:val="none"/>
        </w:rPr>
        <w:t>域</w:t>
      </w:r>
      <w:r>
        <w:rPr>
          <w:rFonts w:hint="eastAsia" w:ascii="宋体" w:hAnsi="宋体" w:eastAsia="宋体" w:cs="宋体"/>
          <w:color w:val="auto"/>
          <w:spacing w:val="8"/>
          <w:sz w:val="24"/>
          <w:szCs w:val="24"/>
          <w:highlight w:val="none"/>
        </w:rPr>
        <w:t>、作业面积、飞行结果等。</w:t>
      </w:r>
    </w:p>
    <w:p>
      <w:pPr>
        <w:spacing w:before="1" w:line="241" w:lineRule="auto"/>
        <w:ind w:left="670"/>
        <w:outlineLvl w:val="2"/>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2</w:t>
      </w:r>
      <w:r>
        <w:rPr>
          <w:rFonts w:hint="eastAsia" w:ascii="宋体" w:hAnsi="宋体" w:eastAsia="宋体" w:cs="宋体"/>
          <w:color w:val="auto"/>
          <w:spacing w:val="6"/>
          <w:sz w:val="24"/>
          <w:szCs w:val="24"/>
          <w:highlight w:val="none"/>
        </w:rPr>
        <w:t>.飞行资料整理</w:t>
      </w:r>
    </w:p>
    <w:p>
      <w:pPr>
        <w:spacing w:before="152" w:line="334" w:lineRule="auto"/>
        <w:ind w:left="25" w:right="95" w:firstLine="648"/>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对</w:t>
      </w:r>
      <w:r>
        <w:rPr>
          <w:rFonts w:hint="eastAsia" w:ascii="宋体" w:hAnsi="宋体" w:eastAsia="宋体" w:cs="宋体"/>
          <w:color w:val="auto"/>
          <w:spacing w:val="8"/>
          <w:sz w:val="24"/>
          <w:szCs w:val="24"/>
          <w:highlight w:val="none"/>
        </w:rPr>
        <w:t>飞行数据进行整理，填写飞行日报表(见附件)，包括但不限于下列内容:</w:t>
      </w:r>
    </w:p>
    <w:p>
      <w:pPr>
        <w:spacing w:before="3" w:line="333" w:lineRule="auto"/>
        <w:ind w:left="43" w:right="100" w:firstLine="61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w:t>
      </w:r>
      <w:r>
        <w:rPr>
          <w:rFonts w:hint="eastAsia" w:ascii="宋体" w:hAnsi="宋体" w:eastAsia="宋体" w:cs="宋体"/>
          <w:color w:val="auto"/>
          <w:spacing w:val="12"/>
          <w:sz w:val="24"/>
          <w:szCs w:val="24"/>
          <w:highlight w:val="none"/>
        </w:rPr>
        <w:t>)</w:t>
      </w:r>
      <w:r>
        <w:rPr>
          <w:rFonts w:hint="eastAsia" w:ascii="宋体" w:hAnsi="宋体" w:eastAsia="宋体" w:cs="宋体"/>
          <w:color w:val="auto"/>
          <w:spacing w:val="9"/>
          <w:sz w:val="24"/>
          <w:szCs w:val="24"/>
          <w:highlight w:val="none"/>
        </w:rPr>
        <w:t>气候条件：包括天气、温度、湿度、风向、风速、能</w:t>
      </w:r>
      <w:r>
        <w:rPr>
          <w:rFonts w:hint="eastAsia" w:ascii="宋体" w:hAnsi="宋体" w:eastAsia="宋体" w:cs="宋体"/>
          <w:color w:val="auto"/>
          <w:spacing w:val="-13"/>
          <w:sz w:val="24"/>
          <w:szCs w:val="24"/>
          <w:highlight w:val="none"/>
        </w:rPr>
        <w:t>见</w:t>
      </w:r>
      <w:r>
        <w:rPr>
          <w:rFonts w:hint="eastAsia" w:ascii="宋体" w:hAnsi="宋体" w:eastAsia="宋体" w:cs="宋体"/>
          <w:color w:val="auto"/>
          <w:spacing w:val="-11"/>
          <w:sz w:val="24"/>
          <w:szCs w:val="24"/>
          <w:highlight w:val="none"/>
        </w:rPr>
        <w:t>度等。</w:t>
      </w:r>
    </w:p>
    <w:p>
      <w:pPr>
        <w:spacing w:line="221" w:lineRule="auto"/>
        <w:ind w:left="6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7"/>
          <w:sz w:val="24"/>
          <w:szCs w:val="24"/>
          <w:highlight w:val="none"/>
        </w:rPr>
        <w:t>作业设备：无人机机型及其所挂载的吊舱。</w:t>
      </w:r>
    </w:p>
    <w:p>
      <w:pPr>
        <w:spacing w:before="189" w:line="221" w:lineRule="auto"/>
        <w:ind w:left="6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w:t>
      </w:r>
      <w:r>
        <w:rPr>
          <w:rFonts w:hint="eastAsia" w:ascii="宋体" w:hAnsi="宋体" w:eastAsia="宋体" w:cs="宋体"/>
          <w:color w:val="auto"/>
          <w:spacing w:val="1"/>
          <w:sz w:val="24"/>
          <w:szCs w:val="24"/>
          <w:highlight w:val="none"/>
        </w:rPr>
        <w:t>)作</w:t>
      </w:r>
      <w:r>
        <w:rPr>
          <w:rFonts w:hint="eastAsia" w:ascii="宋体" w:hAnsi="宋体" w:eastAsia="宋体" w:cs="宋体"/>
          <w:color w:val="auto"/>
          <w:sz w:val="24"/>
          <w:szCs w:val="24"/>
          <w:highlight w:val="none"/>
        </w:rPr>
        <w:t>业人员：飞行人员，负责人，安全员，对接人。</w:t>
      </w:r>
    </w:p>
    <w:p>
      <w:pPr>
        <w:spacing w:before="190" w:line="333" w:lineRule="auto"/>
        <w:ind w:left="19" w:firstLine="6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13"/>
          <w:sz w:val="24"/>
          <w:szCs w:val="24"/>
          <w:highlight w:val="none"/>
        </w:rPr>
        <w:t>地理环境：监测当前地理位置、地貌、地形、地类、</w:t>
      </w:r>
      <w:r>
        <w:rPr>
          <w:rFonts w:hint="eastAsia" w:ascii="宋体" w:hAnsi="宋体" w:eastAsia="宋体" w:cs="宋体"/>
          <w:color w:val="auto"/>
          <w:spacing w:val="12"/>
          <w:sz w:val="24"/>
          <w:szCs w:val="24"/>
          <w:highlight w:val="none"/>
        </w:rPr>
        <w:t>植</w:t>
      </w:r>
      <w:r>
        <w:rPr>
          <w:rFonts w:hint="eastAsia" w:ascii="宋体" w:hAnsi="宋体" w:eastAsia="宋体" w:cs="宋体"/>
          <w:color w:val="auto"/>
          <w:spacing w:val="9"/>
          <w:sz w:val="24"/>
          <w:szCs w:val="24"/>
          <w:highlight w:val="none"/>
        </w:rPr>
        <w:t>被类型、树种火源、可燃物、疑似过火区、过火面积、燃</w:t>
      </w:r>
      <w:r>
        <w:rPr>
          <w:rFonts w:hint="eastAsia" w:ascii="宋体" w:hAnsi="宋体" w:eastAsia="宋体" w:cs="宋体"/>
          <w:color w:val="auto"/>
          <w:spacing w:val="7"/>
          <w:sz w:val="24"/>
          <w:szCs w:val="24"/>
          <w:highlight w:val="none"/>
        </w:rPr>
        <w:t>烧</w:t>
      </w:r>
      <w:r>
        <w:rPr>
          <w:rFonts w:hint="eastAsia" w:ascii="宋体" w:hAnsi="宋体" w:eastAsia="宋体" w:cs="宋体"/>
          <w:color w:val="auto"/>
          <w:spacing w:val="6"/>
          <w:sz w:val="24"/>
          <w:szCs w:val="24"/>
          <w:highlight w:val="none"/>
        </w:rPr>
        <w:t>类型等。</w:t>
      </w:r>
    </w:p>
    <w:p>
      <w:pPr>
        <w:spacing w:line="222" w:lineRule="auto"/>
        <w:ind w:left="6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8"/>
          <w:sz w:val="24"/>
          <w:szCs w:val="24"/>
          <w:highlight w:val="none"/>
        </w:rPr>
        <w:t>飞行航线：航路点数据。</w:t>
      </w:r>
    </w:p>
    <w:p>
      <w:pPr>
        <w:spacing w:before="189" w:line="224" w:lineRule="auto"/>
        <w:ind w:left="6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w:t>
      </w:r>
      <w:r>
        <w:rPr>
          <w:rFonts w:hint="eastAsia" w:ascii="宋体" w:hAnsi="宋体" w:eastAsia="宋体" w:cs="宋体"/>
          <w:color w:val="auto"/>
          <w:spacing w:val="9"/>
          <w:sz w:val="24"/>
          <w:szCs w:val="24"/>
          <w:highlight w:val="none"/>
        </w:rPr>
        <w:t>)巡护面积：根据航路点数据计算作业飞行面积。</w:t>
      </w:r>
    </w:p>
    <w:p>
      <w:pPr>
        <w:spacing w:before="184" w:line="224" w:lineRule="auto"/>
        <w:ind w:left="66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G)隐患点、灾害描述：影像数据、影像位置与姿态数据。</w:t>
      </w:r>
    </w:p>
    <w:p>
      <w:pPr>
        <w:spacing w:before="183" w:line="222" w:lineRule="auto"/>
        <w:ind w:left="6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w:t>
      </w:r>
      <w:r>
        <w:rPr>
          <w:rFonts w:hint="eastAsia" w:ascii="宋体" w:hAnsi="宋体" w:eastAsia="宋体" w:cs="宋体"/>
          <w:color w:val="auto"/>
          <w:spacing w:val="9"/>
          <w:sz w:val="24"/>
          <w:szCs w:val="24"/>
          <w:highlight w:val="none"/>
        </w:rPr>
        <w:t>)飞行时间：飞行器起飞至降落时间。</w:t>
      </w:r>
    </w:p>
    <w:p>
      <w:pPr>
        <w:spacing w:before="188" w:line="333" w:lineRule="auto"/>
        <w:ind w:left="44" w:right="1" w:firstLine="6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12"/>
          <w:sz w:val="24"/>
          <w:szCs w:val="24"/>
          <w:highlight w:val="none"/>
        </w:rPr>
        <w:t>飞行数据：包括可见光视频、红外视频、航拍图片、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4"/>
          <w:sz w:val="24"/>
          <w:szCs w:val="24"/>
          <w:highlight w:val="none"/>
        </w:rPr>
        <w:t>二</w:t>
      </w:r>
      <w:r>
        <w:rPr>
          <w:rFonts w:hint="eastAsia" w:ascii="宋体" w:hAnsi="宋体" w:eastAsia="宋体" w:cs="宋体"/>
          <w:color w:val="auto"/>
          <w:spacing w:val="11"/>
          <w:sz w:val="24"/>
          <w:szCs w:val="24"/>
          <w:highlight w:val="none"/>
        </w:rPr>
        <w:t>维</w:t>
      </w:r>
      <w:r>
        <w:rPr>
          <w:rFonts w:hint="eastAsia" w:ascii="宋体" w:hAnsi="宋体" w:eastAsia="宋体" w:cs="宋体"/>
          <w:color w:val="auto"/>
          <w:spacing w:val="7"/>
          <w:sz w:val="24"/>
          <w:szCs w:val="24"/>
          <w:highlight w:val="none"/>
        </w:rPr>
        <w:t>正射影像数据、三维倾斜摄影数据等。</w:t>
      </w:r>
    </w:p>
    <w:p>
      <w:pPr>
        <w:spacing w:before="1" w:line="222" w:lineRule="auto"/>
        <w:ind w:left="672"/>
        <w:outlineLvl w:val="2"/>
        <w:rPr>
          <w:rFonts w:hint="eastAsia" w:ascii="宋体" w:hAnsi="宋体" w:eastAsia="宋体" w:cs="宋体"/>
          <w:color w:val="auto"/>
          <w:sz w:val="24"/>
          <w:szCs w:val="24"/>
          <w:highlight w:val="none"/>
        </w:rPr>
      </w:pPr>
      <w:bookmarkStart w:id="66" w:name="_bookmark85"/>
      <w:bookmarkEnd w:id="66"/>
      <w:r>
        <w:rPr>
          <w:rFonts w:hint="eastAsia" w:ascii="宋体" w:hAnsi="宋体" w:eastAsia="宋体" w:cs="宋体"/>
          <w:color w:val="auto"/>
          <w:spacing w:val="-19"/>
          <w:sz w:val="24"/>
          <w:szCs w:val="24"/>
          <w:highlight w:val="none"/>
        </w:rPr>
        <w:t>3</w:t>
      </w:r>
      <w:r>
        <w:rPr>
          <w:rFonts w:hint="eastAsia" w:ascii="宋体" w:hAnsi="宋体" w:eastAsia="宋体" w:cs="宋体"/>
          <w:color w:val="auto"/>
          <w:spacing w:val="-13"/>
          <w:sz w:val="24"/>
          <w:szCs w:val="24"/>
          <w:highlight w:val="none"/>
        </w:rPr>
        <w:t>. 日飞行总结</w:t>
      </w:r>
    </w:p>
    <w:p>
      <w:pPr>
        <w:spacing w:before="182" w:line="334" w:lineRule="auto"/>
        <w:ind w:left="63" w:right="92" w:hanging="27"/>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对</w:t>
      </w:r>
      <w:r>
        <w:rPr>
          <w:rFonts w:hint="eastAsia" w:ascii="宋体" w:hAnsi="宋体" w:eastAsia="宋体" w:cs="宋体"/>
          <w:color w:val="auto"/>
          <w:spacing w:val="15"/>
          <w:sz w:val="24"/>
          <w:szCs w:val="24"/>
          <w:highlight w:val="none"/>
        </w:rPr>
        <w:t>当天作业情况进行总结，主要内容包括:人员工作情</w:t>
      </w:r>
      <w:r>
        <w:rPr>
          <w:rFonts w:hint="eastAsia" w:ascii="宋体" w:hAnsi="宋体" w:eastAsia="宋体" w:cs="宋体"/>
          <w:color w:val="auto"/>
          <w:spacing w:val="16"/>
          <w:sz w:val="24"/>
          <w:szCs w:val="24"/>
          <w:highlight w:val="none"/>
        </w:rPr>
        <w:t>况</w:t>
      </w:r>
      <w:r>
        <w:rPr>
          <w:rFonts w:hint="eastAsia" w:ascii="宋体" w:hAnsi="宋体" w:eastAsia="宋体" w:cs="宋体"/>
          <w:color w:val="auto"/>
          <w:spacing w:val="12"/>
          <w:sz w:val="24"/>
          <w:szCs w:val="24"/>
          <w:highlight w:val="none"/>
        </w:rPr>
        <w:t>、</w:t>
      </w:r>
      <w:r>
        <w:rPr>
          <w:rFonts w:hint="eastAsia" w:ascii="宋体" w:hAnsi="宋体" w:eastAsia="宋体" w:cs="宋体"/>
          <w:color w:val="auto"/>
          <w:spacing w:val="8"/>
          <w:sz w:val="24"/>
          <w:szCs w:val="24"/>
          <w:highlight w:val="none"/>
        </w:rPr>
        <w:t>设备工作情况、任务完成情况、后续工作计划、飞控平</w:t>
      </w:r>
      <w:bookmarkStart w:id="67" w:name="_bookmark86"/>
      <w:bookmarkEnd w:id="67"/>
      <w:r>
        <w:rPr>
          <w:rFonts w:hint="eastAsia" w:ascii="宋体" w:hAnsi="宋体" w:eastAsia="宋体" w:cs="宋体"/>
          <w:color w:val="auto"/>
          <w:spacing w:val="6"/>
          <w:sz w:val="24"/>
          <w:szCs w:val="24"/>
          <w:highlight w:val="none"/>
        </w:rPr>
        <w:t>台自</w:t>
      </w:r>
      <w:r>
        <w:rPr>
          <w:rFonts w:hint="eastAsia" w:ascii="宋体" w:hAnsi="宋体" w:eastAsia="宋体" w:cs="宋体"/>
          <w:color w:val="auto"/>
          <w:spacing w:val="5"/>
          <w:sz w:val="24"/>
          <w:szCs w:val="24"/>
          <w:highlight w:val="none"/>
        </w:rPr>
        <w:t>动</w:t>
      </w:r>
      <w:r>
        <w:rPr>
          <w:rFonts w:hint="eastAsia" w:ascii="宋体" w:hAnsi="宋体" w:eastAsia="宋体" w:cs="宋体"/>
          <w:color w:val="auto"/>
          <w:spacing w:val="3"/>
          <w:sz w:val="24"/>
          <w:szCs w:val="24"/>
          <w:highlight w:val="none"/>
        </w:rPr>
        <w:t>生成的飞行巡查报告及注意事项。</w:t>
      </w:r>
    </w:p>
    <w:p>
      <w:pPr>
        <w:spacing w:line="223" w:lineRule="auto"/>
        <w:ind w:left="727"/>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3"/>
          <w:sz w:val="24"/>
          <w:szCs w:val="24"/>
          <w:highlight w:val="none"/>
        </w:rPr>
        <w:t>(二)飞行周报表填写原则</w:t>
      </w:r>
      <w:r>
        <w:rPr>
          <w:rFonts w:hint="eastAsia" w:ascii="宋体" w:hAnsi="宋体" w:eastAsia="宋体" w:cs="宋体"/>
          <w:color w:val="auto"/>
          <w:spacing w:val="3"/>
          <w:sz w:val="24"/>
          <w:szCs w:val="24"/>
          <w:highlight w:val="none"/>
          <w:lang w:val="en-US" w:eastAsia="zh-CN"/>
        </w:rPr>
        <w:t>方案</w:t>
      </w:r>
    </w:p>
    <w:p>
      <w:pPr>
        <w:spacing w:before="182" w:line="334" w:lineRule="auto"/>
        <w:ind w:left="30" w:right="92" w:firstLine="64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对飞行数据进行整理， 并填写飞行周报表(见附件)</w:t>
      </w:r>
      <w:r>
        <w:rPr>
          <w:rFonts w:hint="eastAsia" w:ascii="宋体" w:hAnsi="宋体" w:eastAsia="宋体" w:cs="宋体"/>
          <w:color w:val="auto"/>
          <w:sz w:val="24"/>
          <w:szCs w:val="24"/>
          <w:highlight w:val="none"/>
        </w:rPr>
        <w:t>，包</w:t>
      </w:r>
      <w:r>
        <w:rPr>
          <w:rFonts w:hint="eastAsia" w:ascii="宋体" w:hAnsi="宋体" w:eastAsia="宋体" w:cs="宋体"/>
          <w:color w:val="auto"/>
          <w:spacing w:val="13"/>
          <w:sz w:val="24"/>
          <w:szCs w:val="24"/>
          <w:highlight w:val="none"/>
        </w:rPr>
        <w:t>括下列内容</w:t>
      </w:r>
      <w:r>
        <w:rPr>
          <w:rFonts w:hint="eastAsia" w:ascii="宋体" w:hAnsi="宋体" w:eastAsia="宋体" w:cs="宋体"/>
          <w:color w:val="auto"/>
          <w:spacing w:val="12"/>
          <w:sz w:val="24"/>
          <w:szCs w:val="24"/>
          <w:highlight w:val="none"/>
        </w:rPr>
        <w:t>:</w:t>
      </w:r>
    </w:p>
    <w:p>
      <w:pPr>
        <w:numPr>
          <w:ilvl w:val="0"/>
          <w:numId w:val="16"/>
        </w:numPr>
        <w:spacing w:before="1" w:line="333" w:lineRule="auto"/>
        <w:ind w:left="658" w:right="1108" w:hanging="2"/>
        <w:rPr>
          <w:rFonts w:hint="eastAsia" w:ascii="宋体" w:hAnsi="宋体" w:eastAsia="宋体" w:cs="宋体"/>
          <w:color w:val="auto"/>
          <w:spacing w:val="6"/>
          <w:sz w:val="24"/>
          <w:szCs w:val="24"/>
          <w:highlight w:val="none"/>
        </w:rPr>
      </w:pPr>
      <w:r>
        <w:rPr>
          <w:rFonts w:hint="eastAsia" w:ascii="宋体" w:hAnsi="宋体" w:eastAsia="宋体" w:cs="宋体"/>
          <w:color w:val="auto"/>
          <w:spacing w:val="8"/>
          <w:sz w:val="24"/>
          <w:szCs w:val="24"/>
          <w:highlight w:val="none"/>
        </w:rPr>
        <w:t>巡</w:t>
      </w:r>
      <w:r>
        <w:rPr>
          <w:rFonts w:hint="eastAsia" w:ascii="宋体" w:hAnsi="宋体" w:eastAsia="宋体" w:cs="宋体"/>
          <w:color w:val="auto"/>
          <w:spacing w:val="6"/>
          <w:sz w:val="24"/>
          <w:szCs w:val="24"/>
          <w:highlight w:val="none"/>
        </w:rPr>
        <w:t>护区域：本周飞行巡护区域，航路点数据。</w:t>
      </w:r>
    </w:p>
    <w:p>
      <w:pPr>
        <w:numPr>
          <w:ilvl w:val="0"/>
          <w:numId w:val="0"/>
        </w:numPr>
        <w:spacing w:before="1" w:line="333" w:lineRule="auto"/>
        <w:ind w:left="656" w:leftChars="0" w:right="1108"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pacing w:val="9"/>
          <w:sz w:val="24"/>
          <w:szCs w:val="24"/>
          <w:highlight w:val="none"/>
        </w:rPr>
        <w:t>)作业人员：本周参与作业人员</w:t>
      </w:r>
      <w:r>
        <w:rPr>
          <w:rFonts w:hint="eastAsia" w:ascii="宋体" w:hAnsi="宋体" w:eastAsia="宋体" w:cs="宋体"/>
          <w:color w:val="auto"/>
          <w:spacing w:val="6"/>
          <w:sz w:val="24"/>
          <w:szCs w:val="24"/>
          <w:highlight w:val="none"/>
        </w:rPr>
        <w:t>。</w:t>
      </w:r>
    </w:p>
    <w:p>
      <w:pPr>
        <w:spacing w:before="2" w:line="333" w:lineRule="auto"/>
        <w:ind w:left="660" w:firstLine="3"/>
        <w:rPr>
          <w:rFonts w:hint="eastAsia" w:ascii="宋体" w:hAnsi="宋体" w:eastAsia="宋体" w:cs="宋体"/>
          <w:color w:val="auto"/>
          <w:spacing w:val="12"/>
          <w:sz w:val="24"/>
          <w:szCs w:val="24"/>
          <w:highlight w:val="none"/>
        </w:rPr>
      </w:pPr>
      <w:r>
        <w:rPr>
          <w:rFonts w:hint="eastAsia" w:ascii="宋体" w:hAnsi="宋体" w:eastAsia="宋体" w:cs="宋体"/>
          <w:color w:val="auto"/>
          <w:sz w:val="24"/>
          <w:szCs w:val="24"/>
          <w:highlight w:val="none"/>
        </w:rPr>
        <w:t>C</w:t>
      </w:r>
      <w:r>
        <w:rPr>
          <w:rFonts w:hint="eastAsia" w:ascii="宋体" w:hAnsi="宋体" w:eastAsia="宋体" w:cs="宋体"/>
          <w:color w:val="auto"/>
          <w:spacing w:val="24"/>
          <w:sz w:val="24"/>
          <w:szCs w:val="24"/>
          <w:highlight w:val="none"/>
        </w:rPr>
        <w:t>)</w:t>
      </w:r>
      <w:r>
        <w:rPr>
          <w:rFonts w:hint="eastAsia" w:ascii="宋体" w:hAnsi="宋体" w:eastAsia="宋体" w:cs="宋体"/>
          <w:color w:val="auto"/>
          <w:spacing w:val="17"/>
          <w:sz w:val="24"/>
          <w:szCs w:val="24"/>
          <w:highlight w:val="none"/>
        </w:rPr>
        <w:t>作</w:t>
      </w:r>
      <w:r>
        <w:rPr>
          <w:rFonts w:hint="eastAsia" w:ascii="宋体" w:hAnsi="宋体" w:eastAsia="宋体" w:cs="宋体"/>
          <w:color w:val="auto"/>
          <w:spacing w:val="12"/>
          <w:sz w:val="24"/>
          <w:szCs w:val="24"/>
          <w:highlight w:val="none"/>
        </w:rPr>
        <w:t>业时间：本周巡护开始、结束时间及飞行总时长。</w:t>
      </w:r>
    </w:p>
    <w:p>
      <w:pPr>
        <w:spacing w:before="2" w:line="333"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D</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11"/>
          <w:sz w:val="24"/>
          <w:szCs w:val="24"/>
          <w:highlight w:val="none"/>
        </w:rPr>
        <w:t>作</w:t>
      </w:r>
      <w:r>
        <w:rPr>
          <w:rFonts w:hint="eastAsia" w:ascii="宋体" w:hAnsi="宋体" w:eastAsia="宋体" w:cs="宋体"/>
          <w:color w:val="auto"/>
          <w:spacing w:val="8"/>
          <w:sz w:val="24"/>
          <w:szCs w:val="24"/>
          <w:highlight w:val="none"/>
        </w:rPr>
        <w:t>业面积：本周作业面积总和。</w:t>
      </w:r>
    </w:p>
    <w:p>
      <w:pPr>
        <w:spacing w:before="3" w:line="333" w:lineRule="auto"/>
        <w:ind w:left="56" w:right="93" w:firstLine="60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w:t>
      </w:r>
      <w:r>
        <w:rPr>
          <w:rFonts w:hint="eastAsia" w:ascii="宋体" w:hAnsi="宋体" w:eastAsia="宋体" w:cs="宋体"/>
          <w:color w:val="auto"/>
          <w:spacing w:val="9"/>
          <w:sz w:val="24"/>
          <w:szCs w:val="24"/>
          <w:highlight w:val="none"/>
        </w:rPr>
        <w:t>)事件、隐患描述及处理：飞行作业发现事件、隐患</w:t>
      </w:r>
      <w:r>
        <w:rPr>
          <w:rFonts w:hint="eastAsia" w:ascii="宋体" w:hAnsi="宋体" w:eastAsia="宋体" w:cs="宋体"/>
          <w:color w:val="auto"/>
          <w:spacing w:val="6"/>
          <w:sz w:val="24"/>
          <w:szCs w:val="24"/>
          <w:highlight w:val="none"/>
        </w:rPr>
        <w:t>的时间地点及处理方法,处理结果。</w:t>
      </w:r>
    </w:p>
    <w:p>
      <w:pPr>
        <w:spacing w:line="227" w:lineRule="auto"/>
        <w:ind w:left="727"/>
        <w:outlineLvl w:val="1"/>
        <w:rPr>
          <w:rFonts w:hint="eastAsia" w:ascii="宋体" w:hAnsi="宋体" w:eastAsia="宋体" w:cs="宋体"/>
          <w:color w:val="auto"/>
          <w:sz w:val="24"/>
          <w:szCs w:val="24"/>
          <w:highlight w:val="none"/>
          <w:lang w:val="en-US" w:eastAsia="zh-CN"/>
        </w:rPr>
      </w:pPr>
      <w:bookmarkStart w:id="68" w:name="_bookmark87"/>
      <w:bookmarkEnd w:id="68"/>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
          <w:sz w:val="24"/>
          <w:szCs w:val="24"/>
          <w:highlight w:val="none"/>
        </w:rPr>
        <w:t>三)总结报告</w:t>
      </w:r>
      <w:r>
        <w:rPr>
          <w:rFonts w:hint="eastAsia" w:ascii="宋体" w:hAnsi="宋体" w:eastAsia="宋体" w:cs="宋体"/>
          <w:color w:val="auto"/>
          <w:spacing w:val="-2"/>
          <w:sz w:val="24"/>
          <w:szCs w:val="24"/>
          <w:highlight w:val="none"/>
          <w:lang w:val="en-US" w:eastAsia="zh-CN"/>
        </w:rPr>
        <w:t>方案</w:t>
      </w:r>
    </w:p>
    <w:p>
      <w:pPr>
        <w:spacing w:before="178" w:line="559" w:lineRule="exact"/>
        <w:ind w:left="685"/>
        <w:rPr>
          <w:rFonts w:hint="eastAsia" w:ascii="宋体" w:hAnsi="宋体" w:eastAsia="宋体" w:cs="宋体"/>
          <w:color w:val="auto"/>
          <w:sz w:val="24"/>
          <w:szCs w:val="24"/>
          <w:highlight w:val="none"/>
        </w:rPr>
      </w:pPr>
      <w:r>
        <w:rPr>
          <w:rFonts w:hint="eastAsia" w:ascii="宋体" w:hAnsi="宋体" w:eastAsia="宋体" w:cs="宋体"/>
          <w:color w:val="auto"/>
          <w:spacing w:val="8"/>
          <w:position w:val="18"/>
          <w:sz w:val="24"/>
          <w:szCs w:val="24"/>
          <w:highlight w:val="none"/>
        </w:rPr>
        <w:t>完成巡护任务后对整体飞行结果进行总结</w:t>
      </w:r>
    </w:p>
    <w:p>
      <w:pPr>
        <w:spacing w:before="1" w:line="241" w:lineRule="auto"/>
        <w:ind w:left="69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w:t>
      </w:r>
      <w:r>
        <w:rPr>
          <w:rFonts w:hint="eastAsia" w:ascii="宋体" w:hAnsi="宋体" w:eastAsia="宋体" w:cs="宋体"/>
          <w:color w:val="auto"/>
          <w:spacing w:val="5"/>
          <w:sz w:val="24"/>
          <w:szCs w:val="24"/>
          <w:highlight w:val="none"/>
        </w:rPr>
        <w:t>.巡护区域整体介绍</w:t>
      </w:r>
    </w:p>
    <w:p>
      <w:pPr>
        <w:spacing w:before="156" w:line="333" w:lineRule="auto"/>
        <w:ind w:left="32" w:firstLine="639"/>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巡</w:t>
      </w:r>
      <w:r>
        <w:rPr>
          <w:rFonts w:hint="eastAsia" w:ascii="宋体" w:hAnsi="宋体" w:eastAsia="宋体" w:cs="宋体"/>
          <w:color w:val="auto"/>
          <w:spacing w:val="13"/>
          <w:sz w:val="24"/>
          <w:szCs w:val="24"/>
          <w:highlight w:val="none"/>
        </w:rPr>
        <w:t>护</w:t>
      </w:r>
      <w:r>
        <w:rPr>
          <w:rFonts w:hint="eastAsia" w:ascii="宋体" w:hAnsi="宋体" w:eastAsia="宋体" w:cs="宋体"/>
          <w:color w:val="auto"/>
          <w:spacing w:val="8"/>
          <w:sz w:val="24"/>
          <w:szCs w:val="24"/>
          <w:highlight w:val="none"/>
        </w:rPr>
        <w:t>区域地理位置、地貌、地形、地类、植被类型、树</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6"/>
          <w:sz w:val="24"/>
          <w:szCs w:val="24"/>
          <w:highlight w:val="none"/>
        </w:rPr>
        <w:t>种</w:t>
      </w:r>
      <w:r>
        <w:rPr>
          <w:rFonts w:hint="eastAsia" w:ascii="宋体" w:hAnsi="宋体" w:eastAsia="宋体" w:cs="宋体"/>
          <w:color w:val="auto"/>
          <w:spacing w:val="12"/>
          <w:sz w:val="24"/>
          <w:szCs w:val="24"/>
          <w:highlight w:val="none"/>
        </w:rPr>
        <w:t>、火源、可燃物、疑似过火区、过火面积、燃烧类型等。</w:t>
      </w:r>
    </w:p>
    <w:p>
      <w:pPr>
        <w:spacing w:before="1" w:line="223" w:lineRule="auto"/>
        <w:ind w:left="67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5"/>
          <w:sz w:val="24"/>
          <w:szCs w:val="24"/>
          <w:highlight w:val="none"/>
        </w:rPr>
        <w:t>.人文环境</w:t>
      </w:r>
    </w:p>
    <w:p>
      <w:pPr>
        <w:spacing w:before="187" w:line="333" w:lineRule="auto"/>
        <w:ind w:left="47" w:right="94" w:firstLine="624"/>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巡</w:t>
      </w:r>
      <w:r>
        <w:rPr>
          <w:rFonts w:hint="eastAsia" w:ascii="宋体" w:hAnsi="宋体" w:eastAsia="宋体" w:cs="宋体"/>
          <w:color w:val="auto"/>
          <w:spacing w:val="11"/>
          <w:sz w:val="24"/>
          <w:szCs w:val="24"/>
          <w:highlight w:val="none"/>
        </w:rPr>
        <w:t>护</w:t>
      </w:r>
      <w:r>
        <w:rPr>
          <w:rFonts w:hint="eastAsia" w:ascii="宋体" w:hAnsi="宋体" w:eastAsia="宋体" w:cs="宋体"/>
          <w:color w:val="auto"/>
          <w:spacing w:val="8"/>
          <w:sz w:val="24"/>
          <w:szCs w:val="24"/>
          <w:highlight w:val="none"/>
        </w:rPr>
        <w:t>作业区域人文环境对巡护作业及防火的影响，当地</w:t>
      </w:r>
      <w:r>
        <w:rPr>
          <w:rFonts w:hint="eastAsia" w:ascii="宋体" w:hAnsi="宋体" w:eastAsia="宋体" w:cs="宋体"/>
          <w:color w:val="auto"/>
          <w:spacing w:val="6"/>
          <w:sz w:val="24"/>
          <w:szCs w:val="24"/>
          <w:highlight w:val="none"/>
        </w:rPr>
        <w:t>生</w:t>
      </w:r>
      <w:r>
        <w:rPr>
          <w:rFonts w:hint="eastAsia" w:ascii="宋体" w:hAnsi="宋体" w:eastAsia="宋体" w:cs="宋体"/>
          <w:color w:val="auto"/>
          <w:spacing w:val="4"/>
          <w:sz w:val="24"/>
          <w:szCs w:val="24"/>
          <w:highlight w:val="none"/>
        </w:rPr>
        <w:t>活</w:t>
      </w:r>
      <w:r>
        <w:rPr>
          <w:rFonts w:hint="eastAsia" w:ascii="宋体" w:hAnsi="宋体" w:eastAsia="宋体" w:cs="宋体"/>
          <w:color w:val="auto"/>
          <w:spacing w:val="3"/>
          <w:sz w:val="24"/>
          <w:szCs w:val="24"/>
          <w:highlight w:val="none"/>
        </w:rPr>
        <w:t>习惯可能产生的火灾隐患。</w:t>
      </w:r>
    </w:p>
    <w:p>
      <w:pPr>
        <w:spacing w:before="1" w:line="241" w:lineRule="auto"/>
        <w:ind w:left="67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3.气象条件</w:t>
      </w:r>
    </w:p>
    <w:p>
      <w:pPr>
        <w:spacing w:before="156" w:line="333" w:lineRule="auto"/>
        <w:ind w:left="23" w:right="92" w:firstLine="648"/>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巡</w:t>
      </w:r>
      <w:r>
        <w:rPr>
          <w:rFonts w:hint="eastAsia" w:ascii="宋体" w:hAnsi="宋体" w:eastAsia="宋体" w:cs="宋体"/>
          <w:color w:val="auto"/>
          <w:spacing w:val="13"/>
          <w:sz w:val="24"/>
          <w:szCs w:val="24"/>
          <w:highlight w:val="none"/>
        </w:rPr>
        <w:t>护</w:t>
      </w:r>
      <w:r>
        <w:rPr>
          <w:rFonts w:hint="eastAsia" w:ascii="宋体" w:hAnsi="宋体" w:eastAsia="宋体" w:cs="宋体"/>
          <w:color w:val="auto"/>
          <w:spacing w:val="8"/>
          <w:sz w:val="24"/>
          <w:szCs w:val="24"/>
          <w:highlight w:val="none"/>
        </w:rPr>
        <w:t>区域温度、湿度、风向、风速、能见度等，气象条</w:t>
      </w:r>
      <w:r>
        <w:rPr>
          <w:rFonts w:hint="eastAsia" w:ascii="宋体" w:hAnsi="宋体" w:eastAsia="宋体" w:cs="宋体"/>
          <w:color w:val="auto"/>
          <w:spacing w:val="5"/>
          <w:sz w:val="24"/>
          <w:szCs w:val="24"/>
          <w:highlight w:val="none"/>
        </w:rPr>
        <w:t>件</w:t>
      </w:r>
      <w:r>
        <w:rPr>
          <w:rFonts w:hint="eastAsia" w:ascii="宋体" w:hAnsi="宋体" w:eastAsia="宋体" w:cs="宋体"/>
          <w:color w:val="auto"/>
          <w:spacing w:val="3"/>
          <w:sz w:val="24"/>
          <w:szCs w:val="24"/>
          <w:highlight w:val="none"/>
        </w:rPr>
        <w:t>对飞行及防火的影响。</w:t>
      </w:r>
    </w:p>
    <w:p>
      <w:pPr>
        <w:spacing w:before="1" w:line="221" w:lineRule="auto"/>
        <w:ind w:left="66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6"/>
          <w:sz w:val="24"/>
          <w:szCs w:val="24"/>
          <w:highlight w:val="none"/>
        </w:rPr>
        <w:t>.作业设备</w:t>
      </w:r>
    </w:p>
    <w:p>
      <w:pPr>
        <w:spacing w:before="184" w:line="224" w:lineRule="auto"/>
        <w:ind w:left="36"/>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作</w:t>
      </w:r>
      <w:r>
        <w:rPr>
          <w:rFonts w:hint="eastAsia" w:ascii="宋体" w:hAnsi="宋体" w:eastAsia="宋体" w:cs="宋体"/>
          <w:color w:val="auto"/>
          <w:spacing w:val="11"/>
          <w:sz w:val="24"/>
          <w:szCs w:val="24"/>
          <w:highlight w:val="none"/>
        </w:rPr>
        <w:t>业</w:t>
      </w:r>
      <w:r>
        <w:rPr>
          <w:rFonts w:hint="eastAsia" w:ascii="宋体" w:hAnsi="宋体" w:eastAsia="宋体" w:cs="宋体"/>
          <w:color w:val="auto"/>
          <w:spacing w:val="8"/>
          <w:sz w:val="24"/>
          <w:szCs w:val="24"/>
          <w:highlight w:val="none"/>
        </w:rPr>
        <w:t>设备整体运行情况。不同设备对巡护作业的作用及</w:t>
      </w:r>
      <w:r>
        <w:rPr>
          <w:rFonts w:hint="eastAsia" w:ascii="宋体" w:hAnsi="宋体" w:eastAsia="宋体" w:cs="宋体"/>
          <w:color w:val="auto"/>
          <w:spacing w:val="-15"/>
          <w:sz w:val="24"/>
          <w:szCs w:val="24"/>
          <w:highlight w:val="none"/>
        </w:rPr>
        <w:t>影</w:t>
      </w:r>
      <w:r>
        <w:rPr>
          <w:rFonts w:hint="eastAsia" w:ascii="宋体" w:hAnsi="宋体" w:eastAsia="宋体" w:cs="宋体"/>
          <w:color w:val="auto"/>
          <w:spacing w:val="-14"/>
          <w:sz w:val="24"/>
          <w:szCs w:val="24"/>
          <w:highlight w:val="none"/>
        </w:rPr>
        <w:t>响。</w:t>
      </w:r>
    </w:p>
    <w:p>
      <w:pPr>
        <w:spacing w:before="183" w:line="242" w:lineRule="auto"/>
        <w:ind w:left="672"/>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5</w:t>
      </w:r>
      <w:r>
        <w:rPr>
          <w:rFonts w:hint="eastAsia" w:ascii="宋体" w:hAnsi="宋体" w:eastAsia="宋体" w:cs="宋体"/>
          <w:color w:val="auto"/>
          <w:spacing w:val="6"/>
          <w:sz w:val="24"/>
          <w:szCs w:val="24"/>
          <w:highlight w:val="none"/>
        </w:rPr>
        <w:t>.森林草原防灭火</w:t>
      </w:r>
    </w:p>
    <w:p>
      <w:pPr>
        <w:spacing w:before="157" w:line="333" w:lineRule="auto"/>
        <w:ind w:left="17" w:right="7" w:firstLine="671"/>
        <w:rPr>
          <w:rFonts w:hint="eastAsia" w:ascii="宋体" w:hAnsi="宋体" w:eastAsia="宋体" w:cs="宋体"/>
          <w:color w:val="auto"/>
          <w:sz w:val="24"/>
          <w:szCs w:val="24"/>
          <w:highlight w:val="none"/>
        </w:rPr>
      </w:pPr>
      <w:r>
        <w:rPr>
          <w:rFonts w:hint="eastAsia" w:ascii="宋体" w:hAnsi="宋体" w:eastAsia="宋体" w:cs="宋体"/>
          <w:color w:val="auto"/>
          <w:spacing w:val="22"/>
          <w:sz w:val="24"/>
          <w:szCs w:val="24"/>
          <w:highlight w:val="none"/>
        </w:rPr>
        <w:t>总</w:t>
      </w:r>
      <w:r>
        <w:rPr>
          <w:rFonts w:hint="eastAsia" w:ascii="宋体" w:hAnsi="宋体" w:eastAsia="宋体" w:cs="宋体"/>
          <w:color w:val="auto"/>
          <w:spacing w:val="11"/>
          <w:sz w:val="24"/>
          <w:szCs w:val="24"/>
          <w:highlight w:val="none"/>
        </w:rPr>
        <w:t>结梳理无人机技术在森林草原防灭火工作中的作用，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包括</w:t>
      </w:r>
      <w:r>
        <w:rPr>
          <w:rFonts w:hint="eastAsia" w:ascii="宋体" w:hAnsi="宋体" w:eastAsia="宋体" w:cs="宋体"/>
          <w:color w:val="auto"/>
          <w:spacing w:val="3"/>
          <w:sz w:val="24"/>
          <w:szCs w:val="24"/>
          <w:highlight w:val="none"/>
        </w:rPr>
        <w:t>但不限于巡护区域森林巡护、隐患排查、 扑火演练、早</w:t>
      </w:r>
      <w:r>
        <w:rPr>
          <w:rFonts w:hint="eastAsia" w:ascii="宋体" w:hAnsi="宋体" w:eastAsia="宋体" w:cs="宋体"/>
          <w:color w:val="auto"/>
          <w:spacing w:val="10"/>
          <w:sz w:val="24"/>
          <w:szCs w:val="24"/>
          <w:highlight w:val="none"/>
        </w:rPr>
        <w:t>期</w:t>
      </w:r>
      <w:r>
        <w:rPr>
          <w:rFonts w:hint="eastAsia" w:ascii="宋体" w:hAnsi="宋体" w:eastAsia="宋体" w:cs="宋体"/>
          <w:color w:val="auto"/>
          <w:spacing w:val="6"/>
          <w:sz w:val="24"/>
          <w:szCs w:val="24"/>
          <w:highlight w:val="none"/>
        </w:rPr>
        <w:t>火情处置、无人机防火宣传等情况。</w:t>
      </w:r>
    </w:p>
    <w:p>
      <w:pPr>
        <w:spacing w:line="242" w:lineRule="auto"/>
        <w:ind w:left="66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6</w:t>
      </w:r>
      <w:r>
        <w:rPr>
          <w:rFonts w:hint="eastAsia" w:ascii="宋体" w:hAnsi="宋体" w:eastAsia="宋体" w:cs="宋体"/>
          <w:color w:val="auto"/>
          <w:spacing w:val="6"/>
          <w:sz w:val="24"/>
          <w:szCs w:val="24"/>
          <w:highlight w:val="none"/>
        </w:rPr>
        <w:t>.生物多样性</w:t>
      </w:r>
    </w:p>
    <w:p>
      <w:pPr>
        <w:spacing w:before="152" w:line="334" w:lineRule="auto"/>
        <w:ind w:left="673" w:hanging="2"/>
        <w:rPr>
          <w:rFonts w:hint="eastAsia" w:ascii="宋体" w:hAnsi="宋体" w:eastAsia="宋体" w:cs="宋体"/>
          <w:color w:val="auto"/>
          <w:spacing w:val="12"/>
          <w:sz w:val="24"/>
          <w:szCs w:val="24"/>
          <w:highlight w:val="none"/>
        </w:rPr>
      </w:pPr>
      <w:r>
        <w:rPr>
          <w:rFonts w:hint="eastAsia" w:ascii="宋体" w:hAnsi="宋体" w:eastAsia="宋体" w:cs="宋体"/>
          <w:color w:val="auto"/>
          <w:spacing w:val="24"/>
          <w:sz w:val="24"/>
          <w:szCs w:val="24"/>
          <w:highlight w:val="none"/>
        </w:rPr>
        <w:t>巡</w:t>
      </w:r>
      <w:r>
        <w:rPr>
          <w:rFonts w:hint="eastAsia" w:ascii="宋体" w:hAnsi="宋体" w:eastAsia="宋体" w:cs="宋体"/>
          <w:color w:val="auto"/>
          <w:spacing w:val="12"/>
          <w:sz w:val="24"/>
          <w:szCs w:val="24"/>
          <w:highlight w:val="none"/>
        </w:rPr>
        <w:t>护区域生物多样性对生态的影响及可能产生的隐患。</w:t>
      </w:r>
    </w:p>
    <w:p>
      <w:pPr>
        <w:spacing w:before="152" w:line="334"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7.生态病</w:t>
      </w:r>
      <w:r>
        <w:rPr>
          <w:rFonts w:hint="eastAsia" w:ascii="宋体" w:hAnsi="宋体" w:eastAsia="宋体" w:cs="宋体"/>
          <w:color w:val="auto"/>
          <w:spacing w:val="4"/>
          <w:sz w:val="24"/>
          <w:szCs w:val="24"/>
          <w:highlight w:val="none"/>
        </w:rPr>
        <w:t>害</w:t>
      </w:r>
    </w:p>
    <w:p>
      <w:pPr>
        <w:spacing w:line="559" w:lineRule="exact"/>
        <w:ind w:left="687"/>
        <w:rPr>
          <w:rFonts w:hint="eastAsia" w:ascii="宋体" w:hAnsi="宋体" w:eastAsia="宋体" w:cs="宋体"/>
          <w:color w:val="auto"/>
          <w:sz w:val="24"/>
          <w:szCs w:val="24"/>
          <w:highlight w:val="none"/>
        </w:rPr>
      </w:pPr>
      <w:r>
        <w:rPr>
          <w:rFonts w:hint="eastAsia" w:ascii="宋体" w:hAnsi="宋体" w:eastAsia="宋体" w:cs="宋体"/>
          <w:color w:val="auto"/>
          <w:spacing w:val="8"/>
          <w:position w:val="18"/>
          <w:sz w:val="24"/>
          <w:szCs w:val="24"/>
          <w:highlight w:val="none"/>
        </w:rPr>
        <w:t>生态</w:t>
      </w:r>
      <w:r>
        <w:rPr>
          <w:rFonts w:hint="eastAsia" w:ascii="宋体" w:hAnsi="宋体" w:eastAsia="宋体" w:cs="宋体"/>
          <w:color w:val="auto"/>
          <w:spacing w:val="4"/>
          <w:position w:val="18"/>
          <w:sz w:val="24"/>
          <w:szCs w:val="24"/>
          <w:highlight w:val="none"/>
        </w:rPr>
        <w:t>病害产生的火灾隐患及环境影响。</w:t>
      </w:r>
    </w:p>
    <w:p>
      <w:pPr>
        <w:spacing w:line="242" w:lineRule="auto"/>
        <w:ind w:left="66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8.其他情</w:t>
      </w:r>
      <w:r>
        <w:rPr>
          <w:rFonts w:hint="eastAsia" w:ascii="宋体" w:hAnsi="宋体" w:eastAsia="宋体" w:cs="宋体"/>
          <w:color w:val="auto"/>
          <w:spacing w:val="5"/>
          <w:sz w:val="24"/>
          <w:szCs w:val="24"/>
          <w:highlight w:val="none"/>
        </w:rPr>
        <w:t>况</w:t>
      </w:r>
    </w:p>
    <w:p>
      <w:pPr>
        <w:spacing w:before="151" w:line="334" w:lineRule="auto"/>
        <w:ind w:left="34" w:right="97" w:firstLine="636"/>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巡</w:t>
      </w:r>
      <w:r>
        <w:rPr>
          <w:rFonts w:hint="eastAsia" w:ascii="宋体" w:hAnsi="宋体" w:eastAsia="宋体" w:cs="宋体"/>
          <w:color w:val="auto"/>
          <w:spacing w:val="11"/>
          <w:sz w:val="24"/>
          <w:szCs w:val="24"/>
          <w:highlight w:val="none"/>
        </w:rPr>
        <w:t>护</w:t>
      </w:r>
      <w:r>
        <w:rPr>
          <w:rFonts w:hint="eastAsia" w:ascii="宋体" w:hAnsi="宋体" w:eastAsia="宋体" w:cs="宋体"/>
          <w:color w:val="auto"/>
          <w:spacing w:val="8"/>
          <w:sz w:val="24"/>
          <w:szCs w:val="24"/>
          <w:highlight w:val="none"/>
        </w:rPr>
        <w:t>作业区域电力、交通、农业等户外作业可能产生的</w:t>
      </w:r>
      <w:r>
        <w:rPr>
          <w:rFonts w:hint="eastAsia" w:ascii="宋体" w:hAnsi="宋体" w:eastAsia="宋体" w:cs="宋体"/>
          <w:color w:val="auto"/>
          <w:spacing w:val="4"/>
          <w:sz w:val="24"/>
          <w:szCs w:val="24"/>
          <w:highlight w:val="none"/>
        </w:rPr>
        <w:t>火</w:t>
      </w:r>
      <w:r>
        <w:rPr>
          <w:rFonts w:hint="eastAsia" w:ascii="宋体" w:hAnsi="宋体" w:eastAsia="宋体" w:cs="宋体"/>
          <w:color w:val="auto"/>
          <w:spacing w:val="3"/>
          <w:sz w:val="24"/>
          <w:szCs w:val="24"/>
          <w:highlight w:val="none"/>
        </w:rPr>
        <w:t>灾隐患。</w:t>
      </w:r>
    </w:p>
    <w:p>
      <w:pPr>
        <w:spacing w:before="1" w:line="242" w:lineRule="auto"/>
        <w:ind w:left="66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9.辅助材</w:t>
      </w:r>
      <w:r>
        <w:rPr>
          <w:rFonts w:hint="eastAsia" w:ascii="宋体" w:hAnsi="宋体" w:eastAsia="宋体" w:cs="宋体"/>
          <w:color w:val="auto"/>
          <w:spacing w:val="5"/>
          <w:sz w:val="24"/>
          <w:szCs w:val="24"/>
          <w:highlight w:val="none"/>
        </w:rPr>
        <w:t>料</w:t>
      </w:r>
    </w:p>
    <w:p>
      <w:pPr>
        <w:spacing w:before="152" w:line="222" w:lineRule="auto"/>
        <w:ind w:left="657"/>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包括航线、航迹、各类签字单据等。</w:t>
      </w:r>
    </w:p>
    <w:p>
      <w:pPr>
        <w:spacing w:before="188" w:line="224" w:lineRule="auto"/>
        <w:ind w:left="675"/>
        <w:outlineLvl w:val="0"/>
        <w:rPr>
          <w:rFonts w:hint="eastAsia" w:ascii="宋体" w:hAnsi="宋体" w:eastAsia="宋体" w:cs="宋体"/>
          <w:color w:val="auto"/>
          <w:sz w:val="24"/>
          <w:szCs w:val="24"/>
          <w:highlight w:val="none"/>
          <w:lang w:val="en-US" w:eastAsia="zh-CN"/>
        </w:rPr>
      </w:pPr>
      <w:bookmarkStart w:id="69" w:name="_bookmark88"/>
      <w:bookmarkEnd w:id="69"/>
      <w:r>
        <w:rPr>
          <w:rFonts w:hint="eastAsia" w:ascii="宋体" w:hAnsi="宋体" w:eastAsia="宋体" w:cs="宋体"/>
          <w:color w:val="auto"/>
          <w:spacing w:val="-22"/>
          <w:sz w:val="24"/>
          <w:szCs w:val="24"/>
          <w:highlight w:val="none"/>
        </w:rPr>
        <w:t>九</w:t>
      </w:r>
      <w:r>
        <w:rPr>
          <w:rFonts w:hint="eastAsia" w:ascii="宋体" w:hAnsi="宋体" w:eastAsia="宋体" w:cs="宋体"/>
          <w:color w:val="auto"/>
          <w:spacing w:val="-16"/>
          <w:sz w:val="24"/>
          <w:szCs w:val="24"/>
          <w:highlight w:val="none"/>
        </w:rPr>
        <w:t>、 服务要求</w:t>
      </w:r>
      <w:r>
        <w:rPr>
          <w:rFonts w:hint="eastAsia" w:ascii="宋体" w:hAnsi="宋体" w:eastAsia="宋体" w:cs="宋体"/>
          <w:color w:val="auto"/>
          <w:spacing w:val="-16"/>
          <w:sz w:val="24"/>
          <w:szCs w:val="24"/>
          <w:highlight w:val="none"/>
          <w:lang w:val="en-US" w:eastAsia="zh-CN"/>
        </w:rPr>
        <w:t>方案</w:t>
      </w:r>
    </w:p>
    <w:p>
      <w:pPr>
        <w:spacing w:before="184" w:line="334" w:lineRule="auto"/>
        <w:ind w:left="50" w:right="94" w:firstLine="63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1.作业方应</w:t>
      </w:r>
      <w:r>
        <w:rPr>
          <w:rFonts w:hint="eastAsia" w:ascii="宋体" w:hAnsi="宋体" w:eastAsia="宋体" w:cs="宋体"/>
          <w:color w:val="auto"/>
          <w:spacing w:val="1"/>
          <w:sz w:val="24"/>
          <w:szCs w:val="24"/>
          <w:highlight w:val="none"/>
        </w:rPr>
        <w:t>符合第</w:t>
      </w:r>
      <w:r>
        <w:rPr>
          <w:rFonts w:hint="eastAsia" w:ascii="宋体" w:hAnsi="宋体" w:eastAsia="宋体" w:cs="宋体"/>
          <w:color w:val="auto"/>
          <w:spacing w:val="1"/>
          <w:sz w:val="24"/>
          <w:szCs w:val="24"/>
          <w:highlight w:val="none"/>
          <w:lang w:val="en-US" w:eastAsia="zh-CN"/>
        </w:rPr>
        <w:t>三</w:t>
      </w:r>
      <w:r>
        <w:rPr>
          <w:rFonts w:hint="eastAsia" w:ascii="宋体" w:hAnsi="宋体" w:eastAsia="宋体" w:cs="宋体"/>
          <w:color w:val="auto"/>
          <w:spacing w:val="1"/>
          <w:sz w:val="24"/>
          <w:szCs w:val="24"/>
          <w:highlight w:val="none"/>
        </w:rPr>
        <w:t>章关于人员和装备的要求， 完成第</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lang w:val="en-US" w:eastAsia="zh-CN"/>
        </w:rPr>
        <w:t>二</w:t>
      </w:r>
      <w:r>
        <w:rPr>
          <w:rFonts w:hint="eastAsia" w:ascii="宋体" w:hAnsi="宋体" w:eastAsia="宋体" w:cs="宋体"/>
          <w:color w:val="auto"/>
          <w:spacing w:val="5"/>
          <w:sz w:val="24"/>
          <w:szCs w:val="24"/>
          <w:highlight w:val="none"/>
        </w:rPr>
        <w:t>章要求的作业任务。</w:t>
      </w:r>
    </w:p>
    <w:p>
      <w:pPr>
        <w:spacing w:before="1" w:line="241" w:lineRule="auto"/>
        <w:ind w:left="6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2</w:t>
      </w:r>
      <w:r>
        <w:rPr>
          <w:rFonts w:hint="eastAsia" w:ascii="宋体" w:hAnsi="宋体" w:eastAsia="宋体" w:cs="宋体"/>
          <w:color w:val="auto"/>
          <w:spacing w:val="5"/>
          <w:sz w:val="24"/>
          <w:szCs w:val="24"/>
          <w:highlight w:val="none"/>
        </w:rPr>
        <w:t>.作业方应提交第七章规定成果数据。</w:t>
      </w:r>
    </w:p>
    <w:p>
      <w:pPr>
        <w:spacing w:before="152" w:line="334" w:lineRule="auto"/>
        <w:ind w:left="54" w:right="89" w:firstLine="618"/>
        <w:rPr>
          <w:rFonts w:hint="eastAsia" w:ascii="宋体" w:hAnsi="宋体" w:eastAsia="宋体" w:cs="宋体"/>
          <w:color w:val="auto"/>
          <w:sz w:val="24"/>
          <w:szCs w:val="24"/>
          <w:highlight w:val="none"/>
        </w:rPr>
      </w:pPr>
      <w:r>
        <w:rPr>
          <w:rFonts w:hint="eastAsia" w:ascii="宋体" w:hAnsi="宋体" w:eastAsia="宋体" w:cs="宋体"/>
          <w:color w:val="auto"/>
          <w:spacing w:val="36"/>
          <w:sz w:val="24"/>
          <w:szCs w:val="24"/>
          <w:highlight w:val="none"/>
        </w:rPr>
        <w:t>3</w:t>
      </w:r>
      <w:r>
        <w:rPr>
          <w:rFonts w:hint="eastAsia" w:ascii="宋体" w:hAnsi="宋体" w:eastAsia="宋体" w:cs="宋体"/>
          <w:color w:val="auto"/>
          <w:spacing w:val="21"/>
          <w:sz w:val="24"/>
          <w:szCs w:val="24"/>
          <w:highlight w:val="none"/>
        </w:rPr>
        <w:t>.作业方应将任务执行过程中的画面和传感数据实时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回</w:t>
      </w:r>
      <w:r>
        <w:rPr>
          <w:rFonts w:hint="eastAsia" w:ascii="宋体" w:hAnsi="宋体" w:eastAsia="宋体" w:cs="宋体"/>
          <w:color w:val="auto"/>
          <w:spacing w:val="6"/>
          <w:sz w:val="24"/>
          <w:szCs w:val="24"/>
          <w:highlight w:val="none"/>
        </w:rPr>
        <w:t>传至天东林管局防火指挥中心。</w:t>
      </w:r>
    </w:p>
    <w:p>
      <w:pPr>
        <w:spacing w:line="333" w:lineRule="auto"/>
        <w:ind w:left="34" w:right="94" w:firstLine="64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4.作业方应具备通用航空企业经营许可证，并具备相</w:t>
      </w:r>
      <w:r>
        <w:rPr>
          <w:rFonts w:hint="eastAsia" w:ascii="宋体" w:hAnsi="宋体" w:eastAsia="宋体" w:cs="宋体"/>
          <w:color w:val="auto"/>
          <w:spacing w:val="6"/>
          <w:sz w:val="24"/>
          <w:szCs w:val="24"/>
          <w:highlight w:val="none"/>
        </w:rPr>
        <w:t>关</w:t>
      </w:r>
      <w:r>
        <w:rPr>
          <w:rFonts w:hint="eastAsia" w:ascii="宋体" w:hAnsi="宋体" w:eastAsia="宋体" w:cs="宋体"/>
          <w:color w:val="auto"/>
          <w:spacing w:val="-1"/>
          <w:sz w:val="24"/>
          <w:szCs w:val="24"/>
          <w:highlight w:val="none"/>
        </w:rPr>
        <w:t>经验</w:t>
      </w:r>
      <w:r>
        <w:rPr>
          <w:rFonts w:hint="eastAsia" w:ascii="宋体" w:hAnsi="宋体" w:eastAsia="宋体" w:cs="宋体"/>
          <w:color w:val="auto"/>
          <w:sz w:val="24"/>
          <w:szCs w:val="24"/>
          <w:highlight w:val="none"/>
        </w:rPr>
        <w:t>。</w:t>
      </w:r>
    </w:p>
    <w:p>
      <w:pPr>
        <w:spacing w:before="182" w:line="334" w:lineRule="auto"/>
        <w:ind w:left="26" w:right="242" w:firstLine="655"/>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4"/>
          <w:sz w:val="24"/>
          <w:szCs w:val="24"/>
          <w:highlight w:val="none"/>
        </w:rPr>
        <w:t>5.作业方在接到通知 30 分钟内做出响应，2 小时内配</w:t>
      </w:r>
      <w:r>
        <w:rPr>
          <w:rFonts w:hint="eastAsia" w:ascii="宋体" w:hAnsi="宋体" w:eastAsia="宋体" w:cs="宋体"/>
          <w:color w:val="auto"/>
          <w:spacing w:val="-3"/>
          <w:sz w:val="24"/>
          <w:szCs w:val="24"/>
          <w:highlight w:val="none"/>
        </w:rPr>
        <w:t>备</w:t>
      </w:r>
      <w:r>
        <w:rPr>
          <w:rFonts w:hint="eastAsia" w:ascii="宋体" w:hAnsi="宋体" w:eastAsia="宋体" w:cs="宋体"/>
          <w:color w:val="auto"/>
          <w:spacing w:val="7"/>
          <w:sz w:val="24"/>
          <w:szCs w:val="24"/>
          <w:highlight w:val="none"/>
        </w:rPr>
        <w:t>要求的人员及装备在规定地点集结，进行服务工作</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3"/>
          <w:sz w:val="24"/>
          <w:szCs w:val="24"/>
          <w:highlight w:val="none"/>
          <w:lang w:val="en-US" w:eastAsia="zh-CN"/>
        </w:rPr>
        <w:t>根据甲方实际要求，可以做到随时服务。</w:t>
      </w:r>
    </w:p>
    <w:p>
      <w:pPr>
        <w:spacing w:before="182" w:line="334" w:lineRule="auto"/>
        <w:ind w:left="26" w:right="242" w:firstLine="655"/>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6.</w:t>
      </w:r>
      <w:r>
        <w:rPr>
          <w:rFonts w:hint="eastAsia" w:ascii="宋体" w:hAnsi="宋体" w:eastAsia="宋体" w:cs="宋体"/>
          <w:color w:val="auto"/>
          <w:spacing w:val="12"/>
          <w:sz w:val="24"/>
          <w:szCs w:val="24"/>
          <w:highlight w:val="none"/>
        </w:rPr>
        <w:t>作</w:t>
      </w:r>
      <w:r>
        <w:rPr>
          <w:rFonts w:hint="eastAsia" w:ascii="宋体" w:hAnsi="宋体" w:eastAsia="宋体" w:cs="宋体"/>
          <w:color w:val="auto"/>
          <w:spacing w:val="7"/>
          <w:sz w:val="24"/>
          <w:szCs w:val="24"/>
          <w:highlight w:val="none"/>
        </w:rPr>
        <w:t>业方无人机设备及人员需要购买相应保险，无人机</w:t>
      </w:r>
      <w:r>
        <w:rPr>
          <w:rFonts w:hint="eastAsia" w:ascii="宋体" w:hAnsi="宋体" w:eastAsia="宋体" w:cs="宋体"/>
          <w:color w:val="auto"/>
          <w:spacing w:val="16"/>
          <w:sz w:val="24"/>
          <w:szCs w:val="24"/>
          <w:highlight w:val="none"/>
        </w:rPr>
        <w:t>设</w:t>
      </w:r>
      <w:r>
        <w:rPr>
          <w:rFonts w:hint="eastAsia" w:ascii="宋体" w:hAnsi="宋体" w:eastAsia="宋体" w:cs="宋体"/>
          <w:color w:val="auto"/>
          <w:spacing w:val="14"/>
          <w:sz w:val="24"/>
          <w:szCs w:val="24"/>
          <w:highlight w:val="none"/>
        </w:rPr>
        <w:t>备</w:t>
      </w:r>
      <w:r>
        <w:rPr>
          <w:rFonts w:hint="eastAsia" w:ascii="宋体" w:hAnsi="宋体" w:eastAsia="宋体" w:cs="宋体"/>
          <w:color w:val="auto"/>
          <w:spacing w:val="8"/>
          <w:sz w:val="24"/>
          <w:szCs w:val="24"/>
          <w:highlight w:val="none"/>
        </w:rPr>
        <w:t>损毁及人造成的人员安全由作业方负责。</w:t>
      </w:r>
    </w:p>
    <w:p>
      <w:pPr>
        <w:spacing w:line="333" w:lineRule="auto"/>
        <w:ind w:left="30" w:right="244" w:firstLine="64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7.无人机软件系统支持路径规划功能， 能够执行</w:t>
      </w:r>
      <w:r>
        <w:rPr>
          <w:rFonts w:hint="eastAsia" w:ascii="宋体" w:hAnsi="宋体" w:eastAsia="宋体" w:cs="宋体"/>
          <w:color w:val="auto"/>
          <w:sz w:val="24"/>
          <w:szCs w:val="24"/>
          <w:highlight w:val="none"/>
        </w:rPr>
        <w:t>大纵深</w:t>
      </w:r>
      <w:r>
        <w:rPr>
          <w:rFonts w:hint="eastAsia" w:ascii="宋体" w:hAnsi="宋体" w:eastAsia="宋体" w:cs="宋体"/>
          <w:color w:val="auto"/>
          <w:spacing w:val="8"/>
          <w:sz w:val="24"/>
          <w:szCs w:val="24"/>
          <w:highlight w:val="none"/>
        </w:rPr>
        <w:t>巡护任务及定点路径的盘旋侦察</w:t>
      </w:r>
      <w:r>
        <w:rPr>
          <w:rFonts w:hint="eastAsia" w:ascii="宋体" w:hAnsi="宋体" w:eastAsia="宋体" w:cs="宋体"/>
          <w:color w:val="auto"/>
          <w:spacing w:val="7"/>
          <w:sz w:val="24"/>
          <w:szCs w:val="24"/>
          <w:highlight w:val="none"/>
        </w:rPr>
        <w:t>。</w:t>
      </w:r>
    </w:p>
    <w:p>
      <w:pPr>
        <w:spacing w:line="242" w:lineRule="auto"/>
        <w:ind w:left="667"/>
        <w:rPr>
          <w:rFonts w:hint="eastAsia" w:ascii="宋体" w:hAnsi="宋体" w:eastAsia="宋体" w:cs="宋体"/>
          <w:color w:val="auto"/>
          <w:sz w:val="24"/>
          <w:szCs w:val="24"/>
          <w:highlight w:val="none"/>
        </w:rPr>
      </w:pPr>
      <w:r>
        <w:rPr>
          <w:rFonts w:hint="eastAsia" w:ascii="宋体" w:hAnsi="宋体" w:eastAsia="宋体" w:cs="宋体"/>
          <w:color w:val="auto"/>
          <w:spacing w:val="17"/>
          <w:sz w:val="24"/>
          <w:szCs w:val="24"/>
          <w:highlight w:val="none"/>
        </w:rPr>
        <w:t>8</w:t>
      </w:r>
      <w:r>
        <w:rPr>
          <w:rFonts w:hint="eastAsia" w:ascii="宋体" w:hAnsi="宋体" w:eastAsia="宋体" w:cs="宋体"/>
          <w:color w:val="auto"/>
          <w:spacing w:val="14"/>
          <w:sz w:val="24"/>
          <w:szCs w:val="24"/>
          <w:highlight w:val="none"/>
        </w:rPr>
        <w:t>.在作业执行前，作业方应提供以下材料供</w:t>
      </w:r>
      <w:r>
        <w:rPr>
          <w:rFonts w:hint="eastAsia" w:ascii="宋体" w:hAnsi="宋体" w:eastAsia="宋体" w:cs="宋体"/>
          <w:color w:val="auto"/>
          <w:sz w:val="24"/>
          <w:szCs w:val="24"/>
          <w:highlight w:val="none"/>
        </w:rPr>
        <w:t>天东林管局吉木萨尔分局</w:t>
      </w:r>
      <w:r>
        <w:rPr>
          <w:rFonts w:hint="eastAsia" w:ascii="宋体" w:hAnsi="宋体" w:eastAsia="宋体" w:cs="宋体"/>
          <w:color w:val="auto"/>
          <w:spacing w:val="14"/>
          <w:sz w:val="24"/>
          <w:szCs w:val="24"/>
          <w:highlight w:val="none"/>
        </w:rPr>
        <w:t>审核：</w:t>
      </w:r>
    </w:p>
    <w:p>
      <w:pPr>
        <w:spacing w:before="152" w:line="334" w:lineRule="auto"/>
        <w:ind w:left="23" w:right="235" w:firstLine="63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w:t>
      </w:r>
      <w:r>
        <w:rPr>
          <w:rFonts w:hint="eastAsia" w:ascii="宋体" w:hAnsi="宋体" w:eastAsia="宋体" w:cs="宋体"/>
          <w:color w:val="auto"/>
          <w:spacing w:val="38"/>
          <w:sz w:val="24"/>
          <w:szCs w:val="24"/>
          <w:highlight w:val="none"/>
        </w:rPr>
        <w:t>)</w:t>
      </w:r>
      <w:r>
        <w:rPr>
          <w:rFonts w:hint="eastAsia" w:ascii="宋体" w:hAnsi="宋体" w:eastAsia="宋体" w:cs="宋体"/>
          <w:color w:val="auto"/>
          <w:spacing w:val="20"/>
          <w:sz w:val="24"/>
          <w:szCs w:val="24"/>
          <w:highlight w:val="none"/>
        </w:rPr>
        <w:t xml:space="preserve"> 无人机驾驶员证书审查</w:t>
      </w:r>
      <w:r>
        <w:rPr>
          <w:rFonts w:hint="eastAsia" w:ascii="宋体" w:hAnsi="宋体" w:eastAsia="宋体" w:cs="宋体"/>
          <w:color w:val="auto"/>
          <w:spacing w:val="20"/>
          <w:sz w:val="24"/>
          <w:szCs w:val="24"/>
          <w:highlight w:val="none"/>
          <w:lang w:eastAsia="zh-CN"/>
        </w:rPr>
        <w:t>：</w:t>
      </w:r>
      <w:r>
        <w:rPr>
          <w:rFonts w:hint="eastAsia" w:ascii="宋体" w:hAnsi="宋体" w:eastAsia="宋体" w:cs="宋体"/>
          <w:color w:val="auto"/>
          <w:spacing w:val="20"/>
          <w:sz w:val="24"/>
          <w:szCs w:val="24"/>
          <w:highlight w:val="none"/>
        </w:rPr>
        <w:t>检查驾驶证是否为</w:t>
      </w:r>
      <w:r>
        <w:rPr>
          <w:rFonts w:hint="eastAsia" w:ascii="宋体" w:hAnsi="宋体" w:eastAsia="宋体" w:cs="宋体"/>
          <w:color w:val="auto"/>
          <w:sz w:val="24"/>
          <w:szCs w:val="24"/>
          <w:highlight w:val="none"/>
        </w:rPr>
        <w:t xml:space="preserve"> CAAC</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AOPA</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ALPA</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5"/>
          <w:sz w:val="24"/>
          <w:szCs w:val="24"/>
          <w:highlight w:val="none"/>
        </w:rPr>
        <w:t>证</w:t>
      </w:r>
      <w:r>
        <w:rPr>
          <w:rFonts w:hint="eastAsia" w:ascii="宋体" w:hAnsi="宋体" w:eastAsia="宋体" w:cs="宋体"/>
          <w:color w:val="auto"/>
          <w:spacing w:val="3"/>
          <w:sz w:val="24"/>
          <w:szCs w:val="24"/>
          <w:highlight w:val="none"/>
        </w:rPr>
        <w:t>件是否符合操作当前无人机类别，是否</w:t>
      </w:r>
      <w:r>
        <w:rPr>
          <w:rFonts w:hint="eastAsia" w:ascii="宋体" w:hAnsi="宋体" w:eastAsia="宋体" w:cs="宋体"/>
          <w:color w:val="auto"/>
          <w:spacing w:val="1"/>
          <w:sz w:val="24"/>
          <w:szCs w:val="24"/>
          <w:highlight w:val="none"/>
        </w:rPr>
        <w:t>在有效</w:t>
      </w:r>
      <w:r>
        <w:rPr>
          <w:rFonts w:hint="eastAsia" w:ascii="宋体" w:hAnsi="宋体" w:eastAsia="宋体" w:cs="宋体"/>
          <w:color w:val="auto"/>
          <w:sz w:val="24"/>
          <w:szCs w:val="24"/>
          <w:highlight w:val="none"/>
        </w:rPr>
        <w:t>期内。</w:t>
      </w:r>
    </w:p>
    <w:p>
      <w:pPr>
        <w:spacing w:line="333" w:lineRule="auto"/>
        <w:ind w:left="33" w:firstLine="6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6"/>
          <w:sz w:val="24"/>
          <w:szCs w:val="24"/>
          <w:highlight w:val="none"/>
        </w:rPr>
        <w:t>空域批准审查：当前需要飞行区域是否获得空域审批，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获</w:t>
      </w:r>
      <w:r>
        <w:rPr>
          <w:rFonts w:hint="eastAsia" w:ascii="宋体" w:hAnsi="宋体" w:eastAsia="宋体" w:cs="宋体"/>
          <w:color w:val="auto"/>
          <w:spacing w:val="6"/>
          <w:sz w:val="24"/>
          <w:szCs w:val="24"/>
          <w:highlight w:val="none"/>
        </w:rPr>
        <w:t>批时间、起降点是否符合当前准备飞行情况。</w:t>
      </w:r>
    </w:p>
    <w:p>
      <w:pPr>
        <w:spacing w:before="3" w:line="333" w:lineRule="auto"/>
        <w:ind w:left="23" w:right="244" w:firstLine="6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w:t>
      </w:r>
      <w:r>
        <w:rPr>
          <w:rFonts w:hint="eastAsia" w:ascii="宋体" w:hAnsi="宋体" w:eastAsia="宋体" w:cs="宋体"/>
          <w:color w:val="auto"/>
          <w:spacing w:val="9"/>
          <w:sz w:val="24"/>
          <w:szCs w:val="24"/>
          <w:highlight w:val="none"/>
        </w:rPr>
        <w:t>)无人机设备审查：无人机设备当前是否合法途径归</w:t>
      </w:r>
      <w:r>
        <w:rPr>
          <w:rFonts w:hint="eastAsia" w:ascii="宋体" w:hAnsi="宋体" w:eastAsia="宋体" w:cs="宋体"/>
          <w:color w:val="auto"/>
          <w:spacing w:val="5"/>
          <w:sz w:val="24"/>
          <w:szCs w:val="24"/>
          <w:highlight w:val="none"/>
        </w:rPr>
        <w:t>属</w:t>
      </w:r>
      <w:r>
        <w:rPr>
          <w:rFonts w:hint="eastAsia" w:ascii="宋体" w:hAnsi="宋体" w:eastAsia="宋体" w:cs="宋体"/>
          <w:color w:val="auto"/>
          <w:spacing w:val="-4"/>
          <w:sz w:val="24"/>
          <w:szCs w:val="24"/>
          <w:highlight w:val="none"/>
        </w:rPr>
        <w:t>作业方，无人机设备相</w:t>
      </w:r>
      <w:r>
        <w:rPr>
          <w:rFonts w:hint="eastAsia" w:ascii="宋体" w:hAnsi="宋体" w:eastAsia="宋体" w:cs="宋体"/>
          <w:color w:val="auto"/>
          <w:spacing w:val="-3"/>
          <w:sz w:val="24"/>
          <w:szCs w:val="24"/>
          <w:highlight w:val="none"/>
        </w:rPr>
        <w:t>关</w:t>
      </w:r>
      <w:r>
        <w:rPr>
          <w:rFonts w:hint="eastAsia" w:ascii="宋体" w:hAnsi="宋体" w:eastAsia="宋体" w:cs="宋体"/>
          <w:color w:val="auto"/>
          <w:spacing w:val="-2"/>
          <w:sz w:val="24"/>
          <w:szCs w:val="24"/>
          <w:highlight w:val="none"/>
        </w:rPr>
        <w:t>手续是否齐全，是否购买“无人机</w:t>
      </w:r>
      <w:r>
        <w:rPr>
          <w:rFonts w:hint="eastAsia" w:ascii="宋体" w:hAnsi="宋体" w:eastAsia="宋体" w:cs="宋体"/>
          <w:color w:val="auto"/>
          <w:spacing w:val="8"/>
          <w:sz w:val="24"/>
          <w:szCs w:val="24"/>
          <w:highlight w:val="none"/>
        </w:rPr>
        <w:t>及第三方损失保险”</w:t>
      </w:r>
      <w:r>
        <w:rPr>
          <w:rFonts w:hint="eastAsia" w:ascii="宋体" w:hAnsi="宋体" w:eastAsia="宋体" w:cs="宋体"/>
          <w:color w:val="auto"/>
          <w:spacing w:val="6"/>
          <w:sz w:val="24"/>
          <w:szCs w:val="24"/>
          <w:highlight w:val="none"/>
        </w:rPr>
        <w:t>。</w:t>
      </w:r>
    </w:p>
    <w:p>
      <w:pPr>
        <w:spacing w:before="191" w:line="224" w:lineRule="auto"/>
        <w:ind w:left="6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val="en-US" w:eastAsia="zh-CN"/>
        </w:rPr>
        <w:t>9</w:t>
      </w:r>
      <w:r>
        <w:rPr>
          <w:rFonts w:hint="eastAsia" w:ascii="宋体" w:hAnsi="宋体" w:eastAsia="宋体" w:cs="宋体"/>
          <w:color w:val="auto"/>
          <w:spacing w:val="-2"/>
          <w:sz w:val="24"/>
          <w:szCs w:val="24"/>
          <w:highlight w:val="none"/>
        </w:rPr>
        <w:t>.任务执行过程中，</w:t>
      </w:r>
      <w:r>
        <w:rPr>
          <w:rFonts w:hint="eastAsia" w:ascii="宋体" w:hAnsi="宋体" w:eastAsia="宋体" w:cs="宋体"/>
          <w:color w:val="auto"/>
          <w:spacing w:val="-1"/>
          <w:sz w:val="24"/>
          <w:szCs w:val="24"/>
          <w:highlight w:val="none"/>
        </w:rPr>
        <w:t>发现火情， 应立即上报。</w:t>
      </w:r>
    </w:p>
    <w:p>
      <w:pPr>
        <w:spacing w:before="187" w:line="333" w:lineRule="auto"/>
        <w:ind w:left="47" w:right="239" w:firstLine="642"/>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1</w:t>
      </w:r>
      <w:r>
        <w:rPr>
          <w:rFonts w:hint="eastAsia" w:ascii="宋体" w:hAnsi="宋体" w:eastAsia="宋体" w:cs="宋体"/>
          <w:color w:val="auto"/>
          <w:spacing w:val="14"/>
          <w:sz w:val="24"/>
          <w:szCs w:val="24"/>
          <w:highlight w:val="none"/>
          <w:lang w:val="en-US" w:eastAsia="zh-CN"/>
        </w:rPr>
        <w:t>0</w:t>
      </w:r>
      <w:r>
        <w:rPr>
          <w:rFonts w:hint="eastAsia" w:ascii="宋体" w:hAnsi="宋体" w:eastAsia="宋体" w:cs="宋体"/>
          <w:color w:val="auto"/>
          <w:spacing w:val="14"/>
          <w:sz w:val="24"/>
          <w:szCs w:val="24"/>
          <w:highlight w:val="none"/>
        </w:rPr>
        <w:t>.现场任务执行过程中，无人机巡检系统支持吊舱</w:t>
      </w:r>
      <w:r>
        <w:rPr>
          <w:rFonts w:hint="eastAsia" w:ascii="宋体" w:hAnsi="宋体" w:eastAsia="宋体" w:cs="宋体"/>
          <w:color w:val="auto"/>
          <w:spacing w:val="9"/>
          <w:sz w:val="24"/>
          <w:szCs w:val="24"/>
          <w:highlight w:val="none"/>
        </w:rPr>
        <w:t>跟</w:t>
      </w:r>
      <w:r>
        <w:rPr>
          <w:rFonts w:hint="eastAsia" w:ascii="宋体" w:hAnsi="宋体" w:eastAsia="宋体" w:cs="宋体"/>
          <w:color w:val="auto"/>
          <w:spacing w:val="-6"/>
          <w:sz w:val="24"/>
          <w:szCs w:val="24"/>
          <w:highlight w:val="none"/>
        </w:rPr>
        <w:t>飞功能， 当</w:t>
      </w:r>
      <w:r>
        <w:rPr>
          <w:rFonts w:hint="eastAsia" w:ascii="宋体" w:hAnsi="宋体" w:eastAsia="宋体" w:cs="宋体"/>
          <w:color w:val="auto"/>
          <w:spacing w:val="-3"/>
          <w:sz w:val="24"/>
          <w:szCs w:val="24"/>
          <w:highlight w:val="none"/>
        </w:rPr>
        <w:t>发现火情或嫌疑人员车辆时， 可通过吊舱视角改</w:t>
      </w:r>
      <w:r>
        <w:rPr>
          <w:rFonts w:hint="eastAsia" w:ascii="宋体" w:hAnsi="宋体" w:eastAsia="宋体" w:cs="宋体"/>
          <w:color w:val="auto"/>
          <w:spacing w:val="-6"/>
          <w:sz w:val="24"/>
          <w:szCs w:val="24"/>
          <w:highlight w:val="none"/>
        </w:rPr>
        <w:t>变飞机的轨迹</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 xml:space="preserve"> 对于动态目标进行跟踪飞行，对于静态火情</w:t>
      </w:r>
      <w:r>
        <w:rPr>
          <w:rFonts w:hint="eastAsia" w:ascii="宋体" w:hAnsi="宋体" w:eastAsia="宋体" w:cs="宋体"/>
          <w:color w:val="auto"/>
          <w:spacing w:val="1"/>
          <w:sz w:val="24"/>
          <w:szCs w:val="24"/>
          <w:highlight w:val="none"/>
        </w:rPr>
        <w:t>目标进行盘旋锁定。</w:t>
      </w:r>
    </w:p>
    <w:p>
      <w:pPr>
        <w:spacing w:before="182" w:line="334" w:lineRule="auto"/>
        <w:ind w:left="23" w:firstLine="666"/>
        <w:rPr>
          <w:rFonts w:hint="eastAsia" w:ascii="宋体" w:hAnsi="宋体" w:eastAsia="宋体" w:cs="宋体"/>
          <w:color w:val="auto"/>
          <w:spacing w:val="12"/>
          <w:sz w:val="24"/>
          <w:szCs w:val="24"/>
          <w:highlight w:val="none"/>
        </w:rPr>
      </w:pPr>
      <w:r>
        <w:rPr>
          <w:rFonts w:hint="eastAsia" w:ascii="宋体" w:hAnsi="宋体" w:eastAsia="宋体" w:cs="宋体"/>
          <w:color w:val="auto"/>
          <w:spacing w:val="26"/>
          <w:sz w:val="24"/>
          <w:szCs w:val="24"/>
          <w:highlight w:val="none"/>
        </w:rPr>
        <w:t>1</w:t>
      </w:r>
      <w:r>
        <w:rPr>
          <w:rFonts w:hint="eastAsia" w:ascii="宋体" w:hAnsi="宋体" w:eastAsia="宋体" w:cs="宋体"/>
          <w:color w:val="auto"/>
          <w:spacing w:val="16"/>
          <w:sz w:val="24"/>
          <w:szCs w:val="24"/>
          <w:highlight w:val="none"/>
          <w:lang w:val="en-US" w:eastAsia="zh-CN"/>
        </w:rPr>
        <w:t>1</w:t>
      </w:r>
      <w:r>
        <w:rPr>
          <w:rFonts w:hint="eastAsia" w:ascii="宋体" w:hAnsi="宋体" w:eastAsia="宋体" w:cs="宋体"/>
          <w:color w:val="auto"/>
          <w:spacing w:val="13"/>
          <w:sz w:val="24"/>
          <w:szCs w:val="24"/>
          <w:highlight w:val="none"/>
        </w:rPr>
        <w:t>.现场任务执行过程中，三光吊舱支持高空定向测温</w:t>
      </w:r>
      <w:r>
        <w:rPr>
          <w:rFonts w:hint="eastAsia" w:ascii="宋体" w:hAnsi="宋体" w:eastAsia="宋体" w:cs="宋体"/>
          <w:color w:val="auto"/>
          <w:spacing w:val="24"/>
          <w:sz w:val="24"/>
          <w:szCs w:val="24"/>
          <w:highlight w:val="none"/>
        </w:rPr>
        <w:t>功</w:t>
      </w:r>
      <w:r>
        <w:rPr>
          <w:rFonts w:hint="eastAsia" w:ascii="宋体" w:hAnsi="宋体" w:eastAsia="宋体" w:cs="宋体"/>
          <w:color w:val="auto"/>
          <w:spacing w:val="14"/>
          <w:sz w:val="24"/>
          <w:szCs w:val="24"/>
          <w:highlight w:val="none"/>
        </w:rPr>
        <w:t>能</w:t>
      </w:r>
      <w:r>
        <w:rPr>
          <w:rFonts w:hint="eastAsia" w:ascii="宋体" w:hAnsi="宋体" w:eastAsia="宋体" w:cs="宋体"/>
          <w:color w:val="auto"/>
          <w:spacing w:val="12"/>
          <w:sz w:val="24"/>
          <w:szCs w:val="24"/>
          <w:highlight w:val="none"/>
        </w:rPr>
        <w:t>，并可叠加实时时间、目标位置(经纬度)信息。</w:t>
      </w:r>
    </w:p>
    <w:p>
      <w:pPr>
        <w:spacing w:before="182" w:line="334" w:lineRule="auto"/>
        <w:ind w:left="23" w:firstLine="66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rPr>
        <w:t>.现场任务执行过程中， 三</w:t>
      </w:r>
      <w:r>
        <w:rPr>
          <w:rFonts w:hint="eastAsia" w:ascii="宋体" w:hAnsi="宋体" w:eastAsia="宋体" w:cs="宋体"/>
          <w:color w:val="auto"/>
          <w:spacing w:val="-1"/>
          <w:sz w:val="24"/>
          <w:szCs w:val="24"/>
          <w:highlight w:val="none"/>
        </w:rPr>
        <w:t>光吊舱具备超温报警功能，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及</w:t>
      </w:r>
      <w:r>
        <w:rPr>
          <w:rFonts w:hint="eastAsia" w:ascii="宋体" w:hAnsi="宋体" w:eastAsia="宋体" w:cs="宋体"/>
          <w:color w:val="auto"/>
          <w:spacing w:val="7"/>
          <w:sz w:val="24"/>
          <w:szCs w:val="24"/>
          <w:highlight w:val="none"/>
        </w:rPr>
        <w:t>时</w:t>
      </w:r>
      <w:r>
        <w:rPr>
          <w:rFonts w:hint="eastAsia" w:ascii="宋体" w:hAnsi="宋体" w:eastAsia="宋体" w:cs="宋体"/>
          <w:color w:val="auto"/>
          <w:spacing w:val="5"/>
          <w:sz w:val="24"/>
          <w:szCs w:val="24"/>
          <w:highlight w:val="none"/>
        </w:rPr>
        <w:t>发现林区火情进行预警。</w:t>
      </w:r>
    </w:p>
    <w:p>
      <w:pPr>
        <w:spacing w:line="409" w:lineRule="exact"/>
        <w:ind w:left="690"/>
        <w:rPr>
          <w:rFonts w:hint="eastAsia" w:ascii="宋体" w:hAnsi="宋体" w:eastAsia="宋体" w:cs="宋体"/>
          <w:color w:val="auto"/>
          <w:sz w:val="24"/>
          <w:szCs w:val="24"/>
          <w:highlight w:val="none"/>
        </w:rPr>
      </w:pPr>
      <w:r>
        <w:rPr>
          <w:rFonts w:hint="eastAsia" w:ascii="宋体" w:hAnsi="宋体" w:eastAsia="宋体" w:cs="宋体"/>
          <w:color w:val="auto"/>
          <w:spacing w:val="14"/>
          <w:position w:val="2"/>
          <w:sz w:val="24"/>
          <w:szCs w:val="24"/>
          <w:highlight w:val="none"/>
          <w:lang w:val="en-US" w:eastAsia="zh-CN"/>
        </w:rPr>
        <w:t>13</w:t>
      </w:r>
      <w:r>
        <w:rPr>
          <w:rFonts w:hint="eastAsia" w:ascii="宋体" w:hAnsi="宋体" w:eastAsia="宋体" w:cs="宋体"/>
          <w:color w:val="auto"/>
          <w:spacing w:val="14"/>
          <w:position w:val="2"/>
          <w:sz w:val="24"/>
          <w:szCs w:val="24"/>
          <w:highlight w:val="none"/>
        </w:rPr>
        <w:t>.现场任务执行过程中，定位识别疑似火点和火灾</w:t>
      </w:r>
      <w:r>
        <w:rPr>
          <w:rFonts w:hint="eastAsia" w:ascii="宋体" w:hAnsi="宋体" w:eastAsia="宋体" w:cs="宋体"/>
          <w:color w:val="auto"/>
          <w:spacing w:val="11"/>
          <w:position w:val="2"/>
          <w:sz w:val="24"/>
          <w:szCs w:val="24"/>
          <w:highlight w:val="none"/>
        </w:rPr>
        <w:t>隐</w:t>
      </w:r>
    </w:p>
    <w:p>
      <w:pPr>
        <w:spacing w:before="149" w:line="224" w:lineRule="auto"/>
        <w:ind w:left="45"/>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患</w:t>
      </w:r>
      <w:r>
        <w:rPr>
          <w:rFonts w:hint="eastAsia" w:ascii="宋体" w:hAnsi="宋体" w:eastAsia="宋体" w:cs="宋体"/>
          <w:color w:val="auto"/>
          <w:spacing w:val="-13"/>
          <w:sz w:val="24"/>
          <w:szCs w:val="24"/>
          <w:highlight w:val="none"/>
        </w:rPr>
        <w:t>， 应立即上报。</w:t>
      </w:r>
    </w:p>
    <w:p>
      <w:pPr>
        <w:spacing w:before="183" w:line="334" w:lineRule="auto"/>
        <w:ind w:left="35" w:right="80" w:firstLine="65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rPr>
        <w:t>.作业原始</w:t>
      </w:r>
      <w:r>
        <w:rPr>
          <w:rFonts w:hint="eastAsia" w:ascii="宋体" w:hAnsi="宋体" w:eastAsia="宋体" w:cs="宋体"/>
          <w:color w:val="auto"/>
          <w:spacing w:val="1"/>
          <w:sz w:val="24"/>
          <w:szCs w:val="24"/>
          <w:highlight w:val="none"/>
        </w:rPr>
        <w:t>影像、规划数据、航迹数据、无人机飞行参</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数等资</w:t>
      </w:r>
      <w:r>
        <w:rPr>
          <w:rFonts w:hint="eastAsia" w:ascii="宋体" w:hAnsi="宋体" w:eastAsia="宋体" w:cs="宋体"/>
          <w:color w:val="auto"/>
          <w:spacing w:val="2"/>
          <w:sz w:val="24"/>
          <w:szCs w:val="24"/>
          <w:highlight w:val="none"/>
        </w:rPr>
        <w:t>料，要归档保存不少于 3 年，并于指定日期销毁。</w:t>
      </w:r>
    </w:p>
    <w:p>
      <w:pPr>
        <w:spacing w:line="242" w:lineRule="auto"/>
        <w:ind w:left="6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.数据安全和保密要求：</w:t>
      </w:r>
    </w:p>
    <w:p>
      <w:pPr>
        <w:spacing w:before="151" w:line="334" w:lineRule="auto"/>
        <w:ind w:left="26" w:right="82" w:firstLine="62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w:t>
      </w:r>
      <w:r>
        <w:rPr>
          <w:rFonts w:hint="eastAsia" w:ascii="宋体" w:hAnsi="宋体" w:eastAsia="宋体" w:cs="宋体"/>
          <w:color w:val="auto"/>
          <w:spacing w:val="4"/>
          <w:sz w:val="24"/>
          <w:szCs w:val="24"/>
          <w:highlight w:val="none"/>
        </w:rPr>
        <w:t>)所有巡护成果</w:t>
      </w:r>
      <w:r>
        <w:rPr>
          <w:rFonts w:hint="eastAsia" w:ascii="宋体" w:hAnsi="宋体" w:eastAsia="宋体" w:cs="宋体"/>
          <w:color w:val="auto"/>
          <w:spacing w:val="2"/>
          <w:sz w:val="24"/>
          <w:szCs w:val="24"/>
          <w:highlight w:val="none"/>
        </w:rPr>
        <w:t>归</w:t>
      </w:r>
      <w:r>
        <w:rPr>
          <w:rFonts w:hint="eastAsia" w:ascii="宋体" w:hAnsi="宋体" w:eastAsia="宋体" w:cs="宋体"/>
          <w:color w:val="auto"/>
          <w:spacing w:val="4"/>
          <w:sz w:val="24"/>
          <w:szCs w:val="24"/>
          <w:highlight w:val="none"/>
          <w:lang w:val="en-US" w:eastAsia="zh-CN"/>
        </w:rPr>
        <w:t>天</w:t>
      </w:r>
      <w:r>
        <w:rPr>
          <w:rFonts w:hint="eastAsia" w:ascii="宋体" w:hAnsi="宋体" w:eastAsia="宋体" w:cs="宋体"/>
          <w:color w:val="auto"/>
          <w:spacing w:val="4"/>
          <w:sz w:val="24"/>
          <w:szCs w:val="24"/>
          <w:highlight w:val="none"/>
        </w:rPr>
        <w:t>东林管局</w:t>
      </w:r>
      <w:r>
        <w:rPr>
          <w:rFonts w:hint="eastAsia" w:ascii="宋体" w:hAnsi="宋体" w:eastAsia="宋体" w:cs="宋体"/>
          <w:color w:val="auto"/>
          <w:spacing w:val="4"/>
          <w:sz w:val="24"/>
          <w:szCs w:val="24"/>
          <w:highlight w:val="none"/>
          <w:lang w:val="en-US" w:eastAsia="zh-CN"/>
        </w:rPr>
        <w:t>吉木萨尔</w:t>
      </w:r>
      <w:r>
        <w:rPr>
          <w:rFonts w:hint="eastAsia" w:ascii="宋体" w:hAnsi="宋体" w:eastAsia="宋体" w:cs="宋体"/>
          <w:color w:val="auto"/>
          <w:spacing w:val="2"/>
          <w:sz w:val="24"/>
          <w:szCs w:val="24"/>
          <w:highlight w:val="none"/>
        </w:rPr>
        <w:t>分局所有， 作业方不得用于任何商业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用途。应签订保密协定， 保证数据安全不泄</w:t>
      </w:r>
      <w:r>
        <w:rPr>
          <w:rFonts w:hint="eastAsia" w:ascii="宋体" w:hAnsi="宋体" w:eastAsia="宋体" w:cs="宋体"/>
          <w:color w:val="auto"/>
          <w:sz w:val="24"/>
          <w:szCs w:val="24"/>
          <w:highlight w:val="none"/>
        </w:rPr>
        <w:t>露。</w:t>
      </w:r>
    </w:p>
    <w:p>
      <w:pPr>
        <w:spacing w:before="1" w:line="221" w:lineRule="auto"/>
        <w:ind w:left="6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w:t>
      </w:r>
      <w:r>
        <w:rPr>
          <w:rFonts w:hint="eastAsia" w:ascii="宋体" w:hAnsi="宋体" w:eastAsia="宋体" w:cs="宋体"/>
          <w:color w:val="auto"/>
          <w:spacing w:val="13"/>
          <w:sz w:val="24"/>
          <w:szCs w:val="24"/>
          <w:highlight w:val="none"/>
        </w:rPr>
        <w:t>)</w:t>
      </w:r>
      <w:r>
        <w:rPr>
          <w:rFonts w:hint="eastAsia" w:ascii="宋体" w:hAnsi="宋体" w:eastAsia="宋体" w:cs="宋体"/>
          <w:color w:val="auto"/>
          <w:spacing w:val="9"/>
          <w:sz w:val="24"/>
          <w:szCs w:val="24"/>
          <w:highlight w:val="none"/>
        </w:rPr>
        <w:t>作业方所提供系统和产品应满足国产化的要求。</w:t>
      </w:r>
    </w:p>
    <w:p>
      <w:pPr>
        <w:spacing w:before="187" w:line="334" w:lineRule="auto"/>
        <w:ind w:left="36" w:right="82" w:firstLine="62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w:t>
      </w:r>
      <w:r>
        <w:rPr>
          <w:rFonts w:hint="eastAsia" w:ascii="宋体" w:hAnsi="宋体" w:eastAsia="宋体" w:cs="宋体"/>
          <w:color w:val="auto"/>
          <w:spacing w:val="4"/>
          <w:sz w:val="24"/>
          <w:szCs w:val="24"/>
          <w:highlight w:val="none"/>
        </w:rPr>
        <w:t>)网</w:t>
      </w:r>
      <w:r>
        <w:rPr>
          <w:rFonts w:hint="eastAsia" w:ascii="宋体" w:hAnsi="宋体" w:eastAsia="宋体" w:cs="宋体"/>
          <w:color w:val="auto"/>
          <w:spacing w:val="2"/>
          <w:sz w:val="24"/>
          <w:szCs w:val="24"/>
          <w:highlight w:val="none"/>
        </w:rPr>
        <w:t>络安全和数据安全应满足等级保护 2.0 三级的相关</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5"/>
          <w:sz w:val="24"/>
          <w:szCs w:val="24"/>
          <w:highlight w:val="none"/>
        </w:rPr>
        <w:t>要</w:t>
      </w:r>
      <w:r>
        <w:rPr>
          <w:rFonts w:hint="eastAsia" w:ascii="宋体" w:hAnsi="宋体" w:eastAsia="宋体" w:cs="宋体"/>
          <w:color w:val="auto"/>
          <w:spacing w:val="-14"/>
          <w:sz w:val="24"/>
          <w:szCs w:val="24"/>
          <w:highlight w:val="none"/>
        </w:rPr>
        <w:t>求。</w:t>
      </w:r>
    </w:p>
    <w:p>
      <w:pPr>
        <w:spacing w:before="1" w:line="222" w:lineRule="auto"/>
        <w:ind w:left="660"/>
        <w:rPr>
          <w:rFonts w:hint="eastAsia" w:ascii="宋体" w:hAnsi="宋体" w:cs="宋体"/>
          <w:color w:val="auto"/>
          <w:sz w:val="28"/>
          <w:szCs w:val="28"/>
          <w:highlight w:val="none"/>
          <w:lang w:val="en-US" w:eastAsia="zh-CN"/>
        </w:rPr>
      </w:pPr>
      <w:r>
        <w:rPr>
          <w:rFonts w:hint="eastAsia" w:ascii="宋体" w:hAnsi="宋体" w:eastAsia="宋体" w:cs="宋体"/>
          <w:color w:val="auto"/>
          <w:sz w:val="24"/>
          <w:szCs w:val="24"/>
          <w:highlight w:val="none"/>
        </w:rPr>
        <w:t>D</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2"/>
          <w:sz w:val="24"/>
          <w:szCs w:val="24"/>
          <w:highlight w:val="none"/>
        </w:rPr>
        <w:t>卫</w:t>
      </w:r>
      <w:r>
        <w:rPr>
          <w:rFonts w:hint="eastAsia" w:ascii="宋体" w:hAnsi="宋体" w:eastAsia="宋体" w:cs="宋体"/>
          <w:color w:val="auto"/>
          <w:spacing w:val="9"/>
          <w:sz w:val="24"/>
          <w:szCs w:val="24"/>
          <w:highlight w:val="none"/>
        </w:rPr>
        <w:t>星定位支持北斗定位或者北斗</w:t>
      </w:r>
      <w:r>
        <w:rPr>
          <w:rFonts w:hint="eastAsia" w:ascii="宋体" w:hAnsi="宋体" w:eastAsia="宋体" w:cs="宋体"/>
          <w:color w:val="auto"/>
          <w:sz w:val="24"/>
          <w:szCs w:val="24"/>
          <w:highlight w:val="none"/>
        </w:rPr>
        <w:t>GPS</w:t>
      </w:r>
      <w:r>
        <w:rPr>
          <w:rFonts w:hint="eastAsia" w:ascii="宋体" w:hAnsi="宋体" w:eastAsia="宋体" w:cs="宋体"/>
          <w:color w:val="auto"/>
          <w:spacing w:val="9"/>
          <w:sz w:val="24"/>
          <w:szCs w:val="24"/>
          <w:highlight w:val="none"/>
        </w:rPr>
        <w:t xml:space="preserve"> 双模定位。</w:t>
      </w:r>
    </w:p>
    <w:p>
      <w:pPr>
        <w:pStyle w:val="32"/>
        <w:rPr>
          <w:rFonts w:hint="eastAsia" w:ascii="宋体" w:hAnsi="宋体" w:cs="宋体"/>
          <w:color w:val="auto"/>
          <w:sz w:val="28"/>
          <w:szCs w:val="28"/>
          <w:highlight w:val="none"/>
          <w:lang w:val="en-US" w:eastAsia="zh-CN"/>
        </w:rPr>
      </w:pPr>
    </w:p>
    <w:p>
      <w:pPr>
        <w:pStyle w:val="32"/>
        <w:rPr>
          <w:rFonts w:hint="eastAsia" w:ascii="宋体" w:hAnsi="宋体" w:cs="宋体"/>
          <w:color w:val="auto"/>
          <w:sz w:val="28"/>
          <w:szCs w:val="28"/>
          <w:highlight w:val="none"/>
          <w:lang w:val="en-US" w:eastAsia="zh-CN"/>
        </w:rPr>
      </w:pPr>
    </w:p>
    <w:p>
      <w:pPr>
        <w:pStyle w:val="32"/>
        <w:rPr>
          <w:rFonts w:hint="eastAsia" w:ascii="宋体" w:hAnsi="宋体" w:cs="宋体"/>
          <w:color w:val="auto"/>
          <w:sz w:val="28"/>
          <w:szCs w:val="28"/>
          <w:highlight w:val="none"/>
          <w:lang w:val="en-US" w:eastAsia="zh-CN"/>
        </w:rPr>
      </w:pPr>
    </w:p>
    <w:p>
      <w:pPr>
        <w:pStyle w:val="32"/>
        <w:rPr>
          <w:rFonts w:hint="eastAsia" w:ascii="宋体" w:hAnsi="宋体" w:cs="宋体"/>
          <w:color w:val="auto"/>
          <w:sz w:val="28"/>
          <w:szCs w:val="28"/>
          <w:highlight w:val="none"/>
          <w:lang w:val="en-US" w:eastAsia="zh-CN"/>
        </w:rPr>
      </w:pPr>
    </w:p>
    <w:p>
      <w:pPr>
        <w:pStyle w:val="32"/>
        <w:rPr>
          <w:rFonts w:hint="eastAsia" w:ascii="宋体" w:hAnsi="宋体" w:cs="宋体"/>
          <w:color w:val="auto"/>
          <w:sz w:val="28"/>
          <w:szCs w:val="28"/>
          <w:highlight w:val="none"/>
          <w:lang w:val="en-US" w:eastAsia="zh-CN"/>
        </w:rPr>
      </w:pPr>
    </w:p>
    <w:p>
      <w:pPr>
        <w:pStyle w:val="32"/>
        <w:rPr>
          <w:rFonts w:hint="eastAsia" w:ascii="宋体" w:hAnsi="宋体" w:cs="宋体"/>
          <w:color w:val="auto"/>
          <w:sz w:val="28"/>
          <w:szCs w:val="28"/>
          <w:highlight w:val="none"/>
          <w:lang w:val="en-US" w:eastAsia="zh-CN"/>
        </w:rPr>
      </w:pPr>
    </w:p>
    <w:p>
      <w:pPr>
        <w:pStyle w:val="32"/>
        <w:rPr>
          <w:rFonts w:hint="eastAsia" w:ascii="宋体" w:hAnsi="宋体" w:cs="宋体"/>
          <w:color w:val="auto"/>
          <w:sz w:val="28"/>
          <w:szCs w:val="28"/>
          <w:highlight w:val="none"/>
          <w:lang w:val="en-US" w:eastAsia="zh-CN"/>
        </w:rPr>
      </w:pPr>
    </w:p>
    <w:p>
      <w:pPr>
        <w:pStyle w:val="32"/>
        <w:rPr>
          <w:rFonts w:hint="eastAsia" w:ascii="宋体" w:hAnsi="宋体" w:cs="宋体"/>
          <w:color w:val="auto"/>
          <w:sz w:val="28"/>
          <w:szCs w:val="28"/>
          <w:highlight w:val="none"/>
          <w:lang w:val="en-US" w:eastAsia="zh-CN"/>
        </w:rPr>
      </w:pPr>
    </w:p>
    <w:p>
      <w:pPr>
        <w:pStyle w:val="3"/>
        <w:numPr>
          <w:ilvl w:val="0"/>
          <w:numId w:val="0"/>
        </w:numPr>
        <w:spacing w:line="400" w:lineRule="atLeast"/>
        <w:ind w:leftChars="0"/>
        <w:jc w:val="center"/>
        <w:rPr>
          <w:rFonts w:hint="eastAsia" w:ascii="宋体" w:hAnsi="宋体" w:eastAsia="宋体" w:cs="宋体"/>
          <w:color w:val="auto"/>
          <w:sz w:val="36"/>
          <w:szCs w:val="36"/>
          <w:highlight w:val="none"/>
        </w:rPr>
      </w:pPr>
      <w:r>
        <w:rPr>
          <w:rFonts w:hint="eastAsia" w:ascii="宋体" w:hAnsi="宋体" w:cs="宋体"/>
          <w:color w:val="auto"/>
          <w:sz w:val="36"/>
          <w:szCs w:val="36"/>
          <w:highlight w:val="none"/>
          <w:lang w:val="en-US" w:eastAsia="zh-CN"/>
        </w:rPr>
        <w:t>第五部分</w:t>
      </w:r>
      <w:r>
        <w:rPr>
          <w:rFonts w:hint="eastAsia" w:ascii="宋体" w:hAnsi="宋体" w:eastAsia="宋体" w:cs="宋体"/>
          <w:color w:val="auto"/>
          <w:sz w:val="36"/>
          <w:szCs w:val="36"/>
          <w:highlight w:val="none"/>
        </w:rPr>
        <w:t xml:space="preserve"> </w:t>
      </w:r>
      <w:r>
        <w:rPr>
          <w:rFonts w:hint="eastAsia" w:ascii="宋体" w:hAnsi="宋体" w:cs="宋体"/>
          <w:color w:val="auto"/>
          <w:sz w:val="36"/>
          <w:szCs w:val="36"/>
          <w:highlight w:val="none"/>
          <w:lang w:val="en-US" w:eastAsia="zh-CN"/>
        </w:rPr>
        <w:t>合同部分</w:t>
      </w:r>
    </w:p>
    <w:bookmarkEnd w:id="16"/>
    <w:p>
      <w:pPr>
        <w:numPr>
          <w:ilvl w:val="0"/>
          <w:numId w:val="0"/>
        </w:numPr>
        <w:jc w:val="center"/>
        <w:rPr>
          <w:rFonts w:hint="eastAsia"/>
          <w:b w:val="0"/>
          <w:bCs w:val="0"/>
          <w:color w:val="auto"/>
          <w:highlight w:val="none"/>
        </w:rPr>
      </w:pPr>
      <w:r>
        <w:rPr>
          <w:rFonts w:hint="eastAsia" w:ascii="宋体" w:hAnsi="宋体" w:eastAsia="宋体" w:cs="宋体"/>
          <w:b w:val="0"/>
          <w:bCs w:val="0"/>
          <w:color w:val="auto"/>
          <w:sz w:val="28"/>
          <w:szCs w:val="28"/>
          <w:highlight w:val="none"/>
          <w:lang w:val="zh-CN"/>
        </w:rPr>
        <w:t>（</w:t>
      </w:r>
      <w:r>
        <w:rPr>
          <w:rFonts w:hint="eastAsia" w:ascii="宋体" w:hAnsi="宋体" w:eastAsia="宋体" w:cs="宋体"/>
          <w:b w:val="0"/>
          <w:bCs w:val="0"/>
          <w:color w:val="auto"/>
          <w:sz w:val="28"/>
          <w:szCs w:val="28"/>
          <w:highlight w:val="none"/>
          <w:lang w:val="en-US" w:eastAsia="zh-CN"/>
        </w:rPr>
        <w:t>此合同</w:t>
      </w:r>
      <w:r>
        <w:rPr>
          <w:rFonts w:hint="eastAsia" w:ascii="宋体" w:hAnsi="宋体" w:cs="宋体"/>
          <w:b w:val="0"/>
          <w:bCs w:val="0"/>
          <w:color w:val="auto"/>
          <w:sz w:val="28"/>
          <w:szCs w:val="28"/>
          <w:highlight w:val="none"/>
          <w:lang w:val="en-US" w:eastAsia="zh-CN"/>
        </w:rPr>
        <w:t>条款</w:t>
      </w:r>
      <w:r>
        <w:rPr>
          <w:rFonts w:hint="eastAsia" w:ascii="宋体" w:hAnsi="宋体" w:eastAsia="宋体" w:cs="宋体"/>
          <w:b w:val="0"/>
          <w:bCs w:val="0"/>
          <w:color w:val="auto"/>
          <w:sz w:val="28"/>
          <w:szCs w:val="28"/>
          <w:highlight w:val="none"/>
          <w:lang w:val="en-US" w:eastAsia="zh-CN"/>
        </w:rPr>
        <w:t>仅供参考，具体以实际签订为准</w:t>
      </w:r>
      <w:r>
        <w:rPr>
          <w:rFonts w:hint="eastAsia" w:ascii="宋体" w:hAnsi="宋体" w:eastAsia="宋体" w:cs="宋体"/>
          <w:b w:val="0"/>
          <w:bCs w:val="0"/>
          <w:color w:val="auto"/>
          <w:sz w:val="28"/>
          <w:szCs w:val="28"/>
          <w:highlight w:val="none"/>
          <w:lang w:val="zh-CN"/>
        </w:rPr>
        <w:t>）</w:t>
      </w:r>
    </w:p>
    <w:p>
      <w:pPr>
        <w:spacing w:line="480" w:lineRule="auto"/>
        <w:ind w:firstLine="2209" w:firstLineChars="500"/>
        <w:rPr>
          <w:rFonts w:hint="eastAsia" w:ascii="宋体" w:hAnsi="宋体" w:cs="宋体"/>
          <w:b/>
          <w:color w:val="auto"/>
          <w:sz w:val="44"/>
          <w:szCs w:val="44"/>
          <w:highlight w:val="none"/>
        </w:rPr>
      </w:pPr>
      <w:r>
        <w:rPr>
          <w:rFonts w:hint="eastAsia" w:ascii="宋体" w:hAnsi="宋体" w:cs="宋体"/>
          <w:b/>
          <w:color w:val="auto"/>
          <w:sz w:val="44"/>
          <w:szCs w:val="44"/>
          <w:highlight w:val="none"/>
        </w:rPr>
        <w:t>政府采购合同参考范本</w:t>
      </w:r>
    </w:p>
    <w:p>
      <w:pPr>
        <w:spacing w:line="48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（服务类）</w:t>
      </w:r>
    </w:p>
    <w:p>
      <w:pPr>
        <w:pStyle w:val="92"/>
        <w:ind w:firstLine="0"/>
        <w:rPr>
          <w:rFonts w:hint="eastAsia" w:asciiTheme="minorEastAsia" w:hAnsiTheme="minorEastAsia" w:eastAsiaTheme="minorEastAsia" w:cstheme="minorEastAsia"/>
          <w:color w:val="auto"/>
          <w:szCs w:val="24"/>
          <w:highlight w:val="none"/>
        </w:rPr>
      </w:pPr>
    </w:p>
    <w:p>
      <w:pPr>
        <w:pStyle w:val="92"/>
        <w:ind w:firstLine="0"/>
        <w:rPr>
          <w:rFonts w:hint="eastAsia" w:asciiTheme="minorEastAsia" w:hAnsiTheme="minorEastAsia" w:eastAsiaTheme="minorEastAsia" w:cstheme="minorEastAsia"/>
          <w:color w:val="auto"/>
          <w:szCs w:val="24"/>
          <w:highlight w:val="none"/>
        </w:rPr>
      </w:pPr>
    </w:p>
    <w:p>
      <w:pPr>
        <w:pStyle w:val="92"/>
        <w:ind w:firstLine="0"/>
        <w:rPr>
          <w:rFonts w:hint="eastAsia" w:asciiTheme="minorEastAsia" w:hAnsiTheme="minorEastAsia" w:eastAsiaTheme="minorEastAsia" w:cstheme="minorEastAsia"/>
          <w:color w:val="auto"/>
          <w:szCs w:val="24"/>
          <w:highlight w:val="none"/>
        </w:rPr>
      </w:pPr>
    </w:p>
    <w:p>
      <w:pPr>
        <w:pStyle w:val="92"/>
        <w:ind w:firstLine="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第一部分 合同书</w:t>
      </w:r>
    </w:p>
    <w:p>
      <w:pPr>
        <w:pStyle w:val="92"/>
        <w:ind w:firstLine="0"/>
        <w:rPr>
          <w:rFonts w:hint="eastAsia" w:asciiTheme="minorEastAsia" w:hAnsiTheme="minorEastAsia" w:eastAsiaTheme="minorEastAsia" w:cstheme="minorEastAsia"/>
          <w:color w:val="auto"/>
          <w:szCs w:val="24"/>
          <w:highlight w:val="none"/>
        </w:rPr>
      </w:pPr>
    </w:p>
    <w:p>
      <w:pPr>
        <w:pStyle w:val="92"/>
        <w:ind w:firstLine="0"/>
        <w:rPr>
          <w:rFonts w:hint="eastAsia" w:asciiTheme="minorEastAsia" w:hAnsiTheme="minorEastAsia" w:eastAsiaTheme="minorEastAsia" w:cstheme="minorEastAsia"/>
          <w:color w:val="auto"/>
          <w:szCs w:val="24"/>
          <w:highlight w:val="none"/>
        </w:rPr>
      </w:pPr>
    </w:p>
    <w:p>
      <w:pPr>
        <w:spacing w:before="120" w:line="22" w:lineRule="atLeast"/>
        <w:rPr>
          <w:rFonts w:hint="eastAsia" w:asciiTheme="minorEastAsia" w:hAnsiTheme="minorEastAsia" w:eastAsiaTheme="minorEastAsia" w:cstheme="minorEastAsia"/>
          <w:color w:val="auto"/>
          <w:sz w:val="24"/>
          <w:highlight w:val="none"/>
        </w:rPr>
      </w:pPr>
    </w:p>
    <w:p>
      <w:pPr>
        <w:spacing w:before="120" w:line="22" w:lineRule="atLeast"/>
        <w:ind w:left="96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highlight w:val="none"/>
          <w:u w:val="single"/>
        </w:rPr>
        <w:t xml:space="preserve">                                   </w:t>
      </w:r>
    </w:p>
    <w:p>
      <w:pPr>
        <w:pStyle w:val="93"/>
        <w:spacing w:before="120" w:line="22" w:lineRule="atLeast"/>
        <w:rPr>
          <w:rFonts w:hint="eastAsia" w:asciiTheme="minorEastAsia" w:hAnsiTheme="minorEastAsia" w:eastAsiaTheme="minorEastAsia" w:cstheme="minorEastAsia"/>
          <w:color w:val="auto"/>
          <w:szCs w:val="24"/>
          <w:highlight w:val="none"/>
        </w:rPr>
      </w:pPr>
    </w:p>
    <w:p>
      <w:pPr>
        <w:pStyle w:val="93"/>
        <w:spacing w:before="120" w:line="22" w:lineRule="atLeast"/>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highlight w:val="none"/>
        </w:rPr>
      </w:pPr>
    </w:p>
    <w:p>
      <w:pPr>
        <w:spacing w:before="120" w:line="22" w:lineRule="atLeast"/>
        <w:ind w:left="96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甲方：</w:t>
      </w:r>
      <w:r>
        <w:rPr>
          <w:rFonts w:hint="eastAsia" w:asciiTheme="minorEastAsia" w:hAnsiTheme="minorEastAsia" w:eastAsiaTheme="minorEastAsia" w:cstheme="minorEastAsia"/>
          <w:color w:val="auto"/>
          <w:sz w:val="24"/>
          <w:highlight w:val="none"/>
          <w:u w:val="single"/>
        </w:rPr>
        <w:t xml:space="preserve">                                       </w:t>
      </w:r>
    </w:p>
    <w:p>
      <w:pPr>
        <w:spacing w:before="120" w:line="22" w:lineRule="atLeast"/>
        <w:rPr>
          <w:rFonts w:hint="eastAsia" w:asciiTheme="minorEastAsia" w:hAnsiTheme="minorEastAsia" w:eastAsiaTheme="minorEastAsia" w:cstheme="minorEastAsia"/>
          <w:color w:val="auto"/>
          <w:sz w:val="24"/>
          <w:highlight w:val="none"/>
        </w:rPr>
      </w:pPr>
    </w:p>
    <w:p>
      <w:pPr>
        <w:spacing w:before="120" w:line="22" w:lineRule="atLeast"/>
        <w:ind w:left="96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乙方：</w:t>
      </w:r>
      <w:r>
        <w:rPr>
          <w:rFonts w:hint="eastAsia" w:asciiTheme="minorEastAsia" w:hAnsiTheme="minorEastAsia" w:eastAsiaTheme="minorEastAsia" w:cstheme="minorEastAsia"/>
          <w:color w:val="auto"/>
          <w:sz w:val="24"/>
          <w:highlight w:val="none"/>
          <w:u w:val="single"/>
        </w:rPr>
        <w:t xml:space="preserve">                                       </w:t>
      </w:r>
    </w:p>
    <w:p>
      <w:pPr>
        <w:spacing w:before="120" w:line="22" w:lineRule="atLeast"/>
        <w:rPr>
          <w:rFonts w:hint="eastAsia" w:asciiTheme="minorEastAsia" w:hAnsiTheme="minorEastAsia" w:eastAsiaTheme="minorEastAsia" w:cstheme="minorEastAsia"/>
          <w:color w:val="auto"/>
          <w:sz w:val="24"/>
          <w:highlight w:val="none"/>
        </w:rPr>
      </w:pPr>
    </w:p>
    <w:p>
      <w:pPr>
        <w:spacing w:before="120" w:line="22" w:lineRule="atLeast"/>
        <w:ind w:firstLine="960" w:firstLineChars="4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签订地：</w:t>
      </w:r>
      <w:r>
        <w:rPr>
          <w:rFonts w:hint="eastAsia" w:asciiTheme="minorEastAsia" w:hAnsiTheme="minorEastAsia" w:eastAsiaTheme="minorEastAsia" w:cstheme="minorEastAsia"/>
          <w:color w:val="auto"/>
          <w:sz w:val="24"/>
          <w:highlight w:val="none"/>
          <w:u w:val="single"/>
        </w:rPr>
        <w:t xml:space="preserve">                                     </w:t>
      </w:r>
    </w:p>
    <w:p>
      <w:pPr>
        <w:spacing w:before="120" w:line="22" w:lineRule="atLeast"/>
        <w:rPr>
          <w:rFonts w:hint="eastAsia" w:asciiTheme="minorEastAsia" w:hAnsiTheme="minorEastAsia" w:eastAsiaTheme="minorEastAsia" w:cstheme="minorEastAsia"/>
          <w:color w:val="auto"/>
          <w:sz w:val="24"/>
          <w:highlight w:val="none"/>
        </w:rPr>
      </w:pPr>
    </w:p>
    <w:p>
      <w:pPr>
        <w:spacing w:before="120" w:line="22" w:lineRule="atLeast"/>
        <w:ind w:firstLine="960" w:firstLineChars="4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w:t>
      </w:r>
    </w:p>
    <w:p>
      <w:pPr>
        <w:autoSpaceDE w:val="0"/>
        <w:autoSpaceDN w:val="0"/>
        <w:adjustRightInd w:val="0"/>
        <w:spacing w:line="600" w:lineRule="exact"/>
        <w:ind w:firstLine="640"/>
        <w:jc w:val="center"/>
        <w:rPr>
          <w:rFonts w:hint="eastAsia" w:asciiTheme="minorEastAsia" w:hAnsiTheme="minorEastAsia" w:eastAsiaTheme="minorEastAsia" w:cstheme="minorEastAsia"/>
          <w:color w:val="auto"/>
          <w:sz w:val="24"/>
          <w:highlight w:val="none"/>
        </w:rPr>
        <w:sectPr>
          <w:footerReference r:id="rId9" w:type="default"/>
          <w:pgSz w:w="11907" w:h="16840"/>
          <w:pgMar w:top="1474" w:right="1644" w:bottom="1474" w:left="1587" w:header="851" w:footer="851" w:gutter="0"/>
          <w:pgNumType w:fmt="decimal"/>
          <w:cols w:space="720" w:num="1"/>
          <w:docGrid w:linePitch="462" w:charSpace="0"/>
        </w:sectPr>
      </w:pP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lang w:val="zh-CN"/>
        </w:rPr>
        <w:t xml:space="preserve">        </w:t>
      </w:r>
      <w:r>
        <w:rPr>
          <w:rFonts w:hint="eastAsia" w:asciiTheme="minorEastAsia" w:hAnsiTheme="minorEastAsia" w:eastAsiaTheme="minorEastAsia" w:cstheme="minorEastAsia"/>
          <w:color w:val="auto"/>
          <w:sz w:val="24"/>
          <w:highlight w:val="none"/>
          <w:lang w:val="zh-CN"/>
        </w:rPr>
        <w:t>年</w:t>
      </w:r>
      <w:r>
        <w:rPr>
          <w:rFonts w:hint="eastAsia" w:asciiTheme="minorEastAsia" w:hAnsiTheme="minorEastAsia" w:eastAsiaTheme="minorEastAsia" w:cstheme="minorEastAsia"/>
          <w:color w:val="auto"/>
          <w:sz w:val="24"/>
          <w:highlight w:val="none"/>
          <w:u w:val="single"/>
          <w:lang w:val="zh-CN"/>
        </w:rPr>
        <w:t xml:space="preserve">    </w:t>
      </w:r>
      <w:r>
        <w:rPr>
          <w:rFonts w:hint="eastAsia" w:asciiTheme="minorEastAsia" w:hAnsiTheme="minorEastAsia" w:eastAsiaTheme="minorEastAsia" w:cstheme="minorEastAsia"/>
          <w:color w:val="auto"/>
          <w:sz w:val="24"/>
          <w:highlight w:val="none"/>
          <w:lang w:val="zh-CN"/>
        </w:rPr>
        <w:t>月</w:t>
      </w:r>
      <w:r>
        <w:rPr>
          <w:rFonts w:hint="eastAsia" w:asciiTheme="minorEastAsia" w:hAnsiTheme="minorEastAsia" w:eastAsiaTheme="minorEastAsia" w:cstheme="minorEastAsia"/>
          <w:color w:val="auto"/>
          <w:sz w:val="24"/>
          <w:highlight w:val="none"/>
          <w:u w:val="single"/>
          <w:lang w:val="zh-CN"/>
        </w:rPr>
        <w:t xml:space="preserve">    </w:t>
      </w:r>
      <w:r>
        <w:rPr>
          <w:rFonts w:hint="eastAsia" w:asciiTheme="minorEastAsia" w:hAnsiTheme="minorEastAsia" w:eastAsiaTheme="minorEastAsia" w:cstheme="minorEastAsia"/>
          <w:color w:val="auto"/>
          <w:sz w:val="24"/>
          <w:highlight w:val="none"/>
          <w:lang w:val="zh-CN"/>
        </w:rPr>
        <w:t>日</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（采购人名称）   </w:t>
      </w:r>
      <w:r>
        <w:rPr>
          <w:rFonts w:hint="eastAsia" w:asciiTheme="minorEastAsia" w:hAnsiTheme="minorEastAsia" w:eastAsiaTheme="minorEastAsia" w:cstheme="minorEastAsia"/>
          <w:color w:val="auto"/>
          <w:sz w:val="24"/>
          <w:highlight w:val="none"/>
        </w:rPr>
        <w:t>以</w:t>
      </w:r>
      <w:r>
        <w:rPr>
          <w:rFonts w:hint="eastAsia" w:asciiTheme="minorEastAsia" w:hAnsiTheme="minorEastAsia" w:eastAsiaTheme="minorEastAsia" w:cstheme="minorEastAsia"/>
          <w:color w:val="auto"/>
          <w:sz w:val="24"/>
          <w:highlight w:val="none"/>
          <w:u w:val="single"/>
        </w:rPr>
        <w:t xml:space="preserve">   （政府采购方式）  </w:t>
      </w:r>
      <w:r>
        <w:rPr>
          <w:rFonts w:hint="eastAsia" w:asciiTheme="minorEastAsia" w:hAnsiTheme="minorEastAsia" w:eastAsiaTheme="minorEastAsia" w:cstheme="minorEastAsia"/>
          <w:color w:val="auto"/>
          <w:sz w:val="24"/>
          <w:highlight w:val="none"/>
        </w:rPr>
        <w:t>对</w:t>
      </w:r>
      <w:r>
        <w:rPr>
          <w:rFonts w:hint="eastAsia" w:asciiTheme="minorEastAsia" w:hAnsiTheme="minorEastAsia" w:eastAsiaTheme="minorEastAsia" w:cstheme="minorEastAsia"/>
          <w:color w:val="auto"/>
          <w:sz w:val="24"/>
          <w:highlight w:val="none"/>
          <w:u w:val="single"/>
        </w:rPr>
        <w:t xml:space="preserve">   （同前页项目名称）   </w:t>
      </w:r>
      <w:r>
        <w:rPr>
          <w:rFonts w:hint="eastAsia" w:asciiTheme="minorEastAsia" w:hAnsiTheme="minorEastAsia" w:eastAsiaTheme="minorEastAsia" w:cstheme="minorEastAsia"/>
          <w:color w:val="auto"/>
          <w:sz w:val="24"/>
          <w:highlight w:val="none"/>
        </w:rPr>
        <w:t>项目进行了采购。经</w:t>
      </w:r>
      <w:r>
        <w:rPr>
          <w:rFonts w:hint="eastAsia" w:asciiTheme="minorEastAsia" w:hAnsiTheme="minorEastAsia" w:eastAsiaTheme="minorEastAsia" w:cstheme="minorEastAsia"/>
          <w:color w:val="auto"/>
          <w:sz w:val="24"/>
          <w:highlight w:val="none"/>
          <w:u w:val="single"/>
        </w:rPr>
        <w:t xml:space="preserve">   （相关评定主体名称）   </w:t>
      </w:r>
      <w:r>
        <w:rPr>
          <w:rFonts w:hint="eastAsia" w:asciiTheme="minorEastAsia" w:hAnsiTheme="minorEastAsia" w:eastAsiaTheme="minorEastAsia" w:cstheme="minorEastAsia"/>
          <w:color w:val="auto"/>
          <w:sz w:val="24"/>
          <w:highlight w:val="none"/>
        </w:rPr>
        <w:t>评定，</w:t>
      </w:r>
      <w:r>
        <w:rPr>
          <w:rFonts w:hint="eastAsia" w:asciiTheme="minorEastAsia" w:hAnsiTheme="minorEastAsia" w:eastAsiaTheme="minorEastAsia" w:cstheme="minorEastAsia"/>
          <w:color w:val="auto"/>
          <w:sz w:val="24"/>
          <w:highlight w:val="none"/>
          <w:u w:val="single"/>
        </w:rPr>
        <w:t xml:space="preserve">   （中标供应商名称） </w:t>
      </w:r>
      <w:r>
        <w:rPr>
          <w:rFonts w:hint="eastAsia" w:asciiTheme="minorEastAsia" w:hAnsiTheme="minorEastAsia" w:eastAsiaTheme="minorEastAsia" w:cstheme="minorEastAsia"/>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zh-CN"/>
        </w:rPr>
        <w:t>根据《中华人民共和国合同法》、《中华人民共和国政府采购法》等相关法律法规之规定，按照平等、自愿、公平和诚实信用的原则，经</w:t>
      </w:r>
      <w:r>
        <w:rPr>
          <w:rFonts w:hint="eastAsia" w:asciiTheme="minorEastAsia" w:hAnsiTheme="minorEastAsia" w:eastAsiaTheme="minorEastAsia" w:cstheme="minorEastAsia"/>
          <w:color w:val="auto"/>
          <w:sz w:val="24"/>
          <w:highlight w:val="none"/>
          <w:u w:val="single"/>
        </w:rPr>
        <w:t xml:space="preserve">   （采购人名称）   </w:t>
      </w:r>
      <w:r>
        <w:rPr>
          <w:rFonts w:hint="eastAsia" w:asciiTheme="minorEastAsia" w:hAnsiTheme="minorEastAsia" w:eastAsiaTheme="minorEastAsia" w:cstheme="minorEastAsia"/>
          <w:color w:val="auto"/>
          <w:sz w:val="24"/>
          <w:highlight w:val="none"/>
          <w:lang w:val="zh-CN"/>
        </w:rPr>
        <w:t>(以下简称：甲方)和</w:t>
      </w:r>
      <w:r>
        <w:rPr>
          <w:rFonts w:hint="eastAsia" w:asciiTheme="minorEastAsia" w:hAnsiTheme="minorEastAsia" w:eastAsiaTheme="minorEastAsia" w:cstheme="minorEastAsia"/>
          <w:color w:val="auto"/>
          <w:sz w:val="24"/>
          <w:highlight w:val="none"/>
          <w:u w:val="single"/>
        </w:rPr>
        <w:t xml:space="preserve">   （中标供应商名称）   </w:t>
      </w:r>
      <w:r>
        <w:rPr>
          <w:rFonts w:hint="eastAsia" w:asciiTheme="minorEastAsia" w:hAnsiTheme="minorEastAsia" w:eastAsiaTheme="minorEastAsia" w:cstheme="minorEastAsia"/>
          <w:color w:val="auto"/>
          <w:sz w:val="24"/>
          <w:highlight w:val="none"/>
          <w:lang w:val="zh-CN"/>
        </w:rPr>
        <w:t>(以下简称：乙方)协商一致，约定以下合同</w:t>
      </w:r>
      <w:r>
        <w:rPr>
          <w:rFonts w:hint="eastAsia" w:asciiTheme="minorEastAsia" w:hAnsiTheme="minorEastAsia" w:eastAsiaTheme="minorEastAsia" w:cstheme="minorEastAsia"/>
          <w:color w:val="auto"/>
          <w:sz w:val="24"/>
          <w:highlight w:val="none"/>
        </w:rPr>
        <w:t>条款，以兹共同遵守、全面履行。</w:t>
      </w:r>
    </w:p>
    <w:p>
      <w:pPr>
        <w:spacing w:line="560" w:lineRule="exact"/>
        <w:ind w:firstLine="482" w:firstLineChars="200"/>
        <w:outlineLvl w:val="0"/>
        <w:rPr>
          <w:rFonts w:hint="eastAsia" w:asciiTheme="minorEastAsia" w:hAnsiTheme="minorEastAsia" w:eastAsiaTheme="minorEastAsia" w:cstheme="minorEastAsia"/>
          <w:color w:val="auto"/>
          <w:sz w:val="24"/>
          <w:highlight w:val="none"/>
        </w:rPr>
      </w:pPr>
      <w:bookmarkStart w:id="70" w:name="_Toc28855"/>
      <w:bookmarkStart w:id="71" w:name="_Toc22967"/>
      <w:bookmarkStart w:id="72" w:name="_Toc20421"/>
      <w:bookmarkStart w:id="73" w:name="_Toc15367"/>
      <w:bookmarkStart w:id="74" w:name="_Toc19273"/>
      <w:r>
        <w:rPr>
          <w:rFonts w:hint="eastAsia" w:asciiTheme="minorEastAsia" w:hAnsiTheme="minorEastAsia" w:eastAsiaTheme="minorEastAsia" w:cstheme="minorEastAsia"/>
          <w:b/>
          <w:color w:val="auto"/>
          <w:sz w:val="24"/>
          <w:highlight w:val="none"/>
        </w:rPr>
        <w:t>1.1 合同组成部分</w:t>
      </w:r>
      <w:bookmarkEnd w:id="70"/>
      <w:bookmarkEnd w:id="71"/>
      <w:bookmarkEnd w:id="72"/>
      <w:bookmarkEnd w:id="73"/>
      <w:bookmarkEnd w:id="74"/>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 本合同及其补充合同、变更协议；</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 中标通知书；</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1.1.3 投标文件（含澄清或者说明文件）；</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1.1.4 </w:t>
      </w:r>
      <w:r>
        <w:rPr>
          <w:rFonts w:hint="eastAsia" w:asciiTheme="minorEastAsia" w:hAnsiTheme="minorEastAsia" w:eastAsiaTheme="minorEastAsia" w:cstheme="minorEastAsia"/>
          <w:color w:val="auto"/>
          <w:sz w:val="24"/>
          <w:highlight w:val="none"/>
          <w:lang w:eastAsia="zh-CN"/>
        </w:rPr>
        <w:t>磋商文件</w:t>
      </w:r>
      <w:r>
        <w:rPr>
          <w:rFonts w:hint="eastAsia" w:asciiTheme="minorEastAsia" w:hAnsiTheme="minorEastAsia" w:eastAsiaTheme="minorEastAsia" w:cstheme="minorEastAsia"/>
          <w:color w:val="auto"/>
          <w:sz w:val="24"/>
          <w:highlight w:val="none"/>
        </w:rPr>
        <w:t>（含澄清或者修改文件）；</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1.1.5 其他相关采购文件。</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75" w:name="_Toc6773"/>
      <w:bookmarkStart w:id="76" w:name="_Toc22185"/>
      <w:bookmarkStart w:id="77" w:name="_Toc18585"/>
      <w:bookmarkStart w:id="78" w:name="_Toc6311"/>
      <w:bookmarkStart w:id="79" w:name="_Toc2918"/>
      <w:r>
        <w:rPr>
          <w:rFonts w:hint="eastAsia" w:asciiTheme="minorEastAsia" w:hAnsiTheme="minorEastAsia" w:eastAsiaTheme="minorEastAsia" w:cstheme="minorEastAsia"/>
          <w:b/>
          <w:color w:val="auto"/>
          <w:sz w:val="24"/>
          <w:highlight w:val="none"/>
        </w:rPr>
        <w:t>1.2 标的</w:t>
      </w:r>
      <w:bookmarkEnd w:id="75"/>
      <w:bookmarkEnd w:id="76"/>
      <w:bookmarkEnd w:id="77"/>
      <w:bookmarkEnd w:id="78"/>
      <w:bookmarkEnd w:id="79"/>
    </w:p>
    <w:p>
      <w:pPr>
        <w:spacing w:line="560" w:lineRule="exact"/>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1.2.1 标的名称：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line="560" w:lineRule="exact"/>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1.2.2 标的数量：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1.2.3 标的质量：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80" w:name="_Toc4929"/>
      <w:bookmarkStart w:id="81" w:name="_Toc13918"/>
      <w:bookmarkStart w:id="82" w:name="_Toc21124"/>
      <w:bookmarkStart w:id="83" w:name="_Toc5635"/>
      <w:bookmarkStart w:id="84" w:name="_Toc1386"/>
      <w:r>
        <w:rPr>
          <w:rFonts w:hint="eastAsia" w:asciiTheme="minorEastAsia" w:hAnsiTheme="minorEastAsia" w:eastAsiaTheme="minorEastAsia" w:cstheme="minorEastAsia"/>
          <w:b/>
          <w:color w:val="auto"/>
          <w:sz w:val="24"/>
          <w:highlight w:val="none"/>
        </w:rPr>
        <w:t>1.3 价款</w:t>
      </w:r>
      <w:bookmarkEnd w:id="80"/>
      <w:bookmarkEnd w:id="81"/>
      <w:bookmarkEnd w:id="82"/>
      <w:bookmarkEnd w:id="83"/>
      <w:bookmarkEnd w:id="84"/>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本合同总价为：￥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元（大写：</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元人民币）。</w:t>
      </w:r>
    </w:p>
    <w:p>
      <w:pPr>
        <w:spacing w:line="560" w:lineRule="exact"/>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分项价格：</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94"/>
              <w:spacing w:line="560" w:lineRule="exact"/>
              <w:jc w:val="center"/>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序号</w:t>
            </w:r>
          </w:p>
        </w:tc>
        <w:tc>
          <w:tcPr>
            <w:tcW w:w="3402"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分项名称</w:t>
            </w:r>
          </w:p>
        </w:tc>
        <w:tc>
          <w:tcPr>
            <w:tcW w:w="2552" w:type="dxa"/>
            <w:vAlign w:val="center"/>
          </w:tcPr>
          <w:p>
            <w:pPr>
              <w:pStyle w:val="94"/>
              <w:spacing w:line="560" w:lineRule="exact"/>
              <w:jc w:val="center"/>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c>
          <w:tcPr>
            <w:tcW w:w="3402"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c>
          <w:tcPr>
            <w:tcW w:w="2552"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c>
          <w:tcPr>
            <w:tcW w:w="3402"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c>
          <w:tcPr>
            <w:tcW w:w="2552"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c>
          <w:tcPr>
            <w:tcW w:w="3402"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c>
          <w:tcPr>
            <w:tcW w:w="2552"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c>
          <w:tcPr>
            <w:tcW w:w="3402"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c>
          <w:tcPr>
            <w:tcW w:w="2552"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总价</w:t>
            </w:r>
          </w:p>
        </w:tc>
        <w:tc>
          <w:tcPr>
            <w:tcW w:w="2552" w:type="dxa"/>
            <w:vAlign w:val="center"/>
          </w:tcPr>
          <w:p>
            <w:pPr>
              <w:pStyle w:val="94"/>
              <w:spacing w:line="560" w:lineRule="exact"/>
              <w:ind w:firstLine="200"/>
              <w:jc w:val="center"/>
              <w:rPr>
                <w:rFonts w:hint="eastAsia" w:asciiTheme="minorEastAsia" w:hAnsiTheme="minorEastAsia" w:eastAsiaTheme="minorEastAsia" w:cstheme="minorEastAsia"/>
                <w:color w:val="auto"/>
                <w:kern w:val="2"/>
                <w:sz w:val="24"/>
                <w:szCs w:val="24"/>
                <w:highlight w:val="none"/>
              </w:rPr>
            </w:pPr>
          </w:p>
        </w:tc>
      </w:tr>
    </w:tbl>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85" w:name="_Toc3654"/>
      <w:bookmarkStart w:id="86" w:name="_Toc30506"/>
      <w:bookmarkStart w:id="87" w:name="_Toc30158"/>
      <w:bookmarkStart w:id="88" w:name="_Toc14993"/>
      <w:bookmarkStart w:id="89" w:name="_Toc26916"/>
      <w:r>
        <w:rPr>
          <w:rFonts w:hint="eastAsia" w:asciiTheme="minorEastAsia" w:hAnsiTheme="minorEastAsia" w:eastAsiaTheme="minorEastAsia" w:cstheme="minorEastAsia"/>
          <w:b/>
          <w:color w:val="auto"/>
          <w:sz w:val="24"/>
          <w:highlight w:val="none"/>
        </w:rPr>
        <w:t>1.4 付款方式和发票开具方式</w:t>
      </w:r>
      <w:bookmarkEnd w:id="85"/>
      <w:bookmarkEnd w:id="86"/>
      <w:bookmarkEnd w:id="87"/>
      <w:bookmarkEnd w:id="88"/>
      <w:bookmarkEnd w:id="89"/>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1.4.1付款方式：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1.4.2 发票开具方式：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90" w:name="_Toc11108"/>
      <w:bookmarkStart w:id="91" w:name="_Toc8772"/>
      <w:bookmarkStart w:id="92" w:name="_Toc31421"/>
      <w:bookmarkStart w:id="93" w:name="_Toc4760"/>
      <w:bookmarkStart w:id="94" w:name="_Toc3625"/>
      <w:r>
        <w:rPr>
          <w:rFonts w:hint="eastAsia" w:asciiTheme="minorEastAsia" w:hAnsiTheme="minorEastAsia" w:eastAsiaTheme="minorEastAsia" w:cstheme="minorEastAsia"/>
          <w:b/>
          <w:color w:val="auto"/>
          <w:sz w:val="24"/>
          <w:highlight w:val="none"/>
        </w:rPr>
        <w:t>1.5 履行期限、地点和方式</w:t>
      </w:r>
      <w:bookmarkEnd w:id="90"/>
      <w:bookmarkEnd w:id="91"/>
      <w:bookmarkEnd w:id="92"/>
      <w:bookmarkEnd w:id="93"/>
      <w:bookmarkEnd w:id="94"/>
    </w:p>
    <w:p>
      <w:pPr>
        <w:spacing w:line="560" w:lineRule="exact"/>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1.5.1 履行期限：</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1.5.2 履行地点：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1.5.3 履行方式：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line="560" w:lineRule="exact"/>
        <w:ind w:firstLine="482" w:firstLineChars="200"/>
        <w:outlineLvl w:val="0"/>
        <w:rPr>
          <w:rFonts w:hint="eastAsia" w:asciiTheme="minorEastAsia" w:hAnsiTheme="minorEastAsia" w:eastAsiaTheme="minorEastAsia" w:cstheme="minorEastAsia"/>
          <w:color w:val="auto"/>
          <w:sz w:val="24"/>
          <w:highlight w:val="none"/>
          <w:u w:val="single"/>
        </w:rPr>
      </w:pPr>
      <w:bookmarkStart w:id="95" w:name="_Toc3079"/>
      <w:bookmarkStart w:id="96" w:name="_Toc8586"/>
      <w:bookmarkStart w:id="97" w:name="_Toc5698"/>
      <w:bookmarkStart w:id="98" w:name="_Toc24662"/>
      <w:bookmarkStart w:id="99" w:name="_Toc2375"/>
      <w:r>
        <w:rPr>
          <w:rFonts w:hint="eastAsia" w:asciiTheme="minorEastAsia" w:hAnsiTheme="minorEastAsia" w:eastAsiaTheme="minorEastAsia" w:cstheme="minorEastAsia"/>
          <w:b/>
          <w:color w:val="auto"/>
          <w:sz w:val="24"/>
          <w:highlight w:val="none"/>
        </w:rPr>
        <w:t>1.6 违约责任</w:t>
      </w:r>
      <w:bookmarkEnd w:id="95"/>
      <w:bookmarkEnd w:id="96"/>
      <w:bookmarkEnd w:id="97"/>
      <w:bookmarkEnd w:id="98"/>
      <w:bookmarkEnd w:id="99"/>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1.6.1 除不可抗力外，如果乙方没有按照本合同约定的期限、地点和方式履行，那么甲方可要求乙方支付违约金，违约金按每迟延履行一日的应提供而未提供服务价格的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%计算，最高限额为本合同总价的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%；迟延履行的违约金计算数额达到前述最高限额之日起，甲方有权在要求乙方支付违约金的同时，书面通知乙方解除本合同；</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1.6.2 除不可抗力外，如果甲方没有按照本合同约定的付款方式付款，那么乙方可要求甲方支付违约金，违约金按每迟延付款一日的应付而未付款的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%计算，最高限额为本合同总价的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00" w:name="_Toc26807"/>
      <w:bookmarkStart w:id="101" w:name="_Toc9497"/>
      <w:bookmarkStart w:id="102" w:name="_Toc18683"/>
      <w:bookmarkStart w:id="103" w:name="_Toc30329"/>
      <w:bookmarkStart w:id="104" w:name="_Toc32454"/>
      <w:r>
        <w:rPr>
          <w:rFonts w:hint="eastAsia" w:asciiTheme="minorEastAsia" w:hAnsiTheme="minorEastAsia" w:eastAsiaTheme="minorEastAsia" w:cstheme="minorEastAsia"/>
          <w:b/>
          <w:color w:val="auto"/>
          <w:sz w:val="24"/>
          <w:highlight w:val="none"/>
        </w:rPr>
        <w:t>1.7 合同争议的解决</w:t>
      </w:r>
      <w:bookmarkEnd w:id="100"/>
      <w:bookmarkEnd w:id="101"/>
      <w:bookmarkEnd w:id="102"/>
      <w:bookmarkEnd w:id="103"/>
      <w:bookmarkEnd w:id="104"/>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本合同履行过程中发生的任何争议，双方当事人均可通过和解或者调解解决；不愿和解、调解或者和解、调解不成的，可以选择下列第</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种方式解决：</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1.7.1 将争议提交</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仲裁委员会依申请仲裁时其现行有效的仲裁规则裁决；</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1.7.2 向</w:t>
      </w:r>
      <w:r>
        <w:rPr>
          <w:rFonts w:hint="eastAsia" w:asciiTheme="minorEastAsia" w:hAnsiTheme="minorEastAsia" w:eastAsiaTheme="minorEastAsia" w:cstheme="minorEastAsia"/>
          <w:color w:val="auto"/>
          <w:sz w:val="24"/>
          <w:highlight w:val="none"/>
          <w:u w:val="single"/>
        </w:rPr>
        <w:t xml:space="preserve">   （被告住所地、合同履行地、合同签订地、原告住所地、标的物所在地等与争议有实际联系的地点中选出的人民法院名称）    </w:t>
      </w:r>
      <w:r>
        <w:rPr>
          <w:rFonts w:hint="eastAsia" w:asciiTheme="minorEastAsia" w:hAnsiTheme="minorEastAsia" w:eastAsiaTheme="minorEastAsia" w:cstheme="minorEastAsia"/>
          <w:color w:val="auto"/>
          <w:sz w:val="24"/>
          <w:highlight w:val="none"/>
        </w:rPr>
        <w:t>人民法院起诉。</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05" w:name="_Toc15827"/>
      <w:bookmarkStart w:id="106" w:name="_Toc23784"/>
      <w:bookmarkStart w:id="107" w:name="_Toc16417"/>
      <w:bookmarkStart w:id="108" w:name="_Toc12273"/>
      <w:bookmarkStart w:id="109" w:name="_Toc26227"/>
      <w:r>
        <w:rPr>
          <w:rFonts w:hint="eastAsia" w:asciiTheme="minorEastAsia" w:hAnsiTheme="minorEastAsia" w:eastAsiaTheme="minorEastAsia" w:cstheme="minorEastAsia"/>
          <w:b/>
          <w:color w:val="auto"/>
          <w:sz w:val="24"/>
          <w:highlight w:val="none"/>
        </w:rPr>
        <w:t>1.8 合同生效</w:t>
      </w:r>
      <w:bookmarkEnd w:id="105"/>
      <w:bookmarkEnd w:id="106"/>
      <w:bookmarkEnd w:id="107"/>
      <w:bookmarkEnd w:id="108"/>
      <w:bookmarkEnd w:id="109"/>
    </w:p>
    <w:p>
      <w:pPr>
        <w:spacing w:line="560" w:lineRule="exact"/>
        <w:ind w:firstLine="480"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本合同自双方当事人盖章或者签字时生效。</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b/>
          <w:color w:val="auto"/>
          <w:sz w:val="24"/>
          <w:highlight w:val="none"/>
          <w:lang w:val="zh-CN"/>
        </w:rPr>
        <w:t>甲方</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b/>
          <w:color w:val="auto"/>
          <w:sz w:val="24"/>
          <w:highlight w:val="none"/>
          <w:lang w:val="zh-CN"/>
        </w:rPr>
        <w:t xml:space="preserve">      乙方</w:t>
      </w:r>
      <w:r>
        <w:rPr>
          <w:rFonts w:hint="eastAsia" w:asciiTheme="minorEastAsia" w:hAnsiTheme="minorEastAsia" w:eastAsiaTheme="minorEastAsia" w:cstheme="minorEastAsia"/>
          <w:color w:val="auto"/>
          <w:sz w:val="24"/>
          <w:highlight w:val="none"/>
          <w:lang w:val="zh-CN"/>
        </w:rPr>
        <w:t>：</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统一社会信用代码：                        统一社会信用代码或身份证号码：</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住所：                                   住所：</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法定代表人或                             法定代表人</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 xml:space="preserve">授权代表（签字）：                        或授权代表（签字）: </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联系人：                                 联系人：</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约定送达地址：                           约定送达地址：</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邮政编码：                               邮政编码：</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 xml:space="preserve">电话:                                    电话: </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传真:                                    传真:</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zh-CN"/>
        </w:rPr>
        <w:t>电子邮箱：                               电子邮箱：</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开户银行：                               开户银行： </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开户名称：                               开户名称： </w:t>
      </w:r>
    </w:p>
    <w:p>
      <w:pPr>
        <w:autoSpaceDE w:val="0"/>
        <w:autoSpaceDN w:val="0"/>
        <w:adjustRightInd w:val="0"/>
        <w:spacing w:line="56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开户账号：</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color w:val="auto"/>
          <w:sz w:val="24"/>
          <w:highlight w:val="none"/>
        </w:rPr>
        <w:t>开户账号：</w:t>
      </w:r>
      <w:bookmarkStart w:id="110" w:name="_Toc331685783"/>
    </w:p>
    <w:p>
      <w:pPr>
        <w:pStyle w:val="2"/>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color w:val="auto"/>
          <w:sz w:val="24"/>
          <w:highlight w:val="none"/>
        </w:rPr>
      </w:pPr>
    </w:p>
    <w:p>
      <w:pPr>
        <w:pStyle w:val="2"/>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color w:val="auto"/>
          <w:sz w:val="24"/>
          <w:highlight w:val="none"/>
        </w:rPr>
      </w:pPr>
    </w:p>
    <w:p>
      <w:pPr>
        <w:pStyle w:val="2"/>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color w:val="auto"/>
          <w:sz w:val="24"/>
          <w:highlight w:val="none"/>
        </w:rPr>
      </w:pPr>
    </w:p>
    <w:p>
      <w:pPr>
        <w:pStyle w:val="2"/>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color w:val="auto"/>
          <w:sz w:val="24"/>
          <w:highlight w:val="none"/>
        </w:rPr>
      </w:pPr>
    </w:p>
    <w:p>
      <w:pPr>
        <w:pStyle w:val="2"/>
        <w:rPr>
          <w:rFonts w:hint="eastAsia"/>
          <w:color w:val="auto"/>
          <w:highlight w:val="none"/>
        </w:rPr>
      </w:pPr>
    </w:p>
    <w:p>
      <w:pPr>
        <w:pStyle w:val="92"/>
        <w:spacing w:line="560" w:lineRule="exact"/>
        <w:ind w:firstLine="20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第二部分 合同一般条款</w:t>
      </w:r>
      <w:bookmarkEnd w:id="110"/>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11" w:name="_Toc487900349"/>
      <w:bookmarkStart w:id="112" w:name="_Ref467378404"/>
      <w:bookmarkStart w:id="113" w:name="_Ref467379109"/>
      <w:bookmarkStart w:id="114" w:name="_Ref467379205"/>
      <w:bookmarkStart w:id="115" w:name="_Ref467378463"/>
      <w:bookmarkStart w:id="116" w:name="_Ref467379195"/>
      <w:bookmarkStart w:id="117" w:name="_Ref467379214"/>
      <w:bookmarkStart w:id="118" w:name="_Toc25079"/>
      <w:bookmarkStart w:id="119" w:name="_Toc279701240"/>
      <w:bookmarkStart w:id="120" w:name="_Toc19680"/>
      <w:bookmarkStart w:id="121" w:name="_Toc31297"/>
      <w:bookmarkStart w:id="122" w:name="_Toc5228"/>
      <w:bookmarkStart w:id="123" w:name="_Ref467379101"/>
      <w:bookmarkStart w:id="124" w:name="_Toc259093669"/>
      <w:bookmarkStart w:id="125" w:name="_Ref467379094"/>
      <w:bookmarkStart w:id="126" w:name="_Ref467379225"/>
      <w:bookmarkStart w:id="127" w:name="_Toc14021"/>
      <w:bookmarkStart w:id="128" w:name="_Ref467378499"/>
      <w:r>
        <w:rPr>
          <w:rFonts w:hint="eastAsia" w:asciiTheme="minorEastAsia" w:hAnsiTheme="minorEastAsia" w:eastAsiaTheme="minorEastAsia" w:cstheme="minorEastAsia"/>
          <w:b/>
          <w:color w:val="auto"/>
          <w:sz w:val="24"/>
          <w:highlight w:val="none"/>
        </w:rPr>
        <w:t>2.1 定义</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本合同中的下列词语应按以下内容进行解释：</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2.1.3 “服务”系指中标供应商根据合同约定应向采购人履行的除货物和工程以外的其他政府采购对象，包括采购人自身需要的服务和向社会公众提供的公共服务。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Theme="minorEastAsia" w:hAnsiTheme="minorEastAsia" w:eastAsiaTheme="minorEastAsia" w:cstheme="minorEastAsia"/>
          <w:color w:val="auto"/>
          <w:sz w:val="24"/>
          <w:highlight w:val="none"/>
        </w:rPr>
      </w:pPr>
      <w:bookmarkStart w:id="129" w:name="_Ref467378840"/>
      <w:r>
        <w:rPr>
          <w:rFonts w:hint="eastAsia" w:asciiTheme="minorEastAsia" w:hAnsiTheme="minorEastAsia" w:eastAsiaTheme="minorEastAsia" w:cstheme="minorEastAsia"/>
          <w:color w:val="auto"/>
          <w:sz w:val="24"/>
          <w:highlight w:val="none"/>
        </w:rPr>
        <w:t>2.1.4 “甲方”系指与中标供应商签署合同的采购人</w:t>
      </w:r>
      <w:bookmarkEnd w:id="129"/>
      <w:r>
        <w:rPr>
          <w:rFonts w:hint="eastAsia" w:asciiTheme="minorEastAsia" w:hAnsiTheme="minorEastAsia" w:eastAsiaTheme="minorEastAsia" w:cstheme="minorEastAsia"/>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Theme="minorEastAsia" w:hAnsiTheme="minorEastAsia" w:eastAsiaTheme="minorEastAsia" w:cstheme="minorEastAsia"/>
          <w:color w:val="auto"/>
          <w:sz w:val="24"/>
          <w:highlight w:val="none"/>
        </w:rPr>
      </w:pPr>
      <w:bookmarkStart w:id="130" w:name="_Ref467379400"/>
      <w:r>
        <w:rPr>
          <w:rFonts w:hint="eastAsia" w:asciiTheme="minorEastAsia" w:hAnsiTheme="minorEastAsia" w:eastAsiaTheme="minorEastAsia" w:cstheme="minorEastAsia"/>
          <w:color w:val="auto"/>
          <w:sz w:val="24"/>
          <w:highlight w:val="none"/>
        </w:rPr>
        <w:t>2.1.5 “乙方”系指根据合同约定提供服务的中标供应商</w:t>
      </w:r>
      <w:bookmarkEnd w:id="130"/>
      <w:r>
        <w:rPr>
          <w:rFonts w:hint="eastAsia" w:asciiTheme="minorEastAsia" w:hAnsiTheme="minorEastAsia" w:eastAsiaTheme="minorEastAsia" w:cstheme="minorEastAsia"/>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Theme="minorEastAsia" w:hAnsiTheme="minorEastAsia" w:eastAsiaTheme="minorEastAsia" w:cstheme="minorEastAsia"/>
          <w:color w:val="auto"/>
          <w:sz w:val="24"/>
          <w:highlight w:val="none"/>
        </w:rPr>
      </w:pPr>
      <w:bookmarkStart w:id="131" w:name="_Ref467379436"/>
      <w:r>
        <w:rPr>
          <w:rFonts w:hint="eastAsia" w:asciiTheme="minorEastAsia" w:hAnsiTheme="minorEastAsia" w:eastAsiaTheme="minorEastAsia" w:cstheme="minorEastAsia"/>
          <w:color w:val="auto"/>
          <w:sz w:val="24"/>
          <w:highlight w:val="none"/>
        </w:rPr>
        <w:t>2.1.6 “现场”系指合同约定提供服务的地点。</w:t>
      </w:r>
      <w:bookmarkEnd w:id="131"/>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32" w:name="_Toc31402"/>
      <w:bookmarkStart w:id="133" w:name="_Toc3769"/>
      <w:bookmarkStart w:id="134" w:name="_Toc279701241"/>
      <w:bookmarkStart w:id="135" w:name="_Toc487900350"/>
      <w:bookmarkStart w:id="136" w:name="_Toc259093670"/>
      <w:bookmarkStart w:id="137" w:name="_Toc19539"/>
      <w:bookmarkStart w:id="138" w:name="_Toc23289"/>
      <w:bookmarkStart w:id="139" w:name="_Toc16752"/>
      <w:r>
        <w:rPr>
          <w:rFonts w:hint="eastAsia" w:asciiTheme="minorEastAsia" w:hAnsiTheme="minorEastAsia" w:eastAsiaTheme="minorEastAsia" w:cstheme="minorEastAsia"/>
          <w:b/>
          <w:color w:val="auto"/>
          <w:sz w:val="24"/>
          <w:highlight w:val="none"/>
        </w:rPr>
        <w:t>2.2 技术规范</w:t>
      </w:r>
      <w:bookmarkEnd w:id="132"/>
      <w:bookmarkEnd w:id="133"/>
      <w:bookmarkEnd w:id="134"/>
      <w:bookmarkEnd w:id="135"/>
      <w:bookmarkEnd w:id="136"/>
      <w:bookmarkEnd w:id="137"/>
      <w:bookmarkEnd w:id="138"/>
      <w:bookmarkEnd w:id="139"/>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40" w:name="_Toc279701242"/>
      <w:bookmarkStart w:id="141" w:name="_Toc4133"/>
      <w:bookmarkStart w:id="142" w:name="_Toc12412"/>
      <w:bookmarkStart w:id="143" w:name="_Toc487900351"/>
      <w:bookmarkStart w:id="144" w:name="_Toc27945"/>
      <w:bookmarkStart w:id="145" w:name="_Toc9161"/>
      <w:bookmarkStart w:id="146" w:name="_Toc259093671"/>
      <w:bookmarkStart w:id="147" w:name="_Toc13673"/>
      <w:r>
        <w:rPr>
          <w:rFonts w:hint="eastAsia" w:asciiTheme="minorEastAsia" w:hAnsiTheme="minorEastAsia" w:eastAsiaTheme="minorEastAsia" w:cstheme="minorEastAsia"/>
          <w:b/>
          <w:color w:val="auto"/>
          <w:sz w:val="24"/>
          <w:highlight w:val="none"/>
        </w:rPr>
        <w:t>2.3 知识产权</w:t>
      </w:r>
      <w:bookmarkEnd w:id="140"/>
      <w:bookmarkEnd w:id="141"/>
      <w:bookmarkEnd w:id="142"/>
      <w:bookmarkEnd w:id="143"/>
      <w:bookmarkEnd w:id="144"/>
      <w:bookmarkEnd w:id="145"/>
      <w:bookmarkEnd w:id="146"/>
      <w:bookmarkEnd w:id="147"/>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2.3.2 合同涉及技术成果的归属和收益的分成办法的，详见</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w:t>
      </w:r>
    </w:p>
    <w:p>
      <w:pPr>
        <w:spacing w:line="560" w:lineRule="exact"/>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2.4 履约检查和问题反馈</w:t>
      </w:r>
    </w:p>
    <w:p>
      <w:pPr>
        <w:spacing w:line="560" w:lineRule="exact"/>
        <w:ind w:firstLine="480" w:firstLineChars="200"/>
        <w:rPr>
          <w:rFonts w:hint="eastAsia" w:asciiTheme="minorEastAsia" w:hAnsiTheme="minorEastAsia" w:eastAsiaTheme="minorEastAsia" w:cstheme="minorEastAsia"/>
          <w:color w:val="auto"/>
          <w:sz w:val="24"/>
          <w:highlight w:val="none"/>
        </w:rPr>
      </w:pPr>
      <w:bookmarkStart w:id="148" w:name="_Ref467379657"/>
      <w:r>
        <w:rPr>
          <w:rFonts w:hint="eastAsia" w:asciiTheme="minorEastAsia" w:hAnsiTheme="minorEastAsia" w:eastAsiaTheme="minorEastAsia" w:cstheme="minorEastAsia"/>
          <w:color w:val="auto"/>
          <w:sz w:val="24"/>
          <w:highlight w:val="none"/>
        </w:rPr>
        <w:t>2.4.1</w:t>
      </w:r>
      <w:bookmarkEnd w:id="148"/>
      <w:bookmarkStart w:id="149" w:name="_Toc186431854"/>
      <w:bookmarkStart w:id="150" w:name="_Toc487900357"/>
      <w:bookmarkStart w:id="151" w:name="_Ref467379793"/>
      <w:bookmarkStart w:id="152" w:name="_Toc279701247"/>
      <w:bookmarkStart w:id="153" w:name="_Ref467379807"/>
      <w:bookmarkStart w:id="154" w:name="_Toc259093676"/>
      <w:r>
        <w:rPr>
          <w:rFonts w:hint="eastAsia" w:asciiTheme="minorEastAsia" w:hAnsiTheme="minorEastAsia" w:eastAsiaTheme="minorEastAsia" w:cstheme="minorEastAsia"/>
          <w:color w:val="auto"/>
          <w:sz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2.4.2 合同履行期间，甲方有权将履行过程中出现的问题反馈给乙方，双方当事人应以书面形式约定需要完善和改进的内容</w:t>
      </w:r>
      <w:bookmarkEnd w:id="149"/>
      <w:bookmarkStart w:id="155" w:name="_Toc186431855"/>
      <w:r>
        <w:rPr>
          <w:rFonts w:hint="eastAsia" w:asciiTheme="minorEastAsia" w:hAnsiTheme="minorEastAsia" w:eastAsiaTheme="minorEastAsia" w:cstheme="minorEastAsia"/>
          <w:color w:val="auto"/>
          <w:sz w:val="24"/>
          <w:highlight w:val="none"/>
        </w:rPr>
        <w:t>。</w:t>
      </w:r>
    </w:p>
    <w:bookmarkEnd w:id="155"/>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56" w:name="_Toc26555"/>
      <w:bookmarkStart w:id="157" w:name="_Toc31233"/>
      <w:bookmarkStart w:id="158" w:name="_Toc22011"/>
      <w:bookmarkStart w:id="159" w:name="_Toc15447"/>
      <w:bookmarkStart w:id="160" w:name="_Toc32670"/>
      <w:r>
        <w:rPr>
          <w:rFonts w:hint="eastAsia" w:asciiTheme="minorEastAsia" w:hAnsiTheme="minorEastAsia" w:eastAsiaTheme="minorEastAsia" w:cstheme="minorEastAsia"/>
          <w:b/>
          <w:color w:val="auto"/>
          <w:sz w:val="24"/>
          <w:highlight w:val="none"/>
        </w:rPr>
        <w:t>2.5 结算方式和付款条件</w:t>
      </w:r>
      <w:bookmarkEnd w:id="150"/>
      <w:bookmarkEnd w:id="151"/>
      <w:bookmarkEnd w:id="152"/>
      <w:bookmarkEnd w:id="153"/>
      <w:bookmarkEnd w:id="154"/>
      <w:bookmarkEnd w:id="156"/>
      <w:bookmarkEnd w:id="157"/>
      <w:bookmarkEnd w:id="158"/>
      <w:bookmarkEnd w:id="159"/>
      <w:bookmarkEnd w:id="160"/>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详见</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61" w:name="_Ref467379863"/>
      <w:bookmarkStart w:id="162" w:name="_Ref467379852"/>
      <w:bookmarkStart w:id="163" w:name="_Ref467379923"/>
      <w:bookmarkStart w:id="164" w:name="_Toc487900358"/>
      <w:bookmarkStart w:id="165" w:name="_Toc259093677"/>
      <w:bookmarkStart w:id="166" w:name="_Toc279701248"/>
      <w:bookmarkStart w:id="167" w:name="_Toc18990"/>
      <w:bookmarkStart w:id="168" w:name="_Toc16163"/>
      <w:bookmarkStart w:id="169" w:name="_Toc13154"/>
      <w:bookmarkStart w:id="170" w:name="_Toc30507"/>
      <w:bookmarkStart w:id="171" w:name="_Toc13467"/>
      <w:r>
        <w:rPr>
          <w:rFonts w:hint="eastAsia" w:asciiTheme="minorEastAsia" w:hAnsiTheme="minorEastAsia" w:eastAsiaTheme="minorEastAsia" w:cstheme="minorEastAsia"/>
          <w:b/>
          <w:color w:val="auto"/>
          <w:sz w:val="24"/>
          <w:highlight w:val="none"/>
        </w:rPr>
        <w:t>2.6 技术资料</w:t>
      </w:r>
      <w:bookmarkEnd w:id="161"/>
      <w:bookmarkEnd w:id="162"/>
      <w:bookmarkEnd w:id="163"/>
      <w:bookmarkEnd w:id="164"/>
      <w:bookmarkEnd w:id="165"/>
      <w:bookmarkEnd w:id="166"/>
      <w:r>
        <w:rPr>
          <w:rFonts w:hint="eastAsia" w:asciiTheme="minorEastAsia" w:hAnsiTheme="minorEastAsia" w:eastAsiaTheme="minorEastAsia" w:cstheme="minorEastAsia"/>
          <w:b/>
          <w:color w:val="auto"/>
          <w:sz w:val="24"/>
          <w:highlight w:val="none"/>
        </w:rPr>
        <w:t>和保密义务</w:t>
      </w:r>
      <w:bookmarkEnd w:id="167"/>
      <w:bookmarkEnd w:id="168"/>
      <w:bookmarkEnd w:id="169"/>
      <w:bookmarkEnd w:id="170"/>
      <w:bookmarkEnd w:id="171"/>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2.6.2 乙方有义务妥善保管和保护由甲方提供的前款信息和资料等；</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72" w:name="_Toc19069"/>
      <w:bookmarkStart w:id="173" w:name="_Toc259093681"/>
      <w:bookmarkStart w:id="174" w:name="_Toc487900362"/>
      <w:bookmarkStart w:id="175" w:name="_Toc279701252"/>
      <w:r>
        <w:rPr>
          <w:rFonts w:hint="eastAsia" w:asciiTheme="minorEastAsia" w:hAnsiTheme="minorEastAsia" w:eastAsiaTheme="minorEastAsia" w:cstheme="minorEastAsia"/>
          <w:b/>
          <w:color w:val="auto"/>
          <w:sz w:val="24"/>
          <w:highlight w:val="none"/>
        </w:rPr>
        <w:t>2.7 质量保证</w:t>
      </w:r>
      <w:bookmarkEnd w:id="172"/>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76" w:name="_Toc22267"/>
      <w:r>
        <w:rPr>
          <w:rFonts w:hint="eastAsia" w:asciiTheme="minorEastAsia" w:hAnsiTheme="minorEastAsia" w:eastAsiaTheme="minorEastAsia" w:cstheme="minorEastAsia"/>
          <w:b/>
          <w:color w:val="auto"/>
          <w:sz w:val="24"/>
          <w:highlight w:val="none"/>
        </w:rPr>
        <w:t>2.8 延迟</w:t>
      </w:r>
      <w:bookmarkEnd w:id="173"/>
      <w:bookmarkEnd w:id="174"/>
      <w:bookmarkEnd w:id="175"/>
      <w:r>
        <w:rPr>
          <w:rFonts w:hint="eastAsia" w:asciiTheme="minorEastAsia" w:hAnsiTheme="minorEastAsia" w:eastAsiaTheme="minorEastAsia" w:cstheme="minorEastAsia"/>
          <w:b/>
          <w:color w:val="auto"/>
          <w:sz w:val="24"/>
          <w:highlight w:val="none"/>
        </w:rPr>
        <w:t>履行</w:t>
      </w:r>
      <w:bookmarkEnd w:id="176"/>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77" w:name="_Toc10611"/>
      <w:bookmarkStart w:id="178" w:name="_Ref467378121"/>
      <w:bookmarkStart w:id="179" w:name="_Toc279701254"/>
      <w:bookmarkStart w:id="180" w:name="_Toc259093683"/>
      <w:bookmarkStart w:id="181" w:name="_Toc487900364"/>
      <w:r>
        <w:rPr>
          <w:rFonts w:hint="eastAsia" w:asciiTheme="minorEastAsia" w:hAnsiTheme="minorEastAsia" w:eastAsiaTheme="minorEastAsia" w:cstheme="minorEastAsia"/>
          <w:b/>
          <w:color w:val="auto"/>
          <w:sz w:val="24"/>
          <w:highlight w:val="none"/>
        </w:rPr>
        <w:t>2.9 合同变更</w:t>
      </w:r>
      <w:bookmarkEnd w:id="177"/>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2.9.1 双方当事人协商一致，可以签订书面补充合同的形式变更合同，但不得违背采购文件确定的事项，且如果系追加与合同标的相同的服务的，那么所有补充合同的采购金额不得超过原合同价的10%；</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2.9.2 合同继续履行将损害国家利益和社会公共利益的，双方当事人应当以书面形式变更合同。有过错的一方应当承担赔偿责任，双方当事人都有过错的，各自承担相应的责任。</w:t>
      </w:r>
      <w:bookmarkStart w:id="182" w:name="_Toc259093688"/>
      <w:bookmarkStart w:id="183" w:name="_Toc487900369"/>
      <w:bookmarkStart w:id="184" w:name="_Toc279701259"/>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85" w:name="_Toc23368"/>
      <w:bookmarkStart w:id="186" w:name="_Toc42"/>
      <w:bookmarkStart w:id="187" w:name="_Toc26689"/>
      <w:bookmarkStart w:id="188" w:name="_Toc21830"/>
      <w:bookmarkStart w:id="189" w:name="_Toc10663"/>
      <w:r>
        <w:rPr>
          <w:rFonts w:hint="eastAsia" w:asciiTheme="minorEastAsia" w:hAnsiTheme="minorEastAsia" w:eastAsiaTheme="minorEastAsia" w:cstheme="minorEastAsia"/>
          <w:b/>
          <w:color w:val="auto"/>
          <w:sz w:val="24"/>
          <w:highlight w:val="none"/>
        </w:rPr>
        <w:t>2.10 合同转让</w:t>
      </w:r>
      <w:bookmarkEnd w:id="182"/>
      <w:bookmarkEnd w:id="183"/>
      <w:bookmarkEnd w:id="184"/>
      <w:r>
        <w:rPr>
          <w:rFonts w:hint="eastAsia" w:asciiTheme="minorEastAsia" w:hAnsiTheme="minorEastAsia" w:eastAsiaTheme="minorEastAsia" w:cstheme="minorEastAsia"/>
          <w:b/>
          <w:color w:val="auto"/>
          <w:sz w:val="24"/>
          <w:highlight w:val="none"/>
        </w:rPr>
        <w:t>和分包</w:t>
      </w:r>
      <w:bookmarkEnd w:id="185"/>
      <w:bookmarkEnd w:id="186"/>
      <w:bookmarkEnd w:id="187"/>
      <w:bookmarkEnd w:id="188"/>
      <w:bookmarkEnd w:id="189"/>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90" w:name="_Toc4720"/>
      <w:bookmarkStart w:id="191" w:name="_Toc14371"/>
      <w:bookmarkStart w:id="192" w:name="_Toc32494"/>
      <w:bookmarkStart w:id="193" w:name="_Toc25571"/>
      <w:bookmarkStart w:id="194" w:name="_Toc26633"/>
      <w:r>
        <w:rPr>
          <w:rFonts w:hint="eastAsia" w:asciiTheme="minorEastAsia" w:hAnsiTheme="minorEastAsia" w:eastAsiaTheme="minorEastAsia" w:cstheme="minorEastAsia"/>
          <w:b/>
          <w:color w:val="auto"/>
          <w:sz w:val="24"/>
          <w:highlight w:val="none"/>
        </w:rPr>
        <w:t>2.11 不可抗力</w:t>
      </w:r>
      <w:bookmarkEnd w:id="190"/>
      <w:bookmarkEnd w:id="191"/>
      <w:bookmarkEnd w:id="192"/>
      <w:bookmarkEnd w:id="193"/>
      <w:bookmarkEnd w:id="194"/>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2.11.2 因不可抗力致使不能实现合同目的的，当事人可以解除合同；</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2.11.3 因不可抗力致使合同有变更必要的，双方当事人应在</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约定时间内以书面形式变更合同；</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2.11.4受不可抗力影响的一方在不可抗力发生后，应在</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约定时间内以书面形式通知对方当事人，并在</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约定时间内，将有关部门出具的证明文件送达对方当事人。</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195" w:name="_Toc3638"/>
      <w:bookmarkStart w:id="196" w:name="_Toc279701255"/>
      <w:bookmarkStart w:id="197" w:name="_Toc23854"/>
      <w:bookmarkStart w:id="198" w:name="_Toc487900365"/>
      <w:bookmarkStart w:id="199" w:name="_Toc24465"/>
      <w:bookmarkStart w:id="200" w:name="_Toc25783"/>
      <w:bookmarkStart w:id="201" w:name="_Toc259093684"/>
      <w:bookmarkStart w:id="202" w:name="_Toc14115"/>
      <w:r>
        <w:rPr>
          <w:rFonts w:hint="eastAsia" w:asciiTheme="minorEastAsia" w:hAnsiTheme="minorEastAsia" w:eastAsiaTheme="minorEastAsia" w:cstheme="minorEastAsia"/>
          <w:b/>
          <w:color w:val="auto"/>
          <w:sz w:val="24"/>
          <w:highlight w:val="none"/>
        </w:rPr>
        <w:t>2.12 税费</w:t>
      </w:r>
      <w:bookmarkEnd w:id="195"/>
      <w:bookmarkEnd w:id="196"/>
      <w:bookmarkEnd w:id="197"/>
      <w:bookmarkEnd w:id="198"/>
      <w:bookmarkEnd w:id="199"/>
      <w:bookmarkEnd w:id="200"/>
      <w:bookmarkEnd w:id="201"/>
      <w:bookmarkEnd w:id="202"/>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203" w:name="_Toc259093687"/>
      <w:bookmarkStart w:id="204" w:name="_Toc30105"/>
      <w:bookmarkStart w:id="205" w:name="_Toc26883"/>
      <w:bookmarkStart w:id="206" w:name="_Toc279701258"/>
      <w:bookmarkStart w:id="207" w:name="_Toc487900368"/>
      <w:bookmarkStart w:id="208" w:name="_Toc25525"/>
      <w:bookmarkStart w:id="209" w:name="_Toc14814"/>
      <w:bookmarkStart w:id="210" w:name="_Toc7315"/>
      <w:r>
        <w:rPr>
          <w:rFonts w:hint="eastAsia" w:asciiTheme="minorEastAsia" w:hAnsiTheme="minorEastAsia" w:eastAsiaTheme="minorEastAsia" w:cstheme="minorEastAsia"/>
          <w:b/>
          <w:color w:val="auto"/>
          <w:sz w:val="24"/>
          <w:highlight w:val="none"/>
        </w:rPr>
        <w:t>2.13 乙方破产</w:t>
      </w:r>
      <w:bookmarkEnd w:id="203"/>
      <w:bookmarkEnd w:id="204"/>
      <w:bookmarkEnd w:id="205"/>
      <w:bookmarkEnd w:id="206"/>
      <w:bookmarkEnd w:id="207"/>
      <w:bookmarkEnd w:id="208"/>
      <w:bookmarkEnd w:id="209"/>
      <w:bookmarkEnd w:id="210"/>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211" w:name="_Toc23323"/>
      <w:bookmarkStart w:id="212" w:name="_Toc2016"/>
      <w:bookmarkStart w:id="213" w:name="_Toc1123"/>
      <w:r>
        <w:rPr>
          <w:rFonts w:hint="eastAsia" w:asciiTheme="minorEastAsia" w:hAnsiTheme="minorEastAsia" w:eastAsiaTheme="minorEastAsia" w:cstheme="minorEastAsia"/>
          <w:b/>
          <w:color w:val="auto"/>
          <w:sz w:val="24"/>
          <w:highlight w:val="none"/>
        </w:rPr>
        <w:t>2.14 合同中止、终止</w:t>
      </w:r>
      <w:bookmarkEnd w:id="211"/>
      <w:bookmarkEnd w:id="212"/>
      <w:bookmarkEnd w:id="213"/>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2.14.1 双方当事人不得擅自中止或者终止合同；</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214" w:name="_Toc17363"/>
      <w:bookmarkStart w:id="215" w:name="_Toc14525"/>
      <w:bookmarkStart w:id="216" w:name="_Toc1969"/>
      <w:r>
        <w:rPr>
          <w:rFonts w:hint="eastAsia" w:asciiTheme="minorEastAsia" w:hAnsiTheme="minorEastAsia" w:eastAsiaTheme="minorEastAsia" w:cstheme="minorEastAsia"/>
          <w:b/>
          <w:color w:val="auto"/>
          <w:sz w:val="24"/>
          <w:highlight w:val="none"/>
        </w:rPr>
        <w:t>2.15 检验和验收</w:t>
      </w:r>
      <w:bookmarkEnd w:id="214"/>
      <w:bookmarkEnd w:id="215"/>
      <w:bookmarkEnd w:id="216"/>
    </w:p>
    <w:p>
      <w:pPr>
        <w:tabs>
          <w:tab w:val="left" w:pos="360"/>
          <w:tab w:val="left" w:pos="540"/>
          <w:tab w:val="left" w:pos="1080"/>
        </w:tabs>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2.15.1 乙方按照</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的约定，定期提交服务报告，甲方按照</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2.15.3 检验和验收标准、程序等具体内容以及前述验收书的效力详见</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i/>
          <w:color w:val="auto"/>
          <w:sz w:val="24"/>
          <w:highlight w:val="none"/>
        </w:rPr>
        <w:t>。</w:t>
      </w:r>
    </w:p>
    <w:bookmarkEnd w:id="178"/>
    <w:bookmarkEnd w:id="179"/>
    <w:bookmarkEnd w:id="180"/>
    <w:bookmarkEnd w:id="181"/>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217" w:name="_Toc279701261"/>
      <w:bookmarkStart w:id="218" w:name="_Toc487900371"/>
      <w:bookmarkStart w:id="219" w:name="_Toc259093690"/>
      <w:bookmarkStart w:id="220" w:name="_Toc12666"/>
      <w:bookmarkStart w:id="221" w:name="_Toc25198"/>
      <w:bookmarkStart w:id="222" w:name="_Toc31892"/>
      <w:bookmarkStart w:id="223" w:name="_Toc2308"/>
      <w:bookmarkStart w:id="224" w:name="_Toc9808"/>
      <w:r>
        <w:rPr>
          <w:rFonts w:hint="eastAsia" w:asciiTheme="minorEastAsia" w:hAnsiTheme="minorEastAsia" w:eastAsiaTheme="minorEastAsia" w:cstheme="minorEastAsia"/>
          <w:b/>
          <w:color w:val="auto"/>
          <w:sz w:val="24"/>
          <w:highlight w:val="none"/>
        </w:rPr>
        <w:t>2.16 通知</w:t>
      </w:r>
      <w:bookmarkEnd w:id="217"/>
      <w:bookmarkEnd w:id="218"/>
      <w:bookmarkEnd w:id="219"/>
      <w:r>
        <w:rPr>
          <w:rFonts w:hint="eastAsia" w:asciiTheme="minorEastAsia" w:hAnsiTheme="minorEastAsia" w:eastAsiaTheme="minorEastAsia" w:cstheme="minorEastAsia"/>
          <w:b/>
          <w:color w:val="auto"/>
          <w:sz w:val="24"/>
          <w:highlight w:val="none"/>
        </w:rPr>
        <w:t>和送达</w:t>
      </w:r>
      <w:bookmarkEnd w:id="220"/>
      <w:bookmarkEnd w:id="221"/>
      <w:bookmarkEnd w:id="222"/>
      <w:bookmarkEnd w:id="223"/>
      <w:bookmarkEnd w:id="224"/>
    </w:p>
    <w:p>
      <w:pPr>
        <w:spacing w:line="560" w:lineRule="exact"/>
        <w:ind w:firstLine="480" w:firstLineChars="200"/>
        <w:rPr>
          <w:rFonts w:hint="eastAsia" w:asciiTheme="minorEastAsia" w:hAnsiTheme="minorEastAsia" w:eastAsiaTheme="minorEastAsia" w:cstheme="minorEastAsia"/>
          <w:color w:val="auto"/>
          <w:sz w:val="24"/>
          <w:highlight w:val="none"/>
        </w:rPr>
      </w:pPr>
      <w:bookmarkStart w:id="225" w:name="_Toc7073"/>
      <w:bookmarkStart w:id="226" w:name="_Toc29220"/>
      <w:bookmarkStart w:id="227" w:name="_Toc487900372"/>
      <w:bookmarkStart w:id="228" w:name="_Toc259093691"/>
      <w:bookmarkStart w:id="229" w:name="_Toc279701262"/>
      <w:r>
        <w:rPr>
          <w:rFonts w:hint="eastAsia" w:asciiTheme="minorEastAsia" w:hAnsiTheme="minorEastAsia" w:eastAsiaTheme="minorEastAsia" w:cstheme="minorEastAsia"/>
          <w:color w:val="auto"/>
          <w:sz w:val="24"/>
          <w:highlight w:val="none"/>
        </w:rPr>
        <w:t>2.16.1 任何一方因履行合同而以合同第一部分尾部所列明的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发出的所有通知、文件、材料，均视为已向对方当事人送达；任何一方变更上述送达方式或者地址的，应于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个工作日内书面通知对方当事人，在对方当事人收到有关变更通知之前，变更前的约定送达方式或者地址仍视为有效。</w:t>
      </w:r>
      <w:bookmarkEnd w:id="225"/>
      <w:bookmarkEnd w:id="226"/>
    </w:p>
    <w:p>
      <w:pPr>
        <w:spacing w:line="560" w:lineRule="exact"/>
        <w:ind w:firstLine="480" w:firstLineChars="200"/>
        <w:rPr>
          <w:rFonts w:hint="eastAsia" w:asciiTheme="minorEastAsia" w:hAnsiTheme="minorEastAsia" w:eastAsiaTheme="minorEastAsia" w:cstheme="minorEastAsia"/>
          <w:color w:val="auto"/>
          <w:sz w:val="24"/>
          <w:highlight w:val="none"/>
        </w:rPr>
      </w:pPr>
      <w:bookmarkStart w:id="230" w:name="_Toc18401"/>
      <w:bookmarkStart w:id="231" w:name="_Toc27674"/>
      <w:r>
        <w:rPr>
          <w:rFonts w:hint="eastAsia" w:asciiTheme="minorEastAsia" w:hAnsiTheme="minorEastAsia" w:eastAsiaTheme="minorEastAsia" w:cstheme="minorEastAsia"/>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230"/>
      <w:bookmarkEnd w:id="231"/>
    </w:p>
    <w:bookmarkEnd w:id="227"/>
    <w:bookmarkEnd w:id="228"/>
    <w:bookmarkEnd w:id="229"/>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232" w:name="_Toc12254"/>
      <w:bookmarkStart w:id="233" w:name="_Toc279701263"/>
      <w:bookmarkStart w:id="234" w:name="_Toc20808"/>
      <w:bookmarkStart w:id="235" w:name="_Toc5063"/>
      <w:bookmarkStart w:id="236" w:name="_Toc28906"/>
      <w:bookmarkStart w:id="237" w:name="_Toc487900373"/>
      <w:bookmarkStart w:id="238" w:name="_Toc259093692"/>
      <w:bookmarkStart w:id="239" w:name="_Toc27644"/>
      <w:r>
        <w:rPr>
          <w:rFonts w:hint="eastAsia" w:asciiTheme="minorEastAsia" w:hAnsiTheme="minorEastAsia" w:eastAsiaTheme="minorEastAsia" w:cstheme="minorEastAsia"/>
          <w:b/>
          <w:color w:val="auto"/>
          <w:sz w:val="24"/>
          <w:highlight w:val="none"/>
        </w:rPr>
        <w:t>2.17 合同使用的文字和适用的法律</w:t>
      </w:r>
      <w:bookmarkEnd w:id="232"/>
      <w:bookmarkEnd w:id="233"/>
      <w:bookmarkEnd w:id="234"/>
      <w:bookmarkEnd w:id="235"/>
      <w:bookmarkEnd w:id="236"/>
      <w:bookmarkEnd w:id="237"/>
      <w:bookmarkEnd w:id="238"/>
      <w:bookmarkEnd w:id="239"/>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2.17.1 合同使用汉语书就、变更和解释；</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2.17.2 合同适用中华人民共和国法律。</w:t>
      </w:r>
    </w:p>
    <w:p>
      <w:pPr>
        <w:spacing w:line="560" w:lineRule="exact"/>
        <w:ind w:firstLine="482" w:firstLineChars="200"/>
        <w:outlineLvl w:val="0"/>
        <w:rPr>
          <w:rFonts w:hint="eastAsia" w:asciiTheme="minorEastAsia" w:hAnsiTheme="minorEastAsia" w:eastAsiaTheme="minorEastAsia" w:cstheme="minorEastAsia"/>
          <w:b/>
          <w:color w:val="auto"/>
          <w:sz w:val="24"/>
          <w:highlight w:val="none"/>
        </w:rPr>
      </w:pPr>
      <w:bookmarkStart w:id="240" w:name="_Toc259093693"/>
      <w:bookmarkStart w:id="241" w:name="_Toc1492"/>
      <w:bookmarkStart w:id="242" w:name="_Toc22266"/>
      <w:bookmarkStart w:id="243" w:name="_Toc30096"/>
      <w:bookmarkStart w:id="244" w:name="_Toc279701264"/>
      <w:bookmarkStart w:id="245" w:name="_Toc27127"/>
      <w:bookmarkStart w:id="246" w:name="_Toc27403"/>
      <w:bookmarkStart w:id="247" w:name="_Toc487900374"/>
      <w:r>
        <w:rPr>
          <w:rFonts w:hint="eastAsia" w:asciiTheme="minorEastAsia" w:hAnsiTheme="minorEastAsia" w:eastAsiaTheme="minorEastAsia" w:cstheme="minorEastAsia"/>
          <w:b/>
          <w:color w:val="auto"/>
          <w:sz w:val="24"/>
          <w:highlight w:val="none"/>
        </w:rPr>
        <w:t>2.18 履约保证金</w:t>
      </w:r>
      <w:bookmarkEnd w:id="240"/>
      <w:bookmarkEnd w:id="241"/>
      <w:bookmarkEnd w:id="242"/>
      <w:bookmarkEnd w:id="243"/>
      <w:bookmarkEnd w:id="244"/>
      <w:bookmarkEnd w:id="245"/>
      <w:bookmarkEnd w:id="246"/>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2.18.1 采购文件要求乙方提交履约保证金的，乙方应按</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约定的方式，以支票、汇票、本票或者金融机构、担保机构出具的保函等非现金形式，提交不超过合同价10%的履约保证金；</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2.18.2 履约保证金在</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约定期间内不予退还或者应完全有效，前述约定期间届满之日起</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个工作日内，甲方应将履约保证金退还乙方；</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247"/>
    <w:p>
      <w:pPr>
        <w:spacing w:line="560" w:lineRule="exact"/>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2.19 合同份数</w:t>
      </w:r>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合同份数按</w:t>
      </w:r>
      <w:r>
        <w:rPr>
          <w:rFonts w:hint="eastAsia" w:asciiTheme="minorEastAsia" w:hAnsiTheme="minorEastAsia" w:eastAsiaTheme="minorEastAsia" w:cstheme="minorEastAsia"/>
          <w:b/>
          <w:i/>
          <w:color w:val="auto"/>
          <w:sz w:val="24"/>
          <w:highlight w:val="none"/>
          <w:u w:val="single"/>
        </w:rPr>
        <w:t>合同专用条款</w:t>
      </w:r>
      <w:r>
        <w:rPr>
          <w:rFonts w:hint="eastAsia" w:asciiTheme="minorEastAsia" w:hAnsiTheme="minorEastAsia" w:eastAsiaTheme="minorEastAsia" w:cstheme="minorEastAsia"/>
          <w:color w:val="auto"/>
          <w:sz w:val="24"/>
          <w:highlight w:val="none"/>
        </w:rPr>
        <w:t>规定，每份均具有同等法律效力。</w:t>
      </w:r>
    </w:p>
    <w:p>
      <w:pPr>
        <w:pStyle w:val="92"/>
        <w:spacing w:line="560" w:lineRule="exact"/>
        <w:ind w:firstLine="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zCs w:val="24"/>
          <w:highlight w:val="none"/>
        </w:rPr>
        <w:br w:type="page"/>
      </w:r>
      <w:bookmarkStart w:id="248" w:name="_Toc331685784"/>
      <w:r>
        <w:rPr>
          <w:rFonts w:hint="eastAsia" w:asciiTheme="minorEastAsia" w:hAnsiTheme="minorEastAsia" w:eastAsiaTheme="minorEastAsia" w:cstheme="minorEastAsia"/>
          <w:b/>
          <w:color w:val="auto"/>
          <w:szCs w:val="24"/>
          <w:highlight w:val="none"/>
        </w:rPr>
        <w:t>第三部分  合同专用条款</w:t>
      </w:r>
      <w:bookmarkEnd w:id="248"/>
    </w:p>
    <w:p>
      <w:pPr>
        <w:spacing w:line="56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pPr>
              <w:spacing w:line="560" w:lineRule="exac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条款号</w:t>
            </w:r>
          </w:p>
        </w:tc>
        <w:tc>
          <w:tcPr>
            <w:tcW w:w="7633" w:type="dxa"/>
            <w:vAlign w:val="center"/>
          </w:tcPr>
          <w:p>
            <w:pPr>
              <w:spacing w:line="560" w:lineRule="exac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560" w:lineRule="exact"/>
              <w:rPr>
                <w:rFonts w:hint="eastAsia" w:asciiTheme="minorEastAsia" w:hAnsiTheme="minorEastAsia" w:eastAsiaTheme="minorEastAsia" w:cstheme="minorEastAsia"/>
                <w:color w:val="auto"/>
                <w:sz w:val="24"/>
                <w:highlight w:val="none"/>
              </w:rPr>
            </w:pPr>
          </w:p>
        </w:tc>
        <w:tc>
          <w:tcPr>
            <w:tcW w:w="7633" w:type="dxa"/>
            <w:vAlign w:val="center"/>
          </w:tcPr>
          <w:p>
            <w:pPr>
              <w:spacing w:line="560" w:lineRule="exact"/>
              <w:rPr>
                <w:rFonts w:hint="eastAsia" w:asciiTheme="minorEastAsia" w:hAnsiTheme="minorEastAsia" w:eastAsiaTheme="minorEastAsia" w:cstheme="minorEastAsia"/>
                <w:color w:val="auto"/>
                <w:sz w:val="24"/>
                <w:highlight w:val="none"/>
              </w:rPr>
            </w:pPr>
          </w:p>
        </w:tc>
      </w:tr>
    </w:tbl>
    <w:p>
      <w:pPr>
        <w:spacing w:after="156" w:line="560" w:lineRule="exact"/>
        <w:ind w:firstLine="480"/>
        <w:rPr>
          <w:rFonts w:hint="eastAsia" w:asciiTheme="minorEastAsia" w:hAnsiTheme="minorEastAsia" w:eastAsiaTheme="minorEastAsia" w:cstheme="minorEastAsia"/>
          <w:color w:val="auto"/>
          <w:highlight w:val="none"/>
        </w:rPr>
      </w:pPr>
    </w:p>
    <w:p>
      <w:pPr>
        <w:pStyle w:val="5"/>
        <w:spacing w:before="0" w:line="240" w:lineRule="atLeast"/>
        <w:ind w:left="1080" w:leftChars="257" w:hanging="540"/>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color w:val="auto"/>
          <w:highlight w:val="none"/>
        </w:rPr>
      </w:pPr>
    </w:p>
    <w:p>
      <w:pPr>
        <w:spacing w:line="600" w:lineRule="exact"/>
        <w:rPr>
          <w:rFonts w:hint="eastAsia" w:asciiTheme="minorEastAsia" w:hAnsiTheme="minorEastAsia" w:eastAsiaTheme="minorEastAsia" w:cstheme="minorEastAsia"/>
          <w:color w:val="auto"/>
          <w:sz w:val="24"/>
          <w:highlight w:val="none"/>
          <w:lang w:val="zh-CN"/>
        </w:rPr>
      </w:pPr>
    </w:p>
    <w:p>
      <w:pPr>
        <w:pStyle w:val="16"/>
        <w:rPr>
          <w:rFonts w:hint="eastAsia" w:asciiTheme="minorEastAsia" w:hAnsiTheme="minorEastAsia" w:eastAsiaTheme="minorEastAsia" w:cstheme="minorEastAsia"/>
          <w:color w:val="auto"/>
          <w:sz w:val="24"/>
          <w:highlight w:val="none"/>
          <w:lang w:val="zh-CN"/>
        </w:rPr>
      </w:pPr>
    </w:p>
    <w:p>
      <w:pPr>
        <w:pStyle w:val="16"/>
        <w:rPr>
          <w:rFonts w:hint="eastAsia" w:asciiTheme="minorEastAsia" w:hAnsiTheme="minorEastAsia" w:eastAsiaTheme="minorEastAsia" w:cstheme="minorEastAsia"/>
          <w:color w:val="auto"/>
          <w:sz w:val="24"/>
          <w:highlight w:val="none"/>
          <w:lang w:val="zh-CN"/>
        </w:rPr>
      </w:pPr>
    </w:p>
    <w:p>
      <w:pPr>
        <w:pStyle w:val="16"/>
        <w:rPr>
          <w:rFonts w:hint="eastAsia" w:asciiTheme="minorEastAsia" w:hAnsiTheme="minorEastAsia" w:eastAsiaTheme="minorEastAsia" w:cstheme="minorEastAsia"/>
          <w:color w:val="auto"/>
          <w:sz w:val="24"/>
          <w:highlight w:val="none"/>
          <w:lang w:val="zh-CN"/>
        </w:rPr>
      </w:pPr>
    </w:p>
    <w:p>
      <w:pPr>
        <w:pStyle w:val="16"/>
        <w:rPr>
          <w:rFonts w:hint="eastAsia" w:asciiTheme="minorEastAsia" w:hAnsiTheme="minorEastAsia" w:eastAsiaTheme="minorEastAsia" w:cstheme="minorEastAsia"/>
          <w:color w:val="auto"/>
          <w:sz w:val="24"/>
          <w:highlight w:val="none"/>
          <w:lang w:val="zh-CN"/>
        </w:rPr>
      </w:pPr>
    </w:p>
    <w:p>
      <w:pPr>
        <w:pStyle w:val="16"/>
        <w:rPr>
          <w:rFonts w:hint="eastAsia" w:asciiTheme="minorEastAsia" w:hAnsiTheme="minorEastAsia" w:eastAsiaTheme="minorEastAsia" w:cstheme="minorEastAsia"/>
          <w:color w:val="auto"/>
          <w:sz w:val="24"/>
          <w:highlight w:val="none"/>
          <w:lang w:val="zh-CN"/>
        </w:rPr>
      </w:pPr>
    </w:p>
    <w:p>
      <w:pPr>
        <w:rPr>
          <w:rFonts w:hint="eastAsia" w:ascii="宋体" w:hAnsi="宋体" w:eastAsia="宋体" w:cs="宋体"/>
          <w:color w:val="auto"/>
          <w:sz w:val="24"/>
          <w:szCs w:val="24"/>
          <w:highlight w:val="none"/>
        </w:rPr>
      </w:pPr>
    </w:p>
    <w:p>
      <w:pPr>
        <w:pStyle w:val="2"/>
        <w:rPr>
          <w:rFonts w:hint="eastAsia" w:ascii="宋体" w:hAnsi="宋体" w:cs="宋体"/>
          <w:color w:val="auto"/>
          <w:highlight w:val="none"/>
        </w:rPr>
      </w:pPr>
    </w:p>
    <w:p>
      <w:pPr>
        <w:pStyle w:val="3"/>
        <w:keepNext/>
        <w:keepLines w:val="0"/>
        <w:pageBreakBefore w:val="0"/>
        <w:widowControl w:val="0"/>
        <w:numPr>
          <w:ilvl w:val="0"/>
          <w:numId w:val="17"/>
        </w:numPr>
        <w:kinsoku/>
        <w:wordWrap/>
        <w:overflowPunct/>
        <w:topLinePunct w:val="0"/>
        <w:autoSpaceDE/>
        <w:autoSpaceDN/>
        <w:bidi w:val="0"/>
        <w:adjustRightInd/>
        <w:snapToGrid/>
        <w:spacing w:after="100" w:afterAutospacing="1" w:line="440" w:lineRule="exact"/>
        <w:ind w:leftChars="0"/>
        <w:jc w:val="center"/>
        <w:textAlignment w:val="auto"/>
        <w:rPr>
          <w:rFonts w:hint="eastAsia" w:ascii="宋体" w:hAnsi="宋体" w:cs="宋体"/>
          <w:color w:val="auto"/>
          <w:sz w:val="36"/>
          <w:szCs w:val="36"/>
          <w:highlight w:val="none"/>
          <w:lang w:val="en-US" w:eastAsia="zh-CN"/>
        </w:rPr>
      </w:pPr>
      <w:r>
        <w:rPr>
          <w:rFonts w:hint="eastAsia" w:ascii="宋体" w:hAnsi="宋体" w:cs="宋体"/>
          <w:color w:val="auto"/>
          <w:sz w:val="36"/>
          <w:szCs w:val="36"/>
          <w:highlight w:val="none"/>
          <w:lang w:val="en-US" w:eastAsia="zh-CN"/>
        </w:rPr>
        <w:t>附件</w:t>
      </w:r>
      <w:bookmarkStart w:id="249" w:name="_Toc18271"/>
    </w:p>
    <w:p>
      <w:pPr>
        <w:pStyle w:val="60"/>
        <w:outlineLvl w:val="1"/>
        <w:rPr>
          <w:rFonts w:hint="eastAsia" w:ascii="宋体" w:hAnsi="宋体" w:eastAsia="宋体" w:cs="宋体"/>
          <w:color w:val="auto"/>
          <w:sz w:val="28"/>
          <w:szCs w:val="28"/>
          <w:highlight w:val="none"/>
        </w:rPr>
      </w:pPr>
      <w:bookmarkStart w:id="250" w:name="_Toc25635"/>
      <w:bookmarkStart w:id="251" w:name="_Toc27553"/>
      <w:bookmarkStart w:id="252" w:name="_Toc15441"/>
      <w:bookmarkStart w:id="253" w:name="_Toc4236"/>
      <w:r>
        <w:rPr>
          <w:rFonts w:hint="eastAsia" w:ascii="宋体" w:hAnsi="宋体" w:eastAsia="宋体" w:cs="宋体"/>
          <w:color w:val="auto"/>
          <w:sz w:val="28"/>
          <w:szCs w:val="28"/>
          <w:highlight w:val="none"/>
        </w:rPr>
        <w:t>一、投标文件封面</w:t>
      </w:r>
      <w:bookmarkEnd w:id="250"/>
      <w:bookmarkEnd w:id="251"/>
      <w:bookmarkEnd w:id="252"/>
      <w:bookmarkEnd w:id="253"/>
    </w:p>
    <w:p>
      <w:pPr>
        <w:pStyle w:val="55"/>
        <w:spacing w:line="360" w:lineRule="auto"/>
        <w:rPr>
          <w:rFonts w:hint="eastAsia" w:ascii="宋体" w:hAnsi="宋体" w:eastAsia="宋体" w:cs="宋体"/>
          <w:b/>
          <w:color w:val="auto"/>
          <w:sz w:val="24"/>
          <w:szCs w:val="24"/>
          <w:highlight w:val="none"/>
        </w:rPr>
      </w:pPr>
    </w:p>
    <w:p>
      <w:pPr>
        <w:pStyle w:val="51"/>
        <w:spacing w:line="360" w:lineRule="auto"/>
        <w:ind w:firstLine="480" w:firstLineChars="200"/>
        <w:rPr>
          <w:rFonts w:hint="eastAsia" w:ascii="宋体" w:hAnsi="宋体" w:eastAsia="宋体" w:cs="宋体"/>
          <w:color w:val="auto"/>
          <w:sz w:val="24"/>
          <w:szCs w:val="24"/>
          <w:highlight w:val="none"/>
        </w:rPr>
      </w:pPr>
    </w:p>
    <w:p>
      <w:pPr>
        <w:pStyle w:val="55"/>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ind w:firstLine="1440" w:firstLineChars="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项目编号</w:t>
      </w:r>
      <w:r>
        <w:rPr>
          <w:rFonts w:hint="eastAsia" w:ascii="宋体" w:hAnsi="宋体" w:eastAsia="宋体" w:cs="宋体"/>
          <w:color w:val="auto"/>
          <w:sz w:val="24"/>
          <w:szCs w:val="24"/>
          <w:highlight w:val="none"/>
        </w:rPr>
        <w:t>）</w:t>
      </w: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jc w:val="center"/>
        <w:rPr>
          <w:rFonts w:hint="eastAsia" w:ascii="宋体" w:hAnsi="宋体" w:eastAsia="宋体" w:cs="宋体"/>
          <w:b/>
          <w:color w:val="auto"/>
          <w:sz w:val="40"/>
          <w:szCs w:val="40"/>
          <w:highlight w:val="none"/>
        </w:rPr>
      </w:pPr>
      <w:r>
        <w:rPr>
          <w:rFonts w:hint="eastAsia" w:ascii="宋体" w:hAnsi="宋体" w:eastAsia="宋体" w:cs="宋体"/>
          <w:b/>
          <w:color w:val="auto"/>
          <w:sz w:val="40"/>
          <w:szCs w:val="40"/>
          <w:highlight w:val="none"/>
        </w:rPr>
        <w:t>投标文件</w:t>
      </w: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jc w:val="center"/>
        <w:rPr>
          <w:rFonts w:hint="eastAsia" w:ascii="宋体" w:hAnsi="宋体" w:eastAsia="宋体" w:cs="宋体"/>
          <w:b/>
          <w:color w:val="auto"/>
          <w:sz w:val="24"/>
          <w:szCs w:val="24"/>
          <w:highlight w:val="none"/>
        </w:rPr>
      </w:pPr>
    </w:p>
    <w:p>
      <w:pPr>
        <w:pStyle w:val="55"/>
        <w:spacing w:line="360" w:lineRule="auto"/>
        <w:jc w:val="center"/>
        <w:rPr>
          <w:rFonts w:hint="eastAsia" w:ascii="宋体" w:hAnsi="宋体" w:eastAsia="宋体" w:cs="宋体"/>
          <w:b/>
          <w:color w:val="auto"/>
          <w:sz w:val="24"/>
          <w:szCs w:val="24"/>
          <w:highlight w:val="none"/>
        </w:rPr>
      </w:pPr>
    </w:p>
    <w:p>
      <w:pPr>
        <w:pStyle w:val="55"/>
        <w:spacing w:line="360" w:lineRule="auto"/>
        <w:jc w:val="center"/>
        <w:rPr>
          <w:rFonts w:hint="eastAsia" w:ascii="宋体" w:hAnsi="宋体" w:eastAsia="宋体" w:cs="宋体"/>
          <w:b/>
          <w:color w:val="auto"/>
          <w:sz w:val="24"/>
          <w:szCs w:val="24"/>
          <w:highlight w:val="none"/>
        </w:rPr>
      </w:pPr>
    </w:p>
    <w:p>
      <w:pPr>
        <w:pStyle w:val="55"/>
        <w:spacing w:line="360" w:lineRule="auto"/>
        <w:jc w:val="center"/>
        <w:rPr>
          <w:rFonts w:hint="eastAsia" w:ascii="宋体" w:hAnsi="宋体" w:eastAsia="宋体" w:cs="宋体"/>
          <w:b/>
          <w:color w:val="auto"/>
          <w:sz w:val="24"/>
          <w:szCs w:val="24"/>
          <w:highlight w:val="none"/>
        </w:rPr>
      </w:pPr>
    </w:p>
    <w:p>
      <w:pPr>
        <w:pStyle w:val="55"/>
        <w:spacing w:line="360" w:lineRule="auto"/>
        <w:jc w:val="center"/>
        <w:rPr>
          <w:rFonts w:hint="eastAsia" w:ascii="宋体" w:hAnsi="宋体" w:eastAsia="宋体" w:cs="宋体"/>
          <w:b/>
          <w:color w:val="auto"/>
          <w:sz w:val="24"/>
          <w:szCs w:val="24"/>
          <w:highlight w:val="none"/>
        </w:rPr>
      </w:pPr>
    </w:p>
    <w:p>
      <w:pPr>
        <w:pStyle w:val="55"/>
        <w:spacing w:line="360" w:lineRule="auto"/>
        <w:jc w:val="center"/>
        <w:rPr>
          <w:rFonts w:hint="eastAsia" w:ascii="宋体" w:hAnsi="宋体" w:eastAsia="宋体" w:cs="宋体"/>
          <w:b/>
          <w:color w:val="auto"/>
          <w:sz w:val="24"/>
          <w:szCs w:val="24"/>
          <w:highlight w:val="none"/>
        </w:rPr>
      </w:pPr>
    </w:p>
    <w:p>
      <w:pPr>
        <w:pStyle w:val="55"/>
        <w:spacing w:line="360" w:lineRule="auto"/>
        <w:jc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（电子签章）</w:t>
      </w:r>
    </w:p>
    <w:p>
      <w:pPr>
        <w:pStyle w:val="55"/>
        <w:spacing w:line="360" w:lineRule="auto"/>
        <w:ind w:firstLine="1920" w:firstLineChars="8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 xml:space="preserve">（电子签名） </w:t>
      </w:r>
    </w:p>
    <w:p>
      <w:pPr>
        <w:pStyle w:val="55"/>
        <w:spacing w:line="360" w:lineRule="auto"/>
        <w:ind w:firstLine="1920" w:firstLineChars="80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（年/月/日）</w:t>
      </w: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jc w:val="center"/>
        <w:rPr>
          <w:rFonts w:hint="eastAsia" w:ascii="宋体" w:hAnsi="宋体" w:eastAsia="宋体" w:cs="宋体"/>
          <w:color w:val="auto"/>
          <w:sz w:val="24"/>
          <w:szCs w:val="24"/>
          <w:highlight w:val="none"/>
        </w:rPr>
      </w:pPr>
    </w:p>
    <w:p>
      <w:pPr>
        <w:pStyle w:val="55"/>
        <w:spacing w:line="360" w:lineRule="auto"/>
        <w:jc w:val="both"/>
        <w:rPr>
          <w:rFonts w:hint="eastAsia" w:ascii="宋体" w:hAnsi="宋体" w:eastAsia="宋体" w:cs="宋体"/>
          <w:color w:val="auto"/>
          <w:sz w:val="24"/>
          <w:szCs w:val="24"/>
          <w:highlight w:val="none"/>
        </w:rPr>
      </w:pPr>
    </w:p>
    <w:p>
      <w:pPr>
        <w:pStyle w:val="51"/>
        <w:spacing w:line="360" w:lineRule="auto"/>
        <w:ind w:left="-210" w:leftChars="-100" w:firstLine="0" w:firstLineChars="0"/>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目  录</w:t>
      </w:r>
    </w:p>
    <w:p>
      <w:pPr>
        <w:pStyle w:val="51"/>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bookmarkStart w:id="254" w:name="_Toc32418"/>
      <w:bookmarkStart w:id="255" w:name="_Toc16466"/>
      <w:bookmarkStart w:id="256" w:name="_Toc32638"/>
      <w:bookmarkStart w:id="257" w:name="_Toc3150"/>
      <w:bookmarkStart w:id="258" w:name="_Toc22093"/>
      <w:r>
        <w:rPr>
          <w:rFonts w:hint="eastAsia" w:ascii="宋体" w:hAnsi="宋体" w:eastAsia="宋体" w:cs="宋体"/>
          <w:b w:val="0"/>
          <w:bCs w:val="0"/>
          <w:color w:val="auto"/>
          <w:sz w:val="24"/>
          <w:szCs w:val="24"/>
          <w:highlight w:val="none"/>
        </w:rPr>
        <w:t>投标文件封面</w:t>
      </w:r>
      <w:bookmarkEnd w:id="254"/>
      <w:bookmarkEnd w:id="255"/>
      <w:bookmarkEnd w:id="256"/>
      <w:bookmarkEnd w:id="257"/>
      <w:bookmarkEnd w:id="258"/>
    </w:p>
    <w:p>
      <w:pPr>
        <w:pStyle w:val="51"/>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资格审查材料</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eastAsia="zh-CN"/>
        </w:rPr>
      </w:pPr>
      <w:bookmarkStart w:id="259" w:name="_Toc5935"/>
      <w:bookmarkStart w:id="260" w:name="_Toc29160"/>
      <w:bookmarkStart w:id="261" w:name="_Toc19682"/>
      <w:bookmarkStart w:id="262" w:name="_Toc19200"/>
      <w:bookmarkStart w:id="263" w:name="_Toc9085"/>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营业执照、组织机构代码证、税务登记证</w:t>
      </w:r>
      <w:bookmarkEnd w:id="259"/>
      <w:bookmarkEnd w:id="260"/>
      <w:bookmarkEnd w:id="261"/>
      <w:bookmarkEnd w:id="262"/>
      <w:bookmarkEnd w:id="263"/>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《民用无人驾驶航空器经营许可证》</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bookmarkStart w:id="264" w:name="_Toc10203"/>
      <w:bookmarkStart w:id="265" w:name="_Toc7351"/>
      <w:bookmarkStart w:id="266" w:name="_Toc10131"/>
      <w:bookmarkStart w:id="267" w:name="_Toc10042"/>
      <w:bookmarkStart w:id="268" w:name="_Toc6730"/>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法定代表人身份证明及授权委托书</w:t>
      </w:r>
      <w:bookmarkEnd w:id="264"/>
      <w:bookmarkEnd w:id="265"/>
      <w:bookmarkEnd w:id="266"/>
      <w:bookmarkEnd w:id="267"/>
      <w:bookmarkEnd w:id="268"/>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bookmarkStart w:id="269" w:name="_Toc16154"/>
      <w:bookmarkStart w:id="270" w:name="_Toc12269"/>
      <w:bookmarkStart w:id="271" w:name="_Toc19232"/>
      <w:bookmarkStart w:id="272" w:name="_Toc10746"/>
      <w:bookmarkStart w:id="273" w:name="_Toc19355"/>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投标保证金</w:t>
      </w:r>
      <w:bookmarkEnd w:id="269"/>
      <w:bookmarkEnd w:id="270"/>
      <w:bookmarkEnd w:id="271"/>
      <w:bookmarkEnd w:id="272"/>
      <w:bookmarkEnd w:id="273"/>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bookmarkStart w:id="274" w:name="_Toc16231"/>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投标单位</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反商业贿赂承诺书</w:t>
      </w:r>
      <w:bookmarkEnd w:id="274"/>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bookmarkStart w:id="275" w:name="_Toc17729"/>
      <w:bookmarkStart w:id="276" w:name="_Toc3184"/>
      <w:bookmarkStart w:id="277" w:name="_Toc27116"/>
      <w:bookmarkStart w:id="278" w:name="_Toc12883"/>
      <w:bookmarkStart w:id="279" w:name="_Toc27032"/>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中、小微企业声明函（中、小、微型企业产品价格需扣除的须提供）</w:t>
      </w:r>
      <w:bookmarkEnd w:id="275"/>
      <w:bookmarkEnd w:id="276"/>
      <w:bookmarkEnd w:id="277"/>
      <w:bookmarkEnd w:id="278"/>
      <w:bookmarkEnd w:id="279"/>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bookmarkStart w:id="280" w:name="_Toc62"/>
      <w:bookmarkStart w:id="281" w:name="_Toc12838"/>
      <w:bookmarkStart w:id="282" w:name="_Toc2408"/>
      <w:bookmarkStart w:id="283" w:name="_Toc18825"/>
      <w:bookmarkStart w:id="284" w:name="_Toc12824"/>
      <w:r>
        <w:rPr>
          <w:rFonts w:hint="eastAsia" w:ascii="宋体" w:hAnsi="宋体" w:eastAsia="宋体" w:cs="宋体"/>
          <w:b w:val="0"/>
          <w:bCs w:val="0"/>
          <w:color w:val="auto"/>
          <w:sz w:val="24"/>
          <w:szCs w:val="24"/>
          <w:highlight w:val="none"/>
          <w:lang w:val="en-US" w:eastAsia="zh-CN"/>
        </w:rPr>
        <w:t>6、</w:t>
      </w:r>
      <w:bookmarkEnd w:id="280"/>
      <w:bookmarkEnd w:id="281"/>
      <w:bookmarkEnd w:id="282"/>
      <w:bookmarkEnd w:id="283"/>
      <w:bookmarkEnd w:id="284"/>
      <w:r>
        <w:rPr>
          <w:rFonts w:hint="eastAsia" w:ascii="宋体" w:hAnsi="宋体" w:eastAsia="宋体" w:cs="宋体"/>
          <w:b w:val="0"/>
          <w:bCs w:val="0"/>
          <w:color w:val="auto"/>
          <w:sz w:val="24"/>
          <w:szCs w:val="24"/>
          <w:highlight w:val="none"/>
        </w:rPr>
        <w:t>不参与围标串标承诺书</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bookmarkStart w:id="285" w:name="_Toc22588"/>
      <w:bookmarkStart w:id="286" w:name="_Toc15517"/>
      <w:bookmarkStart w:id="287" w:name="_Toc15246"/>
      <w:bookmarkStart w:id="288" w:name="_Toc17604"/>
      <w:bookmarkStart w:id="289" w:name="_Toc20628"/>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《中华人民共和国政府采购法》第二十二条应当具备的条件</w:t>
      </w:r>
      <w:bookmarkEnd w:id="285"/>
      <w:bookmarkEnd w:id="286"/>
      <w:bookmarkEnd w:id="287"/>
      <w:bookmarkEnd w:id="288"/>
      <w:bookmarkEnd w:id="289"/>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bookmarkStart w:id="290" w:name="_Toc32005"/>
      <w:bookmarkStart w:id="291" w:name="_Toc18670"/>
      <w:bookmarkStart w:id="292" w:name="_Toc11506"/>
      <w:bookmarkStart w:id="293" w:name="_Toc26013"/>
      <w:bookmarkStart w:id="294" w:name="_Toc16246"/>
      <w:r>
        <w:rPr>
          <w:rFonts w:hint="eastAsia" w:ascii="宋体" w:hAnsi="宋体" w:eastAsia="宋体" w:cs="宋体"/>
          <w:b w:val="0"/>
          <w:bCs w:val="0"/>
          <w:color w:val="auto"/>
          <w:sz w:val="24"/>
          <w:szCs w:val="24"/>
          <w:highlight w:val="none"/>
          <w:lang w:val="en-US" w:eastAsia="zh-CN"/>
        </w:rPr>
        <w:t>8、</w:t>
      </w:r>
      <w:bookmarkEnd w:id="290"/>
      <w:bookmarkEnd w:id="291"/>
      <w:bookmarkEnd w:id="292"/>
      <w:bookmarkEnd w:id="293"/>
      <w:bookmarkEnd w:id="294"/>
      <w:r>
        <w:rPr>
          <w:rFonts w:hint="eastAsia" w:ascii="宋体" w:hAnsi="宋体" w:eastAsia="宋体" w:cs="宋体"/>
          <w:b w:val="0"/>
          <w:bCs w:val="0"/>
          <w:color w:val="auto"/>
          <w:sz w:val="24"/>
          <w:szCs w:val="24"/>
          <w:highlight w:val="none"/>
          <w:lang w:val="en-US" w:eastAsia="zh-CN"/>
        </w:rPr>
        <w:t>投标人认为需提供的证明文件及其它资料</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三、商务文件</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bookmarkStart w:id="295" w:name="_Toc24277"/>
      <w:bookmarkStart w:id="296" w:name="_Toc30655"/>
      <w:bookmarkStart w:id="297" w:name="_Toc25397"/>
      <w:bookmarkStart w:id="298" w:name="_Toc20142"/>
      <w:bookmarkStart w:id="299" w:name="_Toc3000"/>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投标函</w:t>
      </w:r>
      <w:bookmarkEnd w:id="295"/>
      <w:bookmarkEnd w:id="296"/>
      <w:bookmarkEnd w:id="297"/>
      <w:bookmarkEnd w:id="298"/>
      <w:bookmarkEnd w:id="299"/>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bookmarkStart w:id="300" w:name="_Toc18269"/>
      <w:bookmarkStart w:id="301" w:name="_Toc20739"/>
      <w:bookmarkStart w:id="302" w:name="_Toc12387"/>
      <w:bookmarkStart w:id="303" w:name="_Toc1460"/>
      <w:bookmarkStart w:id="304" w:name="_Toc31011"/>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开标一览表</w:t>
      </w:r>
      <w:bookmarkEnd w:id="300"/>
      <w:bookmarkEnd w:id="301"/>
      <w:bookmarkEnd w:id="302"/>
      <w:bookmarkEnd w:id="303"/>
      <w:bookmarkEnd w:id="304"/>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bookmarkStart w:id="305" w:name="_Toc20377"/>
      <w:bookmarkStart w:id="306" w:name="_Toc6305"/>
      <w:bookmarkStart w:id="307" w:name="_Toc25816"/>
      <w:bookmarkStart w:id="308" w:name="_Toc24425"/>
      <w:bookmarkStart w:id="309" w:name="_Toc30967"/>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w:t>
      </w:r>
      <w:bookmarkEnd w:id="305"/>
      <w:bookmarkEnd w:id="306"/>
      <w:bookmarkEnd w:id="307"/>
      <w:bookmarkEnd w:id="308"/>
      <w:bookmarkEnd w:id="309"/>
      <w:r>
        <w:rPr>
          <w:rFonts w:hint="eastAsia" w:ascii="宋体" w:hAnsi="宋体" w:eastAsia="宋体" w:cs="宋体"/>
          <w:b w:val="0"/>
          <w:bCs w:val="0"/>
          <w:color w:val="auto"/>
          <w:sz w:val="24"/>
          <w:szCs w:val="24"/>
          <w:highlight w:val="none"/>
          <w:lang w:val="en-US" w:eastAsia="zh-CN"/>
        </w:rPr>
        <w:t>企业综合实力</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eastAsia="zh-CN"/>
        </w:rPr>
        <w:t>、近三年经营业绩</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、投标人认为需提供的证明文件及其它资料</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四、技术文件</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项目实施</w:t>
      </w:r>
      <w:r>
        <w:rPr>
          <w:rFonts w:hint="eastAsia" w:ascii="宋体" w:hAnsi="宋体" w:eastAsia="宋体" w:cs="宋体"/>
          <w:b w:val="0"/>
          <w:bCs w:val="0"/>
          <w:color w:val="auto"/>
          <w:sz w:val="24"/>
          <w:szCs w:val="24"/>
          <w:highlight w:val="none"/>
          <w:lang w:val="en-US" w:eastAsia="zh-CN"/>
        </w:rPr>
        <w:t>方案</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highlight w:val="none"/>
          <w:lang w:val="en-US" w:eastAsia="zh-CN"/>
        </w:rPr>
      </w:pPr>
      <w:r>
        <w:rPr>
          <w:rFonts w:hint="eastAsia" w:ascii="宋体" w:hAnsi="宋体" w:cs="宋体"/>
          <w:b w:val="0"/>
          <w:bCs w:val="0"/>
          <w:color w:val="auto"/>
          <w:sz w:val="24"/>
          <w:szCs w:val="24"/>
          <w:highlight w:val="none"/>
          <w:lang w:val="en-US" w:eastAsia="zh-CN"/>
        </w:rPr>
        <w:t>2、项目技术参数文件</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服务承诺及维保</w:t>
      </w:r>
      <w:r>
        <w:rPr>
          <w:rFonts w:hint="eastAsia" w:ascii="宋体" w:hAnsi="宋体" w:eastAsia="宋体" w:cs="宋体"/>
          <w:b w:val="0"/>
          <w:bCs w:val="0"/>
          <w:color w:val="auto"/>
          <w:sz w:val="24"/>
          <w:szCs w:val="24"/>
          <w:highlight w:val="none"/>
          <w:lang w:val="en-US" w:eastAsia="zh-CN"/>
        </w:rPr>
        <w:t>方案</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eastAsia="zh-CN"/>
        </w:rPr>
        <w:t>、应急</w:t>
      </w:r>
      <w:r>
        <w:rPr>
          <w:rFonts w:hint="eastAsia" w:ascii="宋体" w:hAnsi="宋体" w:cs="宋体"/>
          <w:b w:val="0"/>
          <w:bCs w:val="0"/>
          <w:color w:val="auto"/>
          <w:sz w:val="24"/>
          <w:szCs w:val="24"/>
          <w:highlight w:val="none"/>
          <w:lang w:val="en-US" w:eastAsia="zh-CN"/>
        </w:rPr>
        <w:t>处理</w:t>
      </w:r>
      <w:r>
        <w:rPr>
          <w:rFonts w:hint="eastAsia" w:ascii="宋体" w:hAnsi="宋体" w:eastAsia="宋体" w:cs="宋体"/>
          <w:b w:val="0"/>
          <w:bCs w:val="0"/>
          <w:color w:val="auto"/>
          <w:sz w:val="24"/>
          <w:szCs w:val="24"/>
          <w:highlight w:val="none"/>
          <w:lang w:val="en-US" w:eastAsia="zh-CN"/>
        </w:rPr>
        <w:t>方案</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拟投入设备清单</w:t>
      </w:r>
    </w:p>
    <w:p>
      <w:pPr>
        <w:pStyle w:val="52"/>
        <w:pageBreakBefore w:val="0"/>
        <w:widowControl w:val="0"/>
        <w:kinsoku/>
        <w:wordWrap/>
        <w:overflowPunct/>
        <w:topLinePunct w:val="0"/>
        <w:autoSpaceDE/>
        <w:autoSpaceDN/>
        <w:bidi w:val="0"/>
        <w:adjustRightInd/>
        <w:snapToGrid/>
        <w:spacing w:line="440" w:lineRule="exact"/>
        <w:ind w:firstLine="480" w:firstLineChars="200"/>
        <w:textAlignment w:val="auto"/>
        <w:rPr>
          <w:rStyle w:val="38"/>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6、</w:t>
      </w:r>
      <w:r>
        <w:rPr>
          <w:rStyle w:val="38"/>
          <w:rFonts w:hint="eastAsia" w:ascii="宋体" w:hAnsi="宋体" w:eastAsia="宋体" w:cs="宋体"/>
          <w:b w:val="0"/>
          <w:bCs w:val="0"/>
          <w:color w:val="auto"/>
          <w:sz w:val="24"/>
          <w:szCs w:val="24"/>
          <w:highlight w:val="none"/>
        </w:rPr>
        <w:t>技术偏离表</w:t>
      </w:r>
    </w:p>
    <w:p>
      <w:pPr>
        <w:pStyle w:val="52"/>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rPr>
        <w:t>商务条款偏离表</w:t>
      </w:r>
    </w:p>
    <w:p>
      <w:pPr>
        <w:pStyle w:val="52"/>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eastAsia="zh-CN"/>
        </w:rPr>
        <w:t>、项目负责人简历表及拟投入本项目主要成员</w:t>
      </w:r>
    </w:p>
    <w:p>
      <w:pPr>
        <w:pStyle w:val="52"/>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9、无人机安全飞行承诺书</w:t>
      </w:r>
    </w:p>
    <w:p>
      <w:pPr>
        <w:pStyle w:val="51"/>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、投标人认为需提供的证明文件及其它资料</w:t>
      </w:r>
    </w:p>
    <w:p>
      <w:pPr>
        <w:pStyle w:val="61"/>
        <w:jc w:val="center"/>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310" w:name="_Toc28720"/>
      <w:bookmarkStart w:id="311" w:name="_Toc29976"/>
      <w:bookmarkStart w:id="312" w:name="_Toc2623"/>
      <w:bookmarkStart w:id="313" w:name="_Toc7857"/>
      <w:r>
        <w:rPr>
          <w:rFonts w:hint="eastAsia" w:ascii="宋体" w:hAnsi="宋体" w:eastAsia="宋体" w:cs="宋体"/>
          <w:color w:val="auto"/>
          <w:sz w:val="28"/>
          <w:szCs w:val="28"/>
          <w:highlight w:val="none"/>
        </w:rPr>
        <w:t>二、资格审查材料</w:t>
      </w:r>
      <w:bookmarkEnd w:id="310"/>
      <w:bookmarkEnd w:id="311"/>
      <w:bookmarkEnd w:id="312"/>
      <w:bookmarkEnd w:id="313"/>
    </w:p>
    <w:p>
      <w:pPr>
        <w:pStyle w:val="62"/>
        <w:outlineLvl w:val="2"/>
        <w:rPr>
          <w:rFonts w:hint="eastAsia" w:ascii="宋体" w:hAnsi="宋体" w:eastAsia="宋体" w:cs="宋体"/>
          <w:b w:val="0"/>
          <w:bCs/>
          <w:color w:val="auto"/>
          <w:sz w:val="24"/>
          <w:szCs w:val="24"/>
          <w:highlight w:val="none"/>
          <w:lang w:eastAsia="zh-CN"/>
        </w:rPr>
      </w:pPr>
      <w:bookmarkStart w:id="314" w:name="_Toc21290"/>
      <w:bookmarkStart w:id="315" w:name="_Toc11374"/>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营业执照、组织机构代码证、税务登记证</w:t>
      </w:r>
      <w:bookmarkEnd w:id="314"/>
      <w:bookmarkEnd w:id="315"/>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kern w:val="0"/>
          <w:sz w:val="24"/>
          <w:szCs w:val="24"/>
          <w:highlight w:val="none"/>
          <w:lang w:val="en-US" w:eastAsia="zh-CN" w:bidi="ar-SA"/>
        </w:rPr>
        <w:t>《民用无人驾驶航空器经营许可证》</w:t>
      </w:r>
    </w:p>
    <w:p>
      <w:pPr>
        <w:pStyle w:val="63"/>
        <w:ind w:left="0" w:firstLine="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说明：此处上传</w:t>
      </w:r>
      <w:r>
        <w:rPr>
          <w:rFonts w:hint="eastAsia" w:ascii="宋体" w:hAnsi="宋体" w:eastAsia="宋体" w:cs="宋体"/>
          <w:b w:val="0"/>
          <w:bCs/>
          <w:color w:val="auto"/>
          <w:kern w:val="0"/>
          <w:sz w:val="24"/>
          <w:szCs w:val="24"/>
          <w:highlight w:val="none"/>
          <w:lang w:val="en-US" w:eastAsia="zh-CN" w:bidi="ar"/>
        </w:rPr>
        <w:t>中国民用航空管理局发放的《民用无人驾驶航空器经营许可证》</w:t>
      </w:r>
      <w:r>
        <w:rPr>
          <w:rFonts w:hint="eastAsia" w:ascii="宋体" w:hAnsi="宋体" w:cs="宋体"/>
          <w:b w:val="0"/>
          <w:bCs/>
          <w:color w:val="auto"/>
          <w:kern w:val="0"/>
          <w:sz w:val="24"/>
          <w:szCs w:val="24"/>
          <w:highlight w:val="none"/>
          <w:lang w:val="en-US" w:eastAsia="zh-CN" w:bidi="ar"/>
        </w:rPr>
        <w:t>及</w:t>
      </w:r>
      <w:r>
        <w:rPr>
          <w:rFonts w:hint="eastAsia" w:ascii="宋体" w:hAnsi="宋体" w:eastAsia="宋体" w:cs="宋体"/>
          <w:b w:val="0"/>
          <w:bCs/>
          <w:color w:val="auto"/>
          <w:sz w:val="24"/>
          <w:szCs w:val="24"/>
          <w:highlight w:val="none"/>
        </w:rPr>
        <w:t>营业执照、组织机构代码证、税务登记证，如三证合一，只需要导入营业执照即可。</w:t>
      </w:r>
    </w:p>
    <w:p>
      <w:pPr>
        <w:numPr>
          <w:ilvl w:val="0"/>
          <w:numId w:val="0"/>
        </w:numP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br w:type="page"/>
      </w:r>
    </w:p>
    <w:p>
      <w:pPr>
        <w:pStyle w:val="64"/>
        <w:jc w:val="center"/>
        <w:outlineLvl w:val="1"/>
        <w:rPr>
          <w:rFonts w:hint="eastAsia" w:ascii="宋体" w:hAnsi="宋体" w:eastAsia="宋体" w:cs="宋体"/>
          <w:color w:val="auto"/>
          <w:sz w:val="24"/>
          <w:szCs w:val="24"/>
          <w:highlight w:val="none"/>
          <w:lang w:val="en-US" w:eastAsia="zh-CN"/>
        </w:rPr>
      </w:pPr>
      <w:bookmarkStart w:id="316" w:name="_Toc20627"/>
      <w:bookmarkStart w:id="317" w:name="_Toc32734"/>
      <w:bookmarkStart w:id="318" w:name="_Toc31884"/>
      <w:bookmarkStart w:id="319" w:name="_Toc30067"/>
    </w:p>
    <w:p>
      <w:pPr>
        <w:pStyle w:val="64"/>
        <w:jc w:val="center"/>
        <w:outlineLvl w:val="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法定代表人身份证明及授权委托书</w:t>
      </w:r>
      <w:bookmarkEnd w:id="316"/>
      <w:bookmarkEnd w:id="317"/>
      <w:bookmarkEnd w:id="318"/>
      <w:bookmarkEnd w:id="319"/>
      <w:bookmarkStart w:id="320" w:name="_Toc468535482"/>
    </w:p>
    <w:p>
      <w:pPr>
        <w:pStyle w:val="65"/>
        <w:jc w:val="center"/>
        <w:outlineLvl w:val="9"/>
        <w:rPr>
          <w:rFonts w:hint="eastAsia" w:ascii="宋体" w:hAnsi="宋体" w:eastAsia="宋体" w:cs="宋体"/>
          <w:b/>
          <w:bCs w:val="0"/>
          <w:color w:val="auto"/>
          <w:sz w:val="24"/>
          <w:szCs w:val="24"/>
          <w:highlight w:val="none"/>
          <w:lang w:eastAsia="zh-CN"/>
        </w:rPr>
      </w:pPr>
      <w:bookmarkStart w:id="321" w:name="_Toc31558"/>
      <w:bookmarkStart w:id="322" w:name="_Toc480368424"/>
      <w:bookmarkStart w:id="323" w:name="_Toc480368653"/>
      <w:bookmarkStart w:id="324" w:name="_Toc29225"/>
      <w:bookmarkStart w:id="325" w:name="_Toc480371721"/>
      <w:bookmarkStart w:id="326" w:name="_Toc480368595"/>
      <w:r>
        <w:rPr>
          <w:rFonts w:hint="eastAsia" w:ascii="宋体" w:hAnsi="宋体" w:eastAsia="宋体" w:cs="宋体"/>
          <w:b/>
          <w:bCs w:val="0"/>
          <w:color w:val="auto"/>
          <w:sz w:val="24"/>
          <w:szCs w:val="24"/>
          <w:highlight w:val="none"/>
        </w:rPr>
        <w:t>法定代表人资格证明文件</w:t>
      </w:r>
      <w:bookmarkEnd w:id="320"/>
      <w:bookmarkEnd w:id="321"/>
      <w:bookmarkEnd w:id="322"/>
      <w:bookmarkEnd w:id="323"/>
      <w:bookmarkEnd w:id="324"/>
      <w:bookmarkEnd w:id="325"/>
      <w:bookmarkEnd w:id="326"/>
    </w:p>
    <w:p>
      <w:pPr>
        <w:pStyle w:val="63"/>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（代理机构名称）</w:t>
      </w:r>
      <w:r>
        <w:rPr>
          <w:rFonts w:hint="eastAsia" w:ascii="宋体" w:hAnsi="宋体" w:eastAsia="宋体" w:cs="宋体"/>
          <w:color w:val="auto"/>
          <w:sz w:val="24"/>
          <w:szCs w:val="24"/>
          <w:highlight w:val="none"/>
        </w:rPr>
        <w:t>：</w:t>
      </w:r>
    </w:p>
    <w:p>
      <w:pPr>
        <w:pStyle w:val="63"/>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兹有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同志为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公司法定代表人，代表我公司办理一切社会公务事宜，具有法律效力。 </w:t>
      </w:r>
    </w:p>
    <w:p>
      <w:pPr>
        <w:pStyle w:val="63"/>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附法定代表人基本情况： </w:t>
      </w:r>
    </w:p>
    <w:p>
      <w:pPr>
        <w:pStyle w:val="63"/>
        <w:adjustRightInd w:val="0"/>
        <w:snapToGrid w:val="0"/>
        <w:spacing w:line="5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pStyle w:val="63"/>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pStyle w:val="63"/>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通讯地址：</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pStyle w:val="63"/>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电话号码：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邮政编码：</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pStyle w:val="63"/>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bl>
      <w:tblPr>
        <w:tblStyle w:val="27"/>
        <w:tblW w:w="0" w:type="auto"/>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noWrap w:val="0"/>
            <w:vAlign w:val="top"/>
          </w:tcPr>
          <w:p>
            <w:pPr>
              <w:pStyle w:val="63"/>
              <w:adjustRightInd w:val="0"/>
              <w:snapToGrid w:val="0"/>
              <w:spacing w:line="500" w:lineRule="exact"/>
              <w:jc w:val="center"/>
              <w:rPr>
                <w:rFonts w:hint="eastAsia" w:ascii="宋体" w:hAnsi="宋体" w:eastAsia="宋体" w:cs="宋体"/>
                <w:color w:val="auto"/>
                <w:sz w:val="24"/>
                <w:szCs w:val="24"/>
                <w:highlight w:val="none"/>
              </w:rPr>
            </w:pPr>
          </w:p>
          <w:p>
            <w:pPr>
              <w:pStyle w:val="63"/>
              <w:adjustRightInd w:val="0"/>
              <w:snapToGrid w:val="0"/>
              <w:spacing w:line="500" w:lineRule="exact"/>
              <w:jc w:val="center"/>
              <w:rPr>
                <w:rFonts w:hint="eastAsia" w:ascii="宋体" w:hAnsi="宋体" w:eastAsia="宋体" w:cs="宋体"/>
                <w:color w:val="auto"/>
                <w:sz w:val="24"/>
                <w:szCs w:val="24"/>
                <w:highlight w:val="none"/>
              </w:rPr>
            </w:pPr>
          </w:p>
          <w:p>
            <w:pPr>
              <w:pStyle w:val="63"/>
              <w:adjustRightInd w:val="0"/>
              <w:snapToGrid w:val="0"/>
              <w:spacing w:line="5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法定代表人《居民身份证》</w:t>
            </w:r>
            <w:r>
              <w:rPr>
                <w:rFonts w:hint="eastAsia" w:ascii="宋体" w:hAnsi="宋体" w:cs="宋体"/>
                <w:color w:val="auto"/>
                <w:sz w:val="24"/>
                <w:szCs w:val="24"/>
                <w:highlight w:val="none"/>
                <w:lang w:val="en-US" w:eastAsia="zh-CN"/>
              </w:rPr>
              <w:t>正反面复印件</w:t>
            </w:r>
          </w:p>
        </w:tc>
      </w:tr>
    </w:tbl>
    <w:p>
      <w:pPr>
        <w:pStyle w:val="63"/>
        <w:adjustRightInd w:val="0"/>
        <w:snapToGrid w:val="0"/>
        <w:spacing w:line="500" w:lineRule="exact"/>
        <w:rPr>
          <w:rFonts w:hint="eastAsia" w:ascii="宋体" w:hAnsi="宋体" w:eastAsia="宋体" w:cs="宋体"/>
          <w:color w:val="auto"/>
          <w:sz w:val="24"/>
          <w:szCs w:val="24"/>
          <w:highlight w:val="none"/>
        </w:rPr>
      </w:pPr>
    </w:p>
    <w:p>
      <w:pPr>
        <w:pStyle w:val="63"/>
        <w:tabs>
          <w:tab w:val="left" w:pos="750"/>
        </w:tabs>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投标人名称（电子签章）：</w:t>
      </w:r>
      <w:r>
        <w:rPr>
          <w:rFonts w:hint="eastAsia" w:ascii="宋体" w:hAnsi="宋体" w:eastAsia="宋体" w:cs="宋体"/>
          <w:color w:val="auto"/>
          <w:sz w:val="24"/>
          <w:szCs w:val="24"/>
          <w:highlight w:val="none"/>
          <w:u w:val="single"/>
        </w:rPr>
        <w:t xml:space="preserve">           </w:t>
      </w:r>
    </w:p>
    <w:p>
      <w:pPr>
        <w:pStyle w:val="63"/>
        <w:tabs>
          <w:tab w:val="left" w:pos="750"/>
        </w:tabs>
        <w:adjustRightInd w:val="0"/>
        <w:snapToGrid w:val="0"/>
        <w:spacing w:line="500" w:lineRule="exact"/>
        <w:rPr>
          <w:rFonts w:hint="eastAsia" w:ascii="宋体" w:hAnsi="宋体" w:eastAsia="宋体" w:cs="宋体"/>
          <w:color w:val="auto"/>
          <w:sz w:val="24"/>
          <w:szCs w:val="24"/>
          <w:highlight w:val="none"/>
        </w:rPr>
      </w:pPr>
    </w:p>
    <w:p>
      <w:pPr>
        <w:pStyle w:val="63"/>
        <w:tabs>
          <w:tab w:val="left" w:pos="750"/>
        </w:tabs>
        <w:adjustRightInd w:val="0"/>
        <w:snapToGrid w:val="0"/>
        <w:spacing w:line="50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法定代表人（电子签名） ：</w:t>
      </w:r>
      <w:r>
        <w:rPr>
          <w:rFonts w:hint="eastAsia" w:ascii="宋体" w:hAnsi="宋体" w:eastAsia="宋体" w:cs="宋体"/>
          <w:color w:val="auto"/>
          <w:sz w:val="24"/>
          <w:szCs w:val="24"/>
          <w:highlight w:val="none"/>
          <w:u w:val="single"/>
        </w:rPr>
        <w:t xml:space="preserve">           </w:t>
      </w:r>
    </w:p>
    <w:p>
      <w:pPr>
        <w:pStyle w:val="63"/>
        <w:tabs>
          <w:tab w:val="left" w:pos="750"/>
        </w:tabs>
        <w:adjustRightInd w:val="0"/>
        <w:snapToGrid w:val="0"/>
        <w:spacing w:line="500" w:lineRule="exact"/>
        <w:rPr>
          <w:rFonts w:hint="eastAsia" w:ascii="宋体" w:hAnsi="宋体" w:eastAsia="宋体" w:cs="宋体"/>
          <w:color w:val="auto"/>
          <w:sz w:val="24"/>
          <w:szCs w:val="24"/>
          <w:highlight w:val="none"/>
        </w:rPr>
      </w:pPr>
    </w:p>
    <w:p>
      <w:pPr>
        <w:pStyle w:val="63"/>
        <w:tabs>
          <w:tab w:val="left" w:pos="750"/>
        </w:tabs>
        <w:adjustRightInd w:val="0"/>
        <w:snapToGrid w:val="0"/>
        <w:spacing w:line="50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pStyle w:val="65"/>
        <w:outlineLvl w:val="0"/>
        <w:rPr>
          <w:rFonts w:hint="eastAsia" w:ascii="宋体" w:hAnsi="宋体" w:eastAsia="宋体" w:cs="宋体"/>
          <w:b/>
          <w:bCs/>
          <w:color w:val="auto"/>
          <w:sz w:val="24"/>
          <w:szCs w:val="24"/>
          <w:highlight w:val="none"/>
        </w:rPr>
      </w:pPr>
      <w:bookmarkStart w:id="327" w:name="_Toc9423"/>
      <w:bookmarkStart w:id="328" w:name="_Toc424"/>
      <w:bookmarkStart w:id="329" w:name="_Toc12692"/>
      <w:bookmarkStart w:id="330" w:name="_Toc24043"/>
      <w:bookmarkStart w:id="331" w:name="_Toc27033"/>
      <w:bookmarkStart w:id="332" w:name="_Toc21518"/>
      <w:bookmarkStart w:id="333" w:name="_Toc32141"/>
    </w:p>
    <w:p>
      <w:pPr>
        <w:pStyle w:val="65"/>
        <w:outlineLvl w:val="0"/>
        <w:rPr>
          <w:rFonts w:hint="eastAsia" w:ascii="宋体" w:hAnsi="宋体" w:eastAsia="宋体" w:cs="宋体"/>
          <w:b/>
          <w:bCs/>
          <w:color w:val="auto"/>
          <w:sz w:val="24"/>
          <w:szCs w:val="24"/>
          <w:highlight w:val="none"/>
        </w:rPr>
      </w:pPr>
    </w:p>
    <w:p>
      <w:pPr>
        <w:pStyle w:val="65"/>
        <w:outlineLvl w:val="0"/>
        <w:rPr>
          <w:rFonts w:hint="eastAsia" w:ascii="宋体" w:hAnsi="宋体" w:eastAsia="宋体" w:cs="宋体"/>
          <w:b/>
          <w:bCs/>
          <w:color w:val="auto"/>
          <w:sz w:val="24"/>
          <w:szCs w:val="24"/>
          <w:highlight w:val="none"/>
        </w:rPr>
      </w:pPr>
    </w:p>
    <w:p>
      <w:pPr>
        <w:pStyle w:val="63"/>
        <w:rPr>
          <w:rFonts w:hint="eastAsia"/>
          <w:color w:val="auto"/>
          <w:highlight w:val="none"/>
        </w:rPr>
      </w:pPr>
    </w:p>
    <w:p>
      <w:pPr>
        <w:pStyle w:val="65"/>
        <w:outlineLvl w:val="0"/>
        <w:rPr>
          <w:rFonts w:hint="eastAsia" w:ascii="宋体" w:hAnsi="宋体" w:eastAsia="宋体" w:cs="宋体"/>
          <w:b/>
          <w:bCs/>
          <w:color w:val="auto"/>
          <w:sz w:val="24"/>
          <w:szCs w:val="24"/>
          <w:highlight w:val="none"/>
        </w:rPr>
      </w:pPr>
    </w:p>
    <w:p>
      <w:pPr>
        <w:pStyle w:val="65"/>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法定代表人授权书</w:t>
      </w:r>
      <w:bookmarkEnd w:id="327"/>
      <w:bookmarkEnd w:id="328"/>
      <w:bookmarkEnd w:id="329"/>
      <w:bookmarkEnd w:id="330"/>
      <w:bookmarkEnd w:id="331"/>
      <w:bookmarkEnd w:id="332"/>
      <w:bookmarkEnd w:id="333"/>
    </w:p>
    <w:p>
      <w:pPr>
        <w:pStyle w:val="63"/>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（代理机构名称）</w:t>
      </w:r>
      <w:r>
        <w:rPr>
          <w:rFonts w:hint="eastAsia" w:ascii="宋体" w:hAnsi="宋体" w:eastAsia="宋体" w:cs="宋体"/>
          <w:color w:val="auto"/>
          <w:sz w:val="24"/>
          <w:szCs w:val="24"/>
          <w:highlight w:val="none"/>
        </w:rPr>
        <w:t>：</w:t>
      </w:r>
    </w:p>
    <w:p>
      <w:pPr>
        <w:pStyle w:val="63"/>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兹授权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同志为我公司参加贵单位组织的编号为</w:t>
      </w:r>
      <w:r>
        <w:rPr>
          <w:rFonts w:hint="eastAsia" w:ascii="宋体" w:hAnsi="宋体" w:eastAsia="宋体" w:cs="宋体"/>
          <w:color w:val="auto"/>
          <w:sz w:val="24"/>
          <w:szCs w:val="24"/>
          <w:highlight w:val="none"/>
          <w:u w:val="single"/>
        </w:rPr>
        <w:t>（项目编号）</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 目 名 称）</w:t>
      </w:r>
      <w:r>
        <w:rPr>
          <w:rFonts w:hint="eastAsia" w:ascii="宋体" w:hAnsi="宋体" w:eastAsia="宋体" w:cs="宋体"/>
          <w:color w:val="auto"/>
          <w:sz w:val="24"/>
          <w:szCs w:val="24"/>
          <w:highlight w:val="none"/>
        </w:rPr>
        <w:t>采购活动的投标代表人，全权代表我公司处理在该项目采购活动中的一切事宜。代理期限从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日起至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日止。 </w:t>
      </w:r>
    </w:p>
    <w:p>
      <w:pPr>
        <w:pStyle w:val="63"/>
        <w:spacing w:line="500" w:lineRule="exact"/>
        <w:rPr>
          <w:rFonts w:hint="eastAsia" w:ascii="宋体" w:hAnsi="宋体" w:eastAsia="宋体" w:cs="宋体"/>
          <w:color w:val="auto"/>
          <w:sz w:val="24"/>
          <w:szCs w:val="24"/>
          <w:highlight w:val="none"/>
        </w:rPr>
      </w:pPr>
    </w:p>
    <w:p>
      <w:pPr>
        <w:pStyle w:val="63"/>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投标人（电子签章）：</w:t>
      </w:r>
      <w:r>
        <w:rPr>
          <w:rFonts w:hint="eastAsia" w:ascii="宋体" w:hAnsi="宋体" w:eastAsia="宋体" w:cs="宋体"/>
          <w:color w:val="auto"/>
          <w:sz w:val="24"/>
          <w:szCs w:val="24"/>
          <w:highlight w:val="none"/>
          <w:u w:val="single"/>
        </w:rPr>
        <w:t xml:space="preserve">               </w:t>
      </w:r>
    </w:p>
    <w:p>
      <w:pPr>
        <w:pStyle w:val="63"/>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法定代表人（电子签名）：</w:t>
      </w:r>
      <w:r>
        <w:rPr>
          <w:rFonts w:hint="eastAsia" w:ascii="宋体" w:hAnsi="宋体" w:eastAsia="宋体" w:cs="宋体"/>
          <w:color w:val="auto"/>
          <w:sz w:val="24"/>
          <w:szCs w:val="24"/>
          <w:highlight w:val="none"/>
          <w:u w:val="single"/>
        </w:rPr>
        <w:t xml:space="preserve">       </w:t>
      </w:r>
    </w:p>
    <w:p>
      <w:pPr>
        <w:pStyle w:val="63"/>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签发日期：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pStyle w:val="63"/>
        <w:spacing w:line="500" w:lineRule="exact"/>
        <w:rPr>
          <w:rFonts w:hint="eastAsia" w:ascii="宋体" w:hAnsi="宋体" w:eastAsia="宋体" w:cs="宋体"/>
          <w:color w:val="auto"/>
          <w:sz w:val="24"/>
          <w:szCs w:val="24"/>
          <w:highlight w:val="none"/>
        </w:rPr>
      </w:pPr>
    </w:p>
    <w:p>
      <w:pPr>
        <w:pStyle w:val="63"/>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w:t>
      </w:r>
    </w:p>
    <w:p>
      <w:pPr>
        <w:pStyle w:val="63"/>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代理人工作单位：</w:t>
      </w:r>
      <w:r>
        <w:rPr>
          <w:rFonts w:hint="eastAsia" w:ascii="宋体" w:hAnsi="宋体" w:eastAsia="宋体" w:cs="宋体"/>
          <w:color w:val="auto"/>
          <w:sz w:val="24"/>
          <w:szCs w:val="24"/>
          <w:highlight w:val="none"/>
          <w:u w:val="single"/>
        </w:rPr>
        <w:t xml:space="preserve">                          </w:t>
      </w:r>
    </w:p>
    <w:p>
      <w:pPr>
        <w:pStyle w:val="63"/>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性别：</w:t>
      </w:r>
      <w:r>
        <w:rPr>
          <w:rFonts w:hint="eastAsia" w:ascii="宋体" w:hAnsi="宋体" w:eastAsia="宋体" w:cs="宋体"/>
          <w:color w:val="auto"/>
          <w:sz w:val="24"/>
          <w:szCs w:val="24"/>
          <w:highlight w:val="none"/>
          <w:u w:val="single"/>
        </w:rPr>
        <w:t xml:space="preserve">      </w:t>
      </w:r>
    </w:p>
    <w:p>
      <w:pPr>
        <w:pStyle w:val="63"/>
        <w:adjustRightInd w:val="0"/>
        <w:snapToGrid w:val="0"/>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pPr>
        <w:pStyle w:val="63"/>
        <w:adjustRightInd w:val="0"/>
        <w:snapToGrid w:val="0"/>
        <w:spacing w:line="500" w:lineRule="exact"/>
        <w:ind w:left="-88" w:leftChars="-42" w:firstLine="600" w:firstLineChars="250"/>
        <w:rPr>
          <w:rFonts w:hint="eastAsia" w:ascii="宋体" w:hAnsi="宋体" w:eastAsia="宋体" w:cs="宋体"/>
          <w:color w:val="auto"/>
          <w:sz w:val="24"/>
          <w:szCs w:val="24"/>
          <w:highlight w:val="none"/>
          <w:u w:val="single"/>
        </w:rPr>
      </w:pPr>
    </w:p>
    <w:tbl>
      <w:tblPr>
        <w:tblStyle w:val="27"/>
        <w:tblW w:w="4496" w:type="pct"/>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5000" w:type="pct"/>
            <w:tcBorders>
              <w:top w:val="single" w:color="auto" w:sz="4" w:space="0"/>
              <w:left w:val="single" w:color="auto" w:sz="4" w:space="0"/>
              <w:bottom w:val="single" w:color="auto" w:sz="4" w:space="0"/>
              <w:right w:val="single" w:color="auto" w:sz="4" w:space="0"/>
            </w:tcBorders>
            <w:noWrap w:val="0"/>
            <w:vAlign w:val="top"/>
          </w:tcPr>
          <w:p>
            <w:pPr>
              <w:pStyle w:val="63"/>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粘贴被授权人身份证</w:t>
            </w:r>
            <w:r>
              <w:rPr>
                <w:rFonts w:hint="eastAsia" w:ascii="宋体" w:hAnsi="宋体" w:cs="宋体"/>
                <w:color w:val="auto"/>
                <w:sz w:val="24"/>
                <w:szCs w:val="24"/>
                <w:highlight w:val="none"/>
                <w:lang w:val="en-US" w:eastAsia="zh-CN"/>
              </w:rPr>
              <w:t>正反面</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复印件</w:t>
            </w:r>
            <w:r>
              <w:rPr>
                <w:rFonts w:hint="eastAsia" w:ascii="宋体" w:hAnsi="宋体" w:eastAsia="宋体" w:cs="宋体"/>
                <w:color w:val="auto"/>
                <w:sz w:val="24"/>
                <w:szCs w:val="24"/>
                <w:highlight w:val="none"/>
              </w:rPr>
              <w:t>）</w:t>
            </w:r>
          </w:p>
        </w:tc>
      </w:tr>
    </w:tbl>
    <w:p>
      <w:pPr>
        <w:pStyle w:val="66"/>
        <w:outlineLvl w:val="2"/>
        <w:rPr>
          <w:rFonts w:hint="eastAsia" w:ascii="宋体" w:hAnsi="宋体" w:eastAsia="宋体" w:cs="宋体"/>
          <w:color w:val="auto"/>
          <w:sz w:val="24"/>
          <w:szCs w:val="24"/>
          <w:highlight w:val="none"/>
          <w:lang w:val="en-US" w:eastAsia="zh-CN"/>
        </w:rPr>
      </w:pPr>
      <w:bookmarkStart w:id="334" w:name="_Toc7716"/>
      <w:bookmarkStart w:id="335" w:name="_Toc3913"/>
    </w:p>
    <w:p>
      <w:pPr>
        <w:pStyle w:val="66"/>
        <w:outlineLvl w:val="2"/>
        <w:rPr>
          <w:rFonts w:hint="eastAsia" w:ascii="宋体" w:hAnsi="宋体" w:eastAsia="宋体" w:cs="宋体"/>
          <w:color w:val="auto"/>
          <w:sz w:val="24"/>
          <w:szCs w:val="24"/>
          <w:highlight w:val="none"/>
          <w:lang w:val="en-US" w:eastAsia="zh-CN"/>
        </w:rPr>
      </w:pPr>
    </w:p>
    <w:p>
      <w:pPr>
        <w:pStyle w:val="66"/>
        <w:outlineLvl w:val="2"/>
        <w:rPr>
          <w:rFonts w:hint="eastAsia" w:ascii="宋体" w:hAnsi="宋体" w:eastAsia="宋体" w:cs="宋体"/>
          <w:color w:val="auto"/>
          <w:sz w:val="24"/>
          <w:szCs w:val="24"/>
          <w:highlight w:val="none"/>
          <w:lang w:val="en-US" w:eastAsia="zh-CN"/>
        </w:rPr>
      </w:pPr>
    </w:p>
    <w:p>
      <w:pPr>
        <w:pStyle w:val="66"/>
        <w:outlineLvl w:val="2"/>
        <w:rPr>
          <w:rFonts w:hint="eastAsia" w:ascii="宋体" w:hAnsi="宋体" w:eastAsia="宋体" w:cs="宋体"/>
          <w:color w:val="auto"/>
          <w:sz w:val="24"/>
          <w:szCs w:val="24"/>
          <w:highlight w:val="none"/>
          <w:lang w:val="en-US" w:eastAsia="zh-CN"/>
        </w:rPr>
      </w:pPr>
    </w:p>
    <w:p>
      <w:pPr>
        <w:pStyle w:val="66"/>
        <w:outlineLvl w:val="2"/>
        <w:rPr>
          <w:rFonts w:hint="eastAsia" w:ascii="宋体" w:hAnsi="宋体" w:eastAsia="宋体" w:cs="宋体"/>
          <w:color w:val="auto"/>
          <w:sz w:val="24"/>
          <w:szCs w:val="24"/>
          <w:highlight w:val="none"/>
          <w:lang w:val="en-US" w:eastAsia="zh-CN"/>
        </w:rPr>
      </w:pPr>
    </w:p>
    <w:p>
      <w:pPr>
        <w:pStyle w:val="66"/>
        <w:outlineLvl w:val="2"/>
        <w:rPr>
          <w:rFonts w:hint="eastAsia" w:ascii="宋体" w:hAnsi="宋体" w:eastAsia="宋体" w:cs="宋体"/>
          <w:color w:val="auto"/>
          <w:sz w:val="24"/>
          <w:szCs w:val="24"/>
          <w:highlight w:val="none"/>
          <w:lang w:val="en-US" w:eastAsia="zh-CN"/>
        </w:rPr>
      </w:pPr>
    </w:p>
    <w:p>
      <w:pPr>
        <w:pStyle w:val="66"/>
        <w:outlineLvl w:val="2"/>
        <w:rPr>
          <w:rFonts w:hint="eastAsia" w:ascii="宋体" w:hAnsi="宋体" w:eastAsia="宋体" w:cs="宋体"/>
          <w:color w:val="auto"/>
          <w:sz w:val="24"/>
          <w:szCs w:val="24"/>
          <w:highlight w:val="none"/>
          <w:lang w:val="en-US" w:eastAsia="zh-CN"/>
        </w:rPr>
      </w:pPr>
    </w:p>
    <w:p>
      <w:pPr>
        <w:pStyle w:val="66"/>
        <w:outlineLvl w:val="2"/>
        <w:rPr>
          <w:rFonts w:hint="eastAsia" w:ascii="宋体" w:hAnsi="宋体" w:eastAsia="宋体" w:cs="宋体"/>
          <w:color w:val="auto"/>
          <w:sz w:val="24"/>
          <w:szCs w:val="24"/>
          <w:highlight w:val="none"/>
          <w:lang w:val="en-US" w:eastAsia="zh-CN"/>
        </w:rPr>
      </w:pPr>
    </w:p>
    <w:p>
      <w:pPr>
        <w:pStyle w:val="66"/>
        <w:outlineLvl w:val="2"/>
        <w:rPr>
          <w:rFonts w:hint="eastAsia" w:ascii="宋体" w:hAnsi="宋体" w:eastAsia="宋体" w:cs="宋体"/>
          <w:color w:val="auto"/>
          <w:sz w:val="24"/>
          <w:szCs w:val="24"/>
          <w:highlight w:val="none"/>
          <w:lang w:val="en-US" w:eastAsia="zh-CN"/>
        </w:rPr>
      </w:pPr>
    </w:p>
    <w:p>
      <w:pPr>
        <w:pStyle w:val="66"/>
        <w:outlineLvl w:val="2"/>
        <w:rPr>
          <w:rFonts w:hint="eastAsia" w:ascii="宋体" w:hAnsi="宋体" w:eastAsia="宋体" w:cs="宋体"/>
          <w:color w:val="auto"/>
          <w:sz w:val="24"/>
          <w:szCs w:val="24"/>
          <w:highlight w:val="none"/>
          <w:lang w:val="en-US" w:eastAsia="zh-CN"/>
        </w:rPr>
      </w:pPr>
    </w:p>
    <w:p>
      <w:pPr>
        <w:pStyle w:val="66"/>
        <w:outlineLvl w:val="2"/>
        <w:rPr>
          <w:rFonts w:hint="eastAsia" w:ascii="宋体" w:hAnsi="宋体" w:eastAsia="宋体" w:cs="宋体"/>
          <w:color w:val="auto"/>
          <w:sz w:val="24"/>
          <w:szCs w:val="24"/>
          <w:highlight w:val="none"/>
          <w:lang w:val="en-US" w:eastAsia="zh-CN"/>
        </w:rPr>
      </w:pPr>
    </w:p>
    <w:p>
      <w:pPr>
        <w:pStyle w:val="66"/>
        <w:jc w:val="center"/>
        <w:outlineLvl w:val="2"/>
        <w:rPr>
          <w:rFonts w:hint="eastAsia" w:ascii="宋体" w:hAnsi="宋体" w:eastAsia="宋体" w:cs="宋体"/>
          <w:color w:val="auto"/>
          <w:sz w:val="24"/>
          <w:szCs w:val="24"/>
          <w:highlight w:val="none"/>
          <w:lang w:val="en-US" w:eastAsia="zh-CN"/>
        </w:rPr>
      </w:pPr>
    </w:p>
    <w:p>
      <w:pPr>
        <w:pStyle w:val="66"/>
        <w:jc w:val="center"/>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投标保证金</w:t>
      </w:r>
      <w:bookmarkEnd w:id="334"/>
      <w:bookmarkEnd w:id="335"/>
    </w:p>
    <w:p>
      <w:pPr>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16"/>
        <w:rPr>
          <w:rFonts w:hint="eastAsia" w:ascii="宋体" w:hAnsi="宋体" w:eastAsia="宋体" w:cs="宋体"/>
          <w:color w:val="auto"/>
          <w:kern w:val="2"/>
          <w:sz w:val="24"/>
          <w:szCs w:val="24"/>
          <w:highlight w:val="none"/>
          <w:lang w:val="en-US" w:eastAsia="zh-CN" w:bidi="ar-SA"/>
        </w:rPr>
      </w:pPr>
    </w:p>
    <w:p>
      <w:pPr>
        <w:pStyle w:val="70"/>
        <w:widowControl/>
        <w:spacing w:before="100" w:beforeAutospacing="1" w:after="100" w:afterAutospacing="1"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4、</w:t>
      </w:r>
      <w:r>
        <w:rPr>
          <w:rFonts w:hint="eastAsia" w:ascii="宋体" w:hAnsi="宋体" w:eastAsia="宋体" w:cs="宋体"/>
          <w:b/>
          <w:bCs/>
          <w:color w:val="auto"/>
          <w:kern w:val="0"/>
          <w:sz w:val="24"/>
          <w:szCs w:val="24"/>
          <w:highlight w:val="none"/>
        </w:rPr>
        <w:t>投标单位（</w:t>
      </w:r>
      <w:r>
        <w:rPr>
          <w:rFonts w:hint="eastAsia" w:ascii="宋体" w:hAnsi="宋体" w:eastAsia="宋体" w:cs="宋体"/>
          <w:b/>
          <w:bCs/>
          <w:color w:val="auto"/>
          <w:kern w:val="0"/>
          <w:sz w:val="24"/>
          <w:szCs w:val="24"/>
          <w:highlight w:val="none"/>
          <w:lang w:eastAsia="zh-CN"/>
        </w:rPr>
        <w:t>投标人</w:t>
      </w:r>
      <w:r>
        <w:rPr>
          <w:rFonts w:hint="eastAsia" w:ascii="宋体" w:hAnsi="宋体" w:eastAsia="宋体" w:cs="宋体"/>
          <w:b/>
          <w:bCs/>
          <w:color w:val="auto"/>
          <w:kern w:val="0"/>
          <w:sz w:val="24"/>
          <w:szCs w:val="24"/>
          <w:highlight w:val="none"/>
        </w:rPr>
        <w:t>）反商业贿赂承诺书</w:t>
      </w:r>
    </w:p>
    <w:p>
      <w:pPr>
        <w:pStyle w:val="70"/>
        <w:widowControl/>
        <w:spacing w:line="480" w:lineRule="auto"/>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w:t>
      </w:r>
      <w:r>
        <w:rPr>
          <w:rFonts w:hint="eastAsia" w:ascii="宋体" w:hAnsi="宋体" w:eastAsia="宋体" w:cs="宋体"/>
          <w:color w:val="auto"/>
          <w:sz w:val="24"/>
          <w:szCs w:val="24"/>
          <w:highlight w:val="none"/>
        </w:rPr>
        <w:t>   我公司承诺在</w:t>
      </w:r>
      <w:r>
        <w:rPr>
          <w:rFonts w:hint="eastAsia" w:ascii="宋体" w:hAnsi="宋体" w:eastAsia="宋体" w:cs="宋体"/>
          <w:color w:val="auto"/>
          <w:sz w:val="24"/>
          <w:szCs w:val="24"/>
          <w:highlight w:val="none"/>
          <w:u w:val="single"/>
        </w:rPr>
        <w:t>（项目编号、项目名称）</w:t>
      </w:r>
      <w:r>
        <w:rPr>
          <w:rFonts w:hint="eastAsia" w:ascii="宋体" w:hAnsi="宋体" w:eastAsia="宋体" w:cs="宋体"/>
          <w:color w:val="auto"/>
          <w:sz w:val="24"/>
          <w:szCs w:val="24"/>
          <w:highlight w:val="none"/>
        </w:rPr>
        <w:t>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投标单位（</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 xml:space="preserve">）承诺书 </w:t>
      </w:r>
    </w:p>
    <w:p>
      <w:pPr>
        <w:pStyle w:val="70"/>
        <w:widowControl/>
        <w:spacing w:line="48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我公司承诺在参加本次投标前三年内，无以下行为：</w:t>
      </w:r>
    </w:p>
    <w:p>
      <w:pPr>
        <w:pStyle w:val="70"/>
        <w:widowControl/>
        <w:spacing w:line="48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重大违法行为；</w:t>
      </w:r>
    </w:p>
    <w:p>
      <w:pPr>
        <w:pStyle w:val="70"/>
        <w:widowControl/>
        <w:spacing w:line="48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商业贿赂行为；</w:t>
      </w:r>
    </w:p>
    <w:p>
      <w:pPr>
        <w:pStyle w:val="70"/>
        <w:widowControl/>
        <w:spacing w:line="48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政府采购法《第七十七条》，列入不良行为记录名单的各种行为；</w:t>
      </w:r>
    </w:p>
    <w:p>
      <w:pPr>
        <w:pStyle w:val="70"/>
        <w:widowControl/>
        <w:spacing w:line="48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如有上述行为，我公司及项目参与人员自愿放弃本次项目的投标、报价资格，若为预中标、成交人，也自愿放弃中标、成交资格。 </w:t>
      </w:r>
    </w:p>
    <w:p>
      <w:pPr>
        <w:pStyle w:val="70"/>
        <w:widowControl/>
        <w:spacing w:line="480" w:lineRule="auto"/>
        <w:jc w:val="left"/>
        <w:rPr>
          <w:rFonts w:hint="eastAsia" w:ascii="宋体" w:hAnsi="宋体" w:eastAsia="宋体" w:cs="宋体"/>
          <w:color w:val="auto"/>
          <w:sz w:val="24"/>
          <w:szCs w:val="24"/>
          <w:highlight w:val="none"/>
        </w:rPr>
      </w:pPr>
    </w:p>
    <w:p>
      <w:pPr>
        <w:pStyle w:val="70"/>
        <w:widowControl/>
        <w:spacing w:line="480" w:lineRule="auto"/>
        <w:jc w:val="left"/>
        <w:rPr>
          <w:rFonts w:hint="eastAsia" w:ascii="宋体" w:hAnsi="宋体" w:eastAsia="宋体" w:cs="宋体"/>
          <w:color w:val="auto"/>
          <w:sz w:val="24"/>
          <w:szCs w:val="24"/>
          <w:highlight w:val="none"/>
        </w:rPr>
      </w:pPr>
    </w:p>
    <w:p>
      <w:pPr>
        <w:pStyle w:val="70"/>
        <w:widowControl/>
        <w:spacing w:line="480" w:lineRule="auto"/>
        <w:jc w:val="left"/>
        <w:rPr>
          <w:rFonts w:hint="eastAsia" w:ascii="宋体" w:hAnsi="宋体" w:eastAsia="宋体" w:cs="宋体"/>
          <w:color w:val="auto"/>
          <w:sz w:val="24"/>
          <w:szCs w:val="24"/>
          <w:highlight w:val="none"/>
        </w:rPr>
      </w:pPr>
    </w:p>
    <w:p>
      <w:pPr>
        <w:pStyle w:val="71"/>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投标人法定代表人（电子签名）：</w:t>
      </w:r>
      <w:r>
        <w:rPr>
          <w:rFonts w:hint="eastAsia" w:ascii="宋体" w:hAnsi="宋体" w:eastAsia="宋体" w:cs="宋体"/>
          <w:color w:val="auto"/>
          <w:sz w:val="24"/>
          <w:szCs w:val="24"/>
          <w:highlight w:val="none"/>
          <w:u w:val="single"/>
        </w:rPr>
        <w:t xml:space="preserve">                  </w:t>
      </w:r>
    </w:p>
    <w:p>
      <w:pPr>
        <w:pStyle w:val="71"/>
        <w:adjustRightInd w:val="0"/>
        <w:snapToGrid w:val="0"/>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投标人名称（电子签章）：</w:t>
      </w:r>
      <w:r>
        <w:rPr>
          <w:rFonts w:hint="eastAsia" w:ascii="宋体" w:hAnsi="宋体" w:eastAsia="宋体" w:cs="宋体"/>
          <w:color w:val="auto"/>
          <w:sz w:val="24"/>
          <w:szCs w:val="24"/>
          <w:highlight w:val="none"/>
          <w:u w:val="single"/>
        </w:rPr>
        <w:t xml:space="preserve">                       </w:t>
      </w:r>
    </w:p>
    <w:p>
      <w:pPr>
        <w:pStyle w:val="71"/>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w:t>
      </w:r>
    </w:p>
    <w:p>
      <w:pPr>
        <w:numPr>
          <w:ilvl w:val="0"/>
          <w:numId w:val="0"/>
        </w:numPr>
        <w:tabs>
          <w:tab w:val="left" w:pos="360"/>
          <w:tab w:val="left" w:pos="480"/>
          <w:tab w:val="left" w:pos="1413"/>
        </w:tabs>
        <w:spacing w:line="360" w:lineRule="auto"/>
        <w:rPr>
          <w:rFonts w:hint="eastAsia" w:ascii="宋体" w:hAnsi="宋体" w:eastAsia="宋体" w:cs="宋体"/>
          <w:b/>
          <w:color w:val="auto"/>
          <w:kern w:val="0"/>
          <w:sz w:val="24"/>
          <w:szCs w:val="24"/>
          <w:highlight w:val="none"/>
          <w:lang w:val="en-US" w:eastAsia="zh-CN" w:bidi="ar-SA"/>
        </w:rPr>
      </w:pPr>
    </w:p>
    <w:p>
      <w:pPr>
        <w:numPr>
          <w:ilvl w:val="0"/>
          <w:numId w:val="0"/>
        </w:numPr>
        <w:tabs>
          <w:tab w:val="left" w:pos="360"/>
          <w:tab w:val="left" w:pos="480"/>
          <w:tab w:val="left" w:pos="1413"/>
        </w:tabs>
        <w:spacing w:line="360" w:lineRule="auto"/>
        <w:rPr>
          <w:rFonts w:hint="eastAsia" w:ascii="宋体" w:hAnsi="宋体" w:eastAsia="宋体" w:cs="宋体"/>
          <w:b/>
          <w:color w:val="auto"/>
          <w:kern w:val="0"/>
          <w:sz w:val="24"/>
          <w:szCs w:val="24"/>
          <w:highlight w:val="none"/>
          <w:lang w:val="en-US" w:eastAsia="zh-CN" w:bidi="ar-SA"/>
        </w:rPr>
      </w:pPr>
    </w:p>
    <w:p>
      <w:pPr>
        <w:pStyle w:val="16"/>
        <w:rPr>
          <w:rFonts w:hint="eastAsia" w:ascii="宋体" w:hAnsi="宋体" w:eastAsia="宋体" w:cs="宋体"/>
          <w:b/>
          <w:color w:val="auto"/>
          <w:kern w:val="0"/>
          <w:sz w:val="24"/>
          <w:szCs w:val="24"/>
          <w:highlight w:val="none"/>
          <w:lang w:val="en-US" w:eastAsia="zh-CN" w:bidi="ar-SA"/>
        </w:rPr>
      </w:pPr>
    </w:p>
    <w:p>
      <w:pPr>
        <w:pStyle w:val="16"/>
        <w:rPr>
          <w:rFonts w:hint="eastAsia" w:ascii="宋体" w:hAnsi="宋体" w:eastAsia="宋体" w:cs="宋体"/>
          <w:b/>
          <w:color w:val="auto"/>
          <w:kern w:val="0"/>
          <w:sz w:val="24"/>
          <w:szCs w:val="24"/>
          <w:highlight w:val="none"/>
          <w:lang w:val="en-US" w:eastAsia="zh-CN" w:bidi="ar-SA"/>
        </w:rPr>
      </w:pPr>
    </w:p>
    <w:p>
      <w:pPr>
        <w:pStyle w:val="16"/>
        <w:rPr>
          <w:rFonts w:hint="eastAsia" w:ascii="宋体" w:hAnsi="宋体" w:eastAsia="宋体" w:cs="宋体"/>
          <w:b/>
          <w:color w:val="auto"/>
          <w:kern w:val="0"/>
          <w:sz w:val="24"/>
          <w:szCs w:val="24"/>
          <w:highlight w:val="none"/>
          <w:lang w:val="en-US" w:eastAsia="zh-CN" w:bidi="ar-SA"/>
        </w:rPr>
      </w:pPr>
    </w:p>
    <w:p>
      <w:pPr>
        <w:pStyle w:val="16"/>
        <w:rPr>
          <w:rFonts w:hint="eastAsia" w:ascii="宋体" w:hAnsi="宋体" w:eastAsia="宋体" w:cs="宋体"/>
          <w:b/>
          <w:color w:val="auto"/>
          <w:kern w:val="0"/>
          <w:sz w:val="24"/>
          <w:szCs w:val="24"/>
          <w:highlight w:val="none"/>
          <w:lang w:val="en-US" w:eastAsia="zh-CN" w:bidi="ar-SA"/>
        </w:rPr>
      </w:pPr>
    </w:p>
    <w:p>
      <w:pPr>
        <w:numPr>
          <w:ilvl w:val="0"/>
          <w:numId w:val="0"/>
        </w:numPr>
        <w:tabs>
          <w:tab w:val="left" w:pos="360"/>
          <w:tab w:val="left" w:pos="480"/>
          <w:tab w:val="left" w:pos="1413"/>
        </w:tabs>
        <w:spacing w:line="360" w:lineRule="auto"/>
        <w:rPr>
          <w:rFonts w:hint="eastAsia" w:ascii="宋体" w:hAnsi="宋体" w:eastAsia="宋体" w:cs="宋体"/>
          <w:b/>
          <w:color w:val="auto"/>
          <w:kern w:val="0"/>
          <w:sz w:val="24"/>
          <w:szCs w:val="24"/>
          <w:highlight w:val="none"/>
          <w:lang w:val="en-US" w:eastAsia="zh-CN" w:bidi="ar-SA"/>
        </w:rPr>
      </w:pPr>
    </w:p>
    <w:p>
      <w:pPr>
        <w:numPr>
          <w:ilvl w:val="0"/>
          <w:numId w:val="0"/>
        </w:numPr>
        <w:tabs>
          <w:tab w:val="left" w:pos="360"/>
          <w:tab w:val="left" w:pos="480"/>
          <w:tab w:val="left" w:pos="1413"/>
        </w:tabs>
        <w:spacing w:line="360" w:lineRule="auto"/>
        <w:jc w:val="center"/>
        <w:rPr>
          <w:rFonts w:hint="eastAsia" w:ascii="宋体" w:hAnsi="宋体" w:eastAsia="宋体" w:cs="宋体"/>
          <w:b/>
          <w:color w:val="auto"/>
          <w:kern w:val="0"/>
          <w:sz w:val="24"/>
          <w:szCs w:val="24"/>
          <w:highlight w:val="none"/>
          <w:lang w:bidi="ar-SA"/>
        </w:rPr>
      </w:pPr>
      <w:r>
        <w:rPr>
          <w:rFonts w:hint="eastAsia" w:ascii="宋体" w:hAnsi="宋体" w:eastAsia="宋体" w:cs="宋体"/>
          <w:b/>
          <w:color w:val="auto"/>
          <w:kern w:val="0"/>
          <w:sz w:val="24"/>
          <w:szCs w:val="24"/>
          <w:highlight w:val="none"/>
          <w:lang w:val="en-US" w:eastAsia="zh-CN" w:bidi="ar-SA"/>
        </w:rPr>
        <w:t>5、</w:t>
      </w:r>
      <w:r>
        <w:rPr>
          <w:rFonts w:hint="eastAsia" w:ascii="宋体" w:hAnsi="宋体" w:eastAsia="宋体" w:cs="宋体"/>
          <w:b/>
          <w:color w:val="auto"/>
          <w:kern w:val="0"/>
          <w:sz w:val="24"/>
          <w:szCs w:val="24"/>
          <w:highlight w:val="none"/>
          <w:lang w:bidi="ar-SA"/>
        </w:rPr>
        <w:t>中、小微企业声明函（中、小、微型企业产品价格需扣除的须提供）</w:t>
      </w:r>
    </w:p>
    <w:p>
      <w:pPr>
        <w:pStyle w:val="72"/>
        <w:spacing w:line="360" w:lineRule="auto"/>
        <w:ind w:right="-97"/>
        <w:jc w:val="center"/>
        <w:rPr>
          <w:rFonts w:hint="eastAsia" w:ascii="宋体" w:hAnsi="宋体" w:eastAsia="宋体" w:cs="宋体"/>
          <w:b/>
          <w:color w:val="auto"/>
          <w:sz w:val="24"/>
          <w:szCs w:val="24"/>
          <w:highlight w:val="none"/>
          <w:lang w:eastAsia="zh-CN"/>
        </w:rPr>
      </w:pPr>
      <w:r>
        <w:rPr>
          <w:rFonts w:hint="eastAsia" w:ascii="宋体" w:hAnsi="宋体" w:cs="宋体"/>
          <w:b/>
          <w:color w:val="auto"/>
          <w:sz w:val="24"/>
          <w:szCs w:val="24"/>
          <w:highlight w:val="none"/>
          <w:lang w:eastAsia="zh-CN"/>
        </w:rPr>
        <w:t>中小微企业</w:t>
      </w:r>
      <w:r>
        <w:rPr>
          <w:rFonts w:hint="eastAsia" w:ascii="宋体" w:hAnsi="宋体" w:eastAsia="宋体" w:cs="宋体"/>
          <w:b/>
          <w:color w:val="auto"/>
          <w:sz w:val="24"/>
          <w:szCs w:val="24"/>
          <w:highlight w:val="none"/>
        </w:rPr>
        <w:t>声明函</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如有</w:t>
      </w:r>
      <w:r>
        <w:rPr>
          <w:rFonts w:hint="eastAsia" w:ascii="宋体" w:hAnsi="宋体" w:cs="宋体"/>
          <w:b/>
          <w:color w:val="auto"/>
          <w:sz w:val="24"/>
          <w:szCs w:val="24"/>
          <w:highlight w:val="none"/>
          <w:lang w:eastAsia="zh-CN"/>
        </w:rPr>
        <w:t>）</w:t>
      </w:r>
    </w:p>
    <w:p>
      <w:pPr>
        <w:pStyle w:val="73"/>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pPr>
        <w:pStyle w:val="72"/>
        <w:keepNext w:val="0"/>
        <w:keepLines w:val="0"/>
        <w:pageBreakBefore w:val="0"/>
        <w:widowControl w:val="0"/>
        <w:kinsoku/>
        <w:wordWrap/>
        <w:overflowPunct/>
        <w:topLinePunct w:val="0"/>
        <w:autoSpaceDE/>
        <w:autoSpaceDN/>
        <w:bidi w:val="0"/>
        <w:adjustRightInd/>
        <w:snapToGrid/>
        <w:spacing w:line="520" w:lineRule="exact"/>
        <w:ind w:firstLine="504" w:firstLineChars="20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本公司郑重声明，根据《政府采购促进</w:t>
      </w:r>
      <w:r>
        <w:rPr>
          <w:rFonts w:hint="eastAsia" w:ascii="宋体" w:hAnsi="宋体" w:cs="宋体"/>
          <w:color w:val="auto"/>
          <w:spacing w:val="6"/>
          <w:sz w:val="24"/>
          <w:szCs w:val="24"/>
          <w:highlight w:val="none"/>
          <w:lang w:eastAsia="zh-CN"/>
        </w:rPr>
        <w:t>中小微企业</w:t>
      </w:r>
      <w:r>
        <w:rPr>
          <w:rFonts w:hint="eastAsia" w:ascii="宋体" w:hAnsi="宋体" w:eastAsia="宋体" w:cs="宋体"/>
          <w:color w:val="auto"/>
          <w:spacing w:val="6"/>
          <w:sz w:val="24"/>
          <w:szCs w:val="24"/>
          <w:highlight w:val="none"/>
        </w:rPr>
        <w:t>发展暂行办法》（财库[2011]181号）的规定，本公司为</w:t>
      </w:r>
      <w:r>
        <w:rPr>
          <w:rFonts w:hint="eastAsia" w:ascii="宋体" w:hAnsi="宋体" w:eastAsia="宋体" w:cs="宋体"/>
          <w:color w:val="auto"/>
          <w:spacing w:val="6"/>
          <w:sz w:val="24"/>
          <w:szCs w:val="24"/>
          <w:highlight w:val="none"/>
          <w:u w:val="single"/>
        </w:rPr>
        <w:t>______</w:t>
      </w:r>
      <w:r>
        <w:rPr>
          <w:rFonts w:hint="eastAsia" w:ascii="宋体" w:hAnsi="宋体" w:eastAsia="宋体" w:cs="宋体"/>
          <w:color w:val="auto"/>
          <w:spacing w:val="6"/>
          <w:sz w:val="24"/>
          <w:szCs w:val="24"/>
          <w:highlight w:val="none"/>
        </w:rPr>
        <w:t>（请填写：中型、小型、微型）企业。即，本公司同时满足以下条：</w:t>
      </w:r>
    </w:p>
    <w:p>
      <w:pPr>
        <w:pStyle w:val="72"/>
        <w:keepNext w:val="0"/>
        <w:keepLines w:val="0"/>
        <w:pageBreakBefore w:val="0"/>
        <w:widowControl w:val="0"/>
        <w:kinsoku/>
        <w:wordWrap/>
        <w:overflowPunct/>
        <w:topLinePunct w:val="0"/>
        <w:autoSpaceDE/>
        <w:autoSpaceDN/>
        <w:bidi w:val="0"/>
        <w:adjustRightInd/>
        <w:snapToGrid/>
        <w:spacing w:line="520" w:lineRule="exact"/>
        <w:ind w:firstLine="504" w:firstLineChars="20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1.根据《工业和信息化部、国家统计局、国家发展和改革委员会、财政部关于印发</w:t>
      </w:r>
      <w:r>
        <w:rPr>
          <w:rFonts w:hint="eastAsia" w:ascii="宋体" w:hAnsi="宋体" w:cs="宋体"/>
          <w:color w:val="auto"/>
          <w:spacing w:val="6"/>
          <w:sz w:val="24"/>
          <w:szCs w:val="24"/>
          <w:highlight w:val="none"/>
          <w:lang w:eastAsia="zh-CN"/>
        </w:rPr>
        <w:t>中小微企业</w:t>
      </w:r>
      <w:r>
        <w:rPr>
          <w:rFonts w:hint="eastAsia" w:ascii="宋体" w:hAnsi="宋体" w:eastAsia="宋体" w:cs="宋体"/>
          <w:color w:val="auto"/>
          <w:spacing w:val="6"/>
          <w:sz w:val="24"/>
          <w:szCs w:val="24"/>
          <w:highlight w:val="none"/>
        </w:rPr>
        <w:t>划型标准规定的通知》（工信部联企业[2011]300号）规定的划分标准，本公司为</w:t>
      </w:r>
      <w:r>
        <w:rPr>
          <w:rFonts w:hint="eastAsia" w:ascii="宋体" w:hAnsi="宋体" w:eastAsia="宋体" w:cs="宋体"/>
          <w:color w:val="auto"/>
          <w:spacing w:val="6"/>
          <w:sz w:val="24"/>
          <w:szCs w:val="24"/>
          <w:highlight w:val="none"/>
          <w:u w:val="single"/>
        </w:rPr>
        <w:t>______</w:t>
      </w:r>
      <w:r>
        <w:rPr>
          <w:rFonts w:hint="eastAsia" w:ascii="宋体" w:hAnsi="宋体" w:eastAsia="宋体" w:cs="宋体"/>
          <w:color w:val="auto"/>
          <w:spacing w:val="6"/>
          <w:sz w:val="24"/>
          <w:szCs w:val="24"/>
          <w:highlight w:val="none"/>
        </w:rPr>
        <w:t>（请填写：中型、小型、微型）企业。</w:t>
      </w:r>
    </w:p>
    <w:p>
      <w:pPr>
        <w:pStyle w:val="72"/>
        <w:keepNext w:val="0"/>
        <w:keepLines w:val="0"/>
        <w:pageBreakBefore w:val="0"/>
        <w:widowControl w:val="0"/>
        <w:kinsoku/>
        <w:wordWrap/>
        <w:overflowPunct/>
        <w:topLinePunct w:val="0"/>
        <w:autoSpaceDE/>
        <w:autoSpaceDN/>
        <w:bidi w:val="0"/>
        <w:adjustRightInd/>
        <w:snapToGrid/>
        <w:spacing w:line="520" w:lineRule="exact"/>
        <w:ind w:firstLine="504" w:firstLineChars="20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2.本公司参加</w:t>
      </w:r>
      <w:r>
        <w:rPr>
          <w:rFonts w:hint="eastAsia" w:ascii="宋体" w:hAnsi="宋体" w:eastAsia="宋体" w:cs="宋体"/>
          <w:color w:val="auto"/>
          <w:spacing w:val="6"/>
          <w:sz w:val="24"/>
          <w:szCs w:val="24"/>
          <w:highlight w:val="none"/>
          <w:u w:val="single"/>
        </w:rPr>
        <w:t>______</w:t>
      </w:r>
      <w:r>
        <w:rPr>
          <w:rFonts w:hint="eastAsia" w:ascii="宋体" w:hAnsi="宋体" w:eastAsia="宋体" w:cs="宋体"/>
          <w:color w:val="auto"/>
          <w:spacing w:val="6"/>
          <w:sz w:val="24"/>
          <w:szCs w:val="24"/>
          <w:highlight w:val="none"/>
        </w:rPr>
        <w:t>单位的</w:t>
      </w:r>
      <w:r>
        <w:rPr>
          <w:rFonts w:hint="eastAsia" w:ascii="宋体" w:hAnsi="宋体" w:eastAsia="宋体" w:cs="宋体"/>
          <w:color w:val="auto"/>
          <w:spacing w:val="6"/>
          <w:sz w:val="24"/>
          <w:szCs w:val="24"/>
          <w:highlight w:val="none"/>
          <w:u w:val="single"/>
        </w:rPr>
        <w:t>______</w:t>
      </w:r>
      <w:r>
        <w:rPr>
          <w:rFonts w:hint="eastAsia" w:ascii="宋体" w:hAnsi="宋体" w:eastAsia="宋体" w:cs="宋体"/>
          <w:color w:val="auto"/>
          <w:spacing w:val="6"/>
          <w:sz w:val="24"/>
          <w:szCs w:val="24"/>
          <w:highlight w:val="none"/>
        </w:rPr>
        <w:t>项目采购活动提供本企业制造的货物，由本企业承担工程、提供服务，或者提供其他</w:t>
      </w:r>
      <w:r>
        <w:rPr>
          <w:rFonts w:hint="eastAsia" w:ascii="宋体" w:hAnsi="宋体" w:eastAsia="宋体" w:cs="宋体"/>
          <w:color w:val="auto"/>
          <w:spacing w:val="6"/>
          <w:sz w:val="24"/>
          <w:szCs w:val="24"/>
          <w:highlight w:val="none"/>
          <w:u w:val="single"/>
        </w:rPr>
        <w:t>______</w:t>
      </w:r>
      <w:r>
        <w:rPr>
          <w:rFonts w:hint="eastAsia" w:ascii="宋体" w:hAnsi="宋体" w:eastAsia="宋体" w:cs="宋体"/>
          <w:color w:val="auto"/>
          <w:spacing w:val="6"/>
          <w:sz w:val="24"/>
          <w:szCs w:val="24"/>
          <w:highlight w:val="none"/>
        </w:rPr>
        <w:t>（请填写：中型、小型、微型）企业制造的货物。本条所称货物不包括使用大型企业注册商标的货物。</w:t>
      </w:r>
    </w:p>
    <w:p>
      <w:pPr>
        <w:pStyle w:val="72"/>
        <w:keepNext w:val="0"/>
        <w:keepLines w:val="0"/>
        <w:pageBreakBefore w:val="0"/>
        <w:widowControl w:val="0"/>
        <w:kinsoku/>
        <w:wordWrap/>
        <w:overflowPunct/>
        <w:topLinePunct w:val="0"/>
        <w:autoSpaceDE/>
        <w:autoSpaceDN/>
        <w:bidi w:val="0"/>
        <w:adjustRightInd/>
        <w:snapToGrid/>
        <w:spacing w:line="520" w:lineRule="exact"/>
        <w:ind w:firstLine="504" w:firstLineChars="200"/>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本公司对上述声明的真实性负责。如有虚假，将依法承担相应责任。</w:t>
      </w:r>
    </w:p>
    <w:p>
      <w:pPr>
        <w:pStyle w:val="72"/>
        <w:spacing w:line="360" w:lineRule="auto"/>
        <w:ind w:firstLine="6000" w:firstLineChars="2500"/>
        <w:rPr>
          <w:rFonts w:hint="eastAsia" w:ascii="宋体" w:hAnsi="宋体" w:eastAsia="宋体" w:cs="宋体"/>
          <w:color w:val="auto"/>
          <w:sz w:val="24"/>
          <w:szCs w:val="24"/>
          <w:highlight w:val="none"/>
        </w:rPr>
      </w:pPr>
    </w:p>
    <w:p>
      <w:pPr>
        <w:pStyle w:val="57"/>
        <w:spacing w:before="35" w:line="316" w:lineRule="auto"/>
        <w:ind w:right="2166"/>
        <w:rPr>
          <w:rFonts w:hint="eastAsia" w:ascii="宋体" w:hAnsi="宋体" w:eastAsia="宋体" w:cs="宋体"/>
          <w:color w:val="auto"/>
          <w:spacing w:val="-2"/>
          <w:sz w:val="24"/>
          <w:szCs w:val="24"/>
          <w:highlight w:val="none"/>
          <w:lang w:eastAsia="zh-CN"/>
        </w:rPr>
      </w:pPr>
    </w:p>
    <w:p>
      <w:pPr>
        <w:pStyle w:val="57"/>
        <w:spacing w:before="35" w:line="316" w:lineRule="auto"/>
        <w:ind w:right="2166" w:firstLine="472" w:firstLineChars="200"/>
        <w:rPr>
          <w:rFonts w:hint="eastAsia" w:ascii="宋体" w:hAnsi="宋体" w:eastAsia="宋体" w:cs="宋体"/>
          <w:color w:val="auto"/>
          <w:spacing w:val="-2"/>
          <w:sz w:val="24"/>
          <w:szCs w:val="24"/>
          <w:highlight w:val="none"/>
          <w:lang w:eastAsia="zh-CN"/>
        </w:rPr>
      </w:pPr>
    </w:p>
    <w:p>
      <w:pPr>
        <w:pStyle w:val="57"/>
        <w:spacing w:before="35" w:line="316" w:lineRule="auto"/>
        <w:ind w:right="2166"/>
        <w:jc w:val="both"/>
        <w:rPr>
          <w:rFonts w:hint="eastAsia" w:ascii="宋体" w:hAnsi="宋体" w:eastAsia="宋体" w:cs="宋体"/>
          <w:color w:val="auto"/>
          <w:spacing w:val="-2"/>
          <w:sz w:val="24"/>
          <w:szCs w:val="24"/>
          <w:highlight w:val="none"/>
          <w:lang w:eastAsia="zh-CN"/>
        </w:rPr>
      </w:pPr>
    </w:p>
    <w:p>
      <w:pPr>
        <w:pStyle w:val="71"/>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投标人法定代表人（电子签名）：</w:t>
      </w:r>
      <w:r>
        <w:rPr>
          <w:rFonts w:hint="eastAsia" w:ascii="宋体" w:hAnsi="宋体" w:eastAsia="宋体" w:cs="宋体"/>
          <w:color w:val="auto"/>
          <w:sz w:val="24"/>
          <w:szCs w:val="24"/>
          <w:highlight w:val="none"/>
          <w:u w:val="single"/>
        </w:rPr>
        <w:t xml:space="preserve">                  </w:t>
      </w:r>
    </w:p>
    <w:p>
      <w:pPr>
        <w:pStyle w:val="71"/>
        <w:adjustRightInd w:val="0"/>
        <w:snapToGrid w:val="0"/>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投标人名称（电子签章）：</w:t>
      </w:r>
      <w:r>
        <w:rPr>
          <w:rFonts w:hint="eastAsia" w:ascii="宋体" w:hAnsi="宋体" w:eastAsia="宋体" w:cs="宋体"/>
          <w:color w:val="auto"/>
          <w:sz w:val="24"/>
          <w:szCs w:val="24"/>
          <w:highlight w:val="none"/>
          <w:u w:val="single"/>
        </w:rPr>
        <w:t xml:space="preserve">                       </w:t>
      </w:r>
    </w:p>
    <w:p>
      <w:pPr>
        <w:pStyle w:val="71"/>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w:t>
      </w:r>
    </w:p>
    <w:p>
      <w:pPr>
        <w:pStyle w:val="75"/>
        <w:outlineLvl w:val="2"/>
        <w:rPr>
          <w:rFonts w:hint="eastAsia" w:ascii="宋体" w:hAnsi="宋体" w:eastAsia="宋体" w:cs="宋体"/>
          <w:color w:val="auto"/>
          <w:sz w:val="24"/>
          <w:szCs w:val="24"/>
          <w:highlight w:val="none"/>
          <w:lang w:val="en-US" w:eastAsia="zh-CN"/>
        </w:rPr>
      </w:pPr>
      <w:bookmarkStart w:id="336" w:name="_Toc11559"/>
      <w:bookmarkStart w:id="337" w:name="_Toc17973"/>
    </w:p>
    <w:p>
      <w:pPr>
        <w:pStyle w:val="75"/>
        <w:outlineLvl w:val="2"/>
        <w:rPr>
          <w:rFonts w:hint="eastAsia" w:ascii="宋体" w:hAnsi="宋体" w:eastAsia="宋体" w:cs="宋体"/>
          <w:color w:val="auto"/>
          <w:sz w:val="24"/>
          <w:szCs w:val="24"/>
          <w:highlight w:val="none"/>
          <w:lang w:val="en-US" w:eastAsia="zh-CN"/>
        </w:rPr>
      </w:pPr>
    </w:p>
    <w:p>
      <w:pPr>
        <w:pStyle w:val="75"/>
        <w:outlineLvl w:val="2"/>
        <w:rPr>
          <w:rFonts w:hint="eastAsia" w:ascii="宋体" w:hAnsi="宋体" w:eastAsia="宋体" w:cs="宋体"/>
          <w:color w:val="auto"/>
          <w:sz w:val="24"/>
          <w:szCs w:val="24"/>
          <w:highlight w:val="none"/>
          <w:lang w:val="en-US" w:eastAsia="zh-CN"/>
        </w:rPr>
      </w:pPr>
    </w:p>
    <w:p>
      <w:pPr>
        <w:pStyle w:val="75"/>
        <w:outlineLvl w:val="2"/>
        <w:rPr>
          <w:rFonts w:hint="eastAsia" w:ascii="宋体" w:hAnsi="宋体" w:eastAsia="宋体" w:cs="宋体"/>
          <w:color w:val="auto"/>
          <w:sz w:val="24"/>
          <w:szCs w:val="24"/>
          <w:highlight w:val="none"/>
          <w:lang w:val="en-US" w:eastAsia="zh-CN"/>
        </w:rPr>
      </w:pPr>
    </w:p>
    <w:p>
      <w:pPr>
        <w:pStyle w:val="75"/>
        <w:outlineLvl w:val="2"/>
        <w:rPr>
          <w:rFonts w:hint="eastAsia" w:ascii="宋体" w:hAnsi="宋体" w:eastAsia="宋体" w:cs="宋体"/>
          <w:color w:val="auto"/>
          <w:sz w:val="24"/>
          <w:szCs w:val="24"/>
          <w:highlight w:val="none"/>
          <w:lang w:val="en-US" w:eastAsia="zh-CN"/>
        </w:rPr>
      </w:pPr>
    </w:p>
    <w:p>
      <w:pPr>
        <w:pStyle w:val="75"/>
        <w:outlineLvl w:val="2"/>
        <w:rPr>
          <w:rFonts w:hint="eastAsia" w:ascii="宋体" w:hAnsi="宋体" w:eastAsia="宋体" w:cs="宋体"/>
          <w:color w:val="auto"/>
          <w:sz w:val="24"/>
          <w:szCs w:val="24"/>
          <w:highlight w:val="none"/>
          <w:lang w:val="en-US" w:eastAsia="zh-CN"/>
        </w:rPr>
      </w:pPr>
    </w:p>
    <w:p>
      <w:pPr>
        <w:pStyle w:val="75"/>
        <w:outlineLvl w:val="2"/>
        <w:rPr>
          <w:rFonts w:hint="eastAsia" w:ascii="宋体" w:hAnsi="宋体" w:eastAsia="宋体" w:cs="宋体"/>
          <w:color w:val="auto"/>
          <w:sz w:val="24"/>
          <w:szCs w:val="24"/>
          <w:highlight w:val="none"/>
          <w:lang w:val="en-US" w:eastAsia="zh-CN"/>
        </w:rPr>
      </w:pPr>
    </w:p>
    <w:p>
      <w:pPr>
        <w:pStyle w:val="75"/>
        <w:outlineLvl w:val="2"/>
        <w:rPr>
          <w:rFonts w:hint="eastAsia" w:ascii="宋体" w:hAnsi="宋体" w:eastAsia="宋体" w:cs="宋体"/>
          <w:color w:val="auto"/>
          <w:sz w:val="24"/>
          <w:szCs w:val="24"/>
          <w:highlight w:val="none"/>
          <w:lang w:val="en-US" w:eastAsia="zh-CN"/>
        </w:rPr>
      </w:pPr>
    </w:p>
    <w:p>
      <w:pPr>
        <w:pStyle w:val="75"/>
        <w:outlineLvl w:val="2"/>
        <w:rPr>
          <w:rFonts w:hint="eastAsia" w:ascii="宋体" w:hAnsi="宋体" w:eastAsia="宋体" w:cs="宋体"/>
          <w:color w:val="auto"/>
          <w:sz w:val="24"/>
          <w:szCs w:val="24"/>
          <w:highlight w:val="none"/>
          <w:lang w:val="en-US" w:eastAsia="zh-CN"/>
        </w:rPr>
      </w:pPr>
    </w:p>
    <w:p>
      <w:pPr>
        <w:pStyle w:val="75"/>
        <w:jc w:val="center"/>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bookmarkEnd w:id="336"/>
      <w:bookmarkEnd w:id="337"/>
      <w:r>
        <w:rPr>
          <w:rFonts w:hint="eastAsia" w:ascii="宋体" w:hAnsi="宋体" w:eastAsia="宋体" w:cs="宋体"/>
          <w:color w:val="auto"/>
          <w:sz w:val="24"/>
          <w:szCs w:val="24"/>
          <w:highlight w:val="none"/>
        </w:rPr>
        <w:t>不参与围标串标承诺书</w:t>
      </w:r>
    </w:p>
    <w:p>
      <w:pPr>
        <w:pStyle w:val="76"/>
        <w:spacing w:line="6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本人作为</w:t>
      </w:r>
      <w:r>
        <w:rPr>
          <w:rFonts w:hint="eastAsia" w:ascii="宋体" w:hAnsi="宋体" w:eastAsia="宋体" w:cs="宋体"/>
          <w:color w:val="auto"/>
          <w:sz w:val="24"/>
          <w:szCs w:val="24"/>
          <w:highlight w:val="none"/>
          <w:u w:val="single"/>
        </w:rPr>
        <w:t xml:space="preserve">（单位名称）                    </w:t>
      </w:r>
      <w:r>
        <w:rPr>
          <w:rFonts w:hint="eastAsia" w:ascii="宋体" w:hAnsi="宋体" w:eastAsia="宋体" w:cs="宋体"/>
          <w:color w:val="auto"/>
          <w:sz w:val="24"/>
          <w:szCs w:val="24"/>
          <w:highlight w:val="none"/>
        </w:rPr>
        <w:t>的法人，清楚知晓我公司本项目投标活动，对以下事项作出承诺：</w:t>
      </w:r>
    </w:p>
    <w:p>
      <w:pPr>
        <w:pStyle w:val="76"/>
        <w:spacing w:line="6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一、我单位遵循公开、公平、公正、诚实守信的原则，依法依规参与本项目竞标。</w:t>
      </w:r>
    </w:p>
    <w:p>
      <w:pPr>
        <w:pStyle w:val="76"/>
        <w:spacing w:line="6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二、我单位在本项目招标投标活动中，未参与围标串标。</w:t>
      </w:r>
    </w:p>
    <w:p>
      <w:pPr>
        <w:pStyle w:val="76"/>
        <w:spacing w:line="64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三、我单位如被查实在本项目招标投标活动中存在围标串标的，递交投标文件行为作为实施串通投标违法行为的关键环节，本人承担直接责任人员法律责任，接受相应行政处罚和失信惩戒。</w:t>
      </w:r>
    </w:p>
    <w:p>
      <w:pPr>
        <w:pStyle w:val="76"/>
        <w:spacing w:line="6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p>
      <w:pPr>
        <w:pStyle w:val="76"/>
        <w:spacing w:line="6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标段号：    </w:t>
      </w:r>
    </w:p>
    <w:p>
      <w:pPr>
        <w:pStyle w:val="76"/>
        <w:spacing w:line="6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单位名称：</w:t>
      </w:r>
    </w:p>
    <w:p>
      <w:pPr>
        <w:pStyle w:val="76"/>
        <w:spacing w:line="6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法人签名：</w:t>
      </w:r>
    </w:p>
    <w:p>
      <w:pPr>
        <w:pStyle w:val="76"/>
        <w:spacing w:line="6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76"/>
        <w:spacing w:line="640" w:lineRule="exact"/>
        <w:jc w:val="left"/>
        <w:rPr>
          <w:rFonts w:hint="eastAsia" w:ascii="宋体" w:hAnsi="宋体" w:eastAsia="宋体" w:cs="宋体"/>
          <w:color w:val="auto"/>
          <w:sz w:val="24"/>
          <w:szCs w:val="24"/>
          <w:highlight w:val="none"/>
        </w:rPr>
      </w:pPr>
    </w:p>
    <w:p>
      <w:pPr>
        <w:pStyle w:val="71"/>
        <w:adjustRightInd w:val="0"/>
        <w:snapToGri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投标人法定代表人（电子签名）：</w:t>
      </w:r>
      <w:r>
        <w:rPr>
          <w:rFonts w:hint="eastAsia" w:ascii="宋体" w:hAnsi="宋体" w:eastAsia="宋体" w:cs="宋体"/>
          <w:color w:val="auto"/>
          <w:sz w:val="24"/>
          <w:szCs w:val="24"/>
          <w:highlight w:val="none"/>
          <w:u w:val="single"/>
        </w:rPr>
        <w:t xml:space="preserve">                  </w:t>
      </w:r>
    </w:p>
    <w:p>
      <w:pPr>
        <w:pStyle w:val="71"/>
        <w:adjustRightInd w:val="0"/>
        <w:snapToGrid w:val="0"/>
        <w:spacing w:line="5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投标人名称（电子签章）：</w:t>
      </w:r>
      <w:r>
        <w:rPr>
          <w:rFonts w:hint="eastAsia" w:ascii="宋体" w:hAnsi="宋体" w:eastAsia="宋体" w:cs="宋体"/>
          <w:color w:val="auto"/>
          <w:sz w:val="24"/>
          <w:szCs w:val="24"/>
          <w:highlight w:val="none"/>
          <w:u w:val="single"/>
        </w:rPr>
        <w:t xml:space="preserve">                       </w:t>
      </w:r>
    </w:p>
    <w:p>
      <w:pPr>
        <w:pStyle w:val="71"/>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w:t>
      </w:r>
    </w:p>
    <w:p>
      <w:pPr>
        <w:pStyle w:val="77"/>
        <w:adjustRightInd w:val="0"/>
        <w:snapToGrid w:val="0"/>
        <w:spacing w:line="500" w:lineRule="exact"/>
        <w:rPr>
          <w:rFonts w:hint="eastAsia" w:ascii="宋体" w:hAnsi="宋体" w:eastAsia="宋体" w:cs="宋体"/>
          <w:color w:val="auto"/>
          <w:sz w:val="24"/>
          <w:szCs w:val="24"/>
          <w:highlight w:val="none"/>
          <w:lang w:val="en-US" w:eastAsia="zh-CN"/>
        </w:rPr>
      </w:pPr>
    </w:p>
    <w:p>
      <w:pPr>
        <w:pStyle w:val="78"/>
        <w:outlineLvl w:val="2"/>
        <w:rPr>
          <w:rFonts w:hint="eastAsia" w:ascii="宋体" w:hAnsi="宋体" w:eastAsia="宋体" w:cs="宋体"/>
          <w:color w:val="auto"/>
          <w:sz w:val="24"/>
          <w:szCs w:val="24"/>
          <w:highlight w:val="none"/>
          <w:lang w:val="en-US" w:eastAsia="zh-CN"/>
        </w:rPr>
      </w:pPr>
      <w:bookmarkStart w:id="338" w:name="_Toc256000050"/>
      <w:bookmarkStart w:id="339" w:name="_Toc27496"/>
      <w:bookmarkStart w:id="340" w:name="_Toc14405"/>
    </w:p>
    <w:p>
      <w:pPr>
        <w:pStyle w:val="78"/>
        <w:outlineLvl w:val="2"/>
        <w:rPr>
          <w:rFonts w:hint="eastAsia" w:ascii="宋体" w:hAnsi="宋体" w:eastAsia="宋体" w:cs="宋体"/>
          <w:color w:val="auto"/>
          <w:sz w:val="24"/>
          <w:szCs w:val="24"/>
          <w:highlight w:val="none"/>
          <w:lang w:val="en-US" w:eastAsia="zh-CN"/>
        </w:rPr>
      </w:pPr>
    </w:p>
    <w:p>
      <w:pPr>
        <w:pStyle w:val="78"/>
        <w:outlineLvl w:val="2"/>
        <w:rPr>
          <w:rFonts w:hint="eastAsia" w:ascii="宋体" w:hAnsi="宋体" w:eastAsia="宋体" w:cs="宋体"/>
          <w:color w:val="auto"/>
          <w:sz w:val="24"/>
          <w:szCs w:val="24"/>
          <w:highlight w:val="none"/>
          <w:lang w:val="en-US" w:eastAsia="zh-CN"/>
        </w:rPr>
      </w:pPr>
    </w:p>
    <w:p>
      <w:pPr>
        <w:pStyle w:val="78"/>
        <w:outlineLvl w:val="2"/>
        <w:rPr>
          <w:rFonts w:hint="eastAsia" w:ascii="宋体" w:hAnsi="宋体" w:eastAsia="宋体" w:cs="宋体"/>
          <w:color w:val="auto"/>
          <w:sz w:val="24"/>
          <w:szCs w:val="24"/>
          <w:highlight w:val="none"/>
          <w:lang w:val="en-US" w:eastAsia="zh-CN"/>
        </w:rPr>
      </w:pPr>
    </w:p>
    <w:p>
      <w:pPr>
        <w:pStyle w:val="78"/>
        <w:outlineLvl w:val="2"/>
        <w:rPr>
          <w:rFonts w:hint="eastAsia" w:ascii="宋体" w:hAnsi="宋体" w:eastAsia="宋体" w:cs="宋体"/>
          <w:color w:val="auto"/>
          <w:sz w:val="24"/>
          <w:szCs w:val="24"/>
          <w:highlight w:val="none"/>
          <w:lang w:val="en-US" w:eastAsia="zh-CN"/>
        </w:rPr>
      </w:pPr>
    </w:p>
    <w:p>
      <w:pPr>
        <w:pStyle w:val="78"/>
        <w:outlineLvl w:val="2"/>
        <w:rPr>
          <w:rFonts w:hint="eastAsia" w:ascii="宋体" w:hAnsi="宋体" w:eastAsia="宋体" w:cs="宋体"/>
          <w:color w:val="auto"/>
          <w:sz w:val="24"/>
          <w:szCs w:val="24"/>
          <w:highlight w:val="none"/>
          <w:lang w:val="en-US" w:eastAsia="zh-CN"/>
        </w:rPr>
      </w:pPr>
    </w:p>
    <w:p>
      <w:pPr>
        <w:pStyle w:val="78"/>
        <w:outlineLvl w:val="2"/>
        <w:rPr>
          <w:rFonts w:hint="eastAsia" w:ascii="宋体" w:hAnsi="宋体" w:eastAsia="宋体" w:cs="宋体"/>
          <w:color w:val="auto"/>
          <w:sz w:val="24"/>
          <w:szCs w:val="24"/>
          <w:highlight w:val="none"/>
          <w:lang w:val="en-US" w:eastAsia="zh-CN"/>
        </w:rPr>
      </w:pPr>
    </w:p>
    <w:p>
      <w:pPr>
        <w:pStyle w:val="78"/>
        <w:outlineLvl w:val="2"/>
        <w:rPr>
          <w:rFonts w:hint="eastAsia" w:ascii="宋体" w:hAnsi="宋体" w:eastAsia="宋体" w:cs="宋体"/>
          <w:color w:val="auto"/>
          <w:sz w:val="24"/>
          <w:szCs w:val="24"/>
          <w:highlight w:val="none"/>
          <w:lang w:val="en-US" w:eastAsia="zh-CN"/>
        </w:rPr>
      </w:pPr>
    </w:p>
    <w:p>
      <w:pPr>
        <w:pStyle w:val="78"/>
        <w:jc w:val="center"/>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《中华人民共和国政府采购法》第二十二条应当具备的条件</w:t>
      </w:r>
      <w:bookmarkEnd w:id="338"/>
      <w:bookmarkEnd w:id="339"/>
      <w:bookmarkEnd w:id="340"/>
    </w:p>
    <w:p>
      <w:pPr>
        <w:pStyle w:val="79"/>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①具有独立承担民事责任的能力；</w:t>
      </w:r>
    </w:p>
    <w:p>
      <w:pPr>
        <w:pStyle w:val="79"/>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②具有良好的商业信誉和健全的财务会计制度；</w:t>
      </w:r>
    </w:p>
    <w:p>
      <w:pPr>
        <w:pStyle w:val="79"/>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③具有履行合同所必需的设备和专业技术能力；</w:t>
      </w:r>
    </w:p>
    <w:p>
      <w:pPr>
        <w:pStyle w:val="79"/>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④有依法缴纳税收和社会保障资金的良好记录；</w:t>
      </w:r>
    </w:p>
    <w:p>
      <w:pPr>
        <w:pStyle w:val="79"/>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⑤参加政府采购活动前三年内，在经营活动中没有重大违法记录；</w:t>
      </w:r>
    </w:p>
    <w:p>
      <w:pPr>
        <w:pStyle w:val="7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⑥</w:t>
      </w:r>
      <w:r>
        <w:rPr>
          <w:rFonts w:hint="eastAsia" w:ascii="宋体" w:hAnsi="宋体" w:eastAsia="宋体" w:cs="宋体"/>
          <w:color w:val="auto"/>
          <w:sz w:val="24"/>
          <w:szCs w:val="24"/>
          <w:highlight w:val="none"/>
        </w:rPr>
        <w:t>法律、行政法规规定的其他条件;</w:t>
      </w:r>
    </w:p>
    <w:p>
      <w:pPr>
        <w:pStyle w:val="80"/>
        <w:outlineLvl w:val="1"/>
        <w:rPr>
          <w:rFonts w:hint="eastAsia" w:ascii="宋体" w:hAnsi="宋体" w:eastAsia="宋体" w:cs="宋体"/>
          <w:color w:val="auto"/>
          <w:sz w:val="24"/>
          <w:szCs w:val="24"/>
          <w:highlight w:val="none"/>
        </w:rPr>
      </w:pPr>
      <w:bookmarkStart w:id="341" w:name="_Toc256000049"/>
      <w:bookmarkEnd w:id="341"/>
      <w:bookmarkStart w:id="342" w:name="_Toc31165"/>
      <w:bookmarkStart w:id="343" w:name="_Toc22303"/>
      <w:bookmarkStart w:id="344" w:name="_Toc9494"/>
      <w:bookmarkStart w:id="345" w:name="_Toc256000051"/>
      <w:bookmarkStart w:id="346" w:name="_Toc17894"/>
      <w:r>
        <w:rPr>
          <w:rFonts w:hint="eastAsia" w:ascii="宋体" w:hAnsi="宋体" w:eastAsia="宋体" w:cs="宋体"/>
          <w:color w:val="auto"/>
          <w:sz w:val="24"/>
          <w:szCs w:val="24"/>
          <w:highlight w:val="none"/>
        </w:rPr>
        <w:t>须提供以下资料：</w:t>
      </w:r>
      <w:bookmarkEnd w:id="342"/>
      <w:bookmarkEnd w:id="343"/>
      <w:bookmarkEnd w:id="344"/>
      <w:bookmarkEnd w:id="345"/>
      <w:bookmarkEnd w:id="346"/>
    </w:p>
    <w:p>
      <w:pPr>
        <w:pStyle w:val="85"/>
        <w:spacing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1、具有独立承担民事责任的能力；须提供相关证明材料，其中：</w:t>
      </w:r>
    </w:p>
    <w:p>
      <w:pPr>
        <w:pStyle w:val="86"/>
        <w:spacing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是企业（包括合伙企业）的，</w:t>
      </w:r>
      <w:r>
        <w:rPr>
          <w:rFonts w:hint="eastAsia" w:ascii="宋体" w:hAnsi="宋体" w:eastAsia="宋体" w:cs="宋体"/>
          <w:color w:val="auto"/>
          <w:sz w:val="24"/>
          <w:szCs w:val="24"/>
          <w:highlight w:val="none"/>
        </w:rPr>
        <w:t>须提供其在工商部门注册的有效“营业执照”的复印件（如 “三证合一”</w:t>
      </w:r>
      <w:r>
        <w:rPr>
          <w:rFonts w:hint="eastAsia" w:ascii="宋体" w:hAnsi="宋体" w:eastAsia="宋体" w:cs="宋体"/>
          <w:color w:val="auto"/>
          <w:kern w:val="0"/>
          <w:sz w:val="24"/>
          <w:szCs w:val="24"/>
          <w:highlight w:val="none"/>
        </w:rPr>
        <w:t>或“五证合一”</w:t>
      </w:r>
      <w:r>
        <w:rPr>
          <w:rFonts w:hint="eastAsia" w:ascii="宋体" w:hAnsi="宋体" w:eastAsia="宋体" w:cs="宋体"/>
          <w:color w:val="auto"/>
          <w:sz w:val="24"/>
          <w:szCs w:val="24"/>
          <w:highlight w:val="none"/>
        </w:rPr>
        <w:t>须提供工商行政管理部门核发加载统一社会信用代码的营业执照；如未“三证合一”</w:t>
      </w:r>
      <w:r>
        <w:rPr>
          <w:rFonts w:hint="eastAsia" w:ascii="宋体" w:hAnsi="宋体" w:eastAsia="宋体" w:cs="宋体"/>
          <w:color w:val="auto"/>
          <w:kern w:val="0"/>
          <w:sz w:val="24"/>
          <w:szCs w:val="24"/>
          <w:highlight w:val="none"/>
        </w:rPr>
        <w:t>或“五证合一”</w:t>
      </w:r>
      <w:r>
        <w:rPr>
          <w:rFonts w:hint="eastAsia" w:ascii="宋体" w:hAnsi="宋体" w:eastAsia="宋体" w:cs="宋体"/>
          <w:color w:val="auto"/>
          <w:sz w:val="24"/>
          <w:szCs w:val="24"/>
          <w:highlight w:val="none"/>
        </w:rPr>
        <w:t>则须提供</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的营业执照、税务登记证书及组织机构代码证）；</w:t>
      </w:r>
    </w:p>
    <w:p>
      <w:pPr>
        <w:pStyle w:val="86"/>
        <w:spacing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是事业单位的</w:t>
      </w:r>
      <w:r>
        <w:rPr>
          <w:rFonts w:hint="eastAsia" w:ascii="宋体" w:hAnsi="宋体" w:eastAsia="宋体" w:cs="宋体"/>
          <w:color w:val="auto"/>
          <w:sz w:val="24"/>
          <w:szCs w:val="24"/>
          <w:highlight w:val="none"/>
        </w:rPr>
        <w:t>，须提供其有效的“事业单位法人证书”复印件；</w:t>
      </w:r>
    </w:p>
    <w:p>
      <w:pPr>
        <w:pStyle w:val="86"/>
        <w:spacing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是非企业专业服务机构的，</w:t>
      </w:r>
      <w:r>
        <w:rPr>
          <w:rFonts w:hint="eastAsia" w:ascii="宋体" w:hAnsi="宋体" w:eastAsia="宋体" w:cs="宋体"/>
          <w:color w:val="auto"/>
          <w:sz w:val="24"/>
          <w:szCs w:val="24"/>
          <w:highlight w:val="none"/>
        </w:rPr>
        <w:t>须提供其有效的执业许可证复印件；</w:t>
      </w:r>
    </w:p>
    <w:p>
      <w:pPr>
        <w:pStyle w:val="86"/>
        <w:spacing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是个体工商户的，</w:t>
      </w:r>
      <w:r>
        <w:rPr>
          <w:rFonts w:hint="eastAsia" w:ascii="宋体" w:hAnsi="宋体" w:eastAsia="宋体" w:cs="宋体"/>
          <w:color w:val="auto"/>
          <w:sz w:val="24"/>
          <w:szCs w:val="24"/>
          <w:highlight w:val="none"/>
        </w:rPr>
        <w:t>须提供其有效的“个体工商户营业执照” 复印件；</w:t>
      </w:r>
    </w:p>
    <w:p>
      <w:pPr>
        <w:pStyle w:val="86"/>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以上复印件须加盖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公章。</w:t>
      </w:r>
    </w:p>
    <w:p>
      <w:pPr>
        <w:pStyle w:val="86"/>
        <w:spacing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是自然人的，</w:t>
      </w:r>
      <w:r>
        <w:rPr>
          <w:rFonts w:hint="eastAsia" w:ascii="宋体" w:hAnsi="宋体" w:eastAsia="宋体" w:cs="宋体"/>
          <w:color w:val="auto"/>
          <w:sz w:val="24"/>
          <w:szCs w:val="24"/>
          <w:highlight w:val="none"/>
        </w:rPr>
        <w:t>应提供其有效的自然人身份证明；</w:t>
      </w:r>
    </w:p>
    <w:p>
      <w:pPr>
        <w:pStyle w:val="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85"/>
        <w:spacing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2、具有良好的商业信誉和健全的财务会计制度；须提供相关证明材料，其中：</w:t>
      </w:r>
    </w:p>
    <w:p>
      <w:pPr>
        <w:pStyle w:val="86"/>
        <w:spacing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是法人的，</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提供2020年度经第三方审计的财务会计报告或者投标人基本开户银行出具的开标日前六个月以内的资信证明；若企业成立期限不足一年者以营业执照实际成立期限为准，并按实际成立期限之日起提供健全的财务会计制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86"/>
        <w:spacing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是其他组织或自然人的，</w:t>
      </w:r>
      <w:r>
        <w:rPr>
          <w:rFonts w:hint="eastAsia" w:ascii="宋体" w:hAnsi="宋体" w:eastAsia="宋体" w:cs="宋体"/>
          <w:color w:val="auto"/>
          <w:sz w:val="24"/>
          <w:szCs w:val="24"/>
          <w:highlight w:val="none"/>
        </w:rPr>
        <w:t>须提供银行出具的资信证明原件；</w:t>
      </w:r>
    </w:p>
    <w:p>
      <w:pPr>
        <w:pStyle w:val="85"/>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银行资信证明无收受人和项目的限制，银行资信证明可以是复印件，</w:t>
      </w:r>
      <w:r>
        <w:rPr>
          <w:rFonts w:hint="eastAsia" w:ascii="宋体" w:hAnsi="宋体" w:cs="宋体"/>
          <w:color w:val="auto"/>
          <w:sz w:val="24"/>
          <w:szCs w:val="24"/>
          <w:highlight w:val="none"/>
          <w:lang w:eastAsia="zh-CN"/>
        </w:rPr>
        <w:t>磋商小组</w:t>
      </w:r>
      <w:r>
        <w:rPr>
          <w:rFonts w:hint="eastAsia" w:ascii="宋体" w:hAnsi="宋体" w:eastAsia="宋体" w:cs="宋体"/>
          <w:color w:val="auto"/>
          <w:sz w:val="24"/>
          <w:szCs w:val="24"/>
          <w:highlight w:val="none"/>
        </w:rPr>
        <w:t>保留审核原件的权利。资信证明的开具银行明确规定复印无效的，须提交原件；</w:t>
      </w:r>
    </w:p>
    <w:p>
      <w:pPr>
        <w:pStyle w:val="8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3、具有履行合同所必需的设备和专业技术能力；须附相关证明材料或书面声明</w:t>
      </w:r>
    </w:p>
    <w:p>
      <w:pPr>
        <w:pStyle w:val="80"/>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p>
    <w:p>
      <w:pPr>
        <w:pStyle w:val="80"/>
        <w:outlineLvl w:val="1"/>
        <w:rPr>
          <w:rFonts w:hint="eastAsia" w:ascii="宋体" w:hAnsi="宋体" w:eastAsia="宋体" w:cs="宋体"/>
          <w:b w:val="0"/>
          <w:bCs w:val="0"/>
          <w:color w:val="auto"/>
          <w:sz w:val="24"/>
          <w:szCs w:val="24"/>
          <w:highlight w:val="none"/>
          <w:lang w:eastAsia="zh-CN"/>
        </w:rPr>
      </w:pPr>
      <w:bookmarkStart w:id="347" w:name="_Toc256000052"/>
      <w:bookmarkEnd w:id="347"/>
      <w:bookmarkStart w:id="348" w:name="_Toc256000059"/>
      <w:bookmarkStart w:id="349" w:name="_Toc18095"/>
      <w:bookmarkStart w:id="350" w:name="_Toc2282"/>
      <w:bookmarkStart w:id="351" w:name="_Toc2568"/>
      <w:bookmarkStart w:id="352" w:name="_Toc31948"/>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书面声明格式</w:t>
      </w:r>
      <w:r>
        <w:rPr>
          <w:rFonts w:hint="eastAsia" w:ascii="宋体" w:hAnsi="宋体" w:eastAsia="宋体" w:cs="宋体"/>
          <w:b w:val="0"/>
          <w:bCs w:val="0"/>
          <w:color w:val="auto"/>
          <w:sz w:val="24"/>
          <w:szCs w:val="24"/>
          <w:highlight w:val="none"/>
          <w:lang w:val="en-US" w:eastAsia="zh-CN"/>
        </w:rPr>
        <w:t>自拟</w:t>
      </w:r>
      <w:bookmarkEnd w:id="348"/>
      <w:bookmarkEnd w:id="349"/>
      <w:r>
        <w:rPr>
          <w:rFonts w:hint="eastAsia" w:ascii="宋体" w:hAnsi="宋体" w:eastAsia="宋体" w:cs="宋体"/>
          <w:b w:val="0"/>
          <w:bCs w:val="0"/>
          <w:color w:val="auto"/>
          <w:sz w:val="24"/>
          <w:szCs w:val="24"/>
          <w:highlight w:val="none"/>
          <w:lang w:eastAsia="zh-CN"/>
        </w:rPr>
        <w:t>）：</w:t>
      </w:r>
      <w:bookmarkEnd w:id="350"/>
      <w:bookmarkEnd w:id="351"/>
      <w:bookmarkEnd w:id="352"/>
    </w:p>
    <w:p>
      <w:pPr>
        <w:pStyle w:val="80"/>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p>
    <w:p>
      <w:pPr>
        <w:pStyle w:val="80"/>
        <w:outlineLvl w:val="9"/>
        <w:rPr>
          <w:rFonts w:hint="eastAsia" w:ascii="宋体" w:hAnsi="宋体" w:eastAsia="宋体" w:cs="宋体"/>
          <w:b w:val="0"/>
          <w:bCs w:val="0"/>
          <w:color w:val="auto"/>
          <w:sz w:val="24"/>
          <w:szCs w:val="24"/>
          <w:highlight w:val="none"/>
        </w:rPr>
      </w:pPr>
      <w:bookmarkStart w:id="353" w:name="_Toc256000055"/>
      <w:bookmarkEnd w:id="353"/>
      <w:r>
        <w:rPr>
          <w:rFonts w:hint="eastAsia" w:ascii="宋体" w:hAnsi="宋体" w:eastAsia="宋体" w:cs="宋体"/>
          <w:b w:val="0"/>
          <w:bCs w:val="0"/>
          <w:color w:val="auto"/>
          <w:sz w:val="24"/>
          <w:szCs w:val="24"/>
          <w:highlight w:val="none"/>
        </w:rPr>
        <w:t xml:space="preserve"> </w:t>
      </w:r>
    </w:p>
    <w:p>
      <w:pPr>
        <w:pStyle w:val="86"/>
        <w:spacing w:line="440" w:lineRule="exac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bCs/>
          <w:color w:val="auto"/>
          <w:sz w:val="24"/>
          <w:szCs w:val="24"/>
          <w:highlight w:val="none"/>
        </w:rPr>
        <w:t>4、有依法缴纳税收和社会保障资金的良好记录；</w:t>
      </w:r>
      <w:r>
        <w:rPr>
          <w:rFonts w:hint="eastAsia" w:ascii="宋体" w:hAnsi="宋体" w:eastAsia="宋体" w:cs="宋体"/>
          <w:color w:val="auto"/>
          <w:kern w:val="0"/>
          <w:sz w:val="24"/>
          <w:szCs w:val="24"/>
          <w:highlight w:val="none"/>
          <w:lang w:val="en-US" w:eastAsia="zh-CN" w:bidi="ar-SA"/>
        </w:rPr>
        <w:t>须提供有依法缴纳税收和社会保障资金的良好记录（</w:t>
      </w:r>
      <w:r>
        <w:rPr>
          <w:rFonts w:hint="eastAsia" w:ascii="宋体" w:hAnsi="宋体" w:eastAsia="宋体" w:cs="宋体"/>
          <w:color w:val="auto"/>
          <w:kern w:val="2"/>
          <w:sz w:val="24"/>
          <w:szCs w:val="24"/>
          <w:highlight w:val="none"/>
          <w:lang w:val="en-US" w:eastAsia="zh-CN" w:bidi="ar-SA"/>
        </w:rPr>
        <w:t>须提供参加本次政府采购活动近六个月内任意一个月由税务局或社保局或银行出具的社会保障资金缴费凭证；投标人逐年缴纳社会保障资金的，须提供参加本次政府采购活动上年度由税务局或社保局或银行出具的社会保障资金缴费凭证</w:t>
      </w:r>
      <w:r>
        <w:rPr>
          <w:rFonts w:hint="eastAsia" w:ascii="宋体" w:hAnsi="宋体" w:eastAsia="宋体" w:cs="宋体"/>
          <w:color w:val="auto"/>
          <w:kern w:val="0"/>
          <w:sz w:val="24"/>
          <w:szCs w:val="24"/>
          <w:highlight w:val="none"/>
          <w:lang w:val="en-US" w:eastAsia="zh-CN" w:bidi="ar-SA"/>
        </w:rPr>
        <w:t>，享受免税政策的企业须提供免税证明）；</w:t>
      </w:r>
    </w:p>
    <w:p>
      <w:pPr>
        <w:pStyle w:val="80"/>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p>
    <w:p>
      <w:pPr>
        <w:pStyle w:val="80"/>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p>
    <w:p>
      <w:pPr>
        <w:pStyle w:val="80"/>
        <w:outlineLvl w:val="1"/>
        <w:rPr>
          <w:rFonts w:hint="eastAsia" w:ascii="宋体" w:hAnsi="宋体" w:eastAsia="宋体" w:cs="宋体"/>
          <w:color w:val="auto"/>
          <w:sz w:val="24"/>
          <w:szCs w:val="24"/>
          <w:highlight w:val="none"/>
        </w:rPr>
      </w:pPr>
      <w:bookmarkStart w:id="354" w:name="_Toc256000054"/>
      <w:bookmarkEnd w:id="354"/>
      <w:bookmarkStart w:id="355" w:name="_Toc256000061"/>
      <w:bookmarkStart w:id="356" w:name="_Toc9022"/>
      <w:bookmarkStart w:id="357" w:name="_Toc256000068"/>
      <w:bookmarkStart w:id="358" w:name="_Toc25978"/>
      <w:bookmarkStart w:id="359" w:name="_Toc29557"/>
      <w:bookmarkStart w:id="360" w:name="_Toc18884"/>
      <w:r>
        <w:rPr>
          <w:rFonts w:hint="eastAsia" w:ascii="宋体" w:hAnsi="宋体" w:eastAsia="宋体" w:cs="宋体"/>
          <w:color w:val="auto"/>
          <w:sz w:val="24"/>
          <w:szCs w:val="24"/>
          <w:highlight w:val="none"/>
        </w:rPr>
        <w:t>5、参加政府采购活动前</w:t>
      </w:r>
      <w:bookmarkEnd w:id="355"/>
      <w:bookmarkStart w:id="361" w:name="_Toc16914_WPSOffice_Level1"/>
      <w:r>
        <w:rPr>
          <w:rFonts w:hint="eastAsia" w:ascii="宋体" w:hAnsi="宋体" w:eastAsia="宋体" w:cs="宋体"/>
          <w:color w:val="auto"/>
          <w:sz w:val="24"/>
          <w:szCs w:val="24"/>
          <w:highlight w:val="none"/>
        </w:rPr>
        <w:t>三年内，在经</w:t>
      </w:r>
      <w:bookmarkEnd w:id="361"/>
      <w:r>
        <w:rPr>
          <w:rFonts w:hint="eastAsia" w:ascii="宋体" w:hAnsi="宋体" w:eastAsia="宋体" w:cs="宋体"/>
          <w:color w:val="auto"/>
          <w:sz w:val="24"/>
          <w:szCs w:val="24"/>
          <w:highlight w:val="none"/>
        </w:rPr>
        <w:t>营活动中没有重大违法记录；须提供书面声明</w:t>
      </w:r>
      <w:bookmarkEnd w:id="356"/>
      <w:bookmarkEnd w:id="357"/>
      <w:bookmarkEnd w:id="358"/>
      <w:bookmarkEnd w:id="359"/>
      <w:bookmarkEnd w:id="360"/>
    </w:p>
    <w:p>
      <w:pPr>
        <w:pStyle w:val="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80"/>
        <w:outlineLvl w:val="1"/>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书面声明格式</w:t>
      </w:r>
      <w:r>
        <w:rPr>
          <w:rFonts w:hint="eastAsia" w:ascii="宋体" w:hAnsi="宋体" w:eastAsia="宋体" w:cs="宋体"/>
          <w:b w:val="0"/>
          <w:bCs w:val="0"/>
          <w:color w:val="auto"/>
          <w:sz w:val="24"/>
          <w:szCs w:val="24"/>
          <w:highlight w:val="none"/>
          <w:lang w:val="en-US" w:eastAsia="zh-CN"/>
        </w:rPr>
        <w:t>自拟</w:t>
      </w:r>
      <w:r>
        <w:rPr>
          <w:rFonts w:hint="eastAsia" w:ascii="宋体" w:hAnsi="宋体" w:eastAsia="宋体" w:cs="宋体"/>
          <w:b w:val="0"/>
          <w:bCs w:val="0"/>
          <w:color w:val="auto"/>
          <w:sz w:val="24"/>
          <w:szCs w:val="24"/>
          <w:highlight w:val="none"/>
          <w:lang w:eastAsia="zh-CN"/>
        </w:rPr>
        <w:t>）：</w:t>
      </w:r>
    </w:p>
    <w:p>
      <w:pPr>
        <w:pStyle w:val="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87"/>
        <w:spacing w:line="440" w:lineRule="exac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6、法律、行政法规规定的其他条件;</w:t>
      </w:r>
    </w:p>
    <w:p>
      <w:pPr>
        <w:pStyle w:val="80"/>
        <w:spacing w:line="440" w:lineRule="exact"/>
        <w:ind w:firstLine="480" w:firstLineChars="200"/>
        <w:outlineLvl w:val="1"/>
        <w:rPr>
          <w:rFonts w:hint="eastAsia" w:ascii="宋体" w:hAnsi="宋体" w:eastAsia="宋体" w:cs="宋体"/>
          <w:b w:val="0"/>
          <w:bCs w:val="0"/>
          <w:color w:val="auto"/>
          <w:sz w:val="24"/>
          <w:szCs w:val="24"/>
          <w:highlight w:val="none"/>
        </w:rPr>
      </w:pPr>
      <w:bookmarkStart w:id="362" w:name="_Toc256000057"/>
      <w:bookmarkEnd w:id="362"/>
      <w:bookmarkStart w:id="363" w:name="_Toc256000048"/>
      <w:bookmarkEnd w:id="363"/>
      <w:bookmarkStart w:id="364" w:name="_Toc256000064"/>
      <w:bookmarkEnd w:id="364"/>
      <w:bookmarkStart w:id="365" w:name="_Toc29840"/>
      <w:bookmarkStart w:id="366" w:name="_Toc256000071"/>
      <w:bookmarkStart w:id="367" w:name="_Toc19831"/>
      <w:bookmarkStart w:id="368" w:name="_Toc24337"/>
      <w:bookmarkStart w:id="369" w:name="_Toc5763"/>
      <w:r>
        <w:rPr>
          <w:rFonts w:hint="eastAsia" w:ascii="宋体" w:hAnsi="宋体" w:eastAsia="宋体" w:cs="宋体"/>
          <w:b w:val="0"/>
          <w:bCs w:val="0"/>
          <w:color w:val="auto"/>
          <w:sz w:val="24"/>
          <w:szCs w:val="24"/>
          <w:highlight w:val="none"/>
        </w:rPr>
        <w:t>投标人须提供本单位“信用中国”网站（www.creditchina.gov.cn）及中国政府采购网（www.ccgp.gov.cn）已公布的信用记录查询结果截图。截图含被列入失信被执行人、重大税收违法案件当事人名单的投标人、列入政府采购严重违法失信行为记录名单。（查询的时间须为本项目公告之日至投标截止日之间），如相关失信记录已失效，投标人需提供相关证明资料。</w:t>
      </w:r>
      <w:bookmarkEnd w:id="365"/>
      <w:bookmarkEnd w:id="366"/>
      <w:bookmarkEnd w:id="367"/>
      <w:bookmarkEnd w:id="368"/>
      <w:bookmarkEnd w:id="369"/>
    </w:p>
    <w:p>
      <w:pPr>
        <w:pStyle w:val="86"/>
        <w:spacing w:line="440" w:lineRule="exact"/>
        <w:ind w:firstLine="480" w:firstLineChars="200"/>
        <w:jc w:val="both"/>
        <w:rPr>
          <w:rFonts w:hint="eastAsia" w:ascii="宋体" w:hAnsi="宋体" w:eastAsia="宋体" w:cs="宋体"/>
          <w:b w:val="0"/>
          <w:bCs w:val="0"/>
          <w:color w:val="auto"/>
          <w:kern w:val="0"/>
          <w:sz w:val="24"/>
          <w:szCs w:val="24"/>
          <w:highlight w:val="none"/>
          <w:lang w:val="en-US" w:eastAsia="zh-CN" w:bidi="ar-SA"/>
        </w:rPr>
      </w:pPr>
    </w:p>
    <w:p>
      <w:pPr>
        <w:pStyle w:val="86"/>
        <w:spacing w:line="440" w:lineRule="exact"/>
        <w:jc w:val="both"/>
        <w:rPr>
          <w:rFonts w:hint="eastAsia" w:ascii="宋体" w:hAnsi="宋体" w:eastAsia="宋体" w:cs="宋体"/>
          <w:b/>
          <w:bCs/>
          <w:color w:val="auto"/>
          <w:sz w:val="24"/>
          <w:szCs w:val="24"/>
          <w:highlight w:val="none"/>
          <w:u w:val="none"/>
        </w:rPr>
      </w:pPr>
      <w:r>
        <w:rPr>
          <w:rFonts w:hint="eastAsia" w:ascii="宋体" w:hAnsi="宋体" w:eastAsia="宋体" w:cs="宋体"/>
          <w:b/>
          <w:bCs/>
          <w:color w:val="auto"/>
          <w:kern w:val="0"/>
          <w:sz w:val="24"/>
          <w:szCs w:val="24"/>
          <w:highlight w:val="none"/>
          <w:u w:val="none"/>
          <w:lang w:val="en-US" w:eastAsia="zh-CN" w:bidi="ar-SA"/>
        </w:rPr>
        <w:t>注：上述投标人须提供的资格证明文件均应为有效文件，</w:t>
      </w:r>
      <w:r>
        <w:rPr>
          <w:rFonts w:hint="eastAsia" w:ascii="宋体" w:hAnsi="宋体" w:eastAsia="宋体" w:cs="宋体"/>
          <w:b/>
          <w:bCs/>
          <w:color w:val="auto"/>
          <w:sz w:val="24"/>
          <w:szCs w:val="24"/>
          <w:highlight w:val="none"/>
          <w:u w:val="none"/>
        </w:rPr>
        <w:t>否则评标时不予认可。</w:t>
      </w:r>
    </w:p>
    <w:p>
      <w:pPr>
        <w:pStyle w:val="88"/>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370" w:name="_Toc23536"/>
      <w:bookmarkStart w:id="371" w:name="_Toc4740"/>
      <w:bookmarkStart w:id="372" w:name="_Toc256000072"/>
    </w:p>
    <w:p>
      <w:pPr>
        <w:pStyle w:val="88"/>
        <w:jc w:val="center"/>
        <w:outlineLvl w:val="9"/>
        <w:rPr>
          <w:rFonts w:hint="eastAsia" w:ascii="宋体" w:hAnsi="宋体" w:eastAsia="宋体" w:cs="宋体"/>
          <w:color w:val="auto"/>
          <w:sz w:val="24"/>
          <w:szCs w:val="24"/>
          <w:highlight w:val="none"/>
        </w:rPr>
      </w:pPr>
    </w:p>
    <w:p>
      <w:pPr>
        <w:pStyle w:val="88"/>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8、投标人认为需提供的证明文件及其它资料</w:t>
      </w:r>
    </w:p>
    <w:p>
      <w:pPr>
        <w:pStyle w:val="71"/>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说明：此处上传</w:t>
      </w:r>
      <w:r>
        <w:rPr>
          <w:rFonts w:hint="eastAsia" w:ascii="宋体" w:hAnsi="宋体" w:eastAsia="宋体" w:cs="宋体"/>
          <w:color w:val="auto"/>
          <w:sz w:val="24"/>
          <w:szCs w:val="24"/>
          <w:highlight w:val="none"/>
          <w:lang w:val="en-US" w:eastAsia="zh-CN"/>
        </w:rPr>
        <w:t>投标人认为需提供的证明文件及其它资料</w:t>
      </w:r>
      <w:bookmarkEnd w:id="370"/>
      <w:bookmarkEnd w:id="371"/>
      <w:bookmarkEnd w:id="372"/>
    </w:p>
    <w:p>
      <w:pPr>
        <w:rPr>
          <w:rFonts w:hint="eastAsia" w:ascii="宋体" w:hAnsi="宋体" w:eastAsia="宋体" w:cs="宋体"/>
          <w:color w:val="auto"/>
          <w:sz w:val="24"/>
          <w:szCs w:val="24"/>
          <w:highlight w:val="none"/>
        </w:rPr>
      </w:pPr>
      <w:bookmarkStart w:id="373" w:name="_Toc18137"/>
      <w:bookmarkStart w:id="374" w:name="_Toc30989"/>
      <w:bookmarkStart w:id="375" w:name="_Toc2949"/>
      <w:bookmarkStart w:id="376" w:name="_Toc22350"/>
      <w:bookmarkStart w:id="377" w:name="_Toc256000073"/>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pStyle w:val="16"/>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三、商务文件</w:t>
      </w:r>
      <w:bookmarkEnd w:id="373"/>
      <w:bookmarkEnd w:id="374"/>
      <w:bookmarkEnd w:id="375"/>
      <w:bookmarkEnd w:id="376"/>
      <w:bookmarkEnd w:id="377"/>
    </w:p>
    <w:p>
      <w:pPr>
        <w:pStyle w:val="3"/>
        <w:keepNext/>
        <w:keepLines w:val="0"/>
        <w:pageBreakBefore w:val="0"/>
        <w:widowControl w:val="0"/>
        <w:numPr>
          <w:ilvl w:val="0"/>
          <w:numId w:val="0"/>
        </w:numPr>
        <w:kinsoku/>
        <w:wordWrap/>
        <w:overflowPunct/>
        <w:topLinePunct w:val="0"/>
        <w:autoSpaceDE/>
        <w:autoSpaceDN/>
        <w:bidi w:val="0"/>
        <w:adjustRightInd/>
        <w:snapToGrid/>
        <w:spacing w:after="100" w:afterAutospacing="1" w:line="440" w:lineRule="exact"/>
        <w:ind w:lef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投标函</w:t>
      </w:r>
    </w:p>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lang w:val="en-US" w:eastAsia="zh-CN"/>
        </w:rPr>
        <w:t>新疆诚信达招标代理有限责任公司</w:t>
      </w:r>
      <w:r>
        <w:rPr>
          <w:rFonts w:hint="eastAsia" w:ascii="宋体" w:hAnsi="宋体" w:eastAsia="宋体" w:cs="宋体"/>
          <w:color w:val="auto"/>
          <w:sz w:val="24"/>
          <w:szCs w:val="24"/>
          <w:highlight w:val="none"/>
        </w:rPr>
        <w:t>:</w:t>
      </w:r>
    </w:p>
    <w:p>
      <w:pPr>
        <w:spacing w:line="440" w:lineRule="exact"/>
        <w:ind w:firstLine="55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根据贵方为项目招标的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项目编号</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，签字代表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（姓名、职务）</w:t>
      </w:r>
      <w:r>
        <w:rPr>
          <w:rFonts w:hint="eastAsia" w:ascii="宋体" w:hAnsi="宋体" w:eastAsia="宋体" w:cs="宋体"/>
          <w:color w:val="auto"/>
          <w:sz w:val="24"/>
          <w:szCs w:val="24"/>
          <w:highlight w:val="none"/>
        </w:rPr>
        <w:t>经正式授权并代表投标人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（投标人名称、地址）</w:t>
      </w:r>
      <w:r>
        <w:rPr>
          <w:rFonts w:hint="eastAsia" w:ascii="宋体" w:hAnsi="宋体" w:eastAsia="宋体" w:cs="宋体"/>
          <w:color w:val="auto"/>
          <w:sz w:val="24"/>
          <w:szCs w:val="24"/>
          <w:highlight w:val="none"/>
        </w:rPr>
        <w:t>对此项目进行投标。据此函，签字代表宣布并同意如下：</w:t>
      </w:r>
    </w:p>
    <w:p>
      <w:pPr>
        <w:spacing w:line="44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1、所附明细报价表中规定的应提交和交付的货物和服务投标总价为</w:t>
      </w:r>
      <w:r>
        <w:rPr>
          <w:rFonts w:hint="eastAsia" w:ascii="宋体" w:hAnsi="宋体" w:eastAsia="宋体" w:cs="宋体"/>
          <w:color w:val="auto"/>
          <w:sz w:val="24"/>
          <w:szCs w:val="24"/>
          <w:highlight w:val="none"/>
          <w:u w:val="single"/>
          <w:lang w:val="en-US" w:eastAsia="zh-CN"/>
        </w:rPr>
        <w:t xml:space="preserve"> 小写：        元</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大写：     元整</w:t>
      </w:r>
      <w:r>
        <w:rPr>
          <w:rFonts w:hint="eastAsia" w:ascii="宋体" w:hAnsi="宋体" w:eastAsia="宋体" w:cs="宋体"/>
          <w:color w:val="auto"/>
          <w:sz w:val="24"/>
          <w:szCs w:val="24"/>
          <w:highlight w:val="none"/>
          <w:u w:val="single"/>
        </w:rPr>
        <w:t>）。</w:t>
      </w:r>
    </w:p>
    <w:p>
      <w:pPr>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2、我方同意在本项目</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中规定的开标日</w:t>
      </w:r>
      <w:r>
        <w:rPr>
          <w:rFonts w:hint="eastAsia" w:ascii="宋体" w:hAnsi="宋体" w:eastAsia="宋体" w:cs="宋体"/>
          <w:color w:val="auto"/>
          <w:sz w:val="24"/>
          <w:szCs w:val="24"/>
          <w:highlight w:val="none"/>
        </w:rPr>
        <w:t>起</w:t>
      </w:r>
      <w:r>
        <w:rPr>
          <w:rFonts w:hint="eastAsia" w:ascii="宋体" w:hAnsi="宋体" w:eastAsia="宋体" w:cs="宋体"/>
          <w:color w:val="auto"/>
          <w:sz w:val="24"/>
          <w:szCs w:val="24"/>
          <w:highlight w:val="none"/>
          <w:u w:val="single"/>
        </w:rPr>
        <w:t>九十日内</w:t>
      </w:r>
      <w:r>
        <w:rPr>
          <w:rFonts w:hint="eastAsia" w:ascii="宋体" w:hAnsi="宋体" w:eastAsia="宋体" w:cs="宋体"/>
          <w:color w:val="auto"/>
          <w:sz w:val="24"/>
          <w:szCs w:val="24"/>
          <w:highlight w:val="none"/>
        </w:rPr>
        <w:t>遵</w:t>
      </w:r>
      <w:r>
        <w:rPr>
          <w:rFonts w:hint="eastAsia" w:ascii="宋体" w:hAnsi="宋体" w:eastAsia="宋体" w:cs="宋体"/>
          <w:color w:val="auto"/>
          <w:sz w:val="24"/>
          <w:szCs w:val="24"/>
          <w:highlight w:val="none"/>
        </w:rPr>
        <w:t>守本</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中的承诺且在此期限期满之前均具有约束力。</w:t>
      </w:r>
    </w:p>
    <w:p>
      <w:pPr>
        <w:pStyle w:val="42"/>
        <w:snapToGrid w:val="0"/>
        <w:spacing w:line="440" w:lineRule="exact"/>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3、我方承诺已经具备《中华人民共和国</w:t>
      </w:r>
      <w:r>
        <w:rPr>
          <w:rFonts w:hint="eastAsia" w:ascii="宋体" w:hAnsi="宋体" w:eastAsia="宋体" w:cs="宋体"/>
          <w:color w:val="auto"/>
          <w:kern w:val="2"/>
          <w:sz w:val="24"/>
          <w:szCs w:val="24"/>
          <w:highlight w:val="none"/>
          <w:lang w:val="en-US" w:eastAsia="zh-CN"/>
        </w:rPr>
        <w:t>招标投标法</w:t>
      </w:r>
      <w:r>
        <w:rPr>
          <w:rFonts w:hint="eastAsia" w:ascii="宋体" w:hAnsi="宋体" w:eastAsia="宋体" w:cs="宋体"/>
          <w:color w:val="auto"/>
          <w:kern w:val="2"/>
          <w:sz w:val="24"/>
          <w:szCs w:val="24"/>
          <w:highlight w:val="none"/>
        </w:rPr>
        <w:t>》中规定的参加政府采购活动的制造商、代理商应当具备的条件：</w:t>
      </w:r>
    </w:p>
    <w:p>
      <w:pPr>
        <w:numPr>
          <w:ilvl w:val="0"/>
          <w:numId w:val="19"/>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具有独立承担民事责任的能力；</w:t>
      </w:r>
    </w:p>
    <w:p>
      <w:pPr>
        <w:numPr>
          <w:ilvl w:val="0"/>
          <w:numId w:val="19"/>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p>
      <w:pPr>
        <w:numPr>
          <w:ilvl w:val="0"/>
          <w:numId w:val="19"/>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p>
      <w:pPr>
        <w:numPr>
          <w:ilvl w:val="0"/>
          <w:numId w:val="19"/>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p>
      <w:pPr>
        <w:numPr>
          <w:ilvl w:val="0"/>
          <w:numId w:val="19"/>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参加此项采购活动前三年内，在经营活动中没有重大违法记录。</w:t>
      </w:r>
    </w:p>
    <w:p>
      <w:pPr>
        <w:numPr>
          <w:ilvl w:val="0"/>
          <w:numId w:val="20"/>
        </w:numPr>
        <w:adjustRightInd w:val="0"/>
        <w:snapToGrid w:val="0"/>
        <w:spacing w:line="440" w:lineRule="exact"/>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eastAsia="zh-CN"/>
        </w:rPr>
        <w:t>投标人须知前附表</w:t>
      </w:r>
      <w:r>
        <w:rPr>
          <w:rFonts w:hint="eastAsia" w:ascii="宋体" w:hAnsi="宋体" w:eastAsia="宋体" w:cs="宋体"/>
          <w:color w:val="auto"/>
          <w:sz w:val="24"/>
          <w:szCs w:val="24"/>
          <w:highlight w:val="none"/>
        </w:rPr>
        <w:t>规定的全部</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，包括</w:t>
      </w:r>
      <w:r>
        <w:rPr>
          <w:rFonts w:hint="eastAsia" w:ascii="宋体" w:hAnsi="宋体" w:eastAsia="宋体" w:cs="宋体"/>
          <w:color w:val="auto"/>
          <w:sz w:val="24"/>
          <w:szCs w:val="24"/>
          <w:highlight w:val="none"/>
          <w:lang w:val="en-US" w:eastAsia="zh-CN"/>
        </w:rPr>
        <w:t xml:space="preserve">投标文件电子版  </w:t>
      </w:r>
    </w:p>
    <w:p>
      <w:pPr>
        <w:numPr>
          <w:ilvl w:val="0"/>
          <w:numId w:val="20"/>
        </w:numPr>
        <w:adjustRightInd w:val="0"/>
        <w:snapToGrid w:val="0"/>
        <w:spacing w:line="44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要求提供和交付的货物和服务的投标报价详见投标报价表。</w:t>
      </w:r>
    </w:p>
    <w:p>
      <w:pPr>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6、保证忠实地执行双方所签订的合同，并承担合同规定的责任和义务。</w:t>
      </w:r>
    </w:p>
    <w:p>
      <w:pPr>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7、保证遵守</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的规定。</w:t>
      </w:r>
    </w:p>
    <w:p>
      <w:pPr>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8、如果在开标后规定的投标有效期内撤回投标，我方的投标保证金可被贵方没收。</w:t>
      </w:r>
    </w:p>
    <w:p>
      <w:pPr>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9、我方完全理解贵方不一定接受最低价的投标或收到的任何投标。</w:t>
      </w:r>
    </w:p>
    <w:p>
      <w:pPr>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10、我方愿意向贵方提供任何与本项投标有关的数据、情况和技术资料。若贵方需要，我方愿意提供我方作出的一切承诺的证明材料。</w:t>
      </w:r>
    </w:p>
    <w:p>
      <w:pPr>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11、我方已详细审核全部</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，包括“修改</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”（如有的话）、参考资料及有关附件，确认无误。</w:t>
      </w:r>
    </w:p>
    <w:p>
      <w:pPr>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12、我方承诺接受</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中合同部分</w:t>
      </w:r>
      <w:r>
        <w:rPr>
          <w:rFonts w:hint="eastAsia" w:ascii="宋体" w:hAnsi="宋体" w:eastAsia="宋体" w:cs="宋体"/>
          <w:color w:val="auto"/>
          <w:sz w:val="24"/>
          <w:szCs w:val="24"/>
          <w:highlight w:val="none"/>
        </w:rPr>
        <w:t>的全部条款且无任何异议。</w:t>
      </w:r>
    </w:p>
    <w:p>
      <w:pPr>
        <w:adjustRightInd w:val="0"/>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13、我方将严格遵守《中华人民共和国政府采购法》的有关规定，若有下列情形之一的，将被处以采购金额</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t>以上10‰以下的罚款，列入不良行为记录名单，在一至三年内禁止参加政府采购活动；有违法所得的，并处没收违法所得；情节严重的，由工商行政管理机关吊</w:t>
      </w:r>
    </w:p>
    <w:p>
      <w:pPr>
        <w:adjustRightInd w:val="0"/>
        <w:snapToGrid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销营业执照；构成犯罪的，依法追究刑事责任：</w:t>
      </w:r>
    </w:p>
    <w:p>
      <w:pPr>
        <w:numPr>
          <w:ilvl w:val="0"/>
          <w:numId w:val="21"/>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提供虚假材料谋取中标、成交的；</w:t>
      </w:r>
    </w:p>
    <w:p>
      <w:pPr>
        <w:numPr>
          <w:ilvl w:val="0"/>
          <w:numId w:val="21"/>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采取不正当手段诋毁、排挤其他制造商、代理商的；</w:t>
      </w:r>
    </w:p>
    <w:p>
      <w:pPr>
        <w:numPr>
          <w:ilvl w:val="0"/>
          <w:numId w:val="21"/>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与采购人、其它制造商、代理商或者采购代理机构恶意串通的；</w:t>
      </w:r>
    </w:p>
    <w:p>
      <w:pPr>
        <w:numPr>
          <w:ilvl w:val="0"/>
          <w:numId w:val="21"/>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向采购人、采购代理机构行贿或者提供其他不正当利益的；</w:t>
      </w:r>
    </w:p>
    <w:p>
      <w:pPr>
        <w:numPr>
          <w:ilvl w:val="0"/>
          <w:numId w:val="21"/>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未经采购代理机构同意，在采购过程中与采购人进行协商谈判的；</w:t>
      </w:r>
    </w:p>
    <w:p>
      <w:pPr>
        <w:numPr>
          <w:ilvl w:val="0"/>
          <w:numId w:val="21"/>
        </w:numPr>
        <w:adjustRightInd w:val="0"/>
        <w:snapToGrid w:val="0"/>
        <w:spacing w:line="44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拒绝有关部门监督检查或提供虚假情况的。</w:t>
      </w:r>
    </w:p>
    <w:p>
      <w:pPr>
        <w:adjustRightInd w:val="0"/>
        <w:snapToGrid w:val="0"/>
        <w:spacing w:line="440" w:lineRule="exact"/>
        <w:rPr>
          <w:rFonts w:hint="eastAsia" w:ascii="宋体" w:hAnsi="宋体" w:eastAsia="宋体" w:cs="宋体"/>
          <w:color w:val="auto"/>
          <w:sz w:val="24"/>
          <w:szCs w:val="24"/>
          <w:highlight w:val="none"/>
        </w:rPr>
      </w:pPr>
    </w:p>
    <w:p>
      <w:pPr>
        <w:spacing w:line="44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与本投标有关的一切正式往来信函请寄：</w:t>
      </w:r>
    </w:p>
    <w:p>
      <w:pPr>
        <w:pStyle w:val="10"/>
        <w:rPr>
          <w:rFonts w:hint="eastAsia" w:ascii="宋体" w:hAnsi="宋体" w:eastAsia="宋体" w:cs="宋体"/>
          <w:color w:val="auto"/>
          <w:sz w:val="24"/>
          <w:szCs w:val="24"/>
          <w:highlight w:val="none"/>
        </w:rPr>
      </w:pPr>
    </w:p>
    <w:p>
      <w:pPr>
        <w:spacing w:line="440" w:lineRule="exact"/>
        <w:ind w:firstLine="240" w:firstLineChars="1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p>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电　　　　　话：</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p>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法人</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电子签名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p>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投</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标</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电子签章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p>
    <w:p>
      <w:pPr>
        <w:spacing w:line="440" w:lineRule="exact"/>
        <w:ind w:firstLine="6240" w:firstLineChars="2600"/>
        <w:rPr>
          <w:rFonts w:hint="eastAsia" w:ascii="宋体" w:hAnsi="宋体" w:eastAsia="宋体" w:cs="宋体"/>
          <w:color w:val="auto"/>
          <w:sz w:val="24"/>
          <w:szCs w:val="24"/>
          <w:highlight w:val="none"/>
        </w:rPr>
      </w:pPr>
    </w:p>
    <w:p>
      <w:pPr>
        <w:pStyle w:val="1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说明：除可填报项目外，对本投标函的任何修改将被视为非实质性响应投标，从而导致该投标被拒绝。</w:t>
      </w:r>
    </w:p>
    <w:p>
      <w:pPr>
        <w:spacing w:line="460" w:lineRule="atLeast"/>
        <w:ind w:firstLine="2277" w:firstLineChars="945"/>
        <w:rPr>
          <w:rFonts w:hint="eastAsia" w:ascii="宋体" w:hAnsi="宋体" w:eastAsia="宋体" w:cs="宋体"/>
          <w:b/>
          <w:bCs/>
          <w:color w:val="auto"/>
          <w:sz w:val="24"/>
          <w:szCs w:val="24"/>
          <w:highlight w:val="none"/>
          <w:lang w:val="en-US" w:eastAsia="zh-CN"/>
        </w:rPr>
      </w:pPr>
    </w:p>
    <w:p>
      <w:pPr>
        <w:pStyle w:val="25"/>
        <w:rPr>
          <w:rFonts w:hint="eastAsia" w:ascii="宋体" w:hAnsi="宋体" w:eastAsia="宋体" w:cs="宋体"/>
          <w:b/>
          <w:bCs/>
          <w:color w:val="auto"/>
          <w:sz w:val="24"/>
          <w:szCs w:val="24"/>
          <w:highlight w:val="none"/>
          <w:lang w:val="en-US" w:eastAsia="zh-CN"/>
        </w:rPr>
      </w:pPr>
    </w:p>
    <w:p>
      <w:pPr>
        <w:pStyle w:val="25"/>
        <w:rPr>
          <w:rFonts w:hint="eastAsia" w:ascii="宋体" w:hAnsi="宋体" w:eastAsia="宋体" w:cs="宋体"/>
          <w:b/>
          <w:bCs/>
          <w:color w:val="auto"/>
          <w:sz w:val="24"/>
          <w:szCs w:val="24"/>
          <w:highlight w:val="none"/>
          <w:lang w:val="en-US" w:eastAsia="zh-CN"/>
        </w:rPr>
      </w:pPr>
    </w:p>
    <w:p>
      <w:pPr>
        <w:pStyle w:val="25"/>
        <w:rPr>
          <w:rFonts w:hint="eastAsia" w:ascii="宋体" w:hAnsi="宋体" w:eastAsia="宋体" w:cs="宋体"/>
          <w:b/>
          <w:bCs/>
          <w:color w:val="auto"/>
          <w:sz w:val="24"/>
          <w:szCs w:val="24"/>
          <w:highlight w:val="none"/>
          <w:lang w:val="en-US" w:eastAsia="zh-CN"/>
        </w:rPr>
      </w:pPr>
    </w:p>
    <w:p>
      <w:pPr>
        <w:pStyle w:val="25"/>
        <w:rPr>
          <w:rFonts w:hint="eastAsia" w:ascii="宋体" w:hAnsi="宋体" w:eastAsia="宋体" w:cs="宋体"/>
          <w:b/>
          <w:bCs/>
          <w:color w:val="auto"/>
          <w:sz w:val="24"/>
          <w:szCs w:val="24"/>
          <w:highlight w:val="none"/>
          <w:lang w:val="en-US" w:eastAsia="zh-CN"/>
        </w:rPr>
      </w:pPr>
    </w:p>
    <w:p>
      <w:pPr>
        <w:pStyle w:val="25"/>
        <w:rPr>
          <w:rFonts w:hint="eastAsia" w:ascii="宋体" w:hAnsi="宋体" w:eastAsia="宋体" w:cs="宋体"/>
          <w:b/>
          <w:bCs/>
          <w:color w:val="auto"/>
          <w:sz w:val="24"/>
          <w:szCs w:val="24"/>
          <w:highlight w:val="none"/>
          <w:lang w:val="en-US" w:eastAsia="zh-CN"/>
        </w:rPr>
      </w:pPr>
    </w:p>
    <w:p>
      <w:pPr>
        <w:pStyle w:val="25"/>
        <w:rPr>
          <w:rFonts w:hint="eastAsia" w:ascii="宋体" w:hAnsi="宋体" w:eastAsia="宋体" w:cs="宋体"/>
          <w:b/>
          <w:bCs/>
          <w:color w:val="auto"/>
          <w:sz w:val="24"/>
          <w:szCs w:val="24"/>
          <w:highlight w:val="none"/>
          <w:lang w:val="en-US" w:eastAsia="zh-CN"/>
        </w:rPr>
      </w:pPr>
    </w:p>
    <w:p>
      <w:pPr>
        <w:pStyle w:val="25"/>
        <w:rPr>
          <w:rFonts w:hint="eastAsia" w:ascii="宋体" w:hAnsi="宋体" w:eastAsia="宋体" w:cs="宋体"/>
          <w:b/>
          <w:bCs/>
          <w:color w:val="auto"/>
          <w:sz w:val="24"/>
          <w:szCs w:val="24"/>
          <w:highlight w:val="none"/>
          <w:lang w:val="en-US" w:eastAsia="zh-CN"/>
        </w:rPr>
      </w:pPr>
    </w:p>
    <w:p>
      <w:pPr>
        <w:pStyle w:val="25"/>
        <w:rPr>
          <w:rFonts w:hint="eastAsia" w:ascii="宋体" w:hAnsi="宋体" w:eastAsia="宋体" w:cs="宋体"/>
          <w:b/>
          <w:bCs/>
          <w:color w:val="auto"/>
          <w:sz w:val="24"/>
          <w:szCs w:val="24"/>
          <w:highlight w:val="none"/>
          <w:lang w:val="en-US" w:eastAsia="zh-CN"/>
        </w:rPr>
      </w:pPr>
    </w:p>
    <w:p>
      <w:pPr>
        <w:pStyle w:val="25"/>
        <w:rPr>
          <w:rFonts w:hint="eastAsia" w:ascii="宋体" w:hAnsi="宋体" w:eastAsia="宋体" w:cs="宋体"/>
          <w:b/>
          <w:bCs/>
          <w:color w:val="auto"/>
          <w:sz w:val="24"/>
          <w:szCs w:val="24"/>
          <w:highlight w:val="none"/>
          <w:lang w:val="en-US" w:eastAsia="zh-CN"/>
        </w:rPr>
      </w:pPr>
    </w:p>
    <w:p>
      <w:pPr>
        <w:spacing w:line="460" w:lineRule="atLeast"/>
        <w:ind w:firstLine="2277" w:firstLineChars="945"/>
        <w:rPr>
          <w:rFonts w:hint="eastAsia" w:ascii="宋体" w:hAnsi="宋体" w:eastAsia="宋体" w:cs="宋体"/>
          <w:b/>
          <w:bCs/>
          <w:color w:val="auto"/>
          <w:sz w:val="24"/>
          <w:szCs w:val="24"/>
          <w:highlight w:val="none"/>
          <w:lang w:val="en-US" w:eastAsia="zh-CN"/>
        </w:rPr>
      </w:pPr>
    </w:p>
    <w:p>
      <w:pPr>
        <w:spacing w:line="46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开标一览表</w:t>
      </w:r>
    </w:p>
    <w:p>
      <w:pPr>
        <w:pStyle w:val="33"/>
        <w:rPr>
          <w:rFonts w:hint="eastAsia" w:ascii="宋体" w:hAnsi="宋体" w:eastAsia="宋体" w:cs="宋体"/>
          <w:color w:val="auto"/>
          <w:sz w:val="24"/>
          <w:szCs w:val="24"/>
          <w:highlight w:val="none"/>
        </w:rPr>
      </w:pPr>
    </w:p>
    <w:p>
      <w:pPr>
        <w:pStyle w:val="34"/>
        <w:spacing w:line="440" w:lineRule="exact"/>
        <w:ind w:left="210" w:leftChars="-86" w:hanging="391" w:hangingChars="163"/>
        <w:jc w:val="both"/>
        <w:rPr>
          <w:rFonts w:ascii="宋体" w:hAnsi="宋体"/>
          <w:color w:val="auto"/>
          <w:highlight w:val="none"/>
        </w:rPr>
      </w:pPr>
      <w:r>
        <w:rPr>
          <w:rFonts w:hint="eastAsia" w:ascii="宋体" w:hAnsi="宋体"/>
          <w:color w:val="auto"/>
          <w:highlight w:val="none"/>
        </w:rPr>
        <w:t>项目名称：</w:t>
      </w:r>
      <w:r>
        <w:rPr>
          <w:rFonts w:ascii="宋体" w:hAnsi="宋体"/>
          <w:color w:val="auto"/>
          <w:highlight w:val="none"/>
          <w:u w:val="single"/>
        </w:rPr>
        <w:t xml:space="preserve">                         </w:t>
      </w:r>
      <w:r>
        <w:rPr>
          <w:rFonts w:ascii="宋体" w:hAnsi="宋体"/>
          <w:color w:val="auto"/>
          <w:highlight w:val="none"/>
        </w:rPr>
        <w:t xml:space="preserve"> </w:t>
      </w:r>
      <w:r>
        <w:rPr>
          <w:rFonts w:ascii="宋体" w:hAnsi="宋体" w:cs="宋体"/>
          <w:color w:val="auto"/>
          <w:highlight w:val="none"/>
        </w:rPr>
        <w:t xml:space="preserve">    </w:t>
      </w:r>
      <w:r>
        <w:rPr>
          <w:rFonts w:hint="eastAsia" w:ascii="宋体" w:hAnsi="宋体"/>
          <w:color w:val="auto"/>
          <w:highlight w:val="none"/>
        </w:rPr>
        <w:t>项目编号：</w:t>
      </w:r>
      <w:r>
        <w:rPr>
          <w:rFonts w:ascii="宋体" w:hAnsi="宋体"/>
          <w:color w:val="auto"/>
          <w:highlight w:val="none"/>
          <w:u w:val="single"/>
        </w:rPr>
        <w:t xml:space="preserve">                         </w:t>
      </w:r>
      <w:r>
        <w:rPr>
          <w:rFonts w:ascii="宋体" w:hAnsi="宋体"/>
          <w:color w:val="auto"/>
          <w:highlight w:val="none"/>
        </w:rPr>
        <w:t xml:space="preserve"> </w:t>
      </w:r>
      <w:r>
        <w:rPr>
          <w:rFonts w:ascii="宋体" w:hAnsi="宋体" w:cs="宋体"/>
          <w:color w:val="auto"/>
          <w:highlight w:val="none"/>
        </w:rPr>
        <w:t xml:space="preserve">    </w:t>
      </w:r>
      <w:r>
        <w:rPr>
          <w:rFonts w:ascii="宋体" w:hAnsi="宋体"/>
          <w:color w:val="auto"/>
          <w:highlight w:val="none"/>
          <w:u w:val="none"/>
        </w:rPr>
        <w:t xml:space="preserve">        </w:t>
      </w:r>
      <w:r>
        <w:rPr>
          <w:rFonts w:ascii="宋体" w:hAnsi="宋体"/>
          <w:color w:val="auto"/>
          <w:highlight w:val="none"/>
        </w:rPr>
        <w:t xml:space="preserve">   </w:t>
      </w:r>
    </w:p>
    <w:p>
      <w:pPr>
        <w:pStyle w:val="34"/>
        <w:spacing w:line="440" w:lineRule="exact"/>
        <w:ind w:left="210" w:leftChars="-86" w:hanging="391" w:hangingChars="163"/>
        <w:jc w:val="both"/>
        <w:rPr>
          <w:rFonts w:hint="eastAsia" w:ascii="宋体" w:hAnsi="宋体" w:eastAsia="宋体"/>
          <w:color w:val="auto"/>
          <w:highlight w:val="none"/>
          <w:u w:val="none"/>
          <w:lang w:val="en-US" w:eastAsia="zh-CN"/>
        </w:rPr>
      </w:pPr>
      <w:r>
        <w:rPr>
          <w:rFonts w:ascii="宋体" w:hAnsi="宋体"/>
          <w:color w:val="auto"/>
          <w:highlight w:val="none"/>
        </w:rPr>
        <w:t xml:space="preserve">       </w:t>
      </w:r>
      <w:r>
        <w:rPr>
          <w:rFonts w:ascii="宋体" w:hAnsi="宋体"/>
          <w:color w:val="auto"/>
          <w:highlight w:val="none"/>
          <w:u w:val="none"/>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6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800" w:type="dxa"/>
            <w:noWrap w:val="0"/>
            <w:vAlign w:val="top"/>
          </w:tcPr>
          <w:p>
            <w:pPr>
              <w:pStyle w:val="34"/>
              <w:spacing w:line="440" w:lineRule="exact"/>
              <w:jc w:val="both"/>
              <w:rPr>
                <w:rFonts w:hint="eastAsia" w:ascii="宋体" w:hAnsi="宋体"/>
                <w:color w:val="auto"/>
                <w:highlight w:val="none"/>
              </w:rPr>
            </w:pPr>
            <w:r>
              <w:rPr>
                <w:rFonts w:hint="eastAsia" w:ascii="宋体" w:hAnsi="宋体"/>
                <w:color w:val="auto"/>
                <w:highlight w:val="none"/>
              </w:rPr>
              <w:t>投标人名称</w:t>
            </w:r>
          </w:p>
        </w:tc>
        <w:tc>
          <w:tcPr>
            <w:tcW w:w="6719" w:type="dxa"/>
            <w:noWrap w:val="0"/>
            <w:vAlign w:val="top"/>
          </w:tcPr>
          <w:p>
            <w:pPr>
              <w:pStyle w:val="34"/>
              <w:spacing w:line="440" w:lineRule="exact"/>
              <w:jc w:val="both"/>
              <w:rPr>
                <w:rFonts w:hint="eastAsia" w:ascii="宋体" w:hAnsi="宋体"/>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800" w:type="dxa"/>
            <w:vMerge w:val="restart"/>
            <w:noWrap w:val="0"/>
            <w:vAlign w:val="center"/>
          </w:tcPr>
          <w:p>
            <w:pPr>
              <w:pStyle w:val="34"/>
              <w:spacing w:line="440" w:lineRule="exact"/>
              <w:jc w:val="center"/>
              <w:rPr>
                <w:rFonts w:hint="eastAsia" w:ascii="宋体" w:hAnsi="宋体"/>
                <w:color w:val="auto"/>
                <w:highlight w:val="none"/>
              </w:rPr>
            </w:pPr>
            <w:r>
              <w:rPr>
                <w:rFonts w:hint="eastAsia" w:ascii="宋体" w:hAnsi="宋体"/>
                <w:color w:val="auto"/>
                <w:highlight w:val="none"/>
              </w:rPr>
              <w:t>投标总报价</w:t>
            </w:r>
          </w:p>
        </w:tc>
        <w:tc>
          <w:tcPr>
            <w:tcW w:w="6719" w:type="dxa"/>
            <w:noWrap w:val="0"/>
            <w:vAlign w:val="top"/>
          </w:tcPr>
          <w:p>
            <w:pPr>
              <w:pStyle w:val="34"/>
              <w:spacing w:line="440" w:lineRule="exact"/>
              <w:jc w:val="both"/>
              <w:rPr>
                <w:rFonts w:hint="eastAsia" w:ascii="宋体" w:hAnsi="宋体"/>
                <w:color w:val="auto"/>
                <w:highlight w:val="none"/>
              </w:rPr>
            </w:pPr>
            <w:r>
              <w:rPr>
                <w:rFonts w:hint="eastAsia" w:ascii="宋体" w:hAnsi="宋体"/>
                <w:color w:val="auto"/>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800" w:type="dxa"/>
            <w:vMerge w:val="continue"/>
            <w:noWrap w:val="0"/>
            <w:vAlign w:val="top"/>
          </w:tcPr>
          <w:p>
            <w:pPr>
              <w:pStyle w:val="34"/>
              <w:spacing w:line="440" w:lineRule="exact"/>
              <w:jc w:val="both"/>
              <w:rPr>
                <w:rFonts w:hint="eastAsia" w:ascii="宋体" w:hAnsi="宋体"/>
                <w:color w:val="auto"/>
                <w:highlight w:val="none"/>
              </w:rPr>
            </w:pPr>
          </w:p>
        </w:tc>
        <w:tc>
          <w:tcPr>
            <w:tcW w:w="6719" w:type="dxa"/>
            <w:noWrap w:val="0"/>
            <w:vAlign w:val="top"/>
          </w:tcPr>
          <w:p>
            <w:pPr>
              <w:pStyle w:val="34"/>
              <w:spacing w:line="440" w:lineRule="exact"/>
              <w:jc w:val="both"/>
              <w:rPr>
                <w:rFonts w:hint="default" w:ascii="宋体" w:hAnsi="宋体" w:eastAsia="宋体"/>
                <w:color w:val="auto"/>
                <w:highlight w:val="none"/>
                <w:lang w:val="en-US" w:eastAsia="zh-CN"/>
              </w:rPr>
            </w:pPr>
            <w:r>
              <w:rPr>
                <w:rFonts w:hint="eastAsia" w:ascii="宋体" w:hAnsi="宋体"/>
                <w:color w:val="auto"/>
                <w:highlight w:val="none"/>
              </w:rPr>
              <w:t xml:space="preserve">大写：                           </w:t>
            </w:r>
            <w:r>
              <w:rPr>
                <w:rFonts w:hint="eastAsia" w:ascii="宋体" w:hAnsi="宋体"/>
                <w:color w:val="auto"/>
                <w:highlight w:val="none"/>
                <w:lang w:val="en-US" w:eastAsia="zh-CN"/>
              </w:rPr>
              <w:t>元整</w:t>
            </w:r>
          </w:p>
        </w:tc>
      </w:tr>
    </w:tbl>
    <w:p>
      <w:pPr>
        <w:pStyle w:val="34"/>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兹声明：以上投标报价在投标有效期内一直有效。</w:t>
      </w:r>
    </w:p>
    <w:p>
      <w:pPr>
        <w:pStyle w:val="34"/>
        <w:spacing w:line="480" w:lineRule="auto"/>
        <w:rPr>
          <w:rFonts w:hint="eastAsia" w:ascii="宋体" w:hAnsi="宋体" w:eastAsia="宋体" w:cs="宋体"/>
          <w:color w:val="auto"/>
          <w:sz w:val="24"/>
          <w:szCs w:val="24"/>
          <w:highlight w:val="none"/>
        </w:rPr>
      </w:pPr>
    </w:p>
    <w:p>
      <w:pPr>
        <w:spacing w:line="440" w:lineRule="exac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法人</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电子签名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p>
    <w:p>
      <w:pPr>
        <w:spacing w:line="440" w:lineRule="exact"/>
        <w:rPr>
          <w:rFonts w:hint="eastAsia" w:ascii="宋体" w:hAnsi="宋体" w:eastAsia="宋体" w:cs="宋体"/>
          <w:color w:val="auto"/>
          <w:sz w:val="24"/>
          <w:szCs w:val="24"/>
          <w:highlight w:val="none"/>
          <w:u w:val="single"/>
          <w:lang w:val="en-US" w:eastAsia="zh-CN"/>
        </w:rPr>
      </w:pPr>
    </w:p>
    <w:p>
      <w:pPr>
        <w:pStyle w:val="10"/>
        <w:rPr>
          <w:rFonts w:hint="eastAsia" w:ascii="宋体" w:hAnsi="宋体" w:eastAsia="宋体" w:cs="宋体"/>
          <w:color w:val="auto"/>
          <w:sz w:val="24"/>
          <w:szCs w:val="24"/>
          <w:highlight w:val="none"/>
        </w:rPr>
      </w:pPr>
    </w:p>
    <w:p>
      <w:pPr>
        <w:pStyle w:val="10"/>
        <w:rPr>
          <w:rFonts w:hint="eastAsia" w:ascii="宋体" w:hAnsi="宋体" w:eastAsia="宋体" w:cs="宋体"/>
          <w:color w:val="auto"/>
          <w:sz w:val="24"/>
          <w:szCs w:val="24"/>
          <w:highlight w:val="none"/>
        </w:rPr>
      </w:pPr>
    </w:p>
    <w:p>
      <w:pPr>
        <w:pStyle w:val="1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投</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标</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电子签章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p>
    <w:p>
      <w:pPr>
        <w:rPr>
          <w:rFonts w:hint="eastAsia" w:ascii="宋体" w:hAnsi="宋体" w:eastAsia="宋体" w:cs="宋体"/>
          <w:color w:val="auto"/>
          <w:sz w:val="24"/>
          <w:szCs w:val="24"/>
          <w:highlight w:val="none"/>
          <w:u w:val="single"/>
          <w:lang w:val="en-US" w:eastAsia="zh-CN"/>
        </w:rPr>
      </w:pPr>
    </w:p>
    <w:p>
      <w:pPr>
        <w:pStyle w:val="16"/>
        <w:rPr>
          <w:rFonts w:hint="eastAsia" w:ascii="宋体" w:hAnsi="宋体" w:eastAsia="宋体" w:cs="宋体"/>
          <w:color w:val="auto"/>
          <w:sz w:val="24"/>
          <w:szCs w:val="24"/>
          <w:highlight w:val="none"/>
          <w:u w:val="single"/>
          <w:lang w:val="en-US" w:eastAsia="zh-CN"/>
        </w:rPr>
      </w:pPr>
    </w:p>
    <w:p>
      <w:pPr>
        <w:spacing w:line="48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日</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期：</w:t>
      </w: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25"/>
        <w:rPr>
          <w:rFonts w:hint="eastAsia" w:ascii="宋体" w:hAnsi="宋体" w:eastAsia="宋体" w:cs="宋体"/>
          <w:color w:val="auto"/>
          <w:sz w:val="24"/>
          <w:szCs w:val="24"/>
          <w:highlight w:val="none"/>
          <w:lang w:val="en-US" w:eastAsia="zh-CN"/>
        </w:rPr>
      </w:pPr>
    </w:p>
    <w:p>
      <w:pPr>
        <w:pStyle w:val="89"/>
        <w:jc w:val="center"/>
        <w:outlineLvl w:val="0"/>
        <w:rPr>
          <w:rFonts w:hint="eastAsia" w:ascii="宋体" w:hAnsi="宋体" w:eastAsia="宋体" w:cs="宋体"/>
          <w:b/>
          <w:color w:val="auto"/>
          <w:sz w:val="24"/>
          <w:szCs w:val="24"/>
          <w:highlight w:val="none"/>
          <w:lang w:val="en-US" w:eastAsia="zh-CN" w:bidi="ar-SA"/>
        </w:rPr>
      </w:pPr>
      <w:bookmarkStart w:id="378" w:name="_Toc8552"/>
      <w:r>
        <w:rPr>
          <w:rFonts w:hint="eastAsia" w:ascii="宋体" w:hAnsi="宋体" w:eastAsia="宋体" w:cs="宋体"/>
          <w:b/>
          <w:color w:val="auto"/>
          <w:sz w:val="24"/>
          <w:szCs w:val="24"/>
          <w:highlight w:val="none"/>
          <w:lang w:val="en-US" w:eastAsia="zh-CN" w:bidi="ar-SA"/>
        </w:rPr>
        <w:t>3、</w:t>
      </w:r>
      <w:bookmarkEnd w:id="378"/>
      <w:r>
        <w:rPr>
          <w:rFonts w:hint="eastAsia" w:ascii="宋体" w:hAnsi="宋体" w:eastAsia="宋体" w:cs="宋体"/>
          <w:b/>
          <w:color w:val="auto"/>
          <w:sz w:val="24"/>
          <w:szCs w:val="24"/>
          <w:highlight w:val="none"/>
          <w:lang w:val="en-US" w:eastAsia="zh-CN" w:bidi="ar-SA"/>
        </w:rPr>
        <w:t>企业综合实力</w:t>
      </w:r>
    </w:p>
    <w:p>
      <w:pPr>
        <w:pStyle w:val="77"/>
        <w:adjustRightInd w:val="0"/>
        <w:snapToGrid w:val="0"/>
        <w:spacing w:line="500" w:lineRule="exact"/>
        <w:jc w:val="center"/>
        <w:rPr>
          <w:rFonts w:hint="eastAsia" w:ascii="宋体" w:hAnsi="宋体" w:eastAsia="宋体" w:cs="宋体"/>
          <w:b/>
          <w:color w:val="auto"/>
          <w:sz w:val="24"/>
          <w:szCs w:val="24"/>
          <w:highlight w:val="none"/>
          <w:lang w:val="en-US"/>
        </w:rPr>
      </w:pPr>
      <w:r>
        <w:rPr>
          <w:rFonts w:hint="eastAsia" w:ascii="宋体" w:hAnsi="宋体" w:eastAsia="宋体" w:cs="宋体"/>
          <w:color w:val="auto"/>
          <w:sz w:val="24"/>
          <w:szCs w:val="24"/>
          <w:highlight w:val="none"/>
        </w:rPr>
        <w:t>说明：此处上</w:t>
      </w:r>
      <w:r>
        <w:rPr>
          <w:rFonts w:hint="eastAsia" w:ascii="宋体" w:hAnsi="宋体" w:cs="宋体"/>
          <w:color w:val="auto"/>
          <w:sz w:val="24"/>
          <w:szCs w:val="24"/>
          <w:highlight w:val="none"/>
          <w:lang w:val="en-US" w:eastAsia="zh-CN"/>
        </w:rPr>
        <w:t>传</w:t>
      </w:r>
      <w:r>
        <w:rPr>
          <w:rFonts w:hint="eastAsia" w:ascii="宋体" w:hAnsi="宋体" w:eastAsia="宋体" w:cs="宋体"/>
          <w:color w:val="auto"/>
          <w:sz w:val="24"/>
          <w:szCs w:val="24"/>
          <w:highlight w:val="none"/>
          <w:lang w:val="en-US" w:eastAsia="zh-CN"/>
        </w:rPr>
        <w:t>相关证明文件</w:t>
      </w:r>
    </w:p>
    <w:p>
      <w:pPr>
        <w:pStyle w:val="90"/>
        <w:adjustRightInd w:val="0"/>
        <w:snapToGrid w:val="0"/>
        <w:spacing w:line="500" w:lineRule="exact"/>
        <w:jc w:val="left"/>
        <w:rPr>
          <w:rFonts w:hint="eastAsia" w:ascii="宋体" w:hAnsi="宋体" w:eastAsia="宋体" w:cs="宋体"/>
          <w:color w:val="auto"/>
          <w:sz w:val="24"/>
          <w:szCs w:val="24"/>
          <w:highlight w:val="none"/>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w:t>
      </w: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cs="宋体"/>
          <w:color w:val="auto"/>
          <w:sz w:val="24"/>
          <w:szCs w:val="24"/>
          <w:highlight w:val="none"/>
          <w:lang w:val="en-US" w:eastAsia="zh-CN"/>
        </w:rPr>
      </w:pPr>
    </w:p>
    <w:p>
      <w:pPr>
        <w:pStyle w:val="90"/>
        <w:adjustRightInd w:val="0"/>
        <w:snapToGrid w:val="0"/>
        <w:spacing w:line="500" w:lineRule="exact"/>
        <w:jc w:val="left"/>
        <w:rPr>
          <w:rFonts w:hint="default" w:ascii="宋体" w:hAnsi="宋体" w:cs="宋体"/>
          <w:color w:val="auto"/>
          <w:sz w:val="24"/>
          <w:szCs w:val="24"/>
          <w:highlight w:val="none"/>
          <w:lang w:val="en-US" w:eastAsia="zh-CN"/>
        </w:rPr>
      </w:pPr>
    </w:p>
    <w:p>
      <w:pPr>
        <w:pStyle w:val="90"/>
        <w:adjustRightInd w:val="0"/>
        <w:snapToGrid w:val="0"/>
        <w:spacing w:line="500" w:lineRule="exact"/>
        <w:jc w:val="left"/>
        <w:rPr>
          <w:rFonts w:hint="eastAsia" w:ascii="宋体" w:hAnsi="宋体" w:eastAsia="宋体" w:cs="宋体"/>
          <w:color w:val="auto"/>
          <w:sz w:val="24"/>
          <w:szCs w:val="24"/>
          <w:highlight w:val="none"/>
        </w:rPr>
      </w:pPr>
    </w:p>
    <w:p>
      <w:pPr>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近三年经营业绩表</w:t>
      </w:r>
    </w:p>
    <w:p>
      <w:pPr>
        <w:pStyle w:val="25"/>
        <w:rPr>
          <w:rFonts w:hint="eastAsia" w:ascii="宋体" w:hAnsi="宋体" w:eastAsia="宋体" w:cs="宋体"/>
          <w:color w:val="auto"/>
          <w:sz w:val="24"/>
          <w:szCs w:val="24"/>
          <w:highlight w:val="none"/>
        </w:rPr>
      </w:pPr>
    </w:p>
    <w:p>
      <w:pPr>
        <w:pStyle w:val="34"/>
        <w:spacing w:line="440" w:lineRule="exact"/>
        <w:ind w:left="208" w:leftChars="99" w:firstLine="120" w:firstLineChars="50"/>
        <w:jc w:val="both"/>
        <w:rPr>
          <w:rFonts w:hint="eastAsia" w:ascii="宋体" w:hAnsi="宋体" w:eastAsia="宋体" w:cs="宋体"/>
          <w:bCs/>
          <w:color w:val="auto"/>
          <w:kern w:val="2"/>
          <w:sz w:val="24"/>
          <w:szCs w:val="24"/>
          <w:highlight w:val="none"/>
        </w:rPr>
      </w:pPr>
      <w:r>
        <w:rPr>
          <w:rFonts w:hint="eastAsia" w:ascii="宋体" w:hAnsi="宋体" w:eastAsia="宋体" w:cs="宋体"/>
          <w:color w:val="auto"/>
          <w:sz w:val="24"/>
          <w:szCs w:val="24"/>
          <w:highlight w:val="none"/>
        </w:rPr>
        <w:t>投标单位名称（公章</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eastAsia="zh-CN"/>
        </w:rPr>
        <w:t>：</w:t>
      </w:r>
      <w:r>
        <w:rPr>
          <w:rFonts w:hint="eastAsia" w:ascii="宋体" w:hAnsi="宋体" w:eastAsia="宋体" w:cs="宋体"/>
          <w:bCs/>
          <w:color w:val="auto"/>
          <w:kern w:val="2"/>
          <w:sz w:val="24"/>
          <w:szCs w:val="24"/>
          <w:highlight w:val="none"/>
        </w:rPr>
        <w:t xml:space="preserve"> </w:t>
      </w:r>
      <w:r>
        <w:rPr>
          <w:rFonts w:hint="eastAsia" w:ascii="宋体" w:hAnsi="宋体" w:eastAsia="宋体" w:cs="宋体"/>
          <w:bCs/>
          <w:color w:val="auto"/>
          <w:kern w:val="2"/>
          <w:sz w:val="24"/>
          <w:szCs w:val="24"/>
          <w:highlight w:val="none"/>
          <w:lang w:val="en-US" w:eastAsia="zh-CN"/>
        </w:rPr>
        <w:t xml:space="preserve">               </w:t>
      </w:r>
    </w:p>
    <w:tbl>
      <w:tblPr>
        <w:tblStyle w:val="27"/>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3742"/>
        <w:gridCol w:w="2142"/>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205"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地区</w:t>
            </w:r>
          </w:p>
        </w:tc>
        <w:tc>
          <w:tcPr>
            <w:tcW w:w="3742"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2142"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金额</w:t>
            </w:r>
          </w:p>
        </w:tc>
        <w:tc>
          <w:tcPr>
            <w:tcW w:w="1709"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205" w:type="dxa"/>
            <w:noWrap w:val="0"/>
            <w:vAlign w:val="top"/>
          </w:tcPr>
          <w:p>
            <w:pPr>
              <w:spacing w:line="440" w:lineRule="exact"/>
              <w:jc w:val="center"/>
              <w:rPr>
                <w:rFonts w:hint="eastAsia" w:ascii="宋体" w:hAnsi="宋体" w:eastAsia="宋体" w:cs="宋体"/>
                <w:color w:val="auto"/>
                <w:sz w:val="24"/>
                <w:szCs w:val="24"/>
                <w:highlight w:val="none"/>
              </w:rPr>
            </w:pPr>
          </w:p>
        </w:tc>
        <w:tc>
          <w:tcPr>
            <w:tcW w:w="3742" w:type="dxa"/>
            <w:noWrap w:val="0"/>
            <w:vAlign w:val="top"/>
          </w:tcPr>
          <w:p>
            <w:pPr>
              <w:spacing w:line="440" w:lineRule="exact"/>
              <w:jc w:val="center"/>
              <w:rPr>
                <w:rFonts w:hint="eastAsia" w:ascii="宋体" w:hAnsi="宋体" w:eastAsia="宋体" w:cs="宋体"/>
                <w:color w:val="auto"/>
                <w:sz w:val="24"/>
                <w:szCs w:val="24"/>
                <w:highlight w:val="none"/>
              </w:rPr>
            </w:pPr>
          </w:p>
        </w:tc>
        <w:tc>
          <w:tcPr>
            <w:tcW w:w="2142" w:type="dxa"/>
            <w:noWrap w:val="0"/>
            <w:vAlign w:val="top"/>
          </w:tcPr>
          <w:p>
            <w:pPr>
              <w:spacing w:line="440" w:lineRule="exact"/>
              <w:jc w:val="center"/>
              <w:rPr>
                <w:rFonts w:hint="eastAsia" w:ascii="宋体" w:hAnsi="宋体" w:eastAsia="宋体" w:cs="宋体"/>
                <w:color w:val="auto"/>
                <w:sz w:val="24"/>
                <w:szCs w:val="24"/>
                <w:highlight w:val="none"/>
              </w:rPr>
            </w:pPr>
          </w:p>
        </w:tc>
        <w:tc>
          <w:tcPr>
            <w:tcW w:w="1709" w:type="dxa"/>
            <w:noWrap w:val="0"/>
            <w:vAlign w:val="top"/>
          </w:tcPr>
          <w:p>
            <w:pPr>
              <w:spacing w:line="440" w:lineRule="exact"/>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205" w:type="dxa"/>
            <w:noWrap w:val="0"/>
            <w:vAlign w:val="top"/>
          </w:tcPr>
          <w:p>
            <w:pPr>
              <w:spacing w:line="440" w:lineRule="exact"/>
              <w:jc w:val="center"/>
              <w:rPr>
                <w:rFonts w:hint="eastAsia" w:ascii="宋体" w:hAnsi="宋体" w:eastAsia="宋体" w:cs="宋体"/>
                <w:color w:val="auto"/>
                <w:sz w:val="24"/>
                <w:szCs w:val="24"/>
                <w:highlight w:val="none"/>
              </w:rPr>
            </w:pPr>
          </w:p>
        </w:tc>
        <w:tc>
          <w:tcPr>
            <w:tcW w:w="3742" w:type="dxa"/>
            <w:noWrap w:val="0"/>
            <w:vAlign w:val="top"/>
          </w:tcPr>
          <w:p>
            <w:pPr>
              <w:spacing w:line="440" w:lineRule="exact"/>
              <w:jc w:val="center"/>
              <w:rPr>
                <w:rFonts w:hint="eastAsia" w:ascii="宋体" w:hAnsi="宋体" w:eastAsia="宋体" w:cs="宋体"/>
                <w:color w:val="auto"/>
                <w:sz w:val="24"/>
                <w:szCs w:val="24"/>
                <w:highlight w:val="none"/>
              </w:rPr>
            </w:pPr>
          </w:p>
        </w:tc>
        <w:tc>
          <w:tcPr>
            <w:tcW w:w="2142" w:type="dxa"/>
            <w:noWrap w:val="0"/>
            <w:vAlign w:val="top"/>
          </w:tcPr>
          <w:p>
            <w:pPr>
              <w:spacing w:line="440" w:lineRule="exact"/>
              <w:jc w:val="center"/>
              <w:rPr>
                <w:rFonts w:hint="eastAsia" w:ascii="宋体" w:hAnsi="宋体" w:eastAsia="宋体" w:cs="宋体"/>
                <w:color w:val="auto"/>
                <w:sz w:val="24"/>
                <w:szCs w:val="24"/>
                <w:highlight w:val="none"/>
              </w:rPr>
            </w:pPr>
          </w:p>
        </w:tc>
        <w:tc>
          <w:tcPr>
            <w:tcW w:w="1709" w:type="dxa"/>
            <w:noWrap w:val="0"/>
            <w:vAlign w:val="top"/>
          </w:tcPr>
          <w:p>
            <w:pPr>
              <w:spacing w:line="440" w:lineRule="exact"/>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205" w:type="dxa"/>
            <w:noWrap w:val="0"/>
            <w:vAlign w:val="top"/>
          </w:tcPr>
          <w:p>
            <w:pPr>
              <w:spacing w:line="440" w:lineRule="exact"/>
              <w:jc w:val="center"/>
              <w:rPr>
                <w:rFonts w:hint="eastAsia" w:ascii="宋体" w:hAnsi="宋体" w:eastAsia="宋体" w:cs="宋体"/>
                <w:color w:val="auto"/>
                <w:sz w:val="24"/>
                <w:szCs w:val="24"/>
                <w:highlight w:val="none"/>
              </w:rPr>
            </w:pPr>
          </w:p>
        </w:tc>
        <w:tc>
          <w:tcPr>
            <w:tcW w:w="3742" w:type="dxa"/>
            <w:noWrap w:val="0"/>
            <w:vAlign w:val="top"/>
          </w:tcPr>
          <w:p>
            <w:pPr>
              <w:spacing w:line="440" w:lineRule="exact"/>
              <w:jc w:val="center"/>
              <w:rPr>
                <w:rFonts w:hint="eastAsia" w:ascii="宋体" w:hAnsi="宋体" w:eastAsia="宋体" w:cs="宋体"/>
                <w:color w:val="auto"/>
                <w:sz w:val="24"/>
                <w:szCs w:val="24"/>
                <w:highlight w:val="none"/>
              </w:rPr>
            </w:pPr>
          </w:p>
        </w:tc>
        <w:tc>
          <w:tcPr>
            <w:tcW w:w="2142" w:type="dxa"/>
            <w:noWrap w:val="0"/>
            <w:vAlign w:val="top"/>
          </w:tcPr>
          <w:p>
            <w:pPr>
              <w:spacing w:line="440" w:lineRule="exact"/>
              <w:jc w:val="center"/>
              <w:rPr>
                <w:rFonts w:hint="eastAsia" w:ascii="宋体" w:hAnsi="宋体" w:eastAsia="宋体" w:cs="宋体"/>
                <w:color w:val="auto"/>
                <w:sz w:val="24"/>
                <w:szCs w:val="24"/>
                <w:highlight w:val="none"/>
              </w:rPr>
            </w:pPr>
          </w:p>
        </w:tc>
        <w:tc>
          <w:tcPr>
            <w:tcW w:w="1709" w:type="dxa"/>
            <w:noWrap w:val="0"/>
            <w:vAlign w:val="top"/>
          </w:tcPr>
          <w:p>
            <w:pPr>
              <w:spacing w:line="440" w:lineRule="exact"/>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205"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3742"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2142"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709"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pPr>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附中标通知书或合同复印件。</w:t>
      </w: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5、投标人认为需提供的证明文件及其它资料</w:t>
      </w:r>
    </w:p>
    <w:p>
      <w:pPr>
        <w:pStyle w:val="77"/>
        <w:adjustRightInd w:val="0"/>
        <w:snapToGrid w:val="0"/>
        <w:spacing w:line="5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说明：此处上传</w:t>
      </w:r>
      <w:r>
        <w:rPr>
          <w:rFonts w:hint="eastAsia" w:ascii="宋体" w:hAnsi="宋体" w:eastAsia="宋体" w:cs="宋体"/>
          <w:color w:val="auto"/>
          <w:sz w:val="24"/>
          <w:szCs w:val="24"/>
          <w:highlight w:val="none"/>
          <w:lang w:val="en-US" w:eastAsia="zh-CN"/>
        </w:rPr>
        <w:t>投标人认为需提供的证明文件及其它资料</w:t>
      </w: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outlineLvl w:val="9"/>
        <w:rPr>
          <w:rFonts w:hint="eastAsia" w:ascii="宋体" w:hAnsi="宋体" w:eastAsia="宋体" w:cs="宋体"/>
          <w:color w:val="auto"/>
          <w:sz w:val="24"/>
          <w:szCs w:val="24"/>
          <w:highlight w:val="none"/>
          <w:lang w:val="en-US" w:eastAsia="zh-CN"/>
        </w:rPr>
      </w:pPr>
    </w:p>
    <w:p>
      <w:pPr>
        <w:pStyle w:val="91"/>
        <w:numPr>
          <w:ilvl w:val="0"/>
          <w:numId w:val="0"/>
        </w:numPr>
        <w:ind w:leftChars="0"/>
        <w:jc w:val="center"/>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rPr>
        <w:t>技术文件</w:t>
      </w:r>
    </w:p>
    <w:p>
      <w:pPr>
        <w:pStyle w:val="51"/>
        <w:numPr>
          <w:ilvl w:val="0"/>
          <w:numId w:val="0"/>
        </w:numPr>
        <w:spacing w:line="360" w:lineRule="auto"/>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宋体" w:hAnsi="宋体" w:cs="宋体"/>
          <w:b/>
          <w:bCs/>
          <w:color w:val="auto"/>
          <w:sz w:val="24"/>
          <w:szCs w:val="24"/>
          <w:highlight w:val="none"/>
          <w:lang w:val="en-US" w:eastAsia="zh-CN"/>
        </w:rPr>
        <w:t>实施方案</w:t>
      </w:r>
    </w:p>
    <w:p>
      <w:pPr>
        <w:pStyle w:val="52"/>
        <w:numPr>
          <w:ilvl w:val="0"/>
          <w:numId w:val="0"/>
        </w:numPr>
        <w:jc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（格式自定）</w:t>
      </w:r>
    </w:p>
    <w:p>
      <w:pPr>
        <w:pStyle w:val="51"/>
        <w:spacing w:line="360" w:lineRule="auto"/>
        <w:ind w:firstLine="480" w:firstLineChars="200"/>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1"/>
        <w:numPr>
          <w:ilvl w:val="0"/>
          <w:numId w:val="22"/>
        </w:numPr>
        <w:spacing w:line="360" w:lineRule="auto"/>
        <w:ind w:firstLine="482" w:firstLineChars="200"/>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项目技术参数文件</w:t>
      </w: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2"/>
        <w:widowControl w:val="0"/>
        <w:numPr>
          <w:ilvl w:val="0"/>
          <w:numId w:val="0"/>
        </w:numPr>
        <w:jc w:val="both"/>
        <w:rPr>
          <w:rFonts w:hint="eastAsia"/>
          <w:color w:val="auto"/>
          <w:highlight w:val="none"/>
          <w:lang w:val="en-US" w:eastAsia="zh-CN"/>
        </w:rPr>
      </w:pPr>
    </w:p>
    <w:p>
      <w:pPr>
        <w:pStyle w:val="51"/>
        <w:spacing w:line="360" w:lineRule="auto"/>
        <w:ind w:firstLine="482" w:firstLineChars="200"/>
        <w:jc w:val="center"/>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服务承诺</w:t>
      </w:r>
      <w:r>
        <w:rPr>
          <w:rFonts w:hint="eastAsia" w:ascii="宋体" w:hAnsi="宋体" w:eastAsia="宋体" w:cs="宋体"/>
          <w:b/>
          <w:bCs/>
          <w:color w:val="auto"/>
          <w:sz w:val="24"/>
          <w:szCs w:val="24"/>
          <w:highlight w:val="none"/>
          <w:lang w:val="en-US" w:eastAsia="zh-CN"/>
        </w:rPr>
        <w:t>及维保方案</w:t>
      </w:r>
    </w:p>
    <w:p>
      <w:pPr>
        <w:pStyle w:val="52"/>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i w:val="0"/>
          <w:iCs w:val="0"/>
          <w:color w:val="auto"/>
          <w:kern w:val="0"/>
          <w:sz w:val="24"/>
          <w:szCs w:val="24"/>
          <w:highlight w:val="none"/>
          <w:u w:val="none"/>
          <w:lang w:val="en-US" w:eastAsia="zh-CN" w:bidi="ar"/>
        </w:rPr>
        <w:t>（格式自定）</w:t>
      </w:r>
    </w:p>
    <w:p>
      <w:pPr>
        <w:pStyle w:val="51"/>
        <w:numPr>
          <w:ilvl w:val="0"/>
          <w:numId w:val="0"/>
        </w:numPr>
        <w:spacing w:line="360" w:lineRule="auto"/>
        <w:ind w:leftChars="200"/>
        <w:rPr>
          <w:rFonts w:hint="eastAsia" w:ascii="宋体" w:hAnsi="宋体" w:eastAsia="宋体" w:cs="宋体"/>
          <w:color w:val="auto"/>
          <w:sz w:val="24"/>
          <w:szCs w:val="24"/>
          <w:highlight w:val="none"/>
          <w:lang w:val="en-US" w:eastAsia="zh-CN"/>
        </w:rPr>
      </w:pPr>
    </w:p>
    <w:p>
      <w:pPr>
        <w:pStyle w:val="51"/>
        <w:numPr>
          <w:ilvl w:val="0"/>
          <w:numId w:val="0"/>
        </w:numPr>
        <w:spacing w:line="360" w:lineRule="auto"/>
        <w:ind w:leftChars="200"/>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1"/>
        <w:numPr>
          <w:ilvl w:val="0"/>
          <w:numId w:val="0"/>
        </w:numPr>
        <w:spacing w:line="360" w:lineRule="auto"/>
        <w:ind w:leftChars="200"/>
        <w:jc w:val="center"/>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4、应急处理</w:t>
      </w:r>
      <w:r>
        <w:rPr>
          <w:rFonts w:hint="eastAsia" w:ascii="宋体" w:hAnsi="宋体" w:eastAsia="宋体" w:cs="宋体"/>
          <w:b/>
          <w:bCs/>
          <w:color w:val="auto"/>
          <w:sz w:val="24"/>
          <w:szCs w:val="24"/>
          <w:highlight w:val="none"/>
          <w:lang w:val="en-US" w:eastAsia="zh-CN"/>
        </w:rPr>
        <w:t>方案</w:t>
      </w:r>
    </w:p>
    <w:p>
      <w:pPr>
        <w:pStyle w:val="52"/>
        <w:numPr>
          <w:ilvl w:val="0"/>
          <w:numId w:val="0"/>
        </w:numPr>
        <w:ind w:left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kern w:val="0"/>
          <w:sz w:val="24"/>
          <w:szCs w:val="24"/>
          <w:highlight w:val="none"/>
          <w:u w:val="none"/>
          <w:lang w:val="en-US" w:eastAsia="zh-CN" w:bidi="ar"/>
        </w:rPr>
        <w:t>格式自定</w:t>
      </w:r>
      <w:r>
        <w:rPr>
          <w:rFonts w:hint="eastAsia" w:ascii="宋体" w:hAnsi="宋体" w:eastAsia="宋体" w:cs="宋体"/>
          <w:i w:val="0"/>
          <w:iCs w:val="0"/>
          <w:color w:val="auto"/>
          <w:sz w:val="24"/>
          <w:szCs w:val="24"/>
          <w:highlight w:val="none"/>
          <w:u w:val="none"/>
          <w:lang w:eastAsia="zh-CN"/>
        </w:rPr>
        <w:t>）</w:t>
      </w:r>
    </w:p>
    <w:p>
      <w:pPr>
        <w:pStyle w:val="51"/>
        <w:numPr>
          <w:ilvl w:val="0"/>
          <w:numId w:val="0"/>
        </w:numPr>
        <w:spacing w:line="360" w:lineRule="auto"/>
        <w:ind w:left="480" w:leftChars="0"/>
        <w:rPr>
          <w:rFonts w:hint="eastAsia" w:ascii="宋体" w:hAnsi="宋体" w:eastAsia="宋体" w:cs="宋体"/>
          <w:color w:val="auto"/>
          <w:sz w:val="24"/>
          <w:szCs w:val="24"/>
          <w:highlight w:val="none"/>
          <w:lang w:val="en-US" w:eastAsia="zh-CN"/>
        </w:rPr>
      </w:pPr>
    </w:p>
    <w:p>
      <w:pPr>
        <w:pStyle w:val="51"/>
        <w:numPr>
          <w:ilvl w:val="0"/>
          <w:numId w:val="0"/>
        </w:numPr>
        <w:spacing w:line="360" w:lineRule="auto"/>
        <w:ind w:left="480" w:leftChars="0"/>
        <w:rPr>
          <w:rFonts w:hint="eastAsia" w:ascii="宋体" w:hAnsi="宋体" w:eastAsia="宋体" w:cs="宋体"/>
          <w:color w:val="auto"/>
          <w:sz w:val="24"/>
          <w:szCs w:val="24"/>
          <w:highlight w:val="none"/>
          <w:lang w:val="en-US" w:eastAsia="zh-CN"/>
        </w:rPr>
      </w:pPr>
    </w:p>
    <w:p>
      <w:pPr>
        <w:pStyle w:val="51"/>
        <w:numPr>
          <w:ilvl w:val="0"/>
          <w:numId w:val="0"/>
        </w:numPr>
        <w:spacing w:line="360" w:lineRule="auto"/>
        <w:ind w:left="480" w:leftChars="0"/>
        <w:rPr>
          <w:rFonts w:hint="eastAsia" w:ascii="宋体" w:hAnsi="宋体" w:eastAsia="宋体" w:cs="宋体"/>
          <w:color w:val="auto"/>
          <w:sz w:val="24"/>
          <w:szCs w:val="24"/>
          <w:highlight w:val="none"/>
          <w:lang w:val="en-US" w:eastAsia="zh-CN"/>
        </w:rPr>
      </w:pPr>
    </w:p>
    <w:p>
      <w:pPr>
        <w:pStyle w:val="51"/>
        <w:numPr>
          <w:ilvl w:val="0"/>
          <w:numId w:val="0"/>
        </w:numPr>
        <w:spacing w:line="360" w:lineRule="auto"/>
        <w:ind w:left="480" w:leftChars="0"/>
        <w:jc w:val="center"/>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2"/>
        <w:rPr>
          <w:rFonts w:hint="eastAsia" w:ascii="宋体" w:hAnsi="宋体" w:eastAsia="宋体" w:cs="宋体"/>
          <w:b/>
          <w:bCs/>
          <w:color w:val="auto"/>
          <w:sz w:val="24"/>
          <w:szCs w:val="24"/>
          <w:highlight w:val="none"/>
          <w:lang w:val="en-US" w:eastAsia="zh-CN"/>
        </w:rPr>
      </w:pPr>
    </w:p>
    <w:p>
      <w:pPr>
        <w:pStyle w:val="51"/>
        <w:numPr>
          <w:ilvl w:val="0"/>
          <w:numId w:val="0"/>
        </w:numPr>
        <w:spacing w:line="360" w:lineRule="auto"/>
        <w:ind w:left="480" w:leftChars="0"/>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拟投入设备清单</w:t>
      </w:r>
    </w:p>
    <w:p>
      <w:pPr>
        <w:pStyle w:val="52"/>
        <w:numPr>
          <w:ilvl w:val="0"/>
          <w:numId w:val="0"/>
        </w:numPr>
        <w:ind w:left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u w:val="none"/>
          <w:lang w:eastAsia="zh-CN"/>
        </w:rPr>
        <w:t>（</w:t>
      </w:r>
      <w:r>
        <w:rPr>
          <w:rFonts w:hint="eastAsia" w:ascii="宋体" w:hAnsi="宋体" w:eastAsia="宋体" w:cs="宋体"/>
          <w:i w:val="0"/>
          <w:iCs w:val="0"/>
          <w:color w:val="auto"/>
          <w:kern w:val="0"/>
          <w:sz w:val="24"/>
          <w:szCs w:val="24"/>
          <w:highlight w:val="none"/>
          <w:u w:val="none"/>
          <w:lang w:val="en-US" w:eastAsia="zh-CN" w:bidi="ar"/>
        </w:rPr>
        <w:t>格式自定</w:t>
      </w:r>
      <w:r>
        <w:rPr>
          <w:rFonts w:hint="eastAsia" w:ascii="宋体" w:hAnsi="宋体" w:eastAsia="宋体" w:cs="宋体"/>
          <w:i w:val="0"/>
          <w:iCs w:val="0"/>
          <w:color w:val="auto"/>
          <w:sz w:val="24"/>
          <w:szCs w:val="24"/>
          <w:highlight w:val="none"/>
          <w:u w:val="none"/>
          <w:lang w:eastAsia="zh-CN"/>
        </w:rPr>
        <w:t>）</w:t>
      </w:r>
    </w:p>
    <w:p>
      <w:pPr>
        <w:pStyle w:val="51"/>
        <w:spacing w:line="360" w:lineRule="auto"/>
        <w:ind w:firstLine="480" w:firstLineChars="200"/>
        <w:rPr>
          <w:rFonts w:hint="eastAsia" w:ascii="宋体" w:hAnsi="宋体" w:eastAsia="宋体" w:cs="宋体"/>
          <w:color w:val="auto"/>
          <w:sz w:val="24"/>
          <w:szCs w:val="24"/>
          <w:highlight w:val="none"/>
          <w:lang w:val="en-US" w:eastAsia="zh-CN"/>
        </w:rPr>
      </w:pPr>
    </w:p>
    <w:p>
      <w:pPr>
        <w:pStyle w:val="51"/>
        <w:spacing w:line="360" w:lineRule="auto"/>
        <w:ind w:firstLine="480" w:firstLineChars="200"/>
        <w:rPr>
          <w:rFonts w:hint="default" w:ascii="宋体" w:hAnsi="宋体" w:eastAsia="宋体" w:cs="宋体"/>
          <w:color w:val="auto"/>
          <w:sz w:val="24"/>
          <w:szCs w:val="24"/>
          <w:highlight w:val="none"/>
          <w:lang w:val="en-US" w:eastAsia="zh-CN"/>
        </w:rPr>
      </w:pPr>
    </w:p>
    <w:p>
      <w:pPr>
        <w:pStyle w:val="51"/>
        <w:spacing w:line="360" w:lineRule="auto"/>
        <w:ind w:firstLine="480" w:firstLineChars="200"/>
        <w:rPr>
          <w:rFonts w:hint="eastAsia" w:ascii="宋体" w:hAnsi="宋体" w:eastAsia="宋体" w:cs="宋体"/>
          <w:color w:val="auto"/>
          <w:sz w:val="24"/>
          <w:szCs w:val="24"/>
          <w:highlight w:val="none"/>
          <w:lang w:val="en-US" w:eastAsia="zh-CN"/>
        </w:rPr>
      </w:pPr>
    </w:p>
    <w:p>
      <w:pPr>
        <w:pStyle w:val="51"/>
        <w:spacing w:line="360" w:lineRule="auto"/>
        <w:ind w:firstLine="480" w:firstLineChars="200"/>
        <w:rPr>
          <w:rFonts w:hint="eastAsia" w:ascii="宋体" w:hAnsi="宋体" w:eastAsia="宋体" w:cs="宋体"/>
          <w:color w:val="auto"/>
          <w:sz w:val="24"/>
          <w:szCs w:val="24"/>
          <w:highlight w:val="none"/>
          <w:lang w:val="en-US" w:eastAsia="zh-CN"/>
        </w:rPr>
      </w:pPr>
    </w:p>
    <w:p>
      <w:pPr>
        <w:pStyle w:val="51"/>
        <w:spacing w:line="360" w:lineRule="auto"/>
        <w:ind w:firstLine="480" w:firstLineChars="200"/>
        <w:rPr>
          <w:rFonts w:hint="eastAsia" w:ascii="宋体" w:hAnsi="宋体" w:eastAsia="宋体" w:cs="宋体"/>
          <w:color w:val="auto"/>
          <w:sz w:val="24"/>
          <w:szCs w:val="24"/>
          <w:highlight w:val="none"/>
          <w:lang w:val="en-US" w:eastAsia="zh-CN"/>
        </w:rPr>
      </w:pPr>
    </w:p>
    <w:p>
      <w:pPr>
        <w:pStyle w:val="51"/>
        <w:spacing w:line="360" w:lineRule="auto"/>
        <w:ind w:firstLine="480" w:firstLineChars="200"/>
        <w:rPr>
          <w:rFonts w:hint="eastAsia" w:ascii="宋体" w:hAnsi="宋体" w:eastAsia="宋体" w:cs="宋体"/>
          <w:color w:val="auto"/>
          <w:sz w:val="24"/>
          <w:szCs w:val="24"/>
          <w:highlight w:val="none"/>
          <w:lang w:val="en-US" w:eastAsia="zh-CN"/>
        </w:rPr>
      </w:pPr>
    </w:p>
    <w:p>
      <w:pPr>
        <w:pStyle w:val="52"/>
        <w:rPr>
          <w:rFonts w:hint="eastAsia"/>
          <w:color w:val="auto"/>
          <w:highlight w:val="none"/>
          <w:lang w:val="en-US" w:eastAsia="zh-CN"/>
        </w:rPr>
      </w:pPr>
    </w:p>
    <w:p>
      <w:pPr>
        <w:pStyle w:val="51"/>
        <w:spacing w:line="360" w:lineRule="auto"/>
        <w:ind w:firstLine="480" w:firstLineChars="200"/>
        <w:rPr>
          <w:rFonts w:hint="eastAsia" w:ascii="宋体" w:hAnsi="宋体" w:eastAsia="宋体" w:cs="宋体"/>
          <w:color w:val="auto"/>
          <w:sz w:val="24"/>
          <w:szCs w:val="24"/>
          <w:highlight w:val="none"/>
          <w:lang w:val="en-US" w:eastAsia="zh-CN"/>
        </w:rPr>
      </w:pPr>
    </w:p>
    <w:p>
      <w:pPr>
        <w:pStyle w:val="51"/>
        <w:spacing w:line="360" w:lineRule="auto"/>
        <w:ind w:firstLine="480" w:firstLineChars="200"/>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1"/>
        <w:spacing w:line="360" w:lineRule="auto"/>
        <w:ind w:firstLine="480" w:firstLineChars="200"/>
        <w:rPr>
          <w:rFonts w:hint="eastAsia" w:ascii="宋体" w:hAnsi="宋体" w:eastAsia="宋体" w:cs="宋体"/>
          <w:color w:val="auto"/>
          <w:sz w:val="24"/>
          <w:szCs w:val="24"/>
          <w:highlight w:val="none"/>
          <w:lang w:val="en-US" w:eastAsia="zh-CN"/>
        </w:rPr>
      </w:pPr>
    </w:p>
    <w:p>
      <w:pPr>
        <w:pStyle w:val="52"/>
        <w:ind w:firstLine="482" w:firstLineChars="200"/>
        <w:jc w:val="center"/>
        <w:rPr>
          <w:rFonts w:hint="eastAsia" w:ascii="宋体" w:hAnsi="宋体" w:eastAsia="宋体" w:cs="宋体"/>
          <w:b/>
          <w:bCs/>
          <w:color w:val="auto"/>
          <w:sz w:val="24"/>
          <w:szCs w:val="24"/>
          <w:highlight w:val="none"/>
          <w:lang w:val="en-US" w:eastAsia="zh-CN"/>
        </w:rPr>
      </w:pPr>
    </w:p>
    <w:p>
      <w:pPr>
        <w:pStyle w:val="5"/>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Style w:val="38"/>
          <w:rFonts w:hint="eastAsia" w:ascii="宋体" w:hAnsi="宋体" w:eastAsia="宋体" w:cs="宋体"/>
          <w:b/>
          <w:color w:val="auto"/>
          <w:sz w:val="24"/>
          <w:szCs w:val="24"/>
          <w:highlight w:val="none"/>
        </w:rPr>
        <w:t>技术偏离表</w:t>
      </w:r>
    </w:p>
    <w:p>
      <w:pPr>
        <w:pStyle w:val="33"/>
        <w:rPr>
          <w:rFonts w:hint="eastAsia" w:ascii="宋体" w:hAnsi="宋体" w:eastAsia="宋体" w:cs="宋体"/>
          <w:color w:val="auto"/>
          <w:sz w:val="24"/>
          <w:szCs w:val="24"/>
          <w:highlight w:val="none"/>
          <w:lang w:val="en-US" w:eastAsia="zh-CN"/>
        </w:rPr>
      </w:pPr>
    </w:p>
    <w:p>
      <w:pPr>
        <w:spacing w:line="400" w:lineRule="atLeast"/>
        <w:rPr>
          <w:rFonts w:hint="eastAsia" w:ascii="宋体" w:hAnsi="宋体" w:eastAsia="宋体" w:cs="宋体"/>
          <w:color w:val="auto"/>
          <w:sz w:val="24"/>
          <w:szCs w:val="24"/>
          <w:highlight w:val="none"/>
        </w:rPr>
      </w:pPr>
      <w:r>
        <w:rPr>
          <w:rFonts w:hint="eastAsia" w:ascii="宋体" w:hAnsi="宋体"/>
          <w:color w:val="auto"/>
          <w:highlight w:val="none"/>
        </w:rPr>
        <w:t>项目名称：</w:t>
      </w:r>
      <w:r>
        <w:rPr>
          <w:rFonts w:ascii="宋体" w:hAnsi="宋体"/>
          <w:color w:val="auto"/>
          <w:highlight w:val="none"/>
          <w:u w:val="single"/>
        </w:rPr>
        <w:t xml:space="preserve">                         </w:t>
      </w:r>
      <w:r>
        <w:rPr>
          <w:rFonts w:ascii="宋体" w:hAnsi="宋体"/>
          <w:color w:val="auto"/>
          <w:highlight w:val="none"/>
        </w:rPr>
        <w:t xml:space="preserve"> </w:t>
      </w:r>
      <w:r>
        <w:rPr>
          <w:rFonts w:ascii="宋体" w:hAnsi="宋体" w:cs="宋体"/>
          <w:color w:val="auto"/>
          <w:highlight w:val="none"/>
        </w:rPr>
        <w:t xml:space="preserve">    </w:t>
      </w:r>
      <w:r>
        <w:rPr>
          <w:rFonts w:hint="eastAsia" w:ascii="宋体" w:hAnsi="宋体"/>
          <w:color w:val="auto"/>
          <w:highlight w:val="none"/>
        </w:rPr>
        <w:t>项目编号：</w:t>
      </w:r>
      <w:r>
        <w:rPr>
          <w:rFonts w:ascii="宋体" w:hAnsi="宋体"/>
          <w:color w:val="auto"/>
          <w:highlight w:val="none"/>
          <w:u w:val="single"/>
        </w:rPr>
        <w:t xml:space="preserve">                       </w:t>
      </w:r>
    </w:p>
    <w:tbl>
      <w:tblPr>
        <w:tblStyle w:val="27"/>
        <w:tblW w:w="9914" w:type="dxa"/>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09"/>
        <w:gridCol w:w="2182"/>
        <w:gridCol w:w="1663"/>
        <w:gridCol w:w="1228"/>
        <w:gridCol w:w="763"/>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900"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609"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磋商文件</w:t>
            </w:r>
            <w:r>
              <w:rPr>
                <w:rFonts w:hint="eastAsia" w:ascii="宋体" w:hAnsi="宋体" w:eastAsia="宋体" w:cs="宋体"/>
                <w:color w:val="auto"/>
                <w:sz w:val="24"/>
                <w:szCs w:val="24"/>
                <w:highlight w:val="none"/>
              </w:rPr>
              <w:t>规格条目号</w:t>
            </w:r>
          </w:p>
        </w:tc>
        <w:tc>
          <w:tcPr>
            <w:tcW w:w="2182"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磋商文件</w:t>
            </w:r>
            <w:r>
              <w:rPr>
                <w:rFonts w:hint="eastAsia" w:ascii="宋体" w:hAnsi="宋体" w:eastAsia="宋体" w:cs="宋体"/>
                <w:color w:val="auto"/>
                <w:sz w:val="24"/>
                <w:szCs w:val="24"/>
                <w:highlight w:val="none"/>
              </w:rPr>
              <w:t>要求规格</w:t>
            </w:r>
          </w:p>
        </w:tc>
        <w:tc>
          <w:tcPr>
            <w:tcW w:w="1663"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投标规格</w:t>
            </w:r>
          </w:p>
        </w:tc>
        <w:tc>
          <w:tcPr>
            <w:tcW w:w="1228"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w:t>
            </w:r>
          </w:p>
        </w:tc>
        <w:tc>
          <w:tcPr>
            <w:tcW w:w="763"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c>
          <w:tcPr>
            <w:tcW w:w="1569"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609"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spacing w:line="400" w:lineRule="atLeas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609"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spacing w:line="400" w:lineRule="atLeas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609"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spacing w:line="400" w:lineRule="atLeas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609"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spacing w:line="400" w:lineRule="atLeas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609"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spacing w:line="400" w:lineRule="atLeas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609"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spacing w:line="400" w:lineRule="atLeas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609"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spacing w:line="400" w:lineRule="atLeas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609"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spacing w:line="400" w:lineRule="atLeas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609"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spacing w:line="400" w:lineRule="atLeas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tc>
        <w:tc>
          <w:tcPr>
            <w:tcW w:w="1609" w:type="dxa"/>
            <w:noWrap w:val="0"/>
            <w:vAlign w:val="top"/>
          </w:tcPr>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663"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tc>
        <w:tc>
          <w:tcPr>
            <w:tcW w:w="1609" w:type="dxa"/>
            <w:noWrap w:val="0"/>
            <w:vAlign w:val="top"/>
          </w:tcPr>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widowControl/>
              <w:spacing w:line="400" w:lineRule="atLeast"/>
              <w:jc w:val="lef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900" w:type="dxa"/>
            <w:noWrap w:val="0"/>
            <w:vAlign w:val="top"/>
          </w:tcPr>
          <w:p>
            <w:pPr>
              <w:spacing w:line="400" w:lineRule="atLeast"/>
              <w:rPr>
                <w:rFonts w:hint="eastAsia" w:ascii="宋体" w:hAnsi="宋体" w:eastAsia="宋体" w:cs="宋体"/>
                <w:color w:val="auto"/>
                <w:sz w:val="24"/>
                <w:szCs w:val="24"/>
                <w:highlight w:val="none"/>
              </w:rPr>
            </w:pPr>
          </w:p>
        </w:tc>
        <w:tc>
          <w:tcPr>
            <w:tcW w:w="1609" w:type="dxa"/>
            <w:noWrap w:val="0"/>
            <w:vAlign w:val="top"/>
          </w:tcPr>
          <w:p>
            <w:pPr>
              <w:spacing w:line="400" w:lineRule="atLeast"/>
              <w:rPr>
                <w:rFonts w:hint="eastAsia" w:ascii="宋体" w:hAnsi="宋体" w:eastAsia="宋体" w:cs="宋体"/>
                <w:color w:val="auto"/>
                <w:sz w:val="24"/>
                <w:szCs w:val="24"/>
                <w:highlight w:val="none"/>
              </w:rPr>
            </w:pPr>
          </w:p>
        </w:tc>
        <w:tc>
          <w:tcPr>
            <w:tcW w:w="2182" w:type="dxa"/>
            <w:noWrap w:val="0"/>
            <w:vAlign w:val="top"/>
          </w:tcPr>
          <w:p>
            <w:pPr>
              <w:spacing w:line="400" w:lineRule="atLeast"/>
              <w:rPr>
                <w:rFonts w:hint="eastAsia" w:ascii="宋体" w:hAnsi="宋体" w:eastAsia="宋体" w:cs="宋体"/>
                <w:color w:val="auto"/>
                <w:sz w:val="24"/>
                <w:szCs w:val="24"/>
                <w:highlight w:val="none"/>
              </w:rPr>
            </w:pPr>
          </w:p>
        </w:tc>
        <w:tc>
          <w:tcPr>
            <w:tcW w:w="1663" w:type="dxa"/>
            <w:noWrap w:val="0"/>
            <w:vAlign w:val="top"/>
          </w:tcPr>
          <w:p>
            <w:pPr>
              <w:widowControl/>
              <w:spacing w:line="400" w:lineRule="atLeast"/>
              <w:jc w:val="left"/>
              <w:rPr>
                <w:rFonts w:hint="eastAsia" w:ascii="宋体" w:hAnsi="宋体" w:eastAsia="宋体" w:cs="宋体"/>
                <w:color w:val="auto"/>
                <w:sz w:val="24"/>
                <w:szCs w:val="24"/>
                <w:highlight w:val="none"/>
              </w:rPr>
            </w:pPr>
          </w:p>
        </w:tc>
        <w:tc>
          <w:tcPr>
            <w:tcW w:w="1228" w:type="dxa"/>
            <w:noWrap w:val="0"/>
            <w:vAlign w:val="top"/>
          </w:tcPr>
          <w:p>
            <w:pPr>
              <w:spacing w:line="400" w:lineRule="atLeast"/>
              <w:rPr>
                <w:rFonts w:hint="eastAsia" w:ascii="宋体" w:hAnsi="宋体" w:eastAsia="宋体" w:cs="宋体"/>
                <w:color w:val="auto"/>
                <w:sz w:val="24"/>
                <w:szCs w:val="24"/>
                <w:highlight w:val="none"/>
              </w:rPr>
            </w:pPr>
          </w:p>
        </w:tc>
        <w:tc>
          <w:tcPr>
            <w:tcW w:w="763" w:type="dxa"/>
            <w:noWrap w:val="0"/>
            <w:vAlign w:val="top"/>
          </w:tcPr>
          <w:p>
            <w:pPr>
              <w:spacing w:line="400" w:lineRule="atLeast"/>
              <w:rPr>
                <w:rFonts w:hint="eastAsia" w:ascii="宋体" w:hAnsi="宋体" w:eastAsia="宋体" w:cs="宋体"/>
                <w:color w:val="auto"/>
                <w:sz w:val="24"/>
                <w:szCs w:val="24"/>
                <w:highlight w:val="none"/>
              </w:rPr>
            </w:pPr>
          </w:p>
        </w:tc>
        <w:tc>
          <w:tcPr>
            <w:tcW w:w="1569" w:type="dxa"/>
            <w:noWrap w:val="0"/>
            <w:vAlign w:val="top"/>
          </w:tcPr>
          <w:p>
            <w:pPr>
              <w:spacing w:line="400" w:lineRule="atLeast"/>
              <w:rPr>
                <w:rFonts w:hint="eastAsia" w:ascii="宋体" w:hAnsi="宋体" w:eastAsia="宋体" w:cs="宋体"/>
                <w:color w:val="auto"/>
                <w:sz w:val="24"/>
                <w:szCs w:val="24"/>
                <w:highlight w:val="none"/>
              </w:rPr>
            </w:pPr>
          </w:p>
        </w:tc>
      </w:tr>
    </w:tbl>
    <w:p>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注：与</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w:t>
      </w:r>
      <w:r>
        <w:rPr>
          <w:rStyle w:val="31"/>
          <w:rFonts w:hint="eastAsia" w:ascii="宋体" w:hAnsi="宋体" w:eastAsia="宋体" w:cs="宋体"/>
          <w:b w:val="0"/>
          <w:bCs/>
          <w:color w:val="auto"/>
          <w:kern w:val="2"/>
          <w:sz w:val="24"/>
          <w:szCs w:val="24"/>
          <w:highlight w:val="none"/>
          <w:u w:val="none"/>
          <w:lang w:val="en-US" w:eastAsia="zh-CN" w:bidi="ar-SA"/>
        </w:rPr>
        <w:t>要求</w:t>
      </w:r>
      <w:r>
        <w:rPr>
          <w:rFonts w:hint="eastAsia" w:ascii="宋体" w:hAnsi="宋体" w:eastAsia="宋体" w:cs="宋体"/>
          <w:color w:val="auto"/>
          <w:sz w:val="24"/>
          <w:szCs w:val="24"/>
          <w:highlight w:val="none"/>
        </w:rPr>
        <w:t>逐条对应填写。</w:t>
      </w:r>
    </w:p>
    <w:p>
      <w:pPr>
        <w:spacing w:line="440" w:lineRule="exact"/>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法人</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电子签名</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w:t>
      </w:r>
    </w:p>
    <w:p>
      <w:pPr>
        <w:pStyle w:val="16"/>
        <w:rPr>
          <w:rFonts w:hint="eastAsia"/>
          <w:color w:val="auto"/>
          <w:highlight w:val="none"/>
          <w:lang w:val="en-US" w:eastAsia="zh-CN"/>
        </w:rPr>
      </w:pPr>
    </w:p>
    <w:p>
      <w:pPr>
        <w:pStyle w:val="1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投标商名称（公章）：</w:t>
      </w:r>
    </w:p>
    <w:p>
      <w:pPr>
        <w:pStyle w:val="16"/>
        <w:rPr>
          <w:rFonts w:hint="eastAsia" w:ascii="宋体" w:hAnsi="宋体" w:eastAsia="宋体" w:cs="宋体"/>
          <w:color w:val="auto"/>
          <w:sz w:val="24"/>
          <w:szCs w:val="24"/>
          <w:highlight w:val="none"/>
          <w:u w:val="single"/>
          <w:lang w:val="en-US" w:eastAsia="zh-CN"/>
        </w:rPr>
      </w:pPr>
    </w:p>
    <w:p>
      <w:pPr>
        <w:pStyle w:val="5"/>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商务条款偏离表</w:t>
      </w:r>
    </w:p>
    <w:p>
      <w:pPr>
        <w:spacing w:line="400" w:lineRule="atLeas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944"/>
        <w:gridCol w:w="2705"/>
        <w:gridCol w:w="3303"/>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419"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44" w:type="dxa"/>
            <w:noWrap w:val="0"/>
            <w:vAlign w:val="center"/>
          </w:tcPr>
          <w:p>
            <w:pPr>
              <w:spacing w:line="400" w:lineRule="atLeas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磋商文件</w:t>
            </w:r>
          </w:p>
          <w:p>
            <w:pPr>
              <w:spacing w:line="40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条目号</w:t>
            </w:r>
          </w:p>
        </w:tc>
        <w:tc>
          <w:tcPr>
            <w:tcW w:w="2705"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磋商文件</w:t>
            </w:r>
            <w:r>
              <w:rPr>
                <w:rFonts w:hint="eastAsia" w:ascii="宋体" w:hAnsi="宋体" w:eastAsia="宋体" w:cs="宋体"/>
                <w:color w:val="auto"/>
                <w:sz w:val="24"/>
                <w:szCs w:val="24"/>
                <w:highlight w:val="none"/>
              </w:rPr>
              <w:t>的商务条款</w:t>
            </w:r>
          </w:p>
        </w:tc>
        <w:tc>
          <w:tcPr>
            <w:tcW w:w="3303"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投标文件的商务条款</w:t>
            </w:r>
          </w:p>
        </w:tc>
        <w:tc>
          <w:tcPr>
            <w:tcW w:w="1297" w:type="dxa"/>
            <w:noWrap w:val="0"/>
            <w:vAlign w:val="center"/>
          </w:tcPr>
          <w:p>
            <w:pPr>
              <w:spacing w:line="40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19" w:type="dxa"/>
            <w:noWrap w:val="0"/>
            <w:vAlign w:val="top"/>
          </w:tcPr>
          <w:p>
            <w:pPr>
              <w:spacing w:line="400" w:lineRule="atLeas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1944" w:type="dxa"/>
            <w:noWrap w:val="0"/>
            <w:vAlign w:val="top"/>
          </w:tcPr>
          <w:p>
            <w:pPr>
              <w:widowControl/>
              <w:spacing w:line="400" w:lineRule="atLeast"/>
              <w:jc w:val="left"/>
              <w:rPr>
                <w:rFonts w:hint="eastAsia" w:ascii="宋体" w:hAnsi="宋体" w:eastAsia="宋体" w:cs="宋体"/>
                <w:color w:val="auto"/>
                <w:sz w:val="24"/>
                <w:szCs w:val="24"/>
                <w:highlight w:val="none"/>
              </w:rPr>
            </w:pPr>
          </w:p>
          <w:p>
            <w:pPr>
              <w:spacing w:line="400" w:lineRule="atLeast"/>
              <w:rPr>
                <w:rFonts w:hint="eastAsia" w:ascii="宋体" w:hAnsi="宋体" w:eastAsia="宋体" w:cs="宋体"/>
                <w:color w:val="auto"/>
                <w:sz w:val="24"/>
                <w:szCs w:val="24"/>
                <w:highlight w:val="none"/>
              </w:rPr>
            </w:pPr>
          </w:p>
        </w:tc>
        <w:tc>
          <w:tcPr>
            <w:tcW w:w="2705" w:type="dxa"/>
            <w:noWrap w:val="0"/>
            <w:vAlign w:val="top"/>
          </w:tcPr>
          <w:p>
            <w:pPr>
              <w:spacing w:line="400" w:lineRule="atLeast"/>
              <w:rPr>
                <w:rFonts w:hint="eastAsia" w:ascii="宋体" w:hAnsi="宋体" w:eastAsia="宋体" w:cs="宋体"/>
                <w:color w:val="auto"/>
                <w:sz w:val="24"/>
                <w:szCs w:val="24"/>
                <w:highlight w:val="none"/>
              </w:rPr>
            </w:pPr>
          </w:p>
        </w:tc>
        <w:tc>
          <w:tcPr>
            <w:tcW w:w="3303" w:type="dxa"/>
            <w:noWrap w:val="0"/>
            <w:vAlign w:val="top"/>
          </w:tcPr>
          <w:p>
            <w:pPr>
              <w:spacing w:line="400" w:lineRule="atLeast"/>
              <w:rPr>
                <w:rFonts w:hint="eastAsia" w:ascii="宋体" w:hAnsi="宋体" w:eastAsia="宋体" w:cs="宋体"/>
                <w:color w:val="auto"/>
                <w:sz w:val="24"/>
                <w:szCs w:val="24"/>
                <w:highlight w:val="none"/>
              </w:rPr>
            </w:pPr>
          </w:p>
        </w:tc>
        <w:tc>
          <w:tcPr>
            <w:tcW w:w="1297" w:type="dxa"/>
            <w:noWrap w:val="0"/>
            <w:vAlign w:val="top"/>
          </w:tcPr>
          <w:p>
            <w:pPr>
              <w:spacing w:line="400" w:lineRule="atLeast"/>
              <w:rPr>
                <w:rFonts w:hint="eastAsia" w:ascii="宋体" w:hAnsi="宋体" w:eastAsia="宋体" w:cs="宋体"/>
                <w:color w:val="auto"/>
                <w:sz w:val="24"/>
                <w:szCs w:val="24"/>
                <w:highlight w:val="none"/>
              </w:rPr>
            </w:pPr>
          </w:p>
        </w:tc>
      </w:tr>
    </w:tbl>
    <w:p>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注：与</w:t>
      </w:r>
      <w:r>
        <w:rPr>
          <w:rFonts w:hint="eastAsia" w:ascii="宋体" w:hAnsi="宋体" w:cs="宋体"/>
          <w:color w:val="auto"/>
          <w:sz w:val="24"/>
          <w:szCs w:val="24"/>
          <w:highlight w:val="none"/>
          <w:lang w:val="en-US" w:eastAsia="zh-CN"/>
        </w:rPr>
        <w:t>磋商文件</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eastAsia="zh-CN"/>
        </w:rPr>
        <w:t>要求</w:t>
      </w:r>
      <w:r>
        <w:rPr>
          <w:rFonts w:hint="eastAsia" w:ascii="宋体" w:hAnsi="宋体" w:eastAsia="宋体" w:cs="宋体"/>
          <w:color w:val="auto"/>
          <w:sz w:val="24"/>
          <w:szCs w:val="24"/>
          <w:highlight w:val="none"/>
        </w:rPr>
        <w:t>逐条对应填写。　</w:t>
      </w:r>
    </w:p>
    <w:p>
      <w:pPr>
        <w:spacing w:line="400" w:lineRule="atLeas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法人</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电子签名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 xml:space="preserve">                        </w:t>
      </w:r>
    </w:p>
    <w:p>
      <w:pPr>
        <w:pStyle w:val="16"/>
        <w:rPr>
          <w:rFonts w:hint="eastAsia"/>
          <w:color w:val="auto"/>
          <w:highlight w:val="none"/>
          <w:lang w:val="en-US" w:eastAsia="zh-CN"/>
        </w:rPr>
      </w:pPr>
    </w:p>
    <w:p>
      <w:pPr>
        <w:pStyle w:val="16"/>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投标商名称（公章）：</w:t>
      </w:r>
      <w:r>
        <w:rPr>
          <w:rFonts w:hint="eastAsia" w:ascii="宋体" w:hAnsi="宋体" w:eastAsia="宋体" w:cs="宋体"/>
          <w:color w:val="auto"/>
          <w:sz w:val="24"/>
          <w:szCs w:val="24"/>
          <w:highlight w:val="none"/>
          <w:u w:val="single"/>
        </w:rPr>
        <w:t>　　</w:t>
      </w:r>
      <w:r>
        <w:rPr>
          <w:rFonts w:hint="eastAsia"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p>
    <w:p>
      <w:pPr>
        <w:pStyle w:val="16"/>
        <w:jc w:val="center"/>
        <w:rPr>
          <w:rFonts w:hint="eastAsia" w:ascii="宋体" w:hAnsi="宋体" w:eastAsia="宋体" w:cs="宋体"/>
          <w:b/>
          <w:bCs/>
          <w:color w:val="auto"/>
          <w:sz w:val="24"/>
          <w:szCs w:val="24"/>
          <w:highlight w:val="none"/>
          <w:lang w:val="en-US" w:eastAsia="zh-CN"/>
        </w:rPr>
      </w:pPr>
    </w:p>
    <w:p>
      <w:pPr>
        <w:pStyle w:val="16"/>
        <w:jc w:val="center"/>
        <w:rPr>
          <w:rFonts w:hint="eastAsia" w:ascii="宋体" w:hAnsi="宋体" w:eastAsia="宋体" w:cs="宋体"/>
          <w:b/>
          <w:bCs/>
          <w:color w:val="auto"/>
          <w:sz w:val="24"/>
          <w:szCs w:val="24"/>
          <w:highlight w:val="none"/>
          <w:lang w:val="en-US" w:eastAsia="zh-CN"/>
        </w:rPr>
      </w:pPr>
    </w:p>
    <w:p>
      <w:pPr>
        <w:pStyle w:val="16"/>
        <w:jc w:val="center"/>
        <w:rPr>
          <w:rFonts w:hint="eastAsia" w:ascii="宋体" w:hAnsi="宋体" w:eastAsia="宋体" w:cs="宋体"/>
          <w:b/>
          <w:bCs/>
          <w:color w:val="auto"/>
          <w:sz w:val="24"/>
          <w:szCs w:val="24"/>
          <w:highlight w:val="none"/>
          <w:lang w:val="en-US" w:eastAsia="zh-CN"/>
        </w:rPr>
      </w:pPr>
    </w:p>
    <w:p>
      <w:pPr>
        <w:pStyle w:val="16"/>
        <w:jc w:val="center"/>
        <w:rPr>
          <w:rFonts w:hint="eastAsia" w:ascii="宋体" w:hAnsi="宋体" w:eastAsia="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val="en-US" w:eastAsia="zh-CN"/>
        </w:rPr>
        <w:t>、项目负责人简历表及拟投入本项目主要成员</w:t>
      </w:r>
    </w:p>
    <w:p>
      <w:pPr>
        <w:numPr>
          <w:ilvl w:val="0"/>
          <w:numId w:val="23"/>
        </w:numPr>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项目负责人简历表</w:t>
      </w:r>
    </w:p>
    <w:tbl>
      <w:tblPr>
        <w:tblStyle w:val="27"/>
        <w:tblW w:w="0" w:type="auto"/>
        <w:jc w:val="center"/>
        <w:tblLayout w:type="fixed"/>
        <w:tblCellMar>
          <w:top w:w="0" w:type="dxa"/>
          <w:left w:w="108" w:type="dxa"/>
          <w:bottom w:w="0" w:type="dxa"/>
          <w:right w:w="108" w:type="dxa"/>
        </w:tblCellMar>
      </w:tblPr>
      <w:tblGrid>
        <w:gridCol w:w="1285"/>
        <w:gridCol w:w="2422"/>
        <w:gridCol w:w="1005"/>
        <w:gridCol w:w="1072"/>
        <w:gridCol w:w="1715"/>
        <w:gridCol w:w="2355"/>
      </w:tblGrid>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2422"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100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072"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171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p>
        </w:tc>
        <w:tc>
          <w:tcPr>
            <w:tcW w:w="235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4499" w:type="dxa"/>
            <w:gridSpan w:val="3"/>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171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235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学位</w:t>
            </w:r>
          </w:p>
        </w:tc>
        <w:tc>
          <w:tcPr>
            <w:tcW w:w="2422"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100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72"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171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tc>
        <w:tc>
          <w:tcPr>
            <w:tcW w:w="235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现所在机构或部门</w:t>
            </w:r>
          </w:p>
        </w:tc>
        <w:tc>
          <w:tcPr>
            <w:tcW w:w="4499" w:type="dxa"/>
            <w:gridSpan w:val="3"/>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1715" w:type="dxa"/>
            <w:tcBorders>
              <w:top w:val="single" w:color="auto" w:sz="6" w:space="0"/>
              <w:left w:val="single" w:color="auto" w:sz="6" w:space="0"/>
              <w:bottom w:val="single" w:color="auto" w:sz="6" w:space="0"/>
              <w:right w:val="single" w:color="auto" w:sz="6" w:space="0"/>
            </w:tcBorders>
            <w:noWrap w:val="0"/>
            <w:vAlign w:val="center"/>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服务时间</w:t>
            </w:r>
          </w:p>
        </w:tc>
        <w:tc>
          <w:tcPr>
            <w:tcW w:w="235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center"/>
          </w:tcPr>
          <w:p>
            <w:pPr>
              <w:spacing w:line="440" w:lineRule="exact"/>
              <w:rPr>
                <w:rFonts w:hint="eastAsia" w:ascii="宋体" w:hAnsi="宋体" w:eastAsia="宋体" w:cs="宋体"/>
                <w:color w:val="auto"/>
                <w:sz w:val="24"/>
                <w:szCs w:val="24"/>
                <w:highlight w:val="none"/>
              </w:rPr>
            </w:pPr>
          </w:p>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主要经历</w:t>
            </w:r>
          </w:p>
          <w:p>
            <w:pPr>
              <w:spacing w:line="440" w:lineRule="exact"/>
              <w:rPr>
                <w:rFonts w:hint="eastAsia" w:ascii="宋体" w:hAnsi="宋体" w:eastAsia="宋体" w:cs="宋体"/>
                <w:color w:val="auto"/>
                <w:sz w:val="24"/>
                <w:szCs w:val="24"/>
                <w:highlight w:val="none"/>
              </w:rPr>
            </w:pPr>
          </w:p>
        </w:tc>
        <w:tc>
          <w:tcPr>
            <w:tcW w:w="8569" w:type="dxa"/>
            <w:gridSpan w:val="5"/>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p>
            <w:pPr>
              <w:spacing w:line="440" w:lineRule="exact"/>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tc>
        <w:tc>
          <w:tcPr>
            <w:tcW w:w="3427" w:type="dxa"/>
            <w:gridSpan w:val="2"/>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参加过的项目名称</w:t>
            </w:r>
          </w:p>
        </w:tc>
        <w:tc>
          <w:tcPr>
            <w:tcW w:w="2787" w:type="dxa"/>
            <w:gridSpan w:val="2"/>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担任何职务</w:t>
            </w:r>
          </w:p>
        </w:tc>
        <w:tc>
          <w:tcPr>
            <w:tcW w:w="235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3427" w:type="dxa"/>
            <w:gridSpan w:val="2"/>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2787" w:type="dxa"/>
            <w:gridSpan w:val="2"/>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235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3427" w:type="dxa"/>
            <w:gridSpan w:val="2"/>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2787" w:type="dxa"/>
            <w:gridSpan w:val="2"/>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235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3427" w:type="dxa"/>
            <w:gridSpan w:val="2"/>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2787" w:type="dxa"/>
            <w:gridSpan w:val="2"/>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c>
          <w:tcPr>
            <w:tcW w:w="2355" w:type="dxa"/>
            <w:tcBorders>
              <w:top w:val="single" w:color="auto" w:sz="6" w:space="0"/>
              <w:left w:val="single" w:color="auto" w:sz="6" w:space="0"/>
              <w:bottom w:val="single" w:color="auto" w:sz="6" w:space="0"/>
              <w:right w:val="single" w:color="auto" w:sz="6" w:space="0"/>
            </w:tcBorders>
            <w:noWrap w:val="0"/>
            <w:vAlign w:val="top"/>
          </w:tcPr>
          <w:p>
            <w:pPr>
              <w:spacing w:line="440" w:lineRule="exact"/>
              <w:rPr>
                <w:rFonts w:hint="eastAsia" w:ascii="宋体" w:hAnsi="宋体" w:eastAsia="宋体" w:cs="宋体"/>
                <w:color w:val="auto"/>
                <w:sz w:val="24"/>
                <w:szCs w:val="24"/>
                <w:highlight w:val="none"/>
              </w:rPr>
            </w:pPr>
          </w:p>
        </w:tc>
      </w:tr>
    </w:tbl>
    <w:p>
      <w:pPr>
        <w:autoSpaceDE w:val="0"/>
        <w:autoSpaceDN w:val="0"/>
        <w:adjustRightInd w:val="0"/>
        <w:spacing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2、拟投入本项目的主要成员表</w:t>
      </w:r>
    </w:p>
    <w:tbl>
      <w:tblPr>
        <w:tblStyle w:val="27"/>
        <w:tblW w:w="9900" w:type="dxa"/>
        <w:tblInd w:w="-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330"/>
        <w:gridCol w:w="2040"/>
        <w:gridCol w:w="1939"/>
        <w:gridCol w:w="1799"/>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436" w:type="dxa"/>
            <w:noWrap w:val="0"/>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330" w:type="dxa"/>
            <w:noWrap w:val="0"/>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2040" w:type="dxa"/>
            <w:noWrap w:val="0"/>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1939" w:type="dxa"/>
            <w:noWrap w:val="0"/>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799" w:type="dxa"/>
            <w:noWrap w:val="0"/>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1356" w:type="dxa"/>
            <w:noWrap w:val="0"/>
            <w:vAlign w:val="center"/>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从事该岗位时间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436"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30" w:type="dxa"/>
            <w:noWrap w:val="0"/>
            <w:vAlign w:val="top"/>
          </w:tcPr>
          <w:p>
            <w:pPr>
              <w:spacing w:line="440" w:lineRule="exact"/>
              <w:jc w:val="center"/>
              <w:rPr>
                <w:rFonts w:hint="eastAsia" w:ascii="宋体" w:hAnsi="宋体" w:eastAsia="宋体" w:cs="宋体"/>
                <w:color w:val="auto"/>
                <w:sz w:val="24"/>
                <w:szCs w:val="24"/>
                <w:highlight w:val="none"/>
              </w:rPr>
            </w:pPr>
          </w:p>
        </w:tc>
        <w:tc>
          <w:tcPr>
            <w:tcW w:w="2040" w:type="dxa"/>
            <w:noWrap w:val="0"/>
            <w:vAlign w:val="top"/>
          </w:tcPr>
          <w:p>
            <w:pPr>
              <w:spacing w:line="440" w:lineRule="exact"/>
              <w:jc w:val="center"/>
              <w:rPr>
                <w:rFonts w:hint="eastAsia" w:ascii="宋体" w:hAnsi="宋体" w:eastAsia="宋体" w:cs="宋体"/>
                <w:color w:val="auto"/>
                <w:sz w:val="24"/>
                <w:szCs w:val="24"/>
                <w:highlight w:val="none"/>
              </w:rPr>
            </w:pPr>
          </w:p>
        </w:tc>
        <w:tc>
          <w:tcPr>
            <w:tcW w:w="1939" w:type="dxa"/>
            <w:noWrap w:val="0"/>
            <w:vAlign w:val="top"/>
          </w:tcPr>
          <w:p>
            <w:pPr>
              <w:spacing w:line="440" w:lineRule="exact"/>
              <w:jc w:val="center"/>
              <w:rPr>
                <w:rFonts w:hint="eastAsia" w:ascii="宋体" w:hAnsi="宋体" w:eastAsia="宋体" w:cs="宋体"/>
                <w:color w:val="auto"/>
                <w:sz w:val="24"/>
                <w:szCs w:val="24"/>
                <w:highlight w:val="none"/>
              </w:rPr>
            </w:pPr>
          </w:p>
        </w:tc>
        <w:tc>
          <w:tcPr>
            <w:tcW w:w="1799" w:type="dxa"/>
            <w:noWrap w:val="0"/>
            <w:vAlign w:val="top"/>
          </w:tcPr>
          <w:p>
            <w:pPr>
              <w:spacing w:line="440" w:lineRule="exact"/>
              <w:jc w:val="center"/>
              <w:rPr>
                <w:rFonts w:hint="eastAsia" w:ascii="宋体" w:hAnsi="宋体" w:eastAsia="宋体" w:cs="宋体"/>
                <w:color w:val="auto"/>
                <w:sz w:val="24"/>
                <w:szCs w:val="24"/>
                <w:highlight w:val="none"/>
              </w:rPr>
            </w:pPr>
          </w:p>
        </w:tc>
        <w:tc>
          <w:tcPr>
            <w:tcW w:w="1356" w:type="dxa"/>
            <w:noWrap w:val="0"/>
            <w:vAlign w:val="top"/>
          </w:tcPr>
          <w:p>
            <w:pPr>
              <w:spacing w:line="440" w:lineRule="exact"/>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436"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30" w:type="dxa"/>
            <w:noWrap w:val="0"/>
            <w:vAlign w:val="top"/>
          </w:tcPr>
          <w:p>
            <w:pPr>
              <w:spacing w:line="440" w:lineRule="exact"/>
              <w:jc w:val="center"/>
              <w:rPr>
                <w:rFonts w:hint="eastAsia" w:ascii="宋体" w:hAnsi="宋体" w:eastAsia="宋体" w:cs="宋体"/>
                <w:color w:val="auto"/>
                <w:sz w:val="24"/>
                <w:szCs w:val="24"/>
                <w:highlight w:val="none"/>
              </w:rPr>
            </w:pPr>
          </w:p>
        </w:tc>
        <w:tc>
          <w:tcPr>
            <w:tcW w:w="2040" w:type="dxa"/>
            <w:noWrap w:val="0"/>
            <w:vAlign w:val="top"/>
          </w:tcPr>
          <w:p>
            <w:pPr>
              <w:spacing w:line="440" w:lineRule="exact"/>
              <w:jc w:val="center"/>
              <w:rPr>
                <w:rFonts w:hint="eastAsia" w:ascii="宋体" w:hAnsi="宋体" w:eastAsia="宋体" w:cs="宋体"/>
                <w:color w:val="auto"/>
                <w:sz w:val="24"/>
                <w:szCs w:val="24"/>
                <w:highlight w:val="none"/>
              </w:rPr>
            </w:pPr>
          </w:p>
        </w:tc>
        <w:tc>
          <w:tcPr>
            <w:tcW w:w="1939" w:type="dxa"/>
            <w:noWrap w:val="0"/>
            <w:vAlign w:val="top"/>
          </w:tcPr>
          <w:p>
            <w:pPr>
              <w:spacing w:line="440" w:lineRule="exact"/>
              <w:jc w:val="center"/>
              <w:rPr>
                <w:rFonts w:hint="eastAsia" w:ascii="宋体" w:hAnsi="宋体" w:eastAsia="宋体" w:cs="宋体"/>
                <w:color w:val="auto"/>
                <w:sz w:val="24"/>
                <w:szCs w:val="24"/>
                <w:highlight w:val="none"/>
              </w:rPr>
            </w:pPr>
          </w:p>
        </w:tc>
        <w:tc>
          <w:tcPr>
            <w:tcW w:w="1799" w:type="dxa"/>
            <w:noWrap w:val="0"/>
            <w:vAlign w:val="top"/>
          </w:tcPr>
          <w:p>
            <w:pPr>
              <w:spacing w:line="440" w:lineRule="exact"/>
              <w:jc w:val="center"/>
              <w:rPr>
                <w:rFonts w:hint="eastAsia" w:ascii="宋体" w:hAnsi="宋体" w:eastAsia="宋体" w:cs="宋体"/>
                <w:color w:val="auto"/>
                <w:sz w:val="24"/>
                <w:szCs w:val="24"/>
                <w:highlight w:val="none"/>
              </w:rPr>
            </w:pPr>
          </w:p>
        </w:tc>
        <w:tc>
          <w:tcPr>
            <w:tcW w:w="1356" w:type="dxa"/>
            <w:noWrap w:val="0"/>
            <w:vAlign w:val="top"/>
          </w:tcPr>
          <w:p>
            <w:pPr>
              <w:spacing w:line="440" w:lineRule="exact"/>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436"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330" w:type="dxa"/>
            <w:noWrap w:val="0"/>
            <w:vAlign w:val="top"/>
          </w:tcPr>
          <w:p>
            <w:pPr>
              <w:spacing w:line="440" w:lineRule="exact"/>
              <w:jc w:val="center"/>
              <w:rPr>
                <w:rFonts w:hint="eastAsia" w:ascii="宋体" w:hAnsi="宋体" w:eastAsia="宋体" w:cs="宋体"/>
                <w:color w:val="auto"/>
                <w:sz w:val="24"/>
                <w:szCs w:val="24"/>
                <w:highlight w:val="none"/>
              </w:rPr>
            </w:pPr>
          </w:p>
        </w:tc>
        <w:tc>
          <w:tcPr>
            <w:tcW w:w="2040" w:type="dxa"/>
            <w:noWrap w:val="0"/>
            <w:vAlign w:val="top"/>
          </w:tcPr>
          <w:p>
            <w:pPr>
              <w:spacing w:line="440" w:lineRule="exact"/>
              <w:jc w:val="center"/>
              <w:rPr>
                <w:rFonts w:hint="eastAsia" w:ascii="宋体" w:hAnsi="宋体" w:eastAsia="宋体" w:cs="宋体"/>
                <w:color w:val="auto"/>
                <w:sz w:val="24"/>
                <w:szCs w:val="24"/>
                <w:highlight w:val="none"/>
              </w:rPr>
            </w:pPr>
          </w:p>
        </w:tc>
        <w:tc>
          <w:tcPr>
            <w:tcW w:w="1939" w:type="dxa"/>
            <w:noWrap w:val="0"/>
            <w:vAlign w:val="top"/>
          </w:tcPr>
          <w:p>
            <w:pPr>
              <w:spacing w:line="440" w:lineRule="exact"/>
              <w:jc w:val="center"/>
              <w:rPr>
                <w:rFonts w:hint="eastAsia" w:ascii="宋体" w:hAnsi="宋体" w:eastAsia="宋体" w:cs="宋体"/>
                <w:color w:val="auto"/>
                <w:sz w:val="24"/>
                <w:szCs w:val="24"/>
                <w:highlight w:val="none"/>
              </w:rPr>
            </w:pPr>
          </w:p>
        </w:tc>
        <w:tc>
          <w:tcPr>
            <w:tcW w:w="1799" w:type="dxa"/>
            <w:noWrap w:val="0"/>
            <w:vAlign w:val="top"/>
          </w:tcPr>
          <w:p>
            <w:pPr>
              <w:spacing w:line="440" w:lineRule="exact"/>
              <w:jc w:val="center"/>
              <w:rPr>
                <w:rFonts w:hint="eastAsia" w:ascii="宋体" w:hAnsi="宋体" w:eastAsia="宋体" w:cs="宋体"/>
                <w:color w:val="auto"/>
                <w:sz w:val="24"/>
                <w:szCs w:val="24"/>
                <w:highlight w:val="none"/>
              </w:rPr>
            </w:pPr>
          </w:p>
        </w:tc>
        <w:tc>
          <w:tcPr>
            <w:tcW w:w="1356" w:type="dxa"/>
            <w:noWrap w:val="0"/>
            <w:vAlign w:val="top"/>
          </w:tcPr>
          <w:p>
            <w:pPr>
              <w:spacing w:line="440" w:lineRule="exact"/>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436" w:type="dxa"/>
            <w:noWrap w:val="0"/>
            <w:vAlign w:val="top"/>
          </w:tcPr>
          <w:p>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330" w:type="dxa"/>
            <w:noWrap w:val="0"/>
            <w:vAlign w:val="top"/>
          </w:tcPr>
          <w:p>
            <w:pPr>
              <w:spacing w:line="440" w:lineRule="exact"/>
              <w:jc w:val="center"/>
              <w:rPr>
                <w:rFonts w:hint="eastAsia" w:ascii="宋体" w:hAnsi="宋体" w:eastAsia="宋体" w:cs="宋体"/>
                <w:color w:val="auto"/>
                <w:sz w:val="24"/>
                <w:szCs w:val="24"/>
                <w:highlight w:val="none"/>
              </w:rPr>
            </w:pPr>
          </w:p>
        </w:tc>
        <w:tc>
          <w:tcPr>
            <w:tcW w:w="2040" w:type="dxa"/>
            <w:noWrap w:val="0"/>
            <w:vAlign w:val="top"/>
          </w:tcPr>
          <w:p>
            <w:pPr>
              <w:spacing w:line="440" w:lineRule="exact"/>
              <w:jc w:val="center"/>
              <w:rPr>
                <w:rFonts w:hint="eastAsia" w:ascii="宋体" w:hAnsi="宋体" w:eastAsia="宋体" w:cs="宋体"/>
                <w:color w:val="auto"/>
                <w:sz w:val="24"/>
                <w:szCs w:val="24"/>
                <w:highlight w:val="none"/>
              </w:rPr>
            </w:pPr>
          </w:p>
        </w:tc>
        <w:tc>
          <w:tcPr>
            <w:tcW w:w="1939" w:type="dxa"/>
            <w:noWrap w:val="0"/>
            <w:vAlign w:val="top"/>
          </w:tcPr>
          <w:p>
            <w:pPr>
              <w:spacing w:line="440" w:lineRule="exact"/>
              <w:jc w:val="center"/>
              <w:rPr>
                <w:rFonts w:hint="eastAsia" w:ascii="宋体" w:hAnsi="宋体" w:eastAsia="宋体" w:cs="宋体"/>
                <w:color w:val="auto"/>
                <w:sz w:val="24"/>
                <w:szCs w:val="24"/>
                <w:highlight w:val="none"/>
              </w:rPr>
            </w:pPr>
          </w:p>
        </w:tc>
        <w:tc>
          <w:tcPr>
            <w:tcW w:w="1799" w:type="dxa"/>
            <w:noWrap w:val="0"/>
            <w:vAlign w:val="top"/>
          </w:tcPr>
          <w:p>
            <w:pPr>
              <w:spacing w:line="440" w:lineRule="exact"/>
              <w:jc w:val="center"/>
              <w:rPr>
                <w:rFonts w:hint="eastAsia" w:ascii="宋体" w:hAnsi="宋体" w:eastAsia="宋体" w:cs="宋体"/>
                <w:color w:val="auto"/>
                <w:sz w:val="24"/>
                <w:szCs w:val="24"/>
                <w:highlight w:val="none"/>
              </w:rPr>
            </w:pPr>
          </w:p>
        </w:tc>
        <w:tc>
          <w:tcPr>
            <w:tcW w:w="1356" w:type="dxa"/>
            <w:noWrap w:val="0"/>
            <w:vAlign w:val="top"/>
          </w:tcPr>
          <w:p>
            <w:pPr>
              <w:spacing w:line="440" w:lineRule="exact"/>
              <w:jc w:val="center"/>
              <w:rPr>
                <w:rFonts w:hint="eastAsia" w:ascii="宋体" w:hAnsi="宋体" w:eastAsia="宋体" w:cs="宋体"/>
                <w:color w:val="auto"/>
                <w:sz w:val="24"/>
                <w:szCs w:val="24"/>
                <w:highlight w:val="none"/>
              </w:rPr>
            </w:pPr>
          </w:p>
        </w:tc>
      </w:tr>
    </w:tbl>
    <w:p>
      <w:pPr>
        <w:spacing w:line="440" w:lineRule="exact"/>
        <w:rPr>
          <w:rFonts w:hint="eastAsia" w:ascii="宋体" w:hAnsi="宋体" w:eastAsia="宋体" w:cs="宋体"/>
          <w:color w:val="auto"/>
          <w:sz w:val="24"/>
          <w:szCs w:val="24"/>
          <w:highlight w:val="none"/>
          <w:u w:val="single"/>
        </w:rPr>
      </w:pPr>
    </w:p>
    <w:p>
      <w:pPr>
        <w:adjustRightInd w:val="0"/>
        <w:snapToGrid w:val="0"/>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注：后附人员</w:t>
      </w:r>
      <w:r>
        <w:rPr>
          <w:rFonts w:hint="eastAsia" w:ascii="宋体" w:hAnsi="宋体" w:eastAsia="宋体" w:cs="宋体"/>
          <w:b/>
          <w:color w:val="auto"/>
          <w:sz w:val="24"/>
          <w:szCs w:val="24"/>
          <w:highlight w:val="none"/>
          <w:lang w:val="en-US" w:eastAsia="zh-CN"/>
        </w:rPr>
        <w:t>简历及</w:t>
      </w:r>
      <w:r>
        <w:rPr>
          <w:rFonts w:hint="eastAsia" w:ascii="宋体" w:hAnsi="宋体" w:eastAsia="宋体" w:cs="宋体"/>
          <w:b/>
          <w:color w:val="auto"/>
          <w:sz w:val="24"/>
          <w:szCs w:val="24"/>
          <w:highlight w:val="none"/>
        </w:rPr>
        <w:t>相关资格证书复印件。</w:t>
      </w:r>
    </w:p>
    <w:p>
      <w:pPr>
        <w:spacing w:line="440" w:lineRule="exact"/>
        <w:jc w:val="center"/>
        <w:rPr>
          <w:rFonts w:hint="eastAsia" w:ascii="宋体" w:hAnsi="宋体" w:eastAsia="宋体" w:cs="宋体"/>
          <w:b/>
          <w:color w:val="auto"/>
          <w:sz w:val="24"/>
          <w:szCs w:val="24"/>
          <w:highlight w:val="none"/>
        </w:rPr>
      </w:pPr>
    </w:p>
    <w:p>
      <w:pPr>
        <w:spacing w:line="440" w:lineRule="exact"/>
        <w:jc w:val="center"/>
        <w:rPr>
          <w:rFonts w:hint="eastAsia" w:ascii="宋体" w:hAnsi="宋体" w:eastAsia="宋体" w:cs="宋体"/>
          <w:b/>
          <w:color w:val="auto"/>
          <w:sz w:val="24"/>
          <w:szCs w:val="24"/>
          <w:highlight w:val="none"/>
        </w:rPr>
      </w:pPr>
    </w:p>
    <w:p>
      <w:pPr>
        <w:spacing w:line="440" w:lineRule="exact"/>
        <w:jc w:val="center"/>
        <w:rPr>
          <w:rFonts w:hint="eastAsia" w:ascii="宋体" w:hAnsi="宋体" w:eastAsia="宋体" w:cs="宋体"/>
          <w:b/>
          <w:color w:val="auto"/>
          <w:sz w:val="24"/>
          <w:szCs w:val="24"/>
          <w:highlight w:val="none"/>
          <w:lang w:val="en-US" w:eastAsia="zh-CN"/>
        </w:rPr>
      </w:pPr>
    </w:p>
    <w:p>
      <w:pPr>
        <w:pStyle w:val="16"/>
        <w:rPr>
          <w:rFonts w:hint="eastAsia"/>
          <w:color w:val="auto"/>
          <w:highlight w:val="none"/>
          <w:lang w:val="en-US" w:eastAsia="zh-CN"/>
        </w:rPr>
      </w:pPr>
    </w:p>
    <w:p>
      <w:pPr>
        <w:pStyle w:val="52"/>
        <w:ind w:firstLine="480" w:firstLineChars="200"/>
        <w:rPr>
          <w:rFonts w:hint="eastAsia" w:ascii="宋体" w:hAnsi="宋体" w:eastAsia="宋体" w:cs="宋体"/>
          <w:color w:val="auto"/>
          <w:sz w:val="24"/>
          <w:szCs w:val="24"/>
          <w:highlight w:val="none"/>
          <w:lang w:val="en-US" w:eastAsia="zh-CN"/>
        </w:rPr>
      </w:pPr>
    </w:p>
    <w:p>
      <w:pPr>
        <w:pStyle w:val="52"/>
        <w:ind w:firstLine="480" w:firstLineChars="200"/>
        <w:rPr>
          <w:rFonts w:hint="eastAsia" w:ascii="宋体" w:hAnsi="宋体" w:eastAsia="宋体" w:cs="宋体"/>
          <w:color w:val="auto"/>
          <w:sz w:val="24"/>
          <w:szCs w:val="24"/>
          <w:highlight w:val="none"/>
          <w:lang w:val="en-US" w:eastAsia="zh-CN"/>
        </w:rPr>
      </w:pPr>
    </w:p>
    <w:p>
      <w:pPr>
        <w:pStyle w:val="52"/>
        <w:ind w:firstLine="480" w:firstLineChars="200"/>
        <w:rPr>
          <w:rFonts w:hint="eastAsia" w:ascii="宋体" w:hAnsi="宋体" w:eastAsia="宋体" w:cs="宋体"/>
          <w:color w:val="auto"/>
          <w:sz w:val="24"/>
          <w:szCs w:val="24"/>
          <w:highlight w:val="none"/>
          <w:lang w:val="en-US" w:eastAsia="zh-CN"/>
        </w:rPr>
      </w:pPr>
    </w:p>
    <w:p>
      <w:pPr>
        <w:pStyle w:val="52"/>
        <w:ind w:firstLine="480" w:firstLineChars="200"/>
        <w:rPr>
          <w:rFonts w:hint="eastAsia" w:ascii="宋体" w:hAnsi="宋体" w:eastAsia="宋体" w:cs="宋体"/>
          <w:color w:val="auto"/>
          <w:sz w:val="24"/>
          <w:szCs w:val="24"/>
          <w:highlight w:val="none"/>
          <w:lang w:val="en-US" w:eastAsia="zh-CN"/>
        </w:rPr>
      </w:pPr>
    </w:p>
    <w:p>
      <w:pPr>
        <w:pStyle w:val="52"/>
        <w:ind w:firstLine="480" w:firstLineChars="200"/>
        <w:rPr>
          <w:rFonts w:hint="eastAsia" w:ascii="宋体" w:hAnsi="宋体" w:eastAsia="宋体" w:cs="宋体"/>
          <w:color w:val="auto"/>
          <w:sz w:val="24"/>
          <w:szCs w:val="24"/>
          <w:highlight w:val="none"/>
          <w:lang w:val="en-US" w:eastAsia="zh-CN"/>
        </w:rPr>
      </w:pPr>
    </w:p>
    <w:p>
      <w:pPr>
        <w:pStyle w:val="52"/>
        <w:ind w:firstLine="480" w:firstLineChars="200"/>
        <w:rPr>
          <w:rFonts w:hint="eastAsia" w:ascii="宋体" w:hAnsi="宋体" w:eastAsia="宋体" w:cs="宋体"/>
          <w:color w:val="auto"/>
          <w:sz w:val="24"/>
          <w:szCs w:val="24"/>
          <w:highlight w:val="none"/>
          <w:lang w:val="en-US" w:eastAsia="zh-CN"/>
        </w:rPr>
      </w:pPr>
    </w:p>
    <w:p>
      <w:pPr>
        <w:pStyle w:val="51"/>
        <w:spacing w:line="360" w:lineRule="auto"/>
        <w:ind w:firstLine="482" w:firstLineChars="200"/>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9</w:t>
      </w:r>
      <w:r>
        <w:rPr>
          <w:rFonts w:hint="eastAsia" w:ascii="宋体" w:hAnsi="宋体" w:eastAsia="宋体" w:cs="宋体"/>
          <w:b/>
          <w:bCs/>
          <w:color w:val="auto"/>
          <w:sz w:val="24"/>
          <w:szCs w:val="24"/>
          <w:highlight w:val="none"/>
          <w:lang w:val="en-US" w:eastAsia="zh-CN"/>
        </w:rPr>
        <w:t>、无人机安全飞行承诺书</w:t>
      </w:r>
    </w:p>
    <w:p>
      <w:pPr>
        <w:pStyle w:val="52"/>
        <w:rPr>
          <w:rFonts w:hint="eastAsia" w:ascii="宋体" w:hAnsi="宋体" w:eastAsia="宋体" w:cs="宋体"/>
          <w:color w:val="auto"/>
          <w:sz w:val="24"/>
          <w:szCs w:val="24"/>
          <w:highlight w:val="none"/>
          <w:lang w:val="en-US" w:eastAsia="zh-CN"/>
        </w:rPr>
      </w:pPr>
    </w:p>
    <w:p>
      <w:pPr>
        <w:jc w:val="left"/>
        <w:rPr>
          <w:rFonts w:hint="eastAsia" w:ascii="宋体" w:hAnsi="宋体" w:eastAsia="宋体" w:cs="宋体"/>
          <w:color w:val="auto"/>
          <w:sz w:val="28"/>
          <w:szCs w:val="28"/>
          <w:highlight w:val="none"/>
        </w:rPr>
      </w:pPr>
    </w:p>
    <w:p>
      <w:pPr>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本公司承诺无人机操作人员</w:t>
      </w:r>
      <w:r>
        <w:rPr>
          <w:rFonts w:hint="eastAsia" w:ascii="宋体" w:hAnsi="宋体" w:eastAsia="宋体" w:cs="宋体"/>
          <w:color w:val="auto"/>
          <w:sz w:val="28"/>
          <w:szCs w:val="28"/>
          <w:highlight w:val="none"/>
        </w:rPr>
        <w:t>已取得无人驾驶航空器飞行操作证书，具备操作无人机资格。</w:t>
      </w:r>
    </w:p>
    <w:p>
      <w:pPr>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本公司承诺</w:t>
      </w:r>
      <w:r>
        <w:rPr>
          <w:rFonts w:hint="eastAsia" w:ascii="宋体" w:hAnsi="宋体" w:eastAsia="宋体" w:cs="宋体"/>
          <w:color w:val="auto"/>
          <w:sz w:val="28"/>
          <w:szCs w:val="28"/>
          <w:highlight w:val="none"/>
        </w:rPr>
        <w:t>，飞行前将仔细全面检查飞行器设备是否正常，确认无误后再进行飞行:在操作过程中，严格遵守操作规范，在指定空域进行操作，确保</w:t>
      </w:r>
      <w:r>
        <w:rPr>
          <w:rFonts w:hint="eastAsia" w:ascii="宋体" w:hAnsi="宋体" w:eastAsia="宋体" w:cs="宋体"/>
          <w:color w:val="auto"/>
          <w:sz w:val="28"/>
          <w:szCs w:val="28"/>
          <w:highlight w:val="none"/>
          <w:lang w:val="en-US" w:eastAsia="zh-CN"/>
        </w:rPr>
        <w:t>林区</w:t>
      </w:r>
      <w:r>
        <w:rPr>
          <w:rFonts w:hint="eastAsia" w:ascii="宋体" w:hAnsi="宋体" w:eastAsia="宋体" w:cs="宋体"/>
          <w:color w:val="auto"/>
          <w:sz w:val="28"/>
          <w:szCs w:val="28"/>
          <w:highlight w:val="none"/>
        </w:rPr>
        <w:t>安全。</w:t>
      </w:r>
      <w:r>
        <w:rPr>
          <w:rFonts w:hint="eastAsia" w:ascii="宋体" w:hAnsi="宋体" w:eastAsia="宋体" w:cs="宋体"/>
          <w:color w:val="auto"/>
          <w:sz w:val="28"/>
          <w:szCs w:val="28"/>
          <w:highlight w:val="none"/>
          <w:lang w:val="en-US" w:eastAsia="zh-CN"/>
        </w:rPr>
        <w:t>对林区及周边环境进行调查，查看分片林区是否遭到破坏；对林区进行热成像的快速摄像和监测可远程探测是否有火灾、人为破坏；</w:t>
      </w:r>
    </w:p>
    <w:p>
      <w:pPr>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本公司承诺</w:t>
      </w:r>
      <w:r>
        <w:rPr>
          <w:rFonts w:hint="eastAsia" w:ascii="宋体" w:hAnsi="宋体" w:eastAsia="宋体" w:cs="宋体"/>
          <w:color w:val="auto"/>
          <w:sz w:val="28"/>
          <w:szCs w:val="28"/>
          <w:highlight w:val="none"/>
        </w:rPr>
        <w:t>在无人机飞行(拍摄)过程中配合安保人员现场管理与指挥</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林区及周边环境</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，避免在人流密集区域上空和重要标志建筑物附近飞行。</w:t>
      </w:r>
    </w:p>
    <w:p>
      <w:pPr>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本公司承诺</w:t>
      </w:r>
      <w:r>
        <w:rPr>
          <w:rFonts w:hint="eastAsia" w:ascii="宋体" w:hAnsi="宋体" w:eastAsia="宋体" w:cs="宋体"/>
          <w:color w:val="auto"/>
          <w:sz w:val="28"/>
          <w:szCs w:val="28"/>
          <w:highlight w:val="none"/>
        </w:rPr>
        <w:t>，绝不利用无人机拍摄</w:t>
      </w:r>
      <w:r>
        <w:rPr>
          <w:rFonts w:hint="eastAsia" w:ascii="宋体" w:hAnsi="宋体" w:eastAsia="宋体" w:cs="宋体"/>
          <w:color w:val="auto"/>
          <w:sz w:val="28"/>
          <w:szCs w:val="28"/>
          <w:highlight w:val="none"/>
          <w:lang w:val="en-US" w:eastAsia="zh-CN"/>
        </w:rPr>
        <w:t>与林区巡护无关内容</w:t>
      </w:r>
      <w:r>
        <w:rPr>
          <w:rFonts w:hint="eastAsia" w:ascii="宋体" w:hAnsi="宋体" w:eastAsia="宋体" w:cs="宋体"/>
          <w:color w:val="auto"/>
          <w:sz w:val="28"/>
          <w:szCs w:val="28"/>
          <w:highlight w:val="none"/>
        </w:rPr>
        <w:t>;</w:t>
      </w:r>
    </w:p>
    <w:p>
      <w:pPr>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5、本公司承诺</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提供无人机指挥平台，为森林巡护及森林消防应急指挥提供服务，形成空地一体化巡护及消防防控灭火救援体系。</w:t>
      </w:r>
    </w:p>
    <w:p>
      <w:pPr>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如因操作不当，造成安全事故，相关责任由操作者本人及拍摄单位承担。</w:t>
      </w:r>
    </w:p>
    <w:p>
      <w:pPr>
        <w:jc w:val="left"/>
        <w:rPr>
          <w:rFonts w:hint="eastAsia" w:ascii="宋体" w:hAnsi="宋体" w:eastAsia="宋体" w:cs="宋体"/>
          <w:color w:val="auto"/>
          <w:sz w:val="28"/>
          <w:szCs w:val="28"/>
          <w:highlight w:val="none"/>
        </w:rPr>
      </w:pPr>
    </w:p>
    <w:p>
      <w:pPr>
        <w:ind w:firstLine="5600" w:firstLineChars="200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承诺人:</w:t>
      </w:r>
    </w:p>
    <w:p>
      <w:pPr>
        <w:ind w:firstLine="5600" w:firstLineChars="200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时 间:</w:t>
      </w: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2"/>
        <w:rPr>
          <w:rFonts w:hint="eastAsia" w:ascii="宋体" w:hAnsi="宋体" w:eastAsia="宋体" w:cs="宋体"/>
          <w:color w:val="auto"/>
          <w:sz w:val="24"/>
          <w:szCs w:val="24"/>
          <w:highlight w:val="none"/>
          <w:lang w:val="en-US" w:eastAsia="zh-CN"/>
        </w:rPr>
      </w:pPr>
    </w:p>
    <w:p>
      <w:pPr>
        <w:pStyle w:val="51"/>
        <w:spacing w:line="360" w:lineRule="auto"/>
        <w:ind w:firstLine="482" w:firstLineChars="200"/>
        <w:jc w:val="center"/>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lang w:val="en-US" w:eastAsia="zh-CN"/>
        </w:rPr>
        <w:t>、投标人认为需提供的证明文件及其它资料</w:t>
      </w:r>
    </w:p>
    <w:p>
      <w:pPr>
        <w:pStyle w:val="77"/>
        <w:adjustRightInd w:val="0"/>
        <w:snapToGrid w:val="0"/>
        <w:spacing w:line="5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说明：此处上传</w:t>
      </w:r>
      <w:r>
        <w:rPr>
          <w:rFonts w:hint="eastAsia" w:ascii="宋体" w:hAnsi="宋体" w:eastAsia="宋体" w:cs="宋体"/>
          <w:color w:val="auto"/>
          <w:sz w:val="24"/>
          <w:szCs w:val="24"/>
          <w:highlight w:val="none"/>
          <w:lang w:val="en-US" w:eastAsia="zh-CN"/>
        </w:rPr>
        <w:t>投标人认为需提供的证明文件及其它资料</w:t>
      </w:r>
    </w:p>
    <w:p>
      <w:pPr>
        <w:spacing w:line="440" w:lineRule="exact"/>
        <w:jc w:val="center"/>
        <w:outlineLvl w:val="1"/>
        <w:rPr>
          <w:rFonts w:hint="eastAsia" w:ascii="宋体" w:hAnsi="宋体" w:eastAsia="宋体" w:cs="宋体"/>
          <w:b/>
          <w:color w:val="auto"/>
          <w:sz w:val="24"/>
          <w:szCs w:val="24"/>
          <w:highlight w:val="none"/>
          <w:lang w:eastAsia="zh-CN"/>
        </w:rPr>
      </w:pPr>
    </w:p>
    <w:p>
      <w:pPr>
        <w:pStyle w:val="32"/>
        <w:rPr>
          <w:rFonts w:hint="eastAsia" w:ascii="宋体" w:hAnsi="宋体" w:eastAsia="宋体" w:cs="宋体"/>
          <w:color w:val="auto"/>
          <w:sz w:val="24"/>
          <w:szCs w:val="24"/>
          <w:highlight w:val="none"/>
        </w:rPr>
      </w:pPr>
    </w:p>
    <w:p>
      <w:pPr>
        <w:pStyle w:val="32"/>
        <w:rPr>
          <w:color w:val="auto"/>
          <w:highlight w:val="none"/>
        </w:rPr>
      </w:pPr>
    </w:p>
    <w:bookmarkEnd w:id="249"/>
    <w:p>
      <w:pPr>
        <w:rPr>
          <w:rFonts w:hint="eastAsia"/>
          <w:color w:val="auto"/>
          <w:highlight w:val="none"/>
          <w:lang w:val="en-US" w:eastAsia="zh-CN"/>
        </w:rPr>
      </w:pPr>
    </w:p>
    <w:p>
      <w:pPr>
        <w:spacing w:line="460" w:lineRule="atLeast"/>
        <w:ind w:firstLine="3036" w:firstLineChars="945"/>
        <w:rPr>
          <w:rFonts w:hint="eastAsia" w:ascii="宋体" w:hAnsi="宋体"/>
          <w:b/>
          <w:bCs/>
          <w:color w:val="auto"/>
          <w:sz w:val="32"/>
          <w:szCs w:val="32"/>
          <w:highlight w:val="none"/>
          <w:lang w:val="en-US" w:eastAsia="zh-CN"/>
        </w:rPr>
      </w:pPr>
    </w:p>
    <w:p>
      <w:pPr>
        <w:spacing w:line="460" w:lineRule="atLeast"/>
        <w:rPr>
          <w:rFonts w:hint="eastAsia" w:ascii="宋体" w:hAnsi="宋体"/>
          <w:b/>
          <w:bCs/>
          <w:color w:val="auto"/>
          <w:sz w:val="32"/>
          <w:szCs w:val="32"/>
          <w:highlight w:val="none"/>
          <w:lang w:val="en-US" w:eastAsia="zh-CN"/>
        </w:rPr>
      </w:pPr>
    </w:p>
    <w:p>
      <w:pPr>
        <w:pStyle w:val="32"/>
        <w:rPr>
          <w:color w:val="auto"/>
          <w:highlight w:val="none"/>
        </w:rPr>
      </w:pPr>
    </w:p>
    <w:bookmarkEnd w:id="379"/>
    <w:sectPr>
      <w:headerReference r:id="rId10" w:type="default"/>
      <w:footerReference r:id="rId11"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PingFang SC Regular">
    <w:altName w:val="Cambria"/>
    <w:panose1 w:val="00000000000000000000"/>
    <w:charset w:val="00"/>
    <w:family w:val="roman"/>
    <w:pitch w:val="default"/>
    <w:sig w:usb0="00000000" w:usb1="00000000" w:usb2="00000000" w:usb3="00000000" w:csb0="00000000" w:csb1="00000000"/>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819"/>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819"/>
        <w:tab w:val="clear" w:pos="4153"/>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posOffset>2616835</wp:posOffset>
              </wp:positionH>
              <wp:positionV relativeFrom="paragraph">
                <wp:posOffset>-295275</wp:posOffset>
              </wp:positionV>
              <wp:extent cx="570865" cy="449580"/>
              <wp:effectExtent l="0" t="0" r="0" b="0"/>
              <wp:wrapNone/>
              <wp:docPr id="9" name="文本框 9"/>
              <wp:cNvGraphicFramePr/>
              <a:graphic xmlns:a="http://schemas.openxmlformats.org/drawingml/2006/main">
                <a:graphicData uri="http://schemas.microsoft.com/office/word/2010/wordprocessingShape">
                  <wps:wsp>
                    <wps:cNvSpPr txBox="1"/>
                    <wps:spPr>
                      <a:xfrm>
                        <a:off x="0" y="0"/>
                        <a:ext cx="570865" cy="449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6.05pt;margin-top:-23.25pt;height:35.4pt;width:44.95pt;mso-position-horizontal-relative:margin;z-index:251659264;mso-width-relative:page;mso-height-relative:page;" filled="f" stroked="f" coordsize="21600,21600" o:gfxdata="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BdLH2QAAAAoBAAAPAAAAAAAAAAEAIAAAACIAAABkcnMvZG93&#10;bnJldi54bWxQSwECFAAUAAAACACHTuJAwzAbhzgCAABhBAAADgAAAAAAAAABACAAAAAoAQAAZHJz&#10;L2Uyb0RvYy54bWxQSwUGAAAAAAYABgBZAQAA0gUAAAAA&#10;">
              <v:fill on="f" focussize="0,0"/>
              <v:stroke on="f" weight="0.5pt"/>
              <v:imagedata o:title=""/>
              <o:lock v:ext="edit" aspectratio="f"/>
              <v:textbox inset="0mm,0mm,0mm,0mm">
                <w:txbxContent>
                  <w:p>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554"/>
      <w:rPr>
        <w:rFonts w:ascii="仿宋" w:hAnsi="仿宋" w:eastAsia="仿宋" w:cs="仿宋"/>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31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bidi w:val="0"/>
      <w:jc w:val="both"/>
      <w:rPr>
        <w:rFonts w:hint="eastAsia"/>
        <w:lang w:val="en-US" w:eastAsia="zh-CN"/>
      </w:rPr>
    </w:pPr>
    <w:r>
      <w:rPr>
        <w:rFonts w:hint="eastAsia"/>
        <w:lang w:val="en-US" w:eastAsia="zh-CN"/>
      </w:rPr>
      <w:drawing>
        <wp:inline distT="0" distB="0" distL="114300" distR="114300">
          <wp:extent cx="1174115" cy="369570"/>
          <wp:effectExtent l="0" t="0" r="6985" b="11430"/>
          <wp:docPr id="19" name="图片 19"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公司LOgo"/>
                  <pic:cNvPicPr>
                    <a:picLocks noChangeAspect="1"/>
                  </pic:cNvPicPr>
                </pic:nvPicPr>
                <pic:blipFill>
                  <a:blip r:embed="rId1"/>
                  <a:stretch>
                    <a:fillRect/>
                  </a:stretch>
                </pic:blipFill>
                <pic:spPr>
                  <a:xfrm rot="10800000" flipH="1" flipV="1">
                    <a:off x="0" y="0"/>
                    <a:ext cx="1174115" cy="369570"/>
                  </a:xfrm>
                  <a:prstGeom prst="rect">
                    <a:avLst/>
                  </a:prstGeom>
                </pic:spPr>
              </pic:pic>
            </a:graphicData>
          </a:graphic>
        </wp:inline>
      </w:drawing>
    </w:r>
    <w:r>
      <w:rPr>
        <w:rFonts w:hint="eastAsia"/>
        <w:lang w:val="en-US" w:eastAsia="zh-CN"/>
      </w:rPr>
      <w:t xml:space="preserve">                                       </w:t>
    </w:r>
  </w:p>
  <w:p>
    <w:pPr>
      <w:pStyle w:val="18"/>
      <w:bidi w:val="0"/>
    </w:pPr>
    <w:r>
      <w:rPr>
        <w:rFonts w:hint="eastAsia" w:ascii="宋体" w:hAnsi="宋体"/>
        <w:b/>
        <w:sz w:val="21"/>
        <w:szCs w:val="21"/>
        <w:lang w:val="en-US" w:eastAsia="zh-CN"/>
      </w:rPr>
      <w:t xml:space="preserve">                                               新疆诚信达招标代理有限责任公司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bidi w:val="0"/>
      <w:rPr>
        <w:rFonts w:hint="default"/>
        <w:lang w:val="en-US"/>
      </w:rPr>
    </w:pPr>
    <w:r>
      <w:rPr>
        <w:rFonts w:hint="eastAsia"/>
        <w:lang w:val="en-US" w:eastAsia="zh-CN"/>
      </w:rPr>
      <w:drawing>
        <wp:inline distT="0" distB="0" distL="114300" distR="114300">
          <wp:extent cx="1174115" cy="369570"/>
          <wp:effectExtent l="0" t="0" r="6985" b="11430"/>
          <wp:docPr id="15" name="图片 15"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公司LOgo"/>
                  <pic:cNvPicPr>
                    <a:picLocks noChangeAspect="1"/>
                  </pic:cNvPicPr>
                </pic:nvPicPr>
                <pic:blipFill>
                  <a:blip r:embed="rId1"/>
                  <a:stretch>
                    <a:fillRect/>
                  </a:stretch>
                </pic:blipFill>
                <pic:spPr>
                  <a:xfrm rot="10800000" flipH="1" flipV="1">
                    <a:off x="0" y="0"/>
                    <a:ext cx="1174115" cy="369570"/>
                  </a:xfrm>
                  <a:prstGeom prst="rect">
                    <a:avLst/>
                  </a:prstGeom>
                </pic:spPr>
              </pic:pic>
            </a:graphicData>
          </a:graphic>
        </wp:inline>
      </w:drawing>
    </w:r>
    <w:r>
      <w:rPr>
        <w:rFonts w:hint="eastAsia"/>
        <w:lang w:val="en-US" w:eastAsia="zh-CN"/>
      </w:rPr>
      <w:t xml:space="preserve">                                               </w:t>
    </w:r>
    <w:r>
      <w:rPr>
        <w:rFonts w:hint="eastAsia" w:ascii="宋体" w:hAnsi="宋体"/>
        <w:b/>
        <w:sz w:val="21"/>
        <w:szCs w:val="21"/>
        <w:lang w:val="en-US" w:eastAsia="zh-CN"/>
      </w:rPr>
      <w:t xml:space="preserve">新疆诚信达招标代理有限责任公司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jc w:val="both"/>
    </w:pPr>
    <w:r>
      <w:rPr>
        <w:rFonts w:hint="eastAsia"/>
        <w:lang w:val="en-US" w:eastAsia="zh-CN"/>
      </w:rPr>
      <w:drawing>
        <wp:inline distT="0" distB="0" distL="114300" distR="114300">
          <wp:extent cx="1174115" cy="369570"/>
          <wp:effectExtent l="0" t="0" r="6985" b="11430"/>
          <wp:docPr id="3" name="图片 3"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
                  <pic:cNvPicPr>
                    <a:picLocks noChangeAspect="1"/>
                  </pic:cNvPicPr>
                </pic:nvPicPr>
                <pic:blipFill>
                  <a:blip r:embed="rId1"/>
                  <a:stretch>
                    <a:fillRect/>
                  </a:stretch>
                </pic:blipFill>
                <pic:spPr>
                  <a:xfrm rot="10800000" flipH="1" flipV="1">
                    <a:off x="0" y="0"/>
                    <a:ext cx="1174115" cy="369570"/>
                  </a:xfrm>
                  <a:prstGeom prst="rect">
                    <a:avLst/>
                  </a:prstGeom>
                </pic:spPr>
              </pic:pic>
            </a:graphicData>
          </a:graphic>
        </wp:inline>
      </w:drawing>
    </w:r>
    <w:r>
      <w:rPr>
        <w:rFonts w:hint="eastAsia"/>
        <w:lang w:val="en-US" w:eastAsia="zh-CN"/>
      </w:rPr>
      <w:t xml:space="preserve">                                   </w:t>
    </w:r>
    <w:r>
      <w:rPr>
        <w:rFonts w:hint="eastAsia" w:ascii="宋体" w:hAnsi="宋体"/>
        <w:b/>
        <w:sz w:val="21"/>
        <w:szCs w:val="21"/>
        <w:lang w:val="en-US" w:eastAsia="zh-CN"/>
      </w:rPr>
      <w:t>新疆诚信达招标代理有限责任公司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70C2E3"/>
    <w:multiLevelType w:val="singleLevel"/>
    <w:tmpl w:val="8C70C2E3"/>
    <w:lvl w:ilvl="0" w:tentative="0">
      <w:start w:val="6"/>
      <w:numFmt w:val="chineseCounting"/>
      <w:suff w:val="space"/>
      <w:lvlText w:val="第%1部分"/>
      <w:lvlJc w:val="left"/>
      <w:rPr>
        <w:rFonts w:hint="eastAsia"/>
      </w:rPr>
    </w:lvl>
  </w:abstractNum>
  <w:abstractNum w:abstractNumId="1">
    <w:nsid w:val="9E778D88"/>
    <w:multiLevelType w:val="singleLevel"/>
    <w:tmpl w:val="9E778D88"/>
    <w:lvl w:ilvl="0" w:tentative="0">
      <w:start w:val="3"/>
      <w:numFmt w:val="decimal"/>
      <w:suff w:val="nothing"/>
      <w:lvlText w:val="%1、"/>
      <w:lvlJc w:val="left"/>
      <w:rPr>
        <w:rFonts w:hint="default"/>
        <w:color w:val="000000"/>
      </w:rPr>
    </w:lvl>
  </w:abstractNum>
  <w:abstractNum w:abstractNumId="2">
    <w:nsid w:val="C76E9AA3"/>
    <w:multiLevelType w:val="singleLevel"/>
    <w:tmpl w:val="C76E9AA3"/>
    <w:lvl w:ilvl="0" w:tentative="0">
      <w:start w:val="1"/>
      <w:numFmt w:val="upperLetter"/>
      <w:lvlText w:val="%1)"/>
      <w:lvlJc w:val="left"/>
      <w:pPr>
        <w:tabs>
          <w:tab w:val="left" w:pos="312"/>
        </w:tabs>
      </w:pPr>
    </w:lvl>
  </w:abstractNum>
  <w:abstractNum w:abstractNumId="3">
    <w:nsid w:val="E3074D4F"/>
    <w:multiLevelType w:val="singleLevel"/>
    <w:tmpl w:val="E3074D4F"/>
    <w:lvl w:ilvl="0" w:tentative="0">
      <w:start w:val="2"/>
      <w:numFmt w:val="chineseCounting"/>
      <w:suff w:val="nothing"/>
      <w:lvlText w:val="%1、"/>
      <w:lvlJc w:val="left"/>
      <w:rPr>
        <w:rFonts w:hint="eastAsia"/>
      </w:rPr>
    </w:lvl>
  </w:abstractNum>
  <w:abstractNum w:abstractNumId="4">
    <w:nsid w:val="EC184AD3"/>
    <w:multiLevelType w:val="singleLevel"/>
    <w:tmpl w:val="EC184AD3"/>
    <w:lvl w:ilvl="0" w:tentative="0">
      <w:start w:val="6"/>
      <w:numFmt w:val="chineseCounting"/>
      <w:suff w:val="nothing"/>
      <w:lvlText w:val="（%1）"/>
      <w:lvlJc w:val="left"/>
      <w:rPr>
        <w:rFonts w:hint="eastAsia"/>
      </w:rPr>
    </w:lvl>
  </w:abstractNum>
  <w:abstractNum w:abstractNumId="5">
    <w:nsid w:val="ECB72A78"/>
    <w:multiLevelType w:val="singleLevel"/>
    <w:tmpl w:val="ECB72A78"/>
    <w:lvl w:ilvl="0" w:tentative="0">
      <w:start w:val="23"/>
      <w:numFmt w:val="decimal"/>
      <w:lvlText w:val="%1."/>
      <w:lvlJc w:val="left"/>
      <w:pPr>
        <w:tabs>
          <w:tab w:val="left" w:pos="312"/>
        </w:tabs>
      </w:pPr>
    </w:lvl>
  </w:abstractNum>
  <w:abstractNum w:abstractNumId="6">
    <w:nsid w:val="15510DBF"/>
    <w:multiLevelType w:val="singleLevel"/>
    <w:tmpl w:val="15510DBF"/>
    <w:lvl w:ilvl="0" w:tentative="0">
      <w:start w:val="2"/>
      <w:numFmt w:val="decimal"/>
      <w:suff w:val="nothing"/>
      <w:lvlText w:val="%1、"/>
      <w:lvlJc w:val="left"/>
    </w:lvl>
  </w:abstractNum>
  <w:abstractNum w:abstractNumId="7">
    <w:nsid w:val="15812A10"/>
    <w:multiLevelType w:val="multilevel"/>
    <w:tmpl w:val="15812A10"/>
    <w:lvl w:ilvl="0" w:tentative="0">
      <w:start w:val="1"/>
      <w:numFmt w:val="upperLetter"/>
      <w:pStyle w:val="3"/>
      <w:lvlText w:val="%1、"/>
      <w:lvlJc w:val="left"/>
      <w:pPr>
        <w:tabs>
          <w:tab w:val="left" w:pos="360"/>
        </w:tabs>
        <w:ind w:left="360" w:hanging="360"/>
      </w:pPr>
      <w:rPr>
        <w:rFonts w:hint="eastAsia" w:cs="Times New Roman"/>
      </w:rPr>
    </w:lvl>
    <w:lvl w:ilvl="1" w:tentative="0">
      <w:start w:val="1"/>
      <w:numFmt w:val="decimal"/>
      <w:lvlText w:val="%2."/>
      <w:lvlJc w:val="left"/>
      <w:pPr>
        <w:tabs>
          <w:tab w:val="left" w:pos="780"/>
        </w:tabs>
        <w:ind w:left="780" w:hanging="360"/>
      </w:pPr>
      <w:rPr>
        <w:rFonts w:hint="eastAsia"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1D017078"/>
    <w:multiLevelType w:val="multilevel"/>
    <w:tmpl w:val="1D017078"/>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1F274A1C"/>
    <w:multiLevelType w:val="multilevel"/>
    <w:tmpl w:val="1F274A1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19F15C3"/>
    <w:multiLevelType w:val="multilevel"/>
    <w:tmpl w:val="219F15C3"/>
    <w:lvl w:ilvl="0" w:tentative="0">
      <w:start w:val="1"/>
      <w:numFmt w:val="decimal"/>
      <w:lvlText w:val="（%1）"/>
      <w:lvlJc w:val="left"/>
      <w:pPr>
        <w:tabs>
          <w:tab w:val="left" w:pos="1440"/>
        </w:tabs>
        <w:ind w:left="1440" w:hanging="720"/>
      </w:pPr>
      <w:rPr>
        <w:rFonts w:hint="eastAsia"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1">
    <w:nsid w:val="26F707B4"/>
    <w:multiLevelType w:val="multilevel"/>
    <w:tmpl w:val="26F707B4"/>
    <w:lvl w:ilvl="0" w:tentative="0">
      <w:start w:val="1"/>
      <w:numFmt w:val="decimal"/>
      <w:lvlText w:val="（%1）"/>
      <w:lvlJc w:val="left"/>
      <w:pPr>
        <w:tabs>
          <w:tab w:val="left" w:pos="1260"/>
        </w:tabs>
        <w:ind w:left="1260" w:hanging="720"/>
      </w:pPr>
      <w:rPr>
        <w:rFonts w:hint="default" w:cs="Times New Roman"/>
      </w:rPr>
    </w:lvl>
    <w:lvl w:ilvl="1" w:tentative="0">
      <w:start w:val="1"/>
      <w:numFmt w:val="lowerLetter"/>
      <w:lvlText w:val="%2)"/>
      <w:lvlJc w:val="left"/>
      <w:pPr>
        <w:tabs>
          <w:tab w:val="left" w:pos="900"/>
        </w:tabs>
        <w:ind w:left="900" w:hanging="420"/>
      </w:pPr>
      <w:rPr>
        <w:rFonts w:cs="Times New Roman"/>
      </w:rPr>
    </w:lvl>
    <w:lvl w:ilvl="2" w:tentative="0">
      <w:start w:val="1"/>
      <w:numFmt w:val="lowerRoman"/>
      <w:lvlText w:val="%3."/>
      <w:lvlJc w:val="right"/>
      <w:pPr>
        <w:tabs>
          <w:tab w:val="left" w:pos="1320"/>
        </w:tabs>
        <w:ind w:left="1320" w:hanging="420"/>
      </w:pPr>
      <w:rPr>
        <w:rFonts w:cs="Times New Roman"/>
      </w:rPr>
    </w:lvl>
    <w:lvl w:ilvl="3" w:tentative="0">
      <w:start w:val="1"/>
      <w:numFmt w:val="decimal"/>
      <w:lvlText w:val="%4."/>
      <w:lvlJc w:val="left"/>
      <w:pPr>
        <w:tabs>
          <w:tab w:val="left" w:pos="1740"/>
        </w:tabs>
        <w:ind w:left="1740" w:hanging="420"/>
      </w:pPr>
      <w:rPr>
        <w:rFonts w:cs="Times New Roman"/>
      </w:rPr>
    </w:lvl>
    <w:lvl w:ilvl="4" w:tentative="0">
      <w:start w:val="1"/>
      <w:numFmt w:val="lowerLetter"/>
      <w:lvlText w:val="%5)"/>
      <w:lvlJc w:val="left"/>
      <w:pPr>
        <w:tabs>
          <w:tab w:val="left" w:pos="2160"/>
        </w:tabs>
        <w:ind w:left="2160" w:hanging="420"/>
      </w:pPr>
      <w:rPr>
        <w:rFonts w:cs="Times New Roman"/>
      </w:rPr>
    </w:lvl>
    <w:lvl w:ilvl="5" w:tentative="0">
      <w:start w:val="1"/>
      <w:numFmt w:val="lowerRoman"/>
      <w:lvlText w:val="%6."/>
      <w:lvlJc w:val="right"/>
      <w:pPr>
        <w:tabs>
          <w:tab w:val="left" w:pos="2580"/>
        </w:tabs>
        <w:ind w:left="2580" w:hanging="420"/>
      </w:pPr>
      <w:rPr>
        <w:rFonts w:cs="Times New Roman"/>
      </w:rPr>
    </w:lvl>
    <w:lvl w:ilvl="6" w:tentative="0">
      <w:start w:val="1"/>
      <w:numFmt w:val="decimal"/>
      <w:lvlText w:val="%7."/>
      <w:lvlJc w:val="left"/>
      <w:pPr>
        <w:tabs>
          <w:tab w:val="left" w:pos="3000"/>
        </w:tabs>
        <w:ind w:left="3000" w:hanging="420"/>
      </w:pPr>
      <w:rPr>
        <w:rFonts w:cs="Times New Roman"/>
      </w:rPr>
    </w:lvl>
    <w:lvl w:ilvl="7" w:tentative="0">
      <w:start w:val="1"/>
      <w:numFmt w:val="lowerLetter"/>
      <w:lvlText w:val="%8)"/>
      <w:lvlJc w:val="left"/>
      <w:pPr>
        <w:tabs>
          <w:tab w:val="left" w:pos="3420"/>
        </w:tabs>
        <w:ind w:left="3420" w:hanging="420"/>
      </w:pPr>
      <w:rPr>
        <w:rFonts w:cs="Times New Roman"/>
      </w:rPr>
    </w:lvl>
    <w:lvl w:ilvl="8" w:tentative="0">
      <w:start w:val="1"/>
      <w:numFmt w:val="lowerRoman"/>
      <w:lvlText w:val="%9."/>
      <w:lvlJc w:val="right"/>
      <w:pPr>
        <w:tabs>
          <w:tab w:val="left" w:pos="3840"/>
        </w:tabs>
        <w:ind w:left="3840" w:hanging="420"/>
      </w:pPr>
      <w:rPr>
        <w:rFonts w:cs="Times New Roman"/>
      </w:rPr>
    </w:lvl>
  </w:abstractNum>
  <w:abstractNum w:abstractNumId="12">
    <w:nsid w:val="3E6F8000"/>
    <w:multiLevelType w:val="singleLevel"/>
    <w:tmpl w:val="3E6F8000"/>
    <w:lvl w:ilvl="0" w:tentative="0">
      <w:start w:val="1"/>
      <w:numFmt w:val="chineseCounting"/>
      <w:suff w:val="nothing"/>
      <w:lvlText w:val="%1、"/>
      <w:lvlJc w:val="left"/>
      <w:rPr>
        <w:rFonts w:hint="eastAsia"/>
      </w:rPr>
    </w:lvl>
  </w:abstractNum>
  <w:abstractNum w:abstractNumId="13">
    <w:nsid w:val="4AE082DF"/>
    <w:multiLevelType w:val="singleLevel"/>
    <w:tmpl w:val="4AE082DF"/>
    <w:lvl w:ilvl="0" w:tentative="0">
      <w:start w:val="4"/>
      <w:numFmt w:val="chineseCounting"/>
      <w:suff w:val="space"/>
      <w:lvlText w:val="第%1部分"/>
      <w:lvlJc w:val="left"/>
      <w:rPr>
        <w:rFonts w:hint="eastAsia"/>
      </w:rPr>
    </w:lvl>
  </w:abstractNum>
  <w:abstractNum w:abstractNumId="14">
    <w:nsid w:val="4B8F68CF"/>
    <w:multiLevelType w:val="multilevel"/>
    <w:tmpl w:val="4B8F68CF"/>
    <w:lvl w:ilvl="0" w:tentative="0">
      <w:start w:val="1"/>
      <w:numFmt w:val="decimal"/>
      <w:lvlText w:val="（%1）"/>
      <w:lvlJc w:val="left"/>
      <w:pPr>
        <w:tabs>
          <w:tab w:val="left" w:pos="1200"/>
        </w:tabs>
        <w:ind w:left="120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5">
    <w:nsid w:val="52CC2B7C"/>
    <w:multiLevelType w:val="multilevel"/>
    <w:tmpl w:val="52CC2B7C"/>
    <w:lvl w:ilvl="0" w:tentative="0">
      <w:start w:val="1"/>
      <w:numFmt w:val="upperLetter"/>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A20AA0E"/>
    <w:multiLevelType w:val="singleLevel"/>
    <w:tmpl w:val="5A20AA0E"/>
    <w:lvl w:ilvl="0" w:tentative="0">
      <w:start w:val="1"/>
      <w:numFmt w:val="chineseCounting"/>
      <w:suff w:val="space"/>
      <w:lvlText w:val="第%1章"/>
      <w:lvlJc w:val="left"/>
      <w:rPr>
        <w:rFonts w:hint="eastAsia"/>
      </w:rPr>
    </w:lvl>
  </w:abstractNum>
  <w:abstractNum w:abstractNumId="17">
    <w:nsid w:val="5D862468"/>
    <w:multiLevelType w:val="multilevel"/>
    <w:tmpl w:val="5D86246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73700A6"/>
    <w:multiLevelType w:val="multilevel"/>
    <w:tmpl w:val="673700A6"/>
    <w:lvl w:ilvl="0" w:tentative="0">
      <w:start w:val="1"/>
      <w:numFmt w:val="decimal"/>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9">
    <w:nsid w:val="6B432F2B"/>
    <w:multiLevelType w:val="multilevel"/>
    <w:tmpl w:val="6B432F2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60A2564"/>
    <w:multiLevelType w:val="multilevel"/>
    <w:tmpl w:val="760A256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81C13FD"/>
    <w:multiLevelType w:val="multilevel"/>
    <w:tmpl w:val="781C13F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FF82CA0"/>
    <w:multiLevelType w:val="multilevel"/>
    <w:tmpl w:val="7FF82CA0"/>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7"/>
  </w:num>
  <w:num w:numId="2">
    <w:abstractNumId w:val="16"/>
  </w:num>
  <w:num w:numId="3">
    <w:abstractNumId w:val="3"/>
  </w:num>
  <w:num w:numId="4">
    <w:abstractNumId w:val="10"/>
  </w:num>
  <w:num w:numId="5">
    <w:abstractNumId w:val="5"/>
  </w:num>
  <w:num w:numId="6">
    <w:abstractNumId w:val="13"/>
  </w:num>
  <w:num w:numId="7">
    <w:abstractNumId w:val="20"/>
  </w:num>
  <w:num w:numId="8">
    <w:abstractNumId w:val="21"/>
  </w:num>
  <w:num w:numId="9">
    <w:abstractNumId w:val="9"/>
  </w:num>
  <w:num w:numId="10">
    <w:abstractNumId w:val="22"/>
  </w:num>
  <w:num w:numId="11">
    <w:abstractNumId w:val="8"/>
  </w:num>
  <w:num w:numId="12">
    <w:abstractNumId w:val="17"/>
  </w:num>
  <w:num w:numId="13">
    <w:abstractNumId w:val="15"/>
  </w:num>
  <w:num w:numId="14">
    <w:abstractNumId w:val="19"/>
  </w:num>
  <w:num w:numId="15">
    <w:abstractNumId w:val="4"/>
  </w:num>
  <w:num w:numId="16">
    <w:abstractNumId w:val="2"/>
  </w:num>
  <w:num w:numId="17">
    <w:abstractNumId w:val="0"/>
  </w:num>
  <w:num w:numId="18">
    <w:abstractNumId w:val="12"/>
  </w:num>
  <w:num w:numId="19">
    <w:abstractNumId w:val="11"/>
  </w:num>
  <w:num w:numId="20">
    <w:abstractNumId w:val="1"/>
  </w:num>
  <w:num w:numId="21">
    <w:abstractNumId w:val="14"/>
  </w:num>
  <w:num w:numId="22">
    <w:abstractNumId w:val="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3NTJlMmVkODk4OTIzZmJhODUxMDFkNDE2OTg4YTMifQ=="/>
  </w:docVars>
  <w:rsids>
    <w:rsidRoot w:val="0531033B"/>
    <w:rsid w:val="0127533C"/>
    <w:rsid w:val="013E4434"/>
    <w:rsid w:val="015E0632"/>
    <w:rsid w:val="016D6AC7"/>
    <w:rsid w:val="01826A17"/>
    <w:rsid w:val="026C6468"/>
    <w:rsid w:val="02A97FD3"/>
    <w:rsid w:val="02DF57A3"/>
    <w:rsid w:val="031B62B7"/>
    <w:rsid w:val="03C350C4"/>
    <w:rsid w:val="03EC63C9"/>
    <w:rsid w:val="04264D77"/>
    <w:rsid w:val="043D58FD"/>
    <w:rsid w:val="0465555F"/>
    <w:rsid w:val="049678CF"/>
    <w:rsid w:val="04C403E9"/>
    <w:rsid w:val="051A0D14"/>
    <w:rsid w:val="0531033B"/>
    <w:rsid w:val="053D30FB"/>
    <w:rsid w:val="055D66D0"/>
    <w:rsid w:val="05854C87"/>
    <w:rsid w:val="05946D18"/>
    <w:rsid w:val="05D45ADA"/>
    <w:rsid w:val="0624471F"/>
    <w:rsid w:val="06FA5D02"/>
    <w:rsid w:val="07434552"/>
    <w:rsid w:val="075E41BA"/>
    <w:rsid w:val="07C27AF6"/>
    <w:rsid w:val="07D7679C"/>
    <w:rsid w:val="088017D6"/>
    <w:rsid w:val="097B1150"/>
    <w:rsid w:val="09CF47C3"/>
    <w:rsid w:val="0A0023B6"/>
    <w:rsid w:val="0A402608"/>
    <w:rsid w:val="0B1526A9"/>
    <w:rsid w:val="0B953FE6"/>
    <w:rsid w:val="0BE45432"/>
    <w:rsid w:val="0D026C5D"/>
    <w:rsid w:val="0D417786"/>
    <w:rsid w:val="0E2D1AB8"/>
    <w:rsid w:val="0E2E1F4E"/>
    <w:rsid w:val="0E395B6A"/>
    <w:rsid w:val="0E4469ED"/>
    <w:rsid w:val="0E752B3F"/>
    <w:rsid w:val="0E885DF6"/>
    <w:rsid w:val="0F7F6FBC"/>
    <w:rsid w:val="104F21BA"/>
    <w:rsid w:val="107D142E"/>
    <w:rsid w:val="11140D0D"/>
    <w:rsid w:val="113B2AFB"/>
    <w:rsid w:val="11B42C14"/>
    <w:rsid w:val="12617F82"/>
    <w:rsid w:val="13097CC6"/>
    <w:rsid w:val="13180760"/>
    <w:rsid w:val="132A4818"/>
    <w:rsid w:val="133B4C77"/>
    <w:rsid w:val="13444297"/>
    <w:rsid w:val="13806B2E"/>
    <w:rsid w:val="13CB7819"/>
    <w:rsid w:val="14180B15"/>
    <w:rsid w:val="143747E7"/>
    <w:rsid w:val="14790B8B"/>
    <w:rsid w:val="150A0467"/>
    <w:rsid w:val="155340BE"/>
    <w:rsid w:val="156D6C3E"/>
    <w:rsid w:val="159620FD"/>
    <w:rsid w:val="15C56A7A"/>
    <w:rsid w:val="16026D99"/>
    <w:rsid w:val="164D7F06"/>
    <w:rsid w:val="168601F0"/>
    <w:rsid w:val="17D01116"/>
    <w:rsid w:val="18D171E9"/>
    <w:rsid w:val="18DF7E53"/>
    <w:rsid w:val="195D57B2"/>
    <w:rsid w:val="19A50196"/>
    <w:rsid w:val="19DD0836"/>
    <w:rsid w:val="1AD31C39"/>
    <w:rsid w:val="1B193AF0"/>
    <w:rsid w:val="1B1F1A4C"/>
    <w:rsid w:val="1BA3360D"/>
    <w:rsid w:val="1BBE01F3"/>
    <w:rsid w:val="1C197B20"/>
    <w:rsid w:val="1C6F14EE"/>
    <w:rsid w:val="1CF540E9"/>
    <w:rsid w:val="1D1722B1"/>
    <w:rsid w:val="1D83126E"/>
    <w:rsid w:val="1DBC370F"/>
    <w:rsid w:val="1E290C7F"/>
    <w:rsid w:val="1E795C5B"/>
    <w:rsid w:val="1E7F6FD6"/>
    <w:rsid w:val="1E9F3589"/>
    <w:rsid w:val="1EDA17E8"/>
    <w:rsid w:val="1EF87EC0"/>
    <w:rsid w:val="1F7F5EEC"/>
    <w:rsid w:val="1FA140B4"/>
    <w:rsid w:val="20862965"/>
    <w:rsid w:val="20FD17BE"/>
    <w:rsid w:val="21831993"/>
    <w:rsid w:val="22183A0B"/>
    <w:rsid w:val="22421B7E"/>
    <w:rsid w:val="2373131B"/>
    <w:rsid w:val="23B343B6"/>
    <w:rsid w:val="23D83E1C"/>
    <w:rsid w:val="23E12326"/>
    <w:rsid w:val="23EA427B"/>
    <w:rsid w:val="23F46EA8"/>
    <w:rsid w:val="23FB34EC"/>
    <w:rsid w:val="24C162C7"/>
    <w:rsid w:val="253313EF"/>
    <w:rsid w:val="2578143B"/>
    <w:rsid w:val="258B79F0"/>
    <w:rsid w:val="26106C8A"/>
    <w:rsid w:val="26F61189"/>
    <w:rsid w:val="273B1194"/>
    <w:rsid w:val="274717F0"/>
    <w:rsid w:val="27565784"/>
    <w:rsid w:val="27AC6575"/>
    <w:rsid w:val="28795D4D"/>
    <w:rsid w:val="28B407B2"/>
    <w:rsid w:val="28B50202"/>
    <w:rsid w:val="290C4C94"/>
    <w:rsid w:val="298E56A9"/>
    <w:rsid w:val="29905CF4"/>
    <w:rsid w:val="2A4A34A4"/>
    <w:rsid w:val="2A663F30"/>
    <w:rsid w:val="2A6F546F"/>
    <w:rsid w:val="2AFB1D28"/>
    <w:rsid w:val="2B013C59"/>
    <w:rsid w:val="2B3B716B"/>
    <w:rsid w:val="2BBB474F"/>
    <w:rsid w:val="2BBD2D8B"/>
    <w:rsid w:val="2BD66E93"/>
    <w:rsid w:val="2C22657D"/>
    <w:rsid w:val="2C5D5807"/>
    <w:rsid w:val="2C844B41"/>
    <w:rsid w:val="2C8C39F6"/>
    <w:rsid w:val="2CBD0053"/>
    <w:rsid w:val="2D5C5764"/>
    <w:rsid w:val="2D6D4F89"/>
    <w:rsid w:val="2DBD47AF"/>
    <w:rsid w:val="2E536EC1"/>
    <w:rsid w:val="2E6B52EA"/>
    <w:rsid w:val="2E6F6984"/>
    <w:rsid w:val="2ED2428A"/>
    <w:rsid w:val="2F2E610F"/>
    <w:rsid w:val="2F6407D5"/>
    <w:rsid w:val="2F8512FC"/>
    <w:rsid w:val="30313232"/>
    <w:rsid w:val="304706EC"/>
    <w:rsid w:val="306C7DC6"/>
    <w:rsid w:val="311A5A74"/>
    <w:rsid w:val="31592A40"/>
    <w:rsid w:val="315C34A7"/>
    <w:rsid w:val="31A33CBC"/>
    <w:rsid w:val="324A3E44"/>
    <w:rsid w:val="32C0264B"/>
    <w:rsid w:val="32F26CA9"/>
    <w:rsid w:val="3316232A"/>
    <w:rsid w:val="345614B9"/>
    <w:rsid w:val="353335A8"/>
    <w:rsid w:val="358B6F41"/>
    <w:rsid w:val="358C2592"/>
    <w:rsid w:val="35CD4430"/>
    <w:rsid w:val="36227E4E"/>
    <w:rsid w:val="3651018A"/>
    <w:rsid w:val="36A91D74"/>
    <w:rsid w:val="3781684D"/>
    <w:rsid w:val="37827C81"/>
    <w:rsid w:val="381019FA"/>
    <w:rsid w:val="38637D01"/>
    <w:rsid w:val="388C36FB"/>
    <w:rsid w:val="38F55D60"/>
    <w:rsid w:val="39162FC5"/>
    <w:rsid w:val="39436E70"/>
    <w:rsid w:val="39747061"/>
    <w:rsid w:val="3ADD1152"/>
    <w:rsid w:val="3AF21C3E"/>
    <w:rsid w:val="3B027CA5"/>
    <w:rsid w:val="3B47390A"/>
    <w:rsid w:val="3B5D45E3"/>
    <w:rsid w:val="3BBD1E1E"/>
    <w:rsid w:val="3C525101"/>
    <w:rsid w:val="3CD33D02"/>
    <w:rsid w:val="3CFE08CC"/>
    <w:rsid w:val="3D8F1598"/>
    <w:rsid w:val="3E2A287A"/>
    <w:rsid w:val="3E6F495E"/>
    <w:rsid w:val="3E727235"/>
    <w:rsid w:val="3E976956"/>
    <w:rsid w:val="3EAD43CC"/>
    <w:rsid w:val="3F5E1222"/>
    <w:rsid w:val="4001677D"/>
    <w:rsid w:val="40176265"/>
    <w:rsid w:val="40FF6E88"/>
    <w:rsid w:val="411918A4"/>
    <w:rsid w:val="41452699"/>
    <w:rsid w:val="41EA4FEF"/>
    <w:rsid w:val="42206C63"/>
    <w:rsid w:val="42424E2B"/>
    <w:rsid w:val="424311C0"/>
    <w:rsid w:val="430D2F90"/>
    <w:rsid w:val="43120CA1"/>
    <w:rsid w:val="435B4329"/>
    <w:rsid w:val="43745CAA"/>
    <w:rsid w:val="43AF1936"/>
    <w:rsid w:val="43C875B2"/>
    <w:rsid w:val="44071E88"/>
    <w:rsid w:val="440F4E3F"/>
    <w:rsid w:val="441D5A50"/>
    <w:rsid w:val="44315157"/>
    <w:rsid w:val="446F234E"/>
    <w:rsid w:val="450D1720"/>
    <w:rsid w:val="4528655A"/>
    <w:rsid w:val="453C6042"/>
    <w:rsid w:val="45440B10"/>
    <w:rsid w:val="45666E40"/>
    <w:rsid w:val="458B0E76"/>
    <w:rsid w:val="463A4797"/>
    <w:rsid w:val="46DE25E4"/>
    <w:rsid w:val="46F030A7"/>
    <w:rsid w:val="46F801AE"/>
    <w:rsid w:val="4774239A"/>
    <w:rsid w:val="48B12D0A"/>
    <w:rsid w:val="4A5A3A15"/>
    <w:rsid w:val="4A7D10F6"/>
    <w:rsid w:val="4A9F72BE"/>
    <w:rsid w:val="4AB97C54"/>
    <w:rsid w:val="4AD33858"/>
    <w:rsid w:val="4B2C497A"/>
    <w:rsid w:val="4C63256E"/>
    <w:rsid w:val="4C687B84"/>
    <w:rsid w:val="4CA85525"/>
    <w:rsid w:val="4CB81013"/>
    <w:rsid w:val="4CE95494"/>
    <w:rsid w:val="4D265A75"/>
    <w:rsid w:val="4E277B74"/>
    <w:rsid w:val="4EAA4484"/>
    <w:rsid w:val="4EE00EC5"/>
    <w:rsid w:val="4EE02810"/>
    <w:rsid w:val="4F1F09CE"/>
    <w:rsid w:val="4F483592"/>
    <w:rsid w:val="4F5A7C58"/>
    <w:rsid w:val="4F7E61D1"/>
    <w:rsid w:val="4F995E58"/>
    <w:rsid w:val="4FCB2904"/>
    <w:rsid w:val="507A3A2D"/>
    <w:rsid w:val="50BA6B94"/>
    <w:rsid w:val="50D141DE"/>
    <w:rsid w:val="51303EAE"/>
    <w:rsid w:val="515801C7"/>
    <w:rsid w:val="524948E8"/>
    <w:rsid w:val="531719BC"/>
    <w:rsid w:val="53277E51"/>
    <w:rsid w:val="536C1D08"/>
    <w:rsid w:val="53901F41"/>
    <w:rsid w:val="539A258C"/>
    <w:rsid w:val="544762D1"/>
    <w:rsid w:val="54F862D5"/>
    <w:rsid w:val="5509794D"/>
    <w:rsid w:val="55306D12"/>
    <w:rsid w:val="554815C1"/>
    <w:rsid w:val="557650C0"/>
    <w:rsid w:val="55D6177B"/>
    <w:rsid w:val="55DD0C9B"/>
    <w:rsid w:val="55F3226C"/>
    <w:rsid w:val="56DD290A"/>
    <w:rsid w:val="5721105B"/>
    <w:rsid w:val="57751339"/>
    <w:rsid w:val="57C87729"/>
    <w:rsid w:val="586873A2"/>
    <w:rsid w:val="58810003"/>
    <w:rsid w:val="588F1EAD"/>
    <w:rsid w:val="58934A02"/>
    <w:rsid w:val="58957824"/>
    <w:rsid w:val="59DD395F"/>
    <w:rsid w:val="5B3B36C3"/>
    <w:rsid w:val="5B5054CC"/>
    <w:rsid w:val="5BA67D81"/>
    <w:rsid w:val="5BB73D3C"/>
    <w:rsid w:val="5C8B05E4"/>
    <w:rsid w:val="5C936557"/>
    <w:rsid w:val="5C983B6D"/>
    <w:rsid w:val="5CA828C6"/>
    <w:rsid w:val="5CE054F0"/>
    <w:rsid w:val="5CE81F53"/>
    <w:rsid w:val="5CE91EE0"/>
    <w:rsid w:val="5D696214"/>
    <w:rsid w:val="5DA477B8"/>
    <w:rsid w:val="5E011217"/>
    <w:rsid w:val="5E031CC8"/>
    <w:rsid w:val="5EFC34C6"/>
    <w:rsid w:val="5F203D4D"/>
    <w:rsid w:val="5F8D05CB"/>
    <w:rsid w:val="60367925"/>
    <w:rsid w:val="605204D7"/>
    <w:rsid w:val="60594DB3"/>
    <w:rsid w:val="60820DBC"/>
    <w:rsid w:val="6089666F"/>
    <w:rsid w:val="60AC2B84"/>
    <w:rsid w:val="60F4722A"/>
    <w:rsid w:val="60F8727B"/>
    <w:rsid w:val="612E4AA0"/>
    <w:rsid w:val="61774160"/>
    <w:rsid w:val="61D93C05"/>
    <w:rsid w:val="61F17290"/>
    <w:rsid w:val="62377985"/>
    <w:rsid w:val="62525A58"/>
    <w:rsid w:val="627222EF"/>
    <w:rsid w:val="62AE1262"/>
    <w:rsid w:val="62E278F0"/>
    <w:rsid w:val="63727A24"/>
    <w:rsid w:val="63D80CF3"/>
    <w:rsid w:val="6468651B"/>
    <w:rsid w:val="648B3FB8"/>
    <w:rsid w:val="64C96A10"/>
    <w:rsid w:val="64EC0EFA"/>
    <w:rsid w:val="65652A5B"/>
    <w:rsid w:val="65B011BE"/>
    <w:rsid w:val="66413C02"/>
    <w:rsid w:val="671F55B7"/>
    <w:rsid w:val="67793F5F"/>
    <w:rsid w:val="680D491C"/>
    <w:rsid w:val="687977BA"/>
    <w:rsid w:val="691A76A9"/>
    <w:rsid w:val="6933590F"/>
    <w:rsid w:val="69BB2B5A"/>
    <w:rsid w:val="69CE5072"/>
    <w:rsid w:val="69D43C0A"/>
    <w:rsid w:val="6A045A35"/>
    <w:rsid w:val="6A097E59"/>
    <w:rsid w:val="6A6A5286"/>
    <w:rsid w:val="6AE21FD0"/>
    <w:rsid w:val="6AE85CC0"/>
    <w:rsid w:val="6B013226"/>
    <w:rsid w:val="6B7457A6"/>
    <w:rsid w:val="6B9B4975"/>
    <w:rsid w:val="6C1B6E43"/>
    <w:rsid w:val="6C2C0174"/>
    <w:rsid w:val="6C4F60F8"/>
    <w:rsid w:val="6C5E050E"/>
    <w:rsid w:val="6C6121CE"/>
    <w:rsid w:val="6CA95923"/>
    <w:rsid w:val="6D1A1C24"/>
    <w:rsid w:val="6D851EEC"/>
    <w:rsid w:val="6DC81DD9"/>
    <w:rsid w:val="6E182D60"/>
    <w:rsid w:val="6EDC4A5C"/>
    <w:rsid w:val="6EDF387E"/>
    <w:rsid w:val="6FAD74D8"/>
    <w:rsid w:val="6FF62C2D"/>
    <w:rsid w:val="702F18C0"/>
    <w:rsid w:val="70417BEE"/>
    <w:rsid w:val="705D4A5A"/>
    <w:rsid w:val="71246E18"/>
    <w:rsid w:val="712D6B22"/>
    <w:rsid w:val="714E0847"/>
    <w:rsid w:val="71551737"/>
    <w:rsid w:val="718632C1"/>
    <w:rsid w:val="71C600C7"/>
    <w:rsid w:val="71F47640"/>
    <w:rsid w:val="72C07522"/>
    <w:rsid w:val="72FB055A"/>
    <w:rsid w:val="73371519"/>
    <w:rsid w:val="74263DA8"/>
    <w:rsid w:val="7470360E"/>
    <w:rsid w:val="749206AD"/>
    <w:rsid w:val="74B775E4"/>
    <w:rsid w:val="74D9398D"/>
    <w:rsid w:val="753C5F49"/>
    <w:rsid w:val="754608BA"/>
    <w:rsid w:val="766338B6"/>
    <w:rsid w:val="76BA0E58"/>
    <w:rsid w:val="7717074A"/>
    <w:rsid w:val="773A7110"/>
    <w:rsid w:val="77CD7ADA"/>
    <w:rsid w:val="784456FD"/>
    <w:rsid w:val="7847671C"/>
    <w:rsid w:val="78717243"/>
    <w:rsid w:val="78C716BD"/>
    <w:rsid w:val="798D64FF"/>
    <w:rsid w:val="7994329B"/>
    <w:rsid w:val="79F75F20"/>
    <w:rsid w:val="7A037D26"/>
    <w:rsid w:val="7A5A26D7"/>
    <w:rsid w:val="7AB67B89"/>
    <w:rsid w:val="7AC322A6"/>
    <w:rsid w:val="7AC907E6"/>
    <w:rsid w:val="7B241EB4"/>
    <w:rsid w:val="7B803CF3"/>
    <w:rsid w:val="7BD858DD"/>
    <w:rsid w:val="7C4A4A2C"/>
    <w:rsid w:val="7CCF0A8E"/>
    <w:rsid w:val="7D052701"/>
    <w:rsid w:val="7D2E70FC"/>
    <w:rsid w:val="7D3176ED"/>
    <w:rsid w:val="7D47789F"/>
    <w:rsid w:val="7D8138F3"/>
    <w:rsid w:val="7D910FF8"/>
    <w:rsid w:val="7E1D070C"/>
    <w:rsid w:val="7E4159BB"/>
    <w:rsid w:val="7E7C2E97"/>
    <w:rsid w:val="7EAC1DB5"/>
    <w:rsid w:val="7F1C1F84"/>
    <w:rsid w:val="7F9A3399"/>
    <w:rsid w:val="7FB14DC3"/>
    <w:rsid w:val="7FC70142"/>
    <w:rsid w:val="7FD07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4"/>
    <w:qFormat/>
    <w:uiPriority w:val="99"/>
    <w:pPr>
      <w:keepNext/>
      <w:numPr>
        <w:ilvl w:val="0"/>
        <w:numId w:val="1"/>
      </w:numPr>
      <w:outlineLvl w:val="0"/>
    </w:pPr>
    <w:rPr>
      <w:b/>
    </w:rPr>
  </w:style>
  <w:style w:type="paragraph" w:styleId="5">
    <w:name w:val="heading 2"/>
    <w:basedOn w:val="1"/>
    <w:next w:val="1"/>
    <w:link w:val="38"/>
    <w:qFormat/>
    <w:uiPriority w:val="99"/>
    <w:pPr>
      <w:keepNext/>
      <w:keepLines/>
      <w:spacing w:before="260" w:after="260" w:line="416" w:lineRule="auto"/>
      <w:outlineLvl w:val="1"/>
    </w:pPr>
    <w:rPr>
      <w:rFonts w:ascii="Arial" w:hAnsi="Arial" w:eastAsia="黑体"/>
      <w:b/>
      <w:sz w:val="32"/>
    </w:rPr>
  </w:style>
  <w:style w:type="paragraph" w:styleId="6">
    <w:name w:val="heading 3"/>
    <w:basedOn w:val="1"/>
    <w:next w:val="1"/>
    <w:qFormat/>
    <w:uiPriority w:val="0"/>
    <w:pPr>
      <w:keepNext/>
      <w:keepLines/>
      <w:widowControl w:val="0"/>
      <w:spacing w:before="100" w:beforeAutospacing="1" w:after="100" w:afterAutospacing="1"/>
      <w:outlineLvl w:val="2"/>
    </w:pPr>
    <w:rPr>
      <w:rFonts w:ascii="仿宋_GB2312" w:eastAsia="宋体"/>
      <w:b/>
      <w:bCs/>
      <w:kern w:val="0"/>
      <w:sz w:val="20"/>
      <w:szCs w:val="30"/>
    </w:rPr>
  </w:style>
  <w:style w:type="paragraph" w:styleId="7">
    <w:name w:val="heading 4"/>
    <w:basedOn w:val="1"/>
    <w:next w:val="1"/>
    <w:qFormat/>
    <w:uiPriority w:val="0"/>
    <w:pPr>
      <w:keepNext/>
      <w:tabs>
        <w:tab w:val="left" w:pos="435"/>
      </w:tabs>
      <w:ind w:left="435" w:hanging="435"/>
      <w:outlineLvl w:val="3"/>
    </w:pPr>
    <w:rPr>
      <w:b/>
      <w:color w:val="000000"/>
      <w:sz w:val="28"/>
      <w:szCs w:val="24"/>
      <w:u w:val="single"/>
    </w:rPr>
  </w:style>
  <w:style w:type="paragraph" w:styleId="8">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customStyle="1" w:styleId="4">
    <w:name w:val="C503-正文格式"/>
    <w:basedOn w:val="1"/>
    <w:qFormat/>
    <w:uiPriority w:val="0"/>
    <w:pPr>
      <w:spacing w:line="360" w:lineRule="auto"/>
      <w:ind w:firstLine="480" w:firstLineChars="200"/>
    </w:pPr>
    <w:rPr>
      <w:rFonts w:ascii="Times New Roman" w:hAnsi="Times New Roman" w:cs="宋体"/>
      <w:sz w:val="24"/>
      <w:szCs w:val="20"/>
    </w:rPr>
  </w:style>
  <w:style w:type="paragraph" w:styleId="9">
    <w:name w:val="Normal Indent"/>
    <w:basedOn w:val="1"/>
    <w:qFormat/>
    <w:uiPriority w:val="99"/>
    <w:pPr>
      <w:ind w:firstLine="420" w:firstLineChars="200"/>
    </w:pPr>
    <w:rPr>
      <w:szCs w:val="24"/>
    </w:rPr>
  </w:style>
  <w:style w:type="paragraph" w:styleId="10">
    <w:name w:val="toa heading"/>
    <w:basedOn w:val="1"/>
    <w:next w:val="1"/>
    <w:qFormat/>
    <w:uiPriority w:val="0"/>
    <w:pPr>
      <w:spacing w:before="120"/>
    </w:pPr>
    <w:rPr>
      <w:rFonts w:ascii="Cambria" w:hAnsi="Cambria" w:cs="Times New Roman"/>
      <w:sz w:val="24"/>
      <w:szCs w:val="24"/>
    </w:rPr>
  </w:style>
  <w:style w:type="paragraph" w:styleId="11">
    <w:name w:val="annotation text"/>
    <w:basedOn w:val="1"/>
    <w:qFormat/>
    <w:uiPriority w:val="0"/>
    <w:pPr>
      <w:jc w:val="left"/>
    </w:pPr>
    <w:rPr>
      <w:szCs w:val="24"/>
    </w:rPr>
  </w:style>
  <w:style w:type="paragraph" w:styleId="12">
    <w:name w:val="index 6"/>
    <w:basedOn w:val="1"/>
    <w:next w:val="1"/>
    <w:qFormat/>
    <w:uiPriority w:val="99"/>
    <w:pPr>
      <w:ind w:left="2100"/>
    </w:pPr>
  </w:style>
  <w:style w:type="paragraph" w:styleId="13">
    <w:name w:val="Salutation"/>
    <w:basedOn w:val="1"/>
    <w:next w:val="1"/>
    <w:qFormat/>
    <w:uiPriority w:val="99"/>
    <w:rPr>
      <w:rFonts w:ascii="宋体"/>
      <w:b/>
      <w:sz w:val="28"/>
    </w:rPr>
  </w:style>
  <w:style w:type="paragraph" w:styleId="14">
    <w:name w:val="Body Text Indent"/>
    <w:basedOn w:val="1"/>
    <w:next w:val="15"/>
    <w:qFormat/>
    <w:uiPriority w:val="99"/>
    <w:pPr>
      <w:ind w:firstLine="480"/>
    </w:pPr>
    <w:rPr>
      <w:rFonts w:ascii="宋体" w:hAnsi="宋体"/>
      <w:sz w:val="24"/>
    </w:rPr>
  </w:style>
  <w:style w:type="paragraph" w:styleId="15">
    <w:name w:val="envelope return"/>
    <w:basedOn w:val="1"/>
    <w:qFormat/>
    <w:uiPriority w:val="0"/>
    <w:pPr>
      <w:snapToGrid w:val="0"/>
    </w:pPr>
    <w:rPr>
      <w:rFonts w:ascii="Arial" w:hAnsi="Arial"/>
    </w:rPr>
  </w:style>
  <w:style w:type="paragraph" w:styleId="16">
    <w:name w:val="Plain Text"/>
    <w:basedOn w:val="1"/>
    <w:qFormat/>
    <w:uiPriority w:val="0"/>
    <w:rPr>
      <w:rFonts w:ascii="宋体" w:hAnsi="Courier New"/>
    </w:rPr>
  </w:style>
  <w:style w:type="paragraph" w:styleId="17">
    <w:name w:val="footer"/>
    <w:basedOn w:val="1"/>
    <w:qFormat/>
    <w:uiPriority w:val="99"/>
    <w:pPr>
      <w:tabs>
        <w:tab w:val="center" w:pos="4153"/>
        <w:tab w:val="right" w:pos="8306"/>
      </w:tabs>
      <w:snapToGrid w:val="0"/>
      <w:jc w:val="left"/>
    </w:pPr>
    <w:rPr>
      <w:kern w:val="0"/>
      <w:sz w:val="18"/>
    </w:rPr>
  </w:style>
  <w:style w:type="paragraph" w:styleId="18">
    <w:name w:val="header"/>
    <w:basedOn w:val="1"/>
    <w:qFormat/>
    <w:uiPriority w:val="0"/>
    <w:pPr>
      <w:pBdr>
        <w:bottom w:val="single" w:color="auto" w:sz="6" w:space="1"/>
      </w:pBdr>
      <w:tabs>
        <w:tab w:val="center" w:pos="4153"/>
        <w:tab w:val="right" w:pos="8306"/>
      </w:tabs>
      <w:snapToGrid w:val="0"/>
      <w:jc w:val="center"/>
    </w:pPr>
    <w:rPr>
      <w:kern w:val="0"/>
      <w:sz w:val="18"/>
    </w:rPr>
  </w:style>
  <w:style w:type="paragraph" w:styleId="19">
    <w:name w:val="toc 1"/>
    <w:basedOn w:val="1"/>
    <w:next w:val="1"/>
    <w:qFormat/>
    <w:uiPriority w:val="39"/>
    <w:pPr>
      <w:tabs>
        <w:tab w:val="right" w:leader="dot" w:pos="9628"/>
      </w:tabs>
      <w:spacing w:line="440" w:lineRule="exact"/>
      <w:jc w:val="center"/>
    </w:pPr>
    <w:rPr>
      <w:rFonts w:ascii="仿宋" w:hAnsi="仿宋" w:eastAsia="仿宋"/>
      <w:b/>
      <w:sz w:val="44"/>
      <w:szCs w:val="44"/>
    </w:rPr>
  </w:style>
  <w:style w:type="paragraph" w:styleId="20">
    <w:name w:val="Subtitle"/>
    <w:basedOn w:val="1"/>
    <w:next w:val="1"/>
    <w:qFormat/>
    <w:uiPriority w:val="0"/>
    <w:pPr>
      <w:spacing w:before="240" w:after="60" w:line="312" w:lineRule="auto"/>
      <w:jc w:val="center"/>
      <w:outlineLvl w:val="1"/>
    </w:pPr>
    <w:rPr>
      <w:b/>
      <w:bCs/>
      <w:kern w:val="28"/>
      <w:sz w:val="32"/>
      <w:szCs w:val="32"/>
    </w:rPr>
  </w:style>
  <w:style w:type="paragraph" w:styleId="21">
    <w:name w:val="toc 2"/>
    <w:basedOn w:val="1"/>
    <w:next w:val="1"/>
    <w:qFormat/>
    <w:uiPriority w:val="39"/>
    <w:pPr>
      <w:tabs>
        <w:tab w:val="right" w:leader="dot" w:pos="9628"/>
      </w:tabs>
      <w:ind w:left="420" w:leftChars="200"/>
    </w:pPr>
  </w:style>
  <w:style w:type="paragraph" w:styleId="22">
    <w:name w:val="Body Text 2"/>
    <w:basedOn w:val="1"/>
    <w:qFormat/>
    <w:uiPriority w:val="0"/>
    <w:pPr>
      <w:jc w:val="left"/>
    </w:pPr>
    <w:rPr>
      <w:rFonts w:ascii="仿宋_GB2312" w:hAnsi="宋体" w:eastAsia="仿宋_GB2312"/>
    </w:rPr>
  </w:style>
  <w:style w:type="paragraph" w:styleId="23">
    <w:name w:val="Normal (Web)"/>
    <w:basedOn w:val="1"/>
    <w:next w:val="24"/>
    <w:qFormat/>
    <w:uiPriority w:val="0"/>
    <w:pPr>
      <w:widowControl/>
      <w:spacing w:before="100" w:beforeAutospacing="1" w:after="100" w:afterAutospacing="1"/>
      <w:jc w:val="left"/>
    </w:pPr>
    <w:rPr>
      <w:rFonts w:ascii="宋体" w:hAnsi="宋体"/>
      <w:kern w:val="0"/>
      <w:sz w:val="24"/>
      <w:szCs w:val="24"/>
    </w:rPr>
  </w:style>
  <w:style w:type="paragraph" w:customStyle="1" w:styleId="24">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styleId="25">
    <w:name w:val="Body Text First Indent"/>
    <w:basedOn w:val="2"/>
    <w:next w:val="1"/>
    <w:qFormat/>
    <w:uiPriority w:val="0"/>
    <w:pPr>
      <w:spacing w:after="120"/>
      <w:ind w:firstLine="420" w:firstLineChars="100"/>
    </w:pPr>
    <w:rPr>
      <w:szCs w:val="20"/>
      <w:lang w:val="en-US" w:eastAsia="zh-CN"/>
    </w:rPr>
  </w:style>
  <w:style w:type="paragraph" w:styleId="26">
    <w:name w:val="Body Text First Indent 2"/>
    <w:basedOn w:val="14"/>
    <w:next w:val="1"/>
    <w:qFormat/>
    <w:uiPriority w:val="99"/>
    <w:pPr>
      <w:spacing w:after="120" w:line="312" w:lineRule="auto"/>
      <w:ind w:left="420" w:leftChars="200" w:firstLine="420"/>
      <w:jc w:val="both"/>
    </w:pPr>
    <w:rPr>
      <w:sz w:val="24"/>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uiPriority w:val="0"/>
    <w:rPr>
      <w:rFonts w:cs="Times New Roman"/>
    </w:rPr>
  </w:style>
  <w:style w:type="character" w:styleId="31">
    <w:name w:val="Hyperlink"/>
    <w:qFormat/>
    <w:uiPriority w:val="99"/>
    <w:rPr>
      <w:rFonts w:cs="Times New Roman"/>
      <w:color w:val="0000FF"/>
      <w:u w:val="single"/>
    </w:rPr>
  </w:style>
  <w:style w:type="paragraph" w:customStyle="1" w:styleId="32">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3">
    <w:name w:val="_Style 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5">
    <w:name w:val="正文文字 Char1"/>
    <w:link w:val="36"/>
    <w:qFormat/>
    <w:locked/>
    <w:uiPriority w:val="99"/>
    <w:rPr>
      <w:rFonts w:ascii="宋体"/>
      <w:color w:val="000000"/>
      <w:kern w:val="0"/>
      <w:sz w:val="28"/>
    </w:rPr>
  </w:style>
  <w:style w:type="paragraph" w:customStyle="1" w:styleId="36">
    <w:name w:val="正文文字"/>
    <w:basedOn w:val="1"/>
    <w:link w:val="35"/>
    <w:qFormat/>
    <w:uiPriority w:val="99"/>
    <w:pPr>
      <w:widowControl/>
      <w:spacing w:line="2375" w:lineRule="atLeast"/>
      <w:ind w:firstLine="419"/>
      <w:textAlignment w:val="baseline"/>
    </w:pPr>
    <w:rPr>
      <w:rFonts w:ascii="宋体"/>
      <w:color w:val="000000"/>
      <w:kern w:val="0"/>
      <w:sz w:val="28"/>
    </w:rPr>
  </w:style>
  <w:style w:type="paragraph" w:styleId="37">
    <w:name w:val="List Paragraph"/>
    <w:basedOn w:val="1"/>
    <w:qFormat/>
    <w:uiPriority w:val="99"/>
    <w:pPr>
      <w:ind w:firstLine="420" w:firstLineChars="200"/>
    </w:pPr>
    <w:rPr>
      <w:rFonts w:ascii="Calibri" w:hAnsi="Calibri"/>
      <w:szCs w:val="22"/>
    </w:rPr>
  </w:style>
  <w:style w:type="character" w:customStyle="1" w:styleId="38">
    <w:name w:val="标题 2 Char"/>
    <w:basedOn w:val="29"/>
    <w:link w:val="5"/>
    <w:qFormat/>
    <w:locked/>
    <w:uiPriority w:val="99"/>
    <w:rPr>
      <w:rFonts w:ascii="Arial" w:hAnsi="Arial" w:eastAsia="黑体"/>
      <w:b/>
      <w:sz w:val="32"/>
    </w:rPr>
  </w:style>
  <w:style w:type="character" w:customStyle="1" w:styleId="39">
    <w:name w:val="font31"/>
    <w:basedOn w:val="29"/>
    <w:qFormat/>
    <w:uiPriority w:val="0"/>
    <w:rPr>
      <w:rFonts w:hint="eastAsia" w:ascii="宋体" w:hAnsi="宋体" w:eastAsia="宋体" w:cs="宋体"/>
      <w:color w:val="000000"/>
      <w:sz w:val="24"/>
      <w:szCs w:val="24"/>
      <w:u w:val="none"/>
    </w:rPr>
  </w:style>
  <w:style w:type="character" w:customStyle="1" w:styleId="40">
    <w:name w:val="font41"/>
    <w:basedOn w:val="29"/>
    <w:qFormat/>
    <w:uiPriority w:val="0"/>
    <w:rPr>
      <w:rFonts w:hint="eastAsia" w:ascii="宋体" w:hAnsi="宋体" w:eastAsia="宋体" w:cs="宋体"/>
      <w:color w:val="FF0000"/>
      <w:sz w:val="24"/>
      <w:szCs w:val="24"/>
      <w:u w:val="none"/>
    </w:rPr>
  </w:style>
  <w:style w:type="character" w:customStyle="1" w:styleId="41">
    <w:name w:val="font61"/>
    <w:basedOn w:val="29"/>
    <w:qFormat/>
    <w:uiPriority w:val="0"/>
    <w:rPr>
      <w:rFonts w:hint="eastAsia" w:ascii="宋体" w:hAnsi="宋体" w:eastAsia="宋体" w:cs="宋体"/>
      <w:color w:val="FF0000"/>
      <w:sz w:val="24"/>
      <w:szCs w:val="24"/>
      <w:u w:val="single"/>
    </w:rPr>
  </w:style>
  <w:style w:type="paragraph" w:customStyle="1" w:styleId="42">
    <w:name w:val="样式 宋体 五号 行距: 单倍行距"/>
    <w:basedOn w:val="1"/>
    <w:qFormat/>
    <w:uiPriority w:val="0"/>
    <w:pPr>
      <w:adjustRightInd w:val="0"/>
      <w:jc w:val="left"/>
      <w:textAlignment w:val="baseline"/>
    </w:pPr>
    <w:rPr>
      <w:rFonts w:ascii="宋体" w:hAnsi="宋体"/>
      <w:kern w:val="0"/>
    </w:rPr>
  </w:style>
  <w:style w:type="paragraph" w:customStyle="1" w:styleId="43">
    <w:name w:val="样式1"/>
    <w:basedOn w:val="1"/>
    <w:qFormat/>
    <w:uiPriority w:val="0"/>
    <w:pPr>
      <w:tabs>
        <w:tab w:val="left" w:pos="480"/>
      </w:tabs>
      <w:adjustRightInd w:val="0"/>
      <w:ind w:left="480" w:hanging="480"/>
      <w:textAlignment w:val="baseline"/>
    </w:pPr>
    <w:rPr>
      <w:rFonts w:ascii="宋体" w:hAnsi="宋体"/>
      <w:kern w:val="0"/>
      <w:szCs w:val="21"/>
    </w:rPr>
  </w:style>
  <w:style w:type="character" w:customStyle="1" w:styleId="44">
    <w:name w:val="font01"/>
    <w:basedOn w:val="29"/>
    <w:qFormat/>
    <w:uiPriority w:val="0"/>
    <w:rPr>
      <w:rFonts w:hint="eastAsia" w:ascii="宋体" w:hAnsi="宋体" w:eastAsia="宋体" w:cs="宋体"/>
      <w:color w:val="000000"/>
      <w:sz w:val="22"/>
      <w:szCs w:val="22"/>
      <w:u w:val="none"/>
    </w:rPr>
  </w:style>
  <w:style w:type="paragraph" w:customStyle="1" w:styleId="45">
    <w:name w:val="Default Tex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6">
    <w:name w:val="正文_29_3_4"/>
    <w:qFormat/>
    <w:uiPriority w:val="0"/>
    <w:pPr>
      <w:widowControl w:val="0"/>
      <w:jc w:val="both"/>
    </w:pPr>
    <w:rPr>
      <w:rFonts w:ascii="Calibri" w:hAnsi="Calibri" w:eastAsia="宋体" w:cs="Times New Roman"/>
      <w:kern w:val="2"/>
      <w:sz w:val="21"/>
      <w:szCs w:val="24"/>
      <w:lang w:val="en-US" w:eastAsia="zh-CN" w:bidi="ar-SA"/>
    </w:rPr>
  </w:style>
  <w:style w:type="character" w:customStyle="1" w:styleId="47">
    <w:name w:val="font11"/>
    <w:basedOn w:val="29"/>
    <w:qFormat/>
    <w:uiPriority w:val="0"/>
    <w:rPr>
      <w:rFonts w:hint="eastAsia" w:ascii="宋体" w:hAnsi="宋体" w:eastAsia="宋体" w:cs="宋体"/>
      <w:color w:val="000000"/>
      <w:sz w:val="24"/>
      <w:szCs w:val="24"/>
      <w:u w:val="none"/>
    </w:rPr>
  </w:style>
  <w:style w:type="character" w:customStyle="1" w:styleId="48">
    <w:name w:val="NormalCharacter"/>
    <w:semiHidden/>
    <w:qFormat/>
    <w:uiPriority w:val="0"/>
  </w:style>
  <w:style w:type="paragraph" w:customStyle="1" w:styleId="49">
    <w:name w:val="页眉与页脚"/>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PingFang SC Regular" w:hAnsi="PingFang SC Regular" w:eastAsia="Arial Unicode MS" w:cs="Arial Unicode MS"/>
      <w:color w:val="000000"/>
      <w:sz w:val="24"/>
      <w:szCs w:val="24"/>
      <w:lang w:val="en-US" w:eastAsia="zh-CN" w:bidi="ar-SA"/>
    </w:rPr>
  </w:style>
  <w:style w:type="paragraph" w:customStyle="1" w:styleId="50">
    <w:name w:val="普通(网站)_0"/>
    <w:basedOn w:val="51"/>
    <w:qFormat/>
    <w:uiPriority w:val="99"/>
    <w:rPr>
      <w:rFonts w:ascii="Calibri" w:hAnsi="Calibri"/>
      <w:sz w:val="24"/>
      <w:szCs w:val="22"/>
    </w:rPr>
  </w:style>
  <w:style w:type="paragraph" w:customStyle="1" w:styleId="51">
    <w:name w:val="正文_1"/>
    <w:basedOn w:val="52"/>
    <w:next w:val="52"/>
    <w:qFormat/>
    <w:uiPriority w:val="0"/>
    <w:pPr>
      <w:widowControl w:val="0"/>
      <w:jc w:val="both"/>
    </w:pPr>
    <w:rPr>
      <w:kern w:val="2"/>
      <w:sz w:val="21"/>
      <w:szCs w:val="22"/>
      <w:lang w:val="en-US" w:eastAsia="zh-CN" w:bidi="ar-SA"/>
    </w:rPr>
  </w:style>
  <w:style w:type="paragraph" w:customStyle="1" w:styleId="52">
    <w:name w:val="正文_2"/>
    <w:basedOn w:val="53"/>
    <w:qFormat/>
    <w:uiPriority w:val="0"/>
    <w:pPr>
      <w:widowControl w:val="0"/>
      <w:jc w:val="both"/>
    </w:pPr>
    <w:rPr>
      <w:rFonts w:ascii="Calibri" w:hAnsi="Calibri"/>
      <w:kern w:val="2"/>
      <w:sz w:val="21"/>
      <w:szCs w:val="22"/>
      <w:lang w:val="en-US" w:eastAsia="zh-CN" w:bidi="ar-SA"/>
    </w:rPr>
  </w:style>
  <w:style w:type="paragraph" w:customStyle="1" w:styleId="53">
    <w:name w:val="正文_1_0"/>
    <w:basedOn w:val="54"/>
    <w:next w:val="56"/>
    <w:qFormat/>
    <w:uiPriority w:val="0"/>
    <w:rPr>
      <w:rFonts w:ascii="Calibri" w:hAnsi="Calibri" w:cs="Calibri"/>
      <w:szCs w:val="21"/>
      <w:lang w:bidi="ug-CN"/>
    </w:rPr>
  </w:style>
  <w:style w:type="paragraph" w:customStyle="1" w:styleId="54">
    <w:name w:val="正文_1_1"/>
    <w:basedOn w:val="55"/>
    <w:qFormat/>
    <w:uiPriority w:val="0"/>
    <w:pPr>
      <w:widowControl w:val="0"/>
      <w:jc w:val="both"/>
    </w:pPr>
    <w:rPr>
      <w:kern w:val="2"/>
      <w:sz w:val="21"/>
      <w:szCs w:val="22"/>
      <w:lang w:val="en-US" w:eastAsia="zh-CN" w:bidi="ar-SA"/>
    </w:rPr>
  </w:style>
  <w:style w:type="paragraph" w:customStyle="1" w:styleId="55">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正文首行缩进1"/>
    <w:basedOn w:val="57"/>
    <w:unhideWhenUsed/>
    <w:qFormat/>
    <w:uiPriority w:val="99"/>
    <w:pPr>
      <w:ind w:firstLine="420" w:firstLineChars="100"/>
    </w:pPr>
    <w:rPr>
      <w:szCs w:val="22"/>
    </w:rPr>
  </w:style>
  <w:style w:type="paragraph" w:customStyle="1" w:styleId="57">
    <w:name w:val="正文文本_0_0"/>
    <w:basedOn w:val="58"/>
    <w:qFormat/>
    <w:uiPriority w:val="0"/>
    <w:pPr>
      <w:spacing w:after="120"/>
    </w:pPr>
    <w:rPr>
      <w:rFonts w:ascii="Calibri" w:hAnsi="Calibri"/>
      <w:kern w:val="0"/>
      <w:sz w:val="20"/>
    </w:rPr>
  </w:style>
  <w:style w:type="paragraph" w:customStyle="1" w:styleId="58">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_2_0"/>
    <w:basedOn w:val="54"/>
    <w:qFormat/>
    <w:uiPriority w:val="0"/>
    <w:rPr>
      <w:rFonts w:ascii="Calibri" w:hAnsi="Calibri"/>
      <w:szCs w:val="21"/>
      <w:lang w:bidi="ug-CN"/>
    </w:rPr>
  </w:style>
  <w:style w:type="paragraph" w:customStyle="1" w:styleId="60">
    <w:name w:val="Normal_1"/>
    <w:qFormat/>
    <w:uiPriority w:val="0"/>
    <w:rPr>
      <w:rFonts w:ascii="黑体" w:hAnsi="黑体" w:eastAsia="黑体" w:cs="Times New Roman"/>
      <w:b/>
      <w:sz w:val="32"/>
      <w:szCs w:val="24"/>
      <w:lang w:bidi="ar-SA"/>
    </w:rPr>
  </w:style>
  <w:style w:type="paragraph" w:customStyle="1" w:styleId="61">
    <w:name w:val="Normal_2"/>
    <w:qFormat/>
    <w:uiPriority w:val="0"/>
    <w:rPr>
      <w:rFonts w:ascii="黑体" w:hAnsi="黑体" w:eastAsia="黑体" w:cs="Times New Roman"/>
      <w:b/>
      <w:sz w:val="32"/>
      <w:szCs w:val="24"/>
      <w:lang w:bidi="ar-SA"/>
    </w:rPr>
  </w:style>
  <w:style w:type="paragraph" w:customStyle="1" w:styleId="62">
    <w:name w:val="Normal_3"/>
    <w:qFormat/>
    <w:uiPriority w:val="0"/>
    <w:rPr>
      <w:rFonts w:ascii="黑体" w:hAnsi="黑体" w:eastAsia="黑体" w:cs="Times New Roman"/>
      <w:b/>
      <w:sz w:val="32"/>
      <w:szCs w:val="24"/>
      <w:lang w:bidi="ar-SA"/>
    </w:rPr>
  </w:style>
  <w:style w:type="paragraph" w:customStyle="1" w:styleId="63">
    <w:name w:val="正文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64">
    <w:name w:val="Normal_4"/>
    <w:qFormat/>
    <w:uiPriority w:val="0"/>
    <w:rPr>
      <w:rFonts w:ascii="黑体" w:hAnsi="黑体" w:eastAsia="黑体" w:cs="Times New Roman"/>
      <w:b/>
      <w:sz w:val="32"/>
      <w:szCs w:val="24"/>
      <w:lang w:bidi="ar-SA"/>
    </w:rPr>
  </w:style>
  <w:style w:type="paragraph" w:customStyle="1" w:styleId="65">
    <w:name w:val="标题 3_0_0"/>
    <w:basedOn w:val="63"/>
    <w:next w:val="63"/>
    <w:qFormat/>
    <w:uiPriority w:val="0"/>
    <w:pPr>
      <w:autoSpaceDE w:val="0"/>
      <w:autoSpaceDN w:val="0"/>
      <w:adjustRightInd w:val="0"/>
      <w:spacing w:line="500" w:lineRule="exact"/>
      <w:jc w:val="center"/>
      <w:outlineLvl w:val="2"/>
    </w:pPr>
    <w:rPr>
      <w:rFonts w:ascii="宋体" w:hAnsi="宋体" w:eastAsia="宋体"/>
      <w:b/>
      <w:szCs w:val="28"/>
    </w:rPr>
  </w:style>
  <w:style w:type="paragraph" w:customStyle="1" w:styleId="66">
    <w:name w:val="Normal_5"/>
    <w:qFormat/>
    <w:uiPriority w:val="0"/>
    <w:rPr>
      <w:rFonts w:ascii="黑体" w:hAnsi="黑体" w:eastAsia="黑体" w:cs="Times New Roman"/>
      <w:b/>
      <w:sz w:val="32"/>
      <w:szCs w:val="24"/>
      <w:lang w:bidi="ar-SA"/>
    </w:rPr>
  </w:style>
  <w:style w:type="paragraph" w:customStyle="1" w:styleId="67">
    <w:name w:val="正文文本_0"/>
    <w:basedOn w:val="68"/>
    <w:qFormat/>
    <w:uiPriority w:val="0"/>
    <w:pPr>
      <w:spacing w:before="100" w:beforeAutospacing="1" w:after="120"/>
    </w:pPr>
    <w:rPr>
      <w:rFonts w:ascii="Calibri" w:hAnsi="Calibri" w:cs="Times New Roman"/>
      <w:lang w:bidi="ar-SA"/>
    </w:rPr>
  </w:style>
  <w:style w:type="paragraph" w:customStyle="1" w:styleId="68">
    <w:name w:val="正文_1_2"/>
    <w:next w:val="6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正文文本缩进_0"/>
    <w:basedOn w:val="68"/>
    <w:qFormat/>
    <w:uiPriority w:val="0"/>
    <w:pPr>
      <w:spacing w:line="500" w:lineRule="exact"/>
      <w:ind w:left="1588" w:leftChars="832" w:firstLine="433" w:firstLineChars="196"/>
    </w:pPr>
    <w:rPr>
      <w:rFonts w:ascii="Calibri" w:hAnsi="Calibri"/>
      <w:sz w:val="24"/>
      <w:szCs w:val="24"/>
    </w:rPr>
  </w:style>
  <w:style w:type="paragraph" w:customStyle="1" w:styleId="70">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72">
    <w:name w:val="正文_4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
    <w:name w:val="正文文本缩进_0_1"/>
    <w:basedOn w:val="74"/>
    <w:qFormat/>
    <w:uiPriority w:val="0"/>
    <w:pPr>
      <w:spacing w:line="500" w:lineRule="exact"/>
      <w:ind w:left="1588" w:leftChars="832" w:firstLine="433" w:firstLineChars="196"/>
    </w:pPr>
    <w:rPr>
      <w:rFonts w:ascii="Calibri" w:hAnsi="Calibri" w:eastAsia="宋体"/>
      <w:sz w:val="24"/>
    </w:rPr>
  </w:style>
  <w:style w:type="paragraph" w:customStyle="1" w:styleId="74">
    <w:name w:val="正文_4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Normal_10"/>
    <w:qFormat/>
    <w:uiPriority w:val="0"/>
    <w:rPr>
      <w:rFonts w:ascii="黑体" w:hAnsi="黑体" w:eastAsia="黑体" w:cs="Times New Roman"/>
      <w:b/>
      <w:sz w:val="32"/>
      <w:szCs w:val="24"/>
      <w:lang w:bidi="ar-SA"/>
    </w:rPr>
  </w:style>
  <w:style w:type="paragraph" w:customStyle="1" w:styleId="7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Normal_9"/>
    <w:qFormat/>
    <w:uiPriority w:val="0"/>
    <w:rPr>
      <w:rFonts w:ascii="黑体" w:hAnsi="黑体" w:eastAsia="黑体" w:cs="Times New Roman"/>
      <w:b/>
      <w:sz w:val="32"/>
      <w:szCs w:val="24"/>
      <w:lang w:bidi="ar-SA"/>
    </w:rPr>
  </w:style>
  <w:style w:type="paragraph" w:customStyle="1" w:styleId="79">
    <w:name w:val="正文_6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Normal_9_0"/>
    <w:basedOn w:val="81"/>
    <w:qFormat/>
    <w:uiPriority w:val="0"/>
    <w:pPr>
      <w:widowControl/>
      <w:jc w:val="left"/>
    </w:pPr>
    <w:rPr>
      <w:rFonts w:ascii="黑体" w:hAnsi="黑体" w:eastAsia="黑体" w:cs="宋体"/>
      <w:b/>
      <w:bCs/>
      <w:kern w:val="0"/>
      <w:sz w:val="32"/>
      <w:szCs w:val="32"/>
    </w:rPr>
  </w:style>
  <w:style w:type="paragraph" w:customStyle="1" w:styleId="81">
    <w:name w:val="正文_3_0"/>
    <w:basedOn w:val="52"/>
    <w:next w:val="82"/>
    <w:qFormat/>
    <w:uiPriority w:val="0"/>
    <w:pPr>
      <w:widowControl w:val="0"/>
      <w:jc w:val="both"/>
    </w:pPr>
    <w:rPr>
      <w:kern w:val="2"/>
      <w:sz w:val="21"/>
      <w:szCs w:val="22"/>
      <w:lang w:val="en-US" w:eastAsia="zh-CN" w:bidi="ar-SA"/>
    </w:rPr>
  </w:style>
  <w:style w:type="paragraph" w:customStyle="1" w:styleId="82">
    <w:name w:val="页脚_2"/>
    <w:basedOn w:val="83"/>
    <w:unhideWhenUsed/>
    <w:qFormat/>
    <w:uiPriority w:val="0"/>
    <w:pPr>
      <w:tabs>
        <w:tab w:val="center" w:pos="4153"/>
        <w:tab w:val="right" w:pos="8306"/>
      </w:tabs>
      <w:snapToGrid w:val="0"/>
      <w:jc w:val="left"/>
    </w:pPr>
    <w:rPr>
      <w:sz w:val="18"/>
      <w:szCs w:val="18"/>
    </w:rPr>
  </w:style>
  <w:style w:type="paragraph" w:customStyle="1" w:styleId="83">
    <w:name w:val="正文_4"/>
    <w:basedOn w:val="84"/>
    <w:qFormat/>
    <w:uiPriority w:val="0"/>
    <w:pPr>
      <w:widowControl w:val="0"/>
      <w:jc w:val="both"/>
    </w:pPr>
    <w:rPr>
      <w:kern w:val="2"/>
      <w:sz w:val="21"/>
      <w:szCs w:val="24"/>
      <w:lang w:val="en-US" w:eastAsia="zh-CN" w:bidi="ar-SA"/>
    </w:rPr>
  </w:style>
  <w:style w:type="paragraph" w:customStyle="1" w:styleId="84">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5">
    <w:name w:val="正文_6_0_0"/>
    <w:basedOn w:val="77"/>
    <w:next w:val="86"/>
    <w:qFormat/>
    <w:uiPriority w:val="0"/>
    <w:rPr>
      <w:rFonts w:ascii="Times New Roman" w:hAnsi="Times New Roman" w:eastAsia="宋体"/>
      <w:szCs w:val="21"/>
    </w:rPr>
  </w:style>
  <w:style w:type="paragraph" w:customStyle="1" w:styleId="86">
    <w:name w:val="页脚_3"/>
    <w:basedOn w:val="85"/>
    <w:semiHidden/>
    <w:qFormat/>
    <w:uiPriority w:val="0"/>
    <w:pPr>
      <w:snapToGrid w:val="0"/>
      <w:jc w:val="left"/>
    </w:pPr>
    <w:rPr>
      <w:rFonts w:ascii="Times New Roman" w:hAnsi="Times New Roman" w:eastAsia="宋体"/>
      <w:sz w:val="18"/>
      <w:szCs w:val="18"/>
    </w:rPr>
  </w:style>
  <w:style w:type="paragraph" w:customStyle="1" w:styleId="87">
    <w:name w:val="正文_6_0_0_0"/>
    <w:basedOn w:val="77"/>
    <w:qFormat/>
    <w:uiPriority w:val="0"/>
    <w:rPr>
      <w:rFonts w:ascii="Times New Roman" w:hAnsi="Times New Roman" w:eastAsia="宋体"/>
      <w:szCs w:val="21"/>
    </w:rPr>
  </w:style>
  <w:style w:type="paragraph" w:customStyle="1" w:styleId="88">
    <w:name w:val="Normal_8"/>
    <w:qFormat/>
    <w:uiPriority w:val="0"/>
    <w:rPr>
      <w:rFonts w:ascii="黑体" w:hAnsi="黑体" w:eastAsia="黑体" w:cs="Times New Roman"/>
      <w:b/>
      <w:sz w:val="32"/>
      <w:szCs w:val="24"/>
      <w:lang w:bidi="ar-SA"/>
    </w:rPr>
  </w:style>
  <w:style w:type="paragraph" w:customStyle="1" w:styleId="89">
    <w:name w:val="Normal_11"/>
    <w:qFormat/>
    <w:uiPriority w:val="0"/>
    <w:rPr>
      <w:rFonts w:ascii="黑体" w:hAnsi="黑体" w:eastAsia="黑体" w:cs="Times New Roman"/>
      <w:b/>
      <w:sz w:val="32"/>
      <w:szCs w:val="24"/>
      <w:lang w:bidi="ar-SA"/>
    </w:rPr>
  </w:style>
  <w:style w:type="paragraph" w:customStyle="1" w:styleId="90">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Normal_19"/>
    <w:qFormat/>
    <w:uiPriority w:val="0"/>
    <w:rPr>
      <w:rFonts w:ascii="黑体" w:hAnsi="黑体" w:eastAsia="黑体" w:cs="Times New Roman"/>
      <w:b/>
      <w:sz w:val="32"/>
      <w:szCs w:val="24"/>
      <w:lang w:bidi="ar-SA"/>
    </w:rPr>
  </w:style>
  <w:style w:type="paragraph" w:customStyle="1" w:styleId="92">
    <w:name w:val="正文缩进1"/>
    <w:basedOn w:val="1"/>
    <w:qFormat/>
    <w:uiPriority w:val="0"/>
    <w:pPr>
      <w:autoSpaceDE w:val="0"/>
      <w:autoSpaceDN w:val="0"/>
      <w:adjustRightInd w:val="0"/>
      <w:ind w:firstLine="420"/>
      <w:jc w:val="left"/>
    </w:pPr>
    <w:rPr>
      <w:rFonts w:ascii="宋体"/>
      <w:sz w:val="24"/>
      <w:szCs w:val="22"/>
    </w:rPr>
  </w:style>
  <w:style w:type="paragraph" w:customStyle="1" w:styleId="93">
    <w:name w:val="索引 11"/>
    <w:basedOn w:val="1"/>
    <w:next w:val="1"/>
    <w:qFormat/>
    <w:uiPriority w:val="0"/>
    <w:pPr>
      <w:spacing w:line="360" w:lineRule="auto"/>
    </w:pPr>
    <w:rPr>
      <w:rFonts w:ascii="仿宋_GB2312" w:eastAsia="仿宋_GB2312"/>
      <w:sz w:val="24"/>
      <w:szCs w:val="20"/>
    </w:rPr>
  </w:style>
  <w:style w:type="paragraph" w:customStyle="1" w:styleId="94">
    <w:name w:val="纯文本1"/>
    <w:basedOn w:val="1"/>
    <w:qFormat/>
    <w:uiPriority w:val="99"/>
    <w:rPr>
      <w:rFonts w:ascii="宋体" w:hAnsi="Courier New"/>
      <w:szCs w:val="22"/>
    </w:rPr>
  </w:style>
  <w:style w:type="table" w:customStyle="1" w:styleId="9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46889</Words>
  <Characters>50051</Characters>
  <Lines>0</Lines>
  <Paragraphs>0</Paragraphs>
  <TotalTime>1</TotalTime>
  <ScaleCrop>false</ScaleCrop>
  <LinksUpToDate>false</LinksUpToDate>
  <CharactersWithSpaces>53521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2022-03-16T02:58:00Z</dcterms:created>
  <dc:creator>XHTF</dc:creator>
  <cp:lastModifiedBy>XHTF</cp:lastModifiedBy>
  <dcterms:modified xsi:type="dcterms:W3CDTF">2023-05-30T02:37:51Z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2B2C70C8F22444DCB19D57CF8BB288F3_13</vt:lpwstr>
  </property>
  <property fmtid="{D5CDD505-2E9C-101B-9397-08002B2CF9AE}" pid="4" name="commondata">
    <vt:lpwstr>eyJoZGlkIjoiOTA0MzE2YjI2YjlhZGNlM2RlNzU0NjU5MTVjYjIwZDIifQ==</vt:lpwstr>
  </property>
</Properties>
</file>