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heme="minorEastAsia" w:hAnsiTheme="minorEastAsia" w:eastAsiaTheme="minorEastAsia" w:cstheme="minorEastAsia"/>
          <w:b/>
          <w:bCs/>
          <w:color w:val="000000"/>
          <w:sz w:val="32"/>
          <w:szCs w:val="32"/>
          <w:lang w:val="en-US" w:bidi="ar"/>
        </w:rPr>
      </w:pPr>
    </w:p>
    <w:p>
      <w:pPr>
        <w:widowControl/>
        <w:jc w:val="center"/>
        <w:rPr>
          <w:rFonts w:hint="eastAsia" w:asciiTheme="minorEastAsia" w:hAnsiTheme="minorEastAsia" w:eastAsiaTheme="minorEastAsia" w:cstheme="minorEastAsia"/>
          <w:b/>
          <w:bCs/>
          <w:color w:val="000000"/>
          <w:sz w:val="44"/>
          <w:szCs w:val="44"/>
          <w:lang w:val="en-US" w:bidi="ar"/>
        </w:rPr>
      </w:pPr>
    </w:p>
    <w:p>
      <w:pPr>
        <w:widowControl/>
        <w:jc w:val="center"/>
        <w:rPr>
          <w:rFonts w:hint="eastAsia" w:asciiTheme="minorEastAsia" w:hAnsiTheme="minorEastAsia" w:eastAsiaTheme="minorEastAsia" w:cstheme="minorEastAsia"/>
          <w:b/>
          <w:bCs/>
          <w:color w:val="000000"/>
          <w:sz w:val="44"/>
          <w:szCs w:val="44"/>
          <w:lang w:val="en-US" w:bidi="ar"/>
        </w:rPr>
      </w:pPr>
    </w:p>
    <w:p>
      <w:pPr>
        <w:pStyle w:val="30"/>
        <w:rPr>
          <w:rFonts w:hint="eastAsia" w:asciiTheme="minorEastAsia" w:hAnsiTheme="minorEastAsia" w:eastAsiaTheme="minorEastAsia" w:cstheme="minorEastAsia"/>
          <w:b/>
          <w:bCs/>
          <w:color w:val="000000"/>
          <w:sz w:val="44"/>
          <w:szCs w:val="44"/>
          <w:lang w:val="en-US" w:bidi="ar"/>
        </w:rPr>
      </w:pPr>
    </w:p>
    <w:p>
      <w:pPr>
        <w:widowControl/>
        <w:jc w:val="both"/>
        <w:rPr>
          <w:rFonts w:hint="eastAsia" w:asciiTheme="minorEastAsia" w:hAnsiTheme="minorEastAsia" w:eastAsiaTheme="minorEastAsia" w:cstheme="minorEastAsia"/>
          <w:b/>
          <w:bCs/>
          <w:color w:val="000000"/>
          <w:sz w:val="44"/>
          <w:szCs w:val="44"/>
          <w:lang w:val="en-US" w:bidi="ar"/>
        </w:rPr>
      </w:pPr>
    </w:p>
    <w:p>
      <w:pPr>
        <w:widowControl/>
        <w:spacing w:line="360" w:lineRule="auto"/>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color w:val="000000"/>
          <w:sz w:val="44"/>
          <w:szCs w:val="44"/>
          <w:lang w:val="en-US" w:bidi="ar"/>
        </w:rPr>
        <w:t>政府采购</w:t>
      </w:r>
    </w:p>
    <w:p>
      <w:pPr>
        <w:widowControl/>
        <w:spacing w:line="360" w:lineRule="auto"/>
        <w:jc w:val="center"/>
        <w:rPr>
          <w:rFonts w:hint="eastAsia" w:asciiTheme="minorEastAsia" w:hAnsiTheme="minorEastAsia" w:eastAsiaTheme="minorEastAsia" w:cstheme="minorEastAsia"/>
          <w:b/>
          <w:bCs/>
          <w:sz w:val="44"/>
          <w:szCs w:val="44"/>
          <w:lang w:val="en-US"/>
        </w:rPr>
      </w:pPr>
      <w:r>
        <w:rPr>
          <w:rFonts w:hint="eastAsia" w:asciiTheme="minorEastAsia" w:hAnsiTheme="minorEastAsia" w:eastAsiaTheme="minorEastAsia" w:cstheme="minorEastAsia"/>
          <w:b/>
          <w:bCs/>
          <w:sz w:val="44"/>
          <w:szCs w:val="44"/>
          <w:lang w:val="en-US"/>
        </w:rPr>
        <w:t>竞争性磋商文件</w:t>
      </w:r>
    </w:p>
    <w:p>
      <w:pPr>
        <w:widowControl/>
        <w:jc w:val="cente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rPr>
      </w:pPr>
    </w:p>
    <w:p>
      <w:pPr>
        <w:pStyle w:val="30"/>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30"/>
        <w:rPr>
          <w:rFonts w:hint="eastAsia" w:asciiTheme="minorEastAsia" w:hAnsiTheme="minorEastAsia" w:eastAsiaTheme="minorEastAsia" w:cstheme="minorEastAsia"/>
        </w:rPr>
      </w:pPr>
    </w:p>
    <w:p>
      <w:pPr>
        <w:pStyle w:val="30"/>
        <w:rPr>
          <w:rFonts w:hint="eastAsia" w:asciiTheme="minorEastAsia" w:hAnsiTheme="minorEastAsia" w:eastAsiaTheme="minorEastAsia" w:cstheme="minorEastAsia"/>
        </w:rPr>
      </w:pPr>
    </w:p>
    <w:p>
      <w:pPr>
        <w:pStyle w:val="30"/>
        <w:rPr>
          <w:rFonts w:hint="eastAsia" w:asciiTheme="minorEastAsia" w:hAnsiTheme="minorEastAsia" w:eastAsiaTheme="minorEastAsia" w:cstheme="minorEastAsia"/>
        </w:rPr>
      </w:pPr>
    </w:p>
    <w:p>
      <w:pPr>
        <w:pStyle w:val="30"/>
        <w:rPr>
          <w:rFonts w:hint="eastAsia" w:asciiTheme="minorEastAsia" w:hAnsiTheme="minorEastAsia" w:eastAsiaTheme="minorEastAsia" w:cstheme="minorEastAsia"/>
        </w:rPr>
      </w:pPr>
    </w:p>
    <w:p>
      <w:pPr>
        <w:pStyle w:val="30"/>
        <w:rPr>
          <w:rFonts w:hint="eastAsia" w:asciiTheme="minorEastAsia" w:hAnsiTheme="minorEastAsia" w:eastAsiaTheme="minorEastAsia" w:cstheme="minorEastAsia"/>
        </w:rPr>
      </w:pPr>
    </w:p>
    <w:p>
      <w:pPr>
        <w:pStyle w:val="30"/>
        <w:rPr>
          <w:rFonts w:hint="eastAsia" w:asciiTheme="minorEastAsia" w:hAnsiTheme="minorEastAsia" w:eastAsiaTheme="minorEastAsia" w:cstheme="minorEastAsia"/>
        </w:rPr>
      </w:pPr>
    </w:p>
    <w:p>
      <w:pPr>
        <w:pStyle w:val="30"/>
        <w:rPr>
          <w:rFonts w:hint="eastAsia" w:asciiTheme="minorEastAsia" w:hAnsiTheme="minorEastAsia" w:eastAsiaTheme="minorEastAsia" w:cstheme="minorEastAsia"/>
        </w:rPr>
      </w:pPr>
    </w:p>
    <w:tbl>
      <w:tblPr>
        <w:tblStyle w:val="25"/>
        <w:tblW w:w="8519" w:type="dxa"/>
        <w:tblInd w:w="0" w:type="dxa"/>
        <w:tblLayout w:type="fixed"/>
        <w:tblCellMar>
          <w:top w:w="0" w:type="dxa"/>
          <w:left w:w="108" w:type="dxa"/>
          <w:bottom w:w="0" w:type="dxa"/>
          <w:right w:w="108" w:type="dxa"/>
        </w:tblCellMar>
      </w:tblPr>
      <w:tblGrid>
        <w:gridCol w:w="2088"/>
        <w:gridCol w:w="356"/>
        <w:gridCol w:w="6075"/>
      </w:tblGrid>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000000"/>
                <w:sz w:val="28"/>
                <w:szCs w:val="28"/>
                <w:lang w:val="en-US" w:bidi="ar"/>
              </w:rPr>
            </w:pPr>
            <w:r>
              <w:rPr>
                <w:rFonts w:hint="eastAsia" w:asciiTheme="minorEastAsia" w:hAnsiTheme="minorEastAsia" w:eastAsiaTheme="minorEastAsia" w:cstheme="minorEastAsia"/>
                <w:color w:val="000000"/>
                <w:sz w:val="28"/>
                <w:szCs w:val="28"/>
                <w:lang w:val="en-US" w:bidi="ar"/>
              </w:rPr>
              <w:t>项目名称</w:t>
            </w:r>
          </w:p>
        </w:tc>
        <w:tc>
          <w:tcPr>
            <w:tcW w:w="356" w:type="dxa"/>
            <w:vAlign w:val="center"/>
          </w:tcPr>
          <w:p>
            <w:pPr>
              <w:jc w:val="distribute"/>
              <w:rPr>
                <w:rFonts w:hint="eastAsia" w:asciiTheme="minorEastAsia" w:hAnsiTheme="minorEastAsia" w:eastAsiaTheme="minorEastAsia" w:cstheme="minorEastAsia"/>
                <w:color w:val="000000"/>
                <w:sz w:val="28"/>
                <w:szCs w:val="28"/>
                <w:lang w:val="en-US" w:bidi="ar"/>
              </w:rPr>
            </w:pPr>
            <w:r>
              <w:rPr>
                <w:rFonts w:hint="eastAsia" w:asciiTheme="minorEastAsia" w:hAnsiTheme="minorEastAsia" w:eastAsiaTheme="minorEastAsia" w:cstheme="minorEastAsia"/>
                <w:color w:val="000000"/>
                <w:sz w:val="28"/>
                <w:szCs w:val="28"/>
                <w:lang w:val="en-US" w:bidi="ar"/>
              </w:rPr>
              <w:t>:</w:t>
            </w:r>
          </w:p>
        </w:tc>
        <w:tc>
          <w:tcPr>
            <w:tcW w:w="6075" w:type="dxa"/>
            <w:vAlign w:val="center"/>
          </w:tcPr>
          <w:p>
            <w:pPr>
              <w:rPr>
                <w:rFonts w:hint="eastAsia" w:asciiTheme="minorEastAsia" w:hAnsiTheme="minorEastAsia" w:eastAsiaTheme="minorEastAsia" w:cstheme="minorEastAsia"/>
                <w:color w:val="000000"/>
                <w:sz w:val="28"/>
                <w:szCs w:val="28"/>
                <w:lang w:val="en-US" w:eastAsia="zh-CN" w:bidi="ar"/>
              </w:rPr>
            </w:pPr>
            <w:r>
              <w:rPr>
                <w:rFonts w:hint="eastAsia" w:asciiTheme="minorEastAsia" w:hAnsiTheme="minorEastAsia" w:eastAsiaTheme="minorEastAsia" w:cstheme="minorEastAsia"/>
                <w:color w:val="000000"/>
                <w:sz w:val="28"/>
                <w:szCs w:val="28"/>
                <w:lang w:val="en-US" w:eastAsia="zh-CN" w:bidi="ar"/>
              </w:rPr>
              <w:t>2023年健身步道修补项目</w:t>
            </w:r>
          </w:p>
        </w:tc>
      </w:tr>
      <w:tr>
        <w:tblPrEx>
          <w:tblCellMar>
            <w:top w:w="0" w:type="dxa"/>
            <w:left w:w="108" w:type="dxa"/>
            <w:bottom w:w="0" w:type="dxa"/>
            <w:right w:w="108" w:type="dxa"/>
          </w:tblCellMar>
        </w:tblPrEx>
        <w:trPr>
          <w:trHeight w:val="717" w:hRule="atLeast"/>
        </w:trPr>
        <w:tc>
          <w:tcPr>
            <w:tcW w:w="2088" w:type="dxa"/>
            <w:vAlign w:val="center"/>
          </w:tcPr>
          <w:p>
            <w:pPr>
              <w:jc w:val="distribute"/>
              <w:rPr>
                <w:rFonts w:hint="eastAsia" w:asciiTheme="minorEastAsia" w:hAnsiTheme="minorEastAsia" w:eastAsiaTheme="minorEastAsia" w:cstheme="minorEastAsia"/>
                <w:color w:val="000000"/>
                <w:sz w:val="28"/>
                <w:szCs w:val="28"/>
                <w:lang w:val="en-US" w:eastAsia="zh-CN" w:bidi="ar"/>
              </w:rPr>
            </w:pPr>
            <w:r>
              <w:rPr>
                <w:rFonts w:hint="eastAsia" w:asciiTheme="minorEastAsia" w:hAnsiTheme="minorEastAsia" w:eastAsiaTheme="minorEastAsia" w:cstheme="minorEastAsia"/>
                <w:color w:val="000000"/>
                <w:sz w:val="28"/>
                <w:szCs w:val="28"/>
                <w:lang w:val="en-US" w:eastAsia="zh-CN" w:bidi="ar"/>
              </w:rPr>
              <w:t>采购编号</w:t>
            </w:r>
          </w:p>
        </w:tc>
        <w:tc>
          <w:tcPr>
            <w:tcW w:w="356" w:type="dxa"/>
            <w:vAlign w:val="center"/>
          </w:tcPr>
          <w:p>
            <w:pPr>
              <w:jc w:val="distribute"/>
              <w:rPr>
                <w:rFonts w:hint="eastAsia" w:asciiTheme="minorEastAsia" w:hAnsiTheme="minorEastAsia" w:eastAsiaTheme="minorEastAsia" w:cstheme="minorEastAsia"/>
                <w:color w:val="000000"/>
                <w:sz w:val="28"/>
                <w:szCs w:val="28"/>
                <w:lang w:val="en-US" w:bidi="ar"/>
              </w:rPr>
            </w:pPr>
            <w:r>
              <w:rPr>
                <w:rFonts w:hint="eastAsia" w:asciiTheme="minorEastAsia" w:hAnsiTheme="minorEastAsia" w:eastAsiaTheme="minorEastAsia" w:cstheme="minorEastAsia"/>
                <w:color w:val="000000"/>
                <w:sz w:val="28"/>
                <w:szCs w:val="28"/>
                <w:lang w:val="en-US" w:bidi="ar"/>
              </w:rPr>
              <w:t>:</w:t>
            </w:r>
          </w:p>
        </w:tc>
        <w:tc>
          <w:tcPr>
            <w:tcW w:w="6075" w:type="dxa"/>
            <w:vAlign w:val="center"/>
          </w:tcPr>
          <w:p>
            <w:pPr>
              <w:rPr>
                <w:rFonts w:hint="eastAsia" w:asciiTheme="minorEastAsia" w:hAnsiTheme="minorEastAsia" w:eastAsiaTheme="minorEastAsia" w:cstheme="minorEastAsia"/>
                <w:color w:val="000000"/>
                <w:sz w:val="28"/>
                <w:szCs w:val="28"/>
                <w:lang w:val="en-US" w:eastAsia="zh-CN" w:bidi="ar"/>
              </w:rPr>
            </w:pPr>
            <w:r>
              <w:rPr>
                <w:rFonts w:hint="eastAsia" w:asciiTheme="minorEastAsia" w:hAnsiTheme="minorEastAsia" w:eastAsiaTheme="minorEastAsia" w:cstheme="minorEastAsia"/>
                <w:color w:val="000000"/>
                <w:sz w:val="28"/>
                <w:szCs w:val="28"/>
                <w:lang w:val="en-US" w:eastAsia="zh-CN" w:bidi="ar"/>
              </w:rPr>
              <w:t>ZBB-2023-XGCG-023（2023497）</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000000"/>
                <w:sz w:val="28"/>
                <w:szCs w:val="28"/>
                <w:lang w:val="en-US" w:bidi="ar"/>
              </w:rPr>
            </w:pPr>
            <w:r>
              <w:rPr>
                <w:rFonts w:hint="eastAsia" w:asciiTheme="minorEastAsia" w:hAnsiTheme="minorEastAsia" w:eastAsiaTheme="minorEastAsia" w:cstheme="minorEastAsia"/>
                <w:color w:val="000000"/>
                <w:sz w:val="28"/>
                <w:szCs w:val="28"/>
                <w:lang w:val="en-US" w:bidi="ar"/>
              </w:rPr>
              <w:t>采    购   人</w:t>
            </w:r>
          </w:p>
        </w:tc>
        <w:tc>
          <w:tcPr>
            <w:tcW w:w="356" w:type="dxa"/>
            <w:vAlign w:val="center"/>
          </w:tcPr>
          <w:p>
            <w:pPr>
              <w:jc w:val="distribute"/>
              <w:rPr>
                <w:rFonts w:hint="eastAsia" w:asciiTheme="minorEastAsia" w:hAnsiTheme="minorEastAsia" w:eastAsiaTheme="minorEastAsia" w:cstheme="minorEastAsia"/>
                <w:color w:val="000000"/>
                <w:sz w:val="28"/>
                <w:szCs w:val="28"/>
                <w:lang w:val="en-US" w:bidi="ar"/>
              </w:rPr>
            </w:pPr>
            <w:r>
              <w:rPr>
                <w:rFonts w:hint="eastAsia" w:asciiTheme="minorEastAsia" w:hAnsiTheme="minorEastAsia" w:eastAsiaTheme="minorEastAsia" w:cstheme="minorEastAsia"/>
                <w:color w:val="000000"/>
                <w:sz w:val="28"/>
                <w:szCs w:val="28"/>
                <w:lang w:val="en-US" w:bidi="ar"/>
              </w:rPr>
              <w:t>:</w:t>
            </w:r>
          </w:p>
        </w:tc>
        <w:tc>
          <w:tcPr>
            <w:tcW w:w="6075" w:type="dxa"/>
            <w:vAlign w:val="center"/>
          </w:tcPr>
          <w:p>
            <w:pPr>
              <w:rPr>
                <w:rFonts w:hint="eastAsia" w:asciiTheme="minorEastAsia" w:hAnsiTheme="minorEastAsia" w:eastAsiaTheme="minorEastAsia" w:cstheme="minorEastAsia"/>
                <w:color w:val="000000"/>
                <w:sz w:val="28"/>
                <w:szCs w:val="28"/>
                <w:lang w:val="en-US" w:eastAsia="zh-CN" w:bidi="ar"/>
              </w:rPr>
            </w:pPr>
            <w:r>
              <w:rPr>
                <w:rFonts w:hint="eastAsia" w:asciiTheme="minorEastAsia" w:hAnsiTheme="minorEastAsia" w:eastAsiaTheme="minorEastAsia" w:cstheme="minorEastAsia"/>
                <w:color w:val="000000"/>
                <w:sz w:val="28"/>
                <w:szCs w:val="28"/>
                <w:lang w:val="en-US" w:eastAsia="zh-CN" w:bidi="ar"/>
              </w:rPr>
              <w:t>乌鲁木齐经济技术开发区（乌鲁木齐市头屯河区）园林管理局</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000000"/>
                <w:sz w:val="28"/>
                <w:szCs w:val="28"/>
                <w:lang w:val="en-US" w:bidi="ar"/>
              </w:rPr>
            </w:pPr>
            <w:r>
              <w:rPr>
                <w:rFonts w:hint="eastAsia" w:asciiTheme="minorEastAsia" w:hAnsiTheme="minorEastAsia" w:eastAsiaTheme="minorEastAsia" w:cstheme="minorEastAsia"/>
                <w:color w:val="000000"/>
                <w:sz w:val="28"/>
                <w:szCs w:val="28"/>
                <w:lang w:val="en-US" w:bidi="ar"/>
              </w:rPr>
              <w:t>采购代理机构</w:t>
            </w:r>
          </w:p>
        </w:tc>
        <w:tc>
          <w:tcPr>
            <w:tcW w:w="356" w:type="dxa"/>
            <w:vAlign w:val="center"/>
          </w:tcPr>
          <w:p>
            <w:pPr>
              <w:jc w:val="distribute"/>
              <w:rPr>
                <w:rFonts w:hint="eastAsia" w:asciiTheme="minorEastAsia" w:hAnsiTheme="minorEastAsia" w:eastAsiaTheme="minorEastAsia" w:cstheme="minorEastAsia"/>
                <w:color w:val="000000"/>
                <w:sz w:val="28"/>
                <w:szCs w:val="28"/>
                <w:lang w:val="en-US" w:bidi="ar"/>
              </w:rPr>
            </w:pPr>
            <w:r>
              <w:rPr>
                <w:rFonts w:hint="eastAsia" w:asciiTheme="minorEastAsia" w:hAnsiTheme="minorEastAsia" w:eastAsiaTheme="minorEastAsia" w:cstheme="minorEastAsia"/>
                <w:color w:val="000000"/>
                <w:sz w:val="28"/>
                <w:szCs w:val="28"/>
                <w:lang w:val="en-US" w:bidi="ar"/>
              </w:rPr>
              <w:t>:</w:t>
            </w:r>
          </w:p>
        </w:tc>
        <w:tc>
          <w:tcPr>
            <w:tcW w:w="6075" w:type="dxa"/>
            <w:vAlign w:val="center"/>
          </w:tcPr>
          <w:p>
            <w:pPr>
              <w:rPr>
                <w:rFonts w:hint="eastAsia" w:asciiTheme="minorEastAsia" w:hAnsiTheme="minorEastAsia" w:eastAsiaTheme="minorEastAsia" w:cstheme="minorEastAsia"/>
                <w:color w:val="000000"/>
                <w:sz w:val="28"/>
                <w:szCs w:val="28"/>
                <w:lang w:val="en-US" w:eastAsia="zh-CN" w:bidi="ar"/>
              </w:rPr>
            </w:pPr>
            <w:r>
              <w:rPr>
                <w:rFonts w:hint="eastAsia" w:asciiTheme="minorEastAsia" w:hAnsiTheme="minorEastAsia" w:eastAsiaTheme="minorEastAsia" w:cstheme="minorEastAsia"/>
                <w:color w:val="000000"/>
                <w:sz w:val="28"/>
                <w:szCs w:val="28"/>
                <w:lang w:val="en-US" w:eastAsia="zh-CN" w:bidi="ar"/>
              </w:rPr>
              <w:t>新疆建投项目管理咨询有限公司</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000000"/>
                <w:sz w:val="28"/>
                <w:szCs w:val="28"/>
                <w:lang w:val="en-US" w:bidi="ar"/>
              </w:rPr>
            </w:pPr>
            <w:r>
              <w:rPr>
                <w:rFonts w:hint="eastAsia" w:asciiTheme="minorEastAsia" w:hAnsiTheme="minorEastAsia" w:eastAsiaTheme="minorEastAsia" w:cstheme="minorEastAsia"/>
                <w:color w:val="000000"/>
                <w:sz w:val="28"/>
                <w:szCs w:val="28"/>
                <w:lang w:val="en-US" w:bidi="ar"/>
              </w:rPr>
              <w:t>时间</w:t>
            </w:r>
          </w:p>
        </w:tc>
        <w:tc>
          <w:tcPr>
            <w:tcW w:w="356" w:type="dxa"/>
            <w:vAlign w:val="center"/>
          </w:tcPr>
          <w:p>
            <w:pPr>
              <w:jc w:val="distribute"/>
              <w:rPr>
                <w:rFonts w:hint="eastAsia" w:asciiTheme="minorEastAsia" w:hAnsiTheme="minorEastAsia" w:eastAsiaTheme="minorEastAsia" w:cstheme="minorEastAsia"/>
                <w:color w:val="000000"/>
                <w:sz w:val="28"/>
                <w:szCs w:val="28"/>
                <w:lang w:val="en-US" w:bidi="ar"/>
              </w:rPr>
            </w:pPr>
            <w:r>
              <w:rPr>
                <w:rFonts w:hint="eastAsia" w:asciiTheme="minorEastAsia" w:hAnsiTheme="minorEastAsia" w:eastAsiaTheme="minorEastAsia" w:cstheme="minorEastAsia"/>
                <w:color w:val="000000"/>
                <w:sz w:val="28"/>
                <w:szCs w:val="28"/>
                <w:lang w:val="en-US" w:bidi="ar"/>
              </w:rPr>
              <w:t>:</w:t>
            </w:r>
          </w:p>
        </w:tc>
        <w:tc>
          <w:tcPr>
            <w:tcW w:w="6075" w:type="dxa"/>
            <w:vAlign w:val="center"/>
          </w:tcPr>
          <w:p>
            <w:pPr>
              <w:rPr>
                <w:rFonts w:hint="eastAsia" w:asciiTheme="minorEastAsia" w:hAnsiTheme="minorEastAsia" w:eastAsiaTheme="minorEastAsia" w:cstheme="minorEastAsia"/>
                <w:color w:val="000000"/>
                <w:sz w:val="28"/>
                <w:szCs w:val="28"/>
                <w:lang w:val="en-US" w:bidi="ar"/>
              </w:rPr>
            </w:pPr>
            <w:r>
              <w:rPr>
                <w:rFonts w:hint="eastAsia" w:asciiTheme="minorEastAsia" w:hAnsiTheme="minorEastAsia" w:eastAsiaTheme="minorEastAsia" w:cstheme="minorEastAsia"/>
                <w:color w:val="000000"/>
                <w:sz w:val="28"/>
                <w:szCs w:val="28"/>
                <w:lang w:val="en-US" w:bidi="ar"/>
              </w:rPr>
              <w:t>二零二三年</w:t>
            </w:r>
            <w:r>
              <w:rPr>
                <w:rFonts w:hint="eastAsia" w:asciiTheme="minorEastAsia" w:hAnsiTheme="minorEastAsia" w:eastAsiaTheme="minorEastAsia" w:cstheme="minorEastAsia"/>
                <w:color w:val="000000"/>
                <w:sz w:val="28"/>
                <w:szCs w:val="28"/>
                <w:lang w:val="en-US" w:eastAsia="zh-CN" w:bidi="ar"/>
              </w:rPr>
              <w:t>五</w:t>
            </w:r>
            <w:r>
              <w:rPr>
                <w:rFonts w:hint="eastAsia" w:asciiTheme="minorEastAsia" w:hAnsiTheme="minorEastAsia" w:eastAsiaTheme="minorEastAsia" w:cstheme="minorEastAsia"/>
                <w:color w:val="000000"/>
                <w:sz w:val="28"/>
                <w:szCs w:val="28"/>
                <w:lang w:val="en-US" w:bidi="ar"/>
              </w:rPr>
              <w:t>月</w:t>
            </w:r>
          </w:p>
        </w:tc>
      </w:tr>
    </w:tbl>
    <w:p>
      <w:pPr>
        <w:rPr>
          <w:rFonts w:hint="eastAsia" w:asciiTheme="minorEastAsia" w:hAnsiTheme="minorEastAsia" w:eastAsiaTheme="minorEastAsia" w:cstheme="minorEastAsia"/>
          <w:sz w:val="36"/>
          <w:szCs w:val="36"/>
        </w:rPr>
      </w:pPr>
    </w:p>
    <w:p>
      <w:pPr>
        <w:pStyle w:val="30"/>
        <w:rPr>
          <w:rFonts w:hint="eastAsia" w:asciiTheme="minorEastAsia" w:hAnsiTheme="minorEastAsia" w:eastAsiaTheme="minorEastAsia" w:cstheme="minorEastAsia"/>
          <w:lang w:val="zh-CN" w:bidi="zh-CN"/>
        </w:rPr>
      </w:pPr>
    </w:p>
    <w:p>
      <w:pPr>
        <w:pStyle w:val="30"/>
        <w:rPr>
          <w:rFonts w:hint="eastAsia" w:asciiTheme="minorEastAsia" w:hAnsiTheme="minorEastAsia" w:eastAsiaTheme="minorEastAsia" w:cstheme="minorEastAsia"/>
          <w:lang w:val="zh-CN" w:bidi="zh-CN"/>
        </w:rPr>
      </w:pPr>
    </w:p>
    <w:p>
      <w:pPr>
        <w:pStyle w:val="2"/>
        <w:keepNext w:val="0"/>
        <w:keepLines w:val="0"/>
        <w:pageBreakBefore/>
        <w:widowControl w:val="0"/>
        <w:kinsoku/>
        <w:wordWrap/>
        <w:overflowPunct/>
        <w:topLinePunct w:val="0"/>
        <w:autoSpaceDE w:val="0"/>
        <w:autoSpaceDN w:val="0"/>
        <w:bidi w:val="0"/>
        <w:adjustRightInd/>
        <w:snapToGrid/>
        <w:ind w:right="113"/>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目 录</w:t>
      </w:r>
    </w:p>
    <w:p>
      <w:pPr>
        <w:pStyle w:val="2"/>
        <w:ind w:right="116"/>
        <w:jc w:val="both"/>
        <w:rPr>
          <w:rFonts w:hint="eastAsia" w:asciiTheme="minorEastAsia" w:hAnsiTheme="minorEastAsia" w:eastAsiaTheme="minorEastAsia" w:cstheme="minorEastAsia"/>
          <w:b w:val="0"/>
          <w:bCs w:val="0"/>
          <w:sz w:val="28"/>
          <w:szCs w:val="28"/>
        </w:rPr>
      </w:pPr>
    </w:p>
    <w:sdt>
      <w:sdtPr>
        <w:rPr>
          <w:rFonts w:hint="eastAsia" w:asciiTheme="minorEastAsia" w:hAnsiTheme="minorEastAsia" w:eastAsiaTheme="minorEastAsia" w:cstheme="minorEastAsia"/>
          <w:sz w:val="21"/>
        </w:rPr>
        <w:id w:val="147478943"/>
        <w15:color w:val="DBDBDB"/>
        <w:docPartObj>
          <w:docPartGallery w:val="Table of Contents"/>
          <w:docPartUnique/>
        </w:docPartObj>
      </w:sdtPr>
      <w:sdtEndPr>
        <w:rPr>
          <w:rFonts w:hint="eastAsia" w:asciiTheme="minorEastAsia" w:hAnsiTheme="minorEastAsia" w:eastAsiaTheme="minorEastAsia" w:cstheme="minorEastAsia"/>
          <w:sz w:val="21"/>
        </w:rPr>
      </w:sdtEndPr>
      <w:sdtContent>
        <w:p>
          <w:pPr>
            <w:jc w:val="center"/>
            <w:rPr>
              <w:rFonts w:hint="eastAsia" w:asciiTheme="minorEastAsia" w:hAnsiTheme="minorEastAsia" w:eastAsiaTheme="minorEastAsia" w:cstheme="minorEastAsia"/>
            </w:rPr>
          </w:pPr>
        </w:p>
        <w:p>
          <w:pPr>
            <w:pStyle w:val="19"/>
            <w:tabs>
              <w:tab w:val="right" w:leader="dot" w:pos="836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TOC \o "1-1" \h \u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"_Toc25167"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第一章</w:t>
          </w:r>
          <w:r>
            <w:rPr>
              <w:rFonts w:hint="eastAsia" w:asciiTheme="minorEastAsia" w:hAnsiTheme="minorEastAsia" w:eastAsiaTheme="minorEastAsia" w:cstheme="minorEastAsia"/>
              <w:sz w:val="24"/>
              <w:szCs w:val="24"/>
              <w:lang w:val="en-US"/>
            </w:rPr>
            <w:t xml:space="preserve">  竞争性</w:t>
          </w:r>
          <w:r>
            <w:rPr>
              <w:rFonts w:hint="eastAsia" w:asciiTheme="minorEastAsia" w:hAnsiTheme="minorEastAsia" w:eastAsiaTheme="minorEastAsia" w:cstheme="minorEastAsia"/>
              <w:sz w:val="24"/>
              <w:szCs w:val="24"/>
            </w:rPr>
            <w:t>磋商公告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_Toc25167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9"/>
            <w:tabs>
              <w:tab w:val="right" w:leader="dot" w:pos="836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"_Toc25134"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 w:val="24"/>
              <w:szCs w:val="24"/>
            </w:rPr>
            <w:t>第二章</w:t>
          </w:r>
          <w:r>
            <w:rPr>
              <w:rFonts w:hint="eastAsia" w:asciiTheme="minorEastAsia" w:hAnsiTheme="minorEastAsia" w:eastAsiaTheme="minorEastAsia" w:cstheme="minorEastAsia"/>
              <w:bCs/>
              <w:sz w:val="24"/>
              <w:szCs w:val="24"/>
              <w:lang w:val="en-US"/>
            </w:rPr>
            <w:t xml:space="preserve">  </w:t>
          </w:r>
          <w:r>
            <w:rPr>
              <w:rFonts w:hint="eastAsia" w:asciiTheme="minorEastAsia" w:hAnsiTheme="minorEastAsia" w:eastAsiaTheme="minorEastAsia" w:cstheme="minorEastAsia"/>
              <w:bCs/>
              <w:sz w:val="24"/>
              <w:szCs w:val="24"/>
            </w:rPr>
            <w:t>磋商须知及前附表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_Toc25134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9"/>
            <w:tabs>
              <w:tab w:val="right" w:leader="dot" w:pos="836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"_Toc4926"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rPr>
            <w:t>三</w:t>
          </w:r>
          <w:r>
            <w:rPr>
              <w:rFonts w:hint="eastAsia" w:asciiTheme="minorEastAsia" w:hAnsiTheme="minorEastAsia" w:eastAsiaTheme="minorEastAsia" w:cstheme="minorEastAsia"/>
              <w:sz w:val="24"/>
              <w:szCs w:val="24"/>
            </w:rPr>
            <w:t xml:space="preserve">章  </w:t>
          </w:r>
          <w:r>
            <w:rPr>
              <w:rFonts w:hint="eastAsia" w:asciiTheme="minorEastAsia" w:hAnsiTheme="minorEastAsia" w:eastAsiaTheme="minorEastAsia" w:cstheme="minorEastAsia"/>
              <w:sz w:val="24"/>
              <w:szCs w:val="24"/>
              <w:lang w:val="en-US"/>
            </w:rPr>
            <w:t>政府采购合同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_Toc4926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9"/>
            <w:tabs>
              <w:tab w:val="right" w:leader="dot" w:pos="836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"_Toc16377"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kern w:val="2"/>
              <w:sz w:val="24"/>
              <w:szCs w:val="24"/>
              <w:lang w:val="en-US" w:bidi="ar"/>
            </w:rPr>
            <w:t>第四章  采购需求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_Toc16377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9"/>
            <w:tabs>
              <w:tab w:val="right" w:leader="dot" w:pos="8360"/>
            </w:tabs>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"_Toc17458"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kern w:val="2"/>
              <w:sz w:val="24"/>
              <w:szCs w:val="24"/>
              <w:lang w:val="en-US" w:bidi="ar"/>
            </w:rPr>
            <w:t>第五章  评标方法和标准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5</w:t>
          </w:r>
        </w:p>
        <w:p>
          <w:pPr>
            <w:pStyle w:val="19"/>
            <w:tabs>
              <w:tab w:val="right" w:leader="dot" w:pos="8360"/>
            </w:tabs>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rPr>
            <w:t xml:space="preserve">第六章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"_Toc31163"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磋商响应文件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9</w:t>
          </w:r>
        </w:p>
        <w:p>
          <w:pPr>
            <w:pStyle w:val="19"/>
            <w:tabs>
              <w:tab w:val="right" w:pos="2400"/>
              <w:tab w:val="right" w:leader="dot" w:pos="9910"/>
            </w:tabs>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end"/>
          </w:r>
        </w:p>
      </w:sdtContent>
    </w:sdt>
    <w:p>
      <w:pPr>
        <w:pStyle w:val="5"/>
        <w:tabs>
          <w:tab w:val="left" w:pos="1285"/>
        </w:tabs>
        <w:adjustRightInd w:val="0"/>
        <w:snapToGrid w:val="0"/>
        <w:spacing w:before="0"/>
        <w:rPr>
          <w:rFonts w:hint="eastAsia" w:asciiTheme="minorEastAsia" w:hAnsiTheme="minorEastAsia" w:eastAsiaTheme="minorEastAsia" w:cstheme="minorEastAsia"/>
        </w:rPr>
        <w:sectPr>
          <w:pgSz w:w="11910" w:h="16850"/>
          <w:pgMar w:top="1440" w:right="1800" w:bottom="1440" w:left="1800" w:header="720" w:footer="720" w:gutter="0"/>
          <w:pgNumType w:fmt="decimal"/>
          <w:cols w:space="720" w:num="1"/>
        </w:sectPr>
      </w:pPr>
      <w:bookmarkStart w:id="0" w:name="_Toc4063"/>
      <w:bookmarkStart w:id="1" w:name="_Toc25167"/>
      <w:bookmarkStart w:id="2" w:name="_Toc22300"/>
    </w:p>
    <w:p>
      <w:pPr>
        <w:pStyle w:val="5"/>
        <w:tabs>
          <w:tab w:val="left" w:pos="1285"/>
        </w:tabs>
        <w:adjustRightInd w:val="0"/>
        <w:snapToGrid w:val="0"/>
        <w:spacing w:before="0"/>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第一章</w:t>
      </w:r>
      <w:r>
        <w:rPr>
          <w:rFonts w:hint="eastAsia" w:asciiTheme="minorEastAsia" w:hAnsiTheme="minorEastAsia" w:eastAsiaTheme="minorEastAsia" w:cstheme="minorEastAsia"/>
          <w:lang w:val="en-US"/>
        </w:rPr>
        <w:t xml:space="preserve">  </w:t>
      </w:r>
      <w:bookmarkEnd w:id="0"/>
      <w:bookmarkEnd w:id="1"/>
      <w:bookmarkEnd w:id="2"/>
      <w:r>
        <w:rPr>
          <w:rFonts w:hint="eastAsia" w:asciiTheme="minorEastAsia" w:hAnsiTheme="minorEastAsia" w:eastAsiaTheme="minorEastAsia" w:cstheme="minorEastAsia"/>
        </w:rPr>
        <w:t>竞争性磋商公告</w:t>
      </w:r>
    </w:p>
    <w:p>
      <w:pPr>
        <w:pStyle w:val="22"/>
        <w:spacing w:before="75" w:beforeAutospacing="0" w:after="75" w:afterAutospacing="0" w:line="360" w:lineRule="auto"/>
        <w:ind w:firstLine="480" w:firstLineChars="200"/>
        <w:rPr>
          <w:rFonts w:hint="eastAsia" w:ascii="宋体" w:hAnsi="宋体" w:eastAsia="宋体" w:cs="宋体"/>
          <w:b/>
          <w:bCs/>
          <w:spacing w:val="0"/>
          <w:sz w:val="24"/>
          <w:szCs w:val="24"/>
        </w:rPr>
      </w:pPr>
      <w:bookmarkStart w:id="3" w:name="_Toc28359012"/>
      <w:bookmarkStart w:id="4" w:name="_Toc35393629"/>
      <w:bookmarkStart w:id="5" w:name="_Toc28359089"/>
      <w:bookmarkStart w:id="6" w:name="_Toc35393798"/>
      <w:r>
        <w:rPr>
          <w:rFonts w:hint="eastAsia" w:ascii="宋体" w:hAnsi="宋体" w:eastAsia="宋体" w:cs="宋体"/>
          <w:spacing w:val="0"/>
          <w:sz w:val="24"/>
          <w:szCs w:val="24"/>
        </w:rPr>
        <w:t>项目概况</w:t>
      </w:r>
      <w:r>
        <w:rPr>
          <w:rFonts w:hint="eastAsia" w:ascii="宋体" w:hAnsi="宋体" w:eastAsia="宋体" w:cs="宋体"/>
          <w:b/>
          <w:bCs/>
          <w:spacing w:val="0"/>
          <w:sz w:val="24"/>
          <w:szCs w:val="24"/>
        </w:rPr>
        <w:t xml:space="preserve">        </w:t>
      </w:r>
    </w:p>
    <w:tbl>
      <w:tblPr>
        <w:tblStyle w:val="25"/>
        <w:tblW w:w="9360"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360" w:type="dxa"/>
            <w:noWrap w:val="0"/>
            <w:vAlign w:val="top"/>
          </w:tcPr>
          <w:p>
            <w:pPr>
              <w:spacing w:line="440" w:lineRule="exact"/>
              <w:ind w:firstLine="480" w:firstLineChars="200"/>
              <w:rPr>
                <w:rFonts w:hint="eastAsia" w:ascii="宋体" w:hAnsi="宋体" w:eastAsia="宋体" w:cs="宋体"/>
                <w:spacing w:val="0"/>
                <w:sz w:val="24"/>
                <w:szCs w:val="24"/>
                <w:highlight w:val="none"/>
              </w:rPr>
            </w:pPr>
            <w:r>
              <w:rPr>
                <w:rFonts w:hint="eastAsia" w:ascii="宋体" w:hAnsi="宋体" w:eastAsia="宋体" w:cs="宋体"/>
                <w:spacing w:val="0"/>
                <w:sz w:val="24"/>
                <w:szCs w:val="24"/>
              </w:rPr>
              <w:t>2023年健身步道修补项目的潜在</w:t>
            </w:r>
            <w:r>
              <w:rPr>
                <w:rFonts w:hint="eastAsia" w:ascii="宋体" w:hAnsi="宋体" w:eastAsia="宋体" w:cs="宋体"/>
                <w:spacing w:val="0"/>
                <w:sz w:val="24"/>
                <w:szCs w:val="24"/>
                <w:lang w:val="en-US" w:eastAsia="zh-CN"/>
              </w:rPr>
              <w:t>供应商</w:t>
            </w:r>
            <w:r>
              <w:rPr>
                <w:rFonts w:hint="eastAsia" w:ascii="宋体" w:hAnsi="宋体" w:eastAsia="宋体" w:cs="宋体"/>
                <w:spacing w:val="0"/>
                <w:sz w:val="24"/>
                <w:szCs w:val="24"/>
              </w:rPr>
              <w:t>应登陆政采云https://www.zcygov.cn/平台后进入“项目采购“应用，在获取文件菜单中选择项目，申请获取</w:t>
            </w:r>
            <w:r>
              <w:rPr>
                <w:rFonts w:hint="eastAsia" w:ascii="宋体" w:hAnsi="宋体" w:eastAsia="宋体" w:cs="宋体"/>
                <w:spacing w:val="0"/>
                <w:sz w:val="24"/>
                <w:szCs w:val="24"/>
                <w:lang w:val="en-US" w:eastAsia="zh-CN"/>
              </w:rPr>
              <w:t>磋商</w:t>
            </w:r>
            <w:r>
              <w:rPr>
                <w:rFonts w:hint="eastAsia" w:ascii="宋体" w:hAnsi="宋体" w:eastAsia="宋体" w:cs="宋体"/>
                <w:spacing w:val="0"/>
                <w:sz w:val="24"/>
                <w:szCs w:val="24"/>
              </w:rPr>
              <w:t>文件</w:t>
            </w:r>
            <w:r>
              <w:rPr>
                <w:rFonts w:hint="eastAsia" w:ascii="宋体" w:hAnsi="宋体" w:eastAsia="宋体" w:cs="宋体"/>
                <w:spacing w:val="0"/>
                <w:sz w:val="24"/>
                <w:szCs w:val="24"/>
                <w:highlight w:val="none"/>
              </w:rPr>
              <w:t>。并于2023年</w:t>
            </w:r>
            <w:r>
              <w:rPr>
                <w:rFonts w:hint="eastAsia" w:ascii="宋体" w:hAnsi="宋体" w:eastAsia="宋体" w:cs="宋体"/>
                <w:spacing w:val="0"/>
                <w:sz w:val="24"/>
                <w:szCs w:val="24"/>
                <w:highlight w:val="none"/>
                <w:lang w:val="en-US" w:eastAsia="zh-CN"/>
              </w:rPr>
              <w:t>6月12日</w:t>
            </w:r>
            <w:r>
              <w:rPr>
                <w:rFonts w:hint="eastAsia" w:ascii="宋体" w:hAnsi="宋体" w:eastAsia="宋体" w:cs="宋体"/>
                <w:spacing w:val="0"/>
                <w:sz w:val="24"/>
                <w:szCs w:val="24"/>
                <w:highlight w:val="none"/>
                <w:lang w:eastAsia="zh-CN"/>
              </w:rPr>
              <w:t>1</w:t>
            </w:r>
            <w:r>
              <w:rPr>
                <w:rFonts w:hint="eastAsia" w:ascii="宋体" w:hAnsi="宋体" w:eastAsia="宋体" w:cs="宋体"/>
                <w:spacing w:val="0"/>
                <w:sz w:val="24"/>
                <w:szCs w:val="24"/>
                <w:highlight w:val="none"/>
                <w:lang w:val="en-US" w:eastAsia="zh-CN"/>
              </w:rPr>
              <w:t>6</w:t>
            </w:r>
            <w:r>
              <w:rPr>
                <w:rFonts w:hint="eastAsia" w:ascii="宋体" w:hAnsi="宋体" w:eastAsia="宋体" w:cs="宋体"/>
                <w:spacing w:val="0"/>
                <w:sz w:val="24"/>
                <w:szCs w:val="24"/>
                <w:highlight w:val="none"/>
                <w:lang w:eastAsia="zh-CN"/>
              </w:rPr>
              <w:t>:00</w:t>
            </w:r>
            <w:r>
              <w:rPr>
                <w:rFonts w:hint="eastAsia" w:ascii="宋体" w:hAnsi="宋体" w:eastAsia="宋体" w:cs="宋体"/>
                <w:spacing w:val="0"/>
                <w:sz w:val="24"/>
                <w:szCs w:val="24"/>
                <w:highlight w:val="none"/>
              </w:rPr>
              <w:t>（北</w:t>
            </w:r>
            <w:r>
              <w:rPr>
                <w:rFonts w:hint="eastAsia" w:ascii="宋体" w:hAnsi="宋体" w:eastAsia="宋体" w:cs="宋体"/>
                <w:spacing w:val="0"/>
                <w:sz w:val="24"/>
                <w:szCs w:val="24"/>
              </w:rPr>
              <w:t>京时间）前提交</w:t>
            </w:r>
            <w:r>
              <w:rPr>
                <w:rFonts w:hint="eastAsia" w:ascii="宋体" w:hAnsi="宋体" w:eastAsia="宋体" w:cs="宋体"/>
                <w:spacing w:val="0"/>
                <w:sz w:val="24"/>
                <w:szCs w:val="24"/>
                <w:lang w:val="en-US" w:eastAsia="zh-CN"/>
              </w:rPr>
              <w:t>响应</w:t>
            </w:r>
            <w:r>
              <w:rPr>
                <w:rFonts w:hint="eastAsia" w:ascii="宋体" w:hAnsi="宋体" w:eastAsia="宋体" w:cs="宋体"/>
                <w:spacing w:val="0"/>
                <w:sz w:val="24"/>
                <w:szCs w:val="24"/>
              </w:rPr>
              <w:t>文件。</w:t>
            </w:r>
          </w:p>
        </w:tc>
      </w:tr>
    </w:tbl>
    <w:p>
      <w:pPr>
        <w:pStyle w:val="22"/>
        <w:spacing w:before="75" w:beforeAutospacing="0" w:after="75" w:afterAutospacing="0" w:line="360" w:lineRule="auto"/>
        <w:rPr>
          <w:rFonts w:hint="eastAsia" w:ascii="宋体" w:hAnsi="宋体" w:eastAsia="宋体" w:cs="宋体"/>
          <w:b/>
          <w:bCs/>
          <w:spacing w:val="0"/>
          <w:sz w:val="24"/>
          <w:szCs w:val="24"/>
        </w:rPr>
      </w:pPr>
      <w:r>
        <w:rPr>
          <w:rFonts w:hint="eastAsia" w:ascii="宋体" w:hAnsi="宋体" w:eastAsia="宋体" w:cs="宋体"/>
          <w:b/>
          <w:bCs/>
          <w:spacing w:val="0"/>
          <w:sz w:val="24"/>
          <w:szCs w:val="24"/>
        </w:rPr>
        <w:t>一、项目基本情况</w:t>
      </w:r>
    </w:p>
    <w:p>
      <w:pPr>
        <w:pStyle w:val="22"/>
        <w:spacing w:before="75" w:beforeAutospacing="0" w:after="75" w:afterAutospacing="0" w:line="360" w:lineRule="auto"/>
        <w:ind w:firstLine="480" w:firstLineChars="200"/>
        <w:rPr>
          <w:rFonts w:hint="eastAsia" w:ascii="宋体" w:hAnsi="宋体" w:eastAsia="宋体" w:cs="宋体"/>
          <w:spacing w:val="0"/>
          <w:sz w:val="24"/>
          <w:szCs w:val="24"/>
          <w:highlight w:val="yellow"/>
          <w:lang w:val="en-US" w:eastAsia="zh-CN"/>
        </w:rPr>
      </w:pPr>
      <w:r>
        <w:rPr>
          <w:rFonts w:hint="eastAsia" w:ascii="宋体" w:hAnsi="宋体" w:eastAsia="宋体" w:cs="宋体"/>
          <w:spacing w:val="0"/>
          <w:sz w:val="24"/>
          <w:szCs w:val="24"/>
        </w:rPr>
        <w:t>项目编号：</w:t>
      </w:r>
      <w:r>
        <w:rPr>
          <w:rFonts w:hint="eastAsia" w:eastAsia="宋体" w:cs="宋体"/>
          <w:spacing w:val="0"/>
          <w:sz w:val="24"/>
          <w:szCs w:val="24"/>
          <w:lang w:eastAsia="zh-CN"/>
        </w:rPr>
        <w:t>ZBB-2023-XGCG-023（2023497）</w:t>
      </w:r>
    </w:p>
    <w:p>
      <w:pPr>
        <w:pStyle w:val="22"/>
        <w:spacing w:before="75" w:beforeAutospacing="0" w:after="75" w:afterAutospacing="0" w:line="360" w:lineRule="auto"/>
        <w:ind w:firstLine="480" w:firstLineChars="20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rPr>
        <w:t>项目名</w:t>
      </w:r>
      <w:r>
        <w:rPr>
          <w:rFonts w:hint="eastAsia" w:ascii="宋体" w:hAnsi="宋体" w:eastAsia="宋体" w:cs="宋体"/>
          <w:spacing w:val="0"/>
          <w:sz w:val="24"/>
          <w:szCs w:val="24"/>
          <w:highlight w:val="none"/>
          <w:lang w:eastAsia="zh-CN"/>
        </w:rPr>
        <w:t>称：2023年健身步道修补项目</w:t>
      </w:r>
    </w:p>
    <w:p>
      <w:pPr>
        <w:pStyle w:val="22"/>
        <w:spacing w:before="75" w:beforeAutospacing="0" w:after="75" w:afterAutospacing="0"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采购方式：竞争性磋商</w:t>
      </w:r>
    </w:p>
    <w:p>
      <w:pPr>
        <w:pStyle w:val="22"/>
        <w:spacing w:before="75" w:beforeAutospacing="0" w:after="75" w:afterAutospacing="0"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预算金额（元）：</w:t>
      </w:r>
      <w:r>
        <w:rPr>
          <w:rFonts w:hint="eastAsia" w:eastAsia="宋体" w:cs="宋体"/>
          <w:spacing w:val="0"/>
          <w:sz w:val="24"/>
          <w:szCs w:val="24"/>
          <w:lang w:val="en-US" w:eastAsia="zh-CN"/>
        </w:rPr>
        <w:t>99</w:t>
      </w:r>
      <w:r>
        <w:rPr>
          <w:rFonts w:hint="eastAsia" w:ascii="宋体" w:hAnsi="宋体" w:eastAsia="宋体" w:cs="宋体"/>
          <w:spacing w:val="0"/>
          <w:sz w:val="24"/>
          <w:szCs w:val="24"/>
          <w:lang w:val="en-US" w:eastAsia="zh-CN"/>
        </w:rPr>
        <w:t>0000</w:t>
      </w:r>
      <w:r>
        <w:rPr>
          <w:rFonts w:hint="eastAsia" w:ascii="宋体" w:hAnsi="宋体" w:eastAsia="宋体" w:cs="宋体"/>
          <w:spacing w:val="0"/>
          <w:sz w:val="24"/>
          <w:szCs w:val="24"/>
        </w:rPr>
        <w:t>.00</w:t>
      </w:r>
    </w:p>
    <w:p>
      <w:pPr>
        <w:pStyle w:val="22"/>
        <w:spacing w:before="75" w:beforeAutospacing="0" w:after="75" w:afterAutospacing="0"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最高限价（元）：</w:t>
      </w:r>
      <w:r>
        <w:rPr>
          <w:rFonts w:hint="eastAsia" w:eastAsia="宋体" w:cs="宋体"/>
          <w:spacing w:val="0"/>
          <w:sz w:val="24"/>
          <w:szCs w:val="24"/>
          <w:lang w:val="en-US" w:eastAsia="zh-CN"/>
        </w:rPr>
        <w:t>986094.57</w:t>
      </w:r>
    </w:p>
    <w:p>
      <w:pPr>
        <w:pStyle w:val="22"/>
        <w:spacing w:before="75" w:beforeAutospacing="0" w:after="75" w:afterAutospacing="0" w:line="360" w:lineRule="auto"/>
        <w:ind w:firstLine="480" w:firstLineChars="200"/>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采购需求：高铁核心区、开区发一期、八钢片区、高铁片区喀纳斯湖路两侧健身步道修补项目</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具体内容详见竞争性磋商文件</w:t>
      </w:r>
      <w:r>
        <w:rPr>
          <w:rFonts w:hint="eastAsia" w:ascii="宋体" w:hAnsi="宋体" w:eastAsia="宋体" w:cs="宋体"/>
          <w:spacing w:val="0"/>
          <w:sz w:val="24"/>
          <w:szCs w:val="24"/>
        </w:rPr>
        <w:t>。</w:t>
      </w:r>
    </w:p>
    <w:p>
      <w:pPr>
        <w:pStyle w:val="22"/>
        <w:spacing w:before="75" w:beforeAutospacing="0" w:after="75" w:afterAutospacing="0"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标项名称：</w:t>
      </w:r>
      <w:r>
        <w:rPr>
          <w:rFonts w:hint="eastAsia" w:ascii="宋体" w:hAnsi="宋体" w:eastAsia="宋体" w:cs="宋体"/>
          <w:spacing w:val="0"/>
          <w:sz w:val="24"/>
          <w:szCs w:val="24"/>
          <w:highlight w:val="none"/>
          <w:lang w:eastAsia="zh-CN"/>
        </w:rPr>
        <w:t>2023年健身步道修补项目</w:t>
      </w:r>
    </w:p>
    <w:p>
      <w:pPr>
        <w:pStyle w:val="22"/>
        <w:spacing w:before="75" w:beforeAutospacing="0" w:after="75" w:afterAutospacing="0"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预算金额（元）：</w:t>
      </w:r>
      <w:r>
        <w:rPr>
          <w:rFonts w:hint="eastAsia" w:eastAsia="宋体" w:cs="宋体"/>
          <w:spacing w:val="0"/>
          <w:sz w:val="24"/>
          <w:szCs w:val="24"/>
          <w:lang w:val="en-US" w:eastAsia="zh-CN"/>
        </w:rPr>
        <w:t>99</w:t>
      </w:r>
      <w:r>
        <w:rPr>
          <w:rFonts w:hint="eastAsia" w:ascii="宋体" w:hAnsi="宋体" w:eastAsia="宋体" w:cs="宋体"/>
          <w:spacing w:val="0"/>
          <w:sz w:val="24"/>
          <w:szCs w:val="24"/>
          <w:lang w:val="en-US" w:eastAsia="zh-CN"/>
        </w:rPr>
        <w:t>0000</w:t>
      </w:r>
      <w:r>
        <w:rPr>
          <w:rFonts w:hint="eastAsia" w:ascii="宋体" w:hAnsi="宋体" w:eastAsia="宋体" w:cs="宋体"/>
          <w:spacing w:val="0"/>
          <w:sz w:val="24"/>
          <w:szCs w:val="24"/>
        </w:rPr>
        <w:t>.00</w:t>
      </w:r>
    </w:p>
    <w:p>
      <w:pPr>
        <w:pStyle w:val="22"/>
        <w:spacing w:before="75" w:beforeAutospacing="0" w:after="75" w:afterAutospacing="0" w:line="360" w:lineRule="auto"/>
        <w:ind w:left="2120" w:leftChars="200" w:hanging="1680" w:hangingChars="700"/>
        <w:rPr>
          <w:rFonts w:hint="eastAsia" w:ascii="宋体" w:hAnsi="宋体" w:eastAsia="宋体" w:cs="宋体"/>
          <w:spacing w:val="0"/>
          <w:sz w:val="24"/>
          <w:szCs w:val="24"/>
        </w:rPr>
      </w:pPr>
      <w:r>
        <w:rPr>
          <w:rFonts w:hint="eastAsia" w:ascii="宋体" w:hAnsi="宋体" w:eastAsia="宋体" w:cs="宋体"/>
          <w:spacing w:val="0"/>
          <w:sz w:val="24"/>
          <w:szCs w:val="24"/>
        </w:rPr>
        <w:t>简要规格描述：具体要求详见竞争性磋商文件。</w:t>
      </w:r>
    </w:p>
    <w:p>
      <w:pPr>
        <w:pStyle w:val="11"/>
        <w:spacing w:line="360" w:lineRule="auto"/>
        <w:ind w:firstLine="420"/>
        <w:rPr>
          <w:rFonts w:hint="eastAsia" w:ascii="宋体" w:hAnsi="宋体" w:eastAsia="宋体" w:cs="宋体"/>
          <w:bCs/>
          <w:color w:val="FF0000"/>
          <w:spacing w:val="0"/>
          <w:sz w:val="24"/>
          <w:szCs w:val="24"/>
          <w:lang w:eastAsia="zh-CN"/>
        </w:rPr>
      </w:pPr>
      <w:r>
        <w:rPr>
          <w:rFonts w:hint="eastAsia" w:ascii="宋体" w:hAnsi="宋体" w:eastAsia="宋体" w:cs="宋体"/>
          <w:spacing w:val="0"/>
          <w:sz w:val="24"/>
          <w:szCs w:val="24"/>
        </w:rPr>
        <w:t>合同履约期</w:t>
      </w:r>
      <w:r>
        <w:rPr>
          <w:rFonts w:hint="eastAsia" w:ascii="宋体" w:hAnsi="宋体" w:eastAsia="宋体" w:cs="宋体"/>
          <w:spacing w:val="0"/>
          <w:sz w:val="24"/>
          <w:szCs w:val="24"/>
          <w:highlight w:val="none"/>
        </w:rPr>
        <w:t>限：</w:t>
      </w:r>
      <w:r>
        <w:rPr>
          <w:rFonts w:hint="eastAsia" w:asciiTheme="minorEastAsia" w:hAnsiTheme="minorEastAsia" w:cstheme="minorEastAsia"/>
          <w:color w:val="auto"/>
          <w:sz w:val="24"/>
          <w:szCs w:val="24"/>
          <w:highlight w:val="none"/>
          <w:lang w:eastAsia="zh-CN"/>
        </w:rPr>
        <w:t>签订合同之日起至2023年</w:t>
      </w:r>
      <w:r>
        <w:rPr>
          <w:rFonts w:hint="eastAsia" w:asciiTheme="minorEastAsia" w:hAnsiTheme="minorEastAsia" w:cstheme="minorEastAsia"/>
          <w:color w:val="auto"/>
          <w:sz w:val="24"/>
          <w:szCs w:val="24"/>
          <w:highlight w:val="none"/>
          <w:lang w:val="en-US" w:eastAsia="zh-CN"/>
        </w:rPr>
        <w:t>10月</w:t>
      </w:r>
      <w:r>
        <w:rPr>
          <w:rFonts w:hint="eastAsia" w:asciiTheme="minorEastAsia" w:hAnsiTheme="minorEastAsia" w:cstheme="minorEastAsia"/>
          <w:color w:val="auto"/>
          <w:sz w:val="24"/>
          <w:szCs w:val="24"/>
          <w:highlight w:val="none"/>
          <w:lang w:eastAsia="zh-CN"/>
        </w:rPr>
        <w:t>31日竣工完成。</w:t>
      </w:r>
    </w:p>
    <w:p>
      <w:pPr>
        <w:pStyle w:val="22"/>
        <w:spacing w:before="75" w:beforeAutospacing="0" w:after="75" w:afterAutospacing="0"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本项目（否）接受联合体投标。</w:t>
      </w:r>
    </w:p>
    <w:p>
      <w:pPr>
        <w:pStyle w:val="22"/>
        <w:spacing w:before="75" w:beforeAutospacing="0" w:after="75" w:afterAutospacing="0" w:line="360" w:lineRule="auto"/>
        <w:rPr>
          <w:rFonts w:hint="eastAsia" w:ascii="宋体" w:hAnsi="宋体" w:eastAsia="宋体" w:cs="宋体"/>
          <w:b/>
          <w:bCs/>
          <w:spacing w:val="0"/>
          <w:sz w:val="24"/>
          <w:szCs w:val="24"/>
        </w:rPr>
      </w:pPr>
      <w:r>
        <w:rPr>
          <w:rFonts w:hint="eastAsia" w:ascii="宋体" w:hAnsi="宋体" w:eastAsia="宋体" w:cs="宋体"/>
          <w:b/>
          <w:bCs/>
          <w:spacing w:val="0"/>
          <w:sz w:val="24"/>
          <w:szCs w:val="24"/>
        </w:rPr>
        <w:t>二、申请人的资格要求：</w:t>
      </w:r>
    </w:p>
    <w:p>
      <w:pPr>
        <w:pStyle w:val="22"/>
        <w:spacing w:before="75" w:beforeAutospacing="0" w:after="75" w:afterAutospacing="0"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1.满足《中华人民共和国政府采购法》第二十二条规定；</w:t>
      </w:r>
    </w:p>
    <w:p>
      <w:pPr>
        <w:pStyle w:val="22"/>
        <w:spacing w:before="75" w:beforeAutospacing="0" w:after="75" w:afterAutospacing="0"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2.落实政府采购政策需满足的资格要求：标项1：供应商为中小企业；</w:t>
      </w:r>
    </w:p>
    <w:p>
      <w:pPr>
        <w:pStyle w:val="22"/>
        <w:spacing w:before="75" w:beforeAutospacing="0" w:after="75" w:afterAutospacing="0" w:line="360" w:lineRule="auto"/>
        <w:ind w:firstLine="480" w:firstLineChars="200"/>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3.本项目的特定资格要求：</w:t>
      </w:r>
      <w:r>
        <w:rPr>
          <w:rFonts w:hint="eastAsia" w:eastAsia="宋体" w:cs="宋体"/>
          <w:spacing w:val="0"/>
          <w:sz w:val="24"/>
          <w:szCs w:val="24"/>
          <w:lang w:eastAsia="zh-CN"/>
        </w:rPr>
        <w:t>投标人应具备市政公用工程施工总承包三级</w:t>
      </w:r>
      <w:r>
        <w:rPr>
          <w:rFonts w:hint="eastAsia" w:ascii="宋体" w:hAnsi="宋体" w:eastAsia="宋体" w:cs="宋体"/>
          <w:spacing w:val="0"/>
          <w:sz w:val="24"/>
          <w:szCs w:val="24"/>
        </w:rPr>
        <w:t xml:space="preserve"> (含三级)以上的施工企业资质，有安全生产许可证</w:t>
      </w:r>
      <w:r>
        <w:rPr>
          <w:rFonts w:hint="eastAsia" w:eastAsia="宋体" w:cs="宋体"/>
          <w:spacing w:val="0"/>
          <w:sz w:val="24"/>
          <w:szCs w:val="24"/>
          <w:lang w:eastAsia="zh-CN"/>
        </w:rPr>
        <w:t>。</w:t>
      </w:r>
    </w:p>
    <w:p>
      <w:pPr>
        <w:pStyle w:val="22"/>
        <w:spacing w:before="75" w:beforeAutospacing="0" w:after="75" w:afterAutospacing="0" w:line="360" w:lineRule="auto"/>
        <w:rPr>
          <w:rFonts w:hint="eastAsia" w:ascii="宋体" w:hAnsi="宋体" w:eastAsia="宋体" w:cs="宋体"/>
          <w:b/>
          <w:bCs/>
          <w:spacing w:val="0"/>
          <w:sz w:val="24"/>
          <w:szCs w:val="24"/>
        </w:rPr>
      </w:pPr>
      <w:r>
        <w:rPr>
          <w:rFonts w:hint="eastAsia" w:ascii="宋体" w:hAnsi="宋体" w:eastAsia="宋体" w:cs="宋体"/>
          <w:b/>
          <w:bCs/>
          <w:spacing w:val="0"/>
          <w:sz w:val="24"/>
          <w:szCs w:val="24"/>
        </w:rPr>
        <w:t>三、获取采购文件</w:t>
      </w:r>
    </w:p>
    <w:p>
      <w:pPr>
        <w:pStyle w:val="22"/>
        <w:spacing w:before="0" w:beforeAutospacing="0" w:after="0" w:afterAutospacing="0" w:line="360" w:lineRule="auto"/>
        <w:ind w:firstLine="480" w:firstLineChars="20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时间：202</w:t>
      </w:r>
      <w:r>
        <w:rPr>
          <w:rFonts w:hint="eastAsia" w:ascii="宋体" w:hAnsi="宋体" w:eastAsia="宋体" w:cs="宋体"/>
          <w:spacing w:val="0"/>
          <w:sz w:val="24"/>
          <w:szCs w:val="24"/>
          <w:highlight w:val="none"/>
          <w:lang w:val="en-US" w:eastAsia="zh-CN"/>
        </w:rPr>
        <w:t>3</w:t>
      </w:r>
      <w:r>
        <w:rPr>
          <w:rFonts w:hint="eastAsia" w:ascii="宋体" w:hAnsi="宋体" w:eastAsia="宋体" w:cs="宋体"/>
          <w:spacing w:val="0"/>
          <w:sz w:val="24"/>
          <w:szCs w:val="24"/>
          <w:highlight w:val="none"/>
        </w:rPr>
        <w:t>年</w:t>
      </w:r>
      <w:r>
        <w:rPr>
          <w:rFonts w:hint="eastAsia"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月</w:t>
      </w:r>
      <w:r>
        <w:rPr>
          <w:rFonts w:hint="eastAsia" w:eastAsia="宋体" w:cs="宋体"/>
          <w:color w:val="auto"/>
          <w:spacing w:val="0"/>
          <w:sz w:val="24"/>
          <w:szCs w:val="24"/>
          <w:highlight w:val="none"/>
          <w:lang w:val="en-US" w:eastAsia="zh-CN"/>
        </w:rPr>
        <w:t>31</w:t>
      </w:r>
      <w:r>
        <w:rPr>
          <w:rFonts w:hint="eastAsia" w:ascii="宋体" w:hAnsi="宋体" w:eastAsia="宋体" w:cs="宋体"/>
          <w:color w:val="auto"/>
          <w:spacing w:val="0"/>
          <w:sz w:val="24"/>
          <w:szCs w:val="24"/>
          <w:highlight w:val="none"/>
        </w:rPr>
        <w:t>日至202</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年</w:t>
      </w:r>
      <w:r>
        <w:rPr>
          <w:rFonts w:hint="eastAsia"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月</w:t>
      </w:r>
      <w:r>
        <w:rPr>
          <w:rFonts w:hint="eastAsia"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日</w:t>
      </w:r>
      <w:r>
        <w:rPr>
          <w:rFonts w:hint="eastAsia" w:ascii="宋体" w:hAnsi="宋体" w:eastAsia="宋体" w:cs="宋体"/>
          <w:spacing w:val="0"/>
          <w:sz w:val="24"/>
          <w:szCs w:val="24"/>
          <w:highlight w:val="none"/>
        </w:rPr>
        <w:t>，上午：</w:t>
      </w:r>
      <w:r>
        <w:rPr>
          <w:rFonts w:hint="eastAsia" w:cs="宋体"/>
          <w:spacing w:val="0"/>
          <w:sz w:val="24"/>
          <w:szCs w:val="24"/>
          <w:highlight w:val="none"/>
          <w:lang w:val="en-US" w:eastAsia="zh-CN"/>
        </w:rPr>
        <w:t>00:00</w:t>
      </w:r>
      <w:r>
        <w:rPr>
          <w:rFonts w:hint="eastAsia" w:ascii="宋体" w:hAnsi="宋体" w:eastAsia="宋体" w:cs="宋体"/>
          <w:spacing w:val="0"/>
          <w:sz w:val="24"/>
          <w:szCs w:val="24"/>
          <w:highlight w:val="none"/>
        </w:rPr>
        <w:t>-</w:t>
      </w:r>
      <w:r>
        <w:rPr>
          <w:rFonts w:hint="eastAsia" w:cs="宋体"/>
          <w:spacing w:val="0"/>
          <w:sz w:val="24"/>
          <w:szCs w:val="24"/>
          <w:highlight w:val="none"/>
          <w:lang w:val="en-US" w:eastAsia="zh-CN"/>
        </w:rPr>
        <w:t>12:00</w:t>
      </w:r>
      <w:r>
        <w:rPr>
          <w:rFonts w:hint="eastAsia" w:ascii="宋体" w:hAnsi="宋体" w:eastAsia="宋体" w:cs="宋体"/>
          <w:spacing w:val="0"/>
          <w:sz w:val="24"/>
          <w:szCs w:val="24"/>
          <w:highlight w:val="none"/>
        </w:rPr>
        <w:t>，下午：</w:t>
      </w:r>
      <w:r>
        <w:rPr>
          <w:rFonts w:hint="eastAsia" w:cs="宋体"/>
          <w:spacing w:val="0"/>
          <w:sz w:val="24"/>
          <w:szCs w:val="24"/>
          <w:highlight w:val="none"/>
          <w:lang w:val="en-US" w:eastAsia="zh-CN"/>
        </w:rPr>
        <w:t>12:00</w:t>
      </w:r>
      <w:r>
        <w:rPr>
          <w:rFonts w:hint="eastAsia" w:ascii="宋体" w:hAnsi="宋体" w:eastAsia="宋体" w:cs="宋体"/>
          <w:spacing w:val="0"/>
          <w:sz w:val="24"/>
          <w:szCs w:val="24"/>
          <w:highlight w:val="none"/>
        </w:rPr>
        <w:t>-</w:t>
      </w:r>
      <w:r>
        <w:rPr>
          <w:rFonts w:hint="eastAsia" w:cs="宋体"/>
          <w:spacing w:val="0"/>
          <w:sz w:val="24"/>
          <w:szCs w:val="24"/>
          <w:highlight w:val="none"/>
          <w:lang w:val="en-US" w:eastAsia="zh-CN"/>
        </w:rPr>
        <w:t>23:59</w:t>
      </w:r>
      <w:r>
        <w:rPr>
          <w:rFonts w:hint="eastAsia" w:ascii="宋体" w:hAnsi="宋体" w:eastAsia="宋体" w:cs="宋体"/>
          <w:spacing w:val="0"/>
          <w:sz w:val="24"/>
          <w:szCs w:val="24"/>
          <w:highlight w:val="none"/>
        </w:rPr>
        <w:t>（北京时间、节假日除外）</w:t>
      </w:r>
    </w:p>
    <w:p>
      <w:pPr>
        <w:pStyle w:val="22"/>
        <w:spacing w:before="0" w:beforeAutospacing="0" w:after="0" w:afterAutospacing="0" w:line="360" w:lineRule="auto"/>
        <w:ind w:firstLine="480" w:firstLineChars="20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地点</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网址</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：新疆政府采购网政采云平台（http://www.ccgp-xinjiang.gov.cn/）</w:t>
      </w:r>
    </w:p>
    <w:p>
      <w:pPr>
        <w:pStyle w:val="22"/>
        <w:spacing w:before="0" w:beforeAutospacing="0" w:after="0" w:afterAutospacing="0" w:line="360" w:lineRule="auto"/>
        <w:ind w:firstLine="480" w:firstLineChars="20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方式：供应商登录政采云平台http://www.ccgp-xinjiang.gov.cn/在线申请获取采购文件（进入“项目采购”应用，在获取采购文件菜单中选择项目，申请获取采购文件）</w:t>
      </w:r>
    </w:p>
    <w:p>
      <w:pPr>
        <w:pStyle w:val="22"/>
        <w:spacing w:before="0" w:beforeAutospacing="0" w:after="0" w:afterAutospacing="0" w:line="360" w:lineRule="auto"/>
        <w:ind w:firstLine="480" w:firstLineChars="200"/>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售价（元）：</w:t>
      </w:r>
      <w:r>
        <w:rPr>
          <w:rFonts w:hint="eastAsia" w:ascii="宋体" w:hAnsi="宋体" w:eastAsia="宋体" w:cs="宋体"/>
          <w:spacing w:val="0"/>
          <w:sz w:val="24"/>
          <w:szCs w:val="24"/>
          <w:highlight w:val="none"/>
          <w:lang w:val="en-US" w:eastAsia="zh-CN"/>
        </w:rPr>
        <w:t>0</w:t>
      </w:r>
    </w:p>
    <w:p>
      <w:pPr>
        <w:pStyle w:val="22"/>
        <w:spacing w:before="75" w:beforeAutospacing="0" w:after="75" w:afterAutospacing="0" w:line="360" w:lineRule="auto"/>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四、响应文件提交</w:t>
      </w:r>
    </w:p>
    <w:p>
      <w:pPr>
        <w:pStyle w:val="22"/>
        <w:spacing w:before="0" w:beforeAutospacing="0" w:after="0" w:afterAutospacing="0" w:line="360" w:lineRule="auto"/>
        <w:ind w:firstLine="480" w:firstLineChars="20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截止时间：202</w:t>
      </w:r>
      <w:r>
        <w:rPr>
          <w:rFonts w:hint="eastAsia" w:ascii="宋体" w:hAnsi="宋体" w:eastAsia="宋体" w:cs="宋体"/>
          <w:spacing w:val="0"/>
          <w:sz w:val="24"/>
          <w:szCs w:val="24"/>
          <w:highlight w:val="none"/>
          <w:lang w:val="en-US" w:eastAsia="zh-CN"/>
        </w:rPr>
        <w:t>3</w:t>
      </w:r>
      <w:r>
        <w:rPr>
          <w:rFonts w:hint="eastAsia" w:ascii="宋体" w:hAnsi="宋体" w:eastAsia="宋体" w:cs="宋体"/>
          <w:spacing w:val="0"/>
          <w:sz w:val="24"/>
          <w:szCs w:val="24"/>
          <w:highlight w:val="none"/>
        </w:rPr>
        <w:t>年</w:t>
      </w:r>
      <w:r>
        <w:rPr>
          <w:rFonts w:hint="eastAsia" w:eastAsia="宋体" w:cs="宋体"/>
          <w:spacing w:val="0"/>
          <w:sz w:val="24"/>
          <w:szCs w:val="24"/>
          <w:highlight w:val="none"/>
          <w:lang w:val="en-US" w:eastAsia="zh-CN"/>
        </w:rPr>
        <w:t>6</w:t>
      </w:r>
      <w:r>
        <w:rPr>
          <w:rFonts w:hint="eastAsia" w:ascii="宋体" w:hAnsi="宋体" w:eastAsia="宋体" w:cs="宋体"/>
          <w:spacing w:val="0"/>
          <w:sz w:val="24"/>
          <w:szCs w:val="24"/>
          <w:highlight w:val="none"/>
          <w:lang w:val="en-US" w:eastAsia="zh-CN"/>
        </w:rPr>
        <w:t>月</w:t>
      </w:r>
      <w:r>
        <w:rPr>
          <w:rFonts w:hint="eastAsia" w:eastAsia="宋体" w:cs="宋体"/>
          <w:spacing w:val="0"/>
          <w:sz w:val="24"/>
          <w:szCs w:val="24"/>
          <w:highlight w:val="none"/>
          <w:lang w:val="en-US" w:eastAsia="zh-CN"/>
        </w:rPr>
        <w:t>12</w:t>
      </w:r>
      <w:r>
        <w:rPr>
          <w:rFonts w:hint="eastAsia" w:ascii="宋体" w:hAnsi="宋体" w:eastAsia="宋体" w:cs="宋体"/>
          <w:spacing w:val="0"/>
          <w:sz w:val="24"/>
          <w:szCs w:val="24"/>
          <w:highlight w:val="none"/>
          <w:lang w:val="en-US" w:eastAsia="zh-CN"/>
        </w:rPr>
        <w:t>日</w:t>
      </w:r>
      <w:r>
        <w:rPr>
          <w:rFonts w:hint="eastAsia" w:ascii="宋体" w:hAnsi="宋体" w:eastAsia="宋体" w:cs="宋体"/>
          <w:spacing w:val="0"/>
          <w:sz w:val="24"/>
          <w:szCs w:val="24"/>
          <w:highlight w:val="none"/>
        </w:rPr>
        <w:t xml:space="preserve"> </w:t>
      </w:r>
      <w:r>
        <w:rPr>
          <w:rFonts w:hint="eastAsia" w:ascii="宋体" w:hAnsi="宋体" w:eastAsia="宋体" w:cs="宋体"/>
          <w:spacing w:val="0"/>
          <w:sz w:val="24"/>
          <w:szCs w:val="24"/>
          <w:highlight w:val="none"/>
          <w:lang w:eastAsia="zh-CN"/>
        </w:rPr>
        <w:t>1</w:t>
      </w:r>
      <w:r>
        <w:rPr>
          <w:rFonts w:hint="eastAsia" w:eastAsia="宋体" w:cs="宋体"/>
          <w:spacing w:val="0"/>
          <w:sz w:val="24"/>
          <w:szCs w:val="24"/>
          <w:highlight w:val="none"/>
          <w:lang w:val="en-US" w:eastAsia="zh-CN"/>
        </w:rPr>
        <w:t>6</w:t>
      </w:r>
      <w:r>
        <w:rPr>
          <w:rFonts w:hint="eastAsia" w:cs="宋体"/>
          <w:spacing w:val="0"/>
          <w:sz w:val="24"/>
          <w:szCs w:val="24"/>
          <w:highlight w:val="none"/>
          <w:lang w:eastAsia="zh-CN"/>
        </w:rPr>
        <w:t>:00</w:t>
      </w:r>
      <w:r>
        <w:rPr>
          <w:rFonts w:hint="eastAsia" w:ascii="宋体" w:hAnsi="宋体" w:eastAsia="宋体" w:cs="宋体"/>
          <w:spacing w:val="0"/>
          <w:sz w:val="24"/>
          <w:szCs w:val="24"/>
          <w:highlight w:val="none"/>
        </w:rPr>
        <w:t>（北京时间）</w:t>
      </w:r>
    </w:p>
    <w:p>
      <w:pPr>
        <w:pStyle w:val="22"/>
        <w:spacing w:before="0" w:beforeAutospacing="0" w:after="0" w:afterAutospacing="0" w:line="360" w:lineRule="auto"/>
        <w:ind w:firstLine="480" w:firstLineChars="20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地    点：政府采购云平台（http://www.ccgp-xinjiang.gov.cn/）</w:t>
      </w:r>
      <w:r>
        <w:rPr>
          <w:rFonts w:hint="eastAsia" w:ascii="宋体" w:hAnsi="宋体" w:eastAsia="宋体" w:cs="宋体"/>
          <w:spacing w:val="0"/>
          <w:sz w:val="24"/>
          <w:szCs w:val="24"/>
          <w:highlight w:val="none"/>
          <w:lang w:val="en-US" w:eastAsia="zh-CN"/>
        </w:rPr>
        <w:t>不见面开标大厅</w:t>
      </w:r>
    </w:p>
    <w:p>
      <w:pPr>
        <w:pStyle w:val="22"/>
        <w:spacing w:before="75" w:beforeAutospacing="0" w:after="75" w:afterAutospacing="0" w:line="360" w:lineRule="auto"/>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五、响应文件开启</w:t>
      </w:r>
    </w:p>
    <w:p>
      <w:pPr>
        <w:pStyle w:val="22"/>
        <w:spacing w:before="0" w:beforeAutospacing="0" w:after="0" w:afterAutospacing="0" w:line="360" w:lineRule="auto"/>
        <w:ind w:firstLine="480" w:firstLineChars="20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开启时间：202</w:t>
      </w:r>
      <w:r>
        <w:rPr>
          <w:rFonts w:hint="eastAsia" w:ascii="宋体" w:hAnsi="宋体" w:eastAsia="宋体" w:cs="宋体"/>
          <w:spacing w:val="0"/>
          <w:sz w:val="24"/>
          <w:szCs w:val="24"/>
          <w:highlight w:val="none"/>
          <w:lang w:val="en-US" w:eastAsia="zh-CN"/>
        </w:rPr>
        <w:t>3</w:t>
      </w:r>
      <w:r>
        <w:rPr>
          <w:rFonts w:hint="eastAsia" w:ascii="宋体" w:hAnsi="宋体" w:eastAsia="宋体" w:cs="宋体"/>
          <w:spacing w:val="0"/>
          <w:sz w:val="24"/>
          <w:szCs w:val="24"/>
          <w:highlight w:val="none"/>
        </w:rPr>
        <w:t>年</w:t>
      </w:r>
      <w:r>
        <w:rPr>
          <w:rFonts w:hint="eastAsia"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月</w:t>
      </w:r>
      <w:r>
        <w:rPr>
          <w:rFonts w:hint="eastAsia" w:eastAsia="宋体" w:cs="宋体"/>
          <w:color w:val="auto"/>
          <w:spacing w:val="0"/>
          <w:sz w:val="24"/>
          <w:szCs w:val="24"/>
          <w:highlight w:val="none"/>
          <w:lang w:val="en-US" w:eastAsia="zh-CN"/>
        </w:rPr>
        <w:t>12</w:t>
      </w:r>
      <w:r>
        <w:rPr>
          <w:rFonts w:hint="eastAsia" w:ascii="宋体" w:hAnsi="宋体" w:eastAsia="宋体" w:cs="宋体"/>
          <w:color w:val="auto"/>
          <w:spacing w:val="0"/>
          <w:sz w:val="24"/>
          <w:szCs w:val="24"/>
          <w:highlight w:val="none"/>
        </w:rPr>
        <w:t>日</w:t>
      </w:r>
      <w:r>
        <w:rPr>
          <w:rFonts w:hint="eastAsia" w:ascii="宋体" w:hAnsi="宋体" w:eastAsia="宋体" w:cs="宋体"/>
          <w:spacing w:val="0"/>
          <w:sz w:val="24"/>
          <w:szCs w:val="24"/>
          <w:highlight w:val="none"/>
        </w:rPr>
        <w:t xml:space="preserve"> </w:t>
      </w:r>
      <w:r>
        <w:rPr>
          <w:rFonts w:hint="eastAsia" w:cs="宋体"/>
          <w:spacing w:val="0"/>
          <w:sz w:val="24"/>
          <w:szCs w:val="24"/>
          <w:highlight w:val="none"/>
          <w:lang w:val="en-US" w:eastAsia="zh-CN"/>
        </w:rPr>
        <w:t>16</w:t>
      </w:r>
      <w:r>
        <w:rPr>
          <w:rFonts w:hint="eastAsia" w:cs="宋体"/>
          <w:spacing w:val="0"/>
          <w:sz w:val="24"/>
          <w:szCs w:val="24"/>
          <w:highlight w:val="none"/>
          <w:lang w:eastAsia="zh-CN"/>
        </w:rPr>
        <w:t>:00</w:t>
      </w:r>
      <w:r>
        <w:rPr>
          <w:rFonts w:hint="eastAsia" w:ascii="宋体" w:hAnsi="宋体" w:eastAsia="宋体" w:cs="宋体"/>
          <w:spacing w:val="0"/>
          <w:sz w:val="24"/>
          <w:szCs w:val="24"/>
          <w:highlight w:val="none"/>
        </w:rPr>
        <w:t>（北京时间）</w:t>
      </w:r>
    </w:p>
    <w:p>
      <w:pPr>
        <w:pStyle w:val="22"/>
        <w:spacing w:before="0" w:beforeAutospacing="0" w:after="0" w:afterAutospacing="0" w:line="360" w:lineRule="auto"/>
        <w:ind w:firstLine="480" w:firstLineChars="20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地    点：政府采购云平台（http://www.ccgp-xinjiang.gov.cn/）</w:t>
      </w:r>
      <w:r>
        <w:rPr>
          <w:rFonts w:hint="eastAsia" w:ascii="宋体" w:hAnsi="宋体" w:eastAsia="宋体" w:cs="宋体"/>
          <w:spacing w:val="0"/>
          <w:sz w:val="24"/>
          <w:szCs w:val="24"/>
          <w:highlight w:val="none"/>
          <w:lang w:val="en-US" w:eastAsia="zh-CN"/>
        </w:rPr>
        <w:t>不见面开标大厅</w:t>
      </w:r>
    </w:p>
    <w:p>
      <w:pPr>
        <w:pStyle w:val="22"/>
        <w:spacing w:before="75" w:beforeAutospacing="0" w:after="75" w:afterAutospacing="0" w:line="360" w:lineRule="auto"/>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六、公告期限</w:t>
      </w:r>
    </w:p>
    <w:p>
      <w:pPr>
        <w:pStyle w:val="22"/>
        <w:spacing w:before="75" w:beforeAutospacing="0" w:after="75" w:afterAutospacing="0" w:line="360" w:lineRule="auto"/>
        <w:ind w:firstLine="72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自本公告发布之日起5日。</w:t>
      </w:r>
    </w:p>
    <w:p>
      <w:pPr>
        <w:pStyle w:val="22"/>
        <w:spacing w:before="75" w:beforeAutospacing="0" w:after="75" w:afterAutospacing="0" w:line="360" w:lineRule="auto"/>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七、其他补充事宜 </w:t>
      </w:r>
    </w:p>
    <w:p>
      <w:pPr>
        <w:pStyle w:val="22"/>
        <w:spacing w:before="0" w:beforeAutospacing="0" w:after="0" w:afterAutospacing="0" w:line="360" w:lineRule="auto"/>
        <w:ind w:firstLine="480" w:firstLineChars="20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本次采购采用电子交易方式，电子交易平台为“政府采购云平台（http://www.ccgp-xinjiang.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pStyle w:val="22"/>
        <w:spacing w:before="0" w:beforeAutospacing="0" w:after="0" w:afterAutospacing="0" w:line="360" w:lineRule="auto"/>
        <w:ind w:firstLine="480" w:firstLineChars="20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pStyle w:val="22"/>
        <w:spacing w:before="0" w:beforeAutospacing="0" w:after="0" w:afterAutospacing="0" w:line="360" w:lineRule="auto"/>
        <w:ind w:firstLine="480" w:firstLineChars="20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3、加密的电子响应文件应在递交截止时间前通过政采云平台上传完成。</w:t>
      </w:r>
    </w:p>
    <w:p>
      <w:pPr>
        <w:pStyle w:val="22"/>
        <w:spacing w:before="75" w:beforeAutospacing="0" w:after="75" w:afterAutospacing="0" w:line="360" w:lineRule="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响应文件开启当日，供应商无需到达开标现场，仅需通过政采云平台“不见面”开标大厅完成远程解密。大厅操作提示：①开标前一小时在系统进行在线签到②30分钟内完成在线解密③开标结束后30分钟内完成“开标一览表”在线签章。注意：如未在规定时间进行以上操作，将导致投标（响应）无效。</w:t>
      </w:r>
    </w:p>
    <w:p>
      <w:pPr>
        <w:pStyle w:val="22"/>
        <w:spacing w:before="75" w:beforeAutospacing="0" w:after="75" w:afterAutospacing="0" w:line="360" w:lineRule="auto"/>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八、凡对本次招标提出询问，请按以下方式联系</w:t>
      </w:r>
    </w:p>
    <w:p>
      <w:pPr>
        <w:pStyle w:val="22"/>
        <w:spacing w:before="75" w:beforeAutospacing="0" w:after="75" w:afterAutospacing="0" w:line="360" w:lineRule="auto"/>
        <w:ind w:firstLine="42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1.采购人信息</w:t>
      </w:r>
    </w:p>
    <w:p>
      <w:pPr>
        <w:pStyle w:val="22"/>
        <w:spacing w:before="75" w:beforeAutospacing="0" w:after="75" w:afterAutospacing="0" w:line="360" w:lineRule="auto"/>
        <w:ind w:firstLine="42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名 称：乌鲁木齐经济技术开发区（乌鲁木齐市头屯河区）园林管理局</w:t>
      </w:r>
    </w:p>
    <w:p>
      <w:pPr>
        <w:pStyle w:val="22"/>
        <w:spacing w:before="75" w:beforeAutospacing="0" w:after="75" w:afterAutospacing="0" w:line="360" w:lineRule="auto"/>
        <w:ind w:firstLine="420"/>
        <w:rPr>
          <w:rFonts w:hint="eastAsia" w:ascii="宋体" w:hAnsi="宋体" w:eastAsia="宋体" w:cs="宋体"/>
          <w:b/>
          <w:spacing w:val="0"/>
          <w:sz w:val="24"/>
          <w:szCs w:val="24"/>
          <w:highlight w:val="none"/>
          <w:lang w:val="en-US" w:eastAsia="zh-CN"/>
        </w:rPr>
      </w:pPr>
      <w:r>
        <w:rPr>
          <w:rFonts w:hint="eastAsia" w:ascii="宋体" w:hAnsi="宋体" w:eastAsia="宋体" w:cs="宋体"/>
          <w:spacing w:val="0"/>
          <w:sz w:val="24"/>
          <w:szCs w:val="24"/>
          <w:highlight w:val="none"/>
        </w:rPr>
        <w:t>地 址：乌鲁木齐经开区（头屯河区）</w:t>
      </w:r>
      <w:r>
        <w:rPr>
          <w:rFonts w:hint="eastAsia" w:ascii="宋体" w:hAnsi="宋体" w:eastAsia="宋体" w:cs="宋体"/>
          <w:spacing w:val="0"/>
          <w:sz w:val="24"/>
          <w:szCs w:val="24"/>
          <w:highlight w:val="none"/>
          <w:lang w:val="en-US" w:eastAsia="zh-CN"/>
        </w:rPr>
        <w:t>维泰大厦</w:t>
      </w:r>
    </w:p>
    <w:p>
      <w:pPr>
        <w:pStyle w:val="22"/>
        <w:spacing w:before="75" w:beforeAutospacing="0" w:after="75" w:afterAutospacing="0" w:line="360" w:lineRule="auto"/>
        <w:ind w:firstLine="420"/>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联系方式：0991-3073572</w:t>
      </w:r>
    </w:p>
    <w:p>
      <w:pPr>
        <w:pStyle w:val="22"/>
        <w:spacing w:before="75" w:beforeAutospacing="0" w:after="75" w:afterAutospacing="0" w:line="360" w:lineRule="auto"/>
        <w:ind w:firstLine="420"/>
        <w:rPr>
          <w:rFonts w:hint="eastAsia" w:ascii="宋体" w:hAnsi="宋体" w:eastAsia="宋体" w:cs="宋体"/>
          <w:spacing w:val="0"/>
          <w:sz w:val="24"/>
          <w:szCs w:val="24"/>
        </w:rPr>
      </w:pPr>
      <w:r>
        <w:rPr>
          <w:rFonts w:hint="eastAsia" w:ascii="宋体" w:hAnsi="宋体" w:eastAsia="宋体" w:cs="宋体"/>
          <w:spacing w:val="0"/>
          <w:sz w:val="24"/>
          <w:szCs w:val="24"/>
        </w:rPr>
        <w:t>2.采购代理机构信息</w:t>
      </w:r>
    </w:p>
    <w:p>
      <w:pPr>
        <w:pStyle w:val="22"/>
        <w:spacing w:before="75" w:beforeAutospacing="0" w:after="75" w:afterAutospacing="0" w:line="360" w:lineRule="auto"/>
        <w:ind w:firstLine="420"/>
        <w:rPr>
          <w:rFonts w:hint="eastAsia" w:ascii="宋体" w:hAnsi="宋体" w:eastAsia="宋体" w:cs="宋体"/>
          <w:spacing w:val="0"/>
          <w:sz w:val="24"/>
          <w:szCs w:val="24"/>
        </w:rPr>
      </w:pPr>
      <w:r>
        <w:rPr>
          <w:rFonts w:hint="eastAsia" w:ascii="宋体" w:hAnsi="宋体" w:eastAsia="宋体" w:cs="宋体"/>
          <w:spacing w:val="0"/>
          <w:sz w:val="24"/>
          <w:szCs w:val="24"/>
        </w:rPr>
        <w:t>名 称：新疆建投项目管理咨询有限公司</w:t>
      </w:r>
    </w:p>
    <w:p>
      <w:pPr>
        <w:pStyle w:val="22"/>
        <w:spacing w:before="75" w:beforeAutospacing="0" w:after="75" w:afterAutospacing="0" w:line="360" w:lineRule="auto"/>
        <w:ind w:firstLine="420"/>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rPr>
        <w:t>地 址：乌鲁木齐经济技术开发区阿里山街建投大厦808</w:t>
      </w:r>
      <w:r>
        <w:rPr>
          <w:rFonts w:hint="eastAsia" w:ascii="宋体" w:hAnsi="宋体" w:eastAsia="宋体" w:cs="宋体"/>
          <w:spacing w:val="0"/>
          <w:sz w:val="24"/>
          <w:szCs w:val="24"/>
          <w:lang w:val="en-US" w:eastAsia="zh-CN"/>
        </w:rPr>
        <w:t>室</w:t>
      </w:r>
    </w:p>
    <w:p>
      <w:pPr>
        <w:pStyle w:val="22"/>
        <w:spacing w:before="75" w:beforeAutospacing="0" w:after="75" w:afterAutospacing="0" w:line="360" w:lineRule="auto"/>
        <w:ind w:firstLine="420"/>
        <w:rPr>
          <w:rFonts w:hint="eastAsia" w:ascii="宋体" w:hAnsi="宋体" w:eastAsia="宋体" w:cs="宋体"/>
          <w:spacing w:val="0"/>
          <w:sz w:val="24"/>
          <w:szCs w:val="24"/>
          <w:lang w:eastAsia="zh-CN"/>
        </w:rPr>
      </w:pPr>
      <w:r>
        <w:rPr>
          <w:rFonts w:hint="eastAsia" w:ascii="宋体" w:hAnsi="宋体" w:eastAsia="宋体" w:cs="宋体"/>
          <w:spacing w:val="0"/>
          <w:sz w:val="24"/>
          <w:szCs w:val="24"/>
        </w:rPr>
        <w:t>联系方式：</w:t>
      </w:r>
      <w:r>
        <w:rPr>
          <w:rFonts w:hint="eastAsia" w:ascii="宋体" w:hAnsi="宋体" w:eastAsia="宋体" w:cs="宋体"/>
          <w:spacing w:val="0"/>
          <w:sz w:val="24"/>
          <w:szCs w:val="24"/>
          <w:lang w:eastAsia="zh-CN"/>
        </w:rPr>
        <w:t>0991-3075071</w:t>
      </w:r>
    </w:p>
    <w:p>
      <w:pPr>
        <w:pStyle w:val="22"/>
        <w:spacing w:before="75" w:beforeAutospacing="0" w:after="75" w:afterAutospacing="0" w:line="360" w:lineRule="auto"/>
        <w:ind w:firstLine="420"/>
        <w:rPr>
          <w:rFonts w:hint="eastAsia" w:ascii="宋体" w:hAnsi="宋体" w:eastAsia="宋体" w:cs="宋体"/>
          <w:spacing w:val="0"/>
          <w:sz w:val="24"/>
          <w:szCs w:val="24"/>
        </w:rPr>
      </w:pPr>
      <w:r>
        <w:rPr>
          <w:rFonts w:hint="eastAsia" w:ascii="宋体" w:hAnsi="宋体" w:eastAsia="宋体" w:cs="宋体"/>
          <w:spacing w:val="0"/>
          <w:sz w:val="24"/>
          <w:szCs w:val="24"/>
        </w:rPr>
        <w:t>3.项目联系方式</w:t>
      </w:r>
    </w:p>
    <w:p>
      <w:pPr>
        <w:pStyle w:val="22"/>
        <w:spacing w:before="75" w:beforeAutospacing="0" w:after="75" w:afterAutospacing="0" w:line="360" w:lineRule="auto"/>
        <w:ind w:firstLine="420"/>
        <w:rPr>
          <w:rFonts w:hint="eastAsia" w:ascii="宋体" w:hAnsi="宋体" w:eastAsia="宋体" w:cs="宋体"/>
          <w:spacing w:val="0"/>
          <w:sz w:val="24"/>
          <w:szCs w:val="24"/>
          <w:lang w:eastAsia="zh-CN"/>
        </w:rPr>
      </w:pPr>
      <w:r>
        <w:rPr>
          <w:rFonts w:hint="eastAsia" w:ascii="宋体" w:hAnsi="宋体" w:eastAsia="宋体" w:cs="宋体"/>
          <w:spacing w:val="0"/>
          <w:sz w:val="24"/>
          <w:szCs w:val="24"/>
        </w:rPr>
        <w:t>项目联系人：</w:t>
      </w:r>
      <w:r>
        <w:rPr>
          <w:rFonts w:hint="eastAsia" w:ascii="宋体" w:hAnsi="宋体" w:eastAsia="宋体" w:cs="宋体"/>
          <w:spacing w:val="0"/>
          <w:sz w:val="24"/>
          <w:szCs w:val="24"/>
          <w:lang w:val="en-US" w:eastAsia="zh-CN"/>
        </w:rPr>
        <w:t>王慧</w:t>
      </w:r>
    </w:p>
    <w:p>
      <w:pPr>
        <w:pStyle w:val="22"/>
        <w:spacing w:before="75" w:beforeAutospacing="0" w:after="75" w:afterAutospacing="0" w:line="360" w:lineRule="auto"/>
        <w:ind w:firstLine="420"/>
        <w:rPr>
          <w:rFonts w:hint="eastAsia" w:ascii="宋体" w:hAnsi="宋体" w:eastAsia="宋体" w:cs="宋体"/>
          <w:spacing w:val="0"/>
          <w:sz w:val="24"/>
          <w:szCs w:val="24"/>
          <w:lang w:eastAsia="zh-CN"/>
        </w:rPr>
      </w:pPr>
      <w:r>
        <w:rPr>
          <w:rFonts w:hint="eastAsia" w:ascii="宋体" w:hAnsi="宋体" w:eastAsia="宋体" w:cs="宋体"/>
          <w:spacing w:val="0"/>
          <w:sz w:val="24"/>
          <w:szCs w:val="24"/>
        </w:rPr>
        <w:t>电 话：</w:t>
      </w:r>
      <w:r>
        <w:rPr>
          <w:rFonts w:hint="eastAsia" w:ascii="宋体" w:hAnsi="宋体" w:eastAsia="宋体" w:cs="宋体"/>
          <w:spacing w:val="0"/>
          <w:sz w:val="24"/>
          <w:szCs w:val="24"/>
          <w:lang w:eastAsia="zh-CN"/>
        </w:rPr>
        <w:t>0991-3075071</w:t>
      </w:r>
    </w:p>
    <w:p>
      <w:pPr>
        <w:spacing w:line="440" w:lineRule="exact"/>
        <w:ind w:firstLine="480" w:firstLineChars="200"/>
        <w:rPr>
          <w:rFonts w:hint="default" w:asciiTheme="minorEastAsia" w:hAnsiTheme="minorEastAsia" w:eastAsiaTheme="minorEastAsia" w:cstheme="minorEastAsia"/>
          <w:sz w:val="24"/>
          <w:szCs w:val="24"/>
          <w:lang w:val="en-US" w:eastAsia="zh-CN"/>
        </w:rPr>
      </w:pPr>
    </w:p>
    <w:p>
      <w:pPr>
        <w:spacing w:line="440" w:lineRule="exact"/>
        <w:rPr>
          <w:rFonts w:hint="eastAsia" w:asciiTheme="minorEastAsia" w:hAnsiTheme="minorEastAsia" w:eastAsiaTheme="minorEastAsia" w:cstheme="minorEastAsia"/>
          <w:sz w:val="24"/>
          <w:szCs w:val="24"/>
        </w:rPr>
      </w:pPr>
    </w:p>
    <w:bookmarkEnd w:id="3"/>
    <w:bookmarkEnd w:id="4"/>
    <w:bookmarkEnd w:id="5"/>
    <w:bookmarkEnd w:id="6"/>
    <w:p>
      <w:pPr>
        <w:pStyle w:val="3"/>
        <w:spacing w:before="0" w:after="156" w:afterLines="50" w:line="440" w:lineRule="exact"/>
        <w:ind w:firstLine="480" w:firstLineChars="200"/>
        <w:rPr>
          <w:rFonts w:hint="eastAsia" w:asciiTheme="minorEastAsia" w:hAnsiTheme="minorEastAsia" w:eastAsiaTheme="minorEastAsia" w:cstheme="minorEastAsia"/>
          <w:b w:val="0"/>
          <w:bCs w:val="0"/>
          <w:kern w:val="2"/>
          <w:sz w:val="24"/>
          <w:szCs w:val="24"/>
        </w:rPr>
        <w:sectPr>
          <w:headerReference r:id="rId4" w:type="first"/>
          <w:footerReference r:id="rId6" w:type="first"/>
          <w:headerReference r:id="rId3" w:type="default"/>
          <w:footerReference r:id="rId5" w:type="default"/>
          <w:pgSz w:w="11906" w:h="16838"/>
          <w:pgMar w:top="1418" w:right="1247" w:bottom="1418" w:left="1247" w:header="851" w:footer="992" w:gutter="0"/>
          <w:pgNumType w:fmt="decimal" w:start="1"/>
          <w:cols w:space="720" w:num="1"/>
          <w:titlePg/>
          <w:docGrid w:type="lines" w:linePitch="312" w:charSpace="0"/>
        </w:sectPr>
      </w:pPr>
    </w:p>
    <w:p>
      <w:pPr>
        <w:pStyle w:val="3"/>
        <w:tabs>
          <w:tab w:val="left" w:pos="1928"/>
        </w:tabs>
        <w:spacing w:before="33" w:line="360" w:lineRule="auto"/>
        <w:ind w:right="115"/>
        <w:rPr>
          <w:rFonts w:hint="eastAsia" w:asciiTheme="minorEastAsia" w:hAnsiTheme="minorEastAsia" w:eastAsiaTheme="minorEastAsia" w:cstheme="minorEastAsia"/>
          <w:sz w:val="32"/>
          <w:szCs w:val="32"/>
        </w:rPr>
      </w:pPr>
      <w:bookmarkStart w:id="7" w:name="_Toc25134"/>
      <w:bookmarkStart w:id="8" w:name="_Toc29657"/>
      <w:bookmarkStart w:id="9" w:name="_Toc10017"/>
      <w:r>
        <w:rPr>
          <w:rFonts w:hint="eastAsia" w:asciiTheme="minorEastAsia" w:hAnsiTheme="minorEastAsia" w:eastAsiaTheme="minorEastAsia" w:cstheme="minorEastAsia"/>
          <w:sz w:val="32"/>
          <w:szCs w:val="32"/>
        </w:rPr>
        <w:t>第二章</w:t>
      </w:r>
      <w:r>
        <w:rPr>
          <w:rFonts w:hint="eastAsia" w:asciiTheme="minorEastAsia" w:hAnsiTheme="minorEastAsia" w:eastAsiaTheme="minorEastAsia" w:cstheme="minorEastAsia"/>
          <w:sz w:val="32"/>
          <w:szCs w:val="32"/>
          <w:lang w:val="en-US"/>
        </w:rPr>
        <w:t xml:space="preserve">  </w:t>
      </w:r>
      <w:r>
        <w:rPr>
          <w:rFonts w:hint="eastAsia" w:asciiTheme="minorEastAsia" w:hAnsiTheme="minorEastAsia" w:eastAsiaTheme="minorEastAsia" w:cstheme="minorEastAsia"/>
          <w:sz w:val="32"/>
          <w:szCs w:val="32"/>
        </w:rPr>
        <w:t>磋商须知及前附表</w:t>
      </w:r>
      <w:bookmarkEnd w:id="7"/>
      <w:bookmarkEnd w:id="8"/>
      <w:bookmarkEnd w:id="9"/>
    </w:p>
    <w:p>
      <w:pPr>
        <w:pStyle w:val="5"/>
        <w:adjustRightInd w:val="0"/>
        <w:snapToGrid w:val="0"/>
        <w:spacing w:before="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磋商供应商须知前附表</w:t>
      </w:r>
    </w:p>
    <w:p>
      <w:pPr>
        <w:adjustRightInd w:val="0"/>
        <w:snapToGrid w:val="0"/>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本表是关于</w:t>
      </w:r>
      <w:r>
        <w:rPr>
          <w:rFonts w:hint="eastAsia" w:asciiTheme="minorEastAsia" w:hAnsiTheme="minorEastAsia" w:eastAsiaTheme="minorEastAsia" w:cstheme="minorEastAsia"/>
          <w:sz w:val="24"/>
          <w:szCs w:val="24"/>
          <w:lang w:val="en-US"/>
        </w:rPr>
        <w:t>本项目</w:t>
      </w:r>
      <w:r>
        <w:rPr>
          <w:rFonts w:hint="eastAsia" w:asciiTheme="minorEastAsia" w:hAnsiTheme="minorEastAsia" w:eastAsiaTheme="minorEastAsia" w:cstheme="minorEastAsia"/>
          <w:sz w:val="24"/>
          <w:szCs w:val="24"/>
        </w:rPr>
        <w:t>的具体资料，是对磋商供应商须知的具体补充和修改，如有矛盾，应以本表为准。</w:t>
      </w:r>
    </w:p>
    <w:tbl>
      <w:tblPr>
        <w:tblStyle w:val="26"/>
        <w:tblW w:w="903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67"/>
        <w:gridCol w:w="786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167" w:type="dxa"/>
            <w:tcBorders>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条款号</w:t>
            </w:r>
          </w:p>
        </w:tc>
        <w:tc>
          <w:tcPr>
            <w:tcW w:w="7869" w:type="dxa"/>
            <w:tcBorders>
              <w:left w:val="single" w:color="auto" w:sz="4" w:space="0"/>
              <w:bottom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eastAsia="zh-CN"/>
              </w:rPr>
              <w:t>乌鲁木齐经济技术开发区（乌鲁木齐市头屯河区）园林管理局</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址：乌鲁木齐经开区（头屯河区）维泰大厦</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郭倩</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0991-3073572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1.2</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lang w:eastAsia="zh-CN"/>
              </w:rPr>
              <w:t>新疆建投项目管理咨询有限公司</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地址：</w:t>
            </w:r>
            <w:r>
              <w:rPr>
                <w:rFonts w:hint="eastAsia" w:asciiTheme="minorEastAsia" w:hAnsiTheme="minorEastAsia" w:eastAsiaTheme="minorEastAsia" w:cstheme="minorEastAsia"/>
                <w:color w:val="auto"/>
                <w:sz w:val="24"/>
                <w:szCs w:val="24"/>
                <w:highlight w:val="none"/>
                <w:lang w:val="en-US" w:eastAsia="zh-CN"/>
              </w:rPr>
              <w:t>乌鲁木齐市经济技术开发区阿里山街566号建投大厦8楼808室</w:t>
            </w:r>
          </w:p>
          <w:p>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val="en-US" w:eastAsia="zh-CN"/>
              </w:rPr>
              <w:t>王慧</w:t>
            </w:r>
          </w:p>
          <w:p>
            <w:pPr>
              <w:adjustRightInd w:val="0"/>
              <w:snapToGrid w:val="0"/>
              <w:spacing w:line="42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lang w:val="en-US" w:eastAsia="zh-CN"/>
              </w:rPr>
              <w:t>0991-3075071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w:t>
            </w:r>
          </w:p>
        </w:tc>
        <w:tc>
          <w:tcPr>
            <w:tcW w:w="7869" w:type="dxa"/>
            <w:tcBorders>
              <w:top w:val="single" w:color="auto" w:sz="4" w:space="0"/>
              <w:left w:val="single" w:color="auto" w:sz="4" w:space="0"/>
              <w:bottom w:val="single" w:color="auto" w:sz="4" w:space="0"/>
            </w:tcBorders>
          </w:tcPr>
          <w:p>
            <w:pPr>
              <w:pStyle w:val="54"/>
              <w:spacing w:line="360" w:lineRule="auto"/>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rPr>
              <w:t>具备《中华人民共和国政府采购法》第二十二条关于供应商条件的规定，遵守国家、本项目采购人本级和上级财政部门政府采购的有关规定。</w:t>
            </w:r>
          </w:p>
          <w:p>
            <w:pPr>
              <w:pStyle w:val="54"/>
              <w:spacing w:line="360" w:lineRule="auto"/>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《中华人民共和国政府采购法》第二十二条应当具备的条件；并在响应文件中提供下列材料：</w:t>
            </w:r>
          </w:p>
          <w:p>
            <w:pPr>
              <w:pStyle w:val="54"/>
              <w:spacing w:line="360" w:lineRule="auto"/>
              <w:outlineLvl w:val="2"/>
              <w:rPr>
                <w:rFonts w:hint="eastAsia" w:ascii="宋体" w:hAnsi="宋体" w:eastAsia="宋体" w:cs="宋体"/>
                <w:b/>
                <w:bCs/>
                <w:color w:val="auto"/>
                <w:spacing w:val="0"/>
                <w:kern w:val="2"/>
                <w:sz w:val="24"/>
                <w:szCs w:val="24"/>
                <w:highlight w:val="none"/>
              </w:rPr>
            </w:pPr>
            <w:bookmarkStart w:id="10" w:name="_Toc256000003"/>
            <w:bookmarkStart w:id="11" w:name="_Toc256000007"/>
            <w:bookmarkStart w:id="12" w:name="_Toc256000015"/>
            <w:bookmarkStart w:id="13" w:name="_Toc256000002"/>
            <w:bookmarkStart w:id="14" w:name="_Toc256000036"/>
            <w:r>
              <w:rPr>
                <w:rFonts w:hint="eastAsia" w:ascii="宋体" w:hAnsi="宋体" w:eastAsia="宋体" w:cs="宋体"/>
                <w:b/>
                <w:bCs/>
                <w:color w:val="auto"/>
                <w:spacing w:val="0"/>
                <w:kern w:val="2"/>
                <w:sz w:val="24"/>
                <w:szCs w:val="24"/>
                <w:highlight w:val="none"/>
              </w:rPr>
              <w:t>①具有独立承担民事责任的能力；</w:t>
            </w:r>
            <w:bookmarkEnd w:id="10"/>
            <w:bookmarkEnd w:id="11"/>
            <w:bookmarkEnd w:id="12"/>
            <w:bookmarkEnd w:id="13"/>
            <w:bookmarkEnd w:id="14"/>
          </w:p>
          <w:p>
            <w:pPr>
              <w:pStyle w:val="54"/>
              <w:spacing w:line="360" w:lineRule="auto"/>
              <w:outlineLvl w:val="2"/>
              <w:rPr>
                <w:rFonts w:hint="eastAsia" w:ascii="宋体" w:hAnsi="宋体" w:eastAsia="宋体" w:cs="宋体"/>
                <w:color w:val="auto"/>
                <w:spacing w:val="0"/>
                <w:kern w:val="2"/>
                <w:sz w:val="24"/>
                <w:szCs w:val="24"/>
                <w:highlight w:val="none"/>
              </w:rPr>
            </w:pPr>
            <w:bookmarkStart w:id="15" w:name="_Toc256000013"/>
            <w:bookmarkStart w:id="16" w:name="_Toc256000005"/>
            <w:bookmarkStart w:id="17" w:name="_Toc256000021"/>
            <w:bookmarkStart w:id="18" w:name="_Toc256000040"/>
            <w:bookmarkStart w:id="19" w:name="_Toc256000025"/>
            <w:r>
              <w:rPr>
                <w:rFonts w:hint="eastAsia" w:ascii="宋体" w:hAnsi="宋体" w:eastAsia="宋体" w:cs="宋体"/>
                <w:color w:val="auto"/>
                <w:spacing w:val="0"/>
                <w:kern w:val="2"/>
                <w:sz w:val="24"/>
                <w:szCs w:val="24"/>
                <w:highlight w:val="none"/>
              </w:rPr>
              <w:t>（法人或者其他组织的营业执照等证明文件，自然人的身份证明）</w:t>
            </w:r>
          </w:p>
          <w:p>
            <w:pPr>
              <w:pStyle w:val="54"/>
              <w:spacing w:line="360" w:lineRule="auto"/>
              <w:outlineLvl w:val="2"/>
              <w:rPr>
                <w:rFonts w:hint="eastAsia" w:ascii="宋体" w:hAnsi="宋体" w:eastAsia="宋体" w:cs="宋体"/>
                <w:b/>
                <w:bCs/>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t>②具有良好的商业信誉和健全的财务会计制度；</w:t>
            </w:r>
            <w:bookmarkEnd w:id="15"/>
            <w:bookmarkEnd w:id="16"/>
            <w:bookmarkEnd w:id="17"/>
            <w:bookmarkEnd w:id="18"/>
            <w:bookmarkEnd w:id="19"/>
          </w:p>
          <w:p>
            <w:pPr>
              <w:pStyle w:val="54"/>
              <w:spacing w:line="360" w:lineRule="auto"/>
              <w:outlineLvl w:val="2"/>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提供</w:t>
            </w:r>
            <w:r>
              <w:rPr>
                <w:rFonts w:hint="eastAsia" w:ascii="宋体" w:hAnsi="宋体" w:eastAsia="宋体" w:cs="宋体"/>
                <w:color w:val="auto"/>
                <w:spacing w:val="0"/>
                <w:kern w:val="2"/>
                <w:sz w:val="24"/>
                <w:szCs w:val="24"/>
                <w:highlight w:val="none"/>
                <w:lang w:val="en-US" w:eastAsia="zh-CN"/>
              </w:rPr>
              <w:t>近三年任意一年财务审计报告</w:t>
            </w:r>
            <w:r>
              <w:rPr>
                <w:rFonts w:hint="eastAsia" w:ascii="宋体" w:hAnsi="宋体" w:eastAsia="宋体" w:cs="宋体"/>
                <w:color w:val="auto"/>
                <w:spacing w:val="0"/>
                <w:kern w:val="2"/>
                <w:sz w:val="24"/>
                <w:szCs w:val="24"/>
                <w:highlight w:val="none"/>
              </w:rPr>
              <w:t xml:space="preserve">或半年内任意一个月财务报表（财务报表应至少包括资产负债表、损益表、现金流量表或财务状况变动表，当月新成立公司不需提供）； </w:t>
            </w:r>
          </w:p>
          <w:p>
            <w:pPr>
              <w:pStyle w:val="54"/>
              <w:spacing w:line="360" w:lineRule="auto"/>
              <w:outlineLvl w:val="2"/>
              <w:rPr>
                <w:rFonts w:hint="eastAsia" w:ascii="宋体" w:hAnsi="宋体" w:eastAsia="宋体" w:cs="宋体"/>
                <w:b/>
                <w:bCs/>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fldChar w:fldCharType="begin"/>
            </w:r>
            <w:r>
              <w:rPr>
                <w:rFonts w:hint="eastAsia" w:ascii="宋体" w:hAnsi="宋体" w:eastAsia="宋体" w:cs="宋体"/>
                <w:b/>
                <w:bCs/>
                <w:color w:val="auto"/>
                <w:spacing w:val="0"/>
                <w:kern w:val="2"/>
                <w:sz w:val="24"/>
                <w:szCs w:val="24"/>
                <w:highlight w:val="none"/>
              </w:rPr>
              <w:instrText xml:space="preserve"> = 3 \* GB3 </w:instrText>
            </w:r>
            <w:r>
              <w:rPr>
                <w:rFonts w:hint="eastAsia" w:ascii="宋体" w:hAnsi="宋体" w:eastAsia="宋体" w:cs="宋体"/>
                <w:b/>
                <w:bCs/>
                <w:color w:val="auto"/>
                <w:spacing w:val="0"/>
                <w:kern w:val="2"/>
                <w:sz w:val="24"/>
                <w:szCs w:val="24"/>
                <w:highlight w:val="none"/>
              </w:rPr>
              <w:fldChar w:fldCharType="separate"/>
            </w:r>
            <w:bookmarkStart w:id="20" w:name="_Toc256000043"/>
            <w:r>
              <w:rPr>
                <w:rFonts w:hint="eastAsia" w:ascii="宋体" w:hAnsi="宋体" w:eastAsia="宋体" w:cs="宋体"/>
                <w:b/>
                <w:bCs/>
                <w:color w:val="auto"/>
                <w:spacing w:val="0"/>
                <w:kern w:val="2"/>
                <w:sz w:val="24"/>
                <w:szCs w:val="24"/>
                <w:highlight w:val="none"/>
              </w:rPr>
              <w:t>③</w:t>
            </w:r>
            <w:r>
              <w:rPr>
                <w:rFonts w:hint="eastAsia" w:ascii="宋体" w:hAnsi="宋体" w:eastAsia="宋体" w:cs="宋体"/>
                <w:b/>
                <w:color w:val="auto"/>
                <w:spacing w:val="0"/>
                <w:kern w:val="2"/>
                <w:sz w:val="24"/>
                <w:szCs w:val="24"/>
                <w:highlight w:val="none"/>
              </w:rPr>
              <w:fldChar w:fldCharType="end"/>
            </w:r>
            <w:r>
              <w:rPr>
                <w:rFonts w:hint="eastAsia" w:ascii="宋体" w:hAnsi="宋体" w:eastAsia="宋体" w:cs="宋体"/>
                <w:b/>
                <w:bCs/>
                <w:color w:val="auto"/>
                <w:spacing w:val="0"/>
                <w:kern w:val="2"/>
                <w:sz w:val="24"/>
                <w:szCs w:val="24"/>
                <w:highlight w:val="none"/>
              </w:rPr>
              <w:t>具有履行合同所必需的设备和专业技术能力；</w:t>
            </w:r>
            <w:bookmarkEnd w:id="20"/>
          </w:p>
          <w:p>
            <w:pPr>
              <w:pStyle w:val="54"/>
              <w:spacing w:line="360" w:lineRule="auto"/>
              <w:outlineLvl w:val="2"/>
              <w:rPr>
                <w:rFonts w:hint="eastAsia" w:ascii="宋体" w:hAnsi="宋体" w:eastAsia="宋体" w:cs="宋体"/>
                <w:color w:val="auto"/>
                <w:spacing w:val="0"/>
                <w:kern w:val="2"/>
                <w:sz w:val="24"/>
                <w:szCs w:val="24"/>
                <w:highlight w:val="none"/>
              </w:rPr>
            </w:pPr>
            <w:bookmarkStart w:id="21" w:name="_Toc256000031"/>
            <w:bookmarkStart w:id="22" w:name="_Toc256000024"/>
            <w:bookmarkStart w:id="23" w:name="_Toc256000044"/>
            <w:bookmarkStart w:id="24" w:name="_Toc256000008"/>
            <w:bookmarkStart w:id="25" w:name="_Toc256000016"/>
            <w:r>
              <w:rPr>
                <w:rFonts w:hint="eastAsia" w:ascii="宋体" w:hAnsi="宋体" w:eastAsia="宋体" w:cs="宋体"/>
                <w:color w:val="auto"/>
                <w:spacing w:val="0"/>
                <w:kern w:val="2"/>
                <w:sz w:val="24"/>
                <w:szCs w:val="24"/>
                <w:highlight w:val="none"/>
              </w:rPr>
              <w:t>（提供具有履行合同所必需的设备和专业技术能力相关证明材料或声明；）</w:t>
            </w:r>
            <w:bookmarkEnd w:id="21"/>
            <w:bookmarkEnd w:id="22"/>
            <w:bookmarkEnd w:id="23"/>
            <w:bookmarkEnd w:id="24"/>
            <w:bookmarkEnd w:id="25"/>
          </w:p>
          <w:p>
            <w:pPr>
              <w:pStyle w:val="54"/>
              <w:spacing w:line="360" w:lineRule="auto"/>
              <w:outlineLvl w:val="2"/>
              <w:rPr>
                <w:rFonts w:hint="eastAsia" w:ascii="宋体" w:hAnsi="宋体" w:eastAsia="宋体" w:cs="宋体"/>
                <w:b/>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fldChar w:fldCharType="begin"/>
            </w:r>
            <w:r>
              <w:rPr>
                <w:rFonts w:hint="eastAsia" w:ascii="宋体" w:hAnsi="宋体" w:eastAsia="宋体" w:cs="宋体"/>
                <w:b/>
                <w:bCs/>
                <w:color w:val="auto"/>
                <w:spacing w:val="0"/>
                <w:kern w:val="2"/>
                <w:sz w:val="24"/>
                <w:szCs w:val="24"/>
                <w:highlight w:val="none"/>
              </w:rPr>
              <w:instrText xml:space="preserve"> = 4 \* GB3 </w:instrText>
            </w:r>
            <w:r>
              <w:rPr>
                <w:rFonts w:hint="eastAsia" w:ascii="宋体" w:hAnsi="宋体" w:eastAsia="宋体" w:cs="宋体"/>
                <w:b/>
                <w:bCs/>
                <w:color w:val="auto"/>
                <w:spacing w:val="0"/>
                <w:kern w:val="2"/>
                <w:sz w:val="24"/>
                <w:szCs w:val="24"/>
                <w:highlight w:val="none"/>
              </w:rPr>
              <w:fldChar w:fldCharType="separate"/>
            </w:r>
            <w:bookmarkStart w:id="26" w:name="_Toc256000045"/>
            <w:r>
              <w:rPr>
                <w:rFonts w:hint="eastAsia" w:ascii="宋体" w:hAnsi="宋体" w:eastAsia="宋体" w:cs="宋体"/>
                <w:b/>
                <w:bCs/>
                <w:color w:val="auto"/>
                <w:spacing w:val="0"/>
                <w:kern w:val="2"/>
                <w:sz w:val="24"/>
                <w:szCs w:val="24"/>
                <w:highlight w:val="none"/>
              </w:rPr>
              <w:t>④</w:t>
            </w:r>
            <w:r>
              <w:rPr>
                <w:rFonts w:hint="eastAsia" w:ascii="宋体" w:hAnsi="宋体" w:eastAsia="宋体" w:cs="宋体"/>
                <w:b/>
                <w:color w:val="auto"/>
                <w:spacing w:val="0"/>
                <w:kern w:val="2"/>
                <w:sz w:val="24"/>
                <w:szCs w:val="24"/>
                <w:highlight w:val="none"/>
              </w:rPr>
              <w:fldChar w:fldCharType="end"/>
            </w:r>
            <w:r>
              <w:rPr>
                <w:rFonts w:hint="eastAsia" w:ascii="宋体" w:hAnsi="宋体" w:eastAsia="宋体" w:cs="宋体"/>
                <w:b/>
                <w:bCs/>
                <w:color w:val="auto"/>
                <w:spacing w:val="0"/>
                <w:kern w:val="2"/>
                <w:sz w:val="24"/>
                <w:szCs w:val="24"/>
                <w:highlight w:val="none"/>
              </w:rPr>
              <w:t>有依法缴纳税收和社会保障资金的良好记录；</w:t>
            </w:r>
            <w:bookmarkEnd w:id="26"/>
          </w:p>
          <w:p>
            <w:pPr>
              <w:pStyle w:val="54"/>
              <w:spacing w:line="360" w:lineRule="auto"/>
              <w:outlineLvl w:val="2"/>
              <w:rPr>
                <w:rFonts w:hint="eastAsia" w:ascii="宋体" w:hAnsi="宋体" w:eastAsia="宋体" w:cs="宋体"/>
                <w:color w:val="auto"/>
                <w:spacing w:val="0"/>
                <w:sz w:val="24"/>
                <w:szCs w:val="24"/>
                <w:highlight w:val="none"/>
              </w:rPr>
            </w:pPr>
            <w:bookmarkStart w:id="27" w:name="_Toc256000011"/>
            <w:bookmarkStart w:id="28" w:name="_Toc256000027"/>
            <w:bookmarkStart w:id="29" w:name="_Toc256000034"/>
            <w:bookmarkStart w:id="30" w:name="_Toc256000048"/>
            <w:bookmarkStart w:id="31" w:name="_Toc256000019"/>
            <w:r>
              <w:rPr>
                <w:rFonts w:hint="eastAsia" w:ascii="宋体" w:hAnsi="宋体" w:eastAsia="宋体" w:cs="宋体"/>
                <w:color w:val="auto"/>
                <w:spacing w:val="0"/>
                <w:sz w:val="24"/>
                <w:szCs w:val="24"/>
                <w:highlight w:val="none"/>
              </w:rPr>
              <w:t>1）提供截止开标前近</w:t>
            </w:r>
            <w:r>
              <w:rPr>
                <w:rFonts w:hint="eastAsia" w:ascii="宋体" w:hAnsi="宋体" w:cs="宋体"/>
                <w:color w:val="auto"/>
                <w:spacing w:val="0"/>
                <w:sz w:val="24"/>
                <w:szCs w:val="24"/>
                <w:highlight w:val="none"/>
                <w:lang w:val="en-US" w:eastAsia="zh-CN"/>
              </w:rPr>
              <w:t>一</w:t>
            </w:r>
            <w:r>
              <w:rPr>
                <w:rFonts w:hint="eastAsia" w:ascii="宋体" w:hAnsi="宋体" w:eastAsia="宋体" w:cs="宋体"/>
                <w:color w:val="auto"/>
                <w:spacing w:val="0"/>
                <w:sz w:val="24"/>
                <w:szCs w:val="24"/>
                <w:highlight w:val="none"/>
              </w:rPr>
              <w:t>年内任意一个月税收缴纳完成的证明资料。</w:t>
            </w:r>
          </w:p>
          <w:p>
            <w:pPr>
              <w:pStyle w:val="54"/>
              <w:spacing w:line="360" w:lineRule="auto"/>
              <w:outlineLvl w:val="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2）提供截止开标前近</w:t>
            </w:r>
            <w:r>
              <w:rPr>
                <w:rFonts w:hint="eastAsia" w:ascii="宋体" w:hAnsi="宋体" w:cs="宋体"/>
                <w:color w:val="auto"/>
                <w:spacing w:val="0"/>
                <w:sz w:val="24"/>
                <w:szCs w:val="24"/>
                <w:highlight w:val="none"/>
                <w:lang w:val="en-US" w:eastAsia="zh-CN"/>
              </w:rPr>
              <w:t>一</w:t>
            </w:r>
            <w:r>
              <w:rPr>
                <w:rFonts w:hint="eastAsia" w:ascii="宋体" w:hAnsi="宋体" w:eastAsia="宋体" w:cs="宋体"/>
                <w:color w:val="auto"/>
                <w:spacing w:val="0"/>
                <w:sz w:val="24"/>
                <w:szCs w:val="24"/>
                <w:highlight w:val="none"/>
              </w:rPr>
              <w:t>年内任意一个月完成社保缴纳证明</w:t>
            </w:r>
          </w:p>
          <w:p>
            <w:pPr>
              <w:pStyle w:val="54"/>
              <w:spacing w:line="360" w:lineRule="auto"/>
              <w:outlineLvl w:val="2"/>
              <w:rPr>
                <w:rFonts w:hint="eastAsia" w:ascii="宋体" w:hAnsi="宋体" w:eastAsia="宋体" w:cs="宋体"/>
                <w:b/>
                <w:bCs/>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t>⑤参加政府采购活动前三年内，在经营活动中没有重大违法记录；</w:t>
            </w:r>
            <w:bookmarkEnd w:id="27"/>
            <w:bookmarkEnd w:id="28"/>
            <w:bookmarkEnd w:id="29"/>
            <w:bookmarkEnd w:id="30"/>
            <w:bookmarkEnd w:id="31"/>
          </w:p>
          <w:p>
            <w:pPr>
              <w:pStyle w:val="54"/>
              <w:spacing w:line="360" w:lineRule="auto"/>
              <w:outlineLvl w:val="2"/>
              <w:rPr>
                <w:rFonts w:hint="eastAsia" w:ascii="宋体" w:hAnsi="宋体" w:eastAsia="宋体" w:cs="宋体"/>
                <w:color w:val="auto"/>
                <w:spacing w:val="0"/>
                <w:kern w:val="2"/>
                <w:sz w:val="24"/>
                <w:szCs w:val="24"/>
                <w:highlight w:val="none"/>
              </w:rPr>
            </w:pPr>
            <w:bookmarkStart w:id="32" w:name="_Toc256000035"/>
            <w:bookmarkStart w:id="33" w:name="_Toc256000020"/>
            <w:bookmarkStart w:id="34" w:name="_Toc256000028"/>
            <w:bookmarkStart w:id="35" w:name="_Toc256000012"/>
            <w:bookmarkStart w:id="36" w:name="_Toc256000049"/>
            <w:r>
              <w:rPr>
                <w:rFonts w:hint="eastAsia" w:ascii="宋体" w:hAnsi="宋体" w:eastAsia="宋体" w:cs="宋体"/>
                <w:color w:val="auto"/>
                <w:spacing w:val="0"/>
                <w:kern w:val="2"/>
                <w:sz w:val="24"/>
                <w:szCs w:val="24"/>
                <w:highlight w:val="none"/>
              </w:rPr>
              <w:t>（提供参加政府采购活动近三年无重大违法记录声明书；）</w:t>
            </w:r>
            <w:bookmarkEnd w:id="32"/>
            <w:bookmarkEnd w:id="33"/>
            <w:bookmarkEnd w:id="34"/>
            <w:bookmarkEnd w:id="35"/>
            <w:bookmarkEnd w:id="36"/>
          </w:p>
          <w:p>
            <w:pPr>
              <w:pStyle w:val="54"/>
              <w:tabs>
                <w:tab w:val="left" w:pos="1429"/>
              </w:tabs>
              <w:spacing w:line="360" w:lineRule="auto"/>
              <w:rPr>
                <w:rFonts w:hint="eastAsia" w:ascii="宋体" w:hAnsi="宋体" w:eastAsia="宋体" w:cs="宋体"/>
                <w:b/>
                <w:color w:val="auto"/>
                <w:spacing w:val="0"/>
                <w:kern w:val="2"/>
                <w:sz w:val="24"/>
                <w:szCs w:val="24"/>
                <w:highlight w:val="none"/>
              </w:rPr>
            </w:pPr>
            <w:r>
              <w:rPr>
                <w:rFonts w:hint="eastAsia" w:ascii="宋体" w:hAnsi="宋体" w:eastAsia="宋体" w:cs="宋体"/>
                <w:b/>
                <w:color w:val="auto"/>
                <w:spacing w:val="0"/>
                <w:kern w:val="2"/>
                <w:sz w:val="24"/>
                <w:szCs w:val="24"/>
                <w:highlight w:val="none"/>
              </w:rPr>
              <w:t>⑥法律、行政法规规定的其他条件;</w:t>
            </w:r>
          </w:p>
          <w:p>
            <w:pPr>
              <w:adjustRightInd w:val="0"/>
              <w:snapToGrid w:val="0"/>
              <w:spacing w:line="360" w:lineRule="auto"/>
              <w:jc w:val="both"/>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pacing w:val="0"/>
                <w:sz w:val="24"/>
                <w:szCs w:val="24"/>
                <w:highlight w:val="none"/>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“信用中国”、“中国政府采购网”查询，网页截图；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（4）</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合格供应商资格条件其他要求：</w:t>
            </w:r>
            <w:r>
              <w:rPr>
                <w:rFonts w:hint="eastAsia" w:ascii="宋体" w:hAnsi="宋体" w:eastAsia="宋体" w:cs="宋体"/>
                <w:spacing w:val="0"/>
                <w:sz w:val="24"/>
                <w:szCs w:val="24"/>
                <w:lang w:eastAsia="zh-CN"/>
              </w:rPr>
              <w:t>投标人应具备市政公用工程施工总承包三级</w:t>
            </w:r>
            <w:r>
              <w:rPr>
                <w:rFonts w:hint="eastAsia" w:ascii="宋体" w:hAnsi="宋体" w:eastAsia="宋体" w:cs="宋体"/>
                <w:spacing w:val="0"/>
                <w:sz w:val="24"/>
                <w:szCs w:val="24"/>
              </w:rPr>
              <w:t xml:space="preserve"> (含三级)以上的施工企业资质，有安全生产许可证</w:t>
            </w:r>
            <w:r>
              <w:rPr>
                <w:rFonts w:hint="eastAsia" w:ascii="宋体" w:hAnsi="宋体" w:eastAsia="宋体" w:cs="宋体"/>
                <w:spacing w:val="0"/>
                <w:sz w:val="24"/>
                <w:szCs w:val="24"/>
                <w:lang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（6）</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是否专门面向中小企业采购：</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是</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（7）</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（标的名称）所属行业：</w:t>
            </w:r>
            <w:r>
              <w:rPr>
                <w:rFonts w:hint="eastAsia" w:asciiTheme="minorEastAsia" w:hAnsiTheme="minorEastAsia" w:eastAsiaTheme="minorEastAsia" w:cstheme="minorEastAsia"/>
                <w:color w:val="auto"/>
                <w:sz w:val="24"/>
                <w:szCs w:val="24"/>
                <w:highlight w:val="none"/>
                <w:lang w:val="en-US" w:eastAsia="zh-CN"/>
              </w:rPr>
              <w:t>建筑业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（8）</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是否为本项目面向中小企业采购预留份额：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是</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是否允许联合体参加磋商：</w:t>
            </w:r>
            <w:r>
              <w:rPr>
                <w:rFonts w:hint="eastAsia" w:asciiTheme="minorEastAsia" w:hAnsiTheme="minorEastAsia" w:eastAsiaTheme="minorEastAsia" w:cstheme="minorEastAsia"/>
                <w:color w:val="auto"/>
                <w:sz w:val="24"/>
                <w:szCs w:val="24"/>
                <w:highlight w:val="none"/>
                <w:u w:val="single"/>
              </w:rPr>
              <w:t xml:space="preserve"> 否</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val="en-US"/>
              </w:rPr>
              <w:t>（8）</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对联合体的其他资格要求：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3.3 </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本项目共1个标段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7.4</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报价要求：工程量清单报价。</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本项目工程质量要求：合格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7.5</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项目预算金额：</w:t>
            </w:r>
            <w:r>
              <w:rPr>
                <w:rFonts w:hint="eastAsia" w:asciiTheme="minorEastAsia" w:hAnsiTheme="minorEastAsia" w:eastAsiaTheme="minorEastAsia" w:cstheme="minorEastAsia"/>
                <w:color w:val="auto"/>
                <w:sz w:val="24"/>
                <w:szCs w:val="24"/>
                <w:highlight w:val="none"/>
                <w:lang w:val="en-US" w:eastAsia="zh-CN" w:bidi="ar"/>
              </w:rPr>
              <w:t>990000.00</w:t>
            </w:r>
            <w:r>
              <w:rPr>
                <w:rFonts w:hint="eastAsia" w:asciiTheme="minorEastAsia" w:hAnsiTheme="minorEastAsia" w:eastAsiaTheme="minorEastAsia" w:cstheme="minorEastAsia"/>
                <w:color w:val="auto"/>
                <w:sz w:val="24"/>
                <w:szCs w:val="24"/>
                <w:highlight w:val="none"/>
                <w:lang w:val="en-US" w:bidi="ar"/>
              </w:rPr>
              <w:t>元；</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bidi="ar"/>
              </w:rPr>
              <w:t xml:space="preserve">最高限价：986094.57元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8.1</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响应文件有效期：</w:t>
            </w:r>
            <w:r>
              <w:rPr>
                <w:rFonts w:hint="eastAsia" w:asciiTheme="minorEastAsia" w:hAnsiTheme="minorEastAsia" w:eastAsiaTheme="minorEastAsia" w:cstheme="minorEastAsia"/>
                <w:color w:val="auto"/>
                <w:sz w:val="24"/>
                <w:szCs w:val="24"/>
                <w:highlight w:val="none"/>
                <w:u w:val="single"/>
                <w:lang w:val="en-US"/>
              </w:rPr>
              <w:t xml:space="preserve"> 90 </w:t>
            </w:r>
            <w:r>
              <w:rPr>
                <w:rFonts w:hint="eastAsia" w:asciiTheme="minorEastAsia" w:hAnsiTheme="minorEastAsia" w:eastAsiaTheme="minorEastAsia" w:cstheme="minorEastAsia"/>
                <w:color w:val="auto"/>
                <w:sz w:val="24"/>
                <w:szCs w:val="24"/>
                <w:highlight w:val="none"/>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9.1 </w:t>
            </w:r>
          </w:p>
        </w:tc>
        <w:tc>
          <w:tcPr>
            <w:tcW w:w="7869" w:type="dxa"/>
            <w:tcBorders>
              <w:top w:val="single" w:color="auto" w:sz="4" w:space="0"/>
              <w:left w:val="single" w:color="auto" w:sz="4" w:space="0"/>
              <w:bottom w:val="single" w:color="auto" w:sz="4" w:space="0"/>
            </w:tcBorders>
          </w:tcPr>
          <w:p>
            <w:pPr>
              <w:numPr>
                <w:ilvl w:val="0"/>
                <w:numId w:val="2"/>
              </w:num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电子投标文件递交：</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应</w:t>
            </w:r>
            <w:r>
              <w:rPr>
                <w:rFonts w:hint="eastAsia" w:ascii="宋体" w:hAnsi="宋体" w:eastAsia="宋体" w:cs="宋体"/>
                <w:b w:val="0"/>
                <w:bCs/>
                <w:color w:val="auto"/>
                <w:sz w:val="24"/>
                <w:szCs w:val="24"/>
                <w:highlight w:val="none"/>
                <w:lang w:eastAsia="zh-CN"/>
              </w:rPr>
              <w:t>于202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年</w:t>
            </w:r>
            <w:r>
              <w:rPr>
                <w:rFonts w:hint="eastAsia" w:ascii="宋体" w:hAnsi="宋体" w:eastAsia="宋体" w:cs="宋体"/>
                <w:b w:val="0"/>
                <w:bCs/>
                <w:color w:val="auto"/>
                <w:sz w:val="24"/>
                <w:szCs w:val="24"/>
                <w:highlight w:val="none"/>
                <w:lang w:val="en-US" w:eastAsia="zh-CN"/>
              </w:rPr>
              <w:t>6月12日16</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lang w:eastAsia="zh-CN"/>
              </w:rPr>
              <w:t>0时之前</w:t>
            </w:r>
            <w:r>
              <w:rPr>
                <w:rFonts w:hint="eastAsia" w:ascii="宋体" w:hAnsi="宋体" w:eastAsia="宋体" w:cs="宋体"/>
                <w:b w:val="0"/>
                <w:bCs/>
                <w:color w:val="auto"/>
                <w:sz w:val="24"/>
                <w:szCs w:val="24"/>
                <w:highlight w:val="none"/>
              </w:rPr>
              <w:t>将电子投标文件上传到“政采云”平台。应按照本项目</w:t>
            </w:r>
            <w:r>
              <w:rPr>
                <w:rFonts w:hint="eastAsia" w:ascii="宋体" w:hAnsi="宋体" w:eastAsia="宋体" w:cs="宋体"/>
                <w:b w:val="0"/>
                <w:bCs/>
                <w:color w:val="auto"/>
                <w:sz w:val="24"/>
                <w:szCs w:val="24"/>
                <w:highlight w:val="none"/>
                <w:lang w:eastAsia="zh-CN"/>
              </w:rPr>
              <w:t>磋商文件</w:t>
            </w:r>
            <w:r>
              <w:rPr>
                <w:rFonts w:hint="eastAsia" w:ascii="宋体" w:hAnsi="宋体" w:eastAsia="宋体" w:cs="宋体"/>
                <w:b w:val="0"/>
                <w:bCs/>
                <w:color w:val="auto"/>
                <w:sz w:val="24"/>
                <w:szCs w:val="24"/>
                <w:highlight w:val="none"/>
              </w:rPr>
              <w:t>和政采云平台的要求编制、加密传输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numPr>
                <w:ilvl w:val="0"/>
                <w:numId w:val="0"/>
              </w:num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（2）投标现场无需递交投标文件，中标</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公示完之后需提供：</w:t>
            </w:r>
          </w:p>
          <w:p>
            <w:p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纸质版投标文件：正本一份、副本</w:t>
            </w: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b w:val="0"/>
                <w:bCs/>
                <w:color w:val="auto"/>
                <w:sz w:val="24"/>
                <w:szCs w:val="24"/>
                <w:highlight w:val="none"/>
              </w:rPr>
              <w:t>份。</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b w:val="0"/>
                <w:bCs/>
                <w:color w:val="auto"/>
                <w:sz w:val="24"/>
                <w:szCs w:val="24"/>
                <w:highlight w:val="none"/>
              </w:rPr>
              <w:t>投标文件电子版：以</w:t>
            </w:r>
            <w:r>
              <w:rPr>
                <w:rFonts w:hint="eastAsia" w:ascii="宋体" w:hAnsi="宋体" w:eastAsia="宋体" w:cs="宋体"/>
                <w:b w:val="0"/>
                <w:bCs/>
                <w:color w:val="auto"/>
                <w:sz w:val="24"/>
                <w:szCs w:val="24"/>
                <w:highlight w:val="none"/>
                <w:lang w:val="en-US" w:eastAsia="zh-CN"/>
              </w:rPr>
              <w:t>u</w:t>
            </w:r>
            <w:r>
              <w:rPr>
                <w:rFonts w:hint="eastAsia" w:ascii="宋体" w:hAnsi="宋体" w:eastAsia="宋体" w:cs="宋体"/>
                <w:b w:val="0"/>
                <w:bCs/>
                <w:color w:val="auto"/>
                <w:sz w:val="24"/>
                <w:szCs w:val="24"/>
                <w:highlight w:val="none"/>
              </w:rPr>
              <w:t>盘为介质的投标文件电子版</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份。</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11.1</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保证金形式：</w:t>
            </w:r>
            <w:r>
              <w:rPr>
                <w:rFonts w:hint="eastAsia" w:asciiTheme="minorEastAsia" w:hAnsiTheme="minorEastAsia" w:eastAsiaTheme="minorEastAsia" w:cstheme="minorEastAsia"/>
                <w:color w:val="auto"/>
                <w:sz w:val="24"/>
                <w:szCs w:val="24"/>
                <w:highlight w:val="none"/>
                <w:lang w:val="en-US" w:eastAsia="zh-CN"/>
              </w:rPr>
              <w:t>从基本户转账或电汇</w:t>
            </w:r>
            <w:r>
              <w:rPr>
                <w:rFonts w:hint="eastAsia" w:asciiTheme="minorEastAsia" w:hAnsiTheme="minorEastAsia" w:eastAsiaTheme="minorEastAsia" w:cstheme="minorEastAsia"/>
                <w:color w:val="auto"/>
                <w:sz w:val="24"/>
                <w:szCs w:val="24"/>
                <w:highlight w:val="none"/>
              </w:rPr>
              <w:t>等非现金形式</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保证金数额：</w:t>
            </w:r>
            <w:r>
              <w:rPr>
                <w:rFonts w:hint="eastAsia" w:asciiTheme="minorEastAsia" w:hAnsiTheme="minorEastAsia" w:eastAsiaTheme="minorEastAsia" w:cstheme="minorEastAsia"/>
                <w:color w:val="auto"/>
                <w:sz w:val="24"/>
                <w:szCs w:val="24"/>
                <w:highlight w:val="none"/>
                <w:lang w:val="en-US"/>
              </w:rPr>
              <w:t>人民币</w:t>
            </w:r>
            <w:r>
              <w:rPr>
                <w:rFonts w:hint="eastAsia" w:asciiTheme="minorEastAsia" w:hAnsiTheme="minorEastAsia" w:eastAsiaTheme="minorEastAsia" w:cstheme="minorEastAsia"/>
                <w:color w:val="auto"/>
                <w:sz w:val="24"/>
                <w:szCs w:val="24"/>
                <w:highlight w:val="none"/>
                <w:u w:val="single"/>
                <w:lang w:val="en-US" w:eastAsia="zh-CN"/>
              </w:rPr>
              <w:t>9800</w:t>
            </w:r>
            <w:r>
              <w:rPr>
                <w:rFonts w:hint="eastAsia" w:asciiTheme="minorEastAsia" w:hAnsiTheme="minorEastAsia" w:eastAsiaTheme="minorEastAsia" w:cstheme="minorEastAsia"/>
                <w:color w:val="auto"/>
                <w:sz w:val="24"/>
                <w:szCs w:val="24"/>
                <w:highlight w:val="none"/>
              </w:rPr>
              <w:t>元</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账号：3113730011140000349</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投标保证金缴纳方式：采用公对公电汇形式，供应商必须于投标截止时间前将投标保证金从供应商账户汇至以下银行账户：</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公司名称：新疆建投项目管理咨询有限公司</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开户银行及机构：中信银行股份有限公司乌鲁木齐经济技术开发区科技支行</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行号：302881000123</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备注：1.保证金入账后</w:t>
            </w:r>
            <w:r>
              <w:rPr>
                <w:rFonts w:hint="eastAsia" w:asciiTheme="minorEastAsia" w:hAnsiTheme="minorEastAsia" w:eastAsiaTheme="minorEastAsia" w:cstheme="minorEastAsia"/>
                <w:color w:val="auto"/>
                <w:sz w:val="24"/>
                <w:highlight w:val="none"/>
                <w:lang w:val="en-US" w:eastAsia="zh-CN"/>
              </w:rPr>
              <w:t>可</w:t>
            </w:r>
            <w:r>
              <w:rPr>
                <w:rFonts w:hint="eastAsia" w:asciiTheme="minorEastAsia" w:hAnsiTheme="minorEastAsia" w:eastAsiaTheme="minorEastAsia" w:cstheme="minorEastAsia"/>
                <w:color w:val="auto"/>
                <w:sz w:val="24"/>
                <w:highlight w:val="none"/>
              </w:rPr>
              <w:t>到我公司财务室开具保证金收据。</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2.汇款单上需注明单位名称、项目名称、金额。投标保证金于开标截止时间之前确认到账，若供应商未按照上述规定缴纳投标保证金,投标文件将被拒绝评审。</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宋体" w:hAnsi="宋体" w:cs="宋体"/>
                <w:sz w:val="22"/>
              </w:rPr>
              <w:drawing>
                <wp:anchor distT="0" distB="0" distL="114300" distR="114300" simplePos="0" relativeHeight="251660288" behindDoc="0" locked="0" layoutInCell="1" allowOverlap="1">
                  <wp:simplePos x="0" y="0"/>
                  <wp:positionH relativeFrom="column">
                    <wp:posOffset>294640</wp:posOffset>
                  </wp:positionH>
                  <wp:positionV relativeFrom="paragraph">
                    <wp:posOffset>702945</wp:posOffset>
                  </wp:positionV>
                  <wp:extent cx="4454525" cy="2113280"/>
                  <wp:effectExtent l="0" t="0" r="3175" b="127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4"/>
                          <a:stretch>
                            <a:fillRect/>
                          </a:stretch>
                        </pic:blipFill>
                        <pic:spPr>
                          <a:xfrm>
                            <a:off x="0" y="0"/>
                            <a:ext cx="4454525" cy="2113280"/>
                          </a:xfrm>
                          <a:prstGeom prst="rect">
                            <a:avLst/>
                          </a:prstGeom>
                          <a:noFill/>
                          <a:ln>
                            <a:noFill/>
                          </a:ln>
                        </pic:spPr>
                      </pic:pic>
                    </a:graphicData>
                  </a:graphic>
                </wp:anchor>
              </w:drawing>
            </w:r>
            <w:r>
              <w:rPr>
                <w:rFonts w:hint="eastAsia" w:asciiTheme="minorEastAsia" w:hAnsiTheme="minorEastAsia" w:eastAsiaTheme="minorEastAsia" w:cstheme="minorEastAsia"/>
                <w:color w:val="auto"/>
                <w:sz w:val="24"/>
                <w:highlight w:val="none"/>
              </w:rPr>
              <w:t>3.开标结果公示后，供应商须提交保证金收据（反开收据格式如下）到代理机构，用于保证金退还流程。</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7869" w:type="dxa"/>
            <w:tcBorders>
              <w:top w:val="single" w:color="auto" w:sz="4" w:space="0"/>
              <w:left w:val="single" w:color="auto" w:sz="4" w:space="0"/>
              <w:bottom w:val="single" w:color="auto" w:sz="4" w:space="0"/>
            </w:tcBorders>
          </w:tcPr>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开标时间：2023年</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lang w:eastAsia="zh-CN"/>
              </w:rPr>
              <w:t>日</w:t>
            </w:r>
            <w:r>
              <w:rPr>
                <w:rFonts w:hint="eastAsia" w:asciiTheme="minorEastAsia" w:hAnsiTheme="minorEastAsia" w:eastAsiaTheme="minorEastAsia" w:cstheme="minorEastAsia"/>
                <w:color w:val="auto"/>
                <w:sz w:val="24"/>
                <w:highlight w:val="none"/>
                <w:lang w:val="en-US" w:eastAsia="zh-CN"/>
              </w:rPr>
              <w:t>16</w:t>
            </w:r>
            <w:r>
              <w:rPr>
                <w:rFonts w:hint="eastAsia" w:asciiTheme="minorEastAsia" w:hAnsiTheme="minorEastAsia" w:eastAsiaTheme="minorEastAsia" w:cstheme="minorEastAsia"/>
                <w:color w:val="auto"/>
                <w:sz w:val="24"/>
                <w:highlight w:val="none"/>
                <w:lang w:eastAsia="zh-CN"/>
              </w:rPr>
              <w:t>点00分</w:t>
            </w:r>
            <w:r>
              <w:rPr>
                <w:rFonts w:hint="eastAsia" w:asciiTheme="minorEastAsia" w:hAnsiTheme="minorEastAsia" w:eastAsiaTheme="minorEastAsia" w:cstheme="minorEastAsia"/>
                <w:color w:val="auto"/>
                <w:sz w:val="24"/>
                <w:highlight w:val="none"/>
              </w:rPr>
              <w:t>（北京时间）</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开标地点：政采云平台（https://www.zcygov.cn/）</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15.1</w:t>
            </w:r>
          </w:p>
        </w:tc>
        <w:tc>
          <w:tcPr>
            <w:tcW w:w="7869" w:type="dxa"/>
            <w:tcBorders>
              <w:top w:val="single" w:color="auto" w:sz="4" w:space="0"/>
              <w:left w:val="single" w:color="auto" w:sz="4" w:space="0"/>
              <w:bottom w:val="single" w:color="auto" w:sz="4" w:space="0"/>
            </w:tcBorders>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本项目磋商轮次：本项目不事先确定磋商轮次，磋商小组根据磋商情况现场确定，并在最后一轮磋商前告知供应商。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15.2</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磋商文件可以修改变动的内容：</w:t>
            </w:r>
            <w:r>
              <w:rPr>
                <w:rFonts w:hint="eastAsia" w:asciiTheme="minorEastAsia" w:hAnsiTheme="minorEastAsia" w:eastAsiaTheme="minorEastAsia" w:cstheme="minorEastAsia"/>
                <w:color w:val="auto"/>
                <w:sz w:val="24"/>
                <w:szCs w:val="24"/>
                <w:highlight w:val="none"/>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20.1</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磋商小组推荐成交候选人数量：3名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167" w:type="dxa"/>
            <w:tcBorders>
              <w:top w:val="single" w:color="auto" w:sz="4" w:space="0"/>
              <w:bottom w:val="single" w:color="auto" w:sz="4" w:space="0"/>
              <w:right w:val="single" w:color="auto" w:sz="4" w:space="0"/>
            </w:tcBorders>
            <w:vAlign w:val="center"/>
          </w:tcPr>
          <w:p>
            <w:pPr>
              <w:pStyle w:val="32"/>
              <w:spacing w:line="440" w:lineRule="exact"/>
              <w:ind w:left="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23.1</w:t>
            </w:r>
          </w:p>
        </w:tc>
        <w:tc>
          <w:tcPr>
            <w:tcW w:w="7869" w:type="dxa"/>
            <w:tcBorders>
              <w:top w:val="single" w:color="auto" w:sz="4" w:space="0"/>
              <w:left w:val="single" w:color="auto" w:sz="4" w:space="0"/>
              <w:bottom w:val="single" w:color="auto" w:sz="4" w:space="0"/>
            </w:tcBorders>
            <w:vAlign w:val="center"/>
          </w:tcPr>
          <w:p>
            <w:pPr>
              <w:pStyle w:val="32"/>
              <w:spacing w:line="440" w:lineRule="exact"/>
              <w:ind w:left="35"/>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交履约保证金的时间：</w:t>
            </w:r>
            <w:r>
              <w:rPr>
                <w:rFonts w:hint="eastAsia" w:asciiTheme="minorEastAsia" w:hAnsiTheme="minorEastAsia" w:eastAsiaTheme="minorEastAsia" w:cstheme="minorEastAsia"/>
                <w:color w:val="auto"/>
                <w:sz w:val="24"/>
                <w:szCs w:val="24"/>
                <w:highlight w:val="none"/>
                <w:lang w:val="en-US" w:eastAsia="zh-CN"/>
              </w:rPr>
              <w:t>领取中标通知书后10日内</w:t>
            </w:r>
          </w:p>
          <w:p>
            <w:pPr>
              <w:pStyle w:val="32"/>
              <w:spacing w:line="440" w:lineRule="exact"/>
              <w:ind w:left="35"/>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履约保证金金额：</w:t>
            </w:r>
            <w:r>
              <w:rPr>
                <w:rFonts w:hint="eastAsia" w:asciiTheme="minorEastAsia" w:hAnsiTheme="minorEastAsia" w:eastAsiaTheme="minorEastAsia" w:cstheme="minorEastAsia"/>
                <w:color w:val="auto"/>
                <w:sz w:val="24"/>
                <w:szCs w:val="24"/>
                <w:highlight w:val="none"/>
                <w:lang w:val="en-US" w:eastAsia="zh-CN"/>
              </w:rPr>
              <w:t>合同价10%</w:t>
            </w:r>
          </w:p>
          <w:p>
            <w:pPr>
              <w:pStyle w:val="32"/>
              <w:spacing w:line="440" w:lineRule="exact"/>
              <w:ind w:left="35"/>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履约保证金形式：</w:t>
            </w:r>
            <w:r>
              <w:rPr>
                <w:rFonts w:hint="eastAsia" w:asciiTheme="minorEastAsia" w:hAnsiTheme="minorEastAsia" w:eastAsiaTheme="minorEastAsia" w:cstheme="minorEastAsia"/>
                <w:color w:val="auto"/>
                <w:sz w:val="24"/>
                <w:szCs w:val="24"/>
                <w:highlight w:val="none"/>
                <w:lang w:val="en-US" w:eastAsia="zh-CN"/>
              </w:rPr>
              <w:t>甲方指定形式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167" w:type="dxa"/>
            <w:tcBorders>
              <w:top w:val="single" w:color="auto" w:sz="4" w:space="0"/>
              <w:bottom w:val="single" w:color="auto" w:sz="4" w:space="0"/>
              <w:right w:val="single" w:color="auto" w:sz="4" w:space="0"/>
            </w:tcBorders>
            <w:vAlign w:val="center"/>
          </w:tcPr>
          <w:p>
            <w:pPr>
              <w:pStyle w:val="32"/>
              <w:spacing w:line="440" w:lineRule="exact"/>
              <w:ind w:left="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26.1</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是否由成交人缴纳招标代理费：</w:t>
            </w:r>
            <w:r>
              <w:rPr>
                <w:rFonts w:hint="eastAsia" w:asciiTheme="minorEastAsia" w:hAnsiTheme="minorEastAsia" w:eastAsiaTheme="minorEastAsia" w:cstheme="minorEastAsia"/>
                <w:color w:val="auto"/>
                <w:sz w:val="24"/>
                <w:szCs w:val="24"/>
                <w:highlight w:val="none"/>
                <w:u w:val="single"/>
                <w:lang w:val="en-US"/>
              </w:rPr>
              <w:t>是</w:t>
            </w:r>
          </w:p>
          <w:p>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采购代理费：招标代理服务费的计算执行“国家计委关于印发《招标代理服务收费管理暂行办法》的通知”（计价格[2002]1980号）和“国家发展改革委办公厅关于招标代理服务收费有关问题的通知”（ 发改价格[2011]534号）文件规定收取（招标代理费不足3000元，按3000元收取），由中标单位在领取中标通知书前一次性支付。无论招标结果如何，招标代理工作完成后，招标代理费概不退还。</w:t>
            </w:r>
          </w:p>
          <w:p>
            <w:pPr>
              <w:pStyle w:val="50"/>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支付形式：转账、电汇等形式</w:t>
            </w:r>
          </w:p>
          <w:p>
            <w:pPr>
              <w:pStyle w:val="50"/>
              <w:spacing w:line="240" w:lineRule="auto"/>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账户信息户名:新疆建投项目管理咨询有限公司</w:t>
            </w:r>
          </w:p>
          <w:p>
            <w:pPr>
              <w:pStyle w:val="50"/>
              <w:spacing w:line="240" w:lineRule="auto"/>
              <w:rPr>
                <w:rFonts w:hint="eastAsia" w:ascii="宋体" w:hAnsi="宋体" w:eastAsia="宋体" w:cs="宋体"/>
                <w:color w:val="auto"/>
                <w:spacing w:val="0"/>
                <w:kern w:val="2"/>
                <w:sz w:val="24"/>
                <w:szCs w:val="24"/>
                <w:highlight w:val="none"/>
                <w:lang w:eastAsia="zh-CN"/>
              </w:rPr>
            </w:pPr>
            <w:r>
              <w:rPr>
                <w:rFonts w:hint="eastAsia" w:ascii="宋体" w:hAnsi="宋体" w:eastAsia="宋体" w:cs="宋体"/>
                <w:color w:val="auto"/>
                <w:spacing w:val="0"/>
                <w:kern w:val="2"/>
                <w:sz w:val="24"/>
                <w:szCs w:val="24"/>
                <w:highlight w:val="none"/>
              </w:rPr>
              <w:t>账号: 11562000000071773</w:t>
            </w:r>
            <w:r>
              <w:rPr>
                <w:rFonts w:hint="eastAsia" w:ascii="宋体" w:hAnsi="宋体" w:cs="宋体"/>
                <w:color w:val="auto"/>
                <w:spacing w:val="0"/>
                <w:kern w:val="2"/>
                <w:sz w:val="24"/>
                <w:szCs w:val="24"/>
                <w:highlight w:val="none"/>
                <w:lang w:eastAsia="zh-CN"/>
              </w:rPr>
              <w:t>（</w:t>
            </w:r>
            <w:r>
              <w:rPr>
                <w:rFonts w:hint="eastAsia" w:ascii="宋体" w:hAnsi="宋体" w:cs="宋体"/>
                <w:color w:val="auto"/>
                <w:spacing w:val="0"/>
                <w:kern w:val="2"/>
                <w:sz w:val="24"/>
                <w:szCs w:val="24"/>
                <w:highlight w:val="none"/>
                <w:lang w:val="en-US" w:eastAsia="zh-CN"/>
              </w:rPr>
              <w:t>注：代理费专用账号，保证金不可打入</w:t>
            </w:r>
            <w:r>
              <w:rPr>
                <w:rFonts w:hint="eastAsia" w:ascii="宋体" w:hAnsi="宋体" w:cs="宋体"/>
                <w:color w:val="auto"/>
                <w:spacing w:val="0"/>
                <w:kern w:val="2"/>
                <w:sz w:val="24"/>
                <w:szCs w:val="24"/>
                <w:highlight w:val="none"/>
                <w:lang w:eastAsia="zh-CN"/>
              </w:rPr>
              <w:t>）</w:t>
            </w:r>
          </w:p>
          <w:p>
            <w:pPr>
              <w:pStyle w:val="50"/>
              <w:spacing w:line="240" w:lineRule="auto"/>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银行:华夏银行乌鲁木齐经济技术开发区支行</w:t>
            </w:r>
          </w:p>
          <w:p>
            <w:pPr>
              <w:widowControl/>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宋体" w:hAnsi="宋体" w:eastAsia="宋体" w:cs="宋体"/>
                <w:color w:val="auto"/>
                <w:spacing w:val="0"/>
                <w:kern w:val="2"/>
                <w:sz w:val="24"/>
                <w:szCs w:val="24"/>
                <w:highlight w:val="none"/>
              </w:rPr>
              <w:t>行号: 304881038836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pPr>
              <w:pStyle w:val="32"/>
              <w:spacing w:line="440" w:lineRule="exact"/>
              <w:ind w:left="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本项目实行网上投标，采用电子投标文件。若供应商参与投标，自行承担投标一切费用。</w:t>
            </w:r>
          </w:p>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各供应商应在开标前确保成为新疆维吾尔自治区政府采购网正式注册入库供应商，并完成CA数字证书申领。因未注册入库、未办理CA数字证书等原因造成无法投标或投标失败等后果由供应商自行承担。</w:t>
            </w:r>
          </w:p>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pPr>
              <w:pStyle w:val="32"/>
              <w:spacing w:line="440" w:lineRule="exact"/>
              <w:ind w:left="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val="en-US"/>
              </w:rPr>
              <w:t>代理机构现场请示项目主管部门处理。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036" w:type="dxa"/>
            <w:gridSpan w:val="2"/>
            <w:tcBorders>
              <w:top w:val="single" w:color="auto" w:sz="4" w:space="0"/>
            </w:tcBorders>
          </w:tcPr>
          <w:p>
            <w:pPr>
              <w:pStyle w:val="32"/>
              <w:spacing w:line="440" w:lineRule="exact"/>
              <w:ind w:left="35"/>
              <w:jc w:val="both"/>
              <w:rPr>
                <w:rFonts w:hint="eastAsia"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lang w:val="en-US"/>
              </w:rPr>
              <w:t>备注：</w:t>
            </w:r>
          </w:p>
          <w:p>
            <w:pPr>
              <w:pStyle w:val="32"/>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1.报价构成：包含完成本项目采购需求所需要的全部费用，包括但不限于各项服务以及其他有关费用等。</w:t>
            </w:r>
          </w:p>
          <w:p>
            <w:pPr>
              <w:pStyle w:val="32"/>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.工程项目：最终报价除不可竞争费用外，其他相关费用按照最终报价，由</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自行调整，但最终报价与最终工程量清单计算结果须保持一致。</w:t>
            </w:r>
          </w:p>
          <w:p>
            <w:pPr>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工期：</w:t>
            </w:r>
            <w:r>
              <w:rPr>
                <w:rFonts w:hint="eastAsia" w:asciiTheme="minorEastAsia" w:hAnsiTheme="minorEastAsia" w:eastAsiaTheme="minorEastAsia" w:cstheme="minorEastAsia"/>
                <w:color w:val="auto"/>
                <w:sz w:val="24"/>
                <w:szCs w:val="24"/>
                <w:highlight w:val="none"/>
                <w:lang w:eastAsia="zh-CN"/>
              </w:rPr>
              <w:t>签订合同之日起至2023年</w:t>
            </w:r>
            <w:r>
              <w:rPr>
                <w:rFonts w:hint="eastAsia" w:asciiTheme="minorEastAsia" w:hAnsiTheme="minorEastAsia" w:eastAsiaTheme="minorEastAsia" w:cstheme="minorEastAsia"/>
                <w:color w:val="auto"/>
                <w:sz w:val="24"/>
                <w:szCs w:val="24"/>
                <w:highlight w:val="none"/>
                <w:lang w:val="en-US" w:eastAsia="zh-CN"/>
              </w:rPr>
              <w:t>10月</w:t>
            </w:r>
            <w:r>
              <w:rPr>
                <w:rFonts w:hint="eastAsia" w:asciiTheme="minorEastAsia" w:hAnsiTheme="minorEastAsia" w:eastAsiaTheme="minorEastAsia" w:cstheme="minorEastAsia"/>
                <w:color w:val="auto"/>
                <w:sz w:val="24"/>
                <w:szCs w:val="24"/>
                <w:highlight w:val="none"/>
                <w:lang w:eastAsia="zh-CN"/>
              </w:rPr>
              <w:t>31日竣工完成。</w:t>
            </w:r>
          </w:p>
        </w:tc>
      </w:tr>
    </w:tbl>
    <w:p>
      <w:pPr>
        <w:pStyle w:val="30"/>
        <w:rPr>
          <w:rFonts w:hint="eastAsia" w:asciiTheme="minorEastAsia" w:hAnsiTheme="minorEastAsia" w:eastAsiaTheme="minorEastAsia" w:cstheme="minorEastAsia"/>
          <w:lang w:bidi="zh-CN"/>
        </w:rPr>
      </w:pPr>
    </w:p>
    <w:p>
      <w:pPr>
        <w:pStyle w:val="30"/>
        <w:rPr>
          <w:rFonts w:hint="eastAsia" w:asciiTheme="minorEastAsia" w:hAnsiTheme="minorEastAsia" w:eastAsiaTheme="minorEastAsia" w:cstheme="minorEastAsia"/>
          <w:lang w:bidi="zh-CN"/>
        </w:rPr>
      </w:pPr>
    </w:p>
    <w:p>
      <w:pPr>
        <w:pStyle w:val="6"/>
        <w:keepNext w:val="0"/>
        <w:keepLines w:val="0"/>
        <w:pageBreakBefore/>
        <w:widowControl w:val="0"/>
        <w:tabs>
          <w:tab w:val="left" w:pos="561"/>
        </w:tabs>
        <w:kinsoku/>
        <w:wordWrap/>
        <w:overflowPunct/>
        <w:topLinePunct w:val="0"/>
        <w:autoSpaceDE w:val="0"/>
        <w:autoSpaceDN w:val="0"/>
        <w:bidi w:val="0"/>
        <w:adjustRightInd/>
        <w:snapToGrid/>
        <w:spacing w:before="223"/>
        <w:ind w:right="669" w:rightChars="304"/>
        <w:jc w:val="both"/>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rPr>
        <w:t>正文</w:t>
      </w:r>
    </w:p>
    <w:p>
      <w:pPr>
        <w:pStyle w:val="6"/>
        <w:tabs>
          <w:tab w:val="left" w:pos="561"/>
        </w:tabs>
        <w:spacing w:before="223" w:line="440" w:lineRule="exact"/>
        <w:ind w:right="669" w:rightChars="3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总</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则</w:t>
      </w:r>
    </w:p>
    <w:p>
      <w:pPr>
        <w:pStyle w:val="30"/>
        <w:rPr>
          <w:rFonts w:hint="eastAsia" w:asciiTheme="minorEastAsia" w:hAnsiTheme="minorEastAsia" w:eastAsiaTheme="minorEastAsia" w:cstheme="minorEastAsia"/>
          <w:bCs w:val="0"/>
          <w:spacing w:val="0"/>
          <w:sz w:val="24"/>
          <w:szCs w:val="24"/>
          <w:lang w:bidi="zh-CN"/>
        </w:rPr>
      </w:pPr>
    </w:p>
    <w:p>
      <w:pPr>
        <w:pStyle w:val="8"/>
        <w:tabs>
          <w:tab w:val="left" w:pos="724"/>
        </w:tabs>
        <w:spacing w:line="360" w:lineRule="auto"/>
        <w:ind w:left="0" w:leftChars="0" w:right="0" w:righ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rPr>
        <w:t>1.   采购人、采购代理机构及供应商</w:t>
      </w:r>
    </w:p>
    <w:p>
      <w:pPr>
        <w:pStyle w:val="33"/>
        <w:tabs>
          <w:tab w:val="left" w:pos="841"/>
        </w:tabs>
        <w:spacing w:line="36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1.1  </w:t>
      </w:r>
      <w:r>
        <w:rPr>
          <w:rFonts w:hint="eastAsia" w:asciiTheme="minorEastAsia" w:hAnsiTheme="minorEastAsia" w:eastAsiaTheme="minorEastAsia" w:cstheme="minorEastAsia"/>
          <w:sz w:val="24"/>
          <w:szCs w:val="24"/>
        </w:rPr>
        <w:t>采购人名称、地址及联系方式：见</w:t>
      </w:r>
      <w:r>
        <w:rPr>
          <w:rFonts w:hint="eastAsia" w:asciiTheme="minorEastAsia" w:hAnsiTheme="minorEastAsia" w:eastAsiaTheme="minorEastAsia" w:cstheme="minorEastAsia"/>
          <w:sz w:val="24"/>
          <w:szCs w:val="24"/>
          <w:u w:val="single"/>
          <w:lang w:val="en-US"/>
        </w:rPr>
        <w:t>供应商须知前附表</w:t>
      </w:r>
      <w:r>
        <w:rPr>
          <w:rFonts w:hint="eastAsia" w:asciiTheme="minorEastAsia" w:hAnsiTheme="minorEastAsia" w:eastAsiaTheme="minorEastAsia" w:cstheme="minorEastAsia"/>
          <w:sz w:val="24"/>
          <w:szCs w:val="24"/>
        </w:rPr>
        <w:t>。</w:t>
      </w:r>
    </w:p>
    <w:p>
      <w:pPr>
        <w:pStyle w:val="33"/>
        <w:tabs>
          <w:tab w:val="left" w:pos="781"/>
        </w:tabs>
        <w:spacing w:line="36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1.2  </w:t>
      </w:r>
      <w:r>
        <w:rPr>
          <w:rFonts w:hint="eastAsia" w:asciiTheme="minorEastAsia" w:hAnsiTheme="minorEastAsia" w:eastAsiaTheme="minorEastAsia" w:cstheme="minorEastAsia"/>
          <w:sz w:val="24"/>
          <w:szCs w:val="24"/>
        </w:rPr>
        <w:t>采购代理机构名称、地址及联系方式：见</w:t>
      </w:r>
      <w:r>
        <w:rPr>
          <w:rFonts w:hint="eastAsia" w:asciiTheme="minorEastAsia" w:hAnsiTheme="minorEastAsia" w:eastAsiaTheme="minorEastAsia" w:cstheme="minorEastAsia"/>
          <w:sz w:val="24"/>
          <w:szCs w:val="24"/>
          <w:u w:val="single"/>
          <w:lang w:val="en-US"/>
        </w:rPr>
        <w:t>供应商须知前附表</w:t>
      </w:r>
      <w:r>
        <w:rPr>
          <w:rFonts w:hint="eastAsia" w:asciiTheme="minorEastAsia" w:hAnsiTheme="minorEastAsia" w:eastAsiaTheme="minorEastAsia" w:cstheme="minorEastAsia"/>
          <w:sz w:val="24"/>
          <w:szCs w:val="24"/>
        </w:rPr>
        <w:t>。</w:t>
      </w:r>
    </w:p>
    <w:p>
      <w:pPr>
        <w:spacing w:line="360" w:lineRule="auto"/>
        <w:ind w:left="0" w:leftChars="0" w:right="0" w:rightChars="0" w:firstLine="0" w:firstLineChars="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1.3  供应商：是指响应磋商、参加磋商竞争的法人、非法人组织或者自然人。</w:t>
      </w:r>
    </w:p>
    <w:p>
      <w:pPr>
        <w:spacing w:line="360" w:lineRule="auto"/>
        <w:ind w:left="0" w:leftChars="0" w:right="0" w:rightChars="0" w:firstLine="0" w:firstLineChars="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潜在供应商：以磋商文件规定的方式获取本项目磋商文件的法人、非法人组织或者自然人。</w:t>
      </w:r>
    </w:p>
    <w:p>
      <w:pPr>
        <w:pStyle w:val="33"/>
        <w:tabs>
          <w:tab w:val="left" w:pos="781"/>
        </w:tabs>
        <w:spacing w:line="360" w:lineRule="auto"/>
        <w:ind w:left="0" w:leftChars="0" w:right="0" w:rightChars="0" w:firstLine="0" w:firstLineChars="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szCs w:val="24"/>
          <w:lang w:val="en-US"/>
        </w:rPr>
        <w:t>2.</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b/>
          <w:bCs/>
          <w:sz w:val="24"/>
        </w:rPr>
        <w:t>合格供应商资格条件</w:t>
      </w:r>
    </w:p>
    <w:p>
      <w:pPr>
        <w:pStyle w:val="33"/>
        <w:tabs>
          <w:tab w:val="left" w:pos="841"/>
        </w:tabs>
        <w:spacing w:line="360" w:lineRule="auto"/>
        <w:ind w:left="0" w:leftChars="0" w:right="0" w:righ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 xml:space="preserve">2.1  </w:t>
      </w:r>
      <w:r>
        <w:rPr>
          <w:rFonts w:hint="eastAsia" w:asciiTheme="minorEastAsia" w:hAnsiTheme="minorEastAsia" w:eastAsiaTheme="minorEastAsia" w:cstheme="minorEastAsia"/>
          <w:sz w:val="24"/>
        </w:rPr>
        <w:t>满足以下条件的供应商是合格的磋商供应商，可以参加本次竞争性磋商：</w:t>
      </w:r>
    </w:p>
    <w:p>
      <w:pPr>
        <w:pStyle w:val="33"/>
        <w:tabs>
          <w:tab w:val="left" w:pos="1040"/>
        </w:tabs>
        <w:spacing w:line="360" w:lineRule="auto"/>
        <w:ind w:left="0" w:leftChars="0" w:right="0" w:rightChars="0" w:firstLine="0" w:firstLineChars="0"/>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rPr>
        <w:t>（1）在中华人民共和国境内注册，能够独立承担民事责任，有生产或供应能力的本国供应商，包括法人、非法人组织或者自然人。</w:t>
      </w:r>
    </w:p>
    <w:p>
      <w:pPr>
        <w:pStyle w:val="54"/>
        <w:spacing w:line="360" w:lineRule="auto"/>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rPr>
        <w:t>（2）具备《中华人民共和国政府采购法》第二十二条关于供应商条件的规定，遵守国家、本项目采购人本级和上级财政部门政府采购的有关规定。</w:t>
      </w:r>
    </w:p>
    <w:p>
      <w:pPr>
        <w:pStyle w:val="54"/>
        <w:spacing w:line="360" w:lineRule="auto"/>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《中华人民共和国政府采购法》第二十二条应当具备的条件；并在响应文件中提供下列材料：</w:t>
      </w:r>
    </w:p>
    <w:p>
      <w:pPr>
        <w:pStyle w:val="54"/>
        <w:spacing w:line="360" w:lineRule="auto"/>
        <w:outlineLvl w:val="2"/>
        <w:rPr>
          <w:rFonts w:hint="eastAsia" w:ascii="宋体" w:hAnsi="宋体" w:eastAsia="宋体" w:cs="宋体"/>
          <w:b/>
          <w:bCs/>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t>①具有独立承担民事责任的能力；</w:t>
      </w:r>
    </w:p>
    <w:p>
      <w:pPr>
        <w:pStyle w:val="54"/>
        <w:spacing w:line="360" w:lineRule="auto"/>
        <w:outlineLvl w:val="2"/>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（法人或者其他组织的营业执照等证明文件，自然人的身份证明）</w:t>
      </w:r>
    </w:p>
    <w:p>
      <w:pPr>
        <w:pStyle w:val="54"/>
        <w:spacing w:line="360" w:lineRule="auto"/>
        <w:outlineLvl w:val="2"/>
        <w:rPr>
          <w:rFonts w:hint="eastAsia" w:ascii="宋体" w:hAnsi="宋体" w:eastAsia="宋体" w:cs="宋体"/>
          <w:b/>
          <w:bCs/>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t>②具有良好的商业信誉和健全的财务会计制度；</w:t>
      </w:r>
    </w:p>
    <w:p>
      <w:pPr>
        <w:pStyle w:val="54"/>
        <w:spacing w:line="360" w:lineRule="auto"/>
        <w:outlineLvl w:val="2"/>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提供</w:t>
      </w:r>
      <w:r>
        <w:rPr>
          <w:rFonts w:hint="eastAsia" w:ascii="宋体" w:hAnsi="宋体" w:eastAsia="宋体" w:cs="宋体"/>
          <w:color w:val="auto"/>
          <w:spacing w:val="0"/>
          <w:kern w:val="2"/>
          <w:sz w:val="24"/>
          <w:szCs w:val="24"/>
          <w:highlight w:val="none"/>
          <w:lang w:val="en-US" w:eastAsia="zh-CN"/>
        </w:rPr>
        <w:t>近三年任意一年财务审计报告</w:t>
      </w:r>
      <w:r>
        <w:rPr>
          <w:rFonts w:hint="eastAsia" w:ascii="宋体" w:hAnsi="宋体" w:eastAsia="宋体" w:cs="宋体"/>
          <w:color w:val="auto"/>
          <w:spacing w:val="0"/>
          <w:kern w:val="2"/>
          <w:sz w:val="24"/>
          <w:szCs w:val="24"/>
          <w:highlight w:val="none"/>
        </w:rPr>
        <w:t xml:space="preserve">或半年内任意一个月财务报表（财务报表应至少包括资产负债表、损益表、现金流量表或财务状况变动表，当月新成立公司不需提供）； </w:t>
      </w:r>
    </w:p>
    <w:p>
      <w:pPr>
        <w:pStyle w:val="54"/>
        <w:spacing w:line="360" w:lineRule="auto"/>
        <w:outlineLvl w:val="2"/>
        <w:rPr>
          <w:rFonts w:hint="eastAsia" w:ascii="宋体" w:hAnsi="宋体" w:eastAsia="宋体" w:cs="宋体"/>
          <w:b/>
          <w:bCs/>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fldChar w:fldCharType="begin"/>
      </w:r>
      <w:r>
        <w:rPr>
          <w:rFonts w:hint="eastAsia" w:ascii="宋体" w:hAnsi="宋体" w:eastAsia="宋体" w:cs="宋体"/>
          <w:b/>
          <w:bCs/>
          <w:color w:val="auto"/>
          <w:spacing w:val="0"/>
          <w:kern w:val="2"/>
          <w:sz w:val="24"/>
          <w:szCs w:val="24"/>
          <w:highlight w:val="none"/>
        </w:rPr>
        <w:instrText xml:space="preserve"> = 3 \* GB3 </w:instrText>
      </w:r>
      <w:r>
        <w:rPr>
          <w:rFonts w:hint="eastAsia" w:ascii="宋体" w:hAnsi="宋体" w:eastAsia="宋体" w:cs="宋体"/>
          <w:b/>
          <w:bCs/>
          <w:color w:val="auto"/>
          <w:spacing w:val="0"/>
          <w:kern w:val="2"/>
          <w:sz w:val="24"/>
          <w:szCs w:val="24"/>
          <w:highlight w:val="none"/>
        </w:rPr>
        <w:fldChar w:fldCharType="separate"/>
      </w:r>
      <w:r>
        <w:rPr>
          <w:rFonts w:hint="eastAsia" w:ascii="宋体" w:hAnsi="宋体" w:eastAsia="宋体" w:cs="宋体"/>
          <w:b/>
          <w:bCs/>
          <w:color w:val="auto"/>
          <w:spacing w:val="0"/>
          <w:kern w:val="2"/>
          <w:sz w:val="24"/>
          <w:szCs w:val="24"/>
          <w:highlight w:val="none"/>
        </w:rPr>
        <w:t>③</w:t>
      </w:r>
      <w:r>
        <w:rPr>
          <w:rFonts w:hint="eastAsia" w:ascii="宋体" w:hAnsi="宋体" w:eastAsia="宋体" w:cs="宋体"/>
          <w:b/>
          <w:color w:val="auto"/>
          <w:spacing w:val="0"/>
          <w:kern w:val="2"/>
          <w:sz w:val="24"/>
          <w:szCs w:val="24"/>
          <w:highlight w:val="none"/>
        </w:rPr>
        <w:fldChar w:fldCharType="end"/>
      </w:r>
      <w:r>
        <w:rPr>
          <w:rFonts w:hint="eastAsia" w:ascii="宋体" w:hAnsi="宋体" w:eastAsia="宋体" w:cs="宋体"/>
          <w:b/>
          <w:bCs/>
          <w:color w:val="auto"/>
          <w:spacing w:val="0"/>
          <w:kern w:val="2"/>
          <w:sz w:val="24"/>
          <w:szCs w:val="24"/>
          <w:highlight w:val="none"/>
        </w:rPr>
        <w:t>具有履行合同所必需的设备和专业技术能力；</w:t>
      </w:r>
    </w:p>
    <w:p>
      <w:pPr>
        <w:pStyle w:val="54"/>
        <w:spacing w:line="360" w:lineRule="auto"/>
        <w:outlineLvl w:val="2"/>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（提供具有履行合同所必需的设备和专业技术能力相关证明材料或声明；）</w:t>
      </w:r>
    </w:p>
    <w:p>
      <w:pPr>
        <w:pStyle w:val="54"/>
        <w:spacing w:line="360" w:lineRule="auto"/>
        <w:outlineLvl w:val="2"/>
        <w:rPr>
          <w:rFonts w:hint="eastAsia" w:ascii="宋体" w:hAnsi="宋体" w:eastAsia="宋体" w:cs="宋体"/>
          <w:b/>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fldChar w:fldCharType="begin"/>
      </w:r>
      <w:r>
        <w:rPr>
          <w:rFonts w:hint="eastAsia" w:ascii="宋体" w:hAnsi="宋体" w:eastAsia="宋体" w:cs="宋体"/>
          <w:b/>
          <w:bCs/>
          <w:color w:val="auto"/>
          <w:spacing w:val="0"/>
          <w:kern w:val="2"/>
          <w:sz w:val="24"/>
          <w:szCs w:val="24"/>
          <w:highlight w:val="none"/>
        </w:rPr>
        <w:instrText xml:space="preserve"> = 4 \* GB3 </w:instrText>
      </w:r>
      <w:r>
        <w:rPr>
          <w:rFonts w:hint="eastAsia" w:ascii="宋体" w:hAnsi="宋体" w:eastAsia="宋体" w:cs="宋体"/>
          <w:b/>
          <w:bCs/>
          <w:color w:val="auto"/>
          <w:spacing w:val="0"/>
          <w:kern w:val="2"/>
          <w:sz w:val="24"/>
          <w:szCs w:val="24"/>
          <w:highlight w:val="none"/>
        </w:rPr>
        <w:fldChar w:fldCharType="separate"/>
      </w:r>
      <w:r>
        <w:rPr>
          <w:rFonts w:hint="eastAsia" w:ascii="宋体" w:hAnsi="宋体" w:eastAsia="宋体" w:cs="宋体"/>
          <w:b/>
          <w:bCs/>
          <w:color w:val="auto"/>
          <w:spacing w:val="0"/>
          <w:kern w:val="2"/>
          <w:sz w:val="24"/>
          <w:szCs w:val="24"/>
          <w:highlight w:val="none"/>
        </w:rPr>
        <w:t>④</w:t>
      </w:r>
      <w:r>
        <w:rPr>
          <w:rFonts w:hint="eastAsia" w:ascii="宋体" w:hAnsi="宋体" w:eastAsia="宋体" w:cs="宋体"/>
          <w:b/>
          <w:color w:val="auto"/>
          <w:spacing w:val="0"/>
          <w:kern w:val="2"/>
          <w:sz w:val="24"/>
          <w:szCs w:val="24"/>
          <w:highlight w:val="none"/>
        </w:rPr>
        <w:fldChar w:fldCharType="end"/>
      </w:r>
      <w:r>
        <w:rPr>
          <w:rFonts w:hint="eastAsia" w:ascii="宋体" w:hAnsi="宋体" w:eastAsia="宋体" w:cs="宋体"/>
          <w:b/>
          <w:bCs/>
          <w:color w:val="auto"/>
          <w:spacing w:val="0"/>
          <w:kern w:val="2"/>
          <w:sz w:val="24"/>
          <w:szCs w:val="24"/>
          <w:highlight w:val="none"/>
        </w:rPr>
        <w:t>有依法缴纳税收和社会保障资金的良好记录；</w:t>
      </w:r>
    </w:p>
    <w:p>
      <w:pPr>
        <w:pStyle w:val="54"/>
        <w:spacing w:line="360" w:lineRule="auto"/>
        <w:outlineLvl w:val="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1）提供截止开标前近</w:t>
      </w:r>
      <w:r>
        <w:rPr>
          <w:rFonts w:hint="eastAsia" w:ascii="宋体" w:hAnsi="宋体" w:cs="宋体"/>
          <w:color w:val="auto"/>
          <w:spacing w:val="0"/>
          <w:sz w:val="24"/>
          <w:szCs w:val="24"/>
          <w:highlight w:val="none"/>
          <w:lang w:val="en-US" w:eastAsia="zh-CN"/>
        </w:rPr>
        <w:t>一</w:t>
      </w:r>
      <w:r>
        <w:rPr>
          <w:rFonts w:hint="eastAsia" w:ascii="宋体" w:hAnsi="宋体" w:eastAsia="宋体" w:cs="宋体"/>
          <w:color w:val="auto"/>
          <w:spacing w:val="0"/>
          <w:sz w:val="24"/>
          <w:szCs w:val="24"/>
          <w:highlight w:val="none"/>
        </w:rPr>
        <w:t>年内任意一个月税收缴纳完成的证明资料。</w:t>
      </w:r>
    </w:p>
    <w:p>
      <w:pPr>
        <w:pStyle w:val="54"/>
        <w:spacing w:line="360" w:lineRule="auto"/>
        <w:outlineLvl w:val="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2）提供截止开标前近</w:t>
      </w:r>
      <w:r>
        <w:rPr>
          <w:rFonts w:hint="eastAsia" w:ascii="宋体" w:hAnsi="宋体" w:cs="宋体"/>
          <w:color w:val="auto"/>
          <w:spacing w:val="0"/>
          <w:sz w:val="24"/>
          <w:szCs w:val="24"/>
          <w:highlight w:val="none"/>
          <w:lang w:val="en-US" w:eastAsia="zh-CN"/>
        </w:rPr>
        <w:t>一</w:t>
      </w:r>
      <w:r>
        <w:rPr>
          <w:rFonts w:hint="eastAsia" w:ascii="宋体" w:hAnsi="宋体" w:eastAsia="宋体" w:cs="宋体"/>
          <w:color w:val="auto"/>
          <w:spacing w:val="0"/>
          <w:sz w:val="24"/>
          <w:szCs w:val="24"/>
          <w:highlight w:val="none"/>
        </w:rPr>
        <w:t>年内任意一个月完成社保缴纳证明</w:t>
      </w:r>
    </w:p>
    <w:p>
      <w:pPr>
        <w:pStyle w:val="54"/>
        <w:spacing w:line="360" w:lineRule="auto"/>
        <w:outlineLvl w:val="2"/>
        <w:rPr>
          <w:rFonts w:hint="eastAsia" w:ascii="宋体" w:hAnsi="宋体" w:eastAsia="宋体" w:cs="宋体"/>
          <w:b/>
          <w:bCs/>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t>⑤参加政府采购活动前三年内，在经营活动中没有重大违法记录；</w:t>
      </w:r>
    </w:p>
    <w:p>
      <w:pPr>
        <w:pStyle w:val="54"/>
        <w:spacing w:line="360" w:lineRule="auto"/>
        <w:outlineLvl w:val="2"/>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（提供参加政府采购活动近三年无重大违法记录声明书；）</w:t>
      </w:r>
    </w:p>
    <w:p>
      <w:pPr>
        <w:pStyle w:val="54"/>
        <w:tabs>
          <w:tab w:val="left" w:pos="1429"/>
        </w:tabs>
        <w:spacing w:line="360" w:lineRule="auto"/>
        <w:rPr>
          <w:rFonts w:hint="eastAsia" w:ascii="宋体" w:hAnsi="宋体" w:eastAsia="宋体" w:cs="宋体"/>
          <w:b/>
          <w:color w:val="auto"/>
          <w:spacing w:val="0"/>
          <w:kern w:val="2"/>
          <w:sz w:val="24"/>
          <w:szCs w:val="24"/>
          <w:highlight w:val="none"/>
        </w:rPr>
      </w:pPr>
      <w:r>
        <w:rPr>
          <w:rFonts w:hint="eastAsia" w:ascii="宋体" w:hAnsi="宋体" w:eastAsia="宋体" w:cs="宋体"/>
          <w:b/>
          <w:color w:val="auto"/>
          <w:spacing w:val="0"/>
          <w:kern w:val="2"/>
          <w:sz w:val="24"/>
          <w:szCs w:val="24"/>
          <w:highlight w:val="none"/>
        </w:rPr>
        <w:t>⑥法律、行政法规规定的其他条件;</w:t>
      </w:r>
    </w:p>
    <w:p>
      <w:pPr>
        <w:pStyle w:val="33"/>
        <w:tabs>
          <w:tab w:val="left" w:pos="841"/>
        </w:tabs>
        <w:spacing w:line="360" w:lineRule="auto"/>
        <w:ind w:left="0" w:leftChars="0" w:right="0" w:rightChars="0" w:firstLine="0" w:firstLineChars="0"/>
        <w:rPr>
          <w:rFonts w:hint="eastAsia" w:asciiTheme="minorEastAsia" w:hAnsiTheme="minorEastAsia" w:eastAsiaTheme="minorEastAsia" w:cstheme="minorEastAsia"/>
          <w:sz w:val="24"/>
          <w:lang w:val="en-US"/>
        </w:rPr>
      </w:pPr>
      <w:r>
        <w:rPr>
          <w:rFonts w:hint="eastAsia" w:ascii="宋体" w:hAnsi="宋体" w:eastAsia="宋体" w:cs="宋体"/>
          <w:color w:val="auto"/>
          <w:spacing w:val="0"/>
          <w:sz w:val="24"/>
          <w:szCs w:val="24"/>
          <w:highlight w:val="none"/>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“信用中国”、“中国政府采购网”查询，网页截图；</w:t>
      </w:r>
    </w:p>
    <w:p>
      <w:pPr>
        <w:pStyle w:val="33"/>
        <w:tabs>
          <w:tab w:val="left" w:pos="962"/>
        </w:tabs>
        <w:spacing w:line="360" w:lineRule="auto"/>
        <w:ind w:left="0" w:leftChars="0" w:right="0" w:righ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（3）</w:t>
      </w:r>
      <w:r>
        <w:rPr>
          <w:rFonts w:hint="eastAsia" w:asciiTheme="minorEastAsia" w:hAnsiTheme="minorEastAsia" w:eastAsiaTheme="minorEastAsia" w:cstheme="minorEastAsia"/>
          <w:sz w:val="24"/>
        </w:rPr>
        <w:t>从采购代理机构</w:t>
      </w:r>
      <w:r>
        <w:rPr>
          <w:rFonts w:hint="eastAsia" w:asciiTheme="minorEastAsia" w:hAnsiTheme="minorEastAsia" w:eastAsiaTheme="minorEastAsia" w:cstheme="minorEastAsia"/>
          <w:spacing w:val="-1"/>
          <w:sz w:val="24"/>
        </w:rPr>
        <w:t>正式获得了本项目的竞争性磋商文件。</w:t>
      </w:r>
    </w:p>
    <w:p>
      <w:pPr>
        <w:pStyle w:val="33"/>
        <w:tabs>
          <w:tab w:val="left" w:pos="962"/>
        </w:tabs>
        <w:spacing w:line="360" w:lineRule="auto"/>
        <w:ind w:left="0" w:leftChars="0" w:right="0" w:righ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（4）</w:t>
      </w:r>
      <w:r>
        <w:rPr>
          <w:rFonts w:hint="eastAsia" w:asciiTheme="minorEastAsia" w:hAnsiTheme="minorEastAsia" w:eastAsiaTheme="minorEastAsia" w:cstheme="minorEastAsia"/>
          <w:sz w:val="24"/>
        </w:rPr>
        <w:t>符合</w:t>
      </w:r>
      <w:r>
        <w:rPr>
          <w:rFonts w:hint="eastAsia" w:asciiTheme="minorEastAsia" w:hAnsiTheme="minorEastAsia" w:eastAsiaTheme="minorEastAsia" w:cstheme="minorEastAsia"/>
          <w:sz w:val="24"/>
          <w:szCs w:val="24"/>
          <w:u w:val="single"/>
          <w:lang w:val="en-US"/>
        </w:rPr>
        <w:t>供应商须知前附表</w:t>
      </w:r>
      <w:r>
        <w:rPr>
          <w:rFonts w:hint="eastAsia" w:asciiTheme="minorEastAsia" w:hAnsiTheme="minorEastAsia" w:eastAsiaTheme="minorEastAsia" w:cstheme="minorEastAsia"/>
          <w:sz w:val="24"/>
        </w:rPr>
        <w:t>中规定的其他</w:t>
      </w:r>
      <w:r>
        <w:rPr>
          <w:rFonts w:hint="eastAsia" w:asciiTheme="minorEastAsia" w:hAnsiTheme="minorEastAsia" w:eastAsiaTheme="minorEastAsia" w:cstheme="minorEastAsia"/>
          <w:sz w:val="24"/>
          <w:lang w:val="en-US"/>
        </w:rPr>
        <w:t>资格</w:t>
      </w:r>
      <w:r>
        <w:rPr>
          <w:rFonts w:hint="eastAsia" w:asciiTheme="minorEastAsia" w:hAnsiTheme="minorEastAsia" w:eastAsiaTheme="minorEastAsia" w:cstheme="minorEastAsia"/>
          <w:sz w:val="24"/>
        </w:rPr>
        <w:t>要求。</w:t>
      </w:r>
    </w:p>
    <w:p>
      <w:pPr>
        <w:spacing w:line="360" w:lineRule="auto"/>
        <w:ind w:left="0" w:leftChars="0" w:right="0" w:righ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（5）</w:t>
      </w:r>
      <w:r>
        <w:rPr>
          <w:rFonts w:hint="eastAsia" w:asciiTheme="minorEastAsia" w:hAnsiTheme="minorEastAsia" w:eastAsiaTheme="minorEastAsia" w:cstheme="minorEastAsia"/>
          <w:sz w:val="24"/>
        </w:rPr>
        <w:t>若</w:t>
      </w:r>
      <w:r>
        <w:rPr>
          <w:rFonts w:hint="eastAsia" w:asciiTheme="minorEastAsia" w:hAnsiTheme="minorEastAsia" w:eastAsiaTheme="minorEastAsia" w:cstheme="minorEastAsia"/>
          <w:sz w:val="24"/>
          <w:szCs w:val="24"/>
          <w:u w:val="single"/>
          <w:lang w:val="en-US"/>
        </w:rPr>
        <w:t>供应商须知前附表</w:t>
      </w:r>
      <w:r>
        <w:rPr>
          <w:rFonts w:hint="eastAsia" w:asciiTheme="minorEastAsia" w:hAnsiTheme="minorEastAsia" w:eastAsiaTheme="minorEastAsia" w:cstheme="minorEastAsia"/>
          <w:spacing w:val="-8"/>
          <w:sz w:val="24"/>
        </w:rPr>
        <w:t>中写明专门面向中小企业采购的，如供应商为非中小企业，其</w:t>
      </w:r>
      <w:r>
        <w:rPr>
          <w:rFonts w:hint="eastAsia" w:asciiTheme="minorEastAsia" w:hAnsiTheme="minorEastAsia" w:eastAsiaTheme="minorEastAsia" w:cstheme="minorEastAsia"/>
          <w:b/>
          <w:sz w:val="24"/>
        </w:rPr>
        <w:t>响应文件无效</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z w:val="24"/>
          <w:szCs w:val="24"/>
          <w:lang w:val="en-US"/>
        </w:rPr>
        <w:t>（6）响应</w:t>
      </w:r>
      <w:r>
        <w:rPr>
          <w:rFonts w:hint="eastAsia" w:asciiTheme="minorEastAsia" w:hAnsiTheme="minorEastAsia" w:eastAsiaTheme="minorEastAsia" w:cstheme="minorEastAsia"/>
          <w:spacing w:val="-5"/>
          <w:sz w:val="24"/>
          <w:szCs w:val="24"/>
          <w:lang w:val="en-US"/>
        </w:rPr>
        <w:t>标的所属行业见</w:t>
      </w:r>
      <w:r>
        <w:rPr>
          <w:rFonts w:hint="eastAsia" w:asciiTheme="minorEastAsia" w:hAnsiTheme="minorEastAsia" w:eastAsiaTheme="minorEastAsia" w:cstheme="minorEastAsia"/>
          <w:sz w:val="24"/>
          <w:szCs w:val="24"/>
          <w:u w:val="single"/>
          <w:lang w:val="en-US"/>
        </w:rPr>
        <w:t>供应商须知前附表</w:t>
      </w:r>
      <w:r>
        <w:rPr>
          <w:rFonts w:hint="eastAsia" w:asciiTheme="minorEastAsia" w:hAnsiTheme="minorEastAsia" w:eastAsiaTheme="minorEastAsia" w:cstheme="minorEastAsia"/>
          <w:spacing w:val="-5"/>
          <w:sz w:val="24"/>
          <w:szCs w:val="24"/>
          <w:lang w:val="en-US"/>
        </w:rPr>
        <w:t>。</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（7）本项目是否面向中小企业采购预留份额、措施及比例见</w:t>
      </w:r>
      <w:r>
        <w:rPr>
          <w:rFonts w:hint="eastAsia" w:asciiTheme="minorEastAsia" w:hAnsiTheme="minorEastAsia" w:eastAsiaTheme="minorEastAsia" w:cstheme="minorEastAsia"/>
          <w:sz w:val="24"/>
          <w:szCs w:val="24"/>
          <w:u w:val="single"/>
          <w:lang w:val="en-US"/>
        </w:rPr>
        <w:t>供应商须知前附表</w:t>
      </w:r>
      <w:r>
        <w:rPr>
          <w:rFonts w:hint="eastAsia" w:asciiTheme="minorEastAsia" w:hAnsiTheme="minorEastAsia" w:eastAsiaTheme="minorEastAsia" w:cstheme="minorEastAsia"/>
          <w:spacing w:val="-5"/>
          <w:sz w:val="24"/>
          <w:szCs w:val="24"/>
          <w:lang w:val="en-US"/>
        </w:rPr>
        <w:t>，未达到上述比例的投标将被认定为</w:t>
      </w:r>
      <w:r>
        <w:rPr>
          <w:rFonts w:hint="eastAsia" w:asciiTheme="minorEastAsia" w:hAnsiTheme="minorEastAsia" w:eastAsiaTheme="minorEastAsia" w:cstheme="minorEastAsia"/>
          <w:b/>
          <w:sz w:val="24"/>
        </w:rPr>
        <w:t>响应文件无效</w:t>
      </w:r>
      <w:r>
        <w:rPr>
          <w:rFonts w:hint="eastAsia" w:asciiTheme="minorEastAsia" w:hAnsiTheme="minorEastAsia" w:eastAsiaTheme="minorEastAsia" w:cstheme="minorEastAsia"/>
          <w:spacing w:val="-5"/>
          <w:sz w:val="24"/>
          <w:szCs w:val="24"/>
          <w:lang w:val="en-US"/>
        </w:rPr>
        <w:t>。承接企业如为监狱企业或残疾人福利性单位的，视同为小型、微型企业。</w:t>
      </w:r>
    </w:p>
    <w:p>
      <w:pPr>
        <w:spacing w:line="360" w:lineRule="auto"/>
        <w:ind w:right="0" w:right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2.2   如</w:t>
      </w:r>
      <w:r>
        <w:rPr>
          <w:rFonts w:hint="eastAsia" w:asciiTheme="minorEastAsia" w:hAnsiTheme="minorEastAsia" w:eastAsiaTheme="minorEastAsia" w:cstheme="minorEastAsia"/>
          <w:spacing w:val="-5"/>
          <w:sz w:val="24"/>
          <w:szCs w:val="24"/>
          <w:u w:val="single"/>
          <w:lang w:val="en-US"/>
        </w:rPr>
        <w:t>供应商须知前附表</w:t>
      </w:r>
      <w:r>
        <w:rPr>
          <w:rFonts w:hint="eastAsia" w:asciiTheme="minorEastAsia" w:hAnsiTheme="minorEastAsia" w:eastAsiaTheme="minorEastAsia" w:cstheme="minorEastAsia"/>
          <w:spacing w:val="-5"/>
          <w:sz w:val="24"/>
          <w:szCs w:val="24"/>
          <w:lang w:val="en-US"/>
        </w:rPr>
        <w:t xml:space="preserve">中允许联合体参加磋商，对联合体规定如下： </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（1）两个以上供应商可以组成一个联合体，以一个供应商的身份磋商。</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（2）联合体各方均应符合《中华人民共和国政府采购法》第二十二条规定的条件。</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（3）采购人根据采购项目对供应商的特殊要求，联合体中至少应当有一方符合其规定。</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（4）联合体各方应签订联合体协议，明确约定联合体各方承担的工作和相应的责任，并将联合体协议连同响应文件一并提交。</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（5）大中型企业和其他自然人、法人或者其他组织与小型、微型企业组成联合体共同参加磋商，联合体协议中应写明小型、微型企业的协议合同金额占到联合体协议合同总金额的比例。</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（6）联合体各方签订联合体协议后，不得再以自己名义单独在同一项目的同一分包（或标段）中磋商，也不得组成新的联合体参加同一项目的同一分包（或标段）磋商。</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（7）联合体各方在同一磋商项目的同一分包（或标段）中以自己名义单独磋商或者参加其他联合体磋商的，相关磋商</w:t>
      </w:r>
      <w:r>
        <w:rPr>
          <w:rFonts w:hint="eastAsia" w:asciiTheme="minorEastAsia" w:hAnsiTheme="minorEastAsia" w:eastAsiaTheme="minorEastAsia" w:cstheme="minorEastAsia"/>
          <w:b/>
          <w:bCs/>
          <w:spacing w:val="-5"/>
          <w:sz w:val="24"/>
          <w:szCs w:val="24"/>
          <w:lang w:val="en-US"/>
        </w:rPr>
        <w:t>响应文件均无效</w:t>
      </w:r>
      <w:r>
        <w:rPr>
          <w:rFonts w:hint="eastAsia" w:asciiTheme="minorEastAsia" w:hAnsiTheme="minorEastAsia" w:eastAsiaTheme="minorEastAsia" w:cstheme="minorEastAsia"/>
          <w:spacing w:val="-5"/>
          <w:sz w:val="24"/>
          <w:szCs w:val="24"/>
          <w:lang w:val="en-US"/>
        </w:rPr>
        <w:t>。</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（8）对联合体的其他资格要求</w:t>
      </w:r>
      <w:r>
        <w:rPr>
          <w:rFonts w:hint="eastAsia" w:asciiTheme="minorEastAsia" w:hAnsiTheme="minorEastAsia" w:eastAsiaTheme="minorEastAsia" w:cstheme="minorEastAsia"/>
          <w:spacing w:val="-5"/>
          <w:sz w:val="24"/>
          <w:szCs w:val="24"/>
          <w:u w:val="single"/>
          <w:lang w:val="en-US"/>
        </w:rPr>
        <w:t>供应商须知前附表</w:t>
      </w:r>
      <w:r>
        <w:rPr>
          <w:rFonts w:hint="eastAsia" w:asciiTheme="minorEastAsia" w:hAnsiTheme="minorEastAsia" w:eastAsiaTheme="minorEastAsia" w:cstheme="minorEastAsia"/>
          <w:spacing w:val="-5"/>
          <w:sz w:val="24"/>
          <w:szCs w:val="24"/>
          <w:lang w:val="en-US"/>
        </w:rPr>
        <w:t>。</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（9）联合体中有同类资质的供应商按照联合体分工承担相同工作的，按照资质等级较低的供应商确定资质等级。</w:t>
      </w:r>
    </w:p>
    <w:p>
      <w:pPr>
        <w:spacing w:line="360" w:lineRule="auto"/>
        <w:ind w:left="0" w:right="0" w:right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2.3  单位负责人为同一人或者存在直接控股、管理关系的不同供应商，其</w:t>
      </w:r>
      <w:r>
        <w:rPr>
          <w:rFonts w:hint="eastAsia" w:asciiTheme="minorEastAsia" w:hAnsiTheme="minorEastAsia" w:eastAsiaTheme="minorEastAsia" w:cstheme="minorEastAsia"/>
          <w:b/>
          <w:bCs/>
          <w:spacing w:val="-5"/>
          <w:sz w:val="24"/>
          <w:szCs w:val="24"/>
          <w:lang w:val="en-US"/>
        </w:rPr>
        <w:t>响应文件无效</w:t>
      </w:r>
      <w:r>
        <w:rPr>
          <w:rFonts w:hint="eastAsia" w:asciiTheme="minorEastAsia" w:hAnsiTheme="minorEastAsia" w:eastAsiaTheme="minorEastAsia" w:cstheme="minorEastAsia"/>
          <w:spacing w:val="-5"/>
          <w:sz w:val="24"/>
          <w:szCs w:val="24"/>
          <w:lang w:val="en-US"/>
        </w:rPr>
        <w:t>。</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2.4  为本项目提供整体设计、规范编制或者项目管理、监理、检测等服务的供应商，其</w:t>
      </w:r>
      <w:r>
        <w:rPr>
          <w:rFonts w:hint="eastAsia" w:asciiTheme="minorEastAsia" w:hAnsiTheme="minorEastAsia" w:eastAsiaTheme="minorEastAsia" w:cstheme="minorEastAsia"/>
          <w:b/>
          <w:bCs/>
          <w:spacing w:val="-5"/>
          <w:sz w:val="24"/>
          <w:szCs w:val="24"/>
          <w:lang w:val="en-US"/>
        </w:rPr>
        <w:t>响应文件无效</w:t>
      </w:r>
      <w:r>
        <w:rPr>
          <w:rFonts w:hint="eastAsia" w:asciiTheme="minorEastAsia" w:hAnsiTheme="minorEastAsia" w:eastAsiaTheme="minorEastAsia" w:cstheme="minorEastAsia"/>
          <w:spacing w:val="-5"/>
          <w:sz w:val="24"/>
          <w:szCs w:val="24"/>
          <w:lang w:val="en-US"/>
        </w:rPr>
        <w:t>。</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2.5  供应商在响应过程中不得向采购人提供、给予任何有价值的物品，影响其正常决策行为。一经发现，其</w:t>
      </w:r>
      <w:r>
        <w:rPr>
          <w:rFonts w:hint="eastAsia" w:asciiTheme="minorEastAsia" w:hAnsiTheme="minorEastAsia" w:eastAsiaTheme="minorEastAsia" w:cstheme="minorEastAsia"/>
          <w:b/>
          <w:bCs/>
          <w:spacing w:val="-5"/>
          <w:sz w:val="24"/>
          <w:szCs w:val="24"/>
          <w:lang w:val="en-US"/>
        </w:rPr>
        <w:t>响应文件无效</w:t>
      </w:r>
      <w:r>
        <w:rPr>
          <w:rFonts w:hint="eastAsia" w:asciiTheme="minorEastAsia" w:hAnsiTheme="minorEastAsia" w:eastAsiaTheme="minorEastAsia" w:cstheme="minorEastAsia"/>
          <w:spacing w:val="-5"/>
          <w:sz w:val="24"/>
          <w:szCs w:val="24"/>
          <w:lang w:val="en-US"/>
        </w:rPr>
        <w:t>。</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2.6  采购人在任何时候发现供应商有下列情形之一时，有权依法追究供应商的责任并取消其成交资格。如果采购合同已经履行的，给采购人、其他供应商造成损失的，由责任人承担赔偿责任：</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（1）提供虚假的资料。</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（2）与其他供应商恶意串通。</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（3）向采购人、采购代理机构或评审专家行贿或提供其他不正当利益。</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（4）成交后不按照磋商文件和其响应文件与采购人订立合同。</w:t>
      </w:r>
    </w:p>
    <w:p>
      <w:pPr>
        <w:spacing w:line="360" w:lineRule="auto"/>
        <w:ind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（5）法律、法规规定的其他情形。</w:t>
      </w:r>
    </w:p>
    <w:p>
      <w:pPr>
        <w:spacing w:line="360" w:lineRule="auto"/>
        <w:ind w:left="0" w:leftChars="0" w:right="0" w:rightChars="0" w:firstLine="0" w:firstLineChars="0"/>
        <w:rPr>
          <w:rFonts w:hint="eastAsia" w:asciiTheme="minorEastAsia" w:hAnsiTheme="minorEastAsia" w:eastAsiaTheme="minorEastAsia" w:cstheme="minorEastAsia"/>
          <w:b/>
          <w:bCs/>
          <w:spacing w:val="-5"/>
          <w:sz w:val="24"/>
          <w:szCs w:val="24"/>
          <w:lang w:val="en-US"/>
        </w:rPr>
      </w:pPr>
      <w:r>
        <w:rPr>
          <w:rFonts w:hint="eastAsia" w:asciiTheme="minorEastAsia" w:hAnsiTheme="minorEastAsia" w:eastAsiaTheme="minorEastAsia" w:cstheme="minorEastAsia"/>
          <w:b/>
          <w:bCs/>
          <w:spacing w:val="-5"/>
          <w:sz w:val="24"/>
          <w:szCs w:val="24"/>
          <w:lang w:val="en-US"/>
        </w:rPr>
        <w:t>3．  适用法律和磋商费用</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3.1  采购人、采购代理机构、供应商、磋商小组的相关行为均受《中华人民共和国政府采购法》、《中华人民共和国政府采购法实施条例》、本项目采购人本级和上级财政部门政府采购有关规定的约束，其权利受到上述法律法规的保护。</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3.2  供应商应承担自身所有与磋商活动有关的费用，不论磋商的结果如何，在任何情况下磋商组织者均无义务和责任承担这些费用。</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3.3  供应商可对磋商文件其中一包或几包进行响应，除非在</w:t>
      </w:r>
      <w:r>
        <w:rPr>
          <w:rFonts w:hint="eastAsia" w:asciiTheme="minorEastAsia" w:hAnsiTheme="minorEastAsia" w:eastAsiaTheme="minorEastAsia" w:cstheme="minorEastAsia"/>
          <w:spacing w:val="-5"/>
          <w:sz w:val="24"/>
          <w:szCs w:val="24"/>
          <w:u w:val="single"/>
          <w:lang w:val="en-US"/>
        </w:rPr>
        <w:t>供应商须知前附表</w:t>
      </w:r>
      <w:r>
        <w:rPr>
          <w:rFonts w:hint="eastAsia" w:asciiTheme="minorEastAsia" w:hAnsiTheme="minorEastAsia" w:eastAsiaTheme="minorEastAsia" w:cstheme="minorEastAsia"/>
          <w:spacing w:val="-5"/>
          <w:sz w:val="24"/>
          <w:szCs w:val="24"/>
          <w:lang w:val="en-US"/>
        </w:rPr>
        <w:t>中另有规定。供应商应对所响应分包磋商文件中所列的所有采购内容进行响应，如仅响应一包中的部分采购内容，其</w:t>
      </w:r>
      <w:r>
        <w:rPr>
          <w:rFonts w:hint="eastAsia" w:asciiTheme="minorEastAsia" w:hAnsiTheme="minorEastAsia" w:eastAsiaTheme="minorEastAsia" w:cstheme="minorEastAsia"/>
          <w:b/>
          <w:bCs/>
          <w:spacing w:val="-5"/>
          <w:sz w:val="24"/>
          <w:szCs w:val="24"/>
          <w:lang w:val="en-US"/>
        </w:rPr>
        <w:t>响应文件无效</w:t>
      </w:r>
      <w:r>
        <w:rPr>
          <w:rFonts w:hint="eastAsia" w:asciiTheme="minorEastAsia" w:hAnsiTheme="minorEastAsia" w:eastAsiaTheme="minorEastAsia" w:cstheme="minorEastAsia"/>
          <w:spacing w:val="-5"/>
          <w:sz w:val="24"/>
          <w:szCs w:val="24"/>
          <w:lang w:val="en-US"/>
        </w:rPr>
        <w:t>。</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3.4  无论磋商文件</w:t>
      </w:r>
      <w:r>
        <w:rPr>
          <w:rFonts w:hint="eastAsia" w:asciiTheme="minorEastAsia" w:hAnsiTheme="minorEastAsia" w:eastAsiaTheme="minorEastAsia" w:cstheme="minorEastAsia"/>
          <w:spacing w:val="-5"/>
          <w:sz w:val="24"/>
          <w:szCs w:val="24"/>
          <w:u w:val="single"/>
          <w:lang w:val="en-US"/>
        </w:rPr>
        <w:t>第四章 采购需求</w:t>
      </w:r>
      <w:r>
        <w:rPr>
          <w:rFonts w:hint="eastAsia" w:asciiTheme="minorEastAsia" w:hAnsiTheme="minorEastAsia" w:eastAsiaTheme="minorEastAsia" w:cstheme="minorEastAsia"/>
          <w:spacing w:val="-5"/>
          <w:sz w:val="24"/>
          <w:szCs w:val="24"/>
          <w:lang w:val="en-US"/>
        </w:rPr>
        <w:t>中是否要求，供应商所提供服务均应符合国家强制性标准。</w:t>
      </w:r>
    </w:p>
    <w:p>
      <w:pPr>
        <w:spacing w:line="360" w:lineRule="auto"/>
        <w:ind w:left="0" w:leftChars="0" w:right="0" w:rightChars="0" w:firstLine="0" w:firstLineChars="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val="en-US"/>
        </w:rPr>
        <w:t>3.5  响应文件中所使用的计量单位，除磋商文件中有特殊要求外，应采用中华人民共和国法定计量单位。</w:t>
      </w:r>
    </w:p>
    <w:p>
      <w:pPr>
        <w:pStyle w:val="30"/>
        <w:spacing w:before="0" w:after="0" w:line="360" w:lineRule="auto"/>
        <w:ind w:leftChars="0" w:right="0" w:rightChars="0" w:firstLine="0" w:firstLineChars="0"/>
        <w:rPr>
          <w:rFonts w:hint="eastAsia" w:asciiTheme="minorEastAsia" w:hAnsiTheme="minorEastAsia" w:eastAsiaTheme="minorEastAsia" w:cstheme="minorEastAsia"/>
          <w:bCs w:val="0"/>
          <w:spacing w:val="0"/>
          <w:sz w:val="24"/>
          <w:szCs w:val="24"/>
          <w:lang w:bidi="zh-CN"/>
        </w:rPr>
      </w:pPr>
    </w:p>
    <w:p>
      <w:pPr>
        <w:spacing w:line="360" w:lineRule="auto"/>
        <w:ind w:left="663"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t>磋商文件</w:t>
      </w:r>
    </w:p>
    <w:p>
      <w:pPr>
        <w:pStyle w:val="30"/>
        <w:spacing w:before="0" w:after="0" w:line="360" w:lineRule="auto"/>
        <w:ind w:leftChars="0" w:right="0" w:rightChars="0" w:firstLine="0" w:firstLineChars="0"/>
        <w:rPr>
          <w:rFonts w:hint="eastAsia" w:asciiTheme="minorEastAsia" w:hAnsiTheme="minorEastAsia" w:eastAsiaTheme="minorEastAsia" w:cstheme="minorEastAsia"/>
          <w:bCs w:val="0"/>
          <w:spacing w:val="0"/>
          <w:sz w:val="24"/>
          <w:szCs w:val="24"/>
          <w:lang w:bidi="zh-CN"/>
        </w:rPr>
      </w:pPr>
    </w:p>
    <w:p>
      <w:pPr>
        <w:keepNext w:val="0"/>
        <w:keepLines w:val="0"/>
        <w:pageBreakBefore w:val="0"/>
        <w:kinsoku/>
        <w:wordWrap/>
        <w:overflowPunct/>
        <w:topLinePunct w:val="0"/>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4.   磋商文件构成</w:t>
      </w:r>
    </w:p>
    <w:p>
      <w:pPr>
        <w:keepNext w:val="0"/>
        <w:keepLines w:val="0"/>
        <w:pageBreakBefore w:val="0"/>
        <w:kinsoku/>
        <w:wordWrap/>
        <w:overflowPunct/>
        <w:topLinePunct w:val="0"/>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4.1  磋商文件包括：竞争性磋商公告、供应商须知、采购需求、合同条款、评审办法、附件等。</w:t>
      </w:r>
    </w:p>
    <w:p>
      <w:pPr>
        <w:keepNext w:val="0"/>
        <w:keepLines w:val="0"/>
        <w:pageBreakBefore w:val="0"/>
        <w:kinsoku/>
        <w:wordWrap/>
        <w:overflowPunct/>
        <w:topLinePunct w:val="0"/>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4.2  磋商供应商应认真阅读磋商文件中各有关事项、格式、条款和规范等，按要求编制响应文件，并对其提交的响应文件的真实性、合法性承担法律责任。如果磋商供应商没有按照磋商文件的要求对磋商文件做出实质性响应，该</w:t>
      </w:r>
      <w:r>
        <w:rPr>
          <w:rFonts w:hint="eastAsia" w:asciiTheme="minorEastAsia" w:hAnsiTheme="minorEastAsia" w:eastAsiaTheme="minorEastAsia" w:cstheme="minorEastAsia"/>
          <w:b/>
          <w:sz w:val="24"/>
        </w:rPr>
        <w:t>响应文件无效</w:t>
      </w:r>
      <w:r>
        <w:rPr>
          <w:rFonts w:hint="eastAsia" w:asciiTheme="minorEastAsia" w:hAnsiTheme="minorEastAsia" w:eastAsiaTheme="minorEastAsia" w:cstheme="minorEastAsia"/>
          <w:sz w:val="24"/>
          <w:szCs w:val="24"/>
          <w:lang w:val="en-US"/>
        </w:rPr>
        <w:t>。</w:t>
      </w:r>
    </w:p>
    <w:p>
      <w:pPr>
        <w:keepNext w:val="0"/>
        <w:keepLines w:val="0"/>
        <w:pageBreakBefore w:val="0"/>
        <w:kinsoku/>
        <w:wordWrap/>
        <w:overflowPunct/>
        <w:topLinePunct w:val="0"/>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rPr>
        <w:t xml:space="preserve">5.   </w:t>
      </w:r>
      <w:r>
        <w:rPr>
          <w:rFonts w:hint="eastAsia" w:asciiTheme="minorEastAsia" w:hAnsiTheme="minorEastAsia" w:eastAsiaTheme="minorEastAsia" w:cstheme="minorEastAsia"/>
          <w:b/>
          <w:bCs/>
          <w:sz w:val="24"/>
          <w:szCs w:val="24"/>
        </w:rPr>
        <w:t>磋商文件的澄清或者修改</w:t>
      </w:r>
    </w:p>
    <w:p>
      <w:pPr>
        <w:keepNext w:val="0"/>
        <w:keepLines w:val="0"/>
        <w:pageBreakBefore w:val="0"/>
        <w:kinsoku/>
        <w:wordWrap/>
        <w:overflowPunct/>
        <w:topLinePunct w:val="0"/>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5.1  </w:t>
      </w:r>
      <w:r>
        <w:rPr>
          <w:rFonts w:hint="eastAsia" w:asciiTheme="minorEastAsia" w:hAnsiTheme="minorEastAsia" w:eastAsiaTheme="minorEastAsia" w:cstheme="minorEastAsia"/>
          <w:sz w:val="24"/>
          <w:szCs w:val="24"/>
        </w:rPr>
        <w:t>在首次提交响应文件截止时间前，采购人、</w:t>
      </w:r>
      <w:r>
        <w:rPr>
          <w:rFonts w:hint="eastAsia" w:asciiTheme="minorEastAsia" w:hAnsiTheme="minorEastAsia" w:eastAsiaTheme="minorEastAsia" w:cstheme="minorEastAsia"/>
          <w:sz w:val="24"/>
          <w:szCs w:val="24"/>
          <w:lang w:val="en-US"/>
        </w:rPr>
        <w:t>采购代理机构</w:t>
      </w:r>
      <w:r>
        <w:rPr>
          <w:rFonts w:hint="eastAsia" w:asciiTheme="minorEastAsia" w:hAnsiTheme="minorEastAsia" w:eastAsiaTheme="minorEastAsia" w:cstheme="minorEastAsia"/>
          <w:sz w:val="24"/>
          <w:szCs w:val="24"/>
        </w:rPr>
        <w:t>或者磋商小组可以对已发出的磋商文件进行必要的澄清或者修改，并由</w:t>
      </w:r>
      <w:r>
        <w:rPr>
          <w:rFonts w:hint="eastAsia" w:asciiTheme="minorEastAsia" w:hAnsiTheme="minorEastAsia" w:eastAsiaTheme="minorEastAsia" w:cstheme="minorEastAsia"/>
          <w:sz w:val="24"/>
          <w:szCs w:val="24"/>
          <w:lang w:val="en-US"/>
        </w:rPr>
        <w:t>采购代理机构</w:t>
      </w:r>
      <w:r>
        <w:rPr>
          <w:rFonts w:hint="eastAsia" w:asciiTheme="minorEastAsia" w:hAnsiTheme="minorEastAsia" w:eastAsiaTheme="minorEastAsia" w:cstheme="minorEastAsia"/>
          <w:sz w:val="24"/>
          <w:szCs w:val="24"/>
        </w:rPr>
        <w:t>发出。澄清或者修改的内容作为磋商文件的组成部分。对磋商文件的修改，将以书面形式通知已获取磋商文件的</w:t>
      </w:r>
      <w:r>
        <w:rPr>
          <w:rFonts w:hint="eastAsia" w:asciiTheme="minorEastAsia" w:hAnsiTheme="minorEastAsia" w:eastAsiaTheme="minorEastAsia" w:cstheme="minorEastAsia"/>
          <w:sz w:val="24"/>
          <w:szCs w:val="24"/>
          <w:lang w:val="en-US"/>
        </w:rPr>
        <w:t>所有潜在</w:t>
      </w:r>
      <w:r>
        <w:rPr>
          <w:rFonts w:hint="eastAsia" w:asciiTheme="minorEastAsia" w:hAnsiTheme="minorEastAsia" w:eastAsiaTheme="minorEastAsia" w:cstheme="minorEastAsia"/>
          <w:sz w:val="24"/>
          <w:szCs w:val="24"/>
        </w:rPr>
        <w:t>供应商。</w:t>
      </w:r>
    </w:p>
    <w:p>
      <w:pPr>
        <w:keepNext w:val="0"/>
        <w:keepLines w:val="0"/>
        <w:pageBreakBefore w:val="0"/>
        <w:kinsoku/>
        <w:wordWrap/>
        <w:overflowPunct/>
        <w:topLinePunct w:val="0"/>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5.2  </w:t>
      </w:r>
      <w:r>
        <w:rPr>
          <w:rFonts w:hint="eastAsia" w:asciiTheme="minorEastAsia" w:hAnsiTheme="minorEastAsia" w:eastAsiaTheme="minorEastAsia" w:cstheme="minorEastAsia"/>
          <w:sz w:val="24"/>
          <w:szCs w:val="24"/>
        </w:rPr>
        <w:t>澄清或者修改的内容可能影响响应文件编制的，</w:t>
      </w:r>
      <w:r>
        <w:rPr>
          <w:rFonts w:hint="eastAsia" w:asciiTheme="minorEastAsia" w:hAnsiTheme="minorEastAsia" w:eastAsiaTheme="minorEastAsia" w:cstheme="minorEastAsia"/>
          <w:sz w:val="24"/>
          <w:szCs w:val="24"/>
          <w:lang w:val="en-US"/>
        </w:rPr>
        <w:t>采购代理机构</w:t>
      </w:r>
      <w:r>
        <w:rPr>
          <w:rFonts w:hint="eastAsia" w:asciiTheme="minorEastAsia" w:hAnsiTheme="minorEastAsia" w:eastAsiaTheme="minorEastAsia" w:cstheme="minorEastAsia"/>
          <w:sz w:val="24"/>
          <w:szCs w:val="24"/>
        </w:rPr>
        <w:t>将在提交首次响应文件截止之日5日前通知，不足5日的，将相应顺延提交首次响应文件截止时间。</w:t>
      </w:r>
    </w:p>
    <w:p>
      <w:pPr>
        <w:keepNext w:val="0"/>
        <w:keepLines w:val="0"/>
        <w:pageBreakBefore w:val="0"/>
        <w:kinsoku/>
        <w:wordWrap/>
        <w:overflowPunct/>
        <w:topLinePunct w:val="0"/>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5.3  </w:t>
      </w:r>
      <w:r>
        <w:rPr>
          <w:rFonts w:hint="eastAsia" w:asciiTheme="minorEastAsia" w:hAnsiTheme="minorEastAsia" w:eastAsiaTheme="minorEastAsia" w:cstheme="minorEastAsia"/>
          <w:sz w:val="24"/>
          <w:szCs w:val="24"/>
        </w:rPr>
        <w:t>在磋商过程中，磋商小组根据与供应商磋商情况，可能对技术要求中的技术、服务要求以及合同草案条款等内容作出实质性变动。对磋商文件作出的实质性变动是磋商文件的有效组成部分，磋商小组将以书面形式同时通知所有参加磋商的供应商。供应商应当按照磋商文件的变动情况和磋商小组的要求重新提交响应文件。</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t>响应文件的编制</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rPr>
        <w:t xml:space="preserve">6.   </w:t>
      </w:r>
      <w:r>
        <w:rPr>
          <w:rFonts w:hint="eastAsia" w:asciiTheme="minorEastAsia" w:hAnsiTheme="minorEastAsia" w:eastAsiaTheme="minorEastAsia" w:cstheme="minorEastAsia"/>
          <w:b/>
          <w:bCs/>
          <w:sz w:val="24"/>
          <w:szCs w:val="24"/>
        </w:rPr>
        <w:t>响应文件的构成</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6.1  </w:t>
      </w:r>
      <w:r>
        <w:rPr>
          <w:rFonts w:hint="eastAsia" w:asciiTheme="minorEastAsia" w:hAnsiTheme="minorEastAsia" w:eastAsiaTheme="minorEastAsia" w:cstheme="minorEastAsia"/>
          <w:sz w:val="24"/>
          <w:szCs w:val="24"/>
        </w:rPr>
        <w:t>按照磋商文件的要求，供应商应完整地按磋商文件提供的响应文件格式编制的首次响应文件，响应文件中须包含供应商所有</w:t>
      </w:r>
      <w:r>
        <w:rPr>
          <w:rFonts w:hint="eastAsia" w:asciiTheme="minorEastAsia" w:hAnsiTheme="minorEastAsia" w:eastAsiaTheme="minorEastAsia" w:cstheme="minorEastAsia"/>
          <w:sz w:val="24"/>
          <w:szCs w:val="24"/>
          <w:lang w:val="en-US"/>
        </w:rPr>
        <w:t>响应</w:t>
      </w:r>
      <w:r>
        <w:rPr>
          <w:rFonts w:hint="eastAsia" w:asciiTheme="minorEastAsia" w:hAnsiTheme="minorEastAsia" w:eastAsiaTheme="minorEastAsia" w:cstheme="minorEastAsia"/>
          <w:sz w:val="24"/>
          <w:szCs w:val="24"/>
        </w:rPr>
        <w:t>内容，每套响应文件</w:t>
      </w:r>
      <w:r>
        <w:rPr>
          <w:rFonts w:hint="eastAsia" w:asciiTheme="minorEastAsia" w:hAnsiTheme="minorEastAsia" w:eastAsiaTheme="minorEastAsia" w:cstheme="minorEastAsia"/>
          <w:sz w:val="24"/>
          <w:szCs w:val="24"/>
          <w:lang w:val="en-US"/>
        </w:rPr>
        <w:t>的</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rPr>
        <w:t>部分</w:t>
      </w:r>
      <w:r>
        <w:rPr>
          <w:rFonts w:hint="eastAsia" w:asciiTheme="minorEastAsia" w:hAnsiTheme="minorEastAsia" w:eastAsiaTheme="minorEastAsia" w:cstheme="minorEastAsia"/>
          <w:sz w:val="24"/>
          <w:szCs w:val="24"/>
        </w:rPr>
        <w:t>和技术</w:t>
      </w:r>
      <w:r>
        <w:rPr>
          <w:rFonts w:hint="eastAsia" w:asciiTheme="minorEastAsia" w:hAnsiTheme="minorEastAsia" w:eastAsiaTheme="minorEastAsia" w:cstheme="minorEastAsia"/>
          <w:sz w:val="24"/>
          <w:szCs w:val="24"/>
          <w:lang w:val="en-US"/>
        </w:rPr>
        <w:t>部分合订</w:t>
      </w:r>
      <w:r>
        <w:rPr>
          <w:rFonts w:hint="eastAsia" w:asciiTheme="minorEastAsia" w:hAnsiTheme="minorEastAsia" w:eastAsiaTheme="minorEastAsia" w:cstheme="minorEastAsia"/>
          <w:sz w:val="24"/>
          <w:szCs w:val="24"/>
        </w:rPr>
        <w:t>成一本，应包括内容</w:t>
      </w:r>
      <w:r>
        <w:rPr>
          <w:rFonts w:hint="eastAsia" w:asciiTheme="minorEastAsia" w:hAnsiTheme="minorEastAsia" w:eastAsiaTheme="minorEastAsia" w:cstheme="minorEastAsia"/>
          <w:sz w:val="24"/>
          <w:szCs w:val="24"/>
          <w:lang w:val="en-US"/>
        </w:rPr>
        <w:t>详见</w:t>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rPr>
        <w:t>六</w:t>
      </w:r>
      <w:r>
        <w:rPr>
          <w:rFonts w:hint="eastAsia" w:asciiTheme="minorEastAsia" w:hAnsiTheme="minorEastAsia" w:eastAsiaTheme="minorEastAsia" w:cstheme="minorEastAsia"/>
          <w:sz w:val="24"/>
          <w:szCs w:val="24"/>
        </w:rPr>
        <w:t>章 附件</w:t>
      </w:r>
      <w:r>
        <w:rPr>
          <w:rFonts w:hint="eastAsia" w:asciiTheme="minorEastAsia" w:hAnsiTheme="minorEastAsia" w:eastAsiaTheme="minorEastAsia" w:cstheme="minorEastAsia"/>
          <w:sz w:val="24"/>
          <w:szCs w:val="24"/>
          <w:lang w:val="en-US"/>
        </w:rPr>
        <w:t>-响应文件格式</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rPr>
        <w:t xml:space="preserve">7.   </w:t>
      </w:r>
      <w:r>
        <w:rPr>
          <w:rFonts w:hint="eastAsia" w:asciiTheme="minorEastAsia" w:hAnsiTheme="minorEastAsia" w:eastAsiaTheme="minorEastAsia" w:cstheme="minorEastAsia"/>
          <w:b/>
          <w:bCs/>
          <w:sz w:val="24"/>
          <w:szCs w:val="24"/>
        </w:rPr>
        <w:t>报价</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7.1  </w:t>
      </w:r>
      <w:r>
        <w:rPr>
          <w:rFonts w:hint="eastAsia" w:asciiTheme="minorEastAsia" w:hAnsiTheme="minorEastAsia" w:eastAsiaTheme="minorEastAsia" w:cstheme="minorEastAsia"/>
          <w:sz w:val="24"/>
          <w:szCs w:val="24"/>
        </w:rPr>
        <w:t>在提交响应文件时，供应商要按照磋商文件给出的格式提供报价函和</w:t>
      </w:r>
      <w:r>
        <w:rPr>
          <w:rFonts w:hint="eastAsia" w:asciiTheme="minorEastAsia" w:hAnsiTheme="minorEastAsia" w:eastAsiaTheme="minorEastAsia" w:cstheme="minorEastAsia"/>
          <w:sz w:val="24"/>
          <w:szCs w:val="24"/>
          <w:lang w:val="en-US"/>
        </w:rPr>
        <w:t>报价</w:t>
      </w:r>
      <w:r>
        <w:rPr>
          <w:rFonts w:hint="eastAsia" w:asciiTheme="minorEastAsia" w:hAnsiTheme="minorEastAsia" w:eastAsiaTheme="minorEastAsia" w:cstheme="minorEastAsia"/>
          <w:sz w:val="24"/>
          <w:szCs w:val="24"/>
        </w:rPr>
        <w:t>表；在磋商结束后，供应商按照磋商小组的要求及磋商文件给出的格式提供报价函和最后报价表。报价货币应为人民币。</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 xml:space="preserve">7.2  </w:t>
      </w:r>
      <w:r>
        <w:rPr>
          <w:rFonts w:hint="eastAsia" w:asciiTheme="minorEastAsia" w:hAnsiTheme="minorEastAsia" w:eastAsiaTheme="minorEastAsia" w:cstheme="minorEastAsia"/>
          <w:sz w:val="24"/>
          <w:szCs w:val="24"/>
        </w:rPr>
        <w:t>报价为固定价格，最终结算时不会因任何条件的变化而进行调整。</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7.3  具体的报价要求见</w:t>
      </w:r>
      <w:r>
        <w:rPr>
          <w:rFonts w:hint="eastAsia" w:asciiTheme="minorEastAsia" w:hAnsiTheme="minorEastAsia" w:eastAsiaTheme="minorEastAsia" w:cstheme="minorEastAsia"/>
          <w:spacing w:val="-5"/>
          <w:sz w:val="24"/>
          <w:szCs w:val="24"/>
          <w:u w:val="single"/>
          <w:lang w:val="en-US"/>
        </w:rPr>
        <w:t>供应商须知前附表</w:t>
      </w:r>
      <w:r>
        <w:rPr>
          <w:rFonts w:hint="eastAsia" w:asciiTheme="minorEastAsia" w:hAnsiTheme="minorEastAsia" w:eastAsiaTheme="minorEastAsia" w:cstheme="minorEastAsia"/>
          <w:spacing w:val="-5"/>
          <w:sz w:val="24"/>
          <w:szCs w:val="24"/>
          <w:lang w:val="en-US"/>
        </w:rPr>
        <w:t>。</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7.4  本项目预算金额、最高限价详见</w:t>
      </w:r>
      <w:r>
        <w:rPr>
          <w:rFonts w:hint="eastAsia" w:asciiTheme="minorEastAsia" w:hAnsiTheme="minorEastAsia" w:eastAsiaTheme="minorEastAsia" w:cstheme="minorEastAsia"/>
          <w:spacing w:val="-5"/>
          <w:sz w:val="24"/>
          <w:szCs w:val="24"/>
          <w:u w:val="single"/>
          <w:lang w:val="en-US"/>
        </w:rPr>
        <w:t>供应商须知前附表</w:t>
      </w:r>
      <w:r>
        <w:rPr>
          <w:rFonts w:hint="eastAsia" w:asciiTheme="minorEastAsia" w:hAnsiTheme="minorEastAsia" w:eastAsiaTheme="minorEastAsia" w:cstheme="minorEastAsia"/>
          <w:spacing w:val="-5"/>
          <w:sz w:val="24"/>
          <w:szCs w:val="24"/>
          <w:lang w:val="en-US"/>
        </w:rPr>
        <w:t>。</w:t>
      </w:r>
      <w:r>
        <w:rPr>
          <w:rFonts w:hint="eastAsia" w:asciiTheme="minorEastAsia" w:hAnsiTheme="minorEastAsia" w:eastAsiaTheme="minorEastAsia" w:cstheme="minorEastAsia"/>
          <w:sz w:val="24"/>
          <w:szCs w:val="24"/>
        </w:rPr>
        <w:t>供应商最</w:t>
      </w:r>
      <w:r>
        <w:rPr>
          <w:rFonts w:hint="eastAsia" w:asciiTheme="minorEastAsia" w:hAnsiTheme="minorEastAsia" w:eastAsiaTheme="minorEastAsia" w:cstheme="minorEastAsia"/>
          <w:sz w:val="24"/>
          <w:szCs w:val="24"/>
          <w:lang w:val="en-US"/>
        </w:rPr>
        <w:t>后</w:t>
      </w:r>
      <w:r>
        <w:rPr>
          <w:rFonts w:hint="eastAsia" w:asciiTheme="minorEastAsia" w:hAnsiTheme="minorEastAsia" w:eastAsiaTheme="minorEastAsia" w:cstheme="minorEastAsia"/>
          <w:sz w:val="24"/>
          <w:szCs w:val="24"/>
        </w:rPr>
        <w:t>报价超过竞争性磋商文件规定的预算金额或者分项、分包最高限价的，其</w:t>
      </w:r>
      <w:r>
        <w:rPr>
          <w:rFonts w:hint="eastAsia" w:asciiTheme="minorEastAsia" w:hAnsiTheme="minorEastAsia" w:eastAsiaTheme="minorEastAsia" w:cstheme="minorEastAsia"/>
          <w:b/>
          <w:bCs/>
          <w:sz w:val="24"/>
          <w:szCs w:val="24"/>
        </w:rPr>
        <w:t>响应文件无效</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7.5  成交人在合同签订之前，须提交根据最终报价修正后的工程量清单组价。</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8.   响应文件有效期</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8.1  响应文件应自首次提交之日起，按照</w:t>
      </w:r>
      <w:r>
        <w:rPr>
          <w:rFonts w:hint="eastAsia" w:asciiTheme="minorEastAsia" w:hAnsiTheme="minorEastAsia" w:eastAsiaTheme="minorEastAsia" w:cstheme="minorEastAsia"/>
          <w:spacing w:val="-5"/>
          <w:sz w:val="24"/>
          <w:szCs w:val="24"/>
          <w:u w:val="single"/>
          <w:lang w:val="en-US"/>
        </w:rPr>
        <w:t>供应商须知前附表</w:t>
      </w:r>
      <w:r>
        <w:rPr>
          <w:rFonts w:hint="eastAsia" w:asciiTheme="minorEastAsia" w:hAnsiTheme="minorEastAsia" w:eastAsiaTheme="minorEastAsia" w:cstheme="minorEastAsia"/>
          <w:sz w:val="24"/>
          <w:szCs w:val="24"/>
          <w:lang w:val="en-US"/>
        </w:rPr>
        <w:t>中规定时间内保持有效，有效期短于要求的，其</w:t>
      </w:r>
      <w:r>
        <w:rPr>
          <w:rFonts w:hint="eastAsia" w:asciiTheme="minorEastAsia" w:hAnsiTheme="minorEastAsia" w:eastAsiaTheme="minorEastAsia" w:cstheme="minorEastAsia"/>
          <w:b/>
          <w:bCs/>
          <w:sz w:val="24"/>
          <w:szCs w:val="24"/>
          <w:lang w:val="en-US"/>
        </w:rPr>
        <w:t>响应文件无效</w:t>
      </w:r>
      <w:r>
        <w:rPr>
          <w:rFonts w:hint="eastAsia" w:asciiTheme="minorEastAsia" w:hAnsiTheme="minorEastAsia" w:eastAsiaTheme="minorEastAsia" w:cstheme="minorEastAsia"/>
          <w:sz w:val="24"/>
          <w:szCs w:val="24"/>
          <w:lang w:val="en-US"/>
        </w:rPr>
        <w:t>。</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四</w:t>
      </w:r>
      <w:r>
        <w:rPr>
          <w:rFonts w:hint="eastAsia" w:asciiTheme="minorEastAsia" w:hAnsiTheme="minorEastAsia" w:eastAsiaTheme="minorEastAsia" w:cstheme="minorEastAsia"/>
          <w:b/>
          <w:spacing w:val="0"/>
          <w:sz w:val="24"/>
          <w:szCs w:val="24"/>
          <w:lang w:bidi="zh-CN"/>
        </w:rPr>
        <w:tab/>
      </w:r>
      <w:r>
        <w:rPr>
          <w:rFonts w:hint="eastAsia" w:asciiTheme="minorEastAsia" w:hAnsiTheme="minorEastAsia" w:eastAsiaTheme="minorEastAsia" w:cstheme="minorEastAsia"/>
          <w:b/>
          <w:spacing w:val="0"/>
          <w:sz w:val="24"/>
          <w:szCs w:val="24"/>
          <w:lang w:bidi="zh-CN"/>
        </w:rPr>
        <w:t xml:space="preserve"> 响应文件的签署规定和递交</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9.   响应文件签署及规定</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9.1  </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lang w:val="en-US"/>
        </w:rPr>
        <w:t>供应商应按</w:t>
      </w:r>
      <w:r>
        <w:rPr>
          <w:rFonts w:hint="eastAsia" w:asciiTheme="minorEastAsia" w:hAnsiTheme="minorEastAsia" w:eastAsiaTheme="minorEastAsia" w:cstheme="minorEastAsia"/>
          <w:spacing w:val="-5"/>
          <w:sz w:val="24"/>
          <w:szCs w:val="24"/>
          <w:u w:val="single"/>
          <w:lang w:val="en-US"/>
        </w:rPr>
        <w:t>供应商须知前附表</w:t>
      </w:r>
      <w:r>
        <w:rPr>
          <w:rFonts w:hint="eastAsia" w:asciiTheme="minorEastAsia" w:hAnsiTheme="minorEastAsia" w:eastAsiaTheme="minorEastAsia" w:cstheme="minorEastAsia"/>
          <w:sz w:val="24"/>
          <w:szCs w:val="24"/>
          <w:lang w:val="en-US"/>
        </w:rPr>
        <w:t>中的规定准备和递交响应文件正本、副本和电子文档，纸质响应文件封面应注明“正本”或“副本”字样，副本可以是正本的复印件，当正本和副本之间出现差异时，以正本为准。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9.</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lang w:val="en-US"/>
        </w:rPr>
        <w:t>供应商</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lang w:val="en-US"/>
        </w:rPr>
        <w:t>响应文件采用</w:t>
      </w:r>
      <w:r>
        <w:rPr>
          <w:rFonts w:hint="eastAsia" w:asciiTheme="minorEastAsia" w:hAnsiTheme="minorEastAsia" w:eastAsiaTheme="minorEastAsia" w:cstheme="minorEastAsia"/>
          <w:color w:val="000000"/>
          <w:kern w:val="2"/>
          <w:sz w:val="24"/>
          <w:szCs w:val="24"/>
          <w:lang w:val="en-US" w:bidi="ar"/>
        </w:rPr>
        <w:t>不可拆装的胶订方式装订或其他不可拆装的</w:t>
      </w:r>
      <w:r>
        <w:rPr>
          <w:rFonts w:hint="eastAsia" w:asciiTheme="minorEastAsia" w:hAnsiTheme="minorEastAsia" w:eastAsiaTheme="minorEastAsia" w:cstheme="minorEastAsia"/>
          <w:sz w:val="24"/>
          <w:szCs w:val="24"/>
          <w:lang w:val="en-US"/>
        </w:rPr>
        <w:t>方式装订。</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9.</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 xml:space="preserve">  供应商在提交响应文件截止时间前，可以对所提交的响应文件进行补充、</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修改或者撤回。补充、修改的内容作为响应文件的组成部分。补充、修改的内容与响应文件不一致的，以补充、修改的内容为准。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9.</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rPr>
        <w:t xml:space="preserve">  供应商根据磋商小组的要求对响应文件中含义不明确、同类问题表述不一致或者有明显文字和计算错误的内容等做出的澄清、说明或者更正，以及磋商中根据磋商文件实质性变动重新提交的响应文件。</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9.</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en-US"/>
        </w:rPr>
        <w:t xml:space="preserve">  响应文件因字迹潦草、表达不清或装订不当所引起的后果由供应商负责。</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10.  响应文件的递交</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10.1 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投标截止时间以政采云中心交易平台显示的时间为准，逾期系统将自动关闭，未完成上传的响应文件视为逾期送达，将被拒绝。</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五  保证金</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11.  保证金的提交</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11.1 磋商供应商在递交响应文件截止时间前，按照</w:t>
      </w:r>
      <w:r>
        <w:rPr>
          <w:rFonts w:hint="eastAsia" w:asciiTheme="minorEastAsia" w:hAnsiTheme="minorEastAsia" w:eastAsiaTheme="minorEastAsia" w:cstheme="minorEastAsia"/>
          <w:spacing w:val="-5"/>
          <w:sz w:val="24"/>
          <w:szCs w:val="24"/>
          <w:u w:val="single"/>
          <w:lang w:val="en-US"/>
        </w:rPr>
        <w:t>供应商须知前附表</w:t>
      </w:r>
      <w:r>
        <w:rPr>
          <w:rFonts w:hint="eastAsia" w:asciiTheme="minorEastAsia" w:hAnsiTheme="minorEastAsia" w:eastAsiaTheme="minorEastAsia" w:cstheme="minorEastAsia"/>
          <w:sz w:val="24"/>
          <w:szCs w:val="24"/>
          <w:lang w:val="en-US"/>
        </w:rPr>
        <w:t>规定的保证金的形式、数额和时间要求提交响应保证金。供应商为联合体的，可以由联合体中的一方或者多方共同交纳保证金，其交纳的保证金对联合体各方均具有约束力。</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11.2 供应商没有按规定提交保证金的，其</w:t>
      </w:r>
      <w:r>
        <w:rPr>
          <w:rFonts w:hint="eastAsia" w:asciiTheme="minorEastAsia" w:hAnsiTheme="minorEastAsia" w:eastAsiaTheme="minorEastAsia" w:cstheme="minorEastAsia"/>
          <w:b/>
          <w:bCs/>
          <w:sz w:val="24"/>
          <w:szCs w:val="24"/>
          <w:lang w:val="en-US"/>
        </w:rPr>
        <w:t>响应文件无效</w:t>
      </w:r>
      <w:r>
        <w:rPr>
          <w:rFonts w:hint="eastAsia" w:asciiTheme="minorEastAsia" w:hAnsiTheme="minorEastAsia" w:eastAsiaTheme="minorEastAsia" w:cstheme="minorEastAsia"/>
          <w:sz w:val="24"/>
          <w:szCs w:val="24"/>
          <w:lang w:val="en-US"/>
        </w:rPr>
        <w:t>。采用电汇形式提交保证金的，一般可以实时入账，建议供应商请于递交文件截止日 2-3 个工作日前汇出。保证金的提交以采购代理机构保证金账户到账时间为准，供应商需自行评估因异地、跨行、公休日等因素造成的保证金到账延迟风险，并承担相应责任。保证金不能按时进入指定账户的，其</w:t>
      </w:r>
      <w:r>
        <w:rPr>
          <w:rFonts w:hint="eastAsia" w:asciiTheme="minorEastAsia" w:hAnsiTheme="minorEastAsia" w:eastAsiaTheme="minorEastAsia" w:cstheme="minorEastAsia"/>
          <w:b/>
          <w:bCs/>
          <w:sz w:val="24"/>
          <w:szCs w:val="24"/>
          <w:lang w:val="en-US"/>
        </w:rPr>
        <w:t>响应文件无效</w:t>
      </w:r>
      <w:r>
        <w:rPr>
          <w:rFonts w:hint="eastAsia" w:asciiTheme="minorEastAsia" w:hAnsiTheme="minorEastAsia" w:eastAsiaTheme="minorEastAsia" w:cstheme="minorEastAsia"/>
          <w:sz w:val="24"/>
          <w:szCs w:val="24"/>
          <w:lang w:val="en-US"/>
        </w:rPr>
        <w:t>。</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12.  保证金的没收</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12.1 发生下列情况之一，保证金将被没收：</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（1）供应商在提交最后报价后撤回响应文件的；</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（2）供应商在响应文件中提供虚假材料的；</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（3）除因不可抗力或法律、法规、磋商文件允许的情形以外，成交供应商不与采购人签订合同的；</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（4）存在串通投标情形的；</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（5）成交供应商签订合同后不向采购代理机构支付中介服务费；</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（6）存在向采购人、代理机构或评审专家行贿事实的。</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（7）法律、法规规定的其它情况。</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13.  保证金的退还</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13.1 已提交响应文件的供应商在提交最后报价之前根据磋商情况退出磋商，保证金将及时予以退还。</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13.2 成交供应商应在与采购人签订合同之日起 5 个工作日内及时联系采购代理机构办理保证金无息退还手续。</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13.3 未成交供应商的保证金将在成交通知书发出之日暨成交公告公布之日起 5 个工作日内，及时联系采购人或采购代理机构办理无息退还保证金手续因供应商自身原因导致无法及时退还的，采购人或采购代理机构将不承担资金占用费。</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pStyle w:val="6"/>
        <w:keepNext w:val="0"/>
        <w:keepLines w:val="0"/>
        <w:pageBreakBefore w:val="0"/>
        <w:tabs>
          <w:tab w:val="left" w:pos="561"/>
        </w:tabs>
        <w:kinsoku/>
        <w:wordWrap/>
        <w:overflowPunct/>
        <w:topLinePunct w:val="0"/>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评审和磋商</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14.  响应文件的评审与澄清</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14.1 磋商小组在确认了磋商文件后，按照磋商文件规定的资格条件对供应商进行资格审查，符合资格条件的供应商将进入符合性审查。不符合资格条件的供应商将按</w:t>
      </w:r>
      <w:r>
        <w:rPr>
          <w:rFonts w:hint="eastAsia" w:asciiTheme="minorEastAsia" w:hAnsiTheme="minorEastAsia" w:eastAsiaTheme="minorEastAsia" w:cstheme="minorEastAsia"/>
          <w:b/>
          <w:bCs/>
          <w:sz w:val="24"/>
          <w:szCs w:val="24"/>
          <w:lang w:val="en-US"/>
        </w:rPr>
        <w:t>无效处理</w:t>
      </w:r>
      <w:r>
        <w:rPr>
          <w:rFonts w:hint="eastAsia" w:asciiTheme="minorEastAsia" w:hAnsiTheme="minorEastAsia" w:eastAsiaTheme="minorEastAsia" w:cstheme="minorEastAsia"/>
          <w:sz w:val="24"/>
          <w:szCs w:val="24"/>
          <w:lang w:val="en-US"/>
        </w:rPr>
        <w:t>，不参加后续磋商。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14.2 磋商小组按照磋商文件规定的除资格条件外的其它实质性条款，对参加磋商的供应商进行有效性、完整性和响应程度的符合性审查。未实质性响应磋商文件的供应商将按</w:t>
      </w:r>
      <w:r>
        <w:rPr>
          <w:rFonts w:hint="eastAsia" w:asciiTheme="minorEastAsia" w:hAnsiTheme="minorEastAsia" w:eastAsiaTheme="minorEastAsia" w:cstheme="minorEastAsia"/>
          <w:b/>
          <w:bCs/>
          <w:sz w:val="24"/>
          <w:szCs w:val="24"/>
          <w:lang w:val="en-US"/>
        </w:rPr>
        <w:t>无效处理</w:t>
      </w:r>
      <w:r>
        <w:rPr>
          <w:rFonts w:hint="eastAsia" w:asciiTheme="minorEastAsia" w:hAnsiTheme="minorEastAsia" w:eastAsiaTheme="minorEastAsia" w:cstheme="minorEastAsia"/>
          <w:sz w:val="24"/>
          <w:szCs w:val="24"/>
          <w:lang w:val="en-US"/>
        </w:rPr>
        <w:t>，不参加后续磋商。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14.3 不良信用记录指：供应商</w:t>
      </w:r>
      <w:r>
        <w:rPr>
          <w:rFonts w:hint="eastAsia" w:asciiTheme="minorEastAsia" w:hAnsiTheme="minorEastAsia" w:eastAsiaTheme="minorEastAsia" w:cstheme="minorEastAsia"/>
          <w:color w:val="000000"/>
          <w:kern w:val="2"/>
          <w:sz w:val="24"/>
          <w:szCs w:val="24"/>
        </w:rPr>
        <w:t>在中国政府采购网</w:t>
      </w:r>
      <w:r>
        <w:rPr>
          <w:rFonts w:hint="eastAsia" w:asciiTheme="minorEastAsia" w:hAnsiTheme="minorEastAsia" w:eastAsiaTheme="minorEastAsia" w:cstheme="minorEastAsia"/>
          <w:color w:val="000000"/>
          <w:kern w:val="2"/>
          <w:sz w:val="24"/>
          <w:szCs w:val="24"/>
          <w:lang w:val="en-US"/>
        </w:rPr>
        <w:t>（www.ccgp.gov.cn）</w:t>
      </w:r>
      <w:r>
        <w:rPr>
          <w:rFonts w:hint="eastAsia" w:asciiTheme="minorEastAsia" w:hAnsiTheme="minorEastAsia" w:eastAsiaTheme="minorEastAsia" w:cstheme="minorEastAsia"/>
          <w:color w:val="000000"/>
          <w:kern w:val="2"/>
          <w:sz w:val="24"/>
          <w:szCs w:val="24"/>
        </w:rPr>
        <w:t>被列入政府采购严重违法失信行为记录名单</w:t>
      </w:r>
      <w:r>
        <w:rPr>
          <w:rFonts w:hint="eastAsia" w:asciiTheme="minorEastAsia" w:hAnsiTheme="minorEastAsia" w:eastAsiaTheme="minorEastAsia" w:cstheme="minorEastAsia"/>
          <w:color w:val="000000"/>
          <w:kern w:val="2"/>
          <w:sz w:val="24"/>
          <w:szCs w:val="24"/>
          <w:lang w:val="en-US"/>
        </w:rPr>
        <w:t>，</w:t>
      </w:r>
      <w:r>
        <w:rPr>
          <w:rFonts w:hint="eastAsia" w:asciiTheme="minorEastAsia" w:hAnsiTheme="minorEastAsia" w:eastAsiaTheme="minorEastAsia" w:cstheme="minorEastAsia"/>
          <w:color w:val="000000"/>
          <w:kern w:val="2"/>
          <w:sz w:val="24"/>
          <w:szCs w:val="24"/>
        </w:rPr>
        <w:t>在</w:t>
      </w:r>
      <w:r>
        <w:rPr>
          <w:rFonts w:hint="eastAsia" w:asciiTheme="minorEastAsia" w:hAnsiTheme="minorEastAsia" w:eastAsiaTheme="minorEastAsia" w:cstheme="minorEastAsia"/>
          <w:color w:val="000000"/>
          <w:kern w:val="2"/>
          <w:sz w:val="24"/>
          <w:szCs w:val="24"/>
          <w:lang w:val="en-US"/>
        </w:rPr>
        <w:t>“</w:t>
      </w:r>
      <w:r>
        <w:rPr>
          <w:rFonts w:hint="eastAsia" w:asciiTheme="minorEastAsia" w:hAnsiTheme="minorEastAsia" w:eastAsiaTheme="minorEastAsia" w:cstheme="minorEastAsia"/>
          <w:color w:val="000000"/>
          <w:kern w:val="2"/>
          <w:sz w:val="24"/>
          <w:szCs w:val="24"/>
        </w:rPr>
        <w:t>信用中国</w:t>
      </w:r>
      <w:r>
        <w:rPr>
          <w:rFonts w:hint="eastAsia" w:asciiTheme="minorEastAsia" w:hAnsiTheme="minorEastAsia" w:eastAsiaTheme="minorEastAsia" w:cstheme="minorEastAsia"/>
          <w:color w:val="000000"/>
          <w:kern w:val="2"/>
          <w:sz w:val="24"/>
          <w:szCs w:val="24"/>
          <w:lang w:val="en-US"/>
        </w:rPr>
        <w:t>”</w:t>
      </w:r>
      <w:r>
        <w:rPr>
          <w:rFonts w:hint="eastAsia" w:asciiTheme="minorEastAsia" w:hAnsiTheme="minorEastAsia" w:eastAsiaTheme="minorEastAsia" w:cstheme="minorEastAsia"/>
          <w:color w:val="000000"/>
          <w:kern w:val="2"/>
          <w:sz w:val="24"/>
          <w:szCs w:val="24"/>
        </w:rPr>
        <w:t>网站</w:t>
      </w:r>
      <w:r>
        <w:rPr>
          <w:rFonts w:hint="eastAsia" w:asciiTheme="minorEastAsia" w:hAnsiTheme="minorEastAsia" w:eastAsiaTheme="minorEastAsia" w:cstheme="minorEastAsia"/>
          <w:color w:val="000000"/>
          <w:kern w:val="2"/>
          <w:sz w:val="24"/>
          <w:szCs w:val="24"/>
          <w:lang w:val="en-US"/>
        </w:rPr>
        <w:t>（www.creditchina.gov.cn）</w:t>
      </w:r>
      <w:r>
        <w:rPr>
          <w:rFonts w:hint="eastAsia" w:asciiTheme="minorEastAsia" w:hAnsiTheme="minorEastAsia" w:eastAsiaTheme="minorEastAsia" w:cstheme="minorEastAsia"/>
          <w:color w:val="000000"/>
          <w:kern w:val="2"/>
          <w:sz w:val="24"/>
          <w:szCs w:val="24"/>
        </w:rPr>
        <w:t>被列入失信被执行人、重大税收违法案件当事人名单</w:t>
      </w:r>
      <w:r>
        <w:rPr>
          <w:rFonts w:hint="eastAsia" w:asciiTheme="minorEastAsia" w:hAnsiTheme="minorEastAsia" w:eastAsiaTheme="minorEastAsia" w:cstheme="minorEastAsia"/>
          <w:color w:val="000000"/>
          <w:kern w:val="2"/>
          <w:sz w:val="24"/>
          <w:szCs w:val="24"/>
          <w:lang w:val="en-US"/>
        </w:rPr>
        <w:t>，</w:t>
      </w:r>
      <w:r>
        <w:rPr>
          <w:rFonts w:hint="eastAsia" w:asciiTheme="minorEastAsia" w:hAnsiTheme="minorEastAsia" w:eastAsiaTheme="minorEastAsia" w:cstheme="minorEastAsia"/>
          <w:color w:val="000000"/>
          <w:kern w:val="2"/>
          <w:sz w:val="24"/>
          <w:szCs w:val="24"/>
        </w:rPr>
        <w:t>以及存在《中华人民共和国政府采购法实施条例》第十九条规定的行政处罚记录</w:t>
      </w:r>
      <w:r>
        <w:rPr>
          <w:rFonts w:hint="eastAsia" w:asciiTheme="minorEastAsia" w:hAnsiTheme="minorEastAsia" w:eastAsiaTheme="minorEastAsia" w:cstheme="minorEastAsia"/>
          <w:color w:val="000000"/>
          <w:kern w:val="2"/>
          <w:sz w:val="24"/>
          <w:szCs w:val="24"/>
          <w:lang w:val="en-US"/>
        </w:rPr>
        <w:t>，</w:t>
      </w:r>
      <w:r>
        <w:rPr>
          <w:rFonts w:hint="eastAsia" w:asciiTheme="minorEastAsia" w:hAnsiTheme="minorEastAsia" w:eastAsiaTheme="minorEastAsia" w:cstheme="minorEastAsia"/>
          <w:color w:val="000000"/>
          <w:kern w:val="2"/>
          <w:sz w:val="24"/>
          <w:szCs w:val="24"/>
        </w:rPr>
        <w:t>响应将被认定为</w:t>
      </w:r>
      <w:r>
        <w:rPr>
          <w:rFonts w:hint="eastAsia" w:asciiTheme="minorEastAsia" w:hAnsiTheme="minorEastAsia" w:eastAsiaTheme="minorEastAsia" w:cstheme="minorEastAsia"/>
          <w:b/>
          <w:color w:val="000000"/>
          <w:kern w:val="2"/>
          <w:sz w:val="24"/>
          <w:szCs w:val="24"/>
        </w:rPr>
        <w:t>无效处理</w:t>
      </w:r>
      <w:r>
        <w:rPr>
          <w:rFonts w:hint="eastAsia" w:asciiTheme="minorEastAsia" w:hAnsiTheme="minorEastAsia" w:eastAsiaTheme="minorEastAsia" w:cstheme="minorEastAsia"/>
          <w:color w:val="000000"/>
          <w:kern w:val="2"/>
          <w:sz w:val="24"/>
          <w:szCs w:val="24"/>
        </w:rPr>
        <w:t>。</w:t>
      </w:r>
      <w:r>
        <w:rPr>
          <w:rFonts w:hint="eastAsia" w:asciiTheme="minorEastAsia" w:hAnsiTheme="minorEastAsia" w:eastAsiaTheme="minorEastAsia" w:cstheme="minorEastAsia"/>
          <w:sz w:val="24"/>
          <w:szCs w:val="24"/>
          <w:lang w:val="en-US"/>
        </w:rPr>
        <w:t>联合体响应的，联合体成员存在以上不良信用记录的，视同联合体存在不良信用记录。</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14.4  出现下列情形之一的，将被认定为未实质性响应磋商文件：</w:t>
      </w:r>
    </w:p>
    <w:p>
      <w:pPr>
        <w:spacing w:line="360" w:lineRule="auto"/>
        <w:ind w:leftChars="0" w:right="0" w:rightChars="0" w:firstLine="0" w:firstLineChars="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（1）未按要求交纳保证金的；</w:t>
      </w:r>
    </w:p>
    <w:p>
      <w:pPr>
        <w:spacing w:line="360" w:lineRule="auto"/>
        <w:ind w:leftChars="0" w:right="0" w:rightChars="0" w:firstLine="0" w:firstLineChars="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（2）未按照磋商文件规定要求密封、签署、盖章的；</w:t>
      </w:r>
    </w:p>
    <w:p>
      <w:pPr>
        <w:spacing w:line="360" w:lineRule="auto"/>
        <w:ind w:leftChars="0" w:right="0" w:rightChars="0" w:firstLine="0" w:firstLineChars="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（3）供应商在报价时采用选择性报价；</w:t>
      </w:r>
    </w:p>
    <w:p>
      <w:pPr>
        <w:spacing w:line="360" w:lineRule="auto"/>
        <w:ind w:leftChars="0" w:right="0" w:rightChars="0" w:firstLine="0" w:firstLineChars="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（4）供应商不具备磋商文件中规定资格要求的；</w:t>
      </w:r>
    </w:p>
    <w:p>
      <w:pPr>
        <w:spacing w:line="360" w:lineRule="auto"/>
        <w:ind w:leftChars="0" w:right="0" w:rightChars="0" w:firstLine="0" w:firstLineChars="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（5）不符合法律、法规和磋商文件中规定的其他实质性要求的；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（6）其他法律、法规及本磋商文件规定的属于按无效处理的响应文件的情形。</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14.5  如果响应文件实质上没有响应磋商文件的要求，磋商小组将予以拒绝，供应商不得通过修改或撤销不合要求的偏离而使其响应文件成为实质性响应的文件。</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14.6  在按照 14.2 的规定进行审查时，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磋商小组澄清等要求的供应商如未按规定做出澄清，其风险由供应商自行承担。</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14.7  对未被认定为参加磋商的供应商和其它未实质性响应磋商文件的供应商，磋商小组将及时告知。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15.  磋商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15.1 依据磋商文件的要求和各供应商响应文件的应答情况，磋商小组所有成员集中在通知的时间，与参加的供应商逐一单独进行一轮或多轮磋商</w:t>
      </w:r>
      <w:r>
        <w:rPr>
          <w:rFonts w:hint="eastAsia" w:asciiTheme="minorEastAsia" w:hAnsiTheme="minorEastAsia" w:eastAsiaTheme="minorEastAsia" w:cstheme="minorEastAsia"/>
          <w:b/>
          <w:bCs/>
          <w:sz w:val="24"/>
          <w:szCs w:val="24"/>
          <w:lang w:val="en-US"/>
        </w:rPr>
        <w:t>，</w:t>
      </w:r>
      <w:r>
        <w:rPr>
          <w:rFonts w:hint="eastAsia" w:asciiTheme="minorEastAsia" w:hAnsiTheme="minorEastAsia" w:eastAsiaTheme="minorEastAsia" w:cstheme="minorEastAsia"/>
          <w:sz w:val="24"/>
          <w:szCs w:val="24"/>
          <w:lang w:val="en-US"/>
        </w:rPr>
        <w:t>具体磋商轮次见</w:t>
      </w:r>
      <w:r>
        <w:rPr>
          <w:rFonts w:hint="eastAsia" w:asciiTheme="minorEastAsia" w:hAnsiTheme="minorEastAsia" w:eastAsiaTheme="minorEastAsia" w:cstheme="minorEastAsia"/>
          <w:sz w:val="24"/>
          <w:szCs w:val="24"/>
          <w:u w:val="single"/>
          <w:lang w:val="en-US"/>
        </w:rPr>
        <w:t>供应商须知前附表</w:t>
      </w:r>
      <w:r>
        <w:rPr>
          <w:rFonts w:hint="eastAsia" w:asciiTheme="minorEastAsia" w:hAnsiTheme="minorEastAsia" w:eastAsiaTheme="minorEastAsia" w:cstheme="minorEastAsia"/>
          <w:sz w:val="24"/>
          <w:szCs w:val="24"/>
          <w:lang w:val="en-US"/>
        </w:rPr>
        <w:t>。磋商小组将给予所有参加磋商的供应商平等的磋商机会。</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15.2 磋商包括但不限于以下内容：</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（1）磋商小组根据磋商文件要求，对照各磋商供应商提交的响应文件中技术、服务以及合同草案条款等应答情况，进行确认或者询问；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（2）按</w:t>
      </w:r>
      <w:r>
        <w:rPr>
          <w:rFonts w:hint="eastAsia" w:asciiTheme="minorEastAsia" w:hAnsiTheme="minorEastAsia" w:eastAsiaTheme="minorEastAsia" w:cstheme="minorEastAsia"/>
          <w:spacing w:val="-5"/>
          <w:sz w:val="24"/>
          <w:szCs w:val="24"/>
          <w:u w:val="single"/>
          <w:lang w:val="en-US"/>
        </w:rPr>
        <w:t>供应商须知前附表</w:t>
      </w:r>
      <w:r>
        <w:rPr>
          <w:rFonts w:hint="eastAsia" w:asciiTheme="minorEastAsia" w:hAnsiTheme="minorEastAsia" w:eastAsiaTheme="minorEastAsia" w:cstheme="minorEastAsia"/>
          <w:sz w:val="24"/>
          <w:szCs w:val="24"/>
          <w:lang w:val="en-US"/>
        </w:rPr>
        <w:t>修改变动磋商文件，并及时以书面形式同时通知所有参加磋商的供应商；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（3）针对修改变动的磋商文件，与所有参加磋商的供应商进行确认或者询问。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16.  保密原则</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16.1 磋商将在严格保密的情况下进行。</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16.2 磋商小组成员以及与磋商工作有关的人员不得泄露评审和磋商过程中获悉的国家秘密、商业秘密，不得超越法规的规定向无关人员告知评审和磋商情况。</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供应商试图影响采购人、采购代理机构和评审委员会的任何活动，将导致其</w:t>
      </w:r>
      <w:r>
        <w:rPr>
          <w:rFonts w:hint="eastAsia" w:asciiTheme="minorEastAsia" w:hAnsiTheme="minorEastAsia" w:eastAsiaTheme="minorEastAsia" w:cstheme="minorEastAsia"/>
          <w:b/>
          <w:bCs/>
          <w:sz w:val="24"/>
          <w:szCs w:val="24"/>
          <w:lang w:val="en-US"/>
        </w:rPr>
        <w:t>响应被拒绝</w:t>
      </w:r>
      <w:r>
        <w:rPr>
          <w:rFonts w:hint="eastAsia" w:asciiTheme="minorEastAsia" w:hAnsiTheme="minorEastAsia" w:eastAsiaTheme="minorEastAsia" w:cstheme="minorEastAsia"/>
          <w:sz w:val="24"/>
          <w:szCs w:val="24"/>
          <w:lang w:val="en-US"/>
        </w:rPr>
        <w:t>，并承担相应的法律责任。</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
          <w:spacing w:val="0"/>
          <w:sz w:val="24"/>
          <w:szCs w:val="24"/>
          <w:lang w:bidi="zh-CN"/>
        </w:rPr>
        <w:t>七</w:t>
      </w:r>
      <w:r>
        <w:rPr>
          <w:rFonts w:hint="eastAsia" w:asciiTheme="minorEastAsia" w:hAnsiTheme="minorEastAsia" w:eastAsiaTheme="minorEastAsia" w:cstheme="minorEastAsia"/>
          <w:b/>
          <w:spacing w:val="0"/>
          <w:sz w:val="24"/>
          <w:szCs w:val="24"/>
          <w:lang w:bidi="zh-CN"/>
        </w:rPr>
        <w:tab/>
      </w:r>
      <w:r>
        <w:rPr>
          <w:rFonts w:hint="eastAsia" w:asciiTheme="minorEastAsia" w:hAnsiTheme="minorEastAsia" w:eastAsiaTheme="minorEastAsia" w:cstheme="minorEastAsia"/>
          <w:b/>
          <w:spacing w:val="0"/>
          <w:sz w:val="24"/>
          <w:szCs w:val="24"/>
          <w:lang w:bidi="zh-CN"/>
        </w:rPr>
        <w:t xml:space="preserve"> 最后报价</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17.  最后报价和最终采购需求的提交</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17.1 磋商结束后，所有继续参加磋商的供应商应在磋商小组规定时间内提交最后报价。如果磋商文件不能详细列明采购标的技术、服务要求，磋商结束后，磋商小组将按照少数服从多数的原则投票推荐 3 家以上供应商的设计方案或者解决方案，并要求其在规定时间内提交最后报价。</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17.2  最后报价是供应商响应文件的有效组成部分。</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18.   逾期提交的最后报价</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18.1  最后报价须在磋商小组规定的时间内</w:t>
      </w:r>
      <w:r>
        <w:rPr>
          <w:rFonts w:hint="eastAsia" w:asciiTheme="minorEastAsia" w:hAnsiTheme="minorEastAsia" w:eastAsiaTheme="minorEastAsia" w:cstheme="minorEastAsia"/>
          <w:bCs w:val="0"/>
          <w:spacing w:val="0"/>
          <w:sz w:val="24"/>
          <w:szCs w:val="24"/>
          <w:lang w:val="en-US" w:bidi="zh-CN"/>
        </w:rPr>
        <w:t>报价</w:t>
      </w:r>
      <w:r>
        <w:rPr>
          <w:rFonts w:hint="eastAsia" w:asciiTheme="minorEastAsia" w:hAnsiTheme="minorEastAsia" w:eastAsiaTheme="minorEastAsia" w:cstheme="minorEastAsia"/>
          <w:bCs w:val="0"/>
          <w:spacing w:val="0"/>
          <w:sz w:val="24"/>
          <w:szCs w:val="24"/>
          <w:lang w:bidi="zh-CN"/>
        </w:rPr>
        <w:t>。逾期提交最后报价的磋商供应商将被</w:t>
      </w:r>
      <w:r>
        <w:rPr>
          <w:rFonts w:hint="eastAsia" w:asciiTheme="minorEastAsia" w:hAnsiTheme="minorEastAsia" w:eastAsiaTheme="minorEastAsia" w:cstheme="minorEastAsia"/>
          <w:b/>
          <w:spacing w:val="0"/>
          <w:sz w:val="24"/>
          <w:szCs w:val="24"/>
          <w:lang w:bidi="zh-CN"/>
        </w:rPr>
        <w:t>取消授予合同</w:t>
      </w:r>
      <w:r>
        <w:rPr>
          <w:rFonts w:hint="eastAsia" w:asciiTheme="minorEastAsia" w:hAnsiTheme="minorEastAsia" w:eastAsiaTheme="minorEastAsia" w:cstheme="minorEastAsia"/>
          <w:bCs w:val="0"/>
          <w:spacing w:val="0"/>
          <w:sz w:val="24"/>
          <w:szCs w:val="24"/>
          <w:lang w:bidi="zh-CN"/>
        </w:rPr>
        <w:t>的资格。</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八</w:t>
      </w:r>
      <w:r>
        <w:rPr>
          <w:rFonts w:hint="eastAsia" w:asciiTheme="minorEastAsia" w:hAnsiTheme="minorEastAsia" w:eastAsiaTheme="minorEastAsia" w:cstheme="minorEastAsia"/>
          <w:b/>
          <w:spacing w:val="0"/>
          <w:sz w:val="24"/>
          <w:szCs w:val="24"/>
          <w:lang w:bidi="zh-CN"/>
        </w:rPr>
        <w:tab/>
      </w:r>
      <w:r>
        <w:rPr>
          <w:rFonts w:hint="eastAsia" w:asciiTheme="minorEastAsia" w:hAnsiTheme="minorEastAsia" w:eastAsiaTheme="minorEastAsia" w:cstheme="minorEastAsia"/>
          <w:b/>
          <w:spacing w:val="0"/>
          <w:sz w:val="24"/>
          <w:szCs w:val="24"/>
          <w:lang w:bidi="zh-CN"/>
        </w:rPr>
        <w:t xml:space="preserve"> 综合评审</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19.   评审</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19.1  磋商小组采用综合评分法对提交最后报价的供应商的响应文件和最后报价进行综合评分。</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19.2  磋商小组各成员应当独立对每个有效响应的文件进行评价、打分，然后汇总每个供应商的得分，计算得分平均值，以平均值高低进行排序。分值计算保留小数点后二位。</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九</w:t>
      </w:r>
      <w:r>
        <w:rPr>
          <w:rFonts w:hint="eastAsia" w:asciiTheme="minorEastAsia" w:hAnsiTheme="minorEastAsia" w:eastAsiaTheme="minorEastAsia" w:cstheme="minorEastAsia"/>
          <w:b/>
          <w:spacing w:val="0"/>
          <w:sz w:val="24"/>
          <w:szCs w:val="24"/>
          <w:lang w:bidi="zh-CN"/>
        </w:rPr>
        <w:tab/>
      </w:r>
      <w:r>
        <w:rPr>
          <w:rFonts w:hint="eastAsia" w:asciiTheme="minorEastAsia" w:hAnsiTheme="minorEastAsia" w:eastAsiaTheme="minorEastAsia" w:cstheme="minorEastAsia"/>
          <w:b/>
          <w:spacing w:val="0"/>
          <w:sz w:val="24"/>
          <w:szCs w:val="24"/>
          <w:lang w:bidi="zh-CN"/>
        </w:rPr>
        <w:t xml:space="preserve"> 确定成交候选供应商</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20.  确定成交候选供应商原则</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20.1 磋商小组按照打分结果由高到低的顺序提出成交候选供应商，推荐数量见</w:t>
      </w:r>
      <w:r>
        <w:rPr>
          <w:rFonts w:hint="eastAsia" w:asciiTheme="minorEastAsia" w:hAnsiTheme="minorEastAsia" w:eastAsiaTheme="minorEastAsia" w:cstheme="minorEastAsia"/>
          <w:spacing w:val="-5"/>
          <w:sz w:val="24"/>
          <w:szCs w:val="24"/>
          <w:u w:val="single"/>
          <w:lang w:bidi="zh-CN"/>
        </w:rPr>
        <w:t>供应商须知前附表</w:t>
      </w:r>
      <w:r>
        <w:rPr>
          <w:rFonts w:hint="eastAsia" w:asciiTheme="minorEastAsia" w:hAnsiTheme="minorEastAsia" w:eastAsiaTheme="minorEastAsia" w:cstheme="minorEastAsia"/>
          <w:bCs w:val="0"/>
          <w:spacing w:val="0"/>
          <w:sz w:val="24"/>
          <w:szCs w:val="24"/>
          <w:lang w:bidi="zh-CN"/>
        </w:rPr>
        <w:t>。被推荐为成交候选供应商的最后报价应不高于本项目最高限价。如出现评审得分相同的，按照最后报价由低到高的顺序推荐。如出现评审得分且最后报价相同的，按照技术评审得分由高到低顺序推荐。</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21.  最终评价确定</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21.1 采购人有权对推荐为成交候选供应商的资格条件及价格计算方面进行审查。</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21.2 采购人从评审报告提出的成交候选供应商中，按照排序由高到低的原则确定成交供应商，也可以书面授权磋商小组直接确定成交供应商。</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22.  签订合同</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22.1 采购代理机构将以书面形式向成交供应商发出成交通知书。</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22.2 成交通知书发出后，采购人将与成交供应商签订合同。</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22.3 磋商文件、成交供应商的响应文件及其澄清文件、承诺等，均为签订合同的依据。</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22.4 成交供应商拒绝与采购人签订合同的，采购人可以按照磋商评审报告推荐的成交候选供应商名单排序，确定下一候选供应商为成交供应商，也可以重新开展政府采购活动。</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22.5 当出现供应商自动放弃成交资格时，采购人可以按照磋商评审报告推荐的成交候选供应商名单排序，确定下一候选供应商为成交供应商，也可以重新开展政府采购活动。</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23.  履约保证金</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23.1 成交供应商应按照磋商</w:t>
      </w:r>
      <w:r>
        <w:rPr>
          <w:rFonts w:hint="eastAsia" w:asciiTheme="minorEastAsia" w:hAnsiTheme="minorEastAsia" w:eastAsiaTheme="minorEastAsia" w:cstheme="minorEastAsia"/>
          <w:bCs w:val="0"/>
          <w:spacing w:val="0"/>
          <w:sz w:val="24"/>
          <w:szCs w:val="24"/>
          <w:u w:val="single"/>
          <w:lang w:bidi="zh-CN"/>
        </w:rPr>
        <w:t>供应商须知前附表</w:t>
      </w:r>
      <w:r>
        <w:rPr>
          <w:rFonts w:hint="eastAsia" w:asciiTheme="minorEastAsia" w:hAnsiTheme="minorEastAsia" w:eastAsiaTheme="minorEastAsia" w:cstheme="minorEastAsia"/>
          <w:bCs w:val="0"/>
          <w:spacing w:val="0"/>
          <w:sz w:val="24"/>
          <w:szCs w:val="24"/>
          <w:lang w:bidi="zh-CN"/>
        </w:rPr>
        <w:t>规定的金额、形式和时间向采购人缴纳履约保证金。</w:t>
      </w:r>
    </w:p>
    <w:p>
      <w:pPr>
        <w:pStyle w:val="30"/>
        <w:keepNext w:val="0"/>
        <w:keepLines w:val="0"/>
        <w:pageBreakBefore w:val="0"/>
        <w:tabs>
          <w:tab w:val="right" w:pos="8820"/>
        </w:tabs>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23.2 如果成交供应商没有按照上述23.1款的规定执行，将视为放弃成交资格，成交供应商的投标保证金将被没收。在此情况下，采购人可确定下一候选人为成交供应商，也可以重新开展政府采购活动。</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24.  采购终止</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24.1 出现下列情形之一的，采购人或者采购代理机构将终止采购活动，发布项</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目终止公告并说明原因：</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（1）在采购活动中因重大变故，采购任务取消的；</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（2）因情况变化，不再符合规定的竞争性磋商采购方式适用情形的；</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（3）出现影响采购公正的违法、违规行为的；</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（5）法律法规规定的其他情形。</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25.  质疑与接收</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25.1 供应商认为磋商文件、采购过程和成交结果使自己的权益受到损害的，参照《政府采购法》、《政府采购法实施条例》和《政府采购质疑和投诉办法》的有关规定，可以依法向采购人或采购代理机构提出质疑。</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25.2 供应商应按照财政部制定的《政府采购质疑函范本》格式（可从财政部官方网站下载）和《政府采购质疑和投诉办法》的要求，</w:t>
      </w:r>
      <w:r>
        <w:rPr>
          <w:rFonts w:hint="eastAsia" w:asciiTheme="minorEastAsia" w:hAnsiTheme="minorEastAsia" w:eastAsiaTheme="minorEastAsia" w:cstheme="minorEastAsia"/>
          <w:b/>
          <w:spacing w:val="0"/>
          <w:sz w:val="24"/>
          <w:szCs w:val="24"/>
          <w:lang w:bidi="zh-CN"/>
        </w:rPr>
        <w:t>在法定质疑期内以纸质形式提出质疑，针对同一采购程序环节的质疑应一次性提出</w:t>
      </w:r>
      <w:r>
        <w:rPr>
          <w:rFonts w:hint="eastAsia" w:asciiTheme="minorEastAsia" w:hAnsiTheme="minorEastAsia" w:eastAsiaTheme="minorEastAsia" w:cstheme="minorEastAsia"/>
          <w:b/>
          <w:bCs w:val="0"/>
          <w:spacing w:val="0"/>
          <w:sz w:val="24"/>
          <w:szCs w:val="24"/>
          <w:lang w:bidi="zh-CN"/>
        </w:rPr>
        <w:t>。本项目不接受供应商多次/反复质疑。</w:t>
      </w:r>
      <w:r>
        <w:rPr>
          <w:rFonts w:hint="eastAsia" w:asciiTheme="minorEastAsia" w:hAnsiTheme="minorEastAsia" w:eastAsiaTheme="minorEastAsia" w:cstheme="minorEastAsia"/>
          <w:bCs w:val="0"/>
          <w:spacing w:val="0"/>
          <w:sz w:val="24"/>
          <w:szCs w:val="24"/>
          <w:lang w:bidi="zh-CN"/>
        </w:rPr>
        <w:t>超出法定质疑期的、重复提出的、分次提出的或内容、形式不符合《政府采购质疑和投诉办法》的，供应商将依法承担不利后果。</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25.3 采购代理机构质疑函接收部门、联系电话和通讯地址</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联系部门：新疆建投项目管理咨询有限公司</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default" w:asciiTheme="minorEastAsia" w:hAnsiTheme="minorEastAsia" w:eastAsiaTheme="minorEastAsia" w:cstheme="minorEastAsia"/>
          <w:bCs w:val="0"/>
          <w:spacing w:val="0"/>
          <w:sz w:val="24"/>
          <w:szCs w:val="24"/>
          <w:lang w:val="en-US" w:bidi="zh-CN"/>
        </w:rPr>
      </w:pPr>
      <w:r>
        <w:rPr>
          <w:rFonts w:hint="eastAsia" w:asciiTheme="minorEastAsia" w:hAnsiTheme="minorEastAsia" w:eastAsiaTheme="minorEastAsia" w:cstheme="minorEastAsia"/>
          <w:bCs w:val="0"/>
          <w:spacing w:val="0"/>
          <w:sz w:val="24"/>
          <w:szCs w:val="24"/>
          <w:lang w:bidi="zh-CN"/>
        </w:rPr>
        <w:t>联系电话：</w:t>
      </w:r>
      <w:r>
        <w:rPr>
          <w:rFonts w:hint="eastAsia" w:asciiTheme="minorEastAsia" w:hAnsiTheme="minorEastAsia" w:eastAsiaTheme="minorEastAsia" w:cstheme="minorEastAsia"/>
          <w:bCs w:val="0"/>
          <w:spacing w:val="0"/>
          <w:sz w:val="24"/>
          <w:szCs w:val="24"/>
          <w:lang w:val="en-US" w:bidi="zh-CN"/>
        </w:rPr>
        <w:t>0991-3075071</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通讯地址：</w:t>
      </w:r>
      <w:r>
        <w:rPr>
          <w:rFonts w:hint="eastAsia" w:ascii="宋体" w:hAnsi="宋体" w:cs="宋体"/>
          <w:sz w:val="24"/>
          <w:szCs w:val="24"/>
          <w:lang w:eastAsia="zh-CN"/>
        </w:rPr>
        <w:t>乌鲁木齐市经济技术开发区阿里山街566号建投大厦8楼808室</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十</w:t>
      </w:r>
      <w:r>
        <w:rPr>
          <w:rFonts w:hint="eastAsia" w:asciiTheme="minorEastAsia" w:hAnsiTheme="minorEastAsia" w:eastAsiaTheme="minorEastAsia" w:cstheme="minorEastAsia"/>
          <w:b/>
          <w:spacing w:val="0"/>
          <w:sz w:val="24"/>
          <w:szCs w:val="24"/>
          <w:lang w:bidi="zh-CN"/>
        </w:rPr>
        <w:tab/>
      </w:r>
      <w:r>
        <w:rPr>
          <w:rFonts w:hint="eastAsia" w:asciiTheme="minorEastAsia" w:hAnsiTheme="minorEastAsia" w:eastAsiaTheme="minorEastAsia" w:cstheme="minorEastAsia"/>
          <w:b/>
          <w:spacing w:val="0"/>
          <w:sz w:val="24"/>
          <w:szCs w:val="24"/>
          <w:lang w:bidi="zh-CN"/>
        </w:rPr>
        <w:t>其它</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
          <w:spacing w:val="0"/>
          <w:sz w:val="24"/>
          <w:szCs w:val="24"/>
          <w:lang w:bidi="zh-CN"/>
        </w:rPr>
      </w:pPr>
      <w:r>
        <w:rPr>
          <w:rFonts w:hint="eastAsia" w:asciiTheme="minorEastAsia" w:hAnsiTheme="minorEastAsia" w:eastAsiaTheme="minorEastAsia" w:cstheme="minorEastAsia"/>
          <w:b/>
          <w:spacing w:val="0"/>
          <w:sz w:val="24"/>
          <w:szCs w:val="24"/>
          <w:lang w:bidi="zh-CN"/>
        </w:rPr>
        <w:t>26.  代理服务费</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26.1 成交供应商须按照</w:t>
      </w:r>
      <w:r>
        <w:rPr>
          <w:rFonts w:hint="eastAsia" w:asciiTheme="minorEastAsia" w:hAnsiTheme="minorEastAsia" w:eastAsiaTheme="minorEastAsia" w:cstheme="minorEastAsia"/>
          <w:bCs w:val="0"/>
          <w:spacing w:val="0"/>
          <w:sz w:val="24"/>
          <w:szCs w:val="24"/>
          <w:u w:val="single"/>
          <w:lang w:bidi="zh-CN"/>
        </w:rPr>
        <w:t>供应商须知前附表</w:t>
      </w:r>
      <w:r>
        <w:rPr>
          <w:rFonts w:hint="eastAsia" w:asciiTheme="minorEastAsia" w:hAnsiTheme="minorEastAsia" w:eastAsiaTheme="minorEastAsia" w:cstheme="minorEastAsia"/>
          <w:bCs w:val="0"/>
          <w:spacing w:val="0"/>
          <w:sz w:val="24"/>
          <w:szCs w:val="24"/>
          <w:lang w:bidi="zh-CN"/>
        </w:rPr>
        <w:t>中的规定的金额、形式和时间，向采购代理机构支付代理服务费。</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
          <w:spacing w:val="0"/>
          <w:sz w:val="24"/>
          <w:szCs w:val="24"/>
          <w:lang w:bidi="zh-CN"/>
        </w:rPr>
      </w:pPr>
      <w:bookmarkStart w:id="37" w:name="_Toc507399482"/>
      <w:r>
        <w:rPr>
          <w:rFonts w:hint="eastAsia" w:asciiTheme="minorEastAsia" w:hAnsiTheme="minorEastAsia" w:eastAsiaTheme="minorEastAsia" w:cstheme="minorEastAsia"/>
          <w:b/>
          <w:spacing w:val="0"/>
          <w:sz w:val="24"/>
          <w:szCs w:val="24"/>
          <w:lang w:bidi="zh-CN"/>
        </w:rPr>
        <w:t>27.  廉洁自律规定</w:t>
      </w:r>
      <w:bookmarkEnd w:id="37"/>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27.1 采购代理机构工作人员不得以不正当手段获取政府采购代理业务，不得与采购人、供应商恶意串通操纵政府采购活动。</w:t>
      </w:r>
    </w:p>
    <w:p>
      <w:pPr>
        <w:pStyle w:val="30"/>
        <w:keepNext w:val="0"/>
        <w:keepLines w:val="0"/>
        <w:pageBreakBefore w:val="0"/>
        <w:kinsoku/>
        <w:wordWrap/>
        <w:overflowPunct/>
        <w:topLinePunct w:val="0"/>
        <w:bidi w:val="0"/>
        <w:adjustRightInd/>
        <w:snapToGrid/>
        <w:spacing w:before="0" w:after="0" w:line="360" w:lineRule="auto"/>
        <w:ind w:left="0" w:leftChars="0" w:right="0" w:rightChars="0" w:firstLine="0" w:firstLineChars="0"/>
        <w:textAlignment w:val="auto"/>
        <w:rPr>
          <w:rFonts w:hint="eastAsia" w:asciiTheme="minorEastAsia" w:hAnsiTheme="minorEastAsia" w:eastAsiaTheme="minorEastAsia" w:cstheme="minorEastAsia"/>
          <w:bCs w:val="0"/>
          <w:spacing w:val="0"/>
          <w:sz w:val="24"/>
          <w:szCs w:val="24"/>
          <w:lang w:bidi="zh-CN"/>
        </w:rPr>
      </w:pPr>
      <w:r>
        <w:rPr>
          <w:rFonts w:hint="eastAsia" w:asciiTheme="minorEastAsia" w:hAnsiTheme="minorEastAsia" w:eastAsiaTheme="minorEastAsia" w:cstheme="minorEastAsia"/>
          <w:bCs w:val="0"/>
          <w:spacing w:val="0"/>
          <w:sz w:val="24"/>
          <w:szCs w:val="24"/>
          <w:lang w:bidi="zh-CN"/>
        </w:rPr>
        <w:t>27.2 采购代理机构工作人员不得接受采购人或者供应商组织的宴请、旅游、娱乐，不得收受礼品、现金、有价证券等，不得向采购人或者供应商报销应当由个人承担的费用。</w:t>
      </w:r>
      <w:r>
        <w:rPr>
          <w:rFonts w:hint="eastAsia" w:asciiTheme="minorEastAsia" w:hAnsiTheme="minorEastAsia" w:eastAsiaTheme="minorEastAsia" w:cstheme="minorEastAsia"/>
          <w:sz w:val="24"/>
          <w:szCs w:val="24"/>
        </w:rPr>
        <w:br w:type="page"/>
      </w:r>
    </w:p>
    <w:p>
      <w:pPr>
        <w:pStyle w:val="30"/>
        <w:spacing w:line="440" w:lineRule="exact"/>
        <w:ind w:left="936" w:hanging="938" w:hangingChars="275"/>
        <w:jc w:val="center"/>
        <w:outlineLvl w:val="0"/>
        <w:rPr>
          <w:rFonts w:hint="eastAsia" w:asciiTheme="minorEastAsia" w:hAnsiTheme="minorEastAsia" w:eastAsiaTheme="minorEastAsia" w:cstheme="minorEastAsia"/>
          <w:b/>
          <w:bCs w:val="0"/>
          <w:sz w:val="32"/>
          <w:szCs w:val="32"/>
          <w:highlight w:val="none"/>
        </w:rPr>
      </w:pPr>
      <w:bookmarkStart w:id="38" w:name="_Toc507399488"/>
      <w:bookmarkStart w:id="39" w:name="_Toc12454"/>
      <w:bookmarkStart w:id="40" w:name="_Toc4926"/>
      <w:r>
        <w:rPr>
          <w:rFonts w:hint="eastAsia" w:asciiTheme="minorEastAsia" w:hAnsiTheme="minorEastAsia" w:eastAsiaTheme="minorEastAsia" w:cstheme="minorEastAsia"/>
          <w:b/>
          <w:bCs w:val="0"/>
          <w:sz w:val="32"/>
          <w:szCs w:val="32"/>
          <w:highlight w:val="none"/>
        </w:rPr>
        <w:t xml:space="preserve">第三章  </w:t>
      </w:r>
      <w:bookmarkEnd w:id="38"/>
      <w:r>
        <w:rPr>
          <w:rFonts w:hint="eastAsia" w:asciiTheme="minorEastAsia" w:hAnsiTheme="minorEastAsia" w:eastAsiaTheme="minorEastAsia" w:cstheme="minorEastAsia"/>
          <w:b/>
          <w:bCs w:val="0"/>
          <w:sz w:val="32"/>
          <w:szCs w:val="32"/>
          <w:highlight w:val="none"/>
        </w:rPr>
        <w:t>政府采购合同</w:t>
      </w:r>
      <w:bookmarkEnd w:id="39"/>
      <w:bookmarkEnd w:id="40"/>
    </w:p>
    <w:p>
      <w:pPr>
        <w:spacing w:line="440" w:lineRule="exact"/>
        <w:jc w:val="center"/>
        <w:rPr>
          <w:rFonts w:hint="eastAsia" w:asciiTheme="minorEastAsia" w:hAnsiTheme="minorEastAsia" w:eastAsiaTheme="minorEastAsia" w:cstheme="minorEastAsia"/>
          <w:b/>
          <w:bCs/>
          <w:color w:val="000000"/>
          <w:kern w:val="44"/>
          <w:sz w:val="24"/>
          <w:szCs w:val="24"/>
        </w:rPr>
      </w:pPr>
      <w:r>
        <w:rPr>
          <w:rFonts w:hint="eastAsia" w:asciiTheme="minorEastAsia" w:hAnsiTheme="minorEastAsia" w:eastAsiaTheme="minorEastAsia" w:cstheme="minorEastAsia"/>
          <w:b/>
          <w:bCs/>
          <w:color w:val="000000"/>
          <w:kern w:val="44"/>
          <w:sz w:val="24"/>
          <w:szCs w:val="24"/>
        </w:rPr>
        <w:t>注：合同文本仅供参考，具体签订以</w:t>
      </w:r>
      <w:r>
        <w:rPr>
          <w:rFonts w:hint="eastAsia" w:asciiTheme="minorEastAsia" w:hAnsiTheme="minorEastAsia" w:eastAsiaTheme="minorEastAsia" w:cstheme="minorEastAsia"/>
          <w:b/>
          <w:bCs/>
          <w:color w:val="000000"/>
          <w:kern w:val="44"/>
          <w:sz w:val="24"/>
          <w:szCs w:val="24"/>
          <w:lang w:eastAsia="zh-CN"/>
        </w:rPr>
        <w:t>乌鲁木齐经济技术开发区（乌鲁木齐市头屯河区）园林管理局</w:t>
      </w:r>
      <w:r>
        <w:rPr>
          <w:rFonts w:hint="eastAsia" w:asciiTheme="minorEastAsia" w:hAnsiTheme="minorEastAsia" w:eastAsiaTheme="minorEastAsia" w:cstheme="minorEastAsia"/>
          <w:b/>
          <w:bCs/>
          <w:color w:val="000000"/>
          <w:kern w:val="44"/>
          <w:sz w:val="24"/>
          <w:szCs w:val="24"/>
        </w:rPr>
        <w:t>提供合同为准。</w:t>
      </w:r>
    </w:p>
    <w:p>
      <w:pPr>
        <w:rPr>
          <w:rFonts w:hint="eastAsia" w:asciiTheme="minorEastAsia" w:hAnsiTheme="minorEastAsia" w:eastAsiaTheme="minorEastAsia" w:cstheme="minorEastAsia"/>
        </w:rPr>
      </w:pPr>
      <w:bookmarkStart w:id="41" w:name="_Toc416730567"/>
      <w:bookmarkStart w:id="42" w:name="_Toc416731450"/>
    </w:p>
    <w:bookmarkEnd w:id="41"/>
    <w:bookmarkEnd w:id="42"/>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ind w:firstLine="3200" w:firstLineChars="1000"/>
        <w:rPr>
          <w:rFonts w:hint="eastAsia" w:asciiTheme="minorEastAsia" w:hAnsiTheme="minorEastAsia" w:eastAsiaTheme="minorEastAsia" w:cstheme="minorEastAsia"/>
          <w:bCs/>
          <w:color w:val="000000"/>
          <w:sz w:val="32"/>
          <w:szCs w:val="32"/>
        </w:rPr>
      </w:pPr>
      <w:bookmarkStart w:id="43" w:name="_Toc296890982"/>
      <w:bookmarkStart w:id="44" w:name="_Toc296503025"/>
      <w:r>
        <w:rPr>
          <w:rFonts w:hint="eastAsia" w:asciiTheme="minorEastAsia" w:hAnsiTheme="minorEastAsia" w:eastAsiaTheme="minorEastAsia" w:cstheme="minorEastAsia"/>
          <w:bCs/>
          <w:color w:val="000000"/>
          <w:sz w:val="32"/>
          <w:szCs w:val="32"/>
        </w:rPr>
        <w:t>（GF—2017—0201）</w:t>
      </w:r>
    </w:p>
    <w:p>
      <w:pPr>
        <w:jc w:val="center"/>
        <w:rPr>
          <w:rFonts w:hint="eastAsia" w:asciiTheme="minorEastAsia" w:hAnsiTheme="minorEastAsia" w:eastAsiaTheme="minorEastAsia" w:cstheme="minorEastAsia"/>
          <w:b/>
          <w:color w:val="000000"/>
          <w:sz w:val="52"/>
          <w:szCs w:val="52"/>
        </w:rPr>
      </w:pPr>
    </w:p>
    <w:p>
      <w:pPr>
        <w:jc w:val="both"/>
        <w:rPr>
          <w:rFonts w:hint="eastAsia" w:asciiTheme="minorEastAsia" w:hAnsiTheme="minorEastAsia" w:eastAsiaTheme="minorEastAsia" w:cstheme="minorEastAsia"/>
          <w:b/>
          <w:color w:val="000000"/>
          <w:sz w:val="52"/>
          <w:szCs w:val="52"/>
        </w:rPr>
      </w:pPr>
    </w:p>
    <w:p>
      <w:pPr>
        <w:jc w:val="center"/>
        <w:rPr>
          <w:rFonts w:hint="eastAsia" w:asciiTheme="minorEastAsia" w:hAnsiTheme="minorEastAsia" w:eastAsiaTheme="minorEastAsia" w:cstheme="minorEastAsia"/>
          <w:b/>
          <w:color w:val="000000"/>
          <w:sz w:val="72"/>
          <w:szCs w:val="52"/>
        </w:rPr>
      </w:pPr>
      <w:r>
        <w:rPr>
          <w:rFonts w:hint="eastAsia" w:asciiTheme="minorEastAsia" w:hAnsiTheme="minorEastAsia" w:eastAsiaTheme="minorEastAsia" w:cstheme="minorEastAsia"/>
          <w:b/>
          <w:color w:val="000000"/>
          <w:sz w:val="72"/>
          <w:szCs w:val="52"/>
        </w:rPr>
        <w:t>建设工程施工合同</w:t>
      </w:r>
    </w:p>
    <w:p>
      <w:pPr>
        <w:pStyle w:val="4"/>
        <w:rPr>
          <w:rFonts w:hint="eastAsia" w:asciiTheme="minorEastAsia" w:hAnsiTheme="minorEastAsia" w:eastAsiaTheme="minorEastAsia" w:cstheme="minorEastAsia"/>
        </w:rPr>
      </w:pPr>
    </w:p>
    <w:p>
      <w:pPr>
        <w:pStyle w:val="10"/>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color w:val="000000"/>
          <w:sz w:val="52"/>
          <w:szCs w:val="52"/>
        </w:rPr>
      </w:pPr>
    </w:p>
    <w:p>
      <w:pPr>
        <w:rPr>
          <w:rFonts w:hint="eastAsia" w:asciiTheme="minorEastAsia" w:hAnsiTheme="minorEastAsia" w:eastAsiaTheme="minorEastAsia" w:cstheme="minorEastAsia"/>
          <w:b/>
          <w:color w:val="000000"/>
          <w:sz w:val="28"/>
          <w:szCs w:val="28"/>
        </w:rPr>
      </w:pPr>
    </w:p>
    <w:p>
      <w:pPr>
        <w:rPr>
          <w:rFonts w:hint="eastAsia" w:asciiTheme="minorEastAsia" w:hAnsiTheme="minorEastAsia" w:eastAsiaTheme="minorEastAsia" w:cstheme="minorEastAsia"/>
          <w:b/>
          <w:color w:val="000000"/>
          <w:sz w:val="28"/>
          <w:szCs w:val="28"/>
        </w:rPr>
      </w:pPr>
    </w:p>
    <w:p>
      <w:pPr>
        <w:rPr>
          <w:rFonts w:hint="eastAsia" w:asciiTheme="minorEastAsia" w:hAnsiTheme="minorEastAsia" w:eastAsiaTheme="minorEastAsia" w:cstheme="minorEastAsia"/>
          <w:b/>
          <w:color w:val="000000"/>
          <w:sz w:val="28"/>
          <w:szCs w:val="28"/>
        </w:rPr>
      </w:pPr>
    </w:p>
    <w:p>
      <w:pPr>
        <w:rPr>
          <w:rFonts w:hint="eastAsia" w:asciiTheme="minorEastAsia" w:hAnsiTheme="minorEastAsia" w:eastAsiaTheme="minorEastAsia" w:cstheme="minorEastAsia"/>
          <w:b/>
          <w:color w:val="000000"/>
          <w:sz w:val="28"/>
          <w:szCs w:val="28"/>
        </w:rPr>
      </w:pPr>
    </w:p>
    <w:p>
      <w:pPr>
        <w:rPr>
          <w:rFonts w:hint="eastAsia" w:asciiTheme="minorEastAsia" w:hAnsiTheme="minorEastAsia" w:eastAsiaTheme="minorEastAsia" w:cstheme="minorEastAsia"/>
          <w:b/>
          <w:color w:val="000000"/>
          <w:sz w:val="28"/>
          <w:szCs w:val="28"/>
        </w:rPr>
      </w:pPr>
    </w:p>
    <w:p>
      <w:pPr>
        <w:ind w:right="2849" w:rightChars="1295" w:firstLine="2868" w:firstLineChars="1304"/>
        <w:jc w:val="distribute"/>
        <w:rPr>
          <w:rFonts w:hint="eastAsia" w:asciiTheme="minorEastAsia" w:hAnsiTheme="minorEastAsia" w:eastAsiaTheme="minorEastAsia" w:cstheme="minorEastAsia"/>
          <w:b/>
          <w:color w:val="000000"/>
          <w:sz w:val="32"/>
          <w:szCs w:val="28"/>
        </w:rPr>
      </w:pPr>
      <w:r>
        <w:rPr>
          <w:rFonts w:hint="eastAsia" w:asciiTheme="minorEastAsia" w:hAnsiTheme="minorEastAsia" w:eastAsiaTheme="minorEastAsia" w:cstheme="minorEastAsia"/>
          <w:lang w:val="en-US" w:bidi="ar-SA"/>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0" name="文本框 1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MNYbgEAgAADgQAAA4AAAAAAAAAAQAgAAAAJwEA&#10;AGRycy9lMm9Eb2MueG1sUEsFBgAAAAAGAAYAWQEAAJ0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Theme="minorEastAsia" w:hAnsiTheme="minorEastAsia" w:eastAsiaTheme="minorEastAsia" w:cstheme="minorEastAsia"/>
          <w:b/>
          <w:color w:val="000000"/>
          <w:sz w:val="32"/>
          <w:szCs w:val="28"/>
        </w:rPr>
        <w:t>住房城乡建设部</w:t>
      </w:r>
    </w:p>
    <w:p>
      <w:pPr>
        <w:ind w:right="2849" w:rightChars="1295" w:firstLine="2750" w:firstLineChars="856"/>
        <w:jc w:val="distribute"/>
        <w:rPr>
          <w:rFonts w:hint="eastAsia" w:asciiTheme="minorEastAsia" w:hAnsiTheme="minorEastAsia" w:eastAsiaTheme="minorEastAsia" w:cstheme="minorEastAsia"/>
          <w:b/>
          <w:color w:val="000000"/>
          <w:sz w:val="32"/>
          <w:szCs w:val="28"/>
        </w:rPr>
      </w:pPr>
      <w:r>
        <w:rPr>
          <w:rFonts w:hint="eastAsia" w:asciiTheme="minorEastAsia" w:hAnsiTheme="minorEastAsia" w:eastAsiaTheme="minorEastAsia" w:cstheme="minorEastAsia"/>
          <w:b/>
          <w:color w:val="000000"/>
          <w:sz w:val="32"/>
          <w:szCs w:val="28"/>
        </w:rPr>
        <w:t>国家工商行政管理总局</w:t>
      </w:r>
    </w:p>
    <w:p>
      <w:pPr>
        <w:rPr>
          <w:rFonts w:hint="eastAsia" w:asciiTheme="minorEastAsia" w:hAnsiTheme="minorEastAsia" w:eastAsiaTheme="minorEastAsia" w:cstheme="minorEastAsia"/>
          <w:b/>
          <w:color w:val="000000"/>
        </w:rPr>
      </w:pPr>
    </w:p>
    <w:p>
      <w:pPr>
        <w:pStyle w:val="2"/>
        <w:rPr>
          <w:rFonts w:hint="eastAsia" w:asciiTheme="minorEastAsia" w:hAnsiTheme="minorEastAsia" w:eastAsiaTheme="minorEastAsia" w:cstheme="minorEastAsia"/>
          <w:sz w:val="28"/>
          <w:szCs w:val="28"/>
        </w:rPr>
        <w:sectPr>
          <w:footerReference r:id="rId8" w:type="first"/>
          <w:footerReference r:id="rId7" w:type="default"/>
          <w:pgSz w:w="11906" w:h="16838"/>
          <w:pgMar w:top="1418" w:right="1555" w:bottom="1418" w:left="1531" w:header="851" w:footer="992" w:gutter="0"/>
          <w:pgNumType w:fmt="decimal"/>
          <w:cols w:space="720" w:num="1"/>
          <w:titlePg/>
          <w:docGrid w:type="lines" w:linePitch="312" w:charSpace="0"/>
        </w:sectPr>
      </w:pPr>
    </w:p>
    <w:bookmarkEnd w:id="43"/>
    <w:bookmarkEnd w:id="44"/>
    <w:p>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val="0"/>
          <w:bCs/>
          <w:color w:val="000000"/>
          <w:kern w:val="2"/>
          <w:sz w:val="32"/>
          <w:szCs w:val="32"/>
          <w:lang w:val="en-US" w:eastAsia="zh-CN" w:bidi="ar-SA"/>
        </w:rPr>
      </w:pPr>
      <w:bookmarkStart w:id="45" w:name="_Toc725136582"/>
      <w:bookmarkStart w:id="46" w:name="_Toc1772115747"/>
      <w:bookmarkStart w:id="47" w:name="_Toc1081549402"/>
      <w:bookmarkStart w:id="48" w:name="_Toc26547"/>
      <w:bookmarkStart w:id="49" w:name="_Toc10868"/>
      <w:bookmarkStart w:id="50" w:name="_Toc12223"/>
      <w:bookmarkStart w:id="51" w:name="_Toc16153"/>
      <w:r>
        <w:rPr>
          <w:rFonts w:hint="eastAsia" w:asciiTheme="minorEastAsia" w:hAnsiTheme="minorEastAsia" w:eastAsiaTheme="minorEastAsia" w:cstheme="minorEastAsia"/>
          <w:b/>
          <w:bCs/>
          <w:kern w:val="2"/>
          <w:sz w:val="32"/>
          <w:szCs w:val="32"/>
          <w:lang w:val="en-US" w:eastAsia="zh-CN" w:bidi="ar-SA"/>
        </w:rPr>
        <w:t>第一部分 合同协议书</w:t>
      </w:r>
    </w:p>
    <w:p>
      <w:pPr>
        <w:autoSpaceDE/>
        <w:autoSpaceDN/>
        <w:spacing w:line="360" w:lineRule="auto"/>
        <w:jc w:val="left"/>
        <w:rPr>
          <w:rFonts w:hint="eastAsia" w:asciiTheme="minorEastAsia" w:hAnsiTheme="minorEastAsia" w:eastAsiaTheme="minorEastAsia" w:cstheme="minorEastAsia"/>
          <w:b/>
          <w:color w:val="000000"/>
          <w:kern w:val="2"/>
          <w:sz w:val="24"/>
          <w:szCs w:val="24"/>
          <w:u w:val="single"/>
          <w:lang w:val="en-US" w:eastAsia="zh-CN" w:bidi="ar-SA"/>
        </w:rPr>
      </w:pPr>
      <w:r>
        <w:rPr>
          <w:rFonts w:hint="eastAsia" w:asciiTheme="minorEastAsia" w:hAnsiTheme="minorEastAsia" w:eastAsiaTheme="minorEastAsia" w:cstheme="minorEastAsia"/>
          <w:b/>
          <w:color w:val="000000"/>
          <w:kern w:val="2"/>
          <w:sz w:val="24"/>
          <w:szCs w:val="24"/>
          <w:lang w:val="en-US" w:bidi="ar-SA"/>
        </w:rPr>
        <w:t>发包人（全称）：</w:t>
      </w:r>
      <w:r>
        <w:rPr>
          <w:rFonts w:hint="eastAsia" w:asciiTheme="minorEastAsia" w:hAnsiTheme="minorEastAsia" w:eastAsiaTheme="minorEastAsia" w:cstheme="minorEastAsia"/>
          <w:b w:val="0"/>
          <w:bCs/>
          <w:color w:val="000000"/>
          <w:kern w:val="2"/>
          <w:sz w:val="24"/>
          <w:szCs w:val="24"/>
          <w:u w:val="single"/>
          <w:lang w:val="en-US" w:bidi="ar-SA"/>
        </w:rPr>
        <w:t xml:space="preserve"> </w:t>
      </w:r>
      <w:r>
        <w:rPr>
          <w:rFonts w:hint="eastAsia" w:asciiTheme="minorEastAsia" w:hAnsiTheme="minorEastAsia" w:eastAsiaTheme="minorEastAsia" w:cstheme="minorEastAsia"/>
          <w:b w:val="0"/>
          <w:bCs/>
          <w:color w:val="000000"/>
          <w:kern w:val="2"/>
          <w:sz w:val="24"/>
          <w:szCs w:val="24"/>
          <w:u w:val="single"/>
          <w:lang w:val="en-US" w:eastAsia="zh-CN" w:bidi="ar-SA"/>
        </w:rPr>
        <w:t>乌鲁木齐经济技术开发区（乌鲁木齐市头屯河区）园林管理局</w:t>
      </w:r>
      <w:r>
        <w:rPr>
          <w:rFonts w:hint="eastAsia" w:asciiTheme="minorEastAsia" w:hAnsiTheme="minorEastAsia" w:eastAsiaTheme="minorEastAsia" w:cstheme="minorEastAsia"/>
          <w:b/>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u w:val="single"/>
          <w:lang w:val="en-US" w:eastAsia="zh-CN" w:bidi="ar-SA"/>
        </w:rPr>
      </w:pPr>
      <w:r>
        <w:rPr>
          <w:rFonts w:hint="eastAsia" w:asciiTheme="minorEastAsia" w:hAnsiTheme="minorEastAsia" w:eastAsiaTheme="minorEastAsia" w:cstheme="minorEastAsia"/>
          <w:b/>
          <w:color w:val="000000"/>
          <w:kern w:val="2"/>
          <w:sz w:val="24"/>
          <w:szCs w:val="24"/>
          <w:lang w:val="en-US" w:bidi="ar-SA"/>
        </w:rPr>
        <w:t>承包人（全称）：</w:t>
      </w:r>
      <w:r>
        <w:rPr>
          <w:rFonts w:hint="eastAsia" w:asciiTheme="minorEastAsia" w:hAnsiTheme="minorEastAsia" w:eastAsiaTheme="minorEastAsia" w:cstheme="minorEastAsia"/>
          <w:b/>
          <w:color w:val="000000"/>
          <w:kern w:val="2"/>
          <w:sz w:val="24"/>
          <w:szCs w:val="24"/>
          <w:u w:val="single"/>
          <w:lang w:val="en-US" w:bidi="ar-SA"/>
        </w:rPr>
        <w:t xml:space="preserve">                            </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2023年健身步道修补项目</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施工及有关事项协商一致，共同达成如下协议：</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eastAsiaTheme="minorEastAsia" w:cstheme="minorEastAsia"/>
          <w:b/>
          <w:bCs w:val="0"/>
          <w:color w:val="000000"/>
          <w:kern w:val="2"/>
          <w:sz w:val="24"/>
          <w:szCs w:val="24"/>
          <w:lang w:val="en-US" w:eastAsia="zh-CN" w:bidi="ar-SA"/>
        </w:rPr>
        <w:t xml:space="preserve">   </w:t>
      </w:r>
      <w:r>
        <w:rPr>
          <w:rFonts w:hint="eastAsia" w:asciiTheme="minorEastAsia" w:hAnsiTheme="minorEastAsia" w:eastAsiaTheme="minorEastAsia" w:cstheme="minorEastAsia"/>
          <w:b w:val="0"/>
          <w:bCs/>
          <w:color w:val="000000"/>
          <w:kern w:val="2"/>
          <w:sz w:val="24"/>
          <w:szCs w:val="24"/>
          <w:lang w:val="en-US" w:eastAsia="zh-CN" w:bidi="ar-SA"/>
        </w:rPr>
        <w:t xml:space="preserve"> </w:t>
      </w:r>
      <w:bookmarkStart w:id="52" w:name="_Toc351203481"/>
      <w:r>
        <w:rPr>
          <w:rFonts w:hint="eastAsia" w:asciiTheme="minorEastAsia" w:hAnsiTheme="minorEastAsia" w:eastAsiaTheme="minorEastAsia" w:cstheme="minorEastAsia"/>
          <w:b w:val="0"/>
          <w:bCs/>
          <w:color w:val="000000"/>
          <w:kern w:val="2"/>
          <w:sz w:val="24"/>
          <w:szCs w:val="24"/>
          <w:lang w:val="en-US" w:eastAsia="zh-CN" w:bidi="ar-SA"/>
        </w:rPr>
        <w:t>一、工程概况</w:t>
      </w:r>
      <w:bookmarkEnd w:id="52"/>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bCs/>
          <w:color w:val="000000"/>
          <w:kern w:val="2"/>
          <w:sz w:val="24"/>
          <w:szCs w:val="24"/>
          <w:lang w:val="en-US" w:bidi="ar-SA"/>
        </w:rPr>
        <w:t>1.工程名称</w:t>
      </w:r>
      <w:r>
        <w:rPr>
          <w:rFonts w:hint="eastAsia" w:asciiTheme="minorEastAsia" w:hAnsiTheme="minorEastAsia" w:eastAsiaTheme="minorEastAsia" w:cstheme="minorEastAsia"/>
          <w:color w:val="000000"/>
          <w:kern w:val="2"/>
          <w:sz w:val="24"/>
          <w:szCs w:val="24"/>
          <w:lang w:val="en-US" w:bidi="ar-SA"/>
        </w:rPr>
        <w:t>：</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2023年健身步道修补项目</w:t>
      </w:r>
    </w:p>
    <w:p>
      <w:pPr>
        <w:autoSpaceDE/>
        <w:autoSpaceDN/>
        <w:spacing w:line="360" w:lineRule="auto"/>
        <w:ind w:firstLine="480" w:firstLineChars="200"/>
        <w:jc w:val="both"/>
        <w:rPr>
          <w:rFonts w:hint="default" w:asciiTheme="minorEastAsia" w:hAnsiTheme="minorEastAsia" w:eastAsiaTheme="minorEastAsia" w:cstheme="minorEastAsia"/>
          <w:bCs/>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u w:val="none"/>
          <w:lang w:val="en-US" w:bidi="ar-SA"/>
        </w:rPr>
        <w:t>2.工程地点：</w:t>
      </w:r>
      <w:r>
        <w:rPr>
          <w:rFonts w:hint="eastAsia" w:asciiTheme="minorEastAsia" w:hAnsiTheme="minorEastAsia" w:eastAsiaTheme="minorEastAsia" w:cstheme="minorEastAsia"/>
          <w:color w:val="000000"/>
          <w:kern w:val="2"/>
          <w:sz w:val="24"/>
          <w:szCs w:val="24"/>
          <w:u w:val="single"/>
          <w:lang w:val="en-US" w:bidi="ar-SA"/>
        </w:rPr>
        <w:t>高铁核心区、开发区一期、西站片区、八钢片区</w:t>
      </w:r>
    </w:p>
    <w:p>
      <w:pPr>
        <w:autoSpaceDE/>
        <w:autoSpaceDN/>
        <w:spacing w:line="360" w:lineRule="auto"/>
        <w:ind w:firstLine="470" w:firstLineChars="196"/>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3.工程立项批准文号：</w:t>
      </w:r>
      <w:r>
        <w:rPr>
          <w:rFonts w:hint="eastAsia" w:asciiTheme="minorEastAsia" w:hAnsiTheme="minorEastAsia" w:eastAsiaTheme="minorEastAsia" w:cstheme="minorEastAsia"/>
          <w:color w:val="000000"/>
          <w:kern w:val="2"/>
          <w:sz w:val="24"/>
          <w:szCs w:val="24"/>
          <w:u w:val="single"/>
          <w:lang w:val="en-US" w:bidi="ar-SA"/>
        </w:rPr>
        <w:t xml:space="preserve">       </w:t>
      </w:r>
    </w:p>
    <w:p>
      <w:pPr>
        <w:autoSpaceDE/>
        <w:autoSpaceDN/>
        <w:spacing w:line="360" w:lineRule="auto"/>
        <w:ind w:firstLine="470" w:firstLineChars="196"/>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4.资金来源：</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ind w:firstLine="470" w:firstLineChars="196"/>
        <w:jc w:val="both"/>
        <w:rPr>
          <w:rFonts w:hint="eastAsia" w:asciiTheme="minorEastAsia" w:hAnsiTheme="minorEastAsia" w:eastAsiaTheme="minorEastAsia" w:cstheme="minorEastAsia"/>
          <w:b w:val="0"/>
          <w:bCs w:val="0"/>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5.工程内容：</w:t>
      </w:r>
      <w:r>
        <w:rPr>
          <w:rFonts w:hint="eastAsia" w:asciiTheme="minorEastAsia" w:hAnsiTheme="minorEastAsia" w:eastAsiaTheme="minorEastAsia" w:cstheme="minorEastAsia"/>
          <w:b w:val="0"/>
          <w:bCs w:val="0"/>
          <w:kern w:val="2"/>
          <w:sz w:val="24"/>
          <w:szCs w:val="24"/>
          <w:u w:val="single"/>
          <w:lang w:val="en-US" w:eastAsia="zh-CN" w:bidi="ar-SA"/>
        </w:rPr>
        <w:t xml:space="preserve">                                     </w:t>
      </w:r>
    </w:p>
    <w:p>
      <w:pPr>
        <w:autoSpaceDE/>
        <w:autoSpaceDN/>
        <w:spacing w:line="360" w:lineRule="auto"/>
        <w:ind w:firstLine="470" w:firstLineChars="196"/>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群体工程应附《承包人承揽工程项目一览表》（附件1）。</w:t>
      </w:r>
    </w:p>
    <w:p>
      <w:pPr>
        <w:autoSpaceDE/>
        <w:autoSpaceDN/>
        <w:spacing w:line="360" w:lineRule="auto"/>
        <w:ind w:firstLine="470" w:firstLineChars="196"/>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6.工程承包范围：</w:t>
      </w:r>
    </w:p>
    <w:p>
      <w:pPr>
        <w:autoSpaceDE/>
        <w:autoSpaceDN/>
        <w:spacing w:line="360" w:lineRule="auto"/>
        <w:ind w:firstLine="463" w:firstLineChars="193"/>
        <w:jc w:val="both"/>
        <w:rPr>
          <w:rFonts w:hint="eastAsia" w:asciiTheme="minorEastAsia" w:hAnsiTheme="minorEastAsia" w:eastAsiaTheme="minorEastAsia" w:cstheme="minorEastAsia"/>
          <w:b w:val="0"/>
          <w:bCs w:val="0"/>
          <w:kern w:val="2"/>
          <w:sz w:val="24"/>
          <w:szCs w:val="24"/>
          <w:u w:val="single"/>
          <w:lang w:val="en-US" w:bidi="ar-SA"/>
        </w:rPr>
      </w:pP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b w:val="0"/>
          <w:bCs w:val="0"/>
          <w:kern w:val="2"/>
          <w:sz w:val="24"/>
          <w:szCs w:val="24"/>
          <w:u w:val="single"/>
          <w:lang w:val="en-US" w:eastAsia="zh-CN" w:bidi="ar-SA"/>
        </w:rPr>
        <w:t>2023年健身步道修补项目</w:t>
      </w:r>
      <w:r>
        <w:rPr>
          <w:rFonts w:hint="eastAsia" w:asciiTheme="minorEastAsia" w:hAnsiTheme="minorEastAsia" w:eastAsiaTheme="minorEastAsia" w:cstheme="minorEastAsia"/>
          <w:b w:val="0"/>
          <w:bCs w:val="0"/>
          <w:kern w:val="2"/>
          <w:sz w:val="24"/>
          <w:szCs w:val="24"/>
          <w:u w:val="single"/>
          <w:lang w:val="en-US" w:bidi="ar-SA"/>
        </w:rPr>
        <w:t>施工，包括工程量清单，磋商文件及补充文件范围内的所有施工内容</w:t>
      </w:r>
      <w:r>
        <w:rPr>
          <w:rFonts w:hint="eastAsia" w:asciiTheme="minorEastAsia" w:hAnsiTheme="minorEastAsia" w:eastAsiaTheme="minorEastAsia" w:cstheme="minorEastAsia"/>
          <w:b w:val="0"/>
          <w:bCs w:val="0"/>
          <w:kern w:val="2"/>
          <w:sz w:val="24"/>
          <w:szCs w:val="24"/>
          <w:u w:val="single"/>
          <w:lang w:val="en-US" w:eastAsia="zh-CN" w:bidi="ar-SA"/>
        </w:rPr>
        <w:t>；</w:t>
      </w:r>
      <w:r>
        <w:rPr>
          <w:rFonts w:hint="eastAsia" w:asciiTheme="minorEastAsia" w:hAnsiTheme="minorEastAsia" w:eastAsiaTheme="minorEastAsia" w:cstheme="minorEastAsia"/>
          <w:b w:val="0"/>
          <w:bCs w:val="0"/>
          <w:kern w:val="2"/>
          <w:sz w:val="24"/>
          <w:szCs w:val="24"/>
          <w:u w:val="singl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 xml:space="preserve">   </w:t>
      </w:r>
      <w:bookmarkStart w:id="53" w:name="_Toc351203482"/>
      <w:r>
        <w:rPr>
          <w:rFonts w:hint="eastAsia" w:asciiTheme="minorEastAsia" w:hAnsiTheme="minorEastAsia" w:eastAsiaTheme="minorEastAsia" w:cstheme="minorEastAsia"/>
          <w:b w:val="0"/>
          <w:bCs/>
          <w:color w:val="000000"/>
          <w:kern w:val="2"/>
          <w:sz w:val="24"/>
          <w:szCs w:val="24"/>
          <w:lang w:val="en-US" w:eastAsia="zh-CN" w:bidi="ar-SA"/>
        </w:rPr>
        <w:t>二、合同工期</w:t>
      </w:r>
      <w:bookmarkEnd w:id="53"/>
    </w:p>
    <w:p>
      <w:pPr>
        <w:autoSpaceDE/>
        <w:autoSpaceDN/>
        <w:spacing w:line="360" w:lineRule="auto"/>
        <w:ind w:firstLine="459"/>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计划开工日期：</w:t>
      </w:r>
      <w:r>
        <w:rPr>
          <w:rFonts w:hint="eastAsia" w:asciiTheme="minorEastAsia" w:hAnsiTheme="minorEastAsia" w:eastAsiaTheme="minorEastAsia" w:cstheme="minorEastAsia"/>
          <w:color w:val="000000"/>
          <w:kern w:val="2"/>
          <w:sz w:val="24"/>
          <w:szCs w:val="24"/>
          <w:u w:val="single"/>
          <w:lang w:val="en-US" w:eastAsia="zh-CN" w:bidi="ar-SA"/>
        </w:rPr>
        <w:t>2023</w:t>
      </w:r>
      <w:r>
        <w:rPr>
          <w:rFonts w:hint="eastAsia" w:asciiTheme="minorEastAsia" w:hAnsiTheme="minorEastAsia" w:eastAsiaTheme="minorEastAsia" w:cstheme="minorEastAsia"/>
          <w:color w:val="000000"/>
          <w:kern w:val="2"/>
          <w:sz w:val="24"/>
          <w:szCs w:val="24"/>
          <w:lang w:val="en-US" w:bidi="ar-SA"/>
        </w:rPr>
        <w:t>年</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lang w:val="en-US" w:bidi="ar-SA"/>
        </w:rPr>
        <w:t>月</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lang w:val="en-US" w:bidi="ar-SA"/>
        </w:rPr>
        <w:t>日。</w:t>
      </w:r>
    </w:p>
    <w:p>
      <w:pPr>
        <w:autoSpaceDE/>
        <w:autoSpaceDN/>
        <w:spacing w:line="360" w:lineRule="auto"/>
        <w:ind w:firstLine="459"/>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计划竣工日期：</w:t>
      </w:r>
      <w:r>
        <w:rPr>
          <w:rFonts w:hint="eastAsia" w:asciiTheme="minorEastAsia" w:hAnsiTheme="minorEastAsia" w:eastAsiaTheme="minorEastAsia" w:cstheme="minorEastAsia"/>
          <w:color w:val="000000"/>
          <w:kern w:val="2"/>
          <w:sz w:val="24"/>
          <w:szCs w:val="24"/>
          <w:u w:val="single"/>
          <w:lang w:val="en-US" w:eastAsia="zh-CN" w:bidi="ar-SA"/>
        </w:rPr>
        <w:t>2023</w:t>
      </w:r>
      <w:r>
        <w:rPr>
          <w:rFonts w:hint="eastAsia" w:asciiTheme="minorEastAsia" w:hAnsiTheme="minorEastAsia" w:eastAsiaTheme="minorEastAsia" w:cstheme="minorEastAsia"/>
          <w:color w:val="000000"/>
          <w:kern w:val="2"/>
          <w:sz w:val="24"/>
          <w:szCs w:val="24"/>
          <w:lang w:val="en-US" w:bidi="ar-SA"/>
        </w:rPr>
        <w:t>年</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lang w:val="en-US" w:bidi="ar-SA"/>
        </w:rPr>
        <w:t>月</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lang w:val="en-US" w:bidi="ar-SA"/>
        </w:rPr>
        <w:t>日。</w:t>
      </w:r>
    </w:p>
    <w:p>
      <w:pPr>
        <w:autoSpaceDE/>
        <w:autoSpaceDN/>
        <w:spacing w:line="360" w:lineRule="auto"/>
        <w:ind w:firstLine="459"/>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工期总日历天数：</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lang w:val="en-US" w:bidi="ar-SA"/>
        </w:rPr>
        <w:t>天。工期总日历天数与根据前述计划开竣工日期计算的工期天数不一致的，以工期总日历天数为准。</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eastAsiaTheme="minorEastAsia" w:cstheme="minorEastAsia"/>
          <w:b/>
          <w:bCs w:val="0"/>
          <w:color w:val="000000"/>
          <w:kern w:val="2"/>
          <w:sz w:val="24"/>
          <w:szCs w:val="24"/>
          <w:lang w:val="en-US" w:eastAsia="zh-CN" w:bidi="ar-SA"/>
        </w:rPr>
        <w:t xml:space="preserve">    </w:t>
      </w:r>
      <w:bookmarkStart w:id="54" w:name="_Toc351203483"/>
      <w:r>
        <w:rPr>
          <w:rFonts w:hint="eastAsia" w:asciiTheme="minorEastAsia" w:hAnsiTheme="minorEastAsia" w:eastAsiaTheme="minorEastAsia" w:cstheme="minorEastAsia"/>
          <w:b w:val="0"/>
          <w:bCs/>
          <w:color w:val="000000"/>
          <w:kern w:val="2"/>
          <w:sz w:val="24"/>
          <w:szCs w:val="24"/>
          <w:lang w:val="en-US" w:eastAsia="zh-CN" w:bidi="ar-SA"/>
        </w:rPr>
        <w:t>三、质量标准</w:t>
      </w:r>
      <w:bookmarkEnd w:id="54"/>
    </w:p>
    <w:p>
      <w:pPr>
        <w:widowControl/>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工程质量符合</w:t>
      </w:r>
      <w:r>
        <w:rPr>
          <w:rFonts w:hint="eastAsia" w:asciiTheme="minorEastAsia" w:hAnsiTheme="minorEastAsia" w:eastAsiaTheme="minorEastAsia" w:cstheme="minorEastAsia"/>
          <w:color w:val="000000"/>
          <w:kern w:val="2"/>
          <w:sz w:val="24"/>
          <w:szCs w:val="24"/>
          <w:lang w:val="en-US" w:eastAsia="zh-CN" w:bidi="ar-SA"/>
        </w:rPr>
        <w:t>：</w:t>
      </w:r>
      <w:r>
        <w:rPr>
          <w:rFonts w:hint="eastAsia" w:asciiTheme="minorEastAsia" w:hAnsiTheme="minorEastAsia" w:eastAsiaTheme="minorEastAsia" w:cstheme="minorEastAsia"/>
          <w:color w:val="000000"/>
          <w:kern w:val="2"/>
          <w:sz w:val="24"/>
          <w:szCs w:val="24"/>
          <w:u w:val="single"/>
          <w:lang w:val="en-US" w:eastAsia="zh-CN" w:bidi="ar-SA"/>
        </w:rPr>
        <w:t>合格</w:t>
      </w:r>
      <w:r>
        <w:rPr>
          <w:rFonts w:hint="eastAsia" w:asciiTheme="minorEastAsia" w:hAnsiTheme="minorEastAsia" w:eastAsiaTheme="minorEastAsia" w:cstheme="minorEastAsia"/>
          <w:color w:val="000000"/>
          <w:kern w:val="2"/>
          <w:sz w:val="24"/>
          <w:szCs w:val="24"/>
          <w:lang w:val="en-US" w:bidi="ar-SA"/>
        </w:rPr>
        <w:t>标准。</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eastAsiaTheme="minorEastAsia" w:cstheme="minorEastAsia"/>
          <w:b/>
          <w:bCs w:val="0"/>
          <w:color w:val="000000"/>
          <w:kern w:val="2"/>
          <w:sz w:val="24"/>
          <w:szCs w:val="24"/>
          <w:lang w:val="en-US" w:eastAsia="zh-CN" w:bidi="ar-SA"/>
        </w:rPr>
        <w:t xml:space="preserve">   </w:t>
      </w:r>
      <w:r>
        <w:rPr>
          <w:rFonts w:hint="eastAsia" w:asciiTheme="minorEastAsia" w:hAnsiTheme="minorEastAsia" w:eastAsiaTheme="minorEastAsia" w:cstheme="minorEastAsia"/>
          <w:b w:val="0"/>
          <w:bCs/>
          <w:color w:val="000000"/>
          <w:kern w:val="2"/>
          <w:sz w:val="24"/>
          <w:szCs w:val="24"/>
          <w:lang w:val="en-US" w:eastAsia="zh-CN" w:bidi="ar-SA"/>
        </w:rPr>
        <w:t xml:space="preserve"> </w:t>
      </w:r>
      <w:bookmarkStart w:id="55" w:name="_Toc351203484"/>
      <w:r>
        <w:rPr>
          <w:rFonts w:hint="eastAsia" w:asciiTheme="minorEastAsia" w:hAnsiTheme="minorEastAsia" w:eastAsiaTheme="minorEastAsia" w:cstheme="minorEastAsia"/>
          <w:b w:val="0"/>
          <w:bCs/>
          <w:color w:val="000000"/>
          <w:kern w:val="2"/>
          <w:sz w:val="24"/>
          <w:szCs w:val="24"/>
          <w:lang w:val="en-US" w:eastAsia="zh-CN" w:bidi="ar-SA"/>
        </w:rPr>
        <w:t>四、签约合同价与合同价格形式</w:t>
      </w:r>
      <w:bookmarkEnd w:id="55"/>
      <w:r>
        <w:rPr>
          <w:rFonts w:hint="eastAsia" w:asciiTheme="minorEastAsia" w:hAnsiTheme="minorEastAsia" w:eastAsiaTheme="minorEastAsia" w:cstheme="minorEastAsia"/>
          <w:b w:val="0"/>
          <w:bCs/>
          <w:color w:val="000000"/>
          <w:kern w:val="2"/>
          <w:sz w:val="24"/>
          <w:szCs w:val="24"/>
          <w:lang w:val="en-US" w:eastAsia="zh-CN" w:bidi="ar-SA"/>
        </w:rPr>
        <w:tab/>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1.签约合同价为：</w:t>
      </w:r>
    </w:p>
    <w:p>
      <w:pPr>
        <w:autoSpaceDE/>
        <w:autoSpaceDN/>
        <w:spacing w:line="360" w:lineRule="auto"/>
        <w:ind w:firstLine="600" w:firstLineChars="25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人民币（大写）</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lang w:val="en-US" w:bidi="ar-SA"/>
        </w:rPr>
        <w:t>元)；</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2.合同价格形式：</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固定单价合同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   </w:t>
      </w:r>
      <w:r>
        <w:rPr>
          <w:rFonts w:hint="eastAsia" w:asciiTheme="minorEastAsia" w:hAnsiTheme="minorEastAsia" w:eastAsiaTheme="minorEastAsia" w:cstheme="minorEastAsia"/>
          <w:color w:val="000000"/>
          <w:kern w:val="2"/>
          <w:sz w:val="24"/>
          <w:szCs w:val="24"/>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bCs w:val="0"/>
          <w:color w:val="000000"/>
          <w:kern w:val="2"/>
          <w:sz w:val="24"/>
          <w:szCs w:val="24"/>
          <w:lang w:val="en-US" w:eastAsia="zh-CN" w:bidi="ar-SA"/>
        </w:rPr>
        <w:t xml:space="preserve">   </w:t>
      </w:r>
      <w:r>
        <w:rPr>
          <w:rFonts w:hint="eastAsia" w:asciiTheme="minorEastAsia" w:hAnsiTheme="minorEastAsia" w:eastAsiaTheme="minorEastAsia" w:cstheme="minorEastAsia"/>
          <w:b w:val="0"/>
          <w:bCs/>
          <w:color w:val="000000"/>
          <w:kern w:val="2"/>
          <w:sz w:val="24"/>
          <w:szCs w:val="24"/>
          <w:lang w:val="en-US" w:eastAsia="zh-CN" w:bidi="ar-SA"/>
        </w:rPr>
        <w:t xml:space="preserve"> </w:t>
      </w:r>
      <w:bookmarkStart w:id="56" w:name="_Toc351203485"/>
      <w:r>
        <w:rPr>
          <w:rFonts w:hint="eastAsia" w:asciiTheme="minorEastAsia" w:hAnsiTheme="minorEastAsia" w:eastAsiaTheme="minorEastAsia" w:cstheme="minorEastAsia"/>
          <w:b w:val="0"/>
          <w:bCs/>
          <w:color w:val="000000"/>
          <w:kern w:val="2"/>
          <w:sz w:val="24"/>
          <w:szCs w:val="24"/>
          <w:lang w:val="en-US" w:eastAsia="zh-CN" w:bidi="ar-SA"/>
        </w:rPr>
        <w:t>五、</w:t>
      </w:r>
      <w:bookmarkEnd w:id="56"/>
      <w:r>
        <w:rPr>
          <w:rFonts w:hint="eastAsia" w:asciiTheme="minorEastAsia" w:hAnsiTheme="minorEastAsia" w:eastAsiaTheme="minorEastAsia" w:cstheme="minorEastAsia"/>
          <w:b w:val="0"/>
          <w:bCs/>
          <w:color w:val="000000"/>
          <w:kern w:val="2"/>
          <w:sz w:val="24"/>
          <w:szCs w:val="24"/>
          <w:lang w:val="en-US" w:eastAsia="zh-CN" w:bidi="ar-SA"/>
        </w:rPr>
        <w:t>项目经理</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承包人项目经理：</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eastAsiaTheme="minorEastAsia" w:cstheme="minorEastAsia"/>
          <w:b/>
          <w:bCs w:val="0"/>
          <w:color w:val="000000"/>
          <w:kern w:val="2"/>
          <w:sz w:val="24"/>
          <w:szCs w:val="24"/>
          <w:lang w:val="en-US" w:eastAsia="zh-CN" w:bidi="ar-SA"/>
        </w:rPr>
        <w:t xml:space="preserve">   </w:t>
      </w:r>
      <w:r>
        <w:rPr>
          <w:rFonts w:hint="eastAsia" w:asciiTheme="minorEastAsia" w:hAnsiTheme="minorEastAsia" w:eastAsiaTheme="minorEastAsia" w:cstheme="minorEastAsia"/>
          <w:b w:val="0"/>
          <w:bCs/>
          <w:color w:val="000000"/>
          <w:kern w:val="2"/>
          <w:sz w:val="24"/>
          <w:szCs w:val="24"/>
          <w:lang w:val="en-US" w:eastAsia="zh-CN" w:bidi="ar-SA"/>
        </w:rPr>
        <w:t xml:space="preserve"> </w:t>
      </w:r>
      <w:bookmarkStart w:id="57" w:name="_Toc351203486"/>
      <w:r>
        <w:rPr>
          <w:rFonts w:hint="eastAsia" w:asciiTheme="minorEastAsia" w:hAnsiTheme="minorEastAsia" w:eastAsiaTheme="minorEastAsia" w:cstheme="minorEastAsia"/>
          <w:b w:val="0"/>
          <w:bCs/>
          <w:color w:val="000000"/>
          <w:kern w:val="2"/>
          <w:sz w:val="24"/>
          <w:szCs w:val="24"/>
          <w:lang w:val="en-US" w:eastAsia="zh-CN" w:bidi="ar-SA"/>
        </w:rPr>
        <w:t>六、合同文件构成</w:t>
      </w:r>
      <w:bookmarkEnd w:id="57"/>
    </w:p>
    <w:p>
      <w:pPr>
        <w:autoSpaceDE/>
        <w:autoSpaceDN/>
        <w:spacing w:line="360" w:lineRule="auto"/>
        <w:ind w:firstLine="480" w:firstLineChars="200"/>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本协议书与下列文件一起构成合同文件：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（1）中标通知书（如果有）；</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xml:space="preserve">（2）投标函及其附录（如果有）；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（3）专用合同条款及其附件；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（4）通用合同条款；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（5）技术标准和要求；</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（6）图纸；</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（7）已标价工程量清单或预算书；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（8）其他合同文件。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上述各项合同文件包括合同当事人就该项合同文件所作出的补充和修改，属于同一类内容的文件，应以最新签署的为准。专用合同条款及其附件须经合同当事人签字或盖章。</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kern w:val="2"/>
          <w:sz w:val="24"/>
          <w:szCs w:val="24"/>
          <w:lang w:val="en-US" w:eastAsia="zh-CN" w:bidi="ar-SA"/>
        </w:rPr>
        <w:t xml:space="preserve">   </w:t>
      </w:r>
      <w:r>
        <w:rPr>
          <w:rFonts w:hint="eastAsia" w:asciiTheme="minorEastAsia" w:hAnsiTheme="minorEastAsia" w:eastAsiaTheme="minorEastAsia" w:cstheme="minorEastAsia"/>
          <w:b w:val="0"/>
          <w:bCs/>
          <w:color w:val="000000"/>
          <w:kern w:val="2"/>
          <w:sz w:val="24"/>
          <w:szCs w:val="24"/>
          <w:lang w:val="en-US" w:eastAsia="zh-CN" w:bidi="ar-SA"/>
        </w:rPr>
        <w:t xml:space="preserve"> </w:t>
      </w:r>
      <w:bookmarkStart w:id="58" w:name="_Toc351203487"/>
      <w:r>
        <w:rPr>
          <w:rFonts w:hint="eastAsia" w:asciiTheme="minorEastAsia" w:hAnsiTheme="minorEastAsia" w:eastAsiaTheme="minorEastAsia" w:cstheme="minorEastAsia"/>
          <w:b w:val="0"/>
          <w:bCs/>
          <w:color w:val="000000"/>
          <w:kern w:val="2"/>
          <w:sz w:val="24"/>
          <w:szCs w:val="24"/>
          <w:lang w:val="en-US" w:eastAsia="zh-CN" w:bidi="ar-SA"/>
        </w:rPr>
        <w:t>七、承诺</w:t>
      </w:r>
      <w:bookmarkEnd w:id="58"/>
    </w:p>
    <w:p>
      <w:pPr>
        <w:autoSpaceDE/>
        <w:autoSpaceDN/>
        <w:spacing w:line="360" w:lineRule="auto"/>
        <w:ind w:firstLine="480" w:firstLineChars="200"/>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1.发包人承诺按照法律规定履行项目审批手续、筹集工程建设资金并按照合同约定的期限和方式支付合同价款，及时足额支付人工费用至农民工工资专用账户，并加强对施工总承包单位按时足额支付农民工工资的监督。</w:t>
      </w:r>
    </w:p>
    <w:p>
      <w:pPr>
        <w:autoSpaceDE/>
        <w:autoSpaceDN/>
        <w:spacing w:line="360" w:lineRule="auto"/>
        <w:ind w:firstLine="480" w:firstLineChars="200"/>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2.承包人承诺按照法律规定及合同约定组织完成工程施工，确保工程质量和安全，不进行转包及违法分包，并在缺陷责任期及保修期内承担相应的工程维修责任；按照有关规定开设农民工工资专用账户，专项用于支付本工程农民工工资。农民工工资拨付周期不超过1个月。</w:t>
      </w:r>
    </w:p>
    <w:p>
      <w:pPr>
        <w:autoSpaceDE/>
        <w:autoSpaceDN/>
        <w:spacing w:line="360" w:lineRule="auto"/>
        <w:ind w:firstLine="480" w:firstLineChars="200"/>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3.发包人和承包人通过招投标形式签订合同的，双方理解并承诺不再就同一工程另行签订与合同实质性内容相背离的协议。</w:t>
      </w:r>
    </w:p>
    <w:p>
      <w:pPr>
        <w:autoSpaceDE/>
        <w:autoSpaceDN/>
        <w:spacing w:line="360" w:lineRule="auto"/>
        <w:jc w:val="both"/>
        <w:rPr>
          <w:rFonts w:hint="eastAsia" w:asciiTheme="minorEastAsia" w:hAnsiTheme="minorEastAsia" w:eastAsiaTheme="minorEastAsia" w:cstheme="minorEastAsia"/>
          <w:bCs/>
          <w:color w:val="000000"/>
          <w:kern w:val="2"/>
          <w:sz w:val="24"/>
          <w:szCs w:val="24"/>
          <w:lang w:val="en-US" w:bidi="ar-SA"/>
        </w:rPr>
      </w:pPr>
      <w:bookmarkStart w:id="59" w:name="_Toc351203488"/>
      <w:r>
        <w:rPr>
          <w:rFonts w:hint="eastAsia" w:asciiTheme="minorEastAsia" w:hAnsiTheme="minorEastAsia" w:eastAsiaTheme="minorEastAsia" w:cstheme="minorEastAsia"/>
          <w:b/>
          <w:color w:val="000000"/>
          <w:kern w:val="2"/>
          <w:sz w:val="24"/>
          <w:szCs w:val="24"/>
          <w:lang w:val="en-US" w:bidi="ar-SA"/>
        </w:rPr>
        <w:t xml:space="preserve">    八、词语含义</w:t>
      </w:r>
      <w:bookmarkEnd w:id="59"/>
    </w:p>
    <w:p>
      <w:pPr>
        <w:autoSpaceDE/>
        <w:autoSpaceDN/>
        <w:spacing w:line="360" w:lineRule="auto"/>
        <w:ind w:firstLine="480" w:firstLineChars="200"/>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本协议书中词语含义与第二部分通用合同条款中赋予的含义相同。</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eastAsiaTheme="minorEastAsia" w:cstheme="minorEastAsia"/>
          <w:b/>
          <w:bCs w:val="0"/>
          <w:color w:val="000000"/>
          <w:kern w:val="2"/>
          <w:sz w:val="24"/>
          <w:szCs w:val="24"/>
          <w:lang w:val="en-US" w:eastAsia="zh-CN" w:bidi="ar-SA"/>
        </w:rPr>
        <w:t xml:space="preserve">  </w:t>
      </w:r>
      <w:r>
        <w:rPr>
          <w:rFonts w:hint="eastAsia" w:asciiTheme="minorEastAsia" w:hAnsiTheme="minorEastAsia" w:eastAsiaTheme="minorEastAsia" w:cstheme="minorEastAsia"/>
          <w:b w:val="0"/>
          <w:bCs/>
          <w:color w:val="000000"/>
          <w:kern w:val="2"/>
          <w:sz w:val="24"/>
          <w:szCs w:val="24"/>
          <w:lang w:val="en-US" w:eastAsia="zh-CN" w:bidi="ar-SA"/>
        </w:rPr>
        <w:t xml:space="preserve">  </w:t>
      </w:r>
      <w:bookmarkStart w:id="60" w:name="_Toc351203489"/>
      <w:r>
        <w:rPr>
          <w:rFonts w:hint="eastAsia" w:asciiTheme="minorEastAsia" w:hAnsiTheme="minorEastAsia" w:eastAsiaTheme="minorEastAsia" w:cstheme="minorEastAsia"/>
          <w:b w:val="0"/>
          <w:bCs/>
          <w:color w:val="000000"/>
          <w:kern w:val="2"/>
          <w:sz w:val="24"/>
          <w:szCs w:val="24"/>
          <w:lang w:val="en-US" w:eastAsia="zh-CN" w:bidi="ar-SA"/>
        </w:rPr>
        <w:t>九、签订时间</w:t>
      </w:r>
      <w:bookmarkEnd w:id="60"/>
    </w:p>
    <w:p>
      <w:pPr>
        <w:autoSpaceDE/>
        <w:autoSpaceDN/>
        <w:spacing w:line="360" w:lineRule="auto"/>
        <w:ind w:firstLine="480" w:firstLineChars="200"/>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本合同于</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u w:val="single"/>
          <w:lang w:val="en-US" w:eastAsia="zh-CN" w:bidi="ar-SA"/>
        </w:rPr>
        <w:t>2023</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lang w:val="en-US" w:bidi="ar-SA"/>
        </w:rPr>
        <w:t>年</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u w:val="single"/>
          <w:lang w:val="en-US" w:eastAsia="zh-CN" w:bidi="ar-SA"/>
        </w:rPr>
        <w:t xml:space="preserve">  </w:t>
      </w:r>
      <w:r>
        <w:rPr>
          <w:rFonts w:hint="eastAsia" w:asciiTheme="minorEastAsia" w:hAnsiTheme="minorEastAsia" w:eastAsiaTheme="minorEastAsia" w:cstheme="minorEastAsia"/>
          <w:bCs/>
          <w:color w:val="000000"/>
          <w:kern w:val="2"/>
          <w:sz w:val="24"/>
          <w:szCs w:val="24"/>
          <w:lang w:val="en-US" w:bidi="ar-SA"/>
        </w:rPr>
        <w:t>月</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u w:val="single"/>
          <w:lang w:val="en-US" w:eastAsia="zh-CN" w:bidi="ar-SA"/>
        </w:rPr>
        <w:t xml:space="preserve"> </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lang w:val="en-US" w:bidi="ar-SA"/>
        </w:rPr>
        <w:t>日签订。</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eastAsiaTheme="minorEastAsia" w:cstheme="minorEastAsia"/>
          <w:b/>
          <w:bCs w:val="0"/>
          <w:color w:val="000000"/>
          <w:kern w:val="2"/>
          <w:sz w:val="24"/>
          <w:szCs w:val="24"/>
          <w:lang w:val="en-US" w:eastAsia="zh-CN" w:bidi="ar-SA"/>
        </w:rPr>
        <w:t xml:space="preserve">    </w:t>
      </w:r>
      <w:bookmarkStart w:id="61" w:name="_Toc351203490"/>
      <w:r>
        <w:rPr>
          <w:rFonts w:hint="eastAsia" w:asciiTheme="minorEastAsia" w:hAnsiTheme="minorEastAsia" w:eastAsiaTheme="minorEastAsia" w:cstheme="minorEastAsia"/>
          <w:b w:val="0"/>
          <w:bCs/>
          <w:color w:val="000000"/>
          <w:kern w:val="2"/>
          <w:sz w:val="24"/>
          <w:szCs w:val="24"/>
          <w:lang w:val="en-US" w:eastAsia="zh-CN" w:bidi="ar-SA"/>
        </w:rPr>
        <w:t>十、签订地点</w:t>
      </w:r>
      <w:bookmarkEnd w:id="61"/>
    </w:p>
    <w:p>
      <w:pPr>
        <w:autoSpaceDE/>
        <w:autoSpaceDN/>
        <w:spacing w:line="360" w:lineRule="auto"/>
        <w:ind w:firstLine="480" w:firstLineChars="200"/>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本合同在</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u w:val="single"/>
          <w:lang w:val="en-US" w:eastAsia="zh-CN" w:bidi="ar-SA"/>
        </w:rPr>
        <w:t>乌鲁木齐经济技术开发区（乌鲁木齐市头屯河区）园林管理局</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lang w:val="en-US" w:bidi="ar-SA"/>
        </w:rPr>
        <w:t>签订。</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eastAsiaTheme="minorEastAsia" w:cstheme="minorEastAsia"/>
          <w:b/>
          <w:bCs w:val="0"/>
          <w:color w:val="000000"/>
          <w:kern w:val="2"/>
          <w:sz w:val="24"/>
          <w:szCs w:val="24"/>
          <w:lang w:val="en-US" w:eastAsia="zh-CN" w:bidi="ar-SA"/>
        </w:rPr>
        <w:t xml:space="preserve">    </w:t>
      </w:r>
      <w:bookmarkStart w:id="62" w:name="_Toc351203491"/>
      <w:r>
        <w:rPr>
          <w:rFonts w:hint="eastAsia" w:asciiTheme="minorEastAsia" w:hAnsiTheme="minorEastAsia" w:eastAsiaTheme="minorEastAsia" w:cstheme="minorEastAsia"/>
          <w:b w:val="0"/>
          <w:bCs/>
          <w:color w:val="000000"/>
          <w:kern w:val="2"/>
          <w:sz w:val="24"/>
          <w:szCs w:val="24"/>
          <w:lang w:val="en-US" w:eastAsia="zh-CN" w:bidi="ar-SA"/>
        </w:rPr>
        <w:t>十一、补充协议</w:t>
      </w:r>
      <w:bookmarkEnd w:id="62"/>
    </w:p>
    <w:p>
      <w:pPr>
        <w:autoSpaceDE/>
        <w:autoSpaceDN/>
        <w:spacing w:line="360" w:lineRule="auto"/>
        <w:ind w:firstLine="480" w:firstLineChars="200"/>
        <w:jc w:val="both"/>
        <w:rPr>
          <w:rFonts w:hint="eastAsia" w:asciiTheme="minorEastAsia" w:hAnsiTheme="minorEastAsia" w:eastAsiaTheme="minorEastAsia" w:cstheme="minorEastAsia"/>
          <w:b/>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合同未尽事宜，合同当事人另行签订补充协议，补充协议是合同的组成部分。</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eastAsiaTheme="minorEastAsia" w:cstheme="minorEastAsia"/>
          <w:b/>
          <w:bCs w:val="0"/>
          <w:color w:val="000000"/>
          <w:kern w:val="2"/>
          <w:sz w:val="24"/>
          <w:szCs w:val="24"/>
          <w:lang w:val="en-US" w:eastAsia="zh-CN" w:bidi="ar-SA"/>
        </w:rPr>
        <w:t xml:space="preserve">    </w:t>
      </w:r>
      <w:bookmarkStart w:id="63" w:name="_Toc351203492"/>
      <w:r>
        <w:rPr>
          <w:rFonts w:hint="eastAsia" w:asciiTheme="minorEastAsia" w:hAnsiTheme="minorEastAsia" w:eastAsiaTheme="minorEastAsia" w:cstheme="minorEastAsia"/>
          <w:b w:val="0"/>
          <w:bCs/>
          <w:color w:val="000000"/>
          <w:kern w:val="2"/>
          <w:sz w:val="24"/>
          <w:szCs w:val="24"/>
          <w:lang w:val="en-US" w:eastAsia="zh-CN" w:bidi="ar-SA"/>
        </w:rPr>
        <w:t>十二、合同生效</w:t>
      </w:r>
      <w:bookmarkEnd w:id="63"/>
    </w:p>
    <w:p>
      <w:pPr>
        <w:autoSpaceDE/>
        <w:autoSpaceDN/>
        <w:spacing w:line="360" w:lineRule="auto"/>
        <w:ind w:firstLine="480" w:firstLineChars="200"/>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本合同自</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u w:val="single"/>
          <w:lang w:val="en-US" w:eastAsia="zh-CN" w:bidi="ar-SA"/>
        </w:rPr>
        <w:t>双方签字盖章后</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lang w:val="en-US" w:bidi="ar-SA"/>
        </w:rPr>
        <w:t>生效。</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eastAsiaTheme="minorEastAsia" w:cstheme="minorEastAsia"/>
          <w:b/>
          <w:bCs w:val="0"/>
          <w:color w:val="000000"/>
          <w:kern w:val="2"/>
          <w:sz w:val="24"/>
          <w:szCs w:val="24"/>
          <w:lang w:val="en-US" w:eastAsia="zh-CN" w:bidi="ar-SA"/>
        </w:rPr>
        <w:t xml:space="preserve">    </w:t>
      </w:r>
      <w:bookmarkStart w:id="64" w:name="_Toc351203493"/>
      <w:r>
        <w:rPr>
          <w:rFonts w:hint="eastAsia" w:asciiTheme="minorEastAsia" w:hAnsiTheme="minorEastAsia" w:eastAsiaTheme="minorEastAsia" w:cstheme="minorEastAsia"/>
          <w:b w:val="0"/>
          <w:bCs/>
          <w:color w:val="000000"/>
          <w:kern w:val="2"/>
          <w:sz w:val="24"/>
          <w:szCs w:val="24"/>
          <w:lang w:val="en-US" w:eastAsia="zh-CN" w:bidi="ar-SA"/>
        </w:rPr>
        <w:t>十三、合同份数</w:t>
      </w:r>
      <w:bookmarkEnd w:id="64"/>
    </w:p>
    <w:p>
      <w:pPr>
        <w:autoSpaceDE/>
        <w:autoSpaceDN/>
        <w:spacing w:line="360" w:lineRule="auto"/>
        <w:ind w:firstLine="480" w:firstLineChars="200"/>
        <w:jc w:val="both"/>
        <w:rPr>
          <w:rFonts w:hint="eastAsia" w:asciiTheme="minorEastAsia" w:hAnsiTheme="minorEastAsia" w:eastAsiaTheme="minorEastAsia" w:cstheme="minorEastAsia"/>
          <w:bCs/>
          <w:color w:val="000000"/>
          <w:kern w:val="2"/>
          <w:sz w:val="24"/>
          <w:szCs w:val="24"/>
          <w:lang w:val="en-US" w:bidi="ar-SA"/>
        </w:rPr>
      </w:pPr>
      <w:r>
        <w:rPr>
          <w:rFonts w:hint="eastAsia" w:asciiTheme="minorEastAsia" w:hAnsiTheme="minorEastAsia" w:eastAsiaTheme="minorEastAsia" w:cstheme="minorEastAsia"/>
          <w:bCs/>
          <w:color w:val="000000"/>
          <w:kern w:val="2"/>
          <w:sz w:val="24"/>
          <w:szCs w:val="24"/>
          <w:lang w:val="en-US" w:bidi="ar-SA"/>
        </w:rPr>
        <w:t>本合同一式</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u w:val="single"/>
          <w:lang w:val="en-US" w:eastAsia="zh-CN" w:bidi="ar-SA"/>
        </w:rPr>
        <w:t>伍</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lang w:val="en-US" w:bidi="ar-SA"/>
        </w:rPr>
        <w:t>份，均具有同等法律效力，发包人执</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u w:val="single"/>
          <w:lang w:val="en-US" w:eastAsia="zh-CN" w:bidi="ar-SA"/>
        </w:rPr>
        <w:t>叁</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lang w:val="en-US" w:bidi="ar-SA"/>
        </w:rPr>
        <w:t>份，承包人执</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u w:val="single"/>
          <w:lang w:val="en-US" w:eastAsia="zh-CN" w:bidi="ar-SA"/>
        </w:rPr>
        <w:t>贰</w:t>
      </w:r>
      <w:r>
        <w:rPr>
          <w:rFonts w:hint="eastAsia" w:asciiTheme="minorEastAsia" w:hAnsiTheme="minorEastAsia" w:eastAsiaTheme="minorEastAsia" w:cstheme="minorEastAsia"/>
          <w:bCs/>
          <w:color w:val="000000"/>
          <w:kern w:val="2"/>
          <w:sz w:val="24"/>
          <w:szCs w:val="24"/>
          <w:u w:val="single"/>
          <w:lang w:val="en-US" w:bidi="ar-SA"/>
        </w:rPr>
        <w:t xml:space="preserve"> </w:t>
      </w:r>
      <w:r>
        <w:rPr>
          <w:rFonts w:hint="eastAsia" w:asciiTheme="minorEastAsia" w:hAnsiTheme="minorEastAsia" w:eastAsiaTheme="minorEastAsia" w:cstheme="minorEastAsia"/>
          <w:bCs/>
          <w:color w:val="000000"/>
          <w:kern w:val="2"/>
          <w:sz w:val="24"/>
          <w:szCs w:val="24"/>
          <w:lang w:val="en-US" w:bidi="ar-SA"/>
        </w:rPr>
        <w:t>份。</w:t>
      </w:r>
    </w:p>
    <w:p>
      <w:pPr>
        <w:autoSpaceDE/>
        <w:autoSpaceDN/>
        <w:spacing w:line="360" w:lineRule="auto"/>
        <w:jc w:val="both"/>
        <w:rPr>
          <w:rFonts w:hint="eastAsia" w:asciiTheme="minorEastAsia" w:hAnsiTheme="minorEastAsia" w:eastAsiaTheme="minorEastAsia" w:cstheme="minorEastAsia"/>
          <w:bCs/>
          <w:color w:val="000000"/>
          <w:kern w:val="2"/>
          <w:sz w:val="24"/>
          <w:szCs w:val="24"/>
          <w:lang w:val="en-US" w:bidi="ar-SA"/>
        </w:rPr>
      </w:pP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发包人：  (公章)             承包人：  (公章)</w:t>
      </w:r>
    </w:p>
    <w:p>
      <w:pPr>
        <w:autoSpaceDE/>
        <w:autoSpaceDN/>
        <w:spacing w:line="360" w:lineRule="auto"/>
        <w:jc w:val="both"/>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法定代表人或其委托代理人：  法定代表人或其委托代理人：</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（签字）                    （签字）</w:t>
      </w:r>
    </w:p>
    <w:p>
      <w:pPr>
        <w:autoSpaceDE/>
        <w:autoSpaceDN/>
        <w:spacing w:line="360" w:lineRule="auto"/>
        <w:jc w:val="both"/>
        <w:rPr>
          <w:rFonts w:hint="eastAsia" w:asciiTheme="minorEastAsia" w:hAnsiTheme="minorEastAsia" w:eastAsiaTheme="minorEastAsia" w:cstheme="minorEastAsia"/>
          <w:color w:val="000000"/>
          <w:kern w:val="2"/>
          <w:sz w:val="24"/>
          <w:szCs w:val="24"/>
          <w:u w:val="single"/>
          <w:lang w:val="en-US" w:bidi="ar-SA"/>
        </w:rPr>
      </w:pPr>
    </w:p>
    <w:p>
      <w:pPr>
        <w:tabs>
          <w:tab w:val="left" w:pos="4410"/>
        </w:tabs>
        <w:autoSpaceDE/>
        <w:autoSpaceDN/>
        <w:spacing w:line="360" w:lineRule="auto"/>
        <w:jc w:val="both"/>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组织机构代码：</w:t>
      </w:r>
      <w:r>
        <w:rPr>
          <w:rFonts w:hint="eastAsia" w:asciiTheme="minorEastAsia" w:hAnsiTheme="minorEastAsia" w:eastAsiaTheme="minorEastAsia" w:cstheme="minorEastAsia"/>
          <w:color w:val="000000"/>
          <w:kern w:val="2"/>
          <w:sz w:val="24"/>
          <w:szCs w:val="24"/>
          <w:u w:val="single"/>
          <w:lang w:val="en-US" w:bidi="ar-SA"/>
        </w:rPr>
        <w:t xml:space="preserve">    </w:t>
      </w:r>
      <w:r>
        <w:rPr>
          <w:rFonts w:hint="eastAsia" w:asciiTheme="minorEastAsia" w:hAnsiTheme="minorEastAsia" w:eastAsiaTheme="minorEastAsia" w:cstheme="minorEastAsia"/>
          <w:color w:val="000000"/>
          <w:kern w:val="2"/>
          <w:sz w:val="24"/>
          <w:szCs w:val="24"/>
          <w:lang w:val="en-US" w:bidi="ar-SA"/>
        </w:rPr>
        <w:t xml:space="preserve">  组织机构代码：</w:t>
      </w:r>
      <w:r>
        <w:rPr>
          <w:rFonts w:hint="eastAsia" w:asciiTheme="minorEastAsia" w:hAnsiTheme="minorEastAsia" w:eastAsiaTheme="minorEastAsia" w:cstheme="minorEastAsia"/>
          <w:color w:val="000000"/>
          <w:kern w:val="2"/>
          <w:sz w:val="24"/>
          <w:szCs w:val="24"/>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地  址：</w:t>
      </w:r>
      <w:r>
        <w:rPr>
          <w:rFonts w:hint="eastAsia" w:asciiTheme="minorEastAsia" w:hAnsiTheme="minorEastAsia" w:eastAsiaTheme="minorEastAsia" w:cstheme="minorEastAsia"/>
          <w:color w:val="000000"/>
          <w:kern w:val="2"/>
          <w:sz w:val="24"/>
          <w:szCs w:val="24"/>
          <w:u w:val="single"/>
          <w:lang w:val="en-US" w:bidi="ar-SA"/>
        </w:rPr>
        <w:t xml:space="preserve">  </w:t>
      </w:r>
      <w:r>
        <w:rPr>
          <w:rFonts w:hint="eastAsia" w:asciiTheme="minorEastAsia" w:hAnsiTheme="minorEastAsia" w:eastAsiaTheme="minorEastAsia" w:cstheme="minorEastAsia"/>
          <w:color w:val="000000"/>
          <w:kern w:val="2"/>
          <w:sz w:val="24"/>
          <w:szCs w:val="24"/>
          <w:lang w:val="en-US" w:bidi="ar-SA"/>
        </w:rPr>
        <w:t xml:space="preserve">  地  址：</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邮政编码：</w:t>
      </w:r>
      <w:r>
        <w:rPr>
          <w:rFonts w:hint="eastAsia" w:asciiTheme="minorEastAsia" w:hAnsiTheme="minorEastAsia" w:eastAsiaTheme="minorEastAsia" w:cstheme="minorEastAsia"/>
          <w:color w:val="000000"/>
          <w:kern w:val="2"/>
          <w:sz w:val="24"/>
          <w:szCs w:val="24"/>
          <w:u w:val="single"/>
          <w:lang w:val="en-US" w:bidi="ar-SA"/>
        </w:rPr>
        <w:t xml:space="preserve">   </w:t>
      </w:r>
      <w:r>
        <w:rPr>
          <w:rFonts w:hint="eastAsia" w:asciiTheme="minorEastAsia" w:hAnsiTheme="minorEastAsia" w:eastAsiaTheme="minorEastAsia" w:cstheme="minorEastAsia"/>
          <w:color w:val="000000"/>
          <w:kern w:val="2"/>
          <w:sz w:val="24"/>
          <w:szCs w:val="24"/>
          <w:lang w:val="en-US" w:bidi="ar-SA"/>
        </w:rPr>
        <w:t xml:space="preserve"> 邮政编码：</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法定代表人：</w:t>
      </w:r>
      <w:r>
        <w:rPr>
          <w:rFonts w:hint="eastAsia" w:asciiTheme="minorEastAsia" w:hAnsiTheme="minorEastAsia" w:eastAsiaTheme="minorEastAsia" w:cstheme="minorEastAsia"/>
          <w:color w:val="000000"/>
          <w:kern w:val="2"/>
          <w:sz w:val="24"/>
          <w:szCs w:val="24"/>
          <w:u w:val="single"/>
          <w:lang w:val="en-US" w:bidi="ar-SA"/>
        </w:rPr>
        <w:t xml:space="preserve">          </w:t>
      </w:r>
      <w:r>
        <w:rPr>
          <w:rFonts w:hint="eastAsia" w:asciiTheme="minorEastAsia" w:hAnsiTheme="minorEastAsia" w:eastAsiaTheme="minorEastAsia" w:cstheme="minorEastAsia"/>
          <w:color w:val="000000"/>
          <w:kern w:val="2"/>
          <w:sz w:val="24"/>
          <w:szCs w:val="24"/>
          <w:lang w:val="en-US" w:bidi="ar-SA"/>
        </w:rPr>
        <w:t>法定代表人：</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委托代理人：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委托代理人：</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电  话：</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电  话：</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传  真：</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传  真：</w:t>
      </w:r>
      <w:r>
        <w:rPr>
          <w:rFonts w:hint="eastAsia" w:asciiTheme="minorEastAsia" w:hAnsiTheme="minorEastAsia" w:eastAsiaTheme="minorEastAsia" w:cstheme="minorEastAsia"/>
          <w:color w:val="000000"/>
          <w:kern w:val="2"/>
          <w:sz w:val="24"/>
          <w:szCs w:val="24"/>
          <w:u w:val="single"/>
          <w:lang w:val="en-US" w:bidi="ar-SA"/>
        </w:rPr>
        <w:t>  </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电子信箱：</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电子信箱：</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u w:val="single"/>
          <w:lang w:val="en-US" w:eastAsia="zh-CN" w:bidi="ar-SA"/>
        </w:rPr>
      </w:pPr>
      <w:r>
        <w:rPr>
          <w:rFonts w:hint="eastAsia" w:asciiTheme="minorEastAsia" w:hAnsiTheme="minorEastAsia" w:eastAsiaTheme="minorEastAsia" w:cstheme="minorEastAsia"/>
          <w:color w:val="000000"/>
          <w:kern w:val="2"/>
          <w:sz w:val="24"/>
          <w:szCs w:val="24"/>
          <w:lang w:val="en-US" w:bidi="ar-SA"/>
        </w:rPr>
        <w:t>开户银行：</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开户银行：</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p>
    <w:p>
      <w:pPr>
        <w:spacing w:line="440" w:lineRule="exact"/>
        <w:jc w:val="left"/>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账  号：</w:t>
      </w:r>
      <w:r>
        <w:rPr>
          <w:rFonts w:hint="eastAsia" w:asciiTheme="minorEastAsia" w:hAnsiTheme="minorEastAsia" w:eastAsiaTheme="minorEastAsia" w:cstheme="minorEastAsia"/>
          <w:color w:val="000000"/>
          <w:kern w:val="2"/>
          <w:sz w:val="24"/>
          <w:szCs w:val="24"/>
          <w:u w:val="single"/>
          <w:lang w:val="en-US" w:bidi="ar-SA"/>
        </w:rPr>
        <w:t xml:space="preserve">      </w:t>
      </w:r>
      <w:r>
        <w:rPr>
          <w:rFonts w:hint="eastAsia" w:asciiTheme="minorEastAsia" w:hAnsiTheme="minorEastAsia" w:eastAsiaTheme="minorEastAsia" w:cstheme="minorEastAsia"/>
          <w:color w:val="000000"/>
          <w:kern w:val="2"/>
          <w:sz w:val="24"/>
          <w:szCs w:val="24"/>
          <w:lang w:val="en-US" w:bidi="ar-SA"/>
        </w:rPr>
        <w:t>账  号：</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p>
    <w:p>
      <w:pPr>
        <w:spacing w:line="440" w:lineRule="exact"/>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sz w:val="32"/>
          <w:szCs w:val="32"/>
        </w:rPr>
        <w:t>第二部分 通用合同条款</w:t>
      </w:r>
      <w:bookmarkEnd w:id="45"/>
      <w:bookmarkEnd w:id="46"/>
      <w:bookmarkEnd w:id="47"/>
    </w:p>
    <w:p>
      <w:pPr>
        <w:spacing w:line="440" w:lineRule="exact"/>
        <w:ind w:firstLine="480" w:firstLineChars="200"/>
        <w:rPr>
          <w:rFonts w:hint="eastAsia" w:asciiTheme="minorEastAsia" w:hAnsiTheme="minorEastAsia" w:eastAsiaTheme="minorEastAsia" w:cstheme="minorEastAsia"/>
          <w:sz w:val="24"/>
          <w:szCs w:val="24"/>
        </w:rPr>
      </w:pPr>
    </w:p>
    <w:p>
      <w:pPr>
        <w:spacing w:line="440" w:lineRule="exact"/>
        <w:ind w:firstLine="480" w:firstLineChars="200"/>
        <w:rPr>
          <w:rFonts w:hint="eastAsia" w:asciiTheme="minorEastAsia" w:hAnsiTheme="minorEastAsia" w:eastAsiaTheme="minorEastAsia" w:cstheme="minorEastAsia"/>
          <w:sz w:val="24"/>
          <w:szCs w:val="24"/>
        </w:rPr>
        <w:sectPr>
          <w:headerReference r:id="rId9" w:type="default"/>
          <w:pgSz w:w="11906" w:h="16838"/>
          <w:pgMar w:top="2098" w:right="1701" w:bottom="1984" w:left="1701" w:header="851" w:footer="1417" w:gutter="0"/>
          <w:pgNumType w:fmt="decimal"/>
          <w:cols w:space="0" w:num="1"/>
          <w:docGrid w:type="lines" w:linePitch="312" w:charSpace="0"/>
        </w:sectPr>
      </w:pPr>
      <w:r>
        <w:rPr>
          <w:rFonts w:hint="eastAsia" w:asciiTheme="minorEastAsia" w:hAnsiTheme="minorEastAsia" w:eastAsiaTheme="minorEastAsia" w:cstheme="minorEastAsia"/>
          <w:sz w:val="24"/>
          <w:szCs w:val="24"/>
        </w:rPr>
        <w:t>发包人与承包人声明此部分的内容与住房和城乡建设部、国家工商行政总局制定的建设工程施工合同（示范文本）（GF—2017—0201）通用条款部分的内容完全一致。在本合同中，出于节俭的考虑，本条款部分的内容予以省略。如果就合同的相关事宜涉及到通用条款部分的内容，双方同意完全按照建设工程施工合同（示范文本）（GF—2017—0201）通用条款部分的内容执行。</w:t>
      </w:r>
    </w:p>
    <w:bookmarkEnd w:id="48"/>
    <w:bookmarkEnd w:id="49"/>
    <w:bookmarkEnd w:id="50"/>
    <w:bookmarkEnd w:id="51"/>
    <w:p>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bCs/>
          <w:kern w:val="2"/>
          <w:sz w:val="44"/>
          <w:szCs w:val="44"/>
          <w:lang w:val="en-US" w:eastAsia="zh-CN" w:bidi="ar-SA"/>
        </w:rPr>
      </w:pPr>
      <w:bookmarkStart w:id="65" w:name="_Toc18712"/>
      <w:r>
        <w:rPr>
          <w:rFonts w:hint="eastAsia" w:asciiTheme="minorEastAsia" w:hAnsiTheme="minorEastAsia" w:eastAsiaTheme="minorEastAsia" w:cstheme="minorEastAsia"/>
          <w:b/>
          <w:bCs/>
          <w:kern w:val="2"/>
          <w:sz w:val="32"/>
          <w:szCs w:val="32"/>
          <w:lang w:val="en-US" w:eastAsia="zh-CN" w:bidi="ar-SA"/>
        </w:rPr>
        <w:t>第三部分 专用合同条款</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000000"/>
          <w:kern w:val="2"/>
          <w:sz w:val="24"/>
          <w:szCs w:val="24"/>
          <w:lang w:val="en-US" w:eastAsia="zh-CN" w:bidi="ar-SA"/>
        </w:rPr>
      </w:pPr>
      <w:bookmarkStart w:id="66" w:name="_Toc351203633"/>
      <w:r>
        <w:rPr>
          <w:rFonts w:hint="eastAsia" w:asciiTheme="minorEastAsia" w:hAnsiTheme="minorEastAsia" w:eastAsiaTheme="minorEastAsia" w:cstheme="minorEastAsia"/>
          <w:b w:val="0"/>
          <w:bCs/>
          <w:color w:val="000000"/>
          <w:kern w:val="2"/>
          <w:sz w:val="24"/>
          <w:szCs w:val="24"/>
          <w:lang w:val="en-US" w:eastAsia="zh-CN" w:bidi="ar-SA"/>
        </w:rPr>
        <w:t>1</w:t>
      </w:r>
      <w:bookmarkStart w:id="67" w:name="_Toc297048342"/>
      <w:bookmarkStart w:id="68" w:name="_Toc296944495"/>
      <w:bookmarkStart w:id="69" w:name="_Toc296503156"/>
      <w:bookmarkStart w:id="70" w:name="_Toc296347155"/>
      <w:bookmarkStart w:id="71" w:name="_Toc296890984"/>
      <w:bookmarkStart w:id="72" w:name="_Toc292559866"/>
      <w:bookmarkStart w:id="73" w:name="_Toc297120456"/>
      <w:bookmarkStart w:id="74" w:name="_Toc296891196"/>
      <w:bookmarkStart w:id="75" w:name="_Toc292559361"/>
      <w:bookmarkStart w:id="76" w:name="_Toc296346657"/>
      <w:r>
        <w:rPr>
          <w:rFonts w:hint="eastAsia" w:asciiTheme="minorEastAsia" w:hAnsiTheme="minorEastAsia" w:eastAsiaTheme="minorEastAsia" w:cstheme="minorEastAsia"/>
          <w:b w:val="0"/>
          <w:bCs/>
          <w:color w:val="000000"/>
          <w:kern w:val="2"/>
          <w:sz w:val="24"/>
          <w:szCs w:val="24"/>
          <w:lang w:val="en-US" w:eastAsia="zh-CN" w:bidi="ar-SA"/>
        </w:rPr>
        <w:t>. 一般约定</w:t>
      </w:r>
      <w:bookmarkEnd w:id="66"/>
    </w:p>
    <w:bookmarkEnd w:id="67"/>
    <w:bookmarkEnd w:id="68"/>
    <w:bookmarkEnd w:id="69"/>
    <w:bookmarkEnd w:id="70"/>
    <w:bookmarkEnd w:id="71"/>
    <w:bookmarkEnd w:id="72"/>
    <w:bookmarkEnd w:id="73"/>
    <w:bookmarkEnd w:id="74"/>
    <w:bookmarkEnd w:id="75"/>
    <w:bookmarkEnd w:id="76"/>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 词语定义</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1.1.1合同</w:t>
      </w:r>
    </w:p>
    <w:p>
      <w:pPr>
        <w:autoSpaceDE/>
        <w:autoSpaceDN/>
        <w:spacing w:line="360" w:lineRule="auto"/>
        <w:ind w:left="1650" w:hanging="1320" w:hangingChars="550"/>
        <w:jc w:val="both"/>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1.1.1.10其他合同文件包括：</w:t>
      </w:r>
      <w:r>
        <w:rPr>
          <w:rFonts w:hint="eastAsia" w:asciiTheme="minorEastAsia" w:hAnsiTheme="minorEastAsia" w:eastAsiaTheme="minorEastAsia" w:cstheme="minorEastAsia"/>
          <w:color w:val="000000"/>
          <w:kern w:val="2"/>
          <w:sz w:val="24"/>
          <w:szCs w:val="24"/>
          <w:u w:val="single"/>
          <w:lang w:val="en-US" w:bidi="ar-SA"/>
        </w:rPr>
        <w:t></w:t>
      </w:r>
      <w:r>
        <w:rPr>
          <w:rStyle w:val="27"/>
          <w:rFonts w:hint="eastAsia" w:asciiTheme="minorEastAsia" w:hAnsiTheme="minorEastAsia" w:eastAsiaTheme="minorEastAsia" w:cstheme="minorEastAsia"/>
          <w:color w:val="000000"/>
          <w:kern w:val="0"/>
          <w:sz w:val="24"/>
          <w:szCs w:val="24"/>
          <w:u w:val="single"/>
          <w:lang w:val="en-US" w:eastAsia="zh-CN" w:bidi="ar-SA"/>
        </w:rPr>
        <w:t>履行合同过程中双方书面确认的对合同内容有实质性影响的会议纪要、签证、设计变更等相关资料</w:t>
      </w:r>
      <w:r>
        <w:rPr>
          <w:rStyle w:val="27"/>
          <w:rFonts w:hint="eastAsia" w:asciiTheme="minorEastAsia" w:hAnsiTheme="minorEastAsia" w:eastAsiaTheme="minorEastAsia" w:cstheme="minorEastAsia"/>
          <w:color w:val="000000"/>
          <w:kern w:val="2"/>
          <w:sz w:val="24"/>
          <w:szCs w:val="24"/>
          <w:u w:val="singl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1.1.2 合同当事人及其他相关方</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1.1.2.4监理人：</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名    称：</w:t>
      </w:r>
      <w:r>
        <w:rPr>
          <w:rFonts w:hint="eastAsia" w:asciiTheme="minorEastAsia" w:hAnsiTheme="minorEastAsia" w:eastAsiaTheme="minorEastAsia" w:cstheme="minorEastAsia"/>
          <w:color w:val="000000"/>
          <w:kern w:val="2"/>
          <w:sz w:val="24"/>
          <w:szCs w:val="24"/>
          <w:u w:val="single"/>
          <w:lang w:val="en-US" w:bidi="ar-SA"/>
        </w:rPr>
        <w:t xml:space="preserve">           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资质类别和等级：</w:t>
      </w:r>
      <w:r>
        <w:rPr>
          <w:rFonts w:hint="eastAsia" w:asciiTheme="minorEastAsia" w:hAnsiTheme="minorEastAsia" w:eastAsiaTheme="minorEastAsia" w:cstheme="minorEastAsia"/>
          <w:color w:val="000000"/>
          <w:kern w:val="2"/>
          <w:sz w:val="24"/>
          <w:szCs w:val="24"/>
          <w:u w:val="single"/>
          <w:lang w:val="en-US" w:bidi="ar-SA"/>
        </w:rPr>
        <w:t>            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联系电话：</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电子信箱：</w:t>
      </w:r>
      <w:r>
        <w:rPr>
          <w:rFonts w:hint="eastAsia" w:asciiTheme="minorEastAsia" w:hAnsiTheme="minorEastAsia" w:eastAsiaTheme="minorEastAsia" w:cstheme="minorEastAsia"/>
          <w:color w:val="000000"/>
          <w:kern w:val="2"/>
          <w:sz w:val="24"/>
          <w:szCs w:val="24"/>
          <w:u w:val="single"/>
          <w:lang w:val="en-US" w:bidi="ar-SA"/>
        </w:rPr>
        <w:t>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通信地址：</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1.1.2.5 设计人：</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名    称：</w:t>
      </w:r>
      <w:r>
        <w:rPr>
          <w:rFonts w:hint="eastAsia" w:asciiTheme="minorEastAsia" w:hAnsiTheme="minorEastAsia" w:eastAsiaTheme="minorEastAsia" w:cstheme="minorEastAsia"/>
          <w:color w:val="000000"/>
          <w:kern w:val="2"/>
          <w:sz w:val="24"/>
          <w:szCs w:val="24"/>
          <w:u w:val="single"/>
          <w:lang w:val="en-US" w:bidi="ar-SA"/>
        </w:rPr>
        <w:t xml:space="preserve">             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资质类别和等级：</w:t>
      </w:r>
      <w:r>
        <w:rPr>
          <w:rFonts w:hint="eastAsia" w:asciiTheme="minorEastAsia" w:hAnsiTheme="minorEastAsia" w:eastAsiaTheme="minorEastAsia" w:cstheme="minorEastAsia"/>
          <w:color w:val="000000"/>
          <w:kern w:val="2"/>
          <w:sz w:val="24"/>
          <w:szCs w:val="24"/>
          <w:u w:val="single"/>
          <w:lang w:val="en-US" w:bidi="ar-SA"/>
        </w:rPr>
        <w:t>            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联系电话：</w:t>
      </w:r>
      <w:r>
        <w:rPr>
          <w:rFonts w:hint="eastAsia" w:asciiTheme="minorEastAsia" w:hAnsiTheme="minorEastAsia" w:eastAsiaTheme="minorEastAsia" w:cstheme="minorEastAsia"/>
          <w:color w:val="000000"/>
          <w:kern w:val="2"/>
          <w:sz w:val="24"/>
          <w:szCs w:val="24"/>
          <w:u w:val="single"/>
          <w:lang w:val="en-US" w:bidi="ar-SA"/>
        </w:rPr>
        <w:t>    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电子信箱：</w:t>
      </w:r>
      <w:r>
        <w:rPr>
          <w:rFonts w:hint="eastAsia" w:asciiTheme="minorEastAsia" w:hAnsiTheme="minorEastAsia" w:eastAsiaTheme="minorEastAsia" w:cstheme="minorEastAsia"/>
          <w:color w:val="000000"/>
          <w:kern w:val="2"/>
          <w:sz w:val="24"/>
          <w:szCs w:val="24"/>
          <w:u w:val="single"/>
          <w:lang w:val="en-US" w:bidi="ar-SA"/>
        </w:rPr>
        <w:t xml:space="preserve">    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通信地址：</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1.1.3 工程和设备</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1.1.3.7 作为施工现场组成部分的其他场所包括：</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color w:val="000000"/>
          <w:kern w:val="2"/>
          <w:sz w:val="24"/>
          <w:szCs w:val="24"/>
          <w:u w:val="single"/>
          <w:lang w:val="en-US" w:bidi="ar-SA"/>
        </w:rPr>
        <w:t>符合通用条款规定的发包人提供的施工场地</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1.1.3.9 永久占地包括：</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color w:val="000000"/>
          <w:kern w:val="2"/>
          <w:sz w:val="24"/>
          <w:szCs w:val="24"/>
          <w:u w:val="single"/>
          <w:lang w:val="en-US" w:bidi="ar-SA"/>
        </w:rPr>
        <w:t>由规划部门制定的红线图范围内占用的土地</w:t>
      </w:r>
      <w:r>
        <w:rPr>
          <w:rFonts w:hint="eastAsia" w:asciiTheme="minorEastAsia" w:hAnsiTheme="minorEastAsia" w:eastAsiaTheme="minorEastAsia" w:cstheme="minorEastAsia"/>
          <w:color w:val="000000"/>
          <w:kern w:val="0"/>
          <w:sz w:val="24"/>
          <w:szCs w:val="24"/>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0"/>
          <w:sz w:val="24"/>
          <w:szCs w:val="24"/>
          <w:lang w:val="en-US" w:bidi="ar-SA"/>
        </w:rPr>
        <w:t>1.1.3.10 临时占地包括：</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color w:val="000000"/>
          <w:kern w:val="2"/>
          <w:sz w:val="24"/>
          <w:szCs w:val="24"/>
          <w:u w:val="single"/>
          <w:lang w:val="en-US" w:bidi="ar-SA"/>
        </w:rPr>
        <w:t>施工必需的临时设施及施工现场必需的施工通道、作业危险区域防护用地</w:t>
      </w:r>
      <w:r>
        <w:rPr>
          <w:rFonts w:hint="eastAsia" w:asciiTheme="minorEastAsia" w:hAnsiTheme="minorEastAsia" w:eastAsiaTheme="minorEastAsia" w:cstheme="minorEastAsia"/>
          <w:color w:val="000000"/>
          <w:kern w:val="0"/>
          <w:sz w:val="24"/>
          <w:szCs w:val="24"/>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xml:space="preserve">1.3法律 </w:t>
      </w:r>
    </w:p>
    <w:p>
      <w:pPr>
        <w:autoSpaceDE/>
        <w:autoSpaceDN/>
        <w:spacing w:line="360" w:lineRule="auto"/>
        <w:ind w:firstLine="480" w:firstLineChars="200"/>
        <w:jc w:val="left"/>
        <w:rPr>
          <w:rStyle w:val="27"/>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适用于合同的其他规范性文件：</w:t>
      </w:r>
      <w:r>
        <w:rPr>
          <w:rFonts w:hint="eastAsia" w:asciiTheme="minorEastAsia" w:hAnsiTheme="minorEastAsia" w:eastAsiaTheme="minorEastAsia" w:cstheme="minorEastAsia"/>
          <w:color w:val="000000"/>
          <w:kern w:val="2"/>
          <w:sz w:val="24"/>
          <w:szCs w:val="24"/>
          <w:u w:val="single"/>
          <w:lang w:val="en-US" w:bidi="ar-SA"/>
        </w:rPr>
        <w:t>《中华人民共和国民法典》、《中华人民共和国建筑法》、《建筑工程质量管理条例》、《建筑工程安全生产管理条例》等国家现行法律法规、部门规章及工程所在地的地方性法规、自治条例、单行条例和地方政府规章等。</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1.4 标准和规范</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1.4.1适用于工程的标准规范包括：</w:t>
      </w:r>
      <w:r>
        <w:rPr>
          <w:rFonts w:hint="eastAsia" w:asciiTheme="minorEastAsia" w:hAnsiTheme="minorEastAsia" w:eastAsiaTheme="minorEastAsia" w:cstheme="minorEastAsia"/>
          <w:color w:val="000000"/>
          <w:kern w:val="2"/>
          <w:sz w:val="24"/>
          <w:szCs w:val="24"/>
          <w:u w:val="single"/>
          <w:lang w:val="en-US" w:bidi="ar-SA"/>
        </w:rPr>
        <w:t>适用于工程的国家标准、行业标准、工程所在地的地方性标准以及相应的规范、规程等</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jc w:val="both"/>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1.4.2 发包人提供国外标准、规范的名称：</w:t>
      </w:r>
      <w:r>
        <w:rPr>
          <w:rFonts w:hint="eastAsia" w:asciiTheme="minorEastAsia" w:hAnsiTheme="minorEastAsia" w:eastAsiaTheme="minorEastAsia" w:cstheme="minorEastAsia"/>
          <w:color w:val="000000"/>
          <w:kern w:val="0"/>
          <w:sz w:val="24"/>
          <w:szCs w:val="24"/>
          <w:u w:val="single"/>
          <w:lang w:val="en-US" w:bidi="ar-SA"/>
        </w:rPr>
        <w:t xml:space="preserve">      </w:t>
      </w:r>
      <w:r>
        <w:rPr>
          <w:rStyle w:val="27"/>
          <w:rFonts w:hint="eastAsia" w:asciiTheme="minorEastAsia" w:hAnsiTheme="minorEastAsia" w:eastAsiaTheme="minorEastAsia" w:cstheme="minorEastAsia"/>
          <w:color w:val="000000"/>
          <w:kern w:val="0"/>
          <w:sz w:val="24"/>
          <w:szCs w:val="24"/>
          <w:u w:val="single"/>
          <w:lang w:val="en-US" w:bidi="ar-SA"/>
        </w:rPr>
        <w:t>无</w:t>
      </w:r>
      <w:r>
        <w:rPr>
          <w:rFonts w:hint="eastAsia" w:asciiTheme="minorEastAsia" w:hAnsiTheme="minorEastAsia" w:eastAsiaTheme="minorEastAsia" w:cstheme="minorEastAsia"/>
          <w:color w:val="000000"/>
          <w:kern w:val="0"/>
          <w:sz w:val="24"/>
          <w:szCs w:val="24"/>
          <w:u w:val="single"/>
          <w:lang w:val="en-US" w:bidi="ar-SA"/>
        </w:rPr>
        <w:t xml:space="preserve">    </w:t>
      </w:r>
      <w:r>
        <w:rPr>
          <w:rStyle w:val="27"/>
          <w:rFonts w:hint="eastAsia" w:asciiTheme="minorEastAsia" w:hAnsiTheme="minorEastAsia" w:eastAsiaTheme="minorEastAsia" w:cstheme="minorEastAsia"/>
          <w:color w:val="000000"/>
          <w:kern w:val="0"/>
          <w:sz w:val="24"/>
          <w:szCs w:val="24"/>
          <w:u w:val="single"/>
          <w:lang w:val="en-US" w:bidi="ar-SA"/>
        </w:rPr>
        <w:t xml:space="preserve"> </w:t>
      </w:r>
      <w:r>
        <w:rPr>
          <w:rFonts w:hint="eastAsia" w:asciiTheme="minorEastAsia" w:hAnsiTheme="minorEastAsia" w:eastAsiaTheme="minorEastAsia" w:cstheme="minorEastAsia"/>
          <w:color w:val="000000"/>
          <w:kern w:val="0"/>
          <w:sz w:val="24"/>
          <w:szCs w:val="24"/>
          <w:u w:val="single"/>
          <w:lang w:val="en-US" w:bidi="ar-SA"/>
        </w:rPr>
        <w:t xml:space="preserve"> </w:t>
      </w:r>
      <w:r>
        <w:rPr>
          <w:rFonts w:hint="eastAsia" w:asciiTheme="minorEastAsia" w:hAnsiTheme="minorEastAsia" w:eastAsiaTheme="minorEastAsia" w:cstheme="minorEastAsia"/>
          <w:color w:val="000000"/>
          <w:kern w:val="0"/>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发包人提供国外标准、规范的份数：</w:t>
      </w:r>
      <w:r>
        <w:rPr>
          <w:rFonts w:hint="eastAsia" w:asciiTheme="minorEastAsia" w:hAnsiTheme="minorEastAsia" w:eastAsiaTheme="minorEastAsia" w:cstheme="minorEastAsia"/>
          <w:color w:val="000000"/>
          <w:kern w:val="0"/>
          <w:sz w:val="24"/>
          <w:szCs w:val="24"/>
          <w:u w:val="single"/>
          <w:lang w:val="en-US" w:bidi="ar-SA"/>
        </w:rPr>
        <w:t xml:space="preserve"> </w:t>
      </w:r>
      <w:r>
        <w:rPr>
          <w:rStyle w:val="27"/>
          <w:rFonts w:hint="eastAsia" w:asciiTheme="minorEastAsia" w:hAnsiTheme="minorEastAsia" w:eastAsiaTheme="minorEastAsia" w:cstheme="minorEastAsia"/>
          <w:color w:val="000000"/>
          <w:kern w:val="0"/>
          <w:sz w:val="24"/>
          <w:szCs w:val="24"/>
          <w:u w:val="single"/>
          <w:lang w:val="en-US" w:bidi="ar-SA"/>
        </w:rPr>
        <w:t xml:space="preserve">无 </w:t>
      </w:r>
      <w:r>
        <w:rPr>
          <w:rFonts w:hint="eastAsia" w:asciiTheme="minorEastAsia" w:hAnsiTheme="minorEastAsia" w:eastAsiaTheme="minorEastAsia" w:cstheme="minorEastAsia"/>
          <w:color w:val="000000"/>
          <w:kern w:val="0"/>
          <w:sz w:val="24"/>
          <w:szCs w:val="24"/>
          <w:u w:val="single"/>
          <w:lang w:val="en-US" w:bidi="ar-SA"/>
        </w:rPr>
        <w:t xml:space="preserve"> </w:t>
      </w:r>
      <w:r>
        <w:rPr>
          <w:rFonts w:hint="eastAsia" w:asciiTheme="minorEastAsia" w:hAnsiTheme="minorEastAsia" w:eastAsiaTheme="minorEastAsia" w:cstheme="minorEastAsia"/>
          <w:color w:val="000000"/>
          <w:kern w:val="0"/>
          <w:sz w:val="24"/>
          <w:szCs w:val="24"/>
          <w:lang w:val="en-US" w:bidi="ar-SA"/>
        </w:rPr>
        <w:t>；</w:t>
      </w:r>
    </w:p>
    <w:p>
      <w:pPr>
        <w:tabs>
          <w:tab w:val="left" w:pos="8096"/>
        </w:tabs>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0"/>
          <w:sz w:val="24"/>
          <w:szCs w:val="24"/>
          <w:lang w:val="en-US" w:bidi="ar-SA"/>
        </w:rPr>
        <w:t>发包人提供国外标准、规范的名称：</w:t>
      </w:r>
      <w:r>
        <w:rPr>
          <w:rFonts w:hint="eastAsia" w:asciiTheme="minorEastAsia" w:hAnsiTheme="minorEastAsia" w:eastAsiaTheme="minorEastAsia" w:cstheme="minorEastAsia"/>
          <w:color w:val="000000"/>
          <w:kern w:val="0"/>
          <w:sz w:val="24"/>
          <w:szCs w:val="24"/>
          <w:u w:val="single"/>
          <w:lang w:val="en-US" w:bidi="ar-SA"/>
        </w:rPr>
        <w:t xml:space="preserve"> </w:t>
      </w:r>
      <w:r>
        <w:rPr>
          <w:rStyle w:val="27"/>
          <w:rFonts w:hint="eastAsia" w:asciiTheme="minorEastAsia" w:hAnsiTheme="minorEastAsia" w:eastAsiaTheme="minorEastAsia" w:cstheme="minorEastAsia"/>
          <w:color w:val="000000"/>
          <w:kern w:val="0"/>
          <w:sz w:val="24"/>
          <w:szCs w:val="24"/>
          <w:u w:val="single"/>
          <w:lang w:val="en-US" w:bidi="ar-SA"/>
        </w:rPr>
        <w:t xml:space="preserve">无 </w:t>
      </w:r>
      <w:r>
        <w:rPr>
          <w:rFonts w:hint="eastAsia" w:asciiTheme="minorEastAsia" w:hAnsiTheme="minorEastAsia" w:eastAsiaTheme="minorEastAsia" w:cstheme="minorEastAsia"/>
          <w:color w:val="000000"/>
          <w:kern w:val="0"/>
          <w:sz w:val="24"/>
          <w:szCs w:val="24"/>
          <w:u w:val="single"/>
          <w:lang w:val="en-US" w:bidi="ar-SA"/>
        </w:rPr>
        <w:t xml:space="preserve"> </w:t>
      </w:r>
      <w:r>
        <w:rPr>
          <w:rFonts w:hint="eastAsia" w:asciiTheme="minorEastAsia" w:hAnsiTheme="minorEastAsia" w:eastAsiaTheme="minorEastAsia" w:cstheme="minorEastAsia"/>
          <w:color w:val="000000"/>
          <w:kern w:val="0"/>
          <w:sz w:val="24"/>
          <w:szCs w:val="24"/>
          <w:lang w:val="en-US" w:bidi="ar-SA"/>
        </w:rPr>
        <w:t>。</w:t>
      </w:r>
      <w:r>
        <w:rPr>
          <w:rFonts w:hint="eastAsia" w:asciiTheme="minorEastAsia" w:hAnsiTheme="minorEastAsia" w:eastAsiaTheme="minorEastAsia" w:cstheme="minorEastAsia"/>
          <w:color w:val="000000"/>
          <w:kern w:val="0"/>
          <w:sz w:val="24"/>
          <w:szCs w:val="24"/>
          <w:lang w:val="en-US" w:eastAsia="zh-CN" w:bidi="ar-SA"/>
        </w:rPr>
        <w:tab/>
      </w:r>
    </w:p>
    <w:p>
      <w:pPr>
        <w:autoSpaceDE/>
        <w:autoSpaceDN/>
        <w:spacing w:line="360" w:lineRule="auto"/>
        <w:ind w:left="625" w:leftChars="284"/>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1.4.3发包人对工程的技术标准和功能要求的特殊要求：</w:t>
      </w:r>
      <w:r>
        <w:rPr>
          <w:rStyle w:val="27"/>
          <w:rFonts w:hint="eastAsia" w:asciiTheme="minorEastAsia" w:hAnsiTheme="minorEastAsia" w:eastAsiaTheme="minorEastAsia" w:cstheme="minorEastAsia"/>
          <w:color w:val="000000"/>
          <w:kern w:val="0"/>
          <w:sz w:val="24"/>
          <w:szCs w:val="24"/>
          <w:u w:val="single"/>
          <w:lang w:val="en-US" w:bidi="ar-SA"/>
        </w:rPr>
        <w:t>无</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1.5 合同文件的优先顺序</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合同文件组成及优先顺序为：</w:t>
      </w:r>
      <w:r>
        <w:rPr>
          <w:rStyle w:val="27"/>
          <w:rFonts w:hint="eastAsia" w:asciiTheme="minorEastAsia" w:hAnsiTheme="minorEastAsia" w:eastAsiaTheme="minorEastAsia" w:cstheme="minorEastAsia"/>
          <w:color w:val="000000"/>
          <w:kern w:val="2"/>
          <w:sz w:val="24"/>
          <w:szCs w:val="24"/>
          <w:u w:val="single"/>
          <w:lang w:val="en-US" w:bidi="ar-SA"/>
        </w:rPr>
        <w:t>（1）合同协议书及补充协议；（2）中标通知书；（3）</w:t>
      </w:r>
      <w:r>
        <w:rPr>
          <w:rStyle w:val="27"/>
          <w:rFonts w:hint="eastAsia" w:asciiTheme="minorEastAsia" w:hAnsiTheme="minorEastAsia" w:eastAsiaTheme="minorEastAsia" w:cstheme="minorEastAsia"/>
          <w:color w:val="000000"/>
          <w:kern w:val="2"/>
          <w:sz w:val="24"/>
          <w:szCs w:val="24"/>
          <w:u w:val="single"/>
          <w:lang w:val="en-US" w:eastAsia="zh-CN" w:bidi="ar-SA"/>
        </w:rPr>
        <w:t>磋商文件</w:t>
      </w:r>
      <w:r>
        <w:rPr>
          <w:rStyle w:val="27"/>
          <w:rFonts w:hint="eastAsia" w:asciiTheme="minorEastAsia" w:hAnsiTheme="minorEastAsia" w:eastAsiaTheme="minorEastAsia" w:cstheme="minorEastAsia"/>
          <w:color w:val="000000"/>
          <w:kern w:val="2"/>
          <w:sz w:val="24"/>
          <w:szCs w:val="24"/>
          <w:u w:val="single"/>
          <w:lang w:val="en-US" w:bidi="ar-SA"/>
        </w:rPr>
        <w:t>（含</w:t>
      </w:r>
      <w:r>
        <w:rPr>
          <w:rStyle w:val="27"/>
          <w:rFonts w:hint="eastAsia" w:asciiTheme="minorEastAsia" w:hAnsiTheme="minorEastAsia" w:eastAsiaTheme="minorEastAsia" w:cstheme="minorEastAsia"/>
          <w:color w:val="000000"/>
          <w:kern w:val="2"/>
          <w:sz w:val="24"/>
          <w:szCs w:val="24"/>
          <w:u w:val="single"/>
          <w:lang w:val="en-US" w:eastAsia="zh-CN" w:bidi="ar-SA"/>
        </w:rPr>
        <w:t>磋商文件</w:t>
      </w:r>
      <w:r>
        <w:rPr>
          <w:rStyle w:val="27"/>
          <w:rFonts w:hint="eastAsia" w:asciiTheme="minorEastAsia" w:hAnsiTheme="minorEastAsia" w:eastAsiaTheme="minorEastAsia" w:cstheme="minorEastAsia"/>
          <w:color w:val="000000"/>
          <w:kern w:val="2"/>
          <w:sz w:val="24"/>
          <w:szCs w:val="24"/>
          <w:u w:val="single"/>
          <w:lang w:val="en-US" w:bidi="ar-SA"/>
        </w:rPr>
        <w:t>附件、招标答疑）；（4）投标文件及其附录；（5）本合同专用条款及其附件；（6）通用合同条款；（7）标准、规范及有关技术文件；（8）图纸及相应变更；（9）已标价工程量清单或预算书；（10）其他合同文件。</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1.6 图纸和承包人文件</w:t>
      </w:r>
      <w:r>
        <w:rPr>
          <w:rFonts w:hint="eastAsia" w:asciiTheme="minorEastAsia" w:hAnsiTheme="minorEastAsia" w:eastAsiaTheme="minorEastAsia" w:cstheme="minorEastAsia"/>
          <w:color w:val="000000"/>
          <w:kern w:val="2"/>
          <w:sz w:val="24"/>
          <w:szCs w:val="24"/>
          <w:lang w:val="en-US" w:bidi="ar-SA"/>
        </w:rPr>
        <w:tab/>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1.6.1 图纸的提供</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发包人向承包人提供图纸的期限</w:t>
      </w:r>
      <w:r>
        <w:rPr>
          <w:rFonts w:hint="eastAsia" w:asciiTheme="minorEastAsia" w:hAnsiTheme="minorEastAsia" w:eastAsiaTheme="minorEastAsia" w:cstheme="minorEastAsia"/>
          <w:color w:val="000000"/>
          <w:kern w:val="2"/>
          <w:sz w:val="24"/>
          <w:szCs w:val="24"/>
          <w:u w:val="none"/>
          <w:lang w:val="en-US" w:bidi="ar-SA"/>
        </w:rPr>
        <w:t>：</w:t>
      </w:r>
      <w:r>
        <w:rPr>
          <w:rFonts w:hint="eastAsia" w:asciiTheme="minorEastAsia" w:hAnsiTheme="minorEastAsia" w:eastAsiaTheme="minorEastAsia" w:cstheme="minorEastAsia"/>
          <w:color w:val="000000"/>
          <w:kern w:val="2"/>
          <w:sz w:val="24"/>
          <w:szCs w:val="24"/>
          <w:u w:val="single"/>
          <w:lang w:val="en-US" w:bidi="ar-SA"/>
        </w:rPr>
        <w:t>开工前14天</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发包人向承包人提供图纸的数量：</w:t>
      </w:r>
      <w:r>
        <w:rPr>
          <w:rFonts w:hint="eastAsia" w:asciiTheme="minorEastAsia" w:hAnsiTheme="minorEastAsia" w:eastAsiaTheme="minorEastAsia" w:cstheme="minorEastAsia"/>
          <w:color w:val="000000"/>
          <w:kern w:val="2"/>
          <w:sz w:val="24"/>
          <w:szCs w:val="24"/>
          <w:u w:val="single"/>
          <w:lang w:val="en-US" w:bidi="ar-SA"/>
        </w:rPr>
        <w:t>施工图纸六套</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发包人向承包人提供图纸的内容</w:t>
      </w:r>
      <w:r>
        <w:rPr>
          <w:rFonts w:hint="eastAsia" w:asciiTheme="minorEastAsia" w:hAnsiTheme="minorEastAsia" w:eastAsiaTheme="minorEastAsia" w:cstheme="minorEastAsia"/>
          <w:color w:val="000000"/>
          <w:kern w:val="2"/>
          <w:sz w:val="24"/>
          <w:szCs w:val="24"/>
          <w:u w:val="single"/>
          <w:lang w:val="en-US" w:bidi="ar-SA"/>
        </w:rPr>
        <w:t>：四套原件用于施工、编制竣工图、竣工备案、档案移交等。</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1.6.4 承包人文件</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u w:val="single"/>
          <w:lang w:val="en-US" w:eastAsia="zh-CN" w:bidi="ar-SA"/>
        </w:rPr>
      </w:pPr>
      <w:r>
        <w:rPr>
          <w:rFonts w:hint="eastAsia" w:asciiTheme="minorEastAsia" w:hAnsiTheme="minorEastAsia" w:eastAsiaTheme="minorEastAsia" w:cstheme="minorEastAsia"/>
          <w:color w:val="000000"/>
          <w:kern w:val="2"/>
          <w:sz w:val="24"/>
          <w:szCs w:val="24"/>
          <w:lang w:val="en-US" w:bidi="ar-SA"/>
        </w:rPr>
        <w:t>需要由承包人提供的文件，包括：</w:t>
      </w:r>
      <w:r>
        <w:rPr>
          <w:rFonts w:hint="eastAsia" w:asciiTheme="minorEastAsia" w:hAnsiTheme="minorEastAsia" w:eastAsiaTheme="minorEastAsia" w:cstheme="minorEastAsia"/>
          <w:color w:val="000000"/>
          <w:kern w:val="2"/>
          <w:sz w:val="24"/>
          <w:szCs w:val="24"/>
          <w:u w:val="single"/>
          <w:lang w:val="en-US" w:eastAsia="zh-CN" w:bidi="ar-SA"/>
        </w:rPr>
        <w:t>施工组织设计方案（安全文明施工、环境保护等）；进度计划等 ；</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承包人提供的文件的期限为：</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进场三日内</w:t>
      </w:r>
      <w:r>
        <w:rPr>
          <w:rFonts w:hint="eastAsia" w:asciiTheme="minorEastAsia" w:hAnsiTheme="minorEastAsia" w:eastAsiaTheme="minorEastAsia" w:cstheme="minorEastAsia"/>
          <w:color w:val="000000"/>
          <w:kern w:val="2"/>
          <w:sz w:val="24"/>
          <w:szCs w:val="24"/>
          <w:u w:val="single"/>
          <w:lang w:val="en-US" w:bidi="ar-SA"/>
        </w:rPr>
        <w:t xml:space="preserve">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承包人提供的文件的数量为：</w:t>
      </w:r>
      <w:r>
        <w:rPr>
          <w:rFonts w:hint="eastAsia" w:asciiTheme="minorEastAsia" w:hAnsiTheme="minorEastAsia" w:eastAsiaTheme="minorEastAsia" w:cstheme="minorEastAsia"/>
          <w:color w:val="000000"/>
          <w:kern w:val="2"/>
          <w:sz w:val="24"/>
          <w:szCs w:val="24"/>
          <w:u w:val="single"/>
          <w:lang w:val="en-US" w:bidi="ar-SA"/>
        </w:rPr>
        <w:t xml:space="preserve">一式七份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承包人提供的文件的形式为：</w:t>
      </w:r>
      <w:r>
        <w:rPr>
          <w:rFonts w:hint="eastAsia" w:asciiTheme="minorEastAsia" w:hAnsiTheme="minorEastAsia" w:eastAsiaTheme="minorEastAsia" w:cstheme="minorEastAsia"/>
          <w:color w:val="000000"/>
          <w:kern w:val="2"/>
          <w:sz w:val="24"/>
          <w:szCs w:val="24"/>
          <w:u w:val="single"/>
          <w:lang w:val="en-US" w:bidi="ar-SA"/>
        </w:rPr>
        <w:t>书面加盖公章及电子版</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发包人审批承包人文件的期限：</w:t>
      </w:r>
      <w:r>
        <w:rPr>
          <w:rFonts w:hint="eastAsia" w:asciiTheme="minorEastAsia" w:hAnsiTheme="minorEastAsia" w:eastAsiaTheme="minorEastAsia" w:cstheme="minorEastAsia"/>
          <w:color w:val="000000"/>
          <w:kern w:val="2"/>
          <w:sz w:val="24"/>
          <w:szCs w:val="24"/>
          <w:u w:val="single"/>
          <w:lang w:val="en-US" w:bidi="ar-SA"/>
        </w:rPr>
        <w:t></w:t>
      </w:r>
      <w:r>
        <w:rPr>
          <w:rStyle w:val="27"/>
          <w:rFonts w:hint="eastAsia" w:asciiTheme="minorEastAsia" w:hAnsiTheme="minorEastAsia" w:eastAsiaTheme="minorEastAsia" w:cstheme="minorEastAsia"/>
          <w:color w:val="000000"/>
          <w:kern w:val="2"/>
          <w:sz w:val="24"/>
          <w:szCs w:val="24"/>
          <w:u w:val="single"/>
          <w:lang w:val="en-US" w:bidi="ar-SA"/>
        </w:rPr>
        <w:t>收到文件</w:t>
      </w:r>
      <w:r>
        <w:rPr>
          <w:rStyle w:val="27"/>
          <w:rFonts w:hint="eastAsia" w:asciiTheme="minorEastAsia" w:hAnsiTheme="minorEastAsia" w:eastAsiaTheme="minorEastAsia" w:cstheme="minorEastAsia"/>
          <w:color w:val="000000"/>
          <w:kern w:val="2"/>
          <w:sz w:val="24"/>
          <w:szCs w:val="24"/>
          <w:u w:val="single"/>
          <w:lang w:val="en-US" w:eastAsia="zh-CN" w:bidi="ar-SA"/>
        </w:rPr>
        <w:t>7日</w:t>
      </w:r>
      <w:r>
        <w:rPr>
          <w:rStyle w:val="27"/>
          <w:rFonts w:hint="eastAsia" w:asciiTheme="minorEastAsia" w:hAnsiTheme="minorEastAsia" w:eastAsiaTheme="minorEastAsia" w:cstheme="minorEastAsia"/>
          <w:color w:val="000000"/>
          <w:kern w:val="2"/>
          <w:sz w:val="24"/>
          <w:szCs w:val="24"/>
          <w:u w:val="single"/>
          <w:lang w:val="en-US" w:bidi="ar-SA"/>
        </w:rPr>
        <w:t>审查完毕</w:t>
      </w:r>
      <w:r>
        <w:rPr>
          <w:rStyle w:val="27"/>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1.6.5 现场图纸准备</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关于现场图纸准备的约定：</w:t>
      </w:r>
      <w:r>
        <w:rPr>
          <w:rFonts w:hint="eastAsia" w:asciiTheme="minorEastAsia" w:hAnsiTheme="minorEastAsia" w:eastAsiaTheme="minorEastAsia" w:cstheme="minorEastAsia"/>
          <w:color w:val="000000"/>
          <w:kern w:val="2"/>
          <w:sz w:val="24"/>
          <w:szCs w:val="24"/>
          <w:u w:val="single"/>
          <w:lang w:val="en-US" w:bidi="ar-SA"/>
        </w:rPr>
        <w:t></w:t>
      </w:r>
      <w:r>
        <w:rPr>
          <w:rStyle w:val="27"/>
          <w:rFonts w:hint="eastAsia" w:asciiTheme="minorEastAsia" w:hAnsiTheme="minorEastAsia" w:eastAsiaTheme="minorEastAsia" w:cstheme="minorEastAsia"/>
          <w:color w:val="000000"/>
          <w:kern w:val="2"/>
          <w:sz w:val="24"/>
          <w:szCs w:val="24"/>
          <w:u w:val="single"/>
          <w:lang w:val="en-US" w:bidi="ar-SA"/>
        </w:rPr>
        <w:t>一套完整的施工图纸</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1.7 联络</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1.7.1发包人和承包人应当在</w:t>
      </w:r>
      <w:r>
        <w:rPr>
          <w:rFonts w:hint="eastAsia" w:asciiTheme="minorEastAsia" w:hAnsiTheme="minorEastAsia" w:eastAsiaTheme="minorEastAsia" w:cstheme="minorEastAsia"/>
          <w:color w:val="000000"/>
          <w:kern w:val="2"/>
          <w:sz w:val="24"/>
          <w:szCs w:val="24"/>
          <w:u w:val="single"/>
          <w:lang w:val="en-US" w:eastAsia="zh-CN" w:bidi="ar-SA"/>
        </w:rPr>
        <w:t>7</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0"/>
          <w:sz w:val="24"/>
          <w:szCs w:val="24"/>
          <w:lang w:val="en-US" w:bidi="ar-SA"/>
        </w:rPr>
        <w:t>天内将与合同有关的通知、批准、证明、证书、指示、指令、要求、请求、同意、意见、确定和决定等书面函件送达对方当事人。</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1.7.2 发包人接收文件的地点：</w:t>
      </w:r>
      <w:r>
        <w:rPr>
          <w:rStyle w:val="27"/>
          <w:rFonts w:hint="eastAsia" w:asciiTheme="minorEastAsia" w:hAnsiTheme="minorEastAsia" w:eastAsiaTheme="minorEastAsia" w:cstheme="minorEastAsia"/>
          <w:color w:val="000000"/>
          <w:kern w:val="0"/>
          <w:sz w:val="24"/>
          <w:szCs w:val="24"/>
          <w:u w:val="single"/>
          <w:lang w:val="en-US" w:eastAsia="zh-CN" w:bidi="ar-SA"/>
        </w:rPr>
        <w:t>项目所在地的发包人项目部</w:t>
      </w:r>
      <w:r>
        <w:rPr>
          <w:rFonts w:hint="eastAsia" w:asciiTheme="minorEastAsia" w:hAnsiTheme="minorEastAsia" w:eastAsiaTheme="minorEastAsia" w:cstheme="minorEastAsia"/>
          <w:color w:val="000000"/>
          <w:kern w:val="0"/>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bidi="ar-SA"/>
        </w:rPr>
        <w:t>发包人指定的接收人为：</w:t>
      </w:r>
      <w:r>
        <w:rPr>
          <w:rStyle w:val="27"/>
          <w:rFonts w:hint="eastAsia" w:asciiTheme="minorEastAsia" w:hAnsiTheme="minorEastAsia" w:eastAsiaTheme="minorEastAsia" w:cstheme="minorEastAsia"/>
          <w:color w:val="000000"/>
          <w:kern w:val="0"/>
          <w:sz w:val="24"/>
          <w:szCs w:val="24"/>
          <w:u w:val="single"/>
          <w:lang w:val="en-US" w:eastAsia="zh-CN" w:bidi="ar-SA"/>
        </w:rPr>
        <w:t xml:space="preserve">发包人派驻现场代表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u w:val="single"/>
          <w:lang w:val="en-US" w:eastAsia="zh-CN" w:bidi="ar-SA"/>
        </w:rPr>
      </w:pPr>
      <w:r>
        <w:rPr>
          <w:rFonts w:hint="eastAsia" w:asciiTheme="minorEastAsia" w:hAnsiTheme="minorEastAsia" w:eastAsiaTheme="minorEastAsia" w:cstheme="minorEastAsia"/>
          <w:color w:val="000000"/>
          <w:kern w:val="0"/>
          <w:sz w:val="24"/>
          <w:szCs w:val="24"/>
          <w:lang w:val="en-US" w:bidi="ar-SA"/>
        </w:rPr>
        <w:t>承包人接收文件的地点：</w:t>
      </w:r>
      <w:r>
        <w:rPr>
          <w:rFonts w:hint="eastAsia" w:asciiTheme="minorEastAsia" w:hAnsiTheme="minorEastAsia" w:eastAsiaTheme="minorEastAsia" w:cstheme="minorEastAsia"/>
          <w:color w:val="000000"/>
          <w:kern w:val="2"/>
          <w:sz w:val="24"/>
          <w:szCs w:val="24"/>
          <w:u w:val="single"/>
          <w:lang w:val="en-US" w:bidi="ar-SA"/>
        </w:rPr>
        <w:t>项</w:t>
      </w:r>
      <w:r>
        <w:rPr>
          <w:rFonts w:hint="eastAsia" w:asciiTheme="minorEastAsia" w:hAnsiTheme="minorEastAsia" w:eastAsiaTheme="minorEastAsia" w:cstheme="minorEastAsia"/>
          <w:color w:val="000000"/>
          <w:kern w:val="2"/>
          <w:sz w:val="24"/>
          <w:szCs w:val="24"/>
          <w:u w:val="single"/>
          <w:lang w:val="en-US" w:eastAsia="zh-CN" w:bidi="ar-SA"/>
        </w:rPr>
        <w:t xml:space="preserve">目所在地承包人项目部  </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0"/>
          <w:sz w:val="24"/>
          <w:szCs w:val="24"/>
          <w:lang w:val="en-US" w:eastAsia="zh-CN" w:bidi="ar-SA"/>
        </w:rPr>
      </w:pPr>
      <w:r>
        <w:rPr>
          <w:rStyle w:val="27"/>
          <w:rFonts w:hint="eastAsia" w:asciiTheme="minorEastAsia" w:hAnsiTheme="minorEastAsia" w:eastAsiaTheme="minorEastAsia" w:cstheme="minorEastAsia"/>
          <w:color w:val="000000"/>
          <w:kern w:val="0"/>
          <w:sz w:val="24"/>
          <w:szCs w:val="24"/>
          <w:u w:val="none"/>
          <w:lang w:val="en-US" w:eastAsia="zh-CN" w:bidi="ar-SA"/>
        </w:rPr>
        <w:t>承包人指定的接收人为：</w:t>
      </w:r>
      <w:r>
        <w:rPr>
          <w:rStyle w:val="27"/>
          <w:rFonts w:hint="eastAsia" w:asciiTheme="minorEastAsia" w:hAnsiTheme="minorEastAsia" w:eastAsiaTheme="minorEastAsia" w:cstheme="minorEastAsia"/>
          <w:color w:val="000000"/>
          <w:kern w:val="0"/>
          <w:sz w:val="24"/>
          <w:szCs w:val="24"/>
          <w:u w:val="single"/>
          <w:lang w:val="en-US" w:eastAsia="zh-CN" w:bidi="ar-SA"/>
        </w:rPr>
        <w:t>承包方项目经理  </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监理人接收文件的地点：</w:t>
      </w:r>
      <w:r>
        <w:rPr>
          <w:rStyle w:val="27"/>
          <w:rFonts w:hint="eastAsia" w:asciiTheme="minorEastAsia" w:hAnsiTheme="minorEastAsia" w:eastAsiaTheme="minorEastAsia" w:cstheme="minorEastAsia"/>
          <w:color w:val="000000"/>
          <w:kern w:val="0"/>
          <w:sz w:val="24"/>
          <w:szCs w:val="24"/>
          <w:u w:val="single"/>
          <w:lang w:val="en-US" w:eastAsia="zh-CN" w:bidi="ar-SA"/>
        </w:rPr>
        <w:t>监理人施工现场监理办公室</w:t>
      </w:r>
      <w:r>
        <w:rPr>
          <w:rFonts w:hint="eastAsia" w:asciiTheme="minorEastAsia" w:hAnsiTheme="minorEastAsia" w:eastAsiaTheme="minorEastAsia" w:cstheme="minorEastAsia"/>
          <w:color w:val="000000"/>
          <w:kern w:val="2"/>
          <w:sz w:val="24"/>
          <w:szCs w:val="24"/>
          <w:u w:val="singl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监理人指定的接收人为：</w:t>
      </w:r>
      <w:r>
        <w:rPr>
          <w:rStyle w:val="27"/>
          <w:rFonts w:hint="eastAsia" w:asciiTheme="minorEastAsia" w:hAnsiTheme="minorEastAsia" w:eastAsiaTheme="minorEastAsia" w:cstheme="minorEastAsia"/>
          <w:color w:val="000000"/>
          <w:kern w:val="2"/>
          <w:sz w:val="24"/>
          <w:szCs w:val="24"/>
          <w:u w:val="single"/>
          <w:lang w:val="en-US" w:eastAsia="zh-CN" w:bidi="ar-SA"/>
        </w:rPr>
        <w:t>监理工程师</w:t>
      </w:r>
      <w:r>
        <w:rPr>
          <w:rStyle w:val="27"/>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 xml:space="preserve">            </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1.10 交通运输</w:t>
      </w:r>
    </w:p>
    <w:p>
      <w:pPr>
        <w:autoSpaceDE/>
        <w:autoSpaceDN/>
        <w:spacing w:line="360" w:lineRule="auto"/>
        <w:ind w:firstLine="480" w:firstLineChars="200"/>
        <w:jc w:val="both"/>
        <w:outlineLvl w:val="0"/>
        <w:rPr>
          <w:rFonts w:hint="eastAsia" w:asciiTheme="minorEastAsia" w:hAnsiTheme="minorEastAsia" w:eastAsiaTheme="minorEastAsia" w:cstheme="minorEastAsia"/>
          <w:kern w:val="2"/>
          <w:sz w:val="24"/>
          <w:szCs w:val="24"/>
          <w:lang w:val="en-US" w:bidi="ar-SA"/>
        </w:rPr>
      </w:pPr>
      <w:r>
        <w:rPr>
          <w:rFonts w:hint="eastAsia" w:asciiTheme="minorEastAsia" w:hAnsiTheme="minorEastAsia" w:eastAsiaTheme="minorEastAsia" w:cstheme="minorEastAsia"/>
          <w:kern w:val="2"/>
          <w:sz w:val="24"/>
          <w:szCs w:val="24"/>
          <w:lang w:val="en-US" w:bidi="ar-SA"/>
        </w:rPr>
        <w:t>1</w:t>
      </w:r>
      <w:bookmarkStart w:id="77" w:name="_Toc300934943"/>
      <w:bookmarkStart w:id="78" w:name="_Toc304295521"/>
      <w:bookmarkStart w:id="79" w:name="_Toc303539100"/>
      <w:bookmarkStart w:id="80" w:name="_Toc312677986"/>
      <w:bookmarkStart w:id="81" w:name="_Toc318581155"/>
      <w:r>
        <w:rPr>
          <w:rFonts w:hint="eastAsia" w:asciiTheme="minorEastAsia" w:hAnsiTheme="minorEastAsia" w:eastAsiaTheme="minorEastAsia" w:cstheme="minorEastAsia"/>
          <w:kern w:val="2"/>
          <w:sz w:val="24"/>
          <w:szCs w:val="24"/>
          <w:lang w:val="en-US" w:bidi="ar-SA"/>
        </w:rPr>
        <w:t>.10.1 出入现场的权利</w:t>
      </w:r>
    </w:p>
    <w:p>
      <w:pPr>
        <w:autoSpaceDE/>
        <w:autoSpaceDN/>
        <w:spacing w:line="360" w:lineRule="auto"/>
        <w:ind w:firstLine="480" w:firstLineChars="200"/>
        <w:jc w:val="both"/>
        <w:rPr>
          <w:rFonts w:hint="eastAsia" w:asciiTheme="minorEastAsia" w:hAnsiTheme="minorEastAsia" w:eastAsiaTheme="minorEastAsia" w:cstheme="minorEastAsia"/>
          <w:kern w:val="2"/>
          <w:sz w:val="24"/>
          <w:szCs w:val="24"/>
          <w:lang w:val="en-US" w:bidi="ar-SA"/>
        </w:rPr>
      </w:pPr>
      <w:r>
        <w:rPr>
          <w:rFonts w:hint="eastAsia" w:asciiTheme="minorEastAsia" w:hAnsiTheme="minorEastAsia" w:eastAsiaTheme="minorEastAsia" w:cstheme="minorEastAsia"/>
          <w:kern w:val="2"/>
          <w:sz w:val="24"/>
          <w:szCs w:val="24"/>
          <w:lang w:val="en-US" w:bidi="ar-SA"/>
        </w:rPr>
        <w:t>关于出入现场的权利的约定：</w:t>
      </w:r>
      <w:r>
        <w:rPr>
          <w:rStyle w:val="27"/>
          <w:rFonts w:hint="eastAsia" w:asciiTheme="minorEastAsia" w:hAnsiTheme="minorEastAsia" w:eastAsiaTheme="minorEastAsia" w:cstheme="minorEastAsia"/>
          <w:color w:val="000000"/>
          <w:kern w:val="2"/>
          <w:sz w:val="24"/>
          <w:szCs w:val="24"/>
          <w:u w:val="single"/>
          <w:lang w:val="en-US" w:bidi="ar-SA"/>
        </w:rPr>
        <w:t>执行通用条</w:t>
      </w:r>
      <w:r>
        <w:rPr>
          <w:rStyle w:val="27"/>
          <w:rFonts w:hint="eastAsia" w:asciiTheme="minorEastAsia" w:hAnsiTheme="minorEastAsia" w:eastAsiaTheme="minorEastAsia" w:cstheme="minorEastAsia"/>
          <w:color w:val="000000"/>
          <w:kern w:val="2"/>
          <w:sz w:val="24"/>
          <w:szCs w:val="24"/>
          <w:u w:val="single"/>
          <w:lang w:val="en-US" w:eastAsia="zh-CN" w:bidi="ar-SA"/>
        </w:rPr>
        <w:t>款</w:t>
      </w:r>
      <w:r>
        <w:rPr>
          <w:rStyle w:val="27"/>
          <w:rFonts w:hint="eastAsia" w:asciiTheme="minorEastAsia" w:hAnsiTheme="minorEastAsia" w:eastAsiaTheme="minorEastAsia" w:cstheme="minorEastAsia"/>
          <w:color w:val="000000"/>
          <w:kern w:val="2"/>
          <w:sz w:val="24"/>
          <w:szCs w:val="24"/>
          <w:u w:val="single"/>
          <w:lang w:val="en-US" w:bidi="ar-SA"/>
        </w:rPr>
        <w:t xml:space="preserve"> 1.10.1</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kern w:val="2"/>
          <w:sz w:val="24"/>
          <w:szCs w:val="24"/>
          <w:lang w:val="en-US" w:bidi="ar-SA"/>
        </w:rPr>
        <w:t>。</w:t>
      </w:r>
    </w:p>
    <w:bookmarkEnd w:id="77"/>
    <w:bookmarkEnd w:id="78"/>
    <w:bookmarkEnd w:id="79"/>
    <w:bookmarkEnd w:id="80"/>
    <w:bookmarkEnd w:id="81"/>
    <w:p>
      <w:pPr>
        <w:autoSpaceDE/>
        <w:autoSpaceDN/>
        <w:spacing w:line="360" w:lineRule="auto"/>
        <w:ind w:firstLine="480" w:firstLineChars="200"/>
        <w:jc w:val="left"/>
        <w:outlineLvl w:val="0"/>
        <w:rPr>
          <w:rFonts w:hint="eastAsia" w:asciiTheme="minorEastAsia" w:hAnsiTheme="minorEastAsia" w:eastAsiaTheme="minorEastAsia" w:cstheme="minorEastAsia"/>
          <w:kern w:val="2"/>
          <w:sz w:val="24"/>
          <w:szCs w:val="24"/>
          <w:lang w:val="en-US" w:bidi="ar-SA"/>
        </w:rPr>
      </w:pPr>
      <w:r>
        <w:rPr>
          <w:rFonts w:hint="eastAsia" w:asciiTheme="minorEastAsia" w:hAnsiTheme="minorEastAsia" w:eastAsiaTheme="minorEastAsia" w:cstheme="minorEastAsia"/>
          <w:kern w:val="2"/>
          <w:sz w:val="24"/>
          <w:szCs w:val="24"/>
          <w:lang w:val="en-US" w:bidi="ar-SA"/>
        </w:rPr>
        <w:t>1</w:t>
      </w:r>
      <w:bookmarkStart w:id="82" w:name="_Toc318581156"/>
      <w:bookmarkStart w:id="83" w:name="_Toc300934944"/>
      <w:bookmarkStart w:id="84" w:name="_Toc312677987"/>
      <w:bookmarkStart w:id="85" w:name="_Toc303539101"/>
      <w:bookmarkStart w:id="86" w:name="_Toc304295522"/>
      <w:r>
        <w:rPr>
          <w:rFonts w:hint="eastAsia" w:asciiTheme="minorEastAsia" w:hAnsiTheme="minorEastAsia" w:eastAsiaTheme="minorEastAsia" w:cstheme="minorEastAsia"/>
          <w:kern w:val="2"/>
          <w:sz w:val="24"/>
          <w:szCs w:val="24"/>
          <w:lang w:val="en-US" w:bidi="ar-SA"/>
        </w:rPr>
        <w:t>.10.3 场内交通</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关于场外交通和场内交通的边界的约定：</w:t>
      </w:r>
      <w:r>
        <w:rPr>
          <w:rStyle w:val="27"/>
          <w:rFonts w:hint="eastAsia" w:asciiTheme="minorEastAsia" w:hAnsiTheme="minorEastAsia" w:eastAsiaTheme="minorEastAsia" w:cstheme="minorEastAsia"/>
          <w:color w:val="000000"/>
          <w:kern w:val="2"/>
          <w:sz w:val="24"/>
          <w:szCs w:val="24"/>
          <w:u w:val="single"/>
          <w:lang w:val="en-US" w:bidi="ar-SA"/>
        </w:rPr>
        <w:t>以规划部门批准的工程用地范围为界</w:t>
      </w:r>
      <w:r>
        <w:rPr>
          <w:rFonts w:hint="eastAsia" w:asciiTheme="minorEastAsia" w:hAnsiTheme="minorEastAsia" w:eastAsiaTheme="minorEastAsia" w:cstheme="minorEastAsia"/>
          <w:kern w:val="2"/>
          <w:sz w:val="24"/>
          <w:szCs w:val="24"/>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kern w:val="2"/>
          <w:sz w:val="24"/>
          <w:szCs w:val="24"/>
          <w:lang w:val="en-US" w:bidi="ar-SA"/>
        </w:rPr>
      </w:pPr>
      <w:r>
        <w:rPr>
          <w:rFonts w:hint="eastAsia" w:asciiTheme="minorEastAsia" w:hAnsiTheme="minorEastAsia" w:eastAsiaTheme="minorEastAsia" w:cstheme="minorEastAsia"/>
          <w:kern w:val="2"/>
          <w:sz w:val="24"/>
          <w:szCs w:val="24"/>
          <w:lang w:val="en-US" w:bidi="ar-SA"/>
        </w:rPr>
        <w:t>关于发包人向承包人免费提供满足工程施工需要的场内道路和交通设施的约定：</w:t>
      </w:r>
      <w:r>
        <w:rPr>
          <w:rFonts w:hint="eastAsia" w:asciiTheme="minorEastAsia" w:hAnsiTheme="minorEastAsia" w:eastAsiaTheme="minorEastAsia" w:cstheme="minorEastAsia"/>
          <w:color w:val="000000"/>
          <w:kern w:val="2"/>
          <w:sz w:val="24"/>
          <w:szCs w:val="24"/>
          <w:u w:val="single"/>
          <w:lang w:val="en-US" w:bidi="ar-SA"/>
        </w:rPr>
        <w:t></w:t>
      </w:r>
      <w:r>
        <w:rPr>
          <w:rStyle w:val="27"/>
          <w:rFonts w:hint="eastAsia" w:asciiTheme="minorEastAsia" w:hAnsiTheme="minorEastAsia" w:eastAsiaTheme="minorEastAsia" w:cstheme="minorEastAsia"/>
          <w:color w:val="000000"/>
          <w:kern w:val="2"/>
          <w:sz w:val="24"/>
          <w:szCs w:val="24"/>
          <w:u w:val="single"/>
          <w:lang w:val="en-US" w:bidi="ar-SA"/>
        </w:rPr>
        <w:t>执行通用条款</w:t>
      </w:r>
      <w:r>
        <w:rPr>
          <w:rFonts w:hint="eastAsia" w:asciiTheme="minorEastAsia" w:hAnsiTheme="minorEastAsia" w:eastAsiaTheme="minorEastAsia" w:cstheme="minorEastAsia"/>
          <w:kern w:val="2"/>
          <w:sz w:val="24"/>
          <w:szCs w:val="24"/>
          <w:lang w:val="en-US" w:bidi="ar-SA"/>
        </w:rPr>
        <w:t>。</w:t>
      </w:r>
      <w:bookmarkEnd w:id="82"/>
      <w:bookmarkEnd w:id="83"/>
      <w:bookmarkEnd w:id="84"/>
      <w:bookmarkEnd w:id="85"/>
      <w:bookmarkEnd w:id="86"/>
      <w:bookmarkStart w:id="87" w:name="_Toc318581157"/>
    </w:p>
    <w:p>
      <w:pPr>
        <w:autoSpaceDE/>
        <w:autoSpaceDN/>
        <w:spacing w:line="360" w:lineRule="auto"/>
        <w:ind w:firstLine="480" w:firstLineChars="200"/>
        <w:jc w:val="left"/>
        <w:rPr>
          <w:rFonts w:hint="eastAsia" w:asciiTheme="minorEastAsia" w:hAnsiTheme="minorEastAsia" w:eastAsiaTheme="minorEastAsia" w:cstheme="minorEastAsia"/>
          <w:kern w:val="2"/>
          <w:sz w:val="24"/>
          <w:szCs w:val="24"/>
          <w:lang w:val="en-US" w:bidi="ar-SA"/>
        </w:rPr>
      </w:pPr>
      <w:r>
        <w:rPr>
          <w:rFonts w:hint="eastAsia" w:asciiTheme="minorEastAsia" w:hAnsiTheme="minorEastAsia" w:eastAsiaTheme="minorEastAsia" w:cstheme="minorEastAsia"/>
          <w:kern w:val="2"/>
          <w:sz w:val="24"/>
          <w:szCs w:val="24"/>
          <w:lang w:val="en-US" w:bidi="ar-SA"/>
        </w:rPr>
        <w:t>1.10.4超大件和超重件的运输</w:t>
      </w:r>
    </w:p>
    <w:p>
      <w:pPr>
        <w:autoSpaceDE/>
        <w:autoSpaceDN/>
        <w:spacing w:line="360" w:lineRule="auto"/>
        <w:ind w:firstLine="480" w:firstLineChars="200"/>
        <w:jc w:val="left"/>
        <w:rPr>
          <w:rFonts w:hint="eastAsia" w:asciiTheme="minorEastAsia" w:hAnsiTheme="minorEastAsia" w:eastAsiaTheme="minorEastAsia" w:cstheme="minorEastAsia"/>
          <w:kern w:val="2"/>
          <w:sz w:val="24"/>
          <w:szCs w:val="24"/>
          <w:lang w:val="en-US" w:bidi="ar-SA"/>
        </w:rPr>
      </w:pPr>
      <w:r>
        <w:rPr>
          <w:rFonts w:hint="eastAsia" w:asciiTheme="minorEastAsia" w:hAnsiTheme="minorEastAsia" w:eastAsiaTheme="minorEastAsia" w:cstheme="minorEastAsia"/>
          <w:kern w:val="2"/>
          <w:sz w:val="24"/>
          <w:szCs w:val="24"/>
          <w:lang w:val="en-US" w:bidi="ar-SA"/>
        </w:rPr>
        <w:t>运输超大件或超重件所需的道路和桥梁临时加固改造费用和其他有关费用由</w:t>
      </w:r>
      <w:r>
        <w:rPr>
          <w:rFonts w:hint="eastAsia" w:asciiTheme="minorEastAsia" w:hAnsiTheme="minorEastAsia" w:eastAsiaTheme="minorEastAsia" w:cstheme="minorEastAsia"/>
          <w:kern w:val="2"/>
          <w:sz w:val="24"/>
          <w:szCs w:val="24"/>
          <w:u w:val="single"/>
          <w:lang w:val="en-US" w:bidi="ar-SA"/>
        </w:rPr>
        <w:t xml:space="preserve">    </w:t>
      </w:r>
      <w:r>
        <w:rPr>
          <w:rFonts w:hint="eastAsia" w:asciiTheme="minorEastAsia" w:hAnsiTheme="minorEastAsia" w:eastAsiaTheme="minorEastAsia" w:cstheme="minorEastAsia"/>
          <w:kern w:val="2"/>
          <w:sz w:val="24"/>
          <w:szCs w:val="24"/>
          <w:u w:val="single"/>
          <w:lang w:val="en-US" w:eastAsia="zh-CN" w:bidi="ar-SA"/>
        </w:rPr>
        <w:t>/</w:t>
      </w:r>
      <w:r>
        <w:rPr>
          <w:rFonts w:hint="eastAsia" w:asciiTheme="minorEastAsia" w:hAnsiTheme="minorEastAsia" w:eastAsiaTheme="minorEastAsia" w:cstheme="minorEastAsia"/>
          <w:kern w:val="2"/>
          <w:sz w:val="24"/>
          <w:szCs w:val="24"/>
          <w:u w:val="single"/>
          <w:lang w:val="en-US" w:bidi="ar-SA"/>
        </w:rPr>
        <w:t xml:space="preserve">      </w:t>
      </w:r>
      <w:r>
        <w:rPr>
          <w:rFonts w:hint="eastAsia" w:asciiTheme="minorEastAsia" w:hAnsiTheme="minorEastAsia" w:eastAsiaTheme="minorEastAsia" w:cstheme="minorEastAsia"/>
          <w:kern w:val="2"/>
          <w:sz w:val="24"/>
          <w:szCs w:val="24"/>
          <w:lang w:val="en-US" w:bidi="ar-SA"/>
        </w:rPr>
        <w:t>承担。</w:t>
      </w:r>
    </w:p>
    <w:bookmarkEnd w:id="87"/>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1.11 知识产权</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000000"/>
          <w:kern w:val="2"/>
          <w:sz w:val="24"/>
          <w:szCs w:val="24"/>
          <w:u w:val="single"/>
          <w:lang w:val="en-US" w:bidi="ar-SA"/>
        </w:rPr>
        <w:t></w:t>
      </w:r>
      <w:r>
        <w:rPr>
          <w:rStyle w:val="27"/>
          <w:rFonts w:hint="eastAsia" w:asciiTheme="minorEastAsia" w:hAnsiTheme="minorEastAsia" w:eastAsiaTheme="minorEastAsia" w:cstheme="minorEastAsia"/>
          <w:color w:val="000000"/>
          <w:kern w:val="2"/>
          <w:sz w:val="24"/>
          <w:szCs w:val="24"/>
          <w:u w:val="single"/>
          <w:lang w:val="en-US" w:bidi="ar-SA"/>
        </w:rPr>
        <w:t>执行通用条款</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关于发包人提供的上述文件的使用限制的要求：</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color w:val="000000"/>
          <w:kern w:val="2"/>
          <w:sz w:val="24"/>
          <w:szCs w:val="24"/>
          <w:u w:val="single"/>
          <w:lang w:val="en-US" w:bidi="ar-SA"/>
        </w:rPr>
        <w:t>执行通用条款</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1.11.2 关于承包人为实施工程所编制文件的著作权的归属：</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color w:val="000000"/>
          <w:kern w:val="2"/>
          <w:sz w:val="24"/>
          <w:szCs w:val="24"/>
          <w:u w:val="single"/>
          <w:lang w:val="en-US" w:bidi="ar-SA"/>
        </w:rPr>
        <w:t>执行通用条款</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关于承包人提供的上述文件的使用限制的要求：</w:t>
      </w:r>
      <w:r>
        <w:rPr>
          <w:rStyle w:val="27"/>
          <w:rFonts w:hint="eastAsia" w:asciiTheme="minorEastAsia" w:hAnsiTheme="minorEastAsia" w:eastAsiaTheme="minorEastAsia" w:cstheme="minorEastAsia"/>
          <w:color w:val="000000"/>
          <w:kern w:val="2"/>
          <w:sz w:val="24"/>
          <w:szCs w:val="24"/>
          <w:u w:val="single"/>
          <w:lang w:val="en-US" w:bidi="ar-SA"/>
        </w:rPr>
        <w:t>执行通用条款</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outlineLvl w:val="0"/>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2"/>
          <w:sz w:val="24"/>
          <w:szCs w:val="24"/>
          <w:lang w:val="en-US" w:bidi="ar-SA"/>
        </w:rPr>
        <w:t>1.11.4 承包人在施工过程中所采用的专利、专有技术、技术秘密的使用费的承担方式：</w:t>
      </w:r>
      <w:r>
        <w:rPr>
          <w:rFonts w:hint="eastAsia" w:asciiTheme="minorEastAsia" w:hAnsiTheme="minorEastAsia" w:eastAsiaTheme="minorEastAsia" w:cstheme="minorEastAsia"/>
          <w:color w:val="000000"/>
          <w:kern w:val="2"/>
          <w:sz w:val="24"/>
          <w:szCs w:val="24"/>
          <w:u w:val="single"/>
          <w:lang w:val="en-US" w:bidi="ar-SA"/>
        </w:rPr>
        <w:t></w:t>
      </w:r>
      <w:r>
        <w:rPr>
          <w:rStyle w:val="27"/>
          <w:rFonts w:hint="eastAsia" w:asciiTheme="minorEastAsia" w:hAnsiTheme="minorEastAsia" w:eastAsiaTheme="minorEastAsia" w:cstheme="minorEastAsia"/>
          <w:color w:val="000000"/>
          <w:kern w:val="2"/>
          <w:sz w:val="24"/>
          <w:szCs w:val="24"/>
          <w:u w:val="single"/>
          <w:lang w:val="en-US" w:bidi="ar-SA"/>
        </w:rPr>
        <w:t>由承包人承担</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0"/>
          <w:sz w:val="24"/>
          <w:szCs w:val="24"/>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1.13工程量清单错误的修正</w:t>
      </w:r>
    </w:p>
    <w:p>
      <w:pPr>
        <w:autoSpaceDE/>
        <w:autoSpaceDN/>
        <w:spacing w:line="360" w:lineRule="auto"/>
        <w:ind w:firstLine="480" w:firstLineChars="200"/>
        <w:jc w:val="both"/>
        <w:rPr>
          <w:rFonts w:hint="eastAsia" w:asciiTheme="minorEastAsia" w:hAnsiTheme="minorEastAsia" w:eastAsiaTheme="minorEastAsia" w:cstheme="minorEastAsia"/>
          <w:b w:val="0"/>
          <w:bCs/>
          <w:color w:val="000000"/>
          <w:kern w:val="2"/>
          <w:sz w:val="24"/>
          <w:szCs w:val="24"/>
          <w:lang w:val="en-US" w:bidi="ar-SA"/>
        </w:rPr>
      </w:pPr>
      <w:bookmarkStart w:id="88" w:name="_Toc351203634"/>
      <w:r>
        <w:rPr>
          <w:rFonts w:hint="eastAsia" w:asciiTheme="minorEastAsia" w:hAnsiTheme="minorEastAsia" w:eastAsiaTheme="minorEastAsia" w:cstheme="minorEastAsia"/>
          <w:b w:val="0"/>
          <w:bCs/>
          <w:color w:val="000000"/>
          <w:kern w:val="2"/>
          <w:sz w:val="24"/>
          <w:szCs w:val="24"/>
          <w:lang w:val="en-US" w:bidi="ar-SA"/>
        </w:rPr>
        <w:t>承包人应在合同签订后对发包人提供的工程量清单、图纸和现场进行核查和踏察，如发现差异，应在 15 天内以书面形式向发包人提出，有下列情形之一时，发包人应予以修正，并相应调整合同价格：</w:t>
      </w:r>
    </w:p>
    <w:p>
      <w:pPr>
        <w:autoSpaceDE/>
        <w:autoSpaceDN/>
        <w:spacing w:line="360" w:lineRule="auto"/>
        <w:ind w:firstLine="480" w:firstLineChars="200"/>
        <w:jc w:val="both"/>
        <w:rPr>
          <w:rFonts w:hint="eastAsia" w:asciiTheme="minorEastAsia" w:hAnsiTheme="minorEastAsia" w:eastAsiaTheme="minorEastAsia" w:cstheme="minorEastAsia"/>
          <w:b w:val="0"/>
          <w:bCs/>
          <w:color w:val="000000"/>
          <w:kern w:val="2"/>
          <w:sz w:val="24"/>
          <w:szCs w:val="24"/>
          <w:lang w:val="en-US" w:bidi="ar-SA"/>
        </w:rPr>
      </w:pPr>
      <w:r>
        <w:rPr>
          <w:rFonts w:hint="eastAsia" w:asciiTheme="minorEastAsia" w:hAnsiTheme="minorEastAsia" w:eastAsiaTheme="minorEastAsia" w:cstheme="minorEastAsia"/>
          <w:b w:val="0"/>
          <w:bCs/>
          <w:color w:val="000000"/>
          <w:kern w:val="2"/>
          <w:sz w:val="24"/>
          <w:szCs w:val="24"/>
          <w:lang w:val="en-US" w:bidi="ar-SA"/>
        </w:rPr>
        <w:t>出现工程量清单错误时，是否调整合同价格：对存在缺项、漏项(因承包人在投标报价遗漏等原因导致的不予调整)工程量清单调整，按项目完成的合格（含变更新增分部分项工程清单项目、签证）工程清单、对存在缺项、漏项工程量清单执行本合同10.4.1 变更估价原则作为合同价款的调整依据。</w:t>
      </w:r>
    </w:p>
    <w:p>
      <w:pPr>
        <w:autoSpaceDE/>
        <w:autoSpaceDN/>
        <w:spacing w:line="360" w:lineRule="auto"/>
        <w:ind w:firstLine="480" w:firstLineChars="200"/>
        <w:jc w:val="both"/>
        <w:rPr>
          <w:rFonts w:hint="eastAsia" w:asciiTheme="minorEastAsia" w:hAnsiTheme="minorEastAsia" w:eastAsiaTheme="minorEastAsia" w:cstheme="minorEastAsia"/>
          <w:b w:val="0"/>
          <w:bCs/>
          <w:color w:val="000000"/>
          <w:kern w:val="2"/>
          <w:sz w:val="24"/>
          <w:szCs w:val="24"/>
          <w:lang w:val="en-US" w:bidi="ar-SA"/>
        </w:rPr>
      </w:pPr>
      <w:r>
        <w:rPr>
          <w:rFonts w:hint="eastAsia" w:asciiTheme="minorEastAsia" w:hAnsiTheme="minorEastAsia" w:eastAsiaTheme="minorEastAsia" w:cstheme="minorEastAsia"/>
          <w:b w:val="0"/>
          <w:bCs/>
          <w:color w:val="000000"/>
          <w:kern w:val="2"/>
          <w:sz w:val="24"/>
          <w:szCs w:val="24"/>
          <w:lang w:val="en-US" w:bidi="ar-SA"/>
        </w:rPr>
        <w:t>允许调整合同价格的工程量偏差范围：执行本合同10.4.1 变更估价原则。</w:t>
      </w:r>
    </w:p>
    <w:p>
      <w:pPr>
        <w:autoSpaceDE/>
        <w:autoSpaceDN/>
        <w:spacing w:line="360" w:lineRule="auto"/>
        <w:ind w:firstLine="480" w:firstLineChars="200"/>
        <w:jc w:val="both"/>
        <w:rPr>
          <w:rFonts w:hint="eastAsia" w:asciiTheme="minorEastAsia" w:hAnsiTheme="minorEastAsia" w:eastAsiaTheme="minorEastAsia" w:cstheme="minorEastAsia"/>
          <w:b w:val="0"/>
          <w:bCs/>
          <w:color w:val="000000"/>
          <w:kern w:val="2"/>
          <w:sz w:val="24"/>
          <w:szCs w:val="24"/>
          <w:lang w:val="en-US" w:bidi="ar-SA"/>
        </w:rPr>
      </w:pPr>
      <w:r>
        <w:rPr>
          <w:rFonts w:hint="eastAsia" w:asciiTheme="minorEastAsia" w:hAnsiTheme="minorEastAsia" w:eastAsiaTheme="minorEastAsia" w:cstheme="minorEastAsia"/>
          <w:b w:val="0"/>
          <w:bCs/>
          <w:color w:val="000000"/>
          <w:kern w:val="2"/>
          <w:sz w:val="24"/>
          <w:szCs w:val="24"/>
          <w:lang w:val="en-US" w:bidi="ar-SA"/>
        </w:rPr>
        <w:t>2</w:t>
      </w:r>
      <w:bookmarkStart w:id="89" w:name="_Toc297048343"/>
      <w:bookmarkStart w:id="90" w:name="_Toc296346658"/>
      <w:bookmarkStart w:id="91" w:name="_Toc296503157"/>
      <w:bookmarkStart w:id="92" w:name="_Toc296347156"/>
      <w:bookmarkStart w:id="93" w:name="_Toc292559867"/>
      <w:bookmarkStart w:id="94" w:name="_Toc296890985"/>
      <w:bookmarkStart w:id="95" w:name="_Toc296891197"/>
      <w:bookmarkStart w:id="96" w:name="_Toc297120457"/>
      <w:bookmarkStart w:id="97" w:name="_Toc292559362"/>
      <w:bookmarkStart w:id="98" w:name="_Toc296944496"/>
      <w:r>
        <w:rPr>
          <w:rFonts w:hint="eastAsia" w:asciiTheme="minorEastAsia" w:hAnsiTheme="minorEastAsia" w:eastAsiaTheme="minorEastAsia" w:cstheme="minorEastAsia"/>
          <w:b w:val="0"/>
          <w:bCs/>
          <w:color w:val="000000"/>
          <w:kern w:val="2"/>
          <w:sz w:val="24"/>
          <w:szCs w:val="24"/>
          <w:lang w:val="en-US" w:bidi="ar-SA"/>
        </w:rPr>
        <w:t>. 发包人</w:t>
      </w:r>
      <w:bookmarkEnd w:id="88"/>
    </w:p>
    <w:bookmarkEnd w:id="89"/>
    <w:bookmarkEnd w:id="90"/>
    <w:bookmarkEnd w:id="91"/>
    <w:bookmarkEnd w:id="92"/>
    <w:bookmarkEnd w:id="93"/>
    <w:bookmarkEnd w:id="94"/>
    <w:bookmarkEnd w:id="95"/>
    <w:bookmarkEnd w:id="96"/>
    <w:bookmarkEnd w:id="97"/>
    <w:bookmarkEnd w:id="98"/>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2.2 发包人代表</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发包人代表：</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姓    名：</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身份证号：</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职    务：</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联系电话：</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电子信箱：</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通信地址：</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b/>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发包人对发包人代表的授权范围如下：</w:t>
      </w:r>
      <w:r>
        <w:rPr>
          <w:rFonts w:hint="eastAsia" w:asciiTheme="minorEastAsia" w:hAnsiTheme="minorEastAsia" w:eastAsiaTheme="minorEastAsia" w:cstheme="minorEastAsia"/>
          <w:color w:val="000000"/>
          <w:kern w:val="2"/>
          <w:sz w:val="24"/>
          <w:szCs w:val="24"/>
          <w:u w:val="single"/>
          <w:lang w:val="en-US" w:bidi="ar-SA"/>
        </w:rPr>
        <w:t></w:t>
      </w:r>
      <w:r>
        <w:rPr>
          <w:rStyle w:val="27"/>
          <w:rFonts w:hint="eastAsia" w:asciiTheme="minorEastAsia" w:hAnsiTheme="minorEastAsia" w:eastAsiaTheme="minorEastAsia" w:cstheme="minorEastAsia"/>
          <w:color w:val="000000"/>
          <w:kern w:val="2"/>
          <w:sz w:val="24"/>
          <w:szCs w:val="24"/>
          <w:u w:val="single"/>
          <w:lang w:val="en-US" w:bidi="ar-SA"/>
        </w:rPr>
        <w:t>行使合同约定的发包人的权利，负责履行合同约定的发包人的义务。发包人文件、须经发包人认可的监理文件，须经发包人代表签署并加盖发包人印章后方生效，涉及工程量增加、工程款增加及合同条款实质补充的，应当取得发包方书面同意</w:t>
      </w:r>
      <w:r>
        <w:rPr>
          <w:rFonts w:hint="eastAsia" w:asciiTheme="minorEastAsia" w:hAnsiTheme="minorEastAsia" w:eastAsiaTheme="minorEastAsia" w:cstheme="minorEastAsia"/>
          <w:color w:val="000000"/>
          <w:kern w:val="2"/>
          <w:sz w:val="24"/>
          <w:szCs w:val="24"/>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2.4 施工现场、施工条件和基础资料的提供</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2.4.1 提供施工现场</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关于发包人移交施工现场的期限要求：</w:t>
      </w:r>
      <w:r>
        <w:rPr>
          <w:rStyle w:val="27"/>
          <w:rFonts w:hint="eastAsia" w:asciiTheme="minorEastAsia" w:hAnsiTheme="minorEastAsia" w:eastAsiaTheme="minorEastAsia" w:cstheme="minorEastAsia"/>
          <w:color w:val="000000"/>
          <w:kern w:val="2"/>
          <w:sz w:val="24"/>
          <w:szCs w:val="24"/>
          <w:u w:val="single"/>
          <w:lang w:val="en-US" w:bidi="ar-SA"/>
        </w:rPr>
        <w:t>施工场地应当在监理人发出的开工通知书中载明的开工日期前2天具备施工条件并移交给承包人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2.4.2 提供施工条件</w:t>
      </w:r>
    </w:p>
    <w:p>
      <w:pPr>
        <w:keepNext w:val="0"/>
        <w:keepLines w:val="0"/>
        <w:widowControl/>
        <w:suppressLineNumbers w:val="0"/>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关于发包人应负责提供施工所需要的条件，包括：</w:t>
      </w:r>
      <w:r>
        <w:rPr>
          <w:rFonts w:hint="eastAsia" w:asciiTheme="minorEastAsia" w:hAnsiTheme="minorEastAsia" w:eastAsiaTheme="minorEastAsia" w:cstheme="minorEastAsia"/>
          <w:color w:val="000000"/>
          <w:kern w:val="2"/>
          <w:sz w:val="24"/>
          <w:szCs w:val="24"/>
          <w:u w:val="single"/>
          <w:lang w:val="en-US" w:eastAsia="zh-CN" w:bidi="ar-SA"/>
        </w:rPr>
        <w:t>/</w:t>
      </w:r>
      <w:r>
        <w:rPr>
          <w:rStyle w:val="27"/>
          <w:rFonts w:hint="eastAsia" w:asciiTheme="minorEastAsia" w:hAnsiTheme="minorEastAsia" w:eastAsiaTheme="minorEastAsia" w:cstheme="minorEastAsia"/>
          <w:color w:val="000000"/>
          <w:kern w:val="2"/>
          <w:sz w:val="24"/>
          <w:szCs w:val="24"/>
          <w:u w:val="single"/>
          <w:lang w:val="en-US" w:eastAsia="zh-CN"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2.5 资金来源证明及支付担保</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发包人提供资金来源证明的期限要求：</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发包人是否提供支付担保：</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发包人提供支付担保的形式：</w:t>
      </w:r>
      <w:r>
        <w:rPr>
          <w:rFonts w:hint="eastAsia" w:asciiTheme="minorEastAsia" w:hAnsiTheme="minorEastAsia" w:eastAsiaTheme="minorEastAsia" w:cstheme="minorEastAsia"/>
          <w:color w:val="000000"/>
          <w:kern w:val="2"/>
          <w:sz w:val="24"/>
          <w:szCs w:val="24"/>
          <w:u w:val="single"/>
          <w:lang w:val="en-US" w:eastAsia="zh-CN" w:bidi="ar-SA"/>
        </w:rPr>
        <w:t>/</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u w:val="single"/>
          <w:lang w:val="en-US" w:eastAsia="zh-CN" w:bidi="ar-SA"/>
        </w:rPr>
        <w:t xml:space="preserve">                  </w:t>
      </w:r>
      <w:r>
        <w:rPr>
          <w:rFonts w:hint="eastAsia" w:asciiTheme="minorEastAsia" w:hAnsiTheme="minorEastAsia" w:eastAsiaTheme="minorEastAsia" w:cstheme="minorEastAsia"/>
          <w:color w:val="000000"/>
          <w:kern w:val="2"/>
          <w:sz w:val="24"/>
          <w:szCs w:val="24"/>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000000"/>
          <w:kern w:val="2"/>
          <w:sz w:val="24"/>
          <w:szCs w:val="24"/>
          <w:lang w:val="en-US" w:eastAsia="zh-CN" w:bidi="ar-SA"/>
        </w:rPr>
      </w:pPr>
      <w:bookmarkStart w:id="99" w:name="_Toc351203635"/>
      <w:r>
        <w:rPr>
          <w:rFonts w:hint="eastAsia" w:asciiTheme="minorEastAsia" w:hAnsiTheme="minorEastAsia" w:eastAsiaTheme="minorEastAsia" w:cstheme="minorEastAsia"/>
          <w:b w:val="0"/>
          <w:bCs/>
          <w:color w:val="000000"/>
          <w:kern w:val="2"/>
          <w:sz w:val="24"/>
          <w:szCs w:val="24"/>
          <w:lang w:val="en-US" w:eastAsia="zh-CN" w:bidi="ar-SA"/>
        </w:rPr>
        <w:t>3</w:t>
      </w:r>
      <w:bookmarkStart w:id="100" w:name="_Toc296346659"/>
      <w:bookmarkStart w:id="101" w:name="_Toc292559868"/>
      <w:bookmarkStart w:id="102" w:name="_Toc292559363"/>
      <w:bookmarkStart w:id="103" w:name="_Toc297048344"/>
      <w:bookmarkStart w:id="104" w:name="_Toc297120458"/>
      <w:bookmarkStart w:id="105" w:name="_Toc296890986"/>
      <w:bookmarkStart w:id="106" w:name="_Toc296944497"/>
      <w:bookmarkStart w:id="107" w:name="_Toc296503158"/>
      <w:bookmarkStart w:id="108" w:name="_Toc296347157"/>
      <w:bookmarkStart w:id="109" w:name="_Toc296891198"/>
      <w:r>
        <w:rPr>
          <w:rFonts w:hint="eastAsia" w:asciiTheme="minorEastAsia" w:hAnsiTheme="minorEastAsia" w:eastAsiaTheme="minorEastAsia" w:cstheme="minorEastAsia"/>
          <w:b w:val="0"/>
          <w:bCs/>
          <w:color w:val="000000"/>
          <w:kern w:val="2"/>
          <w:sz w:val="24"/>
          <w:szCs w:val="24"/>
          <w:lang w:val="en-US" w:eastAsia="zh-CN" w:bidi="ar-SA"/>
        </w:rPr>
        <w:t>. 承包人</w:t>
      </w:r>
      <w:bookmarkEnd w:id="99"/>
    </w:p>
    <w:bookmarkEnd w:id="100"/>
    <w:bookmarkEnd w:id="101"/>
    <w:bookmarkEnd w:id="102"/>
    <w:bookmarkEnd w:id="103"/>
    <w:bookmarkEnd w:id="104"/>
    <w:bookmarkEnd w:id="105"/>
    <w:bookmarkEnd w:id="106"/>
    <w:bookmarkEnd w:id="107"/>
    <w:bookmarkEnd w:id="108"/>
    <w:bookmarkEnd w:id="109"/>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3.1 承包人的一般义务</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（9）承包人提交的竣工资料的内容：执行通用条款。</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承包人需要提交的竣工资料套数：原件四套。</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承包人提交的竣工资料的费用承担：承包人承担。</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承包人提交的竣工资料移交时间：竣工验收合格后30日内。</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承包人提交的竣工资料形式要求：纸质及电子档案两种均提供。</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（A）施工中未发生设计变更，施工后由承包人在发包人提供的施工图纸加盖竣工图章提交发包人。</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（B）施工过程中发生设计变更的，需经相关方书面确认后由设计单位出具设计变更材料，由承包人提供加盖竣工图章的竣工图给发包人。</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（C）工程竣工验收后 30 天内，承包人应提供给发包人 4 套完整符合要求的竣工图、竣工归档资料。</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（D）因承包人拖延或不办理竣工归档资料，经发包人催告，3个月内未按发包人要求提供相关竣工归档资料的，发包人有权委托第三方机构整理，相关费用由承包人承担。</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（10）承包人应履行的其他义务：</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A、应提供计划、报表的名称及完成时间：（1）根据合同约定的工期要求向监理方、发包方上报其切实可行的年、季、月、旬、周进度计划。（2）招标中的主要材料，承包方须在需要使用的一个月以前向发包方提出材料计划（包括时间、数量、规格、品牌尺寸型号等），否则，由于计划不准确、时间延误等原因造成的损失由承包方负责。</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B、承担施工安保工作及施工用电的责任和要求：承担施工现场内人身、财产等全部安全责任和任何时间施工用电的责任，相关费用已经包含在合同投标报价中,今后不再以任何理由和方式计取。</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C、已完工程成品保护的特殊要求及费用承担：承包人应负责已完工程的成品保护工作，承担已竣工工程未交付使用前损毁、火灾、丢失等风险；保护期间发生损坏、失窃，其责任由承包人自行承担。</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D、施工场地清洁卫生的要求：承包人按建设行政主管部门和相关部门以及市、区、街道等相关规定执行。所需费用已包含在此次投标报价中，以后不得再以任何理由计取。</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E、按照政府有关部门及建设单位防疫防控要求，做好防疫防控的相关工作。</w:t>
      </w:r>
    </w:p>
    <w:p>
      <w:pPr>
        <w:autoSpaceDE/>
        <w:autoSpaceDN/>
        <w:spacing w:line="360" w:lineRule="auto"/>
        <w:ind w:firstLine="42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F、发包人要求的其他工作。</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3.2 项目经理</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0"/>
          <w:sz w:val="24"/>
          <w:szCs w:val="24"/>
          <w:lang w:val="en-US" w:bidi="ar-SA"/>
        </w:rPr>
        <w:t xml:space="preserve">3.2.1 </w:t>
      </w:r>
      <w:r>
        <w:rPr>
          <w:rFonts w:hint="eastAsia" w:asciiTheme="minorEastAsia" w:hAnsiTheme="minorEastAsia" w:eastAsiaTheme="minorEastAsia" w:cstheme="minorEastAsia"/>
          <w:color w:val="000000"/>
          <w:kern w:val="2"/>
          <w:sz w:val="24"/>
          <w:szCs w:val="24"/>
          <w:lang w:val="en-US" w:bidi="ar-SA"/>
        </w:rPr>
        <w:t>项目经理：</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姓    名：</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身份证号：</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建造师执业资格等级：</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      </w:t>
      </w:r>
      <w:r>
        <w:rPr>
          <w:rFonts w:hint="eastAsia" w:asciiTheme="minorEastAsia" w:hAnsiTheme="minorEastAsia" w:eastAsiaTheme="minorEastAsia" w:cstheme="minorEastAsia"/>
          <w:color w:val="000000"/>
          <w:kern w:val="2"/>
          <w:sz w:val="24"/>
          <w:szCs w:val="24"/>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建造师注册证书号：</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建造师执业印章号：</w:t>
      </w:r>
      <w:r>
        <w:rPr>
          <w:rFonts w:hint="eastAsia" w:asciiTheme="minorEastAsia" w:hAnsiTheme="minorEastAsia" w:eastAsiaTheme="minorEastAsia" w:cstheme="minorEastAsia"/>
          <w:color w:val="000000"/>
          <w:kern w:val="2"/>
          <w:sz w:val="24"/>
          <w:szCs w:val="24"/>
          <w:u w:val="single"/>
          <w:lang w:val="en-US" w:bidi="ar-SA"/>
        </w:rPr>
        <w:t></w:t>
      </w:r>
      <w:r>
        <w:rPr>
          <w:rFonts w:hint="eastAsia" w:asciiTheme="minorEastAsia" w:hAnsiTheme="minorEastAsia" w:eastAsiaTheme="minorEastAsia" w:cstheme="minorEastAsia"/>
          <w:color w:val="000000"/>
          <w:kern w:val="2"/>
          <w:sz w:val="24"/>
          <w:szCs w:val="24"/>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安全生产考核合格证书号：</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联系电话：</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电子信箱：</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通信地址：</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u w:val="single"/>
          <w:lang w:val="en-US" w:bidi="ar-SA"/>
        </w:rPr>
        <w:t>        </w:t>
      </w:r>
      <w:r>
        <w:rPr>
          <w:rFonts w:hint="eastAsia" w:asciiTheme="minorEastAsia" w:hAnsiTheme="minorEastAsia" w:eastAsiaTheme="minorEastAsia" w:cstheme="minorEastAsia"/>
          <w:color w:val="000000"/>
          <w:kern w:val="2"/>
          <w:sz w:val="24"/>
          <w:szCs w:val="24"/>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承包人对项目负责人的授权范围如下：代表承包人负责履行合同。</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关于项目负责人每月在施工现场的时间要求：项目经理要求在施工现场的时间不小于总日历工期的90％，如在施工现场时间小于总日历工期的90%，则承包人承担违约责任，按照签约合同价10%支付违约金。</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承包人未提交劳动合同，以及没有为项目负责人缴纳社会保险的违约责任：由承包人承担。</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项目负责人未经批准，擅自离开施工现场的违约责任：每少一天支付违约金1000元，连续5天不在现场，则承包人承担违约责任，按照签约合同价10%支付违约金；项目负责人未经批准，不参加工程例会的，每次支付违约金1000元。</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3.2.3 承包人擅自更换项目负责人的违约责任：未经发包人同意，不得擅自更换项目负责人；承包人确实存在特殊原因需要更换的，更换同等业绩同等资质人员并经发包人批准后执行，承包人仍应承担违约责任，按照签约合同价2%支付违约金。未经发包人同意，承包人擅自更换项目负责人的，承包人承担违约责任，按照签约合同价5%支付违约金（合同金额100万元以下按2万元计）。</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3.2.4 承包人无正当理由拒绝更换项目负责人的违约责任：工程施工过程中，如项目负责人不能胜任本职工作的发包人有权要求更换其认为不称职的项目负责人，承包人必须服从，否则承包人承担违约责任，按照签约合同价10%支付违约金（合同金额100万元以下按5万元计）。</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3.3 承包人人员</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bookmarkStart w:id="110" w:name="_Toc267251418"/>
      <w:bookmarkStart w:id="111" w:name="_Toc351203637"/>
      <w:r>
        <w:rPr>
          <w:rFonts w:hint="eastAsia" w:asciiTheme="minorEastAsia" w:hAnsiTheme="minorEastAsia" w:eastAsiaTheme="minorEastAsia" w:cstheme="minorEastAsia"/>
          <w:b w:val="0"/>
          <w:bCs/>
          <w:color w:val="auto"/>
          <w:kern w:val="0"/>
          <w:sz w:val="24"/>
          <w:szCs w:val="24"/>
          <w:highlight w:val="none"/>
        </w:rPr>
        <w:t>3.3.1 承包人提交项目管理机构及施工现场管理人员安排报告的期限：</w:t>
      </w:r>
      <w:r>
        <w:rPr>
          <w:rFonts w:hint="eastAsia" w:asciiTheme="minorEastAsia" w:hAnsiTheme="minorEastAsia" w:eastAsiaTheme="minorEastAsia" w:cstheme="minorEastAsia"/>
          <w:b w:val="0"/>
          <w:bCs/>
          <w:color w:val="auto"/>
          <w:kern w:val="0"/>
          <w:sz w:val="24"/>
          <w:szCs w:val="24"/>
          <w:highlight w:val="none"/>
          <w:u w:val="single"/>
        </w:rPr>
        <w:t>开工前5天</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3.3.3 承包人无正当理由拒绝撤换主要施工管理人员的违约责任：</w:t>
      </w:r>
      <w:r>
        <w:rPr>
          <w:rFonts w:hint="eastAsia" w:asciiTheme="minorEastAsia" w:hAnsiTheme="minorEastAsia" w:eastAsiaTheme="minorEastAsia" w:cstheme="minorEastAsia"/>
          <w:b w:val="0"/>
          <w:bCs/>
          <w:color w:val="auto"/>
          <w:kern w:val="0"/>
          <w:sz w:val="24"/>
          <w:szCs w:val="24"/>
          <w:highlight w:val="none"/>
          <w:u w:val="single"/>
        </w:rPr>
        <w:t>承包人按照签约合同价1%支付违约金。</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3.3.4 承包人主要施工管理人员离开施工现场的批准要求：</w:t>
      </w:r>
      <w:r>
        <w:rPr>
          <w:rFonts w:hint="eastAsia" w:asciiTheme="minorEastAsia" w:hAnsiTheme="minorEastAsia" w:eastAsiaTheme="minorEastAsia" w:cstheme="minorEastAsia"/>
          <w:b w:val="0"/>
          <w:bCs/>
          <w:color w:val="auto"/>
          <w:kern w:val="0"/>
          <w:sz w:val="24"/>
          <w:szCs w:val="24"/>
          <w:highlight w:val="none"/>
          <w:u w:val="single"/>
        </w:rPr>
        <w:t>须征得发包人同意且有临时替换具有履行相应职责能力的施工管理人员，未经发包人同意的视为擅自离场。承包人</w:t>
      </w:r>
      <w:r>
        <w:rPr>
          <w:rFonts w:hint="eastAsia" w:asciiTheme="minorEastAsia" w:hAnsiTheme="minorEastAsia" w:eastAsiaTheme="minorEastAsia" w:cstheme="minorEastAsia"/>
          <w:b w:val="0"/>
          <w:bCs/>
          <w:color w:val="auto"/>
          <w:kern w:val="0"/>
          <w:sz w:val="24"/>
          <w:szCs w:val="24"/>
          <w:highlight w:val="none"/>
          <w:u w:val="single"/>
          <w:lang w:val="en-US" w:eastAsia="zh-CN"/>
        </w:rPr>
        <w:t>应</w:t>
      </w:r>
      <w:r>
        <w:rPr>
          <w:rFonts w:hint="eastAsia" w:asciiTheme="minorEastAsia" w:hAnsiTheme="minorEastAsia" w:eastAsiaTheme="minorEastAsia" w:cstheme="minorEastAsia"/>
          <w:b w:val="0"/>
          <w:bCs/>
          <w:color w:val="auto"/>
          <w:kern w:val="0"/>
          <w:sz w:val="24"/>
          <w:szCs w:val="24"/>
          <w:highlight w:val="none"/>
          <w:u w:val="single"/>
        </w:rPr>
        <w:t>承担违约责任，按照签约合同价</w:t>
      </w:r>
      <w:r>
        <w:rPr>
          <w:rFonts w:hint="eastAsia" w:asciiTheme="minorEastAsia" w:hAnsiTheme="minorEastAsia" w:eastAsiaTheme="minorEastAsia" w:cstheme="minorEastAsia"/>
          <w:b w:val="0"/>
          <w:bCs/>
          <w:color w:val="auto"/>
          <w:kern w:val="0"/>
          <w:sz w:val="24"/>
          <w:szCs w:val="24"/>
          <w:highlight w:val="none"/>
          <w:u w:val="single"/>
          <w:lang w:val="en-US" w:eastAsia="zh-CN"/>
        </w:rPr>
        <w:t>2</w:t>
      </w:r>
      <w:r>
        <w:rPr>
          <w:rFonts w:hint="eastAsia" w:asciiTheme="minorEastAsia" w:hAnsiTheme="minorEastAsia" w:eastAsiaTheme="minorEastAsia" w:cstheme="minorEastAsia"/>
          <w:b w:val="0"/>
          <w:bCs/>
          <w:color w:val="auto"/>
          <w:kern w:val="0"/>
          <w:sz w:val="24"/>
          <w:szCs w:val="24"/>
          <w:highlight w:val="none"/>
          <w:u w:val="single"/>
        </w:rPr>
        <w:t>%支付违约金</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3.3.5 承包人擅自更换主要施工管理人员的违约责任：</w:t>
      </w:r>
      <w:r>
        <w:rPr>
          <w:rFonts w:hint="eastAsia" w:asciiTheme="minorEastAsia" w:hAnsiTheme="minorEastAsia" w:eastAsiaTheme="minorEastAsia" w:cstheme="minorEastAsia"/>
          <w:b w:val="0"/>
          <w:bCs/>
          <w:color w:val="auto"/>
          <w:kern w:val="0"/>
          <w:sz w:val="24"/>
          <w:szCs w:val="24"/>
          <w:highlight w:val="none"/>
          <w:u w:val="single"/>
        </w:rPr>
        <w:t>未经发包人同意，不得擅自更换主要施工管理人员；承包人确实存在特殊原因（如身体原因）需要更换的，更换同等业绩同等资质人员并经发包人批准后执行。未经发包人同意，承包人承担违约责任，按照签约合同价</w:t>
      </w:r>
      <w:r>
        <w:rPr>
          <w:rFonts w:hint="eastAsia" w:asciiTheme="minorEastAsia" w:hAnsiTheme="minorEastAsia" w:eastAsiaTheme="minorEastAsia" w:cstheme="minorEastAsia"/>
          <w:b w:val="0"/>
          <w:bCs/>
          <w:color w:val="auto"/>
          <w:kern w:val="0"/>
          <w:sz w:val="24"/>
          <w:szCs w:val="24"/>
          <w:highlight w:val="none"/>
          <w:u w:val="single"/>
          <w:lang w:val="en-US" w:eastAsia="zh-CN"/>
        </w:rPr>
        <w:t>5</w:t>
      </w:r>
      <w:r>
        <w:rPr>
          <w:rFonts w:hint="eastAsia" w:asciiTheme="minorEastAsia" w:hAnsiTheme="minorEastAsia" w:eastAsiaTheme="minorEastAsia" w:cstheme="minorEastAsia"/>
          <w:b w:val="0"/>
          <w:bCs/>
          <w:color w:val="auto"/>
          <w:kern w:val="0"/>
          <w:sz w:val="24"/>
          <w:szCs w:val="24"/>
          <w:highlight w:val="none"/>
          <w:u w:val="single"/>
        </w:rPr>
        <w:t>%支付违约金</w:t>
      </w:r>
      <w:r>
        <w:rPr>
          <w:rFonts w:hint="eastAsia" w:asciiTheme="minorEastAsia" w:hAnsiTheme="minorEastAsia" w:eastAsiaTheme="minorEastAsia" w:cstheme="minorEastAsia"/>
          <w:b w:val="0"/>
          <w:bCs/>
          <w:color w:val="auto"/>
          <w:kern w:val="0"/>
          <w:sz w:val="24"/>
          <w:szCs w:val="24"/>
          <w:highlight w:val="none"/>
          <w:u w:val="single"/>
          <w:lang w:eastAsia="zh-CN"/>
        </w:rPr>
        <w:t>。</w:t>
      </w:r>
    </w:p>
    <w:p>
      <w:pPr>
        <w:shd w:val="clear"/>
        <w:spacing w:line="360" w:lineRule="auto"/>
        <w:ind w:firstLine="480" w:firstLineChars="200"/>
        <w:jc w:val="left"/>
        <w:rPr>
          <w:rFonts w:hint="eastAsia" w:asciiTheme="minorEastAsia" w:hAnsiTheme="minorEastAsia" w:eastAsiaTheme="minorEastAsia" w:cstheme="minorEastAsia"/>
          <w:b w:val="0"/>
          <w:bCs/>
          <w:color w:val="000000"/>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承包人主要施工管理人员擅自离开施工现场的违约责任：</w:t>
      </w:r>
      <w:r>
        <w:rPr>
          <w:rFonts w:hint="eastAsia" w:asciiTheme="minorEastAsia" w:hAnsiTheme="minorEastAsia" w:eastAsiaTheme="minorEastAsia" w:cstheme="minorEastAsia"/>
          <w:b w:val="0"/>
          <w:bCs/>
          <w:color w:val="auto"/>
          <w:kern w:val="0"/>
          <w:sz w:val="24"/>
          <w:szCs w:val="24"/>
          <w:highlight w:val="none"/>
          <w:u w:val="single"/>
        </w:rPr>
        <w:t>每少一天支付违约金500元；主要施工管理人员未经批准，不参</w:t>
      </w:r>
      <w:r>
        <w:rPr>
          <w:rFonts w:hint="eastAsia" w:asciiTheme="minorEastAsia" w:hAnsiTheme="minorEastAsia" w:eastAsiaTheme="minorEastAsia" w:cstheme="minorEastAsia"/>
          <w:b w:val="0"/>
          <w:bCs/>
          <w:color w:val="000000"/>
          <w:kern w:val="0"/>
          <w:sz w:val="24"/>
          <w:szCs w:val="24"/>
          <w:highlight w:val="none"/>
          <w:u w:val="single"/>
        </w:rPr>
        <w:t>加工程例会的，每次支付违约金500元</w:t>
      </w:r>
      <w:r>
        <w:rPr>
          <w:rFonts w:hint="eastAsia" w:asciiTheme="minorEastAsia" w:hAnsiTheme="minorEastAsia" w:eastAsiaTheme="minorEastAsia" w:cstheme="minorEastAsia"/>
          <w:b w:val="0"/>
          <w:bCs/>
          <w:color w:val="000000"/>
          <w:kern w:val="0"/>
          <w:sz w:val="24"/>
          <w:szCs w:val="24"/>
          <w:highlight w:val="none"/>
        </w:rPr>
        <w:t>。</w:t>
      </w:r>
    </w:p>
    <w:p>
      <w:pPr>
        <w:shd w:val="clear"/>
        <w:spacing w:line="360" w:lineRule="auto"/>
        <w:ind w:firstLine="600"/>
        <w:rPr>
          <w:rFonts w:hint="eastAsia" w:asciiTheme="minorEastAsia" w:hAnsiTheme="minorEastAsia" w:eastAsiaTheme="minorEastAsia" w:cstheme="minorEastAsia"/>
          <w:b w:val="0"/>
          <w:bCs/>
          <w:color w:val="000000"/>
          <w:kern w:val="0"/>
          <w:sz w:val="24"/>
          <w:szCs w:val="24"/>
          <w:highlight w:val="none"/>
        </w:rPr>
      </w:pPr>
      <w:r>
        <w:rPr>
          <w:rFonts w:hint="eastAsia" w:asciiTheme="minorEastAsia" w:hAnsiTheme="minorEastAsia" w:eastAsiaTheme="minorEastAsia" w:cstheme="minorEastAsia"/>
          <w:b w:val="0"/>
          <w:bCs/>
          <w:color w:val="000000"/>
          <w:kern w:val="0"/>
          <w:sz w:val="24"/>
          <w:szCs w:val="24"/>
          <w:highlight w:val="none"/>
        </w:rPr>
        <w:t>3.3.6 技术负责人</w:t>
      </w:r>
    </w:p>
    <w:p>
      <w:pPr>
        <w:spacing w:line="360" w:lineRule="auto"/>
        <w:ind w:firstLine="600"/>
        <w:rPr>
          <w:rFonts w:hint="eastAsia" w:asciiTheme="minorEastAsia" w:hAnsiTheme="minorEastAsia" w:eastAsiaTheme="minorEastAsia" w:cstheme="minorEastAsia"/>
          <w:b w:val="0"/>
          <w:bCs/>
          <w:color w:val="000000"/>
          <w:kern w:val="0"/>
          <w:sz w:val="24"/>
          <w:szCs w:val="24"/>
          <w:highlight w:val="none"/>
          <w:u w:val="single"/>
        </w:rPr>
      </w:pPr>
      <w:r>
        <w:rPr>
          <w:rFonts w:hint="eastAsia" w:asciiTheme="minorEastAsia" w:hAnsiTheme="minorEastAsia" w:eastAsiaTheme="minorEastAsia" w:cstheme="minorEastAsia"/>
          <w:b w:val="0"/>
          <w:bCs/>
          <w:color w:val="000000"/>
          <w:kern w:val="0"/>
          <w:sz w:val="24"/>
          <w:szCs w:val="24"/>
          <w:highlight w:val="none"/>
        </w:rPr>
        <w:t>姓名：</w:t>
      </w:r>
      <w:r>
        <w:rPr>
          <w:rFonts w:hint="eastAsia" w:asciiTheme="minorEastAsia" w:hAnsiTheme="minorEastAsia" w:eastAsiaTheme="minorEastAsia" w:cstheme="minorEastAsia"/>
          <w:b w:val="0"/>
          <w:bCs/>
          <w:color w:val="000000"/>
          <w:kern w:val="0"/>
          <w:sz w:val="24"/>
          <w:szCs w:val="24"/>
          <w:highlight w:val="none"/>
          <w:u w:val="single"/>
        </w:rPr>
        <w:t xml:space="preserve">           </w:t>
      </w:r>
      <w:r>
        <w:rPr>
          <w:rFonts w:hint="eastAsia" w:asciiTheme="minorEastAsia" w:hAnsiTheme="minorEastAsia" w:eastAsiaTheme="minorEastAsia" w:cstheme="minorEastAsia"/>
          <w:b w:val="0"/>
          <w:bCs/>
          <w:color w:val="000000"/>
          <w:kern w:val="0"/>
          <w:sz w:val="24"/>
          <w:szCs w:val="24"/>
          <w:highlight w:val="none"/>
        </w:rPr>
        <w:t>；身份证号：</w:t>
      </w:r>
      <w:r>
        <w:rPr>
          <w:rFonts w:hint="eastAsia" w:asciiTheme="minorEastAsia" w:hAnsiTheme="minorEastAsia" w:eastAsiaTheme="minorEastAsia" w:cstheme="minorEastAsia"/>
          <w:b w:val="0"/>
          <w:bCs/>
          <w:color w:val="000000"/>
          <w:kern w:val="0"/>
          <w:sz w:val="24"/>
          <w:szCs w:val="24"/>
          <w:highlight w:val="none"/>
          <w:u w:val="single"/>
        </w:rPr>
        <w:t xml:space="preserve">                   </w:t>
      </w:r>
      <w:r>
        <w:rPr>
          <w:rFonts w:hint="eastAsia" w:asciiTheme="minorEastAsia" w:hAnsiTheme="minorEastAsia" w:eastAsiaTheme="minorEastAsia" w:cstheme="minorEastAsia"/>
          <w:b w:val="0"/>
          <w:bCs/>
          <w:color w:val="000000"/>
          <w:kern w:val="0"/>
          <w:sz w:val="24"/>
          <w:szCs w:val="24"/>
          <w:highlight w:val="none"/>
        </w:rPr>
        <w:t>；</w:t>
      </w:r>
    </w:p>
    <w:p>
      <w:pPr>
        <w:spacing w:line="360" w:lineRule="auto"/>
        <w:ind w:firstLine="600"/>
        <w:rPr>
          <w:rFonts w:hint="eastAsia" w:asciiTheme="minorEastAsia" w:hAnsiTheme="minorEastAsia" w:eastAsiaTheme="minorEastAsia" w:cstheme="minorEastAsia"/>
          <w:b w:val="0"/>
          <w:bCs/>
          <w:color w:val="000000"/>
          <w:kern w:val="0"/>
          <w:sz w:val="24"/>
          <w:szCs w:val="24"/>
          <w:highlight w:val="none"/>
        </w:rPr>
      </w:pPr>
      <w:r>
        <w:rPr>
          <w:rFonts w:hint="eastAsia" w:asciiTheme="minorEastAsia" w:hAnsiTheme="minorEastAsia" w:eastAsiaTheme="minorEastAsia" w:cstheme="minorEastAsia"/>
          <w:b w:val="0"/>
          <w:bCs/>
          <w:color w:val="000000"/>
          <w:kern w:val="0"/>
          <w:sz w:val="24"/>
          <w:szCs w:val="24"/>
          <w:highlight w:val="none"/>
        </w:rPr>
        <w:t>专业：</w:t>
      </w:r>
      <w:r>
        <w:rPr>
          <w:rFonts w:hint="eastAsia" w:asciiTheme="minorEastAsia" w:hAnsiTheme="minorEastAsia" w:eastAsiaTheme="minorEastAsia" w:cstheme="minorEastAsia"/>
          <w:b w:val="0"/>
          <w:bCs/>
          <w:color w:val="000000"/>
          <w:kern w:val="0"/>
          <w:sz w:val="24"/>
          <w:szCs w:val="24"/>
          <w:highlight w:val="none"/>
          <w:u w:val="single"/>
        </w:rPr>
        <w:t xml:space="preserve">           </w:t>
      </w:r>
      <w:r>
        <w:rPr>
          <w:rFonts w:hint="eastAsia" w:asciiTheme="minorEastAsia" w:hAnsiTheme="minorEastAsia" w:eastAsiaTheme="minorEastAsia" w:cstheme="minorEastAsia"/>
          <w:b w:val="0"/>
          <w:bCs/>
          <w:color w:val="000000"/>
          <w:kern w:val="0"/>
          <w:sz w:val="24"/>
          <w:szCs w:val="24"/>
          <w:highlight w:val="none"/>
        </w:rPr>
        <w:t>；职称等级：</w:t>
      </w:r>
      <w:r>
        <w:rPr>
          <w:rFonts w:hint="eastAsia" w:asciiTheme="minorEastAsia" w:hAnsiTheme="minorEastAsia" w:eastAsiaTheme="minorEastAsia" w:cstheme="minorEastAsia"/>
          <w:b w:val="0"/>
          <w:bCs/>
          <w:color w:val="000000"/>
          <w:kern w:val="0"/>
          <w:sz w:val="24"/>
          <w:szCs w:val="24"/>
          <w:highlight w:val="none"/>
          <w:u w:val="single"/>
        </w:rPr>
        <w:t xml:space="preserve">                   </w:t>
      </w:r>
      <w:r>
        <w:rPr>
          <w:rFonts w:hint="eastAsia" w:asciiTheme="minorEastAsia" w:hAnsiTheme="minorEastAsia" w:eastAsiaTheme="minorEastAsia" w:cstheme="minorEastAsia"/>
          <w:b w:val="0"/>
          <w:bCs/>
          <w:color w:val="000000"/>
          <w:kern w:val="0"/>
          <w:sz w:val="24"/>
          <w:szCs w:val="24"/>
          <w:highlight w:val="none"/>
        </w:rPr>
        <w:t>。</w:t>
      </w:r>
    </w:p>
    <w:p>
      <w:pPr>
        <w:spacing w:line="360" w:lineRule="auto"/>
        <w:ind w:firstLine="480" w:firstLineChars="200"/>
        <w:outlineLvl w:val="2"/>
        <w:rPr>
          <w:rFonts w:hint="eastAsia" w:asciiTheme="minorEastAsia" w:hAnsiTheme="minorEastAsia" w:eastAsiaTheme="minorEastAsia" w:cstheme="minorEastAsia"/>
          <w:b w:val="0"/>
          <w:bCs/>
          <w:color w:val="000000"/>
          <w:kern w:val="0"/>
          <w:sz w:val="24"/>
          <w:szCs w:val="24"/>
          <w:highlight w:val="none"/>
        </w:rPr>
      </w:pPr>
      <w:bookmarkStart w:id="112" w:name="_Toc29840"/>
      <w:bookmarkStart w:id="113" w:name="_Toc1011775723"/>
      <w:bookmarkStart w:id="114" w:name="_Toc824057593"/>
      <w:r>
        <w:rPr>
          <w:rFonts w:hint="eastAsia" w:asciiTheme="minorEastAsia" w:hAnsiTheme="minorEastAsia" w:eastAsiaTheme="minorEastAsia" w:cstheme="minorEastAsia"/>
          <w:b w:val="0"/>
          <w:bCs/>
          <w:color w:val="000000"/>
          <w:kern w:val="0"/>
          <w:sz w:val="24"/>
          <w:szCs w:val="24"/>
          <w:highlight w:val="none"/>
        </w:rPr>
        <w:t>3</w:t>
      </w:r>
      <w:bookmarkStart w:id="115" w:name="_Toc296891199"/>
      <w:bookmarkStart w:id="116" w:name="_Toc297216151"/>
      <w:bookmarkStart w:id="117" w:name="_Toc304295523"/>
      <w:bookmarkStart w:id="118" w:name="_Toc296347158"/>
      <w:bookmarkStart w:id="119" w:name="_Toc296944498"/>
      <w:bookmarkStart w:id="120" w:name="_Toc303539102"/>
      <w:bookmarkStart w:id="121" w:name="_Toc296503159"/>
      <w:bookmarkStart w:id="122" w:name="_Toc292559869"/>
      <w:bookmarkStart w:id="123" w:name="_Toc297123492"/>
      <w:bookmarkStart w:id="124" w:name="_Toc300934945"/>
      <w:bookmarkStart w:id="125" w:name="_Toc297048345"/>
      <w:bookmarkStart w:id="126" w:name="_Toc297120459"/>
      <w:bookmarkStart w:id="127" w:name="_Toc296890987"/>
      <w:bookmarkStart w:id="128" w:name="_Toc312677988"/>
      <w:bookmarkStart w:id="129" w:name="_Toc292559364"/>
      <w:bookmarkStart w:id="130" w:name="_Toc296346660"/>
      <w:r>
        <w:rPr>
          <w:rFonts w:hint="eastAsia" w:asciiTheme="minorEastAsia" w:hAnsiTheme="minorEastAsia" w:eastAsiaTheme="minorEastAsia" w:cstheme="minorEastAsia"/>
          <w:b w:val="0"/>
          <w:bCs/>
          <w:color w:val="000000"/>
          <w:kern w:val="0"/>
          <w:sz w:val="24"/>
          <w:szCs w:val="24"/>
          <w:highlight w:val="none"/>
        </w:rPr>
        <w:t>.5 分包</w:t>
      </w:r>
      <w:bookmarkEnd w:id="112"/>
      <w:bookmarkEnd w:id="113"/>
      <w:bookmarkEnd w:id="114"/>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Pr>
        <w:spacing w:line="360" w:lineRule="auto"/>
        <w:ind w:firstLine="480" w:firstLineChars="200"/>
        <w:rPr>
          <w:rFonts w:hint="eastAsia" w:asciiTheme="minorEastAsia" w:hAnsiTheme="minorEastAsia" w:eastAsiaTheme="minorEastAsia" w:cstheme="minorEastAsia"/>
          <w:b w:val="0"/>
          <w:bCs/>
          <w:kern w:val="0"/>
          <w:sz w:val="24"/>
          <w:szCs w:val="24"/>
          <w:highlight w:val="none"/>
        </w:rPr>
      </w:pPr>
      <w:r>
        <w:rPr>
          <w:rFonts w:hint="eastAsia" w:asciiTheme="minorEastAsia" w:hAnsiTheme="minorEastAsia" w:eastAsiaTheme="minorEastAsia" w:cstheme="minorEastAsia"/>
          <w:b w:val="0"/>
          <w:bCs/>
          <w:kern w:val="0"/>
          <w:sz w:val="24"/>
          <w:szCs w:val="24"/>
          <w:highlight w:val="none"/>
        </w:rPr>
        <w:t>3.5.1 分包的一般约定</w:t>
      </w:r>
    </w:p>
    <w:p>
      <w:pPr>
        <w:spacing w:line="360" w:lineRule="auto"/>
        <w:ind w:firstLine="480" w:firstLineChars="200"/>
        <w:jc w:val="left"/>
        <w:rPr>
          <w:rFonts w:hint="eastAsia" w:asciiTheme="minorEastAsia" w:hAnsiTheme="minorEastAsia" w:eastAsiaTheme="minorEastAsia" w:cstheme="minorEastAsia"/>
          <w:b w:val="0"/>
          <w:bCs/>
          <w:kern w:val="0"/>
          <w:sz w:val="24"/>
          <w:szCs w:val="24"/>
          <w:highlight w:val="none"/>
        </w:rPr>
      </w:pPr>
      <w:r>
        <w:rPr>
          <w:rFonts w:hint="eastAsia" w:asciiTheme="minorEastAsia" w:hAnsiTheme="minorEastAsia" w:eastAsiaTheme="minorEastAsia" w:cstheme="minorEastAsia"/>
          <w:b w:val="0"/>
          <w:bCs/>
          <w:kern w:val="0"/>
          <w:sz w:val="24"/>
          <w:szCs w:val="24"/>
          <w:highlight w:val="none"/>
        </w:rPr>
        <w:t>禁止分包的工程包括：</w:t>
      </w:r>
      <w:r>
        <w:rPr>
          <w:rFonts w:hint="eastAsia" w:asciiTheme="minorEastAsia" w:hAnsiTheme="minorEastAsia" w:eastAsiaTheme="minorEastAsia" w:cstheme="minorEastAsia"/>
          <w:b w:val="0"/>
          <w:bCs/>
          <w:kern w:val="0"/>
          <w:sz w:val="24"/>
          <w:szCs w:val="24"/>
          <w:highlight w:val="none"/>
          <w:u w:val="single"/>
        </w:rPr>
        <w:t>绿化工程、</w:t>
      </w:r>
      <w:r>
        <w:rPr>
          <w:rFonts w:hint="eastAsia" w:asciiTheme="minorEastAsia" w:hAnsiTheme="minorEastAsia" w:eastAsiaTheme="minorEastAsia" w:cstheme="minorEastAsia"/>
          <w:b w:val="0"/>
          <w:bCs/>
          <w:color w:val="000000"/>
          <w:kern w:val="0"/>
          <w:sz w:val="24"/>
          <w:szCs w:val="24"/>
          <w:highlight w:val="none"/>
          <w:u w:val="single"/>
        </w:rPr>
        <w:t>绿化附属工程</w:t>
      </w:r>
      <w:r>
        <w:rPr>
          <w:rFonts w:hint="eastAsia" w:asciiTheme="minorEastAsia" w:hAnsiTheme="minorEastAsia" w:eastAsiaTheme="minorEastAsia" w:cstheme="minorEastAsia"/>
          <w:b w:val="0"/>
          <w:bCs/>
          <w:color w:val="000000"/>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000000"/>
          <w:kern w:val="0"/>
          <w:sz w:val="24"/>
          <w:szCs w:val="24"/>
          <w:u w:val="single"/>
        </w:rPr>
      </w:pPr>
      <w:r>
        <w:rPr>
          <w:rFonts w:hint="eastAsia" w:asciiTheme="minorEastAsia" w:hAnsiTheme="minorEastAsia" w:eastAsiaTheme="minorEastAsia" w:cstheme="minorEastAsia"/>
          <w:b w:val="0"/>
          <w:bCs/>
          <w:kern w:val="0"/>
          <w:sz w:val="24"/>
          <w:szCs w:val="24"/>
          <w:highlight w:val="none"/>
        </w:rPr>
        <w:t>主体结构、关键性工作的范围：</w:t>
      </w:r>
      <w:r>
        <w:rPr>
          <w:rFonts w:hint="eastAsia" w:asciiTheme="minorEastAsia" w:hAnsiTheme="minorEastAsia" w:eastAsiaTheme="minorEastAsia" w:cstheme="minorEastAsia"/>
          <w:b w:val="0"/>
          <w:bCs/>
          <w:kern w:val="0"/>
          <w:sz w:val="24"/>
          <w:szCs w:val="24"/>
          <w:highlight w:val="none"/>
          <w:u w:val="single"/>
        </w:rPr>
        <w:t>混凝土工程、砌体工程、钢结构工程的梁、柱、板等部</w:t>
      </w:r>
      <w:r>
        <w:rPr>
          <w:rFonts w:hint="eastAsia" w:asciiTheme="minorEastAsia" w:hAnsiTheme="minorEastAsia" w:eastAsiaTheme="minorEastAsia" w:cstheme="minorEastAsia"/>
          <w:b w:val="0"/>
          <w:bCs/>
          <w:kern w:val="0"/>
          <w:sz w:val="24"/>
          <w:szCs w:val="24"/>
          <w:u w:val="single"/>
        </w:rPr>
        <w:t>位。</w:t>
      </w:r>
      <w:bookmarkStart w:id="131" w:name="_Toc297120461"/>
      <w:bookmarkStart w:id="132" w:name="_Toc296503161"/>
      <w:bookmarkStart w:id="133" w:name="_Toc303539104"/>
      <w:bookmarkStart w:id="134" w:name="_Toc304295525"/>
      <w:bookmarkStart w:id="135" w:name="_Toc297216153"/>
      <w:bookmarkStart w:id="136" w:name="_Toc300934947"/>
      <w:bookmarkStart w:id="137" w:name="_Toc297123494"/>
      <w:bookmarkStart w:id="138" w:name="_Toc296890989"/>
      <w:bookmarkStart w:id="139" w:name="_Toc296347160"/>
      <w:bookmarkStart w:id="140" w:name="_Toc296944500"/>
      <w:bookmarkStart w:id="141" w:name="_Toc297048347"/>
      <w:bookmarkStart w:id="142" w:name="_Toc296891201"/>
      <w:bookmarkStart w:id="143" w:name="_Toc296346662"/>
    </w:p>
    <w:bookmarkEnd w:id="131"/>
    <w:bookmarkEnd w:id="132"/>
    <w:bookmarkEnd w:id="133"/>
    <w:bookmarkEnd w:id="134"/>
    <w:bookmarkEnd w:id="135"/>
    <w:bookmarkEnd w:id="136"/>
    <w:bookmarkEnd w:id="137"/>
    <w:bookmarkEnd w:id="138"/>
    <w:bookmarkEnd w:id="139"/>
    <w:bookmarkEnd w:id="140"/>
    <w:bookmarkEnd w:id="141"/>
    <w:bookmarkEnd w:id="142"/>
    <w:bookmarkEnd w:id="143"/>
    <w:p>
      <w:pPr>
        <w:spacing w:line="360" w:lineRule="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 xml:space="preserve">    3</w:t>
      </w:r>
      <w:bookmarkStart w:id="144" w:name="_Toc312677990"/>
      <w:bookmarkStart w:id="145" w:name="_Toc318581159"/>
      <w:r>
        <w:rPr>
          <w:rFonts w:hint="eastAsia" w:asciiTheme="minorEastAsia" w:hAnsiTheme="minorEastAsia" w:eastAsiaTheme="minorEastAsia" w:cstheme="minorEastAsia"/>
          <w:b w:val="0"/>
          <w:bCs/>
          <w:kern w:val="0"/>
          <w:sz w:val="24"/>
          <w:szCs w:val="24"/>
        </w:rPr>
        <w:t>.5.2 分包的确定</w:t>
      </w:r>
    </w:p>
    <w:p>
      <w:pPr>
        <w:spacing w:line="360" w:lineRule="auto"/>
        <w:ind w:firstLine="480" w:firstLineChars="200"/>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kern w:val="0"/>
          <w:sz w:val="24"/>
          <w:szCs w:val="24"/>
        </w:rPr>
        <w:t xml:space="preserve">允许分包的专业工程包括： </w:t>
      </w:r>
      <w:r>
        <w:rPr>
          <w:rFonts w:hint="eastAsia" w:asciiTheme="minorEastAsia" w:hAnsiTheme="minorEastAsia" w:eastAsiaTheme="minorEastAsia" w:cstheme="minorEastAsia"/>
          <w:b w:val="0"/>
          <w:bCs/>
          <w:color w:val="000000"/>
          <w:kern w:val="0"/>
          <w:sz w:val="24"/>
          <w:szCs w:val="24"/>
          <w:u w:val="single"/>
        </w:rPr>
        <w:t>禁止分包</w:t>
      </w:r>
      <w:r>
        <w:rPr>
          <w:rFonts w:hint="eastAsia" w:asciiTheme="minorEastAsia" w:hAnsiTheme="minorEastAsia" w:eastAsiaTheme="minorEastAsia" w:cstheme="minorEastAsia"/>
          <w:b w:val="0"/>
          <w:bCs/>
          <w:color w:val="000000"/>
          <w:kern w:val="0"/>
          <w:sz w:val="24"/>
          <w:szCs w:val="24"/>
        </w:rPr>
        <w:t>。</w:t>
      </w:r>
    </w:p>
    <w:p>
      <w:pPr>
        <w:spacing w:line="360" w:lineRule="auto"/>
        <w:ind w:firstLine="480" w:firstLineChars="200"/>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涉及分包的工程内容，分包工程承包人的资格应符合国家相关规定。</w:t>
      </w:r>
    </w:p>
    <w:p>
      <w:pPr>
        <w:spacing w:line="360" w:lineRule="auto"/>
        <w:ind w:firstLine="480" w:firstLineChars="200"/>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color w:val="000000"/>
          <w:kern w:val="0"/>
          <w:sz w:val="24"/>
          <w:szCs w:val="24"/>
        </w:rPr>
        <w:t xml:space="preserve">其他关于分包的约定： </w:t>
      </w:r>
      <w:r>
        <w:rPr>
          <w:rFonts w:hint="eastAsia" w:asciiTheme="minorEastAsia" w:hAnsiTheme="minorEastAsia" w:eastAsiaTheme="minorEastAsia" w:cstheme="minorEastAsia"/>
          <w:b w:val="0"/>
          <w:bCs/>
          <w:color w:val="000000"/>
          <w:kern w:val="0"/>
          <w:sz w:val="24"/>
          <w:szCs w:val="24"/>
          <w:u w:val="single"/>
        </w:rPr>
        <w:t xml:space="preserve">/ </w:t>
      </w:r>
      <w:r>
        <w:rPr>
          <w:rFonts w:hint="eastAsia" w:asciiTheme="minorEastAsia" w:hAnsiTheme="minorEastAsia" w:eastAsiaTheme="minorEastAsia" w:cstheme="minorEastAsia"/>
          <w:b w:val="0"/>
          <w:bCs/>
          <w:color w:val="000000"/>
          <w:kern w:val="0"/>
          <w:sz w:val="24"/>
          <w:szCs w:val="24"/>
        </w:rPr>
        <w:t>。</w:t>
      </w:r>
    </w:p>
    <w:p>
      <w:pPr>
        <w:spacing w:line="360" w:lineRule="auto"/>
        <w:ind w:firstLine="480" w:firstLineChars="200"/>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3.5.4 分包合同价款</w:t>
      </w:r>
    </w:p>
    <w:p>
      <w:pPr>
        <w:spacing w:line="360" w:lineRule="auto"/>
        <w:ind w:firstLine="480" w:firstLineChars="200"/>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关于分包合同价款支付的约定：</w:t>
      </w:r>
      <w:r>
        <w:rPr>
          <w:rFonts w:hint="eastAsia" w:asciiTheme="minorEastAsia" w:hAnsiTheme="minorEastAsia" w:eastAsiaTheme="minorEastAsia" w:cstheme="minorEastAsia"/>
          <w:b w:val="0"/>
          <w:bCs/>
          <w:color w:val="000000"/>
          <w:kern w:val="0"/>
          <w:sz w:val="24"/>
          <w:szCs w:val="24"/>
          <w:u w:val="single"/>
        </w:rPr>
        <w:t xml:space="preserve"> / </w:t>
      </w:r>
      <w:r>
        <w:rPr>
          <w:rFonts w:hint="eastAsia" w:asciiTheme="minorEastAsia" w:hAnsiTheme="minorEastAsia" w:eastAsiaTheme="minorEastAsia" w:cstheme="minorEastAsia"/>
          <w:b w:val="0"/>
          <w:bCs/>
          <w:color w:val="000000"/>
          <w:kern w:val="0"/>
          <w:sz w:val="24"/>
          <w:szCs w:val="24"/>
        </w:rPr>
        <w:t>。</w:t>
      </w:r>
    </w:p>
    <w:bookmarkEnd w:id="144"/>
    <w:bookmarkEnd w:id="145"/>
    <w:p>
      <w:pPr>
        <w:spacing w:line="360" w:lineRule="auto"/>
        <w:ind w:firstLine="480" w:firstLineChars="200"/>
        <w:rPr>
          <w:rFonts w:hint="eastAsia" w:asciiTheme="minorEastAsia" w:hAnsiTheme="minorEastAsia" w:eastAsiaTheme="minorEastAsia" w:cstheme="minorEastAsia"/>
          <w:b w:val="0"/>
          <w:bCs/>
          <w:color w:val="000000"/>
          <w:kern w:val="0"/>
          <w:sz w:val="24"/>
          <w:szCs w:val="24"/>
        </w:rPr>
      </w:pPr>
      <w:bookmarkStart w:id="146" w:name="_Toc30018"/>
      <w:bookmarkStart w:id="147" w:name="_Toc1754831627"/>
      <w:bookmarkStart w:id="148" w:name="_Toc1926667033"/>
      <w:r>
        <w:rPr>
          <w:rFonts w:hint="eastAsia" w:asciiTheme="minorEastAsia" w:hAnsiTheme="minorEastAsia" w:eastAsiaTheme="minorEastAsia" w:cstheme="minorEastAsia"/>
          <w:b w:val="0"/>
          <w:bCs/>
          <w:color w:val="000000"/>
          <w:kern w:val="0"/>
          <w:sz w:val="24"/>
          <w:szCs w:val="24"/>
        </w:rPr>
        <w:t>3.6 工程照管与成品、半成品保护</w:t>
      </w:r>
      <w:bookmarkEnd w:id="146"/>
      <w:bookmarkEnd w:id="147"/>
      <w:bookmarkEnd w:id="148"/>
    </w:p>
    <w:p>
      <w:pPr>
        <w:snapToGrid w:val="0"/>
        <w:spacing w:line="360" w:lineRule="auto"/>
        <w:ind w:firstLine="480" w:firstLineChars="200"/>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3.6.1 承包人负责照管工程及工程相关的材料、工程设备的起始时间：</w:t>
      </w:r>
      <w:r>
        <w:rPr>
          <w:rFonts w:hint="eastAsia" w:asciiTheme="minorEastAsia" w:hAnsiTheme="minorEastAsia" w:eastAsiaTheme="minorEastAsia" w:cstheme="minorEastAsia"/>
          <w:b w:val="0"/>
          <w:bCs/>
          <w:color w:val="000000"/>
          <w:kern w:val="0"/>
          <w:sz w:val="24"/>
          <w:szCs w:val="24"/>
          <w:u w:val="single"/>
        </w:rPr>
        <w:t>执行通用条款</w:t>
      </w:r>
      <w:r>
        <w:rPr>
          <w:rFonts w:hint="eastAsia" w:asciiTheme="minorEastAsia" w:hAnsiTheme="minorEastAsia" w:eastAsiaTheme="minorEastAsia" w:cstheme="minorEastAsia"/>
          <w:b w:val="0"/>
          <w:bCs/>
          <w:color w:val="000000"/>
          <w:kern w:val="0"/>
          <w:sz w:val="24"/>
          <w:szCs w:val="24"/>
        </w:rPr>
        <w:t>。</w:t>
      </w:r>
    </w:p>
    <w:p>
      <w:pPr>
        <w:snapToGrid w:val="0"/>
        <w:spacing w:line="360" w:lineRule="auto"/>
        <w:ind w:firstLine="480" w:firstLineChars="200"/>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3.6.2 现状树木的保护起始时间：</w:t>
      </w:r>
      <w:r>
        <w:rPr>
          <w:rFonts w:hint="eastAsia" w:asciiTheme="minorEastAsia" w:hAnsiTheme="minorEastAsia" w:eastAsiaTheme="minorEastAsia" w:cstheme="minorEastAsia"/>
          <w:b w:val="0"/>
          <w:bCs/>
          <w:color w:val="000000"/>
          <w:kern w:val="0"/>
          <w:sz w:val="24"/>
          <w:szCs w:val="24"/>
          <w:u w:val="single"/>
        </w:rPr>
        <w:t>自施工进场</w:t>
      </w:r>
      <w:r>
        <w:rPr>
          <w:rFonts w:hint="eastAsia" w:asciiTheme="minorEastAsia" w:hAnsiTheme="minorEastAsia" w:eastAsiaTheme="minorEastAsia" w:cstheme="minorEastAsia"/>
          <w:b w:val="0"/>
          <w:bCs/>
          <w:kern w:val="0"/>
          <w:sz w:val="24"/>
          <w:szCs w:val="24"/>
          <w:u w:val="single"/>
        </w:rPr>
        <w:t>，项目</w:t>
      </w:r>
      <w:r>
        <w:rPr>
          <w:rFonts w:hint="eastAsia" w:asciiTheme="minorEastAsia" w:hAnsiTheme="minorEastAsia" w:eastAsiaTheme="minorEastAsia" w:cstheme="minorEastAsia"/>
          <w:b w:val="0"/>
          <w:bCs/>
          <w:color w:val="000000"/>
          <w:kern w:val="0"/>
          <w:sz w:val="24"/>
          <w:szCs w:val="24"/>
          <w:u w:val="single"/>
        </w:rPr>
        <w:t>开工之日起。</w:t>
      </w:r>
      <w:r>
        <w:rPr>
          <w:rFonts w:hint="eastAsia" w:asciiTheme="minorEastAsia" w:hAnsiTheme="minorEastAsia" w:eastAsiaTheme="minorEastAsia" w:cstheme="minorEastAsia"/>
          <w:b w:val="0"/>
          <w:bCs/>
          <w:color w:val="000000"/>
          <w:kern w:val="0"/>
          <w:sz w:val="24"/>
          <w:szCs w:val="24"/>
        </w:rPr>
        <w:t xml:space="preserve"> </w:t>
      </w:r>
    </w:p>
    <w:p>
      <w:pPr>
        <w:snapToGrid w:val="0"/>
        <w:spacing w:line="360" w:lineRule="auto"/>
        <w:ind w:firstLine="480" w:firstLineChars="200"/>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3.7 履约担保</w:t>
      </w:r>
    </w:p>
    <w:p>
      <w:pPr>
        <w:snapToGrid w:val="0"/>
        <w:spacing w:line="360" w:lineRule="auto"/>
        <w:ind w:left="625" w:leftChars="284"/>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承包人是否提供履约担保：</w:t>
      </w:r>
      <w:r>
        <w:rPr>
          <w:rFonts w:hint="eastAsia" w:asciiTheme="minorEastAsia" w:hAnsiTheme="minorEastAsia" w:eastAsiaTheme="minorEastAsia" w:cstheme="minorEastAsia"/>
          <w:b w:val="0"/>
          <w:bCs/>
          <w:color w:val="000000"/>
          <w:kern w:val="0"/>
          <w:sz w:val="24"/>
          <w:szCs w:val="24"/>
          <w:u w:val="single"/>
        </w:rPr>
        <w:t xml:space="preserve">   是  </w:t>
      </w:r>
      <w:r>
        <w:rPr>
          <w:rFonts w:hint="eastAsia" w:asciiTheme="minorEastAsia" w:hAnsiTheme="minorEastAsia" w:eastAsiaTheme="minorEastAsia" w:cstheme="minorEastAsia"/>
          <w:b w:val="0"/>
          <w:bCs/>
          <w:color w:val="000000"/>
          <w:kern w:val="0"/>
          <w:sz w:val="24"/>
          <w:szCs w:val="24"/>
        </w:rPr>
        <w:t>。</w:t>
      </w:r>
    </w:p>
    <w:p>
      <w:pPr>
        <w:snapToGrid w:val="0"/>
        <w:spacing w:line="360" w:lineRule="auto"/>
        <w:ind w:firstLine="480" w:firstLineChars="200"/>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 xml:space="preserve">履约担保金额及方式：签约合同价的 </w:t>
      </w:r>
      <w:r>
        <w:rPr>
          <w:rFonts w:hint="eastAsia" w:asciiTheme="minorEastAsia" w:hAnsiTheme="minorEastAsia" w:eastAsiaTheme="minorEastAsia" w:cstheme="minorEastAsia"/>
          <w:b w:val="0"/>
          <w:bCs/>
          <w:kern w:val="0"/>
          <w:sz w:val="24"/>
          <w:szCs w:val="24"/>
          <w:u w:val="single"/>
        </w:rPr>
        <w:t xml:space="preserve">10% </w:t>
      </w:r>
      <w:r>
        <w:rPr>
          <w:rFonts w:hint="eastAsia" w:asciiTheme="minorEastAsia" w:hAnsiTheme="minorEastAsia" w:eastAsiaTheme="minorEastAsia" w:cstheme="minorEastAsia"/>
          <w:b w:val="0"/>
          <w:bCs/>
          <w:kern w:val="0"/>
          <w:sz w:val="24"/>
          <w:szCs w:val="24"/>
        </w:rPr>
        <w:t>，时间为承包人接到中标通知书后28日内，向发包人缴纳；履约担保的形式可以是履约保函</w:t>
      </w:r>
      <w:r>
        <w:rPr>
          <w:rFonts w:hint="eastAsia" w:asciiTheme="minorEastAsia" w:hAnsiTheme="minorEastAsia" w:eastAsiaTheme="minorEastAsia" w:cstheme="minorEastAsia"/>
          <w:b w:val="0"/>
          <w:bCs/>
          <w:color w:val="000000"/>
          <w:kern w:val="0"/>
          <w:sz w:val="24"/>
          <w:szCs w:val="24"/>
        </w:rPr>
        <w:t>、</w:t>
      </w:r>
      <w:r>
        <w:rPr>
          <w:rFonts w:hint="eastAsia" w:asciiTheme="minorEastAsia" w:hAnsiTheme="minorEastAsia" w:eastAsiaTheme="minorEastAsia" w:cstheme="minorEastAsia"/>
          <w:b w:val="0"/>
          <w:bCs/>
          <w:kern w:val="0"/>
          <w:sz w:val="24"/>
          <w:szCs w:val="24"/>
        </w:rPr>
        <w:t>现金或支票。采用银行保函形式</w:t>
      </w:r>
      <w:r>
        <w:rPr>
          <w:rFonts w:hint="eastAsia" w:asciiTheme="minorEastAsia" w:hAnsiTheme="minorEastAsia" w:eastAsiaTheme="minorEastAsia" w:cstheme="minorEastAsia"/>
          <w:b w:val="0"/>
          <w:bCs/>
          <w:color w:val="000000"/>
          <w:kern w:val="0"/>
          <w:sz w:val="24"/>
          <w:szCs w:val="24"/>
        </w:rPr>
        <w:t>的</w:t>
      </w:r>
      <w:r>
        <w:rPr>
          <w:rFonts w:hint="eastAsia" w:asciiTheme="minorEastAsia" w:hAnsiTheme="minorEastAsia" w:eastAsiaTheme="minorEastAsia" w:cstheme="minorEastAsia"/>
          <w:b w:val="0"/>
          <w:bCs/>
          <w:kern w:val="0"/>
          <w:sz w:val="24"/>
          <w:szCs w:val="24"/>
        </w:rPr>
        <w:t xml:space="preserve">，银行保函期限为至工程竣工验收合格后 28 </w:t>
      </w:r>
      <w:r>
        <w:rPr>
          <w:rFonts w:hint="eastAsia" w:asciiTheme="minorEastAsia" w:hAnsiTheme="minorEastAsia" w:eastAsiaTheme="minorEastAsia" w:cstheme="minorEastAsia"/>
          <w:b w:val="0"/>
          <w:bCs/>
          <w:color w:val="000000"/>
          <w:kern w:val="0"/>
          <w:sz w:val="24"/>
          <w:szCs w:val="24"/>
        </w:rPr>
        <w:t>日</w:t>
      </w:r>
      <w:r>
        <w:rPr>
          <w:rFonts w:hint="eastAsia" w:asciiTheme="minorEastAsia" w:hAnsiTheme="minorEastAsia" w:eastAsiaTheme="minorEastAsia" w:cstheme="minorEastAsia"/>
          <w:b w:val="0"/>
          <w:bCs/>
          <w:kern w:val="0"/>
          <w:sz w:val="24"/>
          <w:szCs w:val="24"/>
        </w:rPr>
        <w:t>。采用现金或支票形式</w:t>
      </w:r>
      <w:r>
        <w:rPr>
          <w:rFonts w:hint="eastAsia" w:asciiTheme="minorEastAsia" w:hAnsiTheme="minorEastAsia" w:eastAsiaTheme="minorEastAsia" w:cstheme="minorEastAsia"/>
          <w:b w:val="0"/>
          <w:bCs/>
          <w:color w:val="000000"/>
          <w:kern w:val="0"/>
          <w:sz w:val="24"/>
          <w:szCs w:val="24"/>
        </w:rPr>
        <w:t>的</w:t>
      </w:r>
      <w:r>
        <w:rPr>
          <w:rFonts w:hint="eastAsia" w:asciiTheme="minorEastAsia" w:hAnsiTheme="minorEastAsia" w:eastAsiaTheme="minorEastAsia" w:cstheme="minorEastAsia"/>
          <w:b w:val="0"/>
          <w:bCs/>
          <w:kern w:val="0"/>
          <w:sz w:val="24"/>
          <w:szCs w:val="24"/>
        </w:rPr>
        <w:t>，在工程竣工验收合格后一次性无息退还。</w:t>
      </w:r>
    </w:p>
    <w:p>
      <w:pPr>
        <w:pStyle w:val="4"/>
        <w:spacing w:line="360" w:lineRule="auto"/>
        <w:rPr>
          <w:rFonts w:hint="eastAsia" w:asciiTheme="minorEastAsia" w:hAnsiTheme="minorEastAsia" w:eastAsiaTheme="minorEastAsia" w:cstheme="minorEastAsia"/>
          <w:b w:val="0"/>
          <w:bCs/>
          <w:color w:val="000000"/>
          <w:kern w:val="0"/>
          <w:sz w:val="24"/>
          <w:szCs w:val="24"/>
        </w:rPr>
      </w:pPr>
      <w:bookmarkStart w:id="149" w:name="_Toc2142794716"/>
      <w:bookmarkStart w:id="150" w:name="_Toc1195865979"/>
      <w:r>
        <w:rPr>
          <w:rFonts w:hint="eastAsia" w:asciiTheme="minorEastAsia" w:hAnsiTheme="minorEastAsia" w:eastAsiaTheme="minorEastAsia" w:cstheme="minorEastAsia"/>
          <w:b w:val="0"/>
          <w:bCs/>
          <w:color w:val="000000"/>
          <w:kern w:val="0"/>
          <w:sz w:val="24"/>
          <w:szCs w:val="24"/>
        </w:rPr>
        <w:t>4</w:t>
      </w:r>
      <w:bookmarkStart w:id="151" w:name="_Toc297120462"/>
      <w:bookmarkStart w:id="152" w:name="_Toc297048348"/>
      <w:bookmarkStart w:id="153" w:name="_Toc296891202"/>
      <w:bookmarkStart w:id="154" w:name="_Toc267251413"/>
      <w:bookmarkStart w:id="155" w:name="_Toc296890990"/>
      <w:bookmarkStart w:id="156" w:name="_Toc296346663"/>
      <w:bookmarkStart w:id="157" w:name="_Toc292559871"/>
      <w:bookmarkStart w:id="158" w:name="_Toc296944501"/>
      <w:bookmarkStart w:id="159" w:name="_Toc296347161"/>
      <w:bookmarkStart w:id="160" w:name="_Toc296503162"/>
      <w:bookmarkStart w:id="161" w:name="_Toc292559366"/>
      <w:r>
        <w:rPr>
          <w:rFonts w:hint="eastAsia" w:asciiTheme="minorEastAsia" w:hAnsiTheme="minorEastAsia" w:eastAsiaTheme="minorEastAsia" w:cstheme="minorEastAsia"/>
          <w:b w:val="0"/>
          <w:bCs/>
          <w:color w:val="000000"/>
          <w:kern w:val="0"/>
          <w:sz w:val="24"/>
          <w:szCs w:val="24"/>
        </w:rPr>
        <w:t>. 监</w:t>
      </w:r>
      <w:bookmarkEnd w:id="151"/>
      <w:bookmarkEnd w:id="152"/>
      <w:bookmarkEnd w:id="153"/>
      <w:bookmarkEnd w:id="154"/>
      <w:bookmarkEnd w:id="155"/>
      <w:bookmarkEnd w:id="156"/>
      <w:bookmarkEnd w:id="157"/>
      <w:bookmarkEnd w:id="158"/>
      <w:bookmarkEnd w:id="159"/>
      <w:bookmarkEnd w:id="160"/>
      <w:bookmarkEnd w:id="161"/>
      <w:r>
        <w:rPr>
          <w:rFonts w:hint="eastAsia" w:asciiTheme="minorEastAsia" w:hAnsiTheme="minorEastAsia" w:eastAsiaTheme="minorEastAsia" w:cstheme="minorEastAsia"/>
          <w:b w:val="0"/>
          <w:bCs/>
          <w:color w:val="000000"/>
          <w:kern w:val="0"/>
          <w:sz w:val="24"/>
          <w:szCs w:val="24"/>
        </w:rPr>
        <w:t>理人</w:t>
      </w:r>
      <w:bookmarkEnd w:id="149"/>
      <w:bookmarkEnd w:id="150"/>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rPr>
      </w:pPr>
      <w:bookmarkStart w:id="162" w:name="_Toc22333"/>
      <w:bookmarkStart w:id="163" w:name="_Toc1325789808"/>
      <w:bookmarkStart w:id="164" w:name="_Toc189823449"/>
      <w:r>
        <w:rPr>
          <w:rFonts w:hint="eastAsia" w:asciiTheme="minorEastAsia" w:hAnsiTheme="minorEastAsia" w:eastAsiaTheme="minorEastAsia" w:cstheme="minorEastAsia"/>
          <w:b w:val="0"/>
          <w:bCs/>
          <w:color w:val="000000"/>
          <w:kern w:val="0"/>
          <w:sz w:val="24"/>
          <w:szCs w:val="24"/>
        </w:rPr>
        <w:t>4.1 监理人的一般规定</w:t>
      </w:r>
      <w:bookmarkEnd w:id="162"/>
      <w:bookmarkEnd w:id="163"/>
      <w:bookmarkEnd w:id="164"/>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关于监理人的监理内容：</w:t>
      </w:r>
      <w:r>
        <w:rPr>
          <w:rFonts w:hint="eastAsia" w:asciiTheme="minorEastAsia" w:hAnsiTheme="minorEastAsia" w:eastAsiaTheme="minorEastAsia" w:cstheme="minorEastAsia"/>
          <w:b w:val="0"/>
          <w:bCs/>
          <w:color w:val="auto"/>
          <w:kern w:val="0"/>
          <w:sz w:val="24"/>
          <w:szCs w:val="24"/>
          <w:u w:val="single"/>
        </w:rPr>
        <w:t>包括但不限于对工程质量、进度、投资进行全面控制，对施工安全、合同、信息进行全面管理，协调业主与承包人在施工过程中的工作关系，详见本工程《建设工程委托监理合同》</w:t>
      </w:r>
      <w:r>
        <w:rPr>
          <w:rFonts w:hint="eastAsia" w:asciiTheme="minorEastAsia" w:hAnsiTheme="minorEastAsia" w:eastAsiaTheme="minorEastAsia" w:cstheme="minorEastAsia"/>
          <w:b w:val="0"/>
          <w:bCs/>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关于监理人的监理权限：</w:t>
      </w:r>
      <w:r>
        <w:rPr>
          <w:rFonts w:hint="eastAsia" w:asciiTheme="minorEastAsia" w:hAnsiTheme="minorEastAsia" w:eastAsiaTheme="minorEastAsia" w:cstheme="minorEastAsia"/>
          <w:b w:val="0"/>
          <w:bCs/>
          <w:color w:val="auto"/>
          <w:kern w:val="0"/>
          <w:sz w:val="24"/>
          <w:szCs w:val="24"/>
          <w:u w:val="single"/>
        </w:rPr>
        <w:t>根据监理规范及《建设工程委托监理合同》授权处理的事项</w:t>
      </w:r>
      <w:r>
        <w:rPr>
          <w:rFonts w:hint="eastAsia" w:asciiTheme="minorEastAsia" w:hAnsiTheme="minorEastAsia" w:eastAsiaTheme="minorEastAsia" w:cstheme="minorEastAsia"/>
          <w:b w:val="0"/>
          <w:bCs/>
          <w:color w:val="auto"/>
          <w:kern w:val="0"/>
          <w:sz w:val="24"/>
          <w:szCs w:val="24"/>
        </w:rPr>
        <w:t xml:space="preserve">。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u w:val="single"/>
        </w:rPr>
      </w:pPr>
      <w:r>
        <w:rPr>
          <w:rFonts w:hint="eastAsia" w:asciiTheme="minorEastAsia" w:hAnsiTheme="minorEastAsia" w:eastAsiaTheme="minorEastAsia" w:cstheme="minorEastAsia"/>
          <w:b w:val="0"/>
          <w:bCs/>
          <w:color w:val="auto"/>
          <w:kern w:val="0"/>
          <w:sz w:val="24"/>
          <w:szCs w:val="24"/>
        </w:rPr>
        <w:t>关于监理人在施工现场的办公场所、生活场所的提供和费用承担的约定：</w:t>
      </w:r>
      <w:r>
        <w:rPr>
          <w:rFonts w:hint="eastAsia" w:asciiTheme="minorEastAsia" w:hAnsiTheme="minorEastAsia" w:eastAsiaTheme="minorEastAsia" w:cstheme="minorEastAsia"/>
          <w:b w:val="0"/>
          <w:bCs/>
          <w:color w:val="auto"/>
          <w:kern w:val="0"/>
          <w:sz w:val="24"/>
          <w:szCs w:val="24"/>
          <w:u w:val="single"/>
        </w:rPr>
        <w:t>执行通用条款。</w:t>
      </w:r>
    </w:p>
    <w:p>
      <w:pPr>
        <w:spacing w:line="360" w:lineRule="auto"/>
        <w:ind w:firstLine="480" w:firstLineChars="200"/>
        <w:outlineLvl w:val="2"/>
        <w:rPr>
          <w:rFonts w:hint="eastAsia" w:asciiTheme="minorEastAsia" w:hAnsiTheme="minorEastAsia" w:eastAsiaTheme="minorEastAsia" w:cstheme="minorEastAsia"/>
          <w:b w:val="0"/>
          <w:bCs/>
          <w:color w:val="000000"/>
          <w:kern w:val="0"/>
          <w:sz w:val="24"/>
          <w:szCs w:val="24"/>
        </w:rPr>
      </w:pPr>
      <w:bookmarkStart w:id="165" w:name="_Toc1416"/>
      <w:bookmarkStart w:id="166" w:name="_Toc1275710936"/>
      <w:bookmarkStart w:id="167" w:name="_Toc1881790026"/>
      <w:r>
        <w:rPr>
          <w:rFonts w:hint="eastAsia" w:asciiTheme="minorEastAsia" w:hAnsiTheme="minorEastAsia" w:eastAsiaTheme="minorEastAsia" w:cstheme="minorEastAsia"/>
          <w:b w:val="0"/>
          <w:bCs/>
          <w:color w:val="000000"/>
          <w:kern w:val="0"/>
          <w:sz w:val="24"/>
          <w:szCs w:val="24"/>
        </w:rPr>
        <w:t>4.2 监理人员</w:t>
      </w:r>
      <w:bookmarkEnd w:id="165"/>
      <w:bookmarkEnd w:id="166"/>
      <w:bookmarkEnd w:id="167"/>
    </w:p>
    <w:p>
      <w:pPr>
        <w:spacing w:line="360" w:lineRule="auto"/>
        <w:ind w:firstLine="480" w:firstLineChars="200"/>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关于监理人的其他约定：</w:t>
      </w:r>
      <w:r>
        <w:rPr>
          <w:rFonts w:hint="eastAsia" w:asciiTheme="minorEastAsia" w:hAnsiTheme="minorEastAsia" w:eastAsiaTheme="minorEastAsia" w:cstheme="minorEastAsia"/>
          <w:b w:val="0"/>
          <w:bCs/>
          <w:color w:val="000000"/>
          <w:kern w:val="0"/>
          <w:sz w:val="24"/>
          <w:szCs w:val="24"/>
          <w:u w:val="single"/>
        </w:rPr>
        <w:t xml:space="preserve">监理单位应派遣满足本工程专业知识水平及数量的监理人员 </w:t>
      </w:r>
      <w:r>
        <w:rPr>
          <w:rFonts w:hint="eastAsia" w:asciiTheme="minorEastAsia" w:hAnsiTheme="minorEastAsia" w:eastAsiaTheme="minorEastAsia" w:cstheme="minorEastAsia"/>
          <w:b w:val="0"/>
          <w:bCs/>
          <w:color w:val="000000"/>
          <w:kern w:val="0"/>
          <w:sz w:val="24"/>
          <w:szCs w:val="24"/>
        </w:rPr>
        <w:t>。</w:t>
      </w:r>
    </w:p>
    <w:p>
      <w:pPr>
        <w:spacing w:line="360" w:lineRule="auto"/>
        <w:ind w:firstLine="480" w:firstLineChars="200"/>
        <w:outlineLvl w:val="2"/>
        <w:rPr>
          <w:rFonts w:hint="eastAsia" w:asciiTheme="minorEastAsia" w:hAnsiTheme="minorEastAsia" w:eastAsiaTheme="minorEastAsia" w:cstheme="minorEastAsia"/>
          <w:b w:val="0"/>
          <w:bCs/>
          <w:color w:val="000000"/>
          <w:kern w:val="0"/>
          <w:sz w:val="24"/>
          <w:szCs w:val="24"/>
        </w:rPr>
      </w:pPr>
      <w:bookmarkStart w:id="168" w:name="_Toc20339"/>
      <w:bookmarkStart w:id="169" w:name="_Toc1839233093"/>
      <w:bookmarkStart w:id="170" w:name="_Toc351297407"/>
      <w:r>
        <w:rPr>
          <w:rFonts w:hint="eastAsia" w:asciiTheme="minorEastAsia" w:hAnsiTheme="minorEastAsia" w:eastAsiaTheme="minorEastAsia" w:cstheme="minorEastAsia"/>
          <w:b w:val="0"/>
          <w:bCs/>
          <w:color w:val="000000"/>
          <w:kern w:val="0"/>
          <w:sz w:val="24"/>
          <w:szCs w:val="24"/>
        </w:rPr>
        <w:t>4.4 商定或确定</w:t>
      </w:r>
      <w:bookmarkEnd w:id="168"/>
      <w:bookmarkEnd w:id="169"/>
      <w:bookmarkEnd w:id="170"/>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在发包人和承包人不能通过协商达成一致意见时，发包人授权监理人对以下事项进行确定：</w:t>
      </w:r>
      <w:r>
        <w:rPr>
          <w:rFonts w:hint="eastAsia" w:asciiTheme="minorEastAsia" w:hAnsiTheme="minorEastAsia" w:eastAsiaTheme="minorEastAsia" w:cstheme="minorEastAsia"/>
          <w:b w:val="0"/>
          <w:bCs/>
          <w:color w:val="000000"/>
          <w:kern w:val="0"/>
          <w:sz w:val="24"/>
          <w:szCs w:val="24"/>
          <w:u w:val="single"/>
        </w:rPr>
        <w:t xml:space="preserve"> 无 </w:t>
      </w:r>
      <w:r>
        <w:rPr>
          <w:rFonts w:hint="eastAsia" w:asciiTheme="minorEastAsia" w:hAnsiTheme="minorEastAsia" w:eastAsiaTheme="minorEastAsia" w:cstheme="minorEastAsia"/>
          <w:b w:val="0"/>
          <w:bCs/>
          <w:color w:val="000000"/>
          <w:kern w:val="0"/>
          <w:sz w:val="24"/>
          <w:szCs w:val="24"/>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5</w:t>
      </w:r>
      <w:bookmarkEnd w:id="110"/>
      <w:bookmarkStart w:id="171" w:name="_Toc296503163"/>
      <w:bookmarkStart w:id="172" w:name="_Toc296347162"/>
      <w:bookmarkStart w:id="173" w:name="_Toc292559367"/>
      <w:bookmarkStart w:id="174" w:name="_Toc296944502"/>
      <w:bookmarkStart w:id="175" w:name="_Toc296890991"/>
      <w:bookmarkStart w:id="176" w:name="_Toc297048349"/>
      <w:bookmarkStart w:id="177" w:name="_Toc296891203"/>
      <w:bookmarkStart w:id="178" w:name="_Toc296346664"/>
      <w:bookmarkStart w:id="179" w:name="_Toc292559872"/>
      <w:bookmarkStart w:id="180" w:name="_Toc297120463"/>
      <w:r>
        <w:rPr>
          <w:rFonts w:hint="eastAsia" w:asciiTheme="minorEastAsia" w:hAnsiTheme="minorEastAsia" w:eastAsiaTheme="minorEastAsia" w:cstheme="minorEastAsia"/>
          <w:b w:val="0"/>
          <w:bCs/>
          <w:color w:val="000000"/>
          <w:kern w:val="2"/>
          <w:sz w:val="24"/>
          <w:szCs w:val="24"/>
          <w:lang w:val="en-US" w:eastAsia="zh-CN" w:bidi="ar-SA"/>
        </w:rPr>
        <w:t>. 工程质量</w:t>
      </w:r>
      <w:bookmarkEnd w:id="111"/>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5.1 质量要求</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u w:val="single"/>
          <w:lang w:val="en-US" w:eastAsia="zh-CN" w:bidi="ar-SA"/>
        </w:rPr>
      </w:pPr>
      <w:r>
        <w:rPr>
          <w:rFonts w:hint="eastAsia" w:asciiTheme="minorEastAsia" w:hAnsiTheme="minorEastAsia" w:eastAsiaTheme="minorEastAsia" w:cstheme="minorEastAsia"/>
          <w:color w:val="000000"/>
          <w:kern w:val="2"/>
          <w:sz w:val="24"/>
          <w:szCs w:val="24"/>
          <w:lang w:val="en-US" w:bidi="ar-SA"/>
        </w:rPr>
        <w:t>5</w:t>
      </w:r>
      <w:bookmarkStart w:id="181" w:name="_Toc303539106"/>
      <w:bookmarkStart w:id="182" w:name="_Toc312677997"/>
      <w:bookmarkStart w:id="183" w:name="_Toc297123496"/>
      <w:bookmarkStart w:id="184" w:name="_Toc304295527"/>
      <w:bookmarkStart w:id="185" w:name="_Toc318581164"/>
      <w:bookmarkStart w:id="186" w:name="_Toc297216155"/>
      <w:bookmarkStart w:id="187" w:name="_Toc300934949"/>
      <w:r>
        <w:rPr>
          <w:rFonts w:hint="eastAsia" w:asciiTheme="minorEastAsia" w:hAnsiTheme="minorEastAsia" w:eastAsiaTheme="minorEastAsia" w:cstheme="minorEastAsia"/>
          <w:color w:val="000000"/>
          <w:kern w:val="2"/>
          <w:sz w:val="24"/>
          <w:szCs w:val="24"/>
          <w:lang w:val="en-US" w:bidi="ar-SA"/>
        </w:rPr>
        <w:t>.1.1 特殊质量标准和要求：</w:t>
      </w:r>
      <w:r>
        <w:rPr>
          <w:rFonts w:hint="eastAsia" w:asciiTheme="minorEastAsia" w:hAnsiTheme="minorEastAsia" w:eastAsiaTheme="minorEastAsia" w:cstheme="minorEastAsia"/>
          <w:color w:val="000000"/>
          <w:kern w:val="2"/>
          <w:sz w:val="24"/>
          <w:szCs w:val="24"/>
          <w:lang w:val="en-US" w:eastAsia="zh-CN" w:bidi="ar-SA"/>
        </w:rPr>
        <w:t>合格。</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kern w:val="2"/>
          <w:sz w:val="24"/>
          <w:szCs w:val="24"/>
          <w:lang w:val="en-US" w:bidi="ar-SA"/>
        </w:rPr>
        <w:t>关于工程奖项的约定：</w:t>
      </w:r>
      <w:r>
        <w:rPr>
          <w:rFonts w:hint="eastAsia" w:asciiTheme="minorEastAsia" w:hAnsiTheme="minorEastAsia" w:eastAsiaTheme="minorEastAsia" w:cstheme="minorEastAsia"/>
          <w:kern w:val="2"/>
          <w:sz w:val="24"/>
          <w:szCs w:val="24"/>
          <w:u w:val="single"/>
          <w:lang w:val="en-US" w:eastAsia="zh-CN" w:bidi="ar-SA"/>
        </w:rPr>
        <w:t>无</w:t>
      </w:r>
      <w:r>
        <w:rPr>
          <w:rFonts w:hint="eastAsia" w:asciiTheme="minorEastAsia" w:hAnsiTheme="minorEastAsia" w:eastAsiaTheme="minorEastAsia" w:cstheme="minorEastAsia"/>
          <w:kern w:val="2"/>
          <w:sz w:val="24"/>
          <w:szCs w:val="24"/>
          <w:u w:val="single"/>
          <w:lang w:val="en-US" w:bidi="ar-SA"/>
        </w:rPr>
        <w:t xml:space="preserve">     </w:t>
      </w:r>
      <w:r>
        <w:rPr>
          <w:rFonts w:hint="eastAsia" w:asciiTheme="minorEastAsia" w:hAnsiTheme="minorEastAsia" w:eastAsiaTheme="minorEastAsia" w:cstheme="minorEastAsia"/>
          <w:kern w:val="2"/>
          <w:sz w:val="24"/>
          <w:szCs w:val="24"/>
          <w:lang w:val="en-US" w:bidi="ar-SA"/>
        </w:rPr>
        <w:t>。</w:t>
      </w:r>
    </w:p>
    <w:bookmarkEnd w:id="181"/>
    <w:bookmarkEnd w:id="182"/>
    <w:bookmarkEnd w:id="183"/>
    <w:bookmarkEnd w:id="184"/>
    <w:bookmarkEnd w:id="185"/>
    <w:bookmarkEnd w:id="186"/>
    <w:bookmarkEnd w:id="187"/>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rPr>
      </w:pPr>
      <w:bookmarkStart w:id="188" w:name="_Toc462538044"/>
      <w:bookmarkStart w:id="189" w:name="_Toc15546"/>
      <w:bookmarkStart w:id="190" w:name="_Toc1292415266"/>
      <w:bookmarkStart w:id="191" w:name="_Toc351203639"/>
      <w:r>
        <w:rPr>
          <w:rFonts w:hint="eastAsia" w:asciiTheme="minorEastAsia" w:hAnsiTheme="minorEastAsia" w:eastAsiaTheme="minorEastAsia" w:cstheme="minorEastAsia"/>
          <w:b w:val="0"/>
          <w:bCs/>
          <w:color w:val="auto"/>
          <w:kern w:val="0"/>
          <w:sz w:val="24"/>
          <w:szCs w:val="24"/>
        </w:rPr>
        <w:t>5.3 隐蔽工程检查</w:t>
      </w:r>
      <w:bookmarkEnd w:id="188"/>
      <w:bookmarkEnd w:id="189"/>
      <w:bookmarkEnd w:id="190"/>
    </w:p>
    <w:p>
      <w:pPr>
        <w:spacing w:line="360" w:lineRule="auto"/>
        <w:ind w:firstLine="480" w:firstLineChars="200"/>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5.3.2 承包人提前通知监理人隐蔽工程检查的期限的约定：</w:t>
      </w:r>
      <w:r>
        <w:rPr>
          <w:rFonts w:hint="eastAsia" w:asciiTheme="minorEastAsia" w:hAnsiTheme="minorEastAsia" w:eastAsiaTheme="minorEastAsia" w:cstheme="minorEastAsia"/>
          <w:b w:val="0"/>
          <w:bCs/>
          <w:color w:val="auto"/>
          <w:kern w:val="0"/>
          <w:sz w:val="24"/>
          <w:szCs w:val="24"/>
          <w:u w:val="single"/>
        </w:rPr>
        <w:t>执行通用条款</w:t>
      </w:r>
      <w:r>
        <w:rPr>
          <w:rFonts w:hint="eastAsia" w:asciiTheme="minorEastAsia" w:hAnsiTheme="minorEastAsia" w:eastAsiaTheme="minorEastAsia" w:cstheme="minorEastAsia"/>
          <w:b w:val="0"/>
          <w:bCs/>
          <w:color w:val="auto"/>
          <w:kern w:val="0"/>
          <w:sz w:val="24"/>
          <w:szCs w:val="24"/>
        </w:rPr>
        <w:t>。</w:t>
      </w:r>
    </w:p>
    <w:p>
      <w:pPr>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监理人不能按时进行检查时，应提前</w:t>
      </w:r>
      <w:r>
        <w:rPr>
          <w:rFonts w:hint="eastAsia" w:asciiTheme="minorEastAsia" w:hAnsiTheme="minorEastAsia" w:eastAsiaTheme="minorEastAsia" w:cstheme="minorEastAsia"/>
          <w:b w:val="0"/>
          <w:bCs/>
          <w:color w:val="auto"/>
          <w:kern w:val="0"/>
          <w:sz w:val="24"/>
          <w:szCs w:val="24"/>
          <w:u w:val="single"/>
        </w:rPr>
        <w:t xml:space="preserve"> 12 </w:t>
      </w:r>
      <w:r>
        <w:rPr>
          <w:rFonts w:hint="eastAsia" w:asciiTheme="minorEastAsia" w:hAnsiTheme="minorEastAsia" w:eastAsiaTheme="minorEastAsia" w:cstheme="minorEastAsia"/>
          <w:b w:val="0"/>
          <w:bCs/>
          <w:color w:val="auto"/>
          <w:kern w:val="0"/>
          <w:sz w:val="24"/>
          <w:szCs w:val="24"/>
        </w:rPr>
        <w:t>小时提交书面延期要求。</w:t>
      </w:r>
    </w:p>
    <w:p>
      <w:pPr>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关于延期最长不得超过：</w:t>
      </w:r>
      <w:r>
        <w:rPr>
          <w:rFonts w:hint="eastAsia" w:asciiTheme="minorEastAsia" w:hAnsiTheme="minorEastAsia" w:eastAsiaTheme="minorEastAsia" w:cstheme="minorEastAsia"/>
          <w:b w:val="0"/>
          <w:bCs/>
          <w:color w:val="auto"/>
          <w:kern w:val="0"/>
          <w:sz w:val="24"/>
          <w:szCs w:val="24"/>
          <w:u w:val="single"/>
        </w:rPr>
        <w:t xml:space="preserve"> 24 </w:t>
      </w:r>
      <w:r>
        <w:rPr>
          <w:rFonts w:hint="eastAsia" w:asciiTheme="minorEastAsia" w:hAnsiTheme="minorEastAsia" w:eastAsiaTheme="minorEastAsia" w:cstheme="minorEastAsia"/>
          <w:b w:val="0"/>
          <w:bCs/>
          <w:color w:val="auto"/>
          <w:kern w:val="0"/>
          <w:sz w:val="24"/>
          <w:szCs w:val="24"/>
        </w:rPr>
        <w:t>小时。</w:t>
      </w:r>
    </w:p>
    <w:p>
      <w:pPr>
        <w:pStyle w:val="4"/>
        <w:pageBreakBefore w:val="0"/>
        <w:widowControl w:val="0"/>
        <w:kinsoku/>
        <w:wordWrap/>
        <w:overflowPunct/>
        <w:topLinePunct w:val="0"/>
        <w:autoSpaceDE w:val="0"/>
        <w:autoSpaceDN w:val="0"/>
        <w:bidi w:val="0"/>
        <w:adjustRightInd/>
        <w:snapToGrid/>
        <w:spacing w:before="0" w:after="0" w:line="360" w:lineRule="auto"/>
        <w:textAlignment w:val="auto"/>
        <w:rPr>
          <w:rFonts w:hint="eastAsia" w:asciiTheme="minorEastAsia" w:hAnsiTheme="minorEastAsia" w:eastAsiaTheme="minorEastAsia" w:cstheme="minorEastAsia"/>
          <w:b w:val="0"/>
          <w:bCs/>
          <w:color w:val="auto"/>
          <w:kern w:val="0"/>
          <w:sz w:val="24"/>
          <w:szCs w:val="24"/>
        </w:rPr>
      </w:pPr>
      <w:bookmarkStart w:id="192" w:name="_Toc714606691"/>
      <w:bookmarkStart w:id="193" w:name="_Toc1885616336"/>
      <w:r>
        <w:rPr>
          <w:rFonts w:hint="eastAsia" w:asciiTheme="minorEastAsia" w:hAnsiTheme="minorEastAsia" w:eastAsiaTheme="minorEastAsia" w:cstheme="minorEastAsia"/>
          <w:b w:val="0"/>
          <w:bCs/>
          <w:color w:val="auto"/>
          <w:kern w:val="0"/>
          <w:sz w:val="24"/>
          <w:szCs w:val="24"/>
        </w:rPr>
        <w:t>6. 安全文明施工与环境保护</w:t>
      </w:r>
      <w:bookmarkEnd w:id="192"/>
      <w:bookmarkEnd w:id="193"/>
    </w:p>
    <w:p>
      <w:pPr>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val="0"/>
          <w:bCs/>
          <w:color w:val="auto"/>
          <w:kern w:val="0"/>
          <w:sz w:val="24"/>
          <w:szCs w:val="24"/>
        </w:rPr>
      </w:pPr>
      <w:bookmarkStart w:id="194" w:name="_Toc11638"/>
      <w:bookmarkStart w:id="195" w:name="_Toc552749545"/>
      <w:bookmarkStart w:id="196" w:name="_Toc526548747"/>
      <w:r>
        <w:rPr>
          <w:rFonts w:hint="eastAsia" w:asciiTheme="minorEastAsia" w:hAnsiTheme="minorEastAsia" w:eastAsiaTheme="minorEastAsia" w:cstheme="minorEastAsia"/>
          <w:b w:val="0"/>
          <w:bCs/>
          <w:color w:val="auto"/>
          <w:kern w:val="0"/>
          <w:sz w:val="24"/>
          <w:szCs w:val="24"/>
        </w:rPr>
        <w:t>6.1 安全文明施工</w:t>
      </w:r>
      <w:bookmarkEnd w:id="194"/>
      <w:bookmarkEnd w:id="195"/>
      <w:bookmarkEnd w:id="196"/>
    </w:p>
    <w:p>
      <w:pPr>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color w:val="auto"/>
          <w:kern w:val="0"/>
          <w:sz w:val="24"/>
          <w:szCs w:val="24"/>
          <w:u w:val="single"/>
        </w:rPr>
      </w:pPr>
      <w:r>
        <w:rPr>
          <w:rFonts w:hint="eastAsia" w:asciiTheme="minorEastAsia" w:hAnsiTheme="minorEastAsia" w:eastAsiaTheme="minorEastAsia" w:cstheme="minorEastAsia"/>
          <w:b w:val="0"/>
          <w:bCs/>
          <w:color w:val="auto"/>
          <w:kern w:val="0"/>
          <w:sz w:val="24"/>
          <w:szCs w:val="24"/>
        </w:rPr>
        <w:t>6.1.1 项目安全生产的达标目标及相应事项的约定：</w:t>
      </w:r>
      <w:r>
        <w:rPr>
          <w:rFonts w:hint="eastAsia" w:asciiTheme="minorEastAsia" w:hAnsiTheme="minorEastAsia" w:eastAsiaTheme="minorEastAsia" w:cstheme="minorEastAsia"/>
          <w:b w:val="0"/>
          <w:bCs/>
          <w:color w:val="auto"/>
          <w:kern w:val="0"/>
          <w:sz w:val="24"/>
          <w:szCs w:val="24"/>
          <w:u w:val="single"/>
        </w:rPr>
        <w:t>达到国家、自治区、乌鲁木齐市、经开区（头屯河区）等现行相关规范、标准及相关管理办法，相关费用含在投标报价中。</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6.1.4 关于安保的特别约定：</w:t>
      </w:r>
      <w:r>
        <w:rPr>
          <w:rFonts w:hint="eastAsia" w:asciiTheme="minorEastAsia" w:hAnsiTheme="minorEastAsia" w:eastAsiaTheme="minorEastAsia" w:cstheme="minorEastAsia"/>
          <w:b w:val="0"/>
          <w:bCs/>
          <w:color w:val="auto"/>
          <w:kern w:val="0"/>
          <w:sz w:val="24"/>
          <w:szCs w:val="24"/>
          <w:u w:val="single"/>
        </w:rPr>
        <w:t>由承包人承担安保工作，如施工现场出现治安事件、聚众闹事、群体事件、违规上访、人员伤亡、财产损失、极端行为造成恶劣影响均由承包人承担责任，每发生一起上述事件承包人需向发包人支付违约金10万元，发包人有权在进度款中直接扣除</w:t>
      </w:r>
      <w:r>
        <w:rPr>
          <w:rFonts w:hint="eastAsia" w:asciiTheme="minorEastAsia" w:hAnsiTheme="minorEastAsia" w:eastAsiaTheme="minorEastAsia" w:cstheme="minorEastAsia"/>
          <w:b w:val="0"/>
          <w:bCs/>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关于编制施工场地治安管理计划的约定：</w:t>
      </w:r>
      <w:r>
        <w:rPr>
          <w:rFonts w:hint="eastAsia" w:asciiTheme="minorEastAsia" w:hAnsiTheme="minorEastAsia" w:eastAsiaTheme="minorEastAsia" w:cstheme="minorEastAsia"/>
          <w:b w:val="0"/>
          <w:bCs/>
          <w:color w:val="auto"/>
          <w:kern w:val="0"/>
          <w:sz w:val="24"/>
          <w:szCs w:val="24"/>
          <w:u w:val="single"/>
        </w:rPr>
        <w:t>由承包人承担治安保卫工作，时限为合同签订之日至工程竣工验收合格交付发包人</w:t>
      </w:r>
      <w:r>
        <w:rPr>
          <w:rFonts w:hint="eastAsia" w:asciiTheme="minorEastAsia" w:hAnsiTheme="minorEastAsia" w:eastAsiaTheme="minorEastAsia" w:cstheme="minorEastAsia"/>
          <w:b w:val="0"/>
          <w:bCs/>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6.1.5 文明施工</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合同当事人对文明施工的要求：</w:t>
      </w:r>
      <w:r>
        <w:rPr>
          <w:rFonts w:hint="eastAsia" w:asciiTheme="minorEastAsia" w:hAnsiTheme="minorEastAsia" w:eastAsiaTheme="minorEastAsia" w:cstheme="minorEastAsia"/>
          <w:b w:val="0"/>
          <w:bCs/>
          <w:color w:val="auto"/>
          <w:kern w:val="0"/>
          <w:sz w:val="24"/>
          <w:szCs w:val="24"/>
          <w:u w:val="single"/>
        </w:rPr>
        <w:t>达到国家、自治区、乌鲁木齐市、经开区（头屯河区）等现行相关规范、标准及相关管理办法，相关费用含在投标报价中。</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6.1.6 关于安全文明施工费支付比例和支付期限的约定：</w:t>
      </w:r>
      <w:r>
        <w:rPr>
          <w:rFonts w:hint="eastAsia" w:asciiTheme="minorEastAsia" w:hAnsiTheme="minorEastAsia" w:eastAsiaTheme="minorEastAsia" w:cstheme="minorEastAsia"/>
          <w:b w:val="0"/>
          <w:bCs/>
          <w:color w:val="auto"/>
          <w:kern w:val="0"/>
          <w:sz w:val="24"/>
          <w:szCs w:val="24"/>
          <w:u w:val="single"/>
        </w:rPr>
        <w:t>与进度款同期支付</w:t>
      </w:r>
      <w:r>
        <w:rPr>
          <w:rFonts w:hint="eastAsia" w:asciiTheme="minorEastAsia" w:hAnsiTheme="minorEastAsia" w:eastAsiaTheme="minorEastAsia" w:cstheme="minorEastAsia"/>
          <w:b w:val="0"/>
          <w:bCs/>
          <w:color w:val="auto"/>
          <w:kern w:val="0"/>
          <w:sz w:val="24"/>
          <w:szCs w:val="24"/>
        </w:rPr>
        <w:t>。</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rPr>
      </w:pPr>
      <w:bookmarkStart w:id="197" w:name="_Toc584454933"/>
      <w:bookmarkStart w:id="198" w:name="_Toc1716959566"/>
      <w:r>
        <w:rPr>
          <w:rFonts w:hint="eastAsia" w:asciiTheme="minorEastAsia" w:hAnsiTheme="minorEastAsia" w:eastAsiaTheme="minorEastAsia" w:cstheme="minorEastAsia"/>
          <w:b w:val="0"/>
          <w:bCs/>
          <w:color w:val="auto"/>
          <w:kern w:val="0"/>
          <w:sz w:val="24"/>
          <w:szCs w:val="24"/>
        </w:rPr>
        <w:t>6.3 环境保护</w:t>
      </w:r>
      <w:bookmarkEnd w:id="197"/>
      <w:bookmarkEnd w:id="198"/>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合同当事人对农药、肥料的使用要求：</w:t>
      </w:r>
      <w:r>
        <w:rPr>
          <w:rFonts w:hint="eastAsia" w:asciiTheme="minorEastAsia" w:hAnsiTheme="minorEastAsia" w:eastAsiaTheme="minorEastAsia" w:cstheme="minorEastAsia"/>
          <w:b w:val="0"/>
          <w:bCs/>
          <w:color w:val="auto"/>
          <w:kern w:val="0"/>
          <w:sz w:val="24"/>
          <w:szCs w:val="24"/>
          <w:u w:val="single"/>
        </w:rPr>
        <w:t xml:space="preserve">符合国家现行标准，具有产品合格证，严格按照使用说明使用，不造成周边环境影响 </w:t>
      </w:r>
      <w:r>
        <w:rPr>
          <w:rFonts w:hint="eastAsia" w:asciiTheme="minorEastAsia" w:hAnsiTheme="minorEastAsia" w:eastAsiaTheme="minorEastAsia" w:cstheme="minorEastAsia"/>
          <w:b w:val="0"/>
          <w:bCs/>
          <w:color w:val="auto"/>
          <w:kern w:val="0"/>
          <w:sz w:val="24"/>
          <w:szCs w:val="24"/>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7. 工期和进度</w:t>
      </w:r>
      <w:bookmarkEnd w:id="191"/>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7.1 施工组织设计</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lang w:val="en-US" w:bidi="ar-SA"/>
        </w:rPr>
      </w:pPr>
      <w:r>
        <w:rPr>
          <w:rFonts w:hint="eastAsia" w:asciiTheme="minorEastAsia" w:hAnsiTheme="minorEastAsia" w:eastAsiaTheme="minorEastAsia" w:cstheme="minorEastAsia"/>
          <w:b w:val="0"/>
          <w:bCs w:val="0"/>
          <w:color w:val="auto"/>
          <w:kern w:val="2"/>
          <w:sz w:val="24"/>
          <w:szCs w:val="24"/>
          <w:lang w:val="en-US" w:bidi="ar-SA"/>
        </w:rPr>
        <w:t>7.1.1 合</w:t>
      </w:r>
      <w:r>
        <w:rPr>
          <w:rFonts w:hint="eastAsia" w:asciiTheme="minorEastAsia" w:hAnsiTheme="minorEastAsia" w:eastAsiaTheme="minorEastAsia" w:cstheme="minorEastAsia"/>
          <w:b w:val="0"/>
          <w:bCs w:val="0"/>
          <w:color w:val="auto"/>
          <w:kern w:val="0"/>
          <w:sz w:val="24"/>
          <w:szCs w:val="24"/>
          <w:lang w:val="en-US" w:bidi="ar-SA"/>
        </w:rPr>
        <w:t>同当事人约定的施工组织设计应包括的其他内容：</w:t>
      </w:r>
      <w:r>
        <w:rPr>
          <w:rFonts w:hint="eastAsia" w:asciiTheme="minorEastAsia" w:hAnsiTheme="minorEastAsia" w:eastAsiaTheme="minorEastAsia" w:cstheme="minorEastAsia"/>
          <w:b w:val="0"/>
          <w:bCs w:val="0"/>
          <w:color w:val="auto"/>
          <w:kern w:val="2"/>
          <w:sz w:val="24"/>
          <w:szCs w:val="24"/>
          <w:u w:val="single"/>
          <w:lang w:val="en-US" w:bidi="ar-SA"/>
        </w:rPr>
        <w:t xml:space="preserve"> </w:t>
      </w:r>
      <w:r>
        <w:rPr>
          <w:rStyle w:val="27"/>
          <w:rFonts w:hint="eastAsia" w:asciiTheme="minorEastAsia" w:hAnsiTheme="minorEastAsia" w:eastAsiaTheme="minorEastAsia" w:cstheme="minorEastAsia"/>
          <w:b w:val="0"/>
          <w:bCs w:val="0"/>
          <w:color w:val="auto"/>
          <w:kern w:val="2"/>
          <w:sz w:val="24"/>
          <w:szCs w:val="24"/>
          <w:u w:val="single"/>
          <w:lang w:val="en-US" w:bidi="ar-SA"/>
        </w:rPr>
        <w:t>按通用条款</w:t>
      </w:r>
      <w:r>
        <w:rPr>
          <w:rFonts w:hint="eastAsia" w:asciiTheme="minorEastAsia" w:hAnsiTheme="minorEastAsia" w:eastAsiaTheme="minorEastAsia" w:cstheme="minorEastAsia"/>
          <w:b w:val="0"/>
          <w:bCs w:val="0"/>
          <w:color w:val="auto"/>
          <w:kern w:val="2"/>
          <w:sz w:val="24"/>
          <w:szCs w:val="24"/>
          <w:u w:val="single"/>
          <w:lang w:val="en-US" w:bidi="ar-SA"/>
        </w:rPr>
        <w:t xml:space="preserve">  </w:t>
      </w:r>
      <w:r>
        <w:rPr>
          <w:rFonts w:hint="eastAsia" w:asciiTheme="minorEastAsia" w:hAnsiTheme="minorEastAsia" w:eastAsiaTheme="minorEastAsia" w:cstheme="minorEastAsia"/>
          <w:b w:val="0"/>
          <w:bCs w:val="0"/>
          <w:color w:val="auto"/>
          <w:kern w:val="2"/>
          <w:sz w:val="24"/>
          <w:szCs w:val="24"/>
          <w:lang w:val="en-US" w:bidi="ar-SA"/>
        </w:rPr>
        <w:t>。</w:t>
      </w:r>
    </w:p>
    <w:bookmarkEnd w:id="171"/>
    <w:bookmarkEnd w:id="172"/>
    <w:bookmarkEnd w:id="173"/>
    <w:bookmarkEnd w:id="174"/>
    <w:bookmarkEnd w:id="175"/>
    <w:bookmarkEnd w:id="176"/>
    <w:bookmarkEnd w:id="177"/>
    <w:bookmarkEnd w:id="178"/>
    <w:bookmarkEnd w:id="179"/>
    <w:bookmarkEnd w:id="180"/>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bookmarkStart w:id="199" w:name="_Toc304295562"/>
      <w:bookmarkStart w:id="200" w:name="_Toc318581174"/>
      <w:bookmarkStart w:id="201" w:name="_Toc312678024"/>
      <w:bookmarkStart w:id="202" w:name="_Toc303539142"/>
      <w:bookmarkStart w:id="203" w:name="_Toc297123536"/>
      <w:bookmarkStart w:id="204" w:name="_Toc312677498"/>
      <w:bookmarkStart w:id="205" w:name="_Toc297216195"/>
      <w:bookmarkStart w:id="206" w:name="_Toc300934985"/>
      <w:bookmarkStart w:id="207" w:name="_Toc297048359"/>
      <w:bookmarkStart w:id="208" w:name="_Toc297120473"/>
      <w:bookmarkStart w:id="209" w:name="_Toc296347172"/>
      <w:bookmarkStart w:id="210" w:name="_Toc296891001"/>
      <w:bookmarkStart w:id="211" w:name="_Toc267251427"/>
      <w:bookmarkStart w:id="212" w:name="_Toc267251428"/>
      <w:bookmarkStart w:id="213" w:name="_Toc296944512"/>
      <w:bookmarkStart w:id="214" w:name="_Toc296503173"/>
      <w:bookmarkStart w:id="215" w:name="_Toc296346674"/>
      <w:bookmarkStart w:id="216" w:name="_Toc296891213"/>
      <w:bookmarkStart w:id="217" w:name="_Toc292559378"/>
      <w:bookmarkStart w:id="218" w:name="_Toc292559883"/>
      <w:r>
        <w:rPr>
          <w:rFonts w:hint="eastAsia" w:asciiTheme="minorEastAsia" w:hAnsiTheme="minorEastAsia" w:eastAsiaTheme="minorEastAsia" w:cstheme="minorEastAsia"/>
          <w:b w:val="0"/>
          <w:bCs w:val="0"/>
          <w:color w:val="auto"/>
          <w:kern w:val="0"/>
          <w:sz w:val="24"/>
          <w:szCs w:val="24"/>
        </w:rPr>
        <w:t>7.1.2 施工组织设计的提交和修改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承包人提交详细施工组织设计的期限的约定：</w:t>
      </w:r>
      <w:r>
        <w:rPr>
          <w:rFonts w:hint="eastAsia" w:asciiTheme="minorEastAsia" w:hAnsiTheme="minorEastAsia" w:eastAsiaTheme="minorEastAsia" w:cstheme="minorEastAsia"/>
          <w:b w:val="0"/>
          <w:bCs w:val="0"/>
          <w:color w:val="auto"/>
          <w:kern w:val="0"/>
          <w:sz w:val="24"/>
          <w:szCs w:val="24"/>
          <w:u w:val="single"/>
        </w:rPr>
        <w:t>在施工单位进场前三日内</w:t>
      </w:r>
      <w:r>
        <w:rPr>
          <w:rFonts w:hint="eastAsia" w:asciiTheme="minorEastAsia" w:hAnsiTheme="minorEastAsia" w:eastAsiaTheme="minorEastAsia" w:cstheme="minorEastAsia"/>
          <w:b w:val="0"/>
          <w:bCs w:val="0"/>
          <w:color w:val="auto"/>
          <w:kern w:val="0"/>
          <w:sz w:val="24"/>
          <w:szCs w:val="24"/>
        </w:rPr>
        <w:t>。</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发包人和监理人在收到详细的施工组织设计后确认或提出修改意见的期限：</w:t>
      </w:r>
      <w:r>
        <w:rPr>
          <w:rFonts w:hint="eastAsia" w:asciiTheme="minorEastAsia" w:hAnsiTheme="minorEastAsia" w:eastAsiaTheme="minorEastAsia" w:cstheme="minorEastAsia"/>
          <w:b w:val="0"/>
          <w:bCs w:val="0"/>
          <w:color w:val="auto"/>
          <w:kern w:val="0"/>
          <w:sz w:val="24"/>
          <w:szCs w:val="24"/>
          <w:u w:val="single"/>
        </w:rPr>
        <w:t>自收到报送文件七日内</w:t>
      </w:r>
      <w:r>
        <w:rPr>
          <w:rFonts w:hint="eastAsia" w:asciiTheme="minorEastAsia" w:hAnsiTheme="minorEastAsia" w:eastAsiaTheme="minorEastAsia" w:cstheme="minorEastAsia"/>
          <w:b w:val="0"/>
          <w:bCs w:val="0"/>
          <w:color w:val="auto"/>
          <w:kern w:val="0"/>
          <w:sz w:val="24"/>
          <w:szCs w:val="24"/>
        </w:rPr>
        <w:t>。</w:t>
      </w:r>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219" w:name="_Toc1135946897"/>
      <w:bookmarkStart w:id="220" w:name="_Toc2142813545"/>
      <w:bookmarkStart w:id="221" w:name="_Toc14427"/>
      <w:r>
        <w:rPr>
          <w:rFonts w:hint="eastAsia" w:asciiTheme="minorEastAsia" w:hAnsiTheme="minorEastAsia" w:eastAsiaTheme="minorEastAsia" w:cstheme="minorEastAsia"/>
          <w:b w:val="0"/>
          <w:bCs w:val="0"/>
          <w:color w:val="auto"/>
          <w:kern w:val="0"/>
          <w:sz w:val="24"/>
          <w:szCs w:val="24"/>
        </w:rPr>
        <w:t>7</w:t>
      </w:r>
      <w:bookmarkStart w:id="222" w:name="_Toc297123514"/>
      <w:bookmarkStart w:id="223" w:name="_Toc303539123"/>
      <w:bookmarkStart w:id="224" w:name="_Toc304295541"/>
      <w:bookmarkStart w:id="225" w:name="_Toc300934966"/>
      <w:bookmarkStart w:id="226" w:name="_Toc297216173"/>
      <w:bookmarkStart w:id="227" w:name="_Toc312677479"/>
      <w:bookmarkStart w:id="228" w:name="_Toc312678005"/>
      <w:r>
        <w:rPr>
          <w:rFonts w:hint="eastAsia" w:asciiTheme="minorEastAsia" w:hAnsiTheme="minorEastAsia" w:eastAsiaTheme="minorEastAsia" w:cstheme="minorEastAsia"/>
          <w:b w:val="0"/>
          <w:bCs w:val="0"/>
          <w:color w:val="auto"/>
          <w:kern w:val="0"/>
          <w:sz w:val="24"/>
          <w:szCs w:val="24"/>
        </w:rPr>
        <w:t>.2 施工进度计划</w:t>
      </w:r>
      <w:bookmarkEnd w:id="219"/>
      <w:bookmarkEnd w:id="220"/>
      <w:bookmarkEnd w:id="221"/>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7.2.2 施工进度计划的修订</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rPr>
        <w:t>发包人和监理人在收到修订的施工进度计划后确认或提出修改意见的期限：</w:t>
      </w:r>
      <w:r>
        <w:rPr>
          <w:rFonts w:hint="eastAsia" w:asciiTheme="minorEastAsia" w:hAnsiTheme="minorEastAsia" w:eastAsiaTheme="minorEastAsia" w:cstheme="minorEastAsia"/>
          <w:b w:val="0"/>
          <w:bCs w:val="0"/>
          <w:color w:val="auto"/>
          <w:kern w:val="0"/>
          <w:sz w:val="24"/>
          <w:szCs w:val="24"/>
          <w:u w:val="single"/>
        </w:rPr>
        <w:t>自监理人收到承包人报送的相关进度计划和施工方案说明后七日内。</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u w:val="single"/>
        </w:rPr>
        <w:t>承包人应根据项目总进度计划按月编制进度报告，具体要求如下：</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u w:val="single"/>
        </w:rPr>
        <w:t>承包人必须配备专职预结算人员以满足发包人、监理的要求,在每月20日前提供当月已完成的工程月进度报表和下月工程月进度计划。以上报表和计划均一式四份，具体按以下执行：</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u w:val="single"/>
        </w:rPr>
        <w:t>A、下月资金使用计划（时间从本月20日至下月19日），提供时间为本月20日前；</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u w:val="single"/>
        </w:rPr>
        <w:t>B、下月进度计划（时间从本月20日至下月19日），提供时间为本月20日前；</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u w:val="single"/>
        </w:rPr>
        <w:t>C、本月实际完成进度报表（注明提前或拖延原因，时间从上月20日至本月19日），提供时间为本月20日；</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u w:val="single"/>
        </w:rPr>
        <w:t>D、本月质量、安全情况通报（时间从上月20日至本月19日），提供时间为本月20日；</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u w:val="single"/>
        </w:rPr>
        <w:t>E、各付款节点资金使用计划，提供时间为各付款节点前1个月。</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u w:val="single"/>
        </w:rPr>
        <w:t>承包人必须按照发包人、监理要求每周上报周进度完成情况及下周进度计划。逾期未报将不予支付当月进度款</w:t>
      </w:r>
      <w:r>
        <w:rPr>
          <w:rFonts w:hint="eastAsia" w:asciiTheme="minorEastAsia" w:hAnsiTheme="minorEastAsia" w:eastAsiaTheme="minorEastAsia" w:cstheme="minorEastAsia"/>
          <w:b w:val="0"/>
          <w:bCs w:val="0"/>
          <w:color w:val="auto"/>
          <w:kern w:val="0"/>
          <w:sz w:val="24"/>
          <w:szCs w:val="24"/>
        </w:rPr>
        <w:t>。</w:t>
      </w:r>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229" w:name="_Toc1253067105"/>
      <w:bookmarkStart w:id="230" w:name="_Toc1263038917"/>
      <w:bookmarkStart w:id="231" w:name="_Toc6687"/>
      <w:r>
        <w:rPr>
          <w:rFonts w:hint="eastAsia" w:asciiTheme="minorEastAsia" w:hAnsiTheme="minorEastAsia" w:eastAsiaTheme="minorEastAsia" w:cstheme="minorEastAsia"/>
          <w:b w:val="0"/>
          <w:bCs w:val="0"/>
          <w:color w:val="auto"/>
          <w:kern w:val="0"/>
          <w:sz w:val="24"/>
          <w:szCs w:val="24"/>
        </w:rPr>
        <w:t>7.3 开工</w:t>
      </w:r>
      <w:bookmarkEnd w:id="229"/>
      <w:bookmarkEnd w:id="230"/>
      <w:bookmarkEnd w:id="231"/>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7.3.1 开工准备</w:t>
      </w:r>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rPr>
        <w:t>关于承包人提交工程开工报审表的期限：</w:t>
      </w:r>
      <w:r>
        <w:rPr>
          <w:rFonts w:hint="eastAsia" w:asciiTheme="minorEastAsia" w:hAnsiTheme="minorEastAsia" w:eastAsiaTheme="minorEastAsia" w:cstheme="minorEastAsia"/>
          <w:b w:val="0"/>
          <w:bCs w:val="0"/>
          <w:color w:val="auto"/>
          <w:kern w:val="0"/>
          <w:sz w:val="24"/>
          <w:szCs w:val="24"/>
          <w:u w:val="single"/>
        </w:rPr>
        <w:t>合同签订后3日内</w:t>
      </w:r>
      <w:r>
        <w:rPr>
          <w:rFonts w:hint="eastAsia" w:asciiTheme="minorEastAsia" w:hAnsiTheme="minorEastAsia" w:eastAsiaTheme="minorEastAsia" w:cstheme="minorEastAsia"/>
          <w:b w:val="0"/>
          <w:bCs w:val="0"/>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关于发包人应完成的其他开工准备工作及期限：</w:t>
      </w:r>
      <w:r>
        <w:rPr>
          <w:rFonts w:hint="eastAsia" w:asciiTheme="minorEastAsia" w:hAnsiTheme="minorEastAsia" w:eastAsiaTheme="minorEastAsia" w:cstheme="minorEastAsia"/>
          <w:b w:val="0"/>
          <w:bCs w:val="0"/>
          <w:color w:val="auto"/>
          <w:kern w:val="0"/>
          <w:sz w:val="24"/>
          <w:szCs w:val="24"/>
          <w:u w:val="single"/>
        </w:rPr>
        <w:t>合同签订后7日内</w:t>
      </w:r>
      <w:r>
        <w:rPr>
          <w:rFonts w:hint="eastAsia" w:asciiTheme="minorEastAsia" w:hAnsiTheme="minorEastAsia" w:eastAsiaTheme="minorEastAsia" w:cstheme="minorEastAsia"/>
          <w:b w:val="0"/>
          <w:bCs w:val="0"/>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关于承包人应完成的其他开工准备工作及期限：</w:t>
      </w:r>
      <w:r>
        <w:rPr>
          <w:rFonts w:hint="eastAsia" w:asciiTheme="minorEastAsia" w:hAnsiTheme="minorEastAsia" w:eastAsiaTheme="minorEastAsia" w:cstheme="minorEastAsia"/>
          <w:b w:val="0"/>
          <w:bCs w:val="0"/>
          <w:color w:val="auto"/>
          <w:kern w:val="0"/>
          <w:sz w:val="24"/>
          <w:szCs w:val="24"/>
          <w:u w:val="single"/>
        </w:rPr>
        <w:t>合同签订后7日内</w:t>
      </w:r>
      <w:r>
        <w:rPr>
          <w:rFonts w:hint="eastAsia" w:asciiTheme="minorEastAsia" w:hAnsiTheme="minorEastAsia" w:eastAsiaTheme="minorEastAsia" w:cstheme="minorEastAsia"/>
          <w:b w:val="0"/>
          <w:bCs w:val="0"/>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7.3.2 开工通知</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因发包人原因或监理人未能在计划开工日期之日起</w:t>
      </w:r>
      <w:r>
        <w:rPr>
          <w:rFonts w:hint="eastAsia" w:asciiTheme="minorEastAsia" w:hAnsiTheme="minorEastAsia" w:eastAsiaTheme="minorEastAsia" w:cstheme="minorEastAsia"/>
          <w:b w:val="0"/>
          <w:bCs w:val="0"/>
          <w:color w:val="auto"/>
          <w:kern w:val="0"/>
          <w:sz w:val="24"/>
          <w:szCs w:val="24"/>
          <w:u w:val="single"/>
        </w:rPr>
        <w:t xml:space="preserve"> 90 </w:t>
      </w:r>
      <w:r>
        <w:rPr>
          <w:rFonts w:hint="eastAsia" w:asciiTheme="minorEastAsia" w:hAnsiTheme="minorEastAsia" w:eastAsiaTheme="minorEastAsia" w:cstheme="minorEastAsia"/>
          <w:b w:val="0"/>
          <w:bCs w:val="0"/>
          <w:color w:val="auto"/>
          <w:kern w:val="0"/>
          <w:sz w:val="24"/>
          <w:szCs w:val="24"/>
        </w:rPr>
        <w:t>天内发出开工通知的，承包人有权提出价格调整要求，或者解除合同。</w:t>
      </w:r>
    </w:p>
    <w:bookmarkEnd w:id="222"/>
    <w:bookmarkEnd w:id="223"/>
    <w:bookmarkEnd w:id="224"/>
    <w:bookmarkEnd w:id="225"/>
    <w:bookmarkEnd w:id="226"/>
    <w:bookmarkEnd w:id="227"/>
    <w:bookmarkEnd w:id="228"/>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232" w:name="_Toc96331289"/>
      <w:bookmarkStart w:id="233" w:name="_Toc17408"/>
      <w:bookmarkStart w:id="234" w:name="_Toc19537660"/>
      <w:r>
        <w:rPr>
          <w:rFonts w:hint="eastAsia" w:asciiTheme="minorEastAsia" w:hAnsiTheme="minorEastAsia" w:eastAsiaTheme="minorEastAsia" w:cstheme="minorEastAsia"/>
          <w:b w:val="0"/>
          <w:bCs w:val="0"/>
          <w:color w:val="auto"/>
          <w:kern w:val="0"/>
          <w:sz w:val="24"/>
          <w:szCs w:val="24"/>
        </w:rPr>
        <w:t>7.4 测量放线</w:t>
      </w:r>
      <w:bookmarkEnd w:id="232"/>
      <w:bookmarkEnd w:id="233"/>
      <w:bookmarkEnd w:id="234"/>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rPr>
        <w:t>7.4.1 发包人或发包人通过监理人向承包人提供测量基准点、基准线和水准点及其书面资料的期限：</w:t>
      </w:r>
      <w:r>
        <w:rPr>
          <w:rFonts w:hint="eastAsia" w:asciiTheme="minorEastAsia" w:hAnsiTheme="minorEastAsia" w:eastAsiaTheme="minorEastAsia" w:cstheme="minorEastAsia"/>
          <w:b w:val="0"/>
          <w:bCs w:val="0"/>
          <w:color w:val="auto"/>
          <w:kern w:val="0"/>
          <w:sz w:val="24"/>
          <w:szCs w:val="24"/>
          <w:u w:val="single"/>
        </w:rPr>
        <w:t>开工前</w:t>
      </w:r>
      <w:r>
        <w:rPr>
          <w:rFonts w:hint="eastAsia" w:asciiTheme="minorEastAsia" w:hAnsiTheme="minorEastAsia" w:eastAsiaTheme="minorEastAsia" w:cstheme="minorEastAsia"/>
          <w:b w:val="0"/>
          <w:bCs w:val="0"/>
          <w:color w:val="auto"/>
          <w:kern w:val="0"/>
          <w:sz w:val="24"/>
          <w:szCs w:val="24"/>
        </w:rPr>
        <w:t>。</w:t>
      </w:r>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235" w:name="_Toc20355"/>
      <w:bookmarkStart w:id="236" w:name="_Toc117950900"/>
      <w:bookmarkStart w:id="237" w:name="_Toc1986698096"/>
      <w:r>
        <w:rPr>
          <w:rFonts w:hint="eastAsia" w:asciiTheme="minorEastAsia" w:hAnsiTheme="minorEastAsia" w:eastAsiaTheme="minorEastAsia" w:cstheme="minorEastAsia"/>
          <w:b w:val="0"/>
          <w:bCs w:val="0"/>
          <w:color w:val="auto"/>
          <w:kern w:val="0"/>
          <w:sz w:val="24"/>
          <w:szCs w:val="24"/>
        </w:rPr>
        <w:t>7</w:t>
      </w:r>
      <w:bookmarkStart w:id="238" w:name="_Toc312677484"/>
      <w:bookmarkStart w:id="239" w:name="_Toc304295546"/>
      <w:bookmarkStart w:id="240" w:name="_Toc300934968"/>
      <w:bookmarkStart w:id="241" w:name="_Toc297216175"/>
      <w:bookmarkStart w:id="242" w:name="_Toc297123516"/>
      <w:bookmarkStart w:id="243" w:name="_Toc312678010"/>
      <w:bookmarkStart w:id="244" w:name="_Toc303539125"/>
      <w:r>
        <w:rPr>
          <w:rFonts w:hint="eastAsia" w:asciiTheme="minorEastAsia" w:hAnsiTheme="minorEastAsia" w:eastAsiaTheme="minorEastAsia" w:cstheme="minorEastAsia"/>
          <w:b w:val="0"/>
          <w:bCs w:val="0"/>
          <w:color w:val="auto"/>
          <w:kern w:val="0"/>
          <w:sz w:val="24"/>
          <w:szCs w:val="24"/>
        </w:rPr>
        <w:t>.5 工期延误</w:t>
      </w:r>
      <w:bookmarkEnd w:id="235"/>
      <w:bookmarkEnd w:id="236"/>
      <w:bookmarkEnd w:id="237"/>
    </w:p>
    <w:bookmarkEnd w:id="238"/>
    <w:bookmarkEnd w:id="239"/>
    <w:bookmarkEnd w:id="240"/>
    <w:bookmarkEnd w:id="241"/>
    <w:bookmarkEnd w:id="242"/>
    <w:bookmarkEnd w:id="243"/>
    <w:bookmarkEnd w:id="244"/>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7.5.1 因发包人原因导致工期延误</w:t>
      </w:r>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（7）因发包人原因导致工期延误的其他情形：</w:t>
      </w:r>
      <w:r>
        <w:rPr>
          <w:rFonts w:hint="eastAsia" w:asciiTheme="minorEastAsia" w:hAnsiTheme="minorEastAsia" w:eastAsiaTheme="minorEastAsia" w:cstheme="minorEastAsia"/>
          <w:b w:val="0"/>
          <w:bCs w:val="0"/>
          <w:color w:val="auto"/>
          <w:kern w:val="0"/>
          <w:sz w:val="24"/>
          <w:szCs w:val="24"/>
          <w:u w:val="single"/>
        </w:rPr>
        <w:t>无</w:t>
      </w:r>
      <w:r>
        <w:rPr>
          <w:rFonts w:hint="eastAsia" w:asciiTheme="minorEastAsia" w:hAnsiTheme="minorEastAsia" w:eastAsiaTheme="minorEastAsia" w:cstheme="minorEastAsia"/>
          <w:b w:val="0"/>
          <w:bCs w:val="0"/>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7</w:t>
      </w:r>
      <w:bookmarkStart w:id="245" w:name="_Toc312677486"/>
      <w:bookmarkStart w:id="246" w:name="_Toc318581169"/>
      <w:bookmarkStart w:id="247" w:name="_Toc312678012"/>
      <w:bookmarkStart w:id="248" w:name="_Toc297216177"/>
      <w:bookmarkStart w:id="249" w:name="_Toc297123518"/>
      <w:bookmarkStart w:id="250" w:name="_Toc300934970"/>
      <w:bookmarkStart w:id="251" w:name="_Toc304295548"/>
      <w:bookmarkStart w:id="252" w:name="_Toc303539127"/>
      <w:r>
        <w:rPr>
          <w:rFonts w:hint="eastAsia" w:asciiTheme="minorEastAsia" w:hAnsiTheme="minorEastAsia" w:eastAsiaTheme="minorEastAsia" w:cstheme="minorEastAsia"/>
          <w:b w:val="0"/>
          <w:bCs w:val="0"/>
          <w:color w:val="auto"/>
          <w:kern w:val="0"/>
          <w:sz w:val="24"/>
          <w:szCs w:val="24"/>
        </w:rPr>
        <w:t>.5.2 因承包人原因导致工期延误</w:t>
      </w:r>
    </w:p>
    <w:bookmarkEnd w:id="245"/>
    <w:bookmarkEnd w:id="246"/>
    <w:bookmarkEnd w:id="247"/>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rPr>
        <w:t>因</w:t>
      </w:r>
      <w:bookmarkStart w:id="253" w:name="_Toc312678013"/>
      <w:bookmarkStart w:id="254" w:name="_Toc312677487"/>
      <w:bookmarkStart w:id="255" w:name="_Toc318581170"/>
      <w:r>
        <w:rPr>
          <w:rFonts w:hint="eastAsia" w:asciiTheme="minorEastAsia" w:hAnsiTheme="minorEastAsia" w:eastAsiaTheme="minorEastAsia" w:cstheme="minorEastAsia"/>
          <w:b w:val="0"/>
          <w:bCs w:val="0"/>
          <w:color w:val="auto"/>
          <w:kern w:val="0"/>
          <w:sz w:val="24"/>
          <w:szCs w:val="24"/>
        </w:rPr>
        <w:t>承包人原因造成工期延误，逾期竣工违约金的计算方法为：</w:t>
      </w:r>
      <w:r>
        <w:rPr>
          <w:rFonts w:hint="eastAsia" w:asciiTheme="minorEastAsia" w:hAnsiTheme="minorEastAsia" w:eastAsiaTheme="minorEastAsia" w:cstheme="minorEastAsia"/>
          <w:b w:val="0"/>
          <w:bCs w:val="0"/>
          <w:color w:val="auto"/>
          <w:kern w:val="0"/>
          <w:sz w:val="24"/>
          <w:szCs w:val="24"/>
          <w:u w:val="single"/>
        </w:rPr>
        <w:t xml:space="preserve"> </w:t>
      </w:r>
    </w:p>
    <w:p>
      <w:pPr>
        <w:spacing w:line="360" w:lineRule="auto"/>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u w:val="single"/>
        </w:rPr>
        <w:t>逾期竣工每延误一天，按合同总价3‰支付违约金，并承担由此给发包人带来的经济损失。由于承包人原因，未能按合同工期完成进度计划节点工作，或监理人认为承包人施工进度不能满足合同工期要求的，承包人应采取措施加快进度，并自行承担加快进度所增加的费用。</w:t>
      </w:r>
      <w:bookmarkEnd w:id="248"/>
      <w:bookmarkEnd w:id="249"/>
      <w:bookmarkEnd w:id="250"/>
      <w:bookmarkEnd w:id="251"/>
      <w:bookmarkEnd w:id="252"/>
      <w:bookmarkEnd w:id="253"/>
      <w:bookmarkEnd w:id="254"/>
    </w:p>
    <w:bookmarkEnd w:id="255"/>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因承包人原因造成工期延误，逾</w:t>
      </w:r>
      <w:bookmarkStart w:id="256" w:name="_Toc312678014"/>
      <w:bookmarkStart w:id="257" w:name="_Toc318581171"/>
      <w:r>
        <w:rPr>
          <w:rFonts w:hint="eastAsia" w:asciiTheme="minorEastAsia" w:hAnsiTheme="minorEastAsia" w:eastAsiaTheme="minorEastAsia" w:cstheme="minorEastAsia"/>
          <w:b w:val="0"/>
          <w:bCs w:val="0"/>
          <w:color w:val="auto"/>
          <w:kern w:val="0"/>
          <w:sz w:val="24"/>
          <w:szCs w:val="24"/>
        </w:rPr>
        <w:t>期竣工违约金的上限：</w:t>
      </w:r>
      <w:r>
        <w:rPr>
          <w:rFonts w:hint="eastAsia" w:asciiTheme="minorEastAsia" w:hAnsiTheme="minorEastAsia" w:eastAsiaTheme="minorEastAsia" w:cstheme="minorEastAsia"/>
          <w:b w:val="0"/>
          <w:bCs w:val="0"/>
          <w:color w:val="auto"/>
          <w:kern w:val="0"/>
          <w:sz w:val="24"/>
          <w:szCs w:val="24"/>
          <w:u w:val="single"/>
        </w:rPr>
        <w:t>合同总价30%</w:t>
      </w:r>
      <w:r>
        <w:rPr>
          <w:rFonts w:hint="eastAsia" w:asciiTheme="minorEastAsia" w:hAnsiTheme="minorEastAsia" w:eastAsiaTheme="minorEastAsia" w:cstheme="minorEastAsia"/>
          <w:b w:val="0"/>
          <w:bCs w:val="0"/>
          <w:color w:val="auto"/>
          <w:kern w:val="0"/>
          <w:sz w:val="24"/>
          <w:szCs w:val="24"/>
        </w:rPr>
        <w:t>。</w:t>
      </w:r>
    </w:p>
    <w:bookmarkEnd w:id="256"/>
    <w:bookmarkEnd w:id="257"/>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258" w:name="_Toc28024"/>
      <w:bookmarkStart w:id="259" w:name="_Toc1834347369"/>
      <w:bookmarkStart w:id="260" w:name="_Toc441299698"/>
      <w:r>
        <w:rPr>
          <w:rFonts w:hint="eastAsia" w:asciiTheme="minorEastAsia" w:hAnsiTheme="minorEastAsia" w:eastAsiaTheme="minorEastAsia" w:cstheme="minorEastAsia"/>
          <w:b w:val="0"/>
          <w:bCs w:val="0"/>
          <w:color w:val="auto"/>
          <w:kern w:val="0"/>
          <w:sz w:val="24"/>
          <w:szCs w:val="24"/>
        </w:rPr>
        <w:t>7</w:t>
      </w:r>
      <w:bookmarkStart w:id="261" w:name="_Toc304295549"/>
      <w:bookmarkStart w:id="262" w:name="_Toc297123519"/>
      <w:bookmarkStart w:id="263" w:name="_Toc303539128"/>
      <w:bookmarkStart w:id="264" w:name="_Toc297216178"/>
      <w:bookmarkStart w:id="265" w:name="_Toc312678015"/>
      <w:bookmarkStart w:id="266" w:name="_Toc300934971"/>
      <w:r>
        <w:rPr>
          <w:rFonts w:hint="eastAsia" w:asciiTheme="minorEastAsia" w:hAnsiTheme="minorEastAsia" w:eastAsiaTheme="minorEastAsia" w:cstheme="minorEastAsia"/>
          <w:b w:val="0"/>
          <w:bCs w:val="0"/>
          <w:color w:val="auto"/>
          <w:kern w:val="0"/>
          <w:sz w:val="24"/>
          <w:szCs w:val="24"/>
        </w:rPr>
        <w:t>.6 不</w:t>
      </w:r>
      <w:bookmarkEnd w:id="261"/>
      <w:bookmarkEnd w:id="262"/>
      <w:bookmarkEnd w:id="263"/>
      <w:bookmarkEnd w:id="264"/>
      <w:bookmarkEnd w:id="265"/>
      <w:bookmarkEnd w:id="266"/>
      <w:r>
        <w:rPr>
          <w:rFonts w:hint="eastAsia" w:asciiTheme="minorEastAsia" w:hAnsiTheme="minorEastAsia" w:eastAsiaTheme="minorEastAsia" w:cstheme="minorEastAsia"/>
          <w:b w:val="0"/>
          <w:bCs w:val="0"/>
          <w:color w:val="auto"/>
          <w:kern w:val="0"/>
          <w:sz w:val="24"/>
          <w:szCs w:val="24"/>
        </w:rPr>
        <w:t>利物质条件</w:t>
      </w:r>
      <w:bookmarkEnd w:id="258"/>
      <w:bookmarkEnd w:id="259"/>
      <w:bookmarkEnd w:id="260"/>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bookmarkStart w:id="267" w:name="_Toc318581172"/>
      <w:bookmarkStart w:id="268" w:name="_Toc304295550"/>
      <w:bookmarkStart w:id="269" w:name="_Toc312678016"/>
      <w:bookmarkStart w:id="270" w:name="_Toc303539129"/>
      <w:bookmarkStart w:id="271" w:name="_Toc297123520"/>
      <w:bookmarkStart w:id="272" w:name="_Toc297216179"/>
      <w:bookmarkStart w:id="273" w:name="_Toc300934972"/>
      <w:r>
        <w:rPr>
          <w:rFonts w:hint="eastAsia" w:asciiTheme="minorEastAsia" w:hAnsiTheme="minorEastAsia" w:eastAsiaTheme="minorEastAsia" w:cstheme="minorEastAsia"/>
          <w:b w:val="0"/>
          <w:bCs w:val="0"/>
          <w:color w:val="auto"/>
          <w:kern w:val="0"/>
          <w:sz w:val="24"/>
          <w:szCs w:val="24"/>
        </w:rPr>
        <w:t>不利物质条件的其他情形和有关约定：</w:t>
      </w:r>
      <w:r>
        <w:rPr>
          <w:rFonts w:hint="eastAsia" w:asciiTheme="minorEastAsia" w:hAnsiTheme="minorEastAsia" w:eastAsiaTheme="minorEastAsia" w:cstheme="minorEastAsia"/>
          <w:b w:val="0"/>
          <w:bCs w:val="0"/>
          <w:color w:val="auto"/>
          <w:kern w:val="0"/>
          <w:sz w:val="24"/>
          <w:szCs w:val="24"/>
          <w:u w:val="single"/>
        </w:rPr>
        <w:t>执行通用条款</w:t>
      </w:r>
      <w:r>
        <w:rPr>
          <w:rFonts w:hint="eastAsia" w:asciiTheme="minorEastAsia" w:hAnsiTheme="minorEastAsia" w:eastAsiaTheme="minorEastAsia" w:cstheme="minorEastAsia"/>
          <w:b w:val="0"/>
          <w:bCs w:val="0"/>
          <w:color w:val="auto"/>
          <w:kern w:val="0"/>
          <w:sz w:val="24"/>
          <w:szCs w:val="24"/>
        </w:rPr>
        <w:t>。</w:t>
      </w:r>
    </w:p>
    <w:bookmarkEnd w:id="267"/>
    <w:bookmarkEnd w:id="268"/>
    <w:bookmarkEnd w:id="269"/>
    <w:bookmarkEnd w:id="270"/>
    <w:bookmarkEnd w:id="271"/>
    <w:bookmarkEnd w:id="272"/>
    <w:bookmarkEnd w:id="273"/>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274" w:name="_Toc32335"/>
      <w:bookmarkStart w:id="275" w:name="_Toc1225022270"/>
      <w:bookmarkStart w:id="276" w:name="_Toc1077505333"/>
      <w:r>
        <w:rPr>
          <w:rFonts w:hint="eastAsia" w:asciiTheme="minorEastAsia" w:hAnsiTheme="minorEastAsia" w:eastAsiaTheme="minorEastAsia" w:cstheme="minorEastAsia"/>
          <w:b w:val="0"/>
          <w:bCs w:val="0"/>
          <w:color w:val="auto"/>
          <w:kern w:val="0"/>
          <w:sz w:val="24"/>
          <w:szCs w:val="24"/>
        </w:rPr>
        <w:t>7</w:t>
      </w:r>
      <w:bookmarkStart w:id="277" w:name="_Toc312678017"/>
      <w:bookmarkStart w:id="278" w:name="_Toc297123521"/>
      <w:bookmarkStart w:id="279" w:name="_Toc303539130"/>
      <w:bookmarkStart w:id="280" w:name="_Toc297216180"/>
      <w:bookmarkStart w:id="281" w:name="_Toc304295551"/>
      <w:bookmarkStart w:id="282" w:name="_Toc300934973"/>
      <w:r>
        <w:rPr>
          <w:rFonts w:hint="eastAsia" w:asciiTheme="minorEastAsia" w:hAnsiTheme="minorEastAsia" w:eastAsiaTheme="minorEastAsia" w:cstheme="minorEastAsia"/>
          <w:b w:val="0"/>
          <w:bCs w:val="0"/>
          <w:color w:val="auto"/>
          <w:kern w:val="0"/>
          <w:sz w:val="24"/>
          <w:szCs w:val="24"/>
        </w:rPr>
        <w:t>.7 异常恶劣的气候条件</w:t>
      </w:r>
      <w:bookmarkEnd w:id="274"/>
      <w:bookmarkEnd w:id="275"/>
      <w:bookmarkEnd w:id="276"/>
    </w:p>
    <w:bookmarkEnd w:id="277"/>
    <w:bookmarkEnd w:id="278"/>
    <w:bookmarkEnd w:id="279"/>
    <w:bookmarkEnd w:id="280"/>
    <w:bookmarkEnd w:id="281"/>
    <w:bookmarkEnd w:id="282"/>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发包人和承包人同意以下情形视为异常恶劣的气候条件：</w:t>
      </w:r>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w:t>
      </w:r>
      <w:r>
        <w:rPr>
          <w:rFonts w:hint="eastAsia" w:asciiTheme="minorEastAsia" w:hAnsiTheme="minorEastAsia" w:eastAsiaTheme="minorEastAsia" w:cstheme="minorEastAsia"/>
          <w:b w:val="0"/>
          <w:bCs w:val="0"/>
          <w:color w:val="auto"/>
          <w:kern w:val="0"/>
          <w:sz w:val="24"/>
          <w:szCs w:val="24"/>
          <w:u w:val="single"/>
        </w:rPr>
        <w:t>连续七天的暴雨（降雨量为50-99.9毫米）</w:t>
      </w:r>
      <w:r>
        <w:rPr>
          <w:rFonts w:hint="eastAsia" w:asciiTheme="minorEastAsia" w:hAnsiTheme="minorEastAsia" w:eastAsiaTheme="minorEastAsia" w:cstheme="minorEastAsia"/>
          <w:b w:val="0"/>
          <w:bCs w:val="0"/>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w:t>
      </w:r>
      <w:r>
        <w:rPr>
          <w:rFonts w:hint="eastAsia" w:asciiTheme="minorEastAsia" w:hAnsiTheme="minorEastAsia" w:eastAsiaTheme="minorEastAsia" w:cstheme="minorEastAsia"/>
          <w:b w:val="0"/>
          <w:bCs w:val="0"/>
          <w:color w:val="auto"/>
          <w:kern w:val="0"/>
          <w:sz w:val="24"/>
          <w:szCs w:val="24"/>
          <w:u w:val="single"/>
        </w:rPr>
        <w:t>连续三天的沙尘暴及连续24小时八级以上大风</w:t>
      </w:r>
      <w:r>
        <w:rPr>
          <w:rFonts w:hint="eastAsia" w:asciiTheme="minorEastAsia" w:hAnsiTheme="minorEastAsia" w:eastAsiaTheme="minorEastAsia" w:cstheme="minorEastAsia"/>
          <w:b w:val="0"/>
          <w:bCs w:val="0"/>
          <w:color w:val="auto"/>
          <w:kern w:val="0"/>
          <w:sz w:val="24"/>
          <w:szCs w:val="24"/>
        </w:rPr>
        <w:t>；</w:t>
      </w:r>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（3）</w:t>
      </w:r>
      <w:r>
        <w:rPr>
          <w:rFonts w:hint="eastAsia" w:asciiTheme="minorEastAsia" w:hAnsiTheme="minorEastAsia" w:eastAsiaTheme="minorEastAsia" w:cstheme="minorEastAsia"/>
          <w:b w:val="0"/>
          <w:bCs w:val="0"/>
          <w:color w:val="auto"/>
          <w:kern w:val="0"/>
          <w:sz w:val="24"/>
          <w:szCs w:val="24"/>
          <w:u w:val="single"/>
        </w:rPr>
        <w:t>连续七天天气气温高于40摄氏度（仅限于养护期内苗木养护）；</w:t>
      </w:r>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283" w:name="_Toc18194"/>
      <w:bookmarkStart w:id="284" w:name="_Toc625782789"/>
      <w:bookmarkStart w:id="285" w:name="_Toc63384221"/>
      <w:r>
        <w:rPr>
          <w:rFonts w:hint="eastAsia" w:asciiTheme="minorEastAsia" w:hAnsiTheme="minorEastAsia" w:eastAsiaTheme="minorEastAsia" w:cstheme="minorEastAsia"/>
          <w:b w:val="0"/>
          <w:bCs w:val="0"/>
          <w:color w:val="auto"/>
          <w:kern w:val="0"/>
          <w:sz w:val="24"/>
          <w:szCs w:val="24"/>
        </w:rPr>
        <w:t>7.9 提前竣工的奖励</w:t>
      </w:r>
      <w:bookmarkEnd w:id="283"/>
      <w:bookmarkEnd w:id="284"/>
      <w:bookmarkEnd w:id="285"/>
    </w:p>
    <w:p>
      <w:pPr>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7.9.2 提前竣工的奖励：</w:t>
      </w:r>
      <w:r>
        <w:rPr>
          <w:rFonts w:hint="eastAsia" w:asciiTheme="minorEastAsia" w:hAnsiTheme="minorEastAsia" w:eastAsiaTheme="minorEastAsia" w:cstheme="minorEastAsia"/>
          <w:b w:val="0"/>
          <w:bCs w:val="0"/>
          <w:color w:val="auto"/>
          <w:kern w:val="0"/>
          <w:sz w:val="24"/>
          <w:szCs w:val="24"/>
          <w:u w:val="single"/>
        </w:rPr>
        <w:t>无</w:t>
      </w:r>
      <w:r>
        <w:rPr>
          <w:rFonts w:hint="eastAsia" w:asciiTheme="minorEastAsia" w:hAnsiTheme="minorEastAsia" w:eastAsiaTheme="minorEastAsia" w:cstheme="minorEastAsia"/>
          <w:b w:val="0"/>
          <w:bCs w:val="0"/>
          <w:color w:val="auto"/>
          <w:kern w:val="0"/>
          <w:sz w:val="24"/>
          <w:szCs w:val="24"/>
        </w:rPr>
        <w:t xml:space="preserve">。  </w:t>
      </w:r>
    </w:p>
    <w:p>
      <w:pPr>
        <w:pStyle w:val="4"/>
        <w:spacing w:line="360" w:lineRule="auto"/>
        <w:rPr>
          <w:rFonts w:hint="eastAsia" w:asciiTheme="minorEastAsia" w:hAnsiTheme="minorEastAsia" w:eastAsiaTheme="minorEastAsia" w:cstheme="minorEastAsia"/>
          <w:b w:val="0"/>
          <w:bCs w:val="0"/>
          <w:color w:val="auto"/>
          <w:kern w:val="0"/>
          <w:sz w:val="24"/>
          <w:szCs w:val="24"/>
        </w:rPr>
      </w:pPr>
      <w:bookmarkStart w:id="286" w:name="_Toc1981848881"/>
      <w:bookmarkStart w:id="287" w:name="_Toc1290932324"/>
      <w:r>
        <w:rPr>
          <w:rFonts w:hint="eastAsia" w:asciiTheme="minorEastAsia" w:hAnsiTheme="minorEastAsia" w:eastAsiaTheme="minorEastAsia" w:cstheme="minorEastAsia"/>
          <w:b w:val="0"/>
          <w:bCs w:val="0"/>
          <w:color w:val="auto"/>
          <w:kern w:val="0"/>
          <w:sz w:val="24"/>
          <w:szCs w:val="24"/>
        </w:rPr>
        <w:t>8. 材料与设备</w:t>
      </w:r>
      <w:bookmarkEnd w:id="286"/>
      <w:bookmarkEnd w:id="287"/>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288" w:name="_Toc489553729"/>
      <w:bookmarkStart w:id="289" w:name="_Toc1549169060"/>
      <w:bookmarkStart w:id="290" w:name="_Toc1878"/>
      <w:r>
        <w:rPr>
          <w:rFonts w:hint="eastAsia" w:asciiTheme="minorEastAsia" w:hAnsiTheme="minorEastAsia" w:eastAsiaTheme="minorEastAsia" w:cstheme="minorEastAsia"/>
          <w:b w:val="0"/>
          <w:bCs w:val="0"/>
          <w:color w:val="auto"/>
          <w:kern w:val="0"/>
          <w:sz w:val="24"/>
          <w:szCs w:val="24"/>
        </w:rPr>
        <w:t>8.3 材料与工程设备的接收与拒收</w:t>
      </w:r>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u w:val="single"/>
        </w:rPr>
        <w:t>8.3.1执行通用条款</w:t>
      </w:r>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u w:val="single"/>
        </w:rPr>
        <w:t>8.3.2执行通用条款</w:t>
      </w:r>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8</w:t>
      </w:r>
      <w:bookmarkStart w:id="291" w:name="_Toc296944506"/>
      <w:bookmarkStart w:id="292" w:name="_Toc297216186"/>
      <w:bookmarkStart w:id="293" w:name="_Toc300934979"/>
      <w:bookmarkStart w:id="294" w:name="_Toc292559877"/>
      <w:bookmarkStart w:id="295" w:name="_Toc297123527"/>
      <w:bookmarkStart w:id="296" w:name="_Toc303539136"/>
      <w:bookmarkStart w:id="297" w:name="_Toc312678019"/>
      <w:bookmarkStart w:id="298" w:name="_Toc297120467"/>
      <w:bookmarkStart w:id="299" w:name="_Toc296891207"/>
      <w:bookmarkStart w:id="300" w:name="_Toc296503167"/>
      <w:bookmarkStart w:id="301" w:name="_Toc280868654"/>
      <w:bookmarkStart w:id="302" w:name="_Toc296347166"/>
      <w:bookmarkStart w:id="303" w:name="_Toc296890995"/>
      <w:bookmarkStart w:id="304" w:name="_Toc296346668"/>
      <w:bookmarkStart w:id="305" w:name="_Toc312677493"/>
      <w:bookmarkStart w:id="306" w:name="_Toc297048353"/>
      <w:bookmarkStart w:id="307" w:name="_Toc292559372"/>
      <w:bookmarkStart w:id="308" w:name="_Toc304295556"/>
      <w:bookmarkStart w:id="309" w:name="_Toc267251424"/>
      <w:bookmarkStart w:id="310" w:name="_Toc280868656"/>
      <w:bookmarkStart w:id="311" w:name="_Toc280868655"/>
      <w:r>
        <w:rPr>
          <w:rFonts w:hint="eastAsia" w:asciiTheme="minorEastAsia" w:hAnsiTheme="minorEastAsia" w:eastAsiaTheme="minorEastAsia" w:cstheme="minorEastAsia"/>
          <w:b w:val="0"/>
          <w:bCs w:val="0"/>
          <w:color w:val="auto"/>
          <w:kern w:val="0"/>
          <w:sz w:val="24"/>
          <w:szCs w:val="24"/>
        </w:rPr>
        <w:t>.4 材料与工程设备的保管与使用</w:t>
      </w:r>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rPr>
        <w:t>8</w:t>
      </w:r>
      <w:bookmarkStart w:id="312" w:name="_Toc292559878"/>
      <w:bookmarkStart w:id="313" w:name="_Toc292559373"/>
      <w:bookmarkStart w:id="314" w:name="_Toc296891208"/>
      <w:bookmarkStart w:id="315" w:name="_Toc303539137"/>
      <w:bookmarkStart w:id="316" w:name="_Toc296346669"/>
      <w:bookmarkStart w:id="317" w:name="_Toc297120468"/>
      <w:bookmarkStart w:id="318" w:name="_Toc297123528"/>
      <w:bookmarkStart w:id="319" w:name="_Toc318581173"/>
      <w:bookmarkStart w:id="320" w:name="_Toc304295557"/>
      <w:bookmarkStart w:id="321" w:name="_Toc296347167"/>
      <w:bookmarkStart w:id="322" w:name="_Toc297048354"/>
      <w:bookmarkStart w:id="323" w:name="_Toc296890996"/>
      <w:bookmarkStart w:id="324" w:name="_Toc312677494"/>
      <w:bookmarkStart w:id="325" w:name="_Toc296944507"/>
      <w:bookmarkStart w:id="326" w:name="_Toc300934980"/>
      <w:bookmarkStart w:id="327" w:name="_Toc296503168"/>
      <w:bookmarkStart w:id="328" w:name="_Toc312678020"/>
      <w:bookmarkStart w:id="329" w:name="_Toc297216187"/>
      <w:r>
        <w:rPr>
          <w:rFonts w:hint="eastAsia" w:asciiTheme="minorEastAsia" w:hAnsiTheme="minorEastAsia" w:eastAsiaTheme="minorEastAsia" w:cstheme="minorEastAsia"/>
          <w:b w:val="0"/>
          <w:bCs w:val="0"/>
          <w:color w:val="auto"/>
          <w:kern w:val="0"/>
          <w:sz w:val="24"/>
          <w:szCs w:val="24"/>
        </w:rPr>
        <w:t>.4.1 发包人供应的苗木、材料设备的保管费用的承担：</w:t>
      </w:r>
      <w:r>
        <w:rPr>
          <w:rFonts w:hint="eastAsia" w:asciiTheme="minorEastAsia" w:hAnsiTheme="minorEastAsia" w:eastAsiaTheme="minorEastAsia" w:cstheme="minorEastAsia"/>
          <w:b w:val="0"/>
          <w:bCs w:val="0"/>
          <w:color w:val="auto"/>
          <w:kern w:val="0"/>
          <w:sz w:val="24"/>
          <w:szCs w:val="24"/>
          <w:u w:val="single"/>
        </w:rPr>
        <w:t>发包人供应的苗木、材料设备等检验或试验费用由发包人承担，经验收合格的苗木、材料设备交由承包人免费保管。</w:t>
      </w:r>
      <w:bookmarkEnd w:id="312"/>
      <w:bookmarkEnd w:id="313"/>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330" w:name="_Toc1698965056"/>
      <w:bookmarkStart w:id="331" w:name="_Toc15421"/>
      <w:bookmarkStart w:id="332" w:name="_Toc1602926888"/>
      <w:r>
        <w:rPr>
          <w:rFonts w:hint="eastAsia" w:asciiTheme="minorEastAsia" w:hAnsiTheme="minorEastAsia" w:eastAsiaTheme="minorEastAsia" w:cstheme="minorEastAsia"/>
          <w:b w:val="0"/>
          <w:bCs w:val="0"/>
          <w:color w:val="auto"/>
          <w:kern w:val="0"/>
          <w:sz w:val="24"/>
          <w:szCs w:val="24"/>
        </w:rPr>
        <w:t>8.6 样品</w:t>
      </w:r>
      <w:bookmarkEnd w:id="330"/>
      <w:bookmarkEnd w:id="331"/>
      <w:bookmarkEnd w:id="332"/>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333" w:name="_Toc658422827"/>
      <w:bookmarkStart w:id="334" w:name="_Toc155224400"/>
      <w:r>
        <w:rPr>
          <w:rFonts w:hint="eastAsia" w:asciiTheme="minorEastAsia" w:hAnsiTheme="minorEastAsia" w:eastAsiaTheme="minorEastAsia" w:cstheme="minorEastAsia"/>
          <w:b w:val="0"/>
          <w:bCs w:val="0"/>
          <w:color w:val="auto"/>
          <w:kern w:val="0"/>
          <w:sz w:val="24"/>
          <w:szCs w:val="24"/>
        </w:rPr>
        <w:t>8.6.1 样品的报送与封存</w:t>
      </w:r>
      <w:bookmarkEnd w:id="333"/>
      <w:bookmarkEnd w:id="334"/>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rPr>
        <w:t>需要承包人报送样品的材料或工程设备，样品的种类、名称、规格、数量要求：</w:t>
      </w:r>
      <w:r>
        <w:rPr>
          <w:rFonts w:hint="eastAsia" w:asciiTheme="minorEastAsia" w:hAnsiTheme="minorEastAsia" w:eastAsiaTheme="minorEastAsia" w:cstheme="minorEastAsia"/>
          <w:b w:val="0"/>
          <w:bCs w:val="0"/>
          <w:color w:val="auto"/>
          <w:kern w:val="0"/>
          <w:sz w:val="24"/>
          <w:szCs w:val="24"/>
          <w:u w:val="single"/>
        </w:rPr>
        <w:t>执行通用条款</w:t>
      </w:r>
      <w:r>
        <w:rPr>
          <w:rFonts w:hint="eastAsia" w:asciiTheme="minorEastAsia" w:hAnsiTheme="minorEastAsia" w:eastAsiaTheme="minorEastAsia" w:cstheme="minorEastAsia"/>
          <w:b w:val="0"/>
          <w:bCs w:val="0"/>
          <w:color w:val="auto"/>
          <w:kern w:val="0"/>
          <w:sz w:val="24"/>
          <w:szCs w:val="24"/>
        </w:rPr>
        <w:t>。</w:t>
      </w:r>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335" w:name="_Toc22773"/>
      <w:bookmarkStart w:id="336" w:name="_Toc1156517039"/>
      <w:bookmarkStart w:id="337" w:name="_Toc268737114"/>
      <w:r>
        <w:rPr>
          <w:rFonts w:hint="eastAsia" w:asciiTheme="minorEastAsia" w:hAnsiTheme="minorEastAsia" w:eastAsiaTheme="minorEastAsia" w:cstheme="minorEastAsia"/>
          <w:b w:val="0"/>
          <w:bCs w:val="0"/>
          <w:color w:val="auto"/>
          <w:kern w:val="0"/>
          <w:sz w:val="24"/>
          <w:szCs w:val="24"/>
        </w:rPr>
        <w:t>8.8 施工设备和临时设施</w:t>
      </w:r>
      <w:bookmarkEnd w:id="335"/>
      <w:bookmarkEnd w:id="336"/>
      <w:bookmarkEnd w:id="337"/>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8.8.1 承包人提供的施工设备和临时设施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u w:val="single"/>
        </w:rPr>
      </w:pPr>
      <w:r>
        <w:rPr>
          <w:rFonts w:hint="eastAsia" w:asciiTheme="minorEastAsia" w:hAnsiTheme="minorEastAsia" w:eastAsiaTheme="minorEastAsia" w:cstheme="minorEastAsia"/>
          <w:b w:val="0"/>
          <w:bCs w:val="0"/>
          <w:color w:val="auto"/>
          <w:kern w:val="0"/>
          <w:sz w:val="24"/>
          <w:szCs w:val="24"/>
        </w:rPr>
        <w:t>关于修建临时设施费用承担的约定：</w:t>
      </w:r>
      <w:bookmarkEnd w:id="309"/>
      <w:bookmarkEnd w:id="310"/>
      <w:bookmarkEnd w:id="311"/>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Start w:id="338" w:name="_Toc351203641"/>
      <w:r>
        <w:rPr>
          <w:rFonts w:hint="eastAsia" w:asciiTheme="minorEastAsia" w:hAnsiTheme="minorEastAsia" w:eastAsiaTheme="minorEastAsia" w:cstheme="minorEastAsia"/>
          <w:b w:val="0"/>
          <w:bCs w:val="0"/>
          <w:color w:val="auto"/>
          <w:kern w:val="0"/>
          <w:sz w:val="24"/>
          <w:szCs w:val="24"/>
          <w:u w:val="single"/>
        </w:rPr>
        <w:t>包含在施工合同内，不再单独计取</w:t>
      </w:r>
      <w:r>
        <w:rPr>
          <w:rFonts w:hint="eastAsia" w:asciiTheme="minorEastAsia" w:hAnsiTheme="minorEastAsia" w:eastAsiaTheme="minorEastAsia" w:cstheme="minorEastAsia"/>
          <w:b w:val="0"/>
          <w:bCs w:val="0"/>
          <w:color w:val="auto"/>
          <w:kern w:val="0"/>
          <w:sz w:val="24"/>
          <w:szCs w:val="24"/>
        </w:rPr>
        <w:t>。</w:t>
      </w:r>
    </w:p>
    <w:p>
      <w:pPr>
        <w:pStyle w:val="4"/>
        <w:spacing w:line="360" w:lineRule="auto"/>
        <w:rPr>
          <w:rFonts w:hint="eastAsia" w:asciiTheme="minorEastAsia" w:hAnsiTheme="minorEastAsia" w:eastAsiaTheme="minorEastAsia" w:cstheme="minorEastAsia"/>
          <w:b w:val="0"/>
          <w:bCs w:val="0"/>
          <w:color w:val="auto"/>
          <w:kern w:val="0"/>
          <w:sz w:val="24"/>
          <w:szCs w:val="24"/>
        </w:rPr>
      </w:pPr>
      <w:bookmarkStart w:id="339" w:name="_Toc1764962496"/>
      <w:bookmarkStart w:id="340" w:name="_Toc242413721"/>
      <w:r>
        <w:rPr>
          <w:rFonts w:hint="eastAsia" w:asciiTheme="minorEastAsia" w:hAnsiTheme="minorEastAsia" w:eastAsiaTheme="minorEastAsia" w:cstheme="minorEastAsia"/>
          <w:b w:val="0"/>
          <w:bCs w:val="0"/>
          <w:color w:val="auto"/>
          <w:kern w:val="0"/>
          <w:sz w:val="24"/>
          <w:szCs w:val="24"/>
        </w:rPr>
        <w:t>9. 试验与检验</w:t>
      </w:r>
      <w:bookmarkEnd w:id="338"/>
      <w:bookmarkEnd w:id="339"/>
      <w:bookmarkEnd w:id="340"/>
    </w:p>
    <w:p>
      <w:pPr>
        <w:spacing w:line="360" w:lineRule="auto"/>
        <w:ind w:firstLine="480" w:firstLineChars="200"/>
        <w:outlineLvl w:val="2"/>
        <w:rPr>
          <w:rFonts w:hint="eastAsia" w:asciiTheme="minorEastAsia" w:hAnsiTheme="minorEastAsia" w:eastAsiaTheme="minorEastAsia" w:cstheme="minorEastAsia"/>
          <w:b w:val="0"/>
          <w:bCs w:val="0"/>
          <w:color w:val="auto"/>
          <w:kern w:val="0"/>
          <w:sz w:val="24"/>
          <w:szCs w:val="24"/>
        </w:rPr>
      </w:pPr>
      <w:bookmarkStart w:id="341" w:name="_Toc1351090379"/>
      <w:bookmarkStart w:id="342" w:name="_Toc653733895"/>
      <w:bookmarkStart w:id="343" w:name="_Toc351203565"/>
      <w:bookmarkStart w:id="344" w:name="_Toc6956"/>
      <w:r>
        <w:rPr>
          <w:rFonts w:hint="eastAsia" w:asciiTheme="minorEastAsia" w:hAnsiTheme="minorEastAsia" w:eastAsiaTheme="minorEastAsia" w:cstheme="minorEastAsia"/>
          <w:b w:val="0"/>
          <w:bCs w:val="0"/>
          <w:color w:val="auto"/>
          <w:kern w:val="0"/>
          <w:sz w:val="24"/>
          <w:szCs w:val="24"/>
        </w:rPr>
        <w:t>9</w:t>
      </w:r>
      <w:bookmarkStart w:id="345" w:name="_Toc337558785"/>
      <w:r>
        <w:rPr>
          <w:rFonts w:hint="eastAsia" w:asciiTheme="minorEastAsia" w:hAnsiTheme="minorEastAsia" w:eastAsiaTheme="minorEastAsia" w:cstheme="minorEastAsia"/>
          <w:b w:val="0"/>
          <w:bCs w:val="0"/>
          <w:color w:val="auto"/>
          <w:kern w:val="0"/>
          <w:sz w:val="24"/>
          <w:szCs w:val="24"/>
        </w:rPr>
        <w:t>.3 材料、工程设备和工程的试验和检验</w:t>
      </w:r>
      <w:bookmarkEnd w:id="341"/>
      <w:bookmarkEnd w:id="342"/>
      <w:bookmarkEnd w:id="343"/>
      <w:bookmarkEnd w:id="345"/>
    </w:p>
    <w:bookmarkEnd w:id="344"/>
    <w:p>
      <w:pPr>
        <w:autoSpaceDE/>
        <w:autoSpaceDN/>
        <w:spacing w:line="360" w:lineRule="auto"/>
        <w:ind w:firstLine="480" w:firstLineChars="200"/>
        <w:jc w:val="left"/>
        <w:rPr>
          <w:rFonts w:hint="eastAsia" w:asciiTheme="minorEastAsia" w:hAnsiTheme="minorEastAsia" w:eastAsiaTheme="minorEastAsia" w:cstheme="minorEastAsia"/>
          <w:b w:val="0"/>
          <w:bCs w:val="0"/>
          <w:color w:val="auto"/>
          <w:kern w:val="2"/>
          <w:sz w:val="24"/>
          <w:szCs w:val="24"/>
          <w:lang w:val="en-US" w:bidi="ar-SA"/>
        </w:rPr>
      </w:pPr>
      <w:r>
        <w:rPr>
          <w:rFonts w:hint="eastAsia" w:asciiTheme="minorEastAsia" w:hAnsiTheme="minorEastAsia" w:eastAsiaTheme="minorEastAsia" w:cstheme="minorEastAsia"/>
          <w:b w:val="0"/>
          <w:bCs w:val="0"/>
          <w:color w:val="auto"/>
          <w:kern w:val="0"/>
          <w:sz w:val="24"/>
          <w:szCs w:val="24"/>
        </w:rPr>
        <w:t>9.3.4 关于送检材料的约定：</w:t>
      </w:r>
      <w:r>
        <w:rPr>
          <w:rFonts w:hint="eastAsia" w:asciiTheme="minorEastAsia" w:hAnsiTheme="minorEastAsia" w:eastAsiaTheme="minorEastAsia" w:cstheme="minorEastAsia"/>
          <w:b w:val="0"/>
          <w:bCs w:val="0"/>
          <w:color w:val="auto"/>
          <w:kern w:val="0"/>
          <w:sz w:val="24"/>
          <w:szCs w:val="24"/>
          <w:u w:val="single"/>
        </w:rPr>
        <w:t xml:space="preserve"> 详见检测方案</w:t>
      </w:r>
    </w:p>
    <w:bookmarkEnd w:id="199"/>
    <w:bookmarkEnd w:id="200"/>
    <w:bookmarkEnd w:id="201"/>
    <w:bookmarkEnd w:id="202"/>
    <w:bookmarkEnd w:id="203"/>
    <w:bookmarkEnd w:id="204"/>
    <w:bookmarkEnd w:id="205"/>
    <w:bookmarkEnd w:id="206"/>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000000"/>
          <w:kern w:val="2"/>
          <w:sz w:val="24"/>
          <w:szCs w:val="24"/>
          <w:lang w:val="en-US" w:eastAsia="zh-CN" w:bidi="ar-SA"/>
        </w:rPr>
      </w:pPr>
      <w:bookmarkStart w:id="346" w:name="_Toc351203642"/>
      <w:r>
        <w:rPr>
          <w:rFonts w:hint="eastAsia" w:asciiTheme="minorEastAsia" w:hAnsiTheme="minorEastAsia" w:eastAsiaTheme="minorEastAsia" w:cstheme="minorEastAsia"/>
          <w:b w:val="0"/>
          <w:bCs/>
          <w:color w:val="000000"/>
          <w:kern w:val="2"/>
          <w:sz w:val="24"/>
          <w:szCs w:val="24"/>
          <w:lang w:val="en-US" w:eastAsia="zh-CN" w:bidi="ar-SA"/>
        </w:rPr>
        <w:t>1</w:t>
      </w:r>
      <w:bookmarkEnd w:id="207"/>
      <w:bookmarkEnd w:id="208"/>
      <w:bookmarkEnd w:id="209"/>
      <w:bookmarkEnd w:id="210"/>
      <w:bookmarkEnd w:id="211"/>
      <w:bookmarkEnd w:id="212"/>
      <w:bookmarkEnd w:id="213"/>
      <w:bookmarkEnd w:id="214"/>
      <w:bookmarkEnd w:id="215"/>
      <w:bookmarkEnd w:id="216"/>
      <w:bookmarkEnd w:id="217"/>
      <w:bookmarkEnd w:id="218"/>
      <w:bookmarkStart w:id="347" w:name="_Toc300934989"/>
      <w:bookmarkStart w:id="348" w:name="_Toc296944532"/>
      <w:bookmarkStart w:id="349" w:name="_Toc297216199"/>
      <w:bookmarkStart w:id="350" w:name="_Toc297048379"/>
      <w:bookmarkStart w:id="351" w:name="_Toc297120493"/>
      <w:bookmarkStart w:id="352" w:name="_Toc296891021"/>
      <w:bookmarkStart w:id="353" w:name="_Toc296347192"/>
      <w:bookmarkStart w:id="354" w:name="_Toc297123540"/>
      <w:bookmarkStart w:id="355" w:name="_Toc292559398"/>
      <w:bookmarkStart w:id="356" w:name="_Toc304295566"/>
      <w:bookmarkStart w:id="357" w:name="_Toc296503193"/>
      <w:bookmarkStart w:id="358" w:name="_Toc296891233"/>
      <w:bookmarkStart w:id="359" w:name="_Toc296346694"/>
      <w:bookmarkStart w:id="360" w:name="_Toc292559903"/>
      <w:bookmarkStart w:id="361" w:name="_Toc303539146"/>
      <w:bookmarkStart w:id="362" w:name="_Toc312677499"/>
      <w:bookmarkStart w:id="363" w:name="_Toc312678025"/>
      <w:bookmarkStart w:id="364" w:name="_Toc267251439"/>
      <w:bookmarkStart w:id="365" w:name="_Toc267251441"/>
      <w:bookmarkStart w:id="366" w:name="_Toc267251433"/>
      <w:bookmarkStart w:id="367" w:name="_Toc267251440"/>
      <w:bookmarkStart w:id="368" w:name="_Toc267251437"/>
      <w:bookmarkStart w:id="369" w:name="_Toc267251435"/>
      <w:bookmarkStart w:id="370" w:name="_Toc267251442"/>
      <w:r>
        <w:rPr>
          <w:rFonts w:hint="eastAsia" w:asciiTheme="minorEastAsia" w:hAnsiTheme="minorEastAsia" w:eastAsiaTheme="minorEastAsia" w:cstheme="minorEastAsia"/>
          <w:b w:val="0"/>
          <w:bCs/>
          <w:color w:val="000000"/>
          <w:kern w:val="2"/>
          <w:sz w:val="24"/>
          <w:szCs w:val="24"/>
          <w:lang w:val="en-US" w:eastAsia="zh-CN" w:bidi="ar-SA"/>
        </w:rPr>
        <w:t>0. 变更</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bookmarkEnd w:id="362"/>
    <w:bookmarkEnd w:id="363"/>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w:t>
      </w:r>
      <w:bookmarkStart w:id="371" w:name="_Toc303539147"/>
      <w:bookmarkStart w:id="372" w:name="_Toc292559399"/>
      <w:bookmarkStart w:id="373" w:name="_Toc297123541"/>
      <w:bookmarkStart w:id="374" w:name="_Toc296891234"/>
      <w:bookmarkStart w:id="375" w:name="_Toc297048380"/>
      <w:bookmarkStart w:id="376" w:name="_Toc296891022"/>
      <w:bookmarkStart w:id="377" w:name="_Toc304295567"/>
      <w:bookmarkStart w:id="378" w:name="_Toc297216200"/>
      <w:bookmarkStart w:id="379" w:name="_Toc297120494"/>
      <w:bookmarkStart w:id="380" w:name="_Toc292559904"/>
      <w:bookmarkStart w:id="381" w:name="_Toc296346695"/>
      <w:bookmarkStart w:id="382" w:name="_Toc296503194"/>
      <w:bookmarkStart w:id="383" w:name="_Toc300934990"/>
      <w:bookmarkStart w:id="384" w:name="_Toc312678026"/>
      <w:bookmarkStart w:id="385" w:name="_Toc296944533"/>
      <w:bookmarkStart w:id="386" w:name="_Toc296347193"/>
      <w:bookmarkStart w:id="387" w:name="_Toc312677500"/>
      <w:r>
        <w:rPr>
          <w:rFonts w:hint="eastAsia" w:asciiTheme="minorEastAsia" w:hAnsiTheme="minorEastAsia" w:eastAsiaTheme="minorEastAsia" w:cstheme="minorEastAsia"/>
          <w:color w:val="000000"/>
          <w:kern w:val="2"/>
          <w:sz w:val="24"/>
          <w:szCs w:val="24"/>
          <w:lang w:val="en-US" w:bidi="ar-SA"/>
        </w:rPr>
        <w:t>0.1变更的范围</w:t>
      </w:r>
    </w:p>
    <w:p>
      <w:pPr>
        <w:pStyle w:val="46"/>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关于变更的范围的约定：</w:t>
      </w:r>
      <w:r>
        <w:rPr>
          <w:rFonts w:hint="eastAsia" w:asciiTheme="minorEastAsia" w:hAnsiTheme="minorEastAsia" w:eastAsiaTheme="minorEastAsia" w:cstheme="minorEastAsia"/>
          <w:color w:val="000000"/>
          <w:sz w:val="24"/>
          <w:szCs w:val="24"/>
          <w:u w:val="single"/>
        </w:rPr>
        <w:t xml:space="preserve"> </w:t>
      </w:r>
      <w:r>
        <w:rPr>
          <w:rStyle w:val="27"/>
          <w:rFonts w:hint="eastAsia" w:asciiTheme="minorEastAsia" w:hAnsiTheme="minorEastAsia" w:eastAsiaTheme="minorEastAsia" w:cstheme="minorEastAsia"/>
          <w:color w:val="000000"/>
          <w:sz w:val="24"/>
          <w:szCs w:val="24"/>
          <w:u w:val="single"/>
          <w:lang w:val="en-US" w:eastAsia="zh-CN"/>
        </w:rPr>
        <w:t>执行通用条款</w:t>
      </w:r>
      <w:r>
        <w:rPr>
          <w:rStyle w:val="27"/>
          <w:rFonts w:hint="eastAsia" w:asciiTheme="minorEastAsia" w:hAnsiTheme="minorEastAsia" w:eastAsiaTheme="minorEastAsia" w:cstheme="minorEastAsia"/>
          <w:color w:val="000000"/>
          <w:sz w:val="24"/>
          <w:szCs w:val="24"/>
          <w:u w:val="single"/>
        </w:rPr>
        <w:t xml:space="preserve">  </w:t>
      </w:r>
      <w:r>
        <w:rPr>
          <w:rStyle w:val="27"/>
          <w:rFonts w:hint="eastAsia" w:asciiTheme="minorEastAsia" w:hAnsiTheme="minorEastAsia" w:eastAsiaTheme="minorEastAsia" w:cstheme="minorEastAsia"/>
          <w:color w:val="000000"/>
          <w:sz w:val="24"/>
          <w:szCs w:val="24"/>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10.4 变更估价</w:t>
      </w:r>
    </w:p>
    <w:p>
      <w:pPr>
        <w:autoSpaceDE/>
        <w:autoSpaceDN/>
        <w:spacing w:line="360" w:lineRule="auto"/>
        <w:ind w:firstLine="480" w:firstLineChars="200"/>
        <w:jc w:val="left"/>
        <w:rPr>
          <w:rFonts w:hint="eastAsia" w:asciiTheme="minorEastAsia" w:hAnsiTheme="minorEastAsia" w:eastAsiaTheme="minorEastAsia" w:cstheme="minorEastAsia"/>
          <w:kern w:val="2"/>
          <w:sz w:val="24"/>
          <w:szCs w:val="24"/>
          <w:lang w:val="en-US" w:bidi="ar-SA"/>
        </w:rPr>
      </w:pPr>
      <w:r>
        <w:rPr>
          <w:rFonts w:hint="eastAsia" w:asciiTheme="minorEastAsia" w:hAnsiTheme="minorEastAsia" w:eastAsiaTheme="minorEastAsia" w:cstheme="minorEastAsia"/>
          <w:kern w:val="2"/>
          <w:sz w:val="24"/>
          <w:szCs w:val="24"/>
          <w:lang w:val="en-US" w:bidi="ar-SA"/>
        </w:rPr>
        <w:t>10.4.1 变更估价原则</w:t>
      </w:r>
    </w:p>
    <w:p>
      <w:pPr>
        <w:spacing w:line="360" w:lineRule="auto"/>
        <w:ind w:firstLine="480" w:firstLineChars="200"/>
        <w:jc w:val="left"/>
        <w:rPr>
          <w:rFonts w:hint="eastAsia" w:asciiTheme="minorEastAsia" w:hAnsiTheme="minorEastAsia" w:eastAsiaTheme="minorEastAsia" w:cstheme="minorEastAsia"/>
          <w:b w:val="0"/>
          <w:bCs/>
          <w:kern w:val="0"/>
          <w:sz w:val="24"/>
          <w:szCs w:val="24"/>
          <w:u w:val="single"/>
        </w:rPr>
      </w:pPr>
      <w:r>
        <w:rPr>
          <w:rFonts w:hint="eastAsia" w:asciiTheme="minorEastAsia" w:hAnsiTheme="minorEastAsia" w:eastAsiaTheme="minorEastAsia" w:cstheme="minorEastAsia"/>
          <w:color w:val="000000"/>
          <w:sz w:val="24"/>
          <w:szCs w:val="24"/>
        </w:rPr>
        <w:t>关于变更估价的约定:</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hint="eastAsia" w:ascii="方正仿宋_GBK" w:hAnsi="方正仿宋_GBK" w:eastAsia="方正仿宋_GBK" w:cs="方正仿宋_GBK"/>
          <w:b/>
          <w:kern w:val="0"/>
          <w:sz w:val="24"/>
          <w:szCs w:val="24"/>
          <w:u w:val="single"/>
        </w:rPr>
        <w:t>一</w:t>
      </w:r>
      <w:r>
        <w:rPr>
          <w:rFonts w:hint="eastAsia" w:asciiTheme="minorEastAsia" w:hAnsiTheme="minorEastAsia" w:eastAsiaTheme="minorEastAsia" w:cstheme="minorEastAsia"/>
          <w:b w:val="0"/>
          <w:bCs/>
          <w:kern w:val="0"/>
          <w:sz w:val="24"/>
          <w:szCs w:val="24"/>
          <w:u w:val="single"/>
        </w:rPr>
        <w:t>.变更工程量按照《市政工程工程量计算规范》（GB50857-2013）、《建设工程工程量清单计价规范》（GB50500-2013）计算规则计算。</w:t>
      </w:r>
    </w:p>
    <w:p>
      <w:pPr>
        <w:spacing w:line="360" w:lineRule="auto"/>
        <w:ind w:firstLine="480" w:firstLineChars="200"/>
        <w:jc w:val="left"/>
        <w:rPr>
          <w:rFonts w:hint="eastAsia" w:asciiTheme="minorEastAsia" w:hAnsiTheme="minorEastAsia" w:eastAsiaTheme="minorEastAsia" w:cstheme="minorEastAsia"/>
          <w:b w:val="0"/>
          <w:bCs/>
          <w:kern w:val="0"/>
          <w:sz w:val="24"/>
          <w:szCs w:val="24"/>
          <w:u w:val="single"/>
        </w:rPr>
      </w:pPr>
      <w:r>
        <w:rPr>
          <w:rFonts w:hint="eastAsia" w:asciiTheme="minorEastAsia" w:hAnsiTheme="minorEastAsia" w:eastAsiaTheme="minorEastAsia" w:cstheme="minorEastAsia"/>
          <w:b w:val="0"/>
          <w:bCs/>
          <w:kern w:val="0"/>
          <w:sz w:val="24"/>
          <w:szCs w:val="24"/>
          <w:u w:val="single"/>
        </w:rPr>
        <w:t>二.变更签证项目综合单价：</w:t>
      </w:r>
    </w:p>
    <w:p>
      <w:pPr>
        <w:spacing w:line="360" w:lineRule="auto"/>
        <w:ind w:firstLine="480" w:firstLineChars="200"/>
        <w:jc w:val="left"/>
        <w:rPr>
          <w:rFonts w:hint="eastAsia" w:asciiTheme="minorEastAsia" w:hAnsiTheme="minorEastAsia" w:eastAsiaTheme="minorEastAsia" w:cstheme="minorEastAsia"/>
          <w:b w:val="0"/>
          <w:bCs/>
          <w:kern w:val="0"/>
          <w:sz w:val="24"/>
          <w:szCs w:val="24"/>
          <w:u w:val="single"/>
        </w:rPr>
      </w:pPr>
      <w:r>
        <w:rPr>
          <w:rFonts w:hint="eastAsia" w:asciiTheme="minorEastAsia" w:hAnsiTheme="minorEastAsia" w:eastAsiaTheme="minorEastAsia" w:cstheme="minorEastAsia"/>
          <w:b w:val="0"/>
          <w:bCs/>
          <w:kern w:val="0"/>
          <w:sz w:val="24"/>
          <w:szCs w:val="24"/>
          <w:u w:val="single"/>
        </w:rPr>
        <w:t>1、已标价工程量清单中有相同项目的且变更工程量在原相同清单项工程量±15%（含15%）以内的，按相同项目综合单价执行。（施工合同的单项工程已标价工程量清单中相同项目投标报价的综合单价不同时按投标报价最低的执行）</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u w:val="single"/>
        </w:rPr>
      </w:pPr>
      <w:r>
        <w:rPr>
          <w:rFonts w:hint="eastAsia" w:asciiTheme="minorEastAsia" w:hAnsiTheme="minorEastAsia" w:eastAsiaTheme="minorEastAsia" w:cstheme="minorEastAsia"/>
          <w:b w:val="0"/>
          <w:bCs/>
          <w:kern w:val="0"/>
          <w:sz w:val="24"/>
          <w:szCs w:val="24"/>
          <w:u w:val="single"/>
        </w:rPr>
        <w:t>2、有类似项目的且变更量在原类似清单项工程量±15%（含15%）以内的，按类似项目综合单价执行。（施工合同的单项工程已标价工程量清单中相同项目投标报价的综合单价</w:t>
      </w:r>
      <w:r>
        <w:rPr>
          <w:rFonts w:hint="eastAsia" w:asciiTheme="minorEastAsia" w:hAnsiTheme="minorEastAsia" w:eastAsiaTheme="minorEastAsia" w:cstheme="minorEastAsia"/>
          <w:b w:val="0"/>
          <w:bCs/>
          <w:color w:val="auto"/>
          <w:kern w:val="0"/>
          <w:sz w:val="24"/>
          <w:szCs w:val="24"/>
          <w:u w:val="single"/>
        </w:rPr>
        <w:t>不同时按投标报价最低的执行）</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u w:val="single"/>
        </w:rPr>
      </w:pPr>
      <w:r>
        <w:rPr>
          <w:rFonts w:hint="eastAsia" w:asciiTheme="minorEastAsia" w:hAnsiTheme="minorEastAsia" w:eastAsiaTheme="minorEastAsia" w:cstheme="minorEastAsia"/>
          <w:b w:val="0"/>
          <w:bCs/>
          <w:color w:val="auto"/>
          <w:kern w:val="0"/>
          <w:sz w:val="24"/>
          <w:szCs w:val="24"/>
          <w:u w:val="single"/>
        </w:rPr>
        <w:t>3、1）有相同或类似项目工程变更等原因导致工程量偏差超过±15%时，且承包人投标的已标价工程量清单综合单价与招标控制价的综合单价偏差在±15%（含15%）范围内。应对增加部分工程量按承包人投标的已标价工程量清单综合单价调低10%；应对减少后剩余部分的工程量按承包人投标的已标价工程量清单综合单价调高10%。</w:t>
      </w:r>
    </w:p>
    <w:p>
      <w:pPr>
        <w:spacing w:line="360" w:lineRule="auto"/>
        <w:ind w:firstLine="480" w:firstLineChars="200"/>
        <w:jc w:val="left"/>
        <w:rPr>
          <w:rFonts w:hint="eastAsia" w:asciiTheme="minorEastAsia" w:hAnsiTheme="minorEastAsia" w:eastAsiaTheme="minorEastAsia" w:cstheme="minorEastAsia"/>
          <w:b w:val="0"/>
          <w:bCs/>
          <w:kern w:val="0"/>
          <w:sz w:val="24"/>
          <w:szCs w:val="24"/>
          <w:u w:val="single"/>
        </w:rPr>
      </w:pPr>
      <w:r>
        <w:rPr>
          <w:rFonts w:hint="eastAsia" w:asciiTheme="minorEastAsia" w:hAnsiTheme="minorEastAsia" w:eastAsiaTheme="minorEastAsia" w:cstheme="minorEastAsia"/>
          <w:b w:val="0"/>
          <w:bCs/>
          <w:kern w:val="0"/>
          <w:sz w:val="24"/>
          <w:szCs w:val="24"/>
          <w:u w:val="single"/>
        </w:rPr>
        <w:t>2）有相同或类似项目工程变更等原因导致工程量偏差超过±15%时，承包人投标的已标价工程量清单综合单价（</w:t>
      </w:r>
      <w:r>
        <w:rPr>
          <w:rFonts w:hint="eastAsia" w:asciiTheme="minorEastAsia" w:hAnsiTheme="minorEastAsia" w:eastAsiaTheme="minorEastAsia" w:cstheme="minorEastAsia"/>
          <w:b w:val="0"/>
          <w:bCs/>
          <w:kern w:val="0"/>
          <w:sz w:val="24"/>
          <w:szCs w:val="24"/>
          <w:u w:val="single"/>
          <w:lang w:eastAsia="zh-CN"/>
        </w:rPr>
        <w:t>分部分项</w:t>
      </w:r>
      <w:r>
        <w:rPr>
          <w:rFonts w:hint="eastAsia" w:asciiTheme="minorEastAsia" w:hAnsiTheme="minorEastAsia" w:eastAsiaTheme="minorEastAsia" w:cstheme="minorEastAsia"/>
          <w:b w:val="0"/>
          <w:bCs/>
          <w:kern w:val="0"/>
          <w:sz w:val="24"/>
          <w:szCs w:val="24"/>
          <w:u w:val="single"/>
        </w:rPr>
        <w:t>清单项中主要材料及设备）超过招标控制价的综合单价（</w:t>
      </w:r>
      <w:r>
        <w:rPr>
          <w:rFonts w:hint="eastAsia" w:asciiTheme="minorEastAsia" w:hAnsiTheme="minorEastAsia" w:eastAsiaTheme="minorEastAsia" w:cstheme="minorEastAsia"/>
          <w:b w:val="0"/>
          <w:bCs/>
          <w:kern w:val="0"/>
          <w:sz w:val="24"/>
          <w:szCs w:val="24"/>
          <w:u w:val="single"/>
          <w:lang w:eastAsia="zh-CN"/>
        </w:rPr>
        <w:t>分部分项</w:t>
      </w:r>
      <w:r>
        <w:rPr>
          <w:rFonts w:hint="eastAsia" w:asciiTheme="minorEastAsia" w:hAnsiTheme="minorEastAsia" w:eastAsiaTheme="minorEastAsia" w:cstheme="minorEastAsia"/>
          <w:b w:val="0"/>
          <w:bCs/>
          <w:kern w:val="0"/>
          <w:sz w:val="24"/>
          <w:szCs w:val="24"/>
          <w:u w:val="single"/>
        </w:rPr>
        <w:t>清单项中主要材料及设备）±15%时，按照《2013建设工程工程量清单计价规范辅导》9.6 条执行。</w:t>
      </w:r>
    </w:p>
    <w:p>
      <w:pPr>
        <w:spacing w:line="360" w:lineRule="auto"/>
        <w:ind w:firstLine="480" w:firstLineChars="200"/>
        <w:jc w:val="left"/>
        <w:rPr>
          <w:rFonts w:hint="eastAsia" w:asciiTheme="minorEastAsia" w:hAnsiTheme="minorEastAsia" w:eastAsiaTheme="minorEastAsia" w:cstheme="minorEastAsia"/>
          <w:b w:val="0"/>
          <w:bCs/>
          <w:kern w:val="0"/>
          <w:sz w:val="24"/>
          <w:szCs w:val="24"/>
          <w:u w:val="single"/>
        </w:rPr>
      </w:pPr>
      <w:r>
        <w:rPr>
          <w:rFonts w:hint="eastAsia" w:asciiTheme="minorEastAsia" w:hAnsiTheme="minorEastAsia" w:eastAsiaTheme="minorEastAsia" w:cstheme="minorEastAsia"/>
          <w:b w:val="0"/>
          <w:bCs/>
          <w:kern w:val="0"/>
          <w:sz w:val="24"/>
          <w:szCs w:val="24"/>
          <w:u w:val="single"/>
        </w:rPr>
        <w:t>4、未实施的清单项目或某条清单项中主要材料及设备变更时，承包人投标综合单价低于招标控制价综合单价偏差超过15%，核减按照《2013建设工程工程量清单计价规范辅导》9.6 条执行。承包人投标综合单价高于招标控制价综合单价偏差超过15%，核减按承包人投标综合单价予以调减，承包人已标价的同一工程量清单项目的综合单价有不同报价时，核减按已标价工程量清单综合单价最高的原则调减。</w:t>
      </w:r>
    </w:p>
    <w:p>
      <w:pPr>
        <w:spacing w:line="360" w:lineRule="auto"/>
        <w:ind w:firstLine="480" w:firstLineChars="200"/>
        <w:jc w:val="left"/>
        <w:rPr>
          <w:rFonts w:hint="eastAsia" w:asciiTheme="minorEastAsia" w:hAnsiTheme="minorEastAsia" w:eastAsiaTheme="minorEastAsia" w:cstheme="minorEastAsia"/>
          <w:b w:val="0"/>
          <w:bCs/>
          <w:kern w:val="0"/>
          <w:sz w:val="24"/>
          <w:szCs w:val="24"/>
          <w:u w:val="single"/>
        </w:rPr>
      </w:pPr>
      <w:r>
        <w:rPr>
          <w:rFonts w:hint="eastAsia" w:asciiTheme="minorEastAsia" w:hAnsiTheme="minorEastAsia" w:eastAsiaTheme="minorEastAsia" w:cstheme="minorEastAsia"/>
          <w:b w:val="0"/>
          <w:bCs/>
          <w:kern w:val="0"/>
          <w:sz w:val="24"/>
          <w:szCs w:val="24"/>
          <w:u w:val="single"/>
        </w:rPr>
        <w:t>5、没有相同或类似项目的，按第三条新增变更、签证项目计价办法执行。</w:t>
      </w:r>
    </w:p>
    <w:p>
      <w:pPr>
        <w:spacing w:line="360" w:lineRule="auto"/>
        <w:ind w:firstLine="480" w:firstLineChars="200"/>
        <w:jc w:val="left"/>
        <w:rPr>
          <w:rFonts w:hint="eastAsia" w:asciiTheme="minorEastAsia" w:hAnsiTheme="minorEastAsia" w:eastAsiaTheme="minorEastAsia" w:cstheme="minorEastAsia"/>
          <w:b w:val="0"/>
          <w:bCs/>
          <w:kern w:val="0"/>
          <w:sz w:val="24"/>
          <w:szCs w:val="24"/>
          <w:u w:val="single"/>
        </w:rPr>
      </w:pPr>
      <w:r>
        <w:rPr>
          <w:rFonts w:hint="eastAsia" w:asciiTheme="minorEastAsia" w:hAnsiTheme="minorEastAsia" w:eastAsiaTheme="minorEastAsia" w:cstheme="minorEastAsia"/>
          <w:b w:val="0"/>
          <w:bCs/>
          <w:kern w:val="0"/>
          <w:sz w:val="24"/>
          <w:szCs w:val="24"/>
          <w:u w:val="single"/>
        </w:rPr>
        <w:t>6、偏差=（1-投标报价的综合单价（某条清单项中主要材料及设备）/招标控制价综合单价（某条清单项中主要材料及设备））×100%</w:t>
      </w:r>
    </w:p>
    <w:p>
      <w:pPr>
        <w:spacing w:line="360" w:lineRule="auto"/>
        <w:ind w:firstLine="480" w:firstLineChars="200"/>
        <w:jc w:val="left"/>
        <w:rPr>
          <w:rFonts w:hint="eastAsia" w:asciiTheme="minorEastAsia" w:hAnsiTheme="minorEastAsia" w:eastAsiaTheme="minorEastAsia" w:cstheme="minorEastAsia"/>
          <w:b w:val="0"/>
          <w:bCs/>
          <w:kern w:val="0"/>
          <w:sz w:val="24"/>
          <w:szCs w:val="24"/>
          <w:u w:val="single"/>
        </w:rPr>
      </w:pPr>
      <w:r>
        <w:rPr>
          <w:rFonts w:hint="eastAsia" w:asciiTheme="minorEastAsia" w:hAnsiTheme="minorEastAsia" w:eastAsiaTheme="minorEastAsia" w:cstheme="minorEastAsia"/>
          <w:b w:val="0"/>
          <w:bCs/>
          <w:kern w:val="0"/>
          <w:sz w:val="24"/>
          <w:szCs w:val="24"/>
          <w:u w:val="single"/>
        </w:rPr>
        <w:t>三．新增变更、签证项目综合单价计价办法：</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kern w:val="0"/>
          <w:sz w:val="24"/>
          <w:szCs w:val="24"/>
          <w:u w:val="single"/>
        </w:rPr>
        <w:t>1、变更、签证、单价措施项目按照投标截止期国家、地区现行颁布的工程预算定额、单位工程估价表及配套费用文按照下浮比例L=（1-中标价/招标控制价）×100%予以调减计算。</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2、取费标准：本工程按照新疆园林绿化工程费用定额（2014）、</w:t>
      </w:r>
      <w:r>
        <w:rPr>
          <w:rFonts w:hint="eastAsia" w:asciiTheme="minorEastAsia" w:hAnsiTheme="minorEastAsia" w:eastAsiaTheme="minorEastAsia" w:cstheme="minorEastAsia"/>
          <w:b w:val="0"/>
          <w:bCs/>
          <w:color w:val="auto"/>
          <w:kern w:val="0"/>
          <w:sz w:val="24"/>
          <w:szCs w:val="24"/>
          <w:highlight w:val="none"/>
          <w:u w:val="single"/>
          <w:lang w:val="en-US" w:eastAsia="zh-CN"/>
        </w:rPr>
        <w:t>2020版新疆维吾尔自治区建筑、安装、市政工程费用定额等规定取费</w:t>
      </w:r>
      <w:r>
        <w:rPr>
          <w:rFonts w:hint="eastAsia" w:asciiTheme="minorEastAsia" w:hAnsiTheme="minorEastAsia" w:eastAsiaTheme="minorEastAsia" w:cstheme="minorEastAsia"/>
          <w:b w:val="0"/>
          <w:bCs/>
          <w:color w:val="auto"/>
          <w:kern w:val="0"/>
          <w:sz w:val="24"/>
          <w:szCs w:val="24"/>
          <w:highlight w:val="none"/>
          <w:u w:val="single"/>
        </w:rPr>
        <w:t>。管理费、利润计取按费用文件中限费率确定。</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3、人工费：人工工日单价按照变更签发同期工程造价主管部门发布的乌鲁木齐地区建筑工程价格信息中的人工费执行。</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4、材料费、机械费：</w:t>
      </w:r>
    </w:p>
    <w:p>
      <w:pPr>
        <w:spacing w:line="360" w:lineRule="auto"/>
        <w:ind w:firstLine="480" w:firstLineChars="200"/>
        <w:jc w:val="left"/>
        <w:rPr>
          <w:rFonts w:hint="eastAsia" w:asciiTheme="minorEastAsia" w:hAnsiTheme="minorEastAsia" w:eastAsiaTheme="minorEastAsia" w:cstheme="minorEastAsia"/>
          <w:b w:val="0"/>
          <w:bCs/>
          <w:kern w:val="0"/>
          <w:sz w:val="24"/>
          <w:szCs w:val="24"/>
          <w:u w:val="single"/>
        </w:rPr>
      </w:pPr>
      <w:r>
        <w:rPr>
          <w:rFonts w:hint="eastAsia" w:asciiTheme="minorEastAsia" w:hAnsiTheme="minorEastAsia" w:eastAsiaTheme="minorEastAsia" w:cstheme="minorEastAsia"/>
          <w:b w:val="0"/>
          <w:bCs/>
          <w:color w:val="auto"/>
          <w:kern w:val="0"/>
          <w:sz w:val="24"/>
          <w:szCs w:val="24"/>
          <w:highlight w:val="none"/>
          <w:u w:val="single"/>
        </w:rPr>
        <w:t>1）某项材料、机械价格存在于承包人的投标经济标中时，该项材料报价低于乌鲁木齐地区建筑工程综合价格信息文件时则采用承包人投标的价格，该项材料报</w:t>
      </w:r>
      <w:r>
        <w:rPr>
          <w:rFonts w:hint="eastAsia" w:asciiTheme="minorEastAsia" w:hAnsiTheme="minorEastAsia" w:eastAsiaTheme="minorEastAsia" w:cstheme="minorEastAsia"/>
          <w:b w:val="0"/>
          <w:bCs/>
          <w:kern w:val="0"/>
          <w:sz w:val="24"/>
          <w:szCs w:val="24"/>
          <w:u w:val="single"/>
        </w:rPr>
        <w:t>价高于乌鲁木齐地区建筑工程综合价格信息文件时则采用乌鲁木齐地区建筑工程综合价格信息文件的价格；当同一材料投标价格有不同的报价时，取材料、机械报价最低的原则计入。</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u w:val="single"/>
        </w:rPr>
      </w:pPr>
      <w:r>
        <w:rPr>
          <w:rFonts w:hint="eastAsia" w:asciiTheme="minorEastAsia" w:hAnsiTheme="minorEastAsia" w:eastAsiaTheme="minorEastAsia" w:cstheme="minorEastAsia"/>
          <w:b w:val="0"/>
          <w:bCs/>
          <w:kern w:val="0"/>
          <w:sz w:val="24"/>
          <w:szCs w:val="24"/>
          <w:u w:val="single"/>
        </w:rPr>
        <w:t>2）某项材料、机械价格不存在承包人的投标经济标中时，依据变更签证实施期同期发布的乌鲁木齐地区建筑工程综合价格信息中的价格</w:t>
      </w:r>
      <w:r>
        <w:rPr>
          <w:rFonts w:hint="eastAsia" w:asciiTheme="minorEastAsia" w:hAnsiTheme="minorEastAsia" w:eastAsiaTheme="minorEastAsia" w:cstheme="minorEastAsia"/>
          <w:b w:val="0"/>
          <w:bCs/>
          <w:color w:val="auto"/>
          <w:kern w:val="0"/>
          <w:sz w:val="24"/>
          <w:szCs w:val="24"/>
          <w:u w:val="single"/>
        </w:rPr>
        <w:t>计算；工程造价主管部门发布的乌鲁木齐地区建筑工程综合价格信息表中没有的材料、机械。由承包人将材料、机械详细的技术参数及采购数量、单价在采购前上报发包人，经发包人审核后，由发包人、监理单位、承包人共同进行市场询价，最终按有效询价结果与同期类似项目相同材料、机械价格（若有）进行综合对比后确定材料、机械单价，作为工程结算时调整合同价格的依据。若承包人在施工期时未将采购的材料、机械的数量和价格报经发包人进行市场询价定价履行价格的确认程序即自行采购的材料、机械，工程结算时材料、机械单价调增时未经发包人确认材料、机械的价格发包人有权不予调整，视认为承包人放弃调整合同价款的权利，再不得以任何原因为由要求发包人调整价格。材料、机械数量和价格调减时未报发包人确认的，减少费用部分以发包人确认的价格予以调减，并据此将调减费用计入工程结算金额。</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10.4.2关于变更的估价程序：</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u w:val="single"/>
        </w:rPr>
      </w:pPr>
      <w:r>
        <w:rPr>
          <w:rFonts w:hint="eastAsia" w:asciiTheme="minorEastAsia" w:hAnsiTheme="minorEastAsia" w:eastAsiaTheme="minorEastAsia" w:cstheme="minorEastAsia"/>
          <w:b w:val="0"/>
          <w:bCs/>
          <w:color w:val="auto"/>
          <w:kern w:val="0"/>
          <w:sz w:val="24"/>
          <w:szCs w:val="24"/>
          <w:u w:val="single"/>
        </w:rPr>
        <w:t>1.执行通用条款</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u w:val="single"/>
        </w:rPr>
      </w:pPr>
      <w:r>
        <w:rPr>
          <w:rFonts w:hint="eastAsia" w:asciiTheme="minorEastAsia" w:hAnsiTheme="minorEastAsia" w:eastAsiaTheme="minorEastAsia" w:cstheme="minorEastAsia"/>
          <w:b w:val="0"/>
          <w:bCs/>
          <w:color w:val="auto"/>
          <w:kern w:val="0"/>
          <w:sz w:val="24"/>
          <w:szCs w:val="24"/>
          <w:u w:val="single"/>
        </w:rPr>
        <w:t>2.在合同履行期间承包人不得以任何理由拒绝完成与本工程有关的新增、变更增加、工程量偏差增加的分部分项工程清单项目的工作内容。</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u w:val="single"/>
        </w:rPr>
      </w:pPr>
      <w:r>
        <w:rPr>
          <w:rFonts w:hint="eastAsia" w:asciiTheme="minorEastAsia" w:hAnsiTheme="minorEastAsia" w:eastAsiaTheme="minorEastAsia" w:cstheme="minorEastAsia"/>
          <w:b w:val="0"/>
          <w:bCs/>
          <w:color w:val="auto"/>
          <w:kern w:val="0"/>
          <w:sz w:val="24"/>
          <w:szCs w:val="24"/>
          <w:u w:val="single"/>
        </w:rPr>
        <w:t>3.承包人在收到发包人的变更指示或变更意向书后，须在14天内向发包人提交变更报价书及相关的资料，因承包人原因逾期未能在规定的时间上报，视为工程变更不引起工程造价的调整或承包人放弃调整工程造价的权利,增加费用部分发包人有权不予调增合同价格，减少费用部分则以发包人确认的价格予以调减。</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u w:val="single"/>
        </w:rPr>
      </w:pPr>
      <w:r>
        <w:rPr>
          <w:rFonts w:hint="eastAsia" w:asciiTheme="minorEastAsia" w:hAnsiTheme="minorEastAsia" w:eastAsiaTheme="minorEastAsia" w:cstheme="minorEastAsia"/>
          <w:b w:val="0"/>
          <w:bCs/>
          <w:color w:val="auto"/>
          <w:kern w:val="0"/>
          <w:sz w:val="24"/>
          <w:szCs w:val="24"/>
          <w:u w:val="single"/>
        </w:rPr>
        <w:t>4.设计变更、经济签证按乌经开政办发【2017】32号关于印发《经开区（头屯河区）管委会（区政府）投资建设项目管理办法的通知》、乌经开党办财发【2019】1号关于印发《区委财经委员会工作规则》《区委财经委员会办公室工作规则》《区委财经委员会工作流程》规定的变更流程办理。</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10.4.3 变更估价的支付方式及时间</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关于变更价款的支付方式及时间的约定：</w:t>
      </w:r>
      <w:r>
        <w:rPr>
          <w:rFonts w:hint="eastAsia" w:asciiTheme="minorEastAsia" w:hAnsiTheme="minorEastAsia" w:eastAsiaTheme="minorEastAsia" w:cstheme="minorEastAsia"/>
          <w:b w:val="0"/>
          <w:bCs/>
          <w:color w:val="auto"/>
          <w:kern w:val="0"/>
          <w:sz w:val="24"/>
          <w:szCs w:val="24"/>
          <w:u w:val="single"/>
        </w:rPr>
        <w:t xml:space="preserve"> 工程结算后据实支付 </w:t>
      </w:r>
      <w:r>
        <w:rPr>
          <w:rFonts w:hint="eastAsia" w:asciiTheme="minorEastAsia" w:hAnsiTheme="minorEastAsia" w:eastAsiaTheme="minorEastAsia" w:cstheme="minorEastAsia"/>
          <w:b w:val="0"/>
          <w:bCs/>
          <w:color w:val="auto"/>
          <w:kern w:val="0"/>
          <w:sz w:val="24"/>
          <w:szCs w:val="24"/>
        </w:rPr>
        <w:t>。</w:t>
      </w:r>
    </w:p>
    <w:p>
      <w:pPr>
        <w:spacing w:line="360" w:lineRule="auto"/>
        <w:ind w:firstLine="480" w:firstLineChars="200"/>
        <w:outlineLvl w:val="2"/>
        <w:rPr>
          <w:rFonts w:hint="eastAsia" w:asciiTheme="minorEastAsia" w:hAnsiTheme="minorEastAsia" w:eastAsiaTheme="minorEastAsia" w:cstheme="minorEastAsia"/>
          <w:b w:val="0"/>
          <w:bCs/>
          <w:color w:val="000000"/>
          <w:kern w:val="0"/>
          <w:sz w:val="24"/>
          <w:szCs w:val="24"/>
        </w:rPr>
      </w:pPr>
      <w:bookmarkStart w:id="388" w:name="_Toc2102284973"/>
      <w:bookmarkStart w:id="389" w:name="_Toc900110438"/>
      <w:r>
        <w:rPr>
          <w:rFonts w:hint="eastAsia" w:asciiTheme="minorEastAsia" w:hAnsiTheme="minorEastAsia" w:eastAsiaTheme="minorEastAsia" w:cstheme="minorEastAsia"/>
          <w:b w:val="0"/>
          <w:bCs/>
          <w:color w:val="000000"/>
          <w:kern w:val="0"/>
          <w:sz w:val="24"/>
          <w:szCs w:val="24"/>
        </w:rPr>
        <w:t>1</w:t>
      </w:r>
      <w:bookmarkStart w:id="390" w:name="_Toc296347196"/>
      <w:bookmarkStart w:id="391" w:name="_Toc297048383"/>
      <w:bookmarkStart w:id="392" w:name="_Toc297120497"/>
      <w:bookmarkStart w:id="393" w:name="_Toc300934993"/>
      <w:bookmarkStart w:id="394" w:name="_Toc296891025"/>
      <w:bookmarkStart w:id="395" w:name="_Toc296346698"/>
      <w:bookmarkStart w:id="396" w:name="_Toc303539150"/>
      <w:bookmarkStart w:id="397" w:name="_Toc292559907"/>
      <w:bookmarkStart w:id="398" w:name="_Toc292559402"/>
      <w:bookmarkStart w:id="399" w:name="_Toc296891237"/>
      <w:bookmarkStart w:id="400" w:name="_Toc297123544"/>
      <w:bookmarkStart w:id="401" w:name="_Toc297216203"/>
      <w:bookmarkStart w:id="402" w:name="_Toc296944536"/>
      <w:bookmarkStart w:id="403" w:name="_Toc296503197"/>
      <w:bookmarkStart w:id="404" w:name="_Toc304295570"/>
      <w:bookmarkStart w:id="405" w:name="_Toc312678029"/>
      <w:bookmarkStart w:id="406" w:name="_Toc312677503"/>
      <w:r>
        <w:rPr>
          <w:rFonts w:hint="eastAsia" w:asciiTheme="minorEastAsia" w:hAnsiTheme="minorEastAsia" w:eastAsiaTheme="minorEastAsia" w:cstheme="minorEastAsia"/>
          <w:b w:val="0"/>
          <w:bCs/>
          <w:color w:val="000000"/>
          <w:kern w:val="0"/>
          <w:sz w:val="24"/>
          <w:szCs w:val="24"/>
        </w:rPr>
        <w:t>0.5 承</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Start w:id="407" w:name="_Toc292559408"/>
      <w:bookmarkStart w:id="408" w:name="_Toc296891031"/>
      <w:bookmarkStart w:id="409" w:name="_Toc300934994"/>
      <w:bookmarkStart w:id="410" w:name="_Toc296891243"/>
      <w:bookmarkStart w:id="411" w:name="_Toc297123545"/>
      <w:bookmarkStart w:id="412" w:name="_Toc303539151"/>
      <w:bookmarkStart w:id="413" w:name="_Toc297216204"/>
      <w:bookmarkStart w:id="414" w:name="_Toc292559913"/>
      <w:bookmarkStart w:id="415" w:name="_Toc296503203"/>
      <w:bookmarkStart w:id="416" w:name="_Toc296346704"/>
      <w:bookmarkStart w:id="417" w:name="_Toc296347202"/>
      <w:bookmarkStart w:id="418" w:name="_Toc297120503"/>
      <w:bookmarkStart w:id="419" w:name="_Toc297048389"/>
      <w:bookmarkStart w:id="420" w:name="_Toc296944542"/>
      <w:r>
        <w:rPr>
          <w:rFonts w:hint="eastAsia" w:asciiTheme="minorEastAsia" w:hAnsiTheme="minorEastAsia" w:eastAsiaTheme="minorEastAsia" w:cstheme="minorEastAsia"/>
          <w:b w:val="0"/>
          <w:bCs/>
          <w:color w:val="000000"/>
          <w:kern w:val="0"/>
          <w:sz w:val="24"/>
          <w:szCs w:val="24"/>
        </w:rPr>
        <w:t>包人的合理化建议</w:t>
      </w:r>
      <w:bookmarkEnd w:id="388"/>
      <w:bookmarkEnd w:id="389"/>
    </w:p>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Pr>
        <w:spacing w:line="360" w:lineRule="auto"/>
        <w:ind w:firstLine="480" w:firstLineChars="200"/>
        <w:jc w:val="left"/>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监理人审查承包人合理化建议的期限：</w:t>
      </w:r>
      <w:r>
        <w:rPr>
          <w:rFonts w:hint="eastAsia" w:asciiTheme="minorEastAsia" w:hAnsiTheme="minorEastAsia" w:eastAsiaTheme="minorEastAsia" w:cstheme="minorEastAsia"/>
          <w:b w:val="0"/>
          <w:bCs/>
          <w:kern w:val="0"/>
          <w:sz w:val="24"/>
          <w:szCs w:val="24"/>
          <w:u w:val="single"/>
        </w:rPr>
        <w:t>7天</w:t>
      </w:r>
      <w:r>
        <w:rPr>
          <w:rFonts w:hint="eastAsia" w:asciiTheme="minorEastAsia" w:hAnsiTheme="minorEastAsia" w:eastAsiaTheme="minorEastAsia" w:cstheme="minorEastAsia"/>
          <w:b w:val="0"/>
          <w:bCs/>
          <w:kern w:val="0"/>
          <w:sz w:val="24"/>
          <w:szCs w:val="24"/>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kern w:val="0"/>
          <w:sz w:val="24"/>
          <w:szCs w:val="24"/>
        </w:rPr>
        <w:t>发包</w:t>
      </w:r>
      <w:r>
        <w:rPr>
          <w:rFonts w:hint="eastAsia" w:asciiTheme="minorEastAsia" w:hAnsiTheme="minorEastAsia" w:eastAsiaTheme="minorEastAsia" w:cstheme="minorEastAsia"/>
          <w:b w:val="0"/>
          <w:bCs/>
          <w:color w:val="auto"/>
          <w:kern w:val="0"/>
          <w:sz w:val="24"/>
          <w:szCs w:val="24"/>
          <w:highlight w:val="none"/>
        </w:rPr>
        <w:t>人审批承包人合理化建议的期限：</w:t>
      </w:r>
      <w:r>
        <w:rPr>
          <w:rFonts w:hint="eastAsia" w:asciiTheme="minorEastAsia" w:hAnsiTheme="minorEastAsia" w:eastAsiaTheme="minorEastAsia" w:cstheme="minorEastAsia"/>
          <w:b w:val="0"/>
          <w:bCs/>
          <w:color w:val="auto"/>
          <w:kern w:val="0"/>
          <w:sz w:val="24"/>
          <w:szCs w:val="24"/>
          <w:highlight w:val="none"/>
          <w:u w:val="single"/>
        </w:rPr>
        <w:t>7天</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承</w:t>
      </w:r>
      <w:bookmarkStart w:id="421" w:name="_Toc292559914"/>
      <w:bookmarkStart w:id="422" w:name="_Toc312678030"/>
      <w:bookmarkStart w:id="423" w:name="_Toc304295571"/>
      <w:bookmarkStart w:id="424" w:name="_Toc296891032"/>
      <w:bookmarkStart w:id="425" w:name="_Toc292559409"/>
      <w:bookmarkStart w:id="426" w:name="_Toc297120504"/>
      <w:bookmarkStart w:id="427" w:name="_Toc300934995"/>
      <w:bookmarkStart w:id="428" w:name="_Toc318581175"/>
      <w:bookmarkStart w:id="429" w:name="_Toc303539152"/>
      <w:bookmarkStart w:id="430" w:name="_Toc296346705"/>
      <w:bookmarkStart w:id="431" w:name="_Toc297216205"/>
      <w:bookmarkStart w:id="432" w:name="_Toc296944543"/>
      <w:bookmarkStart w:id="433" w:name="_Toc296891244"/>
      <w:bookmarkStart w:id="434" w:name="_Toc296347203"/>
      <w:bookmarkStart w:id="435" w:name="_Toc312677504"/>
      <w:bookmarkStart w:id="436" w:name="_Toc297048390"/>
      <w:bookmarkStart w:id="437" w:name="_Toc297123546"/>
      <w:bookmarkStart w:id="438" w:name="_Toc296503204"/>
      <w:r>
        <w:rPr>
          <w:rFonts w:hint="eastAsia" w:asciiTheme="minorEastAsia" w:hAnsiTheme="minorEastAsia" w:eastAsiaTheme="minorEastAsia" w:cstheme="minorEastAsia"/>
          <w:b w:val="0"/>
          <w:bCs/>
          <w:color w:val="auto"/>
          <w:kern w:val="0"/>
          <w:sz w:val="24"/>
          <w:szCs w:val="24"/>
          <w:highlight w:val="none"/>
        </w:rPr>
        <w:t>包人提出的合理化建议降低了合同价格或者提高了工程经济效益的奖励的方法和金额为：</w:t>
      </w:r>
      <w:r>
        <w:rPr>
          <w:rFonts w:hint="eastAsia" w:asciiTheme="minorEastAsia" w:hAnsiTheme="minorEastAsia" w:eastAsiaTheme="minorEastAsia" w:cstheme="minorEastAsia"/>
          <w:b w:val="0"/>
          <w:bCs/>
          <w:color w:val="auto"/>
          <w:kern w:val="0"/>
          <w:sz w:val="24"/>
          <w:szCs w:val="24"/>
          <w:highlight w:val="none"/>
          <w:u w:val="single"/>
        </w:rPr>
        <w:t>无</w:t>
      </w:r>
      <w:r>
        <w:rPr>
          <w:rFonts w:hint="eastAsia" w:asciiTheme="minorEastAsia" w:hAnsiTheme="minorEastAsia" w:eastAsiaTheme="minorEastAsia" w:cstheme="minorEastAsia"/>
          <w:b w:val="0"/>
          <w:bCs/>
          <w:color w:val="auto"/>
          <w:kern w:val="0"/>
          <w:sz w:val="24"/>
          <w:szCs w:val="24"/>
          <w:highlight w:val="none"/>
        </w:rPr>
        <w:t>。</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439" w:name="_Toc1569203092"/>
      <w:bookmarkStart w:id="440" w:name="_Toc1821307230"/>
      <w:bookmarkStart w:id="441" w:name="_Toc1308"/>
      <w:r>
        <w:rPr>
          <w:rFonts w:hint="eastAsia" w:asciiTheme="minorEastAsia" w:hAnsiTheme="minorEastAsia" w:eastAsiaTheme="minorEastAsia" w:cstheme="minorEastAsia"/>
          <w:b w:val="0"/>
          <w:bCs/>
          <w:color w:val="auto"/>
          <w:kern w:val="0"/>
          <w:sz w:val="24"/>
          <w:szCs w:val="24"/>
          <w:highlight w:val="none"/>
        </w:rPr>
        <w:t>1</w:t>
      </w:r>
      <w:bookmarkStart w:id="442" w:name="_Toc296503199"/>
      <w:bookmarkStart w:id="443" w:name="_Toc292559909"/>
      <w:bookmarkStart w:id="444" w:name="_Toc296944538"/>
      <w:bookmarkStart w:id="445" w:name="_Toc297120499"/>
      <w:bookmarkStart w:id="446" w:name="_Toc300934997"/>
      <w:bookmarkStart w:id="447" w:name="_Toc312678033"/>
      <w:bookmarkStart w:id="448" w:name="_Toc297048385"/>
      <w:bookmarkStart w:id="449" w:name="_Toc296346700"/>
      <w:bookmarkStart w:id="450" w:name="_Toc296347198"/>
      <w:bookmarkStart w:id="451" w:name="_Toc296891027"/>
      <w:bookmarkStart w:id="452" w:name="_Toc312677507"/>
      <w:bookmarkStart w:id="453" w:name="_Toc303539154"/>
      <w:bookmarkStart w:id="454" w:name="_Toc296891239"/>
      <w:bookmarkStart w:id="455" w:name="_Toc304295574"/>
      <w:bookmarkStart w:id="456" w:name="_Toc297216207"/>
      <w:bookmarkStart w:id="457" w:name="_Toc292559404"/>
      <w:bookmarkStart w:id="458" w:name="_Toc297123548"/>
      <w:r>
        <w:rPr>
          <w:rFonts w:hint="eastAsia" w:asciiTheme="minorEastAsia" w:hAnsiTheme="minorEastAsia" w:eastAsiaTheme="minorEastAsia" w:cstheme="minorEastAsia"/>
          <w:b w:val="0"/>
          <w:bCs/>
          <w:color w:val="auto"/>
          <w:kern w:val="0"/>
          <w:sz w:val="24"/>
          <w:szCs w:val="24"/>
          <w:highlight w:val="none"/>
        </w:rPr>
        <w:t>0.7 暂估价</w:t>
      </w:r>
      <w:bookmarkEnd w:id="439"/>
      <w:bookmarkEnd w:id="440"/>
      <w:bookmarkEnd w:id="441"/>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暂</w:t>
      </w:r>
      <w:bookmarkStart w:id="459" w:name="_Toc312677508"/>
      <w:bookmarkStart w:id="460" w:name="_Toc318581176"/>
      <w:bookmarkStart w:id="461" w:name="_Toc312678034"/>
      <w:r>
        <w:rPr>
          <w:rFonts w:hint="eastAsia" w:asciiTheme="minorEastAsia" w:hAnsiTheme="minorEastAsia" w:eastAsiaTheme="minorEastAsia" w:cstheme="minorEastAsia"/>
          <w:b w:val="0"/>
          <w:bCs/>
          <w:color w:val="auto"/>
          <w:kern w:val="0"/>
          <w:sz w:val="24"/>
          <w:szCs w:val="24"/>
          <w:highlight w:val="none"/>
        </w:rPr>
        <w:t>估价材料的明细详见附件3：《暂估价一览表》。</w:t>
      </w:r>
      <w:bookmarkEnd w:id="459"/>
      <w:bookmarkEnd w:id="460"/>
      <w:bookmarkEnd w:id="461"/>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w:t>
      </w:r>
      <w:bookmarkStart w:id="462" w:name="_Toc312678035"/>
      <w:bookmarkStart w:id="463" w:name="_Toc318581177"/>
      <w:bookmarkStart w:id="464" w:name="_Toc312677509"/>
      <w:r>
        <w:rPr>
          <w:rFonts w:hint="eastAsia" w:asciiTheme="minorEastAsia" w:hAnsiTheme="minorEastAsia" w:eastAsiaTheme="minorEastAsia" w:cstheme="minorEastAsia"/>
          <w:b w:val="0"/>
          <w:bCs/>
          <w:color w:val="auto"/>
          <w:kern w:val="0"/>
          <w:sz w:val="24"/>
          <w:szCs w:val="24"/>
          <w:highlight w:val="none"/>
        </w:rPr>
        <w:t>0.7.1 依法必须招标的暂估价项目</w:t>
      </w:r>
    </w:p>
    <w:bookmarkEnd w:id="462"/>
    <w:bookmarkEnd w:id="463"/>
    <w:bookmarkEnd w:id="464"/>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对于依法必须招标的暂估价项目的确认和批准采取通用合同条款中第</w:t>
      </w:r>
      <w:r>
        <w:rPr>
          <w:rFonts w:hint="eastAsia" w:asciiTheme="minorEastAsia" w:hAnsiTheme="minorEastAsia" w:eastAsiaTheme="minorEastAsia" w:cstheme="minorEastAsia"/>
          <w:b w:val="0"/>
          <w:bCs/>
          <w:color w:val="auto"/>
          <w:kern w:val="0"/>
          <w:sz w:val="24"/>
          <w:szCs w:val="24"/>
          <w:highlight w:val="none"/>
          <w:u w:val="single"/>
        </w:rPr>
        <w:t xml:space="preserve">  1  </w:t>
      </w:r>
      <w:r>
        <w:rPr>
          <w:rFonts w:hint="eastAsia" w:asciiTheme="minorEastAsia" w:hAnsiTheme="minorEastAsia" w:eastAsiaTheme="minorEastAsia" w:cstheme="minorEastAsia"/>
          <w:b w:val="0"/>
          <w:bCs/>
          <w:color w:val="auto"/>
          <w:kern w:val="0"/>
          <w:sz w:val="24"/>
          <w:szCs w:val="24"/>
          <w:highlight w:val="none"/>
        </w:rPr>
        <w:t>种方式确定。</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10.7.2 不属于依法必须招标的暂估价项目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对于不属于依法必须招标的暂估价项目的确认和批准采取通用合同条款中第</w:t>
      </w:r>
      <w:r>
        <w:rPr>
          <w:rFonts w:hint="eastAsia" w:asciiTheme="minorEastAsia" w:hAnsiTheme="minorEastAsia" w:eastAsiaTheme="minorEastAsia" w:cstheme="minorEastAsia"/>
          <w:b w:val="0"/>
          <w:bCs/>
          <w:color w:val="auto"/>
          <w:kern w:val="0"/>
          <w:sz w:val="24"/>
          <w:szCs w:val="24"/>
          <w:highlight w:val="none"/>
          <w:u w:val="single"/>
        </w:rPr>
        <w:t xml:space="preserve">  1  </w:t>
      </w:r>
      <w:r>
        <w:rPr>
          <w:rFonts w:hint="eastAsia" w:asciiTheme="minorEastAsia" w:hAnsiTheme="minorEastAsia" w:eastAsiaTheme="minorEastAsia" w:cstheme="minorEastAsia"/>
          <w:b w:val="0"/>
          <w:bCs/>
          <w:color w:val="auto"/>
          <w:kern w:val="0"/>
          <w:sz w:val="24"/>
          <w:szCs w:val="24"/>
          <w:highlight w:val="none"/>
        </w:rPr>
        <w:t>种方式确定。</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10.8 暂列金额</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合同当事人关于暂列金额使用的约定：</w:t>
      </w:r>
      <w:r>
        <w:rPr>
          <w:rFonts w:hint="eastAsia" w:asciiTheme="minorEastAsia" w:hAnsiTheme="minorEastAsia" w:eastAsiaTheme="minorEastAsia" w:cstheme="minorEastAsia"/>
          <w:b w:val="0"/>
          <w:bCs/>
          <w:color w:val="auto"/>
          <w:kern w:val="0"/>
          <w:sz w:val="24"/>
          <w:szCs w:val="24"/>
          <w:highlight w:val="none"/>
          <w:u w:val="single"/>
        </w:rPr>
        <w:t>暂列金是发包人自行确定设立的，承包人无权使用此笔费用。此费用按实际发生经发包人签认后确定全部使用、部分使用或不使用，暂列金不计入工程进度款付款的基数</w:t>
      </w:r>
      <w:r>
        <w:rPr>
          <w:rFonts w:hint="eastAsia" w:asciiTheme="minorEastAsia" w:hAnsiTheme="minorEastAsia" w:eastAsiaTheme="minorEastAsia" w:cstheme="minorEastAsia"/>
          <w:b w:val="0"/>
          <w:bCs/>
          <w:color w:val="auto"/>
          <w:kern w:val="0"/>
          <w:sz w:val="24"/>
          <w:szCs w:val="24"/>
          <w:highlight w:val="none"/>
        </w:rPr>
        <w:t>。</w:t>
      </w:r>
    </w:p>
    <w:p>
      <w:pPr>
        <w:pStyle w:val="4"/>
        <w:spacing w:line="360" w:lineRule="auto"/>
        <w:rPr>
          <w:rFonts w:hint="eastAsia" w:asciiTheme="minorEastAsia" w:hAnsiTheme="minorEastAsia" w:eastAsiaTheme="minorEastAsia" w:cstheme="minorEastAsia"/>
          <w:b w:val="0"/>
          <w:bCs/>
          <w:color w:val="auto"/>
          <w:kern w:val="0"/>
          <w:sz w:val="24"/>
          <w:szCs w:val="24"/>
          <w:highlight w:val="none"/>
        </w:rPr>
      </w:pPr>
      <w:bookmarkStart w:id="465" w:name="_Toc1637898606"/>
      <w:bookmarkStart w:id="466" w:name="_Toc17442182"/>
      <w:r>
        <w:rPr>
          <w:rFonts w:hint="eastAsia" w:asciiTheme="minorEastAsia" w:hAnsiTheme="minorEastAsia" w:eastAsiaTheme="minorEastAsia" w:cstheme="minorEastAsia"/>
          <w:b w:val="0"/>
          <w:bCs/>
          <w:color w:val="auto"/>
          <w:kern w:val="0"/>
          <w:sz w:val="24"/>
          <w:szCs w:val="24"/>
          <w:highlight w:val="none"/>
        </w:rPr>
        <w:t>11. 价格调整</w:t>
      </w:r>
      <w:bookmarkEnd w:id="465"/>
      <w:bookmarkEnd w:id="466"/>
      <w:r>
        <w:rPr>
          <w:rFonts w:hint="eastAsia" w:asciiTheme="minorEastAsia" w:hAnsiTheme="minorEastAsia" w:eastAsiaTheme="minorEastAsia" w:cstheme="minorEastAsia"/>
          <w:b w:val="0"/>
          <w:bCs/>
          <w:color w:val="auto"/>
          <w:kern w:val="0"/>
          <w:sz w:val="24"/>
          <w:szCs w:val="24"/>
          <w:highlight w:val="none"/>
        </w:rPr>
        <w:t xml:space="preserve"> </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467" w:name="_Toc31698"/>
      <w:bookmarkStart w:id="468" w:name="_Toc1614717129"/>
      <w:bookmarkStart w:id="469" w:name="_Toc1840417661"/>
      <w:bookmarkStart w:id="470" w:name="_Toc312678039"/>
      <w:bookmarkStart w:id="471" w:name="_Toc296891029"/>
      <w:bookmarkStart w:id="472" w:name="_Toc304295577"/>
      <w:bookmarkStart w:id="473" w:name="_Toc292559911"/>
      <w:bookmarkStart w:id="474" w:name="_Toc296346702"/>
      <w:bookmarkStart w:id="475" w:name="_Toc296891241"/>
      <w:bookmarkStart w:id="476" w:name="_Toc296944540"/>
      <w:bookmarkStart w:id="477" w:name="_Toc297120501"/>
      <w:bookmarkStart w:id="478" w:name="_Toc292559406"/>
      <w:bookmarkStart w:id="479" w:name="_Toc296347200"/>
      <w:bookmarkStart w:id="480" w:name="_Toc297048387"/>
      <w:bookmarkStart w:id="481" w:name="_Toc297216209"/>
      <w:bookmarkStart w:id="482" w:name="_Toc296503201"/>
      <w:bookmarkStart w:id="483" w:name="_Toc297123550"/>
      <w:bookmarkStart w:id="484" w:name="_Toc303539157"/>
      <w:bookmarkStart w:id="485" w:name="_Toc300935000"/>
      <w:r>
        <w:rPr>
          <w:rFonts w:hint="eastAsia" w:asciiTheme="minorEastAsia" w:hAnsiTheme="minorEastAsia" w:eastAsiaTheme="minorEastAsia" w:cstheme="minorEastAsia"/>
          <w:b w:val="0"/>
          <w:bCs/>
          <w:color w:val="auto"/>
          <w:kern w:val="0"/>
          <w:sz w:val="24"/>
          <w:szCs w:val="24"/>
          <w:highlight w:val="none"/>
        </w:rPr>
        <w:t>11.1 市场价格波动引起的调整</w:t>
      </w:r>
      <w:bookmarkEnd w:id="467"/>
      <w:bookmarkEnd w:id="468"/>
      <w:bookmarkEnd w:id="469"/>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市场价格波动是否调整合同价格的约定：</w:t>
      </w:r>
      <w:r>
        <w:rPr>
          <w:rFonts w:hint="eastAsia" w:asciiTheme="minorEastAsia" w:hAnsiTheme="minorEastAsia" w:eastAsiaTheme="minorEastAsia" w:cstheme="minorEastAsia"/>
          <w:b w:val="0"/>
          <w:bCs/>
          <w:color w:val="auto"/>
          <w:kern w:val="0"/>
          <w:sz w:val="24"/>
          <w:szCs w:val="24"/>
          <w:highlight w:val="none"/>
          <w:u w:val="single"/>
        </w:rPr>
        <w:t>不调整</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因市场价格波动调整合同价格，采用以下第</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种方式对合同价格进行调整：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第1种方式：采用价格指数进行价格调整。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关于各可调因子、定值和变值权重，以及基本价格指数及其来源的约定：</w:t>
      </w:r>
      <w:r>
        <w:rPr>
          <w:rFonts w:hint="eastAsia" w:asciiTheme="minorEastAsia" w:hAnsiTheme="minorEastAsia" w:eastAsiaTheme="minorEastAsia" w:cstheme="minorEastAsia"/>
          <w:b w:val="0"/>
          <w:bCs/>
          <w:color w:val="auto"/>
          <w:kern w:val="0"/>
          <w:sz w:val="24"/>
          <w:szCs w:val="24"/>
          <w:highlight w:val="none"/>
          <w:u w:val="single"/>
        </w:rPr>
        <w:t>/</w:t>
      </w:r>
      <w:r>
        <w:rPr>
          <w:rFonts w:hint="eastAsia" w:asciiTheme="minorEastAsia" w:hAnsiTheme="minorEastAsia" w:eastAsiaTheme="minorEastAsia" w:cstheme="minorEastAsia"/>
          <w:b w:val="0"/>
          <w:bCs/>
          <w:color w:val="auto"/>
          <w:kern w:val="0"/>
          <w:sz w:val="24"/>
          <w:szCs w:val="24"/>
          <w:highlight w:val="none"/>
        </w:rPr>
        <w:t xml:space="preserve">；  </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 xml:space="preserve">第2种方式：采用造价信息进行价格调整。  </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（2）关于基准价格的约定：</w:t>
      </w:r>
      <w:r>
        <w:rPr>
          <w:rFonts w:hint="eastAsia" w:asciiTheme="minorEastAsia" w:hAnsiTheme="minorEastAsia" w:eastAsiaTheme="minorEastAsia" w:cstheme="minorEastAsia"/>
          <w:b w:val="0"/>
          <w:bCs/>
          <w:color w:val="auto"/>
          <w:kern w:val="0"/>
          <w:sz w:val="24"/>
          <w:szCs w:val="24"/>
          <w:highlight w:val="none"/>
          <w:u w:val="single"/>
        </w:rPr>
        <w:t>/</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①承包人在已标价工程量清单或预算书中载明的材料单价低于基准价格的：合同履行期间材料单价涨幅以基准价格为基础超过</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%时，或材料单价跌幅以已标价工程量清单或预算书中载明材料单价为基础超过</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%时，其超过部分据实调整。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②承包人在已标价工程量清单或预算书中载明的材料单价高于基准价格的：合同履行期间材料单价跌幅以基准价格为基础超过</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%时，材料单价涨幅以已标价工程量清单或预算书中载明材料单价为基础超过</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%时，其超过部分据实调整。</w:t>
      </w:r>
    </w:p>
    <w:p>
      <w:pPr>
        <w:spacing w:line="360" w:lineRule="auto"/>
        <w:ind w:firstLine="645"/>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③承包人在已标价工程量清单或预算书中载明的材料单价等于基准单价的：合同履行期间材料单价涨跌幅以基准单价为基础超过±</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%时，其超过部分据实调整。</w:t>
      </w:r>
    </w:p>
    <w:p>
      <w:pPr>
        <w:spacing w:line="360" w:lineRule="auto"/>
        <w:ind w:firstLine="645"/>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第3种方式：其他价格调整方式：</w:t>
      </w:r>
      <w:r>
        <w:rPr>
          <w:rFonts w:hint="eastAsia" w:asciiTheme="minorEastAsia" w:hAnsiTheme="minorEastAsia" w:eastAsiaTheme="minorEastAsia" w:cstheme="minorEastAsia"/>
          <w:b w:val="0"/>
          <w:bCs/>
          <w:color w:val="auto"/>
          <w:kern w:val="0"/>
          <w:sz w:val="24"/>
          <w:szCs w:val="24"/>
          <w:highlight w:val="none"/>
          <w:u w:val="single"/>
        </w:rPr>
        <w:t>/</w:t>
      </w:r>
      <w:r>
        <w:rPr>
          <w:rFonts w:hint="eastAsia" w:asciiTheme="minorEastAsia" w:hAnsiTheme="minorEastAsia" w:eastAsiaTheme="minorEastAsia" w:cstheme="minorEastAsia"/>
          <w:b w:val="0"/>
          <w:bCs/>
          <w:color w:val="auto"/>
          <w:kern w:val="0"/>
          <w:sz w:val="24"/>
          <w:szCs w:val="24"/>
          <w:highlight w:val="none"/>
        </w:rPr>
        <w:t>。</w:t>
      </w:r>
    </w:p>
    <w:bookmarkEnd w:id="364"/>
    <w:bookmarkEnd w:id="365"/>
    <w:bookmarkEnd w:id="366"/>
    <w:bookmarkEnd w:id="367"/>
    <w:bookmarkEnd w:id="368"/>
    <w:bookmarkEnd w:id="369"/>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86" w:name="_Toc297120505"/>
      <w:bookmarkStart w:id="487" w:name="_Toc296944544"/>
      <w:bookmarkStart w:id="488" w:name="_Toc296891245"/>
      <w:bookmarkStart w:id="489" w:name="_Toc296347204"/>
      <w:bookmarkStart w:id="490" w:name="_Toc292559410"/>
      <w:bookmarkStart w:id="491" w:name="_Toc292559915"/>
      <w:bookmarkStart w:id="492" w:name="_Toc296891033"/>
      <w:bookmarkStart w:id="493" w:name="_Toc297048391"/>
      <w:bookmarkStart w:id="494" w:name="_Toc296346706"/>
      <w:bookmarkStart w:id="495" w:name="_Toc296503205"/>
      <w:bookmarkStart w:id="496" w:name="_Toc351203644"/>
      <w:bookmarkStart w:id="497" w:name="_Toc300935002"/>
      <w:bookmarkStart w:id="498" w:name="_Toc297123552"/>
      <w:bookmarkStart w:id="499" w:name="_Toc312678040"/>
      <w:bookmarkStart w:id="500" w:name="_Toc303539159"/>
      <w:bookmarkStart w:id="501" w:name="_Toc304295579"/>
      <w:bookmarkStart w:id="502" w:name="_Toc297216211"/>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12. </w:t>
      </w:r>
      <w:bookmarkEnd w:id="486"/>
      <w:bookmarkEnd w:id="487"/>
      <w:bookmarkEnd w:id="488"/>
      <w:bookmarkEnd w:id="489"/>
      <w:bookmarkEnd w:id="490"/>
      <w:bookmarkEnd w:id="491"/>
      <w:bookmarkEnd w:id="492"/>
      <w:bookmarkEnd w:id="493"/>
      <w:bookmarkEnd w:id="494"/>
      <w:bookmarkEnd w:id="495"/>
      <w:r>
        <w:rPr>
          <w:rFonts w:hint="eastAsia" w:asciiTheme="minorEastAsia" w:hAnsiTheme="minorEastAsia" w:eastAsiaTheme="minorEastAsia" w:cstheme="minorEastAsia"/>
          <w:b w:val="0"/>
          <w:bCs/>
          <w:color w:val="auto"/>
          <w:kern w:val="2"/>
          <w:sz w:val="24"/>
          <w:szCs w:val="24"/>
          <w:highlight w:val="none"/>
          <w:lang w:val="en-US" w:eastAsia="zh-CN" w:bidi="ar-SA"/>
        </w:rPr>
        <w:t>合同价格、计量与支付</w:t>
      </w:r>
      <w:bookmarkEnd w:id="496"/>
    </w:p>
    <w:bookmarkEnd w:id="497"/>
    <w:bookmarkEnd w:id="498"/>
    <w:bookmarkEnd w:id="499"/>
    <w:bookmarkEnd w:id="500"/>
    <w:bookmarkEnd w:id="501"/>
    <w:bookmarkEnd w:id="502"/>
    <w:p>
      <w:pPr>
        <w:autoSpaceDE/>
        <w:autoSpaceDN/>
        <w:spacing w:after="120" w:line="360" w:lineRule="auto"/>
        <w:ind w:firstLine="480" w:firstLineChars="200"/>
        <w:jc w:val="both"/>
        <w:rPr>
          <w:rFonts w:hint="eastAsia" w:asciiTheme="minorEastAsia" w:hAnsiTheme="minorEastAsia" w:eastAsiaTheme="minorEastAsia" w:cstheme="minorEastAsia"/>
          <w:b w:val="0"/>
          <w:bCs/>
          <w:color w:val="auto"/>
          <w:kern w:val="2"/>
          <w:sz w:val="24"/>
          <w:szCs w:val="24"/>
          <w:highlight w:val="none"/>
          <w:lang w:val="en-US" w:bidi="ar-SA"/>
        </w:rPr>
      </w:pPr>
      <w:bookmarkStart w:id="503" w:name="_Toc292559916"/>
      <w:bookmarkStart w:id="504" w:name="_Toc267251461"/>
      <w:bookmarkStart w:id="505" w:name="_Toc292559411"/>
      <w:bookmarkStart w:id="506" w:name="_Toc296891246"/>
      <w:bookmarkStart w:id="507" w:name="_Toc296346707"/>
      <w:bookmarkStart w:id="508" w:name="_Toc296944545"/>
      <w:bookmarkStart w:id="509" w:name="_Toc297120506"/>
      <w:bookmarkStart w:id="510" w:name="_Toc296503206"/>
      <w:bookmarkStart w:id="511" w:name="_Toc296347205"/>
      <w:bookmarkStart w:id="512" w:name="_Toc297048392"/>
      <w:bookmarkStart w:id="513" w:name="_Toc296891034"/>
      <w:bookmarkStart w:id="514" w:name="_Toc297123553"/>
      <w:bookmarkStart w:id="515" w:name="_Toc312678041"/>
      <w:bookmarkStart w:id="516" w:name="_Toc304295580"/>
      <w:bookmarkStart w:id="517" w:name="_Toc300935003"/>
      <w:bookmarkStart w:id="518" w:name="_Toc297216212"/>
      <w:bookmarkStart w:id="519" w:name="_Toc303539160"/>
      <w:r>
        <w:rPr>
          <w:rFonts w:hint="eastAsia" w:asciiTheme="minorEastAsia" w:hAnsiTheme="minorEastAsia" w:eastAsiaTheme="minorEastAsia" w:cstheme="minorEastAsia"/>
          <w:b w:val="0"/>
          <w:bCs/>
          <w:color w:val="auto"/>
          <w:kern w:val="2"/>
          <w:sz w:val="24"/>
          <w:szCs w:val="24"/>
          <w:highlight w:val="none"/>
          <w:lang w:val="en-US" w:bidi="ar-SA"/>
        </w:rPr>
        <w:t>12.1 合</w:t>
      </w:r>
      <w:bookmarkEnd w:id="503"/>
      <w:bookmarkEnd w:id="504"/>
      <w:bookmarkEnd w:id="505"/>
      <w:r>
        <w:rPr>
          <w:rFonts w:hint="eastAsia" w:asciiTheme="minorEastAsia" w:hAnsiTheme="minorEastAsia" w:eastAsiaTheme="minorEastAsia" w:cstheme="minorEastAsia"/>
          <w:b w:val="0"/>
          <w:bCs/>
          <w:color w:val="auto"/>
          <w:kern w:val="2"/>
          <w:sz w:val="24"/>
          <w:szCs w:val="24"/>
          <w:highlight w:val="none"/>
          <w:lang w:val="en-US" w:bidi="ar-SA"/>
        </w:rPr>
        <w:t>同价</w:t>
      </w:r>
      <w:bookmarkEnd w:id="506"/>
      <w:bookmarkEnd w:id="507"/>
      <w:bookmarkEnd w:id="508"/>
      <w:bookmarkEnd w:id="509"/>
      <w:bookmarkEnd w:id="510"/>
      <w:bookmarkEnd w:id="511"/>
      <w:bookmarkEnd w:id="512"/>
      <w:bookmarkEnd w:id="513"/>
      <w:r>
        <w:rPr>
          <w:rFonts w:hint="eastAsia" w:asciiTheme="minorEastAsia" w:hAnsiTheme="minorEastAsia" w:eastAsiaTheme="minorEastAsia" w:cstheme="minorEastAsia"/>
          <w:b w:val="0"/>
          <w:bCs/>
          <w:color w:val="auto"/>
          <w:kern w:val="2"/>
          <w:sz w:val="24"/>
          <w:szCs w:val="24"/>
          <w:highlight w:val="none"/>
          <w:lang w:val="en-US" w:bidi="ar-SA"/>
        </w:rPr>
        <w:t>格形式</w:t>
      </w:r>
    </w:p>
    <w:bookmarkEnd w:id="370"/>
    <w:bookmarkEnd w:id="514"/>
    <w:bookmarkEnd w:id="515"/>
    <w:bookmarkEnd w:id="516"/>
    <w:bookmarkEnd w:id="517"/>
    <w:bookmarkEnd w:id="518"/>
    <w:bookmarkEnd w:id="519"/>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bookmarkStart w:id="520" w:name="_Toc351203645"/>
      <w:bookmarkStart w:id="521" w:name="_Toc297216223"/>
      <w:bookmarkStart w:id="522" w:name="_Toc312678053"/>
      <w:bookmarkStart w:id="523" w:name="_Toc296891047"/>
      <w:bookmarkStart w:id="524" w:name="_Toc296944558"/>
      <w:bookmarkStart w:id="525" w:name="_Toc303539172"/>
      <w:bookmarkStart w:id="526" w:name="_Toc292559929"/>
      <w:bookmarkStart w:id="527" w:name="_Toc297123564"/>
      <w:bookmarkStart w:id="528" w:name="_Toc292559424"/>
      <w:bookmarkStart w:id="529" w:name="_Toc296891259"/>
      <w:bookmarkStart w:id="530" w:name="_Toc300935015"/>
      <w:bookmarkStart w:id="531" w:name="_Toc296346720"/>
      <w:bookmarkStart w:id="532" w:name="_Toc297048405"/>
      <w:bookmarkStart w:id="533" w:name="_Toc296503219"/>
      <w:bookmarkStart w:id="534" w:name="_Toc297120519"/>
      <w:bookmarkStart w:id="535" w:name="_Toc304295593"/>
      <w:bookmarkStart w:id="536" w:name="_Toc296347218"/>
      <w:r>
        <w:rPr>
          <w:rFonts w:hint="eastAsia" w:asciiTheme="minorEastAsia" w:hAnsiTheme="minorEastAsia" w:eastAsiaTheme="minorEastAsia" w:cstheme="minorEastAsia"/>
          <w:b w:val="0"/>
          <w:bCs/>
          <w:color w:val="auto"/>
          <w:kern w:val="0"/>
          <w:sz w:val="24"/>
          <w:szCs w:val="24"/>
          <w:highlight w:val="none"/>
        </w:rPr>
        <w:t>1.单价合同。</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综合单价包含的风险范围：</w:t>
      </w:r>
      <w:r>
        <w:rPr>
          <w:rFonts w:hint="eastAsia" w:asciiTheme="minorEastAsia" w:hAnsiTheme="minorEastAsia" w:eastAsiaTheme="minorEastAsia" w:cstheme="minorEastAsia"/>
          <w:b w:val="0"/>
          <w:bCs/>
          <w:color w:val="auto"/>
          <w:kern w:val="0"/>
          <w:sz w:val="24"/>
          <w:szCs w:val="24"/>
          <w:highlight w:val="none"/>
          <w:u w:val="single"/>
        </w:rPr>
        <w:t>1、对于主要由市场价格波动导致人工、材料、机械价格风险由承包人承担。</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2、对于承包人根据自身技术水平、管理、经营状况能够自主控制的风险。</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风险费用的计算方法：</w:t>
      </w:r>
      <w:r>
        <w:rPr>
          <w:rFonts w:hint="eastAsia" w:asciiTheme="minorEastAsia" w:hAnsiTheme="minorEastAsia" w:eastAsiaTheme="minorEastAsia" w:cstheme="minorEastAsia"/>
          <w:b w:val="0"/>
          <w:bCs/>
          <w:color w:val="auto"/>
          <w:kern w:val="0"/>
          <w:sz w:val="24"/>
          <w:szCs w:val="24"/>
          <w:highlight w:val="none"/>
          <w:u w:val="single"/>
        </w:rPr>
        <w:t>对于承包人根据自身技术水平、管理、经营状况能够自主控制的风险，如承包人的管理费、利润的风险，承包人应结合市场情况，根据企业自身实际合理确定、自主报价，该部分风险由承包人全部承担</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风险范围以外合同价格的调整方法：</w:t>
      </w:r>
      <w:r>
        <w:rPr>
          <w:rFonts w:hint="eastAsia" w:asciiTheme="minorEastAsia" w:hAnsiTheme="minorEastAsia" w:eastAsiaTheme="minorEastAsia" w:cstheme="minorEastAsia"/>
          <w:b w:val="0"/>
          <w:bCs/>
          <w:color w:val="auto"/>
          <w:kern w:val="0"/>
          <w:sz w:val="24"/>
          <w:szCs w:val="24"/>
          <w:highlight w:val="none"/>
          <w:u w:val="single"/>
        </w:rPr>
        <w:t>1、对于法律、法规、规章或有关政策出台导致工程税金、规费调整，或由省级、行业建设行政主管部门或其授权的工程造价管理机构根据上述变化发布的政策性调整，承包人不应承担此类风险，应按照有关调整规定执行。</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2、分部分项工程量清单漏项、合同承包范围内工程清单项目的调整、非承包人原因的工程变更，按本合同中10.4.1条变更估价原则执行。</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3、因分部分项工程量清单漏项、合同承包范围内工程清单项目的调整、非承包人原因的工程变更引起总价措施项目发生变化的，造成施工组织设计或施工方案变更，承包人应在实施前先将拟实施的方案提交发包人确认，并附调整措施项目费用明细，发包人按以下几种方式进行审核调整，除此之外，均不对措施费进行调整（包括物价因素引起的价格调整等其他原因）。措施项目费调整方式：</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lang w:val="en-US" w:eastAsia="zh-CN"/>
        </w:rPr>
      </w:pPr>
      <w:r>
        <w:rPr>
          <w:rFonts w:hint="eastAsia" w:asciiTheme="minorEastAsia" w:hAnsiTheme="minorEastAsia" w:eastAsiaTheme="minorEastAsia" w:cstheme="minorEastAsia"/>
          <w:b w:val="0"/>
          <w:bCs/>
          <w:color w:val="auto"/>
          <w:kern w:val="0"/>
          <w:sz w:val="24"/>
          <w:szCs w:val="24"/>
          <w:highlight w:val="none"/>
          <w:u w:val="single"/>
        </w:rPr>
        <w:t>1）采用总价计算的措施费用的安全文明施工费该费用中的环境保护费、文明施工费、安全施工费作为不可竞争费用，必须按国家或省级、行业建设主管部门的规定计算，安全文明施工费中的临时设施费现场未搭建临时设施的项目，工程结算时不予计算此项费用。</w:t>
      </w:r>
      <w:r>
        <w:rPr>
          <w:rFonts w:hint="eastAsia" w:asciiTheme="minorEastAsia" w:hAnsiTheme="minorEastAsia" w:eastAsiaTheme="minorEastAsia" w:cstheme="minorEastAsia"/>
          <w:b w:val="0"/>
          <w:bCs/>
          <w:color w:val="auto"/>
          <w:kern w:val="0"/>
          <w:sz w:val="24"/>
          <w:szCs w:val="24"/>
          <w:highlight w:val="none"/>
          <w:u w:val="single"/>
          <w:lang w:val="en-US" w:eastAsia="zh-CN"/>
        </w:rPr>
        <w:t>合同内建设工程智慧工地基础配置费按照暂定价计入，结算时以总承包单位出具的全额采购发票为基础，经市场有效询价后，在该设备发票金额未偏离市场价的前提下进行结算（摊销按2次计算）</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2）当建设单位按规定作为检测业务的委托单位时，工程结算总价措施费用中的检验试验费、特殊检验试验等费用均不予计算。</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3）按总价计算的措施项目，结算时按（总价措施费用/分部分项金额）系数比例调增、调减。</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4）采用单价计算的措施项目，①已标价工程量清单原措施费中已有的措施项目，按相同项目综合单价执行，②已标价工程量清单原措施费中已有类似的措施项目，按类似项目综合单价执行；③原措施费中没有相同和类似的措施项目，由承包人根据现场实际情况上报实际应实施的措施项目并附相关费用明细，经发包人确认后按本合同中10.4.1条变更估价原则执行。</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u w:val="single"/>
        </w:rPr>
        <w:t>5）增加费用若承包人未事先将拟实施的方案提交给发包人确认，则视为承包人放弃调整措施项目费的权利，工程变更不引起措施项目费的调整,发包人有权不予调增合同价格，减少费用部分则以发包人确认的价格予以调减。</w:t>
      </w:r>
      <w:r>
        <w:rPr>
          <w:rFonts w:hint="eastAsia" w:asciiTheme="minorEastAsia" w:hAnsiTheme="minorEastAsia" w:eastAsiaTheme="minorEastAsia" w:cstheme="minorEastAsia"/>
          <w:b w:val="0"/>
          <w:bCs/>
          <w:color w:val="auto"/>
          <w:kern w:val="0"/>
          <w:sz w:val="24"/>
          <w:szCs w:val="24"/>
          <w:highlight w:val="none"/>
        </w:rPr>
        <w:t xml:space="preserve">   </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2.总价合同。</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总价包含的风险范围：</w:t>
      </w:r>
      <w:r>
        <w:rPr>
          <w:rFonts w:hint="eastAsia" w:asciiTheme="minorEastAsia" w:hAnsiTheme="minorEastAsia" w:eastAsiaTheme="minorEastAsia" w:cstheme="minorEastAsia"/>
          <w:b w:val="0"/>
          <w:bCs/>
          <w:color w:val="auto"/>
          <w:kern w:val="0"/>
          <w:sz w:val="24"/>
          <w:szCs w:val="24"/>
          <w:highlight w:val="none"/>
          <w:u w:val="single"/>
        </w:rPr>
        <w:t>无</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i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风险费用的计算方法：</w:t>
      </w:r>
      <w:r>
        <w:rPr>
          <w:rFonts w:hint="eastAsia" w:asciiTheme="minorEastAsia" w:hAnsiTheme="minorEastAsia" w:eastAsiaTheme="minorEastAsia" w:cstheme="minorEastAsia"/>
          <w:b w:val="0"/>
          <w:bCs/>
          <w:color w:val="auto"/>
          <w:kern w:val="0"/>
          <w:sz w:val="24"/>
          <w:szCs w:val="24"/>
          <w:highlight w:val="none"/>
          <w:u w:val="single"/>
        </w:rPr>
        <w:t>无</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风险范围以外合同价格的调整方法：</w:t>
      </w:r>
      <w:r>
        <w:rPr>
          <w:rFonts w:hint="eastAsia" w:asciiTheme="minorEastAsia" w:hAnsiTheme="minorEastAsia" w:eastAsiaTheme="minorEastAsia" w:cstheme="minorEastAsia"/>
          <w:b w:val="0"/>
          <w:bCs/>
          <w:color w:val="auto"/>
          <w:kern w:val="0"/>
          <w:sz w:val="24"/>
          <w:szCs w:val="24"/>
          <w:highlight w:val="none"/>
          <w:u w:val="single"/>
        </w:rPr>
        <w:t>无</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3.其他价格方式：</w:t>
      </w:r>
      <w:r>
        <w:rPr>
          <w:rFonts w:hint="eastAsia" w:asciiTheme="minorEastAsia" w:hAnsiTheme="minorEastAsia" w:eastAsiaTheme="minorEastAsia" w:cstheme="minorEastAsia"/>
          <w:b w:val="0"/>
          <w:bCs/>
          <w:color w:val="auto"/>
          <w:kern w:val="0"/>
          <w:sz w:val="24"/>
          <w:szCs w:val="24"/>
          <w:highlight w:val="none"/>
          <w:u w:val="single"/>
        </w:rPr>
        <w:t>无</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537" w:name="_Toc1924091423"/>
      <w:bookmarkStart w:id="538" w:name="_Toc712673231"/>
      <w:bookmarkStart w:id="539" w:name="_Toc304295581"/>
      <w:bookmarkStart w:id="540" w:name="_Toc312678042"/>
      <w:bookmarkStart w:id="541" w:name="_Toc297123554"/>
      <w:bookmarkStart w:id="542" w:name="_Toc297216213"/>
      <w:bookmarkStart w:id="543" w:name="_Toc300935004"/>
      <w:bookmarkStart w:id="544" w:name="_Toc303539161"/>
      <w:bookmarkStart w:id="545" w:name="_Toc297120507"/>
      <w:bookmarkStart w:id="546" w:name="_Toc292559412"/>
      <w:bookmarkStart w:id="547" w:name="_Toc296503207"/>
      <w:bookmarkStart w:id="548" w:name="_Toc296347206"/>
      <w:bookmarkStart w:id="549" w:name="_Toc296346708"/>
      <w:bookmarkStart w:id="550" w:name="_Toc292559917"/>
      <w:bookmarkStart w:id="551" w:name="_Toc296891247"/>
      <w:bookmarkStart w:id="552" w:name="_Toc297048393"/>
      <w:bookmarkStart w:id="553" w:name="_Toc296891035"/>
      <w:bookmarkStart w:id="554" w:name="_Toc296944546"/>
      <w:r>
        <w:rPr>
          <w:rFonts w:hint="eastAsia" w:asciiTheme="minorEastAsia" w:hAnsiTheme="minorEastAsia" w:eastAsiaTheme="minorEastAsia" w:cstheme="minorEastAsia"/>
          <w:b w:val="0"/>
          <w:bCs/>
          <w:color w:val="auto"/>
          <w:kern w:val="0"/>
          <w:sz w:val="24"/>
          <w:szCs w:val="24"/>
          <w:highlight w:val="none"/>
        </w:rPr>
        <w:t>12.2 预付款</w:t>
      </w:r>
      <w:bookmarkEnd w:id="537"/>
      <w:bookmarkEnd w:id="538"/>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12.2.1 预付款的支付</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预付款扣回的方式：</w:t>
      </w:r>
      <w:r>
        <w:rPr>
          <w:rFonts w:hint="eastAsia" w:asciiTheme="minorEastAsia" w:hAnsiTheme="minorEastAsia" w:eastAsiaTheme="minorEastAsia" w:cstheme="minorEastAsia"/>
          <w:b w:val="0"/>
          <w:bCs/>
          <w:color w:val="auto"/>
          <w:kern w:val="0"/>
          <w:sz w:val="24"/>
          <w:szCs w:val="24"/>
          <w:highlight w:val="none"/>
          <w:u w:val="single"/>
        </w:rPr>
        <w:t>/</w:t>
      </w:r>
      <w:r>
        <w:rPr>
          <w:rFonts w:hint="eastAsia" w:asciiTheme="minorEastAsia" w:hAnsiTheme="minorEastAsia" w:eastAsiaTheme="minorEastAsia" w:cstheme="minorEastAsia"/>
          <w:b w:val="0"/>
          <w:bCs/>
          <w:color w:val="auto"/>
          <w:kern w:val="0"/>
          <w:sz w:val="24"/>
          <w:szCs w:val="24"/>
          <w:highlight w:val="none"/>
        </w:rPr>
        <w:t>。</w:t>
      </w:r>
    </w:p>
    <w:bookmarkEnd w:id="539"/>
    <w:bookmarkEnd w:id="540"/>
    <w:bookmarkEnd w:id="541"/>
    <w:bookmarkEnd w:id="542"/>
    <w:bookmarkEnd w:id="543"/>
    <w:bookmarkEnd w:id="544"/>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12.2.2 预付款担保</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签订合同后</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个工作日内，承包人需提交支付担保人民币</w:t>
      </w:r>
      <w:r>
        <w:rPr>
          <w:rFonts w:hint="eastAsia" w:asciiTheme="minorEastAsia" w:hAnsiTheme="minorEastAsia" w:eastAsiaTheme="minorEastAsia" w:cstheme="minorEastAsia"/>
          <w:b w:val="0"/>
          <w:bCs/>
          <w:color w:val="auto"/>
          <w:kern w:val="0"/>
          <w:sz w:val="24"/>
          <w:szCs w:val="24"/>
          <w:highlight w:val="none"/>
          <w:u w:val="single"/>
        </w:rPr>
        <w:t xml:space="preserve">          </w:t>
      </w:r>
    </w:p>
    <w:p>
      <w:pPr>
        <w:spacing w:line="360" w:lineRule="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元（中标价的</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%），以</w:t>
      </w:r>
      <w:r>
        <w:rPr>
          <w:rFonts w:hint="eastAsia" w:asciiTheme="minorEastAsia" w:hAnsiTheme="minorEastAsia" w:eastAsiaTheme="minorEastAsia" w:cstheme="minorEastAsia"/>
          <w:b w:val="0"/>
          <w:bCs/>
          <w:color w:val="auto"/>
          <w:kern w:val="0"/>
          <w:sz w:val="24"/>
          <w:szCs w:val="24"/>
          <w:highlight w:val="none"/>
        </w:rPr>
        <w:sym w:font="Wingdings" w:char="00A8"/>
      </w:r>
      <w:r>
        <w:rPr>
          <w:rFonts w:hint="eastAsia" w:asciiTheme="minorEastAsia" w:hAnsiTheme="minorEastAsia" w:eastAsiaTheme="minorEastAsia" w:cstheme="minorEastAsia"/>
          <w:b w:val="0"/>
          <w:bCs/>
          <w:color w:val="auto"/>
          <w:kern w:val="0"/>
          <w:sz w:val="24"/>
          <w:szCs w:val="24"/>
          <w:highlight w:val="none"/>
        </w:rPr>
        <w:t>保函或</w:t>
      </w:r>
      <w:r>
        <w:rPr>
          <w:rFonts w:hint="eastAsia" w:asciiTheme="minorEastAsia" w:hAnsiTheme="minorEastAsia" w:eastAsiaTheme="minorEastAsia" w:cstheme="minorEastAsia"/>
          <w:b w:val="0"/>
          <w:bCs/>
          <w:color w:val="auto"/>
          <w:kern w:val="0"/>
          <w:sz w:val="24"/>
          <w:szCs w:val="24"/>
          <w:highlight w:val="none"/>
        </w:rPr>
        <w:sym w:font="Wingdings" w:char="00A8"/>
      </w:r>
      <w:r>
        <w:rPr>
          <w:rFonts w:hint="eastAsia" w:asciiTheme="minorEastAsia" w:hAnsiTheme="minorEastAsia" w:eastAsiaTheme="minorEastAsia" w:cstheme="minorEastAsia"/>
          <w:b w:val="0"/>
          <w:bCs/>
          <w:color w:val="auto"/>
          <w:kern w:val="0"/>
          <w:sz w:val="24"/>
          <w:szCs w:val="24"/>
          <w:highlight w:val="none"/>
        </w:rPr>
        <w:t>保险形式执行。预付款担保的有效期至</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为止。</w:t>
      </w:r>
      <w:bookmarkEnd w:id="545"/>
      <w:bookmarkEnd w:id="546"/>
      <w:bookmarkEnd w:id="547"/>
      <w:bookmarkEnd w:id="548"/>
      <w:bookmarkEnd w:id="549"/>
      <w:bookmarkEnd w:id="550"/>
      <w:bookmarkEnd w:id="551"/>
      <w:bookmarkEnd w:id="552"/>
      <w:bookmarkEnd w:id="553"/>
      <w:bookmarkEnd w:id="554"/>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555" w:name="_Toc100272494"/>
      <w:bookmarkStart w:id="556" w:name="_Toc1055625342"/>
      <w:bookmarkStart w:id="557" w:name="_Toc13601"/>
      <w:r>
        <w:rPr>
          <w:rFonts w:hint="eastAsia" w:asciiTheme="minorEastAsia" w:hAnsiTheme="minorEastAsia" w:eastAsiaTheme="minorEastAsia" w:cstheme="minorEastAsia"/>
          <w:b w:val="0"/>
          <w:bCs/>
          <w:color w:val="auto"/>
          <w:kern w:val="0"/>
          <w:sz w:val="24"/>
          <w:szCs w:val="24"/>
          <w:highlight w:val="none"/>
        </w:rPr>
        <w:t>12.3 计量</w:t>
      </w:r>
      <w:bookmarkEnd w:id="555"/>
      <w:bookmarkEnd w:id="556"/>
      <w:bookmarkEnd w:id="557"/>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12.3.1 计量原则</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工程量计算规则：</w:t>
      </w:r>
      <w:r>
        <w:rPr>
          <w:rFonts w:hint="eastAsia" w:asciiTheme="minorEastAsia" w:hAnsiTheme="minorEastAsia" w:eastAsiaTheme="minorEastAsia" w:cstheme="minorEastAsia"/>
          <w:b w:val="0"/>
          <w:bCs/>
          <w:color w:val="auto"/>
          <w:kern w:val="0"/>
          <w:sz w:val="24"/>
          <w:szCs w:val="24"/>
          <w:highlight w:val="none"/>
          <w:u w:val="single"/>
        </w:rPr>
        <w:t>工程量计算规则执行国家标准《建设工程工程量清单计价规范》(GB50500—2013)。除合同另有约定外，以发包人、监理单位签字认可的承包人实际完成的符合设计图纸及清单数量要求的合格工程内容进行计量（该工程量符合工程量计算规范）</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12.3.2 计量周期</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关于计量周期的约定：</w:t>
      </w:r>
      <w:r>
        <w:rPr>
          <w:rFonts w:hint="eastAsia" w:asciiTheme="minorEastAsia" w:hAnsiTheme="minorEastAsia" w:eastAsiaTheme="minorEastAsia" w:cstheme="minorEastAsia"/>
          <w:b w:val="0"/>
          <w:bCs/>
          <w:color w:val="auto"/>
          <w:kern w:val="0"/>
          <w:sz w:val="24"/>
          <w:szCs w:val="24"/>
          <w:highlight w:val="none"/>
          <w:u w:val="single"/>
        </w:rPr>
        <w:t>本合同的计量周期为月，每月 20 日为当月计量截止日期(不含当日)和下月计量起始日期(含当日)。当月未在规定时间报送，与次月进度合并报送，或按照分部分项完成情况进行计量。</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12.3.3 单价合同的计量</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关于单价合同计量的约定：</w:t>
      </w:r>
      <w:r>
        <w:rPr>
          <w:rFonts w:hint="eastAsia" w:asciiTheme="minorEastAsia" w:hAnsiTheme="minorEastAsia" w:eastAsiaTheme="minorEastAsia" w:cstheme="minorEastAsia"/>
          <w:b w:val="0"/>
          <w:bCs/>
          <w:color w:val="auto"/>
          <w:kern w:val="0"/>
          <w:sz w:val="24"/>
          <w:szCs w:val="24"/>
          <w:highlight w:val="none"/>
          <w:u w:val="single"/>
        </w:rPr>
        <w:t>执行通用条款</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12.3.4 总价合同的计量</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关于总价合同计量的约定：</w:t>
      </w:r>
      <w:r>
        <w:rPr>
          <w:rFonts w:hint="eastAsia" w:asciiTheme="minorEastAsia" w:hAnsiTheme="minorEastAsia" w:eastAsiaTheme="minorEastAsia" w:cstheme="minorEastAsia"/>
          <w:b w:val="0"/>
          <w:bCs/>
          <w:color w:val="auto"/>
          <w:kern w:val="0"/>
          <w:sz w:val="24"/>
          <w:szCs w:val="24"/>
          <w:highlight w:val="none"/>
          <w:u w:val="single"/>
        </w:rPr>
        <w:t xml:space="preserve">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12.3.5 总价合同采用支付分解表计量支付的，是否适用第12.3.4项〔总价合同的计量〕约定进行计量：</w:t>
      </w:r>
      <w:r>
        <w:rPr>
          <w:rFonts w:hint="eastAsia" w:asciiTheme="minorEastAsia" w:hAnsiTheme="minorEastAsia" w:eastAsiaTheme="minorEastAsia" w:cstheme="minorEastAsia"/>
          <w:b w:val="0"/>
          <w:bCs/>
          <w:color w:val="auto"/>
          <w:kern w:val="0"/>
          <w:sz w:val="24"/>
          <w:szCs w:val="24"/>
          <w:highlight w:val="none"/>
          <w:u w:val="single"/>
        </w:rPr>
        <w:t>/</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12.3.6 其他价格形式合同的计量</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其他价格形式的计量方式和程序：</w:t>
      </w:r>
      <w:r>
        <w:rPr>
          <w:rFonts w:hint="eastAsia" w:asciiTheme="minorEastAsia" w:hAnsiTheme="minorEastAsia" w:eastAsiaTheme="minorEastAsia" w:cstheme="minorEastAsia"/>
          <w:b w:val="0"/>
          <w:bCs/>
          <w:color w:val="auto"/>
          <w:kern w:val="0"/>
          <w:sz w:val="24"/>
          <w:szCs w:val="24"/>
          <w:highlight w:val="none"/>
          <w:u w:val="single"/>
        </w:rPr>
        <w:t>无</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558" w:name="_Toc27300"/>
      <w:bookmarkStart w:id="559" w:name="_Toc16186591"/>
      <w:bookmarkStart w:id="560" w:name="_Toc1516403745"/>
      <w:r>
        <w:rPr>
          <w:rFonts w:hint="eastAsia" w:asciiTheme="minorEastAsia" w:hAnsiTheme="minorEastAsia" w:eastAsiaTheme="minorEastAsia" w:cstheme="minorEastAsia"/>
          <w:b w:val="0"/>
          <w:bCs/>
          <w:color w:val="auto"/>
          <w:kern w:val="0"/>
          <w:sz w:val="24"/>
          <w:szCs w:val="24"/>
          <w:highlight w:val="none"/>
        </w:rPr>
        <w:t>12.4 工程进度款支付</w:t>
      </w:r>
      <w:bookmarkEnd w:id="558"/>
      <w:bookmarkEnd w:id="559"/>
      <w:bookmarkEnd w:id="560"/>
      <w:bookmarkStart w:id="561" w:name="_Toc296347210"/>
      <w:bookmarkStart w:id="562" w:name="_Toc297216215"/>
      <w:bookmarkStart w:id="563" w:name="_Toc297048397"/>
      <w:bookmarkStart w:id="564" w:name="_Toc292559921"/>
      <w:bookmarkStart w:id="565" w:name="_Toc297123556"/>
      <w:bookmarkStart w:id="566" w:name="_Toc296503211"/>
      <w:bookmarkStart w:id="567" w:name="_Toc296346712"/>
      <w:bookmarkStart w:id="568" w:name="_Toc292559416"/>
      <w:bookmarkStart w:id="569" w:name="_Toc303539163"/>
      <w:bookmarkStart w:id="570" w:name="_Toc300935006"/>
      <w:bookmarkStart w:id="571" w:name="_Toc297120511"/>
      <w:bookmarkStart w:id="572" w:name="_Toc296891251"/>
      <w:bookmarkStart w:id="573" w:name="_Toc296891039"/>
      <w:bookmarkStart w:id="574" w:name="_Toc296944550"/>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12.4.2 进度付款申请单的编制</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关于进度付款申请单编制的约定：</w:t>
      </w:r>
      <w:r>
        <w:rPr>
          <w:rFonts w:hint="eastAsia" w:asciiTheme="minorEastAsia" w:hAnsiTheme="minorEastAsia" w:eastAsiaTheme="minorEastAsia" w:cstheme="minorEastAsia"/>
          <w:b w:val="0"/>
          <w:bCs/>
          <w:color w:val="auto"/>
          <w:kern w:val="0"/>
          <w:sz w:val="24"/>
          <w:szCs w:val="24"/>
          <w:highlight w:val="none"/>
          <w:u w:val="single"/>
        </w:rPr>
        <w:t xml:space="preserve">4份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Pr>
          <w:rFonts w:hint="eastAsia" w:asciiTheme="minorEastAsia" w:hAnsiTheme="minorEastAsia" w:eastAsiaTheme="minorEastAsia" w:cstheme="minorEastAsia"/>
          <w:b w:val="0"/>
          <w:bCs/>
          <w:color w:val="auto"/>
          <w:kern w:val="0"/>
          <w:sz w:val="24"/>
          <w:szCs w:val="24"/>
          <w:highlight w:val="none"/>
        </w:rPr>
        <w:t>2.4.3 进度付款申请单的提交</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（1）单价合同进度付款申请单提交的约定：</w:t>
      </w:r>
      <w:r>
        <w:rPr>
          <w:rFonts w:hint="eastAsia" w:asciiTheme="minorEastAsia" w:hAnsiTheme="minorEastAsia" w:eastAsiaTheme="minorEastAsia" w:cstheme="minorEastAsia"/>
          <w:b w:val="0"/>
          <w:bCs/>
          <w:color w:val="auto"/>
          <w:kern w:val="0"/>
          <w:sz w:val="24"/>
          <w:szCs w:val="24"/>
          <w:highlight w:val="none"/>
          <w:u w:val="single"/>
        </w:rPr>
        <w:t>执行通用条款</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（2）总价合同进度付款申请单提交的约定：</w:t>
      </w:r>
      <w:r>
        <w:rPr>
          <w:rFonts w:hint="eastAsia" w:asciiTheme="minorEastAsia" w:hAnsiTheme="minorEastAsia" w:eastAsiaTheme="minorEastAsia" w:cstheme="minorEastAsia"/>
          <w:b w:val="0"/>
          <w:bCs/>
          <w:color w:val="auto"/>
          <w:kern w:val="0"/>
          <w:sz w:val="24"/>
          <w:szCs w:val="24"/>
          <w:highlight w:val="none"/>
          <w:u w:val="single"/>
        </w:rPr>
        <w:t>/</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（3）其他价格形式合同进度付款申请单提交的约定：</w:t>
      </w:r>
      <w:r>
        <w:rPr>
          <w:rFonts w:hint="eastAsia" w:asciiTheme="minorEastAsia" w:hAnsiTheme="minorEastAsia" w:eastAsiaTheme="minorEastAsia" w:cstheme="minorEastAsia"/>
          <w:b w:val="0"/>
          <w:bCs/>
          <w:color w:val="auto"/>
          <w:kern w:val="0"/>
          <w:sz w:val="24"/>
          <w:szCs w:val="24"/>
          <w:highlight w:val="none"/>
          <w:u w:val="single"/>
        </w:rPr>
        <w:t xml:space="preserve"> 无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12.4.4 进度款审核和支付</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（1）监理人审查并报送发包人的期限：</w:t>
      </w:r>
      <w:r>
        <w:rPr>
          <w:rFonts w:hint="eastAsia" w:asciiTheme="minorEastAsia" w:hAnsiTheme="minorEastAsia" w:eastAsiaTheme="minorEastAsia" w:cstheme="minorEastAsia"/>
          <w:b w:val="0"/>
          <w:bCs/>
          <w:color w:val="auto"/>
          <w:kern w:val="0"/>
          <w:sz w:val="24"/>
          <w:szCs w:val="24"/>
          <w:highlight w:val="none"/>
          <w:u w:val="single"/>
        </w:rPr>
        <w:t xml:space="preserve">7日历日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发包人完成审批并签发进度款支付证书的期限：</w:t>
      </w:r>
      <w:r>
        <w:rPr>
          <w:rFonts w:hint="eastAsia" w:asciiTheme="minorEastAsia" w:hAnsiTheme="minorEastAsia" w:eastAsiaTheme="minorEastAsia" w:cstheme="minorEastAsia"/>
          <w:b w:val="0"/>
          <w:bCs/>
          <w:color w:val="auto"/>
          <w:kern w:val="0"/>
          <w:sz w:val="24"/>
          <w:szCs w:val="24"/>
          <w:highlight w:val="none"/>
          <w:u w:val="single"/>
        </w:rPr>
        <w:t xml:space="preserve">17日历日 </w:t>
      </w:r>
      <w:r>
        <w:rPr>
          <w:rFonts w:hint="eastAsia" w:asciiTheme="minorEastAsia" w:hAnsiTheme="minorEastAsia" w:eastAsiaTheme="minorEastAsia" w:cstheme="minorEastAsia"/>
          <w:b w:val="0"/>
          <w:bCs/>
          <w:color w:val="auto"/>
          <w:kern w:val="0"/>
          <w:sz w:val="24"/>
          <w:szCs w:val="24"/>
          <w:highlight w:val="none"/>
        </w:rPr>
        <w:t>。</w:t>
      </w:r>
    </w:p>
    <w:p>
      <w:pPr>
        <w:numPr>
          <w:ilvl w:val="0"/>
          <w:numId w:val="3"/>
        </w:num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承包人根据工程进度申请支付工程款，每期工程进度款按以下方式选择支付：</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sym w:font="Wingdings" w:char="00A8"/>
      </w:r>
      <w:r>
        <w:rPr>
          <w:rFonts w:hint="eastAsia" w:asciiTheme="minorEastAsia" w:hAnsiTheme="minorEastAsia" w:eastAsiaTheme="minorEastAsia" w:cstheme="minorEastAsia"/>
          <w:b w:val="0"/>
          <w:bCs/>
          <w:color w:val="auto"/>
          <w:kern w:val="0"/>
          <w:sz w:val="24"/>
          <w:szCs w:val="24"/>
          <w:highlight w:val="none"/>
        </w:rPr>
        <w:t>按实际完成工程量的60%支付：</w:t>
      </w:r>
    </w:p>
    <w:p>
      <w:pPr>
        <w:spacing w:line="360" w:lineRule="auto"/>
        <w:ind w:left="220" w:leftChars="100" w:firstLine="240" w:firstLineChars="1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u w:val="single"/>
        </w:rPr>
        <w:t xml:space="preserve">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sym w:font="Wingdings" w:char="00A8"/>
      </w:r>
      <w:r>
        <w:rPr>
          <w:rFonts w:hint="eastAsia" w:asciiTheme="minorEastAsia" w:hAnsiTheme="minorEastAsia" w:eastAsiaTheme="minorEastAsia" w:cstheme="minorEastAsia"/>
          <w:b w:val="0"/>
          <w:bCs/>
          <w:color w:val="auto"/>
          <w:kern w:val="0"/>
          <w:sz w:val="24"/>
          <w:szCs w:val="24"/>
          <w:highlight w:val="none"/>
        </w:rPr>
        <w:t>按形象进度支付：</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u w:val="single"/>
        </w:rPr>
        <w:t xml:space="preserve">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sym w:font="Wingdings" w:char="00A8"/>
      </w:r>
      <w:r>
        <w:rPr>
          <w:rFonts w:hint="eastAsia" w:asciiTheme="minorEastAsia" w:hAnsiTheme="minorEastAsia" w:eastAsiaTheme="minorEastAsia" w:cstheme="minorEastAsia"/>
          <w:b w:val="0"/>
          <w:bCs/>
          <w:color w:val="auto"/>
          <w:kern w:val="0"/>
          <w:sz w:val="24"/>
          <w:szCs w:val="24"/>
          <w:highlight w:val="none"/>
        </w:rPr>
        <w:t>按月实际完成工程量</w:t>
      </w:r>
      <w:r>
        <w:rPr>
          <w:rFonts w:hint="eastAsia" w:asciiTheme="minorEastAsia" w:hAnsiTheme="minorEastAsia" w:eastAsiaTheme="minorEastAsia" w:cstheme="minorEastAsia"/>
          <w:b w:val="0"/>
          <w:bCs/>
          <w:color w:val="auto"/>
          <w:kern w:val="0"/>
          <w:sz w:val="24"/>
          <w:szCs w:val="24"/>
          <w:highlight w:val="none"/>
          <w:u w:val="single"/>
        </w:rPr>
        <w:t>/</w:t>
      </w:r>
      <w:r>
        <w:rPr>
          <w:rFonts w:hint="eastAsia" w:asciiTheme="minorEastAsia" w:hAnsiTheme="minorEastAsia" w:eastAsiaTheme="minorEastAsia" w:cstheme="minorEastAsia"/>
          <w:b w:val="0"/>
          <w:bCs/>
          <w:color w:val="auto"/>
          <w:kern w:val="0"/>
          <w:sz w:val="24"/>
          <w:szCs w:val="24"/>
          <w:highlight w:val="none"/>
        </w:rPr>
        <w:t>%支付；</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sym w:font="Wingdings" w:char="00A8"/>
      </w:r>
      <w:r>
        <w:rPr>
          <w:rFonts w:hint="eastAsia" w:asciiTheme="minorEastAsia" w:hAnsiTheme="minorEastAsia" w:eastAsiaTheme="minorEastAsia" w:cstheme="minorEastAsia"/>
          <w:b w:val="0"/>
          <w:bCs/>
          <w:color w:val="auto"/>
          <w:kern w:val="0"/>
          <w:sz w:val="24"/>
          <w:szCs w:val="24"/>
          <w:highlight w:val="none"/>
        </w:rPr>
        <w:t>其它：</w:t>
      </w:r>
      <w:r>
        <w:rPr>
          <w:rFonts w:hint="eastAsia" w:asciiTheme="minorEastAsia" w:hAnsiTheme="minorEastAsia" w:eastAsiaTheme="minorEastAsia" w:cstheme="minorEastAsia"/>
          <w:b w:val="0"/>
          <w:bCs/>
          <w:color w:val="auto"/>
          <w:kern w:val="0"/>
          <w:sz w:val="24"/>
          <w:szCs w:val="24"/>
          <w:highlight w:val="none"/>
          <w:u w:val="single"/>
        </w:rPr>
        <w:t xml:space="preserve">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双方约定的工程款（进度款）支付方式和时间：建设项目工程款按照工程进度的60%进行支付；项目竣工结算审核报告完成后，发包人凭承包人提供的书面确认书（即截至该确认书时，合同履行过程中无任何异议）支付到工程造价单位出具的结算审核报告审定的工程结算价款的80%；财务批复后，支付到工程决算价的97%，剩余3%作为工程质量保证（保修）金，待缺陷责任期结束，双方无异议后支付。</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承包人在施工期间不得拖欠工人工资，否则，发包人有权自主将工程进度款用于支付被拖欠的工人工资。</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发包人逾期支付进度款的违约金的计算方式： 无  。</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12.4.6 支付分解表的编制</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2.总价合同支付分解表的编制与审批：</w:t>
      </w:r>
      <w:r>
        <w:rPr>
          <w:rFonts w:hint="eastAsia" w:asciiTheme="minorEastAsia" w:hAnsiTheme="minorEastAsia" w:eastAsiaTheme="minorEastAsia" w:cstheme="minorEastAsia"/>
          <w:b w:val="0"/>
          <w:bCs/>
          <w:color w:val="auto"/>
          <w:kern w:val="0"/>
          <w:sz w:val="24"/>
          <w:szCs w:val="24"/>
          <w:highlight w:val="none"/>
          <w:u w:val="single"/>
        </w:rPr>
        <w:t xml:space="preserve">无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3.单价合同的总价项目支付分解表的编制与审批：</w:t>
      </w:r>
      <w:r>
        <w:rPr>
          <w:rFonts w:hint="eastAsia" w:asciiTheme="minorEastAsia" w:hAnsiTheme="minorEastAsia" w:eastAsiaTheme="minorEastAsia" w:cstheme="minorEastAsia"/>
          <w:b w:val="0"/>
          <w:bCs/>
          <w:color w:val="auto"/>
          <w:kern w:val="0"/>
          <w:sz w:val="24"/>
          <w:szCs w:val="24"/>
          <w:highlight w:val="none"/>
          <w:u w:val="single"/>
        </w:rPr>
        <w:t xml:space="preserve">无  </w:t>
      </w:r>
      <w:r>
        <w:rPr>
          <w:rFonts w:hint="eastAsia" w:asciiTheme="minorEastAsia" w:hAnsiTheme="minorEastAsia" w:eastAsiaTheme="minorEastAsia" w:cstheme="minorEastAsia"/>
          <w:b w:val="0"/>
          <w:bCs/>
          <w:color w:val="auto"/>
          <w:kern w:val="0"/>
          <w:sz w:val="24"/>
          <w:szCs w:val="24"/>
          <w:highlight w:val="none"/>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13. 验收和工程试车</w:t>
      </w:r>
      <w:bookmarkEnd w:id="520"/>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13.1 分部分项工程验收</w:t>
      </w:r>
    </w:p>
    <w:p>
      <w:pPr>
        <w:autoSpaceDE/>
        <w:autoSpaceDN/>
        <w:spacing w:line="360" w:lineRule="auto"/>
        <w:ind w:firstLine="480" w:firstLineChars="200"/>
        <w:jc w:val="left"/>
        <w:rPr>
          <w:rFonts w:hint="eastAsia" w:asciiTheme="minorEastAsia" w:hAnsiTheme="minorEastAsia" w:eastAsiaTheme="minorEastAsia" w:cstheme="minorEastAsia"/>
          <w:kern w:val="2"/>
          <w:sz w:val="24"/>
          <w:szCs w:val="24"/>
          <w:lang w:val="en-US" w:bidi="ar-SA"/>
        </w:rPr>
      </w:pPr>
      <w:r>
        <w:rPr>
          <w:rFonts w:hint="eastAsia" w:asciiTheme="minorEastAsia" w:hAnsiTheme="minorEastAsia" w:eastAsiaTheme="minorEastAsia" w:cstheme="minorEastAsia"/>
          <w:kern w:val="2"/>
          <w:sz w:val="24"/>
          <w:szCs w:val="24"/>
          <w:lang w:val="en-US" w:bidi="ar-SA"/>
        </w:rPr>
        <w:t>13.1.2监理人不能按时进行验收时，应提前</w:t>
      </w:r>
      <w:r>
        <w:rPr>
          <w:rFonts w:hint="eastAsia" w:asciiTheme="minorEastAsia" w:hAnsiTheme="minorEastAsia" w:eastAsiaTheme="minorEastAsia" w:cstheme="minorEastAsia"/>
          <w:kern w:val="2"/>
          <w:sz w:val="24"/>
          <w:szCs w:val="24"/>
          <w:u w:val="single"/>
          <w:lang w:val="en-US" w:bidi="ar-SA"/>
        </w:rPr>
        <w:t xml:space="preserve"> </w:t>
      </w:r>
      <w:r>
        <w:rPr>
          <w:rFonts w:hint="eastAsia" w:asciiTheme="minorEastAsia" w:hAnsiTheme="minorEastAsia" w:eastAsiaTheme="minorEastAsia" w:cstheme="minorEastAsia"/>
          <w:kern w:val="2"/>
          <w:sz w:val="24"/>
          <w:szCs w:val="24"/>
          <w:u w:val="single"/>
          <w:lang w:val="en-US" w:eastAsia="zh-CN" w:bidi="ar-SA"/>
        </w:rPr>
        <w:t>24</w:t>
      </w:r>
      <w:r>
        <w:rPr>
          <w:rFonts w:hint="eastAsia" w:asciiTheme="minorEastAsia" w:hAnsiTheme="minorEastAsia" w:eastAsiaTheme="minorEastAsia" w:cstheme="minorEastAsia"/>
          <w:kern w:val="2"/>
          <w:sz w:val="24"/>
          <w:szCs w:val="24"/>
          <w:u w:val="single"/>
          <w:lang w:val="en-US" w:bidi="ar-SA"/>
        </w:rPr>
        <w:t xml:space="preserve"> </w:t>
      </w:r>
      <w:r>
        <w:rPr>
          <w:rFonts w:hint="eastAsia" w:asciiTheme="minorEastAsia" w:hAnsiTheme="minorEastAsia" w:eastAsiaTheme="minorEastAsia" w:cstheme="minorEastAsia"/>
          <w:kern w:val="2"/>
          <w:sz w:val="24"/>
          <w:szCs w:val="24"/>
          <w:lang w:val="en-US" w:bidi="ar-SA"/>
        </w:rPr>
        <w:t>小时提交书面延期要求。</w:t>
      </w:r>
    </w:p>
    <w:p>
      <w:pPr>
        <w:autoSpaceDE/>
        <w:autoSpaceDN/>
        <w:spacing w:line="360" w:lineRule="auto"/>
        <w:ind w:firstLine="480" w:firstLineChars="200"/>
        <w:jc w:val="left"/>
        <w:rPr>
          <w:rFonts w:hint="eastAsia" w:asciiTheme="minorEastAsia" w:hAnsiTheme="minorEastAsia" w:eastAsiaTheme="minorEastAsia" w:cstheme="minorEastAsia"/>
          <w:b/>
          <w:color w:val="000000"/>
          <w:kern w:val="2"/>
          <w:sz w:val="24"/>
          <w:szCs w:val="24"/>
          <w:lang w:val="en-US" w:bidi="ar-SA"/>
        </w:rPr>
      </w:pPr>
      <w:r>
        <w:rPr>
          <w:rFonts w:hint="eastAsia" w:asciiTheme="minorEastAsia" w:hAnsiTheme="minorEastAsia" w:eastAsiaTheme="minorEastAsia" w:cstheme="minorEastAsia"/>
          <w:kern w:val="2"/>
          <w:sz w:val="24"/>
          <w:szCs w:val="24"/>
          <w:lang w:val="en-US" w:bidi="ar-SA"/>
        </w:rPr>
        <w:t>关于延期最长不得超过：</w:t>
      </w:r>
      <w:r>
        <w:rPr>
          <w:rFonts w:hint="eastAsia" w:asciiTheme="minorEastAsia" w:hAnsiTheme="minorEastAsia" w:eastAsiaTheme="minorEastAsia" w:cstheme="minorEastAsia"/>
          <w:kern w:val="2"/>
          <w:sz w:val="24"/>
          <w:szCs w:val="24"/>
          <w:u w:val="single"/>
          <w:lang w:val="en-US" w:bidi="ar-SA"/>
        </w:rPr>
        <w:t xml:space="preserve"> </w:t>
      </w:r>
      <w:r>
        <w:rPr>
          <w:rFonts w:hint="eastAsia" w:asciiTheme="minorEastAsia" w:hAnsiTheme="minorEastAsia" w:eastAsiaTheme="minorEastAsia" w:cstheme="minorEastAsia"/>
          <w:kern w:val="2"/>
          <w:sz w:val="24"/>
          <w:szCs w:val="24"/>
          <w:u w:val="single"/>
          <w:lang w:val="en-US" w:eastAsia="zh-CN" w:bidi="ar-SA"/>
        </w:rPr>
        <w:t>48</w:t>
      </w:r>
      <w:r>
        <w:rPr>
          <w:rFonts w:hint="eastAsia" w:asciiTheme="minorEastAsia" w:hAnsiTheme="minorEastAsia" w:eastAsiaTheme="minorEastAsia" w:cstheme="minorEastAsia"/>
          <w:kern w:val="2"/>
          <w:sz w:val="24"/>
          <w:szCs w:val="24"/>
          <w:u w:val="single"/>
          <w:lang w:val="en-US" w:bidi="ar-SA"/>
        </w:rPr>
        <w:t xml:space="preserve"> </w:t>
      </w:r>
      <w:r>
        <w:rPr>
          <w:rFonts w:hint="eastAsia" w:asciiTheme="minorEastAsia" w:hAnsiTheme="minorEastAsia" w:eastAsiaTheme="minorEastAsia" w:cstheme="minorEastAsia"/>
          <w:kern w:val="2"/>
          <w:sz w:val="24"/>
          <w:szCs w:val="24"/>
          <w:lang w:val="en-US" w:bidi="ar-SA"/>
        </w:rPr>
        <w:t>小时。</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bookmarkStart w:id="575" w:name="_Toc296891263"/>
      <w:bookmarkStart w:id="576" w:name="_Toc292559428"/>
      <w:bookmarkStart w:id="577" w:name="_Toc297048409"/>
      <w:bookmarkStart w:id="578" w:name="_Toc300935016"/>
      <w:bookmarkStart w:id="579" w:name="_Toc296503223"/>
      <w:bookmarkStart w:id="580" w:name="_Toc304295596"/>
      <w:bookmarkStart w:id="581" w:name="_Toc296891051"/>
      <w:bookmarkStart w:id="582" w:name="_Toc297123565"/>
      <w:bookmarkStart w:id="583" w:name="_Toc303539173"/>
      <w:bookmarkStart w:id="584" w:name="_Toc297120523"/>
      <w:bookmarkStart w:id="585" w:name="_Toc297216224"/>
      <w:bookmarkStart w:id="586" w:name="_Toc292559933"/>
      <w:bookmarkStart w:id="587" w:name="_Toc312678056"/>
      <w:bookmarkStart w:id="588" w:name="_Toc296346724"/>
      <w:bookmarkStart w:id="589" w:name="_Toc296347222"/>
      <w:bookmarkStart w:id="590" w:name="_Toc296944562"/>
      <w:bookmarkStart w:id="591" w:name="_Toc267251475"/>
      <w:bookmarkStart w:id="592" w:name="_Toc267251470"/>
      <w:bookmarkStart w:id="593" w:name="_Toc267251471"/>
      <w:bookmarkStart w:id="594" w:name="_Toc267251476"/>
      <w:bookmarkStart w:id="595" w:name="_Toc267251472"/>
      <w:bookmarkStart w:id="596" w:name="_Toc267251473"/>
      <w:bookmarkStart w:id="597" w:name="_Toc267251474"/>
      <w:r>
        <w:rPr>
          <w:rFonts w:hint="eastAsia" w:asciiTheme="minorEastAsia" w:hAnsiTheme="minorEastAsia" w:eastAsiaTheme="minorEastAsia" w:cstheme="minorEastAsia"/>
          <w:color w:val="000000"/>
          <w:kern w:val="2"/>
          <w:sz w:val="24"/>
          <w:szCs w:val="24"/>
          <w:lang w:val="en-US" w:bidi="ar-SA"/>
        </w:rPr>
        <w:t>13.2 竣工验收</w:t>
      </w:r>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bookmarkStart w:id="598" w:name="_Toc280868704"/>
      <w:bookmarkStart w:id="599" w:name="_Toc280868705"/>
      <w:bookmarkStart w:id="600" w:name="_Toc280868706"/>
      <w:bookmarkStart w:id="601" w:name="_Toc280868707"/>
      <w:bookmarkStart w:id="602" w:name="_Toc280868708"/>
      <w:bookmarkStart w:id="603" w:name="_Toc280868709"/>
      <w:r>
        <w:rPr>
          <w:rFonts w:hint="eastAsia" w:asciiTheme="minorEastAsia" w:hAnsiTheme="minorEastAsia" w:eastAsiaTheme="minorEastAsia" w:cstheme="minorEastAsia"/>
          <w:color w:val="000000"/>
          <w:kern w:val="2"/>
          <w:sz w:val="24"/>
          <w:szCs w:val="24"/>
          <w:lang w:val="en-US" w:bidi="ar-SA"/>
        </w:rPr>
        <w:t>13.2.2竣工验收程序</w:t>
      </w:r>
    </w:p>
    <w:bookmarkEnd w:id="598"/>
    <w:p>
      <w:pPr>
        <w:autoSpaceDE/>
        <w:autoSpaceDN/>
        <w:spacing w:line="360" w:lineRule="auto"/>
        <w:ind w:left="4945" w:leftChars="284" w:hanging="4320" w:hangingChars="18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0"/>
          <w:sz w:val="24"/>
          <w:szCs w:val="24"/>
          <w:lang w:val="en-US" w:bidi="ar-SA"/>
        </w:rPr>
        <w:t>关于竣工验收程序的约定：</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color w:val="000000"/>
          <w:kern w:val="2"/>
          <w:sz w:val="24"/>
          <w:szCs w:val="24"/>
          <w:u w:val="single"/>
          <w:lang w:val="en-US" w:bidi="ar-SA"/>
        </w:rPr>
        <w:t>按</w:t>
      </w:r>
      <w:r>
        <w:rPr>
          <w:rStyle w:val="27"/>
          <w:rFonts w:hint="eastAsia" w:asciiTheme="minorEastAsia" w:hAnsiTheme="minorEastAsia" w:eastAsiaTheme="minorEastAsia" w:cstheme="minorEastAsia"/>
          <w:color w:val="000000"/>
          <w:kern w:val="2"/>
          <w:sz w:val="24"/>
          <w:szCs w:val="24"/>
          <w:u w:val="single"/>
          <w:lang w:val="en-US" w:eastAsia="zh-CN" w:bidi="ar-SA"/>
        </w:rPr>
        <w:t>通用条款执行</w:t>
      </w:r>
      <w:r>
        <w:rPr>
          <w:rStyle w:val="27"/>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0"/>
          <w:sz w:val="24"/>
          <w:szCs w:val="24"/>
          <w:lang w:val="en-US" w:bidi="ar-SA"/>
        </w:rPr>
        <w:t>发包人不按照本项约定组织竣工验收、颁发工程接收证书的违约金的计算方法：</w:t>
      </w:r>
      <w:r>
        <w:rPr>
          <w:rStyle w:val="27"/>
          <w:rFonts w:hint="eastAsia" w:asciiTheme="minorEastAsia" w:hAnsiTheme="minorEastAsia" w:eastAsiaTheme="minorEastAsia" w:cstheme="minorEastAsia"/>
          <w:color w:val="000000"/>
          <w:kern w:val="2"/>
          <w:sz w:val="24"/>
          <w:szCs w:val="24"/>
          <w:u w:val="single"/>
          <w:lang w:val="en-US" w:bidi="ar-SA"/>
        </w:rPr>
        <w:t>按</w:t>
      </w:r>
      <w:r>
        <w:rPr>
          <w:rStyle w:val="27"/>
          <w:rFonts w:hint="eastAsia" w:asciiTheme="minorEastAsia" w:hAnsiTheme="minorEastAsia" w:eastAsiaTheme="minorEastAsia" w:cstheme="minorEastAsia"/>
          <w:color w:val="000000"/>
          <w:kern w:val="2"/>
          <w:sz w:val="24"/>
          <w:szCs w:val="24"/>
          <w:u w:val="single"/>
          <w:lang w:val="en-US" w:eastAsia="zh-CN" w:bidi="ar-SA"/>
        </w:rPr>
        <w:t>通用条款执行</w:t>
      </w:r>
      <w:r>
        <w:rPr>
          <w:rStyle w:val="27"/>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bookmarkEnd w:id="599"/>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13.2.5移交、接收全部与部分工程</w:t>
      </w:r>
    </w:p>
    <w:bookmarkEnd w:id="600"/>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承包人向发包人移交工程的期限：</w:t>
      </w:r>
      <w:r>
        <w:rPr>
          <w:rStyle w:val="27"/>
          <w:rFonts w:hint="eastAsia" w:asciiTheme="minorEastAsia" w:hAnsiTheme="minorEastAsia" w:eastAsiaTheme="minorEastAsia" w:cstheme="minorEastAsia"/>
          <w:color w:val="000000"/>
          <w:kern w:val="2"/>
          <w:sz w:val="24"/>
          <w:szCs w:val="24"/>
          <w:u w:val="single"/>
          <w:lang w:val="en-US" w:bidi="ar-SA"/>
        </w:rPr>
        <w:t>在颁发工程接收证书后7天内完成工程的移交</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0"/>
          <w:sz w:val="24"/>
          <w:szCs w:val="24"/>
          <w:lang w:val="en-US" w:bidi="ar-SA"/>
        </w:rPr>
        <w:t>发包人未按本合同约定接收全部或部分工程的，违约金的计算方法为：</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color w:val="000000"/>
          <w:kern w:val="2"/>
          <w:sz w:val="24"/>
          <w:szCs w:val="24"/>
          <w:u w:val="single"/>
          <w:lang w:val="en-US" w:bidi="ar-SA"/>
        </w:rPr>
        <w:t>自应当接收工程之日起，承担工程照看、产品保护、保管等与工程有关的各项费用</w:t>
      </w:r>
      <w:r>
        <w:rPr>
          <w:rFonts w:hint="eastAsia" w:asciiTheme="minorEastAsia" w:hAnsiTheme="minorEastAsia" w:eastAsiaTheme="minorEastAsia" w:cstheme="minorEastAsia"/>
          <w:color w:val="000000"/>
          <w:kern w:val="2"/>
          <w:sz w:val="24"/>
          <w:szCs w:val="24"/>
          <w:lang w:val="en-US" w:bidi="ar-SA"/>
        </w:rPr>
        <w:t>。</w:t>
      </w:r>
    </w:p>
    <w:bookmarkEnd w:id="601"/>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承包人未按时移交工程的，违约金的计算方法为：</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color w:val="auto"/>
          <w:kern w:val="2"/>
          <w:sz w:val="24"/>
          <w:szCs w:val="24"/>
          <w:u w:val="single"/>
          <w:lang w:val="en-US" w:eastAsia="zh-CN" w:bidi="ar-SA"/>
        </w:rPr>
        <w:t>按合同总价的10%向发包人支付违约金</w:t>
      </w:r>
      <w:r>
        <w:rPr>
          <w:rFonts w:hint="eastAsia" w:asciiTheme="minorEastAsia" w:hAnsiTheme="minorEastAsia" w:eastAsiaTheme="minorEastAsia" w:cstheme="minorEastAsia"/>
          <w:color w:val="000000"/>
          <w:kern w:val="2"/>
          <w:sz w:val="24"/>
          <w:szCs w:val="24"/>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13.3 工程试车</w:t>
      </w:r>
    </w:p>
    <w:bookmarkEnd w:id="602"/>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13.3.1 试车程序</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工程试车内容：</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color w:val="000000"/>
          <w:kern w:val="2"/>
          <w:sz w:val="24"/>
          <w:szCs w:val="24"/>
          <w:u w:val="single"/>
          <w:lang w:val="en-US" w:eastAsia="zh-CN" w:bidi="ar-SA"/>
        </w:rPr>
        <w:t>/</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（1）单机无负荷试车费用由</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承包人</w:t>
      </w:r>
      <w:r>
        <w:rPr>
          <w:rStyle w:val="27"/>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0"/>
          <w:sz w:val="24"/>
          <w:szCs w:val="24"/>
          <w:lang w:val="en-US" w:bidi="ar-SA"/>
        </w:rPr>
        <w:t>承担；</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（2）无负荷联动试车费用由</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color w:val="000000"/>
          <w:kern w:val="2"/>
          <w:sz w:val="24"/>
          <w:szCs w:val="24"/>
          <w:u w:val="single"/>
          <w:lang w:val="en-US" w:eastAsia="zh-CN" w:bidi="ar-SA"/>
        </w:rPr>
        <w:t>承包人</w:t>
      </w:r>
      <w:r>
        <w:rPr>
          <w:rStyle w:val="27"/>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0"/>
          <w:sz w:val="24"/>
          <w:szCs w:val="24"/>
          <w:lang w:val="en-US" w:bidi="ar-SA"/>
        </w:rPr>
        <w:t>承担。</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13.3.3 投料试车</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关于投料试车相关事项的约定：</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color w:val="000000"/>
          <w:kern w:val="2"/>
          <w:sz w:val="24"/>
          <w:szCs w:val="24"/>
          <w:u w:val="single"/>
          <w:lang w:val="en-US" w:eastAsia="zh-CN" w:bidi="ar-SA"/>
        </w:rPr>
        <w:t>/</w:t>
      </w:r>
      <w:r>
        <w:rPr>
          <w:rFonts w:hint="eastAsia" w:asciiTheme="minorEastAsia" w:hAnsiTheme="minorEastAsia" w:eastAsiaTheme="minorEastAsia" w:cstheme="minorEastAsia"/>
          <w:color w:val="000000"/>
          <w:kern w:val="2"/>
          <w:sz w:val="24"/>
          <w:szCs w:val="24"/>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13.6 竣工退场</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13.6.1 竣工退场</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承包人完成竣工退场的期限：</w:t>
      </w:r>
      <w:r>
        <w:rPr>
          <w:rFonts w:hint="eastAsia" w:asciiTheme="minorEastAsia" w:hAnsiTheme="minorEastAsia" w:eastAsiaTheme="minorEastAsia" w:cstheme="minorEastAsia"/>
          <w:color w:val="000000"/>
          <w:kern w:val="2"/>
          <w:sz w:val="24"/>
          <w:szCs w:val="24"/>
          <w:u w:val="single"/>
          <w:lang w:val="en-US" w:bidi="ar-SA"/>
        </w:rPr>
        <w:t xml:space="preserve"> </w:t>
      </w:r>
      <w:r>
        <w:rPr>
          <w:rStyle w:val="27"/>
          <w:rFonts w:hint="eastAsia" w:asciiTheme="minorEastAsia" w:hAnsiTheme="minorEastAsia" w:eastAsiaTheme="minorEastAsia" w:cstheme="minorEastAsia"/>
          <w:kern w:val="2"/>
          <w:sz w:val="24"/>
          <w:szCs w:val="24"/>
          <w:u w:val="single"/>
          <w:lang w:val="en-US" w:eastAsia="zh-CN" w:bidi="ar-SA"/>
        </w:rPr>
        <w:t>/</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0"/>
          <w:sz w:val="24"/>
          <w:szCs w:val="24"/>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000000"/>
          <w:kern w:val="2"/>
          <w:sz w:val="24"/>
          <w:szCs w:val="24"/>
          <w:lang w:val="en-US" w:eastAsia="zh-CN" w:bidi="ar-SA"/>
        </w:rPr>
      </w:pPr>
      <w:bookmarkStart w:id="604" w:name="_Toc351203646"/>
      <w:r>
        <w:rPr>
          <w:rFonts w:hint="eastAsia" w:asciiTheme="minorEastAsia" w:hAnsiTheme="minorEastAsia" w:eastAsiaTheme="minorEastAsia" w:cstheme="minorEastAsia"/>
          <w:b w:val="0"/>
          <w:bCs/>
          <w:color w:val="000000"/>
          <w:kern w:val="2"/>
          <w:sz w:val="24"/>
          <w:szCs w:val="24"/>
          <w:lang w:val="en-US" w:eastAsia="zh-CN" w:bidi="ar-SA"/>
        </w:rPr>
        <w:t>14. 竣工结算</w:t>
      </w:r>
      <w:bookmarkEnd w:id="604"/>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14.1 竣工结算申请</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承包人提交竣工结算申请单的期限：</w:t>
      </w:r>
      <w:bookmarkStart w:id="605" w:name="_Hlk60320596"/>
      <w:r>
        <w:rPr>
          <w:rFonts w:hint="eastAsia" w:asciiTheme="minorEastAsia" w:hAnsiTheme="minorEastAsia" w:eastAsiaTheme="minorEastAsia" w:cstheme="minorEastAsia"/>
          <w:b w:val="0"/>
          <w:bCs/>
          <w:color w:val="auto"/>
          <w:kern w:val="0"/>
          <w:sz w:val="24"/>
          <w:szCs w:val="24"/>
          <w:highlight w:val="none"/>
          <w:u w:val="single"/>
        </w:rPr>
        <w:t>执行通用条款</w:t>
      </w:r>
      <w:bookmarkEnd w:id="605"/>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竣工结算申请单应包括的内容：</w:t>
      </w:r>
      <w:bookmarkStart w:id="606" w:name="_Hlk60320624"/>
      <w:r>
        <w:rPr>
          <w:rFonts w:hint="eastAsia" w:asciiTheme="minorEastAsia" w:hAnsiTheme="minorEastAsia" w:eastAsiaTheme="minorEastAsia" w:cstheme="minorEastAsia"/>
          <w:b w:val="0"/>
          <w:bCs/>
          <w:color w:val="auto"/>
          <w:kern w:val="0"/>
          <w:sz w:val="24"/>
          <w:szCs w:val="24"/>
          <w:highlight w:val="none"/>
          <w:u w:val="single"/>
        </w:rPr>
        <w:t>除通用条款约定外还需提供以下资料：</w:t>
      </w:r>
      <w:bookmarkEnd w:id="606"/>
      <w:r>
        <w:rPr>
          <w:rFonts w:hint="eastAsia" w:asciiTheme="minorEastAsia" w:hAnsiTheme="minorEastAsia" w:eastAsiaTheme="minorEastAsia" w:cstheme="minorEastAsia"/>
          <w:b w:val="0"/>
          <w:bCs/>
          <w:color w:val="auto"/>
          <w:kern w:val="0"/>
          <w:sz w:val="24"/>
          <w:szCs w:val="24"/>
          <w:highlight w:val="none"/>
          <w:u w:val="single"/>
        </w:rPr>
        <w:t>（1）工程结算书纸质版四份，完整电子版一份；（2）本项目完整的竣工图、工程变更、签证四套；（3）招标文件及投标时的施工组织设计（原件）；（4）经济标（纸质版及GCCP6.0版，纸质版加盖公章和造价人员印章）；中标后审批通过的施工组织设计（原件）；（5）中标通知书（入围会议纪要（可以是复印件））；（6）开工报告（原件）、建设承包合同（施工合同）（原件）；（7）竣工报告（原件）、竣工验收报告（原件）；（8）与工程价款确定相关的会议纪要、联系函、变更签证部分主材询价定价确认单等其它证据资料</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u w:val="single"/>
        </w:rPr>
        <w:t>承包人报送的竣工结算金额必须真实准确，不得虚报、冒报。承包人报送的竣工结算金额超过最终结算金额，若审减额（承包人结算送审金额与监理单位结算审定金额之差）超过10%（含10%）时，发包人有权在工程结算定案金额的基础上扣减3%的金额作为对承包人的处罚。</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bookmarkStart w:id="607" w:name="_Toc30710"/>
      <w:r>
        <w:rPr>
          <w:rFonts w:hint="eastAsia" w:asciiTheme="minorEastAsia" w:hAnsiTheme="minorEastAsia" w:eastAsiaTheme="minorEastAsia" w:cstheme="minorEastAsia"/>
          <w:b w:val="0"/>
          <w:bCs/>
          <w:color w:val="auto"/>
          <w:kern w:val="0"/>
          <w:sz w:val="24"/>
          <w:szCs w:val="24"/>
          <w:highlight w:val="none"/>
        </w:rPr>
        <w:t>14.2 竣工结算审核</w:t>
      </w:r>
      <w:bookmarkEnd w:id="607"/>
    </w:p>
    <w:p>
      <w:pPr>
        <w:spacing w:line="360" w:lineRule="auto"/>
        <w:ind w:left="312" w:leftChars="142" w:firstLine="240" w:firstLineChars="100"/>
        <w:outlineLvl w:val="2"/>
        <w:rPr>
          <w:rFonts w:hint="eastAsia" w:asciiTheme="minorEastAsia" w:hAnsiTheme="minorEastAsia" w:eastAsiaTheme="minorEastAsia" w:cstheme="minorEastAsia"/>
          <w:b w:val="0"/>
          <w:bCs/>
          <w:color w:val="auto"/>
          <w:kern w:val="0"/>
          <w:sz w:val="24"/>
          <w:szCs w:val="24"/>
          <w:highlight w:val="none"/>
        </w:rPr>
      </w:pPr>
      <w:bookmarkStart w:id="608" w:name="_Toc2011675479"/>
      <w:bookmarkStart w:id="609" w:name="_Toc1509410444"/>
      <w:r>
        <w:rPr>
          <w:rFonts w:hint="eastAsia" w:asciiTheme="minorEastAsia" w:hAnsiTheme="minorEastAsia" w:eastAsiaTheme="minorEastAsia" w:cstheme="minorEastAsia"/>
          <w:b w:val="0"/>
          <w:bCs/>
          <w:color w:val="auto"/>
          <w:kern w:val="0"/>
          <w:sz w:val="24"/>
          <w:szCs w:val="24"/>
          <w:highlight w:val="none"/>
        </w:rPr>
        <w:t>发包人审批竣工付款申请单的期限：</w:t>
      </w:r>
      <w:r>
        <w:rPr>
          <w:rFonts w:hint="eastAsia" w:asciiTheme="minorEastAsia" w:hAnsiTheme="minorEastAsia" w:eastAsiaTheme="minorEastAsia" w:cstheme="minorEastAsia"/>
          <w:b w:val="0"/>
          <w:bCs/>
          <w:color w:val="auto"/>
          <w:kern w:val="0"/>
          <w:sz w:val="24"/>
          <w:szCs w:val="24"/>
          <w:highlight w:val="none"/>
          <w:u w:val="single"/>
        </w:rPr>
        <w:t xml:space="preserve"> 执行通用条款 </w:t>
      </w:r>
      <w:r>
        <w:rPr>
          <w:rFonts w:hint="eastAsia" w:asciiTheme="minorEastAsia" w:hAnsiTheme="minorEastAsia" w:eastAsiaTheme="minorEastAsia" w:cstheme="minorEastAsia"/>
          <w:b w:val="0"/>
          <w:bCs/>
          <w:color w:val="auto"/>
          <w:kern w:val="0"/>
          <w:sz w:val="24"/>
          <w:szCs w:val="24"/>
          <w:highlight w:val="none"/>
        </w:rPr>
        <w:t>。</w:t>
      </w:r>
      <w:bookmarkEnd w:id="608"/>
      <w:bookmarkEnd w:id="609"/>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10" w:name="_Toc1520911565"/>
      <w:bookmarkStart w:id="611" w:name="_Toc53832719"/>
      <w:r>
        <w:rPr>
          <w:rFonts w:hint="eastAsia" w:asciiTheme="minorEastAsia" w:hAnsiTheme="minorEastAsia" w:eastAsiaTheme="minorEastAsia" w:cstheme="minorEastAsia"/>
          <w:b w:val="0"/>
          <w:bCs/>
          <w:color w:val="auto"/>
          <w:kern w:val="0"/>
          <w:sz w:val="24"/>
          <w:szCs w:val="24"/>
          <w:highlight w:val="none"/>
        </w:rPr>
        <w:t>结算款支付方式及时间：执行12.4.4条款。</w:t>
      </w:r>
      <w:bookmarkEnd w:id="610"/>
      <w:bookmarkEnd w:id="611"/>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关于竣工付款证书异议部分复核的方式和程序：</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bookmarkStart w:id="612" w:name="_Toc10781"/>
      <w:r>
        <w:rPr>
          <w:rFonts w:hint="eastAsia" w:asciiTheme="minorEastAsia" w:hAnsiTheme="minorEastAsia" w:eastAsiaTheme="minorEastAsia" w:cstheme="minorEastAsia"/>
          <w:b w:val="0"/>
          <w:bCs/>
          <w:color w:val="auto"/>
          <w:kern w:val="0"/>
          <w:sz w:val="24"/>
          <w:szCs w:val="24"/>
          <w:highlight w:val="none"/>
        </w:rPr>
        <w:t>14.4 最终结清</w:t>
      </w:r>
      <w:bookmarkEnd w:id="612"/>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14.4.1 最终结清申请单</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承包人提交最终结清申请单的份数：</w:t>
      </w:r>
      <w:r>
        <w:rPr>
          <w:rFonts w:hint="eastAsia" w:asciiTheme="minorEastAsia" w:hAnsiTheme="minorEastAsia" w:eastAsiaTheme="minorEastAsia" w:cstheme="minorEastAsia"/>
          <w:b w:val="0"/>
          <w:bCs/>
          <w:color w:val="auto"/>
          <w:kern w:val="0"/>
          <w:sz w:val="24"/>
          <w:szCs w:val="24"/>
          <w:highlight w:val="none"/>
          <w:u w:val="single"/>
        </w:rPr>
        <w:t>4份</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承包人提交最终结算申请单的期限：</w:t>
      </w:r>
      <w:r>
        <w:rPr>
          <w:rFonts w:hint="eastAsia" w:asciiTheme="minorEastAsia" w:hAnsiTheme="minorEastAsia" w:eastAsiaTheme="minorEastAsia" w:cstheme="minorEastAsia"/>
          <w:b w:val="0"/>
          <w:bCs/>
          <w:color w:val="auto"/>
          <w:kern w:val="0"/>
          <w:sz w:val="24"/>
          <w:szCs w:val="24"/>
          <w:highlight w:val="none"/>
          <w:u w:val="single"/>
        </w:rPr>
        <w:t>竣工验收合格后7日内</w:t>
      </w:r>
      <w:r>
        <w:rPr>
          <w:rFonts w:hint="eastAsia" w:asciiTheme="minorEastAsia" w:hAnsiTheme="minorEastAsia" w:eastAsiaTheme="minorEastAsia" w:cstheme="minorEastAsia"/>
          <w:b w:val="0"/>
          <w:bCs/>
          <w:color w:val="auto"/>
          <w:kern w:val="0"/>
          <w:sz w:val="24"/>
          <w:szCs w:val="24"/>
          <w:highlight w:val="none"/>
        </w:rPr>
        <w:t xml:space="preserve">。 </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14.4.2 最终结清证书和支付</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 xml:space="preserve">（1）发包人完成最终结清申请单的审批并颁发最终结清证书的期限： </w:t>
      </w:r>
      <w:r>
        <w:rPr>
          <w:rFonts w:hint="eastAsia" w:asciiTheme="minorEastAsia" w:hAnsiTheme="minorEastAsia" w:eastAsiaTheme="minorEastAsia" w:cstheme="minorEastAsia"/>
          <w:b w:val="0"/>
          <w:bCs/>
          <w:color w:val="auto"/>
          <w:kern w:val="0"/>
          <w:sz w:val="24"/>
          <w:szCs w:val="24"/>
          <w:highlight w:val="none"/>
          <w:u w:val="single"/>
        </w:rPr>
        <w:t>/</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14.5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（3）工程竣工验收结算后</w:t>
      </w:r>
      <w:r>
        <w:rPr>
          <w:rFonts w:hint="eastAsia" w:asciiTheme="minorEastAsia" w:hAnsiTheme="minorEastAsia" w:eastAsiaTheme="minorEastAsia" w:cstheme="minorEastAsia"/>
          <w:b w:val="0"/>
          <w:bCs/>
          <w:color w:val="auto"/>
          <w:kern w:val="0"/>
          <w:sz w:val="24"/>
          <w:szCs w:val="24"/>
          <w:highlight w:val="none"/>
          <w:u w:val="single"/>
        </w:rPr>
        <w:t xml:space="preserve"> 30 </w:t>
      </w:r>
      <w:r>
        <w:rPr>
          <w:rFonts w:hint="eastAsia" w:asciiTheme="minorEastAsia" w:hAnsiTheme="minorEastAsia" w:eastAsiaTheme="minorEastAsia" w:cstheme="minorEastAsia"/>
          <w:b w:val="0"/>
          <w:bCs/>
          <w:color w:val="auto"/>
          <w:kern w:val="0"/>
          <w:sz w:val="24"/>
          <w:szCs w:val="24"/>
          <w:highlight w:val="none"/>
        </w:rPr>
        <w:t>天内，承包人应提供给发包人</w:t>
      </w:r>
      <w:r>
        <w:rPr>
          <w:rFonts w:hint="eastAsia" w:asciiTheme="minorEastAsia" w:hAnsiTheme="minorEastAsia" w:eastAsiaTheme="minorEastAsia" w:cstheme="minorEastAsia"/>
          <w:b w:val="0"/>
          <w:bCs/>
          <w:color w:val="auto"/>
          <w:kern w:val="0"/>
          <w:sz w:val="24"/>
          <w:szCs w:val="24"/>
          <w:highlight w:val="none"/>
          <w:u w:val="single"/>
        </w:rPr>
        <w:t xml:space="preserve"> 4 </w:t>
      </w:r>
      <w:r>
        <w:rPr>
          <w:rFonts w:hint="eastAsia" w:asciiTheme="minorEastAsia" w:hAnsiTheme="minorEastAsia" w:eastAsiaTheme="minorEastAsia" w:cstheme="minorEastAsia"/>
          <w:b w:val="0"/>
          <w:bCs/>
          <w:color w:val="auto"/>
          <w:kern w:val="0"/>
          <w:sz w:val="24"/>
          <w:szCs w:val="24"/>
          <w:highlight w:val="none"/>
        </w:rPr>
        <w:t>套完整符合要求的竣工图、竣工归档资料。</w:t>
      </w:r>
    </w:p>
    <w:p>
      <w:pPr>
        <w:autoSpaceDE/>
        <w:autoSpaceDN/>
        <w:spacing w:line="360" w:lineRule="auto"/>
        <w:ind w:firstLine="480" w:firstLineChars="200"/>
        <w:jc w:val="left"/>
        <w:rPr>
          <w:rFonts w:hint="eastAsia" w:asciiTheme="minorEastAsia" w:hAnsiTheme="minorEastAsia" w:eastAsiaTheme="minorEastAsia" w:cstheme="minorEastAsia"/>
          <w:b w:val="0"/>
          <w:bCs/>
          <w:color w:val="auto"/>
          <w:kern w:val="2"/>
          <w:sz w:val="24"/>
          <w:szCs w:val="24"/>
          <w:highlight w:val="none"/>
          <w:lang w:val="en-US" w:bidi="ar-SA"/>
        </w:rPr>
      </w:pPr>
      <w:r>
        <w:rPr>
          <w:rFonts w:hint="eastAsia" w:asciiTheme="minorEastAsia" w:hAnsiTheme="minorEastAsia" w:eastAsiaTheme="minorEastAsia" w:cstheme="minorEastAsia"/>
          <w:b w:val="0"/>
          <w:bCs/>
          <w:color w:val="auto"/>
          <w:kern w:val="0"/>
          <w:sz w:val="24"/>
          <w:szCs w:val="24"/>
          <w:highlight w:val="none"/>
        </w:rPr>
        <w:t>（4）因承包人拖延或不办理竣工归档资料时，经发包人催告，</w:t>
      </w:r>
      <w:r>
        <w:rPr>
          <w:rFonts w:hint="eastAsia" w:asciiTheme="minorEastAsia" w:hAnsiTheme="minorEastAsia" w:eastAsiaTheme="minorEastAsia" w:cstheme="minorEastAsia"/>
          <w:b w:val="0"/>
          <w:bCs/>
          <w:color w:val="auto"/>
          <w:kern w:val="0"/>
          <w:sz w:val="24"/>
          <w:szCs w:val="24"/>
          <w:highlight w:val="none"/>
          <w:u w:val="single"/>
        </w:rPr>
        <w:t xml:space="preserve">  3  </w:t>
      </w:r>
      <w:r>
        <w:rPr>
          <w:rFonts w:hint="eastAsia" w:asciiTheme="minorEastAsia" w:hAnsiTheme="minorEastAsia" w:eastAsiaTheme="minorEastAsia" w:cstheme="minorEastAsia"/>
          <w:b w:val="0"/>
          <w:bCs/>
          <w:color w:val="auto"/>
          <w:kern w:val="0"/>
          <w:sz w:val="24"/>
          <w:szCs w:val="24"/>
          <w:highlight w:val="none"/>
        </w:rPr>
        <w:t>个月内未按发包人要求提供相关竣工归档资料的，发包人有权委托第三方机构整理，相关费用由</w:t>
      </w:r>
      <w:r>
        <w:rPr>
          <w:rFonts w:hint="eastAsia" w:asciiTheme="minorEastAsia" w:hAnsiTheme="minorEastAsia" w:eastAsiaTheme="minorEastAsia" w:cstheme="minorEastAsia"/>
          <w:b w:val="0"/>
          <w:bCs/>
          <w:color w:val="auto"/>
          <w:kern w:val="0"/>
          <w:sz w:val="24"/>
          <w:szCs w:val="24"/>
          <w:highlight w:val="none"/>
          <w:u w:val="single"/>
        </w:rPr>
        <w:t xml:space="preserve"> 承包人  </w:t>
      </w:r>
      <w:r>
        <w:rPr>
          <w:rFonts w:hint="eastAsia" w:asciiTheme="minorEastAsia" w:hAnsiTheme="minorEastAsia" w:eastAsiaTheme="minorEastAsia" w:cstheme="minorEastAsia"/>
          <w:b w:val="0"/>
          <w:bCs/>
          <w:color w:val="auto"/>
          <w:kern w:val="0"/>
          <w:sz w:val="24"/>
          <w:szCs w:val="24"/>
          <w:highlight w:val="none"/>
        </w:rPr>
        <w:t>承担。</w:t>
      </w:r>
    </w:p>
    <w:bookmarkEnd w:id="591"/>
    <w:bookmarkEnd w:id="592"/>
    <w:bookmarkEnd w:id="593"/>
    <w:bookmarkEnd w:id="594"/>
    <w:bookmarkEnd w:id="595"/>
    <w:bookmarkEnd w:id="596"/>
    <w:bookmarkEnd w:id="597"/>
    <w:bookmarkEnd w:id="603"/>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000000"/>
          <w:kern w:val="2"/>
          <w:sz w:val="24"/>
          <w:szCs w:val="24"/>
          <w:lang w:val="en-US" w:eastAsia="zh-CN" w:bidi="ar-SA"/>
        </w:rPr>
      </w:pPr>
      <w:bookmarkStart w:id="613" w:name="_Toc351203647"/>
      <w:bookmarkStart w:id="614" w:name="_Toc267251483"/>
      <w:bookmarkStart w:id="615" w:name="_Toc267251482"/>
      <w:bookmarkStart w:id="616" w:name="_Toc267251484"/>
      <w:bookmarkStart w:id="617" w:name="_Toc267251485"/>
      <w:bookmarkStart w:id="618" w:name="_Toc267251488"/>
      <w:bookmarkStart w:id="619" w:name="_Toc267251490"/>
      <w:bookmarkStart w:id="620" w:name="_Toc267251486"/>
      <w:bookmarkStart w:id="621" w:name="_Toc267251489"/>
      <w:bookmarkStart w:id="622" w:name="_Toc267251496"/>
      <w:bookmarkStart w:id="623" w:name="_Toc267251495"/>
      <w:bookmarkStart w:id="624" w:name="_Toc267251510"/>
      <w:bookmarkStart w:id="625" w:name="_Toc267251506"/>
      <w:bookmarkStart w:id="626" w:name="_Toc267251494"/>
      <w:bookmarkStart w:id="627" w:name="_Toc267251493"/>
      <w:bookmarkStart w:id="628" w:name="_Toc267251492"/>
      <w:bookmarkStart w:id="629" w:name="_Toc267251509"/>
      <w:bookmarkStart w:id="630" w:name="_Toc267251514"/>
      <w:bookmarkStart w:id="631" w:name="_Toc267251491"/>
      <w:bookmarkStart w:id="632" w:name="_Toc267251499"/>
      <w:bookmarkStart w:id="633" w:name="_Toc267251503"/>
      <w:bookmarkStart w:id="634" w:name="_Toc267251508"/>
      <w:bookmarkStart w:id="635" w:name="_Toc267251498"/>
      <w:bookmarkStart w:id="636" w:name="_Toc267251513"/>
      <w:bookmarkStart w:id="637" w:name="_Toc267251507"/>
      <w:bookmarkStart w:id="638" w:name="_Toc267251497"/>
      <w:bookmarkStart w:id="639" w:name="_Toc267251511"/>
      <w:bookmarkStart w:id="640" w:name="_Toc267251504"/>
      <w:bookmarkStart w:id="641" w:name="_Toc267251501"/>
      <w:bookmarkStart w:id="642" w:name="_Toc267251515"/>
      <w:bookmarkStart w:id="643" w:name="_Toc267251502"/>
      <w:r>
        <w:rPr>
          <w:rFonts w:hint="eastAsia" w:asciiTheme="minorEastAsia" w:hAnsiTheme="minorEastAsia" w:eastAsiaTheme="minorEastAsia" w:cstheme="minorEastAsia"/>
          <w:b w:val="0"/>
          <w:bCs/>
          <w:color w:val="000000"/>
          <w:kern w:val="2"/>
          <w:sz w:val="24"/>
          <w:szCs w:val="24"/>
          <w:lang w:val="en-US" w:eastAsia="zh-CN" w:bidi="ar-SA"/>
        </w:rPr>
        <w:t>15. 缺陷责任期与保修</w:t>
      </w:r>
      <w:bookmarkEnd w:id="613"/>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15.2缺陷责任期</w:t>
      </w:r>
      <w:bookmarkEnd w:id="614"/>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缺陷责任期的具体期限：</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eastAsia="zh-CN" w:bidi="ar-SA"/>
        </w:rPr>
        <w:t>24个月</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15.3 质量保证金</w:t>
      </w:r>
    </w:p>
    <w:bookmarkEnd w:id="615"/>
    <w:bookmarkEnd w:id="616"/>
    <w:p>
      <w:pPr>
        <w:spacing w:line="360" w:lineRule="auto"/>
        <w:ind w:firstLine="480" w:firstLineChars="200"/>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工程质量保证金的支付方式和时间：工程质量保证金为结算款的</w:t>
      </w:r>
      <w:r>
        <w:rPr>
          <w:rFonts w:hint="eastAsia" w:asciiTheme="minorEastAsia" w:hAnsiTheme="minorEastAsia" w:eastAsiaTheme="minorEastAsia" w:cstheme="minorEastAsia"/>
          <w:b w:val="0"/>
          <w:bCs/>
          <w:color w:val="000000"/>
          <w:kern w:val="0"/>
          <w:sz w:val="24"/>
          <w:szCs w:val="24"/>
          <w:u w:val="single"/>
        </w:rPr>
        <w:t xml:space="preserve"> 3 </w:t>
      </w:r>
      <w:r>
        <w:rPr>
          <w:rFonts w:hint="eastAsia" w:asciiTheme="minorEastAsia" w:hAnsiTheme="minorEastAsia" w:eastAsiaTheme="minorEastAsia" w:cstheme="minorEastAsia"/>
          <w:b w:val="0"/>
          <w:bCs/>
          <w:color w:val="000000"/>
          <w:kern w:val="0"/>
          <w:sz w:val="24"/>
          <w:szCs w:val="24"/>
        </w:rPr>
        <w:t>%（≤3%），采用以下方式执行：</w:t>
      </w:r>
    </w:p>
    <w:p>
      <w:pPr>
        <w:spacing w:line="360" w:lineRule="auto"/>
        <w:ind w:firstLine="480" w:firstLineChars="200"/>
        <w:jc w:val="left"/>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sym w:font="Wingdings" w:char="00A8"/>
      </w:r>
      <w:r>
        <w:rPr>
          <w:rFonts w:hint="eastAsia" w:asciiTheme="minorEastAsia" w:hAnsiTheme="minorEastAsia" w:eastAsiaTheme="minorEastAsia" w:cstheme="minorEastAsia"/>
          <w:b w:val="0"/>
          <w:bCs/>
          <w:color w:val="000000"/>
          <w:kern w:val="0"/>
          <w:sz w:val="24"/>
          <w:szCs w:val="24"/>
        </w:rPr>
        <w:t>担保；</w:t>
      </w:r>
    </w:p>
    <w:p>
      <w:pPr>
        <w:spacing w:line="360" w:lineRule="auto"/>
        <w:ind w:firstLine="480" w:firstLineChars="200"/>
        <w:jc w:val="left"/>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sym w:font="Wingdings" w:char="00A8"/>
      </w:r>
      <w:r>
        <w:rPr>
          <w:rFonts w:hint="eastAsia" w:asciiTheme="minorEastAsia" w:hAnsiTheme="minorEastAsia" w:eastAsiaTheme="minorEastAsia" w:cstheme="minorEastAsia"/>
          <w:b w:val="0"/>
          <w:bCs/>
          <w:color w:val="000000"/>
          <w:kern w:val="0"/>
          <w:sz w:val="24"/>
          <w:szCs w:val="24"/>
        </w:rPr>
        <w:t>保险；</w:t>
      </w:r>
    </w:p>
    <w:p>
      <w:pPr>
        <w:spacing w:line="360" w:lineRule="auto"/>
        <w:ind w:firstLine="480" w:firstLineChars="200"/>
        <w:jc w:val="left"/>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sym w:font="Wingdings" w:char="00FE"/>
      </w:r>
      <w:r>
        <w:rPr>
          <w:rFonts w:hint="eastAsia" w:asciiTheme="minorEastAsia" w:hAnsiTheme="minorEastAsia" w:eastAsiaTheme="minorEastAsia" w:cstheme="minorEastAsia"/>
          <w:b w:val="0"/>
          <w:bCs/>
          <w:color w:val="000000"/>
          <w:kern w:val="0"/>
          <w:sz w:val="24"/>
          <w:szCs w:val="24"/>
        </w:rPr>
        <w:t>其他：</w:t>
      </w:r>
      <w:r>
        <w:rPr>
          <w:rFonts w:hint="eastAsia" w:asciiTheme="minorEastAsia" w:hAnsiTheme="minorEastAsia" w:eastAsiaTheme="minorEastAsia" w:cstheme="minorEastAsia"/>
          <w:b w:val="0"/>
          <w:bCs/>
          <w:kern w:val="0"/>
          <w:sz w:val="24"/>
          <w:szCs w:val="24"/>
          <w:u w:val="single"/>
        </w:rPr>
        <w:t>质量保证金的额度为工程结算定案价的 3%；质量保证金由发包人从工程款中扣留，且不计取利息等任何费用。</w:t>
      </w:r>
    </w:p>
    <w:p>
      <w:pPr>
        <w:spacing w:line="360" w:lineRule="auto"/>
        <w:ind w:firstLine="480" w:firstLineChars="200"/>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kern w:val="0"/>
          <w:sz w:val="24"/>
          <w:szCs w:val="24"/>
        </w:rPr>
        <w:t>承包人履行缺陷责任期内质量保修义务及绿化养护义务，</w:t>
      </w:r>
      <w:r>
        <w:rPr>
          <w:rFonts w:hint="eastAsia" w:asciiTheme="minorEastAsia" w:hAnsiTheme="minorEastAsia" w:eastAsiaTheme="minorEastAsia" w:cstheme="minorEastAsia"/>
          <w:b w:val="0"/>
          <w:bCs/>
          <w:color w:val="000000"/>
          <w:kern w:val="0"/>
          <w:sz w:val="24"/>
          <w:szCs w:val="24"/>
        </w:rPr>
        <w:t>工程缺陷责任期满</w:t>
      </w:r>
      <w:r>
        <w:rPr>
          <w:rFonts w:hint="eastAsia" w:asciiTheme="minorEastAsia" w:hAnsiTheme="minorEastAsia" w:eastAsiaTheme="minorEastAsia" w:cstheme="minorEastAsia"/>
          <w:b w:val="0"/>
          <w:bCs/>
          <w:kern w:val="0"/>
          <w:sz w:val="24"/>
          <w:szCs w:val="24"/>
        </w:rPr>
        <w:t>实体移交后</w:t>
      </w:r>
      <w:r>
        <w:rPr>
          <w:rFonts w:hint="eastAsia" w:asciiTheme="minorEastAsia" w:hAnsiTheme="minorEastAsia" w:eastAsiaTheme="minorEastAsia" w:cstheme="minorEastAsia"/>
          <w:b w:val="0"/>
          <w:bCs/>
          <w:color w:val="000000"/>
          <w:kern w:val="0"/>
          <w:sz w:val="24"/>
          <w:szCs w:val="24"/>
        </w:rPr>
        <w:t>，</w:t>
      </w:r>
      <w:r>
        <w:rPr>
          <w:rFonts w:hint="eastAsia" w:asciiTheme="minorEastAsia" w:hAnsiTheme="minorEastAsia" w:eastAsiaTheme="minorEastAsia" w:cstheme="minorEastAsia"/>
          <w:b w:val="0"/>
          <w:bCs/>
          <w:kern w:val="0"/>
          <w:sz w:val="24"/>
          <w:szCs w:val="24"/>
        </w:rPr>
        <w:t>签发缺陷责任期终止证书，缺陷责任期终止证书签发后</w:t>
      </w:r>
      <w:r>
        <w:rPr>
          <w:rFonts w:hint="eastAsia" w:asciiTheme="minorEastAsia" w:hAnsiTheme="minorEastAsia" w:eastAsiaTheme="minorEastAsia" w:cstheme="minorEastAsia"/>
          <w:b w:val="0"/>
          <w:bCs/>
          <w:color w:val="FF0000"/>
          <w:kern w:val="0"/>
          <w:sz w:val="24"/>
          <w:szCs w:val="24"/>
          <w:u w:val="single"/>
        </w:rPr>
        <w:t>28</w:t>
      </w:r>
      <w:r>
        <w:rPr>
          <w:rFonts w:hint="eastAsia" w:asciiTheme="minorEastAsia" w:hAnsiTheme="minorEastAsia" w:eastAsiaTheme="minorEastAsia" w:cstheme="minorEastAsia"/>
          <w:b w:val="0"/>
          <w:bCs/>
          <w:color w:val="000000"/>
          <w:kern w:val="0"/>
          <w:sz w:val="24"/>
          <w:szCs w:val="24"/>
        </w:rPr>
        <w:t>天内结清工程质量保证金。在工程项目竣工验收前，承包人提供履约担保的，发包人不得同时预留工程质量保证金。</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15.4保修</w:t>
      </w:r>
    </w:p>
    <w:bookmarkEnd w:id="617"/>
    <w:p>
      <w:pPr>
        <w:autoSpaceDE/>
        <w:autoSpaceDN/>
        <w:spacing w:line="360" w:lineRule="auto"/>
        <w:ind w:firstLine="468" w:firstLineChars="195"/>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15.4.1 保修责任</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工程保修期为：</w:t>
      </w:r>
      <w:r>
        <w:rPr>
          <w:rFonts w:hint="eastAsia" w:asciiTheme="minorEastAsia" w:hAnsiTheme="minorEastAsia" w:eastAsiaTheme="minorEastAsia" w:cstheme="minorEastAsia"/>
          <w:color w:val="000000"/>
          <w:kern w:val="2"/>
          <w:sz w:val="24"/>
          <w:szCs w:val="24"/>
          <w:u w:val="single"/>
          <w:lang w:val="en-US" w:bidi="ar-SA"/>
        </w:rPr>
        <w:t xml:space="preserve">  按照国家、自治区现行规定执行 </w:t>
      </w:r>
      <w:r>
        <w:rPr>
          <w:rFonts w:hint="eastAsia" w:asciiTheme="minorEastAsia" w:hAnsiTheme="minorEastAsia" w:eastAsiaTheme="minorEastAsia" w:cstheme="minorEastAsia"/>
          <w:color w:val="000000"/>
          <w:kern w:val="2"/>
          <w:sz w:val="24"/>
          <w:szCs w:val="24"/>
          <w:lang w:val="en-US" w:bidi="ar-SA"/>
        </w:rPr>
        <w:t xml:space="preserve"> 。</w:t>
      </w:r>
    </w:p>
    <w:p>
      <w:pPr>
        <w:autoSpaceDE/>
        <w:autoSpaceDN/>
        <w:spacing w:line="360" w:lineRule="auto"/>
        <w:ind w:firstLine="468" w:firstLineChars="195"/>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15.4.3 修复通知</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bidi="ar-SA"/>
        </w:rPr>
      </w:pPr>
      <w:r>
        <w:rPr>
          <w:rFonts w:hint="eastAsia" w:asciiTheme="minorEastAsia" w:hAnsiTheme="minorEastAsia" w:eastAsiaTheme="minorEastAsia" w:cstheme="minorEastAsia"/>
          <w:color w:val="000000"/>
          <w:kern w:val="0"/>
          <w:sz w:val="24"/>
          <w:szCs w:val="24"/>
          <w:lang w:val="en-US" w:bidi="ar-SA"/>
        </w:rPr>
        <w:t>承包人收到保修通知并到达工程现场的合理时间：</w:t>
      </w:r>
      <w:r>
        <w:rPr>
          <w:rFonts w:hint="eastAsia" w:asciiTheme="minorEastAsia" w:hAnsiTheme="minorEastAsia" w:eastAsiaTheme="minorEastAsia" w:cstheme="minorEastAsia"/>
          <w:color w:val="000000"/>
          <w:kern w:val="0"/>
          <w:sz w:val="24"/>
          <w:szCs w:val="24"/>
          <w:u w:val="single"/>
          <w:lang w:val="en-US" w:bidi="ar-SA"/>
        </w:rPr>
        <w:t xml:space="preserve"> 执行通用条款     </w:t>
      </w:r>
      <w:r>
        <w:rPr>
          <w:rFonts w:hint="eastAsia" w:asciiTheme="minorEastAsia" w:hAnsiTheme="minorEastAsia" w:eastAsiaTheme="minorEastAsia" w:cstheme="minorEastAsia"/>
          <w:color w:val="000000"/>
          <w:kern w:val="0"/>
          <w:sz w:val="24"/>
          <w:szCs w:val="24"/>
          <w:lang w:val="en-US" w:bidi="ar-SA"/>
        </w:rPr>
        <w:t>。</w:t>
      </w:r>
    </w:p>
    <w:bookmarkEnd w:id="618"/>
    <w:bookmarkEnd w:id="619"/>
    <w:bookmarkEnd w:id="620"/>
    <w:bookmarkEnd w:id="621"/>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644" w:name="_Toc351203648"/>
      <w:bookmarkStart w:id="645" w:name="_Toc280868718"/>
      <w:bookmarkStart w:id="646" w:name="_Toc280868717"/>
      <w:r>
        <w:rPr>
          <w:rFonts w:hint="eastAsia" w:asciiTheme="minorEastAsia" w:hAnsiTheme="minorEastAsia" w:eastAsiaTheme="minorEastAsia" w:cstheme="minorEastAsia"/>
          <w:b w:val="0"/>
          <w:bCs/>
          <w:color w:val="000000"/>
          <w:kern w:val="2"/>
          <w:sz w:val="24"/>
          <w:szCs w:val="24"/>
          <w:lang w:val="en-US" w:eastAsia="zh-CN" w:bidi="ar-SA"/>
        </w:rPr>
        <w:t>16. 违</w:t>
      </w:r>
      <w:r>
        <w:rPr>
          <w:rFonts w:hint="eastAsia" w:asciiTheme="minorEastAsia" w:hAnsiTheme="minorEastAsia" w:eastAsiaTheme="minorEastAsia" w:cstheme="minorEastAsia"/>
          <w:b w:val="0"/>
          <w:bCs/>
          <w:color w:val="auto"/>
          <w:kern w:val="2"/>
          <w:sz w:val="24"/>
          <w:szCs w:val="24"/>
          <w:highlight w:val="none"/>
          <w:lang w:val="en-US" w:eastAsia="zh-CN" w:bidi="ar-SA"/>
        </w:rPr>
        <w:t>约</w:t>
      </w:r>
      <w:bookmarkEnd w:id="644"/>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5"/>
    <w:bookmarkEnd w:id="646"/>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47" w:name="_Toc776232141"/>
      <w:bookmarkStart w:id="648" w:name="_Toc12830"/>
      <w:bookmarkStart w:id="649" w:name="_Toc41673421"/>
      <w:r>
        <w:rPr>
          <w:rFonts w:hint="eastAsia" w:asciiTheme="minorEastAsia" w:hAnsiTheme="minorEastAsia" w:eastAsiaTheme="minorEastAsia" w:cstheme="minorEastAsia"/>
          <w:b w:val="0"/>
          <w:bCs/>
          <w:color w:val="auto"/>
          <w:kern w:val="0"/>
          <w:sz w:val="24"/>
          <w:szCs w:val="24"/>
          <w:highlight w:val="none"/>
        </w:rPr>
        <w:t>16.1 发包人违约</w:t>
      </w:r>
      <w:bookmarkEnd w:id="647"/>
      <w:bookmarkEnd w:id="648"/>
      <w:bookmarkEnd w:id="649"/>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16.1.1 发包人违约的情形</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发包人违约的其他情形：</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left="1601" w:hanging="1200" w:hangingChars="5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 xml:space="preserve">    16.1.2 发包人违约的责任</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发包人违约责任的承担方式和计算方法：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（1）因发包人原因未能在计划开工日期前7天内下达开工通知的违约责任：</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（2）因发包人原因未能按合同约定支付合同价款的违约责任：</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（3）发包人违反第10.1款〔变更的范围〕第（2）项约定，自行实施被取消的工作或转由他人实施的违约责任：</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（5）因发包人违反合同约定造成暂停施工的违约责任：</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（6）发包人无正当理由没有在约定期限内发出复工指示，导致承包人无法复工的违约责任：</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（7）其他：</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16.1.3 因发包人违约解除合同</w:t>
      </w:r>
    </w:p>
    <w:p>
      <w:pPr>
        <w:autoSpaceDE w:val="0"/>
        <w:autoSpaceDN w:val="0"/>
        <w:adjustRightInd w:val="0"/>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承包人按16.1.1项〔发包人违约的情形〕约定暂停施工满</w:t>
      </w:r>
      <w:r>
        <w:rPr>
          <w:rFonts w:hint="eastAsia" w:asciiTheme="minorEastAsia" w:hAnsiTheme="minorEastAsia" w:eastAsiaTheme="minorEastAsia" w:cstheme="minorEastAsia"/>
          <w:b w:val="0"/>
          <w:bCs/>
          <w:color w:val="auto"/>
          <w:kern w:val="0"/>
          <w:sz w:val="24"/>
          <w:szCs w:val="24"/>
          <w:highlight w:val="none"/>
          <w:u w:val="single"/>
        </w:rPr>
        <w:t xml:space="preserve">    </w:t>
      </w:r>
    </w:p>
    <w:p>
      <w:pPr>
        <w:autoSpaceDE w:val="0"/>
        <w:autoSpaceDN w:val="0"/>
        <w:adjustRightInd w:val="0"/>
        <w:spacing w:line="360" w:lineRule="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天后发包人仍不纠正其违约行为并致使合同目的不能实现的，承包人有权解除合同。</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50" w:name="_Toc808083520"/>
      <w:bookmarkStart w:id="651" w:name="_Toc10226"/>
      <w:bookmarkStart w:id="652" w:name="_Toc356979891"/>
      <w:r>
        <w:rPr>
          <w:rFonts w:hint="eastAsia" w:asciiTheme="minorEastAsia" w:hAnsiTheme="minorEastAsia" w:eastAsiaTheme="minorEastAsia" w:cstheme="minorEastAsia"/>
          <w:b w:val="0"/>
          <w:bCs/>
          <w:color w:val="auto"/>
          <w:kern w:val="0"/>
          <w:sz w:val="24"/>
          <w:szCs w:val="24"/>
          <w:highlight w:val="none"/>
        </w:rPr>
        <w:t>16.2 承包人违约</w:t>
      </w:r>
      <w:bookmarkEnd w:id="650"/>
      <w:bookmarkEnd w:id="651"/>
      <w:bookmarkEnd w:id="652"/>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16.2.1 承包人违约的情形</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承包人违约的其他情形：</w:t>
      </w:r>
      <w:r>
        <w:rPr>
          <w:rFonts w:hint="eastAsia" w:asciiTheme="minorEastAsia" w:hAnsiTheme="minorEastAsia" w:eastAsiaTheme="minorEastAsia" w:cstheme="minorEastAsia"/>
          <w:b w:val="0"/>
          <w:bCs/>
          <w:color w:val="auto"/>
          <w:kern w:val="0"/>
          <w:sz w:val="24"/>
          <w:szCs w:val="24"/>
          <w:highlight w:val="none"/>
          <w:u w:val="single"/>
        </w:rPr>
        <w:t>质量不合格、治安事件、聚众闹事、围攻发包人、群体事件、人员伤亡、财产损失的情形，发包方有权暂停支付工程款</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16.2.2 承包人违约的责任</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承包人违约责任的承担方式和计算方法：</w:t>
      </w:r>
      <w:r>
        <w:rPr>
          <w:rFonts w:hint="eastAsia" w:asciiTheme="minorEastAsia" w:hAnsiTheme="minorEastAsia" w:eastAsiaTheme="minorEastAsia" w:cstheme="minorEastAsia"/>
          <w:b w:val="0"/>
          <w:bCs/>
          <w:color w:val="auto"/>
          <w:kern w:val="0"/>
          <w:sz w:val="24"/>
          <w:szCs w:val="24"/>
          <w:highlight w:val="none"/>
          <w:u w:val="single"/>
        </w:rPr>
        <w:t>因其违约行为而增加的费用，由承包人承担。对发包人造成的损失，由承包人全额赔偿，并承担相关违约责任。</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16.2.3 因承包人违约解除合同</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关于承包人违约解除合同的特别约定：</w:t>
      </w:r>
      <w:r>
        <w:rPr>
          <w:rFonts w:hint="eastAsia" w:asciiTheme="minorEastAsia" w:hAnsiTheme="minorEastAsia" w:eastAsiaTheme="minorEastAsia" w:cstheme="minorEastAsia"/>
          <w:b w:val="0"/>
          <w:bCs/>
          <w:color w:val="auto"/>
          <w:kern w:val="0"/>
          <w:sz w:val="24"/>
          <w:szCs w:val="24"/>
          <w:highlight w:val="none"/>
          <w:u w:val="single"/>
        </w:rPr>
        <w:t>执行通用条款</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b w:val="0"/>
          <w:bCs/>
          <w:color w:val="auto"/>
          <w:kern w:val="0"/>
          <w:sz w:val="24"/>
          <w:szCs w:val="24"/>
          <w:highlight w:val="none"/>
          <w:u w:val="single"/>
        </w:rPr>
        <w:t>发包人无偿使用</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 xml:space="preserve">16.2.4 </w:t>
      </w:r>
      <w:r>
        <w:rPr>
          <w:rFonts w:hint="eastAsia" w:asciiTheme="minorEastAsia" w:hAnsiTheme="minorEastAsia" w:eastAsiaTheme="minorEastAsia" w:cstheme="minorEastAsia"/>
          <w:b w:val="0"/>
          <w:bCs/>
          <w:color w:val="auto"/>
          <w:kern w:val="0"/>
          <w:sz w:val="24"/>
          <w:szCs w:val="24"/>
          <w:highlight w:val="none"/>
        </w:rPr>
        <w:t>承包方认为发包方的指令不合理，应在收到指令后24小时内提出书面报告，逾期视作认可；发包方代表可作出修改指令或继续执行原指令的决定。</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 xml:space="preserve">16.2.5 </w:t>
      </w:r>
      <w:r>
        <w:rPr>
          <w:rFonts w:hint="eastAsia" w:asciiTheme="minorEastAsia" w:hAnsiTheme="minorEastAsia" w:eastAsiaTheme="minorEastAsia" w:cstheme="minorEastAsia"/>
          <w:b w:val="0"/>
          <w:bCs/>
          <w:color w:val="auto"/>
          <w:kern w:val="0"/>
          <w:sz w:val="24"/>
          <w:szCs w:val="24"/>
          <w:highlight w:val="none"/>
        </w:rPr>
        <w:t>承包人在施工期间的垃圾、废物不得随意丢弃，若违反本约定，则由承包人负责清理并支付违约金人民币1000～20000元。若承包人不及时按发包人要求清理，发包人有权安排其他施工单位实施完成，该部分费用由发包人按实际发生费用（即支付予承担此部分工作的施工单位之费用）的1.5倍从承包人的结算款中扣除，且由此产生的政府监管机构的行政处罚费用仍由承包方承担。</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 xml:space="preserve">16.2.6 </w:t>
      </w:r>
      <w:r>
        <w:rPr>
          <w:rFonts w:hint="eastAsia" w:asciiTheme="minorEastAsia" w:hAnsiTheme="minorEastAsia" w:eastAsiaTheme="minorEastAsia" w:cstheme="minorEastAsia"/>
          <w:b w:val="0"/>
          <w:bCs/>
          <w:color w:val="auto"/>
          <w:kern w:val="0"/>
          <w:sz w:val="24"/>
          <w:szCs w:val="24"/>
          <w:highlight w:val="none"/>
        </w:rPr>
        <w:t>承包人在发包人提出的有关质量和安全问题整改通知后，必须在24小时内给予回复并提出整改完成时间，不回复或不及时整改，则承包人需支付违约金5000元/次。但同时承包人仍应及时整改完善应承担的工作。</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 xml:space="preserve">16.2.7 </w:t>
      </w:r>
      <w:r>
        <w:rPr>
          <w:rFonts w:hint="eastAsia" w:asciiTheme="minorEastAsia" w:hAnsiTheme="minorEastAsia" w:eastAsiaTheme="minorEastAsia" w:cstheme="minorEastAsia"/>
          <w:b w:val="0"/>
          <w:bCs/>
          <w:color w:val="auto"/>
          <w:kern w:val="0"/>
          <w:sz w:val="24"/>
          <w:szCs w:val="24"/>
          <w:highlight w:val="none"/>
        </w:rPr>
        <w:t>在工程施工过程中以及工程缺陷责任期内，由于承包方责任出现质量问题、安全事故或者其他原因，受到报纸、电视等媒体的曝光或政府有关主管部门的通报批评，均会给本工程的社会形象造成损失，每发生一次承包方需向发包方支付5万元违约金，发包方可从承包方工程进度款或保修款中直接扣除。</w:t>
      </w:r>
    </w:p>
    <w:p>
      <w:pPr>
        <w:pStyle w:val="4"/>
        <w:spacing w:line="360" w:lineRule="auto"/>
        <w:rPr>
          <w:rFonts w:hint="eastAsia" w:asciiTheme="minorEastAsia" w:hAnsiTheme="minorEastAsia" w:eastAsiaTheme="minorEastAsia" w:cstheme="minorEastAsia"/>
          <w:b w:val="0"/>
          <w:bCs/>
          <w:color w:val="auto"/>
          <w:kern w:val="0"/>
          <w:sz w:val="24"/>
          <w:szCs w:val="24"/>
          <w:highlight w:val="none"/>
        </w:rPr>
      </w:pPr>
      <w:bookmarkStart w:id="653" w:name="_Toc2079114017"/>
      <w:bookmarkStart w:id="654" w:name="_Toc812123563"/>
      <w:r>
        <w:rPr>
          <w:rFonts w:hint="eastAsia" w:asciiTheme="minorEastAsia" w:hAnsiTheme="minorEastAsia" w:eastAsiaTheme="minorEastAsia" w:cstheme="minorEastAsia"/>
          <w:b w:val="0"/>
          <w:bCs/>
          <w:color w:val="auto"/>
          <w:kern w:val="0"/>
          <w:sz w:val="24"/>
          <w:szCs w:val="24"/>
          <w:highlight w:val="none"/>
        </w:rPr>
        <w:t>17. 不可抗力</w:t>
      </w:r>
      <w:bookmarkEnd w:id="653"/>
      <w:bookmarkEnd w:id="654"/>
      <w:r>
        <w:rPr>
          <w:rFonts w:hint="eastAsia" w:asciiTheme="minorEastAsia" w:hAnsiTheme="minorEastAsia" w:eastAsiaTheme="minorEastAsia" w:cstheme="minorEastAsia"/>
          <w:b w:val="0"/>
          <w:bCs/>
          <w:color w:val="auto"/>
          <w:kern w:val="0"/>
          <w:sz w:val="24"/>
          <w:szCs w:val="24"/>
          <w:highlight w:val="none"/>
        </w:rPr>
        <w:t xml:space="preserve"> </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55" w:name="_Toc1018645862"/>
      <w:bookmarkStart w:id="656" w:name="_Toc1806635917"/>
      <w:bookmarkStart w:id="657" w:name="_Toc9363"/>
      <w:r>
        <w:rPr>
          <w:rFonts w:hint="eastAsia" w:asciiTheme="minorEastAsia" w:hAnsiTheme="minorEastAsia" w:eastAsiaTheme="minorEastAsia" w:cstheme="minorEastAsia"/>
          <w:b w:val="0"/>
          <w:bCs/>
          <w:color w:val="auto"/>
          <w:kern w:val="0"/>
          <w:sz w:val="24"/>
          <w:szCs w:val="24"/>
          <w:highlight w:val="none"/>
        </w:rPr>
        <w:t>17.1 不可抗力的确认</w:t>
      </w:r>
      <w:bookmarkEnd w:id="655"/>
      <w:bookmarkEnd w:id="656"/>
      <w:bookmarkEnd w:id="657"/>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除通用合同条款约定的不可抗力事件之外，视为不可抗力的其他情形：</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58" w:name="_Toc11690251"/>
      <w:bookmarkStart w:id="659" w:name="_Toc24645"/>
      <w:bookmarkStart w:id="660" w:name="_Toc1010713786"/>
      <w:r>
        <w:rPr>
          <w:rFonts w:hint="eastAsia" w:asciiTheme="minorEastAsia" w:hAnsiTheme="minorEastAsia" w:eastAsiaTheme="minorEastAsia" w:cstheme="minorEastAsia"/>
          <w:b w:val="0"/>
          <w:bCs/>
          <w:color w:val="auto"/>
          <w:kern w:val="0"/>
          <w:sz w:val="24"/>
          <w:szCs w:val="24"/>
          <w:highlight w:val="none"/>
        </w:rPr>
        <w:t>17.4 因不可抗力解除合同</w:t>
      </w:r>
      <w:bookmarkEnd w:id="658"/>
      <w:bookmarkEnd w:id="659"/>
      <w:bookmarkEnd w:id="660"/>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合同解除后，发包人应在商定或确定发包人应支付款项后</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天内完成款项的支付。</w:t>
      </w:r>
    </w:p>
    <w:p>
      <w:pPr>
        <w:pStyle w:val="4"/>
        <w:spacing w:line="360" w:lineRule="auto"/>
        <w:rPr>
          <w:rFonts w:hint="eastAsia" w:asciiTheme="minorEastAsia" w:hAnsiTheme="minorEastAsia" w:eastAsiaTheme="minorEastAsia" w:cstheme="minorEastAsia"/>
          <w:b w:val="0"/>
          <w:bCs/>
          <w:color w:val="auto"/>
          <w:kern w:val="0"/>
          <w:sz w:val="24"/>
          <w:szCs w:val="24"/>
          <w:highlight w:val="none"/>
        </w:rPr>
      </w:pPr>
      <w:bookmarkStart w:id="661" w:name="_Toc1270684127"/>
      <w:bookmarkStart w:id="662" w:name="_Toc266453569"/>
      <w:r>
        <w:rPr>
          <w:rFonts w:hint="eastAsia" w:asciiTheme="minorEastAsia" w:hAnsiTheme="minorEastAsia" w:eastAsiaTheme="minorEastAsia" w:cstheme="minorEastAsia"/>
          <w:b w:val="0"/>
          <w:bCs/>
          <w:color w:val="auto"/>
          <w:kern w:val="0"/>
          <w:sz w:val="24"/>
          <w:szCs w:val="24"/>
          <w:highlight w:val="none"/>
        </w:rPr>
        <w:t>18. 保险</w:t>
      </w:r>
      <w:bookmarkEnd w:id="661"/>
      <w:bookmarkEnd w:id="662"/>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63" w:name="_Toc552342053"/>
      <w:bookmarkStart w:id="664" w:name="_Toc995365961"/>
      <w:bookmarkStart w:id="665" w:name="_Toc29058"/>
      <w:r>
        <w:rPr>
          <w:rFonts w:hint="eastAsia" w:asciiTheme="minorEastAsia" w:hAnsiTheme="minorEastAsia" w:eastAsiaTheme="minorEastAsia" w:cstheme="minorEastAsia"/>
          <w:b w:val="0"/>
          <w:bCs/>
          <w:color w:val="auto"/>
          <w:kern w:val="0"/>
          <w:sz w:val="24"/>
          <w:szCs w:val="24"/>
          <w:highlight w:val="none"/>
        </w:rPr>
        <w:t>18.1 工程保险</w:t>
      </w:r>
      <w:bookmarkEnd w:id="663"/>
      <w:bookmarkEnd w:id="664"/>
      <w:bookmarkEnd w:id="665"/>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关于工程保险的特别约定：</w:t>
      </w:r>
      <w:r>
        <w:rPr>
          <w:rFonts w:hint="eastAsia" w:asciiTheme="minorEastAsia" w:hAnsiTheme="minorEastAsia" w:eastAsiaTheme="minorEastAsia" w:cstheme="minorEastAsia"/>
          <w:b w:val="0"/>
          <w:bCs/>
          <w:color w:val="auto"/>
          <w:kern w:val="0"/>
          <w:sz w:val="24"/>
          <w:szCs w:val="24"/>
          <w:highlight w:val="none"/>
          <w:u w:val="single"/>
        </w:rPr>
        <w:t>承包人应当投保建筑工程一切险或安装工程一切险，费用由承包人自行承担</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66" w:name="_Toc1356197126"/>
      <w:bookmarkStart w:id="667" w:name="_Toc1714078037"/>
      <w:bookmarkStart w:id="668" w:name="_Toc11083"/>
      <w:r>
        <w:rPr>
          <w:rFonts w:hint="eastAsia" w:asciiTheme="minorEastAsia" w:hAnsiTheme="minorEastAsia" w:eastAsiaTheme="minorEastAsia" w:cstheme="minorEastAsia"/>
          <w:b w:val="0"/>
          <w:bCs/>
          <w:color w:val="auto"/>
          <w:kern w:val="0"/>
          <w:sz w:val="24"/>
          <w:szCs w:val="24"/>
          <w:highlight w:val="none"/>
        </w:rPr>
        <w:t>18.3 其他保险</w:t>
      </w:r>
      <w:bookmarkEnd w:id="666"/>
      <w:bookmarkEnd w:id="667"/>
      <w:bookmarkEnd w:id="668"/>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关于其他保险的约定：</w:t>
      </w:r>
      <w:r>
        <w:rPr>
          <w:rFonts w:hint="eastAsia" w:asciiTheme="minorEastAsia" w:hAnsiTheme="minorEastAsia" w:eastAsiaTheme="minorEastAsia" w:cstheme="minorEastAsia"/>
          <w:b w:val="0"/>
          <w:bCs/>
          <w:color w:val="auto"/>
          <w:kern w:val="0"/>
          <w:sz w:val="24"/>
          <w:szCs w:val="24"/>
          <w:highlight w:val="none"/>
          <w:u w:val="single"/>
        </w:rPr>
        <w:t>职工意外保险。承包人在施工期间发生的自身财产损失及施工现场内自身员工的人身伤害、财产损失，从事高空危险作业员工的意外伤害，由承包人承担全部责任。</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承包人是否应为其施工设备等办理财产保险：</w:t>
      </w:r>
      <w:r>
        <w:rPr>
          <w:rFonts w:hint="eastAsia" w:asciiTheme="minorEastAsia" w:hAnsiTheme="minorEastAsia" w:eastAsiaTheme="minorEastAsia" w:cstheme="minorEastAsia"/>
          <w:b w:val="0"/>
          <w:bCs/>
          <w:color w:val="auto"/>
          <w:kern w:val="0"/>
          <w:sz w:val="24"/>
          <w:szCs w:val="24"/>
          <w:highlight w:val="none"/>
          <w:u w:val="single"/>
        </w:rPr>
        <w:t>承包人应当对进入现场的施工设备和工程设备办理保险，费用由承包人自行承担</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69" w:name="_Toc4543"/>
      <w:bookmarkStart w:id="670" w:name="_Toc221254894"/>
      <w:bookmarkStart w:id="671" w:name="_Toc23310917"/>
      <w:r>
        <w:rPr>
          <w:rFonts w:hint="eastAsia" w:asciiTheme="minorEastAsia" w:hAnsiTheme="minorEastAsia" w:eastAsiaTheme="minorEastAsia" w:cstheme="minorEastAsia"/>
          <w:b w:val="0"/>
          <w:bCs/>
          <w:color w:val="auto"/>
          <w:kern w:val="0"/>
          <w:sz w:val="24"/>
          <w:szCs w:val="24"/>
          <w:highlight w:val="none"/>
        </w:rPr>
        <w:t>18.7 通知义务</w:t>
      </w:r>
      <w:bookmarkEnd w:id="669"/>
      <w:bookmarkEnd w:id="670"/>
      <w:bookmarkEnd w:id="671"/>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关于变更保险合同时的通知义务的约定：</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pStyle w:val="4"/>
        <w:spacing w:line="360" w:lineRule="auto"/>
        <w:rPr>
          <w:rFonts w:hint="eastAsia" w:asciiTheme="minorEastAsia" w:hAnsiTheme="minorEastAsia" w:eastAsiaTheme="minorEastAsia" w:cstheme="minorEastAsia"/>
          <w:b w:val="0"/>
          <w:bCs/>
          <w:color w:val="auto"/>
          <w:kern w:val="0"/>
          <w:sz w:val="24"/>
          <w:szCs w:val="24"/>
          <w:highlight w:val="none"/>
        </w:rPr>
      </w:pPr>
      <w:bookmarkStart w:id="672" w:name="_Toc226165635"/>
      <w:bookmarkStart w:id="673" w:name="_Toc417085405"/>
      <w:r>
        <w:rPr>
          <w:rFonts w:hint="eastAsia" w:asciiTheme="minorEastAsia" w:hAnsiTheme="minorEastAsia" w:eastAsiaTheme="minorEastAsia" w:cstheme="minorEastAsia"/>
          <w:b w:val="0"/>
          <w:bCs/>
          <w:color w:val="auto"/>
          <w:kern w:val="0"/>
          <w:sz w:val="24"/>
          <w:szCs w:val="24"/>
          <w:highlight w:val="none"/>
        </w:rPr>
        <w:t>20. 争议解决</w:t>
      </w:r>
      <w:bookmarkEnd w:id="672"/>
      <w:bookmarkEnd w:id="673"/>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74" w:name="_Toc846612084"/>
      <w:bookmarkStart w:id="675" w:name="_Toc4610"/>
      <w:bookmarkStart w:id="676" w:name="_Toc1731520220"/>
      <w:r>
        <w:rPr>
          <w:rFonts w:hint="eastAsia" w:asciiTheme="minorEastAsia" w:hAnsiTheme="minorEastAsia" w:eastAsiaTheme="minorEastAsia" w:cstheme="minorEastAsia"/>
          <w:b w:val="0"/>
          <w:bCs/>
          <w:color w:val="auto"/>
          <w:kern w:val="0"/>
          <w:sz w:val="24"/>
          <w:szCs w:val="24"/>
          <w:highlight w:val="none"/>
        </w:rPr>
        <w:t>20.3 争议评审</w:t>
      </w:r>
      <w:bookmarkEnd w:id="674"/>
      <w:bookmarkEnd w:id="675"/>
      <w:bookmarkEnd w:id="676"/>
    </w:p>
    <w:p>
      <w:pPr>
        <w:spacing w:line="360" w:lineRule="auto"/>
        <w:ind w:left="156" w:leftChars="71" w:firstLine="360" w:firstLineChars="15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合同当事人是否同意将工程争议提交争议评审小组决定：</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20.3.1 争议评审小组的确定</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关于评审机构的约定：</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争议评审小组成员的确定：</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选定争议评审员的期限：</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争议评审小组成员的报酬承担方式：</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其他事项的约定：</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20.3.2 争议评审小组的决定</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u w:val="single"/>
        </w:rPr>
      </w:pPr>
      <w:r>
        <w:rPr>
          <w:rFonts w:hint="eastAsia" w:asciiTheme="minorEastAsia" w:hAnsiTheme="minorEastAsia" w:eastAsiaTheme="minorEastAsia" w:cstheme="minorEastAsia"/>
          <w:b w:val="0"/>
          <w:bCs/>
          <w:color w:val="auto"/>
          <w:kern w:val="0"/>
          <w:sz w:val="24"/>
          <w:szCs w:val="24"/>
          <w:highlight w:val="none"/>
        </w:rPr>
        <w:t>合同当事人关于本项的约定：</w:t>
      </w:r>
      <w:r>
        <w:rPr>
          <w:rFonts w:hint="eastAsia" w:asciiTheme="minorEastAsia" w:hAnsiTheme="minorEastAsia" w:eastAsiaTheme="minorEastAsia" w:cstheme="minorEastAsia"/>
          <w:b w:val="0"/>
          <w:bCs/>
          <w:color w:val="auto"/>
          <w:kern w:val="0"/>
          <w:sz w:val="24"/>
          <w:szCs w:val="24"/>
          <w:highlight w:val="none"/>
          <w:u w:val="single"/>
        </w:rPr>
        <w:t xml:space="preserve">  /  </w:t>
      </w:r>
      <w:r>
        <w:rPr>
          <w:rFonts w:hint="eastAsia" w:asciiTheme="minorEastAsia" w:hAnsiTheme="minorEastAsia" w:eastAsiaTheme="minorEastAsia" w:cstheme="minorEastAsia"/>
          <w:b w:val="0"/>
          <w:bCs/>
          <w:color w:val="auto"/>
          <w:kern w:val="0"/>
          <w:sz w:val="24"/>
          <w:szCs w:val="24"/>
          <w:highlight w:val="none"/>
        </w:rPr>
        <w:t>。</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77" w:name="_Toc30811"/>
      <w:bookmarkStart w:id="678" w:name="_Toc1638028047"/>
      <w:bookmarkStart w:id="679" w:name="_Toc2061672555"/>
      <w:r>
        <w:rPr>
          <w:rFonts w:hint="eastAsia" w:asciiTheme="minorEastAsia" w:hAnsiTheme="minorEastAsia" w:eastAsiaTheme="minorEastAsia" w:cstheme="minorEastAsia"/>
          <w:b w:val="0"/>
          <w:bCs/>
          <w:color w:val="auto"/>
          <w:kern w:val="0"/>
          <w:sz w:val="24"/>
          <w:szCs w:val="24"/>
          <w:highlight w:val="none"/>
        </w:rPr>
        <w:t>20.4 仲裁或诉讼</w:t>
      </w:r>
      <w:bookmarkEnd w:id="677"/>
      <w:bookmarkEnd w:id="678"/>
      <w:bookmarkEnd w:id="679"/>
    </w:p>
    <w:p>
      <w:pPr>
        <w:spacing w:line="360" w:lineRule="auto"/>
        <w:ind w:firstLine="480" w:firstLineChars="200"/>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本款修改为：</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因合同及合同有关事项发生的争议，按下列第</w:t>
      </w:r>
      <w:r>
        <w:rPr>
          <w:rFonts w:hint="eastAsia" w:asciiTheme="minorEastAsia" w:hAnsiTheme="minorEastAsia" w:eastAsiaTheme="minorEastAsia" w:cstheme="minorEastAsia"/>
          <w:b w:val="0"/>
          <w:bCs/>
          <w:color w:val="auto"/>
          <w:kern w:val="0"/>
          <w:sz w:val="24"/>
          <w:szCs w:val="24"/>
          <w:highlight w:val="none"/>
          <w:u w:val="single"/>
        </w:rPr>
        <w:t xml:space="preserve"> 1 </w:t>
      </w:r>
      <w:r>
        <w:rPr>
          <w:rFonts w:hint="eastAsia" w:asciiTheme="minorEastAsia" w:hAnsiTheme="minorEastAsia" w:eastAsiaTheme="minorEastAsia" w:cstheme="minorEastAsia"/>
          <w:b w:val="0"/>
          <w:bCs/>
          <w:color w:val="auto"/>
          <w:kern w:val="0"/>
          <w:sz w:val="24"/>
          <w:szCs w:val="24"/>
          <w:highlight w:val="none"/>
        </w:rPr>
        <w:t>种方式解决：</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（1）向</w:t>
      </w:r>
      <w:r>
        <w:rPr>
          <w:rFonts w:hint="eastAsia" w:asciiTheme="minorEastAsia" w:hAnsiTheme="minorEastAsia" w:eastAsiaTheme="minorEastAsia" w:cstheme="minorEastAsia"/>
          <w:b w:val="0"/>
          <w:bCs/>
          <w:color w:val="auto"/>
          <w:kern w:val="0"/>
          <w:sz w:val="24"/>
          <w:szCs w:val="24"/>
          <w:highlight w:val="none"/>
          <w:u w:val="single"/>
        </w:rPr>
        <w:t>发包人住所地有管辖权</w:t>
      </w:r>
      <w:r>
        <w:rPr>
          <w:rFonts w:hint="eastAsia" w:asciiTheme="minorEastAsia" w:hAnsiTheme="minorEastAsia" w:eastAsiaTheme="minorEastAsia" w:cstheme="minorEastAsia"/>
          <w:b w:val="0"/>
          <w:bCs/>
          <w:color w:val="auto"/>
          <w:kern w:val="0"/>
          <w:sz w:val="24"/>
          <w:szCs w:val="24"/>
          <w:highlight w:val="none"/>
        </w:rPr>
        <w:t>仲裁委员会申请仲裁；</w:t>
      </w:r>
    </w:p>
    <w:p>
      <w:pPr>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（2）依</w:t>
      </w:r>
      <w:r>
        <w:rPr>
          <w:rFonts w:hint="eastAsia" w:asciiTheme="minorEastAsia" w:hAnsiTheme="minorEastAsia" w:eastAsiaTheme="minorEastAsia" w:cstheme="minorEastAsia"/>
          <w:b w:val="0"/>
          <w:bCs/>
          <w:color w:val="auto"/>
          <w:kern w:val="0"/>
          <w:sz w:val="24"/>
          <w:szCs w:val="24"/>
          <w:highlight w:val="none"/>
          <w:u w:val="single"/>
        </w:rPr>
        <w:t>法向发包人住所地有管辖权</w:t>
      </w:r>
      <w:r>
        <w:rPr>
          <w:rFonts w:hint="eastAsia" w:asciiTheme="minorEastAsia" w:hAnsiTheme="minorEastAsia" w:eastAsiaTheme="minorEastAsia" w:cstheme="minorEastAsia"/>
          <w:b w:val="0"/>
          <w:bCs/>
          <w:color w:val="auto"/>
          <w:kern w:val="0"/>
          <w:sz w:val="24"/>
          <w:szCs w:val="24"/>
          <w:highlight w:val="none"/>
        </w:rPr>
        <w:t>人民法院起诉。</w:t>
      </w:r>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80" w:name="_Toc452738762"/>
      <w:bookmarkStart w:id="681" w:name="_Toc6183"/>
      <w:bookmarkStart w:id="682" w:name="_Toc365353596"/>
      <w:r>
        <w:rPr>
          <w:rFonts w:hint="eastAsia" w:asciiTheme="minorEastAsia" w:hAnsiTheme="minorEastAsia" w:eastAsiaTheme="minorEastAsia" w:cstheme="minorEastAsia"/>
          <w:b w:val="0"/>
          <w:bCs/>
          <w:color w:val="auto"/>
          <w:kern w:val="0"/>
          <w:sz w:val="24"/>
          <w:szCs w:val="24"/>
          <w:highlight w:val="none"/>
        </w:rPr>
        <w:t>20.6 通知送达</w:t>
      </w:r>
      <w:bookmarkEnd w:id="680"/>
      <w:bookmarkEnd w:id="681"/>
      <w:bookmarkEnd w:id="682"/>
    </w:p>
    <w:p>
      <w:pPr>
        <w:spacing w:line="360" w:lineRule="auto"/>
        <w:ind w:firstLine="480" w:firstLineChars="200"/>
        <w:outlineLvl w:val="2"/>
        <w:rPr>
          <w:rFonts w:hint="eastAsia" w:asciiTheme="minorEastAsia" w:hAnsiTheme="minorEastAsia" w:eastAsiaTheme="minorEastAsia" w:cstheme="minorEastAsia"/>
          <w:b w:val="0"/>
          <w:bCs/>
          <w:color w:val="auto"/>
          <w:kern w:val="0"/>
          <w:sz w:val="24"/>
          <w:szCs w:val="24"/>
          <w:highlight w:val="none"/>
        </w:rPr>
      </w:pPr>
      <w:bookmarkStart w:id="683" w:name="_Toc1414635822"/>
      <w:bookmarkStart w:id="684" w:name="_Toc626862138"/>
      <w:r>
        <w:rPr>
          <w:rFonts w:hint="eastAsia" w:asciiTheme="minorEastAsia" w:hAnsiTheme="minorEastAsia" w:eastAsiaTheme="minorEastAsia" w:cstheme="minorEastAsia"/>
          <w:b w:val="0"/>
          <w:bCs/>
          <w:color w:val="auto"/>
          <w:kern w:val="0"/>
          <w:sz w:val="24"/>
          <w:szCs w:val="24"/>
          <w:highlight w:val="none"/>
        </w:rPr>
        <w:t>双方确认本合同载明的联系方式（联系电话、电子信箱、传真号码及通信地址）准确无误，如有变更应以书面方式及时通知另一方。由于一方联系方式错误、不详或者无法识别等导致无法送达，或者联系方式变更未及时通知另一方，以及其他不可归责于送达方原因造成相关通知或者文件无法送达、拒绝签收，则相关通知或文件自寄送或发送后第</w:t>
      </w:r>
      <w:r>
        <w:rPr>
          <w:rFonts w:hint="eastAsia" w:asciiTheme="minorEastAsia" w:hAnsiTheme="minorEastAsia" w:eastAsiaTheme="minorEastAsia" w:cstheme="minorEastAsia"/>
          <w:b w:val="0"/>
          <w:bCs/>
          <w:color w:val="auto"/>
          <w:kern w:val="0"/>
          <w:sz w:val="24"/>
          <w:szCs w:val="24"/>
          <w:highlight w:val="none"/>
          <w:u w:val="single"/>
        </w:rPr>
        <w:t xml:space="preserve">  五日 </w:t>
      </w:r>
      <w:r>
        <w:rPr>
          <w:rFonts w:hint="eastAsia" w:asciiTheme="minorEastAsia" w:hAnsiTheme="minorEastAsia" w:eastAsiaTheme="minorEastAsia" w:cstheme="minorEastAsia"/>
          <w:b w:val="0"/>
          <w:bCs/>
          <w:color w:val="auto"/>
          <w:kern w:val="0"/>
          <w:sz w:val="24"/>
          <w:szCs w:val="24"/>
          <w:highlight w:val="none"/>
        </w:rPr>
        <w:t>视为已送达之日。</w:t>
      </w:r>
      <w:bookmarkEnd w:id="683"/>
      <w:bookmarkEnd w:id="684"/>
    </w:p>
    <w:p>
      <w:pPr>
        <w:autoSpaceDE/>
        <w:autoSpaceDN/>
        <w:spacing w:line="360" w:lineRule="auto"/>
        <w:jc w:val="left"/>
        <w:rPr>
          <w:rFonts w:hint="eastAsia" w:asciiTheme="minorEastAsia" w:hAnsiTheme="minorEastAsia" w:eastAsiaTheme="minorEastAsia" w:cstheme="minorEastAsia"/>
          <w:b/>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br w:type="page"/>
      </w:r>
      <w:bookmarkStart w:id="685" w:name="_Toc351203652"/>
      <w:r>
        <w:rPr>
          <w:rFonts w:hint="eastAsia" w:asciiTheme="minorEastAsia" w:hAnsiTheme="minorEastAsia" w:eastAsiaTheme="minorEastAsia" w:cstheme="minorEastAsia"/>
          <w:b/>
          <w:color w:val="000000"/>
          <w:kern w:val="2"/>
          <w:sz w:val="24"/>
          <w:szCs w:val="24"/>
          <w:lang w:val="en-US" w:bidi="ar-SA"/>
        </w:rPr>
        <w:t>附件</w:t>
      </w:r>
      <w:bookmarkEnd w:id="685"/>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协议书附件：</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附件1：承包人承揽工程项目一览表</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专用合同条款附件：</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附件2：发包人供应材料设备一览表</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附件3：工程质量保修书</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附件4：主要建设工程文件目录</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附件5：承包人用于本工程施工的机械设备表</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附件6：承包人主要施工管理人员表</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附件7：分包人主要施工管理人员表</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附件8：履约担保格式</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附件9：预付款担保格式</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附件10：支付担保格式</w:t>
      </w:r>
    </w:p>
    <w:p>
      <w:pPr>
        <w:spacing w:line="360" w:lineRule="auto"/>
        <w:jc w:val="left"/>
        <w:rPr>
          <w:rFonts w:hint="eastAsia" w:asciiTheme="minorEastAsia" w:hAnsiTheme="minorEastAsia" w:eastAsiaTheme="minorEastAsia" w:cstheme="minorEastAsia"/>
          <w:color w:val="000000"/>
          <w:sz w:val="24"/>
          <w:szCs w:val="24"/>
        </w:rPr>
        <w:sectPr>
          <w:pgSz w:w="11906" w:h="16838"/>
          <w:pgMar w:top="1418" w:right="1555" w:bottom="1418" w:left="1531" w:header="851" w:footer="992" w:gutter="0"/>
          <w:pgNumType w:fmt="decimal"/>
          <w:cols w:space="720" w:num="1"/>
          <w:titlePg/>
          <w:docGrid w:type="lines" w:linePitch="312" w:charSpace="0"/>
        </w:sectPr>
      </w:pPr>
      <w:r>
        <w:rPr>
          <w:rFonts w:hint="eastAsia" w:asciiTheme="minorEastAsia" w:hAnsiTheme="minorEastAsia" w:eastAsiaTheme="minorEastAsia" w:cstheme="minorEastAsia"/>
          <w:color w:val="000000"/>
          <w:kern w:val="2"/>
          <w:sz w:val="24"/>
          <w:szCs w:val="24"/>
          <w:lang w:val="en-US" w:bidi="ar-SA"/>
        </w:rPr>
        <w:t>附件11：暂估价一览表</w:t>
      </w:r>
    </w:p>
    <w:p>
      <w:pPr>
        <w:autoSpaceDE/>
        <w:autoSpaceDN/>
        <w:spacing w:before="156" w:beforeLines="50" w:after="156" w:afterLines="50" w:line="440" w:lineRule="exact"/>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附件1：</w:t>
      </w:r>
    </w:p>
    <w:p>
      <w:pPr>
        <w:autoSpaceDE/>
        <w:autoSpaceDN/>
        <w:spacing w:before="156" w:beforeLines="50" w:after="156" w:afterLines="50"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承包人承揽工程项目一览表</w:t>
      </w:r>
    </w:p>
    <w:tbl>
      <w:tblPr>
        <w:tblStyle w:val="25"/>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单位工程名称</w:t>
            </w:r>
          </w:p>
        </w:tc>
        <w:tc>
          <w:tcPr>
            <w:tcW w:w="184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建设规模</w:t>
            </w:r>
          </w:p>
        </w:tc>
        <w:tc>
          <w:tcPr>
            <w:tcW w:w="141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建筑面积(平方米)</w:t>
            </w:r>
          </w:p>
        </w:tc>
        <w:tc>
          <w:tcPr>
            <w:tcW w:w="241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结构形式</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层数</w:t>
            </w:r>
          </w:p>
        </w:tc>
        <w:tc>
          <w:tcPr>
            <w:tcW w:w="156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生产能力</w:t>
            </w:r>
          </w:p>
        </w:tc>
        <w:tc>
          <w:tcPr>
            <w:tcW w:w="212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设备安装内容</w:t>
            </w:r>
          </w:p>
        </w:tc>
        <w:tc>
          <w:tcPr>
            <w:tcW w:w="141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合同价格（元）</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开工日期</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84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41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56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12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bl>
    <w:p>
      <w:pPr>
        <w:spacing w:line="440" w:lineRule="exact"/>
        <w:rPr>
          <w:rFonts w:hint="eastAsia" w:asciiTheme="minorEastAsia" w:hAnsiTheme="minorEastAsia" w:eastAsiaTheme="minorEastAsia" w:cstheme="minorEastAsia"/>
          <w:b/>
          <w:color w:val="000000"/>
          <w:sz w:val="24"/>
          <w:szCs w:val="24"/>
        </w:rPr>
        <w:sectPr>
          <w:pgSz w:w="16838" w:h="11906" w:orient="landscape"/>
          <w:pgMar w:top="1554" w:right="1418" w:bottom="1531" w:left="1418" w:header="851" w:footer="992" w:gutter="0"/>
          <w:pgNumType w:fmt="decimal"/>
          <w:cols w:space="720" w:num="1"/>
          <w:titlePg/>
          <w:docGrid w:type="linesAndChars" w:linePitch="312" w:charSpace="0"/>
        </w:sectPr>
      </w:pPr>
    </w:p>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w:t>
      </w:r>
      <w:bookmarkStart w:id="686" w:name="_Toc267261692"/>
      <w:bookmarkStart w:id="687" w:name="_Toc296347224"/>
      <w:bookmarkStart w:id="688" w:name="_Toc296891265"/>
      <w:bookmarkStart w:id="689" w:name="_Toc296346726"/>
      <w:bookmarkStart w:id="690" w:name="_Toc296944564"/>
      <w:bookmarkStart w:id="691" w:name="_Toc296891053"/>
      <w:bookmarkStart w:id="692" w:name="_Toc296503225"/>
      <w:r>
        <w:rPr>
          <w:rFonts w:hint="eastAsia" w:asciiTheme="minorEastAsia" w:hAnsiTheme="minorEastAsia" w:eastAsiaTheme="minorEastAsia" w:cstheme="minorEastAsia"/>
          <w:color w:val="000000"/>
          <w:kern w:val="2"/>
          <w:sz w:val="24"/>
          <w:szCs w:val="24"/>
          <w:lang w:val="en-US" w:bidi="ar-SA"/>
        </w:rPr>
        <w:t>件2：</w:t>
      </w:r>
    </w:p>
    <w:bookmarkEnd w:id="686"/>
    <w:bookmarkEnd w:id="687"/>
    <w:bookmarkEnd w:id="688"/>
    <w:bookmarkEnd w:id="689"/>
    <w:bookmarkEnd w:id="690"/>
    <w:bookmarkEnd w:id="691"/>
    <w:bookmarkEnd w:id="692"/>
    <w:p>
      <w:pPr>
        <w:autoSpaceDE/>
        <w:autoSpaceDN/>
        <w:spacing w:before="156" w:beforeLines="50" w:after="156" w:afterLines="50"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发包人供应材料设备一览表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27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材料、</w:t>
            </w:r>
          </w:p>
          <w:p>
            <w:pPr>
              <w:keepNext/>
              <w:widowControl w:val="0"/>
              <w:adjustRightInd w:val="0"/>
              <w:spacing w:after="0" w:afterLines="0" w:line="440" w:lineRule="exact"/>
              <w:ind w:left="0" w:leftChars="0" w:right="66" w:rightChars="30"/>
              <w:jc w:val="both"/>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设备品种</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规格型号</w:t>
            </w:r>
          </w:p>
        </w:tc>
        <w:tc>
          <w:tcPr>
            <w:tcW w:w="94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104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单价（元）</w:t>
            </w:r>
          </w:p>
        </w:tc>
        <w:tc>
          <w:tcPr>
            <w:tcW w:w="99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质量等级</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供应时间</w:t>
            </w:r>
          </w:p>
        </w:tc>
        <w:tc>
          <w:tcPr>
            <w:tcW w:w="148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送达地点</w:t>
            </w:r>
          </w:p>
        </w:tc>
        <w:tc>
          <w:tcPr>
            <w:tcW w:w="99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4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44"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4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4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000000"/>
                <w:kern w:val="2"/>
                <w:sz w:val="24"/>
                <w:szCs w:val="24"/>
                <w:lang w:val="en-US" w:bidi="ar-SA"/>
              </w:rPr>
            </w:pPr>
          </w:p>
        </w:tc>
      </w:tr>
    </w:tbl>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p>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w:t>
      </w:r>
      <w:bookmarkStart w:id="693" w:name="_Toc296503226"/>
      <w:bookmarkStart w:id="694" w:name="_Toc267261693"/>
      <w:bookmarkStart w:id="695" w:name="_Toc296891266"/>
      <w:bookmarkStart w:id="696" w:name="_Toc296891054"/>
      <w:bookmarkStart w:id="697" w:name="_Toc296944565"/>
      <w:bookmarkStart w:id="698" w:name="_Toc296347225"/>
      <w:bookmarkStart w:id="699" w:name="_Toc296346727"/>
      <w:r>
        <w:rPr>
          <w:rFonts w:hint="eastAsia" w:asciiTheme="minorEastAsia" w:hAnsiTheme="minorEastAsia" w:eastAsiaTheme="minorEastAsia" w:cstheme="minorEastAsia"/>
          <w:color w:val="000000"/>
          <w:kern w:val="2"/>
          <w:sz w:val="24"/>
          <w:szCs w:val="24"/>
          <w:lang w:val="en-US" w:bidi="ar-SA"/>
        </w:rPr>
        <w:t>件3：</w:t>
      </w:r>
      <w:bookmarkEnd w:id="693"/>
      <w:bookmarkEnd w:id="694"/>
      <w:bookmarkEnd w:id="695"/>
      <w:bookmarkEnd w:id="696"/>
      <w:bookmarkEnd w:id="697"/>
      <w:bookmarkEnd w:id="698"/>
      <w:bookmarkEnd w:id="699"/>
      <w:r>
        <w:rPr>
          <w:rFonts w:hint="eastAsia" w:asciiTheme="minorEastAsia" w:hAnsiTheme="minorEastAsia" w:eastAsiaTheme="minorEastAsia" w:cstheme="minorEastAsia"/>
          <w:color w:val="000000"/>
          <w:kern w:val="2"/>
          <w:sz w:val="24"/>
          <w:szCs w:val="24"/>
          <w:lang w:val="en-US" w:bidi="ar-SA"/>
        </w:rPr>
        <w:t xml:space="preserve">    </w:t>
      </w:r>
    </w:p>
    <w:p>
      <w:pPr>
        <w:autoSpaceDE/>
        <w:autoSpaceDN/>
        <w:spacing w:before="156" w:beforeLines="50" w:after="156" w:afterLines="50"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工程质量保修书</w:t>
      </w:r>
    </w:p>
    <w:p>
      <w:pPr>
        <w:autoSpaceDE/>
        <w:autoSpaceDN/>
        <w:spacing w:line="440" w:lineRule="exact"/>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发包人（全称）：</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 xml:space="preserve"> </w:t>
      </w:r>
    </w:p>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承包人（全称）：</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 xml:space="preserve"> </w:t>
      </w:r>
    </w:p>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发包人和承包人根据《中华人民共和国建筑法》和《建设工程质量管理条例》，经协商一致就</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（工程全称）签订工程质量保修书。</w:t>
      </w:r>
    </w:p>
    <w:p>
      <w:pPr>
        <w:autoSpaceDE/>
        <w:autoSpaceDN/>
        <w:spacing w:line="360" w:lineRule="auto"/>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一、工程质量保修范围和内容</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承包人在质量保修期内，按照有关法律规定和合同约定，承担工程质量保修责任。</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b/>
          <w:color w:val="000000"/>
          <w:kern w:val="2"/>
          <w:sz w:val="24"/>
          <w:szCs w:val="24"/>
          <w:lang w:val="en-US" w:bidi="ar-SA"/>
        </w:rPr>
        <w:t>　　</w:t>
      </w:r>
      <w:r>
        <w:rPr>
          <w:rFonts w:hint="eastAsia" w:asciiTheme="minorEastAsia" w:hAnsiTheme="minorEastAsia" w:eastAsiaTheme="minorEastAsia" w:cstheme="minorEastAsia"/>
          <w:color w:val="000000"/>
          <w:kern w:val="2"/>
          <w:sz w:val="24"/>
          <w:szCs w:val="24"/>
          <w:lang w:val="en-US" w:bidi="ar-SA"/>
        </w:rPr>
        <w:t>二、质量保修期</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根据《建设工程质量管理条例》及有关规定，工程的质量保修期如下：</w:t>
      </w:r>
    </w:p>
    <w:p>
      <w:pPr>
        <w:autoSpaceDE/>
        <w:autoSpaceDN/>
        <w:ind w:firstLine="480" w:firstLineChars="200"/>
        <w:jc w:val="both"/>
        <w:rPr>
          <w:rFonts w:hint="eastAsia" w:asciiTheme="minorEastAsia" w:hAnsiTheme="minorEastAsia" w:eastAsiaTheme="minorEastAsia" w:cstheme="minorEastAsia"/>
          <w:kern w:val="2"/>
          <w:sz w:val="24"/>
          <w:szCs w:val="24"/>
          <w:lang w:val="en-US" w:bidi="ar-SA"/>
        </w:rPr>
      </w:pPr>
      <w:r>
        <w:rPr>
          <w:rFonts w:hint="eastAsia" w:asciiTheme="minorEastAsia" w:hAnsiTheme="minorEastAsia" w:eastAsiaTheme="minorEastAsia" w:cstheme="minorEastAsia"/>
          <w:kern w:val="2"/>
          <w:sz w:val="24"/>
          <w:szCs w:val="24"/>
          <w:lang w:val="en-US" w:bidi="ar-SA"/>
        </w:rPr>
        <w:t>1</w:t>
      </w:r>
      <w:r>
        <w:rPr>
          <w:rFonts w:hint="eastAsia" w:asciiTheme="minorEastAsia" w:hAnsiTheme="minorEastAsia" w:eastAsiaTheme="minorEastAsia" w:cstheme="minorEastAsia"/>
          <w:color w:val="000000"/>
          <w:kern w:val="2"/>
          <w:sz w:val="24"/>
          <w:szCs w:val="24"/>
          <w:lang w:val="en-US" w:bidi="ar-SA"/>
        </w:rPr>
        <w:t>．</w:t>
      </w:r>
      <w:r>
        <w:rPr>
          <w:rFonts w:hint="eastAsia" w:asciiTheme="minorEastAsia" w:hAnsiTheme="minorEastAsia" w:eastAsiaTheme="minorEastAsia" w:cstheme="minorEastAsia"/>
          <w:kern w:val="2"/>
          <w:sz w:val="24"/>
          <w:szCs w:val="24"/>
          <w:lang w:val="en-US" w:bidi="ar-SA"/>
        </w:rPr>
        <w:t>地基基础工程和主体结构工程为设计文件规定的工程合理使用年限；</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w:t>
      </w:r>
      <w:r>
        <w:rPr>
          <w:rFonts w:hint="eastAsia" w:asciiTheme="minorEastAsia" w:hAnsiTheme="minorEastAsia" w:eastAsiaTheme="minorEastAsia" w:cstheme="minorEastAsia"/>
          <w:kern w:val="2"/>
          <w:sz w:val="24"/>
          <w:szCs w:val="24"/>
          <w:lang w:val="en-US" w:bidi="ar-SA"/>
        </w:rPr>
        <w:t>．</w:t>
      </w:r>
      <w:r>
        <w:rPr>
          <w:rFonts w:hint="eastAsia" w:asciiTheme="minorEastAsia" w:hAnsiTheme="minorEastAsia" w:eastAsiaTheme="minorEastAsia" w:cstheme="minorEastAsia"/>
          <w:color w:val="000000"/>
          <w:kern w:val="2"/>
          <w:sz w:val="24"/>
          <w:szCs w:val="24"/>
          <w:lang w:val="en-US" w:bidi="ar-SA"/>
        </w:rPr>
        <w:t>屋面防水工程、有防水要求的卫生间、房间和外墙面的防渗  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年；</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w:t>
      </w:r>
      <w:r>
        <w:rPr>
          <w:rFonts w:hint="eastAsia" w:asciiTheme="minorEastAsia" w:hAnsiTheme="minorEastAsia" w:eastAsiaTheme="minorEastAsia" w:cstheme="minorEastAsia"/>
          <w:kern w:val="2"/>
          <w:sz w:val="24"/>
          <w:szCs w:val="24"/>
          <w:lang w:val="en-US" w:bidi="ar-SA"/>
        </w:rPr>
        <w:t>．</w:t>
      </w:r>
      <w:r>
        <w:rPr>
          <w:rFonts w:hint="eastAsia" w:asciiTheme="minorEastAsia" w:hAnsiTheme="minorEastAsia" w:eastAsiaTheme="minorEastAsia" w:cstheme="minorEastAsia"/>
          <w:color w:val="000000"/>
          <w:kern w:val="2"/>
          <w:sz w:val="24"/>
          <w:szCs w:val="24"/>
          <w:lang w:val="en-US" w:bidi="ar-SA"/>
        </w:rPr>
        <w:t>装修工程为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年；</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4</w:t>
      </w:r>
      <w:r>
        <w:rPr>
          <w:rFonts w:hint="eastAsia" w:asciiTheme="minorEastAsia" w:hAnsiTheme="minorEastAsia" w:eastAsiaTheme="minorEastAsia" w:cstheme="minorEastAsia"/>
          <w:kern w:val="2"/>
          <w:sz w:val="24"/>
          <w:szCs w:val="24"/>
          <w:lang w:val="en-US" w:bidi="ar-SA"/>
        </w:rPr>
        <w:t>．</w:t>
      </w:r>
      <w:r>
        <w:rPr>
          <w:rFonts w:hint="eastAsia" w:asciiTheme="minorEastAsia" w:hAnsiTheme="minorEastAsia" w:eastAsiaTheme="minorEastAsia" w:cstheme="minorEastAsia"/>
          <w:color w:val="000000"/>
          <w:kern w:val="2"/>
          <w:sz w:val="24"/>
          <w:szCs w:val="24"/>
          <w:lang w:val="en-US" w:bidi="ar-SA"/>
        </w:rPr>
        <w:t>电气管线、给排水管道、设备安装工程为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年；</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5</w:t>
      </w:r>
      <w:r>
        <w:rPr>
          <w:rFonts w:hint="eastAsia" w:asciiTheme="minorEastAsia" w:hAnsiTheme="minorEastAsia" w:eastAsiaTheme="minorEastAsia" w:cstheme="minorEastAsia"/>
          <w:kern w:val="2"/>
          <w:sz w:val="24"/>
          <w:szCs w:val="24"/>
          <w:lang w:val="en-US" w:bidi="ar-SA"/>
        </w:rPr>
        <w:t>．</w:t>
      </w:r>
      <w:r>
        <w:rPr>
          <w:rFonts w:hint="eastAsia" w:asciiTheme="minorEastAsia" w:hAnsiTheme="minorEastAsia" w:eastAsiaTheme="minorEastAsia" w:cstheme="minorEastAsia"/>
          <w:color w:val="000000"/>
          <w:kern w:val="2"/>
          <w:sz w:val="24"/>
          <w:szCs w:val="24"/>
          <w:lang w:val="en-US" w:bidi="ar-SA"/>
        </w:rPr>
        <w:t>供热与供冷系统为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个采暖期、供冷期；</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6</w:t>
      </w:r>
      <w:r>
        <w:rPr>
          <w:rFonts w:hint="eastAsia" w:asciiTheme="minorEastAsia" w:hAnsiTheme="minorEastAsia" w:eastAsiaTheme="minorEastAsia" w:cstheme="minorEastAsia"/>
          <w:kern w:val="2"/>
          <w:sz w:val="24"/>
          <w:szCs w:val="24"/>
          <w:lang w:val="en-US" w:bidi="ar-SA"/>
        </w:rPr>
        <w:t>．</w:t>
      </w:r>
      <w:r>
        <w:rPr>
          <w:rFonts w:hint="eastAsia" w:asciiTheme="minorEastAsia" w:hAnsiTheme="minorEastAsia" w:eastAsiaTheme="minorEastAsia" w:cstheme="minorEastAsia"/>
          <w:color w:val="000000"/>
          <w:kern w:val="2"/>
          <w:sz w:val="24"/>
          <w:szCs w:val="24"/>
          <w:lang w:val="en-US" w:bidi="ar-SA"/>
        </w:rPr>
        <w:t>住宅小区内的给排水设施、道路等配套工程为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年；</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7</w:t>
      </w:r>
      <w:r>
        <w:rPr>
          <w:rFonts w:hint="eastAsia" w:asciiTheme="minorEastAsia" w:hAnsiTheme="minorEastAsia" w:eastAsiaTheme="minorEastAsia" w:cstheme="minorEastAsia"/>
          <w:kern w:val="2"/>
          <w:sz w:val="24"/>
          <w:szCs w:val="24"/>
          <w:lang w:val="en-US" w:bidi="ar-SA"/>
        </w:rPr>
        <w:t>．</w:t>
      </w:r>
      <w:r>
        <w:rPr>
          <w:rFonts w:hint="eastAsia" w:asciiTheme="minorEastAsia" w:hAnsiTheme="minorEastAsia" w:eastAsiaTheme="minorEastAsia" w:cstheme="minorEastAsia"/>
          <w:color w:val="000000"/>
          <w:kern w:val="2"/>
          <w:sz w:val="24"/>
          <w:szCs w:val="24"/>
          <w:lang w:val="en-US" w:bidi="ar-SA"/>
        </w:rPr>
        <w:t>其他项目保修期限约定如下：</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质量保修期自工程竣工验收合格之日起计算。</w:t>
      </w:r>
    </w:p>
    <w:p>
      <w:pPr>
        <w:autoSpaceDE/>
        <w:autoSpaceDN/>
        <w:spacing w:line="360" w:lineRule="auto"/>
        <w:ind w:firstLine="480" w:firstLineChars="200"/>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三、缺陷责任期</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工程缺陷责任期为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个月，缺陷责任期自工程通过竣工验收之日起计算。单位工程先于全部工程进行验收，单位工程缺陷责任期自单位工程验收合格之日起算。</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缺陷责任期终止后，发包人应退还剩余的质量保证金。</w:t>
      </w:r>
    </w:p>
    <w:p>
      <w:pPr>
        <w:autoSpaceDE/>
        <w:autoSpaceDN/>
        <w:spacing w:line="360" w:lineRule="auto"/>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xml:space="preserve">    四、质量保修责任</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w:t>
      </w:r>
      <w:r>
        <w:rPr>
          <w:rFonts w:hint="eastAsia" w:asciiTheme="minorEastAsia" w:hAnsiTheme="minorEastAsia" w:eastAsiaTheme="minorEastAsia" w:cstheme="minorEastAsia"/>
          <w:kern w:val="2"/>
          <w:sz w:val="24"/>
          <w:szCs w:val="24"/>
          <w:lang w:val="en-US" w:bidi="ar-SA"/>
        </w:rPr>
        <w:t>．</w:t>
      </w:r>
      <w:r>
        <w:rPr>
          <w:rFonts w:hint="eastAsia" w:asciiTheme="minorEastAsia" w:hAnsiTheme="minorEastAsia" w:eastAsiaTheme="minorEastAsia" w:cstheme="minorEastAsia"/>
          <w:color w:val="000000"/>
          <w:kern w:val="2"/>
          <w:sz w:val="24"/>
          <w:szCs w:val="24"/>
          <w:lang w:val="en-US" w:bidi="ar-SA"/>
        </w:rPr>
        <w:t>属于保修范围、内容的项目，承包人应当在接到保修通知之日起7天内派人保修。承包人不在约定期限内派人保修的，发包人可以委托他人修理。</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w:t>
      </w:r>
      <w:r>
        <w:rPr>
          <w:rFonts w:hint="eastAsia" w:asciiTheme="minorEastAsia" w:hAnsiTheme="minorEastAsia" w:eastAsiaTheme="minorEastAsia" w:cstheme="minorEastAsia"/>
          <w:kern w:val="2"/>
          <w:sz w:val="24"/>
          <w:szCs w:val="24"/>
          <w:lang w:val="en-US" w:bidi="ar-SA"/>
        </w:rPr>
        <w:t>．</w:t>
      </w:r>
      <w:r>
        <w:rPr>
          <w:rFonts w:hint="eastAsia" w:asciiTheme="minorEastAsia" w:hAnsiTheme="minorEastAsia" w:eastAsiaTheme="minorEastAsia" w:cstheme="minorEastAsia"/>
          <w:color w:val="000000"/>
          <w:kern w:val="2"/>
          <w:sz w:val="24"/>
          <w:szCs w:val="24"/>
          <w:lang w:val="en-US" w:bidi="ar-SA"/>
        </w:rPr>
        <w:t>发生紧急事故需抢修的，承包人在接到事故通知后，应当立即到达事故现场抢修。</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w:t>
      </w:r>
      <w:r>
        <w:rPr>
          <w:rFonts w:hint="eastAsia" w:asciiTheme="minorEastAsia" w:hAnsiTheme="minorEastAsia" w:eastAsiaTheme="minorEastAsia" w:cstheme="minorEastAsia"/>
          <w:kern w:val="2"/>
          <w:sz w:val="24"/>
          <w:szCs w:val="24"/>
          <w:lang w:val="en-US" w:bidi="ar-SA"/>
        </w:rPr>
        <w:t>．</w:t>
      </w:r>
      <w:r>
        <w:rPr>
          <w:rFonts w:hint="eastAsia" w:asciiTheme="minorEastAsia" w:hAnsiTheme="minorEastAsia" w:eastAsiaTheme="minorEastAsia" w:cstheme="minorEastAsia"/>
          <w:color w:val="000000"/>
          <w:kern w:val="2"/>
          <w:sz w:val="24"/>
          <w:szCs w:val="24"/>
          <w:lang w:val="en-US" w:bidi="ar-SA"/>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4</w:t>
      </w:r>
      <w:r>
        <w:rPr>
          <w:rFonts w:hint="eastAsia" w:asciiTheme="minorEastAsia" w:hAnsiTheme="minorEastAsia" w:eastAsiaTheme="minorEastAsia" w:cstheme="minorEastAsia"/>
          <w:kern w:val="2"/>
          <w:sz w:val="24"/>
          <w:szCs w:val="24"/>
          <w:lang w:val="en-US" w:bidi="ar-SA"/>
        </w:rPr>
        <w:t>．</w:t>
      </w:r>
      <w:r>
        <w:rPr>
          <w:rFonts w:hint="eastAsia" w:asciiTheme="minorEastAsia" w:hAnsiTheme="minorEastAsia" w:eastAsiaTheme="minorEastAsia" w:cstheme="minorEastAsia"/>
          <w:color w:val="000000"/>
          <w:kern w:val="2"/>
          <w:sz w:val="24"/>
          <w:szCs w:val="24"/>
          <w:lang w:val="en-US" w:bidi="ar-SA"/>
        </w:rPr>
        <w:t>质量保修完成后，由发包人组织验收。</w:t>
      </w:r>
    </w:p>
    <w:p>
      <w:pPr>
        <w:autoSpaceDE/>
        <w:autoSpaceDN/>
        <w:spacing w:line="360" w:lineRule="auto"/>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五、保修费用</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保修费用由造成质量缺陷的责任方承担。</w:t>
      </w:r>
    </w:p>
    <w:p>
      <w:pPr>
        <w:autoSpaceDE/>
        <w:autoSpaceDN/>
        <w:spacing w:line="360" w:lineRule="auto"/>
        <w:ind w:firstLine="600"/>
        <w:jc w:val="left"/>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b/>
          <w:color w:val="000000"/>
          <w:kern w:val="2"/>
          <w:sz w:val="24"/>
          <w:szCs w:val="24"/>
          <w:lang w:val="en-US" w:bidi="ar-SA"/>
        </w:rPr>
        <w:t>六</w:t>
      </w:r>
      <w:r>
        <w:rPr>
          <w:rFonts w:hint="eastAsia" w:asciiTheme="minorEastAsia" w:hAnsiTheme="minorEastAsia" w:eastAsiaTheme="minorEastAsia" w:cstheme="minorEastAsia"/>
          <w:color w:val="000000"/>
          <w:kern w:val="2"/>
          <w:sz w:val="24"/>
          <w:szCs w:val="24"/>
          <w:lang w:val="en-US" w:bidi="ar-SA"/>
        </w:rPr>
        <w:t>、双方约定的其他工程质量保修事项：</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56" w:firstLineChars="19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工程质量保修书由发包人、承包人在工程竣工验收前共同签署，作为施工合同附件，其有效期限至保修期满。</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发包人(公章)：</w:t>
      </w:r>
      <w:r>
        <w:rPr>
          <w:rFonts w:hint="eastAsia" w:asciiTheme="minorEastAsia" w:hAnsiTheme="minorEastAsia" w:eastAsiaTheme="minorEastAsia" w:cstheme="minorEastAsia"/>
          <w:color w:val="000000"/>
          <w:kern w:val="2"/>
          <w:sz w:val="24"/>
          <w:szCs w:val="24"/>
          <w:u w:val="single"/>
          <w:lang w:val="en-US" w:bidi="ar-SA"/>
        </w:rPr>
        <w:t xml:space="preserve">        </w:t>
      </w:r>
      <w:r>
        <w:rPr>
          <w:rFonts w:hint="eastAsia" w:asciiTheme="minorEastAsia" w:hAnsiTheme="minorEastAsia" w:eastAsiaTheme="minorEastAsia" w:cstheme="minorEastAsia"/>
          <w:color w:val="000000"/>
          <w:kern w:val="2"/>
          <w:sz w:val="24"/>
          <w:szCs w:val="24"/>
          <w:lang w:val="en-US" w:bidi="ar-SA"/>
        </w:rPr>
        <w:t xml:space="preserve"> 承包人(公章)：</w:t>
      </w:r>
      <w:r>
        <w:rPr>
          <w:rFonts w:hint="eastAsia" w:asciiTheme="minorEastAsia" w:hAnsiTheme="minorEastAsia" w:eastAsiaTheme="minorEastAsia" w:cstheme="minorEastAsia"/>
          <w:color w:val="000000"/>
          <w:kern w:val="2"/>
          <w:sz w:val="24"/>
          <w:szCs w:val="24"/>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地  址：</w:t>
      </w:r>
      <w:r>
        <w:rPr>
          <w:rFonts w:hint="eastAsia" w:asciiTheme="minorEastAsia" w:hAnsiTheme="minorEastAsia" w:eastAsiaTheme="minorEastAsia" w:cstheme="minorEastAsia"/>
          <w:color w:val="000000"/>
          <w:kern w:val="2"/>
          <w:sz w:val="24"/>
          <w:szCs w:val="24"/>
          <w:u w:val="single"/>
          <w:lang w:val="en-US" w:bidi="ar-SA"/>
        </w:rPr>
        <w:t xml:space="preserve">     </w:t>
      </w:r>
      <w:r>
        <w:rPr>
          <w:rFonts w:hint="eastAsia" w:asciiTheme="minorEastAsia" w:hAnsiTheme="minorEastAsia" w:eastAsiaTheme="minorEastAsia" w:cstheme="minorEastAsia"/>
          <w:color w:val="000000"/>
          <w:kern w:val="2"/>
          <w:sz w:val="24"/>
          <w:szCs w:val="24"/>
          <w:lang w:val="en-US" w:bidi="ar-SA"/>
        </w:rPr>
        <w:t xml:space="preserve"> 地  址：</w:t>
      </w:r>
      <w:r>
        <w:rPr>
          <w:rFonts w:hint="eastAsia" w:asciiTheme="minorEastAsia" w:hAnsiTheme="minorEastAsia" w:eastAsiaTheme="minorEastAsia" w:cstheme="minorEastAsia"/>
          <w:color w:val="000000"/>
          <w:kern w:val="2"/>
          <w:sz w:val="24"/>
          <w:szCs w:val="24"/>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法定代表人(签字)：</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 xml:space="preserve"> 法定代表人(签字)：</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委托代理人(签字)：</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 xml:space="preserve"> 委托代理人(签字)：</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电  话：</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 xml:space="preserve"> 电  话：</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传  真：</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 xml:space="preserve"> 传  真：</w:t>
      </w:r>
      <w:r>
        <w:rPr>
          <w:rFonts w:hint="eastAsia" w:asciiTheme="minorEastAsia" w:hAnsiTheme="minorEastAsia" w:eastAsiaTheme="minorEastAsia" w:cstheme="minorEastAsia"/>
          <w:color w:val="000000"/>
          <w:kern w:val="2"/>
          <w:sz w:val="24"/>
          <w:szCs w:val="24"/>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开户银行：</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 xml:space="preserve"> 开户银行：</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账  号：</w:t>
      </w:r>
      <w:r>
        <w:rPr>
          <w:rFonts w:hint="eastAsia" w:asciiTheme="minorEastAsia" w:hAnsiTheme="minorEastAsia" w:eastAsiaTheme="minorEastAsia" w:cstheme="minorEastAsia"/>
          <w:color w:val="000000"/>
          <w:kern w:val="2"/>
          <w:sz w:val="24"/>
          <w:szCs w:val="24"/>
          <w:u w:val="single"/>
          <w:lang w:val="en-US" w:bidi="ar-SA"/>
        </w:rPr>
        <w:t xml:space="preserve">       </w:t>
      </w:r>
      <w:r>
        <w:rPr>
          <w:rFonts w:hint="eastAsia" w:asciiTheme="minorEastAsia" w:hAnsiTheme="minorEastAsia" w:eastAsiaTheme="minorEastAsia" w:cstheme="minorEastAsia"/>
          <w:color w:val="000000"/>
          <w:kern w:val="2"/>
          <w:sz w:val="24"/>
          <w:szCs w:val="24"/>
          <w:lang w:val="en-US" w:bidi="ar-SA"/>
        </w:rPr>
        <w:t xml:space="preserve">  账  号：</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邮政编码：</w:t>
      </w:r>
      <w:r>
        <w:rPr>
          <w:rFonts w:hint="eastAsia" w:asciiTheme="minorEastAsia" w:hAnsiTheme="minorEastAsia" w:eastAsiaTheme="minorEastAsia" w:cstheme="minorEastAsia"/>
          <w:color w:val="000000"/>
          <w:kern w:val="2"/>
          <w:sz w:val="24"/>
          <w:szCs w:val="24"/>
          <w:u w:val="single"/>
          <w:lang w:val="en-US" w:bidi="ar-SA"/>
        </w:rPr>
        <w:t xml:space="preserve">     </w:t>
      </w:r>
      <w:r>
        <w:rPr>
          <w:rFonts w:hint="eastAsia" w:asciiTheme="minorEastAsia" w:hAnsiTheme="minorEastAsia" w:eastAsiaTheme="minorEastAsia" w:cstheme="minorEastAsia"/>
          <w:color w:val="000000"/>
          <w:kern w:val="2"/>
          <w:sz w:val="24"/>
          <w:szCs w:val="24"/>
          <w:lang w:val="en-US" w:bidi="ar-SA"/>
        </w:rPr>
        <w:t xml:space="preserve"> 邮政编码：</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b/>
          <w:color w:val="000000"/>
          <w:kern w:val="2"/>
          <w:sz w:val="24"/>
          <w:szCs w:val="24"/>
          <w:lang w:val="en-US" w:bidi="ar-SA"/>
        </w:rPr>
        <w:br w:type="page"/>
      </w:r>
      <w:r>
        <w:rPr>
          <w:rFonts w:hint="eastAsia" w:asciiTheme="minorEastAsia" w:hAnsiTheme="minorEastAsia" w:eastAsiaTheme="minorEastAsia" w:cstheme="minorEastAsia"/>
          <w:color w:val="000000"/>
          <w:kern w:val="2"/>
          <w:sz w:val="24"/>
          <w:szCs w:val="24"/>
          <w:lang w:val="en-US" w:bidi="ar-SA"/>
        </w:rPr>
        <w:t>附件4：</w:t>
      </w:r>
    </w:p>
    <w:p>
      <w:pPr>
        <w:autoSpaceDE/>
        <w:autoSpaceDN/>
        <w:spacing w:before="156" w:beforeLines="50" w:after="156" w:afterLines="50"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主要建设工程文件目录</w:t>
      </w:r>
    </w:p>
    <w:tbl>
      <w:tblPr>
        <w:tblStyle w:val="2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文件名称</w:t>
            </w:r>
          </w:p>
        </w:tc>
        <w:tc>
          <w:tcPr>
            <w:tcW w:w="127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套数</w:t>
            </w:r>
          </w:p>
        </w:tc>
        <w:tc>
          <w:tcPr>
            <w:tcW w:w="14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费用（元）</w:t>
            </w:r>
          </w:p>
        </w:tc>
        <w:tc>
          <w:tcPr>
            <w:tcW w:w="124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质量</w:t>
            </w:r>
          </w:p>
        </w:tc>
        <w:tc>
          <w:tcPr>
            <w:tcW w:w="1450" w:type="dxa"/>
            <w:tcBorders>
              <w:top w:val="single" w:color="auto" w:sz="12" w:space="0"/>
              <w:bottom w:val="double" w:color="auto" w:sz="6" w:space="0"/>
            </w:tcBorders>
            <w:noWrap w:val="0"/>
            <w:vAlign w:val="top"/>
          </w:tcPr>
          <w:p>
            <w:pPr>
              <w:autoSpaceDE/>
              <w:autoSpaceDN/>
              <w:spacing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移交时间</w:t>
            </w:r>
          </w:p>
        </w:tc>
        <w:tc>
          <w:tcPr>
            <w:tcW w:w="1667" w:type="dxa"/>
            <w:tcBorders>
              <w:top w:val="single" w:color="auto" w:sz="12" w:space="0"/>
              <w:bottom w:val="double" w:color="auto" w:sz="6" w:space="0"/>
            </w:tcBorders>
            <w:noWrap w:val="0"/>
            <w:vAlign w:val="top"/>
          </w:tcPr>
          <w:p>
            <w:pPr>
              <w:autoSpaceDE/>
              <w:autoSpaceDN/>
              <w:spacing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4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66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66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bl>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p>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br w:type="page"/>
      </w:r>
      <w:r>
        <w:rPr>
          <w:rFonts w:hint="eastAsia" w:asciiTheme="minorEastAsia" w:hAnsiTheme="minorEastAsia" w:eastAsiaTheme="minorEastAsia" w:cstheme="minorEastAsia"/>
          <w:color w:val="000000"/>
          <w:kern w:val="2"/>
          <w:sz w:val="24"/>
          <w:szCs w:val="24"/>
          <w:lang w:val="en-US" w:bidi="ar-SA"/>
        </w:rPr>
        <w:t>附</w:t>
      </w:r>
      <w:bookmarkStart w:id="700" w:name="_Toc296944566"/>
      <w:bookmarkStart w:id="701" w:name="_Toc296891267"/>
      <w:bookmarkStart w:id="702" w:name="_Toc267261698"/>
      <w:bookmarkStart w:id="703" w:name="_Toc296503227"/>
      <w:bookmarkStart w:id="704" w:name="_Toc296347226"/>
      <w:bookmarkStart w:id="705" w:name="_Toc296891055"/>
      <w:bookmarkStart w:id="706" w:name="_Toc296346728"/>
      <w:r>
        <w:rPr>
          <w:rFonts w:hint="eastAsia" w:asciiTheme="minorEastAsia" w:hAnsiTheme="minorEastAsia" w:eastAsiaTheme="minorEastAsia" w:cstheme="minorEastAsia"/>
          <w:color w:val="000000"/>
          <w:kern w:val="2"/>
          <w:sz w:val="24"/>
          <w:szCs w:val="24"/>
          <w:lang w:val="en-US" w:bidi="ar-SA"/>
        </w:rPr>
        <w:t>件5：</w:t>
      </w:r>
    </w:p>
    <w:bookmarkEnd w:id="700"/>
    <w:bookmarkEnd w:id="701"/>
    <w:bookmarkEnd w:id="702"/>
    <w:bookmarkEnd w:id="703"/>
    <w:bookmarkEnd w:id="704"/>
    <w:bookmarkEnd w:id="705"/>
    <w:bookmarkEnd w:id="706"/>
    <w:p>
      <w:pPr>
        <w:autoSpaceDE/>
        <w:autoSpaceDN/>
        <w:spacing w:before="156" w:beforeLines="50" w:after="156" w:afterLines="50"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承包人用于本工程施工的机械设备表</w:t>
      </w:r>
    </w:p>
    <w:tbl>
      <w:tblPr>
        <w:tblStyle w:val="2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机械或设备名称</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规格型号</w:t>
            </w:r>
          </w:p>
        </w:tc>
        <w:tc>
          <w:tcPr>
            <w:tcW w:w="105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88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产地</w:t>
            </w:r>
          </w:p>
        </w:tc>
        <w:tc>
          <w:tcPr>
            <w:tcW w:w="102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制造年份</w:t>
            </w:r>
          </w:p>
        </w:tc>
        <w:tc>
          <w:tcPr>
            <w:tcW w:w="148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额定功率(kW)</w:t>
            </w:r>
          </w:p>
        </w:tc>
        <w:tc>
          <w:tcPr>
            <w:tcW w:w="102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生产能力</w:t>
            </w:r>
          </w:p>
        </w:tc>
        <w:tc>
          <w:tcPr>
            <w:tcW w:w="92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5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8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2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5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8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2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000000"/>
                <w:kern w:val="2"/>
                <w:sz w:val="24"/>
                <w:szCs w:val="24"/>
                <w:lang w:val="en-US" w:bidi="ar-SA"/>
              </w:rPr>
            </w:pPr>
          </w:p>
        </w:tc>
      </w:tr>
    </w:tbl>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p>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w:t>
      </w:r>
      <w:bookmarkStart w:id="707" w:name="_Toc296944567"/>
      <w:bookmarkStart w:id="708" w:name="_Toc296346729"/>
      <w:bookmarkStart w:id="709" w:name="_Toc267261699"/>
      <w:bookmarkStart w:id="710" w:name="_Toc296503228"/>
      <w:bookmarkStart w:id="711" w:name="_Toc296891268"/>
      <w:bookmarkStart w:id="712" w:name="_Toc296891056"/>
      <w:bookmarkStart w:id="713" w:name="_Toc296347227"/>
      <w:r>
        <w:rPr>
          <w:rFonts w:hint="eastAsia" w:asciiTheme="minorEastAsia" w:hAnsiTheme="minorEastAsia" w:eastAsiaTheme="minorEastAsia" w:cstheme="minorEastAsia"/>
          <w:color w:val="000000"/>
          <w:kern w:val="2"/>
          <w:sz w:val="24"/>
          <w:szCs w:val="24"/>
          <w:lang w:val="en-US" w:bidi="ar-SA"/>
        </w:rPr>
        <w:t>件6：</w:t>
      </w:r>
    </w:p>
    <w:bookmarkEnd w:id="707"/>
    <w:bookmarkEnd w:id="708"/>
    <w:bookmarkEnd w:id="709"/>
    <w:bookmarkEnd w:id="710"/>
    <w:bookmarkEnd w:id="711"/>
    <w:bookmarkEnd w:id="712"/>
    <w:bookmarkEnd w:id="713"/>
    <w:p>
      <w:pPr>
        <w:autoSpaceDE/>
        <w:autoSpaceDN/>
        <w:spacing w:before="156" w:beforeLines="50" w:after="156" w:afterLines="50"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承包人主要施工管理人员表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项目主管</w:t>
            </w: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项目经理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项目副经理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技术负责人</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造价管理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质量管理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材料管理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计划管理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安全管理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br w:type="page"/>
      </w:r>
      <w:r>
        <w:rPr>
          <w:rFonts w:hint="eastAsia" w:asciiTheme="minorEastAsia" w:hAnsiTheme="minorEastAsia" w:eastAsiaTheme="minorEastAsia" w:cstheme="minorEastAsia"/>
          <w:color w:val="000000"/>
          <w:kern w:val="2"/>
          <w:sz w:val="24"/>
          <w:szCs w:val="24"/>
          <w:lang w:val="en-US" w:bidi="ar-SA"/>
        </w:rPr>
        <w:t>附</w:t>
      </w:r>
      <w:bookmarkStart w:id="714" w:name="_Toc296347228"/>
      <w:bookmarkStart w:id="715" w:name="_Toc296891057"/>
      <w:bookmarkStart w:id="716" w:name="_Toc296944568"/>
      <w:bookmarkStart w:id="717" w:name="_Toc296891269"/>
      <w:bookmarkStart w:id="718" w:name="_Toc296346730"/>
      <w:bookmarkStart w:id="719" w:name="_Toc296503229"/>
      <w:r>
        <w:rPr>
          <w:rFonts w:hint="eastAsia" w:asciiTheme="minorEastAsia" w:hAnsiTheme="minorEastAsia" w:eastAsiaTheme="minorEastAsia" w:cstheme="minorEastAsia"/>
          <w:color w:val="000000"/>
          <w:kern w:val="2"/>
          <w:sz w:val="24"/>
          <w:szCs w:val="24"/>
          <w:lang w:val="en-US" w:bidi="ar-SA"/>
        </w:rPr>
        <w:t>件7：</w:t>
      </w:r>
    </w:p>
    <w:bookmarkEnd w:id="714"/>
    <w:bookmarkEnd w:id="715"/>
    <w:bookmarkEnd w:id="716"/>
    <w:bookmarkEnd w:id="717"/>
    <w:bookmarkEnd w:id="718"/>
    <w:bookmarkEnd w:id="719"/>
    <w:p>
      <w:pPr>
        <w:autoSpaceDE/>
        <w:autoSpaceDN/>
        <w:spacing w:before="156" w:beforeLines="50" w:after="156" w:afterLines="50"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分包人主要施工管理人员表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项目主管</w:t>
            </w: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项目经理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项目副经理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技术负责人</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造价管理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质量管理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材料管理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计划管理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安全管理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br w:type="page"/>
      </w:r>
      <w:bookmarkStart w:id="720" w:name="_Toc267261701"/>
      <w:r>
        <w:rPr>
          <w:rFonts w:hint="eastAsia" w:asciiTheme="minorEastAsia" w:hAnsiTheme="minorEastAsia" w:eastAsiaTheme="minorEastAsia" w:cstheme="minorEastAsia"/>
          <w:color w:val="000000"/>
          <w:kern w:val="2"/>
          <w:sz w:val="24"/>
          <w:szCs w:val="24"/>
          <w:lang w:val="en-US" w:bidi="ar-SA"/>
        </w:rPr>
        <w:t>附</w:t>
      </w:r>
      <w:bookmarkStart w:id="721" w:name="_Toc296347230"/>
      <w:bookmarkStart w:id="722" w:name="_Toc296891271"/>
      <w:bookmarkStart w:id="723" w:name="_Toc296346732"/>
      <w:bookmarkStart w:id="724" w:name="_Toc296891059"/>
      <w:bookmarkStart w:id="725" w:name="_Toc296503231"/>
      <w:bookmarkStart w:id="726" w:name="_Toc296944570"/>
      <w:r>
        <w:rPr>
          <w:rFonts w:hint="eastAsia" w:asciiTheme="minorEastAsia" w:hAnsiTheme="minorEastAsia" w:eastAsiaTheme="minorEastAsia" w:cstheme="minorEastAsia"/>
          <w:color w:val="000000"/>
          <w:kern w:val="2"/>
          <w:sz w:val="24"/>
          <w:szCs w:val="24"/>
          <w:lang w:val="en-US" w:bidi="ar-SA"/>
        </w:rPr>
        <w:t>件8：</w:t>
      </w:r>
    </w:p>
    <w:bookmarkEnd w:id="720"/>
    <w:bookmarkEnd w:id="721"/>
    <w:bookmarkEnd w:id="722"/>
    <w:bookmarkEnd w:id="723"/>
    <w:bookmarkEnd w:id="724"/>
    <w:bookmarkEnd w:id="725"/>
    <w:bookmarkEnd w:id="726"/>
    <w:p>
      <w:pPr>
        <w:autoSpaceDE/>
        <w:autoSpaceDN/>
        <w:spacing w:before="156" w:beforeLines="50" w:after="156" w:afterLines="50"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履约担保</w:t>
      </w:r>
    </w:p>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lang w:val="en-US" w:bidi="ar-SA"/>
        </w:rPr>
        <w:t>（发包人名称）：</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鉴于</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（发包人名称，以下简称“发包人”）与</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（承包人名称）（以下称“承包人”）于</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年</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月</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日就</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 xml:space="preserve">（工程名称）施工及有关事项协商一致共同签订《建设工程施工合同》。我方愿意无条件地、不可撤销地就承包人履行与你方签订的合同，向你方提供连带责任担保。 </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 担保金额人民币（大写）</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元（¥</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 担保有效期自你方与承包人签订的合同生效之日起至你方签发或应签发工程接收证书之日止。</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 在本担保有效期内，因承包人违反合同约定的义务给你方造成经济损失时，我方在收到你方以书面形式提出的在担保金额内的赔偿要求后，在7天内无条件支付。</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4. 你方和承包人按合同约定变更合同时，我方承担本担保规定的义务不变。</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5. 因本保函发生的纠纷，可由双方协商解决，协商不成的，任何一方均可提请</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仲裁委员会仲裁。</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6. 本保函自我方法定代表人（或其授权代理人）签字并加盖公章之日起生效。</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担 保 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（盖单位章）</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法定代表人或其委托代理人：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（签字）</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地    址：</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邮政编码：</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电    话：</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传    真：</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ind w:left="1899" w:hanging="1519" w:hangingChars="633"/>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年</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月</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日</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附</w:t>
      </w:r>
      <w:bookmarkStart w:id="727" w:name="_Toc296347231"/>
      <w:bookmarkStart w:id="728" w:name="_Toc296891060"/>
      <w:bookmarkStart w:id="729" w:name="_Toc296503232"/>
      <w:bookmarkStart w:id="730" w:name="_Toc267261702"/>
      <w:bookmarkStart w:id="731" w:name="_Toc296346733"/>
      <w:bookmarkStart w:id="732" w:name="_Toc296944571"/>
      <w:bookmarkStart w:id="733" w:name="_Toc296891272"/>
      <w:r>
        <w:rPr>
          <w:rFonts w:hint="eastAsia" w:asciiTheme="minorEastAsia" w:hAnsiTheme="minorEastAsia" w:eastAsiaTheme="minorEastAsia" w:cstheme="minorEastAsia"/>
          <w:color w:val="000000"/>
          <w:kern w:val="2"/>
          <w:sz w:val="24"/>
          <w:szCs w:val="24"/>
          <w:lang w:val="en-US" w:bidi="ar-SA"/>
        </w:rPr>
        <w:t>件9：</w:t>
      </w:r>
      <w:bookmarkEnd w:id="727"/>
      <w:bookmarkEnd w:id="728"/>
      <w:bookmarkEnd w:id="729"/>
      <w:bookmarkEnd w:id="730"/>
      <w:bookmarkEnd w:id="731"/>
      <w:bookmarkEnd w:id="732"/>
      <w:bookmarkEnd w:id="733"/>
    </w:p>
    <w:p>
      <w:pPr>
        <w:autoSpaceDE/>
        <w:autoSpaceDN/>
        <w:spacing w:line="360" w:lineRule="auto"/>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预付款担保</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 xml:space="preserve"> （发包人名称）：</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根据</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（承包人名称）（以下称“承包人”）与</w:t>
      </w:r>
    </w:p>
    <w:p>
      <w:pPr>
        <w:autoSpaceDE/>
        <w:autoSpaceDN/>
        <w:spacing w:line="360" w:lineRule="auto"/>
        <w:jc w:val="both"/>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（发包人名称）（以下简称“发包人”）</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于</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年</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月</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日签订的</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（工程名称）《建设工程施工合同》，承包人按约定的金额向你方提交一份预付款担保，即有权得到你方支付相等金额的预付款。我方愿意就你方提供给承包人的预付款为承包人提供连带责任担保。</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 担保金额人民币（大写）</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元（¥</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 担保有效期自预付款支付给承包人起生效，至你方签发的进度款支付证书说明已完全扣清止。</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autoSpaceDE/>
        <w:autoSpaceDN/>
        <w:spacing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4. 你方和承包人按合同约定变更合同时，我方承担本保函规定的义务不变。</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5. 因本保函发生的纠纷，可由双方协商解决，协商不成的，任何一方均可提请</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仲裁委员会仲裁。</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6. 本保函自我方法定代表人（或其授权代理人）签字并加盖公章之日起生效。</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担保人：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（盖单位章）</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法定代表人或其委托代理人：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（签字）</w:t>
      </w:r>
    </w:p>
    <w:p>
      <w:pPr>
        <w:autoSpaceDE/>
        <w:autoSpaceDN/>
        <w:spacing w:line="360" w:lineRule="auto"/>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地    址：</w:t>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p>
    <w:p>
      <w:pPr>
        <w:autoSpaceDE/>
        <w:autoSpaceDN/>
        <w:spacing w:line="360" w:lineRule="auto"/>
        <w:jc w:val="both"/>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邮政编码：</w:t>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p>
    <w:p>
      <w:pPr>
        <w:autoSpaceDE/>
        <w:autoSpaceDN/>
        <w:spacing w:line="360" w:lineRule="auto"/>
        <w:jc w:val="both"/>
        <w:rPr>
          <w:rFonts w:hint="eastAsia" w:asciiTheme="minorEastAsia" w:hAnsiTheme="minorEastAsia" w:eastAsiaTheme="minorEastAsia" w:cstheme="minorEastAsia"/>
          <w:color w:val="000000"/>
          <w:kern w:val="2"/>
          <w:sz w:val="24"/>
          <w:szCs w:val="24"/>
          <w:u w:val="single"/>
          <w:lang w:val="en-US" w:bidi="ar-SA"/>
        </w:rPr>
      </w:pPr>
      <w:r>
        <w:rPr>
          <w:rFonts w:hint="eastAsia" w:asciiTheme="minorEastAsia" w:hAnsiTheme="minorEastAsia" w:eastAsiaTheme="minorEastAsia" w:cstheme="minorEastAsia"/>
          <w:color w:val="000000"/>
          <w:kern w:val="2"/>
          <w:sz w:val="24"/>
          <w:szCs w:val="24"/>
          <w:lang w:val="en-US" w:bidi="ar-SA"/>
        </w:rPr>
        <w:t>电    话：</w:t>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r>
        <w:rPr>
          <w:rFonts w:hint="eastAsia" w:asciiTheme="minorEastAsia" w:hAnsiTheme="minorEastAsia" w:eastAsiaTheme="minorEastAsia" w:cstheme="minorEastAsia"/>
          <w:color w:val="000000"/>
          <w:kern w:val="2"/>
          <w:sz w:val="24"/>
          <w:szCs w:val="24"/>
          <w:u w:val="single"/>
          <w:lang w:val="en-US" w:bidi="ar-SA"/>
        </w:rPr>
        <w:tab/>
      </w:r>
    </w:p>
    <w:p>
      <w:pPr>
        <w:autoSpaceDE/>
        <w:autoSpaceDN/>
        <w:spacing w:line="360" w:lineRule="auto"/>
        <w:jc w:val="righ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年</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月</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日</w:t>
      </w:r>
    </w:p>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b/>
          <w:color w:val="000000"/>
          <w:kern w:val="2"/>
          <w:sz w:val="24"/>
          <w:szCs w:val="24"/>
          <w:lang w:val="en-US" w:bidi="ar-SA"/>
        </w:rPr>
        <w:br w:type="page"/>
      </w:r>
      <w:r>
        <w:rPr>
          <w:rFonts w:hint="eastAsia" w:asciiTheme="minorEastAsia" w:hAnsiTheme="minorEastAsia" w:eastAsiaTheme="minorEastAsia" w:cstheme="minorEastAsia"/>
          <w:color w:val="000000"/>
          <w:kern w:val="2"/>
          <w:sz w:val="24"/>
          <w:szCs w:val="24"/>
          <w:lang w:val="en-US" w:bidi="ar-SA"/>
        </w:rPr>
        <w:t>附</w:t>
      </w:r>
      <w:bookmarkStart w:id="734" w:name="_Toc296346734"/>
      <w:bookmarkStart w:id="735" w:name="_Toc296503233"/>
      <w:bookmarkStart w:id="736" w:name="_Toc296891273"/>
      <w:bookmarkStart w:id="737" w:name="_Toc296347232"/>
      <w:bookmarkStart w:id="738" w:name="_Toc296944572"/>
      <w:bookmarkStart w:id="739" w:name="_Toc296891061"/>
      <w:r>
        <w:rPr>
          <w:rFonts w:hint="eastAsia" w:asciiTheme="minorEastAsia" w:hAnsiTheme="minorEastAsia" w:eastAsiaTheme="minorEastAsia" w:cstheme="minorEastAsia"/>
          <w:color w:val="000000"/>
          <w:kern w:val="2"/>
          <w:sz w:val="24"/>
          <w:szCs w:val="24"/>
          <w:lang w:val="en-US" w:bidi="ar-SA"/>
        </w:rPr>
        <w:t xml:space="preserve">件10:  </w:t>
      </w:r>
    </w:p>
    <w:bookmarkEnd w:id="734"/>
    <w:bookmarkEnd w:id="735"/>
    <w:bookmarkEnd w:id="736"/>
    <w:bookmarkEnd w:id="737"/>
    <w:bookmarkEnd w:id="738"/>
    <w:bookmarkEnd w:id="739"/>
    <w:p>
      <w:pPr>
        <w:autoSpaceDE/>
        <w:autoSpaceDN/>
        <w:spacing w:before="156" w:beforeLines="50" w:after="156" w:afterLines="50"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支付担保</w:t>
      </w:r>
    </w:p>
    <w:p>
      <w:pPr>
        <w:autoSpaceDE/>
        <w:autoSpaceDN/>
        <w:spacing w:line="440" w:lineRule="exact"/>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（承包人）：</w:t>
      </w:r>
    </w:p>
    <w:p>
      <w:pPr>
        <w:autoSpaceDE/>
        <w:autoSpaceDN/>
        <w:spacing w:line="440" w:lineRule="exact"/>
        <w:jc w:val="left"/>
        <w:rPr>
          <w:rFonts w:hint="eastAsia" w:asciiTheme="minorEastAsia" w:hAnsiTheme="minorEastAsia" w:eastAsiaTheme="minorEastAsia" w:cstheme="minorEastAsia"/>
          <w:color w:val="000000"/>
          <w:kern w:val="2"/>
          <w:sz w:val="24"/>
          <w:szCs w:val="24"/>
          <w:lang w:val="en-US" w:bidi="ar-SA"/>
        </w:rPr>
      </w:pP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鉴于你方作为承包人已经与</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（发包人名称）（以下称“发包人”）于</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年</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月</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日签订了</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（工程名称）《建设工程施工合同》（以下称“主合同”），应发包人的申请，我方愿就发包人履行主合同约定的工程款支付义务以保证的方式向你方提供如下担保：</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一、保证的范围及保证金额</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 我方的保证范围是主合同约定的工程款。</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 本保函所称主合同约定的工程款是指主合同约定的除工程质量保证金以外的合同价款。</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 我方保证的金额是主合同约定的工程款的</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%，数额最高不超过人民币元（大写：</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二、保证的方式及保证期间</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 我方保证的方式为：连带责任保证。</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 我方保证的期间为：自本合同生效之日起至主合同约定的工程款支付完毕之日后</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日内。</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 你方与发包人协议变更工程款支付日期的，经我方书面同意后，保证期间按照变更后的支付日期做相应调整。</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三、承担保证责任的形式</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我方承担保证责任的形式是代为支付。发包人未按主合同约定向你方支付工程款的，由我方在保证金额内代为支付。</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四、代偿的安排</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 你方要求我方承担保证责任的，应向我方发出书面索赔通知及发包人未支付主合同约定工程款的证明材料。索赔通知应写明要求索赔的金额，支付款项应到达的账号。</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 在出现你方与发包人因工程质量发生争议，发包人拒绝向你方支付工程款的情形时，你方要求我方履行保证责任代为支付的，需提供符合相应条件要求的工程质量检测机构出具的质量说明材料。</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 我方收到你方的书面索赔通知及相应的证明材料后７天内无条件支付。</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五、保证责任的解除</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 在本保函承诺的保证期间内，你方未书面向我方主张保证责任的，自保证期间届满次日起，我方保证责任解除。</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 发包人按主合同约定履行了工程款的全部支付义务的，自本保函承诺的保证期间届满次日起，我方保证责任解除。</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 我方按照本保函向你方履行保证责任所支付金额达到本保函保证金额时，自我方向你方支付（支付款项从我方账户划出）之日起，保证责任即解除。</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4. 按照法律法规的规定或出现应解除我方保证责任的其他情形的，我方在本保函项下的保证责任亦解除。</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5. 我方解除保证责任后，你方应自我方保证责任解除之日起</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个工作日内，将本保函原件返还我方。</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六、免责条款</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 因你方违约致使发包人不能履行义务的，我方不承担保证责任。</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 依照法律法规的规定或你方与发包人的另行约定，免除发包人部分或全部义务的，我方亦免除其相应的保证责任。</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3. 你方与发包人协议变更主合同的，如加重发包人责任致使我方保证责任加重的，需征得我方书面同意，否则我方不再承担因此而加重部分的保证责任，但主合同第10条〔变更〕约定的变更不受本款限制。</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4. 因不可抗力造成发包人不能履行义务的，我方不承担保证责任。</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七、争议解决</w:t>
      </w:r>
    </w:p>
    <w:p>
      <w:pPr>
        <w:autoSpaceDE/>
        <w:autoSpaceDN/>
        <w:spacing w:after="120" w:line="360" w:lineRule="auto"/>
        <w:ind w:firstLine="480" w:firstLineChars="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因本保函或本保函相关事项发生的纠纷，可由双方协商解决，协商不成的，按下列第</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种方式解决：</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（1）向</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仲裁委员会申请仲裁；</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（2）向</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人民法院起诉。</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八、保函的生效</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本保函自我方法定代表人（或其授权代理人）签字并加盖公章之日起生效。</w:t>
      </w:r>
    </w:p>
    <w:p>
      <w:pPr>
        <w:autoSpaceDE/>
        <w:autoSpaceDN/>
        <w:spacing w:line="360" w:lineRule="auto"/>
        <w:ind w:firstLine="480" w:firstLineChars="200"/>
        <w:jc w:val="left"/>
        <w:rPr>
          <w:rFonts w:hint="eastAsia" w:asciiTheme="minorEastAsia" w:hAnsiTheme="minorEastAsia" w:eastAsiaTheme="minorEastAsia" w:cstheme="minorEastAsia"/>
          <w:color w:val="000000"/>
          <w:kern w:val="2"/>
          <w:sz w:val="24"/>
          <w:szCs w:val="24"/>
          <w:lang w:val="en-US" w:bidi="ar-SA"/>
        </w:rPr>
      </w:pPr>
    </w:p>
    <w:p>
      <w:pPr>
        <w:autoSpaceDE/>
        <w:autoSpaceDN/>
        <w:spacing w:line="360" w:lineRule="auto"/>
        <w:ind w:right="600"/>
        <w:jc w:val="left"/>
        <w:rPr>
          <w:rFonts w:hint="eastAsia" w:asciiTheme="minorEastAsia" w:hAnsiTheme="minorEastAsia" w:eastAsiaTheme="minorEastAsia" w:cstheme="minorEastAsia"/>
          <w:color w:val="000000"/>
          <w:kern w:val="2"/>
          <w:sz w:val="24"/>
          <w:szCs w:val="24"/>
          <w:lang w:val="en-US" w:bidi="ar-SA"/>
        </w:rPr>
      </w:pPr>
    </w:p>
    <w:p>
      <w:pPr>
        <w:autoSpaceDE/>
        <w:autoSpaceDN/>
        <w:spacing w:line="360" w:lineRule="auto"/>
        <w:ind w:right="600"/>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担保人：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（盖章）</w:t>
      </w:r>
    </w:p>
    <w:p>
      <w:pPr>
        <w:autoSpaceDE/>
        <w:autoSpaceDN/>
        <w:spacing w:line="360" w:lineRule="auto"/>
        <w:ind w:right="1200"/>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法定代表人或委托代理人：</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（签字）</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地    址：</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邮政编码：</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jc w:val="lef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传    真：</w:t>
      </w:r>
      <w:r>
        <w:rPr>
          <w:rFonts w:hint="eastAsia" w:asciiTheme="minorEastAsia" w:hAnsiTheme="minorEastAsia" w:eastAsiaTheme="minorEastAsia" w:cstheme="minorEastAsia"/>
          <w:color w:val="000000"/>
          <w:kern w:val="2"/>
          <w:sz w:val="24"/>
          <w:szCs w:val="24"/>
          <w:u w:val="single"/>
          <w:lang w:val="en-US" w:bidi="ar-SA"/>
        </w:rPr>
        <w:t xml:space="preserve">                                        </w:t>
      </w:r>
    </w:p>
    <w:p>
      <w:pPr>
        <w:autoSpaceDE/>
        <w:autoSpaceDN/>
        <w:spacing w:line="360" w:lineRule="auto"/>
        <w:ind w:right="150" w:firstLine="480" w:firstLineChars="200"/>
        <w:jc w:val="left"/>
        <w:rPr>
          <w:rFonts w:hint="eastAsia" w:asciiTheme="minorEastAsia" w:hAnsiTheme="minorEastAsia" w:eastAsiaTheme="minorEastAsia" w:cstheme="minorEastAsia"/>
          <w:color w:val="000000"/>
          <w:kern w:val="2"/>
          <w:sz w:val="24"/>
          <w:szCs w:val="24"/>
          <w:u w:val="single"/>
          <w:lang w:val="en-US" w:bidi="ar-SA"/>
        </w:rPr>
      </w:pPr>
    </w:p>
    <w:p>
      <w:pPr>
        <w:autoSpaceDE/>
        <w:autoSpaceDN/>
        <w:spacing w:line="360" w:lineRule="auto"/>
        <w:ind w:right="150" w:firstLine="480" w:firstLineChars="200"/>
        <w:jc w:val="right"/>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年</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月</w:t>
      </w:r>
      <w:r>
        <w:rPr>
          <w:rFonts w:hint="eastAsia" w:asciiTheme="minorEastAsia" w:hAnsiTheme="minorEastAsia" w:eastAsiaTheme="minorEastAsia" w:cstheme="minorEastAsia"/>
          <w:color w:val="000000"/>
          <w:kern w:val="2"/>
          <w:sz w:val="24"/>
          <w:szCs w:val="24"/>
          <w:u w:val="single"/>
          <w:lang w:val="en-US" w:bidi="ar-SA"/>
        </w:rPr>
        <w:t xml:space="preserve">      </w:t>
      </w:r>
      <w:r>
        <w:rPr>
          <w:rFonts w:hint="eastAsia" w:asciiTheme="minorEastAsia" w:hAnsiTheme="minorEastAsia" w:eastAsiaTheme="minorEastAsia" w:cstheme="minorEastAsia"/>
          <w:color w:val="000000"/>
          <w:kern w:val="2"/>
          <w:sz w:val="24"/>
          <w:szCs w:val="24"/>
          <w:lang w:val="en-US" w:bidi="ar-SA"/>
        </w:rPr>
        <w:t>日</w:t>
      </w:r>
    </w:p>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br w:type="page"/>
      </w:r>
      <w:r>
        <w:rPr>
          <w:rFonts w:hint="eastAsia" w:asciiTheme="minorEastAsia" w:hAnsiTheme="minorEastAsia" w:eastAsiaTheme="minorEastAsia" w:cstheme="minorEastAsia"/>
          <w:color w:val="000000"/>
          <w:kern w:val="2"/>
          <w:sz w:val="24"/>
          <w:szCs w:val="24"/>
          <w:lang w:val="en-US" w:bidi="ar-SA"/>
        </w:rPr>
        <w:t>附件11：</w:t>
      </w:r>
    </w:p>
    <w:p>
      <w:pPr>
        <w:autoSpaceDE/>
        <w:autoSpaceDN/>
        <w:spacing w:before="156" w:beforeLines="50" w:after="156" w:afterLines="50" w:line="440" w:lineRule="exact"/>
        <w:jc w:val="center"/>
        <w:outlineLvl w:val="0"/>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11-1：材料暂估价表</w:t>
      </w:r>
    </w:p>
    <w:tbl>
      <w:tblPr>
        <w:tblStyle w:val="2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名称</w:t>
            </w:r>
          </w:p>
        </w:tc>
        <w:tc>
          <w:tcPr>
            <w:tcW w:w="85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w:t>
            </w:r>
          </w:p>
        </w:tc>
        <w:tc>
          <w:tcPr>
            <w:tcW w:w="77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1352"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单价（元）</w:t>
            </w:r>
          </w:p>
        </w:tc>
        <w:tc>
          <w:tcPr>
            <w:tcW w:w="141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合价（元）</w:t>
            </w:r>
          </w:p>
        </w:tc>
        <w:tc>
          <w:tcPr>
            <w:tcW w:w="170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bl>
    <w:p>
      <w:pPr>
        <w:autoSpaceDE/>
        <w:autoSpaceDN/>
        <w:spacing w:before="156" w:beforeLines="50" w:after="156" w:afterLines="50" w:line="440" w:lineRule="exact"/>
        <w:jc w:val="both"/>
        <w:rPr>
          <w:rFonts w:hint="eastAsia" w:asciiTheme="minorEastAsia" w:hAnsiTheme="minorEastAsia" w:eastAsiaTheme="minorEastAsia" w:cstheme="minorEastAsia"/>
          <w:color w:val="000000"/>
          <w:kern w:val="2"/>
          <w:sz w:val="24"/>
          <w:szCs w:val="24"/>
          <w:lang w:val="en-US" w:bidi="ar-SA"/>
        </w:rPr>
      </w:pPr>
    </w:p>
    <w:p>
      <w:pPr>
        <w:autoSpaceDE/>
        <w:autoSpaceDN/>
        <w:spacing w:before="156" w:beforeLines="50" w:after="156" w:afterLines="50"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t>11-2：工程设备暂估价表</w:t>
      </w:r>
    </w:p>
    <w:tbl>
      <w:tblPr>
        <w:tblStyle w:val="2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名称</w:t>
            </w:r>
          </w:p>
        </w:tc>
        <w:tc>
          <w:tcPr>
            <w:tcW w:w="85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w:t>
            </w:r>
          </w:p>
        </w:tc>
        <w:tc>
          <w:tcPr>
            <w:tcW w:w="77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1352"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单价（元）</w:t>
            </w:r>
          </w:p>
        </w:tc>
        <w:tc>
          <w:tcPr>
            <w:tcW w:w="141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合价（元）</w:t>
            </w:r>
          </w:p>
        </w:tc>
        <w:tc>
          <w:tcPr>
            <w:tcW w:w="170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000000"/>
          <w:kern w:val="2"/>
          <w:sz w:val="24"/>
          <w:szCs w:val="24"/>
          <w:lang w:val="en-US" w:bidi="ar-SA"/>
        </w:rPr>
      </w:pPr>
    </w:p>
    <w:p>
      <w:pPr>
        <w:autoSpaceDE/>
        <w:autoSpaceDN/>
        <w:spacing w:before="156" w:beforeLines="50" w:after="156" w:afterLines="50" w:line="440" w:lineRule="exact"/>
        <w:jc w:val="center"/>
        <w:rPr>
          <w:rFonts w:hint="eastAsia" w:asciiTheme="minorEastAsia" w:hAnsiTheme="minorEastAsia" w:eastAsiaTheme="minorEastAsia" w:cstheme="minorEastAsia"/>
          <w:color w:val="000000"/>
          <w:kern w:val="2"/>
          <w:sz w:val="24"/>
          <w:szCs w:val="24"/>
          <w:lang w:val="en-US" w:bidi="ar-SA"/>
        </w:rPr>
      </w:pPr>
      <w:r>
        <w:rPr>
          <w:rFonts w:hint="eastAsia" w:asciiTheme="minorEastAsia" w:hAnsiTheme="minorEastAsia" w:eastAsiaTheme="minorEastAsia" w:cstheme="minorEastAsia"/>
          <w:color w:val="000000"/>
          <w:kern w:val="2"/>
          <w:sz w:val="24"/>
          <w:szCs w:val="24"/>
          <w:lang w:val="en-US" w:bidi="ar-SA"/>
        </w:rPr>
        <w:br w:type="page"/>
      </w:r>
      <w:r>
        <w:rPr>
          <w:rFonts w:hint="eastAsia" w:asciiTheme="minorEastAsia" w:hAnsiTheme="minorEastAsia" w:eastAsiaTheme="minorEastAsia" w:cstheme="minorEastAsia"/>
          <w:color w:val="000000"/>
          <w:kern w:val="2"/>
          <w:sz w:val="24"/>
          <w:szCs w:val="24"/>
          <w:lang w:val="en-US" w:bidi="ar-SA"/>
        </w:rPr>
        <w:t>11-3：专业工程暂估价表</w:t>
      </w:r>
    </w:p>
    <w:tbl>
      <w:tblPr>
        <w:tblStyle w:val="25"/>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专业工程名称</w:t>
            </w:r>
          </w:p>
        </w:tc>
        <w:tc>
          <w:tcPr>
            <w:tcW w:w="467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工程内容</w:t>
            </w:r>
          </w:p>
        </w:tc>
        <w:tc>
          <w:tcPr>
            <w:tcW w:w="1276"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w:t>
            </w:r>
          </w:p>
        </w:tc>
      </w:tr>
    </w:tbl>
    <w:p>
      <w:pPr>
        <w:autoSpaceDE/>
        <w:autoSpaceDN/>
        <w:jc w:val="both"/>
        <w:rPr>
          <w:rFonts w:hint="eastAsia" w:asciiTheme="minorEastAsia" w:hAnsiTheme="minorEastAsia" w:eastAsiaTheme="minorEastAsia" w:cstheme="minorEastAsia"/>
          <w:kern w:val="2"/>
          <w:sz w:val="24"/>
          <w:szCs w:val="24"/>
          <w:lang w:val="en-US" w:bidi="ar-SA"/>
        </w:rPr>
      </w:pPr>
    </w:p>
    <w:p>
      <w:pPr>
        <w:spacing w:line="440" w:lineRule="exact"/>
        <w:rPr>
          <w:rFonts w:hint="eastAsia" w:asciiTheme="minorEastAsia" w:hAnsiTheme="minorEastAsia" w:eastAsiaTheme="minorEastAsia" w:cstheme="minorEastAsia"/>
          <w:sz w:val="24"/>
          <w:szCs w:val="24"/>
        </w:rPr>
        <w:sectPr>
          <w:pgSz w:w="11906" w:h="16838"/>
          <w:pgMar w:top="2098" w:right="1757" w:bottom="1984" w:left="1757" w:header="851" w:footer="1417" w:gutter="0"/>
          <w:pgNumType w:fmt="decimal"/>
          <w:cols w:space="0" w:num="1"/>
          <w:docGrid w:type="lines" w:linePitch="312" w:charSpace="0"/>
        </w:sectPr>
      </w:pPr>
    </w:p>
    <w:bookmarkEnd w:id="65"/>
    <w:p>
      <w:pPr>
        <w:jc w:val="center"/>
        <w:rPr>
          <w:rFonts w:hint="eastAsia" w:asciiTheme="minorEastAsia" w:hAnsiTheme="minorEastAsia" w:eastAsiaTheme="minorEastAsia" w:cstheme="minorEastAsia"/>
          <w:bCs/>
          <w:sz w:val="24"/>
          <w:szCs w:val="24"/>
          <w:lang w:val="en-US"/>
        </w:rPr>
      </w:pPr>
      <w:bookmarkStart w:id="740" w:name="_Toc16377"/>
      <w:bookmarkStart w:id="741" w:name="_Toc19108"/>
      <w:r>
        <w:rPr>
          <w:rFonts w:hint="eastAsia" w:asciiTheme="minorEastAsia" w:hAnsiTheme="minorEastAsia" w:eastAsiaTheme="minorEastAsia" w:cstheme="minorEastAsia"/>
          <w:b/>
          <w:color w:val="000000"/>
          <w:kern w:val="2"/>
          <w:sz w:val="32"/>
          <w:szCs w:val="32"/>
          <w:lang w:bidi="ar"/>
        </w:rPr>
        <w:t>第四章  采购需求</w:t>
      </w:r>
      <w:bookmarkEnd w:id="740"/>
      <w:bookmarkEnd w:id="741"/>
    </w:p>
    <w:p>
      <w:pPr>
        <w:spacing w:line="4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一、工程概况：</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我区步道主要分布在高铁核心区、开发区一期、西站片区、八钢片区，以上片区步道初步估算总长度约22.52公里（不含大小绿谷公园），总面积约45215.89平方米，初步估算损坏面积约4488平方米。</w:t>
      </w:r>
    </w:p>
    <w:p>
      <w:pPr>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其中，高铁核心区步道初步估算总长度约15.15公里，总面积约30290.89平方米，损坏面积约2741平方米；开发区一期步道初步估算总长度约2.34公里，总面积约4672平方米，损坏面积约320平方米；西站片区步道初步估算总长度约2.23公里，总面积约4452平方米，损坏面积约144平方米；八钢片区步道初步估算总长度约2.3公里，总面积约4601平方米，损坏面积约83平方米；高铁片区喀纳斯湖路两侧区域步道初步估算总长度约0.5公里，总面积约1200平方米，损坏面积约1200平方米。</w:t>
      </w:r>
      <w:r>
        <w:rPr>
          <w:rFonts w:hint="eastAsia" w:asciiTheme="minorEastAsia" w:hAnsiTheme="minorEastAsia" w:eastAsiaTheme="minorEastAsia" w:cstheme="minorEastAsia"/>
          <w:sz w:val="24"/>
          <w:szCs w:val="24"/>
          <w:lang w:val="en-US" w:eastAsia="zh-CN"/>
        </w:rPr>
        <w:t>具体内容详见工程量清单。</w:t>
      </w:r>
    </w:p>
    <w:p>
      <w:pPr>
        <w:spacing w:line="4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二、招标内容：</w:t>
      </w:r>
    </w:p>
    <w:p>
      <w:pP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表一</w:t>
      </w:r>
    </w:p>
    <w:tbl>
      <w:tblPr>
        <w:tblStyle w:val="25"/>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6" w:type="dxa"/>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6" w:type="dxa"/>
            <w:vAlign w:val="center"/>
          </w:tcPr>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一、具体工程量和做法详见2023年健身步道修补项目的设计图纸和工程量清单内容；</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二、工期要求：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w:t>
            </w:r>
            <w:r>
              <w:rPr>
                <w:rFonts w:hint="eastAsia" w:asciiTheme="minorEastAsia" w:hAnsiTheme="minorEastAsia" w:eastAsiaTheme="minorEastAsia" w:cstheme="minorEastAsia"/>
                <w:color w:val="auto"/>
                <w:sz w:val="24"/>
                <w:szCs w:val="24"/>
                <w:highlight w:val="none"/>
                <w:lang w:val="en-US" w:eastAsia="zh-CN"/>
              </w:rPr>
              <w:t>签订合同之</w:t>
            </w:r>
            <w:r>
              <w:rPr>
                <w:rFonts w:hint="eastAsia" w:asciiTheme="minorEastAsia" w:hAnsiTheme="minorEastAsia" w:eastAsiaTheme="minorEastAsia" w:cstheme="minorEastAsia"/>
                <w:color w:val="auto"/>
                <w:sz w:val="24"/>
                <w:szCs w:val="24"/>
                <w:highlight w:val="none"/>
              </w:rPr>
              <w:t>日起</w:t>
            </w:r>
            <w:r>
              <w:rPr>
                <w:rFonts w:hint="eastAsia" w:asciiTheme="minorEastAsia" w:hAnsiTheme="minorEastAsia" w:eastAsiaTheme="minorEastAsia" w:cstheme="minorEastAsia"/>
                <w:color w:val="auto"/>
                <w:sz w:val="24"/>
                <w:szCs w:val="24"/>
                <w:highlight w:val="none"/>
                <w:lang w:val="en-US" w:eastAsia="zh-CN"/>
              </w:rPr>
              <w:t>至2023年10月31日竣工完成</w:t>
            </w:r>
          </w:p>
          <w:p>
            <w:pPr>
              <w:widowControl/>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三、报价方式：清单报价，报价不得超过</w:t>
            </w:r>
            <w:r>
              <w:rPr>
                <w:rFonts w:hint="eastAsia" w:asciiTheme="minorEastAsia" w:hAnsiTheme="minorEastAsia" w:eastAsiaTheme="minorEastAsia" w:cstheme="minorEastAsia"/>
                <w:color w:val="auto"/>
                <w:sz w:val="24"/>
                <w:szCs w:val="24"/>
                <w:lang w:val="en-US" w:eastAsia="zh-CN"/>
              </w:rPr>
              <w:t>最高限价</w:t>
            </w:r>
            <w:r>
              <w:rPr>
                <w:rFonts w:hint="eastAsia" w:asciiTheme="minorEastAsia" w:hAnsiTheme="minorEastAsia" w:eastAsiaTheme="minorEastAsia" w:cstheme="minorEastAsia"/>
                <w:color w:val="auto"/>
                <w:sz w:val="24"/>
                <w:szCs w:val="24"/>
              </w:rPr>
              <w:t>；</w:t>
            </w:r>
          </w:p>
          <w:p>
            <w:pPr>
              <w:pStyle w:val="41"/>
              <w:spacing w:line="440" w:lineRule="exact"/>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lang w:val="en-US"/>
              </w:rPr>
              <w:t>、</w:t>
            </w:r>
            <w:r>
              <w:rPr>
                <w:rFonts w:hint="eastAsia" w:asciiTheme="minorEastAsia" w:hAnsiTheme="minorEastAsia" w:eastAsiaTheme="minorEastAsia" w:cstheme="minorEastAsia"/>
                <w:color w:val="auto"/>
                <w:sz w:val="24"/>
                <w:szCs w:val="24"/>
              </w:rPr>
              <w:t>验收标准：工程量清单内的所有内容严格按照设计图纸的要求。</w:t>
            </w:r>
          </w:p>
        </w:tc>
      </w:tr>
    </w:tbl>
    <w:p>
      <w:pPr>
        <w:spacing w:line="44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三、招标投标报价：</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1.工程量计算依据：要求供应商，尤其是编制响应报价的人员，核实工程内容及工程量，如有异议可向甲方申请答疑，未提出异议的供应商就认为对磋商文件、设计图纸及工程量清单内容全部认可。</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2.工程竣工验收合格后，承包方需在竣工验收合格之日起三个月内报送工程结算及全部工程资料，最终以审计结算价为准；</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3.请各供应商根据企业自身情况在企业管理费和利润相应费率区间内自主选择费率。</w:t>
      </w:r>
    </w:p>
    <w:p>
      <w:pPr>
        <w:spacing w:line="44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、工程质量与施工要求</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各</w:t>
      </w:r>
      <w:r>
        <w:rPr>
          <w:rFonts w:hint="eastAsia" w:asciiTheme="minorEastAsia" w:hAnsiTheme="minorEastAsia" w:eastAsiaTheme="minorEastAsia" w:cstheme="minorEastAsia"/>
          <w:sz w:val="24"/>
          <w:szCs w:val="24"/>
        </w:rPr>
        <w:t>专业严格执行国家相关质量验收标准以及有关操作规程；按照国家最新的相关施工规范施工。</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二）</w:t>
      </w:r>
      <w:r>
        <w:rPr>
          <w:rFonts w:hint="eastAsia" w:asciiTheme="minorEastAsia" w:hAnsiTheme="minorEastAsia" w:eastAsiaTheme="minorEastAsia" w:cstheme="minorEastAsia"/>
          <w:sz w:val="24"/>
          <w:szCs w:val="24"/>
        </w:rPr>
        <w:t>质量等级要求合格。</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安全要求</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施工作业人员必须遵守国家颁发的劳动及安全的方针政策、法令和规定，要求无安全事故，文明施工达到乌鲁木齐安全文明施工标准的规定。</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color w:val="auto"/>
          <w:sz w:val="24"/>
          <w:szCs w:val="24"/>
          <w:lang w:val="en-US"/>
        </w:rPr>
        <w:t>）</w:t>
      </w:r>
      <w:r>
        <w:rPr>
          <w:rFonts w:hint="eastAsia" w:asciiTheme="minorEastAsia" w:hAnsiTheme="minorEastAsia" w:eastAsiaTheme="minorEastAsia" w:cstheme="minorEastAsia"/>
          <w:color w:val="auto"/>
          <w:sz w:val="24"/>
          <w:szCs w:val="24"/>
        </w:rPr>
        <w:t>验收标准和方法</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工程完工后，</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组织相关人员严格按照设计图纸要求和工程量清单进行验收。</w:t>
      </w:r>
    </w:p>
    <w:p>
      <w:pPr>
        <w:rPr>
          <w:rFonts w:hint="eastAsia" w:asciiTheme="minorEastAsia" w:hAnsiTheme="minorEastAsia" w:eastAsiaTheme="minorEastAsia" w:cstheme="minorEastAsia"/>
          <w:color w:val="000000"/>
          <w:kern w:val="2"/>
          <w:sz w:val="24"/>
          <w:szCs w:val="24"/>
          <w:lang w:val="en-US" w:bidi="ar"/>
        </w:rPr>
      </w:pPr>
      <w:r>
        <w:rPr>
          <w:rFonts w:hint="eastAsia" w:asciiTheme="minorEastAsia" w:hAnsiTheme="minorEastAsia" w:eastAsiaTheme="minorEastAsia" w:cstheme="minorEastAsia"/>
          <w:b/>
          <w:bCs/>
          <w:sz w:val="24"/>
          <w:szCs w:val="24"/>
          <w:lang w:val="en-US" w:eastAsia="zh-CN"/>
        </w:rPr>
        <w:t>五、工程量清单（另册）</w:t>
      </w:r>
      <w:r>
        <w:rPr>
          <w:rFonts w:hint="eastAsia" w:asciiTheme="minorEastAsia" w:hAnsiTheme="minorEastAsia" w:eastAsiaTheme="minorEastAsia" w:cstheme="minorEastAsia"/>
          <w:color w:val="000000"/>
          <w:kern w:val="2"/>
          <w:sz w:val="24"/>
          <w:szCs w:val="24"/>
          <w:lang w:val="en-US" w:bidi="ar"/>
        </w:rPr>
        <w:br w:type="page"/>
      </w:r>
    </w:p>
    <w:p>
      <w:pPr>
        <w:pStyle w:val="30"/>
        <w:spacing w:line="440" w:lineRule="exact"/>
        <w:jc w:val="center"/>
        <w:outlineLvl w:val="0"/>
        <w:rPr>
          <w:rFonts w:hint="eastAsia" w:asciiTheme="minorEastAsia" w:hAnsiTheme="minorEastAsia" w:eastAsiaTheme="minorEastAsia" w:cstheme="minorEastAsia"/>
          <w:b/>
          <w:color w:val="000000"/>
          <w:spacing w:val="0"/>
          <w:kern w:val="2"/>
          <w:sz w:val="32"/>
          <w:szCs w:val="32"/>
          <w:lang w:bidi="ar"/>
        </w:rPr>
      </w:pPr>
      <w:bookmarkStart w:id="742" w:name="_Toc17458"/>
      <w:bookmarkStart w:id="743" w:name="_Toc10925"/>
      <w:r>
        <w:rPr>
          <w:rFonts w:hint="eastAsia" w:asciiTheme="minorEastAsia" w:hAnsiTheme="minorEastAsia" w:eastAsiaTheme="minorEastAsia" w:cstheme="minorEastAsia"/>
          <w:b/>
          <w:color w:val="000000"/>
          <w:spacing w:val="0"/>
          <w:kern w:val="2"/>
          <w:sz w:val="32"/>
          <w:szCs w:val="32"/>
          <w:lang w:bidi="ar"/>
        </w:rPr>
        <w:t>第五章  评标方法和标准</w:t>
      </w:r>
      <w:bookmarkEnd w:id="742"/>
      <w:bookmarkEnd w:id="743"/>
    </w:p>
    <w:p>
      <w:pPr>
        <w:pStyle w:val="30"/>
        <w:spacing w:line="440" w:lineRule="exact"/>
        <w:jc w:val="both"/>
        <w:rPr>
          <w:rFonts w:hint="eastAsia" w:asciiTheme="minorEastAsia" w:hAnsiTheme="minorEastAsia" w:eastAsiaTheme="minorEastAsia" w:cstheme="minorEastAsia"/>
          <w:b/>
          <w:color w:val="000000"/>
          <w:spacing w:val="0"/>
          <w:kern w:val="2"/>
          <w:sz w:val="24"/>
          <w:szCs w:val="24"/>
          <w:lang w:bidi="ar"/>
        </w:rPr>
      </w:pPr>
      <w:bookmarkStart w:id="744" w:name="_Toc509318019"/>
      <w:bookmarkStart w:id="745" w:name="_Toc28327"/>
      <w:bookmarkStart w:id="746" w:name="_Toc492286391"/>
      <w:r>
        <w:rPr>
          <w:rFonts w:hint="eastAsia" w:asciiTheme="minorEastAsia" w:hAnsiTheme="minorEastAsia" w:eastAsiaTheme="minorEastAsia" w:cstheme="minorEastAsia"/>
          <w:b/>
          <w:color w:val="000000"/>
          <w:spacing w:val="0"/>
          <w:kern w:val="2"/>
          <w:sz w:val="24"/>
          <w:szCs w:val="24"/>
          <w:lang w:bidi="ar"/>
        </w:rPr>
        <w:t>一、评标方法</w:t>
      </w:r>
      <w:bookmarkEnd w:id="744"/>
      <w:bookmarkEnd w:id="745"/>
      <w:bookmarkEnd w:id="746"/>
    </w:p>
    <w:p>
      <w:pPr>
        <w:pStyle w:val="30"/>
        <w:spacing w:line="440" w:lineRule="exact"/>
        <w:ind w:firstLine="480" w:firstLineChars="200"/>
        <w:jc w:val="both"/>
        <w:rPr>
          <w:rFonts w:hint="eastAsia" w:asciiTheme="minorEastAsia" w:hAnsiTheme="minorEastAsia" w:eastAsiaTheme="minorEastAsia" w:cstheme="minorEastAsia"/>
          <w:bCs w:val="0"/>
          <w:color w:val="000000"/>
          <w:spacing w:val="0"/>
          <w:kern w:val="2"/>
          <w:sz w:val="24"/>
          <w:szCs w:val="24"/>
          <w:lang w:bidi="ar"/>
        </w:rPr>
      </w:pPr>
      <w:r>
        <w:rPr>
          <w:rFonts w:hint="eastAsia" w:asciiTheme="minorEastAsia" w:hAnsiTheme="minorEastAsia" w:eastAsiaTheme="minorEastAsia" w:cstheme="minorEastAsia"/>
          <w:bCs w:val="0"/>
          <w:color w:val="000000"/>
          <w:spacing w:val="0"/>
          <w:kern w:val="2"/>
          <w:sz w:val="24"/>
          <w:szCs w:val="24"/>
          <w:lang w:bidi="ar"/>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30"/>
        <w:spacing w:line="440" w:lineRule="exact"/>
        <w:jc w:val="both"/>
        <w:rPr>
          <w:rFonts w:hint="eastAsia" w:asciiTheme="minorEastAsia" w:hAnsiTheme="minorEastAsia" w:eastAsiaTheme="minorEastAsia" w:cstheme="minorEastAsia"/>
          <w:bCs w:val="0"/>
          <w:color w:val="000000"/>
          <w:spacing w:val="0"/>
          <w:kern w:val="2"/>
          <w:sz w:val="24"/>
          <w:szCs w:val="24"/>
          <w:lang w:bidi="ar"/>
        </w:rPr>
      </w:pPr>
      <w:bookmarkStart w:id="747" w:name="_Toc492286392"/>
      <w:bookmarkStart w:id="748" w:name="_Toc26426"/>
      <w:bookmarkStart w:id="749" w:name="_Toc19513"/>
      <w:bookmarkStart w:id="750" w:name="_Toc386"/>
      <w:bookmarkStart w:id="751" w:name="_Toc22445"/>
      <w:bookmarkStart w:id="752" w:name="_Toc509318020"/>
      <w:r>
        <w:rPr>
          <w:rFonts w:hint="eastAsia" w:asciiTheme="minorEastAsia" w:hAnsiTheme="minorEastAsia" w:eastAsiaTheme="minorEastAsia" w:cstheme="minorEastAsia"/>
          <w:bCs w:val="0"/>
          <w:color w:val="000000"/>
          <w:spacing w:val="0"/>
          <w:kern w:val="2"/>
          <w:sz w:val="24"/>
          <w:szCs w:val="24"/>
          <w:lang w:bidi="ar"/>
        </w:rPr>
        <w:t>二、资格审查</w:t>
      </w:r>
      <w:bookmarkEnd w:id="747"/>
      <w:bookmarkEnd w:id="748"/>
      <w:bookmarkEnd w:id="749"/>
      <w:bookmarkEnd w:id="750"/>
      <w:bookmarkEnd w:id="751"/>
      <w:bookmarkEnd w:id="752"/>
    </w:p>
    <w:p>
      <w:pPr>
        <w:pStyle w:val="30"/>
        <w:spacing w:line="440" w:lineRule="exact"/>
        <w:ind w:firstLine="480" w:firstLineChars="200"/>
        <w:jc w:val="both"/>
        <w:rPr>
          <w:rFonts w:hint="eastAsia" w:asciiTheme="minorEastAsia" w:hAnsiTheme="minorEastAsia" w:eastAsiaTheme="minorEastAsia" w:cstheme="minorEastAsia"/>
          <w:bCs w:val="0"/>
          <w:color w:val="000000"/>
          <w:spacing w:val="0"/>
          <w:kern w:val="2"/>
          <w:sz w:val="24"/>
          <w:szCs w:val="24"/>
          <w:lang w:bidi="ar"/>
        </w:rPr>
      </w:pPr>
      <w:r>
        <w:rPr>
          <w:rFonts w:hint="eastAsia" w:asciiTheme="minorEastAsia" w:hAnsiTheme="minorEastAsia" w:eastAsiaTheme="minorEastAsia" w:cstheme="minorEastAsia"/>
          <w:bCs w:val="0"/>
          <w:color w:val="000000"/>
          <w:spacing w:val="0"/>
          <w:kern w:val="2"/>
          <w:sz w:val="24"/>
          <w:szCs w:val="24"/>
          <w:lang w:bidi="ar"/>
        </w:rPr>
        <w:t>磋商小组依据磋商文件，对响应文件中的资格证明文件、项目保证金等进行审查，以确定供应商是否具备磋商资格。审查内容如下：</w:t>
      </w:r>
    </w:p>
    <w:tbl>
      <w:tblPr>
        <w:tblStyle w:val="25"/>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589"/>
        <w:gridCol w:w="916"/>
        <w:gridCol w:w="947"/>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04" w:type="dxa"/>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sz w:val="21"/>
                <w:szCs w:val="21"/>
                <w:lang w:val="en-US"/>
              </w:rPr>
            </w:pPr>
            <w:bookmarkStart w:id="753" w:name="_Toc492286395"/>
            <w:bookmarkStart w:id="754" w:name="_Toc31761"/>
            <w:bookmarkStart w:id="755" w:name="_Toc509318023"/>
            <w:r>
              <w:rPr>
                <w:rFonts w:hint="eastAsia" w:asciiTheme="minorEastAsia" w:hAnsiTheme="minorEastAsia" w:eastAsiaTheme="minorEastAsia" w:cstheme="minorEastAsia"/>
                <w:sz w:val="21"/>
                <w:szCs w:val="21"/>
                <w:lang w:val="en-US"/>
              </w:rPr>
              <w:t>序号</w:t>
            </w:r>
          </w:p>
        </w:tc>
        <w:tc>
          <w:tcPr>
            <w:tcW w:w="6589" w:type="dxa"/>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评审内容及标准</w:t>
            </w:r>
          </w:p>
        </w:tc>
        <w:tc>
          <w:tcPr>
            <w:tcW w:w="916" w:type="dxa"/>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rPr>
              <w:t>供应商</w:t>
            </w:r>
            <w:r>
              <w:rPr>
                <w:rFonts w:hint="eastAsia" w:asciiTheme="minorEastAsia" w:hAnsiTheme="minorEastAsia" w:eastAsiaTheme="minorEastAsia" w:cstheme="minorEastAsia"/>
                <w:sz w:val="21"/>
                <w:szCs w:val="21"/>
                <w:lang w:val="en-US" w:eastAsia="zh-CN"/>
              </w:rPr>
              <w:t>1</w:t>
            </w:r>
          </w:p>
        </w:tc>
        <w:tc>
          <w:tcPr>
            <w:tcW w:w="947" w:type="dxa"/>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供应商2</w:t>
            </w:r>
          </w:p>
        </w:tc>
        <w:tc>
          <w:tcPr>
            <w:tcW w:w="702" w:type="dxa"/>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04" w:type="dxa"/>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w:t>
            </w:r>
          </w:p>
        </w:tc>
        <w:tc>
          <w:tcPr>
            <w:tcW w:w="6589" w:type="dxa"/>
            <w:vAlign w:val="center"/>
          </w:tcPr>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满足《中华人民共和国政府采购法》第二十二条规定；</w:t>
            </w:r>
          </w:p>
        </w:tc>
        <w:tc>
          <w:tcPr>
            <w:tcW w:w="916"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4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702"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704" w:type="dxa"/>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2</w:t>
            </w:r>
          </w:p>
        </w:tc>
        <w:tc>
          <w:tcPr>
            <w:tcW w:w="6589" w:type="dxa"/>
            <w:vAlign w:val="center"/>
          </w:tcPr>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供应商为中小企业；</w:t>
            </w:r>
          </w:p>
        </w:tc>
        <w:tc>
          <w:tcPr>
            <w:tcW w:w="916"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4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702"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704" w:type="dxa"/>
            <w:vAlign w:val="center"/>
          </w:tcPr>
          <w:p>
            <w:pPr>
              <w:pStyle w:val="17"/>
              <w:ind w:right="-77" w:rightChars="-3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6589" w:type="dxa"/>
            <w:vAlign w:val="center"/>
          </w:tcPr>
          <w:p>
            <w:pPr>
              <w:pStyle w:val="17"/>
              <w:ind w:right="-77" w:rightChars="-35"/>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投标人应具备市政公用工程施工总承包三级</w:t>
            </w:r>
            <w:r>
              <w:rPr>
                <w:rFonts w:hint="eastAsia" w:asciiTheme="minorEastAsia" w:hAnsiTheme="minorEastAsia" w:eastAsiaTheme="minorEastAsia" w:cstheme="minorEastAsia"/>
                <w:sz w:val="21"/>
                <w:szCs w:val="21"/>
                <w:lang w:val="en-US"/>
              </w:rPr>
              <w:t xml:space="preserve"> (含三级)以上的施工企业资质，有安全生产许可证</w:t>
            </w:r>
            <w:r>
              <w:rPr>
                <w:rFonts w:hint="eastAsia" w:asciiTheme="minorEastAsia" w:hAnsiTheme="minorEastAsia" w:eastAsiaTheme="minorEastAsia" w:cstheme="minorEastAsia"/>
                <w:sz w:val="21"/>
                <w:szCs w:val="21"/>
                <w:lang w:val="en-US" w:eastAsia="zh-CN"/>
              </w:rPr>
              <w:t>。</w:t>
            </w:r>
          </w:p>
        </w:tc>
        <w:tc>
          <w:tcPr>
            <w:tcW w:w="916"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4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702"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93" w:type="dxa"/>
            <w:gridSpan w:val="2"/>
            <w:vAlign w:val="center"/>
          </w:tcPr>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结论：是否通过（资格审查合格后方可进入符合性审查阶段）</w:t>
            </w:r>
          </w:p>
        </w:tc>
        <w:tc>
          <w:tcPr>
            <w:tcW w:w="916"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4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702"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9858" w:type="dxa"/>
            <w:gridSpan w:val="5"/>
            <w:vAlign w:val="center"/>
          </w:tcPr>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备注：如果投标文件中有一项未通过上述审查标准，评标委员会将认定整个投标文件不响应</w:t>
            </w:r>
            <w:r>
              <w:rPr>
                <w:rFonts w:hint="eastAsia" w:asciiTheme="minorEastAsia" w:hAnsiTheme="minorEastAsia" w:eastAsiaTheme="minorEastAsia" w:cstheme="minorEastAsia"/>
                <w:sz w:val="21"/>
                <w:szCs w:val="21"/>
                <w:lang w:val="en-US" w:eastAsia="zh-CN"/>
              </w:rPr>
              <w:t>磋商文件</w:t>
            </w:r>
            <w:r>
              <w:rPr>
                <w:rFonts w:hint="eastAsia" w:asciiTheme="minorEastAsia" w:hAnsiTheme="minorEastAsia" w:eastAsiaTheme="minorEastAsia" w:cstheme="minorEastAsia"/>
                <w:sz w:val="21"/>
                <w:szCs w:val="21"/>
                <w:lang w:val="en-US"/>
              </w:rPr>
              <w:t>而予以投标无效，并且不允许供应商通过修改或撤销其不符合要求的差异或保留，使之成为具有响应性的投标。</w:t>
            </w:r>
          </w:p>
        </w:tc>
      </w:tr>
    </w:tbl>
    <w:p>
      <w:pPr>
        <w:pStyle w:val="30"/>
        <w:keepNext w:val="0"/>
        <w:keepLines w:val="0"/>
        <w:pageBreakBefore/>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color w:val="000000"/>
          <w:spacing w:val="0"/>
          <w:kern w:val="2"/>
          <w:sz w:val="24"/>
          <w:szCs w:val="24"/>
          <w:lang w:bidi="ar"/>
        </w:rPr>
      </w:pPr>
      <w:r>
        <w:rPr>
          <w:rFonts w:hint="eastAsia" w:asciiTheme="minorEastAsia" w:hAnsiTheme="minorEastAsia" w:eastAsiaTheme="minorEastAsia" w:cstheme="minorEastAsia"/>
          <w:b/>
          <w:color w:val="000000"/>
          <w:spacing w:val="0"/>
          <w:kern w:val="2"/>
          <w:sz w:val="24"/>
          <w:szCs w:val="24"/>
          <w:lang w:bidi="ar"/>
        </w:rPr>
        <w:t>三、符合性审查</w:t>
      </w:r>
      <w:bookmarkEnd w:id="753"/>
      <w:bookmarkEnd w:id="754"/>
      <w:bookmarkEnd w:id="755"/>
    </w:p>
    <w:p>
      <w:pPr>
        <w:pStyle w:val="30"/>
        <w:spacing w:line="440" w:lineRule="exact"/>
        <w:jc w:val="both"/>
        <w:rPr>
          <w:rFonts w:hint="eastAsia" w:asciiTheme="minorEastAsia" w:hAnsiTheme="minorEastAsia" w:eastAsiaTheme="minorEastAsia" w:cstheme="minorEastAsia"/>
          <w:bCs w:val="0"/>
          <w:color w:val="000000"/>
          <w:spacing w:val="0"/>
          <w:kern w:val="2"/>
          <w:sz w:val="24"/>
          <w:szCs w:val="24"/>
          <w:lang w:bidi="ar"/>
        </w:rPr>
      </w:pPr>
      <w:r>
        <w:rPr>
          <w:rFonts w:hint="eastAsia" w:asciiTheme="minorEastAsia" w:hAnsiTheme="minorEastAsia" w:eastAsiaTheme="minorEastAsia" w:cstheme="minorEastAsia"/>
          <w:bCs w:val="0"/>
          <w:color w:val="000000"/>
          <w:spacing w:val="0"/>
          <w:kern w:val="2"/>
          <w:sz w:val="24"/>
          <w:szCs w:val="24"/>
          <w:lang w:bidi="ar"/>
        </w:rPr>
        <w:t>3.1 磋商小组依据磋商文件，对响应文件的有效性、完整性和对磋商文件的响应程度进行审查，以确定供应商是否对磋商文件的实质性要求做出响应。审查内容如下：</w:t>
      </w:r>
    </w:p>
    <w:tbl>
      <w:tblPr>
        <w:tblStyle w:val="25"/>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532"/>
        <w:gridCol w:w="6043"/>
        <w:gridCol w:w="913"/>
        <w:gridCol w:w="937"/>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669" w:type="dxa"/>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项目</w:t>
            </w:r>
          </w:p>
        </w:tc>
        <w:tc>
          <w:tcPr>
            <w:tcW w:w="6575" w:type="dxa"/>
            <w:gridSpan w:val="2"/>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评  审  内  容</w:t>
            </w:r>
          </w:p>
        </w:tc>
        <w:tc>
          <w:tcPr>
            <w:tcW w:w="913" w:type="dxa"/>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供应商1</w:t>
            </w:r>
          </w:p>
        </w:tc>
        <w:tc>
          <w:tcPr>
            <w:tcW w:w="937" w:type="dxa"/>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供应商2</w:t>
            </w:r>
          </w:p>
        </w:tc>
        <w:tc>
          <w:tcPr>
            <w:tcW w:w="664" w:type="dxa"/>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669" w:type="dxa"/>
            <w:vMerge w:val="restart"/>
            <w:vAlign w:val="center"/>
          </w:tcPr>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初</w:t>
            </w:r>
          </w:p>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步</w:t>
            </w:r>
          </w:p>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评</w:t>
            </w:r>
          </w:p>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审</w:t>
            </w:r>
          </w:p>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w:t>
            </w:r>
          </w:p>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符合性审查</w:t>
            </w:r>
          </w:p>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w:t>
            </w:r>
          </w:p>
        </w:tc>
        <w:tc>
          <w:tcPr>
            <w:tcW w:w="532" w:type="dxa"/>
            <w:vAlign w:val="center"/>
          </w:tcPr>
          <w:p>
            <w:pPr>
              <w:pStyle w:val="17"/>
              <w:ind w:right="-77" w:rightChars="-3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043" w:type="dxa"/>
            <w:vAlign w:val="center"/>
          </w:tcPr>
          <w:p>
            <w:pPr>
              <w:widowControl w:val="0"/>
              <w:adjustRightInd/>
              <w:snapToGrid/>
              <w:spacing w:line="240" w:lineRule="auto"/>
              <w:ind w:firstLine="0" w:firstLineChars="0"/>
              <w:jc w:val="both"/>
              <w:rPr>
                <w:rFonts w:hint="eastAsia" w:asciiTheme="minorEastAsia" w:hAnsiTheme="minorEastAsia" w:eastAsiaTheme="minorEastAsia" w:cstheme="minorEastAsia"/>
                <w:sz w:val="21"/>
                <w:szCs w:val="21"/>
                <w:lang w:val="en-US" w:eastAsia="zh-CN" w:bidi="zh-CN"/>
              </w:rPr>
            </w:pPr>
            <w:r>
              <w:rPr>
                <w:rFonts w:hint="eastAsia" w:ascii="宋体" w:hAnsi="宋体" w:eastAsia="宋体" w:cs="宋体"/>
                <w:bCs/>
                <w:color w:val="auto"/>
                <w:kern w:val="2"/>
                <w:sz w:val="21"/>
                <w:szCs w:val="21"/>
              </w:rPr>
              <w:t>投标承诺书中所报工期、质量标准必须要满足</w:t>
            </w:r>
            <w:r>
              <w:rPr>
                <w:rFonts w:hint="eastAsia" w:ascii="宋体" w:hAnsi="宋体" w:eastAsia="宋体" w:cs="宋体"/>
                <w:bCs/>
                <w:color w:val="auto"/>
                <w:kern w:val="2"/>
                <w:sz w:val="21"/>
                <w:szCs w:val="21"/>
                <w:lang w:eastAsia="zh-CN"/>
              </w:rPr>
              <w:t>磋商文件</w:t>
            </w:r>
            <w:r>
              <w:rPr>
                <w:rFonts w:hint="eastAsia" w:ascii="宋体" w:hAnsi="宋体" w:eastAsia="宋体" w:cs="宋体"/>
                <w:bCs/>
                <w:color w:val="auto"/>
                <w:kern w:val="2"/>
                <w:sz w:val="21"/>
                <w:szCs w:val="21"/>
              </w:rPr>
              <w:t>规定。</w:t>
            </w:r>
          </w:p>
        </w:tc>
        <w:tc>
          <w:tcPr>
            <w:tcW w:w="913"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3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664"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669" w:type="dxa"/>
            <w:vMerge w:val="continue"/>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532" w:type="dxa"/>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2</w:t>
            </w:r>
          </w:p>
        </w:tc>
        <w:tc>
          <w:tcPr>
            <w:tcW w:w="6043" w:type="dxa"/>
            <w:vAlign w:val="center"/>
          </w:tcPr>
          <w:p>
            <w:pPr>
              <w:widowControl w:val="0"/>
              <w:adjustRightInd/>
              <w:snapToGrid/>
              <w:spacing w:line="240" w:lineRule="auto"/>
              <w:ind w:firstLine="0" w:firstLineChars="0"/>
              <w:jc w:val="both"/>
              <w:rPr>
                <w:rFonts w:hint="eastAsia" w:asciiTheme="minorEastAsia" w:hAnsiTheme="minorEastAsia" w:eastAsiaTheme="minorEastAsia" w:cstheme="minorEastAsia"/>
                <w:sz w:val="21"/>
                <w:szCs w:val="21"/>
                <w:lang w:val="en-US" w:eastAsia="zh-CN" w:bidi="zh-CN"/>
              </w:rPr>
            </w:pPr>
            <w:r>
              <w:rPr>
                <w:rFonts w:hint="eastAsia" w:ascii="宋体" w:hAnsi="宋体" w:eastAsia="宋体" w:cs="宋体"/>
                <w:bCs/>
                <w:color w:val="auto"/>
                <w:kern w:val="2"/>
                <w:sz w:val="21"/>
                <w:szCs w:val="21"/>
                <w:highlight w:val="none"/>
              </w:rPr>
              <w:t>投标承诺书必须按</w:t>
            </w:r>
            <w:r>
              <w:rPr>
                <w:rFonts w:hint="eastAsia" w:ascii="宋体" w:hAnsi="宋体" w:eastAsia="宋体" w:cs="宋体"/>
                <w:bCs/>
                <w:color w:val="auto"/>
                <w:kern w:val="2"/>
                <w:sz w:val="21"/>
                <w:szCs w:val="21"/>
                <w:highlight w:val="none"/>
                <w:lang w:eastAsia="zh-CN"/>
              </w:rPr>
              <w:t>磋商文件</w:t>
            </w:r>
            <w:r>
              <w:rPr>
                <w:rFonts w:hint="eastAsia" w:ascii="宋体" w:hAnsi="宋体" w:eastAsia="宋体" w:cs="宋体"/>
                <w:bCs/>
                <w:color w:val="auto"/>
                <w:kern w:val="2"/>
                <w:sz w:val="21"/>
                <w:szCs w:val="21"/>
                <w:highlight w:val="none"/>
              </w:rPr>
              <w:t>规定格式完整提供，并要盖投标人章、法定代表人或</w:t>
            </w:r>
            <w:r>
              <w:rPr>
                <w:rFonts w:hint="eastAsia" w:ascii="宋体" w:hAnsi="宋体" w:eastAsia="宋体" w:cs="宋体"/>
                <w:color w:val="auto"/>
                <w:kern w:val="2"/>
                <w:sz w:val="21"/>
                <w:szCs w:val="21"/>
                <w:highlight w:val="none"/>
              </w:rPr>
              <w:t>授权代理人</w:t>
            </w:r>
            <w:r>
              <w:rPr>
                <w:rFonts w:hint="eastAsia" w:ascii="宋体" w:hAnsi="宋体" w:eastAsia="宋体" w:cs="宋体"/>
                <w:bCs/>
                <w:color w:val="auto"/>
                <w:kern w:val="2"/>
                <w:sz w:val="21"/>
                <w:szCs w:val="21"/>
                <w:highlight w:val="none"/>
              </w:rPr>
              <w:t>章。</w:t>
            </w:r>
          </w:p>
        </w:tc>
        <w:tc>
          <w:tcPr>
            <w:tcW w:w="913"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3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664"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669" w:type="dxa"/>
            <w:vMerge w:val="continue"/>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532" w:type="dxa"/>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3</w:t>
            </w:r>
          </w:p>
        </w:tc>
        <w:tc>
          <w:tcPr>
            <w:tcW w:w="6043" w:type="dxa"/>
            <w:vAlign w:val="center"/>
          </w:tcPr>
          <w:p>
            <w:pPr>
              <w:widowControl w:val="0"/>
              <w:adjustRightInd/>
              <w:snapToGrid/>
              <w:spacing w:line="240" w:lineRule="auto"/>
              <w:ind w:firstLine="0" w:firstLineChars="0"/>
              <w:jc w:val="both"/>
              <w:rPr>
                <w:rFonts w:hint="eastAsia" w:asciiTheme="minorEastAsia" w:hAnsiTheme="minorEastAsia" w:eastAsiaTheme="minorEastAsia" w:cstheme="minorEastAsia"/>
                <w:sz w:val="21"/>
                <w:szCs w:val="21"/>
                <w:lang w:val="en-US" w:eastAsia="zh-CN" w:bidi="zh-CN"/>
              </w:rPr>
            </w:pPr>
            <w:r>
              <w:rPr>
                <w:rFonts w:hint="eastAsia" w:ascii="宋体" w:hAnsi="宋体" w:eastAsia="宋体" w:cs="宋体"/>
                <w:bCs/>
                <w:color w:val="auto"/>
                <w:kern w:val="2"/>
                <w:sz w:val="21"/>
                <w:szCs w:val="21"/>
              </w:rPr>
              <w:t>法定代表人身份证明书必须按</w:t>
            </w:r>
            <w:r>
              <w:rPr>
                <w:rFonts w:hint="eastAsia" w:ascii="宋体" w:hAnsi="宋体" w:eastAsia="宋体" w:cs="宋体"/>
                <w:bCs/>
                <w:color w:val="auto"/>
                <w:kern w:val="2"/>
                <w:sz w:val="21"/>
                <w:szCs w:val="21"/>
                <w:lang w:eastAsia="zh-CN"/>
              </w:rPr>
              <w:t>磋商文件</w:t>
            </w:r>
            <w:r>
              <w:rPr>
                <w:rFonts w:hint="eastAsia" w:ascii="宋体" w:hAnsi="宋体" w:eastAsia="宋体" w:cs="宋体"/>
                <w:bCs/>
                <w:color w:val="auto"/>
                <w:kern w:val="2"/>
                <w:sz w:val="21"/>
                <w:szCs w:val="21"/>
              </w:rPr>
              <w:t>规定格式完整提供，并要盖投标人章。</w:t>
            </w:r>
          </w:p>
        </w:tc>
        <w:tc>
          <w:tcPr>
            <w:tcW w:w="913"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3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664"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669" w:type="dxa"/>
            <w:vMerge w:val="continue"/>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532" w:type="dxa"/>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4</w:t>
            </w:r>
          </w:p>
        </w:tc>
        <w:tc>
          <w:tcPr>
            <w:tcW w:w="6043" w:type="dxa"/>
            <w:vAlign w:val="center"/>
          </w:tcPr>
          <w:p>
            <w:pPr>
              <w:widowControl w:val="0"/>
              <w:adjustRightInd/>
              <w:snapToGrid/>
              <w:spacing w:line="240" w:lineRule="auto"/>
              <w:ind w:firstLine="0" w:firstLineChars="0"/>
              <w:jc w:val="both"/>
              <w:rPr>
                <w:rFonts w:hint="eastAsia" w:asciiTheme="minorEastAsia" w:hAnsiTheme="minorEastAsia" w:eastAsiaTheme="minorEastAsia" w:cstheme="minorEastAsia"/>
                <w:sz w:val="21"/>
                <w:szCs w:val="21"/>
                <w:lang w:val="en-US" w:eastAsia="zh-CN" w:bidi="zh-CN"/>
              </w:rPr>
            </w:pPr>
            <w:r>
              <w:rPr>
                <w:rFonts w:hint="eastAsia" w:ascii="宋体" w:hAnsi="宋体" w:eastAsia="宋体" w:cs="宋体"/>
                <w:bCs/>
                <w:color w:val="auto"/>
                <w:kern w:val="2"/>
                <w:sz w:val="21"/>
                <w:szCs w:val="21"/>
              </w:rPr>
              <w:t>法定代表人授权委托书必须按</w:t>
            </w:r>
            <w:r>
              <w:rPr>
                <w:rFonts w:hint="eastAsia" w:ascii="宋体" w:hAnsi="宋体" w:eastAsia="宋体" w:cs="宋体"/>
                <w:bCs/>
                <w:color w:val="auto"/>
                <w:kern w:val="2"/>
                <w:sz w:val="21"/>
                <w:szCs w:val="21"/>
                <w:lang w:eastAsia="zh-CN"/>
              </w:rPr>
              <w:t>磋商文件</w:t>
            </w:r>
            <w:r>
              <w:rPr>
                <w:rFonts w:hint="eastAsia" w:ascii="宋体" w:hAnsi="宋体" w:eastAsia="宋体" w:cs="宋体"/>
                <w:bCs/>
                <w:color w:val="auto"/>
                <w:kern w:val="2"/>
                <w:sz w:val="21"/>
                <w:szCs w:val="21"/>
              </w:rPr>
              <w:t>规定格式完整提供，并要盖投标人章、法定代表人章。</w:t>
            </w:r>
          </w:p>
        </w:tc>
        <w:tc>
          <w:tcPr>
            <w:tcW w:w="913"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3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664"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669" w:type="dxa"/>
            <w:vMerge w:val="continue"/>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532" w:type="dxa"/>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5</w:t>
            </w:r>
          </w:p>
        </w:tc>
        <w:tc>
          <w:tcPr>
            <w:tcW w:w="6043" w:type="dxa"/>
            <w:vAlign w:val="center"/>
          </w:tcPr>
          <w:p>
            <w:pPr>
              <w:widowControl w:val="0"/>
              <w:adjustRightInd/>
              <w:snapToGrid/>
              <w:spacing w:line="240" w:lineRule="auto"/>
              <w:ind w:firstLine="0" w:firstLineChars="0"/>
              <w:jc w:val="both"/>
              <w:rPr>
                <w:rFonts w:hint="eastAsia" w:asciiTheme="minorEastAsia" w:hAnsiTheme="minorEastAsia" w:eastAsiaTheme="minorEastAsia" w:cstheme="minorEastAsia"/>
                <w:sz w:val="21"/>
                <w:szCs w:val="21"/>
                <w:lang w:val="en-US" w:eastAsia="zh-CN" w:bidi="zh-CN"/>
              </w:rPr>
            </w:pPr>
            <w:r>
              <w:rPr>
                <w:rFonts w:hint="eastAsia" w:ascii="宋体" w:hAnsi="宋体" w:eastAsia="宋体" w:cs="宋体"/>
                <w:bCs/>
                <w:color w:val="auto"/>
                <w:kern w:val="2"/>
                <w:sz w:val="21"/>
                <w:szCs w:val="21"/>
                <w:lang w:val="en-US" w:eastAsia="zh-CN"/>
              </w:rPr>
              <w:t>投标保证金收据或汇款凭证。</w:t>
            </w:r>
          </w:p>
        </w:tc>
        <w:tc>
          <w:tcPr>
            <w:tcW w:w="913"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3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664"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69" w:type="dxa"/>
            <w:vMerge w:val="continue"/>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532" w:type="dxa"/>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6</w:t>
            </w:r>
          </w:p>
        </w:tc>
        <w:tc>
          <w:tcPr>
            <w:tcW w:w="6043" w:type="dxa"/>
            <w:vAlign w:val="center"/>
          </w:tcPr>
          <w:p>
            <w:pPr>
              <w:widowControl w:val="0"/>
              <w:adjustRightInd/>
              <w:snapToGrid/>
              <w:spacing w:line="240" w:lineRule="auto"/>
              <w:ind w:firstLine="0" w:firstLineChars="0"/>
              <w:jc w:val="both"/>
              <w:rPr>
                <w:rFonts w:hint="eastAsia" w:asciiTheme="minorEastAsia" w:hAnsiTheme="minorEastAsia" w:eastAsiaTheme="minorEastAsia" w:cstheme="minorEastAsia"/>
                <w:sz w:val="21"/>
                <w:szCs w:val="21"/>
                <w:lang w:val="en-US" w:eastAsia="zh-CN" w:bidi="zh-CN"/>
              </w:rPr>
            </w:pPr>
            <w:r>
              <w:rPr>
                <w:rFonts w:hint="eastAsia" w:ascii="宋体" w:hAnsi="宋体" w:eastAsia="宋体" w:cs="宋体"/>
                <w:color w:val="auto"/>
                <w:kern w:val="2"/>
                <w:sz w:val="21"/>
                <w:szCs w:val="21"/>
              </w:rPr>
              <w:t>项目管理人员必须</w:t>
            </w:r>
            <w:r>
              <w:rPr>
                <w:rFonts w:hint="eastAsia" w:ascii="宋体" w:hAnsi="宋体" w:eastAsia="宋体" w:cs="宋体"/>
                <w:bCs/>
                <w:color w:val="auto"/>
                <w:kern w:val="2"/>
                <w:sz w:val="21"/>
                <w:szCs w:val="21"/>
              </w:rPr>
              <w:t>提供</w:t>
            </w:r>
            <w:r>
              <w:rPr>
                <w:rFonts w:hint="eastAsia" w:ascii="宋体" w:hAnsi="宋体" w:eastAsia="宋体" w:cs="宋体"/>
                <w:bCs/>
                <w:color w:val="auto"/>
                <w:kern w:val="2"/>
                <w:sz w:val="21"/>
                <w:szCs w:val="21"/>
                <w:lang w:eastAsia="zh-CN"/>
              </w:rPr>
              <w:t>。</w:t>
            </w:r>
          </w:p>
        </w:tc>
        <w:tc>
          <w:tcPr>
            <w:tcW w:w="913"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3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664"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669" w:type="dxa"/>
            <w:vMerge w:val="continue"/>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532" w:type="dxa"/>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7</w:t>
            </w:r>
          </w:p>
        </w:tc>
        <w:tc>
          <w:tcPr>
            <w:tcW w:w="6043" w:type="dxa"/>
            <w:vAlign w:val="center"/>
          </w:tcPr>
          <w:p>
            <w:pPr>
              <w:widowControl w:val="0"/>
              <w:adjustRightInd/>
              <w:snapToGrid/>
              <w:spacing w:line="240" w:lineRule="auto"/>
              <w:ind w:firstLine="0" w:firstLineChars="0"/>
              <w:jc w:val="both"/>
              <w:rPr>
                <w:rFonts w:hint="eastAsia" w:asciiTheme="minorEastAsia" w:hAnsiTheme="minorEastAsia" w:eastAsiaTheme="minorEastAsia" w:cstheme="minorEastAsia"/>
                <w:sz w:val="21"/>
                <w:szCs w:val="21"/>
                <w:lang w:val="en-US" w:eastAsia="zh-CN" w:bidi="zh-CN"/>
              </w:rPr>
            </w:pPr>
            <w:r>
              <w:rPr>
                <w:rFonts w:hint="eastAsia" w:ascii="宋体" w:hAnsi="宋体" w:eastAsia="宋体" w:cs="宋体"/>
                <w:color w:val="auto"/>
                <w:kern w:val="2"/>
                <w:sz w:val="21"/>
                <w:szCs w:val="21"/>
                <w:lang w:val="zh-CN"/>
              </w:rPr>
              <w:t>投标总价必须按磋商文件规定格式完整提供，并要盖投标人章，法定代表人或授权代理人签字或盖章。</w:t>
            </w:r>
          </w:p>
        </w:tc>
        <w:tc>
          <w:tcPr>
            <w:tcW w:w="913"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3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664"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69" w:type="dxa"/>
            <w:vMerge w:val="continue"/>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532" w:type="dxa"/>
            <w:vAlign w:val="center"/>
          </w:tcPr>
          <w:p>
            <w:pPr>
              <w:pStyle w:val="17"/>
              <w:ind w:right="-77" w:rightChars="-3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8</w:t>
            </w:r>
          </w:p>
        </w:tc>
        <w:tc>
          <w:tcPr>
            <w:tcW w:w="6043" w:type="dxa"/>
            <w:vAlign w:val="center"/>
          </w:tcPr>
          <w:p>
            <w:pPr>
              <w:widowControl w:val="0"/>
              <w:adjustRightInd/>
              <w:snapToGrid/>
              <w:spacing w:line="240" w:lineRule="auto"/>
              <w:ind w:firstLine="0" w:firstLineChars="0"/>
              <w:jc w:val="both"/>
              <w:rPr>
                <w:rFonts w:hint="eastAsia" w:asciiTheme="minorEastAsia" w:hAnsiTheme="minorEastAsia" w:eastAsiaTheme="minorEastAsia" w:cstheme="minorEastAsia"/>
                <w:sz w:val="21"/>
                <w:szCs w:val="21"/>
                <w:lang w:val="en-US" w:eastAsia="zh-CN" w:bidi="zh-CN"/>
              </w:rPr>
            </w:pPr>
            <w:r>
              <w:rPr>
                <w:rFonts w:hint="eastAsia" w:ascii="宋体" w:hAnsi="宋体" w:eastAsia="宋体" w:cs="宋体"/>
                <w:color w:val="auto"/>
                <w:kern w:val="2"/>
                <w:sz w:val="21"/>
                <w:szCs w:val="21"/>
                <w:lang w:val="en-US" w:eastAsia="zh-CN"/>
              </w:rPr>
              <w:t>响应文件</w:t>
            </w:r>
            <w:r>
              <w:rPr>
                <w:rFonts w:hint="eastAsia" w:ascii="宋体" w:hAnsi="宋体" w:eastAsia="宋体" w:cs="宋体"/>
                <w:color w:val="auto"/>
                <w:kern w:val="2"/>
                <w:sz w:val="21"/>
                <w:szCs w:val="21"/>
                <w:lang w:val="zh-CN"/>
              </w:rPr>
              <w:t>按</w:t>
            </w:r>
            <w:r>
              <w:rPr>
                <w:rFonts w:hint="eastAsia" w:ascii="宋体" w:hAnsi="宋体" w:eastAsia="宋体" w:cs="宋体"/>
                <w:color w:val="auto"/>
                <w:kern w:val="2"/>
                <w:sz w:val="21"/>
                <w:szCs w:val="21"/>
                <w:lang w:val="en-US" w:eastAsia="zh-CN"/>
              </w:rPr>
              <w:t>磋商</w:t>
            </w:r>
            <w:r>
              <w:rPr>
                <w:rFonts w:hint="eastAsia" w:ascii="宋体" w:hAnsi="宋体" w:eastAsia="宋体" w:cs="宋体"/>
                <w:color w:val="auto"/>
                <w:kern w:val="2"/>
                <w:sz w:val="21"/>
                <w:szCs w:val="21"/>
                <w:lang w:val="zh-CN"/>
              </w:rPr>
              <w:t>文件规定的格式填写，内容不全或关键字迹模糊、无法辨认的（包括分部分项工程量清单中暂估价、暂列金额的改动）。</w:t>
            </w:r>
          </w:p>
        </w:tc>
        <w:tc>
          <w:tcPr>
            <w:tcW w:w="913"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3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664"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669" w:type="dxa"/>
            <w:vMerge w:val="continue"/>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532" w:type="dxa"/>
            <w:vAlign w:val="center"/>
          </w:tcPr>
          <w:p>
            <w:pPr>
              <w:pStyle w:val="17"/>
              <w:ind w:right="-77" w:rightChars="-3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6043" w:type="dxa"/>
            <w:vAlign w:val="center"/>
          </w:tcPr>
          <w:p>
            <w:pPr>
              <w:widowControl w:val="0"/>
              <w:adjustRightInd/>
              <w:snapToGrid/>
              <w:spacing w:line="240" w:lineRule="auto"/>
              <w:ind w:firstLine="0" w:firstLineChars="0"/>
              <w:jc w:val="both"/>
              <w:rPr>
                <w:rFonts w:hint="eastAsia" w:asciiTheme="minorEastAsia" w:hAnsiTheme="minorEastAsia" w:eastAsiaTheme="minorEastAsia" w:cstheme="minorEastAsia"/>
                <w:sz w:val="21"/>
                <w:szCs w:val="21"/>
                <w:lang w:val="en-US" w:eastAsia="zh-CN" w:bidi="zh-CN"/>
              </w:rPr>
            </w:pPr>
            <w:r>
              <w:rPr>
                <w:rFonts w:hint="eastAsia" w:ascii="宋体" w:hAnsi="宋体" w:eastAsia="宋体" w:cs="宋体"/>
                <w:color w:val="auto"/>
                <w:kern w:val="2"/>
                <w:sz w:val="21"/>
                <w:szCs w:val="21"/>
                <w:lang w:val="en-US" w:eastAsia="zh-CN"/>
              </w:rPr>
              <w:t>是否存在改变招标文件提供的工程量清单。</w:t>
            </w:r>
          </w:p>
        </w:tc>
        <w:tc>
          <w:tcPr>
            <w:tcW w:w="913"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3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664"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669" w:type="dxa"/>
            <w:vMerge w:val="continue"/>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532" w:type="dxa"/>
            <w:vAlign w:val="center"/>
          </w:tcPr>
          <w:p>
            <w:pPr>
              <w:pStyle w:val="17"/>
              <w:ind w:right="-77" w:rightChars="-3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6043" w:type="dxa"/>
            <w:vAlign w:val="center"/>
          </w:tcPr>
          <w:p>
            <w:pPr>
              <w:widowControl w:val="0"/>
              <w:adjustRightInd/>
              <w:snapToGrid/>
              <w:spacing w:line="240" w:lineRule="auto"/>
              <w:ind w:firstLine="0" w:firstLineChars="0"/>
              <w:jc w:val="both"/>
              <w:rPr>
                <w:rFonts w:hint="eastAsia" w:asciiTheme="minorEastAsia" w:hAnsiTheme="minorEastAsia" w:eastAsiaTheme="minorEastAsia" w:cstheme="minorEastAsia"/>
                <w:sz w:val="21"/>
                <w:szCs w:val="21"/>
                <w:lang w:val="en-US" w:eastAsia="zh-CN" w:bidi="zh-CN"/>
              </w:rPr>
            </w:pPr>
            <w:r>
              <w:rPr>
                <w:rFonts w:hint="eastAsia" w:ascii="宋体" w:hAnsi="宋体" w:eastAsia="宋体" w:cs="宋体"/>
                <w:color w:val="auto"/>
                <w:kern w:val="2"/>
                <w:sz w:val="21"/>
                <w:szCs w:val="21"/>
              </w:rPr>
              <w:t>投标人的投标报价不</w:t>
            </w:r>
            <w:r>
              <w:rPr>
                <w:rFonts w:hint="eastAsia" w:ascii="宋体" w:hAnsi="宋体" w:eastAsia="宋体" w:cs="宋体"/>
                <w:color w:val="auto"/>
                <w:kern w:val="2"/>
                <w:sz w:val="21"/>
                <w:szCs w:val="21"/>
                <w:highlight w:val="none"/>
              </w:rPr>
              <w:t>能高于招标控制价</w:t>
            </w:r>
            <w:r>
              <w:rPr>
                <w:rFonts w:hint="eastAsia" w:ascii="宋体" w:hAnsi="宋体" w:eastAsia="宋体" w:cs="宋体"/>
                <w:color w:val="auto"/>
                <w:kern w:val="2"/>
                <w:sz w:val="21"/>
                <w:szCs w:val="21"/>
                <w:highlight w:val="none"/>
                <w:lang w:val="en-US" w:eastAsia="zh-CN"/>
              </w:rPr>
              <w:t>986094.57元</w:t>
            </w:r>
            <w:r>
              <w:rPr>
                <w:rFonts w:hint="eastAsia" w:ascii="宋体" w:hAnsi="宋体" w:eastAsia="宋体" w:cs="宋体"/>
                <w:color w:val="auto"/>
                <w:kern w:val="2"/>
                <w:sz w:val="21"/>
                <w:szCs w:val="21"/>
                <w:highlight w:val="none"/>
                <w:lang w:eastAsia="zh-CN"/>
              </w:rPr>
              <w:t>。</w:t>
            </w:r>
          </w:p>
        </w:tc>
        <w:tc>
          <w:tcPr>
            <w:tcW w:w="913"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3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664"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669" w:type="dxa"/>
            <w:vMerge w:val="continue"/>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532" w:type="dxa"/>
            <w:vAlign w:val="center"/>
          </w:tcPr>
          <w:p>
            <w:pPr>
              <w:pStyle w:val="17"/>
              <w:ind w:right="-77" w:rightChars="-3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6043" w:type="dxa"/>
            <w:vAlign w:val="center"/>
          </w:tcPr>
          <w:p>
            <w:pPr>
              <w:widowControl w:val="0"/>
              <w:adjustRightInd/>
              <w:snapToGrid/>
              <w:spacing w:line="240" w:lineRule="auto"/>
              <w:ind w:firstLine="0" w:firstLineChars="0"/>
              <w:jc w:val="both"/>
              <w:rPr>
                <w:rFonts w:hint="eastAsia" w:asciiTheme="minorEastAsia" w:hAnsiTheme="minorEastAsia" w:eastAsiaTheme="minorEastAsia" w:cstheme="minorEastAsia"/>
                <w:sz w:val="21"/>
                <w:szCs w:val="21"/>
                <w:lang w:val="en-US" w:eastAsia="zh-CN" w:bidi="zh-CN"/>
              </w:rPr>
            </w:pPr>
            <w:r>
              <w:rPr>
                <w:rFonts w:hint="eastAsia" w:ascii="宋体" w:hAnsi="宋体" w:eastAsia="宋体" w:cs="宋体"/>
                <w:color w:val="auto"/>
                <w:kern w:val="2"/>
                <w:sz w:val="21"/>
                <w:szCs w:val="21"/>
              </w:rPr>
              <w:t>法律、法规和磋商文件规定的其他无效情形。</w:t>
            </w:r>
          </w:p>
        </w:tc>
        <w:tc>
          <w:tcPr>
            <w:tcW w:w="913"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937"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c>
          <w:tcPr>
            <w:tcW w:w="664" w:type="dxa"/>
            <w:vAlign w:val="center"/>
          </w:tcPr>
          <w:p>
            <w:pPr>
              <w:pStyle w:val="17"/>
              <w:ind w:right="-77" w:rightChars="-35"/>
              <w:jc w:val="both"/>
              <w:rPr>
                <w:rFonts w:hint="eastAsia" w:asciiTheme="minorEastAsia" w:hAnsiTheme="minorEastAsia" w:eastAsiaTheme="minorEastAsia" w:cstheme="minorEastAsia"/>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9758" w:type="dxa"/>
            <w:gridSpan w:val="6"/>
            <w:vAlign w:val="center"/>
          </w:tcPr>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758" w:type="dxa"/>
            <w:gridSpan w:val="6"/>
            <w:vAlign w:val="center"/>
          </w:tcPr>
          <w:p>
            <w:pPr>
              <w:pStyle w:val="17"/>
              <w:ind w:right="-77" w:rightChars="-35"/>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备注：如果投标文件中有一项未通过上述审查标准，评标委员会将认定整个投标文件不响应竞磋文件而予以投标无效，并且不允许供应商通过修改或撤销其不符合要求的差异或保留，使之成为具有响应性的投标。</w:t>
            </w:r>
          </w:p>
        </w:tc>
      </w:tr>
    </w:tbl>
    <w:p>
      <w:pPr>
        <w:pStyle w:val="17"/>
        <w:spacing w:line="440" w:lineRule="exact"/>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rPr>
        <w:t>3.2 符合性检查中，对明显的文字和计算错误按下述原则处理：</w:t>
      </w:r>
    </w:p>
    <w:p>
      <w:pPr>
        <w:pStyle w:val="17"/>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w:t>
      </w:r>
      <w:r>
        <w:rPr>
          <w:rFonts w:hint="eastAsia" w:asciiTheme="minorEastAsia" w:hAnsiTheme="minorEastAsia" w:eastAsiaTheme="minorEastAsia" w:cstheme="minorEastAsia"/>
          <w:sz w:val="24"/>
          <w:lang w:val="en-US"/>
        </w:rPr>
        <w:t>响应</w:t>
      </w:r>
      <w:r>
        <w:rPr>
          <w:rFonts w:hint="eastAsia" w:asciiTheme="minorEastAsia" w:hAnsiTheme="minorEastAsia" w:eastAsiaTheme="minorEastAsia" w:cstheme="minorEastAsia"/>
          <w:sz w:val="24"/>
        </w:rPr>
        <w:t>文件中报价表内容与</w:t>
      </w:r>
      <w:r>
        <w:rPr>
          <w:rFonts w:hint="eastAsia" w:asciiTheme="minorEastAsia" w:hAnsiTheme="minorEastAsia" w:eastAsiaTheme="minorEastAsia" w:cstheme="minorEastAsia"/>
          <w:sz w:val="24"/>
          <w:lang w:val="en-US"/>
        </w:rPr>
        <w:t>响应</w:t>
      </w:r>
      <w:r>
        <w:rPr>
          <w:rFonts w:hint="eastAsia" w:asciiTheme="minorEastAsia" w:hAnsiTheme="minorEastAsia" w:eastAsiaTheme="minorEastAsia" w:cstheme="minorEastAsia"/>
          <w:sz w:val="24"/>
        </w:rPr>
        <w:t>文件中相应内容不一致的，以报价表为准；</w:t>
      </w:r>
    </w:p>
    <w:p>
      <w:pPr>
        <w:pStyle w:val="17"/>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（二）大写金额和小写金额不一致的，以大写金额为准；</w:t>
      </w:r>
    </w:p>
    <w:p>
      <w:pPr>
        <w:pStyle w:val="17"/>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（三）单价金额小数点或者百分比有明显错位的，以总价为准，并修改单价；</w:t>
      </w:r>
    </w:p>
    <w:p>
      <w:pPr>
        <w:pStyle w:val="17"/>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（四）总价金额与按单价汇总金额不一致的，以单价金额计算结果为准。</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同时出现两种以上不一致的，按照前款规定的顺序修正。修正后的报价经</w:t>
      </w:r>
      <w:r>
        <w:rPr>
          <w:rFonts w:hint="eastAsia" w:asciiTheme="minorEastAsia" w:hAnsiTheme="minorEastAsia" w:eastAsiaTheme="minorEastAsia" w:cstheme="minorEastAsia"/>
          <w:sz w:val="24"/>
          <w:lang w:val="en-US"/>
        </w:rPr>
        <w:t>供应商</w:t>
      </w:r>
      <w:r>
        <w:rPr>
          <w:rFonts w:hint="eastAsia" w:asciiTheme="minorEastAsia" w:hAnsiTheme="minorEastAsia" w:eastAsiaTheme="minorEastAsia" w:cstheme="minorEastAsia"/>
          <w:sz w:val="24"/>
        </w:rPr>
        <w:t>确认后产生约束力，</w:t>
      </w:r>
      <w:r>
        <w:rPr>
          <w:rFonts w:hint="eastAsia" w:asciiTheme="minorEastAsia" w:hAnsiTheme="minorEastAsia" w:eastAsiaTheme="minorEastAsia" w:cstheme="minorEastAsia"/>
          <w:sz w:val="24"/>
          <w:lang w:val="en-US"/>
        </w:rPr>
        <w:t>供应商</w:t>
      </w:r>
      <w:r>
        <w:rPr>
          <w:rFonts w:hint="eastAsia" w:asciiTheme="minorEastAsia" w:hAnsiTheme="minorEastAsia" w:eastAsiaTheme="minorEastAsia" w:cstheme="minorEastAsia"/>
          <w:sz w:val="24"/>
        </w:rPr>
        <w:t>不确认的，其</w:t>
      </w:r>
      <w:r>
        <w:rPr>
          <w:rFonts w:hint="eastAsia" w:asciiTheme="minorEastAsia" w:hAnsiTheme="minorEastAsia" w:eastAsiaTheme="minorEastAsia" w:cstheme="minorEastAsia"/>
          <w:b/>
          <w:bCs/>
          <w:sz w:val="24"/>
          <w:lang w:val="en-US"/>
        </w:rPr>
        <w:t>响应</w:t>
      </w:r>
      <w:r>
        <w:rPr>
          <w:rFonts w:hint="eastAsia" w:asciiTheme="minorEastAsia" w:hAnsiTheme="minorEastAsia" w:eastAsiaTheme="minorEastAsia" w:cstheme="minorEastAsia"/>
          <w:b/>
          <w:bCs/>
          <w:sz w:val="24"/>
        </w:rPr>
        <w:t>无效</w:t>
      </w:r>
      <w:r>
        <w:rPr>
          <w:rFonts w:hint="eastAsia" w:asciiTheme="minorEastAsia" w:hAnsiTheme="minorEastAsia" w:eastAsiaTheme="minorEastAsia" w:cstheme="minorEastAsia"/>
          <w:sz w:val="24"/>
        </w:rPr>
        <w:t>。</w:t>
      </w:r>
    </w:p>
    <w:p>
      <w:pPr>
        <w:pStyle w:val="17"/>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rPr>
        <w:t>3.3 磋商小组</w:t>
      </w:r>
      <w:r>
        <w:rPr>
          <w:rFonts w:hint="eastAsia" w:asciiTheme="minorEastAsia" w:hAnsiTheme="minorEastAsia" w:eastAsiaTheme="minorEastAsia" w:cstheme="minorEastAsia"/>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Theme="minorEastAsia" w:hAnsiTheme="minorEastAsia" w:eastAsiaTheme="minorEastAsia" w:cstheme="minorEastAsia"/>
          <w:sz w:val="24"/>
          <w:lang w:val="en-US"/>
        </w:rPr>
        <w:t>磋商小组</w:t>
      </w:r>
      <w:r>
        <w:rPr>
          <w:rFonts w:hint="eastAsia" w:asciiTheme="minorEastAsia" w:hAnsiTheme="minorEastAsia" w:eastAsiaTheme="minorEastAsia" w:cstheme="minorEastAsia"/>
          <w:sz w:val="24"/>
        </w:rPr>
        <w:t>将其作为</w:t>
      </w:r>
      <w:r>
        <w:rPr>
          <w:rFonts w:hint="eastAsia" w:asciiTheme="minorEastAsia" w:hAnsiTheme="minorEastAsia" w:eastAsiaTheme="minorEastAsia" w:cstheme="minorEastAsia"/>
          <w:b/>
          <w:bCs/>
          <w:sz w:val="24"/>
        </w:rPr>
        <w:t>无效响应</w:t>
      </w:r>
      <w:r>
        <w:rPr>
          <w:rFonts w:hint="eastAsia" w:asciiTheme="minorEastAsia" w:hAnsiTheme="minorEastAsia" w:eastAsiaTheme="minorEastAsia" w:cstheme="minorEastAsia"/>
          <w:sz w:val="24"/>
        </w:rPr>
        <w:t>处理。</w:t>
      </w:r>
    </w:p>
    <w:p>
      <w:pPr>
        <w:pStyle w:val="30"/>
        <w:spacing w:line="440" w:lineRule="exact"/>
        <w:jc w:val="both"/>
        <w:rPr>
          <w:rFonts w:hint="eastAsia" w:asciiTheme="minorEastAsia" w:hAnsiTheme="minorEastAsia" w:eastAsiaTheme="minorEastAsia" w:cstheme="minorEastAsia"/>
          <w:b/>
          <w:color w:val="000000"/>
          <w:spacing w:val="0"/>
          <w:kern w:val="2"/>
          <w:sz w:val="24"/>
          <w:szCs w:val="24"/>
          <w:lang w:bidi="ar"/>
        </w:rPr>
      </w:pPr>
      <w:r>
        <w:rPr>
          <w:rFonts w:hint="eastAsia" w:asciiTheme="minorEastAsia" w:hAnsiTheme="minorEastAsia" w:eastAsiaTheme="minorEastAsia" w:cstheme="minorEastAsia"/>
          <w:b/>
          <w:color w:val="000000"/>
          <w:spacing w:val="0"/>
          <w:kern w:val="2"/>
          <w:sz w:val="24"/>
          <w:szCs w:val="24"/>
          <w:lang w:bidi="ar"/>
        </w:rPr>
        <w:t>四、评审</w:t>
      </w:r>
    </w:p>
    <w:tbl>
      <w:tblPr>
        <w:tblStyle w:val="26"/>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13"/>
        <w:gridCol w:w="529"/>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127" w:type="dxa"/>
            <w:gridSpan w:val="2"/>
            <w:vAlign w:val="center"/>
          </w:tcPr>
          <w:p>
            <w:pPr>
              <w:ind w:right="668" w:rightChars="304"/>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评分因素</w:t>
            </w:r>
          </w:p>
        </w:tc>
        <w:tc>
          <w:tcPr>
            <w:tcW w:w="529" w:type="dxa"/>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分值</w:t>
            </w:r>
          </w:p>
        </w:tc>
        <w:tc>
          <w:tcPr>
            <w:tcW w:w="5862" w:type="dxa"/>
            <w:vAlign w:val="center"/>
          </w:tcPr>
          <w:p>
            <w:pPr>
              <w:ind w:right="-33" w:rightChars="-1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27" w:type="dxa"/>
            <w:gridSpan w:val="2"/>
            <w:vAlign w:val="center"/>
          </w:tcPr>
          <w:p>
            <w:pPr>
              <w:pStyle w:val="17"/>
              <w:ind w:right="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价格部分（</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0分）</w:t>
            </w:r>
          </w:p>
        </w:tc>
        <w:tc>
          <w:tcPr>
            <w:tcW w:w="529" w:type="dxa"/>
            <w:vAlign w:val="center"/>
          </w:tcPr>
          <w:p>
            <w:pPr>
              <w:pStyle w:val="17"/>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5862" w:type="dxa"/>
          </w:tcPr>
          <w:p>
            <w:pPr>
              <w:pStyle w:val="17"/>
              <w:ind w:right="-33" w:rightChars="-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满足磋商文件要求且最后</w:t>
            </w:r>
            <w:r>
              <w:rPr>
                <w:rFonts w:hint="eastAsia" w:asciiTheme="minorEastAsia" w:hAnsiTheme="minorEastAsia" w:eastAsiaTheme="minorEastAsia" w:cstheme="minorEastAsia"/>
                <w:b/>
                <w:bCs/>
                <w:sz w:val="21"/>
                <w:szCs w:val="21"/>
              </w:rPr>
              <w:t>报价最低</w:t>
            </w:r>
            <w:r>
              <w:rPr>
                <w:rFonts w:hint="eastAsia" w:asciiTheme="minorEastAsia" w:hAnsiTheme="minorEastAsia" w:eastAsiaTheme="minorEastAsia" w:cstheme="minorEastAsia"/>
                <w:sz w:val="21"/>
                <w:szCs w:val="21"/>
              </w:rPr>
              <w:t>的响应人的价格为磋商基准价,其价格为满分</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分。其他响应人的价格分统一按照下列公式计算：</w:t>
            </w:r>
          </w:p>
          <w:p>
            <w:pPr>
              <w:pStyle w:val="17"/>
              <w:ind w:right="-33" w:rightChars="-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磋商报价得分=(磋商基准价/最后磋商报价)×</w:t>
            </w: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14" w:type="dxa"/>
            <w:vMerge w:val="restart"/>
            <w:tcBorders>
              <w:right w:val="single" w:color="000000" w:sz="4" w:space="0"/>
            </w:tcBorders>
            <w:vAlign w:val="center"/>
          </w:tcPr>
          <w:p>
            <w:pPr>
              <w:pStyle w:val="17"/>
              <w:ind w:right="-19" w:rightChars="-9"/>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商务部分(</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分)</w:t>
            </w:r>
          </w:p>
        </w:tc>
        <w:tc>
          <w:tcPr>
            <w:tcW w:w="1313" w:type="dxa"/>
            <w:tcBorders>
              <w:left w:val="single" w:color="000000" w:sz="4" w:space="0"/>
            </w:tcBorders>
            <w:vAlign w:val="center"/>
          </w:tcPr>
          <w:p>
            <w:pPr>
              <w:pStyle w:val="17"/>
              <w:ind w:right="33" w:rightChars="1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供应商业绩</w:t>
            </w:r>
          </w:p>
        </w:tc>
        <w:tc>
          <w:tcPr>
            <w:tcW w:w="529" w:type="dxa"/>
            <w:vAlign w:val="center"/>
          </w:tcPr>
          <w:p>
            <w:pPr>
              <w:pStyle w:val="17"/>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5862" w:type="dxa"/>
            <w:vAlign w:val="center"/>
          </w:tcPr>
          <w:p>
            <w:pPr>
              <w:pStyle w:val="17"/>
              <w:ind w:right="-33" w:rightChars="-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供应商近三年（20</w:t>
            </w:r>
            <w:r>
              <w:rPr>
                <w:rFonts w:hint="eastAsia" w:asciiTheme="minorEastAsia" w:hAnsiTheme="minorEastAsia" w:eastAsiaTheme="minorEastAsia" w:cstheme="minorEastAsia"/>
                <w:sz w:val="21"/>
                <w:szCs w:val="21"/>
                <w:lang w:val="en-US"/>
              </w:rPr>
              <w:t>20</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rPr>
              <w:t>1</w:t>
            </w:r>
            <w:r>
              <w:rPr>
                <w:rFonts w:hint="eastAsia" w:asciiTheme="minorEastAsia" w:hAnsiTheme="minorEastAsia" w:eastAsiaTheme="minorEastAsia" w:cstheme="minorEastAsia"/>
                <w:sz w:val="21"/>
                <w:szCs w:val="21"/>
              </w:rPr>
              <w:t>月1日-至今）完成</w:t>
            </w:r>
            <w:r>
              <w:rPr>
                <w:rFonts w:hint="eastAsia" w:asciiTheme="minorEastAsia" w:hAnsiTheme="minorEastAsia" w:eastAsiaTheme="minorEastAsia" w:cstheme="minorEastAsia"/>
                <w:sz w:val="21"/>
                <w:szCs w:val="21"/>
                <w:lang w:val="en-US" w:eastAsia="zh-CN"/>
              </w:rPr>
              <w:t>市政</w:t>
            </w:r>
            <w:r>
              <w:rPr>
                <w:rFonts w:hint="eastAsia" w:asciiTheme="minorEastAsia" w:hAnsiTheme="minorEastAsia" w:eastAsiaTheme="minorEastAsia" w:cstheme="minorEastAsia"/>
                <w:sz w:val="21"/>
                <w:szCs w:val="21"/>
              </w:rPr>
              <w:t>工程业绩</w:t>
            </w:r>
            <w:r>
              <w:rPr>
                <w:rFonts w:hint="eastAsia" w:asciiTheme="minorEastAsia" w:hAnsiTheme="minorEastAsia" w:eastAsiaTheme="minorEastAsia" w:cstheme="minorEastAsia"/>
                <w:sz w:val="21"/>
                <w:szCs w:val="21"/>
                <w:lang w:val="en-US" w:eastAsia="zh-CN"/>
              </w:rPr>
              <w:t>每</w:t>
            </w:r>
            <w:r>
              <w:rPr>
                <w:rFonts w:hint="eastAsia" w:asciiTheme="minorEastAsia" w:hAnsiTheme="minorEastAsia" w:eastAsiaTheme="minorEastAsia" w:cstheme="minorEastAsia"/>
                <w:sz w:val="21"/>
                <w:szCs w:val="21"/>
              </w:rPr>
              <w:t>提供一项得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分，满分</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分；</w:t>
            </w:r>
          </w:p>
          <w:p>
            <w:pPr>
              <w:pStyle w:val="17"/>
              <w:ind w:right="-33" w:rightChars="-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注：业绩证明须提供成交通知书或中标通知书、施工合同。提供不全或未提供均不得分。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814" w:type="dxa"/>
            <w:vMerge w:val="continue"/>
            <w:tcBorders>
              <w:right w:val="single" w:color="000000" w:sz="4" w:space="0"/>
            </w:tcBorders>
            <w:vAlign w:val="center"/>
          </w:tcPr>
          <w:p>
            <w:pPr>
              <w:pStyle w:val="17"/>
              <w:ind w:right="-19" w:rightChars="-9"/>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pStyle w:val="17"/>
              <w:tabs>
                <w:tab w:val="left" w:pos="222"/>
              </w:tabs>
              <w:ind w:right="33" w:rightChars="15"/>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项目管理人员组成</w:t>
            </w:r>
          </w:p>
        </w:tc>
        <w:tc>
          <w:tcPr>
            <w:tcW w:w="529" w:type="dxa"/>
            <w:vAlign w:val="center"/>
          </w:tcPr>
          <w:p>
            <w:pPr>
              <w:pStyle w:val="17"/>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5862" w:type="dxa"/>
            <w:vAlign w:val="center"/>
          </w:tcPr>
          <w:p>
            <w:pPr>
              <w:pStyle w:val="17"/>
              <w:ind w:right="-33" w:rightChars="-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r>
              <w:rPr>
                <w:rFonts w:hint="eastAsia" w:asciiTheme="minorEastAsia" w:hAnsiTheme="minorEastAsia" w:eastAsiaTheme="minorEastAsia" w:cstheme="minorEastAsia"/>
                <w:sz w:val="21"/>
                <w:szCs w:val="21"/>
                <w:lang w:val="en-US" w:eastAsia="zh-CN"/>
              </w:rPr>
              <w:t>技术负责人</w:t>
            </w:r>
            <w:r>
              <w:rPr>
                <w:rFonts w:hint="eastAsia" w:asciiTheme="minorEastAsia" w:hAnsiTheme="minorEastAsia" w:eastAsiaTheme="minorEastAsia" w:cstheme="minorEastAsia"/>
                <w:sz w:val="21"/>
                <w:szCs w:val="21"/>
              </w:rPr>
              <w:t>、质量管理员、材料管理员、安全管理员、施工员、预算员、资料员和项目负责人需要配备的其他关键人员配备齐全，项目</w:t>
            </w:r>
            <w:r>
              <w:rPr>
                <w:rFonts w:hint="eastAsia" w:asciiTheme="minorEastAsia" w:hAnsiTheme="minorEastAsia" w:eastAsiaTheme="minorEastAsia" w:cstheme="minorEastAsia"/>
                <w:sz w:val="21"/>
                <w:szCs w:val="21"/>
                <w:lang w:val="en-US" w:eastAsia="zh-CN"/>
              </w:rPr>
              <w:t>技术负责人</w:t>
            </w:r>
            <w:r>
              <w:rPr>
                <w:rFonts w:hint="eastAsia" w:asciiTheme="minorEastAsia" w:hAnsiTheme="minorEastAsia" w:eastAsiaTheme="minorEastAsia" w:cstheme="minorEastAsia"/>
                <w:sz w:val="21"/>
                <w:szCs w:val="21"/>
              </w:rPr>
              <w:t>须附职称证书，其他人员</w:t>
            </w:r>
            <w:r>
              <w:rPr>
                <w:rFonts w:hint="eastAsia" w:asciiTheme="minorEastAsia" w:hAnsiTheme="minorEastAsia" w:eastAsiaTheme="minorEastAsia" w:cstheme="minorEastAsia"/>
                <w:sz w:val="21"/>
                <w:szCs w:val="21"/>
                <w:lang w:val="en-US" w:eastAsia="zh-CN"/>
              </w:rPr>
              <w:t>须附</w:t>
            </w:r>
            <w:r>
              <w:rPr>
                <w:rFonts w:hint="eastAsia" w:asciiTheme="minorEastAsia" w:hAnsiTheme="minorEastAsia" w:eastAsiaTheme="minorEastAsia" w:cstheme="minorEastAsia"/>
                <w:sz w:val="21"/>
                <w:szCs w:val="21"/>
              </w:rPr>
              <w:t>上岗证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人员配备全面，</w:t>
            </w:r>
            <w:r>
              <w:rPr>
                <w:rFonts w:hint="eastAsia" w:ascii="宋体" w:hAnsi="宋体" w:eastAsia="宋体" w:cs="宋体"/>
                <w:color w:val="auto"/>
                <w:sz w:val="21"/>
                <w:szCs w:val="21"/>
                <w:highlight w:val="none"/>
                <w:lang w:val="en-US" w:eastAsia="zh-CN"/>
              </w:rPr>
              <w:t>专业齐全得 [8-10]分；组织机构基本合理、基本齐全，以及管理人员配备一般，专业齐全得[4-7] 分；人员配备欠合理，专业不够齐全得[1-3]分；</w:t>
            </w:r>
          </w:p>
          <w:p>
            <w:pPr>
              <w:pStyle w:val="17"/>
              <w:ind w:right="-33" w:rightChars="-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注：提供的人员必须提供近六个月本单位的缴纳社保证明，否则不计分。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14" w:type="dxa"/>
            <w:vMerge w:val="restart"/>
            <w:tcBorders>
              <w:right w:val="single" w:color="000000" w:sz="4" w:space="0"/>
            </w:tcBorders>
            <w:vAlign w:val="center"/>
          </w:tcPr>
          <w:p>
            <w:pPr>
              <w:pStyle w:val="17"/>
              <w:ind w:right="-19" w:rightChars="-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技术部分 (</w:t>
            </w:r>
            <w:r>
              <w:rPr>
                <w:rFonts w:hint="eastAsia" w:asciiTheme="minorEastAsia" w:hAnsiTheme="minorEastAsia" w:eastAsiaTheme="minorEastAsia" w:cstheme="minorEastAsia"/>
                <w:sz w:val="21"/>
                <w:szCs w:val="21"/>
                <w:lang w:val="en-US"/>
              </w:rPr>
              <w:t>5</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工程概况及特点</w:t>
            </w:r>
          </w:p>
        </w:tc>
        <w:tc>
          <w:tcPr>
            <w:tcW w:w="529" w:type="dxa"/>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lang w:val="en-US"/>
              </w:rPr>
            </w:pPr>
            <w:r>
              <w:rPr>
                <w:rFonts w:hint="eastAsia" w:ascii="宋体" w:hAnsi="宋体" w:eastAsia="宋体" w:cs="宋体"/>
                <w:color w:val="auto"/>
                <w:sz w:val="21"/>
                <w:szCs w:val="21"/>
                <w:lang w:val="en-US" w:eastAsia="zh-CN"/>
              </w:rPr>
              <w:t>5</w:t>
            </w:r>
          </w:p>
        </w:tc>
        <w:tc>
          <w:tcPr>
            <w:tcW w:w="5862" w:type="dxa"/>
            <w:vAlign w:val="center"/>
          </w:tcPr>
          <w:p>
            <w:pPr>
              <w:numPr>
                <w:ilvl w:val="0"/>
                <w:numId w:val="0"/>
              </w:numPr>
              <w:spacing w:line="240" w:lineRule="auto"/>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宋体" w:hAnsi="宋体" w:eastAsia="宋体" w:cs="宋体"/>
                <w:color w:val="auto"/>
                <w:sz w:val="21"/>
                <w:szCs w:val="21"/>
              </w:rPr>
              <w:t>工程概况及特点叙述正确，符合实际</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4" w:type="dxa"/>
            <w:vMerge w:val="continue"/>
            <w:tcBorders>
              <w:right w:val="single" w:color="000000" w:sz="4" w:space="0"/>
            </w:tcBorders>
            <w:vAlign w:val="center"/>
          </w:tcPr>
          <w:p>
            <w:pPr>
              <w:pStyle w:val="17"/>
              <w:ind w:right="-19" w:rightChars="-9"/>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施工准备计划</w:t>
            </w:r>
          </w:p>
        </w:tc>
        <w:tc>
          <w:tcPr>
            <w:tcW w:w="529" w:type="dxa"/>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lang w:val="en-US"/>
              </w:rPr>
            </w:pPr>
            <w:r>
              <w:rPr>
                <w:rFonts w:hint="eastAsia" w:ascii="宋体" w:hAnsi="宋体" w:eastAsia="宋体" w:cs="宋体"/>
                <w:color w:val="auto"/>
                <w:sz w:val="21"/>
                <w:szCs w:val="21"/>
                <w:lang w:val="en-US" w:eastAsia="zh-CN"/>
              </w:rPr>
              <w:t>5</w:t>
            </w:r>
          </w:p>
        </w:tc>
        <w:tc>
          <w:tcPr>
            <w:tcW w:w="5862" w:type="dxa"/>
            <w:vAlign w:val="center"/>
          </w:tcPr>
          <w:p>
            <w:pPr>
              <w:numPr>
                <w:ilvl w:val="0"/>
                <w:numId w:val="0"/>
              </w:numPr>
              <w:spacing w:line="240" w:lineRule="auto"/>
              <w:ind w:left="0" w:leftChars="0" w:firstLine="0" w:firstLineChars="0"/>
              <w:jc w:val="both"/>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施工技术、现场、物资与机械、队伍准备计划应能充分保证工程需要</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4" w:type="dxa"/>
            <w:vMerge w:val="continue"/>
            <w:tcBorders>
              <w:right w:val="single" w:color="000000" w:sz="4" w:space="0"/>
            </w:tcBorders>
            <w:vAlign w:val="center"/>
          </w:tcPr>
          <w:p>
            <w:pPr>
              <w:pStyle w:val="17"/>
              <w:ind w:right="-19" w:rightChars="-9"/>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施工方案</w:t>
            </w:r>
          </w:p>
        </w:tc>
        <w:tc>
          <w:tcPr>
            <w:tcW w:w="529" w:type="dxa"/>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lang w:val="en-US" w:eastAsia="zh-CN"/>
              </w:rPr>
              <w:t>6</w:t>
            </w:r>
          </w:p>
        </w:tc>
        <w:tc>
          <w:tcPr>
            <w:tcW w:w="5862" w:type="dxa"/>
            <w:vAlign w:val="center"/>
          </w:tcPr>
          <w:p>
            <w:pPr>
              <w:numPr>
                <w:ilvl w:val="0"/>
                <w:numId w:val="0"/>
              </w:numPr>
              <w:spacing w:line="240" w:lineRule="auto"/>
              <w:ind w:left="0" w:leftChars="0" w:firstLine="0" w:firstLineChars="0"/>
              <w:jc w:val="both"/>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施工方案应能符合工程实际情况，提高生产率、缩短工期、提高质量、降低消耗</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14" w:type="dxa"/>
            <w:vMerge w:val="continue"/>
            <w:tcBorders>
              <w:right w:val="single" w:color="000000" w:sz="4" w:space="0"/>
            </w:tcBorders>
            <w:vAlign w:val="center"/>
          </w:tcPr>
          <w:p>
            <w:pPr>
              <w:pStyle w:val="17"/>
              <w:ind w:right="-19" w:rightChars="-9"/>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施工进度计划</w:t>
            </w:r>
          </w:p>
        </w:tc>
        <w:tc>
          <w:tcPr>
            <w:tcW w:w="529" w:type="dxa"/>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lang w:val="en-US" w:eastAsia="zh-CN"/>
              </w:rPr>
              <w:t>8</w:t>
            </w:r>
          </w:p>
        </w:tc>
        <w:tc>
          <w:tcPr>
            <w:tcW w:w="5862" w:type="dxa"/>
            <w:vAlign w:val="center"/>
          </w:tcPr>
          <w:p>
            <w:pPr>
              <w:numPr>
                <w:ilvl w:val="0"/>
                <w:numId w:val="0"/>
              </w:numPr>
              <w:spacing w:line="240" w:lineRule="auto"/>
              <w:ind w:left="0" w:leftChars="0" w:firstLine="0" w:firstLineChars="0"/>
              <w:jc w:val="both"/>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进度计划应在空间和时间上做合理的统筹安排且符合施工的科学规律</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4" w:type="dxa"/>
            <w:vMerge w:val="continue"/>
            <w:tcBorders>
              <w:right w:val="single" w:color="000000" w:sz="4" w:space="0"/>
            </w:tcBorders>
            <w:vAlign w:val="center"/>
          </w:tcPr>
          <w:p>
            <w:pPr>
              <w:pStyle w:val="17"/>
              <w:ind w:right="-19" w:rightChars="-9"/>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施工平面图</w:t>
            </w:r>
          </w:p>
        </w:tc>
        <w:tc>
          <w:tcPr>
            <w:tcW w:w="529" w:type="dxa"/>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lang w:val="en-US"/>
              </w:rPr>
            </w:pPr>
            <w:r>
              <w:rPr>
                <w:rFonts w:hint="eastAsia" w:ascii="宋体" w:hAnsi="宋体" w:eastAsia="宋体" w:cs="宋体"/>
                <w:color w:val="auto"/>
                <w:sz w:val="21"/>
                <w:szCs w:val="21"/>
                <w:lang w:val="en-US" w:eastAsia="zh-CN"/>
              </w:rPr>
              <w:t>5</w:t>
            </w:r>
          </w:p>
        </w:tc>
        <w:tc>
          <w:tcPr>
            <w:tcW w:w="5862" w:type="dxa"/>
            <w:vAlign w:val="center"/>
          </w:tcPr>
          <w:p>
            <w:pPr>
              <w:numPr>
                <w:ilvl w:val="0"/>
                <w:numId w:val="0"/>
              </w:numPr>
              <w:spacing w:line="240" w:lineRule="auto"/>
              <w:ind w:left="0" w:leftChars="0" w:firstLine="0" w:firstLineChars="0"/>
              <w:jc w:val="both"/>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施工平面图应符合工程实际，布置紧凑，便于施工和管理并符合劳保、安全要求。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4" w:type="dxa"/>
            <w:vMerge w:val="continue"/>
            <w:tcBorders>
              <w:right w:val="single" w:color="000000" w:sz="4" w:space="0"/>
            </w:tcBorders>
            <w:vAlign w:val="center"/>
          </w:tcPr>
          <w:p>
            <w:pPr>
              <w:pStyle w:val="17"/>
              <w:ind w:right="668" w:rightChars="304"/>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劳动力需用量计划</w:t>
            </w:r>
          </w:p>
        </w:tc>
        <w:tc>
          <w:tcPr>
            <w:tcW w:w="529" w:type="dxa"/>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lang w:val="en-US"/>
              </w:rPr>
            </w:pPr>
            <w:r>
              <w:rPr>
                <w:rFonts w:hint="eastAsia" w:ascii="宋体" w:hAnsi="宋体" w:eastAsia="宋体" w:cs="宋体"/>
                <w:color w:val="auto"/>
                <w:sz w:val="21"/>
                <w:szCs w:val="21"/>
                <w:lang w:val="en-US" w:eastAsia="zh-CN"/>
              </w:rPr>
              <w:t>3</w:t>
            </w:r>
          </w:p>
        </w:tc>
        <w:tc>
          <w:tcPr>
            <w:tcW w:w="5862" w:type="dxa"/>
            <w:vMerge w:val="restart"/>
            <w:vAlign w:val="center"/>
          </w:tcPr>
          <w:p>
            <w:pPr>
              <w:numPr>
                <w:ilvl w:val="0"/>
                <w:numId w:val="0"/>
              </w:numPr>
              <w:spacing w:line="240" w:lineRule="auto"/>
              <w:ind w:left="0" w:leftChars="0" w:firstLine="0" w:firstLineChars="0"/>
              <w:jc w:val="both"/>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需用量计划应是根据工程进度计划的安排计算出的，并与工程进度计划相一致。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4" w:type="dxa"/>
            <w:vMerge w:val="continue"/>
            <w:tcBorders>
              <w:right w:val="single" w:color="000000" w:sz="4" w:space="0"/>
            </w:tcBorders>
            <w:vAlign w:val="center"/>
          </w:tcPr>
          <w:p>
            <w:pPr>
              <w:pStyle w:val="17"/>
              <w:ind w:right="668" w:rightChars="304"/>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材料需用量计划</w:t>
            </w:r>
          </w:p>
        </w:tc>
        <w:tc>
          <w:tcPr>
            <w:tcW w:w="529" w:type="dxa"/>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lang w:val="en-US"/>
              </w:rPr>
            </w:pPr>
            <w:r>
              <w:rPr>
                <w:rFonts w:hint="eastAsia" w:ascii="宋体" w:hAnsi="宋体" w:eastAsia="宋体" w:cs="宋体"/>
                <w:color w:val="auto"/>
                <w:sz w:val="21"/>
                <w:szCs w:val="21"/>
                <w:lang w:val="en-US" w:eastAsia="zh-CN"/>
              </w:rPr>
              <w:t>3</w:t>
            </w:r>
          </w:p>
        </w:tc>
        <w:tc>
          <w:tcPr>
            <w:tcW w:w="5862" w:type="dxa"/>
            <w:vMerge w:val="continue"/>
            <w:vAlign w:val="center"/>
          </w:tcPr>
          <w:p>
            <w:pPr>
              <w:numPr>
                <w:ilvl w:val="0"/>
                <w:numId w:val="0"/>
              </w:numPr>
              <w:spacing w:line="240" w:lineRule="auto"/>
              <w:ind w:left="0" w:leftChars="0" w:firstLine="0" w:firstLineChars="0"/>
              <w:jc w:val="both"/>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14" w:type="dxa"/>
            <w:vMerge w:val="continue"/>
            <w:tcBorders>
              <w:right w:val="single" w:color="000000" w:sz="4" w:space="0"/>
            </w:tcBorders>
            <w:vAlign w:val="center"/>
          </w:tcPr>
          <w:p>
            <w:pPr>
              <w:pStyle w:val="17"/>
              <w:ind w:right="668" w:rightChars="304"/>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机械设备需用量计划</w:t>
            </w:r>
          </w:p>
        </w:tc>
        <w:tc>
          <w:tcPr>
            <w:tcW w:w="529" w:type="dxa"/>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color w:val="auto"/>
                <w:sz w:val="21"/>
                <w:szCs w:val="21"/>
                <w:lang w:val="en-US" w:eastAsia="zh-CN"/>
              </w:rPr>
              <w:t>3</w:t>
            </w:r>
            <w:bookmarkStart w:id="890" w:name="_GoBack"/>
            <w:bookmarkEnd w:id="890"/>
          </w:p>
        </w:tc>
        <w:tc>
          <w:tcPr>
            <w:tcW w:w="5862" w:type="dxa"/>
            <w:vMerge w:val="continue"/>
            <w:vAlign w:val="center"/>
          </w:tcPr>
          <w:p>
            <w:pPr>
              <w:numPr>
                <w:ilvl w:val="0"/>
                <w:numId w:val="0"/>
              </w:numPr>
              <w:spacing w:line="240" w:lineRule="auto"/>
              <w:ind w:left="0" w:leftChars="0" w:firstLine="0" w:firstLineChars="0"/>
              <w:jc w:val="both"/>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14" w:type="dxa"/>
            <w:vMerge w:val="continue"/>
            <w:tcBorders>
              <w:right w:val="single" w:color="000000" w:sz="4" w:space="0"/>
            </w:tcBorders>
            <w:vAlign w:val="center"/>
          </w:tcPr>
          <w:p>
            <w:pPr>
              <w:pStyle w:val="17"/>
              <w:ind w:right="668" w:rightChars="304"/>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质量保证措施和体系</w:t>
            </w:r>
          </w:p>
        </w:tc>
        <w:tc>
          <w:tcPr>
            <w:tcW w:w="529" w:type="dxa"/>
            <w:vAlign w:val="center"/>
          </w:tcPr>
          <w:p>
            <w:pPr>
              <w:numPr>
                <w:ilvl w:val="0"/>
                <w:numId w:val="0"/>
              </w:numPr>
              <w:spacing w:line="240" w:lineRule="auto"/>
              <w:ind w:left="0" w:leftChars="0" w:firstLine="0" w:firstLineChars="0"/>
              <w:jc w:val="center"/>
              <w:rPr>
                <w:rFonts w:hint="eastAsia" w:asciiTheme="minorEastAsia" w:hAnsiTheme="minorEastAsia" w:eastAsiaTheme="minorEastAsia" w:cstheme="minorEastAsia"/>
                <w:sz w:val="21"/>
                <w:szCs w:val="21"/>
                <w:lang w:val="en-US"/>
              </w:rPr>
            </w:pPr>
            <w:r>
              <w:rPr>
                <w:rFonts w:hint="eastAsia" w:ascii="宋体" w:hAnsi="宋体" w:eastAsia="宋体" w:cs="宋体"/>
                <w:color w:val="auto"/>
                <w:sz w:val="21"/>
                <w:szCs w:val="21"/>
                <w:lang w:val="en-US" w:eastAsia="zh-CN"/>
              </w:rPr>
              <w:t>4</w:t>
            </w:r>
          </w:p>
        </w:tc>
        <w:tc>
          <w:tcPr>
            <w:tcW w:w="5862" w:type="dxa"/>
            <w:vMerge w:val="restart"/>
            <w:vAlign w:val="center"/>
          </w:tcPr>
          <w:p>
            <w:pPr>
              <w:numPr>
                <w:ilvl w:val="0"/>
                <w:numId w:val="0"/>
              </w:numPr>
              <w:spacing w:line="240" w:lineRule="auto"/>
              <w:ind w:left="0" w:leftChars="0" w:firstLine="0" w:firstLineChars="0"/>
              <w:jc w:val="both"/>
              <w:rPr>
                <w:rFonts w:hint="eastAsia" w:asciiTheme="minorEastAsia" w:hAnsiTheme="minorEastAsia" w:eastAsiaTheme="minorEastAsia" w:cstheme="minorEastAsia"/>
                <w:sz w:val="21"/>
                <w:szCs w:val="21"/>
              </w:rPr>
            </w:pPr>
            <w:r>
              <w:rPr>
                <w:rFonts w:hint="eastAsia" w:ascii="宋体" w:hAnsi="宋体" w:eastAsia="宋体" w:cs="宋体"/>
                <w:color w:val="auto"/>
                <w:sz w:val="21"/>
                <w:szCs w:val="21"/>
              </w:rPr>
              <w:t>保证措施应符合科学的施工规律、国家规定的强制性标准并有针对性，同时要符合实际情况，切实可行。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14" w:type="dxa"/>
            <w:vMerge w:val="continue"/>
            <w:tcBorders>
              <w:right w:val="single" w:color="000000" w:sz="4" w:space="0"/>
            </w:tcBorders>
            <w:vAlign w:val="center"/>
          </w:tcPr>
          <w:p>
            <w:pPr>
              <w:pStyle w:val="17"/>
              <w:ind w:right="668" w:rightChars="304"/>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工期保证措施和体系</w:t>
            </w:r>
          </w:p>
        </w:tc>
        <w:tc>
          <w:tcPr>
            <w:tcW w:w="529" w:type="dxa"/>
            <w:vAlign w:val="center"/>
          </w:tcPr>
          <w:p>
            <w:pPr>
              <w:numPr>
                <w:ilvl w:val="0"/>
                <w:numId w:val="0"/>
              </w:numPr>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862" w:type="dxa"/>
            <w:vMerge w:val="continue"/>
            <w:vAlign w:val="center"/>
          </w:tcPr>
          <w:p>
            <w:pPr>
              <w:numPr>
                <w:ilvl w:val="0"/>
                <w:numId w:val="0"/>
              </w:numPr>
              <w:spacing w:line="240" w:lineRule="auto"/>
              <w:ind w:left="0" w:leftChars="0" w:firstLine="0" w:firstLineChars="0"/>
              <w:jc w:val="both"/>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14" w:type="dxa"/>
            <w:vMerge w:val="continue"/>
            <w:tcBorders>
              <w:right w:val="single" w:color="000000" w:sz="4" w:space="0"/>
            </w:tcBorders>
            <w:vAlign w:val="center"/>
          </w:tcPr>
          <w:p>
            <w:pPr>
              <w:pStyle w:val="17"/>
              <w:ind w:right="668" w:rightChars="304"/>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安全保证措施和体系</w:t>
            </w:r>
          </w:p>
        </w:tc>
        <w:tc>
          <w:tcPr>
            <w:tcW w:w="529" w:type="dxa"/>
            <w:vAlign w:val="center"/>
          </w:tcPr>
          <w:p>
            <w:pPr>
              <w:numPr>
                <w:ilvl w:val="0"/>
                <w:numId w:val="0"/>
              </w:numPr>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862" w:type="dxa"/>
            <w:vAlign w:val="center"/>
          </w:tcPr>
          <w:p>
            <w:pPr>
              <w:numPr>
                <w:ilvl w:val="0"/>
                <w:numId w:val="0"/>
              </w:numPr>
              <w:spacing w:line="24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保证措施应符合国家规定的强制性标准并有针对性，同时要符合实际情况，切实可行。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4" w:type="dxa"/>
            <w:vMerge w:val="continue"/>
            <w:tcBorders>
              <w:right w:val="single" w:color="000000" w:sz="4" w:space="0"/>
            </w:tcBorders>
            <w:vAlign w:val="center"/>
          </w:tcPr>
          <w:p>
            <w:pPr>
              <w:pStyle w:val="17"/>
              <w:ind w:right="668" w:rightChars="304"/>
              <w:jc w:val="center"/>
              <w:rPr>
                <w:rFonts w:hint="eastAsia" w:asciiTheme="minorEastAsia" w:hAnsiTheme="minorEastAsia" w:eastAsiaTheme="minorEastAsia" w:cstheme="minorEastAsia"/>
                <w:sz w:val="21"/>
                <w:szCs w:val="21"/>
              </w:rPr>
            </w:pPr>
          </w:p>
        </w:tc>
        <w:tc>
          <w:tcPr>
            <w:tcW w:w="1313" w:type="dxa"/>
            <w:tcBorders>
              <w:left w:val="single" w:color="000000" w:sz="4" w:space="0"/>
            </w:tcBorders>
            <w:vAlign w:val="center"/>
          </w:tcPr>
          <w:p>
            <w:pPr>
              <w:numPr>
                <w:ilvl w:val="0"/>
                <w:numId w:val="0"/>
              </w:numPr>
              <w:spacing w:line="240"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现场文明施工措施</w:t>
            </w:r>
          </w:p>
        </w:tc>
        <w:tc>
          <w:tcPr>
            <w:tcW w:w="529" w:type="dxa"/>
            <w:vAlign w:val="center"/>
          </w:tcPr>
          <w:p>
            <w:pPr>
              <w:numPr>
                <w:ilvl w:val="0"/>
                <w:numId w:val="0"/>
              </w:numPr>
              <w:spacing w:line="240" w:lineRule="auto"/>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862" w:type="dxa"/>
            <w:vAlign w:val="center"/>
          </w:tcPr>
          <w:p>
            <w:pPr>
              <w:numPr>
                <w:ilvl w:val="0"/>
                <w:numId w:val="0"/>
              </w:numPr>
              <w:spacing w:line="24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措施应符合工程实际情况，切实可行。</w:t>
            </w:r>
          </w:p>
        </w:tc>
      </w:tr>
    </w:tbl>
    <w:p>
      <w:pPr>
        <w:pStyle w:val="30"/>
        <w:widowControl w:val="0"/>
        <w:adjustRightInd w:val="0"/>
        <w:snapToGrid w:val="0"/>
        <w:spacing w:line="440" w:lineRule="exact"/>
        <w:jc w:val="both"/>
        <w:rPr>
          <w:rFonts w:hint="eastAsia" w:asciiTheme="minorEastAsia" w:hAnsiTheme="minorEastAsia" w:eastAsiaTheme="minorEastAsia" w:cstheme="minorEastAsia"/>
          <w:bCs w:val="0"/>
          <w:color w:val="000000"/>
          <w:spacing w:val="0"/>
          <w:kern w:val="2"/>
          <w:sz w:val="24"/>
          <w:szCs w:val="24"/>
          <w:lang w:bidi="ar"/>
        </w:rPr>
      </w:pPr>
      <w:r>
        <w:rPr>
          <w:rFonts w:hint="eastAsia" w:asciiTheme="minorEastAsia" w:hAnsiTheme="minorEastAsia" w:eastAsiaTheme="minorEastAsia" w:cstheme="minorEastAsia"/>
          <w:bCs w:val="0"/>
          <w:color w:val="000000"/>
          <w:sz w:val="24"/>
          <w:szCs w:val="24"/>
          <w:lang w:bidi="ar"/>
        </w:rPr>
        <w:t xml:space="preserve"> </w:t>
      </w:r>
    </w:p>
    <w:p>
      <w:pPr>
        <w:rPr>
          <w:rFonts w:hint="eastAsia" w:asciiTheme="minorEastAsia" w:hAnsiTheme="minorEastAsia" w:eastAsiaTheme="minorEastAsia" w:cstheme="minorEastAsia"/>
          <w:color w:val="000000"/>
          <w:kern w:val="2"/>
          <w:sz w:val="24"/>
          <w:szCs w:val="24"/>
          <w:lang w:val="en-US" w:bidi="ar"/>
        </w:rPr>
      </w:pPr>
      <w:r>
        <w:rPr>
          <w:rFonts w:hint="eastAsia" w:asciiTheme="minorEastAsia" w:hAnsiTheme="minorEastAsia" w:eastAsiaTheme="minorEastAsia" w:cstheme="minorEastAsia"/>
          <w:color w:val="000000"/>
          <w:kern w:val="2"/>
          <w:sz w:val="24"/>
          <w:szCs w:val="24"/>
          <w:lang w:val="en-US" w:bidi="ar"/>
        </w:rPr>
        <w:br w:type="page"/>
      </w:r>
    </w:p>
    <w:p>
      <w:pPr>
        <w:pStyle w:val="3"/>
        <w:spacing w:before="70"/>
        <w:ind w:right="159"/>
        <w:rPr>
          <w:rFonts w:hint="eastAsia" w:asciiTheme="minorEastAsia" w:hAnsiTheme="minorEastAsia" w:eastAsiaTheme="minorEastAsia" w:cstheme="minorEastAsia"/>
          <w:sz w:val="32"/>
          <w:szCs w:val="32"/>
        </w:rPr>
      </w:pPr>
      <w:bookmarkStart w:id="756" w:name="_Toc19324"/>
      <w:bookmarkStart w:id="757" w:name="_Toc13190"/>
      <w:r>
        <w:rPr>
          <w:rFonts w:hint="eastAsia" w:asciiTheme="minorEastAsia" w:hAnsiTheme="minorEastAsia" w:eastAsiaTheme="minorEastAsia" w:cstheme="minorEastAsia"/>
          <w:sz w:val="32"/>
          <w:szCs w:val="32"/>
        </w:rPr>
        <w:t>第</w:t>
      </w:r>
      <w:r>
        <w:rPr>
          <w:rFonts w:hint="eastAsia" w:asciiTheme="minorEastAsia" w:hAnsiTheme="minorEastAsia" w:eastAsiaTheme="minorEastAsia" w:cstheme="minorEastAsia"/>
          <w:sz w:val="32"/>
          <w:szCs w:val="32"/>
          <w:lang w:val="en-US"/>
        </w:rPr>
        <w:t>六</w:t>
      </w:r>
      <w:r>
        <w:rPr>
          <w:rFonts w:hint="eastAsia" w:asciiTheme="minorEastAsia" w:hAnsiTheme="minorEastAsia" w:eastAsiaTheme="minorEastAsia" w:cstheme="minorEastAsia"/>
          <w:sz w:val="32"/>
          <w:szCs w:val="32"/>
        </w:rPr>
        <w:t>章</w:t>
      </w:r>
      <w:r>
        <w:rPr>
          <w:rFonts w:hint="eastAsia" w:asciiTheme="minorEastAsia" w:hAnsiTheme="minorEastAsia" w:eastAsiaTheme="minorEastAsia" w:cstheme="minorEastAsia"/>
          <w:sz w:val="32"/>
          <w:szCs w:val="32"/>
          <w:lang w:val="en-US"/>
        </w:rPr>
        <w:t xml:space="preserve">  </w:t>
      </w:r>
      <w:r>
        <w:rPr>
          <w:rFonts w:hint="eastAsia" w:asciiTheme="minorEastAsia" w:hAnsiTheme="minorEastAsia" w:eastAsiaTheme="minorEastAsia" w:cstheme="minorEastAsia"/>
          <w:sz w:val="32"/>
          <w:szCs w:val="32"/>
        </w:rPr>
        <w:t>附件</w:t>
      </w:r>
      <w:bookmarkEnd w:id="756"/>
      <w:bookmarkEnd w:id="757"/>
      <w:r>
        <w:rPr>
          <w:rFonts w:hint="eastAsia" w:asciiTheme="minorEastAsia" w:hAnsiTheme="minorEastAsia" w:eastAsiaTheme="minorEastAsia" w:cstheme="minorEastAsia"/>
          <w:sz w:val="32"/>
          <w:szCs w:val="32"/>
          <w:lang w:val="en-US"/>
        </w:rPr>
        <w:t>-</w:t>
      </w:r>
      <w:r>
        <w:rPr>
          <w:rFonts w:hint="eastAsia" w:asciiTheme="minorEastAsia" w:hAnsiTheme="minorEastAsia" w:eastAsiaTheme="minorEastAsia" w:cstheme="minorEastAsia"/>
          <w:sz w:val="32"/>
          <w:szCs w:val="32"/>
        </w:rPr>
        <w:t>磋商响应文件格式</w:t>
      </w:r>
    </w:p>
    <w:p>
      <w:pPr>
        <w:pStyle w:val="12"/>
        <w:spacing w:before="12"/>
        <w:rPr>
          <w:rFonts w:hint="eastAsia" w:asciiTheme="minorEastAsia" w:hAnsiTheme="minorEastAsia" w:eastAsiaTheme="minorEastAsia" w:cstheme="minorEastAsia"/>
          <w:b/>
          <w:sz w:val="37"/>
        </w:rPr>
      </w:pPr>
    </w:p>
    <w:p>
      <w:pPr>
        <w:pStyle w:val="12"/>
        <w:spacing w:line="364" w:lineRule="auto"/>
        <w:ind w:left="360" w:right="515"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为保证磋商工作的顺利进行，各供应商需参照如下的格式，认真进行响应文件的编</w:t>
      </w:r>
      <w:r>
        <w:rPr>
          <w:rFonts w:hint="eastAsia" w:asciiTheme="minorEastAsia" w:hAnsiTheme="minorEastAsia" w:eastAsiaTheme="minorEastAsia" w:cstheme="minorEastAsia"/>
          <w:spacing w:val="-6"/>
        </w:rPr>
        <w:t>写工作。</w:t>
      </w:r>
      <w:r>
        <w:rPr>
          <w:rFonts w:hint="eastAsia" w:asciiTheme="minorEastAsia" w:hAnsiTheme="minorEastAsia" w:eastAsiaTheme="minorEastAsia" w:cstheme="minorEastAsia"/>
          <w:u w:val="single"/>
        </w:rPr>
        <w:t>需建立详细的目录。</w:t>
      </w:r>
    </w:p>
    <w:p>
      <w:pPr>
        <w:pStyle w:val="12"/>
        <w:spacing w:before="144" w:line="374" w:lineRule="auto"/>
        <w:ind w:left="360" w:right="515"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各供应商提交文件中涉及商业机密的，应明确标明，采购人及最终用户将给予保密</w:t>
      </w:r>
      <w:r>
        <w:rPr>
          <w:rFonts w:hint="eastAsia" w:asciiTheme="minorEastAsia" w:hAnsiTheme="minorEastAsia" w:eastAsiaTheme="minorEastAsia" w:cstheme="minorEastAsia"/>
        </w:rPr>
        <w:t>处理，否则视为公开资料。</w:t>
      </w:r>
    </w:p>
    <w:p>
      <w:pPr>
        <w:rPr>
          <w:rFonts w:hint="eastAsia" w:asciiTheme="minorEastAsia" w:hAnsiTheme="minorEastAsia" w:eastAsiaTheme="minorEastAsia" w:cstheme="minorEastAsia"/>
          <w:color w:val="000000"/>
          <w:kern w:val="2"/>
          <w:sz w:val="24"/>
          <w:szCs w:val="24"/>
          <w:lang w:val="en-US" w:bidi="ar"/>
        </w:rPr>
      </w:pPr>
      <w:r>
        <w:rPr>
          <w:rFonts w:hint="eastAsia" w:asciiTheme="minorEastAsia" w:hAnsiTheme="minorEastAsia" w:eastAsiaTheme="minorEastAsia" w:cstheme="minorEastAsia"/>
          <w:color w:val="000000"/>
          <w:kern w:val="2"/>
          <w:sz w:val="24"/>
          <w:szCs w:val="24"/>
          <w:lang w:val="en-US" w:bidi="ar"/>
        </w:rPr>
        <w:br w:type="page"/>
      </w:r>
    </w:p>
    <w:p>
      <w:pPr>
        <w:pStyle w:val="7"/>
        <w:spacing w:before="88"/>
        <w:ind w:left="360"/>
        <w:rPr>
          <w:rFonts w:hint="eastAsia" w:asciiTheme="minorEastAsia" w:hAnsiTheme="minorEastAsia" w:eastAsiaTheme="minorEastAsia" w:cstheme="minorEastAsia"/>
        </w:rPr>
      </w:pPr>
      <w:r>
        <w:rPr>
          <w:rFonts w:hint="eastAsia" w:asciiTheme="minorEastAsia" w:hAnsiTheme="minorEastAsia" w:eastAsiaTheme="minorEastAsia" w:cstheme="minorEastAsia"/>
        </w:rPr>
        <w:t>封面格式</w:t>
      </w:r>
    </w:p>
    <w:p>
      <w:pPr>
        <w:pStyle w:val="12"/>
        <w:rPr>
          <w:rFonts w:hint="eastAsia" w:asciiTheme="minorEastAsia" w:hAnsiTheme="minorEastAsia" w:eastAsiaTheme="minorEastAsia" w:cstheme="minorEastAsia"/>
          <w:sz w:val="20"/>
        </w:rPr>
      </w:pPr>
    </w:p>
    <w:p>
      <w:pPr>
        <w:pStyle w:val="12"/>
        <w:rPr>
          <w:rFonts w:hint="eastAsia" w:asciiTheme="minorEastAsia" w:hAnsiTheme="minorEastAsia" w:eastAsiaTheme="minorEastAsia" w:cstheme="minorEastAsia"/>
          <w:sz w:val="20"/>
        </w:rPr>
      </w:pPr>
    </w:p>
    <w:p>
      <w:pPr>
        <w:pStyle w:val="12"/>
        <w:rPr>
          <w:rFonts w:hint="eastAsia" w:asciiTheme="minorEastAsia" w:hAnsiTheme="minorEastAsia" w:eastAsiaTheme="minorEastAsia" w:cstheme="minorEastAsia"/>
          <w:sz w:val="20"/>
        </w:rPr>
      </w:pPr>
    </w:p>
    <w:p>
      <w:pPr>
        <w:pStyle w:val="12"/>
        <w:rPr>
          <w:rFonts w:hint="eastAsia" w:asciiTheme="minorEastAsia" w:hAnsiTheme="minorEastAsia" w:eastAsiaTheme="minorEastAsia" w:cstheme="minorEastAsia"/>
          <w:sz w:val="20"/>
        </w:rPr>
      </w:pPr>
    </w:p>
    <w:p>
      <w:pPr>
        <w:pStyle w:val="12"/>
        <w:rPr>
          <w:rFonts w:hint="eastAsia" w:asciiTheme="minorEastAsia" w:hAnsiTheme="minorEastAsia" w:eastAsiaTheme="minorEastAsia" w:cstheme="minorEastAsia"/>
          <w:sz w:val="20"/>
        </w:rPr>
      </w:pPr>
    </w:p>
    <w:p>
      <w:pPr>
        <w:pStyle w:val="12"/>
        <w:rPr>
          <w:rFonts w:hint="eastAsia" w:asciiTheme="minorEastAsia" w:hAnsiTheme="minorEastAsia" w:eastAsiaTheme="minorEastAsia" w:cstheme="minorEastAsia"/>
          <w:sz w:val="20"/>
        </w:rPr>
      </w:pPr>
    </w:p>
    <w:p>
      <w:pPr>
        <w:pStyle w:val="12"/>
        <w:spacing w:before="2"/>
        <w:rPr>
          <w:rFonts w:hint="eastAsia" w:asciiTheme="minorEastAsia" w:hAnsiTheme="minorEastAsia" w:eastAsiaTheme="minorEastAsia" w:cstheme="minorEastAsia"/>
          <w:sz w:val="16"/>
        </w:rPr>
      </w:pPr>
    </w:p>
    <w:p>
      <w:pPr>
        <w:spacing w:line="1195" w:lineRule="exact"/>
        <w:ind w:right="165"/>
        <w:jc w:val="center"/>
        <w:outlineLvl w:val="0"/>
        <w:rPr>
          <w:rFonts w:hint="eastAsia" w:asciiTheme="minorEastAsia" w:hAnsiTheme="minorEastAsia" w:eastAsiaTheme="minorEastAsia" w:cstheme="minorEastAsia"/>
          <w:b/>
          <w:sz w:val="96"/>
        </w:rPr>
      </w:pPr>
      <w:bookmarkStart w:id="758" w:name="_Toc25401"/>
      <w:bookmarkStart w:id="759" w:name="_Toc996"/>
      <w:bookmarkStart w:id="760" w:name="_Toc31163"/>
      <w:bookmarkStart w:id="761" w:name="_Toc27397"/>
      <w:bookmarkStart w:id="762" w:name="_Toc29901"/>
      <w:r>
        <w:rPr>
          <w:rFonts w:hint="eastAsia" w:asciiTheme="minorEastAsia" w:hAnsiTheme="minorEastAsia" w:eastAsiaTheme="minorEastAsia" w:cstheme="minorEastAsia"/>
          <w:b/>
          <w:sz w:val="72"/>
          <w:szCs w:val="72"/>
        </w:rPr>
        <w:t>磋商响应文件</w:t>
      </w:r>
      <w:bookmarkEnd w:id="758"/>
      <w:bookmarkEnd w:id="759"/>
      <w:bookmarkEnd w:id="760"/>
      <w:bookmarkEnd w:id="761"/>
      <w:bookmarkEnd w:id="762"/>
    </w:p>
    <w:p>
      <w:pPr>
        <w:spacing w:before="684"/>
        <w:ind w:right="156"/>
        <w:jc w:val="center"/>
        <w:rPr>
          <w:rFonts w:hint="eastAsia" w:asciiTheme="minorEastAsia" w:hAnsiTheme="minorEastAsia" w:eastAsiaTheme="minorEastAsia" w:cstheme="minorEastAsia"/>
          <w:b/>
          <w:sz w:val="52"/>
        </w:rPr>
      </w:pPr>
    </w:p>
    <w:p>
      <w:pPr>
        <w:pStyle w:val="12"/>
        <w:spacing w:before="8" w:line="360" w:lineRule="auto"/>
        <w:rPr>
          <w:rFonts w:hint="eastAsia" w:asciiTheme="minorEastAsia" w:hAnsiTheme="minorEastAsia" w:eastAsiaTheme="minorEastAsia" w:cstheme="minorEastAsia"/>
          <w:b/>
          <w:sz w:val="73"/>
        </w:rPr>
      </w:pPr>
    </w:p>
    <w:p>
      <w:pPr>
        <w:pStyle w:val="2"/>
        <w:tabs>
          <w:tab w:val="left" w:pos="7306"/>
        </w:tabs>
        <w:spacing w:before="0" w:line="360" w:lineRule="auto"/>
        <w:ind w:left="334" w:firstLine="640" w:firstLineChars="200"/>
        <w:jc w:val="both"/>
        <w:rPr>
          <w:rFonts w:hint="eastAsia" w:asciiTheme="minorEastAsia" w:hAnsiTheme="minorEastAsia" w:eastAsiaTheme="minorEastAsia" w:cstheme="minorEastAsia"/>
          <w:bCs w:val="0"/>
          <w:sz w:val="32"/>
          <w:szCs w:val="32"/>
        </w:rPr>
      </w:pPr>
      <w:r>
        <w:rPr>
          <w:rFonts w:hint="eastAsia" w:asciiTheme="minorEastAsia" w:hAnsiTheme="minorEastAsia" w:eastAsiaTheme="minorEastAsia" w:cstheme="minorEastAsia"/>
          <w:bCs w:val="0"/>
          <w:sz w:val="32"/>
          <w:szCs w:val="32"/>
          <w:lang w:eastAsia="zh-CN"/>
        </w:rPr>
        <w:t>采购编号</w:t>
      </w:r>
      <w:r>
        <w:rPr>
          <w:rFonts w:hint="eastAsia" w:asciiTheme="minorEastAsia" w:hAnsiTheme="minorEastAsia" w:eastAsiaTheme="minorEastAsia" w:cstheme="minorEastAsia"/>
          <w:bCs w:val="0"/>
          <w:spacing w:val="3"/>
          <w:sz w:val="32"/>
          <w:szCs w:val="32"/>
        </w:rPr>
        <w:t>：</w:t>
      </w:r>
    </w:p>
    <w:p>
      <w:pPr>
        <w:pStyle w:val="2"/>
        <w:tabs>
          <w:tab w:val="left" w:pos="8536"/>
        </w:tabs>
        <w:spacing w:line="360" w:lineRule="auto"/>
        <w:ind w:firstLine="960" w:firstLineChars="300"/>
        <w:jc w:val="both"/>
        <w:rPr>
          <w:rFonts w:hint="eastAsia" w:asciiTheme="minorEastAsia" w:hAnsiTheme="minorEastAsia" w:eastAsiaTheme="minorEastAsia" w:cstheme="minorEastAsia"/>
          <w:bCs w:val="0"/>
          <w:sz w:val="32"/>
          <w:szCs w:val="32"/>
        </w:rPr>
      </w:pPr>
      <w:r>
        <w:rPr>
          <w:rFonts w:hint="eastAsia" w:asciiTheme="minorEastAsia" w:hAnsiTheme="minorEastAsia" w:eastAsiaTheme="minorEastAsia" w:cstheme="minorEastAsia"/>
          <w:bCs w:val="0"/>
          <w:sz w:val="32"/>
          <w:szCs w:val="32"/>
        </w:rPr>
        <w:t>项目名称</w:t>
      </w:r>
      <w:r>
        <w:rPr>
          <w:rFonts w:hint="eastAsia" w:asciiTheme="minorEastAsia" w:hAnsiTheme="minorEastAsia" w:eastAsiaTheme="minorEastAsia" w:cstheme="minorEastAsia"/>
          <w:bCs w:val="0"/>
          <w:spacing w:val="3"/>
          <w:sz w:val="32"/>
          <w:szCs w:val="32"/>
        </w:rPr>
        <w:t>：</w:t>
      </w:r>
    </w:p>
    <w:p>
      <w:pPr>
        <w:pStyle w:val="2"/>
        <w:tabs>
          <w:tab w:val="left" w:pos="6706"/>
        </w:tabs>
        <w:spacing w:before="68" w:line="360" w:lineRule="auto"/>
        <w:ind w:left="34" w:firstLine="960" w:firstLineChars="300"/>
        <w:jc w:val="both"/>
        <w:rPr>
          <w:rFonts w:hint="eastAsia" w:asciiTheme="minorEastAsia" w:hAnsiTheme="minorEastAsia" w:eastAsiaTheme="minorEastAsia" w:cstheme="minorEastAsia"/>
          <w:bCs w:val="0"/>
          <w:sz w:val="32"/>
          <w:szCs w:val="32"/>
        </w:rPr>
      </w:pPr>
      <w:r>
        <w:rPr>
          <w:rFonts w:hint="eastAsia" w:asciiTheme="minorEastAsia" w:hAnsiTheme="minorEastAsia" w:eastAsiaTheme="minorEastAsia" w:cstheme="minorEastAsia"/>
          <w:bCs w:val="0"/>
          <w:sz w:val="32"/>
          <w:szCs w:val="32"/>
        </w:rPr>
        <w:t>采购人名称</w:t>
      </w:r>
      <w:r>
        <w:rPr>
          <w:rFonts w:hint="eastAsia" w:asciiTheme="minorEastAsia" w:hAnsiTheme="minorEastAsia" w:eastAsiaTheme="minorEastAsia" w:cstheme="minorEastAsia"/>
          <w:bCs w:val="0"/>
          <w:spacing w:val="3"/>
          <w:sz w:val="32"/>
          <w:szCs w:val="32"/>
        </w:rPr>
        <w:t>：</w:t>
      </w:r>
    </w:p>
    <w:p>
      <w:pPr>
        <w:pStyle w:val="2"/>
        <w:tabs>
          <w:tab w:val="left" w:pos="7787"/>
        </w:tabs>
        <w:spacing w:line="360" w:lineRule="auto"/>
        <w:ind w:firstLine="960" w:firstLineChars="300"/>
        <w:jc w:val="both"/>
        <w:rPr>
          <w:rFonts w:hint="eastAsia" w:asciiTheme="minorEastAsia" w:hAnsiTheme="minorEastAsia" w:eastAsiaTheme="minorEastAsia" w:cstheme="minorEastAsia"/>
          <w:bCs w:val="0"/>
          <w:sz w:val="32"/>
          <w:szCs w:val="32"/>
        </w:rPr>
      </w:pPr>
      <w:r>
        <w:rPr>
          <w:rFonts w:hint="eastAsia" w:asciiTheme="minorEastAsia" w:hAnsiTheme="minorEastAsia" w:eastAsiaTheme="minorEastAsia" w:cstheme="minorEastAsia"/>
          <w:bCs w:val="0"/>
          <w:sz w:val="32"/>
          <w:szCs w:val="32"/>
        </w:rPr>
        <w:t>供应商名称（盖公章）</w:t>
      </w:r>
      <w:r>
        <w:rPr>
          <w:rFonts w:hint="eastAsia" w:asciiTheme="minorEastAsia" w:hAnsiTheme="minorEastAsia" w:eastAsiaTheme="minorEastAsia" w:cstheme="minorEastAsia"/>
          <w:bCs w:val="0"/>
          <w:spacing w:val="3"/>
          <w:sz w:val="32"/>
          <w:szCs w:val="32"/>
        </w:rPr>
        <w:t>：</w:t>
      </w:r>
    </w:p>
    <w:p>
      <w:pPr>
        <w:pStyle w:val="7"/>
        <w:tabs>
          <w:tab w:val="left" w:pos="9453"/>
        </w:tabs>
        <w:spacing w:before="71" w:line="360" w:lineRule="auto"/>
        <w:ind w:firstLine="960" w:firstLineChars="300"/>
        <w:rPr>
          <w:rFonts w:hint="eastAsia" w:asciiTheme="minorEastAsia" w:hAnsiTheme="minorEastAsia" w:eastAsiaTheme="minorEastAsia" w:cstheme="minorEastAsia"/>
          <w:b/>
          <w:sz w:val="32"/>
          <w:szCs w:val="32"/>
          <w:lang w:val="en-US"/>
        </w:rPr>
      </w:pPr>
      <w:r>
        <w:rPr>
          <w:rFonts w:hint="eastAsia" w:asciiTheme="minorEastAsia" w:hAnsiTheme="minorEastAsia" w:eastAsiaTheme="minorEastAsia" w:cstheme="minorEastAsia"/>
          <w:b/>
          <w:sz w:val="32"/>
          <w:szCs w:val="32"/>
        </w:rPr>
        <w:t>法定代</w:t>
      </w:r>
      <w:r>
        <w:rPr>
          <w:rFonts w:hint="eastAsia" w:asciiTheme="minorEastAsia" w:hAnsiTheme="minorEastAsia" w:eastAsiaTheme="minorEastAsia" w:cstheme="minorEastAsia"/>
          <w:b/>
          <w:spacing w:val="-3"/>
          <w:sz w:val="32"/>
          <w:szCs w:val="32"/>
        </w:rPr>
        <w:t>表</w:t>
      </w:r>
      <w:r>
        <w:rPr>
          <w:rFonts w:hint="eastAsia" w:asciiTheme="minorEastAsia" w:hAnsiTheme="minorEastAsia" w:eastAsiaTheme="minorEastAsia" w:cstheme="minorEastAsia"/>
          <w:b/>
          <w:sz w:val="32"/>
          <w:szCs w:val="32"/>
        </w:rPr>
        <w:t>人或</w:t>
      </w:r>
      <w:r>
        <w:rPr>
          <w:rFonts w:hint="eastAsia" w:asciiTheme="minorEastAsia" w:hAnsiTheme="minorEastAsia" w:eastAsiaTheme="minorEastAsia" w:cstheme="minorEastAsia"/>
          <w:b/>
          <w:spacing w:val="-3"/>
          <w:sz w:val="32"/>
          <w:szCs w:val="32"/>
        </w:rPr>
        <w:t>其授</w:t>
      </w:r>
      <w:r>
        <w:rPr>
          <w:rFonts w:hint="eastAsia" w:asciiTheme="minorEastAsia" w:hAnsiTheme="minorEastAsia" w:eastAsiaTheme="minorEastAsia" w:cstheme="minorEastAsia"/>
          <w:b/>
          <w:sz w:val="32"/>
          <w:szCs w:val="32"/>
        </w:rPr>
        <w:t>权代表</w:t>
      </w:r>
      <w:r>
        <w:rPr>
          <w:rFonts w:hint="eastAsia" w:asciiTheme="minorEastAsia" w:hAnsiTheme="minorEastAsia" w:eastAsiaTheme="minorEastAsia" w:cstheme="minorEastAsia"/>
          <w:b/>
          <w:spacing w:val="-3"/>
          <w:sz w:val="32"/>
          <w:szCs w:val="32"/>
        </w:rPr>
        <w:t>签</w:t>
      </w:r>
      <w:r>
        <w:rPr>
          <w:rFonts w:hint="eastAsia" w:asciiTheme="minorEastAsia" w:hAnsiTheme="minorEastAsia" w:eastAsiaTheme="minorEastAsia" w:cstheme="minorEastAsia"/>
          <w:b/>
          <w:sz w:val="32"/>
          <w:szCs w:val="32"/>
        </w:rPr>
        <w:t>字（</w:t>
      </w:r>
      <w:r>
        <w:rPr>
          <w:rFonts w:hint="eastAsia" w:asciiTheme="minorEastAsia" w:hAnsiTheme="minorEastAsia" w:eastAsiaTheme="minorEastAsia" w:cstheme="minorEastAsia"/>
          <w:b/>
          <w:spacing w:val="-3"/>
          <w:sz w:val="32"/>
          <w:szCs w:val="32"/>
        </w:rPr>
        <w:t>或盖</w:t>
      </w:r>
      <w:r>
        <w:rPr>
          <w:rFonts w:hint="eastAsia" w:asciiTheme="minorEastAsia" w:hAnsiTheme="minorEastAsia" w:eastAsiaTheme="minorEastAsia" w:cstheme="minorEastAsia"/>
          <w:b/>
          <w:sz w:val="32"/>
          <w:szCs w:val="32"/>
        </w:rPr>
        <w:t>章）</w:t>
      </w:r>
    </w:p>
    <w:p>
      <w:pPr>
        <w:pStyle w:val="12"/>
        <w:ind w:firstLine="2520" w:firstLineChars="900"/>
        <w:rPr>
          <w:rFonts w:hint="eastAsia" w:asciiTheme="minorEastAsia" w:hAnsiTheme="minorEastAsia" w:eastAsiaTheme="minorEastAsia" w:cstheme="minorEastAsia"/>
          <w:sz w:val="28"/>
          <w:szCs w:val="28"/>
        </w:rPr>
      </w:pPr>
      <w:bookmarkStart w:id="763" w:name="_Toc18016"/>
      <w:bookmarkStart w:id="764" w:name="_Toc2765"/>
      <w:bookmarkStart w:id="765" w:name="_Toc7684"/>
    </w:p>
    <w:p>
      <w:pPr>
        <w:pStyle w:val="12"/>
        <w:ind w:firstLine="2520" w:firstLineChars="900"/>
        <w:rPr>
          <w:rFonts w:hint="eastAsia" w:asciiTheme="minorEastAsia" w:hAnsiTheme="minorEastAsia" w:eastAsiaTheme="minorEastAsia" w:cstheme="minorEastAsia"/>
          <w:sz w:val="28"/>
          <w:szCs w:val="28"/>
        </w:rPr>
      </w:pPr>
    </w:p>
    <w:p>
      <w:pPr>
        <w:pStyle w:val="12"/>
        <w:ind w:firstLine="2520" w:firstLineChars="900"/>
        <w:outlineLvl w:val="0"/>
        <w:rPr>
          <w:rFonts w:hint="eastAsia" w:asciiTheme="minorEastAsia" w:hAnsiTheme="minorEastAsia" w:eastAsiaTheme="minorEastAsia" w:cstheme="minorEastAsia"/>
          <w:sz w:val="32"/>
          <w:szCs w:val="32"/>
          <w:lang w:val="en-US"/>
        </w:rPr>
      </w:pPr>
      <w:bookmarkStart w:id="766" w:name="_Toc11830"/>
      <w:bookmarkStart w:id="767" w:name="_Toc30613"/>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rPr>
        <w:t xml:space="preserve">   </w:t>
      </w:r>
      <w:r>
        <w:rPr>
          <w:rFonts w:hint="eastAsia" w:asciiTheme="minorEastAsia" w:hAnsiTheme="minorEastAsia" w:eastAsiaTheme="minorEastAsia" w:cstheme="minorEastAsia"/>
          <w:sz w:val="28"/>
          <w:szCs w:val="28"/>
        </w:rPr>
        <w:t>月</w:t>
      </w:r>
      <w:bookmarkEnd w:id="763"/>
      <w:bookmarkEnd w:id="764"/>
      <w:bookmarkEnd w:id="765"/>
      <w:r>
        <w:rPr>
          <w:rFonts w:hint="eastAsia" w:asciiTheme="minorEastAsia" w:hAnsiTheme="minorEastAsia" w:eastAsiaTheme="minorEastAsia" w:cstheme="minorEastAsia"/>
          <w:sz w:val="28"/>
          <w:szCs w:val="28"/>
          <w:lang w:val="en-US"/>
        </w:rPr>
        <w:t xml:space="preserve">   日</w:t>
      </w:r>
      <w:bookmarkEnd w:id="766"/>
      <w:bookmarkEnd w:id="767"/>
    </w:p>
    <w:p>
      <w:pPr>
        <w:rPr>
          <w:rFonts w:hint="eastAsia" w:asciiTheme="minorEastAsia" w:hAnsiTheme="minorEastAsia" w:eastAsiaTheme="minorEastAsia" w:cstheme="minorEastAsia"/>
          <w:color w:val="000000"/>
          <w:kern w:val="2"/>
          <w:sz w:val="24"/>
          <w:szCs w:val="24"/>
          <w:lang w:val="en-US" w:bidi="ar"/>
        </w:rPr>
      </w:pPr>
      <w:r>
        <w:rPr>
          <w:rFonts w:hint="eastAsia" w:asciiTheme="minorEastAsia" w:hAnsiTheme="minorEastAsia" w:eastAsiaTheme="minorEastAsia" w:cstheme="minorEastAsia"/>
          <w:color w:val="000000"/>
          <w:kern w:val="2"/>
          <w:sz w:val="24"/>
          <w:szCs w:val="24"/>
          <w:lang w:val="en-US" w:bidi="ar"/>
        </w:rPr>
        <w:br w:type="page"/>
      </w:r>
    </w:p>
    <w:p>
      <w:pPr>
        <w:pStyle w:val="19"/>
        <w:tabs>
          <w:tab w:val="right" w:leader="dot" w:pos="8777"/>
        </w:tabs>
        <w:ind w:firstLine="372" w:firstLineChars="133"/>
        <w:rPr>
          <w:rFonts w:hint="eastAsia" w:ascii="宋体" w:hAnsi="宋体" w:eastAsia="宋体" w:cs="宋体"/>
          <w:color w:val="auto"/>
          <w:kern w:val="2"/>
          <w:sz w:val="28"/>
          <w:szCs w:val="28"/>
        </w:rPr>
      </w:pPr>
      <w:r>
        <w:rPr>
          <w:rFonts w:hint="eastAsia" w:ascii="宋体" w:hAnsi="宋体" w:eastAsia="宋体" w:cs="宋体"/>
          <w:color w:val="auto"/>
          <w:sz w:val="28"/>
          <w:szCs w:val="28"/>
        </w:rPr>
        <w:fldChar w:fldCharType="begin"/>
      </w:r>
      <w:r>
        <w:rPr>
          <w:rStyle w:val="53"/>
          <w:rFonts w:hint="eastAsia" w:ascii="宋体" w:hAnsi="宋体" w:eastAsia="宋体" w:cs="宋体"/>
          <w:color w:val="auto"/>
          <w:sz w:val="28"/>
          <w:szCs w:val="28"/>
        </w:rPr>
        <w:instrText xml:space="preserve"> TOC \h \z \u \t "标题 2,1" </w:instrText>
      </w:r>
      <w:r>
        <w:rPr>
          <w:rFonts w:hint="eastAsia" w:ascii="宋体" w:hAnsi="宋体" w:eastAsia="宋体" w:cs="宋体"/>
          <w:color w:val="auto"/>
          <w:sz w:val="28"/>
          <w:szCs w:val="28"/>
        </w:rPr>
        <w:fldChar w:fldCharType="separate"/>
      </w:r>
    </w:p>
    <w:p>
      <w:pPr>
        <w:pStyle w:val="19"/>
        <w:tabs>
          <w:tab w:val="right" w:leader="dot" w:pos="8777"/>
        </w:tabs>
        <w:ind w:firstLine="56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4"/>
          <w:szCs w:val="24"/>
          <w:lang w:val="en-US" w:eastAsia="zh-CN"/>
        </w:rPr>
        <w:t>目录</w:t>
      </w:r>
    </w:p>
    <w:p>
      <w:pPr>
        <w:pStyle w:val="19"/>
        <w:tabs>
          <w:tab w:val="right" w:leader="dot" w:pos="8777"/>
        </w:tabs>
        <w:spacing w:line="360" w:lineRule="auto"/>
        <w:ind w:firstLine="560"/>
        <w:jc w:val="left"/>
        <w:rPr>
          <w:rFonts w:hint="eastAsia" w:ascii="宋体" w:hAnsi="宋体" w:eastAsia="宋体" w:cs="宋体"/>
          <w:color w:val="auto"/>
          <w:kern w:val="2"/>
          <w:sz w:val="24"/>
          <w:szCs w:val="24"/>
        </w:rPr>
      </w:pPr>
      <w:r>
        <w:rPr>
          <w:rFonts w:hint="eastAsia" w:ascii="宋体" w:hAnsi="宋体" w:eastAsia="宋体" w:cs="宋体"/>
          <w:color w:val="auto"/>
          <w:sz w:val="24"/>
          <w:szCs w:val="24"/>
        </w:rPr>
        <w:fldChar w:fldCharType="begin"/>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instrText xml:space="preserve">HYPERLINK \l "_Toc42606844"</w:instrText>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fldChar w:fldCharType="separate"/>
      </w:r>
      <w:r>
        <w:rPr>
          <w:rStyle w:val="28"/>
          <w:rFonts w:hint="eastAsia" w:ascii="宋体" w:hAnsi="宋体" w:eastAsia="宋体" w:cs="宋体"/>
          <w:color w:val="auto"/>
          <w:sz w:val="24"/>
          <w:szCs w:val="24"/>
        </w:rPr>
        <w:t>一、供应商基本情况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pStyle w:val="19"/>
        <w:tabs>
          <w:tab w:val="right" w:leader="dot" w:pos="8777"/>
        </w:tabs>
        <w:spacing w:line="360" w:lineRule="auto"/>
        <w:ind w:firstLine="560"/>
        <w:jc w:val="left"/>
        <w:rPr>
          <w:rFonts w:hint="eastAsia" w:ascii="宋体" w:hAnsi="宋体" w:eastAsia="宋体" w:cs="宋体"/>
          <w:color w:val="auto"/>
          <w:kern w:val="2"/>
          <w:sz w:val="24"/>
          <w:szCs w:val="24"/>
        </w:rPr>
      </w:pPr>
      <w:r>
        <w:rPr>
          <w:rFonts w:hint="eastAsia" w:ascii="宋体" w:hAnsi="宋体" w:eastAsia="宋体" w:cs="宋体"/>
          <w:color w:val="auto"/>
          <w:sz w:val="24"/>
          <w:szCs w:val="24"/>
        </w:rPr>
        <w:fldChar w:fldCharType="begin"/>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instrText xml:space="preserve">HYPERLINK \l "_Toc42606845"</w:instrText>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fldChar w:fldCharType="separate"/>
      </w:r>
      <w:r>
        <w:rPr>
          <w:rStyle w:val="28"/>
          <w:rFonts w:hint="eastAsia" w:ascii="宋体" w:hAnsi="宋体" w:eastAsia="宋体" w:cs="宋体"/>
          <w:color w:val="auto"/>
          <w:sz w:val="24"/>
          <w:szCs w:val="24"/>
        </w:rPr>
        <w:t>二、响应文件评审索引表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pStyle w:val="19"/>
        <w:tabs>
          <w:tab w:val="right" w:leader="dot" w:pos="8777"/>
        </w:tabs>
        <w:spacing w:line="360" w:lineRule="auto"/>
        <w:ind w:firstLine="560"/>
        <w:jc w:val="left"/>
        <w:rPr>
          <w:rFonts w:hint="eastAsia" w:ascii="宋体" w:hAnsi="宋体" w:eastAsia="宋体" w:cs="宋体"/>
          <w:color w:val="auto"/>
          <w:kern w:val="2"/>
          <w:sz w:val="24"/>
          <w:szCs w:val="24"/>
        </w:rPr>
      </w:pPr>
      <w:r>
        <w:rPr>
          <w:rFonts w:hint="eastAsia" w:ascii="宋体" w:hAnsi="宋体" w:eastAsia="宋体" w:cs="宋体"/>
          <w:color w:val="auto"/>
          <w:sz w:val="24"/>
          <w:szCs w:val="24"/>
        </w:rPr>
        <w:fldChar w:fldCharType="begin"/>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instrText xml:space="preserve">HYPERLINK \l "_Toc42606846"</w:instrText>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begin"/>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instrText xml:space="preserve">HYPERLINK \l "_Toc42606847"</w:instrText>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三</w:t>
      </w:r>
      <w:r>
        <w:rPr>
          <w:rStyle w:val="28"/>
          <w:rFonts w:hint="eastAsia" w:ascii="宋体" w:hAnsi="宋体" w:eastAsia="宋体" w:cs="宋体"/>
          <w:color w:val="auto"/>
          <w:sz w:val="24"/>
          <w:szCs w:val="24"/>
        </w:rPr>
        <w:t>、资格证明文件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pStyle w:val="19"/>
        <w:tabs>
          <w:tab w:val="right" w:leader="dot" w:pos="8777"/>
        </w:tabs>
        <w:spacing w:line="360" w:lineRule="auto"/>
        <w:ind w:firstLine="560"/>
        <w:jc w:val="left"/>
        <w:rPr>
          <w:rFonts w:hint="eastAsia" w:ascii="宋体" w:hAnsi="宋体" w:eastAsia="宋体" w:cs="宋体"/>
          <w:color w:val="auto"/>
          <w:kern w:val="2"/>
          <w:sz w:val="24"/>
          <w:szCs w:val="24"/>
        </w:rPr>
      </w:pPr>
      <w:r>
        <w:rPr>
          <w:rFonts w:hint="eastAsia" w:ascii="宋体" w:hAnsi="宋体" w:eastAsia="宋体" w:cs="宋体"/>
          <w:color w:val="auto"/>
          <w:sz w:val="24"/>
          <w:szCs w:val="24"/>
        </w:rPr>
        <w:fldChar w:fldCharType="begin"/>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instrText xml:space="preserve">HYPERLINK \l "_Toc42606848"</w:instrText>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fldChar w:fldCharType="separate"/>
      </w:r>
      <w:r>
        <w:rPr>
          <w:rStyle w:val="28"/>
          <w:rFonts w:hint="eastAsia" w:ascii="宋体" w:hAnsi="宋体" w:eastAsia="宋体" w:cs="宋体"/>
          <w:color w:val="auto"/>
          <w:sz w:val="24"/>
          <w:szCs w:val="24"/>
          <w:lang w:val="en-US" w:eastAsia="zh-CN"/>
        </w:rPr>
        <w:t>四</w:t>
      </w:r>
      <w:r>
        <w:rPr>
          <w:rStyle w:val="28"/>
          <w:rFonts w:hint="eastAsia" w:ascii="宋体" w:hAnsi="宋体" w:eastAsia="宋体" w:cs="宋体"/>
          <w:color w:val="auto"/>
          <w:sz w:val="24"/>
          <w:szCs w:val="24"/>
        </w:rPr>
        <w:t>、商务部分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pStyle w:val="19"/>
        <w:tabs>
          <w:tab w:val="right" w:leader="dot" w:pos="8777"/>
        </w:tabs>
        <w:spacing w:line="360" w:lineRule="auto"/>
        <w:ind w:firstLine="560"/>
        <w:jc w:val="left"/>
        <w:rPr>
          <w:rFonts w:hint="eastAsia" w:ascii="宋体" w:hAnsi="宋体" w:eastAsia="宋体" w:cs="宋体"/>
          <w:color w:val="auto"/>
          <w:kern w:val="2"/>
          <w:sz w:val="24"/>
          <w:szCs w:val="24"/>
        </w:rPr>
      </w:pPr>
      <w:r>
        <w:rPr>
          <w:rFonts w:hint="eastAsia" w:ascii="宋体" w:hAnsi="宋体" w:eastAsia="宋体" w:cs="宋体"/>
          <w:color w:val="auto"/>
          <w:sz w:val="24"/>
          <w:szCs w:val="24"/>
        </w:rPr>
        <w:fldChar w:fldCharType="begin"/>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instrText xml:space="preserve">HYPERLINK \l "_Toc42606849"</w:instrText>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fldChar w:fldCharType="separate"/>
      </w:r>
      <w:r>
        <w:rPr>
          <w:rStyle w:val="28"/>
          <w:rFonts w:hint="eastAsia" w:ascii="宋体" w:hAnsi="宋体" w:eastAsia="宋体" w:cs="宋体"/>
          <w:color w:val="auto"/>
          <w:sz w:val="24"/>
          <w:szCs w:val="24"/>
          <w:lang w:val="en-US" w:eastAsia="zh-CN"/>
        </w:rPr>
        <w:t>五</w:t>
      </w:r>
      <w:r>
        <w:rPr>
          <w:rStyle w:val="28"/>
          <w:rFonts w:hint="eastAsia" w:ascii="宋体" w:hAnsi="宋体" w:eastAsia="宋体" w:cs="宋体"/>
          <w:color w:val="auto"/>
          <w:sz w:val="24"/>
          <w:szCs w:val="24"/>
        </w:rPr>
        <w:t>、技术部分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pStyle w:val="19"/>
        <w:tabs>
          <w:tab w:val="right" w:leader="dot" w:pos="8777"/>
        </w:tabs>
        <w:spacing w:line="360" w:lineRule="auto"/>
        <w:ind w:firstLine="560"/>
        <w:jc w:val="left"/>
        <w:rPr>
          <w:rFonts w:hint="eastAsia" w:ascii="宋体" w:hAnsi="宋体" w:eastAsia="宋体" w:cs="宋体"/>
          <w:color w:val="auto"/>
          <w:kern w:val="2"/>
          <w:sz w:val="28"/>
          <w:szCs w:val="28"/>
        </w:rPr>
      </w:pPr>
      <w:r>
        <w:rPr>
          <w:rFonts w:hint="eastAsia" w:ascii="宋体" w:hAnsi="宋体" w:eastAsia="宋体" w:cs="宋体"/>
          <w:color w:val="auto"/>
          <w:sz w:val="24"/>
          <w:szCs w:val="24"/>
        </w:rPr>
        <w:fldChar w:fldCharType="begin"/>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instrText xml:space="preserve">HYPERLINK \l "_Toc42606850"</w:instrText>
      </w:r>
      <w:r>
        <w:rPr>
          <w:rStyle w:val="28"/>
          <w:rFonts w:hint="eastAsia" w:ascii="宋体" w:hAnsi="宋体" w:eastAsia="宋体" w:cs="宋体"/>
          <w:color w:val="auto"/>
          <w:sz w:val="24"/>
          <w:szCs w:val="24"/>
        </w:rPr>
        <w:instrText xml:space="preserve"> </w:instrText>
      </w:r>
      <w:r>
        <w:rPr>
          <w:rFonts w:hint="eastAsia" w:ascii="宋体" w:hAnsi="宋体" w:eastAsia="宋体" w:cs="宋体"/>
          <w:color w:val="auto"/>
          <w:sz w:val="24"/>
          <w:szCs w:val="24"/>
        </w:rPr>
        <w:fldChar w:fldCharType="separate"/>
      </w:r>
      <w:r>
        <w:rPr>
          <w:rStyle w:val="28"/>
          <w:rFonts w:hint="eastAsia" w:ascii="宋体" w:hAnsi="宋体" w:eastAsia="宋体" w:cs="宋体"/>
          <w:color w:val="auto"/>
          <w:sz w:val="24"/>
          <w:szCs w:val="24"/>
          <w:lang w:val="en-US" w:eastAsia="zh-CN"/>
        </w:rPr>
        <w:t>六</w:t>
      </w:r>
      <w:r>
        <w:rPr>
          <w:rStyle w:val="28"/>
          <w:rFonts w:hint="eastAsia" w:ascii="宋体" w:hAnsi="宋体" w:eastAsia="宋体" w:cs="宋体"/>
          <w:color w:val="auto"/>
          <w:sz w:val="24"/>
          <w:szCs w:val="24"/>
        </w:rPr>
        <w:t>、其他部分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p>
    <w:p>
      <w:pPr>
        <w:ind w:firstLine="0" w:firstLineChars="0"/>
        <w:rPr>
          <w:rStyle w:val="53"/>
          <w:rFonts w:hint="eastAsia" w:ascii="宋体" w:hAnsi="宋体" w:eastAsia="宋体" w:cs="宋体"/>
          <w:b/>
          <w:bCs/>
          <w:color w:val="auto"/>
          <w:sz w:val="28"/>
          <w:szCs w:val="26"/>
        </w:rPr>
      </w:pPr>
      <w:r>
        <w:rPr>
          <w:rFonts w:hint="eastAsia" w:ascii="宋体" w:hAnsi="宋体" w:eastAsia="宋体" w:cs="宋体"/>
          <w:color w:val="auto"/>
          <w:sz w:val="28"/>
          <w:szCs w:val="28"/>
        </w:rPr>
        <w:fldChar w:fldCharType="end"/>
      </w:r>
      <w:r>
        <w:rPr>
          <w:rStyle w:val="53"/>
          <w:rFonts w:hint="eastAsia" w:ascii="宋体" w:hAnsi="宋体" w:eastAsia="宋体" w:cs="宋体"/>
          <w:color w:val="auto"/>
        </w:rPr>
        <w:br w:type="page"/>
      </w:r>
    </w:p>
    <w:p>
      <w:pPr>
        <w:pStyle w:val="4"/>
        <w:jc w:val="center"/>
        <w:rPr>
          <w:rStyle w:val="53"/>
          <w:rFonts w:hint="eastAsia" w:ascii="宋体" w:hAnsi="宋体" w:eastAsia="宋体" w:cs="宋体"/>
          <w:color w:val="auto"/>
          <w:sz w:val="28"/>
          <w:szCs w:val="28"/>
        </w:rPr>
      </w:pPr>
      <w:bookmarkStart w:id="768" w:name="_Toc1021_WPSOffice_Level1"/>
      <w:bookmarkStart w:id="769" w:name="_Toc42606844"/>
      <w:bookmarkStart w:id="770" w:name="_Toc23424_WPSOffice_Level1"/>
      <w:bookmarkStart w:id="771" w:name="_Toc20897_WPSOffice_Level1"/>
      <w:r>
        <w:rPr>
          <w:rStyle w:val="53"/>
          <w:rFonts w:hint="eastAsia" w:ascii="宋体" w:hAnsi="宋体" w:eastAsia="宋体" w:cs="宋体"/>
          <w:color w:val="auto"/>
          <w:sz w:val="28"/>
          <w:szCs w:val="28"/>
        </w:rPr>
        <w:t>一、供应商基本情况</w:t>
      </w:r>
      <w:bookmarkEnd w:id="768"/>
      <w:bookmarkEnd w:id="769"/>
      <w:bookmarkEnd w:id="770"/>
      <w:bookmarkEnd w:id="771"/>
    </w:p>
    <w:tbl>
      <w:tblPr>
        <w:tblStyle w:val="2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1014"/>
        <w:gridCol w:w="1276"/>
        <w:gridCol w:w="1265"/>
        <w:gridCol w:w="1347"/>
        <w:gridCol w:w="1290"/>
        <w:gridCol w:w="111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p>
        </w:tc>
        <w:tc>
          <w:tcPr>
            <w:tcW w:w="7311" w:type="dxa"/>
            <w:gridSpan w:val="6"/>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555" w:type="dxa"/>
            <w:gridSpan w:val="3"/>
            <w:noWrap w:val="0"/>
            <w:vAlign w:val="center"/>
          </w:tcPr>
          <w:p>
            <w:pPr>
              <w:ind w:firstLine="0" w:firstLineChars="0"/>
              <w:jc w:val="center"/>
              <w:rPr>
                <w:rFonts w:hint="eastAsia" w:ascii="宋体" w:hAnsi="宋体" w:eastAsia="宋体" w:cs="宋体"/>
                <w:color w:val="auto"/>
                <w:sz w:val="21"/>
                <w:szCs w:val="21"/>
              </w:rPr>
            </w:pPr>
          </w:p>
        </w:tc>
        <w:tc>
          <w:tcPr>
            <w:tcW w:w="1347"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409" w:type="dxa"/>
            <w:gridSpan w:val="2"/>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vMerge w:val="restart"/>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1014"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541" w:type="dxa"/>
            <w:gridSpan w:val="2"/>
            <w:noWrap w:val="0"/>
            <w:vAlign w:val="center"/>
          </w:tcPr>
          <w:p>
            <w:pPr>
              <w:ind w:firstLine="0" w:firstLineChars="0"/>
              <w:jc w:val="center"/>
              <w:rPr>
                <w:rFonts w:hint="eastAsia" w:ascii="宋体" w:hAnsi="宋体" w:eastAsia="宋体" w:cs="宋体"/>
                <w:color w:val="auto"/>
                <w:sz w:val="21"/>
                <w:szCs w:val="21"/>
              </w:rPr>
            </w:pPr>
          </w:p>
        </w:tc>
        <w:tc>
          <w:tcPr>
            <w:tcW w:w="1347"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2409" w:type="dxa"/>
            <w:gridSpan w:val="2"/>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vMerge w:val="continue"/>
            <w:noWrap w:val="0"/>
            <w:vAlign w:val="center"/>
          </w:tcPr>
          <w:p>
            <w:pPr>
              <w:ind w:firstLine="0" w:firstLineChars="0"/>
              <w:jc w:val="center"/>
              <w:rPr>
                <w:rFonts w:hint="eastAsia" w:ascii="宋体" w:hAnsi="宋体" w:eastAsia="宋体" w:cs="宋体"/>
                <w:color w:val="auto"/>
                <w:sz w:val="21"/>
                <w:szCs w:val="21"/>
              </w:rPr>
            </w:pPr>
          </w:p>
        </w:tc>
        <w:tc>
          <w:tcPr>
            <w:tcW w:w="1014"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2541" w:type="dxa"/>
            <w:gridSpan w:val="2"/>
            <w:noWrap w:val="0"/>
            <w:vAlign w:val="center"/>
          </w:tcPr>
          <w:p>
            <w:pPr>
              <w:ind w:firstLine="0" w:firstLineChars="0"/>
              <w:jc w:val="center"/>
              <w:rPr>
                <w:rFonts w:hint="eastAsia" w:ascii="宋体" w:hAnsi="宋体" w:eastAsia="宋体" w:cs="宋体"/>
                <w:color w:val="auto"/>
                <w:sz w:val="21"/>
                <w:szCs w:val="21"/>
              </w:rPr>
            </w:pPr>
          </w:p>
        </w:tc>
        <w:tc>
          <w:tcPr>
            <w:tcW w:w="1347"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409" w:type="dxa"/>
            <w:gridSpan w:val="2"/>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企业性质</w:t>
            </w:r>
          </w:p>
        </w:tc>
        <w:tc>
          <w:tcPr>
            <w:tcW w:w="7311" w:type="dxa"/>
            <w:gridSpan w:val="6"/>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1014"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3888" w:type="dxa"/>
            <w:gridSpan w:val="3"/>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1290"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119" w:type="dxa"/>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1014"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276" w:type="dxa"/>
            <w:noWrap w:val="0"/>
            <w:vAlign w:val="center"/>
          </w:tcPr>
          <w:p>
            <w:pPr>
              <w:ind w:firstLine="0" w:firstLineChars="0"/>
              <w:jc w:val="center"/>
              <w:rPr>
                <w:rFonts w:hint="eastAsia" w:ascii="宋体" w:hAnsi="宋体" w:eastAsia="宋体" w:cs="宋体"/>
                <w:color w:val="auto"/>
                <w:sz w:val="21"/>
                <w:szCs w:val="21"/>
              </w:rPr>
            </w:pPr>
          </w:p>
        </w:tc>
        <w:tc>
          <w:tcPr>
            <w:tcW w:w="1265"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347" w:type="dxa"/>
            <w:noWrap w:val="0"/>
            <w:vAlign w:val="center"/>
          </w:tcPr>
          <w:p>
            <w:pPr>
              <w:ind w:firstLine="0" w:firstLineChars="0"/>
              <w:jc w:val="center"/>
              <w:rPr>
                <w:rFonts w:hint="eastAsia" w:ascii="宋体" w:hAnsi="宋体" w:eastAsia="宋体" w:cs="宋体"/>
                <w:color w:val="auto"/>
                <w:sz w:val="21"/>
                <w:szCs w:val="21"/>
              </w:rPr>
            </w:pPr>
          </w:p>
        </w:tc>
        <w:tc>
          <w:tcPr>
            <w:tcW w:w="1290"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119" w:type="dxa"/>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3555" w:type="dxa"/>
            <w:gridSpan w:val="3"/>
            <w:noWrap w:val="0"/>
            <w:vAlign w:val="center"/>
          </w:tcPr>
          <w:p>
            <w:pPr>
              <w:ind w:firstLine="0" w:firstLineChars="0"/>
              <w:jc w:val="center"/>
              <w:rPr>
                <w:rFonts w:hint="eastAsia" w:ascii="宋体" w:hAnsi="宋体" w:eastAsia="宋体" w:cs="宋体"/>
                <w:color w:val="auto"/>
                <w:sz w:val="21"/>
                <w:szCs w:val="21"/>
              </w:rPr>
            </w:pPr>
          </w:p>
        </w:tc>
        <w:tc>
          <w:tcPr>
            <w:tcW w:w="1347" w:type="dxa"/>
            <w:noWrap w:val="0"/>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员工总人数</w:t>
            </w:r>
          </w:p>
        </w:tc>
        <w:tc>
          <w:tcPr>
            <w:tcW w:w="2409" w:type="dxa"/>
            <w:gridSpan w:val="2"/>
            <w:noWrap w:val="0"/>
            <w:vAlign w:val="center"/>
          </w:tcPr>
          <w:p>
            <w:pPr>
              <w:ind w:firstLine="0" w:firstLineChars="0"/>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营业执照号</w:t>
            </w:r>
          </w:p>
        </w:tc>
        <w:tc>
          <w:tcPr>
            <w:tcW w:w="7311" w:type="dxa"/>
            <w:gridSpan w:val="6"/>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7311" w:type="dxa"/>
            <w:gridSpan w:val="6"/>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7311" w:type="dxa"/>
            <w:gridSpan w:val="6"/>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7311" w:type="dxa"/>
            <w:gridSpan w:val="6"/>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7311" w:type="dxa"/>
            <w:gridSpan w:val="6"/>
            <w:noWrap w:val="0"/>
            <w:vAlign w:val="center"/>
          </w:tcPr>
          <w:p>
            <w:pPr>
              <w:ind w:firstLine="0" w:firstLineChars="0"/>
              <w:jc w:val="center"/>
              <w:rPr>
                <w:rFonts w:hint="eastAsia" w:ascii="宋体" w:hAnsi="宋体" w:eastAsia="宋体" w:cs="宋体"/>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692" w:type="dxa"/>
            <w:noWrap w:val="0"/>
            <w:vAlign w:val="center"/>
          </w:tcPr>
          <w:p>
            <w:pPr>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7311" w:type="dxa"/>
            <w:gridSpan w:val="6"/>
            <w:noWrap w:val="0"/>
            <w:vAlign w:val="center"/>
          </w:tcPr>
          <w:p>
            <w:pPr>
              <w:ind w:firstLine="0" w:firstLineChars="0"/>
              <w:jc w:val="center"/>
              <w:rPr>
                <w:rFonts w:hint="eastAsia" w:ascii="宋体" w:hAnsi="宋体" w:eastAsia="宋体" w:cs="宋体"/>
                <w:color w:val="auto"/>
                <w:sz w:val="21"/>
                <w:szCs w:val="21"/>
              </w:rPr>
            </w:pPr>
          </w:p>
        </w:tc>
      </w:tr>
    </w:tbl>
    <w:p>
      <w:pPr>
        <w:ind w:firstLine="480"/>
        <w:rPr>
          <w:rFonts w:hint="eastAsia" w:ascii="宋体" w:hAnsi="宋体" w:eastAsia="宋体" w:cs="宋体"/>
          <w:color w:val="auto"/>
        </w:rPr>
      </w:pP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（盖章）</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法定代表人或被授权代表：</w:t>
      </w:r>
      <w:r>
        <w:rPr>
          <w:rFonts w:hint="eastAsia" w:ascii="宋体" w:hAnsi="宋体" w:eastAsia="宋体" w:cs="宋体"/>
          <w:color w:val="auto"/>
          <w:sz w:val="24"/>
          <w:szCs w:val="24"/>
          <w:u w:val="single"/>
        </w:rPr>
        <w:t xml:space="preserve">                          （签字或盖章）</w:t>
      </w:r>
    </w:p>
    <w:p>
      <w:pPr>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p>
    <w:p>
      <w:pPr>
        <w:pStyle w:val="4"/>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Style w:val="53"/>
          <w:rFonts w:hint="eastAsia" w:ascii="宋体" w:hAnsi="宋体" w:eastAsia="宋体" w:cs="宋体"/>
          <w:color w:val="auto"/>
          <w:sz w:val="24"/>
          <w:szCs w:val="24"/>
        </w:rPr>
      </w:pPr>
      <w:r>
        <w:rPr>
          <w:rFonts w:hint="eastAsia" w:ascii="宋体" w:hAnsi="宋体" w:eastAsia="宋体" w:cs="宋体"/>
          <w:color w:val="auto"/>
        </w:rPr>
        <w:br w:type="page"/>
      </w:r>
      <w:bookmarkStart w:id="772" w:name="_Toc16976_WPSOffice_Level1"/>
      <w:bookmarkStart w:id="773" w:name="_Toc391032230"/>
      <w:bookmarkStart w:id="774" w:name="_Toc534992067"/>
      <w:bookmarkStart w:id="775" w:name="_Toc42606845"/>
      <w:bookmarkStart w:id="776" w:name="_Toc2287_WPSOffice_Level1"/>
      <w:bookmarkStart w:id="777" w:name="_Toc11770_WPSOffice_Level1"/>
      <w:r>
        <w:rPr>
          <w:rStyle w:val="53"/>
          <w:rFonts w:hint="eastAsia" w:ascii="宋体" w:hAnsi="宋体" w:eastAsia="宋体" w:cs="宋体"/>
          <w:color w:val="auto"/>
          <w:sz w:val="28"/>
          <w:szCs w:val="28"/>
        </w:rPr>
        <w:t>二、响应文件评审索引表</w:t>
      </w:r>
      <w:bookmarkEnd w:id="772"/>
      <w:bookmarkEnd w:id="773"/>
      <w:bookmarkEnd w:id="774"/>
      <w:bookmarkEnd w:id="775"/>
      <w:bookmarkEnd w:id="776"/>
      <w:bookmarkEnd w:id="777"/>
    </w:p>
    <w:p>
      <w:pPr>
        <w:keepNext w:val="0"/>
        <w:keepLines w:val="0"/>
        <w:pageBreakBefore w:val="0"/>
        <w:widowControl/>
        <w:kinsoku/>
        <w:wordWrap/>
        <w:overflowPunct/>
        <w:topLinePunct w:val="0"/>
        <w:autoSpaceDE/>
        <w:autoSpaceDN/>
        <w:bidi w:val="0"/>
        <w:adjustRightInd w:val="0"/>
        <w:snapToGrid w:val="0"/>
        <w:spacing w:line="240" w:lineRule="auto"/>
        <w:ind w:firstLine="482"/>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(为方便专家查找评审，供应商根据磋商文件的评分办法将重要内容及页码填写在此表中)</w:t>
      </w:r>
    </w:p>
    <w:tbl>
      <w:tblPr>
        <w:tblStyle w:val="25"/>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0"/>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响应文件的重要内容</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评审索引表</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  页—第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关于资格证明文件的声明函</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营业执照</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没有重大违法记录的书面声明</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资质证书</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安全生产许可证</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“信用中国”、“中国政府采购网”查询，网页截图</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法定代表人身份证明书</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法定代表人授权委托书</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投标保证金收据或汇款凭证</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享受政府采购扶持政策的相关材料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如有</w:t>
            </w:r>
            <w:r>
              <w:rPr>
                <w:rFonts w:hint="eastAsia" w:ascii="宋体" w:hAnsi="宋体" w:eastAsia="宋体" w:cs="宋体"/>
                <w:color w:val="auto"/>
                <w:sz w:val="21"/>
                <w:szCs w:val="21"/>
                <w:lang w:eastAsia="zh-CN"/>
              </w:rPr>
              <w:t>）</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投标承诺书（一）、（二）</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报价一览表</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拟投入项目管理人员情况表</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近年完成的类似项目情况表</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w:t>
            </w:r>
            <w:r>
              <w:rPr>
                <w:rFonts w:hint="eastAsia" w:ascii="宋体" w:hAnsi="宋体" w:eastAsia="宋体" w:cs="宋体"/>
                <w:color w:val="auto"/>
                <w:sz w:val="21"/>
                <w:szCs w:val="21"/>
                <w:lang w:val="en-US" w:eastAsia="zh-CN"/>
              </w:rPr>
              <w:t>偏离</w:t>
            </w:r>
            <w:r>
              <w:rPr>
                <w:rFonts w:hint="eastAsia" w:ascii="宋体" w:hAnsi="宋体" w:eastAsia="宋体" w:cs="宋体"/>
                <w:color w:val="auto"/>
                <w:sz w:val="21"/>
                <w:szCs w:val="21"/>
              </w:rPr>
              <w:t>表</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w:t>
            </w:r>
            <w:r>
              <w:rPr>
                <w:rFonts w:hint="eastAsia" w:ascii="宋体" w:hAnsi="宋体" w:eastAsia="宋体" w:cs="宋体"/>
                <w:color w:val="auto"/>
                <w:sz w:val="21"/>
                <w:szCs w:val="21"/>
                <w:lang w:val="en-US" w:eastAsia="zh-CN"/>
              </w:rPr>
              <w:t>偏离</w:t>
            </w:r>
            <w:r>
              <w:rPr>
                <w:rFonts w:hint="eastAsia" w:ascii="宋体" w:hAnsi="宋体" w:eastAsia="宋体" w:cs="宋体"/>
                <w:color w:val="auto"/>
                <w:sz w:val="21"/>
                <w:szCs w:val="21"/>
              </w:rPr>
              <w:t>表</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施工组织设计</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同意磋商文件条款声明</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虚假应标承担责任声明</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投标总价格式</w:t>
            </w:r>
          </w:p>
        </w:tc>
        <w:tc>
          <w:tcPr>
            <w:tcW w:w="31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宋体" w:hAnsi="宋体" w:eastAsia="宋体" w:cs="宋体"/>
                <w:color w:val="auto"/>
                <w:sz w:val="21"/>
                <w:szCs w:val="21"/>
              </w:rPr>
            </w:pPr>
          </w:p>
        </w:tc>
      </w:tr>
    </w:tbl>
    <w:p>
      <w:pPr>
        <w:keepNext w:val="0"/>
        <w:keepLines w:val="0"/>
        <w:pageBreakBefore w:val="0"/>
        <w:widowControl/>
        <w:kinsoku/>
        <w:wordWrap/>
        <w:overflowPunct/>
        <w:topLinePunct w:val="0"/>
        <w:autoSpaceDE/>
        <w:autoSpaceDN/>
        <w:bidi w:val="0"/>
        <w:adjustRightInd w:val="0"/>
        <w:snapToGrid w:val="0"/>
        <w:spacing w:line="340" w:lineRule="exact"/>
        <w:ind w:firstLine="422"/>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注：1、此表内容不仅限于上述内容，</w:t>
      </w:r>
      <w:r>
        <w:rPr>
          <w:rFonts w:hint="eastAsia" w:ascii="宋体" w:hAnsi="宋体" w:eastAsia="宋体" w:cs="宋体"/>
          <w:b/>
          <w:color w:val="auto"/>
          <w:sz w:val="22"/>
          <w:szCs w:val="22"/>
          <w:lang w:val="en-US" w:eastAsia="zh-CN"/>
        </w:rPr>
        <w:t>如有不全请自行添加。</w:t>
      </w:r>
      <w:r>
        <w:rPr>
          <w:rFonts w:hint="eastAsia" w:ascii="宋体" w:hAnsi="宋体" w:eastAsia="宋体" w:cs="宋体"/>
          <w:b/>
          <w:color w:val="auto"/>
          <w:sz w:val="22"/>
          <w:szCs w:val="22"/>
        </w:rPr>
        <w:t>供应商根据评分办法自行填写重要内容，目的是便于专家在评标时方便、快捷、准确找到相关资料。</w:t>
      </w:r>
    </w:p>
    <w:p>
      <w:pPr>
        <w:keepNext w:val="0"/>
        <w:keepLines w:val="0"/>
        <w:pageBreakBefore w:val="0"/>
        <w:widowControl/>
        <w:kinsoku/>
        <w:wordWrap/>
        <w:overflowPunct/>
        <w:topLinePunct w:val="0"/>
        <w:autoSpaceDE/>
        <w:autoSpaceDN/>
        <w:bidi w:val="0"/>
        <w:adjustRightInd w:val="0"/>
        <w:snapToGrid w:val="0"/>
        <w:spacing w:line="340" w:lineRule="exact"/>
        <w:ind w:firstLine="422"/>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2、重要内容与对应的页码一定要一一对应，准确填写，由于填写错误影响评标的后果自负。</w:t>
      </w:r>
    </w:p>
    <w:p>
      <w:pPr>
        <w:keepNext w:val="0"/>
        <w:keepLines w:val="0"/>
        <w:pageBreakBefore w:val="0"/>
        <w:widowControl/>
        <w:kinsoku/>
        <w:wordWrap/>
        <w:overflowPunct/>
        <w:topLinePunct w:val="0"/>
        <w:autoSpaceDE/>
        <w:autoSpaceDN/>
        <w:bidi w:val="0"/>
        <w:adjustRightInd w:val="0"/>
        <w:snapToGrid w:val="0"/>
        <w:spacing w:line="3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（盖章）</w:t>
      </w:r>
    </w:p>
    <w:p>
      <w:pPr>
        <w:keepNext w:val="0"/>
        <w:keepLines w:val="0"/>
        <w:pageBreakBefore w:val="0"/>
        <w:widowControl/>
        <w:kinsoku/>
        <w:wordWrap/>
        <w:overflowPunct/>
        <w:topLinePunct w:val="0"/>
        <w:autoSpaceDE/>
        <w:autoSpaceDN/>
        <w:bidi w:val="0"/>
        <w:adjustRightInd w:val="0"/>
        <w:snapToGrid w:val="0"/>
        <w:spacing w:line="3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法定代表人或被授权代表：</w:t>
      </w:r>
      <w:r>
        <w:rPr>
          <w:rFonts w:hint="eastAsia" w:ascii="宋体" w:hAnsi="宋体" w:eastAsia="宋体" w:cs="宋体"/>
          <w:color w:val="auto"/>
          <w:sz w:val="24"/>
          <w:szCs w:val="24"/>
          <w:u w:val="single"/>
        </w:rPr>
        <w:t xml:space="preserve">                          （签字或盖章）</w:t>
      </w:r>
    </w:p>
    <w:p>
      <w:pPr>
        <w:ind w:right="240" w:firstLine="0" w:firstLineChars="0"/>
        <w:jc w:val="center"/>
        <w:rPr>
          <w:rFonts w:hint="eastAsia" w:ascii="宋体" w:hAnsi="宋体" w:eastAsia="宋体" w:cs="宋体"/>
          <w:b/>
          <w:bCs/>
          <w:color w:val="auto"/>
          <w:lang w:eastAsia="zh-CN"/>
        </w:rPr>
      </w:pPr>
      <w:r>
        <w:rPr>
          <w:rFonts w:hint="eastAsia" w:ascii="宋体" w:hAnsi="宋体" w:eastAsia="宋体" w:cs="宋体"/>
          <w:b/>
          <w:color w:val="auto"/>
          <w:szCs w:val="21"/>
        </w:rPr>
        <w:br w:type="page"/>
      </w:r>
      <w:bookmarkStart w:id="778" w:name="_Toc2702_WPSOffice_Level1"/>
      <w:bookmarkStart w:id="779" w:name="_Toc19688_WPSOffice_Level1"/>
      <w:bookmarkStart w:id="780" w:name="_Toc9572_WPSOffice_Level1"/>
      <w:bookmarkStart w:id="781" w:name="_Toc42606847"/>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、资格证明文件</w:t>
      </w:r>
      <w:bookmarkEnd w:id="778"/>
      <w:bookmarkEnd w:id="779"/>
      <w:bookmarkEnd w:id="780"/>
      <w:bookmarkEnd w:id="781"/>
    </w:p>
    <w:p>
      <w:pPr>
        <w:pStyle w:val="2"/>
        <w:jc w:val="left"/>
        <w:rPr>
          <w:rFonts w:hint="eastAsia" w:ascii="宋体" w:hAnsi="宋体" w:eastAsia="宋体" w:cs="宋体"/>
          <w:color w:val="auto"/>
          <w:sz w:val="24"/>
          <w:szCs w:val="24"/>
        </w:rPr>
      </w:pPr>
      <w:r>
        <w:rPr>
          <w:rFonts w:hint="eastAsia" w:ascii="宋体" w:hAnsi="宋体" w:eastAsia="宋体" w:cs="宋体"/>
          <w:color w:val="auto"/>
          <w:sz w:val="24"/>
          <w:szCs w:val="24"/>
        </w:rPr>
        <w:t>1、声明函</w:t>
      </w:r>
    </w:p>
    <w:p>
      <w:pPr>
        <w:tabs>
          <w:tab w:val="left" w:pos="7665"/>
        </w:tabs>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关于资格证明文件的声明函</w:t>
      </w:r>
    </w:p>
    <w:p>
      <w:pPr>
        <w:tabs>
          <w:tab w:val="left" w:pos="7665"/>
        </w:tabs>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致： </w:t>
      </w:r>
    </w:p>
    <w:p>
      <w:pPr>
        <w:tabs>
          <w:tab w:val="left" w:pos="7665"/>
        </w:tabs>
        <w:ind w:firstLine="480"/>
        <w:rPr>
          <w:rFonts w:hint="eastAsia" w:ascii="宋体" w:hAnsi="宋体" w:eastAsia="宋体" w:cs="宋体"/>
          <w:color w:val="auto"/>
          <w:sz w:val="24"/>
          <w:szCs w:val="24"/>
        </w:rPr>
      </w:pPr>
    </w:p>
    <w:p>
      <w:pPr>
        <w:tabs>
          <w:tab w:val="left" w:pos="7665"/>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关于贵方</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的磋商公告,本签字人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授权代表）愿意参加报价,并声明提供文件规定的资格证明文件和说明是准确的和真实的。</w:t>
      </w:r>
    </w:p>
    <w:p>
      <w:pPr>
        <w:tabs>
          <w:tab w:val="left" w:pos="7665"/>
        </w:tabs>
        <w:spacing w:line="360" w:lineRule="auto"/>
        <w:ind w:firstLine="480"/>
        <w:rPr>
          <w:rFonts w:hint="eastAsia" w:ascii="宋体" w:hAnsi="宋体" w:eastAsia="宋体" w:cs="宋体"/>
          <w:color w:val="auto"/>
          <w:sz w:val="24"/>
          <w:szCs w:val="24"/>
        </w:rPr>
      </w:pPr>
    </w:p>
    <w:p>
      <w:pPr>
        <w:tabs>
          <w:tab w:val="left" w:pos="7665"/>
        </w:tabs>
        <w:spacing w:line="360" w:lineRule="auto"/>
        <w:ind w:firstLine="480"/>
        <w:rPr>
          <w:rFonts w:hint="eastAsia" w:ascii="宋体" w:hAnsi="宋体" w:eastAsia="宋体" w:cs="宋体"/>
          <w:color w:val="auto"/>
          <w:sz w:val="24"/>
          <w:szCs w:val="24"/>
        </w:rPr>
      </w:pPr>
    </w:p>
    <w:p>
      <w:pPr>
        <w:tabs>
          <w:tab w:val="left" w:pos="7665"/>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单位名称（盖公章）：              法人或法人授权人签字或盖章：</w:t>
      </w:r>
    </w:p>
    <w:p>
      <w:pPr>
        <w:tabs>
          <w:tab w:val="left" w:pos="7665"/>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名称：                                        </w:t>
      </w:r>
    </w:p>
    <w:p>
      <w:pPr>
        <w:tabs>
          <w:tab w:val="left" w:pos="7665"/>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地址：                            电话：</w:t>
      </w:r>
    </w:p>
    <w:p>
      <w:pPr>
        <w:tabs>
          <w:tab w:val="left" w:pos="7665"/>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传真：                             </w:t>
      </w:r>
    </w:p>
    <w:p>
      <w:pPr>
        <w:tabs>
          <w:tab w:val="left" w:pos="7665"/>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邮编：                                              </w:t>
      </w:r>
    </w:p>
    <w:p>
      <w:pPr>
        <w:tabs>
          <w:tab w:val="left" w:pos="7665"/>
        </w:tabs>
        <w:spacing w:line="360" w:lineRule="auto"/>
        <w:ind w:firstLine="480"/>
        <w:rPr>
          <w:rFonts w:hint="eastAsia" w:ascii="宋体" w:hAnsi="宋体" w:eastAsia="宋体" w:cs="宋体"/>
          <w:color w:val="auto"/>
          <w:sz w:val="24"/>
          <w:szCs w:val="24"/>
        </w:rPr>
      </w:pPr>
    </w:p>
    <w:p>
      <w:pPr>
        <w:tabs>
          <w:tab w:val="left" w:pos="7665"/>
        </w:tabs>
        <w:spacing w:line="360" w:lineRule="auto"/>
        <w:ind w:firstLine="480"/>
        <w:rPr>
          <w:rFonts w:hint="eastAsia" w:ascii="宋体" w:hAnsi="宋体" w:eastAsia="宋体" w:cs="宋体"/>
          <w:color w:val="auto"/>
          <w:sz w:val="24"/>
          <w:szCs w:val="24"/>
        </w:rPr>
      </w:pPr>
    </w:p>
    <w:p>
      <w:pPr>
        <w:tabs>
          <w:tab w:val="left" w:pos="7665"/>
        </w:tabs>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pPr>
        <w:tabs>
          <w:tab w:val="left" w:pos="7665"/>
        </w:tabs>
        <w:ind w:firstLine="5280" w:firstLineChars="2400"/>
        <w:rPr>
          <w:rFonts w:hint="eastAsia" w:ascii="宋体" w:hAnsi="宋体" w:eastAsia="宋体" w:cs="宋体"/>
          <w:color w:val="auto"/>
          <w:szCs w:val="24"/>
        </w:rPr>
      </w:pPr>
    </w:p>
    <w:p>
      <w:pPr>
        <w:tabs>
          <w:tab w:val="left" w:pos="7665"/>
        </w:tabs>
        <w:ind w:firstLine="480"/>
        <w:rPr>
          <w:rFonts w:hint="eastAsia" w:ascii="宋体" w:hAnsi="宋体" w:eastAsia="宋体" w:cs="宋体"/>
          <w:color w:val="auto"/>
          <w:szCs w:val="24"/>
        </w:rPr>
      </w:pPr>
    </w:p>
    <w:p>
      <w:pPr>
        <w:ind w:firstLine="0" w:firstLineChars="0"/>
        <w:rPr>
          <w:rFonts w:hint="eastAsia" w:ascii="宋体" w:hAnsi="宋体" w:eastAsia="宋体" w:cs="宋体"/>
          <w:color w:val="auto"/>
        </w:rPr>
      </w:pPr>
      <w:r>
        <w:rPr>
          <w:rFonts w:hint="eastAsia" w:ascii="宋体" w:hAnsi="宋体" w:eastAsia="宋体" w:cs="宋体"/>
          <w:color w:val="auto"/>
        </w:rPr>
        <w:t xml:space="preserve"> </w:t>
      </w:r>
    </w:p>
    <w:p>
      <w:pPr>
        <w:adjustRightInd/>
        <w:snapToGrid/>
        <w:ind w:firstLine="0" w:firstLineChars="0"/>
        <w:rPr>
          <w:rFonts w:hint="eastAsia" w:ascii="宋体" w:hAnsi="宋体" w:eastAsia="宋体" w:cs="宋体"/>
          <w:color w:val="auto"/>
        </w:rPr>
      </w:pPr>
    </w:p>
    <w:p>
      <w:pPr>
        <w:adjustRightInd/>
        <w:snapToGrid/>
        <w:ind w:firstLine="0" w:firstLineChars="0"/>
        <w:rPr>
          <w:rFonts w:hint="eastAsia" w:ascii="宋体" w:hAnsi="宋体" w:eastAsia="宋体" w:cs="宋体"/>
          <w:color w:val="auto"/>
        </w:rPr>
      </w:pPr>
    </w:p>
    <w:p>
      <w:pPr>
        <w:adjustRightInd/>
        <w:snapToGrid/>
        <w:ind w:firstLine="0" w:firstLineChars="0"/>
        <w:rPr>
          <w:rFonts w:hint="eastAsia" w:ascii="宋体" w:hAnsi="宋体" w:eastAsia="宋体" w:cs="宋体"/>
          <w:color w:val="auto"/>
        </w:rPr>
      </w:pPr>
    </w:p>
    <w:p>
      <w:pPr>
        <w:adjustRightInd/>
        <w:snapToGrid/>
        <w:ind w:firstLine="0" w:firstLineChars="0"/>
        <w:rPr>
          <w:rFonts w:hint="eastAsia" w:ascii="宋体" w:hAnsi="宋体" w:eastAsia="宋体" w:cs="宋体"/>
          <w:color w:val="auto"/>
        </w:rPr>
      </w:pPr>
    </w:p>
    <w:p>
      <w:pPr>
        <w:adjustRightInd/>
        <w:snapToGrid/>
        <w:ind w:firstLine="0" w:firstLineChars="0"/>
        <w:rPr>
          <w:rFonts w:hint="eastAsia" w:ascii="宋体" w:hAnsi="宋体" w:eastAsia="宋体" w:cs="宋体"/>
          <w:color w:val="auto"/>
        </w:rPr>
      </w:pPr>
    </w:p>
    <w:p>
      <w:pPr>
        <w:adjustRightInd/>
        <w:snapToGrid/>
        <w:ind w:firstLine="0" w:firstLineChars="0"/>
        <w:rPr>
          <w:rFonts w:hint="eastAsia" w:ascii="宋体" w:hAnsi="宋体" w:eastAsia="宋体" w:cs="宋体"/>
          <w:color w:val="auto"/>
        </w:rPr>
      </w:pPr>
    </w:p>
    <w:p>
      <w:pPr>
        <w:adjustRightInd/>
        <w:snapToGrid/>
        <w:ind w:firstLine="0" w:firstLineChars="0"/>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color w:val="auto"/>
        </w:rPr>
        <w:br w:type="page"/>
      </w:r>
    </w:p>
    <w:p>
      <w:pPr>
        <w:pStyle w:val="2"/>
        <w:jc w:val="left"/>
        <w:rPr>
          <w:rFonts w:hint="eastAsia" w:ascii="宋体" w:hAnsi="宋体" w:eastAsia="宋体" w:cs="宋体"/>
          <w:color w:val="auto"/>
          <w:sz w:val="24"/>
          <w:szCs w:val="24"/>
        </w:rPr>
      </w:pPr>
      <w:r>
        <w:rPr>
          <w:rFonts w:hint="eastAsia" w:ascii="宋体" w:hAnsi="宋体" w:eastAsia="宋体" w:cs="宋体"/>
          <w:color w:val="auto"/>
          <w:sz w:val="24"/>
          <w:szCs w:val="24"/>
        </w:rPr>
        <w:t>2、参加政府采购活动的供应商应当具备政府采购法第二十二条第一款规定的条件，提供下列材料：</w:t>
      </w:r>
    </w:p>
    <w:p>
      <w:pPr>
        <w:pStyle w:val="54"/>
        <w:spacing w:line="360" w:lineRule="auto"/>
        <w:outlineLvl w:val="2"/>
        <w:rPr>
          <w:rFonts w:hint="eastAsia" w:ascii="宋体" w:hAnsi="宋体" w:eastAsia="宋体" w:cs="宋体"/>
          <w:b/>
          <w:bCs/>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t>①具有独立承担民事责任的能力；</w:t>
      </w:r>
    </w:p>
    <w:p>
      <w:pPr>
        <w:pStyle w:val="54"/>
        <w:spacing w:line="360" w:lineRule="auto"/>
        <w:outlineLvl w:val="2"/>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（法人或者其他组织的营业执照等证明文件，自然人的身份证明）</w:t>
      </w:r>
    </w:p>
    <w:p>
      <w:pPr>
        <w:pStyle w:val="54"/>
        <w:spacing w:line="360" w:lineRule="auto"/>
        <w:outlineLvl w:val="2"/>
        <w:rPr>
          <w:rFonts w:hint="eastAsia" w:ascii="宋体" w:hAnsi="宋体" w:eastAsia="宋体" w:cs="宋体"/>
          <w:b/>
          <w:bCs/>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t>②具有良好的商业信誉和健全的财务会计制度；</w:t>
      </w:r>
    </w:p>
    <w:p>
      <w:pPr>
        <w:pStyle w:val="54"/>
        <w:spacing w:line="360" w:lineRule="auto"/>
        <w:outlineLvl w:val="2"/>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提供</w:t>
      </w:r>
      <w:r>
        <w:rPr>
          <w:rFonts w:hint="eastAsia" w:ascii="宋体" w:hAnsi="宋体" w:eastAsia="宋体" w:cs="宋体"/>
          <w:color w:val="auto"/>
          <w:spacing w:val="0"/>
          <w:kern w:val="2"/>
          <w:sz w:val="24"/>
          <w:szCs w:val="24"/>
          <w:highlight w:val="none"/>
          <w:lang w:val="en-US" w:eastAsia="zh-CN"/>
        </w:rPr>
        <w:t>近三年任意一年财务审计报告</w:t>
      </w:r>
      <w:r>
        <w:rPr>
          <w:rFonts w:hint="eastAsia" w:ascii="宋体" w:hAnsi="宋体" w:eastAsia="宋体" w:cs="宋体"/>
          <w:color w:val="auto"/>
          <w:spacing w:val="0"/>
          <w:kern w:val="2"/>
          <w:sz w:val="24"/>
          <w:szCs w:val="24"/>
          <w:highlight w:val="none"/>
        </w:rPr>
        <w:t xml:space="preserve">或半年内任意一个月财务报表（财务报表应至少包括资产负债表、损益表、现金流量表或财务状况变动表，当月新成立公司不需提供）； </w:t>
      </w:r>
    </w:p>
    <w:p>
      <w:pPr>
        <w:pStyle w:val="54"/>
        <w:spacing w:line="360" w:lineRule="auto"/>
        <w:outlineLvl w:val="2"/>
        <w:rPr>
          <w:rFonts w:hint="eastAsia" w:ascii="宋体" w:hAnsi="宋体" w:eastAsia="宋体" w:cs="宋体"/>
          <w:b/>
          <w:bCs/>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fldChar w:fldCharType="begin"/>
      </w:r>
      <w:r>
        <w:rPr>
          <w:rFonts w:hint="eastAsia" w:ascii="宋体" w:hAnsi="宋体" w:eastAsia="宋体" w:cs="宋体"/>
          <w:b/>
          <w:bCs/>
          <w:color w:val="auto"/>
          <w:spacing w:val="0"/>
          <w:kern w:val="2"/>
          <w:sz w:val="24"/>
          <w:szCs w:val="24"/>
          <w:highlight w:val="none"/>
        </w:rPr>
        <w:instrText xml:space="preserve"> = 3 \* GB3 </w:instrText>
      </w:r>
      <w:r>
        <w:rPr>
          <w:rFonts w:hint="eastAsia" w:ascii="宋体" w:hAnsi="宋体" w:eastAsia="宋体" w:cs="宋体"/>
          <w:b/>
          <w:bCs/>
          <w:color w:val="auto"/>
          <w:spacing w:val="0"/>
          <w:kern w:val="2"/>
          <w:sz w:val="24"/>
          <w:szCs w:val="24"/>
          <w:highlight w:val="none"/>
        </w:rPr>
        <w:fldChar w:fldCharType="separate"/>
      </w:r>
      <w:r>
        <w:rPr>
          <w:rFonts w:hint="eastAsia" w:ascii="宋体" w:hAnsi="宋体" w:eastAsia="宋体" w:cs="宋体"/>
          <w:b/>
          <w:bCs/>
          <w:color w:val="auto"/>
          <w:spacing w:val="0"/>
          <w:kern w:val="2"/>
          <w:sz w:val="24"/>
          <w:szCs w:val="24"/>
          <w:highlight w:val="none"/>
        </w:rPr>
        <w:t>③</w:t>
      </w:r>
      <w:r>
        <w:rPr>
          <w:rFonts w:hint="eastAsia" w:ascii="宋体" w:hAnsi="宋体" w:eastAsia="宋体" w:cs="宋体"/>
          <w:b/>
          <w:color w:val="auto"/>
          <w:spacing w:val="0"/>
          <w:kern w:val="2"/>
          <w:sz w:val="24"/>
          <w:szCs w:val="24"/>
          <w:highlight w:val="none"/>
        </w:rPr>
        <w:fldChar w:fldCharType="end"/>
      </w:r>
      <w:r>
        <w:rPr>
          <w:rFonts w:hint="eastAsia" w:ascii="宋体" w:hAnsi="宋体" w:eastAsia="宋体" w:cs="宋体"/>
          <w:b/>
          <w:bCs/>
          <w:color w:val="auto"/>
          <w:spacing w:val="0"/>
          <w:kern w:val="2"/>
          <w:sz w:val="24"/>
          <w:szCs w:val="24"/>
          <w:highlight w:val="none"/>
        </w:rPr>
        <w:t>具有履行合同所必需的设备和专业技术能力；</w:t>
      </w:r>
    </w:p>
    <w:p>
      <w:pPr>
        <w:pStyle w:val="54"/>
        <w:spacing w:line="360" w:lineRule="auto"/>
        <w:outlineLvl w:val="2"/>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（提供具有履行合同所必需的设备和专业技术能力相关证明材料或声明；）</w:t>
      </w:r>
    </w:p>
    <w:p>
      <w:pPr>
        <w:pStyle w:val="54"/>
        <w:spacing w:line="360" w:lineRule="auto"/>
        <w:outlineLvl w:val="2"/>
        <w:rPr>
          <w:rFonts w:hint="eastAsia" w:ascii="宋体" w:hAnsi="宋体" w:eastAsia="宋体" w:cs="宋体"/>
          <w:b/>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fldChar w:fldCharType="begin"/>
      </w:r>
      <w:r>
        <w:rPr>
          <w:rFonts w:hint="eastAsia" w:ascii="宋体" w:hAnsi="宋体" w:eastAsia="宋体" w:cs="宋体"/>
          <w:b/>
          <w:bCs/>
          <w:color w:val="auto"/>
          <w:spacing w:val="0"/>
          <w:kern w:val="2"/>
          <w:sz w:val="24"/>
          <w:szCs w:val="24"/>
          <w:highlight w:val="none"/>
        </w:rPr>
        <w:instrText xml:space="preserve"> = 4 \* GB3 </w:instrText>
      </w:r>
      <w:r>
        <w:rPr>
          <w:rFonts w:hint="eastAsia" w:ascii="宋体" w:hAnsi="宋体" w:eastAsia="宋体" w:cs="宋体"/>
          <w:b/>
          <w:bCs/>
          <w:color w:val="auto"/>
          <w:spacing w:val="0"/>
          <w:kern w:val="2"/>
          <w:sz w:val="24"/>
          <w:szCs w:val="24"/>
          <w:highlight w:val="none"/>
        </w:rPr>
        <w:fldChar w:fldCharType="separate"/>
      </w:r>
      <w:r>
        <w:rPr>
          <w:rFonts w:hint="eastAsia" w:ascii="宋体" w:hAnsi="宋体" w:eastAsia="宋体" w:cs="宋体"/>
          <w:b/>
          <w:bCs/>
          <w:color w:val="auto"/>
          <w:spacing w:val="0"/>
          <w:kern w:val="2"/>
          <w:sz w:val="24"/>
          <w:szCs w:val="24"/>
          <w:highlight w:val="none"/>
        </w:rPr>
        <w:t>④</w:t>
      </w:r>
      <w:r>
        <w:rPr>
          <w:rFonts w:hint="eastAsia" w:ascii="宋体" w:hAnsi="宋体" w:eastAsia="宋体" w:cs="宋体"/>
          <w:b/>
          <w:color w:val="auto"/>
          <w:spacing w:val="0"/>
          <w:kern w:val="2"/>
          <w:sz w:val="24"/>
          <w:szCs w:val="24"/>
          <w:highlight w:val="none"/>
        </w:rPr>
        <w:fldChar w:fldCharType="end"/>
      </w:r>
      <w:r>
        <w:rPr>
          <w:rFonts w:hint="eastAsia" w:ascii="宋体" w:hAnsi="宋体" w:eastAsia="宋体" w:cs="宋体"/>
          <w:b/>
          <w:bCs/>
          <w:color w:val="auto"/>
          <w:spacing w:val="0"/>
          <w:kern w:val="2"/>
          <w:sz w:val="24"/>
          <w:szCs w:val="24"/>
          <w:highlight w:val="none"/>
        </w:rPr>
        <w:t>有依法缴纳税收和社会保障资金的良好记录；</w:t>
      </w:r>
    </w:p>
    <w:p>
      <w:pPr>
        <w:pStyle w:val="54"/>
        <w:spacing w:line="360" w:lineRule="auto"/>
        <w:outlineLvl w:val="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1）提供截止开标前近</w:t>
      </w:r>
      <w:r>
        <w:rPr>
          <w:rFonts w:hint="eastAsia" w:ascii="宋体" w:hAnsi="宋体" w:cs="宋体"/>
          <w:color w:val="auto"/>
          <w:spacing w:val="0"/>
          <w:sz w:val="24"/>
          <w:szCs w:val="24"/>
          <w:highlight w:val="none"/>
          <w:lang w:val="en-US" w:eastAsia="zh-CN"/>
        </w:rPr>
        <w:t>一</w:t>
      </w:r>
      <w:r>
        <w:rPr>
          <w:rFonts w:hint="eastAsia" w:ascii="宋体" w:hAnsi="宋体" w:eastAsia="宋体" w:cs="宋体"/>
          <w:color w:val="auto"/>
          <w:spacing w:val="0"/>
          <w:sz w:val="24"/>
          <w:szCs w:val="24"/>
          <w:highlight w:val="none"/>
        </w:rPr>
        <w:t>年内任意一个月税收缴纳完成的证明资料。</w:t>
      </w:r>
    </w:p>
    <w:p>
      <w:pPr>
        <w:pStyle w:val="54"/>
        <w:spacing w:line="360" w:lineRule="auto"/>
        <w:outlineLvl w:val="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2）提供截止开标前近</w:t>
      </w:r>
      <w:r>
        <w:rPr>
          <w:rFonts w:hint="eastAsia" w:ascii="宋体" w:hAnsi="宋体" w:cs="宋体"/>
          <w:color w:val="auto"/>
          <w:spacing w:val="0"/>
          <w:sz w:val="24"/>
          <w:szCs w:val="24"/>
          <w:highlight w:val="none"/>
          <w:lang w:val="en-US" w:eastAsia="zh-CN"/>
        </w:rPr>
        <w:t>一</w:t>
      </w:r>
      <w:r>
        <w:rPr>
          <w:rFonts w:hint="eastAsia" w:ascii="宋体" w:hAnsi="宋体" w:eastAsia="宋体" w:cs="宋体"/>
          <w:color w:val="auto"/>
          <w:spacing w:val="0"/>
          <w:sz w:val="24"/>
          <w:szCs w:val="24"/>
          <w:highlight w:val="none"/>
        </w:rPr>
        <w:t>年内任意一个月完成社保缴纳证明</w:t>
      </w:r>
    </w:p>
    <w:p>
      <w:pPr>
        <w:pStyle w:val="54"/>
        <w:spacing w:line="360" w:lineRule="auto"/>
        <w:outlineLvl w:val="2"/>
        <w:rPr>
          <w:rFonts w:hint="eastAsia" w:ascii="宋体" w:hAnsi="宋体" w:eastAsia="宋体" w:cs="宋体"/>
          <w:b/>
          <w:bCs/>
          <w:color w:val="auto"/>
          <w:spacing w:val="0"/>
          <w:kern w:val="2"/>
          <w:sz w:val="24"/>
          <w:szCs w:val="24"/>
          <w:highlight w:val="none"/>
        </w:rPr>
      </w:pPr>
      <w:r>
        <w:rPr>
          <w:rFonts w:hint="eastAsia" w:ascii="宋体" w:hAnsi="宋体" w:eastAsia="宋体" w:cs="宋体"/>
          <w:b/>
          <w:bCs/>
          <w:color w:val="auto"/>
          <w:spacing w:val="0"/>
          <w:kern w:val="2"/>
          <w:sz w:val="24"/>
          <w:szCs w:val="24"/>
          <w:highlight w:val="none"/>
        </w:rPr>
        <w:t>⑤参加政府采购活动前三年内，在经营活动中没有重大违法记录；</w:t>
      </w:r>
    </w:p>
    <w:p>
      <w:pPr>
        <w:pStyle w:val="14"/>
        <w:spacing w:after="0" w:line="360" w:lineRule="auto"/>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（提供参加政府采购活动近三年无重大违法记录声明书；）</w:t>
      </w:r>
    </w:p>
    <w:p>
      <w:pPr>
        <w:pStyle w:val="14"/>
        <w:spacing w:after="0" w:line="360" w:lineRule="auto"/>
        <w:ind w:left="0" w:leftChars="0" w:firstLine="0" w:firstLineChars="0"/>
        <w:rPr>
          <w:rFonts w:hint="eastAsia" w:ascii="宋体" w:hAnsi="宋体" w:eastAsia="宋体" w:cs="宋体"/>
          <w:color w:val="auto"/>
          <w:spacing w:val="0"/>
          <w:kern w:val="2"/>
          <w:sz w:val="24"/>
          <w:szCs w:val="22"/>
          <w:highlight w:val="none"/>
        </w:rPr>
      </w:pPr>
    </w:p>
    <w:p>
      <w:pPr>
        <w:pStyle w:val="14"/>
        <w:spacing w:after="0"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color w:val="auto"/>
          <w:spacing w:val="0"/>
          <w:kern w:val="2"/>
          <w:sz w:val="24"/>
          <w:szCs w:val="22"/>
          <w:highlight w:val="none"/>
        </w:rPr>
        <w:t>参加政府采购活动近三年无重大违法记录声明书</w:t>
      </w:r>
    </w:p>
    <w:p>
      <w:pPr>
        <w:pStyle w:val="14"/>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我公司在参加本次政府采购活动前，做出以下郑重声明：</w:t>
      </w:r>
    </w:p>
    <w:p>
      <w:pPr>
        <w:pStyle w:val="14"/>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一、参加本次政府采购活动前三年内，在经营活动中没有重大违法记录。</w:t>
      </w:r>
    </w:p>
    <w:p>
      <w:pPr>
        <w:pStyle w:val="14"/>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若发现我方上述声明与事实不符，愿按照政府采购相关规定接受相关处罚。</w:t>
      </w:r>
    </w:p>
    <w:p>
      <w:pPr>
        <w:pStyle w:val="14"/>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pPr>
        <w:pStyle w:val="14"/>
        <w:spacing w:after="0"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法定代表人或法人授权代表（签字或盖章）：</w:t>
      </w:r>
      <w:r>
        <w:rPr>
          <w:rFonts w:hint="eastAsia" w:ascii="宋体" w:hAnsi="宋体" w:eastAsia="宋体" w:cs="宋体"/>
          <w:sz w:val="24"/>
          <w:szCs w:val="24"/>
          <w:u w:val="single"/>
        </w:rPr>
        <w:t xml:space="preserve"> </w:t>
      </w:r>
    </w:p>
    <w:p>
      <w:pPr>
        <w:spacing w:line="360" w:lineRule="auto"/>
        <w:ind w:firstLine="0" w:firstLineChars="0"/>
        <w:jc w:val="right"/>
        <w:rPr>
          <w:rFonts w:hint="eastAsia" w:ascii="宋体" w:hAnsi="宋体" w:eastAsia="宋体" w:cs="宋体"/>
          <w:b/>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54"/>
        <w:spacing w:line="360" w:lineRule="auto"/>
        <w:outlineLvl w:val="2"/>
        <w:rPr>
          <w:rFonts w:hint="eastAsia" w:ascii="宋体" w:hAnsi="宋体" w:eastAsia="宋体" w:cs="宋体"/>
          <w:color w:val="auto"/>
          <w:spacing w:val="0"/>
          <w:kern w:val="2"/>
          <w:sz w:val="24"/>
          <w:szCs w:val="24"/>
          <w:highlight w:val="none"/>
        </w:rPr>
      </w:pPr>
    </w:p>
    <w:p>
      <w:pPr>
        <w:pStyle w:val="54"/>
        <w:tabs>
          <w:tab w:val="left" w:pos="1429"/>
        </w:tabs>
        <w:spacing w:line="360" w:lineRule="auto"/>
        <w:rPr>
          <w:rFonts w:hint="eastAsia" w:ascii="宋体" w:hAnsi="宋体" w:eastAsia="宋体" w:cs="宋体"/>
          <w:b/>
          <w:color w:val="auto"/>
          <w:spacing w:val="0"/>
          <w:kern w:val="2"/>
          <w:sz w:val="24"/>
          <w:szCs w:val="24"/>
          <w:highlight w:val="none"/>
        </w:rPr>
      </w:pPr>
      <w:r>
        <w:rPr>
          <w:rFonts w:hint="eastAsia" w:ascii="宋体" w:hAnsi="宋体" w:eastAsia="宋体" w:cs="宋体"/>
          <w:b/>
          <w:color w:val="auto"/>
          <w:spacing w:val="0"/>
          <w:kern w:val="2"/>
          <w:sz w:val="24"/>
          <w:szCs w:val="24"/>
          <w:highlight w:val="none"/>
        </w:rPr>
        <w:t>⑥法律、行政法规规定的其他条件;</w:t>
      </w:r>
    </w:p>
    <w:p>
      <w:pPr>
        <w:pStyle w:val="33"/>
        <w:tabs>
          <w:tab w:val="left" w:pos="841"/>
        </w:tabs>
        <w:spacing w:line="360" w:lineRule="auto"/>
        <w:ind w:left="0" w:leftChars="0" w:right="0" w:rightChars="0" w:firstLine="0" w:firstLineChars="0"/>
        <w:rPr>
          <w:rFonts w:hint="eastAsia" w:asciiTheme="minorEastAsia" w:hAnsiTheme="minorEastAsia" w:eastAsiaTheme="minorEastAsia" w:cstheme="minorEastAsia"/>
          <w:sz w:val="24"/>
          <w:lang w:val="en-US"/>
        </w:rPr>
      </w:pPr>
      <w:r>
        <w:rPr>
          <w:rFonts w:hint="eastAsia" w:ascii="宋体" w:hAnsi="宋体" w:eastAsia="宋体" w:cs="宋体"/>
          <w:color w:val="auto"/>
          <w:spacing w:val="0"/>
          <w:sz w:val="24"/>
          <w:szCs w:val="24"/>
          <w:highlight w:val="none"/>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“信用中国”、“中国政府采购网”查询，网页截图；</w:t>
      </w:r>
    </w:p>
    <w:p>
      <w:pPr>
        <w:ind w:firstLine="0" w:firstLineChars="0"/>
        <w:jc w:val="both"/>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、法定代表人身份证明书</w:t>
      </w:r>
    </w:p>
    <w:p>
      <w:pPr>
        <w:widowControl w:val="0"/>
        <w:adjustRightInd/>
        <w:snapToGrid/>
        <w:ind w:firstLine="0" w:firstLineChars="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法定代表人身份证明书</w:t>
      </w:r>
    </w:p>
    <w:p>
      <w:pPr>
        <w:widowControl w:val="0"/>
        <w:adjustRightInd/>
        <w:snapToGrid/>
        <w:ind w:left="420" w:firstLine="482" w:firstLineChars="0"/>
        <w:jc w:val="both"/>
        <w:rPr>
          <w:rFonts w:hint="eastAsia" w:ascii="宋体" w:hAnsi="宋体" w:eastAsia="宋体" w:cs="宋体"/>
          <w:b/>
          <w:bCs/>
          <w:color w:val="auto"/>
          <w:kern w:val="2"/>
          <w:sz w:val="24"/>
          <w:szCs w:val="24"/>
        </w:rPr>
      </w:pPr>
    </w:p>
    <w:p>
      <w:pPr>
        <w:widowControl w:val="0"/>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rPr>
        <w:t>法定代表人姓名</w:t>
      </w:r>
      <w:r>
        <w:rPr>
          <w:rFonts w:hint="eastAsia" w:ascii="宋体" w:hAnsi="宋体" w:eastAsia="宋体" w:cs="宋体"/>
          <w:color w:val="auto"/>
          <w:kern w:val="2"/>
          <w:sz w:val="24"/>
          <w:szCs w:val="24"/>
        </w:rPr>
        <w:t>）在（</w:t>
      </w:r>
      <w:r>
        <w:rPr>
          <w:rFonts w:hint="eastAsia" w:ascii="宋体" w:hAnsi="宋体" w:eastAsia="宋体" w:cs="宋体"/>
          <w:color w:val="auto"/>
          <w:kern w:val="2"/>
          <w:sz w:val="24"/>
          <w:szCs w:val="24"/>
          <w:u w:val="single"/>
        </w:rPr>
        <w:t>供应商名称</w:t>
      </w:r>
      <w:r>
        <w:rPr>
          <w:rFonts w:hint="eastAsia" w:ascii="宋体" w:hAnsi="宋体" w:eastAsia="宋体" w:cs="宋体"/>
          <w:color w:val="auto"/>
          <w:kern w:val="2"/>
          <w:sz w:val="24"/>
          <w:szCs w:val="24"/>
        </w:rPr>
        <w:t>）任（</w:t>
      </w:r>
      <w:r>
        <w:rPr>
          <w:rFonts w:hint="eastAsia" w:ascii="宋体" w:hAnsi="宋体" w:eastAsia="宋体" w:cs="宋体"/>
          <w:color w:val="auto"/>
          <w:kern w:val="2"/>
          <w:sz w:val="24"/>
          <w:szCs w:val="24"/>
          <w:u w:val="single"/>
        </w:rPr>
        <w:t>职务名称</w:t>
      </w:r>
      <w:r>
        <w:rPr>
          <w:rFonts w:hint="eastAsia" w:ascii="宋体" w:hAnsi="宋体" w:eastAsia="宋体" w:cs="宋体"/>
          <w:color w:val="auto"/>
          <w:kern w:val="2"/>
          <w:sz w:val="24"/>
          <w:szCs w:val="24"/>
        </w:rPr>
        <w:t>）职务，是</w:t>
      </w:r>
      <w:r>
        <w:rPr>
          <w:rFonts w:hint="eastAsia" w:ascii="宋体" w:hAnsi="宋体" w:eastAsia="宋体" w:cs="宋体"/>
          <w:color w:val="auto"/>
          <w:kern w:val="2"/>
          <w:sz w:val="24"/>
          <w:szCs w:val="24"/>
          <w:u w:val="single"/>
        </w:rPr>
        <w:t>（供应商名称</w:t>
      </w:r>
      <w:r>
        <w:rPr>
          <w:rFonts w:hint="eastAsia" w:ascii="宋体" w:hAnsi="宋体" w:eastAsia="宋体" w:cs="宋体"/>
          <w:color w:val="auto"/>
          <w:kern w:val="2"/>
          <w:sz w:val="24"/>
          <w:szCs w:val="24"/>
        </w:rPr>
        <w:t>）的法定代表人（</w:t>
      </w:r>
      <w:r>
        <w:rPr>
          <w:rFonts w:hint="eastAsia" w:ascii="宋体" w:hAnsi="宋体" w:eastAsia="宋体" w:cs="宋体"/>
          <w:color w:val="auto"/>
          <w:kern w:val="2"/>
          <w:sz w:val="24"/>
          <w:szCs w:val="24"/>
          <w:u w:val="single"/>
        </w:rPr>
        <w:t>附法定代表人身份证复印件</w:t>
      </w:r>
      <w:r>
        <w:rPr>
          <w:rFonts w:hint="eastAsia" w:ascii="宋体" w:hAnsi="宋体" w:eastAsia="宋体" w:cs="宋体"/>
          <w:color w:val="auto"/>
          <w:kern w:val="2"/>
          <w:sz w:val="24"/>
          <w:szCs w:val="24"/>
        </w:rPr>
        <w:t>）。</w:t>
      </w:r>
    </w:p>
    <w:p>
      <w:pPr>
        <w:widowControl w:val="0"/>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特此证明。</w:t>
      </w:r>
    </w:p>
    <w:p>
      <w:pPr>
        <w:widowControl w:val="0"/>
        <w:adjustRightInd/>
        <w:snapToGrid/>
        <w:ind w:left="209" w:leftChars="95" w:firstLine="720" w:firstLineChars="300"/>
        <w:jc w:val="both"/>
        <w:rPr>
          <w:rFonts w:hint="eastAsia" w:ascii="宋体" w:hAnsi="宋体" w:eastAsia="宋体" w:cs="宋体"/>
          <w:color w:val="auto"/>
          <w:kern w:val="2"/>
          <w:sz w:val="24"/>
          <w:szCs w:val="24"/>
        </w:rPr>
      </w:pPr>
    </w:p>
    <w:tbl>
      <w:tblPr>
        <w:tblStyle w:val="2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noWrap w:val="0"/>
            <w:vAlign w:val="center"/>
          </w:tcPr>
          <w:p>
            <w:pPr>
              <w:widowControl w:val="0"/>
              <w:ind w:firstLine="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法定代表人身份证复印件粘贴处（正面）</w:t>
            </w:r>
          </w:p>
        </w:tc>
        <w:tc>
          <w:tcPr>
            <w:tcW w:w="4025" w:type="dxa"/>
            <w:noWrap w:val="0"/>
            <w:vAlign w:val="center"/>
          </w:tcPr>
          <w:p>
            <w:pPr>
              <w:widowControl w:val="0"/>
              <w:ind w:firstLine="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法定代表人身份证复印件粘贴处（反面）</w:t>
            </w:r>
          </w:p>
        </w:tc>
      </w:tr>
    </w:tbl>
    <w:p>
      <w:pPr>
        <w:widowControl w:val="0"/>
        <w:adjustRightInd/>
        <w:snapToGrid/>
        <w:ind w:left="200" w:firstLine="480" w:firstLineChars="0"/>
        <w:jc w:val="both"/>
        <w:rPr>
          <w:rFonts w:hint="eastAsia" w:ascii="宋体" w:hAnsi="宋体" w:eastAsia="宋体" w:cs="宋体"/>
          <w:color w:val="auto"/>
          <w:kern w:val="2"/>
          <w:sz w:val="24"/>
          <w:szCs w:val="24"/>
        </w:rPr>
      </w:pPr>
    </w:p>
    <w:p>
      <w:pPr>
        <w:widowControl w:val="0"/>
        <w:adjustRightInd/>
        <w:snapToGrid/>
        <w:ind w:left="200" w:firstLine="480" w:firstLineChars="0"/>
        <w:jc w:val="both"/>
        <w:rPr>
          <w:rFonts w:hint="eastAsia" w:ascii="宋体" w:hAnsi="宋体" w:eastAsia="宋体" w:cs="宋体"/>
          <w:color w:val="auto"/>
          <w:kern w:val="2"/>
          <w:sz w:val="24"/>
          <w:szCs w:val="24"/>
        </w:rPr>
      </w:pPr>
    </w:p>
    <w:p>
      <w:pPr>
        <w:widowControl w:val="0"/>
        <w:adjustRightInd/>
        <w:snapToGrid/>
        <w:ind w:left="200" w:firstLine="48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供应商名称：</w:t>
      </w:r>
    </w:p>
    <w:p>
      <w:pPr>
        <w:widowControl w:val="0"/>
        <w:adjustRightInd/>
        <w:snapToGrid/>
        <w:ind w:left="200" w:firstLine="480" w:firstLineChars="0"/>
        <w:jc w:val="both"/>
        <w:rPr>
          <w:rFonts w:hint="eastAsia" w:ascii="宋体" w:hAnsi="宋体" w:eastAsia="宋体" w:cs="宋体"/>
          <w:color w:val="auto"/>
          <w:kern w:val="2"/>
          <w:sz w:val="24"/>
          <w:szCs w:val="24"/>
        </w:rPr>
      </w:pPr>
    </w:p>
    <w:p>
      <w:pPr>
        <w:widowControl w:val="0"/>
        <w:adjustRightInd/>
        <w:snapToGrid/>
        <w:ind w:left="200" w:firstLine="480" w:firstLineChars="0"/>
        <w:jc w:val="both"/>
        <w:rPr>
          <w:rFonts w:hint="eastAsia" w:ascii="宋体" w:hAnsi="宋体" w:eastAsia="宋体" w:cs="宋体"/>
          <w:color w:val="auto"/>
          <w:kern w:val="2"/>
          <w:sz w:val="24"/>
          <w:szCs w:val="24"/>
        </w:rPr>
      </w:pPr>
    </w:p>
    <w:p>
      <w:pPr>
        <w:widowControl w:val="0"/>
        <w:adjustRightInd/>
        <w:snapToGrid/>
        <w:ind w:left="200" w:firstLine="480" w:firstLineChars="0"/>
        <w:jc w:val="both"/>
        <w:rPr>
          <w:rFonts w:hint="eastAsia" w:ascii="宋体" w:hAnsi="宋体" w:eastAsia="宋体" w:cs="宋体"/>
          <w:color w:val="auto"/>
          <w:kern w:val="2"/>
          <w:sz w:val="24"/>
          <w:szCs w:val="24"/>
        </w:rPr>
      </w:pPr>
    </w:p>
    <w:p>
      <w:pPr>
        <w:widowControl w:val="0"/>
        <w:adjustRightInd/>
        <w:snapToGrid/>
        <w:ind w:left="200" w:firstLine="48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法定代表人签字或盖章：</w:t>
      </w:r>
    </w:p>
    <w:p>
      <w:pPr>
        <w:widowControl w:val="0"/>
        <w:adjustRightInd/>
        <w:snapToGrid/>
        <w:ind w:left="200" w:firstLine="480" w:firstLineChars="0"/>
        <w:jc w:val="both"/>
        <w:rPr>
          <w:rFonts w:hint="eastAsia" w:ascii="宋体" w:hAnsi="宋体" w:eastAsia="宋体" w:cs="宋体"/>
          <w:color w:val="auto"/>
          <w:kern w:val="2"/>
          <w:sz w:val="24"/>
          <w:szCs w:val="24"/>
        </w:rPr>
      </w:pPr>
    </w:p>
    <w:p>
      <w:pPr>
        <w:widowControl w:val="0"/>
        <w:adjustRightInd/>
        <w:snapToGrid/>
        <w:ind w:left="127" w:leftChars="58" w:firstLine="6480" w:firstLineChars="27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年    月    日</w:t>
      </w:r>
    </w:p>
    <w:p>
      <w:pPr>
        <w:adjustRightInd/>
        <w:snapToGrid/>
        <w:ind w:firstLine="0" w:firstLineChars="0"/>
        <w:rPr>
          <w:rFonts w:hint="eastAsia" w:ascii="宋体" w:hAnsi="宋体" w:eastAsia="宋体" w:cs="宋体"/>
          <w:b/>
          <w:bCs/>
          <w:color w:val="auto"/>
          <w:kern w:val="2"/>
          <w:szCs w:val="21"/>
        </w:rPr>
      </w:pPr>
    </w:p>
    <w:p>
      <w:pPr>
        <w:adjustRightInd/>
        <w:snapToGrid/>
        <w:ind w:firstLine="0" w:firstLineChars="0"/>
        <w:rPr>
          <w:rFonts w:hint="eastAsia" w:ascii="宋体" w:hAnsi="宋体" w:eastAsia="宋体" w:cs="宋体"/>
          <w:b/>
          <w:bCs/>
          <w:color w:val="auto"/>
          <w:kern w:val="2"/>
          <w:szCs w:val="21"/>
        </w:rPr>
      </w:pPr>
    </w:p>
    <w:p>
      <w:pPr>
        <w:adjustRightInd/>
        <w:snapToGrid/>
        <w:ind w:firstLine="0" w:firstLineChars="0"/>
        <w:rPr>
          <w:rFonts w:hint="eastAsia" w:ascii="宋体" w:hAnsi="宋体" w:eastAsia="宋体" w:cs="宋体"/>
          <w:b/>
          <w:bCs/>
          <w:color w:val="auto"/>
          <w:kern w:val="2"/>
          <w:szCs w:val="21"/>
        </w:rPr>
      </w:pPr>
    </w:p>
    <w:p>
      <w:pPr>
        <w:adjustRightInd/>
        <w:snapToGrid/>
        <w:ind w:firstLine="0" w:firstLineChars="0"/>
        <w:rPr>
          <w:rFonts w:hint="eastAsia" w:ascii="宋体" w:hAnsi="宋体" w:eastAsia="宋体" w:cs="宋体"/>
          <w:b/>
          <w:bCs/>
          <w:color w:val="auto"/>
          <w:kern w:val="2"/>
          <w:szCs w:val="21"/>
        </w:rPr>
      </w:pPr>
    </w:p>
    <w:p>
      <w:pPr>
        <w:adjustRightInd/>
        <w:snapToGrid/>
        <w:ind w:firstLine="0" w:firstLineChars="0"/>
        <w:rPr>
          <w:rFonts w:hint="eastAsia" w:ascii="宋体" w:hAnsi="宋体" w:eastAsia="宋体" w:cs="宋体"/>
          <w:b/>
          <w:bCs/>
          <w:color w:val="auto"/>
          <w:kern w:val="2"/>
          <w:szCs w:val="21"/>
        </w:rPr>
      </w:pPr>
    </w:p>
    <w:p>
      <w:pPr>
        <w:adjustRightInd/>
        <w:snapToGrid/>
        <w:ind w:firstLine="0" w:firstLineChars="0"/>
        <w:rPr>
          <w:rFonts w:hint="eastAsia" w:ascii="宋体" w:hAnsi="宋体" w:eastAsia="宋体" w:cs="宋体"/>
          <w:b/>
          <w:bCs/>
          <w:color w:val="auto"/>
          <w:kern w:val="2"/>
          <w:szCs w:val="21"/>
        </w:rPr>
      </w:pPr>
    </w:p>
    <w:p>
      <w:pPr>
        <w:adjustRightInd/>
        <w:snapToGrid/>
        <w:ind w:firstLine="0" w:firstLineChars="0"/>
        <w:rPr>
          <w:rFonts w:hint="eastAsia" w:ascii="宋体" w:hAnsi="宋体" w:eastAsia="宋体" w:cs="宋体"/>
          <w:color w:val="auto"/>
          <w:kern w:val="2"/>
          <w:szCs w:val="21"/>
        </w:rPr>
      </w:pPr>
    </w:p>
    <w:p>
      <w:pPr>
        <w:pStyle w:val="2"/>
        <w:rPr>
          <w:rFonts w:hint="eastAsia" w:ascii="宋体" w:hAnsi="宋体" w:eastAsia="宋体" w:cs="宋体"/>
          <w:color w:val="auto"/>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pStyle w:val="2"/>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、法定代表人授权委托书</w:t>
      </w:r>
    </w:p>
    <w:p>
      <w:pPr>
        <w:widowControl w:val="0"/>
        <w:adjustRightInd/>
        <w:snapToGrid/>
        <w:ind w:firstLine="0" w:firstLineChars="0"/>
        <w:jc w:val="center"/>
        <w:rPr>
          <w:rFonts w:hint="eastAsia" w:ascii="宋体" w:hAnsi="宋体" w:eastAsia="宋体" w:cs="宋体"/>
          <w:b/>
          <w:color w:val="auto"/>
          <w:kern w:val="2"/>
          <w:sz w:val="28"/>
        </w:rPr>
      </w:pPr>
      <w:r>
        <w:rPr>
          <w:rFonts w:hint="eastAsia" w:ascii="宋体" w:hAnsi="宋体" w:eastAsia="宋体" w:cs="宋体"/>
          <w:b/>
          <w:color w:val="auto"/>
          <w:kern w:val="2"/>
          <w:sz w:val="28"/>
        </w:rPr>
        <w:t>法定代表人授权委托书</w:t>
      </w:r>
    </w:p>
    <w:p>
      <w:pPr>
        <w:widowControl w:val="0"/>
        <w:tabs>
          <w:tab w:val="left" w:pos="3060"/>
        </w:tabs>
        <w:ind w:firstLine="550" w:firstLineChars="250"/>
        <w:jc w:val="both"/>
        <w:rPr>
          <w:rFonts w:hint="eastAsia" w:ascii="宋体" w:hAnsi="宋体" w:eastAsia="宋体" w:cs="宋体"/>
          <w:color w:val="auto"/>
          <w:kern w:val="2"/>
          <w:szCs w:val="24"/>
        </w:rPr>
      </w:pPr>
    </w:p>
    <w:p>
      <w:pPr>
        <w:tabs>
          <w:tab w:val="left" w:pos="3060"/>
        </w:tabs>
        <w:spacing w:line="360" w:lineRule="auto"/>
        <w:ind w:firstLine="480"/>
        <w:rPr>
          <w:rFonts w:hint="eastAsia" w:ascii="宋体" w:hAnsi="宋体" w:eastAsia="宋体" w:cs="宋体"/>
          <w:color w:val="auto"/>
          <w:szCs w:val="24"/>
        </w:rPr>
      </w:pPr>
      <w:r>
        <w:rPr>
          <w:rFonts w:hint="eastAsia" w:ascii="宋体" w:hAnsi="宋体" w:eastAsia="宋体" w:cs="宋体"/>
          <w:color w:val="auto"/>
          <w:sz w:val="24"/>
          <w:szCs w:val="32"/>
        </w:rPr>
        <w:t>本授权委托书声明：我</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（姓名）系</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（投标人名称）的法定代表人，现授权委托</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（投标人名称）的</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（姓名）为我公司代理人，以本公司的名义参加</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（招标人）的</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rPr>
        <w:t>招标工程的投标活动。代理人签署的投标文件和参加整个工程招标投标活动中所签署的一切文件和处理与之有关的一切事物，我均予以承认。</w:t>
      </w:r>
    </w:p>
    <w:p>
      <w:pPr>
        <w:tabs>
          <w:tab w:val="left" w:pos="3060"/>
        </w:tabs>
        <w:ind w:firstLine="480"/>
        <w:rPr>
          <w:rFonts w:hint="eastAsia" w:ascii="宋体" w:hAnsi="宋体" w:eastAsia="宋体" w:cs="宋体"/>
          <w:color w:val="auto"/>
          <w:szCs w:val="24"/>
        </w:rPr>
      </w:pPr>
    </w:p>
    <w:p>
      <w:pPr>
        <w:tabs>
          <w:tab w:val="left" w:pos="3060"/>
        </w:tabs>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被授权代表签名：                    供应商法定代表人盖章：</w:t>
      </w:r>
    </w:p>
    <w:p>
      <w:pPr>
        <w:tabs>
          <w:tab w:val="left" w:pos="3060"/>
        </w:tabs>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职  务：                            职  务：                        </w:t>
      </w:r>
    </w:p>
    <w:p>
      <w:pPr>
        <w:tabs>
          <w:tab w:val="left" w:pos="3060"/>
        </w:tabs>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电  话：                            电  话：</w:t>
      </w:r>
    </w:p>
    <w:p>
      <w:pPr>
        <w:spacing w:line="240" w:lineRule="auto"/>
        <w:ind w:firstLine="480"/>
        <w:rPr>
          <w:rFonts w:hint="eastAsia" w:ascii="宋体" w:hAnsi="宋体" w:eastAsia="宋体" w:cs="宋体"/>
          <w:color w:val="auto"/>
          <w:sz w:val="24"/>
          <w:szCs w:val="24"/>
          <w:u w:val="single"/>
        </w:rPr>
      </w:pPr>
    </w:p>
    <w:tbl>
      <w:tblPr>
        <w:tblStyle w:val="2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noWrap w:val="0"/>
            <w:vAlign w:val="center"/>
          </w:tcPr>
          <w:p>
            <w:pPr>
              <w:widowControl w:val="0"/>
              <w:spacing w:line="240" w:lineRule="auto"/>
              <w:ind w:firstLine="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被授权代表身份证复印件粘贴处（正面）</w:t>
            </w:r>
          </w:p>
        </w:tc>
        <w:tc>
          <w:tcPr>
            <w:tcW w:w="4025" w:type="dxa"/>
            <w:noWrap w:val="0"/>
            <w:vAlign w:val="center"/>
          </w:tcPr>
          <w:p>
            <w:pPr>
              <w:widowControl w:val="0"/>
              <w:spacing w:line="240" w:lineRule="auto"/>
              <w:ind w:firstLine="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被授权代表身份证复印件粘贴处（反面）</w:t>
            </w:r>
          </w:p>
        </w:tc>
      </w:tr>
    </w:tbl>
    <w:p>
      <w:pPr>
        <w:widowControl w:val="0"/>
        <w:tabs>
          <w:tab w:val="left" w:pos="3060"/>
        </w:tabs>
        <w:spacing w:line="240" w:lineRule="auto"/>
        <w:ind w:firstLine="3960" w:firstLineChars="1650"/>
        <w:jc w:val="both"/>
        <w:rPr>
          <w:rFonts w:hint="eastAsia" w:ascii="宋体" w:hAnsi="宋体" w:eastAsia="宋体" w:cs="宋体"/>
          <w:color w:val="auto"/>
          <w:kern w:val="2"/>
          <w:sz w:val="24"/>
          <w:szCs w:val="24"/>
        </w:rPr>
      </w:pPr>
    </w:p>
    <w:p>
      <w:pPr>
        <w:widowControl w:val="0"/>
        <w:tabs>
          <w:tab w:val="left" w:pos="3060"/>
        </w:tabs>
        <w:spacing w:line="240" w:lineRule="auto"/>
        <w:ind w:firstLine="5400" w:firstLineChars="225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供应商名称及公章：</w:t>
      </w:r>
    </w:p>
    <w:p>
      <w:pPr>
        <w:widowControl w:val="0"/>
        <w:tabs>
          <w:tab w:val="left" w:pos="3060"/>
        </w:tabs>
        <w:spacing w:line="240" w:lineRule="auto"/>
        <w:ind w:firstLine="600" w:firstLineChars="250"/>
        <w:jc w:val="both"/>
        <w:rPr>
          <w:rFonts w:hint="eastAsia" w:ascii="宋体" w:hAnsi="宋体" w:eastAsia="宋体" w:cs="宋体"/>
          <w:color w:val="auto"/>
          <w:kern w:val="2"/>
          <w:sz w:val="24"/>
          <w:szCs w:val="24"/>
        </w:rPr>
      </w:pPr>
    </w:p>
    <w:p>
      <w:pPr>
        <w:widowControl w:val="0"/>
        <w:tabs>
          <w:tab w:val="left" w:pos="3060"/>
        </w:tabs>
        <w:spacing w:line="240" w:lineRule="auto"/>
        <w:ind w:firstLine="5400" w:firstLineChars="225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年     月     日</w:t>
      </w:r>
    </w:p>
    <w:p>
      <w:pPr>
        <w:widowControl w:val="0"/>
        <w:tabs>
          <w:tab w:val="left" w:pos="3060"/>
        </w:tabs>
        <w:spacing w:line="240" w:lineRule="auto"/>
        <w:ind w:firstLine="0" w:firstLineChars="0"/>
        <w:jc w:val="both"/>
        <w:rPr>
          <w:rFonts w:hint="eastAsia" w:ascii="宋体" w:hAnsi="宋体" w:eastAsia="宋体" w:cs="宋体"/>
          <w:b/>
          <w:color w:val="auto"/>
          <w:kern w:val="2"/>
          <w:sz w:val="24"/>
          <w:szCs w:val="24"/>
        </w:rPr>
      </w:pPr>
    </w:p>
    <w:p>
      <w:pPr>
        <w:widowControl w:val="0"/>
        <w:tabs>
          <w:tab w:val="left" w:pos="3060"/>
        </w:tabs>
        <w:ind w:firstLine="0" w:firstLineChars="0"/>
        <w:jc w:val="both"/>
        <w:rPr>
          <w:rFonts w:hint="eastAsia" w:ascii="宋体" w:hAnsi="宋体" w:eastAsia="宋体" w:cs="宋体"/>
          <w:b/>
          <w:color w:val="auto"/>
          <w:kern w:val="2"/>
          <w:szCs w:val="24"/>
        </w:rPr>
      </w:pPr>
    </w:p>
    <w:p>
      <w:pPr>
        <w:widowControl w:val="0"/>
        <w:tabs>
          <w:tab w:val="left" w:pos="3060"/>
        </w:tabs>
        <w:ind w:firstLine="0" w:firstLineChars="0"/>
        <w:jc w:val="both"/>
        <w:rPr>
          <w:rFonts w:hint="eastAsia" w:ascii="宋体" w:hAnsi="宋体" w:eastAsia="宋体" w:cs="宋体"/>
          <w:b/>
          <w:color w:val="auto"/>
          <w:kern w:val="2"/>
          <w:szCs w:val="24"/>
        </w:rPr>
      </w:pPr>
    </w:p>
    <w:p>
      <w:pPr>
        <w:widowControl w:val="0"/>
        <w:tabs>
          <w:tab w:val="left" w:pos="3060"/>
        </w:tabs>
        <w:ind w:firstLine="0" w:firstLineChars="0"/>
        <w:jc w:val="both"/>
        <w:rPr>
          <w:rFonts w:hint="eastAsia" w:ascii="宋体" w:hAnsi="宋体" w:eastAsia="宋体" w:cs="宋体"/>
          <w:b/>
          <w:color w:val="auto"/>
          <w:kern w:val="2"/>
          <w:szCs w:val="24"/>
        </w:rPr>
      </w:pPr>
    </w:p>
    <w:p>
      <w:pPr>
        <w:widowControl w:val="0"/>
        <w:tabs>
          <w:tab w:val="left" w:pos="3060"/>
        </w:tabs>
        <w:ind w:firstLine="0" w:firstLineChars="0"/>
        <w:jc w:val="both"/>
        <w:rPr>
          <w:rFonts w:hint="eastAsia" w:ascii="宋体" w:hAnsi="宋体" w:eastAsia="宋体" w:cs="宋体"/>
          <w:b/>
          <w:color w:val="auto"/>
          <w:kern w:val="2"/>
          <w:szCs w:val="24"/>
        </w:rPr>
      </w:pPr>
    </w:p>
    <w:p>
      <w:pPr>
        <w:widowControl w:val="0"/>
        <w:tabs>
          <w:tab w:val="left" w:pos="3060"/>
        </w:tabs>
        <w:ind w:firstLine="0" w:firstLineChars="0"/>
        <w:jc w:val="both"/>
        <w:rPr>
          <w:rFonts w:hint="eastAsia" w:ascii="宋体" w:hAnsi="宋体" w:eastAsia="宋体" w:cs="宋体"/>
          <w:b/>
          <w:color w:val="auto"/>
          <w:kern w:val="2"/>
          <w:szCs w:val="24"/>
        </w:rPr>
      </w:pPr>
    </w:p>
    <w:p>
      <w:pPr>
        <w:rPr>
          <w:rFonts w:hint="eastAsia" w:ascii="宋体" w:hAnsi="宋体" w:eastAsia="宋体" w:cs="宋体"/>
          <w:b/>
          <w:color w:val="auto"/>
          <w:kern w:val="2"/>
          <w:szCs w:val="24"/>
          <w:lang w:val="en-US" w:eastAsia="zh-CN"/>
        </w:rPr>
      </w:pPr>
      <w:r>
        <w:rPr>
          <w:rFonts w:hint="eastAsia" w:ascii="宋体" w:hAnsi="宋体" w:eastAsia="宋体" w:cs="宋体"/>
          <w:b/>
          <w:color w:val="auto"/>
          <w:kern w:val="2"/>
          <w:szCs w:val="24"/>
          <w:lang w:val="en-US" w:eastAsia="zh-CN"/>
        </w:rPr>
        <w:br w:type="page"/>
      </w:r>
    </w:p>
    <w:p>
      <w:pPr>
        <w:widowControl w:val="0"/>
        <w:tabs>
          <w:tab w:val="left" w:pos="3060"/>
        </w:tabs>
        <w:ind w:firstLine="0" w:firstLineChars="0"/>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rPr>
        <w:t>5</w:t>
      </w:r>
      <w:r>
        <w:rPr>
          <w:rFonts w:hint="eastAsia" w:ascii="宋体" w:hAnsi="宋体" w:eastAsia="宋体" w:cs="宋体"/>
          <w:b/>
          <w:color w:val="auto"/>
          <w:kern w:val="2"/>
          <w:sz w:val="24"/>
          <w:szCs w:val="24"/>
        </w:rPr>
        <w:t>、投标保证金收据</w:t>
      </w:r>
      <w:r>
        <w:rPr>
          <w:rFonts w:hint="eastAsia" w:ascii="宋体" w:hAnsi="宋体" w:eastAsia="宋体" w:cs="宋体"/>
          <w:b/>
          <w:color w:val="auto"/>
          <w:kern w:val="2"/>
          <w:sz w:val="24"/>
          <w:szCs w:val="24"/>
          <w:lang w:val="en-US" w:eastAsia="zh-CN"/>
        </w:rPr>
        <w:t>汇款凭证</w:t>
      </w:r>
    </w:p>
    <w:p>
      <w:pPr>
        <w:widowControl w:val="0"/>
        <w:tabs>
          <w:tab w:val="left" w:pos="3060"/>
        </w:tabs>
        <w:ind w:firstLine="0" w:firstLineChars="0"/>
        <w:jc w:val="both"/>
        <w:rPr>
          <w:rFonts w:hint="eastAsia" w:ascii="宋体" w:hAnsi="宋体" w:eastAsia="宋体" w:cs="宋体"/>
          <w:b/>
          <w:color w:val="auto"/>
          <w:kern w:val="2"/>
          <w:sz w:val="24"/>
          <w:szCs w:val="24"/>
        </w:rPr>
      </w:pPr>
    </w:p>
    <w:p>
      <w:pPr>
        <w:widowControl w:val="0"/>
        <w:tabs>
          <w:tab w:val="left" w:pos="3060"/>
        </w:tabs>
        <w:ind w:firstLine="0" w:firstLineChars="0"/>
        <w:jc w:val="both"/>
        <w:rPr>
          <w:rFonts w:hint="eastAsia" w:ascii="宋体" w:hAnsi="宋体" w:eastAsia="宋体" w:cs="宋体"/>
          <w:b/>
          <w:color w:val="auto"/>
          <w:kern w:val="2"/>
          <w:sz w:val="21"/>
          <w:szCs w:val="21"/>
        </w:rPr>
      </w:pPr>
    </w:p>
    <w:p>
      <w:pPr>
        <w:widowControl w:val="0"/>
        <w:tabs>
          <w:tab w:val="left" w:pos="3060"/>
        </w:tabs>
        <w:ind w:firstLine="0" w:firstLineChars="0"/>
        <w:jc w:val="both"/>
        <w:rPr>
          <w:rFonts w:hint="eastAsia" w:ascii="宋体" w:hAnsi="宋体" w:eastAsia="宋体" w:cs="宋体"/>
          <w:b/>
          <w:color w:val="auto"/>
          <w:kern w:val="2"/>
          <w:sz w:val="21"/>
          <w:szCs w:val="21"/>
        </w:rPr>
      </w:pPr>
    </w:p>
    <w:p>
      <w:pPr>
        <w:rPr>
          <w:rFonts w:hint="eastAsia" w:ascii="宋体" w:hAnsi="宋体" w:eastAsia="宋体" w:cs="宋体"/>
          <w:b/>
          <w:color w:val="auto"/>
          <w:kern w:val="2"/>
          <w:sz w:val="21"/>
          <w:szCs w:val="21"/>
          <w:lang w:val="en-US" w:eastAsia="zh-CN"/>
        </w:rPr>
      </w:pPr>
    </w:p>
    <w:p>
      <w:pPr>
        <w:rPr>
          <w:rFonts w:hint="eastAsia" w:ascii="宋体" w:hAnsi="宋体" w:eastAsia="宋体" w:cs="宋体"/>
          <w:b/>
          <w:color w:val="auto"/>
          <w:kern w:val="2"/>
          <w:sz w:val="21"/>
          <w:szCs w:val="21"/>
          <w:lang w:val="en-US" w:eastAsia="zh-CN"/>
        </w:rPr>
      </w:pPr>
    </w:p>
    <w:p>
      <w:pPr>
        <w:spacing w:line="360" w:lineRule="auto"/>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lang w:val="en-US" w:eastAsia="zh-CN"/>
        </w:rPr>
        <w:t>6、</w:t>
      </w:r>
      <w:r>
        <w:rPr>
          <w:rFonts w:hint="eastAsia" w:ascii="宋体" w:hAnsi="宋体" w:eastAsia="宋体" w:cs="宋体"/>
          <w:b/>
          <w:color w:val="auto"/>
          <w:kern w:val="2"/>
          <w:sz w:val="24"/>
          <w:szCs w:val="24"/>
        </w:rPr>
        <w:t>享受政府采购扶持政策的相关材料</w:t>
      </w:r>
    </w:p>
    <w:p>
      <w:pPr>
        <w:widowControl w:val="0"/>
        <w:tabs>
          <w:tab w:val="left" w:pos="3060"/>
        </w:tabs>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本部分内容，不享受扶持政策的投标人可不提供相应证明材料。享受扶持政策的企业，</w:t>
      </w:r>
      <w:r>
        <w:rPr>
          <w:rFonts w:hint="eastAsia" w:ascii="宋体" w:hAnsi="宋体" w:eastAsia="宋体" w:cs="宋体"/>
          <w:color w:val="auto"/>
          <w:kern w:val="2"/>
          <w:sz w:val="24"/>
          <w:szCs w:val="24"/>
        </w:rPr>
        <w:fldChar w:fldCharType="begin"/>
      </w:r>
      <w:r>
        <w:rPr>
          <w:rFonts w:hint="eastAsia" w:ascii="宋体" w:hAnsi="宋体" w:eastAsia="宋体" w:cs="宋体"/>
          <w:color w:val="auto"/>
          <w:kern w:val="2"/>
          <w:sz w:val="24"/>
          <w:szCs w:val="24"/>
        </w:rPr>
        <w:instrText xml:space="preserve"> = 2 \* GB3 </w:instrText>
      </w:r>
      <w:r>
        <w:rPr>
          <w:rFonts w:hint="eastAsia" w:ascii="宋体" w:hAnsi="宋体" w:eastAsia="宋体" w:cs="宋体"/>
          <w:color w:val="auto"/>
          <w:kern w:val="2"/>
          <w:sz w:val="24"/>
          <w:szCs w:val="24"/>
        </w:rPr>
        <w:fldChar w:fldCharType="separate"/>
      </w:r>
      <w:r>
        <w:rPr>
          <w:rFonts w:hint="eastAsia" w:ascii="宋体" w:hAnsi="宋体" w:eastAsia="宋体" w:cs="宋体"/>
          <w:color w:val="auto"/>
          <w:kern w:val="2"/>
          <w:sz w:val="24"/>
          <w:szCs w:val="24"/>
        </w:rPr>
        <w:t>②</w:t>
      </w:r>
      <w:r>
        <w:rPr>
          <w:rFonts w:hint="eastAsia" w:ascii="宋体" w:hAnsi="宋体" w:eastAsia="宋体" w:cs="宋体"/>
          <w:color w:val="auto"/>
          <w:kern w:val="2"/>
          <w:sz w:val="24"/>
          <w:szCs w:val="24"/>
        </w:rPr>
        <w:fldChar w:fldCharType="end"/>
      </w:r>
      <w:r>
        <w:rPr>
          <w:rFonts w:hint="eastAsia" w:ascii="宋体" w:hAnsi="宋体" w:eastAsia="宋体" w:cs="宋体"/>
          <w:color w:val="auto"/>
          <w:kern w:val="2"/>
          <w:sz w:val="24"/>
          <w:szCs w:val="24"/>
        </w:rPr>
        <w:fldChar w:fldCharType="begin"/>
      </w:r>
      <w:r>
        <w:rPr>
          <w:rFonts w:hint="eastAsia" w:ascii="宋体" w:hAnsi="宋体" w:eastAsia="宋体" w:cs="宋体"/>
          <w:color w:val="auto"/>
          <w:kern w:val="2"/>
          <w:sz w:val="24"/>
          <w:szCs w:val="24"/>
        </w:rPr>
        <w:instrText xml:space="preserve"> = 3 \* GB3 </w:instrText>
      </w:r>
      <w:r>
        <w:rPr>
          <w:rFonts w:hint="eastAsia" w:ascii="宋体" w:hAnsi="宋体" w:eastAsia="宋体" w:cs="宋体"/>
          <w:color w:val="auto"/>
          <w:kern w:val="2"/>
          <w:sz w:val="24"/>
          <w:szCs w:val="24"/>
        </w:rPr>
        <w:fldChar w:fldCharType="separate"/>
      </w:r>
      <w:r>
        <w:rPr>
          <w:rFonts w:hint="eastAsia" w:ascii="宋体" w:hAnsi="宋体" w:eastAsia="宋体" w:cs="宋体"/>
          <w:color w:val="auto"/>
          <w:kern w:val="2"/>
          <w:sz w:val="24"/>
          <w:szCs w:val="24"/>
        </w:rPr>
        <w:t>③</w:t>
      </w:r>
      <w:r>
        <w:rPr>
          <w:rFonts w:hint="eastAsia" w:ascii="宋体" w:hAnsi="宋体" w:eastAsia="宋体" w:cs="宋体"/>
          <w:color w:val="auto"/>
          <w:kern w:val="2"/>
          <w:sz w:val="24"/>
          <w:szCs w:val="24"/>
        </w:rPr>
        <w:fldChar w:fldCharType="end"/>
      </w:r>
      <w:r>
        <w:rPr>
          <w:rFonts w:hint="eastAsia" w:ascii="宋体" w:hAnsi="宋体" w:eastAsia="宋体" w:cs="宋体"/>
          <w:color w:val="auto"/>
          <w:kern w:val="2"/>
          <w:sz w:val="24"/>
          <w:szCs w:val="24"/>
        </w:rPr>
        <w:fldChar w:fldCharType="begin"/>
      </w:r>
      <w:r>
        <w:rPr>
          <w:rFonts w:hint="eastAsia" w:ascii="宋体" w:hAnsi="宋体" w:eastAsia="宋体" w:cs="宋体"/>
          <w:color w:val="auto"/>
          <w:kern w:val="2"/>
          <w:sz w:val="24"/>
          <w:szCs w:val="24"/>
        </w:rPr>
        <w:instrText xml:space="preserve"> = 4 \* GB3 </w:instrText>
      </w:r>
      <w:r>
        <w:rPr>
          <w:rFonts w:hint="eastAsia" w:ascii="宋体" w:hAnsi="宋体" w:eastAsia="宋体" w:cs="宋体"/>
          <w:color w:val="auto"/>
          <w:kern w:val="2"/>
          <w:sz w:val="24"/>
          <w:szCs w:val="24"/>
        </w:rPr>
        <w:fldChar w:fldCharType="separate"/>
      </w:r>
      <w:r>
        <w:rPr>
          <w:rFonts w:hint="eastAsia" w:ascii="宋体" w:hAnsi="宋体" w:eastAsia="宋体" w:cs="宋体"/>
          <w:color w:val="auto"/>
          <w:kern w:val="2"/>
          <w:sz w:val="24"/>
          <w:szCs w:val="24"/>
        </w:rPr>
        <w:t>④</w:t>
      </w:r>
      <w:r>
        <w:rPr>
          <w:rFonts w:hint="eastAsia" w:ascii="宋体" w:hAnsi="宋体" w:eastAsia="宋体" w:cs="宋体"/>
          <w:color w:val="auto"/>
          <w:kern w:val="2"/>
          <w:sz w:val="24"/>
          <w:szCs w:val="24"/>
        </w:rPr>
        <w:fldChar w:fldCharType="end"/>
      </w:r>
      <w:r>
        <w:rPr>
          <w:rFonts w:hint="eastAsia" w:ascii="宋体" w:hAnsi="宋体" w:eastAsia="宋体" w:cs="宋体"/>
          <w:color w:val="auto"/>
          <w:kern w:val="2"/>
          <w:sz w:val="24"/>
          <w:szCs w:val="24"/>
        </w:rPr>
        <w:t>项声明函将随中标公告一并公开，接受社会监督。</w:t>
      </w:r>
    </w:p>
    <w:p>
      <w:pPr>
        <w:widowControl w:val="0"/>
        <w:tabs>
          <w:tab w:val="left" w:pos="3060"/>
        </w:tabs>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投标人应对递交文件的真实性负责，如有虚假，将承担依法追究其责任。</w:t>
      </w:r>
    </w:p>
    <w:p>
      <w:pPr>
        <w:keepNext/>
        <w:keepLines/>
        <w:widowControl w:val="0"/>
        <w:adjustRightInd/>
        <w:snapToGrid/>
        <w:spacing w:line="360" w:lineRule="auto"/>
        <w:ind w:firstLine="0" w:firstLineChars="0"/>
        <w:jc w:val="both"/>
        <w:outlineLvl w:val="3"/>
        <w:rPr>
          <w:rFonts w:hint="eastAsia" w:ascii="宋体" w:hAnsi="宋体" w:eastAsia="宋体" w:cs="宋体"/>
          <w:b/>
          <w:bCs/>
          <w:color w:val="auto"/>
          <w:kern w:val="2"/>
          <w:sz w:val="24"/>
          <w:szCs w:val="24"/>
        </w:rPr>
      </w:pPr>
    </w:p>
    <w:p>
      <w:pPr>
        <w:widowControl w:val="0"/>
        <w:tabs>
          <w:tab w:val="left" w:pos="3060"/>
        </w:tabs>
        <w:spacing w:line="360" w:lineRule="auto"/>
        <w:ind w:firstLine="0" w:firstLineChars="0"/>
        <w:jc w:val="both"/>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①节能环保产品认证证书</w:t>
      </w:r>
    </w:p>
    <w:p>
      <w:pPr>
        <w:widowControl w:val="0"/>
        <w:tabs>
          <w:tab w:val="left" w:pos="3060"/>
        </w:tabs>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投标人提供产品为节能产品的，应提供国家确定的认证机构出具的有效期内的节能产品认证证书； </w:t>
      </w:r>
    </w:p>
    <w:p>
      <w:pPr>
        <w:widowControl w:val="0"/>
        <w:tabs>
          <w:tab w:val="left" w:pos="3060"/>
        </w:tabs>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投标人提供产品为环保产品的，应提供国家确定的认证机构出具的有效期内的环境标志产品认证证书。</w:t>
      </w:r>
    </w:p>
    <w:p>
      <w:pPr>
        <w:adjustRightInd/>
        <w:snapToGrid/>
        <w:spacing w:line="360" w:lineRule="auto"/>
        <w:ind w:firstLine="0" w:firstLineChars="0"/>
        <w:rPr>
          <w:rFonts w:hint="eastAsia" w:ascii="宋体" w:hAnsi="宋体" w:eastAsia="宋体" w:cs="宋体"/>
          <w:color w:val="auto"/>
          <w:sz w:val="24"/>
          <w:szCs w:val="24"/>
        </w:rPr>
      </w:pPr>
    </w:p>
    <w:p>
      <w:pPr>
        <w:widowControl w:val="0"/>
        <w:spacing w:line="360" w:lineRule="auto"/>
        <w:ind w:firstLine="0" w:firstLineChars="0"/>
        <w:outlineLvl w:val="8"/>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②中小企业声明函（依项目类型选择填写，不享受扶持政策的投标人可不填写）</w:t>
      </w:r>
    </w:p>
    <w:p>
      <w:pPr>
        <w:widowControl w:val="0"/>
        <w:spacing w:line="360" w:lineRule="auto"/>
        <w:ind w:firstLine="0" w:firstLineChars="0"/>
        <w:jc w:val="center"/>
        <w:outlineLvl w:val="8"/>
        <w:rPr>
          <w:rFonts w:hint="eastAsia" w:ascii="宋体" w:hAnsi="宋体" w:eastAsia="宋体" w:cs="宋体"/>
          <w:b/>
          <w:color w:val="auto"/>
          <w:kern w:val="2"/>
          <w:sz w:val="24"/>
          <w:szCs w:val="24"/>
        </w:rPr>
      </w:pPr>
      <w:bookmarkStart w:id="782" w:name="_Toc12621_WPSOffice_Level1"/>
      <w:bookmarkStart w:id="783" w:name="_Toc25509_WPSOffice_Level1"/>
      <w:bookmarkStart w:id="784" w:name="_Toc25572_WPSOffice_Level1"/>
      <w:r>
        <w:rPr>
          <w:rFonts w:hint="eastAsia" w:ascii="宋体" w:hAnsi="宋体" w:eastAsia="宋体" w:cs="宋体"/>
          <w:b/>
          <w:color w:val="auto"/>
          <w:kern w:val="2"/>
          <w:sz w:val="24"/>
          <w:szCs w:val="24"/>
        </w:rPr>
        <w:t>中小企业声明函（工程）</w:t>
      </w:r>
      <w:bookmarkEnd w:id="782"/>
      <w:bookmarkEnd w:id="783"/>
      <w:bookmarkEnd w:id="784"/>
    </w:p>
    <w:p>
      <w:pPr>
        <w:widowControl w:val="0"/>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本公司（或联合体）郑重声明，根据《政府采购促进中小企业发展管理办法》（财库﹝2020﹞46号）的规定，本公司（或联合体）参加</w:t>
      </w:r>
      <w:r>
        <w:rPr>
          <w:rFonts w:hint="eastAsia" w:ascii="宋体" w:hAnsi="宋体" w:eastAsia="宋体" w:cs="宋体"/>
          <w:color w:val="auto"/>
          <w:kern w:val="2"/>
          <w:sz w:val="24"/>
          <w:szCs w:val="24"/>
          <w:u w:val="single" w:color="000000"/>
        </w:rPr>
        <w:t>（单位名称）</w:t>
      </w:r>
      <w:r>
        <w:rPr>
          <w:rFonts w:hint="eastAsia" w:ascii="宋体" w:hAnsi="宋体" w:eastAsia="宋体" w:cs="宋体"/>
          <w:color w:val="auto"/>
          <w:kern w:val="2"/>
          <w:sz w:val="24"/>
          <w:szCs w:val="24"/>
        </w:rPr>
        <w:t>的</w:t>
      </w:r>
      <w:r>
        <w:rPr>
          <w:rFonts w:hint="eastAsia" w:ascii="宋体" w:hAnsi="宋体" w:eastAsia="宋体" w:cs="宋体"/>
          <w:color w:val="auto"/>
          <w:kern w:val="2"/>
          <w:sz w:val="24"/>
          <w:szCs w:val="24"/>
          <w:u w:val="single" w:color="000000"/>
        </w:rPr>
        <w:t>（项目名称）</w:t>
      </w:r>
      <w:r>
        <w:rPr>
          <w:rFonts w:hint="eastAsia" w:ascii="宋体" w:hAnsi="宋体" w:eastAsia="宋体" w:cs="宋体"/>
          <w:color w:val="auto"/>
          <w:kern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val="0"/>
        <w:tabs>
          <w:tab w:val="left" w:pos="1705"/>
          <w:tab w:val="left" w:pos="4905"/>
          <w:tab w:val="left" w:pos="7113"/>
        </w:tabs>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1.（标的名称），属于（采购文件中明确的所属行业）；承建（承接）企业为（企业名称），从业人员</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人，营业收入为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万元，资产总额为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万元，属于（中型企业、小型企业、微型企业）；</w:t>
      </w:r>
    </w:p>
    <w:p>
      <w:pPr>
        <w:widowControl w:val="0"/>
        <w:tabs>
          <w:tab w:val="left" w:pos="1705"/>
          <w:tab w:val="left" w:pos="4905"/>
          <w:tab w:val="left" w:pos="7113"/>
        </w:tabs>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2.（标的名称），属于（采购文件中明确的所属行业）；承建（承接）企业为（企业名称），从业人员</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人，营业收入为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万元，资产总额为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万元，属于（中型企业、小型企业、微型企业）；</w:t>
      </w:r>
    </w:p>
    <w:p>
      <w:pPr>
        <w:widowControl w:val="0"/>
        <w:tabs>
          <w:tab w:val="left" w:pos="1705"/>
          <w:tab w:val="left" w:pos="4905"/>
          <w:tab w:val="left" w:pos="7113"/>
        </w:tabs>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p>
    <w:p>
      <w:pPr>
        <w:widowControl w:val="0"/>
        <w:tabs>
          <w:tab w:val="left" w:pos="1705"/>
          <w:tab w:val="left" w:pos="4905"/>
          <w:tab w:val="left" w:pos="7113"/>
        </w:tabs>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以上企业，</w:t>
      </w:r>
      <w:r>
        <w:rPr>
          <w:rFonts w:hint="eastAsia" w:ascii="宋体" w:hAnsi="宋体" w:eastAsia="宋体" w:cs="宋体"/>
          <w:b/>
          <w:color w:val="auto"/>
          <w:kern w:val="2"/>
          <w:sz w:val="24"/>
          <w:szCs w:val="24"/>
        </w:rPr>
        <w:t>不属于大企业的分支机构</w:t>
      </w:r>
      <w:r>
        <w:rPr>
          <w:rFonts w:hint="eastAsia" w:ascii="宋体" w:hAnsi="宋体" w:eastAsia="宋体" w:cs="宋体"/>
          <w:color w:val="auto"/>
          <w:kern w:val="2"/>
          <w:sz w:val="24"/>
          <w:szCs w:val="24"/>
        </w:rPr>
        <w:t>，</w:t>
      </w:r>
      <w:r>
        <w:rPr>
          <w:rFonts w:hint="eastAsia" w:ascii="宋体" w:hAnsi="宋体" w:eastAsia="宋体" w:cs="宋体"/>
          <w:b/>
          <w:color w:val="auto"/>
          <w:kern w:val="2"/>
          <w:sz w:val="24"/>
          <w:szCs w:val="24"/>
        </w:rPr>
        <w:t>不存在控股股东为大企业</w:t>
      </w:r>
      <w:r>
        <w:rPr>
          <w:rFonts w:hint="eastAsia" w:ascii="宋体" w:hAnsi="宋体" w:eastAsia="宋体" w:cs="宋体"/>
          <w:color w:val="auto"/>
          <w:kern w:val="2"/>
          <w:sz w:val="24"/>
          <w:szCs w:val="24"/>
        </w:rPr>
        <w:t>的情形，</w:t>
      </w:r>
      <w:r>
        <w:rPr>
          <w:rFonts w:hint="eastAsia" w:ascii="宋体" w:hAnsi="宋体" w:eastAsia="宋体" w:cs="宋体"/>
          <w:b/>
          <w:color w:val="auto"/>
          <w:kern w:val="2"/>
          <w:sz w:val="24"/>
          <w:szCs w:val="24"/>
        </w:rPr>
        <w:t>也不存在与大企业的负责人为同一人</w:t>
      </w:r>
      <w:r>
        <w:rPr>
          <w:rFonts w:hint="eastAsia" w:ascii="宋体" w:hAnsi="宋体" w:eastAsia="宋体" w:cs="宋体"/>
          <w:color w:val="auto"/>
          <w:kern w:val="2"/>
          <w:sz w:val="24"/>
          <w:szCs w:val="24"/>
        </w:rPr>
        <w:t>的情形。</w:t>
      </w:r>
    </w:p>
    <w:p>
      <w:pPr>
        <w:widowControl w:val="0"/>
        <w:tabs>
          <w:tab w:val="left" w:pos="1705"/>
          <w:tab w:val="left" w:pos="4905"/>
          <w:tab w:val="left" w:pos="7113"/>
        </w:tabs>
        <w:spacing w:line="360" w:lineRule="auto"/>
        <w:ind w:firstLine="48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本企业对上述声明内容的真实性负责。如有虚假，将依法承担相应责任。</w:t>
      </w:r>
    </w:p>
    <w:p>
      <w:pPr>
        <w:widowControl w:val="0"/>
        <w:tabs>
          <w:tab w:val="left" w:pos="1705"/>
          <w:tab w:val="left" w:pos="4905"/>
          <w:tab w:val="left" w:pos="7113"/>
        </w:tabs>
        <w:spacing w:line="360" w:lineRule="auto"/>
        <w:ind w:firstLine="480"/>
        <w:jc w:val="righ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企业名称（盖章）：            </w:t>
      </w:r>
    </w:p>
    <w:p>
      <w:pPr>
        <w:keepNext/>
        <w:keepLines/>
        <w:widowControl w:val="0"/>
        <w:adjustRightInd/>
        <w:snapToGrid/>
        <w:spacing w:line="360" w:lineRule="auto"/>
        <w:ind w:firstLine="6720" w:firstLineChars="2800"/>
        <w:jc w:val="both"/>
        <w:outlineLvl w:val="3"/>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日  期：   </w:t>
      </w:r>
    </w:p>
    <w:p>
      <w:pPr>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注：1、从业人员、营业收入、资产总额填报上一年度数据，无上一年度数据的新成立企业可不填写。</w:t>
      </w:r>
    </w:p>
    <w:p>
      <w:pPr>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2、在政府采购活动中，供应商提供的货物、工程或者服务符合下列情形的，享受《政府采购促进中小企业发展管理办法》（财库[2020]46号）规定的中小企业扶持政策：</w:t>
      </w:r>
    </w:p>
    <w:p>
      <w:pPr>
        <w:spacing w:line="360" w:lineRule="auto"/>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pPr>
        <w:spacing w:line="360" w:lineRule="auto"/>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在货物采购项目中，供应商提供的货物既有中小企业制造货物，也有大型企业制造货物的，不享受本办法规定的中小企业扶持政策。</w:t>
      </w:r>
    </w:p>
    <w:p>
      <w:pPr>
        <w:spacing w:line="360" w:lineRule="auto"/>
        <w:ind w:firstLine="470"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以联合体形式参加政府采购活动，联合体各方均为中小企业的，联合体视同中小企业。其中，联合体各方均为小微企业的，联合体视同小微企业。</w:t>
      </w:r>
    </w:p>
    <w:p>
      <w:pPr>
        <w:adjustRightInd/>
        <w:snapToGrid/>
        <w:spacing w:line="360" w:lineRule="auto"/>
        <w:ind w:firstLine="0" w:firstLineChars="0"/>
        <w:rPr>
          <w:rFonts w:hint="eastAsia" w:ascii="宋体" w:hAnsi="宋体" w:eastAsia="宋体" w:cs="宋体"/>
          <w:b/>
          <w:color w:val="auto"/>
          <w:sz w:val="24"/>
          <w:szCs w:val="24"/>
        </w:rPr>
        <w:sectPr>
          <w:footerReference r:id="rId10" w:type="default"/>
          <w:pgSz w:w="11906" w:h="16838"/>
          <w:pgMar w:top="1701" w:right="1701" w:bottom="1418" w:left="1418" w:header="851" w:footer="992" w:gutter="0"/>
          <w:pgNumType w:fmt="decimal"/>
          <w:cols w:space="720" w:num="1"/>
          <w:docGrid w:type="linesAndChars" w:linePitch="312" w:charSpace="0"/>
        </w:sectPr>
      </w:pPr>
    </w:p>
    <w:p>
      <w:pPr>
        <w:pStyle w:val="2"/>
        <w:spacing w:line="360" w:lineRule="auto"/>
        <w:jc w:val="both"/>
        <w:rPr>
          <w:rFonts w:hint="eastAsia" w:ascii="宋体" w:hAnsi="宋体" w:eastAsia="宋体" w:cs="宋体"/>
          <w:color w:val="auto"/>
          <w:sz w:val="24"/>
          <w:szCs w:val="24"/>
        </w:rPr>
      </w:pPr>
      <w:bookmarkStart w:id="785" w:name="OLE_LINK13"/>
      <w:bookmarkStart w:id="786" w:name="OLE_LINK14"/>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3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③</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残疾人福利性单位声明函</w:t>
      </w:r>
    </w:p>
    <w:p>
      <w:pPr>
        <w:pStyle w:val="20"/>
        <w:widowControl w:val="0"/>
        <w:adjustRightInd/>
        <w:snapToGrid/>
        <w:spacing w:after="0" w:line="360" w:lineRule="auto"/>
        <w:ind w:firstLine="0" w:firstLineChars="0"/>
        <w:jc w:val="center"/>
        <w:rPr>
          <w:rFonts w:hint="eastAsia" w:ascii="宋体" w:hAnsi="宋体" w:eastAsia="宋体" w:cs="宋体"/>
          <w:b/>
          <w:i w:val="0"/>
          <w:iCs w:val="0"/>
          <w:color w:val="auto"/>
          <w:spacing w:val="0"/>
          <w:kern w:val="2"/>
          <w:sz w:val="24"/>
          <w:szCs w:val="24"/>
        </w:rPr>
      </w:pPr>
      <w:bookmarkStart w:id="787" w:name="_Toc26376_WPSOffice_Level1"/>
      <w:bookmarkStart w:id="788" w:name="_Toc6259_WPSOffice_Level1"/>
      <w:bookmarkStart w:id="789" w:name="_Toc23953_WPSOffice_Level1"/>
      <w:r>
        <w:rPr>
          <w:rFonts w:hint="eastAsia" w:ascii="宋体" w:hAnsi="宋体" w:eastAsia="宋体" w:cs="宋体"/>
          <w:b/>
          <w:i w:val="0"/>
          <w:iCs w:val="0"/>
          <w:color w:val="auto"/>
          <w:spacing w:val="0"/>
          <w:kern w:val="2"/>
          <w:sz w:val="24"/>
          <w:szCs w:val="24"/>
        </w:rPr>
        <w:t>残疾人福利性单位声明函</w:t>
      </w:r>
      <w:bookmarkEnd w:id="787"/>
      <w:bookmarkEnd w:id="788"/>
      <w:bookmarkEnd w:id="789"/>
    </w:p>
    <w:bookmarkEnd w:id="785"/>
    <w:bookmarkEnd w:id="786"/>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pPr>
        <w:spacing w:line="360" w:lineRule="auto"/>
        <w:ind w:firstLine="4800" w:firstLineChars="20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单位名称（盖章）：</w:t>
      </w:r>
    </w:p>
    <w:p>
      <w:pPr>
        <w:spacing w:line="360" w:lineRule="auto"/>
        <w:ind w:firstLine="4800" w:firstLineChars="20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p>
    <w:p>
      <w:pPr>
        <w:spacing w:line="360" w:lineRule="auto"/>
        <w:ind w:firstLine="422"/>
        <w:rPr>
          <w:rFonts w:hint="eastAsia" w:ascii="宋体" w:hAnsi="宋体" w:eastAsia="宋体" w:cs="宋体"/>
          <w:b/>
          <w:color w:val="auto"/>
          <w:sz w:val="24"/>
          <w:szCs w:val="24"/>
        </w:rPr>
      </w:pPr>
      <w:r>
        <w:rPr>
          <w:rFonts w:hint="eastAsia" w:ascii="宋体" w:hAnsi="宋体" w:eastAsia="宋体" w:cs="宋体"/>
          <w:b/>
          <w:color w:val="auto"/>
          <w:sz w:val="24"/>
          <w:szCs w:val="24"/>
        </w:rPr>
        <w:t>注：</w:t>
      </w:r>
    </w:p>
    <w:p>
      <w:pPr>
        <w:spacing w:line="360" w:lineRule="auto"/>
        <w:ind w:firstLine="422"/>
        <w:rPr>
          <w:rFonts w:hint="eastAsia" w:ascii="宋体" w:hAnsi="宋体" w:eastAsia="宋体" w:cs="宋体"/>
          <w:b/>
          <w:color w:val="auto"/>
          <w:sz w:val="24"/>
          <w:szCs w:val="24"/>
        </w:rPr>
      </w:pPr>
      <w:r>
        <w:rPr>
          <w:rFonts w:hint="eastAsia" w:ascii="宋体" w:hAnsi="宋体" w:eastAsia="宋体" w:cs="宋体"/>
          <w:b/>
          <w:color w:val="auto"/>
          <w:sz w:val="24"/>
          <w:szCs w:val="24"/>
        </w:rPr>
        <w:t>一、享受政府采购支持政策的残疾人福利性单位应当同时满足以下条件：</w:t>
      </w:r>
    </w:p>
    <w:p>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（一）安置的残疾人占本单位在职职工人数的比例不低于25%（含25%），并且安置的残疾人人数不少于10人（含10人）；</w:t>
      </w:r>
    </w:p>
    <w:p>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（二）依法与安置的每位残疾人签订了一年以上（含一年）的劳动合同或服务协议；</w:t>
      </w:r>
    </w:p>
    <w:p>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（三）为安置的每位残疾人按月足额缴纳了基本养老保险、基本医疗保险、失业保险、工伤保险和生育保险等社会保险费；</w:t>
      </w:r>
    </w:p>
    <w:p>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（四）通过银行等金融机构向安置的每位残疾人，按月支付了不低于单位所在区县适用的经省级人民政府批准的月最低工资标准的工资；</w:t>
      </w:r>
    </w:p>
    <w:p>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（五）提供本单位制造的货物、承担的工程或者服务（以下简称产品），或者提供其他残疾人福利性单位制造的货物（不包括使用非残疾人福利性单位注册商标的货物）。</w:t>
      </w:r>
    </w:p>
    <w:p>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22"/>
        <w:rPr>
          <w:rFonts w:hint="eastAsia" w:ascii="宋体" w:hAnsi="宋体" w:eastAsia="宋体" w:cs="宋体"/>
          <w:b/>
          <w:color w:val="auto"/>
          <w:sz w:val="24"/>
          <w:szCs w:val="24"/>
        </w:rPr>
      </w:pPr>
      <w:r>
        <w:rPr>
          <w:rFonts w:hint="eastAsia" w:ascii="宋体" w:hAnsi="宋体" w:eastAsia="宋体" w:cs="宋体"/>
          <w:b/>
          <w:color w:val="auto"/>
          <w:sz w:val="24"/>
          <w:szCs w:val="24"/>
        </w:rPr>
        <w:t>二、成交供应商为残疾人福利性单位的，将随成交结果同时公告其《残疾人福利性单位声明函》，接受社会监督。</w:t>
      </w:r>
    </w:p>
    <w:p>
      <w:pPr>
        <w:spacing w:line="360" w:lineRule="auto"/>
        <w:ind w:firstLine="480"/>
        <w:outlineLvl w:val="8"/>
        <w:rPr>
          <w:rFonts w:hint="eastAsia" w:ascii="宋体" w:hAnsi="宋体" w:eastAsia="宋体" w:cs="宋体"/>
          <w:b/>
          <w:color w:val="auto"/>
          <w:kern w:val="2"/>
          <w:sz w:val="24"/>
          <w:szCs w:val="24"/>
        </w:rPr>
      </w:pPr>
      <w:r>
        <w:rPr>
          <w:rFonts w:hint="eastAsia" w:ascii="宋体" w:hAnsi="宋体" w:eastAsia="宋体" w:cs="宋体"/>
          <w:color w:val="auto"/>
          <w:sz w:val="24"/>
          <w:szCs w:val="24"/>
        </w:rPr>
        <w:br w:type="page"/>
      </w:r>
      <w:bookmarkStart w:id="790" w:name="_Toc42606848"/>
      <w:r>
        <w:rPr>
          <w:rFonts w:hint="eastAsia" w:ascii="宋体" w:hAnsi="宋体" w:eastAsia="宋体" w:cs="宋体"/>
          <w:b/>
          <w:color w:val="auto"/>
          <w:kern w:val="2"/>
          <w:sz w:val="24"/>
          <w:szCs w:val="24"/>
        </w:rPr>
        <w:t>④监狱企业的证明文件（不享受扶持政策的投标人不提供）</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w:t>
      </w:r>
      <w:r>
        <w:rPr>
          <w:rFonts w:hint="eastAsia" w:ascii="宋体" w:hAnsi="宋体" w:eastAsia="宋体" w:cs="宋体"/>
          <w:b/>
          <w:color w:val="auto"/>
          <w:sz w:val="24"/>
          <w:szCs w:val="24"/>
        </w:rPr>
        <w:t>提供由省级以上监狱管理局、戒毒管理局（含新疆生产建设兵团）出具的属于监狱企业的证明文件</w:t>
      </w:r>
      <w:r>
        <w:rPr>
          <w:rFonts w:hint="eastAsia" w:ascii="宋体" w:hAnsi="宋体" w:eastAsia="宋体" w:cs="宋体"/>
          <w:color w:val="auto"/>
          <w:sz w:val="24"/>
          <w:szCs w:val="24"/>
        </w:rPr>
        <w:t>。</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在政府采购活动中，监狱企业视同小型、微型企业，享受预留份额、评审中价格扣除等政府采购促进中小企业发展的政府采购政策。向监狱企业采购的金额，计入面向中小企业采购的统计数据</w:t>
      </w:r>
    </w:p>
    <w:p>
      <w:pPr>
        <w:pStyle w:val="4"/>
        <w:jc w:val="left"/>
        <w:rPr>
          <w:rFonts w:hint="eastAsia" w:ascii="宋体" w:hAnsi="宋体" w:eastAsia="宋体" w:cs="宋体"/>
          <w:color w:val="auto"/>
        </w:rPr>
      </w:pPr>
    </w:p>
    <w:p>
      <w:pPr>
        <w:pStyle w:val="4"/>
        <w:jc w:val="left"/>
        <w:rPr>
          <w:rFonts w:hint="eastAsia" w:ascii="宋体" w:hAnsi="宋体" w:eastAsia="宋体" w:cs="宋体"/>
          <w:color w:val="auto"/>
        </w:rPr>
      </w:pPr>
    </w:p>
    <w:p>
      <w:pPr>
        <w:pStyle w:val="4"/>
        <w:jc w:val="left"/>
        <w:rPr>
          <w:rFonts w:hint="eastAsia" w:ascii="宋体" w:hAnsi="宋体" w:eastAsia="宋体" w:cs="宋体"/>
          <w:color w:val="auto"/>
        </w:rPr>
      </w:pPr>
    </w:p>
    <w:p>
      <w:pPr>
        <w:pStyle w:val="4"/>
        <w:jc w:val="left"/>
        <w:rPr>
          <w:rFonts w:hint="eastAsia" w:ascii="宋体" w:hAnsi="宋体" w:eastAsia="宋体" w:cs="宋体"/>
          <w:color w:val="auto"/>
        </w:rPr>
      </w:pPr>
    </w:p>
    <w:p>
      <w:pPr>
        <w:pStyle w:val="4"/>
        <w:jc w:val="left"/>
        <w:rPr>
          <w:rFonts w:hint="eastAsia" w:ascii="宋体" w:hAnsi="宋体" w:eastAsia="宋体" w:cs="宋体"/>
          <w:color w:val="auto"/>
        </w:rPr>
      </w:pPr>
    </w:p>
    <w:p>
      <w:pPr>
        <w:rPr>
          <w:rFonts w:hint="eastAsia" w:ascii="宋体" w:hAnsi="宋体" w:eastAsia="宋体" w:cs="宋体"/>
          <w:color w:val="auto"/>
          <w:sz w:val="28"/>
          <w:szCs w:val="28"/>
          <w:lang w:val="en-US" w:eastAsia="zh-CN"/>
        </w:rPr>
      </w:pPr>
      <w:bookmarkStart w:id="791" w:name="_Toc25666_WPSOffice_Level1"/>
      <w:bookmarkStart w:id="792" w:name="_Toc25188_WPSOffice_Level1"/>
      <w:bookmarkStart w:id="793" w:name="_Toc15704_WPSOffice_Level1"/>
      <w:r>
        <w:rPr>
          <w:rFonts w:hint="eastAsia" w:ascii="宋体" w:hAnsi="宋体" w:eastAsia="宋体" w:cs="宋体"/>
          <w:color w:val="auto"/>
          <w:sz w:val="28"/>
          <w:szCs w:val="28"/>
          <w:lang w:val="en-US" w:eastAsia="zh-CN"/>
        </w:rPr>
        <w:br w:type="page"/>
      </w:r>
    </w:p>
    <w:p>
      <w:pPr>
        <w:pStyle w:val="4"/>
        <w:numPr>
          <w:ilvl w:val="0"/>
          <w:numId w:val="0"/>
        </w:numPr>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商务部分</w:t>
      </w:r>
      <w:bookmarkEnd w:id="790"/>
      <w:bookmarkEnd w:id="791"/>
      <w:bookmarkEnd w:id="792"/>
      <w:bookmarkEnd w:id="793"/>
    </w:p>
    <w:p>
      <w:pPr>
        <w:widowControl w:val="0"/>
        <w:adjustRightInd/>
        <w:snapToGrid/>
        <w:spacing w:line="240" w:lineRule="auto"/>
        <w:ind w:firstLine="0" w:firstLineChars="0"/>
        <w:jc w:val="center"/>
        <w:rPr>
          <w:rFonts w:hint="eastAsia" w:ascii="宋体" w:hAnsi="宋体" w:eastAsia="宋体" w:cs="宋体"/>
          <w:b/>
          <w:color w:val="auto"/>
          <w:kern w:val="2"/>
          <w:sz w:val="24"/>
          <w:szCs w:val="24"/>
        </w:rPr>
      </w:pPr>
      <w:bookmarkStart w:id="794" w:name="_Toc15357_WPSOffice_Level1"/>
      <w:bookmarkStart w:id="795" w:name="_Toc9285_WPSOffice_Level1"/>
      <w:bookmarkStart w:id="796" w:name="_Toc152_WPSOffice_Level1"/>
      <w:r>
        <w:rPr>
          <w:rFonts w:hint="eastAsia" w:ascii="宋体" w:hAnsi="宋体" w:eastAsia="宋体" w:cs="宋体"/>
          <w:b/>
          <w:bCs/>
          <w:color w:val="auto"/>
          <w:kern w:val="2"/>
          <w:sz w:val="24"/>
          <w:szCs w:val="24"/>
        </w:rPr>
        <w:t>投标承诺书</w:t>
      </w:r>
      <w:bookmarkEnd w:id="794"/>
      <w:bookmarkEnd w:id="795"/>
      <w:bookmarkEnd w:id="796"/>
    </w:p>
    <w:p>
      <w:pPr>
        <w:widowControl w:val="0"/>
        <w:adjustRightInd/>
        <w:snapToGrid/>
        <w:spacing w:line="360" w:lineRule="auto"/>
        <w:ind w:left="444" w:leftChars="202" w:firstLine="0" w:firstLineChars="0"/>
        <w:jc w:val="center"/>
        <w:rPr>
          <w:rFonts w:hint="eastAsia" w:ascii="宋体" w:hAnsi="宋体" w:eastAsia="宋体" w:cs="宋体"/>
          <w:b/>
          <w:color w:val="auto"/>
          <w:kern w:val="2"/>
          <w:sz w:val="24"/>
          <w:szCs w:val="24"/>
        </w:rPr>
      </w:pPr>
    </w:p>
    <w:p>
      <w:pPr>
        <w:widowControl w:val="0"/>
        <w:adjustRightInd/>
        <w:snapToGrid/>
        <w:spacing w:line="360" w:lineRule="auto"/>
        <w:ind w:left="484" w:leftChars="1" w:hanging="482" w:hangingChars="201"/>
        <w:jc w:val="both"/>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rPr>
        <w:t>招标人：</w:t>
      </w:r>
      <w:r>
        <w:rPr>
          <w:rFonts w:hint="eastAsia" w:ascii="宋体" w:hAnsi="宋体" w:eastAsia="宋体" w:cs="宋体"/>
          <w:color w:val="auto"/>
          <w:kern w:val="2"/>
          <w:sz w:val="24"/>
          <w:szCs w:val="24"/>
          <w:u w:val="single"/>
        </w:rPr>
        <w:t xml:space="preserve">                 </w:t>
      </w:r>
    </w:p>
    <w:p>
      <w:pPr>
        <w:widowControl w:val="0"/>
        <w:adjustRightInd/>
        <w:snapToGrid/>
        <w:spacing w:line="360" w:lineRule="auto"/>
        <w:ind w:left="444" w:leftChars="202" w:firstLine="0" w:firstLineChars="0"/>
        <w:jc w:val="both"/>
        <w:rPr>
          <w:rFonts w:hint="eastAsia" w:ascii="宋体" w:hAnsi="宋体" w:eastAsia="宋体" w:cs="宋体"/>
          <w:color w:val="auto"/>
          <w:kern w:val="2"/>
          <w:sz w:val="24"/>
          <w:szCs w:val="24"/>
          <w:u w:val="single"/>
        </w:rPr>
      </w:pPr>
    </w:p>
    <w:p>
      <w:pPr>
        <w:widowControl w:val="0"/>
        <w:adjustRightInd/>
        <w:snapToGrid/>
        <w:spacing w:line="360" w:lineRule="auto"/>
        <w:ind w:firstLine="42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1、根据已收到的</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工程的</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，我单位经考察现场和研究贵方的</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后，将接受该工程</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中各条款内容并且以</w:t>
      </w:r>
      <w:r>
        <w:rPr>
          <w:rFonts w:hint="eastAsia" w:ascii="宋体" w:hAnsi="宋体" w:eastAsia="宋体" w:cs="宋体"/>
          <w:color w:val="auto"/>
          <w:kern w:val="2"/>
          <w:sz w:val="24"/>
          <w:szCs w:val="24"/>
          <w:lang w:val="en-US" w:eastAsia="zh-CN"/>
        </w:rPr>
        <w:t>大写：</w:t>
      </w:r>
      <w:r>
        <w:rPr>
          <w:rFonts w:hint="eastAsia" w:ascii="宋体" w:hAnsi="宋体" w:eastAsia="宋体" w:cs="宋体"/>
          <w:color w:val="auto"/>
          <w:kern w:val="2"/>
          <w:sz w:val="24"/>
          <w:szCs w:val="24"/>
          <w:u w:val="single"/>
          <w:lang w:val="en-US" w:eastAsia="zh-CN"/>
        </w:rPr>
        <w:t xml:space="preserve">       元整（小写：   元）</w:t>
      </w:r>
      <w:r>
        <w:rPr>
          <w:rFonts w:hint="eastAsia" w:ascii="宋体" w:hAnsi="宋体" w:eastAsia="宋体" w:cs="宋体"/>
          <w:color w:val="auto"/>
          <w:kern w:val="2"/>
          <w:sz w:val="24"/>
          <w:szCs w:val="24"/>
        </w:rPr>
        <w:t>投标价格承包本招标范围内的工程。</w:t>
      </w:r>
    </w:p>
    <w:p>
      <w:pPr>
        <w:widowControl w:val="0"/>
        <w:adjustRightInd/>
        <w:snapToGrid/>
        <w:spacing w:line="360" w:lineRule="auto"/>
        <w:ind w:firstLine="42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2、如果我方中标，非业主原因，我方保证将在下列日期内组织施工。</w:t>
      </w:r>
    </w:p>
    <w:p>
      <w:pPr>
        <w:widowControl w:val="0"/>
        <w:adjustRightInd/>
        <w:snapToGrid/>
        <w:spacing w:line="360" w:lineRule="auto"/>
        <w:ind w:firstLine="420" w:firstLineChars="0"/>
        <w:jc w:val="both"/>
        <w:rPr>
          <w:rFonts w:hint="eastAsia" w:ascii="宋体" w:hAnsi="宋体" w:eastAsia="宋体" w:cs="宋体"/>
          <w:color w:val="auto"/>
          <w:kern w:val="2"/>
          <w:sz w:val="24"/>
          <w:szCs w:val="24"/>
          <w:u w:val="single"/>
          <w:lang w:eastAsia="zh-CN"/>
        </w:rPr>
      </w:pPr>
      <w:r>
        <w:rPr>
          <w:rFonts w:hint="eastAsia" w:ascii="宋体" w:hAnsi="宋体" w:eastAsia="宋体" w:cs="宋体"/>
          <w:color w:val="auto"/>
          <w:kern w:val="2"/>
          <w:sz w:val="24"/>
          <w:szCs w:val="24"/>
          <w:lang w:val="en-US" w:eastAsia="zh-CN"/>
        </w:rPr>
        <w:t>工期</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rPr>
        <w:t xml:space="preserve"> 签订合同之日起至2023年10月31日竣工完成</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lang w:val="en-US" w:eastAsia="zh-CN"/>
        </w:rPr>
        <w:t xml:space="preserve"> </w:t>
      </w:r>
    </w:p>
    <w:p>
      <w:pPr>
        <w:widowControl w:val="0"/>
        <w:adjustRightInd/>
        <w:snapToGrid/>
        <w:spacing w:line="360" w:lineRule="auto"/>
        <w:ind w:firstLine="42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3、如果我方中标，非业主原因，我方保证将按下列质量等级完成本工程。</w:t>
      </w:r>
    </w:p>
    <w:p>
      <w:pPr>
        <w:widowControl w:val="0"/>
        <w:adjustRightInd/>
        <w:snapToGrid/>
        <w:spacing w:line="360" w:lineRule="auto"/>
        <w:ind w:firstLine="420" w:firstLineChars="0"/>
        <w:jc w:val="both"/>
        <w:rPr>
          <w:rFonts w:hint="eastAsia" w:ascii="宋体" w:hAnsi="宋体" w:eastAsia="宋体" w:cs="宋体"/>
          <w:color w:val="auto"/>
          <w:kern w:val="2"/>
          <w:sz w:val="24"/>
          <w:szCs w:val="24"/>
          <w:u w:val="single"/>
          <w:lang w:eastAsia="zh-CN"/>
        </w:rPr>
      </w:pPr>
      <w:r>
        <w:rPr>
          <w:rFonts w:hint="eastAsia" w:ascii="宋体" w:hAnsi="宋体" w:eastAsia="宋体" w:cs="宋体"/>
          <w:color w:val="auto"/>
          <w:kern w:val="2"/>
          <w:sz w:val="24"/>
          <w:szCs w:val="24"/>
        </w:rPr>
        <w:t>质量等级：</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none"/>
          <w:lang w:eastAsia="zh-CN"/>
        </w:rPr>
        <w:t>。</w:t>
      </w:r>
    </w:p>
    <w:p>
      <w:pPr>
        <w:widowControl w:val="0"/>
        <w:adjustRightInd/>
        <w:snapToGrid/>
        <w:spacing w:line="360" w:lineRule="auto"/>
        <w:ind w:firstLine="42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4、如果我方中标，我方将按</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规定的时间内签订承包合同。如果我方违约，除投标保证金外，我方还将以中标价</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%作为赔偿金，同时贵方有权终止我方中标并选择其它中标人。</w:t>
      </w:r>
    </w:p>
    <w:p>
      <w:pPr>
        <w:widowControl w:val="0"/>
        <w:adjustRightInd/>
        <w:snapToGrid/>
        <w:spacing w:line="360" w:lineRule="auto"/>
        <w:ind w:firstLine="42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5、贵方的</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、中标通知书、我方的</w:t>
      </w:r>
      <w:r>
        <w:rPr>
          <w:rFonts w:hint="eastAsia" w:ascii="宋体" w:hAnsi="宋体" w:eastAsia="宋体" w:cs="宋体"/>
          <w:color w:val="auto"/>
          <w:kern w:val="2"/>
          <w:sz w:val="24"/>
          <w:szCs w:val="24"/>
          <w:lang w:eastAsia="zh-CN"/>
        </w:rPr>
        <w:t>响应文件</w:t>
      </w:r>
      <w:r>
        <w:rPr>
          <w:rFonts w:hint="eastAsia" w:ascii="宋体" w:hAnsi="宋体" w:eastAsia="宋体" w:cs="宋体"/>
          <w:color w:val="auto"/>
          <w:kern w:val="2"/>
          <w:sz w:val="24"/>
          <w:szCs w:val="24"/>
        </w:rPr>
        <w:t>将构成约束双方的合同一部分。</w:t>
      </w:r>
    </w:p>
    <w:p>
      <w:pPr>
        <w:widowControl w:val="0"/>
        <w:adjustRightInd/>
        <w:snapToGrid/>
        <w:spacing w:line="360" w:lineRule="auto"/>
        <w:ind w:firstLine="42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6、如果我方未中标，贵方没有必要对我方做出任何解释和说明，我方将充分尊重和理解贵方的选择。</w:t>
      </w:r>
    </w:p>
    <w:p>
      <w:pPr>
        <w:widowControl w:val="0"/>
        <w:adjustRightInd/>
        <w:snapToGrid/>
        <w:spacing w:line="360" w:lineRule="auto"/>
        <w:ind w:firstLine="42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如果我方中标，我方同意招标代理费按照计价格[2002]1980号的规定收取；且招标代理机构有权从投标保证金中直接扣除招标代理费后将余额退还。</w:t>
      </w:r>
    </w:p>
    <w:p>
      <w:pPr>
        <w:widowControl w:val="0"/>
        <w:adjustRightInd/>
        <w:snapToGrid/>
        <w:spacing w:line="240" w:lineRule="auto"/>
        <w:ind w:firstLine="0" w:firstLineChars="0"/>
        <w:jc w:val="both"/>
        <w:rPr>
          <w:rFonts w:hint="eastAsia" w:ascii="宋体" w:hAnsi="宋体" w:eastAsia="宋体" w:cs="宋体"/>
          <w:color w:val="auto"/>
          <w:kern w:val="2"/>
          <w:sz w:val="24"/>
          <w:szCs w:val="24"/>
        </w:rPr>
      </w:pPr>
    </w:p>
    <w:p>
      <w:pPr>
        <w:widowControl w:val="0"/>
        <w:adjustRightInd/>
        <w:snapToGrid/>
        <w:spacing w:line="240" w:lineRule="auto"/>
        <w:ind w:firstLine="0" w:firstLineChars="0"/>
        <w:jc w:val="both"/>
        <w:rPr>
          <w:rFonts w:hint="eastAsia" w:ascii="宋体" w:hAnsi="宋体" w:eastAsia="宋体" w:cs="宋体"/>
          <w:color w:val="auto"/>
          <w:kern w:val="2"/>
          <w:sz w:val="24"/>
          <w:szCs w:val="24"/>
        </w:rPr>
      </w:pPr>
    </w:p>
    <w:p>
      <w:pPr>
        <w:widowControl w:val="0"/>
        <w:adjustRightInd/>
        <w:snapToGrid/>
        <w:spacing w:line="240" w:lineRule="auto"/>
        <w:ind w:firstLine="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投标人：（盖章）</w:t>
      </w:r>
    </w:p>
    <w:p>
      <w:pPr>
        <w:widowControl w:val="0"/>
        <w:adjustRightInd/>
        <w:snapToGrid/>
        <w:spacing w:line="500" w:lineRule="exact"/>
        <w:ind w:firstLine="0" w:firstLineChars="0"/>
        <w:jc w:val="both"/>
        <w:rPr>
          <w:rFonts w:hint="eastAsia" w:ascii="宋体" w:hAnsi="宋体" w:eastAsia="宋体" w:cs="宋体"/>
          <w:color w:val="auto"/>
          <w:kern w:val="2"/>
          <w:sz w:val="24"/>
          <w:szCs w:val="24"/>
        </w:rPr>
      </w:pPr>
    </w:p>
    <w:p>
      <w:pPr>
        <w:widowControl w:val="0"/>
        <w:adjustRightInd/>
        <w:snapToGrid/>
        <w:spacing w:line="500" w:lineRule="exact"/>
        <w:ind w:firstLine="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法定代表人或委托代理人：（盖章）</w:t>
      </w:r>
    </w:p>
    <w:p>
      <w:pPr>
        <w:widowControl w:val="0"/>
        <w:adjustRightInd/>
        <w:snapToGrid/>
        <w:spacing w:line="240" w:lineRule="auto"/>
        <w:ind w:firstLine="0" w:firstLineChars="0"/>
        <w:jc w:val="both"/>
        <w:rPr>
          <w:rFonts w:hint="eastAsia" w:ascii="宋体" w:hAnsi="宋体" w:eastAsia="宋体" w:cs="宋体"/>
          <w:color w:val="auto"/>
          <w:kern w:val="2"/>
          <w:sz w:val="24"/>
          <w:szCs w:val="24"/>
        </w:rPr>
      </w:pPr>
    </w:p>
    <w:p>
      <w:pPr>
        <w:widowControl w:val="0"/>
        <w:adjustRightInd/>
        <w:snapToGrid/>
        <w:spacing w:line="240" w:lineRule="auto"/>
        <w:ind w:firstLine="0" w:firstLineChars="0"/>
        <w:jc w:val="both"/>
        <w:rPr>
          <w:rFonts w:hint="eastAsia" w:ascii="宋体" w:hAnsi="宋体" w:eastAsia="宋体" w:cs="宋体"/>
          <w:color w:val="auto"/>
          <w:kern w:val="2"/>
          <w:sz w:val="24"/>
          <w:szCs w:val="24"/>
        </w:rPr>
      </w:pPr>
    </w:p>
    <w:p>
      <w:pPr>
        <w:widowControl w:val="0"/>
        <w:adjustRightInd/>
        <w:snapToGrid/>
        <w:spacing w:line="240" w:lineRule="auto"/>
        <w:ind w:firstLine="0" w:firstLineChars="0"/>
        <w:jc w:val="both"/>
        <w:rPr>
          <w:rFonts w:hint="eastAsia" w:ascii="宋体" w:hAnsi="宋体" w:eastAsia="宋体" w:cs="宋体"/>
          <w:color w:val="auto"/>
          <w:kern w:val="2"/>
          <w:sz w:val="24"/>
          <w:szCs w:val="24"/>
        </w:rPr>
      </w:pPr>
    </w:p>
    <w:p>
      <w:pPr>
        <w:widowControl w:val="0"/>
        <w:wordWrap w:val="0"/>
        <w:adjustRightInd/>
        <w:snapToGrid/>
        <w:spacing w:line="240" w:lineRule="auto"/>
        <w:ind w:firstLine="0" w:firstLineChars="0"/>
        <w:jc w:val="righ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日期：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pPr>
        <w:widowControl w:val="0"/>
        <w:adjustRightInd/>
        <w:snapToGrid/>
        <w:spacing w:line="240" w:lineRule="auto"/>
        <w:ind w:firstLine="0" w:firstLineChars="0"/>
        <w:jc w:val="both"/>
        <w:rPr>
          <w:rFonts w:hint="eastAsia" w:ascii="宋体" w:hAnsi="宋体" w:eastAsia="宋体" w:cs="宋体"/>
          <w:color w:val="auto"/>
          <w:kern w:val="2"/>
          <w:sz w:val="21"/>
          <w:szCs w:val="24"/>
        </w:rPr>
      </w:pPr>
      <w:r>
        <w:rPr>
          <w:rFonts w:hint="eastAsia" w:ascii="宋体" w:hAnsi="宋体" w:eastAsia="宋体" w:cs="宋体"/>
          <w:color w:val="auto"/>
          <w:kern w:val="2"/>
          <w:sz w:val="21"/>
          <w:szCs w:val="24"/>
        </w:rPr>
        <w:t xml:space="preserve"> </w:t>
      </w:r>
    </w:p>
    <w:p>
      <w:pPr>
        <w:rPr>
          <w:rFonts w:hint="eastAsia" w:ascii="宋体" w:hAnsi="宋体" w:eastAsia="宋体" w:cs="宋体"/>
          <w:b/>
          <w:bCs/>
          <w:color w:val="auto"/>
          <w:kern w:val="2"/>
          <w:sz w:val="24"/>
          <w:szCs w:val="24"/>
        </w:rPr>
      </w:pPr>
      <w:bookmarkStart w:id="797" w:name="_Toc24905_WPSOffice_Level1"/>
      <w:bookmarkStart w:id="798" w:name="_Toc3930_WPSOffice_Level1"/>
      <w:bookmarkStart w:id="799" w:name="_Toc16585_WPSOffice_Level1"/>
      <w:r>
        <w:rPr>
          <w:rFonts w:hint="eastAsia" w:ascii="宋体" w:hAnsi="宋体" w:eastAsia="宋体" w:cs="宋体"/>
          <w:b/>
          <w:bCs/>
          <w:color w:val="auto"/>
          <w:kern w:val="2"/>
          <w:sz w:val="24"/>
          <w:szCs w:val="24"/>
        </w:rPr>
        <w:br w:type="page"/>
      </w:r>
    </w:p>
    <w:bookmarkEnd w:id="797"/>
    <w:bookmarkEnd w:id="798"/>
    <w:bookmarkEnd w:id="799"/>
    <w:p>
      <w:pPr>
        <w:widowControl w:val="0"/>
        <w:adjustRightInd/>
        <w:snapToGrid/>
        <w:ind w:firstLine="0" w:firstLineChars="0"/>
        <w:jc w:val="center"/>
        <w:rPr>
          <w:rFonts w:hint="eastAsia" w:ascii="宋体" w:hAnsi="宋体" w:eastAsia="宋体" w:cs="宋体"/>
          <w:b/>
          <w:color w:val="auto"/>
          <w:kern w:val="2"/>
          <w:sz w:val="24"/>
          <w:szCs w:val="18"/>
        </w:rPr>
      </w:pPr>
      <w:r>
        <w:rPr>
          <w:rFonts w:hint="eastAsia" w:ascii="宋体" w:hAnsi="宋体" w:eastAsia="宋体" w:cs="宋体"/>
          <w:b/>
          <w:color w:val="auto"/>
          <w:kern w:val="2"/>
          <w:sz w:val="24"/>
          <w:szCs w:val="18"/>
          <w:lang w:val="en-US" w:eastAsia="zh-CN"/>
        </w:rPr>
        <w:t>投标</w:t>
      </w:r>
      <w:r>
        <w:rPr>
          <w:rFonts w:hint="eastAsia" w:ascii="宋体" w:hAnsi="宋体" w:eastAsia="宋体" w:cs="宋体"/>
          <w:b/>
          <w:color w:val="auto"/>
          <w:kern w:val="2"/>
          <w:sz w:val="24"/>
          <w:szCs w:val="18"/>
        </w:rPr>
        <w:t>报价一览表</w:t>
      </w:r>
    </w:p>
    <w:p>
      <w:pPr>
        <w:widowControl w:val="0"/>
        <w:adjustRightInd/>
        <w:snapToGrid/>
        <w:ind w:firstLine="0" w:firstLineChars="0"/>
        <w:jc w:val="both"/>
        <w:rPr>
          <w:rFonts w:hint="eastAsia" w:ascii="宋体" w:hAnsi="宋体" w:eastAsia="宋体" w:cs="宋体"/>
          <w:color w:val="auto"/>
          <w:kern w:val="2"/>
          <w:sz w:val="24"/>
          <w:szCs w:val="24"/>
        </w:rPr>
      </w:pPr>
    </w:p>
    <w:p>
      <w:pPr>
        <w:widowControl w:val="0"/>
        <w:adjustRightInd/>
        <w:snapToGrid/>
        <w:ind w:firstLine="0" w:firstLineChars="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供应商名称：           采购文件编号：                 报价币种：人民币</w:t>
      </w:r>
    </w:p>
    <w:tbl>
      <w:tblPr>
        <w:tblStyle w:val="25"/>
        <w:tblW w:w="9174"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1831"/>
        <w:gridCol w:w="3288"/>
        <w:gridCol w:w="1741"/>
        <w:gridCol w:w="2314"/>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1831" w:type="dxa"/>
            <w:tcBorders>
              <w:bottom w:val="single" w:color="000000" w:sz="6" w:space="0"/>
              <w:right w:val="single" w:color="000000" w:sz="6" w:space="0"/>
            </w:tcBorders>
            <w:vAlign w:val="center"/>
          </w:tcPr>
          <w:p>
            <w:pPr>
              <w:pStyle w:val="32"/>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3288" w:type="dxa"/>
            <w:tcBorders>
              <w:left w:val="single" w:color="000000" w:sz="6" w:space="0"/>
              <w:bottom w:val="single" w:color="000000" w:sz="6" w:space="0"/>
              <w:right w:val="single" w:color="000000" w:sz="6" w:space="0"/>
            </w:tcBorders>
            <w:vAlign w:val="center"/>
          </w:tcPr>
          <w:p>
            <w:pPr>
              <w:pStyle w:val="32"/>
              <w:adjustRightInd w:val="0"/>
              <w:snapToGrid w:val="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响应总价</w:t>
            </w:r>
          </w:p>
        </w:tc>
        <w:tc>
          <w:tcPr>
            <w:tcW w:w="1741" w:type="dxa"/>
            <w:tcBorders>
              <w:left w:val="single" w:color="000000" w:sz="6" w:space="0"/>
              <w:bottom w:val="single" w:color="000000" w:sz="6" w:space="0"/>
              <w:right w:val="single" w:color="000000" w:sz="6" w:space="0"/>
            </w:tcBorders>
            <w:vAlign w:val="center"/>
          </w:tcPr>
          <w:p>
            <w:pPr>
              <w:pStyle w:val="32"/>
              <w:adjustRightInd w:val="0"/>
              <w:snapToGrid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工期</w:t>
            </w:r>
          </w:p>
        </w:tc>
        <w:tc>
          <w:tcPr>
            <w:tcW w:w="2314" w:type="dxa"/>
            <w:tcBorders>
              <w:left w:val="single" w:color="000000" w:sz="6" w:space="0"/>
              <w:bottom w:val="single" w:color="000000" w:sz="6" w:space="0"/>
            </w:tcBorders>
            <w:vAlign w:val="center"/>
          </w:tcPr>
          <w:p>
            <w:pPr>
              <w:pStyle w:val="32"/>
              <w:adjustRightInd w:val="0"/>
              <w:snapToGrid w:val="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质量标准</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1831" w:type="dxa"/>
            <w:tcBorders>
              <w:bottom w:val="single" w:color="000000" w:sz="6" w:space="0"/>
              <w:right w:val="single" w:color="000000" w:sz="6" w:space="0"/>
            </w:tcBorders>
            <w:vAlign w:val="center"/>
          </w:tcPr>
          <w:p>
            <w:pPr>
              <w:pStyle w:val="32"/>
              <w:adjustRightInd w:val="0"/>
              <w:snapToGrid w:val="0"/>
              <w:jc w:val="center"/>
              <w:rPr>
                <w:rFonts w:hint="eastAsia" w:asciiTheme="minorEastAsia" w:hAnsiTheme="minorEastAsia" w:eastAsiaTheme="minorEastAsia" w:cstheme="minorEastAsia"/>
                <w:sz w:val="24"/>
                <w:szCs w:val="24"/>
              </w:rPr>
            </w:pPr>
          </w:p>
        </w:tc>
        <w:tc>
          <w:tcPr>
            <w:tcW w:w="3288" w:type="dxa"/>
            <w:tcBorders>
              <w:left w:val="single" w:color="000000" w:sz="6" w:space="0"/>
              <w:bottom w:val="single" w:color="000000" w:sz="6" w:space="0"/>
              <w:right w:val="single" w:color="000000" w:sz="6" w:space="0"/>
            </w:tcBorders>
            <w:vAlign w:val="center"/>
          </w:tcPr>
          <w:p>
            <w:pPr>
              <w:pStyle w:val="32"/>
              <w:adjustRightInd w:val="0"/>
              <w:snapToGrid w:val="0"/>
              <w:jc w:val="center"/>
              <w:rPr>
                <w:rFonts w:hint="eastAsia" w:asciiTheme="minorEastAsia" w:hAnsiTheme="minorEastAsia" w:eastAsiaTheme="minorEastAsia" w:cstheme="minorEastAsia"/>
                <w:sz w:val="24"/>
                <w:szCs w:val="24"/>
                <w:lang w:val="en-US"/>
              </w:rPr>
            </w:pPr>
          </w:p>
        </w:tc>
        <w:tc>
          <w:tcPr>
            <w:tcW w:w="1741" w:type="dxa"/>
            <w:tcBorders>
              <w:left w:val="single" w:color="000000" w:sz="6" w:space="0"/>
              <w:bottom w:val="single" w:color="000000" w:sz="6" w:space="0"/>
              <w:right w:val="single" w:color="000000" w:sz="6" w:space="0"/>
            </w:tcBorders>
            <w:vAlign w:val="center"/>
          </w:tcPr>
          <w:p>
            <w:pPr>
              <w:pStyle w:val="32"/>
              <w:adjustRightInd w:val="0"/>
              <w:snapToGrid w:val="0"/>
              <w:jc w:val="center"/>
              <w:rPr>
                <w:rFonts w:hint="eastAsia" w:asciiTheme="minorEastAsia" w:hAnsiTheme="minorEastAsia" w:eastAsiaTheme="minorEastAsia" w:cstheme="minorEastAsia"/>
                <w:sz w:val="24"/>
                <w:szCs w:val="24"/>
                <w:lang w:val="en-US" w:eastAsia="zh-CN"/>
              </w:rPr>
            </w:pPr>
          </w:p>
        </w:tc>
        <w:tc>
          <w:tcPr>
            <w:tcW w:w="2314" w:type="dxa"/>
            <w:tcBorders>
              <w:left w:val="single" w:color="000000" w:sz="6" w:space="0"/>
              <w:bottom w:val="single" w:color="000000" w:sz="6" w:space="0"/>
            </w:tcBorders>
            <w:vAlign w:val="center"/>
          </w:tcPr>
          <w:p>
            <w:pPr>
              <w:pStyle w:val="32"/>
              <w:adjustRightInd w:val="0"/>
              <w:snapToGrid w:val="0"/>
              <w:jc w:val="center"/>
              <w:rPr>
                <w:rFonts w:hint="eastAsia" w:asciiTheme="minorEastAsia" w:hAnsiTheme="minorEastAsia" w:eastAsiaTheme="minorEastAsia" w:cstheme="minorEastAsia"/>
                <w:sz w:val="24"/>
                <w:szCs w:val="24"/>
                <w:lang w:val="en-US"/>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1831" w:type="dxa"/>
            <w:tcBorders>
              <w:top w:val="single" w:color="000000" w:sz="6" w:space="0"/>
              <w:bottom w:val="single" w:color="000000" w:sz="6" w:space="0"/>
              <w:right w:val="single" w:color="000000" w:sz="6" w:space="0"/>
            </w:tcBorders>
          </w:tcPr>
          <w:p>
            <w:pPr>
              <w:pStyle w:val="32"/>
              <w:spacing w:before="99" w:line="244" w:lineRule="auto"/>
              <w:ind w:left="92" w:right="130"/>
              <w:rPr>
                <w:rFonts w:hint="eastAsia" w:asciiTheme="minorEastAsia" w:hAnsiTheme="minorEastAsia" w:eastAsiaTheme="minorEastAsia" w:cstheme="minorEastAsia"/>
                <w:sz w:val="24"/>
                <w:szCs w:val="24"/>
              </w:rPr>
            </w:pPr>
          </w:p>
        </w:tc>
        <w:tc>
          <w:tcPr>
            <w:tcW w:w="3288" w:type="dxa"/>
            <w:tcBorders>
              <w:top w:val="single" w:color="000000" w:sz="6" w:space="0"/>
              <w:left w:val="single" w:color="000000" w:sz="6" w:space="0"/>
              <w:bottom w:val="single" w:color="000000" w:sz="6" w:space="0"/>
              <w:right w:val="single" w:color="000000" w:sz="6" w:space="0"/>
            </w:tcBorders>
            <w:vAlign w:val="center"/>
          </w:tcPr>
          <w:p>
            <w:pPr>
              <w:pStyle w:val="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小</w:t>
            </w:r>
            <w:r>
              <w:rPr>
                <w:rFonts w:hint="eastAsia" w:asciiTheme="minorEastAsia" w:hAnsiTheme="minorEastAsia" w:eastAsiaTheme="minorEastAsia" w:cstheme="minorEastAsia"/>
                <w:spacing w:val="-1"/>
                <w:sz w:val="24"/>
                <w:szCs w:val="24"/>
              </w:rPr>
              <w:t>写</w:t>
            </w:r>
            <w:r>
              <w:rPr>
                <w:rFonts w:hint="eastAsia" w:asciiTheme="minorEastAsia" w:hAnsiTheme="minorEastAsia" w:eastAsiaTheme="minorEastAsia" w:cstheme="minorEastAsia"/>
                <w:sz w:val="24"/>
                <w:szCs w:val="24"/>
              </w:rPr>
              <w:t>：</w:t>
            </w:r>
          </w:p>
          <w:p>
            <w:pPr>
              <w:pStyle w:val="32"/>
              <w:jc w:val="both"/>
              <w:rPr>
                <w:rFonts w:hint="eastAsia" w:asciiTheme="minorEastAsia" w:hAnsiTheme="minorEastAsia" w:eastAsiaTheme="minorEastAsia" w:cstheme="minorEastAsia"/>
                <w:sz w:val="24"/>
                <w:szCs w:val="24"/>
              </w:rPr>
            </w:pPr>
          </w:p>
          <w:p>
            <w:pPr>
              <w:pStyle w:val="32"/>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pacing w:val="-3"/>
                <w:sz w:val="24"/>
                <w:szCs w:val="24"/>
              </w:rPr>
              <w:t>：</w:t>
            </w:r>
          </w:p>
          <w:p>
            <w:pPr>
              <w:pStyle w:val="32"/>
              <w:spacing w:before="5"/>
              <w:ind w:left="8"/>
              <w:jc w:val="both"/>
              <w:rPr>
                <w:rFonts w:hint="eastAsia" w:asciiTheme="minorEastAsia" w:hAnsiTheme="minorEastAsia" w:eastAsiaTheme="minorEastAsia" w:cstheme="minorEastAsia"/>
                <w:sz w:val="24"/>
                <w:szCs w:val="24"/>
              </w:rPr>
            </w:pPr>
          </w:p>
        </w:tc>
        <w:tc>
          <w:tcPr>
            <w:tcW w:w="1741" w:type="dxa"/>
            <w:tcBorders>
              <w:top w:val="single" w:color="000000" w:sz="6" w:space="0"/>
              <w:left w:val="single" w:color="000000" w:sz="6" w:space="0"/>
              <w:bottom w:val="single" w:color="000000" w:sz="6" w:space="0"/>
              <w:right w:val="single" w:color="000000" w:sz="6" w:space="0"/>
            </w:tcBorders>
          </w:tcPr>
          <w:p>
            <w:pPr>
              <w:pStyle w:val="32"/>
              <w:spacing w:before="5"/>
              <w:ind w:right="60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签订合同之日起至2023年10月31日竣工完成</w:t>
            </w:r>
          </w:p>
        </w:tc>
        <w:tc>
          <w:tcPr>
            <w:tcW w:w="2314" w:type="dxa"/>
            <w:tcBorders>
              <w:top w:val="single" w:color="000000" w:sz="6" w:space="0"/>
              <w:left w:val="single" w:color="000000" w:sz="6" w:space="0"/>
              <w:bottom w:val="single" w:color="000000" w:sz="6" w:space="0"/>
            </w:tcBorders>
            <w:vAlign w:val="center"/>
          </w:tcPr>
          <w:p>
            <w:pPr>
              <w:pStyle w:val="32"/>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合格</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1831" w:type="dxa"/>
            <w:tcBorders>
              <w:top w:val="single" w:color="000000" w:sz="6" w:space="0"/>
              <w:right w:val="single" w:color="000000" w:sz="6" w:space="0"/>
            </w:tcBorders>
          </w:tcPr>
          <w:p>
            <w:pPr>
              <w:pStyle w:val="32"/>
              <w:spacing w:before="142"/>
              <w:ind w:left="92"/>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备注：</w:t>
            </w:r>
          </w:p>
        </w:tc>
        <w:tc>
          <w:tcPr>
            <w:tcW w:w="7343" w:type="dxa"/>
            <w:gridSpan w:val="3"/>
            <w:tcBorders>
              <w:top w:val="single" w:color="000000" w:sz="6" w:space="0"/>
              <w:left w:val="single" w:color="000000" w:sz="6" w:space="0"/>
            </w:tcBorders>
          </w:tcPr>
          <w:p>
            <w:pPr>
              <w:pStyle w:val="32"/>
              <w:tabs>
                <w:tab w:val="left" w:pos="1837"/>
                <w:tab w:val="left" w:pos="2313"/>
                <w:tab w:val="left" w:pos="4040"/>
              </w:tabs>
              <w:spacing w:before="142"/>
              <w:ind w:left="107"/>
              <w:rPr>
                <w:rFonts w:hint="eastAsia" w:asciiTheme="minorEastAsia" w:hAnsiTheme="minorEastAsia" w:eastAsiaTheme="minorEastAsia" w:cstheme="minorEastAsia"/>
                <w:sz w:val="24"/>
                <w:szCs w:val="24"/>
              </w:rPr>
            </w:pPr>
          </w:p>
        </w:tc>
      </w:tr>
    </w:tbl>
    <w:p>
      <w:pPr>
        <w:spacing w:before="15" w:line="360" w:lineRule="auto"/>
        <w:ind w:left="3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 1：本表中的</w:t>
      </w:r>
      <w:r>
        <w:rPr>
          <w:rFonts w:hint="eastAsia" w:asciiTheme="minorEastAsia" w:hAnsiTheme="minorEastAsia" w:eastAsiaTheme="minorEastAsia" w:cstheme="minorEastAsia"/>
          <w:sz w:val="24"/>
          <w:szCs w:val="24"/>
          <w:lang w:val="en-US"/>
        </w:rPr>
        <w:t>总价</w:t>
      </w:r>
      <w:r>
        <w:rPr>
          <w:rFonts w:hint="eastAsia" w:asciiTheme="minorEastAsia" w:hAnsiTheme="minorEastAsia" w:eastAsiaTheme="minorEastAsia" w:cstheme="minorEastAsia"/>
          <w:sz w:val="24"/>
          <w:szCs w:val="24"/>
        </w:rPr>
        <w:t>应与分项报价表中的相应报价完全一致。</w:t>
      </w:r>
    </w:p>
    <w:p>
      <w:pPr>
        <w:spacing w:before="2" w:line="360" w:lineRule="auto"/>
        <w:ind w:left="360" w:right="-5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 xml:space="preserve">注 </w:t>
      </w:r>
      <w:r>
        <w:rPr>
          <w:rFonts w:hint="eastAsia" w:asciiTheme="minorEastAsia" w:hAnsiTheme="minorEastAsia" w:eastAsiaTheme="minorEastAsia" w:cstheme="minorEastAsia"/>
          <w:spacing w:val="-22"/>
          <w:sz w:val="24"/>
          <w:szCs w:val="24"/>
        </w:rPr>
        <w:t>2</w:t>
      </w:r>
      <w:r>
        <w:rPr>
          <w:rFonts w:hint="eastAsia" w:asciiTheme="minorEastAsia" w:hAnsiTheme="minorEastAsia" w:eastAsiaTheme="minorEastAsia" w:cstheme="minorEastAsia"/>
          <w:spacing w:val="-14"/>
          <w:sz w:val="24"/>
          <w:szCs w:val="24"/>
        </w:rPr>
        <w:t>：此表中，总价应是所投工程的费用总和，包括</w:t>
      </w:r>
      <w:r>
        <w:rPr>
          <w:rFonts w:hint="eastAsia" w:asciiTheme="minorEastAsia" w:hAnsiTheme="minorEastAsia" w:eastAsiaTheme="minorEastAsia" w:cstheme="minorEastAsia"/>
          <w:spacing w:val="-14"/>
          <w:sz w:val="24"/>
          <w:szCs w:val="24"/>
          <w:lang w:val="en-US"/>
        </w:rPr>
        <w:t>本项目采购需求和采购合同中要求的全部内容</w:t>
      </w:r>
      <w:r>
        <w:rPr>
          <w:rFonts w:hint="eastAsia" w:asciiTheme="minorEastAsia" w:hAnsiTheme="minorEastAsia" w:eastAsiaTheme="minorEastAsia" w:cstheme="minorEastAsia"/>
          <w:spacing w:val="-7"/>
          <w:sz w:val="24"/>
          <w:szCs w:val="24"/>
        </w:rPr>
        <w:t>。</w:t>
      </w:r>
    </w:p>
    <w:p>
      <w:pPr>
        <w:spacing w:line="360" w:lineRule="auto"/>
        <w:ind w:left="360" w:right="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 3：如有优惠折扣申明，请在此表中列出。</w:t>
      </w:r>
    </w:p>
    <w:p>
      <w:pPr>
        <w:pStyle w:val="12"/>
        <w:rPr>
          <w:rFonts w:hint="eastAsia" w:asciiTheme="minorEastAsia" w:hAnsiTheme="minorEastAsia" w:eastAsiaTheme="minorEastAsia" w:cstheme="minorEastAsia"/>
          <w:sz w:val="24"/>
          <w:szCs w:val="24"/>
        </w:rPr>
      </w:pPr>
    </w:p>
    <w:p>
      <w:pPr>
        <w:pStyle w:val="12"/>
        <w:rPr>
          <w:rFonts w:hint="eastAsia" w:asciiTheme="minorEastAsia" w:hAnsiTheme="minorEastAsia" w:eastAsiaTheme="minorEastAsia" w:cstheme="minorEastAsia"/>
          <w:sz w:val="24"/>
          <w:szCs w:val="24"/>
        </w:rPr>
      </w:pPr>
    </w:p>
    <w:p>
      <w:pPr>
        <w:pStyle w:val="12"/>
        <w:spacing w:before="11"/>
        <w:rPr>
          <w:rFonts w:hint="eastAsia" w:asciiTheme="minorEastAsia" w:hAnsiTheme="minorEastAsia" w:eastAsiaTheme="minorEastAsia" w:cstheme="minorEastAsia"/>
          <w:sz w:val="24"/>
          <w:szCs w:val="24"/>
        </w:rPr>
      </w:pPr>
    </w:p>
    <w:p>
      <w:pPr>
        <w:pStyle w:val="12"/>
        <w:tabs>
          <w:tab w:val="left" w:pos="1920"/>
          <w:tab w:val="left" w:pos="3840"/>
        </w:tabs>
        <w:spacing w:line="360" w:lineRule="auto"/>
        <w:ind w:left="3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single"/>
        </w:rPr>
        <w:t>（公章）</w:t>
      </w:r>
    </w:p>
    <w:p>
      <w:pPr>
        <w:pStyle w:val="12"/>
        <w:tabs>
          <w:tab w:val="left" w:pos="1560"/>
          <w:tab w:val="left" w:pos="2160"/>
          <w:tab w:val="left" w:pos="4320"/>
          <w:tab w:val="left" w:pos="6841"/>
        </w:tabs>
        <w:spacing w:before="161" w:line="360" w:lineRule="auto"/>
        <w:ind w:left="360" w:right="-5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（签字或盖章）</w:t>
      </w:r>
    </w:p>
    <w:p>
      <w:pPr>
        <w:pStyle w:val="12"/>
        <w:tabs>
          <w:tab w:val="left" w:pos="1560"/>
          <w:tab w:val="left" w:pos="2160"/>
          <w:tab w:val="left" w:pos="4320"/>
          <w:tab w:val="left" w:pos="6841"/>
        </w:tabs>
        <w:spacing w:before="161" w:line="360" w:lineRule="auto"/>
        <w:ind w:left="360" w:right="306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pacing w:line="360" w:lineRule="auto"/>
        <w:rPr>
          <w:rFonts w:hint="eastAsia" w:asciiTheme="minorEastAsia" w:hAnsiTheme="minorEastAsia" w:eastAsiaTheme="minorEastAsia" w:cstheme="minorEastAsia"/>
          <w:sz w:val="21"/>
          <w:szCs w:val="21"/>
        </w:rPr>
        <w:sectPr>
          <w:footerReference r:id="rId11" w:type="default"/>
          <w:pgSz w:w="11910" w:h="16850"/>
          <w:pgMar w:top="1440" w:right="1800" w:bottom="1440" w:left="1800" w:header="720" w:footer="720" w:gutter="0"/>
          <w:pgNumType w:fmt="decimal"/>
          <w:cols w:space="720" w:num="1"/>
        </w:sectPr>
      </w:pPr>
    </w:p>
    <w:p>
      <w:pPr>
        <w:pStyle w:val="12"/>
        <w:spacing w:before="1"/>
        <w:rPr>
          <w:rFonts w:hint="eastAsia" w:asciiTheme="minorEastAsia" w:hAnsiTheme="minorEastAsia" w:eastAsiaTheme="minorEastAsia" w:cstheme="minorEastAsia"/>
          <w:b/>
          <w:sz w:val="21"/>
          <w:szCs w:val="21"/>
        </w:rPr>
      </w:pPr>
    </w:p>
    <w:p>
      <w:pPr>
        <w:pStyle w:val="12"/>
        <w:spacing w:before="7"/>
        <w:jc w:val="center"/>
        <w:rPr>
          <w:rFonts w:hint="eastAsia" w:asciiTheme="minorEastAsia" w:hAnsiTheme="minorEastAsia" w:eastAsiaTheme="minorEastAsia" w:cstheme="minorEastAsia"/>
          <w:b/>
          <w:bCs/>
          <w:sz w:val="20"/>
          <w:szCs w:val="20"/>
          <w:lang w:val="en-US"/>
        </w:rPr>
      </w:pPr>
      <w:r>
        <w:rPr>
          <w:rFonts w:hint="eastAsia" w:asciiTheme="minorEastAsia" w:hAnsiTheme="minorEastAsia" w:eastAsiaTheme="minorEastAsia" w:cstheme="minorEastAsia"/>
          <w:b/>
          <w:bCs/>
          <w:sz w:val="24"/>
          <w:szCs w:val="24"/>
          <w:lang w:val="en-US"/>
        </w:rPr>
        <w:t>分项报价表</w:t>
      </w:r>
    </w:p>
    <w:p>
      <w:pPr>
        <w:widowControl w:val="0"/>
        <w:adjustRightInd/>
        <w:snapToGrid/>
        <w:ind w:firstLine="0" w:firstLineChars="0"/>
        <w:jc w:val="both"/>
        <w:rPr>
          <w:rFonts w:hint="eastAsia" w:ascii="宋体" w:hAnsi="宋体" w:eastAsia="宋体" w:cs="宋体"/>
          <w:color w:val="auto"/>
          <w:kern w:val="2"/>
          <w:szCs w:val="20"/>
        </w:rPr>
      </w:pPr>
      <w:r>
        <w:rPr>
          <w:rFonts w:hint="eastAsia" w:asciiTheme="minorEastAsia" w:hAnsiTheme="minorEastAsia" w:eastAsiaTheme="minorEastAsia" w:cstheme="minorEastAsia"/>
          <w:u w:val="single"/>
          <w:lang w:val="en-US"/>
        </w:rPr>
        <w:t>按本项目工程量清单规定的格式填写</w:t>
      </w:r>
    </w:p>
    <w:p>
      <w:pPr>
        <w:numPr>
          <w:ilvl w:val="0"/>
          <w:numId w:val="0"/>
        </w:numPr>
        <w:rPr>
          <w:rFonts w:hint="eastAsia" w:ascii="宋体" w:hAnsi="宋体" w:eastAsia="宋体" w:cs="宋体"/>
          <w:b/>
          <w:color w:val="auto"/>
          <w:kern w:val="2"/>
          <w:sz w:val="24"/>
          <w:szCs w:val="22"/>
        </w:rPr>
      </w:pPr>
    </w:p>
    <w:p>
      <w:pPr>
        <w:numPr>
          <w:ilvl w:val="0"/>
          <w:numId w:val="0"/>
        </w:numPr>
        <w:rPr>
          <w:rFonts w:hint="eastAsia" w:ascii="宋体" w:hAnsi="宋体" w:eastAsia="宋体" w:cs="宋体"/>
          <w:b/>
          <w:color w:val="auto"/>
          <w:kern w:val="2"/>
          <w:sz w:val="24"/>
          <w:szCs w:val="22"/>
        </w:rPr>
      </w:pPr>
    </w:p>
    <w:p>
      <w:pPr>
        <w:jc w:val="left"/>
        <w:rPr>
          <w:rFonts w:hint="eastAsia" w:ascii="宋体" w:hAnsi="宋体" w:eastAsia="宋体" w:cs="宋体"/>
          <w:color w:val="auto"/>
          <w:sz w:val="24"/>
          <w:szCs w:val="22"/>
          <w:lang w:val="zh-CN"/>
        </w:rPr>
      </w:pPr>
      <w:r>
        <w:rPr>
          <w:rFonts w:hint="eastAsia" w:ascii="宋体" w:hAnsi="宋体" w:eastAsia="宋体" w:cs="宋体"/>
          <w:b/>
          <w:bCs/>
          <w:color w:val="auto"/>
          <w:sz w:val="24"/>
          <w:szCs w:val="32"/>
        </w:rPr>
        <w:br w:type="page"/>
      </w:r>
    </w:p>
    <w:p>
      <w:pPr>
        <w:spacing w:line="420" w:lineRule="exact"/>
        <w:jc w:val="center"/>
        <w:rPr>
          <w:rFonts w:hint="eastAsia" w:ascii="宋体" w:hAnsi="宋体" w:eastAsia="宋体" w:cs="宋体"/>
          <w:color w:val="auto"/>
          <w:szCs w:val="21"/>
        </w:rPr>
      </w:pPr>
      <w:r>
        <w:rPr>
          <w:rFonts w:hint="eastAsia" w:ascii="宋体" w:hAnsi="宋体" w:eastAsia="宋体" w:cs="宋体"/>
          <w:b/>
          <w:bCs/>
          <w:color w:val="auto"/>
          <w:sz w:val="24"/>
          <w:szCs w:val="24"/>
        </w:rPr>
        <w:t>拟投入项目管理人员情况表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976"/>
        <w:gridCol w:w="2031"/>
        <w:gridCol w:w="1161"/>
        <w:gridCol w:w="1834"/>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609"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姓名</w:t>
            </w:r>
          </w:p>
        </w:tc>
        <w:tc>
          <w:tcPr>
            <w:tcW w:w="976"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年龄</w:t>
            </w:r>
          </w:p>
        </w:tc>
        <w:tc>
          <w:tcPr>
            <w:tcW w:w="2031"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拟在本项目中担任的职务</w:t>
            </w:r>
          </w:p>
        </w:tc>
        <w:tc>
          <w:tcPr>
            <w:tcW w:w="1161"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技术职称</w:t>
            </w:r>
          </w:p>
        </w:tc>
        <w:tc>
          <w:tcPr>
            <w:tcW w:w="1834"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工作年限</w:t>
            </w:r>
          </w:p>
        </w:tc>
        <w:tc>
          <w:tcPr>
            <w:tcW w:w="1636"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类似施工经验年限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09" w:type="dxa"/>
            <w:noWrap w:val="0"/>
            <w:vAlign w:val="center"/>
          </w:tcPr>
          <w:p>
            <w:pPr>
              <w:spacing w:line="400" w:lineRule="atLeast"/>
              <w:jc w:val="center"/>
              <w:rPr>
                <w:rFonts w:hint="eastAsia" w:ascii="宋体" w:hAnsi="宋体" w:eastAsia="宋体" w:cs="宋体"/>
                <w:color w:val="auto"/>
                <w:sz w:val="21"/>
                <w:szCs w:val="21"/>
              </w:rPr>
            </w:pPr>
          </w:p>
        </w:tc>
        <w:tc>
          <w:tcPr>
            <w:tcW w:w="976" w:type="dxa"/>
            <w:noWrap w:val="0"/>
            <w:vAlign w:val="center"/>
          </w:tcPr>
          <w:p>
            <w:pPr>
              <w:spacing w:line="400" w:lineRule="atLeast"/>
              <w:jc w:val="center"/>
              <w:rPr>
                <w:rFonts w:hint="eastAsia" w:ascii="宋体" w:hAnsi="宋体" w:eastAsia="宋体" w:cs="宋体"/>
                <w:color w:val="auto"/>
                <w:sz w:val="21"/>
                <w:szCs w:val="21"/>
              </w:rPr>
            </w:pPr>
          </w:p>
        </w:tc>
        <w:tc>
          <w:tcPr>
            <w:tcW w:w="2031" w:type="dxa"/>
            <w:noWrap w:val="0"/>
            <w:vAlign w:val="center"/>
          </w:tcPr>
          <w:p>
            <w:pPr>
              <w:spacing w:line="400" w:lineRule="atLeast"/>
              <w:jc w:val="center"/>
              <w:rPr>
                <w:rFonts w:hint="eastAsia" w:ascii="宋体" w:hAnsi="宋体" w:eastAsia="宋体" w:cs="宋体"/>
                <w:color w:val="auto"/>
                <w:sz w:val="21"/>
                <w:szCs w:val="21"/>
              </w:rPr>
            </w:pPr>
          </w:p>
        </w:tc>
        <w:tc>
          <w:tcPr>
            <w:tcW w:w="1161" w:type="dxa"/>
            <w:noWrap w:val="0"/>
            <w:vAlign w:val="center"/>
          </w:tcPr>
          <w:p>
            <w:pPr>
              <w:spacing w:line="400" w:lineRule="atLeast"/>
              <w:jc w:val="center"/>
              <w:rPr>
                <w:rFonts w:hint="eastAsia" w:ascii="宋体" w:hAnsi="宋体" w:eastAsia="宋体" w:cs="宋体"/>
                <w:color w:val="auto"/>
                <w:sz w:val="21"/>
                <w:szCs w:val="21"/>
              </w:rPr>
            </w:pPr>
          </w:p>
        </w:tc>
        <w:tc>
          <w:tcPr>
            <w:tcW w:w="1834" w:type="dxa"/>
            <w:noWrap w:val="0"/>
            <w:vAlign w:val="center"/>
          </w:tcPr>
          <w:p>
            <w:pPr>
              <w:spacing w:line="400" w:lineRule="atLeast"/>
              <w:jc w:val="center"/>
              <w:rPr>
                <w:rFonts w:hint="eastAsia" w:ascii="宋体" w:hAnsi="宋体" w:eastAsia="宋体" w:cs="宋体"/>
                <w:color w:val="auto"/>
                <w:sz w:val="21"/>
                <w:szCs w:val="21"/>
              </w:rPr>
            </w:pPr>
          </w:p>
        </w:tc>
        <w:tc>
          <w:tcPr>
            <w:tcW w:w="1636" w:type="dxa"/>
            <w:noWrap w:val="0"/>
            <w:vAlign w:val="center"/>
          </w:tcPr>
          <w:p>
            <w:pPr>
              <w:spacing w:line="400" w:lineRule="atLeas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09" w:type="dxa"/>
            <w:noWrap w:val="0"/>
            <w:vAlign w:val="center"/>
          </w:tcPr>
          <w:p>
            <w:pPr>
              <w:spacing w:line="400" w:lineRule="atLeast"/>
              <w:jc w:val="center"/>
              <w:rPr>
                <w:rFonts w:hint="eastAsia" w:ascii="宋体" w:hAnsi="宋体" w:eastAsia="宋体" w:cs="宋体"/>
                <w:color w:val="auto"/>
                <w:sz w:val="21"/>
                <w:szCs w:val="21"/>
              </w:rPr>
            </w:pPr>
          </w:p>
        </w:tc>
        <w:tc>
          <w:tcPr>
            <w:tcW w:w="976" w:type="dxa"/>
            <w:noWrap w:val="0"/>
            <w:vAlign w:val="center"/>
          </w:tcPr>
          <w:p>
            <w:pPr>
              <w:spacing w:line="400" w:lineRule="atLeast"/>
              <w:jc w:val="center"/>
              <w:rPr>
                <w:rFonts w:hint="eastAsia" w:ascii="宋体" w:hAnsi="宋体" w:eastAsia="宋体" w:cs="宋体"/>
                <w:color w:val="auto"/>
                <w:sz w:val="21"/>
                <w:szCs w:val="21"/>
              </w:rPr>
            </w:pPr>
          </w:p>
        </w:tc>
        <w:tc>
          <w:tcPr>
            <w:tcW w:w="2031" w:type="dxa"/>
            <w:noWrap w:val="0"/>
            <w:vAlign w:val="center"/>
          </w:tcPr>
          <w:p>
            <w:pPr>
              <w:spacing w:line="400" w:lineRule="atLeast"/>
              <w:jc w:val="center"/>
              <w:rPr>
                <w:rFonts w:hint="eastAsia" w:ascii="宋体" w:hAnsi="宋体" w:eastAsia="宋体" w:cs="宋体"/>
                <w:color w:val="auto"/>
                <w:sz w:val="21"/>
                <w:szCs w:val="21"/>
              </w:rPr>
            </w:pPr>
          </w:p>
        </w:tc>
        <w:tc>
          <w:tcPr>
            <w:tcW w:w="1161" w:type="dxa"/>
            <w:noWrap w:val="0"/>
            <w:vAlign w:val="center"/>
          </w:tcPr>
          <w:p>
            <w:pPr>
              <w:spacing w:line="400" w:lineRule="atLeast"/>
              <w:jc w:val="center"/>
              <w:rPr>
                <w:rFonts w:hint="eastAsia" w:ascii="宋体" w:hAnsi="宋体" w:eastAsia="宋体" w:cs="宋体"/>
                <w:color w:val="auto"/>
                <w:sz w:val="21"/>
                <w:szCs w:val="21"/>
              </w:rPr>
            </w:pPr>
          </w:p>
        </w:tc>
        <w:tc>
          <w:tcPr>
            <w:tcW w:w="1834" w:type="dxa"/>
            <w:noWrap w:val="0"/>
            <w:vAlign w:val="center"/>
          </w:tcPr>
          <w:p>
            <w:pPr>
              <w:spacing w:line="400" w:lineRule="atLeast"/>
              <w:jc w:val="center"/>
              <w:rPr>
                <w:rFonts w:hint="eastAsia" w:ascii="宋体" w:hAnsi="宋体" w:eastAsia="宋体" w:cs="宋体"/>
                <w:color w:val="auto"/>
                <w:sz w:val="21"/>
                <w:szCs w:val="21"/>
              </w:rPr>
            </w:pPr>
          </w:p>
        </w:tc>
        <w:tc>
          <w:tcPr>
            <w:tcW w:w="1636" w:type="dxa"/>
            <w:noWrap w:val="0"/>
            <w:vAlign w:val="center"/>
          </w:tcPr>
          <w:p>
            <w:pPr>
              <w:spacing w:line="400" w:lineRule="atLeas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09" w:type="dxa"/>
            <w:noWrap w:val="0"/>
            <w:vAlign w:val="center"/>
          </w:tcPr>
          <w:p>
            <w:pPr>
              <w:spacing w:line="400" w:lineRule="atLeast"/>
              <w:jc w:val="center"/>
              <w:rPr>
                <w:rFonts w:hint="eastAsia" w:ascii="宋体" w:hAnsi="宋体" w:eastAsia="宋体" w:cs="宋体"/>
                <w:color w:val="auto"/>
                <w:sz w:val="21"/>
                <w:szCs w:val="21"/>
              </w:rPr>
            </w:pPr>
          </w:p>
        </w:tc>
        <w:tc>
          <w:tcPr>
            <w:tcW w:w="976" w:type="dxa"/>
            <w:noWrap w:val="0"/>
            <w:vAlign w:val="center"/>
          </w:tcPr>
          <w:p>
            <w:pPr>
              <w:spacing w:line="400" w:lineRule="atLeast"/>
              <w:jc w:val="center"/>
              <w:rPr>
                <w:rFonts w:hint="eastAsia" w:ascii="宋体" w:hAnsi="宋体" w:eastAsia="宋体" w:cs="宋体"/>
                <w:color w:val="auto"/>
                <w:sz w:val="21"/>
                <w:szCs w:val="21"/>
              </w:rPr>
            </w:pPr>
          </w:p>
        </w:tc>
        <w:tc>
          <w:tcPr>
            <w:tcW w:w="2031" w:type="dxa"/>
            <w:noWrap w:val="0"/>
            <w:vAlign w:val="center"/>
          </w:tcPr>
          <w:p>
            <w:pPr>
              <w:spacing w:line="400" w:lineRule="atLeast"/>
              <w:jc w:val="center"/>
              <w:rPr>
                <w:rFonts w:hint="eastAsia" w:ascii="宋体" w:hAnsi="宋体" w:eastAsia="宋体" w:cs="宋体"/>
                <w:color w:val="auto"/>
                <w:sz w:val="21"/>
                <w:szCs w:val="21"/>
              </w:rPr>
            </w:pPr>
          </w:p>
        </w:tc>
        <w:tc>
          <w:tcPr>
            <w:tcW w:w="1161" w:type="dxa"/>
            <w:noWrap w:val="0"/>
            <w:vAlign w:val="center"/>
          </w:tcPr>
          <w:p>
            <w:pPr>
              <w:spacing w:line="400" w:lineRule="atLeast"/>
              <w:jc w:val="center"/>
              <w:rPr>
                <w:rFonts w:hint="eastAsia" w:ascii="宋体" w:hAnsi="宋体" w:eastAsia="宋体" w:cs="宋体"/>
                <w:color w:val="auto"/>
                <w:sz w:val="21"/>
                <w:szCs w:val="21"/>
              </w:rPr>
            </w:pPr>
          </w:p>
        </w:tc>
        <w:tc>
          <w:tcPr>
            <w:tcW w:w="1834" w:type="dxa"/>
            <w:noWrap w:val="0"/>
            <w:vAlign w:val="center"/>
          </w:tcPr>
          <w:p>
            <w:pPr>
              <w:spacing w:line="400" w:lineRule="atLeast"/>
              <w:jc w:val="center"/>
              <w:rPr>
                <w:rFonts w:hint="eastAsia" w:ascii="宋体" w:hAnsi="宋体" w:eastAsia="宋体" w:cs="宋体"/>
                <w:color w:val="auto"/>
                <w:sz w:val="21"/>
                <w:szCs w:val="21"/>
              </w:rPr>
            </w:pPr>
          </w:p>
        </w:tc>
        <w:tc>
          <w:tcPr>
            <w:tcW w:w="1636" w:type="dxa"/>
            <w:noWrap w:val="0"/>
            <w:vAlign w:val="center"/>
          </w:tcPr>
          <w:p>
            <w:pPr>
              <w:spacing w:line="400" w:lineRule="atLeas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09" w:type="dxa"/>
            <w:noWrap w:val="0"/>
            <w:vAlign w:val="center"/>
          </w:tcPr>
          <w:p>
            <w:pPr>
              <w:spacing w:line="400" w:lineRule="atLeast"/>
              <w:jc w:val="center"/>
              <w:rPr>
                <w:rFonts w:hint="eastAsia" w:ascii="宋体" w:hAnsi="宋体" w:eastAsia="宋体" w:cs="宋体"/>
                <w:color w:val="auto"/>
                <w:sz w:val="21"/>
                <w:szCs w:val="21"/>
              </w:rPr>
            </w:pPr>
          </w:p>
        </w:tc>
        <w:tc>
          <w:tcPr>
            <w:tcW w:w="976" w:type="dxa"/>
            <w:noWrap w:val="0"/>
            <w:vAlign w:val="center"/>
          </w:tcPr>
          <w:p>
            <w:pPr>
              <w:spacing w:line="400" w:lineRule="atLeast"/>
              <w:jc w:val="center"/>
              <w:rPr>
                <w:rFonts w:hint="eastAsia" w:ascii="宋体" w:hAnsi="宋体" w:eastAsia="宋体" w:cs="宋体"/>
                <w:color w:val="auto"/>
                <w:sz w:val="21"/>
                <w:szCs w:val="21"/>
              </w:rPr>
            </w:pPr>
          </w:p>
        </w:tc>
        <w:tc>
          <w:tcPr>
            <w:tcW w:w="2031" w:type="dxa"/>
            <w:noWrap w:val="0"/>
            <w:vAlign w:val="center"/>
          </w:tcPr>
          <w:p>
            <w:pPr>
              <w:spacing w:line="400" w:lineRule="atLeast"/>
              <w:jc w:val="center"/>
              <w:rPr>
                <w:rFonts w:hint="eastAsia" w:ascii="宋体" w:hAnsi="宋体" w:eastAsia="宋体" w:cs="宋体"/>
                <w:color w:val="auto"/>
                <w:sz w:val="21"/>
                <w:szCs w:val="21"/>
              </w:rPr>
            </w:pPr>
          </w:p>
        </w:tc>
        <w:tc>
          <w:tcPr>
            <w:tcW w:w="1161" w:type="dxa"/>
            <w:noWrap w:val="0"/>
            <w:vAlign w:val="center"/>
          </w:tcPr>
          <w:p>
            <w:pPr>
              <w:spacing w:line="400" w:lineRule="atLeast"/>
              <w:jc w:val="center"/>
              <w:rPr>
                <w:rFonts w:hint="eastAsia" w:ascii="宋体" w:hAnsi="宋体" w:eastAsia="宋体" w:cs="宋体"/>
                <w:color w:val="auto"/>
                <w:sz w:val="21"/>
                <w:szCs w:val="21"/>
              </w:rPr>
            </w:pPr>
          </w:p>
        </w:tc>
        <w:tc>
          <w:tcPr>
            <w:tcW w:w="1834" w:type="dxa"/>
            <w:noWrap w:val="0"/>
            <w:vAlign w:val="center"/>
          </w:tcPr>
          <w:p>
            <w:pPr>
              <w:spacing w:line="400" w:lineRule="atLeast"/>
              <w:jc w:val="center"/>
              <w:rPr>
                <w:rFonts w:hint="eastAsia" w:ascii="宋体" w:hAnsi="宋体" w:eastAsia="宋体" w:cs="宋体"/>
                <w:color w:val="auto"/>
                <w:sz w:val="21"/>
                <w:szCs w:val="21"/>
              </w:rPr>
            </w:pPr>
          </w:p>
        </w:tc>
        <w:tc>
          <w:tcPr>
            <w:tcW w:w="1636" w:type="dxa"/>
            <w:noWrap w:val="0"/>
            <w:vAlign w:val="center"/>
          </w:tcPr>
          <w:p>
            <w:pPr>
              <w:spacing w:line="400" w:lineRule="atLeas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609" w:type="dxa"/>
            <w:noWrap w:val="0"/>
            <w:vAlign w:val="center"/>
          </w:tcPr>
          <w:p>
            <w:pPr>
              <w:spacing w:line="400" w:lineRule="atLeast"/>
              <w:jc w:val="center"/>
              <w:rPr>
                <w:rFonts w:hint="eastAsia" w:ascii="宋体" w:hAnsi="宋体" w:eastAsia="宋体" w:cs="宋体"/>
                <w:color w:val="auto"/>
                <w:sz w:val="21"/>
                <w:szCs w:val="21"/>
              </w:rPr>
            </w:pPr>
          </w:p>
        </w:tc>
        <w:tc>
          <w:tcPr>
            <w:tcW w:w="976" w:type="dxa"/>
            <w:noWrap w:val="0"/>
            <w:vAlign w:val="center"/>
          </w:tcPr>
          <w:p>
            <w:pPr>
              <w:spacing w:line="400" w:lineRule="atLeast"/>
              <w:jc w:val="center"/>
              <w:rPr>
                <w:rFonts w:hint="eastAsia" w:ascii="宋体" w:hAnsi="宋体" w:eastAsia="宋体" w:cs="宋体"/>
                <w:color w:val="auto"/>
                <w:sz w:val="21"/>
                <w:szCs w:val="21"/>
              </w:rPr>
            </w:pPr>
          </w:p>
        </w:tc>
        <w:tc>
          <w:tcPr>
            <w:tcW w:w="2031" w:type="dxa"/>
            <w:noWrap w:val="0"/>
            <w:vAlign w:val="center"/>
          </w:tcPr>
          <w:p>
            <w:pPr>
              <w:spacing w:line="400" w:lineRule="atLeast"/>
              <w:jc w:val="center"/>
              <w:rPr>
                <w:rFonts w:hint="eastAsia" w:ascii="宋体" w:hAnsi="宋体" w:eastAsia="宋体" w:cs="宋体"/>
                <w:color w:val="auto"/>
                <w:sz w:val="21"/>
                <w:szCs w:val="21"/>
              </w:rPr>
            </w:pPr>
          </w:p>
        </w:tc>
        <w:tc>
          <w:tcPr>
            <w:tcW w:w="1161" w:type="dxa"/>
            <w:noWrap w:val="0"/>
            <w:vAlign w:val="center"/>
          </w:tcPr>
          <w:p>
            <w:pPr>
              <w:spacing w:line="400" w:lineRule="atLeast"/>
              <w:jc w:val="center"/>
              <w:rPr>
                <w:rFonts w:hint="eastAsia" w:ascii="宋体" w:hAnsi="宋体" w:eastAsia="宋体" w:cs="宋体"/>
                <w:color w:val="auto"/>
                <w:sz w:val="21"/>
                <w:szCs w:val="21"/>
              </w:rPr>
            </w:pPr>
          </w:p>
        </w:tc>
        <w:tc>
          <w:tcPr>
            <w:tcW w:w="1834" w:type="dxa"/>
            <w:noWrap w:val="0"/>
            <w:vAlign w:val="center"/>
          </w:tcPr>
          <w:p>
            <w:pPr>
              <w:spacing w:line="400" w:lineRule="atLeast"/>
              <w:jc w:val="center"/>
              <w:rPr>
                <w:rFonts w:hint="eastAsia" w:ascii="宋体" w:hAnsi="宋体" w:eastAsia="宋体" w:cs="宋体"/>
                <w:color w:val="auto"/>
                <w:sz w:val="21"/>
                <w:szCs w:val="21"/>
              </w:rPr>
            </w:pPr>
          </w:p>
        </w:tc>
        <w:tc>
          <w:tcPr>
            <w:tcW w:w="1636" w:type="dxa"/>
            <w:noWrap w:val="0"/>
            <w:vAlign w:val="center"/>
          </w:tcPr>
          <w:p>
            <w:pPr>
              <w:spacing w:line="400" w:lineRule="atLeas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609" w:type="dxa"/>
            <w:noWrap w:val="0"/>
            <w:vAlign w:val="center"/>
          </w:tcPr>
          <w:p>
            <w:pPr>
              <w:spacing w:line="400" w:lineRule="atLeast"/>
              <w:jc w:val="center"/>
              <w:rPr>
                <w:rFonts w:hint="eastAsia" w:ascii="宋体" w:hAnsi="宋体" w:eastAsia="宋体" w:cs="宋体"/>
                <w:color w:val="auto"/>
                <w:sz w:val="21"/>
                <w:szCs w:val="21"/>
              </w:rPr>
            </w:pPr>
          </w:p>
        </w:tc>
        <w:tc>
          <w:tcPr>
            <w:tcW w:w="976" w:type="dxa"/>
            <w:noWrap w:val="0"/>
            <w:vAlign w:val="center"/>
          </w:tcPr>
          <w:p>
            <w:pPr>
              <w:spacing w:line="400" w:lineRule="atLeast"/>
              <w:jc w:val="center"/>
              <w:rPr>
                <w:rFonts w:hint="eastAsia" w:ascii="宋体" w:hAnsi="宋体" w:eastAsia="宋体" w:cs="宋体"/>
                <w:color w:val="auto"/>
                <w:sz w:val="21"/>
                <w:szCs w:val="21"/>
              </w:rPr>
            </w:pPr>
          </w:p>
        </w:tc>
        <w:tc>
          <w:tcPr>
            <w:tcW w:w="2031" w:type="dxa"/>
            <w:noWrap w:val="0"/>
            <w:vAlign w:val="center"/>
          </w:tcPr>
          <w:p>
            <w:pPr>
              <w:spacing w:line="400" w:lineRule="atLeast"/>
              <w:jc w:val="center"/>
              <w:rPr>
                <w:rFonts w:hint="eastAsia" w:ascii="宋体" w:hAnsi="宋体" w:eastAsia="宋体" w:cs="宋体"/>
                <w:color w:val="auto"/>
                <w:sz w:val="21"/>
                <w:szCs w:val="21"/>
              </w:rPr>
            </w:pPr>
          </w:p>
        </w:tc>
        <w:tc>
          <w:tcPr>
            <w:tcW w:w="1161" w:type="dxa"/>
            <w:noWrap w:val="0"/>
            <w:vAlign w:val="center"/>
          </w:tcPr>
          <w:p>
            <w:pPr>
              <w:spacing w:line="400" w:lineRule="atLeast"/>
              <w:jc w:val="center"/>
              <w:rPr>
                <w:rFonts w:hint="eastAsia" w:ascii="宋体" w:hAnsi="宋体" w:eastAsia="宋体" w:cs="宋体"/>
                <w:color w:val="auto"/>
                <w:sz w:val="21"/>
                <w:szCs w:val="21"/>
              </w:rPr>
            </w:pPr>
          </w:p>
        </w:tc>
        <w:tc>
          <w:tcPr>
            <w:tcW w:w="1834" w:type="dxa"/>
            <w:noWrap w:val="0"/>
            <w:vAlign w:val="center"/>
          </w:tcPr>
          <w:p>
            <w:pPr>
              <w:spacing w:line="400" w:lineRule="atLeast"/>
              <w:jc w:val="center"/>
              <w:rPr>
                <w:rFonts w:hint="eastAsia" w:ascii="宋体" w:hAnsi="宋体" w:eastAsia="宋体" w:cs="宋体"/>
                <w:color w:val="auto"/>
                <w:sz w:val="21"/>
                <w:szCs w:val="21"/>
              </w:rPr>
            </w:pPr>
          </w:p>
        </w:tc>
        <w:tc>
          <w:tcPr>
            <w:tcW w:w="1636" w:type="dxa"/>
            <w:noWrap w:val="0"/>
            <w:vAlign w:val="center"/>
          </w:tcPr>
          <w:p>
            <w:pPr>
              <w:spacing w:line="400" w:lineRule="atLeas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09" w:type="dxa"/>
            <w:noWrap w:val="0"/>
            <w:vAlign w:val="center"/>
          </w:tcPr>
          <w:p>
            <w:pPr>
              <w:spacing w:line="400" w:lineRule="atLeast"/>
              <w:jc w:val="center"/>
              <w:rPr>
                <w:rFonts w:hint="eastAsia" w:ascii="宋体" w:hAnsi="宋体" w:eastAsia="宋体" w:cs="宋体"/>
                <w:color w:val="auto"/>
                <w:sz w:val="21"/>
                <w:szCs w:val="21"/>
              </w:rPr>
            </w:pPr>
          </w:p>
        </w:tc>
        <w:tc>
          <w:tcPr>
            <w:tcW w:w="976" w:type="dxa"/>
            <w:noWrap w:val="0"/>
            <w:vAlign w:val="center"/>
          </w:tcPr>
          <w:p>
            <w:pPr>
              <w:spacing w:line="400" w:lineRule="atLeast"/>
              <w:jc w:val="center"/>
              <w:rPr>
                <w:rFonts w:hint="eastAsia" w:ascii="宋体" w:hAnsi="宋体" w:eastAsia="宋体" w:cs="宋体"/>
                <w:color w:val="auto"/>
                <w:sz w:val="21"/>
                <w:szCs w:val="21"/>
              </w:rPr>
            </w:pPr>
          </w:p>
        </w:tc>
        <w:tc>
          <w:tcPr>
            <w:tcW w:w="2031" w:type="dxa"/>
            <w:noWrap w:val="0"/>
            <w:vAlign w:val="center"/>
          </w:tcPr>
          <w:p>
            <w:pPr>
              <w:spacing w:line="400" w:lineRule="atLeast"/>
              <w:jc w:val="center"/>
              <w:rPr>
                <w:rFonts w:hint="eastAsia" w:ascii="宋体" w:hAnsi="宋体" w:eastAsia="宋体" w:cs="宋体"/>
                <w:color w:val="auto"/>
                <w:sz w:val="21"/>
                <w:szCs w:val="21"/>
              </w:rPr>
            </w:pPr>
          </w:p>
        </w:tc>
        <w:tc>
          <w:tcPr>
            <w:tcW w:w="1161" w:type="dxa"/>
            <w:noWrap w:val="0"/>
            <w:vAlign w:val="center"/>
          </w:tcPr>
          <w:p>
            <w:pPr>
              <w:spacing w:line="400" w:lineRule="atLeast"/>
              <w:jc w:val="center"/>
              <w:rPr>
                <w:rFonts w:hint="eastAsia" w:ascii="宋体" w:hAnsi="宋体" w:eastAsia="宋体" w:cs="宋体"/>
                <w:color w:val="auto"/>
                <w:sz w:val="21"/>
                <w:szCs w:val="21"/>
              </w:rPr>
            </w:pPr>
          </w:p>
        </w:tc>
        <w:tc>
          <w:tcPr>
            <w:tcW w:w="1834" w:type="dxa"/>
            <w:noWrap w:val="0"/>
            <w:vAlign w:val="center"/>
          </w:tcPr>
          <w:p>
            <w:pPr>
              <w:spacing w:line="400" w:lineRule="atLeast"/>
              <w:jc w:val="center"/>
              <w:rPr>
                <w:rFonts w:hint="eastAsia" w:ascii="宋体" w:hAnsi="宋体" w:eastAsia="宋体" w:cs="宋体"/>
                <w:color w:val="auto"/>
                <w:sz w:val="21"/>
                <w:szCs w:val="21"/>
              </w:rPr>
            </w:pPr>
          </w:p>
        </w:tc>
        <w:tc>
          <w:tcPr>
            <w:tcW w:w="1636" w:type="dxa"/>
            <w:noWrap w:val="0"/>
            <w:vAlign w:val="center"/>
          </w:tcPr>
          <w:p>
            <w:pPr>
              <w:spacing w:line="400" w:lineRule="atLeas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09" w:type="dxa"/>
            <w:noWrap w:val="0"/>
            <w:vAlign w:val="center"/>
          </w:tcPr>
          <w:p>
            <w:pPr>
              <w:spacing w:line="400" w:lineRule="atLeast"/>
              <w:jc w:val="center"/>
              <w:rPr>
                <w:rFonts w:hint="eastAsia" w:ascii="宋体" w:hAnsi="宋体" w:eastAsia="宋体" w:cs="宋体"/>
                <w:color w:val="auto"/>
                <w:sz w:val="21"/>
                <w:szCs w:val="21"/>
              </w:rPr>
            </w:pPr>
          </w:p>
        </w:tc>
        <w:tc>
          <w:tcPr>
            <w:tcW w:w="976" w:type="dxa"/>
            <w:noWrap w:val="0"/>
            <w:vAlign w:val="center"/>
          </w:tcPr>
          <w:p>
            <w:pPr>
              <w:spacing w:line="400" w:lineRule="atLeast"/>
              <w:jc w:val="center"/>
              <w:rPr>
                <w:rFonts w:hint="eastAsia" w:ascii="宋体" w:hAnsi="宋体" w:eastAsia="宋体" w:cs="宋体"/>
                <w:color w:val="auto"/>
                <w:sz w:val="21"/>
                <w:szCs w:val="21"/>
              </w:rPr>
            </w:pPr>
          </w:p>
        </w:tc>
        <w:tc>
          <w:tcPr>
            <w:tcW w:w="2031" w:type="dxa"/>
            <w:noWrap w:val="0"/>
            <w:vAlign w:val="center"/>
          </w:tcPr>
          <w:p>
            <w:pPr>
              <w:spacing w:line="400" w:lineRule="atLeast"/>
              <w:jc w:val="center"/>
              <w:rPr>
                <w:rFonts w:hint="eastAsia" w:ascii="宋体" w:hAnsi="宋体" w:eastAsia="宋体" w:cs="宋体"/>
                <w:color w:val="auto"/>
                <w:sz w:val="21"/>
                <w:szCs w:val="21"/>
              </w:rPr>
            </w:pPr>
          </w:p>
        </w:tc>
        <w:tc>
          <w:tcPr>
            <w:tcW w:w="1161" w:type="dxa"/>
            <w:noWrap w:val="0"/>
            <w:vAlign w:val="center"/>
          </w:tcPr>
          <w:p>
            <w:pPr>
              <w:spacing w:line="400" w:lineRule="atLeast"/>
              <w:jc w:val="center"/>
              <w:rPr>
                <w:rFonts w:hint="eastAsia" w:ascii="宋体" w:hAnsi="宋体" w:eastAsia="宋体" w:cs="宋体"/>
                <w:color w:val="auto"/>
                <w:sz w:val="21"/>
                <w:szCs w:val="21"/>
              </w:rPr>
            </w:pPr>
          </w:p>
        </w:tc>
        <w:tc>
          <w:tcPr>
            <w:tcW w:w="1834" w:type="dxa"/>
            <w:noWrap w:val="0"/>
            <w:vAlign w:val="center"/>
          </w:tcPr>
          <w:p>
            <w:pPr>
              <w:spacing w:line="400" w:lineRule="atLeast"/>
              <w:jc w:val="center"/>
              <w:rPr>
                <w:rFonts w:hint="eastAsia" w:ascii="宋体" w:hAnsi="宋体" w:eastAsia="宋体" w:cs="宋体"/>
                <w:color w:val="auto"/>
                <w:sz w:val="21"/>
                <w:szCs w:val="21"/>
              </w:rPr>
            </w:pPr>
          </w:p>
        </w:tc>
        <w:tc>
          <w:tcPr>
            <w:tcW w:w="1636" w:type="dxa"/>
            <w:noWrap w:val="0"/>
            <w:vAlign w:val="center"/>
          </w:tcPr>
          <w:p>
            <w:pPr>
              <w:spacing w:line="400" w:lineRule="atLeas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09" w:type="dxa"/>
            <w:noWrap w:val="0"/>
            <w:vAlign w:val="center"/>
          </w:tcPr>
          <w:p>
            <w:pPr>
              <w:spacing w:line="400" w:lineRule="atLeast"/>
              <w:jc w:val="center"/>
              <w:rPr>
                <w:rFonts w:hint="eastAsia" w:ascii="宋体" w:hAnsi="宋体" w:eastAsia="宋体" w:cs="宋体"/>
                <w:color w:val="auto"/>
                <w:sz w:val="21"/>
                <w:szCs w:val="21"/>
              </w:rPr>
            </w:pPr>
          </w:p>
        </w:tc>
        <w:tc>
          <w:tcPr>
            <w:tcW w:w="976" w:type="dxa"/>
            <w:noWrap w:val="0"/>
            <w:vAlign w:val="center"/>
          </w:tcPr>
          <w:p>
            <w:pPr>
              <w:spacing w:line="400" w:lineRule="atLeast"/>
              <w:jc w:val="center"/>
              <w:rPr>
                <w:rFonts w:hint="eastAsia" w:ascii="宋体" w:hAnsi="宋体" w:eastAsia="宋体" w:cs="宋体"/>
                <w:color w:val="auto"/>
                <w:sz w:val="21"/>
                <w:szCs w:val="21"/>
              </w:rPr>
            </w:pPr>
          </w:p>
        </w:tc>
        <w:tc>
          <w:tcPr>
            <w:tcW w:w="2031" w:type="dxa"/>
            <w:noWrap w:val="0"/>
            <w:vAlign w:val="center"/>
          </w:tcPr>
          <w:p>
            <w:pPr>
              <w:spacing w:line="400" w:lineRule="atLeast"/>
              <w:jc w:val="center"/>
              <w:rPr>
                <w:rFonts w:hint="eastAsia" w:ascii="宋体" w:hAnsi="宋体" w:eastAsia="宋体" w:cs="宋体"/>
                <w:color w:val="auto"/>
                <w:sz w:val="21"/>
                <w:szCs w:val="21"/>
              </w:rPr>
            </w:pPr>
          </w:p>
        </w:tc>
        <w:tc>
          <w:tcPr>
            <w:tcW w:w="1161" w:type="dxa"/>
            <w:noWrap w:val="0"/>
            <w:vAlign w:val="center"/>
          </w:tcPr>
          <w:p>
            <w:pPr>
              <w:spacing w:line="400" w:lineRule="atLeast"/>
              <w:jc w:val="center"/>
              <w:rPr>
                <w:rFonts w:hint="eastAsia" w:ascii="宋体" w:hAnsi="宋体" w:eastAsia="宋体" w:cs="宋体"/>
                <w:color w:val="auto"/>
                <w:sz w:val="21"/>
                <w:szCs w:val="21"/>
              </w:rPr>
            </w:pPr>
          </w:p>
        </w:tc>
        <w:tc>
          <w:tcPr>
            <w:tcW w:w="1834" w:type="dxa"/>
            <w:noWrap w:val="0"/>
            <w:vAlign w:val="center"/>
          </w:tcPr>
          <w:p>
            <w:pPr>
              <w:spacing w:line="400" w:lineRule="atLeast"/>
              <w:jc w:val="center"/>
              <w:rPr>
                <w:rFonts w:hint="eastAsia" w:ascii="宋体" w:hAnsi="宋体" w:eastAsia="宋体" w:cs="宋体"/>
                <w:color w:val="auto"/>
                <w:sz w:val="21"/>
                <w:szCs w:val="21"/>
              </w:rPr>
            </w:pPr>
          </w:p>
        </w:tc>
        <w:tc>
          <w:tcPr>
            <w:tcW w:w="1636" w:type="dxa"/>
            <w:noWrap w:val="0"/>
            <w:vAlign w:val="center"/>
          </w:tcPr>
          <w:p>
            <w:pPr>
              <w:spacing w:line="400" w:lineRule="atLeas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09" w:type="dxa"/>
            <w:noWrap w:val="0"/>
            <w:vAlign w:val="center"/>
          </w:tcPr>
          <w:p>
            <w:pPr>
              <w:spacing w:line="400" w:lineRule="atLeast"/>
              <w:jc w:val="center"/>
              <w:rPr>
                <w:rFonts w:hint="eastAsia" w:ascii="宋体" w:hAnsi="宋体" w:eastAsia="宋体" w:cs="宋体"/>
                <w:color w:val="auto"/>
                <w:sz w:val="21"/>
                <w:szCs w:val="21"/>
              </w:rPr>
            </w:pPr>
          </w:p>
        </w:tc>
        <w:tc>
          <w:tcPr>
            <w:tcW w:w="976" w:type="dxa"/>
            <w:noWrap w:val="0"/>
            <w:vAlign w:val="center"/>
          </w:tcPr>
          <w:p>
            <w:pPr>
              <w:spacing w:line="400" w:lineRule="atLeast"/>
              <w:jc w:val="center"/>
              <w:rPr>
                <w:rFonts w:hint="eastAsia" w:ascii="宋体" w:hAnsi="宋体" w:eastAsia="宋体" w:cs="宋体"/>
                <w:color w:val="auto"/>
                <w:sz w:val="21"/>
                <w:szCs w:val="21"/>
              </w:rPr>
            </w:pPr>
          </w:p>
        </w:tc>
        <w:tc>
          <w:tcPr>
            <w:tcW w:w="2031" w:type="dxa"/>
            <w:noWrap w:val="0"/>
            <w:vAlign w:val="center"/>
          </w:tcPr>
          <w:p>
            <w:pPr>
              <w:spacing w:line="400" w:lineRule="atLeast"/>
              <w:jc w:val="center"/>
              <w:rPr>
                <w:rFonts w:hint="eastAsia" w:ascii="宋体" w:hAnsi="宋体" w:eastAsia="宋体" w:cs="宋体"/>
                <w:color w:val="auto"/>
                <w:sz w:val="21"/>
                <w:szCs w:val="21"/>
              </w:rPr>
            </w:pPr>
          </w:p>
        </w:tc>
        <w:tc>
          <w:tcPr>
            <w:tcW w:w="1161" w:type="dxa"/>
            <w:noWrap w:val="0"/>
            <w:vAlign w:val="center"/>
          </w:tcPr>
          <w:p>
            <w:pPr>
              <w:spacing w:line="400" w:lineRule="atLeast"/>
              <w:jc w:val="center"/>
              <w:rPr>
                <w:rFonts w:hint="eastAsia" w:ascii="宋体" w:hAnsi="宋体" w:eastAsia="宋体" w:cs="宋体"/>
                <w:color w:val="auto"/>
                <w:sz w:val="21"/>
                <w:szCs w:val="21"/>
              </w:rPr>
            </w:pPr>
          </w:p>
        </w:tc>
        <w:tc>
          <w:tcPr>
            <w:tcW w:w="1834" w:type="dxa"/>
            <w:noWrap w:val="0"/>
            <w:vAlign w:val="center"/>
          </w:tcPr>
          <w:p>
            <w:pPr>
              <w:spacing w:line="400" w:lineRule="atLeast"/>
              <w:jc w:val="center"/>
              <w:rPr>
                <w:rFonts w:hint="eastAsia" w:ascii="宋体" w:hAnsi="宋体" w:eastAsia="宋体" w:cs="宋体"/>
                <w:color w:val="auto"/>
                <w:sz w:val="21"/>
                <w:szCs w:val="21"/>
              </w:rPr>
            </w:pPr>
          </w:p>
        </w:tc>
        <w:tc>
          <w:tcPr>
            <w:tcW w:w="1636" w:type="dxa"/>
            <w:noWrap w:val="0"/>
            <w:vAlign w:val="center"/>
          </w:tcPr>
          <w:p>
            <w:pPr>
              <w:spacing w:line="400" w:lineRule="atLeas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09" w:type="dxa"/>
            <w:noWrap w:val="0"/>
            <w:vAlign w:val="center"/>
          </w:tcPr>
          <w:p>
            <w:pPr>
              <w:spacing w:line="400" w:lineRule="atLeast"/>
              <w:jc w:val="center"/>
              <w:rPr>
                <w:rFonts w:hint="eastAsia" w:ascii="宋体" w:hAnsi="宋体" w:eastAsia="宋体" w:cs="宋体"/>
                <w:color w:val="auto"/>
                <w:sz w:val="21"/>
                <w:szCs w:val="21"/>
              </w:rPr>
            </w:pPr>
          </w:p>
        </w:tc>
        <w:tc>
          <w:tcPr>
            <w:tcW w:w="976" w:type="dxa"/>
            <w:noWrap w:val="0"/>
            <w:vAlign w:val="center"/>
          </w:tcPr>
          <w:p>
            <w:pPr>
              <w:spacing w:line="400" w:lineRule="atLeast"/>
              <w:jc w:val="center"/>
              <w:rPr>
                <w:rFonts w:hint="eastAsia" w:ascii="宋体" w:hAnsi="宋体" w:eastAsia="宋体" w:cs="宋体"/>
                <w:color w:val="auto"/>
                <w:sz w:val="21"/>
                <w:szCs w:val="21"/>
              </w:rPr>
            </w:pPr>
          </w:p>
        </w:tc>
        <w:tc>
          <w:tcPr>
            <w:tcW w:w="2031" w:type="dxa"/>
            <w:noWrap w:val="0"/>
            <w:vAlign w:val="center"/>
          </w:tcPr>
          <w:p>
            <w:pPr>
              <w:spacing w:line="400" w:lineRule="atLeast"/>
              <w:jc w:val="center"/>
              <w:rPr>
                <w:rFonts w:hint="eastAsia" w:ascii="宋体" w:hAnsi="宋体" w:eastAsia="宋体" w:cs="宋体"/>
                <w:color w:val="auto"/>
                <w:sz w:val="21"/>
                <w:szCs w:val="21"/>
              </w:rPr>
            </w:pPr>
          </w:p>
        </w:tc>
        <w:tc>
          <w:tcPr>
            <w:tcW w:w="1161" w:type="dxa"/>
            <w:noWrap w:val="0"/>
            <w:vAlign w:val="center"/>
          </w:tcPr>
          <w:p>
            <w:pPr>
              <w:spacing w:line="400" w:lineRule="atLeast"/>
              <w:jc w:val="center"/>
              <w:rPr>
                <w:rFonts w:hint="eastAsia" w:ascii="宋体" w:hAnsi="宋体" w:eastAsia="宋体" w:cs="宋体"/>
                <w:color w:val="auto"/>
                <w:sz w:val="21"/>
                <w:szCs w:val="21"/>
              </w:rPr>
            </w:pPr>
          </w:p>
        </w:tc>
        <w:tc>
          <w:tcPr>
            <w:tcW w:w="1834" w:type="dxa"/>
            <w:noWrap w:val="0"/>
            <w:vAlign w:val="center"/>
          </w:tcPr>
          <w:p>
            <w:pPr>
              <w:spacing w:line="400" w:lineRule="atLeast"/>
              <w:jc w:val="center"/>
              <w:rPr>
                <w:rFonts w:hint="eastAsia" w:ascii="宋体" w:hAnsi="宋体" w:eastAsia="宋体" w:cs="宋体"/>
                <w:color w:val="auto"/>
                <w:sz w:val="21"/>
                <w:szCs w:val="21"/>
              </w:rPr>
            </w:pPr>
          </w:p>
        </w:tc>
        <w:tc>
          <w:tcPr>
            <w:tcW w:w="1636" w:type="dxa"/>
            <w:noWrap w:val="0"/>
            <w:vAlign w:val="center"/>
          </w:tcPr>
          <w:p>
            <w:pPr>
              <w:spacing w:line="400" w:lineRule="atLeast"/>
              <w:jc w:val="center"/>
              <w:rPr>
                <w:rFonts w:hint="eastAsia" w:ascii="宋体" w:hAnsi="宋体" w:eastAsia="宋体" w:cs="宋体"/>
                <w:color w:val="auto"/>
                <w:sz w:val="21"/>
                <w:szCs w:val="21"/>
              </w:rPr>
            </w:pPr>
          </w:p>
        </w:tc>
      </w:tr>
    </w:tbl>
    <w:p>
      <w:pPr>
        <w:jc w:val="left"/>
        <w:rPr>
          <w:rFonts w:hint="eastAsia" w:ascii="宋体" w:hAnsi="宋体" w:eastAsia="宋体" w:cs="宋体"/>
          <w:color w:val="auto"/>
          <w:lang w:eastAsia="zh-CN"/>
        </w:rPr>
      </w:pPr>
      <w:r>
        <w:rPr>
          <w:rFonts w:hint="eastAsia" w:ascii="宋体" w:hAnsi="宋体" w:eastAsia="宋体" w:cs="宋体"/>
          <w:b/>
          <w:color w:val="auto"/>
        </w:rPr>
        <w:t>注：主要项目管理人员（指技术负责人、合同商务负责人）和其他相关岗位人员（其他相关岗位人员指：施工员、材料员、预算员、质检员、安全员、资料员）；应附相应证书、身份证复印件，专职安全生产管理人员应附有效的安全生产考核合格证书复印件，主要业绩须附合同复印件。</w:t>
      </w:r>
    </w:p>
    <w:p>
      <w:pPr>
        <w:jc w:val="center"/>
        <w:rPr>
          <w:rFonts w:hint="eastAsia" w:ascii="宋体" w:hAnsi="宋体" w:eastAsia="宋体" w:cs="宋体"/>
          <w:color w:val="auto"/>
          <w:szCs w:val="21"/>
        </w:rPr>
      </w:pPr>
      <w:r>
        <w:rPr>
          <w:rFonts w:hint="eastAsia" w:ascii="宋体" w:hAnsi="宋体" w:eastAsia="宋体" w:cs="宋体"/>
          <w:color w:val="auto"/>
        </w:rPr>
        <w:br w:type="page"/>
      </w:r>
      <w:bookmarkStart w:id="800" w:name="五、资格审查资料"/>
      <w:bookmarkEnd w:id="800"/>
      <w:r>
        <w:rPr>
          <w:rFonts w:hint="eastAsia" w:ascii="宋体" w:hAnsi="宋体" w:eastAsia="宋体" w:cs="宋体"/>
          <w:b/>
          <w:bCs/>
          <w:color w:val="auto"/>
          <w:sz w:val="24"/>
          <w:szCs w:val="24"/>
        </w:rPr>
        <w:t>近年完成的类似项目情况表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项目名称</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项目所在地</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发包人名称</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发包人地址</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发包人电话</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项目总投资</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合同价格</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施工工期</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施工范围</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项目完成情况及</w:t>
            </w:r>
          </w:p>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获得奖项</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项目负责人</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其他专业人员</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项目负责人电话</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项目描述</w:t>
            </w:r>
          </w:p>
        </w:tc>
        <w:tc>
          <w:tcPr>
            <w:tcW w:w="6596" w:type="dxa"/>
            <w:noWrap w:val="0"/>
            <w:vAlign w:val="top"/>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18" w:type="dxa"/>
            <w:noWrap w:val="0"/>
            <w:vAlign w:val="center"/>
          </w:tcPr>
          <w:p>
            <w:pPr>
              <w:spacing w:line="240" w:lineRule="auto"/>
              <w:ind w:left="0" w:leftChars="0" w:firstLine="0" w:firstLineChars="0"/>
              <w:jc w:val="center"/>
              <w:rPr>
                <w:rFonts w:hint="eastAsia" w:ascii="宋体" w:hAnsi="宋体" w:eastAsia="宋体" w:cs="宋体"/>
                <w:color w:val="auto"/>
                <w:sz w:val="21"/>
                <w:szCs w:val="20"/>
              </w:rPr>
            </w:pPr>
            <w:r>
              <w:rPr>
                <w:rFonts w:hint="eastAsia" w:ascii="宋体" w:hAnsi="宋体" w:eastAsia="宋体" w:cs="宋体"/>
                <w:color w:val="auto"/>
                <w:sz w:val="21"/>
                <w:szCs w:val="20"/>
              </w:rPr>
              <w:t>备注</w:t>
            </w:r>
          </w:p>
        </w:tc>
        <w:tc>
          <w:tcPr>
            <w:tcW w:w="6596" w:type="dxa"/>
            <w:noWrap w:val="0"/>
            <w:vAlign w:val="top"/>
          </w:tcPr>
          <w:p>
            <w:pPr>
              <w:jc w:val="center"/>
              <w:rPr>
                <w:rFonts w:hint="eastAsia" w:ascii="宋体" w:hAnsi="宋体" w:eastAsia="宋体" w:cs="宋体"/>
                <w:color w:val="auto"/>
                <w:szCs w:val="21"/>
              </w:rPr>
            </w:pPr>
          </w:p>
        </w:tc>
      </w:tr>
    </w:tbl>
    <w:p>
      <w:pPr>
        <w:pStyle w:val="2"/>
        <w:jc w:val="left"/>
        <w:rPr>
          <w:rFonts w:hint="eastAsia" w:ascii="宋体" w:hAnsi="宋体" w:eastAsia="宋体" w:cs="宋体"/>
          <w:color w:val="auto"/>
          <w:sz w:val="21"/>
          <w:szCs w:val="21"/>
        </w:rPr>
      </w:pPr>
      <w:r>
        <w:rPr>
          <w:rFonts w:hint="eastAsia" w:ascii="宋体" w:hAnsi="宋体" w:eastAsia="宋体" w:cs="宋体"/>
          <w:color w:val="auto"/>
          <w:sz w:val="21"/>
          <w:szCs w:val="13"/>
        </w:rPr>
        <w:t>注：</w:t>
      </w:r>
      <w:r>
        <w:rPr>
          <w:rFonts w:hint="eastAsia" w:ascii="宋体" w:hAnsi="宋体" w:eastAsia="宋体" w:cs="宋体"/>
          <w:color w:val="auto"/>
          <w:sz w:val="21"/>
          <w:szCs w:val="13"/>
          <w:lang w:val="en-US" w:eastAsia="zh-CN"/>
        </w:rPr>
        <w:t>近三年</w:t>
      </w:r>
      <w:r>
        <w:rPr>
          <w:rFonts w:hint="eastAsia" w:ascii="宋体" w:hAnsi="宋体" w:eastAsia="宋体" w:cs="宋体"/>
          <w:color w:val="auto"/>
          <w:sz w:val="21"/>
          <w:szCs w:val="13"/>
        </w:rPr>
        <w:t>类似工程业绩（须提供中标通知书或合同）</w:t>
      </w:r>
    </w:p>
    <w:p>
      <w:pPr>
        <w:pStyle w:val="2"/>
        <w:jc w:val="center"/>
        <w:rPr>
          <w:rFonts w:hint="eastAsia" w:ascii="宋体" w:hAnsi="宋体" w:eastAsia="宋体" w:cs="宋体"/>
          <w:color w:val="auto"/>
        </w:rPr>
      </w:pPr>
    </w:p>
    <w:p>
      <w:pPr>
        <w:pStyle w:val="2"/>
        <w:jc w:val="center"/>
        <w:rPr>
          <w:rFonts w:hint="eastAsia" w:ascii="宋体" w:hAnsi="宋体" w:eastAsia="宋体" w:cs="宋体"/>
          <w:color w:val="auto"/>
        </w:rPr>
      </w:pPr>
    </w:p>
    <w:p>
      <w:pPr>
        <w:pStyle w:val="2"/>
        <w:jc w:val="center"/>
        <w:rPr>
          <w:rFonts w:hint="eastAsia" w:ascii="宋体" w:hAnsi="宋体" w:eastAsia="宋体" w:cs="宋体"/>
          <w:color w:val="auto"/>
        </w:rPr>
      </w:pPr>
      <w:r>
        <w:rPr>
          <w:rFonts w:hint="eastAsia" w:ascii="宋体" w:hAnsi="宋体" w:eastAsia="宋体" w:cs="宋体"/>
          <w:color w:val="auto"/>
        </w:rPr>
        <w:t>商务条款偏离表</w:t>
      </w:r>
    </w:p>
    <w:p>
      <w:pPr>
        <w:ind w:right="71" w:firstLine="496"/>
        <w:rPr>
          <w:rFonts w:hint="eastAsia" w:ascii="宋体" w:hAnsi="宋体" w:eastAsia="宋体" w:cs="宋体"/>
          <w:color w:val="auto"/>
          <w:spacing w:val="4"/>
          <w:szCs w:val="21"/>
        </w:rPr>
      </w:pPr>
      <w:r>
        <w:rPr>
          <w:rFonts w:hint="eastAsia" w:ascii="宋体" w:hAnsi="宋体" w:eastAsia="宋体" w:cs="宋体"/>
          <w:color w:val="auto"/>
          <w:spacing w:val="4"/>
          <w:szCs w:val="21"/>
        </w:rPr>
        <w:t>供应商名称：</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 xml:space="preserve">                 项目编号：          </w:t>
      </w:r>
    </w:p>
    <w:tbl>
      <w:tblPr>
        <w:tblStyle w:val="25"/>
        <w:tblW w:w="0" w:type="auto"/>
        <w:jc w:val="center"/>
        <w:tblLayout w:type="fixed"/>
        <w:tblCellMar>
          <w:top w:w="0" w:type="dxa"/>
          <w:left w:w="0" w:type="dxa"/>
          <w:bottom w:w="0" w:type="dxa"/>
          <w:right w:w="0" w:type="dxa"/>
        </w:tblCellMar>
      </w:tblPr>
      <w:tblGrid>
        <w:gridCol w:w="2902"/>
        <w:gridCol w:w="2722"/>
        <w:gridCol w:w="2766"/>
      </w:tblGrid>
      <w:tr>
        <w:tblPrEx>
          <w:tblCellMar>
            <w:top w:w="0" w:type="dxa"/>
            <w:left w:w="0" w:type="dxa"/>
            <w:bottom w:w="0" w:type="dxa"/>
            <w:right w:w="0" w:type="dxa"/>
          </w:tblCellMar>
        </w:tblPrEx>
        <w:trPr>
          <w:trHeight w:val="567" w:hRule="atLeast"/>
          <w:jc w:val="center"/>
        </w:trPr>
        <w:tc>
          <w:tcPr>
            <w:tcW w:w="2902" w:type="dxa"/>
            <w:tcBorders>
              <w:top w:val="single" w:color="000000" w:sz="4" w:space="0"/>
              <w:left w:val="single" w:color="000000" w:sz="4" w:space="0"/>
              <w:bottom w:val="single" w:color="000000" w:sz="4" w:space="0"/>
              <w:right w:val="single" w:color="auto"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磋商文件要求</w:t>
            </w:r>
          </w:p>
        </w:tc>
        <w:tc>
          <w:tcPr>
            <w:tcW w:w="2722" w:type="dxa"/>
            <w:tcBorders>
              <w:top w:val="single" w:color="000000" w:sz="4" w:space="0"/>
              <w:left w:val="single" w:color="auto" w:sz="4" w:space="0"/>
              <w:bottom w:val="single" w:color="000000" w:sz="4" w:space="0"/>
              <w:right w:val="single" w:color="000000"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报价文件商务应答</w:t>
            </w:r>
          </w:p>
        </w:tc>
        <w:tc>
          <w:tcPr>
            <w:tcW w:w="2766" w:type="dxa"/>
            <w:tcBorders>
              <w:top w:val="single" w:color="000000" w:sz="4" w:space="0"/>
              <w:left w:val="single" w:color="000000" w:sz="4" w:space="0"/>
              <w:bottom w:val="single" w:color="auto" w:sz="4" w:space="0"/>
              <w:right w:val="single" w:color="000000"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偏离说明</w:t>
            </w:r>
          </w:p>
        </w:tc>
      </w:tr>
      <w:tr>
        <w:tblPrEx>
          <w:tblCellMar>
            <w:top w:w="0" w:type="dxa"/>
            <w:left w:w="0" w:type="dxa"/>
            <w:bottom w:w="0" w:type="dxa"/>
            <w:right w:w="0" w:type="dxa"/>
          </w:tblCellMar>
        </w:tblPrEx>
        <w:trPr>
          <w:trHeight w:val="567" w:hRule="atLeast"/>
          <w:jc w:val="center"/>
        </w:trPr>
        <w:tc>
          <w:tcPr>
            <w:tcW w:w="2902" w:type="dxa"/>
            <w:tcBorders>
              <w:top w:val="single" w:color="000000" w:sz="4" w:space="0"/>
              <w:left w:val="single" w:color="000000" w:sz="4" w:space="0"/>
              <w:right w:val="single" w:color="auto" w:sz="4" w:space="0"/>
            </w:tcBorders>
            <w:noWrap w:val="0"/>
            <w:vAlign w:val="center"/>
          </w:tcPr>
          <w:p>
            <w:pPr>
              <w:pStyle w:val="32"/>
              <w:kinsoku w:val="0"/>
              <w:overflowPunct w:val="0"/>
              <w:adjustRightInd w:val="0"/>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（一）报价要求应答</w:t>
            </w:r>
          </w:p>
        </w:tc>
        <w:tc>
          <w:tcPr>
            <w:tcW w:w="2722" w:type="dxa"/>
            <w:tcBorders>
              <w:top w:val="single" w:color="000000" w:sz="4" w:space="0"/>
              <w:left w:val="single" w:color="000000" w:sz="4" w:space="0"/>
              <w:right w:val="single" w:color="auto"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rPr>
            </w:pPr>
          </w:p>
        </w:tc>
        <w:tc>
          <w:tcPr>
            <w:tcW w:w="2766" w:type="dxa"/>
            <w:tcBorders>
              <w:top w:val="single" w:color="000000" w:sz="4" w:space="0"/>
              <w:left w:val="single" w:color="auto" w:sz="4" w:space="0"/>
              <w:right w:val="single" w:color="auto"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67" w:hRule="atLeast"/>
          <w:jc w:val="center"/>
        </w:trPr>
        <w:tc>
          <w:tcPr>
            <w:tcW w:w="2902" w:type="dxa"/>
            <w:tcBorders>
              <w:top w:val="single" w:color="000000" w:sz="4" w:space="0"/>
              <w:left w:val="single" w:color="000000" w:sz="4" w:space="0"/>
              <w:right w:val="single" w:color="auto" w:sz="4" w:space="0"/>
            </w:tcBorders>
            <w:noWrap w:val="0"/>
            <w:vAlign w:val="center"/>
          </w:tcPr>
          <w:p>
            <w:pPr>
              <w:pStyle w:val="32"/>
              <w:kinsoku w:val="0"/>
              <w:overflowPunct w:val="0"/>
              <w:adjustRightInd w:val="0"/>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lang w:eastAsia="zh-CN"/>
              </w:rPr>
              <w:t>要求应答</w:t>
            </w:r>
          </w:p>
        </w:tc>
        <w:tc>
          <w:tcPr>
            <w:tcW w:w="2722" w:type="dxa"/>
            <w:tcBorders>
              <w:top w:val="single" w:color="000000" w:sz="4" w:space="0"/>
              <w:left w:val="single" w:color="000000" w:sz="4" w:space="0"/>
              <w:right w:val="single" w:color="auto"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rPr>
            </w:pPr>
          </w:p>
        </w:tc>
        <w:tc>
          <w:tcPr>
            <w:tcW w:w="2766" w:type="dxa"/>
            <w:tcBorders>
              <w:top w:val="single" w:color="auto" w:sz="4" w:space="0"/>
              <w:left w:val="single" w:color="auto" w:sz="4" w:space="0"/>
              <w:right w:val="single" w:color="auto"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67" w:hRule="atLeast"/>
          <w:jc w:val="center"/>
        </w:trPr>
        <w:tc>
          <w:tcPr>
            <w:tcW w:w="2902" w:type="dxa"/>
            <w:tcBorders>
              <w:top w:val="single" w:color="000000" w:sz="4" w:space="0"/>
              <w:left w:val="single" w:color="000000" w:sz="4" w:space="0"/>
              <w:right w:val="single" w:color="auto" w:sz="4" w:space="0"/>
            </w:tcBorders>
            <w:noWrap w:val="0"/>
            <w:vAlign w:val="center"/>
          </w:tcPr>
          <w:p>
            <w:pPr>
              <w:pStyle w:val="32"/>
              <w:kinsoku w:val="0"/>
              <w:overflowPunct w:val="0"/>
              <w:adjustRightInd w:val="0"/>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（三）工期要求应答</w:t>
            </w:r>
          </w:p>
        </w:tc>
        <w:tc>
          <w:tcPr>
            <w:tcW w:w="2722" w:type="dxa"/>
            <w:tcBorders>
              <w:top w:val="single" w:color="000000" w:sz="4" w:space="0"/>
              <w:left w:val="single" w:color="000000" w:sz="4" w:space="0"/>
              <w:right w:val="single" w:color="auto"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rPr>
            </w:pPr>
          </w:p>
        </w:tc>
        <w:tc>
          <w:tcPr>
            <w:tcW w:w="2766" w:type="dxa"/>
            <w:tcBorders>
              <w:top w:val="single" w:color="000000" w:sz="4" w:space="0"/>
              <w:left w:val="single" w:color="auto" w:sz="4" w:space="0"/>
              <w:right w:val="single" w:color="auto"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rPr>
            </w:pPr>
          </w:p>
        </w:tc>
      </w:tr>
      <w:tr>
        <w:tblPrEx>
          <w:tblCellMar>
            <w:top w:w="0" w:type="dxa"/>
            <w:left w:w="0" w:type="dxa"/>
            <w:bottom w:w="0" w:type="dxa"/>
            <w:right w:w="0" w:type="dxa"/>
          </w:tblCellMar>
        </w:tblPrEx>
        <w:trPr>
          <w:trHeight w:val="567" w:hRule="atLeast"/>
          <w:jc w:val="center"/>
        </w:trPr>
        <w:tc>
          <w:tcPr>
            <w:tcW w:w="2902" w:type="dxa"/>
            <w:tcBorders>
              <w:top w:val="single" w:color="000000" w:sz="4" w:space="0"/>
              <w:left w:val="single" w:color="000000" w:sz="4" w:space="0"/>
              <w:right w:val="single" w:color="auto" w:sz="4" w:space="0"/>
            </w:tcBorders>
            <w:noWrap w:val="0"/>
            <w:vAlign w:val="center"/>
          </w:tcPr>
          <w:p>
            <w:pPr>
              <w:pStyle w:val="32"/>
              <w:kinsoku w:val="0"/>
              <w:overflowPunct w:val="0"/>
              <w:adjustRightInd w:val="0"/>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lang w:eastAsia="zh-CN"/>
              </w:rPr>
              <w:t>）投标保证金应答</w:t>
            </w:r>
          </w:p>
        </w:tc>
        <w:tc>
          <w:tcPr>
            <w:tcW w:w="2722" w:type="dxa"/>
            <w:tcBorders>
              <w:top w:val="single" w:color="000000" w:sz="4" w:space="0"/>
              <w:left w:val="single" w:color="000000" w:sz="4" w:space="0"/>
              <w:right w:val="single" w:color="auto"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lang w:eastAsia="zh-CN"/>
              </w:rPr>
            </w:pPr>
          </w:p>
        </w:tc>
        <w:tc>
          <w:tcPr>
            <w:tcW w:w="2766" w:type="dxa"/>
            <w:tcBorders>
              <w:top w:val="single" w:color="000000" w:sz="4" w:space="0"/>
              <w:left w:val="single" w:color="auto" w:sz="4" w:space="0"/>
              <w:right w:val="single" w:color="auto"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lang w:eastAsia="zh-CN"/>
              </w:rPr>
            </w:pPr>
          </w:p>
        </w:tc>
      </w:tr>
      <w:tr>
        <w:tblPrEx>
          <w:tblCellMar>
            <w:top w:w="0" w:type="dxa"/>
            <w:left w:w="0" w:type="dxa"/>
            <w:bottom w:w="0" w:type="dxa"/>
            <w:right w:w="0" w:type="dxa"/>
          </w:tblCellMar>
        </w:tblPrEx>
        <w:trPr>
          <w:trHeight w:val="567" w:hRule="atLeast"/>
          <w:jc w:val="center"/>
        </w:trPr>
        <w:tc>
          <w:tcPr>
            <w:tcW w:w="2902" w:type="dxa"/>
            <w:tcBorders>
              <w:top w:val="single" w:color="auto" w:sz="4" w:space="0"/>
              <w:left w:val="single" w:color="auto" w:sz="4" w:space="0"/>
              <w:bottom w:val="single" w:color="auto" w:sz="4" w:space="0"/>
              <w:right w:val="single" w:color="auto" w:sz="4" w:space="0"/>
            </w:tcBorders>
            <w:noWrap w:val="0"/>
            <w:vAlign w:val="center"/>
          </w:tcPr>
          <w:p>
            <w:pPr>
              <w:pStyle w:val="32"/>
              <w:kinsoku w:val="0"/>
              <w:overflowPunct w:val="0"/>
              <w:adjustRightInd w:val="0"/>
              <w:snapToGrid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tc>
        <w:tc>
          <w:tcPr>
            <w:tcW w:w="2722" w:type="dxa"/>
            <w:tcBorders>
              <w:top w:val="single" w:color="auto" w:sz="4" w:space="0"/>
              <w:left w:val="single" w:color="auto" w:sz="4" w:space="0"/>
              <w:bottom w:val="single" w:color="auto" w:sz="4" w:space="0"/>
              <w:right w:val="single" w:color="auto"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lang w:eastAsia="zh-CN"/>
              </w:rPr>
            </w:pPr>
          </w:p>
        </w:tc>
        <w:tc>
          <w:tcPr>
            <w:tcW w:w="2766" w:type="dxa"/>
            <w:tcBorders>
              <w:top w:val="single" w:color="auto" w:sz="4" w:space="0"/>
              <w:left w:val="single" w:color="auto" w:sz="4" w:space="0"/>
              <w:bottom w:val="single" w:color="auto" w:sz="4" w:space="0"/>
              <w:right w:val="single" w:color="auto"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lang w:eastAsia="zh-CN"/>
              </w:rPr>
            </w:pPr>
          </w:p>
        </w:tc>
      </w:tr>
    </w:tbl>
    <w:p>
      <w:pPr>
        <w:ind w:firstLine="0" w:firstLineChars="0"/>
        <w:rPr>
          <w:rFonts w:hint="eastAsia" w:ascii="宋体" w:hAnsi="宋体" w:eastAsia="宋体" w:cs="宋体"/>
          <w:b/>
          <w:color w:val="auto"/>
          <w:sz w:val="21"/>
        </w:rPr>
      </w:pPr>
      <w:r>
        <w:rPr>
          <w:rFonts w:hint="eastAsia" w:ascii="宋体" w:hAnsi="宋体" w:eastAsia="宋体" w:cs="宋体"/>
          <w:b/>
          <w:color w:val="auto"/>
          <w:sz w:val="21"/>
        </w:rPr>
        <w:t>注：</w:t>
      </w:r>
    </w:p>
    <w:p>
      <w:pPr>
        <w:ind w:firstLine="0" w:firstLineChars="0"/>
        <w:rPr>
          <w:rFonts w:hint="eastAsia" w:ascii="宋体" w:hAnsi="宋体" w:eastAsia="宋体" w:cs="宋体"/>
          <w:b/>
          <w:color w:val="auto"/>
          <w:sz w:val="21"/>
        </w:rPr>
      </w:pPr>
      <w:r>
        <w:rPr>
          <w:rFonts w:hint="eastAsia" w:ascii="宋体" w:hAnsi="宋体" w:eastAsia="宋体" w:cs="宋体"/>
          <w:b/>
          <w:color w:val="auto"/>
          <w:sz w:val="21"/>
        </w:rPr>
        <w:t>1．不如实填写偏离情况的报价文件将视为虚假材料。</w:t>
      </w:r>
    </w:p>
    <w:p>
      <w:pPr>
        <w:ind w:firstLine="0" w:firstLineChars="0"/>
        <w:rPr>
          <w:rFonts w:hint="eastAsia" w:ascii="宋体" w:hAnsi="宋体" w:eastAsia="宋体" w:cs="宋体"/>
          <w:b/>
          <w:color w:val="auto"/>
          <w:sz w:val="21"/>
        </w:rPr>
      </w:pPr>
      <w:r>
        <w:rPr>
          <w:rFonts w:hint="eastAsia" w:ascii="宋体" w:hAnsi="宋体" w:eastAsia="宋体" w:cs="宋体"/>
          <w:b/>
          <w:color w:val="auto"/>
          <w:sz w:val="21"/>
        </w:rPr>
        <w:t>2．招标要求指磋商文件中规定的具体要求，投标应答指报价文件的具体内容。</w:t>
      </w:r>
    </w:p>
    <w:p>
      <w:pPr>
        <w:ind w:firstLine="0" w:firstLineChars="0"/>
        <w:rPr>
          <w:rFonts w:hint="eastAsia" w:ascii="宋体" w:hAnsi="宋体" w:eastAsia="宋体" w:cs="宋体"/>
          <w:b/>
          <w:color w:val="auto"/>
          <w:sz w:val="21"/>
        </w:rPr>
      </w:pPr>
      <w:r>
        <w:rPr>
          <w:rFonts w:hint="eastAsia" w:ascii="宋体" w:hAnsi="宋体" w:eastAsia="宋体" w:cs="宋体"/>
          <w:b/>
          <w:color w:val="auto"/>
          <w:sz w:val="21"/>
        </w:rPr>
        <w:t>3．偏离说明指磋商文件要求与报价文件应答之间的不同之处。</w:t>
      </w:r>
    </w:p>
    <w:p>
      <w:pPr>
        <w:ind w:left="1980" w:leftChars="900" w:firstLine="0" w:firstLineChars="0"/>
        <w:rPr>
          <w:rFonts w:hint="eastAsia" w:ascii="宋体" w:hAnsi="宋体" w:eastAsia="宋体" w:cs="宋体"/>
          <w:color w:val="auto"/>
        </w:rPr>
      </w:pPr>
    </w:p>
    <w:p>
      <w:pPr>
        <w:ind w:left="1980" w:leftChars="900" w:firstLine="0" w:firstLineChars="0"/>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xml:space="preserve">               （盖章）                 </w:t>
      </w:r>
    </w:p>
    <w:p>
      <w:pPr>
        <w:ind w:left="1980" w:leftChars="900" w:firstLine="0" w:firstLineChars="0"/>
        <w:rPr>
          <w:rFonts w:hint="eastAsia" w:ascii="宋体" w:hAnsi="宋体" w:eastAsia="宋体" w:cs="宋体"/>
          <w:color w:val="auto"/>
        </w:rPr>
      </w:pPr>
    </w:p>
    <w:p>
      <w:pPr>
        <w:ind w:left="1980" w:leftChars="900" w:firstLine="0" w:firstLineChars="0"/>
        <w:rPr>
          <w:rFonts w:hint="eastAsia" w:ascii="宋体" w:hAnsi="宋体" w:eastAsia="宋体" w:cs="宋体"/>
          <w:color w:val="auto"/>
        </w:rPr>
      </w:pPr>
      <w:r>
        <w:rPr>
          <w:rFonts w:hint="eastAsia" w:ascii="宋体" w:hAnsi="宋体" w:eastAsia="宋体" w:cs="宋体"/>
          <w:color w:val="auto"/>
        </w:rPr>
        <w:t>法定代表人或被授权代表：</w:t>
      </w:r>
      <w:r>
        <w:rPr>
          <w:rFonts w:hint="eastAsia" w:ascii="宋体" w:hAnsi="宋体" w:eastAsia="宋体" w:cs="宋体"/>
          <w:color w:val="auto"/>
          <w:u w:val="single"/>
        </w:rPr>
        <w:t xml:space="preserve">          （签字或盖章）         </w:t>
      </w:r>
    </w:p>
    <w:p>
      <w:pPr>
        <w:ind w:left="1980" w:leftChars="900" w:firstLine="0" w:firstLineChars="0"/>
        <w:rPr>
          <w:rFonts w:hint="eastAsia" w:ascii="宋体" w:hAnsi="宋体" w:eastAsia="宋体" w:cs="宋体"/>
          <w:color w:val="auto"/>
        </w:rPr>
      </w:pPr>
    </w:p>
    <w:p>
      <w:pPr>
        <w:ind w:left="1980" w:leftChars="900" w:firstLine="0" w:firstLineChars="0"/>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                                             </w:t>
      </w:r>
    </w:p>
    <w:p>
      <w:pPr>
        <w:ind w:firstLine="480"/>
        <w:rPr>
          <w:rFonts w:hint="eastAsia" w:ascii="宋体" w:hAnsi="宋体" w:eastAsia="宋体" w:cs="宋体"/>
          <w:bCs/>
          <w:color w:val="auto"/>
          <w:szCs w:val="21"/>
        </w:rPr>
      </w:pPr>
    </w:p>
    <w:p>
      <w:pPr>
        <w:adjustRightInd/>
        <w:snapToGrid/>
        <w:ind w:firstLine="0" w:firstLineChars="0"/>
        <w:rPr>
          <w:rFonts w:hint="eastAsia" w:ascii="宋体" w:hAnsi="宋体" w:eastAsia="宋体" w:cs="宋体"/>
          <w:color w:val="auto"/>
        </w:rPr>
      </w:pPr>
    </w:p>
    <w:p>
      <w:pPr>
        <w:ind w:left="480" w:firstLine="0" w:firstLineChars="0"/>
        <w:rPr>
          <w:rFonts w:hint="eastAsia" w:ascii="宋体" w:hAnsi="宋体" w:eastAsia="宋体" w:cs="宋体"/>
          <w:color w:val="auto"/>
        </w:rPr>
        <w:sectPr>
          <w:pgSz w:w="11906" w:h="16838"/>
          <w:pgMar w:top="1701" w:right="1701" w:bottom="1418" w:left="1418" w:header="851" w:footer="992" w:gutter="0"/>
          <w:pgNumType w:fmt="decimal"/>
          <w:cols w:space="720" w:num="1"/>
          <w:docGrid w:type="linesAndChars" w:linePitch="312" w:charSpace="0"/>
        </w:sectPr>
      </w:pPr>
    </w:p>
    <w:p>
      <w:pPr>
        <w:pStyle w:val="4"/>
        <w:jc w:val="center"/>
        <w:rPr>
          <w:rFonts w:hint="eastAsia" w:ascii="宋体" w:hAnsi="宋体" w:eastAsia="宋体" w:cs="宋体"/>
          <w:color w:val="auto"/>
          <w:sz w:val="28"/>
          <w:szCs w:val="28"/>
        </w:rPr>
      </w:pPr>
      <w:bookmarkStart w:id="801" w:name="_Toc23951_WPSOffice_Level1"/>
      <w:bookmarkStart w:id="802" w:name="_Toc717_WPSOffice_Level1"/>
      <w:bookmarkStart w:id="803" w:name="_Toc24530_WPSOffice_Level1"/>
      <w:bookmarkStart w:id="804" w:name="_Toc42606849"/>
      <w:bookmarkStart w:id="805" w:name="_Toc7342914"/>
      <w:bookmarkStart w:id="806" w:name="_Toc217446091"/>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、技术部分</w:t>
      </w:r>
      <w:bookmarkEnd w:id="801"/>
      <w:bookmarkEnd w:id="802"/>
      <w:bookmarkEnd w:id="803"/>
      <w:bookmarkEnd w:id="804"/>
    </w:p>
    <w:p>
      <w:pPr>
        <w:pStyle w:val="2"/>
        <w:rPr>
          <w:rFonts w:hint="eastAsia" w:ascii="宋体" w:hAnsi="宋体" w:eastAsia="宋体" w:cs="宋体"/>
          <w:color w:val="auto"/>
          <w:spacing w:val="4"/>
          <w:sz w:val="24"/>
          <w:szCs w:val="16"/>
        </w:rPr>
      </w:pPr>
      <w:r>
        <w:rPr>
          <w:rFonts w:hint="eastAsia" w:ascii="宋体" w:hAnsi="宋体" w:eastAsia="宋体" w:cs="宋体"/>
          <w:color w:val="auto"/>
          <w:sz w:val="24"/>
          <w:szCs w:val="24"/>
        </w:rPr>
        <w:t>(一)技术</w:t>
      </w:r>
      <w:r>
        <w:rPr>
          <w:rFonts w:hint="eastAsia" w:ascii="宋体" w:hAnsi="宋体" w:eastAsia="宋体" w:cs="宋体"/>
          <w:color w:val="auto"/>
          <w:sz w:val="24"/>
          <w:szCs w:val="24"/>
          <w:lang w:val="en-US" w:eastAsia="zh-CN"/>
        </w:rPr>
        <w:t>偏离</w:t>
      </w:r>
      <w:r>
        <w:rPr>
          <w:rFonts w:hint="eastAsia" w:ascii="宋体" w:hAnsi="宋体" w:eastAsia="宋体" w:cs="宋体"/>
          <w:color w:val="auto"/>
          <w:sz w:val="24"/>
          <w:szCs w:val="24"/>
        </w:rPr>
        <w:t>表</w:t>
      </w:r>
      <w:bookmarkEnd w:id="805"/>
    </w:p>
    <w:p>
      <w:pPr>
        <w:ind w:right="71" w:firstLine="496"/>
        <w:rPr>
          <w:rFonts w:hint="eastAsia" w:ascii="宋体" w:hAnsi="宋体" w:eastAsia="宋体" w:cs="宋体"/>
          <w:color w:val="auto"/>
          <w:spacing w:val="4"/>
          <w:szCs w:val="21"/>
        </w:rPr>
      </w:pPr>
      <w:r>
        <w:rPr>
          <w:rFonts w:hint="eastAsia" w:ascii="宋体" w:hAnsi="宋体" w:eastAsia="宋体" w:cs="宋体"/>
          <w:color w:val="auto"/>
          <w:spacing w:val="4"/>
          <w:szCs w:val="21"/>
        </w:rPr>
        <w:t>供应商名称：</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 xml:space="preserve">                 项目编号：          </w:t>
      </w:r>
    </w:p>
    <w:tbl>
      <w:tblPr>
        <w:tblStyle w:val="25"/>
        <w:tblW w:w="0" w:type="auto"/>
        <w:jc w:val="center"/>
        <w:tblLayout w:type="fixed"/>
        <w:tblCellMar>
          <w:top w:w="0" w:type="dxa"/>
          <w:left w:w="0" w:type="dxa"/>
          <w:bottom w:w="0" w:type="dxa"/>
          <w:right w:w="0" w:type="dxa"/>
        </w:tblCellMar>
      </w:tblPr>
      <w:tblGrid>
        <w:gridCol w:w="1172"/>
        <w:gridCol w:w="2126"/>
        <w:gridCol w:w="2268"/>
        <w:gridCol w:w="1575"/>
        <w:gridCol w:w="2036"/>
      </w:tblGrid>
      <w:tr>
        <w:tblPrEx>
          <w:tblCellMar>
            <w:top w:w="0" w:type="dxa"/>
            <w:left w:w="0" w:type="dxa"/>
            <w:bottom w:w="0" w:type="dxa"/>
            <w:right w:w="0" w:type="dxa"/>
          </w:tblCellMar>
        </w:tblPrEx>
        <w:trPr>
          <w:trHeight w:val="340" w:hRule="atLeast"/>
          <w:jc w:val="center"/>
        </w:trPr>
        <w:tc>
          <w:tcPr>
            <w:tcW w:w="1172" w:type="dxa"/>
            <w:tcBorders>
              <w:top w:val="single" w:color="000000" w:sz="4" w:space="0"/>
              <w:left w:val="single" w:color="000000" w:sz="4" w:space="0"/>
              <w:bottom w:val="single" w:color="000000" w:sz="4" w:space="0"/>
              <w:right w:val="single" w:color="000000"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条款号</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招标要求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投标应答</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偏离说明</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pStyle w:val="32"/>
              <w:kinsoku w:val="0"/>
              <w:overflowPunct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材料所在页码</w:t>
            </w:r>
          </w:p>
        </w:tc>
      </w:tr>
      <w:tr>
        <w:tblPrEx>
          <w:tblCellMar>
            <w:top w:w="0" w:type="dxa"/>
            <w:left w:w="0" w:type="dxa"/>
            <w:bottom w:w="0" w:type="dxa"/>
            <w:right w:w="0" w:type="dxa"/>
          </w:tblCellMar>
        </w:tblPrEx>
        <w:trPr>
          <w:trHeight w:val="340" w:hRule="atLeast"/>
          <w:jc w:val="center"/>
        </w:trPr>
        <w:tc>
          <w:tcPr>
            <w:tcW w:w="117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r>
      <w:tr>
        <w:tblPrEx>
          <w:tblCellMar>
            <w:top w:w="0" w:type="dxa"/>
            <w:left w:w="0" w:type="dxa"/>
            <w:bottom w:w="0" w:type="dxa"/>
            <w:right w:w="0" w:type="dxa"/>
          </w:tblCellMar>
        </w:tblPrEx>
        <w:trPr>
          <w:trHeight w:val="340" w:hRule="atLeast"/>
          <w:jc w:val="center"/>
        </w:trPr>
        <w:tc>
          <w:tcPr>
            <w:tcW w:w="117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r>
      <w:tr>
        <w:tblPrEx>
          <w:tblCellMar>
            <w:top w:w="0" w:type="dxa"/>
            <w:left w:w="0" w:type="dxa"/>
            <w:bottom w:w="0" w:type="dxa"/>
            <w:right w:w="0" w:type="dxa"/>
          </w:tblCellMar>
        </w:tblPrEx>
        <w:trPr>
          <w:trHeight w:val="340" w:hRule="atLeast"/>
          <w:jc w:val="center"/>
        </w:trPr>
        <w:tc>
          <w:tcPr>
            <w:tcW w:w="117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r>
      <w:tr>
        <w:tblPrEx>
          <w:tblCellMar>
            <w:top w:w="0" w:type="dxa"/>
            <w:left w:w="0" w:type="dxa"/>
            <w:bottom w:w="0" w:type="dxa"/>
            <w:right w:w="0" w:type="dxa"/>
          </w:tblCellMar>
        </w:tblPrEx>
        <w:trPr>
          <w:trHeight w:val="340" w:hRule="atLeast"/>
          <w:jc w:val="center"/>
        </w:trPr>
        <w:tc>
          <w:tcPr>
            <w:tcW w:w="117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80"/>
              <w:jc w:val="center"/>
              <w:rPr>
                <w:rFonts w:hint="eastAsia" w:ascii="宋体" w:hAnsi="宋体" w:eastAsia="宋体" w:cs="宋体"/>
                <w:color w:val="auto"/>
                <w:szCs w:val="21"/>
              </w:rPr>
            </w:pPr>
          </w:p>
        </w:tc>
      </w:tr>
    </w:tbl>
    <w:p>
      <w:pPr>
        <w:ind w:firstLine="480"/>
        <w:rPr>
          <w:rFonts w:hint="eastAsia" w:ascii="宋体" w:hAnsi="宋体" w:eastAsia="宋体" w:cs="宋体"/>
          <w:color w:val="auto"/>
        </w:rPr>
      </w:pPr>
    </w:p>
    <w:p>
      <w:pPr>
        <w:spacing w:line="360" w:lineRule="auto"/>
        <w:ind w:firstLine="482"/>
        <w:rPr>
          <w:rFonts w:hint="eastAsia" w:ascii="宋体" w:hAnsi="宋体" w:eastAsia="宋体" w:cs="宋体"/>
          <w:b/>
          <w:color w:val="auto"/>
          <w:sz w:val="24"/>
          <w:szCs w:val="22"/>
        </w:rPr>
      </w:pPr>
      <w:r>
        <w:rPr>
          <w:rFonts w:hint="eastAsia" w:ascii="宋体" w:hAnsi="宋体" w:eastAsia="宋体" w:cs="宋体"/>
          <w:b/>
          <w:color w:val="auto"/>
          <w:sz w:val="24"/>
          <w:szCs w:val="22"/>
        </w:rPr>
        <w:t>注：1.有偏离的技术条款须在该表中逐一列明， 在“偏离说明”中说明偏离具体情形。若无偏离请填写“无偏离”。</w:t>
      </w:r>
    </w:p>
    <w:p>
      <w:pPr>
        <w:spacing w:line="360" w:lineRule="auto"/>
        <w:ind w:firstLine="482"/>
        <w:rPr>
          <w:rFonts w:hint="eastAsia" w:ascii="宋体" w:hAnsi="宋体" w:eastAsia="宋体" w:cs="宋体"/>
          <w:b/>
          <w:color w:val="auto"/>
          <w:sz w:val="24"/>
          <w:szCs w:val="22"/>
        </w:rPr>
      </w:pPr>
      <w:r>
        <w:rPr>
          <w:rFonts w:hint="eastAsia" w:ascii="宋体" w:hAnsi="宋体" w:eastAsia="宋体" w:cs="宋体"/>
          <w:b/>
          <w:color w:val="auto"/>
          <w:sz w:val="24"/>
          <w:szCs w:val="22"/>
        </w:rPr>
        <w:t>2.未声明部分将被视为已接受磋商文件要求，签约时未经采购人同意不得改变。</w:t>
      </w:r>
    </w:p>
    <w:p>
      <w:pPr>
        <w:spacing w:line="360" w:lineRule="auto"/>
        <w:ind w:firstLine="482"/>
        <w:rPr>
          <w:rFonts w:hint="eastAsia" w:ascii="宋体" w:hAnsi="宋体" w:eastAsia="宋体" w:cs="宋体"/>
          <w:b/>
          <w:color w:val="auto"/>
          <w:sz w:val="24"/>
          <w:szCs w:val="22"/>
        </w:rPr>
      </w:pPr>
      <w:r>
        <w:rPr>
          <w:rFonts w:hint="eastAsia" w:ascii="宋体" w:hAnsi="宋体" w:eastAsia="宋体" w:cs="宋体"/>
          <w:b/>
          <w:color w:val="auto"/>
          <w:sz w:val="24"/>
          <w:szCs w:val="22"/>
        </w:rPr>
        <w:t>3.供应商可根据其响应内容进一步细化上述表格，并可增添其它表格或说明以便进一步明确投标内容。</w:t>
      </w:r>
    </w:p>
    <w:p>
      <w:pPr>
        <w:spacing w:line="360" w:lineRule="auto"/>
        <w:ind w:firstLine="482"/>
        <w:rPr>
          <w:rFonts w:hint="eastAsia" w:ascii="宋体" w:hAnsi="宋体" w:eastAsia="宋体" w:cs="宋体"/>
          <w:b/>
          <w:color w:val="auto"/>
          <w:sz w:val="24"/>
          <w:szCs w:val="22"/>
        </w:rPr>
      </w:pP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（盖章）</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法定代表人或被授权代表：</w:t>
      </w:r>
      <w:r>
        <w:rPr>
          <w:rFonts w:hint="eastAsia" w:ascii="宋体" w:hAnsi="宋体" w:eastAsia="宋体" w:cs="宋体"/>
          <w:color w:val="auto"/>
          <w:sz w:val="24"/>
          <w:szCs w:val="24"/>
          <w:u w:val="single"/>
        </w:rPr>
        <w:t xml:space="preserve">                          （签字或盖章）</w:t>
      </w:r>
    </w:p>
    <w:p>
      <w:pPr>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投标日期：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p>
    <w:p>
      <w:pPr>
        <w:pStyle w:val="9"/>
        <w:spacing w:line="360" w:lineRule="auto"/>
        <w:ind w:firstLine="420"/>
        <w:rPr>
          <w:rFonts w:hint="eastAsia" w:ascii="宋体" w:hAnsi="宋体" w:eastAsia="宋体" w:cs="宋体"/>
          <w:color w:val="auto"/>
          <w:sz w:val="24"/>
          <w:szCs w:val="24"/>
        </w:rPr>
      </w:pPr>
    </w:p>
    <w:p>
      <w:pPr>
        <w:pStyle w:val="9"/>
        <w:ind w:firstLine="420"/>
        <w:rPr>
          <w:rFonts w:hint="eastAsia" w:ascii="宋体" w:hAnsi="宋体" w:eastAsia="宋体" w:cs="宋体"/>
          <w:color w:val="auto"/>
        </w:rPr>
      </w:pPr>
    </w:p>
    <w:p>
      <w:pPr>
        <w:pStyle w:val="9"/>
        <w:ind w:firstLine="0" w:firstLineChars="0"/>
        <w:rPr>
          <w:rFonts w:hint="eastAsia" w:ascii="宋体" w:hAnsi="宋体" w:eastAsia="宋体" w:cs="宋体"/>
          <w:i w:val="0"/>
          <w:color w:val="auto"/>
        </w:rPr>
      </w:pPr>
    </w:p>
    <w:p>
      <w:pPr>
        <w:pStyle w:val="9"/>
        <w:ind w:firstLine="502"/>
        <w:rPr>
          <w:rFonts w:hint="eastAsia" w:ascii="宋体" w:hAnsi="宋体" w:eastAsia="宋体" w:cs="宋体"/>
          <w:b/>
          <w:i w:val="0"/>
          <w:color w:val="auto"/>
          <w:sz w:val="24"/>
          <w:szCs w:val="24"/>
        </w:rPr>
        <w:sectPr>
          <w:pgSz w:w="11906" w:h="16838"/>
          <w:pgMar w:top="1701" w:right="1701" w:bottom="1418" w:left="1418" w:header="851" w:footer="992" w:gutter="0"/>
          <w:pgNumType w:fmt="decimal"/>
          <w:cols w:space="720" w:num="1"/>
          <w:docGrid w:type="linesAndChars" w:linePitch="312" w:charSpace="0"/>
        </w:sectPr>
      </w:pP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bCs w:val="0"/>
          <w:iCs/>
          <w:color w:val="auto"/>
          <w:spacing w:val="5"/>
          <w:sz w:val="24"/>
          <w:szCs w:val="24"/>
        </w:rPr>
      </w:pPr>
      <w:r>
        <w:rPr>
          <w:rFonts w:hint="eastAsia" w:ascii="宋体" w:hAnsi="宋体" w:eastAsia="宋体" w:cs="宋体"/>
          <w:b/>
          <w:bCs w:val="0"/>
          <w:iCs/>
          <w:color w:val="auto"/>
          <w:spacing w:val="5"/>
          <w:sz w:val="24"/>
          <w:szCs w:val="24"/>
        </w:rPr>
        <w:t>（二） 施工组织设计；（包含但不限于以下）</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lang w:val="en-US" w:eastAsia="zh-CN"/>
        </w:rPr>
        <w:t>1、</w:t>
      </w:r>
      <w:r>
        <w:rPr>
          <w:rFonts w:hint="eastAsia" w:ascii="宋体" w:hAnsi="宋体" w:eastAsia="宋体" w:cs="宋体"/>
          <w:b w:val="0"/>
          <w:bCs/>
          <w:iCs/>
          <w:color w:val="auto"/>
          <w:spacing w:val="5"/>
          <w:sz w:val="24"/>
          <w:szCs w:val="24"/>
        </w:rPr>
        <w:t>供应商应根据磋商文件要求及图纸及工程量清单内容，采用文字并结合图表形式，参考以下要点编制本项目的施工组织设计：</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1</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工程概况及特点</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lang w:val="en-US" w:eastAsia="zh-CN"/>
        </w:rPr>
        <w:t>2</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施工准备工作计划</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lang w:val="en-US" w:eastAsia="zh-CN"/>
        </w:rPr>
        <w:t>3</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施工方案</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lang w:val="en-US" w:eastAsia="zh-CN"/>
        </w:rPr>
        <w:t>4</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工程施工进度计划</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lang w:val="en-US" w:eastAsia="zh-CN"/>
        </w:rPr>
        <w:t>5</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施工平面图</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lang w:val="en-US" w:eastAsia="zh-CN"/>
        </w:rPr>
        <w:t>6</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劳动力需</w:t>
      </w:r>
      <w:r>
        <w:rPr>
          <w:rFonts w:hint="eastAsia" w:ascii="宋体" w:hAnsi="宋体" w:eastAsia="宋体" w:cs="宋体"/>
          <w:b w:val="0"/>
          <w:bCs/>
          <w:iCs/>
          <w:color w:val="auto"/>
          <w:spacing w:val="5"/>
          <w:sz w:val="24"/>
          <w:szCs w:val="24"/>
          <w:lang w:val="en-US" w:eastAsia="zh-CN"/>
        </w:rPr>
        <w:t>用</w:t>
      </w:r>
      <w:r>
        <w:rPr>
          <w:rFonts w:hint="eastAsia" w:ascii="宋体" w:hAnsi="宋体" w:eastAsia="宋体" w:cs="宋体"/>
          <w:b w:val="0"/>
          <w:bCs/>
          <w:iCs/>
          <w:color w:val="auto"/>
          <w:spacing w:val="5"/>
          <w:sz w:val="24"/>
          <w:szCs w:val="24"/>
        </w:rPr>
        <w:t>量计划</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lang w:val="en-US" w:eastAsia="zh-CN"/>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lang w:val="en-US" w:eastAsia="zh-CN"/>
        </w:rPr>
        <w:t>7</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材料需</w:t>
      </w:r>
      <w:r>
        <w:rPr>
          <w:rFonts w:hint="eastAsia" w:ascii="宋体" w:hAnsi="宋体" w:eastAsia="宋体" w:cs="宋体"/>
          <w:b w:val="0"/>
          <w:bCs/>
          <w:iCs/>
          <w:color w:val="auto"/>
          <w:spacing w:val="5"/>
          <w:sz w:val="24"/>
          <w:szCs w:val="24"/>
          <w:lang w:val="en-US" w:eastAsia="zh-CN"/>
        </w:rPr>
        <w:t>用</w:t>
      </w:r>
      <w:r>
        <w:rPr>
          <w:rFonts w:hint="eastAsia" w:ascii="宋体" w:hAnsi="宋体" w:eastAsia="宋体" w:cs="宋体"/>
          <w:b w:val="0"/>
          <w:bCs/>
          <w:iCs/>
          <w:color w:val="auto"/>
          <w:spacing w:val="5"/>
          <w:sz w:val="24"/>
          <w:szCs w:val="24"/>
        </w:rPr>
        <w:t>量计划</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lang w:val="en-US" w:eastAsia="zh-CN"/>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lang w:val="en-US" w:eastAsia="zh-CN"/>
        </w:rPr>
        <w:t>8</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机械设备需</w:t>
      </w:r>
      <w:r>
        <w:rPr>
          <w:rFonts w:hint="eastAsia" w:ascii="宋体" w:hAnsi="宋体" w:eastAsia="宋体" w:cs="宋体"/>
          <w:b w:val="0"/>
          <w:bCs/>
          <w:iCs/>
          <w:color w:val="auto"/>
          <w:spacing w:val="5"/>
          <w:sz w:val="24"/>
          <w:szCs w:val="24"/>
          <w:lang w:val="en-US" w:eastAsia="zh-CN"/>
        </w:rPr>
        <w:t>用</w:t>
      </w:r>
      <w:r>
        <w:rPr>
          <w:rFonts w:hint="eastAsia" w:ascii="宋体" w:hAnsi="宋体" w:eastAsia="宋体" w:cs="宋体"/>
          <w:b w:val="0"/>
          <w:bCs/>
          <w:iCs/>
          <w:color w:val="auto"/>
          <w:spacing w:val="5"/>
          <w:sz w:val="24"/>
          <w:szCs w:val="24"/>
        </w:rPr>
        <w:t>量计划</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lang w:val="en-US" w:eastAsia="zh-CN"/>
        </w:rPr>
        <w:t>9</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质量保证技术组织措施和保证体系</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1</w:t>
      </w:r>
      <w:r>
        <w:rPr>
          <w:rFonts w:hint="eastAsia" w:ascii="宋体" w:hAnsi="宋体" w:eastAsia="宋体" w:cs="宋体"/>
          <w:b w:val="0"/>
          <w:bCs/>
          <w:iCs/>
          <w:color w:val="auto"/>
          <w:spacing w:val="5"/>
          <w:sz w:val="24"/>
          <w:szCs w:val="24"/>
          <w:lang w:val="en-US" w:eastAsia="zh-CN"/>
        </w:rPr>
        <w:t>0</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安全保证技术组织措施和保证体系</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1</w:t>
      </w:r>
      <w:r>
        <w:rPr>
          <w:rFonts w:hint="eastAsia" w:ascii="宋体" w:hAnsi="宋体" w:eastAsia="宋体" w:cs="宋体"/>
          <w:b w:val="0"/>
          <w:bCs/>
          <w:iCs/>
          <w:color w:val="auto"/>
          <w:spacing w:val="5"/>
          <w:sz w:val="24"/>
          <w:szCs w:val="24"/>
          <w:lang w:val="en-US" w:eastAsia="zh-CN"/>
        </w:rPr>
        <w:t>1</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进度保证技术组织措施和保证体系</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1</w:t>
      </w:r>
      <w:r>
        <w:rPr>
          <w:rFonts w:hint="eastAsia" w:ascii="宋体" w:hAnsi="宋体" w:eastAsia="宋体" w:cs="宋体"/>
          <w:b w:val="0"/>
          <w:bCs/>
          <w:iCs/>
          <w:color w:val="auto"/>
          <w:spacing w:val="5"/>
          <w:sz w:val="24"/>
          <w:szCs w:val="24"/>
          <w:lang w:val="en-US" w:eastAsia="zh-CN"/>
        </w:rPr>
        <w:t>2</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现场文明施工措施</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lang w:val="en-US" w:eastAsia="zh-CN"/>
        </w:rPr>
      </w:pP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1</w:t>
      </w:r>
      <w:r>
        <w:rPr>
          <w:rFonts w:hint="eastAsia" w:ascii="宋体" w:hAnsi="宋体" w:eastAsia="宋体" w:cs="宋体"/>
          <w:b w:val="0"/>
          <w:bCs/>
          <w:iCs/>
          <w:color w:val="auto"/>
          <w:spacing w:val="5"/>
          <w:sz w:val="24"/>
          <w:szCs w:val="24"/>
          <w:lang w:val="en-US" w:eastAsia="zh-CN"/>
        </w:rPr>
        <w:t>3</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lang w:val="en-US" w:eastAsia="zh-CN"/>
        </w:rPr>
        <w:t>卫生防疫工作实施方案</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rPr>
        <w:t>注：投标人应根据招标工程的具体情况，编织相应的施工组织设计</w:t>
      </w:r>
      <w:r>
        <w:rPr>
          <w:rFonts w:hint="eastAsia" w:ascii="宋体" w:hAnsi="宋体" w:eastAsia="宋体" w:cs="宋体"/>
          <w:b w:val="0"/>
          <w:bCs/>
          <w:iCs/>
          <w:color w:val="auto"/>
          <w:spacing w:val="5"/>
          <w:sz w:val="24"/>
          <w:szCs w:val="24"/>
          <w:lang w:eastAsia="zh-CN"/>
        </w:rPr>
        <w:t>，</w:t>
      </w:r>
      <w:r>
        <w:rPr>
          <w:rFonts w:hint="eastAsia" w:ascii="宋体" w:hAnsi="宋体" w:eastAsia="宋体" w:cs="宋体"/>
          <w:b w:val="0"/>
          <w:bCs/>
          <w:iCs/>
          <w:color w:val="auto"/>
          <w:spacing w:val="5"/>
          <w:sz w:val="24"/>
          <w:szCs w:val="24"/>
        </w:rPr>
        <w:t>上内容中若需要表格请投标人自行编制。</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rPr>
        <w:t>2、施工组织设计除采用文字表述外可附下列图表，图表及格式要求附后。</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rPr>
        <w:t>附表一  拟投入本工程的主要施工设备表</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rPr>
        <w:t>附表二  拟配备本工程的试验和检测仪器设备表</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rPr>
        <w:t>附表三  劳动力计划表</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rPr>
        <w:t>附表四  计划开、竣工日期和施工进度</w:t>
      </w:r>
      <w:r>
        <w:rPr>
          <w:rFonts w:hint="eastAsia" w:ascii="宋体" w:hAnsi="宋体" w:eastAsia="宋体" w:cs="宋体"/>
          <w:b w:val="0"/>
          <w:bCs/>
          <w:iCs/>
          <w:color w:val="auto"/>
          <w:spacing w:val="5"/>
          <w:sz w:val="24"/>
          <w:szCs w:val="24"/>
          <w:lang w:val="en-US" w:eastAsia="zh-CN"/>
        </w:rPr>
        <w:t>图或</w:t>
      </w:r>
      <w:r>
        <w:rPr>
          <w:rFonts w:hint="eastAsia" w:ascii="宋体" w:hAnsi="宋体" w:eastAsia="宋体" w:cs="宋体"/>
          <w:b w:val="0"/>
          <w:bCs/>
          <w:iCs/>
          <w:color w:val="auto"/>
          <w:spacing w:val="5"/>
          <w:sz w:val="24"/>
          <w:szCs w:val="24"/>
        </w:rPr>
        <w:t>网络图</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iCs/>
          <w:color w:val="auto"/>
          <w:spacing w:val="5"/>
          <w:sz w:val="24"/>
          <w:szCs w:val="24"/>
        </w:rPr>
      </w:pPr>
      <w:r>
        <w:rPr>
          <w:rFonts w:hint="eastAsia" w:ascii="宋体" w:hAnsi="宋体" w:eastAsia="宋体" w:cs="宋体"/>
          <w:b w:val="0"/>
          <w:bCs/>
          <w:iCs/>
          <w:color w:val="auto"/>
          <w:spacing w:val="5"/>
          <w:sz w:val="24"/>
          <w:szCs w:val="24"/>
        </w:rPr>
        <w:t>附表五  施工总平面图</w:t>
      </w:r>
    </w:p>
    <w:p>
      <w:pPr>
        <w:keepNext w:val="0"/>
        <w:keepLines w:val="0"/>
        <w:pageBreakBefore w:val="0"/>
        <w:widowControl/>
        <w:kinsoku/>
        <w:wordWrap/>
        <w:overflowPunct/>
        <w:topLinePunct w:val="0"/>
        <w:autoSpaceDE/>
        <w:autoSpaceDN/>
        <w:bidi w:val="0"/>
        <w:adjustRightInd w:val="0"/>
        <w:snapToGrid w:val="0"/>
        <w:spacing w:line="500" w:lineRule="exact"/>
        <w:ind w:firstLine="502"/>
        <w:textAlignment w:val="auto"/>
        <w:rPr>
          <w:rFonts w:hint="eastAsia" w:ascii="宋体" w:hAnsi="宋体" w:eastAsia="宋体" w:cs="宋体"/>
          <w:b w:val="0"/>
          <w:bCs/>
          <w:color w:val="auto"/>
          <w:sz w:val="24"/>
          <w:szCs w:val="24"/>
        </w:rPr>
      </w:pPr>
      <w:r>
        <w:rPr>
          <w:rFonts w:hint="eastAsia" w:ascii="宋体" w:hAnsi="宋体" w:eastAsia="宋体" w:cs="宋体"/>
          <w:b w:val="0"/>
          <w:bCs/>
          <w:iCs/>
          <w:color w:val="auto"/>
          <w:spacing w:val="5"/>
          <w:sz w:val="24"/>
          <w:szCs w:val="24"/>
        </w:rPr>
        <w:t>附表六  临时用地表</w:t>
      </w:r>
    </w:p>
    <w:p>
      <w:pPr>
        <w:ind w:firstLine="0" w:firstLineChars="0"/>
        <w:rPr>
          <w:rFonts w:hint="eastAsia" w:ascii="宋体" w:hAnsi="宋体" w:eastAsia="宋体" w:cs="宋体"/>
          <w:color w:val="auto"/>
          <w:szCs w:val="21"/>
        </w:rPr>
        <w:sectPr>
          <w:pgSz w:w="11906" w:h="16838"/>
          <w:pgMar w:top="1701" w:right="1701" w:bottom="1418" w:left="1418" w:header="851" w:footer="992" w:gutter="0"/>
          <w:pgNumType w:fmt="decimal"/>
          <w:cols w:space="720" w:num="1"/>
          <w:docGrid w:type="linesAndChars" w:linePitch="312" w:charSpace="0"/>
        </w:sectPr>
      </w:pPr>
    </w:p>
    <w:p>
      <w:pPr>
        <w:ind w:firstLine="480"/>
        <w:rPr>
          <w:rFonts w:hint="eastAsia" w:ascii="宋体" w:hAnsi="宋体" w:eastAsia="宋体" w:cs="宋体"/>
          <w:color w:val="auto"/>
        </w:rPr>
      </w:pPr>
      <w:bookmarkStart w:id="807" w:name="_Toc240450155"/>
      <w:bookmarkStart w:id="808" w:name="_Toc238445519"/>
      <w:bookmarkStart w:id="809" w:name="_Toc240449563"/>
      <w:bookmarkStart w:id="810" w:name="_Toc239129596"/>
      <w:r>
        <w:rPr>
          <w:rFonts w:hint="eastAsia" w:ascii="宋体" w:hAnsi="宋体" w:eastAsia="宋体" w:cs="宋体"/>
          <w:color w:val="auto"/>
        </w:rPr>
        <w:t>附表一</w:t>
      </w:r>
      <w:bookmarkEnd w:id="807"/>
      <w:bookmarkEnd w:id="808"/>
      <w:bookmarkEnd w:id="809"/>
      <w:bookmarkEnd w:id="810"/>
    </w:p>
    <w:p>
      <w:pPr>
        <w:ind w:firstLine="562"/>
        <w:jc w:val="center"/>
        <w:rPr>
          <w:rFonts w:hint="eastAsia" w:ascii="宋体" w:hAnsi="宋体" w:eastAsia="宋体" w:cs="宋体"/>
          <w:b/>
          <w:color w:val="auto"/>
          <w:sz w:val="28"/>
          <w:szCs w:val="28"/>
        </w:rPr>
      </w:pPr>
      <w:bookmarkStart w:id="811" w:name="_Toc240449564"/>
      <w:bookmarkStart w:id="812" w:name="_Toc239129597"/>
      <w:bookmarkStart w:id="813" w:name="_Toc244927719"/>
      <w:bookmarkStart w:id="814" w:name="_Toc238445520"/>
      <w:bookmarkStart w:id="815" w:name="_Toc240450156"/>
      <w:bookmarkStart w:id="816" w:name="_Toc244003674"/>
      <w:r>
        <w:rPr>
          <w:rFonts w:hint="eastAsia" w:ascii="宋体" w:hAnsi="宋体" w:eastAsia="宋体" w:cs="宋体"/>
          <w:b/>
          <w:color w:val="auto"/>
          <w:sz w:val="28"/>
          <w:szCs w:val="28"/>
        </w:rPr>
        <w:t>拟投入本项目的主要施工设备表</w:t>
      </w:r>
      <w:bookmarkEnd w:id="811"/>
      <w:bookmarkEnd w:id="812"/>
      <w:bookmarkEnd w:id="813"/>
      <w:bookmarkEnd w:id="814"/>
      <w:bookmarkEnd w:id="815"/>
      <w:bookmarkEnd w:id="816"/>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94"/>
        <w:gridCol w:w="1215"/>
        <w:gridCol w:w="1530"/>
        <w:gridCol w:w="1276"/>
        <w:gridCol w:w="1276"/>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序号</w:t>
            </w:r>
          </w:p>
        </w:tc>
        <w:tc>
          <w:tcPr>
            <w:tcW w:w="1194" w:type="dxa"/>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设备名称</w:t>
            </w:r>
          </w:p>
        </w:tc>
        <w:tc>
          <w:tcPr>
            <w:tcW w:w="1215" w:type="dxa"/>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型号规格</w:t>
            </w:r>
          </w:p>
        </w:tc>
        <w:tc>
          <w:tcPr>
            <w:tcW w:w="1530" w:type="dxa"/>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数量</w:t>
            </w:r>
          </w:p>
        </w:tc>
        <w:tc>
          <w:tcPr>
            <w:tcW w:w="1276" w:type="dxa"/>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生产</w:t>
            </w:r>
          </w:p>
          <w:p>
            <w:pPr>
              <w:ind w:firstLine="0" w:firstLineChars="0"/>
              <w:rPr>
                <w:rFonts w:hint="eastAsia" w:ascii="宋体" w:hAnsi="宋体" w:eastAsia="宋体" w:cs="宋体"/>
                <w:color w:val="auto"/>
                <w:szCs w:val="21"/>
              </w:rPr>
            </w:pPr>
            <w:r>
              <w:rPr>
                <w:rFonts w:hint="eastAsia" w:ascii="宋体" w:hAnsi="宋体" w:eastAsia="宋体" w:cs="宋体"/>
                <w:color w:val="auto"/>
                <w:szCs w:val="21"/>
              </w:rPr>
              <w:t>能力</w:t>
            </w:r>
          </w:p>
        </w:tc>
        <w:tc>
          <w:tcPr>
            <w:tcW w:w="1276" w:type="dxa"/>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用于施</w:t>
            </w:r>
          </w:p>
          <w:p>
            <w:pPr>
              <w:ind w:firstLine="0" w:firstLineChars="0"/>
              <w:rPr>
                <w:rFonts w:hint="eastAsia" w:ascii="宋体" w:hAnsi="宋体" w:eastAsia="宋体" w:cs="宋体"/>
                <w:color w:val="auto"/>
                <w:szCs w:val="21"/>
              </w:rPr>
            </w:pPr>
            <w:r>
              <w:rPr>
                <w:rFonts w:hint="eastAsia" w:ascii="宋体" w:hAnsi="宋体" w:eastAsia="宋体" w:cs="宋体"/>
                <w:color w:val="auto"/>
                <w:szCs w:val="21"/>
              </w:rPr>
              <w:t>工部位</w:t>
            </w:r>
          </w:p>
        </w:tc>
        <w:tc>
          <w:tcPr>
            <w:tcW w:w="1811" w:type="dxa"/>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noWrap w:val="0"/>
            <w:vAlign w:val="center"/>
          </w:tcPr>
          <w:p>
            <w:pPr>
              <w:ind w:firstLine="480"/>
              <w:jc w:val="center"/>
              <w:rPr>
                <w:rFonts w:hint="eastAsia" w:ascii="宋体" w:hAnsi="宋体" w:eastAsia="宋体" w:cs="宋体"/>
                <w:color w:val="auto"/>
                <w:szCs w:val="21"/>
              </w:rPr>
            </w:pPr>
          </w:p>
        </w:tc>
        <w:tc>
          <w:tcPr>
            <w:tcW w:w="1194" w:type="dxa"/>
            <w:noWrap w:val="0"/>
            <w:vAlign w:val="center"/>
          </w:tcPr>
          <w:p>
            <w:pPr>
              <w:ind w:firstLine="480"/>
              <w:jc w:val="center"/>
              <w:rPr>
                <w:rFonts w:hint="eastAsia" w:ascii="宋体" w:hAnsi="宋体" w:eastAsia="宋体" w:cs="宋体"/>
                <w:color w:val="auto"/>
                <w:szCs w:val="21"/>
              </w:rPr>
            </w:pPr>
          </w:p>
        </w:tc>
        <w:tc>
          <w:tcPr>
            <w:tcW w:w="1215" w:type="dxa"/>
            <w:noWrap w:val="0"/>
            <w:vAlign w:val="center"/>
          </w:tcPr>
          <w:p>
            <w:pPr>
              <w:ind w:firstLine="480"/>
              <w:jc w:val="center"/>
              <w:rPr>
                <w:rFonts w:hint="eastAsia" w:ascii="宋体" w:hAnsi="宋体" w:eastAsia="宋体" w:cs="宋体"/>
                <w:color w:val="auto"/>
                <w:szCs w:val="21"/>
              </w:rPr>
            </w:pPr>
          </w:p>
        </w:tc>
        <w:tc>
          <w:tcPr>
            <w:tcW w:w="1530"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276" w:type="dxa"/>
            <w:noWrap w:val="0"/>
            <w:vAlign w:val="center"/>
          </w:tcPr>
          <w:p>
            <w:pPr>
              <w:ind w:firstLine="480"/>
              <w:jc w:val="center"/>
              <w:rPr>
                <w:rFonts w:hint="eastAsia" w:ascii="宋体" w:hAnsi="宋体" w:eastAsia="宋体" w:cs="宋体"/>
                <w:color w:val="auto"/>
                <w:szCs w:val="21"/>
              </w:rPr>
            </w:pPr>
          </w:p>
        </w:tc>
        <w:tc>
          <w:tcPr>
            <w:tcW w:w="1811" w:type="dxa"/>
            <w:noWrap w:val="0"/>
            <w:vAlign w:val="center"/>
          </w:tcPr>
          <w:p>
            <w:pPr>
              <w:ind w:firstLine="480"/>
              <w:jc w:val="center"/>
              <w:rPr>
                <w:rFonts w:hint="eastAsia" w:ascii="宋体" w:hAnsi="宋体" w:eastAsia="宋体" w:cs="宋体"/>
                <w:color w:val="auto"/>
                <w:szCs w:val="21"/>
              </w:rPr>
            </w:pPr>
          </w:p>
        </w:tc>
      </w:tr>
    </w:tbl>
    <w:p>
      <w:pPr>
        <w:ind w:firstLine="480"/>
        <w:rPr>
          <w:rFonts w:hint="eastAsia" w:ascii="宋体" w:hAnsi="宋体" w:eastAsia="宋体" w:cs="宋体"/>
          <w:color w:val="auto"/>
          <w:szCs w:val="21"/>
        </w:rPr>
        <w:sectPr>
          <w:pgSz w:w="11906" w:h="16838"/>
          <w:pgMar w:top="1701" w:right="1701" w:bottom="1418" w:left="1418" w:header="851" w:footer="992" w:gutter="0"/>
          <w:pgNumType w:fmt="decimal"/>
          <w:cols w:space="720" w:num="1"/>
          <w:docGrid w:type="linesAndChars" w:linePitch="312" w:charSpace="0"/>
        </w:sectPr>
      </w:pPr>
    </w:p>
    <w:p>
      <w:pPr>
        <w:ind w:firstLine="480"/>
        <w:rPr>
          <w:rFonts w:hint="eastAsia" w:ascii="宋体" w:hAnsi="宋体" w:eastAsia="宋体" w:cs="宋体"/>
          <w:color w:val="auto"/>
        </w:rPr>
      </w:pPr>
      <w:bookmarkStart w:id="817" w:name="_Toc240449565"/>
      <w:bookmarkStart w:id="818" w:name="_Toc239129598"/>
      <w:bookmarkStart w:id="819" w:name="_Toc240450157"/>
      <w:bookmarkStart w:id="820" w:name="_Toc238445521"/>
      <w:r>
        <w:rPr>
          <w:rFonts w:hint="eastAsia" w:ascii="宋体" w:hAnsi="宋体" w:eastAsia="宋体" w:cs="宋体"/>
          <w:color w:val="auto"/>
        </w:rPr>
        <w:t>附表二</w:t>
      </w:r>
      <w:bookmarkEnd w:id="817"/>
      <w:bookmarkEnd w:id="818"/>
      <w:bookmarkEnd w:id="819"/>
      <w:bookmarkEnd w:id="820"/>
    </w:p>
    <w:p>
      <w:pPr>
        <w:ind w:firstLine="562"/>
        <w:jc w:val="center"/>
        <w:rPr>
          <w:rFonts w:hint="eastAsia" w:ascii="宋体" w:hAnsi="宋体" w:eastAsia="宋体" w:cs="宋体"/>
          <w:b/>
          <w:color w:val="auto"/>
          <w:sz w:val="24"/>
          <w:szCs w:val="24"/>
        </w:rPr>
      </w:pPr>
      <w:bookmarkStart w:id="821" w:name="_Toc9712_WPSOffice_Level1"/>
      <w:bookmarkStart w:id="822" w:name="_Toc240449566"/>
      <w:bookmarkStart w:id="823" w:name="_Toc238445522"/>
      <w:bookmarkStart w:id="824" w:name="_Toc244003675"/>
      <w:bookmarkStart w:id="825" w:name="_Toc244927720"/>
      <w:bookmarkStart w:id="826" w:name="_Toc240450158"/>
      <w:bookmarkStart w:id="827" w:name="_Toc2421_WPSOffice_Level1"/>
      <w:bookmarkStart w:id="828" w:name="_Toc1465_WPSOffice_Level1"/>
      <w:bookmarkStart w:id="829" w:name="_Toc239129599"/>
      <w:r>
        <w:rPr>
          <w:rFonts w:hint="eastAsia" w:ascii="宋体" w:hAnsi="宋体" w:eastAsia="宋体" w:cs="宋体"/>
          <w:b/>
          <w:color w:val="auto"/>
          <w:sz w:val="24"/>
          <w:szCs w:val="24"/>
        </w:rPr>
        <w:t>拟配备本项目的试验和检测仪器设备表</w:t>
      </w:r>
      <w:bookmarkEnd w:id="821"/>
      <w:bookmarkEnd w:id="822"/>
      <w:bookmarkEnd w:id="823"/>
      <w:bookmarkEnd w:id="824"/>
      <w:bookmarkEnd w:id="825"/>
      <w:bookmarkEnd w:id="826"/>
      <w:bookmarkEnd w:id="827"/>
      <w:bookmarkEnd w:id="828"/>
      <w:bookmarkEnd w:id="829"/>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315"/>
        <w:gridCol w:w="1509"/>
        <w:gridCol w:w="851"/>
        <w:gridCol w:w="12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序号</w:t>
            </w: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仪器设</w:t>
            </w:r>
          </w:p>
          <w:p>
            <w:pPr>
              <w:ind w:firstLine="0" w:firstLineChars="0"/>
              <w:rPr>
                <w:rFonts w:hint="eastAsia" w:ascii="宋体" w:hAnsi="宋体" w:eastAsia="宋体" w:cs="宋体"/>
                <w:color w:val="auto"/>
                <w:szCs w:val="21"/>
              </w:rPr>
            </w:pPr>
            <w:r>
              <w:rPr>
                <w:rFonts w:hint="eastAsia" w:ascii="宋体" w:hAnsi="宋体" w:eastAsia="宋体" w:cs="宋体"/>
                <w:color w:val="auto"/>
                <w:szCs w:val="21"/>
              </w:rPr>
              <w:t>备名称</w:t>
            </w: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型号</w:t>
            </w:r>
          </w:p>
          <w:p>
            <w:pPr>
              <w:ind w:firstLine="0" w:firstLineChars="0"/>
              <w:rPr>
                <w:rFonts w:hint="eastAsia" w:ascii="宋体" w:hAnsi="宋体" w:eastAsia="宋体" w:cs="宋体"/>
                <w:color w:val="auto"/>
                <w:szCs w:val="21"/>
              </w:rPr>
            </w:pPr>
            <w:r>
              <w:rPr>
                <w:rFonts w:hint="eastAsia" w:ascii="宋体" w:hAnsi="宋体" w:eastAsia="宋体" w:cs="宋体"/>
                <w:color w:val="auto"/>
                <w:szCs w:val="21"/>
              </w:rPr>
              <w:t>规格</w:t>
            </w: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数量</w:t>
            </w: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182" w:firstLineChars="83"/>
              <w:rPr>
                <w:rFonts w:hint="eastAsia" w:ascii="宋体" w:hAnsi="宋体" w:eastAsia="宋体" w:cs="宋体"/>
                <w:color w:val="auto"/>
                <w:szCs w:val="21"/>
              </w:rPr>
            </w:pPr>
            <w:r>
              <w:rPr>
                <w:rFonts w:hint="eastAsia" w:ascii="宋体" w:hAnsi="宋体" w:eastAsia="宋体" w:cs="宋体"/>
                <w:color w:val="auto"/>
                <w:szCs w:val="21"/>
              </w:rPr>
              <w:t>用途</w:t>
            </w: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315"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50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27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2126"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bl>
    <w:p>
      <w:pPr>
        <w:ind w:firstLine="480"/>
        <w:rPr>
          <w:rFonts w:hint="eastAsia" w:ascii="宋体" w:hAnsi="宋体" w:eastAsia="宋体" w:cs="宋体"/>
          <w:color w:val="auto"/>
          <w:szCs w:val="21"/>
        </w:rPr>
        <w:sectPr>
          <w:pgSz w:w="11906" w:h="16838"/>
          <w:pgMar w:top="1701" w:right="1701" w:bottom="1418" w:left="1418" w:header="851" w:footer="992" w:gutter="0"/>
          <w:pgNumType w:fmt="decimal"/>
          <w:cols w:space="720" w:num="1"/>
          <w:docGrid w:type="linesAndChars" w:linePitch="312" w:charSpace="0"/>
        </w:sectPr>
      </w:pPr>
    </w:p>
    <w:p>
      <w:pPr>
        <w:ind w:firstLine="480"/>
        <w:rPr>
          <w:rFonts w:hint="eastAsia" w:ascii="宋体" w:hAnsi="宋体" w:eastAsia="宋体" w:cs="宋体"/>
          <w:color w:val="auto"/>
        </w:rPr>
      </w:pPr>
      <w:bookmarkStart w:id="830" w:name="_Toc240450159"/>
      <w:bookmarkStart w:id="831" w:name="_Toc239129600"/>
      <w:bookmarkStart w:id="832" w:name="_Toc240449567"/>
      <w:bookmarkStart w:id="833" w:name="_Toc238445523"/>
      <w:r>
        <w:rPr>
          <w:rFonts w:hint="eastAsia" w:ascii="宋体" w:hAnsi="宋体" w:eastAsia="宋体" w:cs="宋体"/>
          <w:color w:val="auto"/>
        </w:rPr>
        <w:t>附表三</w:t>
      </w:r>
      <w:bookmarkEnd w:id="830"/>
      <w:bookmarkEnd w:id="831"/>
      <w:bookmarkEnd w:id="832"/>
      <w:bookmarkEnd w:id="833"/>
    </w:p>
    <w:p>
      <w:pPr>
        <w:ind w:firstLine="562"/>
        <w:jc w:val="center"/>
        <w:rPr>
          <w:rFonts w:hint="eastAsia" w:ascii="宋体" w:hAnsi="宋体" w:eastAsia="宋体" w:cs="宋体"/>
          <w:b/>
          <w:color w:val="auto"/>
          <w:sz w:val="24"/>
          <w:szCs w:val="24"/>
        </w:rPr>
      </w:pPr>
      <w:bookmarkStart w:id="834" w:name="_Toc244003676"/>
      <w:bookmarkStart w:id="835" w:name="_Toc238445524"/>
      <w:bookmarkStart w:id="836" w:name="_Toc244927721"/>
      <w:bookmarkStart w:id="837" w:name="_Toc29229_WPSOffice_Level1"/>
      <w:bookmarkStart w:id="838" w:name="_Toc240449568"/>
      <w:bookmarkStart w:id="839" w:name="_Toc240450160"/>
      <w:bookmarkStart w:id="840" w:name="_Toc5497_WPSOffice_Level1"/>
      <w:bookmarkStart w:id="841" w:name="_Toc239129601"/>
      <w:bookmarkStart w:id="842" w:name="_Toc23677_WPSOffice_Level1"/>
      <w:r>
        <w:rPr>
          <w:rFonts w:hint="eastAsia" w:ascii="宋体" w:hAnsi="宋体" w:eastAsia="宋体" w:cs="宋体"/>
          <w:b/>
          <w:color w:val="auto"/>
          <w:sz w:val="24"/>
          <w:szCs w:val="24"/>
        </w:rPr>
        <w:t>劳动力计划表</w:t>
      </w:r>
      <w:bookmarkEnd w:id="834"/>
      <w:bookmarkEnd w:id="835"/>
      <w:bookmarkEnd w:id="836"/>
      <w:bookmarkEnd w:id="837"/>
      <w:bookmarkEnd w:id="838"/>
      <w:bookmarkEnd w:id="839"/>
      <w:bookmarkEnd w:id="840"/>
      <w:bookmarkEnd w:id="841"/>
      <w:bookmarkEnd w:id="842"/>
    </w:p>
    <w:p>
      <w:pPr>
        <w:ind w:right="480" w:firstLine="480"/>
        <w:jc w:val="right"/>
        <w:rPr>
          <w:rFonts w:hint="eastAsia" w:ascii="宋体" w:hAnsi="宋体" w:eastAsia="宋体" w:cs="宋体"/>
          <w:color w:val="auto"/>
          <w:szCs w:val="21"/>
        </w:rPr>
      </w:pPr>
      <w:r>
        <w:rPr>
          <w:rFonts w:hint="eastAsia" w:ascii="宋体" w:hAnsi="宋体" w:eastAsia="宋体" w:cs="宋体"/>
          <w:color w:val="auto"/>
          <w:szCs w:val="21"/>
        </w:rPr>
        <w:t>单位：人</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50"/>
        <w:gridCol w:w="1150"/>
        <w:gridCol w:w="1149"/>
        <w:gridCol w:w="1149"/>
        <w:gridCol w:w="1149"/>
        <w:gridCol w:w="114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0" w:firstLineChars="0"/>
              <w:rPr>
                <w:rFonts w:hint="eastAsia" w:ascii="宋体" w:hAnsi="宋体" w:eastAsia="宋体" w:cs="宋体"/>
                <w:color w:val="auto"/>
                <w:szCs w:val="21"/>
              </w:rPr>
            </w:pPr>
            <w:r>
              <w:rPr>
                <w:rFonts w:hint="eastAsia" w:ascii="宋体" w:hAnsi="宋体" w:eastAsia="宋体" w:cs="宋体"/>
                <w:color w:val="auto"/>
                <w:szCs w:val="21"/>
              </w:rPr>
              <w:t>工种</w:t>
            </w:r>
          </w:p>
        </w:tc>
        <w:tc>
          <w:tcPr>
            <w:tcW w:w="7970" w:type="dxa"/>
            <w:gridSpan w:val="7"/>
            <w:tcBorders>
              <w:top w:val="outset" w:color="auto" w:sz="6" w:space="0"/>
              <w:left w:val="outset" w:color="auto" w:sz="6" w:space="0"/>
              <w:bottom w:val="outset" w:color="auto" w:sz="6" w:space="0"/>
              <w:right w:val="outset" w:color="auto" w:sz="6" w:space="0"/>
            </w:tcBorders>
            <w:noWrap w:val="0"/>
            <w:vAlign w:val="center"/>
          </w:tcPr>
          <w:p>
            <w:pPr>
              <w:ind w:firstLine="480"/>
              <w:jc w:val="center"/>
              <w:rPr>
                <w:rFonts w:hint="eastAsia" w:ascii="宋体" w:hAnsi="宋体" w:eastAsia="宋体" w:cs="宋体"/>
                <w:color w:val="auto"/>
                <w:szCs w:val="21"/>
              </w:rPr>
            </w:pPr>
            <w:r>
              <w:rPr>
                <w:rFonts w:hint="eastAsia" w:ascii="宋体" w:hAnsi="宋体" w:eastAsia="宋体" w:cs="宋体"/>
                <w:color w:val="auto"/>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50"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149"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c>
          <w:tcPr>
            <w:tcW w:w="1074" w:type="dxa"/>
            <w:tcBorders>
              <w:top w:val="outset" w:color="auto" w:sz="6" w:space="0"/>
              <w:left w:val="outset" w:color="auto" w:sz="6" w:space="0"/>
              <w:bottom w:val="outset" w:color="auto" w:sz="6" w:space="0"/>
              <w:right w:val="outset" w:color="auto" w:sz="6" w:space="0"/>
            </w:tcBorders>
            <w:noWrap w:val="0"/>
            <w:vAlign w:val="center"/>
          </w:tcPr>
          <w:p>
            <w:pPr>
              <w:ind w:firstLine="480"/>
              <w:rPr>
                <w:rFonts w:hint="eastAsia" w:ascii="宋体" w:hAnsi="宋体" w:eastAsia="宋体" w:cs="宋体"/>
                <w:color w:val="auto"/>
                <w:szCs w:val="21"/>
              </w:rPr>
            </w:pPr>
          </w:p>
        </w:tc>
      </w:tr>
    </w:tbl>
    <w:p>
      <w:pPr>
        <w:ind w:firstLine="480"/>
        <w:rPr>
          <w:rFonts w:hint="eastAsia" w:ascii="宋体" w:hAnsi="宋体" w:eastAsia="宋体" w:cs="宋体"/>
          <w:color w:val="auto"/>
          <w:szCs w:val="21"/>
        </w:rPr>
      </w:pPr>
    </w:p>
    <w:p>
      <w:pPr>
        <w:ind w:firstLine="480"/>
        <w:rPr>
          <w:rFonts w:hint="eastAsia" w:ascii="宋体" w:hAnsi="宋体" w:eastAsia="宋体" w:cs="宋体"/>
          <w:color w:val="auto"/>
          <w:szCs w:val="21"/>
        </w:rPr>
        <w:sectPr>
          <w:pgSz w:w="11906" w:h="16838"/>
          <w:pgMar w:top="1701" w:right="1701" w:bottom="1418" w:left="1418" w:header="851" w:footer="992" w:gutter="0"/>
          <w:pgNumType w:fmt="decimal"/>
          <w:cols w:space="720" w:num="1"/>
          <w:docGrid w:type="linesAndChars" w:linePitch="312" w:charSpace="0"/>
        </w:sectPr>
      </w:pPr>
    </w:p>
    <w:p>
      <w:pPr>
        <w:spacing w:line="360" w:lineRule="auto"/>
        <w:ind w:firstLine="480"/>
        <w:rPr>
          <w:rFonts w:hint="eastAsia" w:ascii="宋体" w:hAnsi="宋体" w:eastAsia="宋体" w:cs="宋体"/>
          <w:color w:val="auto"/>
          <w:sz w:val="24"/>
          <w:szCs w:val="24"/>
        </w:rPr>
      </w:pPr>
      <w:bookmarkStart w:id="843" w:name="_Toc239129602"/>
      <w:bookmarkStart w:id="844" w:name="_Toc238445525"/>
      <w:bookmarkStart w:id="845" w:name="_Toc240450161"/>
      <w:bookmarkStart w:id="846" w:name="_Toc240449569"/>
      <w:r>
        <w:rPr>
          <w:rFonts w:hint="eastAsia" w:ascii="宋体" w:hAnsi="宋体" w:eastAsia="宋体" w:cs="宋体"/>
          <w:color w:val="auto"/>
          <w:sz w:val="24"/>
          <w:szCs w:val="24"/>
        </w:rPr>
        <w:t>附表四</w:t>
      </w:r>
      <w:bookmarkEnd w:id="843"/>
      <w:bookmarkEnd w:id="844"/>
      <w:bookmarkEnd w:id="845"/>
      <w:bookmarkEnd w:id="846"/>
    </w:p>
    <w:p>
      <w:pPr>
        <w:spacing w:line="360" w:lineRule="auto"/>
        <w:ind w:firstLine="562"/>
        <w:jc w:val="center"/>
        <w:rPr>
          <w:rFonts w:hint="default" w:ascii="宋体" w:hAnsi="宋体" w:eastAsia="宋体" w:cs="宋体"/>
          <w:b/>
          <w:color w:val="auto"/>
          <w:sz w:val="24"/>
          <w:szCs w:val="24"/>
          <w:lang w:val="en-US" w:eastAsia="zh-CN"/>
        </w:rPr>
      </w:pPr>
      <w:bookmarkStart w:id="847" w:name="_Toc240449570"/>
      <w:bookmarkStart w:id="848" w:name="_Toc240450162"/>
      <w:bookmarkStart w:id="849" w:name="_Toc244003677"/>
      <w:bookmarkStart w:id="850" w:name="_Toc244927722"/>
      <w:bookmarkStart w:id="851" w:name="_Toc239129603"/>
      <w:bookmarkStart w:id="852" w:name="_Toc5816_WPSOffice_Level1"/>
      <w:bookmarkStart w:id="853" w:name="_Toc27989_WPSOffice_Level1"/>
      <w:bookmarkStart w:id="854" w:name="_Toc19094_WPSOffice_Level1"/>
      <w:bookmarkStart w:id="855" w:name="_Toc238445526"/>
      <w:r>
        <w:rPr>
          <w:rFonts w:hint="eastAsia" w:ascii="宋体" w:hAnsi="宋体" w:eastAsia="宋体" w:cs="宋体"/>
          <w:b/>
          <w:color w:val="auto"/>
          <w:sz w:val="24"/>
          <w:szCs w:val="24"/>
        </w:rPr>
        <w:t>计划开、竣工日期和施工进度图</w:t>
      </w:r>
      <w:bookmarkEnd w:id="847"/>
      <w:bookmarkEnd w:id="848"/>
      <w:bookmarkEnd w:id="849"/>
      <w:bookmarkEnd w:id="850"/>
      <w:bookmarkEnd w:id="851"/>
      <w:bookmarkEnd w:id="852"/>
      <w:bookmarkEnd w:id="853"/>
      <w:bookmarkEnd w:id="854"/>
      <w:bookmarkEnd w:id="855"/>
      <w:r>
        <w:rPr>
          <w:rFonts w:hint="eastAsia" w:ascii="宋体" w:hAnsi="宋体" w:eastAsia="宋体" w:cs="宋体"/>
          <w:b/>
          <w:color w:val="auto"/>
          <w:sz w:val="24"/>
          <w:szCs w:val="24"/>
          <w:lang w:val="en-US" w:eastAsia="zh-CN"/>
        </w:rPr>
        <w:t>或网络图</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1．供应商应递交施工进度图或施工进度表，说明按磋商文件要求的计划工期进行施工的各个关键日期。</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2．施工进度表可采用网络图（或横道图）表示。</w:t>
      </w:r>
    </w:p>
    <w:p>
      <w:pPr>
        <w:spacing w:line="360" w:lineRule="auto"/>
        <w:ind w:firstLine="480"/>
        <w:rPr>
          <w:rFonts w:hint="eastAsia" w:ascii="宋体" w:hAnsi="宋体" w:eastAsia="宋体" w:cs="宋体"/>
          <w:color w:val="auto"/>
          <w:sz w:val="24"/>
          <w:szCs w:val="24"/>
        </w:rPr>
      </w:pPr>
      <w:bookmarkStart w:id="856" w:name="_Toc240450163"/>
      <w:bookmarkStart w:id="857" w:name="_Toc238445527"/>
      <w:bookmarkStart w:id="858" w:name="_Toc239129604"/>
      <w:bookmarkStart w:id="859" w:name="_Toc240449571"/>
    </w:p>
    <w:p>
      <w:pPr>
        <w:spacing w:line="360" w:lineRule="auto"/>
        <w:ind w:firstLine="480"/>
        <w:rPr>
          <w:rFonts w:hint="eastAsia" w:ascii="宋体" w:hAnsi="宋体" w:eastAsia="宋体" w:cs="宋体"/>
          <w:color w:val="auto"/>
          <w:sz w:val="24"/>
          <w:szCs w:val="24"/>
        </w:rPr>
      </w:pPr>
    </w:p>
    <w:p>
      <w:pPr>
        <w:spacing w:line="360" w:lineRule="auto"/>
        <w:ind w:firstLine="480"/>
        <w:rPr>
          <w:rFonts w:hint="eastAsia" w:ascii="宋体" w:hAnsi="宋体" w:eastAsia="宋体" w:cs="宋体"/>
          <w:color w:val="auto"/>
          <w:sz w:val="24"/>
          <w:szCs w:val="24"/>
        </w:rPr>
      </w:pPr>
    </w:p>
    <w:p>
      <w:pPr>
        <w:spacing w:line="360" w:lineRule="auto"/>
        <w:ind w:firstLine="480"/>
        <w:rPr>
          <w:rFonts w:hint="eastAsia" w:ascii="宋体" w:hAnsi="宋体" w:eastAsia="宋体" w:cs="宋体"/>
          <w:color w:val="auto"/>
          <w:sz w:val="24"/>
          <w:szCs w:val="24"/>
        </w:rPr>
      </w:pPr>
    </w:p>
    <w:p>
      <w:pPr>
        <w:spacing w:line="360" w:lineRule="auto"/>
        <w:ind w:firstLine="480"/>
        <w:rPr>
          <w:rFonts w:hint="eastAsia" w:ascii="宋体" w:hAnsi="宋体" w:eastAsia="宋体" w:cs="宋体"/>
          <w:color w:val="auto"/>
          <w:sz w:val="24"/>
          <w:szCs w:val="24"/>
        </w:rPr>
      </w:pP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附表五</w:t>
      </w:r>
      <w:bookmarkEnd w:id="856"/>
      <w:bookmarkEnd w:id="857"/>
      <w:bookmarkEnd w:id="858"/>
      <w:bookmarkEnd w:id="859"/>
    </w:p>
    <w:p>
      <w:pPr>
        <w:spacing w:line="360" w:lineRule="auto"/>
        <w:ind w:firstLine="562"/>
        <w:jc w:val="center"/>
        <w:rPr>
          <w:rFonts w:hint="eastAsia" w:ascii="宋体" w:hAnsi="宋体" w:eastAsia="宋体" w:cs="宋体"/>
          <w:b/>
          <w:color w:val="auto"/>
          <w:sz w:val="24"/>
          <w:szCs w:val="24"/>
        </w:rPr>
      </w:pPr>
      <w:bookmarkStart w:id="860" w:name="_Toc20162_WPSOffice_Level1"/>
      <w:bookmarkStart w:id="861" w:name="_Toc1006_WPSOffice_Level1"/>
      <w:bookmarkStart w:id="862" w:name="_Toc239129605"/>
      <w:bookmarkStart w:id="863" w:name="_Toc238445528"/>
      <w:bookmarkStart w:id="864" w:name="_Toc244927723"/>
      <w:bookmarkStart w:id="865" w:name="_Toc244003678"/>
      <w:bookmarkStart w:id="866" w:name="_Toc240449572"/>
      <w:bookmarkStart w:id="867" w:name="_Toc240450164"/>
      <w:bookmarkStart w:id="868" w:name="_Toc12945_WPSOffice_Level1"/>
      <w:r>
        <w:rPr>
          <w:rFonts w:hint="eastAsia" w:ascii="宋体" w:hAnsi="宋体" w:eastAsia="宋体" w:cs="宋体"/>
          <w:b/>
          <w:color w:val="auto"/>
          <w:sz w:val="24"/>
          <w:szCs w:val="24"/>
        </w:rPr>
        <w:t>施工总平面图</w:t>
      </w:r>
      <w:bookmarkEnd w:id="860"/>
      <w:bookmarkEnd w:id="861"/>
      <w:bookmarkEnd w:id="862"/>
      <w:bookmarkEnd w:id="863"/>
      <w:bookmarkEnd w:id="864"/>
      <w:bookmarkEnd w:id="865"/>
      <w:bookmarkEnd w:id="866"/>
      <w:bookmarkEnd w:id="867"/>
      <w:bookmarkEnd w:id="868"/>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应递交一份施工总平面图，绘出现场临时设施布置图表并附文字说明，说明临时设施、加工车间、现场办公、设备及仓储、供电、供水、卫生、生活、道路、消防等设施的情况和布置。</w:t>
      </w:r>
    </w:p>
    <w:p>
      <w:pPr>
        <w:spacing w:line="360" w:lineRule="auto"/>
        <w:ind w:firstLine="480"/>
        <w:rPr>
          <w:rFonts w:hint="eastAsia" w:ascii="宋体" w:hAnsi="宋体" w:eastAsia="宋体" w:cs="宋体"/>
          <w:color w:val="auto"/>
          <w:sz w:val="24"/>
          <w:szCs w:val="24"/>
        </w:rPr>
      </w:pPr>
    </w:p>
    <w:p>
      <w:pPr>
        <w:ind w:firstLine="480"/>
        <w:rPr>
          <w:rFonts w:hint="eastAsia" w:ascii="宋体" w:hAnsi="宋体" w:eastAsia="宋体" w:cs="宋体"/>
          <w:color w:val="auto"/>
          <w:szCs w:val="21"/>
        </w:rPr>
        <w:sectPr>
          <w:pgSz w:w="11906" w:h="16838"/>
          <w:pgMar w:top="1701" w:right="1701" w:bottom="1418" w:left="1418" w:header="851" w:footer="992" w:gutter="0"/>
          <w:pgNumType w:fmt="decimal"/>
          <w:cols w:space="720" w:num="1"/>
          <w:docGrid w:type="linesAndChars" w:linePitch="312" w:charSpace="0"/>
        </w:sectPr>
      </w:pPr>
    </w:p>
    <w:p>
      <w:pPr>
        <w:ind w:firstLine="480"/>
        <w:rPr>
          <w:rFonts w:hint="eastAsia" w:ascii="宋体" w:hAnsi="宋体" w:eastAsia="宋体" w:cs="宋体"/>
          <w:color w:val="auto"/>
          <w:sz w:val="24"/>
          <w:szCs w:val="24"/>
        </w:rPr>
      </w:pPr>
      <w:bookmarkStart w:id="869" w:name="_Toc239129606"/>
      <w:bookmarkStart w:id="870" w:name="_Toc240449573"/>
      <w:bookmarkStart w:id="871" w:name="_Toc240450165"/>
      <w:bookmarkStart w:id="872" w:name="_Toc238445529"/>
      <w:r>
        <w:rPr>
          <w:rFonts w:hint="eastAsia" w:ascii="宋体" w:hAnsi="宋体" w:eastAsia="宋体" w:cs="宋体"/>
          <w:color w:val="auto"/>
          <w:sz w:val="24"/>
          <w:szCs w:val="24"/>
        </w:rPr>
        <w:t>附表六</w:t>
      </w:r>
      <w:bookmarkEnd w:id="869"/>
      <w:bookmarkEnd w:id="870"/>
      <w:bookmarkEnd w:id="871"/>
      <w:bookmarkEnd w:id="872"/>
    </w:p>
    <w:p>
      <w:pPr>
        <w:ind w:firstLine="562"/>
        <w:jc w:val="center"/>
        <w:rPr>
          <w:rFonts w:hint="eastAsia" w:ascii="宋体" w:hAnsi="宋体" w:eastAsia="宋体" w:cs="宋体"/>
          <w:b/>
          <w:color w:val="auto"/>
          <w:sz w:val="24"/>
          <w:szCs w:val="24"/>
        </w:rPr>
      </w:pPr>
      <w:bookmarkStart w:id="873" w:name="_Toc239129607"/>
      <w:bookmarkStart w:id="874" w:name="_Toc244003679"/>
      <w:bookmarkStart w:id="875" w:name="_Toc238445530"/>
      <w:bookmarkStart w:id="876" w:name="_Toc240450166"/>
      <w:bookmarkStart w:id="877" w:name="_Toc244927724"/>
      <w:bookmarkStart w:id="878" w:name="_Toc240449574"/>
      <w:r>
        <w:rPr>
          <w:rFonts w:hint="eastAsia" w:ascii="宋体" w:hAnsi="宋体" w:eastAsia="宋体" w:cs="宋体"/>
          <w:b/>
          <w:color w:val="auto"/>
          <w:sz w:val="24"/>
          <w:szCs w:val="24"/>
        </w:rPr>
        <w:t>临时用地表</w:t>
      </w:r>
      <w:bookmarkEnd w:id="873"/>
      <w:bookmarkEnd w:id="874"/>
      <w:bookmarkEnd w:id="875"/>
      <w:bookmarkEnd w:id="876"/>
      <w:bookmarkEnd w:id="877"/>
      <w:bookmarkEnd w:id="878"/>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1833"/>
        <w:gridCol w:w="2786"/>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99" w:type="dxa"/>
            <w:noWrap w:val="0"/>
            <w:vAlign w:val="center"/>
          </w:tcPr>
          <w:p>
            <w:pPr>
              <w:spacing w:line="240" w:lineRule="auto"/>
              <w:ind w:firstLine="480"/>
              <w:rPr>
                <w:rFonts w:hint="eastAsia" w:ascii="宋体" w:hAnsi="宋体" w:eastAsia="宋体" w:cs="宋体"/>
                <w:color w:val="auto"/>
                <w:sz w:val="21"/>
                <w:szCs w:val="20"/>
              </w:rPr>
            </w:pPr>
            <w:r>
              <w:rPr>
                <w:rFonts w:hint="eastAsia" w:ascii="宋体" w:hAnsi="宋体" w:eastAsia="宋体" w:cs="宋体"/>
                <w:color w:val="auto"/>
                <w:sz w:val="21"/>
                <w:szCs w:val="18"/>
              </w:rPr>
              <w:t>用　　途</w:t>
            </w:r>
          </w:p>
        </w:tc>
        <w:tc>
          <w:tcPr>
            <w:tcW w:w="1833" w:type="dxa"/>
            <w:noWrap w:val="0"/>
            <w:vAlign w:val="center"/>
          </w:tcPr>
          <w:p>
            <w:pPr>
              <w:spacing w:line="240" w:lineRule="auto"/>
              <w:ind w:firstLine="0" w:firstLineChars="0"/>
              <w:rPr>
                <w:rFonts w:hint="eastAsia" w:ascii="宋体" w:hAnsi="宋体" w:eastAsia="宋体" w:cs="宋体"/>
                <w:color w:val="auto"/>
                <w:sz w:val="21"/>
                <w:szCs w:val="20"/>
              </w:rPr>
            </w:pPr>
            <w:r>
              <w:rPr>
                <w:rFonts w:hint="eastAsia" w:ascii="宋体" w:hAnsi="宋体" w:eastAsia="宋体" w:cs="宋体"/>
                <w:color w:val="auto"/>
                <w:sz w:val="21"/>
                <w:szCs w:val="18"/>
              </w:rPr>
              <w:t>面积（平方米）</w:t>
            </w:r>
          </w:p>
        </w:tc>
        <w:tc>
          <w:tcPr>
            <w:tcW w:w="2786" w:type="dxa"/>
            <w:noWrap w:val="0"/>
            <w:vAlign w:val="center"/>
          </w:tcPr>
          <w:p>
            <w:pPr>
              <w:spacing w:line="240" w:lineRule="auto"/>
              <w:ind w:firstLine="174" w:firstLineChars="83"/>
              <w:jc w:val="center"/>
              <w:rPr>
                <w:rFonts w:hint="eastAsia" w:ascii="宋体" w:hAnsi="宋体" w:eastAsia="宋体" w:cs="宋体"/>
                <w:color w:val="auto"/>
                <w:sz w:val="21"/>
                <w:szCs w:val="21"/>
              </w:rPr>
            </w:pPr>
            <w:r>
              <w:rPr>
                <w:rFonts w:hint="eastAsia" w:ascii="宋体" w:hAnsi="宋体" w:eastAsia="宋体" w:cs="宋体"/>
                <w:color w:val="auto"/>
                <w:sz w:val="21"/>
                <w:szCs w:val="18"/>
              </w:rPr>
              <w:t>位置</w:t>
            </w:r>
          </w:p>
        </w:tc>
        <w:tc>
          <w:tcPr>
            <w:tcW w:w="1902" w:type="dxa"/>
            <w:noWrap w:val="0"/>
            <w:vAlign w:val="center"/>
          </w:tcPr>
          <w:p>
            <w:pPr>
              <w:spacing w:line="240" w:lineRule="auto"/>
              <w:ind w:firstLine="174" w:firstLineChars="83"/>
              <w:jc w:val="center"/>
              <w:rPr>
                <w:rFonts w:hint="eastAsia" w:ascii="宋体" w:hAnsi="宋体" w:eastAsia="宋体" w:cs="宋体"/>
                <w:color w:val="auto"/>
                <w:sz w:val="21"/>
                <w:szCs w:val="20"/>
              </w:rPr>
            </w:pPr>
            <w:r>
              <w:rPr>
                <w:rFonts w:hint="eastAsia" w:ascii="宋体" w:hAnsi="宋体" w:eastAsia="宋体" w:cs="宋体"/>
                <w:color w:val="auto"/>
                <w:sz w:val="21"/>
                <w:szCs w:val="18"/>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99" w:type="dxa"/>
            <w:noWrap w:val="0"/>
            <w:vAlign w:val="top"/>
          </w:tcPr>
          <w:p>
            <w:pPr>
              <w:ind w:firstLine="480"/>
              <w:rPr>
                <w:rFonts w:hint="eastAsia" w:ascii="宋体" w:hAnsi="宋体" w:eastAsia="宋体" w:cs="宋体"/>
                <w:color w:val="auto"/>
              </w:rPr>
            </w:pPr>
          </w:p>
        </w:tc>
        <w:tc>
          <w:tcPr>
            <w:tcW w:w="1833" w:type="dxa"/>
            <w:noWrap w:val="0"/>
            <w:vAlign w:val="top"/>
          </w:tcPr>
          <w:p>
            <w:pPr>
              <w:ind w:firstLine="480"/>
              <w:rPr>
                <w:rFonts w:hint="eastAsia" w:ascii="宋体" w:hAnsi="宋体" w:eastAsia="宋体" w:cs="宋体"/>
                <w:color w:val="auto"/>
              </w:rPr>
            </w:pPr>
          </w:p>
        </w:tc>
        <w:tc>
          <w:tcPr>
            <w:tcW w:w="2786" w:type="dxa"/>
            <w:noWrap w:val="0"/>
            <w:vAlign w:val="top"/>
          </w:tcPr>
          <w:p>
            <w:pPr>
              <w:ind w:firstLine="480"/>
              <w:rPr>
                <w:rFonts w:hint="eastAsia" w:ascii="宋体" w:hAnsi="宋体" w:eastAsia="宋体" w:cs="宋体"/>
                <w:color w:val="auto"/>
              </w:rPr>
            </w:pPr>
          </w:p>
        </w:tc>
        <w:tc>
          <w:tcPr>
            <w:tcW w:w="1902" w:type="dxa"/>
            <w:noWrap w:val="0"/>
            <w:vAlign w:val="top"/>
          </w:tcPr>
          <w:p>
            <w:pPr>
              <w:ind w:firstLine="480"/>
              <w:rPr>
                <w:rFonts w:hint="eastAsia" w:ascii="宋体" w:hAnsi="宋体" w:eastAsia="宋体" w:cs="宋体"/>
                <w:color w:val="auto"/>
              </w:rPr>
            </w:pPr>
          </w:p>
        </w:tc>
      </w:tr>
    </w:tbl>
    <w:p>
      <w:pPr>
        <w:ind w:firstLine="480"/>
        <w:rPr>
          <w:rFonts w:hint="eastAsia" w:ascii="宋体" w:hAnsi="宋体" w:eastAsia="宋体" w:cs="宋体"/>
          <w:color w:val="auto"/>
          <w:szCs w:val="21"/>
        </w:rPr>
      </w:pPr>
    </w:p>
    <w:p>
      <w:pPr>
        <w:ind w:firstLine="480"/>
        <w:rPr>
          <w:rFonts w:hint="eastAsia" w:ascii="宋体" w:hAnsi="宋体" w:eastAsia="宋体" w:cs="宋体"/>
          <w:color w:val="auto"/>
          <w:szCs w:val="21"/>
        </w:rPr>
      </w:pPr>
    </w:p>
    <w:p>
      <w:pPr>
        <w:ind w:firstLine="0" w:firstLineChars="0"/>
        <w:rPr>
          <w:rFonts w:hint="eastAsia" w:ascii="宋体" w:hAnsi="宋体" w:eastAsia="宋体" w:cs="宋体"/>
          <w:color w:val="auto"/>
          <w:szCs w:val="21"/>
        </w:rPr>
        <w:sectPr>
          <w:footerReference r:id="rId12" w:type="default"/>
          <w:pgSz w:w="11906" w:h="16838"/>
          <w:pgMar w:top="1701" w:right="1701" w:bottom="1418" w:left="1418" w:header="851" w:footer="992" w:gutter="0"/>
          <w:pgNumType w:fmt="decimal"/>
          <w:cols w:space="720" w:num="1"/>
          <w:docGrid w:type="linesAndChars" w:linePitch="312" w:charSpace="0"/>
        </w:sectPr>
      </w:pPr>
    </w:p>
    <w:p>
      <w:pPr>
        <w:pStyle w:val="2"/>
        <w:rPr>
          <w:rFonts w:hint="eastAsia" w:ascii="宋体" w:hAnsi="宋体" w:eastAsia="宋体" w:cs="宋体"/>
          <w:color w:val="auto"/>
          <w:sz w:val="28"/>
          <w:szCs w:val="28"/>
        </w:rPr>
      </w:pPr>
      <w:bookmarkStart w:id="879" w:name="_Hlt203984740"/>
      <w:bookmarkEnd w:id="879"/>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供应商认为需要提供的其他文件和资料</w:t>
      </w:r>
    </w:p>
    <w:bookmarkEnd w:id="806"/>
    <w:p>
      <w:pPr>
        <w:adjustRightInd/>
        <w:snapToGrid/>
        <w:ind w:firstLine="0" w:firstLineChars="0"/>
        <w:rPr>
          <w:rFonts w:hint="eastAsia" w:ascii="宋体" w:hAnsi="宋体" w:eastAsia="宋体" w:cs="宋体"/>
          <w:color w:val="auto"/>
          <w:szCs w:val="24"/>
        </w:rPr>
        <w:sectPr>
          <w:footerReference r:id="rId14" w:type="first"/>
          <w:footerReference r:id="rId13" w:type="default"/>
          <w:pgSz w:w="11906" w:h="16838"/>
          <w:pgMar w:top="1418" w:right="1555" w:bottom="1418" w:left="1531" w:header="851" w:footer="992" w:gutter="0"/>
          <w:pgNumType w:fmt="decimal"/>
          <w:cols w:space="720" w:num="1"/>
          <w:titlePg/>
          <w:docGrid w:type="lines" w:linePitch="312" w:charSpace="0"/>
        </w:sectPr>
      </w:pPr>
    </w:p>
    <w:p>
      <w:pPr>
        <w:adjustRightInd/>
        <w:snapToGrid/>
        <w:ind w:firstLine="0" w:firstLineChars="0"/>
        <w:rPr>
          <w:rFonts w:hint="eastAsia" w:ascii="宋体" w:hAnsi="宋体" w:eastAsia="宋体" w:cs="宋体"/>
          <w:color w:val="auto"/>
          <w:szCs w:val="24"/>
        </w:rPr>
      </w:pPr>
    </w:p>
    <w:p>
      <w:pPr>
        <w:pStyle w:val="4"/>
        <w:jc w:val="center"/>
        <w:rPr>
          <w:rFonts w:hint="eastAsia" w:ascii="宋体" w:hAnsi="宋体" w:eastAsia="宋体" w:cs="宋体"/>
          <w:color w:val="auto"/>
          <w:sz w:val="28"/>
          <w:szCs w:val="28"/>
        </w:rPr>
      </w:pPr>
      <w:bookmarkStart w:id="880" w:name="_Toc24908_WPSOffice_Level1"/>
      <w:bookmarkStart w:id="881" w:name="_Toc5634_WPSOffice_Level1"/>
      <w:bookmarkStart w:id="882" w:name="_Toc391032234"/>
      <w:bookmarkStart w:id="883" w:name="_Toc42606850"/>
      <w:bookmarkStart w:id="884" w:name="_Toc12628_WPSOffice_Level1"/>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rPr>
        <w:t>、其他部分</w:t>
      </w:r>
      <w:bookmarkEnd w:id="880"/>
      <w:bookmarkEnd w:id="881"/>
      <w:bookmarkEnd w:id="882"/>
      <w:bookmarkEnd w:id="883"/>
      <w:bookmarkEnd w:id="884"/>
    </w:p>
    <w:p>
      <w:pPr>
        <w:spacing w:line="360" w:lineRule="auto"/>
        <w:ind w:firstLine="480"/>
        <w:rPr>
          <w:rFonts w:hint="eastAsia" w:ascii="宋体" w:hAnsi="宋体" w:eastAsia="宋体" w:cs="宋体"/>
          <w:b/>
          <w:color w:val="auto"/>
          <w:sz w:val="24"/>
          <w:szCs w:val="24"/>
        </w:rPr>
      </w:pPr>
      <w:r>
        <w:rPr>
          <w:rFonts w:hint="eastAsia" w:ascii="宋体" w:hAnsi="宋体" w:eastAsia="宋体" w:cs="宋体"/>
          <w:color w:val="auto"/>
          <w:sz w:val="24"/>
          <w:szCs w:val="24"/>
        </w:rPr>
        <w:t>1）同意磋商文件条款声明；</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2）虚假应标承担责任声明；</w:t>
      </w:r>
    </w:p>
    <w:p>
      <w:pPr>
        <w:pStyle w:val="9"/>
        <w:widowControl w:val="0"/>
        <w:ind w:firstLine="0" w:firstLineChars="0"/>
        <w:rPr>
          <w:rFonts w:hint="eastAsia" w:ascii="宋体" w:hAnsi="宋体" w:eastAsia="宋体" w:cs="宋体"/>
          <w:b/>
          <w:i w:val="0"/>
          <w:color w:val="auto"/>
          <w:sz w:val="24"/>
          <w:szCs w:val="24"/>
        </w:rPr>
        <w:sectPr>
          <w:footerReference r:id="rId16" w:type="first"/>
          <w:footerReference r:id="rId15" w:type="default"/>
          <w:pgSz w:w="11906" w:h="16838"/>
          <w:pgMar w:top="1418" w:right="1555" w:bottom="1418" w:left="1531" w:header="851" w:footer="992" w:gutter="0"/>
          <w:pgNumType w:fmt="decimal"/>
          <w:cols w:space="720" w:num="1"/>
          <w:titlePg/>
          <w:docGrid w:type="lines" w:linePitch="312" w:charSpace="0"/>
        </w:sectPr>
      </w:pPr>
    </w:p>
    <w:p>
      <w:pPr>
        <w:pStyle w:val="9"/>
        <w:widowControl w:val="0"/>
        <w:ind w:firstLine="0" w:firstLineChars="0"/>
        <w:rPr>
          <w:rFonts w:hint="eastAsia" w:ascii="宋体" w:hAnsi="宋体" w:eastAsia="宋体" w:cs="宋体"/>
          <w:color w:val="auto"/>
          <w:sz w:val="24"/>
          <w:szCs w:val="24"/>
        </w:rPr>
      </w:pPr>
      <w:r>
        <w:rPr>
          <w:rFonts w:hint="eastAsia" w:ascii="宋体" w:hAnsi="宋体" w:eastAsia="宋体" w:cs="宋体"/>
          <w:b/>
          <w:i w:val="0"/>
          <w:color w:val="auto"/>
          <w:sz w:val="24"/>
          <w:szCs w:val="24"/>
        </w:rPr>
        <w:t>1）同意磋商文件条款声明格式</w:t>
      </w:r>
    </w:p>
    <w:p>
      <w:pPr>
        <w:pStyle w:val="15"/>
        <w:spacing w:line="360" w:lineRule="auto"/>
        <w:ind w:firstLine="482"/>
        <w:rPr>
          <w:rFonts w:hint="eastAsia" w:ascii="宋体" w:hAnsi="宋体" w:eastAsia="宋体" w:cs="宋体"/>
          <w:b/>
          <w:color w:val="auto"/>
          <w:sz w:val="24"/>
          <w:szCs w:val="24"/>
        </w:rPr>
      </w:pPr>
    </w:p>
    <w:p>
      <w:pPr>
        <w:pStyle w:val="20"/>
        <w:spacing w:after="0"/>
        <w:ind w:firstLine="562"/>
        <w:jc w:val="center"/>
        <w:rPr>
          <w:rFonts w:hint="eastAsia" w:ascii="宋体" w:hAnsi="宋体" w:eastAsia="宋体" w:cs="宋体"/>
          <w:color w:val="auto"/>
          <w:sz w:val="24"/>
          <w:szCs w:val="24"/>
        </w:rPr>
      </w:pPr>
      <w:r>
        <w:rPr>
          <w:rFonts w:hint="eastAsia" w:ascii="宋体" w:hAnsi="宋体" w:eastAsia="宋体" w:cs="宋体"/>
          <w:b/>
          <w:i w:val="0"/>
          <w:iCs w:val="0"/>
          <w:color w:val="auto"/>
          <w:spacing w:val="0"/>
          <w:kern w:val="2"/>
          <w:sz w:val="24"/>
          <w:szCs w:val="24"/>
        </w:rPr>
        <w:t>同意磋商文件条款声明</w:t>
      </w:r>
      <w:r>
        <w:rPr>
          <w:rFonts w:hint="eastAsia" w:ascii="宋体" w:hAnsi="宋体" w:eastAsia="宋体" w:cs="宋体"/>
          <w:b/>
          <w:i w:val="0"/>
          <w:iCs w:val="0"/>
          <w:color w:val="auto"/>
          <w:spacing w:val="0"/>
          <w:kern w:val="2"/>
          <w:sz w:val="24"/>
          <w:szCs w:val="24"/>
        </w:rPr>
        <w:cr/>
      </w:r>
    </w:p>
    <w:p>
      <w:pPr>
        <w:pStyle w:val="15"/>
        <w:adjustRightInd w:val="0"/>
        <w:snapToGrid w:val="0"/>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color w:val="auto"/>
          <w:spacing w:val="4"/>
          <w:sz w:val="24"/>
          <w:szCs w:val="24"/>
        </w:rPr>
        <w:t xml:space="preserve"> </w:t>
      </w:r>
      <w:r>
        <w:rPr>
          <w:rFonts w:hint="eastAsia" w:ascii="宋体" w:hAnsi="宋体" w:eastAsia="宋体" w:cs="宋体"/>
          <w:b/>
          <w:color w:val="auto"/>
          <w:spacing w:val="4"/>
          <w:sz w:val="24"/>
          <w:szCs w:val="24"/>
          <w:lang w:eastAsia="zh-CN"/>
        </w:rPr>
        <w:t>新疆建投项目管理咨询有限公司</w:t>
      </w:r>
    </w:p>
    <w:p>
      <w:pPr>
        <w:pStyle w:val="15"/>
        <w:adjustRightInd w:val="0"/>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为响应你方组织的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28"/>
          <w:sz w:val="24"/>
          <w:szCs w:val="24"/>
        </w:rPr>
        <w:t xml:space="preserve"> 项目的</w:t>
      </w:r>
      <w:r>
        <w:rPr>
          <w:rFonts w:hint="eastAsia" w:ascii="宋体" w:hAnsi="宋体" w:eastAsia="宋体" w:cs="宋体"/>
          <w:color w:val="auto"/>
          <w:kern w:val="28"/>
          <w:sz w:val="24"/>
          <w:szCs w:val="24"/>
          <w:lang w:eastAsia="zh-CN"/>
        </w:rPr>
        <w:t>磋商文件</w:t>
      </w:r>
      <w:r>
        <w:rPr>
          <w:rFonts w:hint="eastAsia" w:ascii="宋体" w:hAnsi="宋体" w:eastAsia="宋体" w:cs="宋体"/>
          <w:color w:val="auto"/>
          <w:sz w:val="24"/>
          <w:szCs w:val="24"/>
        </w:rPr>
        <w:t>，项目编号为：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我方在参与报价前已详细研究了磋商文件的所有内容，包括修改或更改（正）文件（如果有的话）和所有已提供的参考资料以及有关附件，我方完全明白并认为此磋商文件没有倾向性，也没有存在排斥潜在供应商的内容，我方同意磋商文件的相关条款并承诺参与报价后不再对磋商文件的任何条款提出质疑或异议。</w:t>
      </w: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特此声明。</w:t>
      </w: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 定 地 址：</w:t>
      </w: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       编：</w:t>
      </w: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授权代表（签字或盖章）：</w:t>
      </w: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p>
      <w:pPr>
        <w:tabs>
          <w:tab w:val="left" w:pos="3060"/>
        </w:tabs>
        <w:ind w:firstLine="480"/>
        <w:rPr>
          <w:rFonts w:hint="eastAsia" w:ascii="宋体" w:hAnsi="宋体" w:eastAsia="宋体" w:cs="宋体"/>
          <w:color w:val="auto"/>
          <w:sz w:val="24"/>
          <w:szCs w:val="24"/>
        </w:rPr>
      </w:pPr>
    </w:p>
    <w:p>
      <w:pPr>
        <w:tabs>
          <w:tab w:val="left" w:pos="3060"/>
        </w:tabs>
        <w:ind w:firstLine="0" w:firstLineChars="0"/>
        <w:rPr>
          <w:rFonts w:hint="eastAsia" w:ascii="宋体" w:hAnsi="宋体" w:eastAsia="宋体" w:cs="宋体"/>
          <w:bCs/>
          <w:color w:val="auto"/>
          <w:sz w:val="24"/>
          <w:szCs w:val="24"/>
        </w:rPr>
      </w:pPr>
      <w:r>
        <w:rPr>
          <w:rFonts w:hint="eastAsia" w:ascii="宋体" w:hAnsi="宋体" w:eastAsia="宋体" w:cs="宋体"/>
          <w:color w:val="auto"/>
          <w:sz w:val="24"/>
          <w:szCs w:val="24"/>
        </w:rPr>
        <w:t>传       真：</w:t>
      </w:r>
    </w:p>
    <w:p>
      <w:pPr>
        <w:tabs>
          <w:tab w:val="left" w:pos="3060"/>
        </w:tabs>
        <w:ind w:firstLine="482"/>
        <w:rPr>
          <w:rFonts w:hint="eastAsia" w:ascii="宋体" w:hAnsi="宋体" w:eastAsia="宋体" w:cs="宋体"/>
          <w:b/>
          <w:bCs/>
          <w:color w:val="auto"/>
          <w:sz w:val="24"/>
          <w:szCs w:val="24"/>
        </w:rPr>
      </w:pPr>
    </w:p>
    <w:p>
      <w:pPr>
        <w:tabs>
          <w:tab w:val="left" w:pos="3060"/>
        </w:tabs>
        <w:ind w:firstLine="5760" w:firstLineChars="2400"/>
        <w:rPr>
          <w:rFonts w:hint="eastAsia" w:ascii="宋体" w:hAnsi="宋体" w:eastAsia="宋体" w:cs="宋体"/>
          <w:b/>
          <w:color w:val="auto"/>
          <w:sz w:val="24"/>
          <w:szCs w:val="24"/>
        </w:rPr>
      </w:pPr>
      <w:r>
        <w:rPr>
          <w:rFonts w:hint="eastAsia" w:ascii="宋体" w:hAnsi="宋体" w:eastAsia="宋体" w:cs="宋体"/>
          <w:color w:val="auto"/>
          <w:sz w:val="24"/>
          <w:szCs w:val="24"/>
        </w:rPr>
        <w:t>年     月     日</w:t>
      </w:r>
    </w:p>
    <w:p>
      <w:pPr>
        <w:pStyle w:val="9"/>
        <w:widowControl w:val="0"/>
        <w:ind w:firstLine="0" w:firstLineChars="0"/>
        <w:rPr>
          <w:rFonts w:hint="eastAsia" w:ascii="宋体" w:hAnsi="宋体" w:eastAsia="宋体" w:cs="宋体"/>
          <w:b/>
          <w:i w:val="0"/>
          <w:color w:val="auto"/>
          <w:sz w:val="24"/>
          <w:szCs w:val="24"/>
        </w:rPr>
        <w:sectPr>
          <w:footerReference r:id="rId18" w:type="first"/>
          <w:footerReference r:id="rId17" w:type="default"/>
          <w:pgSz w:w="11906" w:h="16838"/>
          <w:pgMar w:top="1418" w:right="1555" w:bottom="1418" w:left="1531" w:header="851" w:footer="992" w:gutter="0"/>
          <w:pgNumType w:fmt="decimal"/>
          <w:cols w:space="720" w:num="1"/>
          <w:titlePg/>
          <w:docGrid w:type="lines" w:linePitch="312" w:charSpace="0"/>
        </w:sectPr>
      </w:pPr>
    </w:p>
    <w:p>
      <w:pPr>
        <w:pStyle w:val="9"/>
        <w:widowControl w:val="0"/>
        <w:ind w:firstLine="0" w:firstLineChars="0"/>
        <w:rPr>
          <w:rFonts w:hint="eastAsia" w:ascii="宋体" w:hAnsi="宋体" w:eastAsia="宋体" w:cs="宋体"/>
          <w:b/>
          <w:color w:val="auto"/>
          <w:sz w:val="24"/>
          <w:szCs w:val="24"/>
        </w:rPr>
      </w:pPr>
      <w:r>
        <w:rPr>
          <w:rFonts w:hint="eastAsia" w:ascii="宋体" w:hAnsi="宋体" w:eastAsia="宋体" w:cs="宋体"/>
          <w:b/>
          <w:i w:val="0"/>
          <w:color w:val="auto"/>
          <w:sz w:val="24"/>
          <w:szCs w:val="24"/>
        </w:rPr>
        <w:t>2）虚假应标承担责任声明</w:t>
      </w:r>
    </w:p>
    <w:p>
      <w:pPr>
        <w:pStyle w:val="15"/>
        <w:spacing w:line="360" w:lineRule="auto"/>
        <w:ind w:firstLine="482"/>
        <w:rPr>
          <w:rFonts w:hint="eastAsia" w:ascii="宋体" w:hAnsi="宋体" w:eastAsia="宋体" w:cs="宋体"/>
          <w:b/>
          <w:color w:val="auto"/>
          <w:sz w:val="24"/>
          <w:szCs w:val="24"/>
        </w:rPr>
      </w:pPr>
    </w:p>
    <w:p>
      <w:pPr>
        <w:pStyle w:val="20"/>
        <w:spacing w:after="0"/>
        <w:ind w:firstLine="562"/>
        <w:jc w:val="center"/>
        <w:rPr>
          <w:rFonts w:hint="eastAsia" w:ascii="宋体" w:hAnsi="宋体" w:eastAsia="宋体" w:cs="宋体"/>
          <w:color w:val="auto"/>
          <w:sz w:val="24"/>
          <w:szCs w:val="24"/>
        </w:rPr>
      </w:pPr>
      <w:bookmarkStart w:id="885" w:name="_Toc13954_WPSOffice_Level1"/>
      <w:bookmarkStart w:id="886" w:name="_Toc17138_WPSOffice_Level1"/>
      <w:bookmarkStart w:id="887" w:name="_Toc12977_WPSOffice_Level1"/>
      <w:r>
        <w:rPr>
          <w:rFonts w:hint="eastAsia" w:ascii="宋体" w:hAnsi="宋体" w:eastAsia="宋体" w:cs="宋体"/>
          <w:b/>
          <w:i w:val="0"/>
          <w:iCs w:val="0"/>
          <w:color w:val="auto"/>
          <w:spacing w:val="0"/>
          <w:kern w:val="2"/>
          <w:sz w:val="24"/>
          <w:szCs w:val="24"/>
        </w:rPr>
        <w:t>虚假应标承担责任声明</w:t>
      </w:r>
      <w:bookmarkEnd w:id="885"/>
      <w:bookmarkEnd w:id="886"/>
      <w:bookmarkEnd w:id="887"/>
      <w:r>
        <w:rPr>
          <w:rFonts w:hint="eastAsia" w:ascii="宋体" w:hAnsi="宋体" w:eastAsia="宋体" w:cs="宋体"/>
          <w:b/>
          <w:i w:val="0"/>
          <w:iCs w:val="0"/>
          <w:color w:val="auto"/>
          <w:spacing w:val="0"/>
          <w:kern w:val="2"/>
          <w:sz w:val="24"/>
          <w:szCs w:val="24"/>
        </w:rPr>
        <w:cr/>
      </w:r>
    </w:p>
    <w:p>
      <w:pPr>
        <w:pStyle w:val="15"/>
        <w:adjustRightInd w:val="0"/>
        <w:snapToGrid w:val="0"/>
        <w:spacing w:line="360" w:lineRule="auto"/>
        <w:rPr>
          <w:rFonts w:hint="eastAsia" w:ascii="宋体" w:hAnsi="宋体" w:eastAsia="宋体" w:cs="宋体"/>
          <w:b/>
          <w:color w:val="auto"/>
          <w:spacing w:val="4"/>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color w:val="auto"/>
          <w:spacing w:val="4"/>
          <w:sz w:val="24"/>
          <w:szCs w:val="24"/>
          <w:lang w:eastAsia="zh-CN"/>
        </w:rPr>
        <w:t>新疆建投项目管理咨询有限公司</w:t>
      </w:r>
    </w:p>
    <w:p>
      <w:pPr>
        <w:pStyle w:val="15"/>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承诺所提供的响应文件（包括一切技术资料、技术承诺、商务承诺等）均真实有效，若在项目磋商过程中（包括评标、成交公示过程）及履行合同期间（包括验收过程）发现我公司产品（或服务）与报价响应（文件）不一致，或发现我公司提供了不真实的响应文件（虚假材料），我公司愿意承担一切法律责任并认可采购人或采购代理机构作出的取消成交资格、罚没保证金等决定。</w:t>
      </w: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特此声明。</w:t>
      </w: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 定 地 址：</w:t>
      </w: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       编：</w:t>
      </w: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授权代表（签字或盖章）：</w:t>
      </w:r>
    </w:p>
    <w:p>
      <w:pPr>
        <w:pStyle w:val="15"/>
        <w:adjustRightInd w:val="0"/>
        <w:snapToGrid w:val="0"/>
        <w:spacing w:line="360" w:lineRule="auto"/>
        <w:rPr>
          <w:rFonts w:hint="eastAsia" w:ascii="宋体" w:hAnsi="宋体" w:eastAsia="宋体" w:cs="宋体"/>
          <w:color w:val="auto"/>
          <w:sz w:val="24"/>
          <w:szCs w:val="24"/>
        </w:rPr>
      </w:pPr>
    </w:p>
    <w:p>
      <w:pPr>
        <w:pStyle w:val="15"/>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p>
      <w:pPr>
        <w:tabs>
          <w:tab w:val="left" w:pos="3060"/>
        </w:tabs>
        <w:ind w:firstLine="480"/>
        <w:rPr>
          <w:rFonts w:hint="eastAsia" w:ascii="宋体" w:hAnsi="宋体" w:eastAsia="宋体" w:cs="宋体"/>
          <w:color w:val="auto"/>
          <w:sz w:val="24"/>
          <w:szCs w:val="24"/>
        </w:rPr>
      </w:pPr>
    </w:p>
    <w:p>
      <w:pPr>
        <w:tabs>
          <w:tab w:val="left" w:pos="3060"/>
        </w:tabs>
        <w:ind w:firstLine="0" w:firstLineChars="0"/>
        <w:rPr>
          <w:rFonts w:hint="eastAsia" w:ascii="宋体" w:hAnsi="宋体" w:eastAsia="宋体" w:cs="宋体"/>
          <w:bCs/>
          <w:color w:val="auto"/>
          <w:sz w:val="24"/>
          <w:szCs w:val="24"/>
        </w:rPr>
      </w:pPr>
      <w:r>
        <w:rPr>
          <w:rFonts w:hint="eastAsia" w:ascii="宋体" w:hAnsi="宋体" w:eastAsia="宋体" w:cs="宋体"/>
          <w:color w:val="auto"/>
          <w:sz w:val="24"/>
          <w:szCs w:val="24"/>
        </w:rPr>
        <w:t>传       真：</w:t>
      </w:r>
    </w:p>
    <w:p>
      <w:pPr>
        <w:tabs>
          <w:tab w:val="left" w:pos="3060"/>
        </w:tabs>
        <w:ind w:firstLine="5760" w:firstLineChars="2400"/>
        <w:rPr>
          <w:rFonts w:hint="eastAsia" w:ascii="宋体" w:hAnsi="宋体" w:eastAsia="宋体" w:cs="宋体"/>
          <w:b/>
          <w:color w:val="auto"/>
          <w:sz w:val="24"/>
          <w:szCs w:val="24"/>
        </w:rPr>
      </w:pPr>
      <w:r>
        <w:rPr>
          <w:rFonts w:hint="eastAsia" w:ascii="宋体" w:hAnsi="宋体" w:eastAsia="宋体" w:cs="宋体"/>
          <w:color w:val="auto"/>
          <w:sz w:val="24"/>
          <w:szCs w:val="24"/>
        </w:rPr>
        <w:t>年     月     日</w:t>
      </w:r>
    </w:p>
    <w:p>
      <w:pPr>
        <w:pStyle w:val="9"/>
        <w:ind w:firstLine="420"/>
        <w:rPr>
          <w:rFonts w:hint="eastAsia" w:ascii="宋体" w:hAnsi="宋体" w:eastAsia="宋体" w:cs="宋体"/>
          <w:color w:val="auto"/>
          <w:sz w:val="24"/>
          <w:szCs w:val="24"/>
        </w:rPr>
        <w:sectPr>
          <w:footerReference r:id="rId20" w:type="first"/>
          <w:footerReference r:id="rId19" w:type="default"/>
          <w:pgSz w:w="11906" w:h="16838"/>
          <w:pgMar w:top="1418" w:right="1555" w:bottom="1418" w:left="1531" w:header="851" w:footer="992" w:gutter="0"/>
          <w:pgNumType w:fmt="decimal"/>
          <w:cols w:space="720" w:num="1"/>
          <w:docGrid w:type="lines" w:linePitch="312" w:charSpace="0"/>
        </w:sectPr>
      </w:pPr>
    </w:p>
    <w:p>
      <w:pPr>
        <w:autoSpaceDE w:val="0"/>
        <w:autoSpaceDN w:val="0"/>
        <w:adjustRightInd w:val="0"/>
        <w:spacing w:line="440" w:lineRule="exact"/>
        <w:rPr>
          <w:rFonts w:hint="eastAsia" w:ascii="宋体" w:hAnsi="宋体" w:eastAsia="宋体" w:cs="宋体"/>
          <w:color w:val="auto"/>
          <w:sz w:val="24"/>
          <w:szCs w:val="20"/>
          <w:lang w:val="zh-CN"/>
        </w:rPr>
      </w:pPr>
      <w:bookmarkStart w:id="888" w:name="_Toc9291_WPSOffice_Level1"/>
    </w:p>
    <w:p>
      <w:pPr>
        <w:autoSpaceDE w:val="0"/>
        <w:autoSpaceDN w:val="0"/>
        <w:adjustRightInd w:val="0"/>
        <w:spacing w:line="440" w:lineRule="exact"/>
        <w:jc w:val="center"/>
        <w:rPr>
          <w:rFonts w:hint="eastAsia" w:ascii="宋体" w:hAnsi="宋体" w:eastAsia="宋体" w:cs="宋体"/>
          <w:b/>
          <w:bCs/>
          <w:color w:val="auto"/>
          <w:sz w:val="24"/>
          <w:szCs w:val="22"/>
          <w:lang w:val="zh-CN"/>
        </w:rPr>
      </w:pPr>
      <w:r>
        <w:rPr>
          <w:rFonts w:hint="eastAsia" w:ascii="宋体" w:hAnsi="宋体" w:eastAsia="宋体" w:cs="宋体"/>
          <w:b/>
          <w:bCs/>
          <w:color w:val="auto"/>
          <w:sz w:val="24"/>
          <w:szCs w:val="22"/>
          <w:lang w:val="zh-CN"/>
        </w:rPr>
        <w:t>投 标 总 价</w:t>
      </w:r>
    </w:p>
    <w:p>
      <w:pPr>
        <w:autoSpaceDE w:val="0"/>
        <w:autoSpaceDN w:val="0"/>
        <w:adjustRightInd w:val="0"/>
        <w:jc w:val="right"/>
        <w:rPr>
          <w:rFonts w:hint="eastAsia" w:ascii="宋体" w:hAnsi="宋体" w:eastAsia="宋体" w:cs="宋体"/>
          <w:b/>
          <w:bCs/>
          <w:color w:val="auto"/>
          <w:sz w:val="24"/>
          <w:szCs w:val="22"/>
          <w:lang w:val="zh-CN"/>
        </w:rPr>
      </w:pPr>
    </w:p>
    <w:p>
      <w:pPr>
        <w:autoSpaceDE w:val="0"/>
        <w:autoSpaceDN w:val="0"/>
        <w:adjustRightInd w:val="0"/>
        <w:spacing w:line="440" w:lineRule="exact"/>
        <w:rPr>
          <w:rFonts w:hint="eastAsia" w:ascii="宋体" w:hAnsi="宋体" w:eastAsia="宋体" w:cs="宋体"/>
          <w:color w:val="auto"/>
          <w:sz w:val="24"/>
          <w:szCs w:val="22"/>
          <w:u w:val="single"/>
          <w:lang w:val="zh-CN"/>
        </w:rPr>
      </w:pPr>
      <w:r>
        <w:rPr>
          <w:rFonts w:hint="eastAsia" w:ascii="宋体" w:hAnsi="宋体" w:eastAsia="宋体" w:cs="宋体"/>
          <w:color w:val="auto"/>
          <w:sz w:val="24"/>
          <w:szCs w:val="22"/>
          <w:lang w:val="zh-CN"/>
        </w:rPr>
        <w:t>招     标    人：</w:t>
      </w:r>
      <w:r>
        <w:rPr>
          <w:rFonts w:hint="eastAsia" w:ascii="宋体" w:hAnsi="宋体" w:eastAsia="宋体" w:cs="宋体"/>
          <w:color w:val="auto"/>
          <w:sz w:val="24"/>
          <w:szCs w:val="22"/>
          <w:u w:val="single"/>
          <w:lang w:val="zh-CN"/>
        </w:rPr>
        <w:t xml:space="preserve">            </w:t>
      </w:r>
    </w:p>
    <w:p>
      <w:pPr>
        <w:autoSpaceDE w:val="0"/>
        <w:autoSpaceDN w:val="0"/>
        <w:adjustRightInd w:val="0"/>
        <w:spacing w:line="440" w:lineRule="exact"/>
        <w:rPr>
          <w:rFonts w:hint="eastAsia" w:ascii="宋体" w:hAnsi="宋体" w:eastAsia="宋体" w:cs="宋体"/>
          <w:color w:val="auto"/>
          <w:sz w:val="24"/>
          <w:szCs w:val="22"/>
          <w:u w:val="single"/>
          <w:lang w:val="zh-CN"/>
        </w:rPr>
      </w:pPr>
    </w:p>
    <w:p>
      <w:pPr>
        <w:autoSpaceDE w:val="0"/>
        <w:autoSpaceDN w:val="0"/>
        <w:adjustRightInd w:val="0"/>
        <w:spacing w:line="440" w:lineRule="exact"/>
        <w:rPr>
          <w:rFonts w:hint="eastAsia" w:ascii="宋体" w:hAnsi="宋体" w:eastAsia="宋体" w:cs="宋体"/>
          <w:color w:val="auto"/>
          <w:sz w:val="24"/>
          <w:szCs w:val="22"/>
          <w:u w:val="single"/>
          <w:lang w:val="zh-CN"/>
        </w:rPr>
      </w:pPr>
      <w:r>
        <w:rPr>
          <w:rFonts w:hint="eastAsia" w:ascii="宋体" w:hAnsi="宋体" w:eastAsia="宋体" w:cs="宋体"/>
          <w:color w:val="auto"/>
          <w:sz w:val="24"/>
          <w:szCs w:val="22"/>
          <w:lang w:val="zh-CN"/>
        </w:rPr>
        <w:t>工   程  名  称：</w:t>
      </w:r>
      <w:r>
        <w:rPr>
          <w:rFonts w:hint="eastAsia" w:ascii="宋体" w:hAnsi="宋体" w:eastAsia="宋体" w:cs="宋体"/>
          <w:color w:val="auto"/>
          <w:sz w:val="24"/>
          <w:szCs w:val="22"/>
          <w:u w:val="single"/>
          <w:lang w:val="zh-CN"/>
        </w:rPr>
        <w:t xml:space="preserve">                                                                       </w:t>
      </w:r>
    </w:p>
    <w:p>
      <w:pPr>
        <w:autoSpaceDE w:val="0"/>
        <w:autoSpaceDN w:val="0"/>
        <w:adjustRightInd w:val="0"/>
        <w:spacing w:line="440" w:lineRule="exact"/>
        <w:rPr>
          <w:rFonts w:hint="eastAsia" w:ascii="宋体" w:hAnsi="宋体" w:eastAsia="宋体" w:cs="宋体"/>
          <w:color w:val="auto"/>
          <w:sz w:val="24"/>
          <w:szCs w:val="22"/>
          <w:u w:val="single"/>
          <w:lang w:val="zh-CN"/>
        </w:rPr>
      </w:pPr>
    </w:p>
    <w:p>
      <w:pPr>
        <w:autoSpaceDE w:val="0"/>
        <w:autoSpaceDN w:val="0"/>
        <w:adjustRightInd w:val="0"/>
        <w:spacing w:line="440" w:lineRule="exact"/>
        <w:rPr>
          <w:rFonts w:hint="eastAsia" w:ascii="宋体" w:hAnsi="宋体" w:eastAsia="宋体" w:cs="宋体"/>
          <w:color w:val="auto"/>
          <w:sz w:val="24"/>
          <w:szCs w:val="22"/>
          <w:u w:val="single"/>
          <w:lang w:val="zh-CN"/>
        </w:rPr>
      </w:pPr>
      <w:r>
        <w:rPr>
          <w:rFonts w:hint="eastAsia" w:ascii="宋体" w:hAnsi="宋体" w:eastAsia="宋体" w:cs="宋体"/>
          <w:color w:val="auto"/>
          <w:sz w:val="24"/>
          <w:szCs w:val="22"/>
          <w:lang w:val="zh-CN"/>
        </w:rPr>
        <w:t>投标总价（小写）：</w:t>
      </w:r>
      <w:r>
        <w:rPr>
          <w:rFonts w:hint="eastAsia" w:ascii="宋体" w:hAnsi="宋体" w:eastAsia="宋体" w:cs="宋体"/>
          <w:color w:val="auto"/>
          <w:sz w:val="24"/>
          <w:szCs w:val="22"/>
          <w:u w:val="single"/>
          <w:lang w:val="zh-CN"/>
        </w:rPr>
        <w:t xml:space="preserve">                                                                       </w:t>
      </w:r>
    </w:p>
    <w:p>
      <w:pPr>
        <w:autoSpaceDE w:val="0"/>
        <w:autoSpaceDN w:val="0"/>
        <w:adjustRightInd w:val="0"/>
        <w:spacing w:line="440" w:lineRule="exact"/>
        <w:rPr>
          <w:rFonts w:hint="eastAsia" w:ascii="宋体" w:hAnsi="宋体" w:eastAsia="宋体" w:cs="宋体"/>
          <w:color w:val="auto"/>
          <w:sz w:val="24"/>
          <w:szCs w:val="22"/>
          <w:u w:val="single"/>
          <w:lang w:val="zh-CN"/>
        </w:rPr>
      </w:pPr>
    </w:p>
    <w:p>
      <w:pPr>
        <w:autoSpaceDE w:val="0"/>
        <w:autoSpaceDN w:val="0"/>
        <w:adjustRightInd w:val="0"/>
        <w:spacing w:line="440" w:lineRule="exact"/>
        <w:ind w:firstLine="840"/>
        <w:rPr>
          <w:rFonts w:hint="eastAsia" w:ascii="宋体" w:hAnsi="宋体" w:eastAsia="宋体" w:cs="宋体"/>
          <w:color w:val="auto"/>
          <w:sz w:val="24"/>
          <w:szCs w:val="22"/>
          <w:u w:val="single"/>
          <w:lang w:val="zh-CN"/>
        </w:rPr>
      </w:pPr>
      <w:r>
        <w:rPr>
          <w:rFonts w:hint="eastAsia" w:ascii="宋体" w:hAnsi="宋体" w:eastAsia="宋体" w:cs="宋体"/>
          <w:color w:val="auto"/>
          <w:sz w:val="24"/>
          <w:szCs w:val="22"/>
          <w:lang w:val="zh-CN"/>
        </w:rPr>
        <w:t>（大写）：</w:t>
      </w:r>
      <w:r>
        <w:rPr>
          <w:rFonts w:hint="eastAsia" w:ascii="宋体" w:hAnsi="宋体" w:eastAsia="宋体" w:cs="宋体"/>
          <w:color w:val="auto"/>
          <w:sz w:val="24"/>
          <w:szCs w:val="22"/>
          <w:u w:val="single"/>
          <w:lang w:val="zh-CN"/>
        </w:rPr>
        <w:t xml:space="preserve">                                                                       </w:t>
      </w:r>
    </w:p>
    <w:p>
      <w:pPr>
        <w:autoSpaceDE w:val="0"/>
        <w:autoSpaceDN w:val="0"/>
        <w:adjustRightInd w:val="0"/>
        <w:spacing w:line="440" w:lineRule="exact"/>
        <w:ind w:firstLine="840"/>
        <w:rPr>
          <w:rFonts w:hint="eastAsia" w:ascii="宋体" w:hAnsi="宋体" w:eastAsia="宋体" w:cs="宋体"/>
          <w:color w:val="auto"/>
          <w:sz w:val="24"/>
          <w:szCs w:val="22"/>
          <w:u w:val="single"/>
          <w:lang w:val="zh-CN"/>
        </w:rPr>
      </w:pPr>
    </w:p>
    <w:p>
      <w:pPr>
        <w:autoSpaceDE w:val="0"/>
        <w:autoSpaceDN w:val="0"/>
        <w:adjustRightInd w:val="0"/>
        <w:spacing w:line="440" w:lineRule="exact"/>
        <w:ind w:firstLine="840"/>
        <w:rPr>
          <w:rFonts w:hint="eastAsia" w:ascii="宋体" w:hAnsi="宋体" w:eastAsia="宋体" w:cs="宋体"/>
          <w:color w:val="auto"/>
          <w:sz w:val="24"/>
          <w:szCs w:val="22"/>
          <w:u w:val="single"/>
          <w:lang w:val="zh-CN"/>
        </w:rPr>
      </w:pPr>
    </w:p>
    <w:p>
      <w:pPr>
        <w:autoSpaceDE w:val="0"/>
        <w:autoSpaceDN w:val="0"/>
        <w:adjustRightInd w:val="0"/>
        <w:spacing w:line="440" w:lineRule="exact"/>
        <w:ind w:firstLine="840"/>
        <w:rPr>
          <w:rFonts w:hint="eastAsia" w:ascii="宋体" w:hAnsi="宋体" w:eastAsia="宋体" w:cs="宋体"/>
          <w:color w:val="auto"/>
          <w:sz w:val="24"/>
          <w:szCs w:val="22"/>
          <w:u w:val="single"/>
          <w:lang w:val="zh-CN"/>
        </w:rPr>
      </w:pPr>
    </w:p>
    <w:p>
      <w:pPr>
        <w:autoSpaceDE w:val="0"/>
        <w:autoSpaceDN w:val="0"/>
        <w:adjustRightInd w:val="0"/>
        <w:spacing w:line="440" w:lineRule="exact"/>
        <w:rPr>
          <w:rFonts w:hint="eastAsia" w:ascii="宋体" w:hAnsi="宋体" w:eastAsia="宋体" w:cs="宋体"/>
          <w:color w:val="auto"/>
          <w:sz w:val="24"/>
          <w:szCs w:val="22"/>
          <w:u w:val="single"/>
          <w:lang w:val="zh-CN"/>
        </w:rPr>
      </w:pPr>
    </w:p>
    <w:p>
      <w:pPr>
        <w:autoSpaceDE w:val="0"/>
        <w:autoSpaceDN w:val="0"/>
        <w:adjustRightInd w:val="0"/>
        <w:spacing w:line="440" w:lineRule="exact"/>
        <w:rPr>
          <w:rFonts w:hint="eastAsia" w:ascii="宋体" w:hAnsi="宋体" w:eastAsia="宋体" w:cs="宋体"/>
          <w:color w:val="auto"/>
          <w:sz w:val="24"/>
          <w:szCs w:val="22"/>
          <w:u w:val="single"/>
          <w:lang w:val="zh-CN"/>
        </w:rPr>
      </w:pPr>
      <w:r>
        <w:rPr>
          <w:rFonts w:hint="eastAsia" w:ascii="宋体" w:hAnsi="宋体" w:eastAsia="宋体" w:cs="宋体"/>
          <w:color w:val="auto"/>
          <w:sz w:val="24"/>
          <w:szCs w:val="22"/>
          <w:lang w:val="zh-CN"/>
        </w:rPr>
        <w:t>投  标  人：</w:t>
      </w:r>
      <w:r>
        <w:rPr>
          <w:rFonts w:hint="eastAsia" w:ascii="宋体" w:hAnsi="宋体" w:eastAsia="宋体" w:cs="宋体"/>
          <w:color w:val="auto"/>
          <w:sz w:val="24"/>
          <w:szCs w:val="22"/>
          <w:u w:val="single"/>
          <w:lang w:val="zh-CN"/>
        </w:rPr>
        <w:t xml:space="preserve">                                                                            </w:t>
      </w:r>
    </w:p>
    <w:p>
      <w:pPr>
        <w:autoSpaceDE w:val="0"/>
        <w:autoSpaceDN w:val="0"/>
        <w:adjustRightInd w:val="0"/>
        <w:spacing w:line="440" w:lineRule="exact"/>
        <w:ind w:firstLine="4643"/>
        <w:rPr>
          <w:rFonts w:hint="eastAsia" w:ascii="宋体" w:hAnsi="宋体" w:eastAsia="宋体" w:cs="宋体"/>
          <w:color w:val="auto"/>
          <w:sz w:val="24"/>
          <w:szCs w:val="22"/>
          <w:lang w:val="zh-CN"/>
        </w:rPr>
      </w:pPr>
      <w:r>
        <w:rPr>
          <w:rFonts w:hint="eastAsia" w:ascii="宋体" w:hAnsi="宋体" w:eastAsia="宋体" w:cs="宋体"/>
          <w:color w:val="auto"/>
          <w:sz w:val="24"/>
          <w:szCs w:val="22"/>
          <w:lang w:val="zh-CN"/>
        </w:rPr>
        <w:t>（单位盖章）</w:t>
      </w:r>
    </w:p>
    <w:p>
      <w:pPr>
        <w:autoSpaceDE w:val="0"/>
        <w:autoSpaceDN w:val="0"/>
        <w:adjustRightInd w:val="0"/>
        <w:spacing w:line="440" w:lineRule="exact"/>
        <w:ind w:firstLine="4643"/>
        <w:rPr>
          <w:rFonts w:hint="eastAsia" w:ascii="宋体" w:hAnsi="宋体" w:eastAsia="宋体" w:cs="宋体"/>
          <w:color w:val="auto"/>
          <w:sz w:val="24"/>
          <w:szCs w:val="22"/>
          <w:lang w:val="zh-CN"/>
        </w:rPr>
      </w:pPr>
    </w:p>
    <w:p>
      <w:pPr>
        <w:autoSpaceDE w:val="0"/>
        <w:autoSpaceDN w:val="0"/>
        <w:adjustRightInd w:val="0"/>
        <w:spacing w:line="440" w:lineRule="exact"/>
        <w:ind w:firstLine="4643"/>
        <w:rPr>
          <w:rFonts w:hint="eastAsia" w:ascii="宋体" w:hAnsi="宋体" w:eastAsia="宋体" w:cs="宋体"/>
          <w:color w:val="auto"/>
          <w:sz w:val="24"/>
          <w:szCs w:val="22"/>
          <w:lang w:val="zh-CN"/>
        </w:rPr>
      </w:pPr>
    </w:p>
    <w:p>
      <w:pPr>
        <w:autoSpaceDE w:val="0"/>
        <w:autoSpaceDN w:val="0"/>
        <w:adjustRightInd w:val="0"/>
        <w:spacing w:line="440" w:lineRule="exact"/>
        <w:ind w:firstLine="4643"/>
        <w:rPr>
          <w:rFonts w:hint="eastAsia" w:ascii="宋体" w:hAnsi="宋体" w:eastAsia="宋体" w:cs="宋体"/>
          <w:color w:val="auto"/>
          <w:sz w:val="24"/>
          <w:szCs w:val="22"/>
          <w:lang w:val="zh-CN"/>
        </w:rPr>
      </w:pPr>
    </w:p>
    <w:p>
      <w:pPr>
        <w:autoSpaceDE w:val="0"/>
        <w:autoSpaceDN w:val="0"/>
        <w:adjustRightInd w:val="0"/>
        <w:spacing w:line="440" w:lineRule="exact"/>
        <w:rPr>
          <w:rFonts w:hint="eastAsia" w:ascii="宋体" w:hAnsi="宋体" w:eastAsia="宋体" w:cs="宋体"/>
          <w:color w:val="auto"/>
          <w:sz w:val="24"/>
          <w:szCs w:val="22"/>
          <w:lang w:val="zh-CN"/>
        </w:rPr>
      </w:pPr>
      <w:r>
        <w:rPr>
          <w:rFonts w:hint="eastAsia" w:ascii="宋体" w:hAnsi="宋体" w:eastAsia="宋体" w:cs="宋体"/>
          <w:color w:val="auto"/>
          <w:sz w:val="24"/>
          <w:szCs w:val="22"/>
          <w:lang w:val="zh-CN"/>
        </w:rPr>
        <w:t>法定代表人</w:t>
      </w:r>
    </w:p>
    <w:p>
      <w:pPr>
        <w:autoSpaceDE w:val="0"/>
        <w:autoSpaceDN w:val="0"/>
        <w:adjustRightInd w:val="0"/>
        <w:spacing w:line="440" w:lineRule="exact"/>
        <w:rPr>
          <w:rFonts w:hint="eastAsia" w:ascii="宋体" w:hAnsi="宋体" w:eastAsia="宋体" w:cs="宋体"/>
          <w:color w:val="auto"/>
          <w:sz w:val="24"/>
          <w:szCs w:val="22"/>
          <w:u w:val="single"/>
          <w:lang w:val="zh-CN"/>
        </w:rPr>
      </w:pPr>
      <w:r>
        <w:rPr>
          <w:rFonts w:hint="eastAsia" w:ascii="宋体" w:hAnsi="宋体" w:eastAsia="宋体" w:cs="宋体"/>
          <w:color w:val="auto"/>
          <w:sz w:val="24"/>
          <w:szCs w:val="22"/>
          <w:lang w:val="zh-CN"/>
        </w:rPr>
        <w:t>或其授权人：</w:t>
      </w:r>
      <w:r>
        <w:rPr>
          <w:rFonts w:hint="eastAsia" w:ascii="宋体" w:hAnsi="宋体" w:eastAsia="宋体" w:cs="宋体"/>
          <w:color w:val="auto"/>
          <w:sz w:val="24"/>
          <w:szCs w:val="22"/>
          <w:u w:val="single"/>
          <w:lang w:val="zh-CN"/>
        </w:rPr>
        <w:t xml:space="preserve">                                                                              </w:t>
      </w:r>
    </w:p>
    <w:p>
      <w:pPr>
        <w:autoSpaceDE w:val="0"/>
        <w:autoSpaceDN w:val="0"/>
        <w:adjustRightInd w:val="0"/>
        <w:spacing w:line="440" w:lineRule="exact"/>
        <w:ind w:firstLine="4643"/>
        <w:rPr>
          <w:rFonts w:hint="eastAsia" w:ascii="宋体" w:hAnsi="宋体" w:eastAsia="宋体" w:cs="宋体"/>
          <w:color w:val="auto"/>
          <w:sz w:val="24"/>
          <w:szCs w:val="22"/>
          <w:lang w:val="zh-CN"/>
        </w:rPr>
      </w:pPr>
      <w:r>
        <w:rPr>
          <w:rFonts w:hint="eastAsia" w:ascii="宋体" w:hAnsi="宋体" w:eastAsia="宋体" w:cs="宋体"/>
          <w:color w:val="auto"/>
          <w:sz w:val="24"/>
          <w:szCs w:val="22"/>
          <w:lang w:val="zh-CN"/>
        </w:rPr>
        <w:t>（签字或盖章）</w:t>
      </w:r>
    </w:p>
    <w:p>
      <w:pPr>
        <w:autoSpaceDE w:val="0"/>
        <w:autoSpaceDN w:val="0"/>
        <w:adjustRightInd w:val="0"/>
        <w:spacing w:line="440" w:lineRule="exact"/>
        <w:ind w:firstLine="4643"/>
        <w:rPr>
          <w:rFonts w:hint="eastAsia" w:ascii="宋体" w:hAnsi="宋体" w:eastAsia="宋体" w:cs="宋体"/>
          <w:color w:val="auto"/>
          <w:sz w:val="24"/>
          <w:szCs w:val="22"/>
          <w:lang w:val="zh-CN"/>
        </w:rPr>
      </w:pPr>
    </w:p>
    <w:p>
      <w:pPr>
        <w:autoSpaceDE w:val="0"/>
        <w:autoSpaceDN w:val="0"/>
        <w:adjustRightInd w:val="0"/>
        <w:spacing w:line="440" w:lineRule="exact"/>
        <w:ind w:firstLine="4643"/>
        <w:rPr>
          <w:rFonts w:hint="eastAsia" w:ascii="宋体" w:hAnsi="宋体" w:eastAsia="宋体" w:cs="宋体"/>
          <w:color w:val="auto"/>
          <w:sz w:val="24"/>
          <w:szCs w:val="22"/>
          <w:lang w:val="zh-CN"/>
        </w:rPr>
      </w:pPr>
    </w:p>
    <w:p>
      <w:pPr>
        <w:autoSpaceDE w:val="0"/>
        <w:autoSpaceDN w:val="0"/>
        <w:adjustRightInd w:val="0"/>
        <w:spacing w:line="440" w:lineRule="exact"/>
        <w:ind w:firstLine="4643"/>
        <w:rPr>
          <w:rFonts w:hint="eastAsia" w:ascii="宋体" w:hAnsi="宋体" w:eastAsia="宋体" w:cs="宋体"/>
          <w:color w:val="auto"/>
          <w:sz w:val="24"/>
          <w:szCs w:val="22"/>
          <w:lang w:val="zh-CN"/>
        </w:rPr>
      </w:pPr>
    </w:p>
    <w:p>
      <w:pPr>
        <w:autoSpaceDE w:val="0"/>
        <w:autoSpaceDN w:val="0"/>
        <w:adjustRightInd w:val="0"/>
        <w:spacing w:line="440" w:lineRule="exact"/>
        <w:rPr>
          <w:rFonts w:hint="eastAsia" w:ascii="宋体" w:hAnsi="宋体" w:eastAsia="宋体" w:cs="宋体"/>
          <w:color w:val="auto"/>
          <w:sz w:val="24"/>
          <w:szCs w:val="22"/>
          <w:u w:val="single"/>
          <w:lang w:val="zh-CN"/>
        </w:rPr>
      </w:pPr>
      <w:r>
        <w:rPr>
          <w:rFonts w:hint="eastAsia" w:ascii="宋体" w:hAnsi="宋体" w:eastAsia="宋体" w:cs="宋体"/>
          <w:color w:val="auto"/>
          <w:sz w:val="24"/>
          <w:szCs w:val="22"/>
          <w:lang w:val="zh-CN"/>
        </w:rPr>
        <w:t>编  制  人：</w:t>
      </w:r>
      <w:r>
        <w:rPr>
          <w:rFonts w:hint="eastAsia" w:ascii="宋体" w:hAnsi="宋体" w:eastAsia="宋体" w:cs="宋体"/>
          <w:color w:val="auto"/>
          <w:sz w:val="24"/>
          <w:szCs w:val="22"/>
          <w:u w:val="single"/>
          <w:lang w:val="zh-CN"/>
        </w:rPr>
        <w:t xml:space="preserve">                                                                               </w:t>
      </w:r>
    </w:p>
    <w:p>
      <w:pPr>
        <w:autoSpaceDE w:val="0"/>
        <w:autoSpaceDN w:val="0"/>
        <w:adjustRightInd w:val="0"/>
        <w:spacing w:line="440" w:lineRule="exact"/>
        <w:rPr>
          <w:rFonts w:hint="eastAsia" w:ascii="宋体" w:hAnsi="宋体" w:eastAsia="宋体" w:cs="宋体"/>
          <w:color w:val="auto"/>
          <w:sz w:val="24"/>
          <w:szCs w:val="22"/>
          <w:lang w:val="zh-CN"/>
        </w:rPr>
      </w:pPr>
    </w:p>
    <w:p>
      <w:pPr>
        <w:autoSpaceDE w:val="0"/>
        <w:autoSpaceDN w:val="0"/>
        <w:adjustRightInd w:val="0"/>
        <w:spacing w:line="440" w:lineRule="exact"/>
        <w:ind w:left="0" w:leftChars="0" w:firstLine="0" w:firstLineChars="0"/>
        <w:jc w:val="both"/>
        <w:rPr>
          <w:rFonts w:hint="eastAsia" w:ascii="宋体" w:hAnsi="宋体" w:eastAsia="宋体" w:cs="宋体"/>
          <w:color w:val="auto"/>
          <w:sz w:val="24"/>
          <w:szCs w:val="22"/>
          <w:lang w:val="zh-CN"/>
        </w:rPr>
      </w:pPr>
    </w:p>
    <w:p>
      <w:pPr>
        <w:numPr>
          <w:ilvl w:val="0"/>
          <w:numId w:val="0"/>
        </w:numPr>
        <w:autoSpaceDE w:val="0"/>
        <w:autoSpaceDN w:val="0"/>
        <w:adjustRightInd w:val="0"/>
        <w:jc w:val="left"/>
        <w:rPr>
          <w:rFonts w:hint="eastAsia" w:ascii="宋体" w:hAnsi="宋体" w:eastAsia="宋体" w:cs="宋体"/>
          <w:b/>
          <w:bCs/>
          <w:color w:val="auto"/>
          <w:sz w:val="32"/>
        </w:rPr>
      </w:pPr>
      <w:r>
        <w:rPr>
          <w:rFonts w:hint="eastAsia" w:ascii="宋体" w:hAnsi="宋体" w:eastAsia="宋体" w:cs="宋体"/>
          <w:color w:val="auto"/>
          <w:sz w:val="24"/>
          <w:szCs w:val="22"/>
          <w:lang w:val="zh-CN"/>
        </w:rPr>
        <w:t>编 制 时 间:         年       月       日</w:t>
      </w:r>
    </w:p>
    <w:p>
      <w:pPr>
        <w:numPr>
          <w:ilvl w:val="0"/>
          <w:numId w:val="0"/>
        </w:numPr>
        <w:autoSpaceDE w:val="0"/>
        <w:autoSpaceDN w:val="0"/>
        <w:adjustRightInd w:val="0"/>
        <w:jc w:val="left"/>
        <w:rPr>
          <w:rFonts w:hint="eastAsia" w:ascii="宋体" w:hAnsi="宋体" w:eastAsia="宋体" w:cs="宋体"/>
          <w:b/>
          <w:bCs/>
          <w:color w:val="auto"/>
          <w:sz w:val="32"/>
        </w:rPr>
      </w:pPr>
    </w:p>
    <w:p>
      <w:pPr>
        <w:rPr>
          <w:rFonts w:hint="eastAsia" w:ascii="宋体" w:hAnsi="宋体" w:eastAsia="宋体" w:cs="宋体"/>
          <w:b/>
          <w:bCs/>
          <w:color w:val="auto"/>
          <w:sz w:val="32"/>
        </w:rPr>
      </w:pPr>
      <w:r>
        <w:rPr>
          <w:rFonts w:hint="eastAsia" w:ascii="宋体" w:hAnsi="宋体" w:eastAsia="宋体" w:cs="宋体"/>
          <w:b/>
          <w:bCs/>
          <w:color w:val="auto"/>
          <w:sz w:val="32"/>
        </w:rPr>
        <w:br w:type="page"/>
      </w:r>
    </w:p>
    <w:p>
      <w:pPr>
        <w:numPr>
          <w:ilvl w:val="0"/>
          <w:numId w:val="0"/>
        </w:numPr>
        <w:autoSpaceDE w:val="0"/>
        <w:autoSpaceDN w:val="0"/>
        <w:adjustRightInd w:val="0"/>
        <w:jc w:val="left"/>
        <w:rPr>
          <w:rFonts w:hint="eastAsia" w:ascii="宋体" w:hAnsi="宋体" w:eastAsia="宋体" w:cs="宋体"/>
          <w:b/>
          <w:bCs/>
          <w:color w:val="auto"/>
          <w:sz w:val="32"/>
        </w:rPr>
      </w:pPr>
      <w:r>
        <w:rPr>
          <w:rFonts w:hint="eastAsia" w:ascii="宋体" w:hAnsi="宋体" w:eastAsia="宋体" w:cs="宋体"/>
          <w:b/>
          <w:bCs/>
          <w:color w:val="auto"/>
          <w:sz w:val="32"/>
        </w:rPr>
        <w:t>附件资料一：</w:t>
      </w:r>
      <w:bookmarkEnd w:id="888"/>
    </w:p>
    <w:p>
      <w:pPr>
        <w:spacing w:line="400" w:lineRule="exact"/>
        <w:jc w:val="both"/>
        <w:rPr>
          <w:rFonts w:hint="eastAsia" w:ascii="宋体" w:hAnsi="宋体" w:eastAsia="宋体" w:cs="宋体"/>
          <w:b/>
          <w:bCs/>
          <w:color w:val="auto"/>
          <w:sz w:val="32"/>
        </w:rPr>
      </w:pPr>
      <w:bookmarkStart w:id="889" w:name="_Toc15863_WPSOffice_Level1"/>
      <w:r>
        <w:rPr>
          <w:rFonts w:hint="eastAsia" w:ascii="宋体" w:hAnsi="宋体" w:eastAsia="宋体" w:cs="宋体"/>
          <w:b/>
          <w:bCs/>
          <w:color w:val="auto"/>
          <w:sz w:val="32"/>
        </w:rPr>
        <w:t>招标代理服务收费标准</w:t>
      </w:r>
      <w:bookmarkEnd w:id="889"/>
    </w:p>
    <w:p>
      <w:pPr>
        <w:spacing w:line="400" w:lineRule="exact"/>
        <w:jc w:val="center"/>
        <w:rPr>
          <w:rFonts w:hint="eastAsia" w:ascii="宋体" w:hAnsi="宋体" w:eastAsia="宋体" w:cs="宋体"/>
          <w:b/>
          <w:bCs/>
          <w:color w:val="auto"/>
          <w:sz w:val="32"/>
        </w:rPr>
      </w:pPr>
    </w:p>
    <w:p>
      <w:pPr>
        <w:spacing w:line="360" w:lineRule="auto"/>
        <w:ind w:firstLine="480" w:firstLineChars="200"/>
        <w:rPr>
          <w:rFonts w:hint="eastAsia" w:ascii="宋体" w:hAnsi="宋体" w:eastAsia="宋体" w:cs="宋体"/>
          <w:b/>
          <w:bCs/>
          <w:color w:val="auto"/>
          <w:sz w:val="24"/>
        </w:rPr>
      </w:pPr>
      <w:r>
        <w:rPr>
          <w:rFonts w:hint="eastAsia" w:ascii="宋体" w:hAnsi="宋体" w:eastAsia="宋体" w:cs="宋体"/>
          <w:bCs/>
          <w:color w:val="auto"/>
          <w:sz w:val="24"/>
        </w:rPr>
        <w:t>招标代理服务费的计算执行“国家计委关于印发《招标代理服务收费管理暂行办法》的通知”（计价格[2002]1980号）和“国家发展改革委办公厅关于招标代理服务收费有关问题的通知”（</w:t>
      </w:r>
      <w:r>
        <w:rPr>
          <w:rFonts w:hint="eastAsia" w:ascii="宋体" w:hAnsi="宋体" w:eastAsia="宋体" w:cs="宋体"/>
          <w:color w:val="auto"/>
          <w:kern w:val="0"/>
          <w:sz w:val="30"/>
          <w:szCs w:val="30"/>
        </w:rPr>
        <w:t xml:space="preserve"> </w:t>
      </w:r>
      <w:r>
        <w:rPr>
          <w:rFonts w:hint="eastAsia" w:ascii="宋体" w:hAnsi="宋体" w:eastAsia="宋体" w:cs="宋体"/>
          <w:bCs/>
          <w:color w:val="auto"/>
          <w:sz w:val="24"/>
        </w:rPr>
        <w:t>发改价格[2011]534号）文件规定。</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923"/>
        <w:gridCol w:w="191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2895" w:type="dxa"/>
            <w:tcBorders>
              <w:tl2br w:val="single" w:color="auto" w:sz="4" w:space="0"/>
            </w:tcBorders>
            <w:noWrap w:val="0"/>
            <w:vAlign w:val="top"/>
          </w:tcPr>
          <w:p>
            <w:pPr>
              <w:rPr>
                <w:rFonts w:hint="eastAsia" w:ascii="宋体" w:hAnsi="宋体" w:eastAsia="宋体" w:cs="宋体"/>
                <w:color w:val="auto"/>
                <w:sz w:val="24"/>
              </w:rPr>
            </w:pPr>
            <w:r>
              <w:rPr>
                <w:rFonts w:hint="eastAsia" w:ascii="宋体" w:hAnsi="宋体" w:eastAsia="宋体" w:cs="宋体"/>
                <w:color w:val="auto"/>
                <w:sz w:val="24"/>
              </w:rPr>
              <w:t xml:space="preserve">               费率</w:t>
            </w:r>
          </w:p>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中标金额</w:t>
            </w:r>
          </w:p>
        </w:tc>
        <w:tc>
          <w:tcPr>
            <w:tcW w:w="1923" w:type="dxa"/>
            <w:noWrap w:val="0"/>
            <w:vAlign w:val="center"/>
          </w:tcPr>
          <w:p>
            <w:pPr>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货物招标</w:t>
            </w:r>
          </w:p>
        </w:tc>
        <w:tc>
          <w:tcPr>
            <w:tcW w:w="191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服务招标</w:t>
            </w:r>
          </w:p>
        </w:tc>
        <w:tc>
          <w:tcPr>
            <w:tcW w:w="198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100万元以下</w:t>
            </w:r>
          </w:p>
        </w:tc>
        <w:tc>
          <w:tcPr>
            <w:tcW w:w="192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kern w:val="0"/>
                <w:sz w:val="24"/>
              </w:rPr>
              <w:t>1.5%</w:t>
            </w:r>
          </w:p>
        </w:tc>
        <w:tc>
          <w:tcPr>
            <w:tcW w:w="1912"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1.5%</w:t>
            </w:r>
          </w:p>
        </w:tc>
        <w:tc>
          <w:tcPr>
            <w:tcW w:w="1980"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100～500万元</w:t>
            </w:r>
          </w:p>
        </w:tc>
        <w:tc>
          <w:tcPr>
            <w:tcW w:w="1923"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1.1%</w:t>
            </w:r>
          </w:p>
        </w:tc>
        <w:tc>
          <w:tcPr>
            <w:tcW w:w="1912"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0.8%</w:t>
            </w:r>
          </w:p>
        </w:tc>
        <w:tc>
          <w:tcPr>
            <w:tcW w:w="1980"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500～1000万元</w:t>
            </w:r>
          </w:p>
        </w:tc>
        <w:tc>
          <w:tcPr>
            <w:tcW w:w="192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kern w:val="0"/>
                <w:sz w:val="24"/>
              </w:rPr>
              <w:t>0.8%</w:t>
            </w:r>
          </w:p>
        </w:tc>
        <w:tc>
          <w:tcPr>
            <w:tcW w:w="1912"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0.45%</w:t>
            </w:r>
          </w:p>
        </w:tc>
        <w:tc>
          <w:tcPr>
            <w:tcW w:w="1980"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1000～5000万元</w:t>
            </w:r>
          </w:p>
        </w:tc>
        <w:tc>
          <w:tcPr>
            <w:tcW w:w="1923"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0.5%</w:t>
            </w:r>
          </w:p>
        </w:tc>
        <w:tc>
          <w:tcPr>
            <w:tcW w:w="1912"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0.25%</w:t>
            </w:r>
          </w:p>
        </w:tc>
        <w:tc>
          <w:tcPr>
            <w:tcW w:w="1980"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5000万元～1亿元</w:t>
            </w:r>
          </w:p>
        </w:tc>
        <w:tc>
          <w:tcPr>
            <w:tcW w:w="1923"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0.25%</w:t>
            </w:r>
          </w:p>
        </w:tc>
        <w:tc>
          <w:tcPr>
            <w:tcW w:w="1912"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0.1%</w:t>
            </w:r>
          </w:p>
        </w:tc>
        <w:tc>
          <w:tcPr>
            <w:tcW w:w="1980"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kern w:val="0"/>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1～5亿元</w:t>
            </w:r>
          </w:p>
        </w:tc>
        <w:tc>
          <w:tcPr>
            <w:tcW w:w="1923"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0.05%</w:t>
            </w:r>
          </w:p>
        </w:tc>
        <w:tc>
          <w:tcPr>
            <w:tcW w:w="191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0.05%</w:t>
            </w:r>
          </w:p>
        </w:tc>
        <w:tc>
          <w:tcPr>
            <w:tcW w:w="198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5～10亿元</w:t>
            </w:r>
          </w:p>
        </w:tc>
        <w:tc>
          <w:tcPr>
            <w:tcW w:w="1923" w:type="dxa"/>
            <w:noWrap w:val="0"/>
            <w:vAlign w:val="center"/>
          </w:tcPr>
          <w:p>
            <w:pPr>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0.035%</w:t>
            </w:r>
          </w:p>
        </w:tc>
        <w:tc>
          <w:tcPr>
            <w:tcW w:w="191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0.035%</w:t>
            </w:r>
          </w:p>
        </w:tc>
        <w:tc>
          <w:tcPr>
            <w:tcW w:w="1980" w:type="dxa"/>
            <w:noWrap w:val="0"/>
            <w:vAlign w:val="center"/>
          </w:tcPr>
          <w:p>
            <w:pPr>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10～50亿元</w:t>
            </w:r>
          </w:p>
        </w:tc>
        <w:tc>
          <w:tcPr>
            <w:tcW w:w="1923" w:type="dxa"/>
            <w:noWrap w:val="0"/>
            <w:vAlign w:val="center"/>
          </w:tcPr>
          <w:p>
            <w:pPr>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0.008%</w:t>
            </w:r>
          </w:p>
        </w:tc>
        <w:tc>
          <w:tcPr>
            <w:tcW w:w="1912"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0.008%</w:t>
            </w:r>
          </w:p>
        </w:tc>
        <w:tc>
          <w:tcPr>
            <w:tcW w:w="1980" w:type="dxa"/>
            <w:noWrap w:val="0"/>
            <w:vAlign w:val="center"/>
          </w:tcPr>
          <w:p>
            <w:pPr>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50～100亿元</w:t>
            </w:r>
          </w:p>
        </w:tc>
        <w:tc>
          <w:tcPr>
            <w:tcW w:w="192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0.006%</w:t>
            </w:r>
          </w:p>
        </w:tc>
        <w:tc>
          <w:tcPr>
            <w:tcW w:w="1912"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0.006%</w:t>
            </w:r>
          </w:p>
        </w:tc>
        <w:tc>
          <w:tcPr>
            <w:tcW w:w="1980" w:type="dxa"/>
            <w:noWrap w:val="0"/>
            <w:vAlign w:val="center"/>
          </w:tcPr>
          <w:p>
            <w:pPr>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95"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100亿以上</w:t>
            </w:r>
          </w:p>
        </w:tc>
        <w:tc>
          <w:tcPr>
            <w:tcW w:w="192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0.004%</w:t>
            </w:r>
          </w:p>
        </w:tc>
        <w:tc>
          <w:tcPr>
            <w:tcW w:w="1912" w:type="dxa"/>
            <w:noWrap w:val="0"/>
            <w:vAlign w:val="center"/>
          </w:tcPr>
          <w:p>
            <w:pPr>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0.004%</w:t>
            </w:r>
          </w:p>
        </w:tc>
        <w:tc>
          <w:tcPr>
            <w:tcW w:w="1980" w:type="dxa"/>
            <w:noWrap w:val="0"/>
            <w:vAlign w:val="center"/>
          </w:tcPr>
          <w:p>
            <w:pPr>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0.004%</w:t>
            </w:r>
          </w:p>
        </w:tc>
      </w:tr>
    </w:tbl>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招标代理服务收费按差额定率累进法计算。例如：某货物招标代理业务中标</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金额为500万元，计算招标代理服务收费额如下：</w:t>
      </w:r>
    </w:p>
    <w:p>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100×1.5％=1.5万元</w:t>
      </w:r>
    </w:p>
    <w:p>
      <w:pPr>
        <w:spacing w:line="360" w:lineRule="auto"/>
        <w:ind w:firstLine="120" w:firstLineChars="50"/>
        <w:rPr>
          <w:rFonts w:hint="eastAsia" w:ascii="宋体" w:hAnsi="宋体" w:eastAsia="宋体" w:cs="宋体"/>
          <w:color w:val="auto"/>
          <w:sz w:val="24"/>
        </w:rPr>
      </w:pPr>
      <w:r>
        <w:rPr>
          <w:rFonts w:hint="eastAsia" w:ascii="宋体" w:hAnsi="宋体" w:eastAsia="宋体" w:cs="宋体"/>
          <w:color w:val="auto"/>
          <w:sz w:val="24"/>
        </w:rPr>
        <w:t>（500-100）万元×1.1％=4.4万元</w:t>
      </w:r>
    </w:p>
    <w:p>
      <w:pPr>
        <w:spacing w:line="360" w:lineRule="auto"/>
        <w:ind w:firstLine="240" w:firstLineChars="100"/>
        <w:rPr>
          <w:rFonts w:hint="eastAsia" w:asciiTheme="minorEastAsia" w:hAnsiTheme="minorEastAsia" w:eastAsiaTheme="minorEastAsia" w:cstheme="minorEastAsia"/>
          <w:color w:val="000000"/>
          <w:kern w:val="2"/>
          <w:lang w:val="en-US" w:bidi="ar"/>
        </w:rPr>
      </w:pPr>
      <w:r>
        <w:rPr>
          <w:rFonts w:hint="eastAsia" w:ascii="宋体" w:hAnsi="宋体" w:eastAsia="宋体" w:cs="宋体"/>
          <w:color w:val="auto"/>
          <w:sz w:val="24"/>
        </w:rPr>
        <w:t>合计收费=1.5+4.4=5.9万元</w:t>
      </w:r>
    </w:p>
    <w:sectPr>
      <w:headerReference r:id="rId21" w:type="default"/>
      <w:footerReference r:id="rId2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3281031-FBBC-4A7B-8815-6ECDB829BD6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CCF7E84-4821-4960-A1C2-99CC85481AC3}"/>
  </w:font>
  <w:font w:name="方正仿宋_GBK">
    <w:altName w:val="Arial Unicode MS"/>
    <w:panose1 w:val="03000509000000000000"/>
    <w:charset w:val="86"/>
    <w:family w:val="script"/>
    <w:pitch w:val="default"/>
    <w:sig w:usb0="00000000" w:usb1="00000000" w:usb2="00000000" w:usb3="00000000" w:csb0="00040000" w:csb1="00000000"/>
    <w:embedRegular r:id="rId3" w:fontKey="{C81B897A-5022-419E-AC53-2BA6D642FC47}"/>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97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97</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98</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99</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100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100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insoku w:val="0"/>
      <w:overflowPunct w:val="0"/>
      <w:spacing w:line="14" w:lineRule="auto"/>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95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eastAsia="仿宋_GB2312"/>
        <w:sz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96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96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2958"/>
    <w:multiLevelType w:val="singleLevel"/>
    <w:tmpl w:val="DBA42958"/>
    <w:lvl w:ilvl="0" w:tentative="0">
      <w:start w:val="2"/>
      <w:numFmt w:val="decimal"/>
      <w:suff w:val="nothing"/>
      <w:lvlText w:val="（%1）"/>
      <w:lvlJc w:val="left"/>
    </w:lvl>
  </w:abstractNum>
  <w:abstractNum w:abstractNumId="1">
    <w:nsid w:val="E77CBCA4"/>
    <w:multiLevelType w:val="singleLevel"/>
    <w:tmpl w:val="E77CBCA4"/>
    <w:lvl w:ilvl="0" w:tentative="0">
      <w:start w:val="1"/>
      <w:numFmt w:val="decimal"/>
      <w:suff w:val="nothing"/>
      <w:lvlText w:val="（%1）"/>
      <w:lvlJc w:val="left"/>
    </w:lvl>
  </w:abstractNum>
  <w:abstractNum w:abstractNumId="2">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3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jBlMjA4YWM0YTUyZTZlMzMwNzBiYzI4OWFkZGUifQ=="/>
    <w:docVar w:name="KSO_WPS_MARK_KEY" w:val="9fdf3bf6-b287-4ae1-af55-4725e4de371b"/>
  </w:docVars>
  <w:rsids>
    <w:rsidRoot w:val="00D56A7F"/>
    <w:rsid w:val="0000005B"/>
    <w:rsid w:val="00024246"/>
    <w:rsid w:val="00067DB8"/>
    <w:rsid w:val="000D0C05"/>
    <w:rsid w:val="00117215"/>
    <w:rsid w:val="001419AE"/>
    <w:rsid w:val="00164CF8"/>
    <w:rsid w:val="00192D9C"/>
    <w:rsid w:val="001E10D2"/>
    <w:rsid w:val="002350FC"/>
    <w:rsid w:val="0027102C"/>
    <w:rsid w:val="00285254"/>
    <w:rsid w:val="002B1A32"/>
    <w:rsid w:val="00361A69"/>
    <w:rsid w:val="00367B33"/>
    <w:rsid w:val="00375DD6"/>
    <w:rsid w:val="003D66A7"/>
    <w:rsid w:val="00414083"/>
    <w:rsid w:val="00436B3E"/>
    <w:rsid w:val="0045034E"/>
    <w:rsid w:val="00451A66"/>
    <w:rsid w:val="00461D60"/>
    <w:rsid w:val="00494FFB"/>
    <w:rsid w:val="004A3183"/>
    <w:rsid w:val="004D6559"/>
    <w:rsid w:val="00510052"/>
    <w:rsid w:val="00511317"/>
    <w:rsid w:val="00527A6A"/>
    <w:rsid w:val="00606704"/>
    <w:rsid w:val="00627056"/>
    <w:rsid w:val="006462F5"/>
    <w:rsid w:val="006B749A"/>
    <w:rsid w:val="006E2641"/>
    <w:rsid w:val="007157E1"/>
    <w:rsid w:val="00756428"/>
    <w:rsid w:val="00777F43"/>
    <w:rsid w:val="007C1138"/>
    <w:rsid w:val="007C641C"/>
    <w:rsid w:val="007D09C2"/>
    <w:rsid w:val="007D5278"/>
    <w:rsid w:val="00804ADF"/>
    <w:rsid w:val="00823B67"/>
    <w:rsid w:val="00830FD1"/>
    <w:rsid w:val="0084456D"/>
    <w:rsid w:val="008766A8"/>
    <w:rsid w:val="00897537"/>
    <w:rsid w:val="008B401D"/>
    <w:rsid w:val="00954DE2"/>
    <w:rsid w:val="00977775"/>
    <w:rsid w:val="0098765E"/>
    <w:rsid w:val="009C1A05"/>
    <w:rsid w:val="009D1999"/>
    <w:rsid w:val="00A30101"/>
    <w:rsid w:val="00A7392C"/>
    <w:rsid w:val="00A84214"/>
    <w:rsid w:val="00A87569"/>
    <w:rsid w:val="00AA012C"/>
    <w:rsid w:val="00AA2CC5"/>
    <w:rsid w:val="00AA2F80"/>
    <w:rsid w:val="00AF3A18"/>
    <w:rsid w:val="00B00BD6"/>
    <w:rsid w:val="00B26362"/>
    <w:rsid w:val="00C3253A"/>
    <w:rsid w:val="00C33830"/>
    <w:rsid w:val="00CB08E7"/>
    <w:rsid w:val="00CC6F95"/>
    <w:rsid w:val="00CD273E"/>
    <w:rsid w:val="00CE40F3"/>
    <w:rsid w:val="00D01925"/>
    <w:rsid w:val="00D14EB6"/>
    <w:rsid w:val="00D56A7F"/>
    <w:rsid w:val="00D87685"/>
    <w:rsid w:val="00DC542F"/>
    <w:rsid w:val="00DC73DC"/>
    <w:rsid w:val="00E10245"/>
    <w:rsid w:val="00E37998"/>
    <w:rsid w:val="00E4621C"/>
    <w:rsid w:val="00E85827"/>
    <w:rsid w:val="00E873ED"/>
    <w:rsid w:val="00E943B2"/>
    <w:rsid w:val="00EA4C40"/>
    <w:rsid w:val="00EC650E"/>
    <w:rsid w:val="00EC6A2C"/>
    <w:rsid w:val="00ED08F2"/>
    <w:rsid w:val="00ED516D"/>
    <w:rsid w:val="00EE3C0D"/>
    <w:rsid w:val="00F22C43"/>
    <w:rsid w:val="00F4004B"/>
    <w:rsid w:val="00F45375"/>
    <w:rsid w:val="00F931E8"/>
    <w:rsid w:val="00FA0874"/>
    <w:rsid w:val="00FE7216"/>
    <w:rsid w:val="00FF03E2"/>
    <w:rsid w:val="014E34A9"/>
    <w:rsid w:val="02030C7A"/>
    <w:rsid w:val="03A74512"/>
    <w:rsid w:val="03FE7D39"/>
    <w:rsid w:val="046010A2"/>
    <w:rsid w:val="04B8274F"/>
    <w:rsid w:val="04FE4606"/>
    <w:rsid w:val="06B548A9"/>
    <w:rsid w:val="071063FA"/>
    <w:rsid w:val="0765096C"/>
    <w:rsid w:val="08C84ED0"/>
    <w:rsid w:val="090345E1"/>
    <w:rsid w:val="096A11B4"/>
    <w:rsid w:val="0A3B4E3D"/>
    <w:rsid w:val="0B6F1CF1"/>
    <w:rsid w:val="0C0C285F"/>
    <w:rsid w:val="0C78199D"/>
    <w:rsid w:val="0C9870EE"/>
    <w:rsid w:val="0CEA5995"/>
    <w:rsid w:val="0CEE089D"/>
    <w:rsid w:val="0D052A1F"/>
    <w:rsid w:val="0DED0BCE"/>
    <w:rsid w:val="0E686F94"/>
    <w:rsid w:val="0E8C2C83"/>
    <w:rsid w:val="0ED00D92"/>
    <w:rsid w:val="11406E20"/>
    <w:rsid w:val="118B0CAC"/>
    <w:rsid w:val="11A16A45"/>
    <w:rsid w:val="11CE1122"/>
    <w:rsid w:val="13283DEA"/>
    <w:rsid w:val="136C4E31"/>
    <w:rsid w:val="137A57A0"/>
    <w:rsid w:val="13F37C94"/>
    <w:rsid w:val="14010CEA"/>
    <w:rsid w:val="14E01031"/>
    <w:rsid w:val="14FF0E66"/>
    <w:rsid w:val="153C6A85"/>
    <w:rsid w:val="15E50ECA"/>
    <w:rsid w:val="15FE0187"/>
    <w:rsid w:val="174F3ECE"/>
    <w:rsid w:val="17A61C52"/>
    <w:rsid w:val="17E86059"/>
    <w:rsid w:val="17F51899"/>
    <w:rsid w:val="17F608ED"/>
    <w:rsid w:val="18100480"/>
    <w:rsid w:val="19001702"/>
    <w:rsid w:val="193D7D29"/>
    <w:rsid w:val="1A255D39"/>
    <w:rsid w:val="1A355B24"/>
    <w:rsid w:val="1AD203FF"/>
    <w:rsid w:val="1B5C39DD"/>
    <w:rsid w:val="1B762CF0"/>
    <w:rsid w:val="1BB15C7E"/>
    <w:rsid w:val="1D2D3DF4"/>
    <w:rsid w:val="1D8A2A83"/>
    <w:rsid w:val="1EF13B0C"/>
    <w:rsid w:val="20CD1977"/>
    <w:rsid w:val="20EB042F"/>
    <w:rsid w:val="22912319"/>
    <w:rsid w:val="22F5509F"/>
    <w:rsid w:val="27AB7F6F"/>
    <w:rsid w:val="27C9064C"/>
    <w:rsid w:val="286E0680"/>
    <w:rsid w:val="29F864D9"/>
    <w:rsid w:val="2A554419"/>
    <w:rsid w:val="2A742AF1"/>
    <w:rsid w:val="2B2022D3"/>
    <w:rsid w:val="2B2838DB"/>
    <w:rsid w:val="2CB22B0C"/>
    <w:rsid w:val="2D522E91"/>
    <w:rsid w:val="2DA5012B"/>
    <w:rsid w:val="2F111F3F"/>
    <w:rsid w:val="2F4C7FDF"/>
    <w:rsid w:val="2F826990"/>
    <w:rsid w:val="3029664C"/>
    <w:rsid w:val="307A0735"/>
    <w:rsid w:val="314F0552"/>
    <w:rsid w:val="321330AB"/>
    <w:rsid w:val="325D20BC"/>
    <w:rsid w:val="32A417A5"/>
    <w:rsid w:val="33BB3AE0"/>
    <w:rsid w:val="34001F5F"/>
    <w:rsid w:val="344144BE"/>
    <w:rsid w:val="34A821E4"/>
    <w:rsid w:val="3785760B"/>
    <w:rsid w:val="388C4B09"/>
    <w:rsid w:val="38AC2050"/>
    <w:rsid w:val="397D29BD"/>
    <w:rsid w:val="3C17330A"/>
    <w:rsid w:val="3C822AF2"/>
    <w:rsid w:val="3CCA590A"/>
    <w:rsid w:val="3D4445A5"/>
    <w:rsid w:val="3E170CBE"/>
    <w:rsid w:val="3EF24CAF"/>
    <w:rsid w:val="3F4035DC"/>
    <w:rsid w:val="40532D51"/>
    <w:rsid w:val="41AC096A"/>
    <w:rsid w:val="41BA3087"/>
    <w:rsid w:val="41C123E4"/>
    <w:rsid w:val="426B6130"/>
    <w:rsid w:val="443F03CB"/>
    <w:rsid w:val="44752B5F"/>
    <w:rsid w:val="44DC3315"/>
    <w:rsid w:val="45806A65"/>
    <w:rsid w:val="46134131"/>
    <w:rsid w:val="4636797D"/>
    <w:rsid w:val="46947EC5"/>
    <w:rsid w:val="46B02CAB"/>
    <w:rsid w:val="46F72688"/>
    <w:rsid w:val="472F40CD"/>
    <w:rsid w:val="478B4B7E"/>
    <w:rsid w:val="47BF399A"/>
    <w:rsid w:val="489A776F"/>
    <w:rsid w:val="4A51482F"/>
    <w:rsid w:val="4AD34FBB"/>
    <w:rsid w:val="4AF12BE9"/>
    <w:rsid w:val="4B783C7E"/>
    <w:rsid w:val="4BCA036B"/>
    <w:rsid w:val="4C00597F"/>
    <w:rsid w:val="4C0F2222"/>
    <w:rsid w:val="4D4A4B8F"/>
    <w:rsid w:val="4DB43081"/>
    <w:rsid w:val="4DCA0BC9"/>
    <w:rsid w:val="4DDB0704"/>
    <w:rsid w:val="4E0B6A19"/>
    <w:rsid w:val="503458E2"/>
    <w:rsid w:val="50C734C5"/>
    <w:rsid w:val="51036853"/>
    <w:rsid w:val="51326FE2"/>
    <w:rsid w:val="52D715BF"/>
    <w:rsid w:val="56103877"/>
    <w:rsid w:val="56F62062"/>
    <w:rsid w:val="573E0B7F"/>
    <w:rsid w:val="59022001"/>
    <w:rsid w:val="599B3347"/>
    <w:rsid w:val="5B260EDC"/>
    <w:rsid w:val="5B8D2D21"/>
    <w:rsid w:val="5BEA2363"/>
    <w:rsid w:val="5C0B3A6E"/>
    <w:rsid w:val="5C2B16DA"/>
    <w:rsid w:val="5CFA5F9B"/>
    <w:rsid w:val="5DC66141"/>
    <w:rsid w:val="5F6C7904"/>
    <w:rsid w:val="601C1742"/>
    <w:rsid w:val="60E90E3C"/>
    <w:rsid w:val="60F577E0"/>
    <w:rsid w:val="617821BF"/>
    <w:rsid w:val="61881063"/>
    <w:rsid w:val="61F21004"/>
    <w:rsid w:val="62207CDF"/>
    <w:rsid w:val="632443AD"/>
    <w:rsid w:val="639822DD"/>
    <w:rsid w:val="645365C1"/>
    <w:rsid w:val="65460FF2"/>
    <w:rsid w:val="654E3607"/>
    <w:rsid w:val="65D94544"/>
    <w:rsid w:val="667E2026"/>
    <w:rsid w:val="66DD71AE"/>
    <w:rsid w:val="67CA66EB"/>
    <w:rsid w:val="681F5C8A"/>
    <w:rsid w:val="686148A1"/>
    <w:rsid w:val="6A4E277F"/>
    <w:rsid w:val="6B0D5727"/>
    <w:rsid w:val="6B1940CB"/>
    <w:rsid w:val="6C1D3023"/>
    <w:rsid w:val="6CD01102"/>
    <w:rsid w:val="6D164ABE"/>
    <w:rsid w:val="6D87328B"/>
    <w:rsid w:val="6D9D066E"/>
    <w:rsid w:val="6E0F4958"/>
    <w:rsid w:val="6F204C24"/>
    <w:rsid w:val="6F230787"/>
    <w:rsid w:val="6FA80114"/>
    <w:rsid w:val="706662F6"/>
    <w:rsid w:val="707044A1"/>
    <w:rsid w:val="719B62B8"/>
    <w:rsid w:val="71C22345"/>
    <w:rsid w:val="71D60F68"/>
    <w:rsid w:val="727F5E20"/>
    <w:rsid w:val="72C849AF"/>
    <w:rsid w:val="75347BA3"/>
    <w:rsid w:val="758A39BE"/>
    <w:rsid w:val="75C81E28"/>
    <w:rsid w:val="7605090C"/>
    <w:rsid w:val="76C505C2"/>
    <w:rsid w:val="76C7279A"/>
    <w:rsid w:val="770F2826"/>
    <w:rsid w:val="773329B9"/>
    <w:rsid w:val="78994A9D"/>
    <w:rsid w:val="78B33D68"/>
    <w:rsid w:val="78EA52F9"/>
    <w:rsid w:val="79757EFB"/>
    <w:rsid w:val="79983E9C"/>
    <w:rsid w:val="79EC439C"/>
    <w:rsid w:val="7A195E96"/>
    <w:rsid w:val="7A6F1F5A"/>
    <w:rsid w:val="7AFA19AD"/>
    <w:rsid w:val="7C1C3A1B"/>
    <w:rsid w:val="7E0230E5"/>
    <w:rsid w:val="7E3A0B1B"/>
    <w:rsid w:val="7E68119A"/>
    <w:rsid w:val="7EDE76AE"/>
    <w:rsid w:val="7EF6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0"/>
    </w:pPr>
    <w:rPr>
      <w:b/>
      <w:bCs/>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1"/>
    <w:pPr>
      <w:spacing w:before="36"/>
      <w:jc w:val="center"/>
      <w:outlineLvl w:val="2"/>
    </w:pPr>
    <w:rPr>
      <w:b/>
      <w:bCs/>
      <w:sz w:val="36"/>
      <w:szCs w:val="36"/>
    </w:rPr>
  </w:style>
  <w:style w:type="paragraph" w:styleId="5">
    <w:name w:val="heading 4"/>
    <w:basedOn w:val="1"/>
    <w:next w:val="1"/>
    <w:link w:val="45"/>
    <w:qFormat/>
    <w:uiPriority w:val="1"/>
    <w:pPr>
      <w:spacing w:before="44"/>
      <w:jc w:val="center"/>
      <w:outlineLvl w:val="3"/>
    </w:pPr>
    <w:rPr>
      <w:b/>
      <w:bCs/>
      <w:sz w:val="32"/>
      <w:szCs w:val="32"/>
    </w:rPr>
  </w:style>
  <w:style w:type="paragraph" w:styleId="6">
    <w:name w:val="heading 5"/>
    <w:basedOn w:val="1"/>
    <w:next w:val="1"/>
    <w:qFormat/>
    <w:uiPriority w:val="1"/>
    <w:pPr>
      <w:ind w:right="158"/>
      <w:jc w:val="center"/>
      <w:outlineLvl w:val="4"/>
    </w:pPr>
    <w:rPr>
      <w:rFonts w:ascii="仿宋" w:hAnsi="仿宋" w:eastAsia="仿宋" w:cs="仿宋"/>
      <w:b/>
      <w:bCs/>
      <w:sz w:val="28"/>
      <w:szCs w:val="28"/>
    </w:rPr>
  </w:style>
  <w:style w:type="paragraph" w:styleId="7">
    <w:name w:val="heading 6"/>
    <w:basedOn w:val="1"/>
    <w:next w:val="1"/>
    <w:qFormat/>
    <w:uiPriority w:val="1"/>
    <w:pPr>
      <w:spacing w:before="61"/>
      <w:outlineLvl w:val="5"/>
    </w:pPr>
    <w:rPr>
      <w:rFonts w:ascii="仿宋" w:hAnsi="仿宋" w:eastAsia="仿宋" w:cs="仿宋"/>
      <w:sz w:val="28"/>
      <w:szCs w:val="28"/>
    </w:rPr>
  </w:style>
  <w:style w:type="paragraph" w:styleId="8">
    <w:name w:val="heading 7"/>
    <w:basedOn w:val="1"/>
    <w:next w:val="1"/>
    <w:qFormat/>
    <w:uiPriority w:val="1"/>
    <w:pPr>
      <w:ind w:left="360"/>
      <w:outlineLvl w:val="6"/>
    </w:pPr>
    <w:rPr>
      <w:rFonts w:ascii="仿宋" w:hAnsi="仿宋" w:eastAsia="仿宋" w:cs="仿宋"/>
      <w:b/>
      <w:bCs/>
      <w:sz w:val="24"/>
      <w:szCs w:val="24"/>
    </w:rPr>
  </w:style>
  <w:style w:type="paragraph" w:styleId="9">
    <w:name w:val="heading 9"/>
    <w:basedOn w:val="1"/>
    <w:next w:val="10"/>
    <w:qFormat/>
    <w:uiPriority w:val="9"/>
    <w:pPr>
      <w:outlineLvl w:val="8"/>
    </w:pPr>
    <w:rPr>
      <w:rFonts w:ascii="Cambria" w:hAnsi="Cambria"/>
      <w:i/>
      <w:iCs/>
      <w:spacing w:val="5"/>
      <w:sz w:val="20"/>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adjustRightInd w:val="0"/>
      <w:ind w:firstLine="420"/>
    </w:pPr>
    <w:rPr>
      <w:rFonts w:ascii="宋体"/>
      <w:sz w:val="24"/>
      <w:szCs w:val="20"/>
    </w:rPr>
  </w:style>
  <w:style w:type="paragraph" w:styleId="11">
    <w:name w:val="annotation text"/>
    <w:basedOn w:val="1"/>
    <w:link w:val="42"/>
    <w:unhideWhenUsed/>
    <w:qFormat/>
    <w:uiPriority w:val="0"/>
    <w:pPr>
      <w:autoSpaceDE/>
      <w:autoSpaceDN/>
    </w:pPr>
    <w:rPr>
      <w:rFonts w:asciiTheme="minorHAnsi" w:hAnsiTheme="minorHAnsi" w:eastAsiaTheme="minorEastAsia" w:cstheme="minorBidi"/>
      <w:kern w:val="2"/>
      <w:sz w:val="21"/>
      <w:lang w:val="en-US" w:bidi="ar-SA"/>
    </w:rPr>
  </w:style>
  <w:style w:type="paragraph" w:styleId="12">
    <w:name w:val="Body Text"/>
    <w:basedOn w:val="1"/>
    <w:next w:val="13"/>
    <w:qFormat/>
    <w:uiPriority w:val="1"/>
    <w:rPr>
      <w:sz w:val="24"/>
      <w:szCs w:val="24"/>
    </w:rPr>
  </w:style>
  <w:style w:type="paragraph" w:customStyle="1" w:styleId="1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Body Text Indent"/>
    <w:basedOn w:val="1"/>
    <w:qFormat/>
    <w:uiPriority w:val="0"/>
    <w:pPr>
      <w:spacing w:after="120"/>
      <w:ind w:left="420" w:leftChars="200"/>
    </w:pPr>
  </w:style>
  <w:style w:type="paragraph" w:styleId="15">
    <w:name w:val="Plain Text"/>
    <w:basedOn w:val="1"/>
    <w:qFormat/>
    <w:uiPriority w:val="0"/>
    <w:rPr>
      <w:rFonts w:ascii="宋体" w:hAnsi="Courier New" w:eastAsiaTheme="minorEastAsia" w:cstheme="minorBidi"/>
    </w:rPr>
  </w:style>
  <w:style w:type="paragraph" w:styleId="16">
    <w:name w:val="Balloon Text"/>
    <w:basedOn w:val="1"/>
    <w:link w:val="43"/>
    <w:qFormat/>
    <w:uiPriority w:val="0"/>
    <w:rPr>
      <w:sz w:val="18"/>
      <w:szCs w:val="18"/>
    </w:rPr>
  </w:style>
  <w:style w:type="paragraph" w:styleId="17">
    <w:name w:val="footer"/>
    <w:basedOn w:val="1"/>
    <w:link w:val="39"/>
    <w:qFormat/>
    <w:uiPriority w:val="99"/>
    <w:pPr>
      <w:tabs>
        <w:tab w:val="center" w:pos="4153"/>
        <w:tab w:val="right" w:pos="8306"/>
      </w:tabs>
      <w:snapToGrid w:val="0"/>
    </w:pPr>
    <w:rPr>
      <w:sz w:val="18"/>
      <w:szCs w:val="18"/>
    </w:rPr>
  </w:style>
  <w:style w:type="paragraph" w:styleId="18">
    <w:name w:val="header"/>
    <w:basedOn w:val="1"/>
    <w:link w:val="4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0"/>
  </w:style>
  <w:style w:type="paragraph" w:styleId="20">
    <w:name w:val="Subtitle"/>
    <w:basedOn w:val="1"/>
    <w:next w:val="1"/>
    <w:qFormat/>
    <w:uiPriority w:val="0"/>
    <w:pPr>
      <w:spacing w:after="600"/>
    </w:pPr>
    <w:rPr>
      <w:rFonts w:ascii="Cambria" w:hAnsi="Cambria"/>
      <w:i/>
      <w:iCs/>
      <w:spacing w:val="13"/>
      <w:szCs w:val="24"/>
    </w:rPr>
  </w:style>
  <w:style w:type="paragraph" w:styleId="21">
    <w:name w:val="Body Text 2"/>
    <w:basedOn w:val="1"/>
    <w:next w:val="1"/>
    <w:qFormat/>
    <w:uiPriority w:val="0"/>
    <w:pPr>
      <w:widowControl/>
      <w:spacing w:after="120" w:afterLines="0" w:line="480" w:lineRule="auto"/>
      <w:jc w:val="both"/>
    </w:pPr>
    <w:rPr>
      <w:rFonts w:eastAsia="宋体"/>
      <w:color w:val="000000"/>
      <w:sz w:val="21"/>
    </w:rPr>
  </w:style>
  <w:style w:type="paragraph" w:styleId="22">
    <w:name w:val="Normal (Web)"/>
    <w:basedOn w:val="1"/>
    <w:qFormat/>
    <w:uiPriority w:val="99"/>
    <w:pPr>
      <w:widowControl/>
      <w:spacing w:before="100" w:beforeAutospacing="1" w:after="100" w:afterAutospacing="1"/>
    </w:pPr>
    <w:rPr>
      <w:rFonts w:ascii="宋体" w:hAnsi="宋体" w:cs="宋体"/>
      <w:sz w:val="24"/>
    </w:rPr>
  </w:style>
  <w:style w:type="paragraph" w:styleId="23">
    <w:name w:val="annotation subject"/>
    <w:basedOn w:val="11"/>
    <w:next w:val="11"/>
    <w:link w:val="44"/>
    <w:qFormat/>
    <w:uiPriority w:val="0"/>
    <w:pPr>
      <w:autoSpaceDE w:val="0"/>
      <w:autoSpaceDN w:val="0"/>
    </w:pPr>
    <w:rPr>
      <w:rFonts w:ascii="楷体" w:hAnsi="楷体" w:eastAsia="楷体" w:cs="楷体"/>
      <w:b/>
      <w:bCs/>
      <w:kern w:val="0"/>
      <w:sz w:val="22"/>
      <w:lang w:val="zh-CN" w:bidi="zh-CN"/>
    </w:rPr>
  </w:style>
  <w:style w:type="paragraph" w:styleId="24">
    <w:name w:val="Body Text First Indent 2"/>
    <w:basedOn w:val="14"/>
    <w:next w:val="1"/>
    <w:qFormat/>
    <w:uiPriority w:val="0"/>
    <w:pPr>
      <w:ind w:firstLine="420" w:firstLineChars="200"/>
    </w:pPr>
    <w:rPr>
      <w:kern w:val="0"/>
      <w:sz w:val="20"/>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qFormat/>
    <w:uiPriority w:val="0"/>
    <w:rPr>
      <w:rFonts w:cs="Times New Roman"/>
      <w:color w:val="0000FF"/>
      <w:u w:val="single"/>
    </w:rPr>
  </w:style>
  <w:style w:type="character" w:styleId="29">
    <w:name w:val="annotation reference"/>
    <w:basedOn w:val="27"/>
    <w:qFormat/>
    <w:uiPriority w:val="0"/>
    <w:rPr>
      <w:sz w:val="21"/>
      <w:szCs w:val="21"/>
    </w:rPr>
  </w:style>
  <w:style w:type="paragraph" w:customStyle="1" w:styleId="30">
    <w:name w:val="表格文字2"/>
    <w:basedOn w:val="31"/>
    <w:qFormat/>
    <w:uiPriority w:val="99"/>
    <w:pPr>
      <w:spacing w:before="25" w:after="25"/>
      <w:jc w:val="left"/>
    </w:pPr>
    <w:rPr>
      <w:bCs/>
      <w:spacing w:val="10"/>
      <w:kern w:val="0"/>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Table Paragraph"/>
    <w:basedOn w:val="1"/>
    <w:qFormat/>
    <w:uiPriority w:val="1"/>
  </w:style>
  <w:style w:type="paragraph" w:styleId="33">
    <w:name w:val="List Paragraph"/>
    <w:basedOn w:val="1"/>
    <w:qFormat/>
    <w:uiPriority w:val="1"/>
    <w:pPr>
      <w:ind w:left="360"/>
    </w:pPr>
    <w:rPr>
      <w:rFonts w:ascii="仿宋" w:hAnsi="仿宋" w:eastAsia="仿宋" w:cs="仿宋"/>
    </w:rPr>
  </w:style>
  <w:style w:type="paragraph" w:customStyle="1" w:styleId="34">
    <w:name w:val="样式 标题 3 + (中文) 黑体 小四 非加粗 段前: 7.8 磅 段后: 0 磅 行距: 固定值 20 磅"/>
    <w:basedOn w:val="35"/>
    <w:qFormat/>
    <w:uiPriority w:val="0"/>
    <w:pPr>
      <w:spacing w:before="0" w:after="0" w:line="400" w:lineRule="exact"/>
    </w:pPr>
    <w:rPr>
      <w:rFonts w:eastAsia="黑体" w:cs="宋体"/>
      <w:b w:val="0"/>
      <w:bCs w:val="0"/>
      <w:sz w:val="24"/>
      <w:szCs w:val="20"/>
    </w:rPr>
  </w:style>
  <w:style w:type="paragraph" w:customStyle="1" w:styleId="35">
    <w:name w:val="标题 3_1_0"/>
    <w:basedOn w:val="36"/>
    <w:next w:val="36"/>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36">
    <w:name w:val="正文_1_0_0"/>
    <w:next w:val="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页脚_1_0"/>
    <w:basedOn w:val="36"/>
    <w:qFormat/>
    <w:uiPriority w:val="0"/>
    <w:pPr>
      <w:tabs>
        <w:tab w:val="center" w:pos="4153"/>
        <w:tab w:val="right" w:pos="8306"/>
      </w:tabs>
      <w:snapToGrid w:val="0"/>
      <w:jc w:val="left"/>
    </w:pPr>
    <w:rPr>
      <w:sz w:val="18"/>
      <w:szCs w:val="18"/>
    </w:rPr>
  </w:style>
  <w:style w:type="paragraph" w:customStyle="1" w:styleId="38">
    <w:name w:val="WPSOffice手动目录 1"/>
    <w:qFormat/>
    <w:uiPriority w:val="0"/>
    <w:rPr>
      <w:rFonts w:ascii="Times New Roman" w:hAnsi="Times New Roman" w:eastAsia="宋体" w:cs="Times New Roman"/>
      <w:lang w:val="en-US" w:eastAsia="zh-CN" w:bidi="ar-SA"/>
    </w:rPr>
  </w:style>
  <w:style w:type="character" w:customStyle="1" w:styleId="39">
    <w:name w:val="页脚 Char"/>
    <w:link w:val="17"/>
    <w:qFormat/>
    <w:uiPriority w:val="99"/>
    <w:rPr>
      <w:rFonts w:ascii="楷体" w:hAnsi="楷体" w:eastAsia="楷体" w:cs="楷体"/>
      <w:sz w:val="18"/>
      <w:szCs w:val="18"/>
      <w:lang w:val="zh-CN" w:bidi="zh-CN"/>
    </w:rPr>
  </w:style>
  <w:style w:type="character" w:customStyle="1" w:styleId="40">
    <w:name w:val="页眉 Char"/>
    <w:link w:val="18"/>
    <w:qFormat/>
    <w:uiPriority w:val="99"/>
    <w:rPr>
      <w:rFonts w:ascii="楷体" w:hAnsi="楷体" w:eastAsia="楷体" w:cs="楷体"/>
      <w:sz w:val="18"/>
      <w:szCs w:val="22"/>
      <w:lang w:val="zh-CN" w:bidi="zh-CN"/>
    </w:rPr>
  </w:style>
  <w:style w:type="paragraph" w:customStyle="1" w:styleId="41">
    <w:name w:val="列表段落1"/>
    <w:basedOn w:val="1"/>
    <w:qFormat/>
    <w:uiPriority w:val="0"/>
    <w:pPr>
      <w:autoSpaceDE/>
      <w:autoSpaceDN/>
      <w:ind w:firstLine="420" w:firstLineChars="200"/>
      <w:jc w:val="both"/>
    </w:pPr>
    <w:rPr>
      <w:rFonts w:ascii="Times New Roman" w:hAnsi="Times New Roman" w:eastAsia="宋体" w:cs="Times New Roman"/>
      <w:kern w:val="2"/>
      <w:sz w:val="21"/>
      <w:szCs w:val="20"/>
      <w:lang w:val="en-US" w:bidi="ar-SA"/>
    </w:rPr>
  </w:style>
  <w:style w:type="character" w:customStyle="1" w:styleId="42">
    <w:name w:val="批注文字 Char"/>
    <w:basedOn w:val="27"/>
    <w:link w:val="11"/>
    <w:qFormat/>
    <w:uiPriority w:val="0"/>
    <w:rPr>
      <w:rFonts w:asciiTheme="minorHAnsi" w:hAnsiTheme="minorHAnsi" w:eastAsiaTheme="minorEastAsia" w:cstheme="minorBidi"/>
      <w:kern w:val="2"/>
      <w:sz w:val="21"/>
      <w:szCs w:val="22"/>
    </w:rPr>
  </w:style>
  <w:style w:type="character" w:customStyle="1" w:styleId="43">
    <w:name w:val="批注框文本 Char"/>
    <w:basedOn w:val="27"/>
    <w:link w:val="16"/>
    <w:qFormat/>
    <w:uiPriority w:val="0"/>
    <w:rPr>
      <w:rFonts w:ascii="楷体" w:hAnsi="楷体" w:eastAsia="楷体" w:cs="楷体"/>
      <w:sz w:val="18"/>
      <w:szCs w:val="18"/>
      <w:lang w:val="zh-CN" w:bidi="zh-CN"/>
    </w:rPr>
  </w:style>
  <w:style w:type="character" w:customStyle="1" w:styleId="44">
    <w:name w:val="批注主题 Char"/>
    <w:basedOn w:val="42"/>
    <w:link w:val="23"/>
    <w:qFormat/>
    <w:uiPriority w:val="0"/>
    <w:rPr>
      <w:rFonts w:ascii="楷体" w:hAnsi="楷体" w:eastAsia="楷体" w:cs="楷体"/>
      <w:b/>
      <w:bCs/>
      <w:kern w:val="2"/>
      <w:sz w:val="22"/>
      <w:szCs w:val="22"/>
      <w:lang w:val="zh-CN" w:bidi="zh-CN"/>
    </w:rPr>
  </w:style>
  <w:style w:type="character" w:customStyle="1" w:styleId="45">
    <w:name w:val="标题 4 Char"/>
    <w:basedOn w:val="27"/>
    <w:link w:val="5"/>
    <w:qFormat/>
    <w:uiPriority w:val="1"/>
    <w:rPr>
      <w:rFonts w:ascii="楷体" w:hAnsi="楷体" w:eastAsia="楷体" w:cs="楷体"/>
      <w:b/>
      <w:bCs/>
      <w:sz w:val="32"/>
      <w:szCs w:val="32"/>
      <w:lang w:val="zh-CN" w:bidi="zh-CN"/>
    </w:rPr>
  </w:style>
  <w:style w:type="paragraph" w:customStyle="1" w:styleId="4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0"/>
    <w:next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BodyText1I2"/>
    <w:basedOn w:val="49"/>
    <w:qFormat/>
    <w:uiPriority w:val="0"/>
    <w:pPr>
      <w:spacing w:after="0"/>
      <w:ind w:left="0" w:leftChars="0" w:firstLine="200" w:firstLineChars="200"/>
      <w:jc w:val="both"/>
      <w:textAlignment w:val="baseline"/>
    </w:pPr>
    <w:rPr>
      <w:sz w:val="28"/>
    </w:rPr>
  </w:style>
  <w:style w:type="paragraph" w:customStyle="1" w:styleId="49">
    <w:name w:val="BodyTextIndent"/>
    <w:basedOn w:val="47"/>
    <w:qFormat/>
    <w:uiPriority w:val="0"/>
    <w:pPr>
      <w:spacing w:after="120"/>
      <w:ind w:left="420" w:leftChars="200"/>
      <w:jc w:val="both"/>
      <w:textAlignment w:val="baseline"/>
    </w:pPr>
  </w:style>
  <w:style w:type="paragraph" w:customStyle="1" w:styleId="50">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51">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2">
    <w:name w:val="样式 右侧:  1.69 厘米"/>
    <w:basedOn w:val="1"/>
    <w:qFormat/>
    <w:uiPriority w:val="0"/>
    <w:pPr>
      <w:ind w:right="960"/>
    </w:pPr>
    <w:rPr>
      <w:rFonts w:ascii="Times New Roman" w:hAnsi="Times New Roman" w:eastAsia="仿宋" w:cs="宋体"/>
      <w:szCs w:val="20"/>
    </w:rPr>
  </w:style>
  <w:style w:type="character" w:customStyle="1" w:styleId="53">
    <w:name w:val="_Style 7"/>
    <w:qFormat/>
    <w:uiPriority w:val="0"/>
    <w:rPr>
      <w:rFonts w:ascii="Times New Roman" w:hAnsi="Times New Roman" w:eastAsia="宋体" w:cs="Times New Roman"/>
    </w:rPr>
  </w:style>
  <w:style w:type="paragraph" w:customStyle="1" w:styleId="54">
    <w:name w:val="正文_1_1"/>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emf"/><Relationship Id="rId23" Type="http://schemas.openxmlformats.org/officeDocument/2006/relationships/theme" Target="theme/theme1.xml"/><Relationship Id="rId22" Type="http://schemas.openxmlformats.org/officeDocument/2006/relationships/footer" Target="footer16.xml"/><Relationship Id="rId21" Type="http://schemas.openxmlformats.org/officeDocument/2006/relationships/header" Target="header4.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CE927-C4D0-4E2F-A5CA-EAB58369EA1F}">
  <ds:schemaRefs/>
</ds:datastoreItem>
</file>

<file path=docProps/app.xml><?xml version="1.0" encoding="utf-8"?>
<Properties xmlns="http://schemas.openxmlformats.org/officeDocument/2006/extended-properties" xmlns:vt="http://schemas.openxmlformats.org/officeDocument/2006/docPropsVTypes">
  <Template>Normal</Template>
  <Pages>107</Pages>
  <Words>41783</Words>
  <Characters>44292</Characters>
  <Lines>434</Lines>
  <Paragraphs>122</Paragraphs>
  <TotalTime>49</TotalTime>
  <ScaleCrop>false</ScaleCrop>
  <LinksUpToDate>false</LinksUpToDate>
  <CharactersWithSpaces>49534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Assassin_Rowe</cp:lastModifiedBy>
  <cp:lastPrinted>2023-05-09T07:34:00Z</cp:lastPrinted>
  <dcterms:modified xsi:type="dcterms:W3CDTF">2023-05-31T04:07:30Z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9B9BD0AB25D241EF962A9F8013C2338A</vt:lpwstr>
  </property>
  <property fmtid="{D5CDD505-2E9C-101B-9397-08002B2CF9AE}" pid="4" name="KSOSaveFontToCloudKey">
    <vt:lpwstr>340659104_cloud</vt:lpwstr>
  </property>
</Properties>
</file>