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ermStart w:id="0" w:edGrp="everyone"/>
      <w:permEnd w:id="0"/>
    </w:p>
    <w:p>
      <w:pPr>
        <w:spacing w:line="1000" w:lineRule="exact"/>
        <w:ind w:right="-319" w:rightChars="-152"/>
        <w:jc w:val="center"/>
        <w:rPr>
          <w:rFonts w:hint="eastAsia" w:ascii="宋体" w:hAnsi="宋体" w:cs="宋体"/>
          <w:b/>
          <w:bCs/>
          <w:color w:val="auto"/>
          <w:sz w:val="40"/>
          <w:szCs w:val="40"/>
          <w:highlight w:val="none"/>
          <w:lang w:eastAsia="zh-CN"/>
        </w:rPr>
      </w:pPr>
    </w:p>
    <w:p>
      <w:pPr>
        <w:spacing w:line="1000" w:lineRule="exact"/>
        <w:ind w:right="-319" w:rightChars="-152"/>
        <w:jc w:val="center"/>
        <w:rPr>
          <w:rFonts w:hint="eastAsia" w:ascii="宋体" w:hAnsi="宋体" w:cs="宋体"/>
          <w:b/>
          <w:bCs/>
          <w:color w:val="auto"/>
          <w:sz w:val="40"/>
          <w:szCs w:val="40"/>
          <w:highlight w:val="none"/>
          <w:lang w:eastAsia="zh-CN"/>
        </w:rPr>
      </w:pPr>
    </w:p>
    <w:p>
      <w:pPr>
        <w:spacing w:line="1000" w:lineRule="exact"/>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克拉玛依市克拉玛依区人民政府胜利路街道办事处食堂</w:t>
      </w:r>
    </w:p>
    <w:p>
      <w:pPr>
        <w:spacing w:line="1000" w:lineRule="exact"/>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外包服务</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竞争性磋商采购文件</w:t>
      </w:r>
    </w:p>
    <w:p>
      <w:pPr>
        <w:spacing w:line="360" w:lineRule="auto"/>
        <w:rPr>
          <w:rFonts w:ascii="宋体" w:hAnsi="宋体" w:cs="宋体"/>
          <w:b/>
          <w:color w:val="auto"/>
          <w:sz w:val="30"/>
          <w:szCs w:val="30"/>
          <w:highlight w:val="none"/>
        </w:rPr>
      </w:pPr>
    </w:p>
    <w:p>
      <w:pPr>
        <w:spacing w:line="660" w:lineRule="exact"/>
        <w:jc w:val="center"/>
        <w:rPr>
          <w:rFonts w:ascii="宋体" w:hAnsi="宋体" w:cs="宋体"/>
          <w:color w:val="auto"/>
          <w:sz w:val="24"/>
          <w:highlight w:val="none"/>
        </w:rPr>
      </w:pPr>
      <w:r>
        <w:rPr>
          <w:rFonts w:hint="eastAsia" w:ascii="宋体" w:hAnsi="宋体"/>
          <w:b/>
          <w:color w:val="auto"/>
          <w:sz w:val="28"/>
          <w:szCs w:val="28"/>
          <w:highlight w:val="none"/>
        </w:rPr>
        <w:t>（文件编号：</w:t>
      </w:r>
      <w:r>
        <w:rPr>
          <w:rFonts w:hint="eastAsia" w:ascii="宋体" w:hAnsi="宋体"/>
          <w:b/>
          <w:color w:val="auto"/>
          <w:sz w:val="28"/>
          <w:szCs w:val="28"/>
          <w:highlight w:val="none"/>
          <w:lang w:eastAsia="zh-CN"/>
        </w:rPr>
        <w:t>JKJL[ZC]2023-38</w:t>
      </w:r>
      <w:r>
        <w:rPr>
          <w:rFonts w:hint="eastAsia" w:ascii="宋体" w:hAnsi="宋体"/>
          <w:b/>
          <w:color w:val="auto"/>
          <w:sz w:val="28"/>
          <w:szCs w:val="28"/>
          <w:highlight w:val="none"/>
        </w:rPr>
        <w:t>）</w:t>
      </w:r>
    </w:p>
    <w:p>
      <w:pPr>
        <w:pStyle w:val="9"/>
        <w:rPr>
          <w:rFonts w:ascii="宋体" w:hAnsi="宋体" w:cs="宋体"/>
          <w:color w:val="auto"/>
          <w:highlight w:val="none"/>
        </w:rPr>
      </w:pPr>
    </w:p>
    <w:p>
      <w:pPr>
        <w:pStyle w:val="9"/>
        <w:rPr>
          <w:rFonts w:ascii="宋体" w:hAnsi="宋体" w:cs="宋体"/>
          <w:color w:val="auto"/>
          <w:highlight w:val="none"/>
        </w:rPr>
      </w:pPr>
    </w:p>
    <w:p>
      <w:pPr>
        <w:pStyle w:val="18"/>
        <w:ind w:left="0" w:leftChars="0" w:firstLine="0" w:firstLineChars="0"/>
        <w:rPr>
          <w:color w:val="auto"/>
          <w:highlight w:val="none"/>
        </w:rPr>
      </w:pPr>
    </w:p>
    <w:p>
      <w:pPr>
        <w:rPr>
          <w:color w:val="auto"/>
          <w:highlight w:val="none"/>
        </w:rPr>
      </w:pPr>
    </w:p>
    <w:p>
      <w:pPr>
        <w:rPr>
          <w:color w:val="auto"/>
          <w:highlight w:val="none"/>
        </w:rPr>
      </w:pPr>
    </w:p>
    <w:p>
      <w:pPr>
        <w:pStyle w:val="9"/>
        <w:rPr>
          <w:color w:val="auto"/>
        </w:rPr>
      </w:pPr>
    </w:p>
    <w:p>
      <w:pPr>
        <w:pStyle w:val="9"/>
        <w:rPr>
          <w:rFonts w:ascii="宋体" w:hAnsi="宋体" w:cs="宋体"/>
          <w:color w:val="auto"/>
          <w:highlight w:val="none"/>
        </w:rPr>
      </w:pPr>
    </w:p>
    <w:p>
      <w:pPr>
        <w:spacing w:line="360" w:lineRule="auto"/>
        <w:ind w:firstLine="562" w:firstLineChars="200"/>
        <w:rPr>
          <w:rFonts w:hint="eastAsia" w:ascii="宋体" w:hAnsi="宋体" w:cs="宋体"/>
          <w:b/>
          <w:color w:val="auto"/>
          <w:sz w:val="28"/>
          <w:szCs w:val="28"/>
          <w:highlight w:val="none"/>
        </w:rPr>
      </w:pPr>
    </w:p>
    <w:p>
      <w:pPr>
        <w:spacing w:line="360" w:lineRule="auto"/>
        <w:ind w:firstLine="562" w:firstLineChars="200"/>
        <w:rPr>
          <w:rFonts w:hint="eastAsia" w:ascii="宋体" w:hAnsi="宋体" w:eastAsia="宋体" w:cs="宋体"/>
          <w:b/>
          <w:color w:val="auto"/>
          <w:sz w:val="28"/>
          <w:szCs w:val="28"/>
          <w:highlight w:val="none"/>
          <w:lang w:eastAsia="zh-Hans"/>
        </w:rPr>
      </w:pPr>
      <w:r>
        <w:rPr>
          <w:rFonts w:hint="eastAsia" w:ascii="宋体" w:hAnsi="宋体" w:cs="宋体"/>
          <w:b/>
          <w:color w:val="auto"/>
          <w:sz w:val="28"/>
          <w:szCs w:val="28"/>
          <w:highlight w:val="none"/>
          <w:lang w:eastAsia="zh-CN"/>
        </w:rPr>
        <w:t>采购人</w:t>
      </w:r>
      <w:r>
        <w:rPr>
          <w:rFonts w:hint="eastAsia" w:ascii="宋体" w:hAnsi="宋体" w:cs="宋体"/>
          <w:b/>
          <w:color w:val="auto"/>
          <w:sz w:val="28"/>
          <w:szCs w:val="28"/>
          <w:highlight w:val="none"/>
          <w:lang w:eastAsia="zh-Hans"/>
        </w:rPr>
        <w:t>：克拉玛依市克拉玛依区人民政府胜利路街道办事处</w:t>
      </w:r>
    </w:p>
    <w:p>
      <w:pPr>
        <w:spacing w:line="360" w:lineRule="auto"/>
        <w:ind w:firstLine="562" w:firstLineChars="200"/>
        <w:rPr>
          <w:rFonts w:hint="default" w:ascii="宋体" w:hAnsi="宋体" w:eastAsia="宋体" w:cs="宋体"/>
          <w:b/>
          <w:color w:val="auto"/>
          <w:sz w:val="28"/>
          <w:szCs w:val="28"/>
          <w:highlight w:val="none"/>
          <w:lang w:val="en-US" w:eastAsia="zh-Hans"/>
        </w:rPr>
      </w:pPr>
      <w:r>
        <w:rPr>
          <w:rFonts w:hint="eastAsia" w:ascii="宋体" w:hAnsi="宋体" w:cs="宋体"/>
          <w:b/>
          <w:color w:val="auto"/>
          <w:sz w:val="28"/>
          <w:szCs w:val="28"/>
          <w:highlight w:val="none"/>
          <w:lang w:val="en-US" w:eastAsia="zh-Hans"/>
        </w:rPr>
        <w:t>联系人：郭伟</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eastAsia="zh-CN"/>
        </w:rPr>
        <w:t>赵容萱</w:t>
      </w:r>
      <w:r>
        <w:rPr>
          <w:rFonts w:hint="eastAsia" w:ascii="宋体" w:hAnsi="宋体" w:cs="宋体"/>
          <w:b/>
          <w:color w:val="auto"/>
          <w:sz w:val="28"/>
          <w:szCs w:val="28"/>
          <w:highlight w:val="none"/>
          <w:lang w:val="en-US" w:eastAsia="zh-CN"/>
        </w:rPr>
        <w:t xml:space="preserve"> 蒙秋蓉 </w:t>
      </w:r>
    </w:p>
    <w:p>
      <w:pPr>
        <w:spacing w:line="360" w:lineRule="auto"/>
        <w:ind w:firstLine="562" w:firstLineChars="200"/>
        <w:rPr>
          <w:rFonts w:hint="default" w:ascii="宋体" w:hAnsi="宋体" w:cs="宋体"/>
          <w:b/>
          <w:color w:val="auto"/>
          <w:sz w:val="28"/>
          <w:szCs w:val="28"/>
          <w:highlight w:val="none"/>
          <w:lang w:val="en-US"/>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15809905032</w:t>
      </w:r>
    </w:p>
    <w:p>
      <w:pPr>
        <w:spacing w:line="360" w:lineRule="auto"/>
        <w:ind w:firstLine="562" w:firstLineChars="200"/>
        <w:jc w:val="center"/>
        <w:rPr>
          <w:rFonts w:ascii="宋体" w:hAnsi="宋体" w:cs="宋体"/>
          <w:color w:val="auto"/>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月</w:t>
      </w:r>
    </w:p>
    <w:p>
      <w:pPr>
        <w:pageBreakBefore/>
        <w:spacing w:line="500" w:lineRule="exact"/>
        <w:jc w:val="center"/>
        <w:rPr>
          <w:rFonts w:hint="eastAsia" w:ascii="宋体" w:hAnsi="宋体" w:cs="宋体"/>
          <w:b/>
          <w:bCs/>
          <w:color w:val="auto"/>
          <w:sz w:val="32"/>
          <w:szCs w:val="32"/>
          <w:highlight w:val="none"/>
        </w:rPr>
        <w:sectPr>
          <w:headerReference r:id="rId3" w:type="default"/>
          <w:footerReference r:id="rId4" w:type="default"/>
          <w:pgSz w:w="11906" w:h="16838"/>
          <w:pgMar w:top="720" w:right="720" w:bottom="720" w:left="720" w:header="851" w:footer="992" w:gutter="0"/>
          <w:pgNumType w:fmt="numberInDash"/>
          <w:cols w:space="425"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 竞争性磋商公告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 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4</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 合同</w:t>
      </w:r>
      <w:r>
        <w:rPr>
          <w:rFonts w:hint="eastAsia" w:ascii="宋体" w:hAnsi="宋体" w:cs="宋体"/>
          <w:b/>
          <w:bCs/>
          <w:color w:val="auto"/>
          <w:sz w:val="24"/>
          <w:szCs w:val="24"/>
          <w:highlight w:val="none"/>
          <w:lang w:eastAsia="zh-CN"/>
        </w:rPr>
        <w:t>主要条款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27</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 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32</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第六章 </w:t>
      </w:r>
      <w:r>
        <w:rPr>
          <w:rFonts w:hint="eastAsia" w:ascii="宋体" w:hAnsi="宋体" w:cs="宋体"/>
          <w:b/>
          <w:color w:val="auto"/>
          <w:kern w:val="2"/>
          <w:sz w:val="24"/>
          <w:szCs w:val="24"/>
          <w:highlight w:val="none"/>
          <w:lang w:eastAsia="zh-CN"/>
        </w:rPr>
        <w:t>评审标准</w:t>
      </w:r>
      <w:r>
        <w:rPr>
          <w:rFonts w:hint="eastAsia" w:ascii="宋体" w:hAnsi="宋体" w:cs="宋体"/>
          <w:b/>
          <w:color w:val="auto"/>
          <w:kern w:val="2"/>
          <w:sz w:val="24"/>
          <w:szCs w:val="24"/>
          <w:highlight w:val="none"/>
        </w:rPr>
        <w:t>（综合评分法）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60</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tabs>
          <w:tab w:val="left" w:pos="1230"/>
          <w:tab w:val="left" w:pos="1275"/>
        </w:tabs>
        <w:spacing w:line="360" w:lineRule="auto"/>
        <w:jc w:val="center"/>
        <w:rPr>
          <w:rFonts w:hint="eastAsia" w:ascii="宋体" w:hAnsi="宋体" w:cs="宋体"/>
          <w:b/>
          <w:bCs/>
          <w:color w:val="auto"/>
          <w:sz w:val="32"/>
          <w:szCs w:val="32"/>
          <w:highlight w:val="none"/>
        </w:rPr>
        <w:sectPr>
          <w:footerReference r:id="rId5" w:type="default"/>
          <w:pgSz w:w="11906" w:h="16838"/>
          <w:pgMar w:top="720" w:right="720" w:bottom="720" w:left="72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竞争性磋商</w:t>
      </w:r>
      <w:r>
        <w:rPr>
          <w:rFonts w:hint="eastAsia" w:ascii="宋体" w:hAnsi="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克拉玛依市克拉玛依区人民政府胜利路街道办事处食堂外包服务</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）获取</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，并于20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default" w:ascii="宋体" w:hAnsi="宋体" w:cs="宋体"/>
          <w:color w:val="auto"/>
          <w:sz w:val="24"/>
          <w:highlight w:val="none"/>
        </w:rPr>
        <w:t>12</w:t>
      </w:r>
      <w:r>
        <w:rPr>
          <w:rFonts w:hint="eastAsia" w:ascii="宋体" w:hAnsi="宋体" w:cs="宋体"/>
          <w:color w:val="auto"/>
          <w:sz w:val="24"/>
          <w:highlight w:val="none"/>
        </w:rPr>
        <w:t>日</w:t>
      </w:r>
      <w:r>
        <w:rPr>
          <w:rFonts w:hint="eastAsia" w:ascii="宋体" w:hAnsi="宋体" w:cs="宋体"/>
          <w:color w:val="auto"/>
          <w:sz w:val="24"/>
          <w:highlight w:val="none"/>
          <w:lang w:eastAsia="zh-CN"/>
        </w:rPr>
        <w:t>1</w:t>
      </w:r>
      <w:r>
        <w:rPr>
          <w:rFonts w:hint="default" w:ascii="宋体" w:hAnsi="宋体" w:cs="宋体"/>
          <w:color w:val="auto"/>
          <w:sz w:val="24"/>
          <w:highlight w:val="none"/>
          <w:lang w:eastAsia="zh-CN"/>
        </w:rPr>
        <w:t>0</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bookmarkStart w:id="0" w:name="_Toc35393790"/>
      <w:bookmarkStart w:id="1" w:name="_Toc35393621"/>
      <w:bookmarkStart w:id="2" w:name="_Toc28359079"/>
      <w:bookmarkStart w:id="3" w:name="_Toc28359002"/>
      <w:bookmarkStart w:id="4" w:name="_Hlk24379207"/>
      <w:r>
        <w:rPr>
          <w:rFonts w:hint="eastAsia" w:ascii="宋体" w:hAnsi="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JKJL[ZC]2023-38</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克拉玛依市克拉玛依区人民政府胜利路街道办事处食堂外包服务</w:t>
      </w:r>
    </w:p>
    <w:bookmarkEnd w:id="4"/>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cs="宋体"/>
          <w:b w:val="0"/>
          <w:bCs/>
          <w:color w:val="auto"/>
          <w:sz w:val="24"/>
          <w:szCs w:val="24"/>
          <w:highlight w:val="none"/>
        </w:rPr>
      </w:pPr>
      <w:bookmarkStart w:id="5" w:name="_Toc35393622"/>
      <w:bookmarkStart w:id="6" w:name="_Toc35393791"/>
      <w:bookmarkStart w:id="7" w:name="_Toc28359080"/>
      <w:bookmarkStart w:id="8" w:name="_Toc28359003"/>
      <w:r>
        <w:rPr>
          <w:rStyle w:val="29"/>
          <w:rFonts w:hint="eastAsia"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（元）</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977850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kern w:val="0"/>
          <w:sz w:val="24"/>
          <w:highlight w:val="none"/>
          <w:lang w:val="en-US"/>
        </w:rPr>
      </w:pPr>
      <w:r>
        <w:rPr>
          <w:rFonts w:hint="default" w:ascii="宋体" w:hAnsi="宋体" w:eastAsia="宋体" w:cs="宋体"/>
          <w:color w:val="auto"/>
          <w:kern w:val="0"/>
          <w:sz w:val="24"/>
          <w:highlight w:val="none"/>
          <w:lang w:val="en-US" w:eastAsia="zh-CN"/>
        </w:rPr>
        <w:t>最高单价限价：30元/人/天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克拉玛依市克拉玛依区人民政府胜利路街道办事处食堂外包服务</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977850</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kern w:val="0"/>
          <w:sz w:val="24"/>
          <w:szCs w:val="22"/>
          <w:highlight w:val="none"/>
        </w:rPr>
      </w:pPr>
      <w:bookmarkStart w:id="9" w:name="_Toc28359004"/>
      <w:bookmarkStart w:id="10" w:name="_Toc28359081"/>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r>
        <w:rPr>
          <w:rFonts w:hint="default" w:ascii="宋体" w:hAnsi="宋体" w:cs="宋体"/>
          <w:bCs/>
          <w:color w:val="auto"/>
          <w:kern w:val="0"/>
          <w:sz w:val="24"/>
          <w:szCs w:val="22"/>
          <w:highlight w:val="none"/>
          <w:lang w:eastAsia="zh-CN"/>
        </w:rPr>
        <w:t>供应商为中小微企业</w:t>
      </w:r>
      <w:r>
        <w:rPr>
          <w:rFonts w:hint="eastAsia" w:ascii="宋体" w:hAnsi="宋体" w:eastAsia="宋体" w:cs="宋体"/>
          <w:bCs/>
          <w:color w:val="auto"/>
          <w:kern w:val="0"/>
          <w:sz w:val="24"/>
          <w:szCs w:val="22"/>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.本项目的特定资格要求：具有在有效期内的《食品经营许可证》</w:t>
      </w:r>
      <w:r>
        <w:rPr>
          <w:rFonts w:hint="eastAsia" w:ascii="宋体" w:hAnsi="宋体" w:cs="宋体"/>
          <w:bCs/>
          <w:color w:val="auto"/>
          <w:kern w:val="0"/>
          <w:sz w:val="24"/>
          <w:szCs w:val="22"/>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 w:name="_Toc35393792"/>
      <w:bookmarkStart w:id="12" w:name="_Toc35393623"/>
      <w:r>
        <w:rPr>
          <w:rFonts w:hint="eastAsia" w:ascii="宋体" w:hAnsi="宋体" w:cs="宋体"/>
          <w:b/>
          <w:bCs/>
          <w:color w:val="auto"/>
          <w:kern w:val="0"/>
          <w:sz w:val="24"/>
          <w:highlight w:val="none"/>
        </w:rPr>
        <w:t>三、获取</w:t>
      </w:r>
      <w:bookmarkEnd w:id="9"/>
      <w:bookmarkEnd w:id="10"/>
      <w:bookmarkEnd w:id="11"/>
      <w:bookmarkEnd w:id="12"/>
      <w:r>
        <w:rPr>
          <w:rFonts w:hint="eastAsia" w:ascii="宋体" w:hAnsi="宋体" w:cs="宋体"/>
          <w:b/>
          <w:bCs/>
          <w:color w:val="auto"/>
          <w:kern w:val="0"/>
          <w:sz w:val="24"/>
          <w:highlight w:val="none"/>
          <w:lang w:eastAsia="zh-CN"/>
        </w:rPr>
        <w:t>采购文件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时间：20</w:t>
      </w: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日至20</w:t>
      </w: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default" w:ascii="宋体" w:hAnsi="宋体" w:cs="宋体"/>
          <w:color w:val="auto"/>
          <w:kern w:val="0"/>
          <w:sz w:val="24"/>
          <w:highlight w:val="none"/>
        </w:rPr>
        <w:t>11</w:t>
      </w:r>
      <w:r>
        <w:rPr>
          <w:rFonts w:hint="eastAsia" w:ascii="宋体" w:hAnsi="宋体" w:cs="宋体"/>
          <w:color w:val="auto"/>
          <w:kern w:val="0"/>
          <w:sz w:val="24"/>
          <w:highlight w:val="none"/>
        </w:rPr>
        <w:t>日，每天上午00:00至1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至23:59（北京时间，法定节假日除外）</w:t>
      </w:r>
      <w:r>
        <w:rPr>
          <w:rFonts w:hint="eastAsia" w:ascii="宋体" w:hAnsi="宋体" w:cs="宋体"/>
          <w:color w:val="auto"/>
          <w:kern w:val="0"/>
          <w:sz w:val="24"/>
          <w:highlight w:val="none"/>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13" w:name="_Toc35393624"/>
      <w:bookmarkStart w:id="14" w:name="_Toc28359005"/>
      <w:bookmarkStart w:id="15" w:name="_Toc35393793"/>
      <w:bookmarkStart w:id="16" w:name="_Toc28359082"/>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bookmarkStart w:id="17" w:name="_Toc35393796"/>
      <w:bookmarkStart w:id="18" w:name="_Toc28359008"/>
      <w:bookmarkStart w:id="19" w:name="_Toc35393627"/>
      <w:bookmarkStart w:id="20" w:name="_Toc28359085"/>
      <w:r>
        <w:rPr>
          <w:rStyle w:val="29"/>
          <w:rFonts w:hint="eastAsia" w:ascii="宋体" w:hAnsi="宋体" w:cs="宋体"/>
          <w:b/>
          <w:bCs w:val="0"/>
          <w:color w:val="auto"/>
          <w:kern w:val="0"/>
          <w:sz w:val="24"/>
          <w:szCs w:val="22"/>
          <w:highlight w:val="none"/>
        </w:rPr>
        <w:t>四、</w:t>
      </w:r>
      <w:r>
        <w:rPr>
          <w:rStyle w:val="29"/>
          <w:rFonts w:hint="eastAsia" w:ascii="宋体" w:hAnsi="宋体" w:cs="宋体"/>
          <w:b/>
          <w:bCs w:val="0"/>
          <w:color w:val="auto"/>
          <w:kern w:val="0"/>
          <w:sz w:val="24"/>
          <w:szCs w:val="22"/>
          <w:highlight w:val="none"/>
          <w:lang w:eastAsia="zh-CN"/>
        </w:rPr>
        <w:t>响应文件</w:t>
      </w:r>
      <w:r>
        <w:rPr>
          <w:rStyle w:val="29"/>
          <w:rFonts w:hint="eastAsia" w:ascii="宋体" w:hAnsi="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bookmarkStart w:id="21" w:name="_Toc35393794"/>
      <w:bookmarkStart w:id="22" w:name="_Toc35393625"/>
      <w:bookmarkStart w:id="23" w:name="_Toc28359007"/>
      <w:bookmarkStart w:id="24" w:name="_Toc28359084"/>
      <w:r>
        <w:rPr>
          <w:rStyle w:val="29"/>
          <w:rFonts w:hint="eastAsia" w:ascii="宋体" w:hAnsi="宋体" w:cs="宋体"/>
          <w:b w:val="0"/>
          <w:bCs/>
          <w:color w:val="auto"/>
          <w:kern w:val="0"/>
          <w:sz w:val="24"/>
          <w:szCs w:val="22"/>
          <w:highlight w:val="none"/>
        </w:rPr>
        <w:t>截止时间：</w:t>
      </w:r>
      <w:r>
        <w:rPr>
          <w:rStyle w:val="29"/>
          <w:rFonts w:hint="eastAsia" w:ascii="宋体" w:hAnsi="宋体" w:cs="宋体"/>
          <w:b w:val="0"/>
          <w:bCs/>
          <w:color w:val="auto"/>
          <w:kern w:val="0"/>
          <w:sz w:val="24"/>
          <w:szCs w:val="22"/>
          <w:highlight w:val="none"/>
          <w:lang w:eastAsia="zh-CN"/>
        </w:rPr>
        <w:t>202</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lang w:eastAsia="zh-CN"/>
        </w:rPr>
        <w:t>年</w:t>
      </w:r>
      <w:r>
        <w:rPr>
          <w:rStyle w:val="29"/>
          <w:rFonts w:hint="eastAsia" w:ascii="宋体" w:hAnsi="宋体" w:cs="宋体"/>
          <w:b w:val="0"/>
          <w:bCs/>
          <w:color w:val="auto"/>
          <w:kern w:val="0"/>
          <w:sz w:val="24"/>
          <w:szCs w:val="22"/>
          <w:highlight w:val="none"/>
          <w:lang w:val="en-US" w:eastAsia="zh-CN"/>
        </w:rPr>
        <w:t>6</w:t>
      </w:r>
      <w:r>
        <w:rPr>
          <w:rStyle w:val="29"/>
          <w:rFonts w:hint="eastAsia" w:ascii="宋体" w:hAnsi="宋体" w:cs="宋体"/>
          <w:b w:val="0"/>
          <w:bCs/>
          <w:color w:val="auto"/>
          <w:kern w:val="0"/>
          <w:sz w:val="24"/>
          <w:szCs w:val="22"/>
          <w:highlight w:val="none"/>
          <w:lang w:eastAsia="zh-CN"/>
        </w:rPr>
        <w:t>月</w:t>
      </w:r>
      <w:r>
        <w:rPr>
          <w:rStyle w:val="29"/>
          <w:rFonts w:hint="default" w:ascii="宋体" w:hAnsi="宋体" w:cs="宋体"/>
          <w:b w:val="0"/>
          <w:bCs/>
          <w:color w:val="auto"/>
          <w:kern w:val="0"/>
          <w:sz w:val="24"/>
          <w:szCs w:val="22"/>
          <w:highlight w:val="none"/>
          <w:lang w:eastAsia="zh-CN"/>
        </w:rPr>
        <w:t>12</w:t>
      </w:r>
      <w:r>
        <w:rPr>
          <w:rStyle w:val="29"/>
          <w:rFonts w:hint="eastAsia" w:ascii="宋体" w:hAnsi="宋体" w:cs="宋体"/>
          <w:b w:val="0"/>
          <w:bCs/>
          <w:color w:val="auto"/>
          <w:kern w:val="0"/>
          <w:sz w:val="24"/>
          <w:szCs w:val="22"/>
          <w:highlight w:val="none"/>
          <w:lang w:eastAsia="zh-CN"/>
        </w:rPr>
        <w:t>日</w:t>
      </w:r>
      <w:r>
        <w:rPr>
          <w:rStyle w:val="29"/>
          <w:rFonts w:hint="eastAsia" w:ascii="宋体" w:hAnsi="宋体" w:cs="宋体"/>
          <w:b w:val="0"/>
          <w:bCs/>
          <w:color w:val="auto"/>
          <w:kern w:val="0"/>
          <w:sz w:val="24"/>
          <w:szCs w:val="22"/>
          <w:highlight w:val="none"/>
        </w:rPr>
        <w:t>1</w:t>
      </w:r>
      <w:r>
        <w:rPr>
          <w:rStyle w:val="29"/>
          <w:rFonts w:hint="default" w:ascii="宋体" w:hAnsi="宋体" w:cs="宋体"/>
          <w:b w:val="0"/>
          <w:bCs/>
          <w:color w:val="auto"/>
          <w:kern w:val="0"/>
          <w:sz w:val="24"/>
          <w:szCs w:val="22"/>
          <w:highlight w:val="none"/>
          <w:lang w:eastAsia="zh-CN"/>
        </w:rPr>
        <w:t>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bookmarkStart w:id="25" w:name="_Toc28359016"/>
      <w:bookmarkStart w:id="26" w:name="_Toc35393802"/>
      <w:bookmarkStart w:id="27" w:name="_Toc35393633"/>
      <w:bookmarkStart w:id="28" w:name="_Toc28359093"/>
      <w:r>
        <w:rPr>
          <w:rStyle w:val="29"/>
          <w:rFonts w:hint="eastAsia" w:ascii="宋体" w:hAnsi="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时间：202</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年</w:t>
      </w:r>
      <w:r>
        <w:rPr>
          <w:rStyle w:val="29"/>
          <w:rFonts w:hint="eastAsia" w:ascii="宋体" w:hAnsi="宋体" w:cs="宋体"/>
          <w:b w:val="0"/>
          <w:bCs/>
          <w:color w:val="auto"/>
          <w:kern w:val="0"/>
          <w:sz w:val="24"/>
          <w:szCs w:val="22"/>
          <w:highlight w:val="none"/>
          <w:lang w:val="en-US" w:eastAsia="zh-CN"/>
        </w:rPr>
        <w:t>6</w:t>
      </w:r>
      <w:r>
        <w:rPr>
          <w:rStyle w:val="29"/>
          <w:rFonts w:hint="eastAsia" w:ascii="宋体" w:hAnsi="宋体" w:cs="宋体"/>
          <w:b w:val="0"/>
          <w:bCs/>
          <w:color w:val="auto"/>
          <w:kern w:val="0"/>
          <w:sz w:val="24"/>
          <w:szCs w:val="22"/>
          <w:highlight w:val="none"/>
        </w:rPr>
        <w:t>月</w:t>
      </w:r>
      <w:r>
        <w:rPr>
          <w:rStyle w:val="29"/>
          <w:rFonts w:hint="default" w:ascii="宋体" w:hAnsi="宋体" w:cs="宋体"/>
          <w:b w:val="0"/>
          <w:bCs/>
          <w:color w:val="auto"/>
          <w:kern w:val="0"/>
          <w:sz w:val="24"/>
          <w:szCs w:val="22"/>
          <w:highlight w:val="none"/>
        </w:rPr>
        <w:t>12</w:t>
      </w:r>
      <w:r>
        <w:rPr>
          <w:rStyle w:val="29"/>
          <w:rFonts w:hint="eastAsia" w:ascii="宋体" w:hAnsi="宋体" w:cs="宋体"/>
          <w:b w:val="0"/>
          <w:bCs/>
          <w:color w:val="auto"/>
          <w:kern w:val="0"/>
          <w:sz w:val="24"/>
          <w:szCs w:val="22"/>
          <w:highlight w:val="none"/>
        </w:rPr>
        <w:t>日</w:t>
      </w:r>
      <w:r>
        <w:rPr>
          <w:rStyle w:val="29"/>
          <w:rFonts w:hint="eastAsia" w:ascii="宋体" w:hAnsi="宋体" w:cs="宋体"/>
          <w:b w:val="0"/>
          <w:bCs/>
          <w:color w:val="auto"/>
          <w:kern w:val="0"/>
          <w:sz w:val="24"/>
          <w:szCs w:val="22"/>
          <w:highlight w:val="none"/>
          <w:lang w:val="en-US" w:eastAsia="zh-CN"/>
        </w:rPr>
        <w:t>1</w:t>
      </w:r>
      <w:r>
        <w:rPr>
          <w:rStyle w:val="29"/>
          <w:rFonts w:hint="default" w:ascii="宋体" w:hAnsi="宋体" w:cs="宋体"/>
          <w:b w:val="0"/>
          <w:bCs/>
          <w:color w:val="auto"/>
          <w:kern w:val="0"/>
          <w:sz w:val="24"/>
          <w:szCs w:val="22"/>
          <w:highlight w:val="none"/>
          <w:lang w:eastAsia="zh-CN"/>
        </w:rPr>
        <w:t>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r>
        <w:rPr>
          <w:rStyle w:val="29"/>
          <w:rFonts w:hint="eastAsia" w:ascii="宋体" w:hAnsi="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自本公告发布之日起</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bookmarkStart w:id="29" w:name="_Toc35393795"/>
      <w:bookmarkStart w:id="30" w:name="_Toc35393626"/>
      <w:r>
        <w:rPr>
          <w:rFonts w:hint="eastAsia" w:ascii="宋体" w:hAnsi="宋体" w:cs="宋体"/>
          <w:b/>
          <w:bCs/>
          <w:color w:val="auto"/>
          <w:kern w:val="0"/>
          <w:sz w:val="24"/>
          <w:highlight w:val="none"/>
        </w:rPr>
        <w:t>七、其他补充事宜</w:t>
      </w:r>
      <w:bookmarkEnd w:id="29"/>
      <w:bookmarkEnd w:id="30"/>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1.本项目采用全流程不见面电子开评标，供应商需要使用CA加密设备，供应商可通过新疆数字证书认证中心官网（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"https://www.xjca.com.cn/%EF%BC%89%E6%88%96%E4%B8%8B%E8%BD%BD%E2%80%9C%E6%96%B0%E7%96%86%E6%94%BF%E5%8A%A1%E9%80%9A%E2%80%9DAPP%E8%87%AA%E8%A1%8C%E8%BF%9B%E8%A1%8C%E7%94%B3%E9%A2%86%E3%80%82"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https://www.xjca.com.cn/）或下载“新疆政务通”APP自行进行申领。</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2.本项目实行网上投标，采用加密电子响应文件(供应商须使用CA加密设备通过政采云电子投标客户端制作响应文件)。若供应商参与投标，自行承担投标一切费用。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http://www.ccgp-xinjiang.gov.cn/）下载专区查看，如有问题可拨打政采云客户服务热线</w:t>
      </w:r>
      <w:r>
        <w:rPr>
          <w:rFonts w:hint="eastAsia" w:ascii="宋体" w:hAnsi="宋体" w:cs="宋体"/>
          <w:b/>
          <w:bCs w:val="0"/>
          <w:color w:val="auto"/>
          <w:kern w:val="0"/>
          <w:sz w:val="24"/>
          <w:szCs w:val="22"/>
          <w:highlight w:val="none"/>
          <w:lang w:eastAsia="zh-CN"/>
        </w:rPr>
        <w:t>95763</w:t>
      </w:r>
      <w:r>
        <w:rPr>
          <w:rFonts w:hint="eastAsia" w:ascii="宋体" w:hAnsi="宋体" w:cs="宋体"/>
          <w:bCs/>
          <w:color w:val="auto"/>
          <w:kern w:val="0"/>
          <w:sz w:val="24"/>
          <w:szCs w:val="22"/>
          <w:highlight w:val="none"/>
        </w:rPr>
        <w:t>进行咨询。</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5.供应商在开标时须使用制作加密电子响应文件所使用的CA锁及电脑，电脑须提前配置好浏览器（建议使用谷歌浏览器），以便开标时解锁。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6.供应商对不见面开评标系统的技术操作咨询，可通过</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color w:val="auto"/>
          <w:kern w:val="0"/>
          <w:sz w:val="24"/>
          <w:szCs w:val="22"/>
          <w:highlight w:val="none"/>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称：</w:t>
      </w:r>
      <w:r>
        <w:rPr>
          <w:rFonts w:hint="eastAsia" w:ascii="宋体" w:hAnsi="宋体" w:cs="宋体"/>
          <w:color w:val="auto"/>
          <w:kern w:val="0"/>
          <w:sz w:val="24"/>
          <w:highlight w:val="none"/>
          <w:lang w:eastAsia="zh-CN"/>
        </w:rPr>
        <w:t>克拉玛依市克拉玛依区人民政府胜利路街道办事处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址：</w:t>
      </w:r>
      <w:r>
        <w:rPr>
          <w:rFonts w:hint="eastAsia" w:ascii="宋体" w:hAnsi="宋体" w:cs="宋体"/>
          <w:color w:val="auto"/>
          <w:kern w:val="0"/>
          <w:sz w:val="24"/>
          <w:highlight w:val="none"/>
          <w:lang w:eastAsia="zh-CN"/>
        </w:rPr>
        <w:t>克拉玛依市准噶尔路39号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bookmarkStart w:id="31" w:name="_Toc28359086"/>
      <w:bookmarkStart w:id="32" w:name="_Toc28359009"/>
      <w:r>
        <w:rPr>
          <w:rFonts w:hint="eastAsia" w:ascii="宋体" w:hAnsi="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0990-6227739</w:t>
      </w:r>
      <w:r>
        <w:rPr>
          <w:rFonts w:hint="eastAsia" w:ascii="宋体" w:hAnsi="宋体" w:cs="宋体"/>
          <w:color w:val="auto"/>
          <w:kern w:val="0"/>
          <w:sz w:val="24"/>
          <w:highlight w:val="none"/>
          <w:lang w:eastAsia="zh-CN"/>
        </w:rPr>
        <w:t>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eastAsia="zh-CN"/>
        </w:rPr>
        <w:t>15809905032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val="en-US" w:eastAsia="zh-CN"/>
        </w:rPr>
        <w:t>郭伟（采购人）、</w:t>
      </w:r>
      <w:r>
        <w:rPr>
          <w:rFonts w:hint="eastAsia" w:ascii="宋体" w:hAnsi="宋体" w:cs="宋体"/>
          <w:color w:val="auto"/>
          <w:kern w:val="0"/>
          <w:sz w:val="24"/>
          <w:highlight w:val="none"/>
          <w:lang w:eastAsia="zh-CN"/>
        </w:rPr>
        <w:t>赵容萱</w:t>
      </w:r>
      <w:r>
        <w:rPr>
          <w:rFonts w:hint="eastAsia" w:ascii="宋体" w:hAnsi="宋体" w:cs="宋体"/>
          <w:color w:val="auto"/>
          <w:kern w:val="0"/>
          <w:sz w:val="24"/>
          <w:highlight w:val="none"/>
          <w:lang w:val="en-US" w:eastAsia="zh-CN"/>
        </w:rPr>
        <w:t xml:space="preserve"> 蒙秋蓉 </w:t>
      </w:r>
      <w:r>
        <w:rPr>
          <w:rFonts w:hint="eastAsia" w:ascii="宋体" w:hAnsi="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29"/>
          <w:rFonts w:hint="default" w:cs="宋体"/>
          <w:color w:val="auto"/>
          <w:sz w:val="28"/>
          <w:szCs w:val="28"/>
          <w:highlight w:val="none"/>
          <w:lang w:val="en-US"/>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0990-6227739</w:t>
      </w:r>
      <w:r>
        <w:rPr>
          <w:rFonts w:hint="eastAsia" w:ascii="宋体" w:hAnsi="宋体" w:cs="宋体"/>
          <w:color w:val="auto"/>
          <w:kern w:val="0"/>
          <w:sz w:val="24"/>
          <w:highlight w:val="none"/>
          <w:lang w:eastAsia="zh-CN"/>
        </w:rPr>
        <w:t> </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highlight w:val="none"/>
          <w:lang w:val="en-US" w:eastAsia="zh-CN"/>
        </w:rPr>
        <w:t>15809905032</w:t>
      </w:r>
    </w:p>
    <w:p>
      <w:pPr>
        <w:spacing w:line="420" w:lineRule="exact"/>
        <w:ind w:firstLine="480" w:firstLineChars="200"/>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bookmarkStart w:id="35" w:name="_Toc17277_WPSOffice_Level1"/>
    </w:p>
    <w:p>
      <w:pPr>
        <w:jc w:val="center"/>
        <w:rPr>
          <w:rFonts w:ascii="宋体" w:hAnsi="宋体" w:cs="宋体"/>
          <w:b/>
          <w:bCs/>
          <w:color w:val="auto"/>
          <w:sz w:val="30"/>
          <w:szCs w:val="30"/>
          <w:highlight w:val="none"/>
        </w:rPr>
      </w:pPr>
    </w:p>
    <w:p>
      <w:pPr>
        <w:pStyle w:val="2"/>
        <w:rPr>
          <w:rFonts w:ascii="宋体" w:hAnsi="宋体" w:cs="宋体"/>
          <w:b/>
          <w:bCs/>
          <w:color w:val="auto"/>
          <w:sz w:val="30"/>
          <w:szCs w:val="30"/>
          <w:highlight w:val="none"/>
        </w:rPr>
      </w:pPr>
    </w:p>
    <w:p>
      <w:pPr>
        <w:rPr>
          <w:rFonts w:ascii="宋体" w:hAnsi="宋体" w:cs="宋体"/>
          <w:b/>
          <w:bCs/>
          <w:color w:val="auto"/>
          <w:sz w:val="30"/>
          <w:szCs w:val="30"/>
          <w:highlight w:val="none"/>
        </w:rPr>
      </w:pPr>
    </w:p>
    <w:p>
      <w:pPr>
        <w:pStyle w:val="2"/>
        <w:rPr>
          <w:rFonts w:ascii="宋体" w:hAnsi="宋体" w:cs="宋体"/>
          <w:b/>
          <w:bCs/>
          <w:color w:val="auto"/>
          <w:sz w:val="30"/>
          <w:szCs w:val="30"/>
          <w:highlight w:val="none"/>
        </w:rPr>
      </w:pPr>
    </w:p>
    <w:p>
      <w:pPr>
        <w:rPr>
          <w:rFonts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第二章 供应商须知</w:t>
      </w:r>
      <w:bookmarkEnd w:id="35"/>
    </w:p>
    <w:p>
      <w:pPr>
        <w:spacing w:line="400" w:lineRule="exact"/>
        <w:jc w:val="center"/>
        <w:rPr>
          <w:rFonts w:ascii="宋体" w:hAnsi="宋体" w:cs="宋体"/>
          <w:b/>
          <w:color w:val="auto"/>
          <w:sz w:val="28"/>
          <w:szCs w:val="28"/>
          <w:highlight w:val="none"/>
        </w:rPr>
      </w:pPr>
      <w:bookmarkStart w:id="36" w:name="_Toc19876_WPSOffice_Level1"/>
      <w:r>
        <w:rPr>
          <w:rFonts w:hint="eastAsia" w:ascii="宋体" w:hAnsi="宋体" w:cs="宋体"/>
          <w:b/>
          <w:color w:val="auto"/>
          <w:sz w:val="28"/>
          <w:szCs w:val="28"/>
          <w:highlight w:val="none"/>
        </w:rPr>
        <w:t>前附表</w:t>
      </w:r>
      <w:bookmarkEnd w:id="36"/>
    </w:p>
    <w:tbl>
      <w:tblPr>
        <w:tblStyle w:val="2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1"/>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bookmarkStart w:id="37" w:name="_Toc14014_WPSOffice_Level1"/>
            <w:r>
              <w:rPr>
                <w:rStyle w:val="29"/>
                <w:rFonts w:hint="eastAsia" w:ascii="宋体" w:hAnsi="宋体" w:eastAsia="宋体" w:cs="宋体"/>
                <w:b w:val="0"/>
                <w:bCs/>
                <w:color w:val="auto"/>
                <w:sz w:val="24"/>
                <w:szCs w:val="24"/>
                <w:highlight w:val="none"/>
              </w:rPr>
              <w:t>项号</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名称</w:t>
            </w:r>
          </w:p>
        </w:tc>
        <w:tc>
          <w:tcPr>
            <w:tcW w:w="7823"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项目名称、</w:t>
            </w:r>
            <w:r>
              <w:rPr>
                <w:rStyle w:val="29"/>
                <w:rFonts w:hint="eastAsia" w:ascii="宋体" w:hAnsi="宋体" w:eastAsia="宋体" w:cs="宋体"/>
                <w:b/>
                <w:bCs w:val="0"/>
                <w:color w:val="auto"/>
                <w:sz w:val="24"/>
                <w:szCs w:val="24"/>
                <w:highlight w:val="none"/>
                <w:lang w:val="en-US" w:eastAsia="zh-CN"/>
              </w:rPr>
              <w:t>编号</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克拉玛依市克拉玛依区人民政府胜利路街道办事处食堂外包服务</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采购文件编号</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2</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采购人信息</w:t>
            </w:r>
          </w:p>
        </w:tc>
        <w:tc>
          <w:tcPr>
            <w:tcW w:w="7823" w:type="dxa"/>
            <w:noWrap w:val="0"/>
            <w:vAlign w:val="top"/>
          </w:tcPr>
          <w:p>
            <w:pPr>
              <w:pStyle w:val="22"/>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克拉玛依市克拉玛依区人民政府胜利路街道办事处</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克拉玛依市准噶尔路39号</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联系人：</w:t>
            </w:r>
            <w:r>
              <w:rPr>
                <w:rStyle w:val="29"/>
                <w:rFonts w:hint="eastAsia" w:cs="宋体"/>
                <w:b w:val="0"/>
                <w:bCs/>
                <w:color w:val="auto"/>
                <w:sz w:val="24"/>
                <w:szCs w:val="24"/>
                <w:highlight w:val="none"/>
                <w:lang w:eastAsia="zh-CN"/>
              </w:rPr>
              <w:t>郭伟</w:t>
            </w:r>
            <w:r>
              <w:rPr>
                <w:rStyle w:val="29"/>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3</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823" w:type="dxa"/>
            <w:noWrap w:val="0"/>
            <w:vAlign w:val="center"/>
          </w:tcPr>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1"/>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赵容萱</w:t>
            </w:r>
            <w:r>
              <w:rPr>
                <w:rFonts w:hint="eastAsia" w:hAnsi="宋体" w:cs="宋体"/>
                <w:bCs/>
                <w:color w:val="auto"/>
                <w:sz w:val="24"/>
                <w:szCs w:val="24"/>
                <w:highlight w:val="none"/>
                <w:lang w:val="en-US" w:eastAsia="zh-CN"/>
              </w:rPr>
              <w:t xml:space="preserve"> 蒙秋蓉</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15809905032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4</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lang w:eastAsia="zh-CN"/>
              </w:rPr>
              <w:t>响应文件</w:t>
            </w:r>
            <w:r>
              <w:rPr>
                <w:rStyle w:val="29"/>
                <w:rFonts w:hint="eastAsia" w:ascii="宋体" w:hAnsi="宋体" w:eastAsia="宋体" w:cs="宋体"/>
                <w:b/>
                <w:bCs w:val="0"/>
                <w:color w:val="auto"/>
                <w:sz w:val="24"/>
                <w:szCs w:val="24"/>
                <w:highlight w:val="none"/>
              </w:rPr>
              <w:t>有效期</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递交</w:t>
            </w:r>
            <w:r>
              <w:rPr>
                <w:rStyle w:val="29"/>
                <w:rFonts w:hint="eastAsia" w:ascii="宋体" w:hAnsi="宋体" w:eastAsia="宋体" w:cs="宋体"/>
                <w:b w:val="0"/>
                <w:bCs/>
                <w:color w:val="auto"/>
                <w:sz w:val="24"/>
                <w:szCs w:val="24"/>
                <w:highlight w:val="none"/>
                <w:lang w:eastAsia="zh-CN"/>
              </w:rPr>
              <w:t>响应文件</w:t>
            </w:r>
            <w:r>
              <w:rPr>
                <w:rStyle w:val="29"/>
                <w:rFonts w:hint="eastAsia" w:ascii="宋体" w:hAnsi="宋体" w:eastAsia="宋体" w:cs="宋体"/>
                <w:b w:val="0"/>
                <w:bCs/>
                <w:color w:val="auto"/>
                <w:sz w:val="24"/>
                <w:szCs w:val="24"/>
                <w:highlight w:val="none"/>
              </w:rPr>
              <w:t>截止之日起</w:t>
            </w:r>
            <w:r>
              <w:rPr>
                <w:rStyle w:val="29"/>
                <w:rFonts w:hint="eastAsia" w:ascii="宋体" w:hAnsi="宋体" w:eastAsia="宋体" w:cs="宋体"/>
                <w:b w:val="0"/>
                <w:bCs/>
                <w:color w:val="auto"/>
                <w:sz w:val="24"/>
                <w:szCs w:val="24"/>
                <w:highlight w:val="none"/>
                <w:lang w:val="en-US" w:eastAsia="zh-CN"/>
              </w:rPr>
              <w:t>9</w:t>
            </w:r>
            <w:r>
              <w:rPr>
                <w:rStyle w:val="29"/>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5</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项目采购范围</w:t>
            </w:r>
          </w:p>
        </w:tc>
        <w:tc>
          <w:tcPr>
            <w:tcW w:w="7823" w:type="dxa"/>
            <w:noWrap w:val="0"/>
            <w:vAlign w:val="center"/>
          </w:tcPr>
          <w:p>
            <w:pPr>
              <w:pStyle w:val="22"/>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b w:val="0"/>
                <w:bCs w:val="0"/>
                <w:color w:val="auto"/>
                <w:sz w:val="24"/>
                <w:szCs w:val="24"/>
                <w:u w:val="none"/>
                <w:lang w:val="en-US" w:eastAsia="zh-CN"/>
              </w:rPr>
              <w:t>完成胜利路街道办事处食堂外包服务采购项目包含的全部内容，本次采购涉及胜利路街道机关、部分社区食堂，供应商需根据采购人实际需求提供餐食供应配送、线下堂食等服务。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6</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cs="宋体"/>
                <w:b/>
                <w:bCs w:val="0"/>
                <w:color w:val="auto"/>
                <w:sz w:val="24"/>
                <w:szCs w:val="24"/>
                <w:highlight w:val="none"/>
                <w:lang w:val="en-US" w:eastAsia="zh-CN"/>
              </w:rPr>
              <w:t>服务</w:t>
            </w:r>
            <w:r>
              <w:rPr>
                <w:rStyle w:val="29"/>
                <w:rFonts w:hint="eastAsia" w:ascii="宋体" w:hAnsi="宋体" w:eastAsia="宋体" w:cs="宋体"/>
                <w:b/>
                <w:bCs w:val="0"/>
                <w:color w:val="auto"/>
                <w:sz w:val="24"/>
                <w:szCs w:val="24"/>
                <w:highlight w:val="none"/>
                <w:lang w:val="en-US" w:eastAsia="zh-CN"/>
              </w:rPr>
              <w:t>期</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cs="宋体"/>
                <w:b w:val="0"/>
                <w:bCs/>
                <w:color w:val="auto"/>
                <w:sz w:val="24"/>
                <w:szCs w:val="24"/>
                <w:highlight w:val="none"/>
                <w:lang w:val="en-US" w:eastAsia="zh-CN"/>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7</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项目采购需求</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详见第三章</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eastAsia="zh-CN"/>
              </w:rPr>
              <w:t>项目采购需求</w:t>
            </w:r>
            <w:r>
              <w:rPr>
                <w:rStyle w:val="29"/>
                <w:rFonts w:hint="eastAsia"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8</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资格要求</w:t>
            </w:r>
          </w:p>
        </w:tc>
        <w:tc>
          <w:tcPr>
            <w:tcW w:w="7823"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r>
              <w:rPr>
                <w:rFonts w:hint="default" w:ascii="宋体" w:hAnsi="宋体" w:cs="宋体"/>
                <w:bCs/>
                <w:color w:val="auto"/>
                <w:kern w:val="0"/>
                <w:sz w:val="24"/>
                <w:szCs w:val="22"/>
                <w:highlight w:val="none"/>
                <w:lang w:eastAsia="zh-CN"/>
              </w:rPr>
              <w:t>供应商为中小微企业</w:t>
            </w:r>
            <w:r>
              <w:rPr>
                <w:rFonts w:hint="eastAsia" w:ascii="宋体" w:hAnsi="宋体" w:eastAsia="宋体" w:cs="宋体"/>
                <w:bCs/>
                <w:color w:val="auto"/>
                <w:kern w:val="0"/>
                <w:sz w:val="24"/>
                <w:szCs w:val="22"/>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.本项目的特定资格要求：具有在有效期内的《食品经营许可证》</w:t>
            </w:r>
            <w:r>
              <w:rPr>
                <w:rFonts w:hint="eastAsia" w:ascii="宋体" w:hAnsi="宋体" w:cs="宋体"/>
                <w:bCs/>
                <w:color w:val="auto"/>
                <w:kern w:val="0"/>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9</w:t>
            </w:r>
          </w:p>
        </w:tc>
        <w:tc>
          <w:tcPr>
            <w:tcW w:w="1481" w:type="dxa"/>
            <w:noWrap w:val="0"/>
            <w:vAlign w:val="center"/>
          </w:tcPr>
          <w:p>
            <w:pPr>
              <w:widowControl/>
              <w:spacing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投标截止时间（开标时间）</w:t>
            </w:r>
          </w:p>
        </w:tc>
        <w:tc>
          <w:tcPr>
            <w:tcW w:w="7823" w:type="dxa"/>
            <w:noWrap w:val="0"/>
            <w:vAlign w:val="center"/>
          </w:tcPr>
          <w:p>
            <w:pPr>
              <w:widowControl/>
              <w:spacing w:line="360" w:lineRule="auto"/>
              <w:rPr>
                <w:rStyle w:val="29"/>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kern w:val="0"/>
                <w:sz w:val="24"/>
                <w:szCs w:val="24"/>
                <w:highlight w:val="none"/>
                <w:lang w:val="en-US" w:eastAsia="zh-CN" w:bidi="ar-SA"/>
              </w:rPr>
              <w:t>截止时间：202</w:t>
            </w:r>
            <w:r>
              <w:rPr>
                <w:rStyle w:val="29"/>
                <w:rFonts w:hint="eastAsia" w:ascii="宋体" w:hAnsi="宋体" w:cs="宋体"/>
                <w:b w:val="0"/>
                <w:bCs/>
                <w:color w:val="auto"/>
                <w:kern w:val="0"/>
                <w:sz w:val="24"/>
                <w:szCs w:val="24"/>
                <w:highlight w:val="none"/>
                <w:lang w:val="en-US" w:eastAsia="zh-CN" w:bidi="ar-SA"/>
              </w:rPr>
              <w:t>3</w:t>
            </w:r>
            <w:r>
              <w:rPr>
                <w:rStyle w:val="29"/>
                <w:rFonts w:hint="eastAsia" w:ascii="宋体" w:hAnsi="宋体" w:eastAsia="宋体" w:cs="宋体"/>
                <w:b w:val="0"/>
                <w:bCs/>
                <w:color w:val="auto"/>
                <w:kern w:val="0"/>
                <w:sz w:val="24"/>
                <w:szCs w:val="24"/>
                <w:highlight w:val="none"/>
                <w:lang w:val="en-US" w:eastAsia="zh-CN" w:bidi="ar-SA"/>
              </w:rPr>
              <w:t xml:space="preserve">年 </w:t>
            </w:r>
            <w:r>
              <w:rPr>
                <w:rStyle w:val="29"/>
                <w:rFonts w:hint="eastAsia" w:ascii="宋体" w:hAnsi="宋体" w:cs="宋体"/>
                <w:b w:val="0"/>
                <w:bCs/>
                <w:color w:val="auto"/>
                <w:kern w:val="0"/>
                <w:sz w:val="24"/>
                <w:szCs w:val="24"/>
                <w:highlight w:val="none"/>
                <w:lang w:val="en-US" w:eastAsia="zh-CN" w:bidi="ar-SA"/>
              </w:rPr>
              <w:t>6</w:t>
            </w:r>
            <w:r>
              <w:rPr>
                <w:rStyle w:val="29"/>
                <w:rFonts w:hint="eastAsia" w:ascii="宋体" w:hAnsi="宋体" w:eastAsia="宋体" w:cs="宋体"/>
                <w:b w:val="0"/>
                <w:bCs/>
                <w:color w:val="auto"/>
                <w:kern w:val="0"/>
                <w:sz w:val="24"/>
                <w:szCs w:val="24"/>
                <w:highlight w:val="none"/>
                <w:lang w:val="en-US" w:eastAsia="zh-CN" w:bidi="ar-SA"/>
              </w:rPr>
              <w:t xml:space="preserve"> 月</w:t>
            </w:r>
            <w:r>
              <w:rPr>
                <w:rStyle w:val="29"/>
                <w:rFonts w:hint="default" w:ascii="宋体" w:hAnsi="宋体" w:cs="宋体"/>
                <w:b w:val="0"/>
                <w:bCs/>
                <w:color w:val="auto"/>
                <w:kern w:val="0"/>
                <w:sz w:val="24"/>
                <w:szCs w:val="24"/>
                <w:highlight w:val="none"/>
                <w:lang w:eastAsia="zh-CN" w:bidi="ar-SA"/>
              </w:rPr>
              <w:t>12</w:t>
            </w:r>
            <w:r>
              <w:rPr>
                <w:rStyle w:val="29"/>
                <w:rFonts w:hint="eastAsia" w:ascii="宋体" w:hAnsi="宋体" w:eastAsia="宋体" w:cs="宋体"/>
                <w:b w:val="0"/>
                <w:bCs/>
                <w:color w:val="auto"/>
                <w:kern w:val="0"/>
                <w:sz w:val="24"/>
                <w:szCs w:val="24"/>
                <w:highlight w:val="none"/>
                <w:lang w:val="en-US" w:eastAsia="zh-CN" w:bidi="ar-SA"/>
              </w:rPr>
              <w:t>日</w:t>
            </w:r>
            <w:r>
              <w:rPr>
                <w:rStyle w:val="29"/>
                <w:rFonts w:hint="eastAsia" w:ascii="宋体" w:hAnsi="宋体" w:cs="宋体"/>
                <w:b w:val="0"/>
                <w:bCs/>
                <w:color w:val="auto"/>
                <w:kern w:val="0"/>
                <w:sz w:val="24"/>
                <w:szCs w:val="24"/>
                <w:highlight w:val="none"/>
                <w:lang w:val="en-US" w:eastAsia="zh-CN" w:bidi="ar-SA"/>
              </w:rPr>
              <w:t>1</w:t>
            </w:r>
            <w:r>
              <w:rPr>
                <w:rStyle w:val="29"/>
                <w:rFonts w:hint="default" w:ascii="宋体" w:hAnsi="宋体" w:cs="宋体"/>
                <w:b w:val="0"/>
                <w:bCs/>
                <w:color w:val="auto"/>
                <w:kern w:val="0"/>
                <w:sz w:val="24"/>
                <w:szCs w:val="24"/>
                <w:highlight w:val="none"/>
                <w:lang w:eastAsia="zh-CN" w:bidi="ar-SA"/>
              </w:rPr>
              <w:t>0</w:t>
            </w:r>
            <w:r>
              <w:rPr>
                <w:rStyle w:val="29"/>
                <w:rFonts w:hint="eastAsia" w:ascii="宋体" w:hAnsi="宋体" w:eastAsia="宋体" w:cs="宋体"/>
                <w:b w:val="0"/>
                <w:bCs/>
                <w:color w:val="auto"/>
                <w:kern w:val="0"/>
                <w:sz w:val="24"/>
                <w:szCs w:val="24"/>
                <w:highlight w:val="none"/>
                <w:lang w:val="en-US" w:eastAsia="zh-CN" w:bidi="ar-SA"/>
              </w:rPr>
              <w:t>时</w:t>
            </w:r>
            <w:r>
              <w:rPr>
                <w:rStyle w:val="29"/>
                <w:rFonts w:hint="eastAsia" w:ascii="宋体" w:hAnsi="宋体" w:cs="宋体"/>
                <w:b w:val="0"/>
                <w:bCs/>
                <w:color w:val="auto"/>
                <w:kern w:val="0"/>
                <w:sz w:val="24"/>
                <w:szCs w:val="24"/>
                <w:highlight w:val="none"/>
                <w:lang w:val="en-US" w:eastAsia="zh-CN" w:bidi="ar-SA"/>
              </w:rPr>
              <w:t>30</w:t>
            </w:r>
            <w:r>
              <w:rPr>
                <w:rStyle w:val="29"/>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10</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响应文件份数及要求</w:t>
            </w:r>
          </w:p>
        </w:tc>
        <w:tc>
          <w:tcPr>
            <w:tcW w:w="782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□采用见面开标：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default" w:hAnsi="宋体" w:cs="宋体"/>
                <w:b w:val="0"/>
                <w:bCs w:val="0"/>
                <w:color w:val="auto"/>
                <w:kern w:val="0"/>
                <w:sz w:val="24"/>
                <w:szCs w:val="24"/>
                <w:highlight w:val="none"/>
                <w:lang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包括：/</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sym w:font="Wingdings 2" w:char="0052"/>
            </w:r>
            <w:r>
              <w:rPr>
                <w:rStyle w:val="29"/>
                <w:rFonts w:hint="eastAsia" w:ascii="宋体" w:hAnsi="宋体" w:eastAsia="宋体" w:cs="宋体"/>
                <w:b w:val="0"/>
                <w:bCs w:val="0"/>
                <w:color w:val="auto"/>
                <w:kern w:val="0"/>
                <w:sz w:val="24"/>
                <w:szCs w:val="24"/>
                <w:highlight w:val="none"/>
                <w:lang w:val="en-US" w:eastAsia="zh-CN" w:bidi="ar-SA"/>
              </w:rPr>
              <w:t>采用不见面开标：</w:t>
            </w:r>
          </w:p>
          <w:p>
            <w:pPr>
              <w:pStyle w:val="11"/>
              <w:keepNext w:val="0"/>
              <w:keepLines w:val="0"/>
              <w:pageBreakBefore w:val="0"/>
              <w:kinsoku/>
              <w:overflowPunct/>
              <w:topLinePunct w:val="0"/>
              <w:bidi w:val="0"/>
              <w:adjustRightInd/>
              <w:snapToGrid w:val="0"/>
              <w:spacing w:line="336" w:lineRule="auto"/>
              <w:textAlignment w:val="auto"/>
              <w:rPr>
                <w:rStyle w:val="29"/>
                <w:rFonts w:hAnsi="宋体" w:cs="宋体"/>
                <w:b w:val="0"/>
                <w:color w:val="auto"/>
                <w:kern w:val="0"/>
                <w:sz w:val="24"/>
                <w:szCs w:val="24"/>
                <w:highlight w:val="none"/>
              </w:rPr>
            </w:pPr>
            <w:r>
              <w:rPr>
                <w:rStyle w:val="29"/>
                <w:rFonts w:hint="eastAsia" w:hAnsi="宋体" w:cs="宋体"/>
                <w:b w:val="0"/>
                <w:color w:val="auto"/>
                <w:kern w:val="0"/>
                <w:sz w:val="24"/>
                <w:szCs w:val="24"/>
                <w:highlight w:val="none"/>
              </w:rPr>
              <w:t>1.一份电子加密标书（“.jmbs”格式），一份备份标书文件（“.bfbs”格式）。</w:t>
            </w:r>
          </w:p>
          <w:p>
            <w:pPr>
              <w:keepNext w:val="0"/>
              <w:keepLines w:val="0"/>
              <w:pageBreakBefore w:val="0"/>
              <w:widowControl/>
              <w:kinsoku/>
              <w:overflowPunct/>
              <w:topLinePunct w:val="0"/>
              <w:autoSpaceDE w:val="0"/>
              <w:autoSpaceDN w:val="0"/>
              <w:bidi w:val="0"/>
              <w:adjustRightInd/>
              <w:spacing w:line="336" w:lineRule="auto"/>
              <w:jc w:val="left"/>
              <w:textAlignment w:val="auto"/>
              <w:rPr>
                <w:rStyle w:val="29"/>
                <w:rFonts w:ascii="宋体" w:hAnsi="宋体" w:cs="宋体"/>
                <w:b w:val="0"/>
                <w:color w:val="auto"/>
                <w:kern w:val="0"/>
                <w:sz w:val="24"/>
                <w:highlight w:val="none"/>
              </w:rPr>
            </w:pPr>
            <w:r>
              <w:rPr>
                <w:rStyle w:val="29"/>
                <w:rFonts w:hint="eastAsia" w:ascii="宋体" w:hAnsi="宋体" w:cs="宋体"/>
                <w:b w:val="0"/>
                <w:color w:val="auto"/>
                <w:kern w:val="0"/>
                <w:sz w:val="24"/>
                <w:highlight w:val="none"/>
              </w:rPr>
              <w:t>2.每份电子响应文件应包括资格证明文件、报价文件和商务及技术文件三部分。</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4.参与“不见面”开标的供应商或其委托代理机构、供应商等各交易主体，应当按照规定使用CA数字证书及电子签章。各方主体在系统中所有操作均具有法律效力，并承担法律责任。</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5.供应商由于数字证书遗失、损坏、更换、续期等情况导致响应文件无法解密，由供应商自行承担责任。</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pStyle w:val="21"/>
              <w:spacing w:line="360" w:lineRule="auto"/>
              <w:rPr>
                <w:rFonts w:hint="eastAsia"/>
                <w:color w:val="auto"/>
                <w:highlight w:val="none"/>
              </w:rPr>
            </w:pPr>
            <w:r>
              <w:rPr>
                <w:rFonts w:hint="eastAsia" w:ascii="宋体" w:hAnsi="宋体" w:cs="宋体"/>
                <w:bCs/>
                <w:color w:val="auto"/>
                <w:kern w:val="0"/>
                <w:sz w:val="24"/>
                <w:highlight w:val="none"/>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响应文件的上传和递交</w:t>
            </w:r>
          </w:p>
        </w:tc>
        <w:tc>
          <w:tcPr>
            <w:tcW w:w="7823" w:type="dxa"/>
            <w:noWrap w:val="0"/>
            <w:vAlign w:val="center"/>
          </w:tcPr>
          <w:p>
            <w:pPr>
              <w:pStyle w:val="11"/>
              <w:keepNext w:val="0"/>
              <w:keepLines w:val="0"/>
              <w:pageBreakBefore w:val="0"/>
              <w:kinsoku/>
              <w:overflowPunct/>
              <w:topLinePunct w:val="0"/>
              <w:bidi w:val="0"/>
              <w:adjustRightInd/>
              <w:snapToGrid w:val="0"/>
              <w:spacing w:line="336" w:lineRule="auto"/>
              <w:textAlignment w:val="auto"/>
              <w:rPr>
                <w:rFonts w:hAnsi="宋体" w:cs="宋体"/>
                <w:color w:val="auto"/>
                <w:sz w:val="24"/>
                <w:szCs w:val="24"/>
                <w:highlight w:val="none"/>
              </w:rPr>
            </w:pPr>
            <w:r>
              <w:rPr>
                <w:rFonts w:hint="eastAsia"/>
                <w:color w:val="auto"/>
                <w:sz w:val="24"/>
                <w:szCs w:val="24"/>
                <w:highlight w:val="none"/>
              </w:rPr>
              <w:t>1、电子加密响应文件</w:t>
            </w:r>
          </w:p>
          <w:p>
            <w:pPr>
              <w:pStyle w:val="11"/>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①响应文件制作完成并生成加密标书，在投标截止时间前，供应商需将加密的响应文件上传至政采云平台。</w:t>
            </w:r>
          </w:p>
          <w:p>
            <w:pPr>
              <w:pStyle w:val="11"/>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②供应商未能在投标截止时间前成功上传电子加密响应文件的投标无效。</w:t>
            </w:r>
          </w:p>
          <w:p>
            <w:pPr>
              <w:pStyle w:val="11"/>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③供应商成功上传电子加密响应文件后，可自行打印响应文件接收回执。</w:t>
            </w:r>
          </w:p>
          <w:p>
            <w:pPr>
              <w:pStyle w:val="11"/>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2、备份响应文件</w:t>
            </w:r>
          </w:p>
          <w:p>
            <w:pPr>
              <w:pStyle w:val="11"/>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①供应商在投标截止时间前将加密的响应文件上传至政府采购云平台，还可以在投标截止时间前以电子邮件方式提供备份响应文件1份（接收人邮箱：</w:t>
            </w:r>
            <w:r>
              <w:rPr>
                <w:color w:val="auto"/>
                <w:sz w:val="24"/>
                <w:szCs w:val="24"/>
                <w:highlight w:val="none"/>
              </w:rPr>
              <w:t>1225783619</w:t>
            </w:r>
            <w:r>
              <w:rPr>
                <w:rFonts w:hint="eastAsia"/>
                <w:color w:val="auto"/>
                <w:sz w:val="24"/>
                <w:szCs w:val="24"/>
                <w:highlight w:val="none"/>
              </w:rPr>
              <w:t>@qq.com，接收人：</w:t>
            </w:r>
            <w:r>
              <w:rPr>
                <w:rFonts w:hint="eastAsia"/>
                <w:color w:val="auto"/>
                <w:sz w:val="24"/>
                <w:szCs w:val="24"/>
                <w:highlight w:val="none"/>
                <w:lang w:eastAsia="zh-Hans"/>
              </w:rPr>
              <w:t>赵容萱</w:t>
            </w:r>
            <w:r>
              <w:rPr>
                <w:rFonts w:hint="eastAsia"/>
                <w:color w:val="auto"/>
                <w:sz w:val="24"/>
                <w:szCs w:val="24"/>
                <w:highlight w:val="none"/>
              </w:rPr>
              <w:t>，电话：</w:t>
            </w:r>
            <w:r>
              <w:rPr>
                <w:color w:val="auto"/>
                <w:sz w:val="24"/>
                <w:szCs w:val="24"/>
                <w:highlight w:val="none"/>
              </w:rPr>
              <w:t>15809905032</w:t>
            </w:r>
            <w:r>
              <w:rPr>
                <w:rFonts w:hint="eastAsia"/>
                <w:color w:val="auto"/>
                <w:sz w:val="24"/>
                <w:szCs w:val="24"/>
                <w:highlight w:val="none"/>
              </w:rPr>
              <w:t>），“备份响应文件”由供应商自愿提供，采购文件不作强制性要求</w:t>
            </w:r>
            <w:r>
              <w:rPr>
                <w:rFonts w:hint="eastAsia"/>
                <w:color w:val="auto"/>
                <w:sz w:val="24"/>
                <w:szCs w:val="24"/>
                <w:highlight w:val="none"/>
                <w:lang w:eastAsia="zh-CN"/>
              </w:rPr>
              <w:t>，不会因此</w:t>
            </w:r>
            <w:r>
              <w:rPr>
                <w:rFonts w:hint="eastAsia"/>
                <w:color w:val="auto"/>
                <w:sz w:val="24"/>
                <w:szCs w:val="24"/>
                <w:highlight w:val="none"/>
              </w:rPr>
              <w:t>失去投标资格。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12</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823" w:type="dxa"/>
            <w:noWrap w:val="0"/>
            <w:vAlign w:val="center"/>
          </w:tcPr>
          <w:p>
            <w:pPr>
              <w:keepNext w:val="0"/>
              <w:keepLines w:val="0"/>
              <w:pageBreakBefore w:val="0"/>
              <w:kinsoku/>
              <w:overflowPunct/>
              <w:topLinePunct w:val="0"/>
              <w:bidi w:val="0"/>
              <w:adjustRightInd/>
              <w:snapToGrid w:val="0"/>
              <w:spacing w:line="336" w:lineRule="auto"/>
              <w:textAlignment w:val="auto"/>
              <w:rPr>
                <w:rStyle w:val="29"/>
                <w:rFonts w:cs="宋体"/>
                <w:bCs/>
                <w:color w:val="auto"/>
                <w:kern w:val="0"/>
                <w:sz w:val="24"/>
                <w:highlight w:val="none"/>
              </w:rPr>
            </w:pPr>
            <w:r>
              <w:rPr>
                <w:rStyle w:val="29"/>
                <w:rFonts w:hint="eastAsia" w:cs="宋体"/>
                <w:bCs/>
                <w:color w:val="auto"/>
                <w:kern w:val="0"/>
                <w:sz w:val="24"/>
                <w:highlight w:val="none"/>
                <w:lang w:val="en-US" w:eastAsia="zh-CN"/>
              </w:rPr>
              <w:t>1.</w:t>
            </w:r>
            <w:r>
              <w:rPr>
                <w:rStyle w:val="29"/>
                <w:rFonts w:hint="eastAsia" w:cs="宋体"/>
                <w:bCs/>
                <w:color w:val="auto"/>
                <w:kern w:val="0"/>
                <w:sz w:val="24"/>
                <w:highlight w:val="none"/>
              </w:rPr>
              <w:t>不见面开标默认解密时长：</w:t>
            </w:r>
            <w:r>
              <w:rPr>
                <w:rStyle w:val="29"/>
                <w:rFonts w:hint="eastAsia" w:cs="宋体"/>
                <w:bCs/>
                <w:color w:val="auto"/>
                <w:kern w:val="0"/>
                <w:sz w:val="24"/>
                <w:highlight w:val="none"/>
                <w:u w:val="single"/>
              </w:rPr>
              <w:t xml:space="preserve"> 30分钟 </w:t>
            </w:r>
            <w:r>
              <w:rPr>
                <w:rStyle w:val="29"/>
                <w:rFonts w:hint="eastAsia" w:cs="宋体"/>
                <w:bCs/>
                <w:color w:val="auto"/>
                <w:kern w:val="0"/>
                <w:sz w:val="24"/>
                <w:highlight w:val="none"/>
              </w:rPr>
              <w:t>供应商应在解密指令发出后招标（答疑）文件规定时间内完成解密。供应商未按规定完成解密，视为放弃投标。</w:t>
            </w:r>
          </w:p>
          <w:p>
            <w:pPr>
              <w:keepNext w:val="0"/>
              <w:keepLines w:val="0"/>
              <w:pageBreakBefore w:val="0"/>
              <w:kinsoku/>
              <w:overflowPunct/>
              <w:topLinePunct w:val="0"/>
              <w:bidi w:val="0"/>
              <w:adjustRightInd/>
              <w:snapToGrid w:val="0"/>
              <w:spacing w:line="336" w:lineRule="auto"/>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通过“政府采购云平台”上传递交的响应文件，因“政府采购云平台”系统问题无法按时解密，供应商提供了备份响应文件的，方可以备份响应文件为依据进行评审，其他因供应商原因导致无法解密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color w:val="auto"/>
                <w:sz w:val="24"/>
                <w:szCs w:val="24"/>
                <w:highlight w:val="none"/>
                <w:lang w:val="en-US" w:eastAsia="zh-CN"/>
              </w:rPr>
            </w:pPr>
            <w:r>
              <w:rPr>
                <w:rFonts w:hint="eastAsia" w:ascii="宋体" w:hAnsi="宋体" w:cs="宋体"/>
                <w:color w:val="auto"/>
                <w:sz w:val="24"/>
                <w:highlight w:val="none"/>
                <w:lang w:val="en-US" w:eastAsia="zh-CN"/>
              </w:rPr>
              <w:t>3.</w:t>
            </w:r>
            <w:r>
              <w:rPr>
                <w:rStyle w:val="29"/>
                <w:rFonts w:hint="eastAsia" w:cs="宋体"/>
                <w:bCs/>
                <w:color w:val="auto"/>
                <w:kern w:val="0"/>
                <w:sz w:val="24"/>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13</w:t>
            </w:r>
          </w:p>
        </w:tc>
        <w:tc>
          <w:tcPr>
            <w:tcW w:w="1481"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cs="宋体"/>
                <w:color w:val="auto"/>
                <w:sz w:val="24"/>
                <w:szCs w:val="24"/>
                <w:highlight w:val="none"/>
              </w:rPr>
            </w:pPr>
            <w:r>
              <w:rPr>
                <w:rStyle w:val="29"/>
                <w:rFonts w:hint="eastAsia" w:cs="宋体"/>
                <w:color w:val="auto"/>
                <w:sz w:val="24"/>
                <w:szCs w:val="24"/>
                <w:highlight w:val="none"/>
              </w:rPr>
              <w:t xml:space="preserve">专家评审小 </w:t>
            </w:r>
          </w:p>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ascii="宋体" w:hAnsi="宋体" w:eastAsia="宋体" w:cs="宋体"/>
                <w:b/>
                <w:bCs w:val="0"/>
                <w:color w:val="auto"/>
                <w:sz w:val="24"/>
                <w:szCs w:val="24"/>
                <w:highlight w:val="none"/>
                <w:lang w:eastAsia="zh-CN"/>
              </w:rPr>
            </w:pPr>
            <w:r>
              <w:rPr>
                <w:rStyle w:val="29"/>
                <w:rFonts w:hint="eastAsia" w:cs="宋体"/>
                <w:color w:val="auto"/>
                <w:sz w:val="24"/>
                <w:szCs w:val="24"/>
                <w:highlight w:val="none"/>
              </w:rPr>
              <w:t>组的组建</w:t>
            </w:r>
          </w:p>
        </w:tc>
        <w:tc>
          <w:tcPr>
            <w:tcW w:w="7823"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专家评审小组由采购代理机构依法组建；</w:t>
            </w:r>
          </w:p>
          <w:p>
            <w:pPr>
              <w:pStyle w:val="7"/>
              <w:keepNext w:val="0"/>
              <w:keepLines w:val="0"/>
              <w:pageBreakBefore w:val="0"/>
              <w:kinsoku/>
              <w:overflowPunct/>
              <w:topLinePunct w:val="0"/>
              <w:bidi w:val="0"/>
              <w:adjustRightInd/>
              <w:spacing w:line="336" w:lineRule="auto"/>
              <w:textAlignment w:val="auto"/>
              <w:rPr>
                <w:rStyle w:val="29"/>
                <w:rFonts w:hint="eastAsia" w:ascii="宋体" w:hAnsi="宋体" w:eastAsia="宋体" w:cs="宋体"/>
                <w:b w:val="0"/>
                <w:bCs/>
                <w:color w:val="auto"/>
                <w:sz w:val="24"/>
                <w:szCs w:val="24"/>
                <w:highlight w:val="none"/>
              </w:rPr>
            </w:pPr>
            <w:r>
              <w:rPr>
                <w:rStyle w:val="29"/>
                <w:rFonts w:hint="eastAsia" w:ascii="宋体" w:hAnsi="宋体" w:cs="宋体"/>
                <w:b w:val="0"/>
                <w:bCs/>
                <w:color w:val="auto"/>
                <w:sz w:val="24"/>
                <w:highlight w:val="none"/>
              </w:rPr>
              <w:t>评</w:t>
            </w:r>
            <w:r>
              <w:rPr>
                <w:rStyle w:val="29"/>
                <w:rFonts w:hint="eastAsia" w:cs="宋体"/>
                <w:b w:val="0"/>
                <w:bCs/>
                <w:color w:val="auto"/>
                <w:kern w:val="0"/>
                <w:sz w:val="24"/>
                <w:highlight w:val="none"/>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14</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823" w:type="dxa"/>
            <w:noWrap w:val="0"/>
            <w:vAlign w:val="center"/>
          </w:tcPr>
          <w:p>
            <w:pPr>
              <w:widowControl/>
              <w:spacing w:line="360" w:lineRule="auto"/>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15</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823"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w:t>
            </w:r>
            <w:r>
              <w:rPr>
                <w:rFonts w:hint="default" w:ascii="宋体" w:hAnsi="宋体" w:cs="宋体"/>
                <w:b/>
                <w:bCs/>
                <w:color w:val="auto"/>
                <w:kern w:val="0"/>
                <w:sz w:val="24"/>
                <w:szCs w:val="24"/>
                <w:highlight w:val="none"/>
                <w:lang w:eastAsia="zh-CN"/>
              </w:rPr>
              <w:t>12</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default" w:ascii="宋体" w:hAnsi="宋体" w:cs="宋体"/>
                <w:b/>
                <w:bCs/>
                <w:color w:val="auto"/>
                <w:kern w:val="0"/>
                <w:sz w:val="24"/>
                <w:szCs w:val="24"/>
                <w:highlight w:val="none"/>
                <w:lang w:eastAsia="zh-CN"/>
              </w:rPr>
              <w:t>0</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29"/>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rPr>
              <w:t>1</w:t>
            </w:r>
            <w:r>
              <w:rPr>
                <w:rStyle w:val="29"/>
                <w:rFonts w:cs="宋体"/>
                <w:color w:val="auto"/>
                <w:sz w:val="24"/>
                <w:szCs w:val="24"/>
                <w:highlight w:val="none"/>
              </w:rPr>
              <w:t>6</w:t>
            </w:r>
          </w:p>
        </w:tc>
        <w:tc>
          <w:tcPr>
            <w:tcW w:w="1481" w:type="dxa"/>
            <w:noWrap w:val="0"/>
            <w:vAlign w:val="center"/>
          </w:tcPr>
          <w:p>
            <w:pPr>
              <w:keepNext w:val="0"/>
              <w:keepLines w:val="0"/>
              <w:pageBreakBefore w:val="0"/>
              <w:widowControl/>
              <w:kinsoku/>
              <w:overflowPunct/>
              <w:topLinePunct w:val="0"/>
              <w:bidi w:val="0"/>
              <w:adjustRightInd/>
              <w:spacing w:line="336" w:lineRule="auto"/>
              <w:jc w:val="center"/>
              <w:textAlignment w:val="auto"/>
              <w:rPr>
                <w:rFonts w:hint="eastAsia" w:ascii="宋体" w:hAnsi="宋体" w:eastAsia="宋体" w:cs="宋体"/>
                <w:b/>
                <w:bCs w:val="0"/>
                <w:color w:val="auto"/>
                <w:sz w:val="24"/>
                <w:szCs w:val="24"/>
                <w:highlight w:val="none"/>
              </w:rPr>
            </w:pPr>
            <w:r>
              <w:rPr>
                <w:rFonts w:hint="eastAsia" w:ascii="宋体" w:hAnsi="宋体" w:cs="宋体"/>
                <w:b/>
                <w:color w:val="auto"/>
                <w:sz w:val="24"/>
                <w:highlight w:val="none"/>
              </w:rPr>
              <w:t>评审方法</w:t>
            </w:r>
          </w:p>
        </w:tc>
        <w:tc>
          <w:tcPr>
            <w:tcW w:w="7823" w:type="dxa"/>
            <w:noWrap w:val="0"/>
            <w:vAlign w:val="center"/>
          </w:tcPr>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 xml:space="preserve">资格后审         </w:t>
            </w: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资格预审</w:t>
            </w:r>
          </w:p>
          <w:p>
            <w:pPr>
              <w:keepNext w:val="0"/>
              <w:keepLines w:val="0"/>
              <w:pageBreakBefore w:val="0"/>
              <w:widowControl/>
              <w:kinsoku/>
              <w:overflowPunct/>
              <w:topLinePunct w:val="0"/>
              <w:bidi w:val="0"/>
              <w:adjustRightInd/>
              <w:spacing w:line="336" w:lineRule="auto"/>
              <w:jc w:val="left"/>
              <w:textAlignment w:val="auto"/>
              <w:rPr>
                <w:rFonts w:hint="eastAsia" w:ascii="宋体" w:hAnsi="宋体" w:eastAsia="宋体" w:cs="宋体"/>
                <w:color w:val="auto"/>
                <w:sz w:val="24"/>
                <w:szCs w:val="24"/>
                <w:highlight w:val="none"/>
              </w:rPr>
            </w:pPr>
            <w:r>
              <w:rPr>
                <w:rFonts w:hint="eastAsia" w:ascii="宋体" w:hAnsi="宋体"/>
                <w:bCs/>
                <w:color w:val="auto"/>
                <w:kern w:val="0"/>
                <w:sz w:val="24"/>
                <w:szCs w:val="22"/>
                <w:highlight w:val="none"/>
              </w:rPr>
              <w:sym w:font="Wingdings 2" w:char="0052"/>
            </w:r>
            <w:r>
              <w:rPr>
                <w:rFonts w:hint="eastAsia" w:ascii="宋体" w:hAnsi="宋体"/>
                <w:bCs/>
                <w:color w:val="auto"/>
                <w:kern w:val="0"/>
                <w:sz w:val="24"/>
                <w:szCs w:val="22"/>
                <w:highlight w:val="none"/>
              </w:rPr>
              <w:t xml:space="preserve">综合评分法       </w:t>
            </w:r>
            <w:r>
              <w:rPr>
                <w:rFonts w:hint="eastAsia" w:ascii="宋体" w:hAnsi="宋体"/>
                <w:bCs/>
                <w:color w:val="auto"/>
                <w:kern w:val="0"/>
                <w:sz w:val="24"/>
                <w:szCs w:val="22"/>
                <w:highlight w:val="none"/>
              </w:rPr>
              <w:sym w:font="Wingdings 2" w:char="00A3"/>
            </w:r>
            <w:r>
              <w:rPr>
                <w:rFonts w:hint="eastAsia" w:ascii="宋体" w:hAnsi="宋体"/>
                <w:bCs/>
                <w:color w:val="auto"/>
                <w:kern w:val="0"/>
                <w:sz w:val="24"/>
                <w:szCs w:val="22"/>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17</w:t>
            </w:r>
          </w:p>
        </w:tc>
        <w:tc>
          <w:tcPr>
            <w:tcW w:w="1481" w:type="dxa"/>
            <w:noWrap w:val="0"/>
            <w:vAlign w:val="center"/>
          </w:tcPr>
          <w:p>
            <w:pPr>
              <w:widowControl w:val="0"/>
              <w:adjustRightInd w:val="0"/>
              <w:snapToGrid w:val="0"/>
              <w:spacing w:line="276"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rPr>
              <w:t>开标前答疑会或现场考察</w:t>
            </w:r>
          </w:p>
        </w:tc>
        <w:tc>
          <w:tcPr>
            <w:tcW w:w="7823"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☑A不组织。</w:t>
            </w:r>
          </w:p>
          <w:p>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☐B组织，时间：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18</w:t>
            </w:r>
          </w:p>
        </w:tc>
        <w:tc>
          <w:tcPr>
            <w:tcW w:w="1481" w:type="dxa"/>
            <w:noWrap w:val="0"/>
            <w:vAlign w:val="center"/>
          </w:tcPr>
          <w:p>
            <w:pPr>
              <w:keepNext w:val="0"/>
              <w:keepLines w:val="0"/>
              <w:widowControl/>
              <w:suppressLineNumbers w:val="0"/>
              <w:spacing w:before="75" w:beforeAutospacing="0" w:after="75" w:afterAutospacing="0"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样品或演示</w:t>
            </w:r>
          </w:p>
        </w:tc>
        <w:tc>
          <w:tcPr>
            <w:tcW w:w="7823" w:type="dxa"/>
            <w:noWrap w:val="0"/>
            <w:vAlign w:val="center"/>
          </w:tcPr>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宋体"/>
                <w:b w:val="0"/>
                <w:bCs w:val="0"/>
                <w:color w:val="auto"/>
                <w:kern w:val="2"/>
                <w:sz w:val="24"/>
                <w:szCs w:val="24"/>
                <w:highlight w:val="none"/>
                <w:lang w:val="en-US" w:eastAsia="zh-CN" w:bidi="ar-SA"/>
              </w:rPr>
              <w:t xml:space="preserve">不需要提供样品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 xml:space="preserve">需要提供样品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1、递交样品的截止时间：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时（北京时间） </w:t>
            </w:r>
          </w:p>
          <w:p>
            <w:pPr>
              <w:spacing w:line="360" w:lineRule="auto"/>
              <w:ind w:firstLine="480" w:firstLineChars="200"/>
              <w:rPr>
                <w:rFonts w:hint="default" w:ascii="宋体" w:hAnsi="宋体" w:eastAsia="宋体" w:cs="宋体"/>
                <w:b w:val="0"/>
                <w:bCs w:val="0"/>
                <w:strike/>
                <w:dstrike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递交样品地点：</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递交样品联系人：</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递交样品联系电话：</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2、样品制作的标准和要求：</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3、随样品提交相关检测内容要求：</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宋体"/>
                <w:b w:val="0"/>
                <w:bCs w:val="0"/>
                <w:color w:val="auto"/>
                <w:kern w:val="2"/>
                <w:sz w:val="24"/>
                <w:szCs w:val="24"/>
                <w:highlight w:val="none"/>
                <w:lang w:val="en-US" w:eastAsia="zh-CN" w:bidi="ar-SA"/>
              </w:rPr>
              <w:t xml:space="preserve">不需要提供演示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 xml:space="preserve">需要提供演示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1、演示时间：</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演示地点：</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演示顺序：</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2、演示要求：</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color w:val="auto"/>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19</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823" w:type="dxa"/>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rPr>
            </w:pPr>
            <w:r>
              <w:rPr>
                <w:rFonts w:hint="eastAsia"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：977850</w:t>
            </w:r>
            <w:r>
              <w:rPr>
                <w:rFonts w:hint="eastAsia" w:ascii="宋体" w:hAnsi="宋体" w:eastAsia="宋体" w:cs="宋体"/>
                <w:b/>
                <w:bCs/>
                <w:color w:val="auto"/>
                <w:kern w:val="2"/>
                <w:sz w:val="24"/>
                <w:szCs w:val="24"/>
                <w:highlight w:val="none"/>
                <w:lang w:val="en-US" w:eastAsia="zh-CN"/>
              </w:rPr>
              <w:t>元</w:t>
            </w:r>
            <w:r>
              <w:rPr>
                <w:rStyle w:val="29"/>
                <w:rFonts w:hint="eastAsia" w:ascii="宋体" w:hAnsi="宋体" w:eastAsia="宋体" w:cs="宋体"/>
                <w:b/>
                <w:bCs/>
                <w:color w:val="auto"/>
                <w:sz w:val="24"/>
                <w:szCs w:val="24"/>
                <w:highlight w:val="none"/>
                <w:lang w:val="en-US" w:eastAsia="zh-CN"/>
              </w:rPr>
              <w:t>（大写：人民币</w:t>
            </w:r>
            <w:r>
              <w:rPr>
                <w:rStyle w:val="29"/>
                <w:rFonts w:hint="eastAsia" w:cs="宋体"/>
                <w:b/>
                <w:bCs/>
                <w:color w:val="auto"/>
                <w:sz w:val="24"/>
                <w:szCs w:val="24"/>
                <w:highlight w:val="none"/>
                <w:lang w:val="en-US" w:eastAsia="zh-CN"/>
              </w:rPr>
              <w:t>玖拾柒万柒仟捌佰伍拾</w:t>
            </w:r>
            <w:r>
              <w:rPr>
                <w:rStyle w:val="29"/>
                <w:rFonts w:hint="eastAsia" w:ascii="宋体" w:hAnsi="宋体" w:eastAsia="宋体" w:cs="宋体"/>
                <w:b/>
                <w:bCs/>
                <w:color w:val="auto"/>
                <w:sz w:val="24"/>
                <w:szCs w:val="24"/>
                <w:highlight w:val="none"/>
                <w:lang w:val="en-US" w:eastAsia="zh-CN"/>
              </w:rPr>
              <w:t>元整）</w:t>
            </w:r>
            <w:r>
              <w:rPr>
                <w:rFonts w:hint="eastAsia" w:ascii="宋体" w:hAnsi="宋体" w:eastAsia="宋体" w:cs="宋体"/>
                <w:b/>
                <w:bCs/>
                <w:color w:val="auto"/>
                <w:kern w:val="2"/>
                <w:sz w:val="24"/>
                <w:szCs w:val="24"/>
                <w:highlight w:val="none"/>
                <w:lang w:val="en-US" w:eastAsia="zh-CN"/>
              </w:rPr>
              <w:t>。</w:t>
            </w:r>
            <w:r>
              <w:rPr>
                <w:rFonts w:hint="eastAsia" w:cs="宋体"/>
                <w:b/>
                <w:bCs/>
                <w:color w:val="auto"/>
                <w:kern w:val="2"/>
                <w:sz w:val="24"/>
                <w:szCs w:val="24"/>
                <w:highlight w:val="none"/>
                <w:lang w:val="en-US" w:eastAsia="zh-CN"/>
              </w:rPr>
              <w:t>单价控制价为30元/人/天,供应商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单价</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项目单价控制价</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default" w:cs="宋体"/>
                <w:b/>
                <w:bCs/>
                <w:color w:val="auto"/>
                <w:kern w:val="2"/>
                <w:sz w:val="24"/>
                <w:szCs w:val="24"/>
                <w:highlight w:val="none"/>
              </w:rPr>
              <w:t>响应文件</w:t>
            </w:r>
            <w:r>
              <w:rPr>
                <w:rFonts w:hint="eastAsia" w:cs="宋体"/>
                <w:b/>
                <w:bCs/>
                <w:color w:val="auto"/>
                <w:kern w:val="2"/>
                <w:sz w:val="24"/>
                <w:szCs w:val="24"/>
                <w:highlight w:val="none"/>
              </w:rPr>
              <w:t>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20</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823" w:type="dxa"/>
            <w:noWrap w:val="0"/>
            <w:vAlign w:val="center"/>
          </w:tcPr>
          <w:p>
            <w:pPr>
              <w:pStyle w:val="22"/>
              <w:spacing w:before="75" w:beforeAutospacing="0" w:after="75" w:afterAutospacing="0" w:line="360" w:lineRule="auto"/>
              <w:jc w:val="both"/>
              <w:rPr>
                <w:rFonts w:hint="eastAsia" w:eastAsia="宋体" w:cs="宋体"/>
                <w:b/>
                <w:bCs/>
                <w:color w:val="auto"/>
                <w:kern w:val="2"/>
                <w:sz w:val="24"/>
                <w:szCs w:val="24"/>
                <w:highlight w:val="none"/>
                <w:lang w:eastAsia="zh-CN"/>
              </w:rPr>
            </w:pPr>
            <w:r>
              <w:rPr>
                <w:rFonts w:hint="eastAsia" w:cs="宋体"/>
                <w:b/>
                <w:bCs/>
                <w:color w:val="auto"/>
                <w:kern w:val="2"/>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21</w:t>
            </w:r>
          </w:p>
        </w:tc>
        <w:tc>
          <w:tcPr>
            <w:tcW w:w="1481"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Fonts w:hint="eastAsia" w:ascii="宋体" w:hAnsi="宋体" w:eastAsia="宋体" w:cs="宋体"/>
                <w:b/>
                <w:bCs w:val="0"/>
                <w:color w:val="auto"/>
                <w:kern w:val="2"/>
                <w:sz w:val="24"/>
                <w:szCs w:val="24"/>
                <w:highlight w:val="none"/>
                <w:lang w:eastAsia="zh-CN"/>
              </w:rPr>
            </w:pPr>
            <w:r>
              <w:rPr>
                <w:rFonts w:hint="eastAsia"/>
                <w:b/>
                <w:color w:val="auto"/>
                <w:sz w:val="24"/>
                <w:szCs w:val="22"/>
                <w:highlight w:val="none"/>
              </w:rPr>
              <w:t>是否允许供应商将项目非主体、非关键性工作交由他人完成</w:t>
            </w:r>
          </w:p>
        </w:tc>
        <w:tc>
          <w:tcPr>
            <w:tcW w:w="7823" w:type="dxa"/>
            <w:noWrap w:val="0"/>
            <w:vAlign w:val="center"/>
          </w:tcPr>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否。</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是。</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lang w:eastAsia="zh-CN"/>
              </w:rPr>
              <w:t>供应商</w:t>
            </w:r>
            <w:r>
              <w:rPr>
                <w:rFonts w:hint="eastAsia" w:ascii="宋体" w:hAnsi="宋体" w:eastAsia="宋体"/>
                <w:bCs/>
                <w:color w:val="auto"/>
                <w:kern w:val="0"/>
                <w:sz w:val="24"/>
                <w:szCs w:val="22"/>
                <w:highlight w:val="none"/>
              </w:rPr>
              <w:t>按照合同约定或者经采购人同意，可以将项目非主体、非关键性工作分包交由他人完成。此时，接受分包的人应当具备相应的资格条件，并不得再次分包。</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t>分包内容要求：/</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t>分包金额要求：/</w:t>
            </w:r>
          </w:p>
          <w:p>
            <w:pPr>
              <w:pStyle w:val="22"/>
              <w:keepNext w:val="0"/>
              <w:keepLines w:val="0"/>
              <w:pageBreakBefore w:val="0"/>
              <w:kinsoku/>
              <w:overflowPunct/>
              <w:topLinePunct w:val="0"/>
              <w:bidi w:val="0"/>
              <w:adjustRightInd/>
              <w:spacing w:before="75" w:beforeAutospacing="0" w:after="75" w:afterAutospacing="0" w:line="336" w:lineRule="auto"/>
              <w:textAlignment w:val="auto"/>
              <w:rPr>
                <w:rFonts w:hint="eastAsia" w:cs="宋体"/>
                <w:b/>
                <w:bCs/>
                <w:color w:val="auto"/>
                <w:kern w:val="2"/>
                <w:sz w:val="24"/>
                <w:szCs w:val="24"/>
                <w:highlight w:val="none"/>
                <w:lang w:eastAsia="zh-CN"/>
              </w:rPr>
            </w:pPr>
            <w:r>
              <w:rPr>
                <w:rFonts w:hint="eastAsia"/>
                <w:bCs/>
                <w:color w:val="auto"/>
                <w:sz w:val="24"/>
                <w:szCs w:val="22"/>
                <w:highlight w:val="none"/>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22</w:t>
            </w:r>
          </w:p>
        </w:tc>
        <w:tc>
          <w:tcPr>
            <w:tcW w:w="1481" w:type="dxa"/>
            <w:noWrap w:val="0"/>
            <w:vAlign w:val="center"/>
          </w:tcPr>
          <w:p>
            <w:pPr>
              <w:pStyle w:val="122"/>
              <w:spacing w:line="440" w:lineRule="exact"/>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823" w:type="dxa"/>
            <w:noWrap w:val="0"/>
            <w:vAlign w:val="center"/>
          </w:tcPr>
          <w:p>
            <w:pPr>
              <w:pStyle w:val="122"/>
              <w:spacing w:line="440" w:lineRule="exact"/>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w:t>
            </w:r>
            <w:r>
              <w:rPr>
                <w:rFonts w:hint="default" w:ascii="宋体" w:hAnsi="宋体" w:eastAsia="宋体" w:cs="宋体"/>
                <w:b w:val="0"/>
                <w:bCs/>
                <w:color w:val="auto"/>
                <w:kern w:val="2"/>
                <w:sz w:val="24"/>
                <w:szCs w:val="24"/>
                <w:highlight w:val="none"/>
                <w:u w:val="none"/>
                <w:lang w:eastAsia="zh-CN" w:bidi="ar-SA"/>
              </w:rPr>
              <w:t>供应商为中小微企业</w:t>
            </w:r>
            <w:r>
              <w:rPr>
                <w:rFonts w:hint="eastAsia" w:ascii="宋体" w:hAnsi="宋体" w:eastAsia="宋体" w:cs="宋体"/>
                <w:b w:val="0"/>
                <w:bCs/>
                <w:color w:val="auto"/>
                <w:kern w:val="2"/>
                <w:sz w:val="24"/>
                <w:szCs w:val="24"/>
                <w:highlight w:val="none"/>
                <w:u w:val="none"/>
                <w:lang w:val="en-US" w:eastAsia="zh-CN" w:bidi="ar-SA"/>
              </w:rPr>
              <w:t>；</w:t>
            </w:r>
          </w:p>
          <w:p>
            <w:pPr>
              <w:pStyle w:val="122"/>
              <w:spacing w:line="440" w:lineRule="exact"/>
              <w:rPr>
                <w:rFonts w:hint="eastAsia" w:cs="宋体"/>
                <w:b/>
                <w:bCs/>
                <w:color w:val="auto"/>
                <w:kern w:val="2"/>
                <w:sz w:val="24"/>
                <w:szCs w:val="24"/>
                <w:highlight w:val="none"/>
                <w:lang w:eastAsia="zh-CN"/>
              </w:rPr>
            </w:pPr>
            <w:r>
              <w:rPr>
                <w:rFonts w:hint="eastAsia" w:ascii="宋体" w:hAnsi="宋体" w:eastAsia="宋体" w:cs="宋体"/>
                <w:b w:val="0"/>
                <w:bCs/>
                <w:color w:val="auto"/>
                <w:kern w:val="2"/>
                <w:sz w:val="24"/>
                <w:szCs w:val="24"/>
                <w:highlight w:val="none"/>
                <w:u w:val="none"/>
                <w:lang w:val="en-US" w:eastAsia="zh-CN" w:bidi="ar-SA"/>
              </w:rPr>
              <w:t>2、根据《关于印发中小企业划型标准规定的通知》(工信部联企业[2011]300号) 文件的规定，本项目所属行业：</w:t>
            </w:r>
            <w:r>
              <w:rPr>
                <w:rFonts w:hint="eastAsia" w:ascii="宋体" w:hAnsi="宋体" w:eastAsia="宋体" w:cs="宋体"/>
                <w:b w:val="0"/>
                <w:bCs/>
                <w:color w:val="auto"/>
                <w:sz w:val="24"/>
                <w:szCs w:val="24"/>
                <w:highlight w:val="none"/>
                <w:u w:val="none"/>
                <w:lang w:val="en-US" w:eastAsia="zh-CN"/>
              </w:rPr>
              <w:t>餐饮业</w:t>
            </w:r>
            <w:r>
              <w:rPr>
                <w:rFonts w:hint="eastAsia" w:ascii="宋体" w:hAnsi="宋体" w:eastAsia="宋体" w:cs="宋体"/>
                <w:b w:val="0"/>
                <w:bCs/>
                <w:color w:val="auto"/>
                <w:kern w:val="2"/>
                <w:sz w:val="24"/>
                <w:szCs w:val="24"/>
                <w:highlight w:val="none"/>
                <w:u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23</w:t>
            </w:r>
          </w:p>
        </w:tc>
        <w:tc>
          <w:tcPr>
            <w:tcW w:w="1481" w:type="dxa"/>
            <w:noWrap w:val="0"/>
            <w:vAlign w:val="center"/>
          </w:tcPr>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823" w:type="dxa"/>
            <w:noWrap w:val="0"/>
            <w:vAlign w:val="center"/>
          </w:tcPr>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w:t>
            </w:r>
            <w:r>
              <w:rPr>
                <w:rFonts w:hint="eastAsia" w:ascii="宋体" w:hAnsi="宋体" w:eastAsia="宋体" w:cs="宋体"/>
                <w:b/>
                <w:color w:val="auto"/>
                <w:highlight w:val="none"/>
                <w:lang w:eastAsia="zh-CN"/>
              </w:rPr>
              <w:t>95763</w:t>
            </w:r>
            <w:r>
              <w:rPr>
                <w:rFonts w:hint="eastAsia" w:ascii="宋体" w:hAnsi="宋体" w:eastAsia="宋体" w:cs="宋体"/>
                <w:b/>
                <w:color w:val="auto"/>
                <w:highlight w:val="none"/>
              </w:rPr>
              <w:t>（其他地区请联系当地办理业务服务机构）。</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2.本项目实行网上投标，采用电子响应文件，若供应商参与投标，应自行承担投标一切费用。</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3.供应商应在开标前应确保成为新疆政府采购网正式注册入库供应商，并完成CA数字证书申领。因未注册入库、未办理CA数字证书等原因造成无法投标或投标失败等后果由供应商自行承担。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w:t>
            </w:r>
            <w:r>
              <w:rPr>
                <w:rFonts w:hint="eastAsia" w:ascii="宋体" w:hAnsi="宋体" w:eastAsia="宋体" w:cs="宋体"/>
                <w:b/>
                <w:color w:val="auto"/>
                <w:highlight w:val="none"/>
                <w:lang w:eastAsia="zh-CN"/>
              </w:rPr>
              <w:t>95763</w:t>
            </w:r>
            <w:r>
              <w:rPr>
                <w:rFonts w:hint="eastAsia" w:ascii="宋体" w:hAnsi="宋体" w:eastAsia="宋体" w:cs="宋体"/>
                <w:b/>
                <w:color w:val="auto"/>
                <w:highlight w:val="none"/>
              </w:rPr>
              <w:t>进行咨询。</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color w:val="auto"/>
                <w:sz w:val="24"/>
                <w:szCs w:val="24"/>
                <w:highlight w:val="none"/>
              </w:rPr>
              <w:t>温馨提醒：供应商应提前上传，以便在上传时遇到技术问题，有充足的时间请教平台的技术人员。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rPr>
              <w:t>2</w:t>
            </w:r>
            <w:r>
              <w:rPr>
                <w:rStyle w:val="29"/>
                <w:rFonts w:hint="eastAsia" w:cs="宋体"/>
                <w:color w:val="auto"/>
                <w:sz w:val="24"/>
                <w:szCs w:val="24"/>
                <w:highlight w:val="none"/>
                <w:lang w:val="en-US" w:eastAsia="zh-CN"/>
              </w:rPr>
              <w:t>4</w:t>
            </w:r>
          </w:p>
        </w:tc>
        <w:tc>
          <w:tcPr>
            <w:tcW w:w="1481" w:type="dxa"/>
            <w:noWrap w:val="0"/>
            <w:vAlign w:val="center"/>
          </w:tcPr>
          <w:p>
            <w:pPr>
              <w:pStyle w:val="54"/>
              <w:keepNext w:val="0"/>
              <w:keepLines w:val="0"/>
              <w:pageBreakBefore w:val="0"/>
              <w:kinsoku/>
              <w:overflowPunct/>
              <w:topLinePunct w:val="0"/>
              <w:bidi w:val="0"/>
              <w:adjustRightInd/>
              <w:spacing w:line="336" w:lineRule="auto"/>
              <w:ind w:firstLine="0" w:firstLineChars="0"/>
              <w:jc w:val="center"/>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 xml:space="preserve">采购代理服 </w:t>
            </w:r>
          </w:p>
          <w:p>
            <w:pPr>
              <w:pStyle w:val="54"/>
              <w:keepNext w:val="0"/>
              <w:keepLines w:val="0"/>
              <w:pageBreakBefore w:val="0"/>
              <w:kinsoku/>
              <w:overflowPunct/>
              <w:topLinePunct w:val="0"/>
              <w:bidi w:val="0"/>
              <w:adjustRightInd/>
              <w:spacing w:line="336" w:lineRule="auto"/>
              <w:ind w:firstLine="0" w:firstLineChars="0"/>
              <w:jc w:val="center"/>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务费</w:t>
            </w:r>
          </w:p>
          <w:p>
            <w:pPr>
              <w:pStyle w:val="54"/>
              <w:keepNext w:val="0"/>
              <w:keepLines w:val="0"/>
              <w:pageBreakBefore w:val="0"/>
              <w:kinsoku/>
              <w:overflowPunct/>
              <w:topLinePunct w:val="0"/>
              <w:bidi w:val="0"/>
              <w:adjustRightInd/>
              <w:spacing w:line="336" w:lineRule="auto"/>
              <w:ind w:firstLine="0" w:firstLineChars="0"/>
              <w:jc w:val="center"/>
              <w:textAlignment w:val="auto"/>
              <w:rPr>
                <w:rFonts w:hint="eastAsia" w:ascii="宋体" w:hAnsi="宋体" w:eastAsia="宋体" w:cs="宋体"/>
                <w:b/>
                <w:bCs w:val="0"/>
                <w:color w:val="auto"/>
                <w:kern w:val="0"/>
                <w:sz w:val="24"/>
                <w:szCs w:val="24"/>
                <w:highlight w:val="none"/>
                <w:lang w:val="en-US" w:eastAsia="zh-CN" w:bidi="ar-SA"/>
              </w:rPr>
            </w:pPr>
          </w:p>
        </w:tc>
        <w:tc>
          <w:tcPr>
            <w:tcW w:w="7823" w:type="dxa"/>
            <w:noWrap w:val="0"/>
            <w:vAlign w:val="center"/>
          </w:tcPr>
          <w:p>
            <w:pPr>
              <w:pStyle w:val="11"/>
              <w:keepNext w:val="0"/>
              <w:keepLines w:val="0"/>
              <w:pageBreakBefore w:val="0"/>
              <w:kinsoku/>
              <w:overflowPunct/>
              <w:topLinePunct w:val="0"/>
              <w:bidi w:val="0"/>
              <w:adjustRightInd/>
              <w:spacing w:line="336" w:lineRule="auto"/>
              <w:textAlignment w:val="auto"/>
              <w:rPr>
                <w:rFonts w:hAnsi="宋体" w:cs="宋体"/>
                <w:b/>
                <w:bCs/>
                <w:color w:val="auto"/>
                <w:sz w:val="24"/>
                <w:szCs w:val="24"/>
                <w:highlight w:val="none"/>
              </w:rPr>
            </w:pPr>
            <w:r>
              <w:rPr>
                <w:rFonts w:hint="eastAsia" w:hAnsi="宋体" w:cs="宋体"/>
                <w:b/>
                <w:bCs/>
                <w:color w:val="auto"/>
                <w:sz w:val="24"/>
                <w:szCs w:val="24"/>
                <w:highlight w:val="none"/>
                <w:lang w:val="zh-CN"/>
              </w:rPr>
              <w:t>（1）</w:t>
            </w:r>
            <w:r>
              <w:rPr>
                <w:rFonts w:hint="eastAsia" w:hAnsi="宋体" w:cs="宋体"/>
                <w:b/>
                <w:bCs/>
                <w:color w:val="auto"/>
                <w:sz w:val="24"/>
                <w:szCs w:val="24"/>
                <w:highlight w:val="none"/>
              </w:rPr>
              <w:t>经与采购人协商，本项目采购代理服务费由</w:t>
            </w:r>
            <w:r>
              <w:rPr>
                <w:rFonts w:hint="eastAsia" w:hAnsi="宋体" w:cs="宋体"/>
                <w:b/>
                <w:bCs/>
                <w:color w:val="auto"/>
                <w:sz w:val="24"/>
                <w:szCs w:val="24"/>
                <w:highlight w:val="none"/>
                <w:lang w:eastAsia="zh-CN"/>
              </w:rPr>
              <w:t>成交</w:t>
            </w:r>
            <w:r>
              <w:rPr>
                <w:rFonts w:hint="eastAsia" w:hAnsi="宋体" w:cs="宋体"/>
                <w:b/>
                <w:bCs/>
                <w:color w:val="auto"/>
                <w:sz w:val="24"/>
                <w:szCs w:val="24"/>
                <w:highlight w:val="none"/>
              </w:rPr>
              <w:t>单位在领取中标通知书同时向采购代理机构支付，金额为人民币</w:t>
            </w:r>
            <w:r>
              <w:rPr>
                <w:rFonts w:hint="default" w:hAnsi="宋体" w:cs="宋体"/>
                <w:b/>
                <w:bCs/>
                <w:color w:val="auto"/>
                <w:sz w:val="24"/>
                <w:szCs w:val="24"/>
                <w:highlight w:val="none"/>
              </w:rPr>
              <w:t>1</w:t>
            </w:r>
            <w:r>
              <w:rPr>
                <w:rFonts w:hint="eastAsia" w:hAnsi="宋体" w:cs="宋体"/>
                <w:b/>
                <w:bCs/>
                <w:color w:val="auto"/>
                <w:sz w:val="24"/>
                <w:szCs w:val="24"/>
                <w:highlight w:val="none"/>
                <w:lang w:val="en-US" w:eastAsia="zh-CN"/>
              </w:rPr>
              <w:t>1</w:t>
            </w:r>
            <w:r>
              <w:rPr>
                <w:rFonts w:hint="default" w:hAnsi="宋体" w:cs="宋体"/>
                <w:b/>
                <w:bCs/>
                <w:color w:val="auto"/>
                <w:sz w:val="24"/>
                <w:szCs w:val="24"/>
                <w:highlight w:val="none"/>
              </w:rPr>
              <w:t>000</w:t>
            </w:r>
            <w:r>
              <w:rPr>
                <w:rFonts w:hint="eastAsia" w:hAnsi="宋体" w:cs="宋体"/>
                <w:b/>
                <w:bCs/>
                <w:color w:val="auto"/>
                <w:sz w:val="24"/>
                <w:szCs w:val="24"/>
                <w:highlight w:val="none"/>
              </w:rPr>
              <w:t>元（大写：人民币</w:t>
            </w:r>
            <w:r>
              <w:rPr>
                <w:rFonts w:hint="eastAsia" w:hAnsi="宋体" w:cs="宋体"/>
                <w:b/>
                <w:bCs/>
                <w:color w:val="auto"/>
                <w:sz w:val="24"/>
                <w:szCs w:val="24"/>
                <w:highlight w:val="none"/>
                <w:lang w:val="en-US" w:eastAsia="zh-CN"/>
              </w:rPr>
              <w:t>壹万壹仟元</w:t>
            </w:r>
            <w:r>
              <w:rPr>
                <w:rFonts w:hint="eastAsia" w:hAnsi="宋体" w:cs="宋体"/>
                <w:b/>
                <w:bCs/>
                <w:color w:val="auto"/>
                <w:sz w:val="24"/>
                <w:szCs w:val="24"/>
                <w:highlight w:val="none"/>
              </w:rPr>
              <w:t>整）。</w:t>
            </w:r>
          </w:p>
          <w:p>
            <w:pPr>
              <w:pStyle w:val="11"/>
              <w:keepNext w:val="0"/>
              <w:keepLines w:val="0"/>
              <w:pageBreakBefore w:val="0"/>
              <w:kinsoku/>
              <w:overflowPunct/>
              <w:topLinePunct w:val="0"/>
              <w:bidi w:val="0"/>
              <w:adjustRightInd/>
              <w:spacing w:line="336" w:lineRule="auto"/>
              <w:textAlignment w:val="auto"/>
              <w:rPr>
                <w:rFonts w:hAnsi="宋体" w:cs="宋体"/>
                <w:b/>
                <w:bCs/>
                <w:color w:val="auto"/>
                <w:sz w:val="24"/>
                <w:szCs w:val="24"/>
                <w:highlight w:val="none"/>
                <w:lang w:val="zh-CN"/>
              </w:rPr>
            </w:pPr>
            <w:r>
              <w:rPr>
                <w:rFonts w:hint="eastAsia" w:hAnsi="宋体" w:cs="宋体"/>
                <w:b/>
                <w:bCs/>
                <w:color w:val="auto"/>
                <w:sz w:val="24"/>
                <w:szCs w:val="24"/>
                <w:highlight w:val="none"/>
                <w:lang w:val="zh-CN"/>
              </w:rPr>
              <w:t>（2）缴纳账户信息如下：</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收款单位（户名）：克拉玛依市金科工程监理有限责任公司</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开户行：中国工商银行股份有限公司克拉玛依石化支行</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银行账号：3003021509024510885</w:t>
            </w:r>
          </w:p>
        </w:tc>
      </w:tr>
    </w:tbl>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both"/>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A</w:t>
      </w:r>
      <w:bookmarkStart w:id="38" w:name="_Toc154996576"/>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说明</w:t>
      </w:r>
    </w:p>
    <w:p>
      <w:pPr>
        <w:pStyle w:val="11"/>
        <w:spacing w:line="360" w:lineRule="auto"/>
        <w:outlineLvl w:val="1"/>
        <w:rPr>
          <w:rFonts w:asciiTheme="minorEastAsia" w:hAnsiTheme="minorEastAsia" w:eastAsiaTheme="minorEastAsia" w:cstheme="minorEastAsia"/>
          <w:color w:val="auto"/>
          <w:sz w:val="24"/>
          <w:highlight w:val="none"/>
        </w:rPr>
      </w:pPr>
      <w:bookmarkStart w:id="39" w:name="_Toc233274811"/>
      <w:bookmarkStart w:id="40" w:name="_Toc243907571"/>
      <w:bookmarkStart w:id="41" w:name="_Toc243906311"/>
      <w:bookmarkStart w:id="42" w:name="_Toc246216180"/>
      <w:r>
        <w:rPr>
          <w:rFonts w:hint="eastAsia" w:asciiTheme="minorEastAsia" w:hAnsiTheme="minorEastAsia" w:eastAsiaTheme="minorEastAsia" w:cstheme="minorEastAsia"/>
          <w:color w:val="auto"/>
          <w:sz w:val="24"/>
          <w:highlight w:val="none"/>
        </w:rPr>
        <w:t>1、适用范围</w:t>
      </w:r>
      <w:bookmarkEnd w:id="39"/>
      <w:bookmarkEnd w:id="40"/>
      <w:bookmarkEnd w:id="41"/>
      <w:bookmarkEnd w:id="42"/>
      <w:r>
        <w:rPr>
          <w:rFonts w:hint="eastAsia" w:asciiTheme="minorEastAsia" w:hAnsiTheme="minorEastAsia" w:eastAsiaTheme="minorEastAsia" w:cstheme="minorEastAsia"/>
          <w:color w:val="auto"/>
          <w:sz w:val="24"/>
          <w:highlight w:val="none"/>
        </w:rPr>
        <w:t>及磋商依据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适用范围</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仅适用</w:t>
      </w:r>
      <w:r>
        <w:rPr>
          <w:rFonts w:hint="eastAsia" w:asciiTheme="minorEastAsia" w:hAnsiTheme="minorEastAsia" w:eastAsiaTheme="minorEastAsia" w:cstheme="minorEastAsia"/>
          <w:color w:val="auto"/>
          <w:sz w:val="24"/>
          <w:szCs w:val="24"/>
          <w:highlight w:val="none"/>
          <w:lang w:eastAsia="zh-CN"/>
        </w:rPr>
        <w:t>克拉玛依市克拉玛依区人民政府胜利路街道办事处食堂外包服务</w:t>
      </w:r>
      <w:r>
        <w:rPr>
          <w:rFonts w:hint="eastAsia" w:asciiTheme="minorEastAsia" w:hAnsiTheme="minorEastAsia" w:eastAsiaTheme="minorEastAsia" w:cstheme="minorEastAsia"/>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43906312"/>
      <w:bookmarkStart w:id="44" w:name="_Toc243907572"/>
      <w:bookmarkStart w:id="45" w:name="_Toc233274812"/>
      <w:bookmarkStart w:id="46" w:name="_Toc246216181"/>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rPr>
        <w:t>《财政部关于印发〈政府采购竞争性磋商采购方式管理暂行办法〉的通知》（财库〔2014〕214号）</w:t>
      </w:r>
      <w:r>
        <w:rPr>
          <w:rFonts w:hint="eastAsia" w:ascii="宋体" w:hAnsi="宋体" w:eastAsia="宋体" w:cs="宋体"/>
          <w:color w:val="auto"/>
          <w:sz w:val="24"/>
          <w:highlight w:val="none"/>
        </w:rPr>
        <w:t>及有关法律、法规。</w:t>
      </w:r>
    </w:p>
    <w:p>
      <w:pPr>
        <w:pStyle w:val="11"/>
        <w:spacing w:line="360" w:lineRule="auto"/>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bookmarkEnd w:id="43"/>
      <w:bookmarkEnd w:id="44"/>
      <w:bookmarkEnd w:id="45"/>
      <w:bookmarkEnd w:id="46"/>
    </w:p>
    <w:p>
      <w:pPr>
        <w:pStyle w:val="11"/>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asciiTheme="minorEastAsia" w:hAnsiTheme="minorEastAsia" w:eastAsiaTheme="minorEastAsia" w:cstheme="minorEastAsia"/>
          <w:color w:val="auto"/>
          <w:sz w:val="24"/>
          <w:szCs w:val="24"/>
          <w:highlight w:val="none"/>
          <w:lang w:eastAsia="zh-CN"/>
        </w:rPr>
        <w:t>克拉玛依市克拉玛依区人民政府胜利路街道办事处</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”系指由采购人向供应商发出的本采购项目的全部文件（包括修改文件、补充文件、答疑纪要、各种通知和附件等）。</w:t>
      </w:r>
    </w:p>
    <w:p>
      <w:pPr>
        <w:pStyle w:val="1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“响应文件”系指供应商根据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提交的所有文件。</w:t>
      </w:r>
    </w:p>
    <w:p>
      <w:pPr>
        <w:pStyle w:val="12"/>
        <w:spacing w:line="360" w:lineRule="auto"/>
        <w:ind w:left="0" w:leftChars="0" w:firstLine="480" w:firstLineChars="200"/>
        <w:rPr>
          <w:rFonts w:hint="eastAsia" w:asciiTheme="minorEastAsia" w:hAnsiTheme="minorEastAsia" w:eastAsiaTheme="minorEastAsia" w:cstheme="minorEastAsia"/>
          <w:color w:val="auto"/>
          <w:kern w:val="2"/>
          <w:sz w:val="24"/>
          <w:szCs w:val="21"/>
          <w:highlight w:val="none"/>
          <w:lang w:val="zh-CN" w:eastAsia="zh-CN" w:bidi="ar-SA"/>
        </w:rPr>
      </w:pPr>
      <w:r>
        <w:rPr>
          <w:rFonts w:hint="eastAsia" w:asciiTheme="minorEastAsia" w:hAnsiTheme="minorEastAsia" w:eastAsiaTheme="minorEastAsia" w:cstheme="minorEastAsia"/>
          <w:color w:val="auto"/>
          <w:kern w:val="2"/>
          <w:sz w:val="24"/>
          <w:szCs w:val="21"/>
          <w:highlight w:val="none"/>
          <w:lang w:val="en-US" w:eastAsia="zh-CN" w:bidi="ar-SA"/>
        </w:rPr>
        <w:t>2.5“服务”系指合同条款、技术规范及标准、项目采购需求、本采购文件规定，</w:t>
      </w:r>
      <w:r>
        <w:rPr>
          <w:rFonts w:hint="eastAsia" w:asciiTheme="minorEastAsia" w:hAnsiTheme="minorEastAsia" w:eastAsiaTheme="minorEastAsia" w:cstheme="minorEastAsia"/>
          <w:color w:val="auto"/>
          <w:kern w:val="2"/>
          <w:sz w:val="24"/>
          <w:szCs w:val="21"/>
          <w:highlight w:val="none"/>
          <w:lang w:val="zh-CN" w:eastAsia="zh-CN" w:bidi="ar-SA"/>
        </w:rPr>
        <w:t>完成</w:t>
      </w:r>
      <w:r>
        <w:rPr>
          <w:rFonts w:hint="eastAsia" w:asciiTheme="minorEastAsia" w:hAnsiTheme="minorEastAsia" w:eastAsiaTheme="minorEastAsia" w:cstheme="minorEastAsia"/>
          <w:color w:val="auto"/>
          <w:sz w:val="24"/>
          <w:szCs w:val="24"/>
          <w:highlight w:val="none"/>
          <w:lang w:eastAsia="zh-CN"/>
        </w:rPr>
        <w:t>克拉玛依市克拉玛依区人民政府胜利路街道办事处食堂外包服务</w:t>
      </w:r>
      <w:r>
        <w:rPr>
          <w:rFonts w:hint="eastAsia" w:asciiTheme="minorEastAsia" w:hAnsiTheme="minorEastAsia" w:eastAsiaTheme="minorEastAsia" w:cstheme="minorEastAsia"/>
          <w:color w:val="auto"/>
          <w:kern w:val="2"/>
          <w:sz w:val="24"/>
          <w:szCs w:val="21"/>
          <w:highlight w:val="none"/>
          <w:lang w:val="zh-CN" w:eastAsia="zh-CN" w:bidi="ar-SA"/>
        </w:rPr>
        <w:t>包含的全部内容并配合</w:t>
      </w:r>
      <w:r>
        <w:rPr>
          <w:rFonts w:hint="eastAsia" w:asciiTheme="minorEastAsia" w:hAnsiTheme="minorEastAsia" w:eastAsiaTheme="minorEastAsia" w:cstheme="minorEastAsia"/>
          <w:color w:val="auto"/>
          <w:kern w:val="2"/>
          <w:sz w:val="24"/>
          <w:szCs w:val="21"/>
          <w:highlight w:val="none"/>
          <w:lang w:val="en-US" w:eastAsia="zh-CN" w:bidi="ar-SA"/>
        </w:rPr>
        <w:t>采购</w:t>
      </w:r>
      <w:r>
        <w:rPr>
          <w:rFonts w:hint="eastAsia" w:asciiTheme="minorEastAsia" w:hAnsiTheme="minorEastAsia" w:eastAsiaTheme="minorEastAsia" w:cstheme="minorEastAsia"/>
          <w:color w:val="auto"/>
          <w:kern w:val="2"/>
          <w:sz w:val="24"/>
          <w:szCs w:val="21"/>
          <w:highlight w:val="none"/>
          <w:lang w:val="zh-CN" w:eastAsia="zh-CN" w:bidi="ar-SA"/>
        </w:rPr>
        <w:t>人完成与此服务相关的全部工作。</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lang w:val="en-US" w:eastAsia="zh-CN"/>
        </w:rPr>
        <w:t>2.6</w:t>
      </w:r>
      <w:r>
        <w:rPr>
          <w:rFonts w:hint="eastAsia" w:hAnsi="宋体" w:cs="宋体"/>
          <w:color w:val="auto"/>
          <w:sz w:val="24"/>
          <w:highlight w:val="none"/>
        </w:rPr>
        <w:t>“合同货物”系指按合同条款、技术规范及标准、项目采购需求、本</w:t>
      </w:r>
      <w:r>
        <w:rPr>
          <w:rFonts w:hint="eastAsia" w:hAnsi="宋体" w:cs="宋体"/>
          <w:color w:val="auto"/>
          <w:sz w:val="24"/>
          <w:highlight w:val="none"/>
          <w:lang w:eastAsia="zh-CN"/>
        </w:rPr>
        <w:t>采购文件</w:t>
      </w:r>
      <w:r>
        <w:rPr>
          <w:rFonts w:hint="eastAsia" w:hAnsi="宋体" w:cs="宋体"/>
          <w:color w:val="auto"/>
          <w:sz w:val="24"/>
          <w:highlight w:val="none"/>
        </w:rPr>
        <w:t>规定，向采购人提供</w:t>
      </w:r>
      <w:r>
        <w:rPr>
          <w:rFonts w:hint="eastAsia" w:asciiTheme="minorEastAsia" w:hAnsiTheme="minorEastAsia" w:eastAsiaTheme="minorEastAsia" w:cstheme="minorEastAsia"/>
          <w:color w:val="auto"/>
          <w:sz w:val="24"/>
          <w:szCs w:val="24"/>
          <w:highlight w:val="none"/>
          <w:lang w:eastAsia="zh-CN"/>
        </w:rPr>
        <w:t>克拉玛依市克拉玛依区人民政府胜利路街道办事处食堂外包服务</w:t>
      </w:r>
      <w:r>
        <w:rPr>
          <w:rFonts w:hint="eastAsia" w:hAnsi="宋体" w:cs="宋体"/>
          <w:color w:val="auto"/>
          <w:sz w:val="24"/>
          <w:highlight w:val="none"/>
        </w:rPr>
        <w:t>所需的全部</w:t>
      </w:r>
      <w:r>
        <w:rPr>
          <w:rFonts w:hint="eastAsia" w:hAnsi="宋体" w:cs="宋体"/>
          <w:color w:val="auto"/>
          <w:sz w:val="24"/>
          <w:highlight w:val="none"/>
          <w:lang w:eastAsia="zh-CN"/>
        </w:rPr>
        <w:t>货物</w:t>
      </w:r>
      <w:r>
        <w:rPr>
          <w:rFonts w:hint="eastAsia" w:hAnsi="宋体" w:cs="宋体"/>
          <w:color w:val="auto"/>
          <w:sz w:val="24"/>
          <w:highlight w:val="none"/>
        </w:rPr>
        <w:t>。</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rPr>
        <w:t>2.7“设备”是指制造、加工或用重要的和主要的元部件装配而成的，其基本特征、功能或效用应是商业上公认的与元部件有实质性区别的产品。</w:t>
      </w:r>
    </w:p>
    <w:p>
      <w:pPr>
        <w:pStyle w:val="11"/>
        <w:spacing w:line="360" w:lineRule="auto"/>
        <w:ind w:firstLine="480" w:firstLineChars="200"/>
        <w:rPr>
          <w:rFonts w:hint="eastAsia"/>
          <w:color w:val="auto"/>
          <w:lang w:val="en-US" w:eastAsia="zh-CN"/>
        </w:rPr>
      </w:pPr>
      <w:r>
        <w:rPr>
          <w:rFonts w:hint="eastAsia" w:hAnsi="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1"/>
        <w:keepNext w:val="0"/>
        <w:keepLines w:val="0"/>
        <w:pageBreakBefore w:val="0"/>
        <w:kinsoku/>
        <w:wordWrap/>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2"/>
        <w:spacing w:before="75" w:beforeAutospacing="0" w:after="75" w:afterAutospacing="0" w:line="360" w:lineRule="auto"/>
        <w:rPr>
          <w:rStyle w:val="29"/>
          <w:rFonts w:hint="eastAsia" w:eastAsia="宋体" w:cs="宋体"/>
          <w:color w:val="auto"/>
          <w:sz w:val="24"/>
          <w:szCs w:val="24"/>
          <w:highlight w:val="none"/>
          <w:lang w:eastAsia="zh-CN"/>
        </w:rPr>
      </w:pPr>
      <w:bookmarkStart w:id="47" w:name="_Toc243907573"/>
      <w:bookmarkStart w:id="48" w:name="_Toc243906313"/>
      <w:bookmarkStart w:id="49" w:name="_Toc233274813"/>
      <w:bookmarkStart w:id="50" w:name="_Toc246216182"/>
      <w:r>
        <w:rPr>
          <w:rStyle w:val="29"/>
          <w:rFonts w:hint="eastAsia" w:cs="宋体"/>
          <w:color w:val="auto"/>
          <w:sz w:val="24"/>
          <w:szCs w:val="24"/>
          <w:highlight w:val="none"/>
        </w:rPr>
        <w:t>3、</w:t>
      </w:r>
      <w:bookmarkEnd w:id="47"/>
      <w:bookmarkEnd w:id="48"/>
      <w:bookmarkEnd w:id="49"/>
      <w:bookmarkEnd w:id="50"/>
      <w:r>
        <w:rPr>
          <w:rStyle w:val="29"/>
          <w:rFonts w:hint="eastAsia" w:cs="宋体"/>
          <w:b/>
          <w:bCs w:val="0"/>
          <w:color w:val="auto"/>
          <w:sz w:val="24"/>
          <w:szCs w:val="24"/>
          <w:highlight w:val="none"/>
        </w:rPr>
        <w:t>合格</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资格要求</w:t>
      </w:r>
    </w:p>
    <w:bookmarkEnd w:id="38"/>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.1第一章“</w:t>
      </w:r>
      <w:r>
        <w:rPr>
          <w:rStyle w:val="29"/>
          <w:rFonts w:hint="eastAsia" w:cs="宋体"/>
          <w:b w:val="0"/>
          <w:bCs/>
          <w:color w:val="auto"/>
          <w:sz w:val="24"/>
          <w:szCs w:val="24"/>
          <w:highlight w:val="none"/>
          <w:lang w:eastAsia="zh-CN"/>
        </w:rPr>
        <w:t>竞争性磋商公告</w:t>
      </w:r>
      <w:r>
        <w:rPr>
          <w:rStyle w:val="29"/>
          <w:rFonts w:hint="eastAsia" w:cs="宋体"/>
          <w:b w:val="0"/>
          <w:bCs/>
          <w:color w:val="auto"/>
          <w:sz w:val="24"/>
          <w:szCs w:val="24"/>
          <w:highlight w:val="none"/>
        </w:rPr>
        <w:t>”中的</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资格要求。</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.2单位负责人为同一人或者存在直接控股、管理关系的不同</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，不得参加同一合同项下的政府采购活动。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同一分包的货物，制造商参与采购的，不得再委托代理商参与采购。</w:t>
      </w:r>
    </w:p>
    <w:p>
      <w:pPr>
        <w:pStyle w:val="22"/>
        <w:spacing w:before="75" w:beforeAutospacing="0" w:after="75" w:afterAutospacing="0" w:line="360" w:lineRule="auto"/>
        <w:rPr>
          <w:rStyle w:val="29"/>
          <w:rFonts w:cs="宋体"/>
          <w:b w:val="0"/>
          <w:bCs/>
          <w:color w:val="auto"/>
          <w:sz w:val="24"/>
          <w:szCs w:val="24"/>
          <w:highlight w:val="none"/>
        </w:rPr>
      </w:pPr>
      <w:bookmarkStart w:id="51" w:name="_Toc243906315"/>
      <w:bookmarkStart w:id="52" w:name="_Toc245897275"/>
      <w:bookmarkStart w:id="53" w:name="_Toc233274815"/>
      <w:bookmarkStart w:id="54" w:name="_Toc243907575"/>
      <w:r>
        <w:rPr>
          <w:rStyle w:val="29"/>
          <w:rFonts w:hint="eastAsia" w:cs="宋体"/>
          <w:b/>
          <w:bCs w:val="0"/>
          <w:color w:val="auto"/>
          <w:sz w:val="24"/>
          <w:szCs w:val="24"/>
          <w:highlight w:val="none"/>
          <w:lang w:val="en-US" w:eastAsia="zh-CN"/>
        </w:rPr>
        <w:t>4</w:t>
      </w:r>
      <w:r>
        <w:rPr>
          <w:rStyle w:val="29"/>
          <w:rFonts w:hint="eastAsia" w:cs="宋体"/>
          <w:b/>
          <w:bCs w:val="0"/>
          <w:color w:val="auto"/>
          <w:sz w:val="24"/>
          <w:szCs w:val="24"/>
          <w:highlight w:val="none"/>
        </w:rPr>
        <w:t>、回避。</w:t>
      </w:r>
      <w:r>
        <w:rPr>
          <w:rStyle w:val="29"/>
          <w:rFonts w:hint="eastAsia" w:cs="宋体"/>
          <w:b w:val="0"/>
          <w:bCs/>
          <w:color w:val="auto"/>
          <w:sz w:val="24"/>
          <w:szCs w:val="24"/>
          <w:highlight w:val="none"/>
        </w:rPr>
        <w:t>政府采购活动中，</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及相关人员与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有下列利害关系之一的，应当回避：</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.1参加采购活动前3年内与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存在劳动关系；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.2参加采购活动前3年内担任</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的董事、监事；</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.3参加采购活动前3年内是</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的控股股东或者实际控制人；</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.4与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的法定代表人或者负责人有夫妻、直系血亲、三代以内旁系血亲或者近姻亲关系；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.5与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有其他可能影响政府采购活动公平、公正进行的关系。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本项目政府采购活动中需要依法回避的</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是指</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人内部负责</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项目的具体经办工作人员和直接分管</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的负责人，以及</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负责</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的具体经办工作人员和直接分管采购活动的负责人。本项目政府采购活动中需要依法回避的相关人员是指</w:t>
      </w:r>
      <w:r>
        <w:rPr>
          <w:rStyle w:val="29"/>
          <w:rFonts w:hint="eastAsia" w:cs="宋体"/>
          <w:b w:val="0"/>
          <w:bCs/>
          <w:color w:val="auto"/>
          <w:sz w:val="24"/>
          <w:szCs w:val="24"/>
          <w:highlight w:val="none"/>
          <w:lang w:eastAsia="zh-CN"/>
        </w:rPr>
        <w:t>磋商小组</w:t>
      </w:r>
      <w:r>
        <w:rPr>
          <w:rStyle w:val="29"/>
          <w:rFonts w:hint="eastAsia" w:cs="宋体"/>
          <w:b w:val="0"/>
          <w:bCs/>
          <w:color w:val="auto"/>
          <w:sz w:val="24"/>
          <w:szCs w:val="24"/>
          <w:highlight w:val="none"/>
        </w:rPr>
        <w:t>成员。</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w:t>
      </w:r>
      <w:r>
        <w:rPr>
          <w:rStyle w:val="29"/>
          <w:rFonts w:hint="eastAsia" w:cs="宋体"/>
          <w:b w:val="0"/>
          <w:bCs/>
          <w:color w:val="auto"/>
          <w:sz w:val="24"/>
          <w:szCs w:val="24"/>
          <w:highlight w:val="none"/>
          <w:lang w:eastAsia="zh-CN"/>
        </w:rPr>
        <w:t>采购人员</w:t>
      </w:r>
      <w:r>
        <w:rPr>
          <w:rStyle w:val="29"/>
          <w:rFonts w:hint="eastAsia" w:cs="宋体"/>
          <w:b w:val="0"/>
          <w:bCs/>
          <w:color w:val="auto"/>
          <w:sz w:val="24"/>
          <w:szCs w:val="24"/>
          <w:highlight w:val="none"/>
        </w:rPr>
        <w:t>及相关人员与其他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有利害关系的，可以向</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书面提出回避申请，并说明理由。</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将及时询问被申请回避人员，有利害关系的被申请回避人员应当回避。</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5</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val="en-US" w:eastAsia="zh-CN"/>
        </w:rPr>
        <w:t>参与投标</w:t>
      </w:r>
      <w:r>
        <w:rPr>
          <w:rStyle w:val="29"/>
          <w:rFonts w:hint="eastAsia" w:cs="宋体"/>
          <w:b/>
          <w:bCs w:val="0"/>
          <w:color w:val="auto"/>
          <w:sz w:val="24"/>
          <w:szCs w:val="24"/>
          <w:highlight w:val="none"/>
        </w:rPr>
        <w:t>费用</w:t>
      </w:r>
      <w:bookmarkEnd w:id="51"/>
      <w:bookmarkEnd w:id="52"/>
      <w:bookmarkEnd w:id="53"/>
      <w:bookmarkEnd w:id="54"/>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应承担所有与评标准备和评标有关的全部费用，不论评标结果如何，</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和</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无义务和责任承担</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所发生的一切费用。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在</w:t>
      </w:r>
      <w:r>
        <w:rPr>
          <w:rStyle w:val="29"/>
          <w:rFonts w:hint="eastAsia" w:cs="宋体"/>
          <w:b w:val="0"/>
          <w:bCs/>
          <w:color w:val="auto"/>
          <w:sz w:val="24"/>
          <w:szCs w:val="24"/>
          <w:highlight w:val="none"/>
          <w:lang w:val="en-US" w:eastAsia="zh-CN"/>
        </w:rPr>
        <w:t>投标</w:t>
      </w:r>
      <w:r>
        <w:rPr>
          <w:rStyle w:val="29"/>
          <w:rFonts w:hint="eastAsia" w:cs="宋体"/>
          <w:b w:val="0"/>
          <w:bCs/>
          <w:color w:val="auto"/>
          <w:sz w:val="24"/>
          <w:szCs w:val="24"/>
          <w:highlight w:val="none"/>
        </w:rPr>
        <w:t>准备、实地考察和评标的全过程中，如果发生人身伤亡、财物或其它任何损失，不论何种原因所造成，均由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自行承担全部责任和损失。</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6、实地考察和费用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6.1实地考察</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不组织统一实地考察。</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须对</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的现场及</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自理。</w:t>
      </w:r>
    </w:p>
    <w:p>
      <w:pPr>
        <w:pStyle w:val="22"/>
        <w:spacing w:before="75" w:beforeAutospacing="0" w:after="75" w:afterAutospacing="0" w:line="360" w:lineRule="auto"/>
        <w:rPr>
          <w:rStyle w:val="29"/>
          <w:rFonts w:cs="宋体"/>
          <w:b w:val="0"/>
          <w:bCs/>
          <w:color w:val="auto"/>
          <w:sz w:val="24"/>
          <w:szCs w:val="24"/>
          <w:highlight w:val="none"/>
        </w:rPr>
      </w:pPr>
      <w:bookmarkStart w:id="55" w:name="_Toc243907576"/>
      <w:bookmarkStart w:id="56" w:name="_Toc233274816"/>
      <w:bookmarkStart w:id="57" w:name="_Toc243906316"/>
      <w:bookmarkStart w:id="58" w:name="_Toc245897276"/>
      <w:r>
        <w:rPr>
          <w:rStyle w:val="29"/>
          <w:rFonts w:hint="eastAsia" w:cs="宋体"/>
          <w:b w:val="0"/>
          <w:bCs/>
          <w:color w:val="auto"/>
          <w:sz w:val="24"/>
          <w:szCs w:val="24"/>
          <w:highlight w:val="none"/>
        </w:rPr>
        <w:t>7、法律适用</w:t>
      </w:r>
      <w:bookmarkEnd w:id="55"/>
      <w:bookmarkEnd w:id="56"/>
      <w:bookmarkEnd w:id="57"/>
      <w:bookmarkEnd w:id="58"/>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7.1本次评标活动及由本次评标产生的合同受中国法律制约和保护。</w:t>
      </w:r>
    </w:p>
    <w:p>
      <w:pPr>
        <w:pStyle w:val="22"/>
        <w:spacing w:before="75" w:beforeAutospacing="0" w:after="75" w:afterAutospacing="0" w:line="360" w:lineRule="auto"/>
        <w:rPr>
          <w:rStyle w:val="29"/>
          <w:rFonts w:cs="宋体"/>
          <w:b w:val="0"/>
          <w:bCs/>
          <w:color w:val="auto"/>
          <w:sz w:val="24"/>
          <w:szCs w:val="24"/>
          <w:highlight w:val="none"/>
        </w:rPr>
      </w:pPr>
      <w:bookmarkStart w:id="59" w:name="_Toc243906317"/>
      <w:bookmarkStart w:id="60" w:name="_Toc243907577"/>
      <w:bookmarkStart w:id="61" w:name="_Toc233274817"/>
      <w:bookmarkStart w:id="62" w:name="_Toc245897277"/>
      <w:r>
        <w:rPr>
          <w:rStyle w:val="29"/>
          <w:rFonts w:hint="eastAsia" w:cs="宋体"/>
          <w:b w:val="0"/>
          <w:bCs/>
          <w:color w:val="auto"/>
          <w:sz w:val="24"/>
          <w:szCs w:val="24"/>
          <w:highlight w:val="none"/>
        </w:rPr>
        <w:t>8、</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的约束力</w:t>
      </w:r>
      <w:bookmarkEnd w:id="59"/>
      <w:bookmarkEnd w:id="60"/>
      <w:bookmarkEnd w:id="61"/>
      <w:bookmarkEnd w:id="62"/>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若</w:t>
      </w:r>
      <w:r>
        <w:rPr>
          <w:rStyle w:val="29"/>
          <w:rFonts w:hint="eastAsia" w:cs="宋体"/>
          <w:b w:val="0"/>
          <w:bCs/>
          <w:color w:val="auto"/>
          <w:sz w:val="24"/>
          <w:szCs w:val="24"/>
          <w:highlight w:val="none"/>
          <w:lang w:eastAsia="zh-CN"/>
        </w:rPr>
        <w:t>成交</w:t>
      </w:r>
      <w:r>
        <w:rPr>
          <w:rStyle w:val="29"/>
          <w:rFonts w:hint="eastAsia" w:cs="宋体"/>
          <w:b w:val="0"/>
          <w:bCs/>
          <w:color w:val="auto"/>
          <w:sz w:val="24"/>
          <w:szCs w:val="24"/>
          <w:highlight w:val="none"/>
        </w:rPr>
        <w:t>，即被认为接受了本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中的所有条件和规定。是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与</w:t>
      </w:r>
      <w:r>
        <w:rPr>
          <w:rStyle w:val="29"/>
          <w:rFonts w:hint="eastAsia" w:cs="宋体"/>
          <w:b w:val="0"/>
          <w:bCs/>
          <w:color w:val="auto"/>
          <w:sz w:val="24"/>
          <w:szCs w:val="24"/>
          <w:highlight w:val="none"/>
          <w:lang w:eastAsia="zh-CN"/>
        </w:rPr>
        <w:t>成交供应商</w:t>
      </w:r>
      <w:r>
        <w:rPr>
          <w:rStyle w:val="29"/>
          <w:rFonts w:hint="eastAsia" w:cs="宋体"/>
          <w:b w:val="0"/>
          <w:bCs/>
          <w:color w:val="auto"/>
          <w:sz w:val="24"/>
          <w:szCs w:val="24"/>
          <w:highlight w:val="none"/>
        </w:rPr>
        <w:t>签订合同的依据且是合同的组成部分。</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8.2、技术资料</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确认</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提供的技术资料（详见本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第三章）存在缺项、漏项或计算误差，应在前附表第</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项规定的提问截止时间前，以书面方式向</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未在规定的时间内对</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提供的技术资料提出异议，视为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已认可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提供的资料包含了所需的技术资料全部内容。</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rPr>
        <w:t>8.3、</w:t>
      </w:r>
      <w:r>
        <w:rPr>
          <w:rStyle w:val="29"/>
          <w:rFonts w:hint="eastAsia" w:cs="宋体"/>
          <w:b w:val="0"/>
          <w:bCs/>
          <w:color w:val="auto"/>
          <w:sz w:val="24"/>
          <w:szCs w:val="24"/>
          <w:highlight w:val="none"/>
          <w:lang w:eastAsia="zh-CN"/>
        </w:rPr>
        <w:t>投标报价</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8.3.1.</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范围、本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及合同约定等完成本</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的全部费用（包括：</w:t>
      </w:r>
      <w:r>
        <w:rPr>
          <w:rStyle w:val="29"/>
          <w:rFonts w:hint="eastAsia" w:cs="宋体"/>
          <w:b w:val="0"/>
          <w:bCs/>
          <w:color w:val="auto"/>
          <w:sz w:val="24"/>
          <w:szCs w:val="24"/>
          <w:highlight w:val="none"/>
          <w:lang w:eastAsia="zh-CN"/>
        </w:rPr>
        <w:t>人工费、</w:t>
      </w:r>
      <w:r>
        <w:rPr>
          <w:rStyle w:val="29"/>
          <w:rFonts w:hint="eastAsia" w:cs="宋体"/>
          <w:b w:val="0"/>
          <w:bCs/>
          <w:color w:val="auto"/>
          <w:sz w:val="24"/>
          <w:szCs w:val="24"/>
          <w:highlight w:val="none"/>
        </w:rPr>
        <w:t>调研、用车、差旅、税金等所有相关费用）。</w:t>
      </w:r>
    </w:p>
    <w:p>
      <w:pPr>
        <w:pStyle w:val="22"/>
        <w:spacing w:before="75" w:beforeAutospacing="0" w:after="75" w:afterAutospacing="0" w:line="360" w:lineRule="auto"/>
        <w:ind w:firstLine="480" w:firstLineChars="200"/>
        <w:rPr>
          <w:rStyle w:val="29"/>
          <w:rFonts w:cs="宋体"/>
          <w:b w:val="0"/>
          <w:bCs/>
          <w:color w:val="auto"/>
          <w:sz w:val="28"/>
          <w:szCs w:val="28"/>
          <w:highlight w:val="none"/>
        </w:rPr>
      </w:pPr>
      <w:r>
        <w:rPr>
          <w:rStyle w:val="29"/>
          <w:rFonts w:hint="eastAsia" w:cs="宋体"/>
          <w:b w:val="0"/>
          <w:bCs/>
          <w:color w:val="auto"/>
          <w:sz w:val="24"/>
          <w:szCs w:val="24"/>
          <w:highlight w:val="none"/>
        </w:rPr>
        <w:t>8.3.2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认为需包含的其它费用。</w:t>
      </w:r>
    </w:p>
    <w:p>
      <w:pPr>
        <w:pStyle w:val="11"/>
        <w:spacing w:line="360" w:lineRule="auto"/>
        <w:jc w:val="center"/>
        <w:outlineLvl w:val="1"/>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B </w:t>
      </w:r>
      <w:r>
        <w:rPr>
          <w:rFonts w:hint="eastAsia" w:asciiTheme="minorEastAsia" w:hAnsiTheme="minorEastAsia" w:eastAsiaTheme="minorEastAsia" w:cstheme="minorEastAsia"/>
          <w:b/>
          <w:bCs/>
          <w:color w:val="auto"/>
          <w:sz w:val="28"/>
          <w:szCs w:val="28"/>
          <w:highlight w:val="none"/>
          <w:lang w:eastAsia="zh-CN"/>
        </w:rPr>
        <w:t>采购文件</w:t>
      </w:r>
    </w:p>
    <w:p>
      <w:pPr>
        <w:pStyle w:val="11"/>
        <w:spacing w:line="360" w:lineRule="auto"/>
        <w:outlineLvl w:val="1"/>
        <w:rPr>
          <w:rFonts w:asciiTheme="minorEastAsia" w:hAnsiTheme="minorEastAsia" w:eastAsiaTheme="minorEastAsia" w:cstheme="minorEastAsia"/>
          <w:color w:val="auto"/>
          <w:sz w:val="24"/>
          <w:highlight w:val="none"/>
        </w:rPr>
      </w:pPr>
      <w:bookmarkStart w:id="63" w:name="_Toc233274819"/>
      <w:bookmarkStart w:id="64" w:name="_Toc243906319"/>
      <w:bookmarkStart w:id="65" w:name="_Toc243907579"/>
      <w:bookmarkStart w:id="66" w:name="_Toc246216188"/>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的组成</w:t>
      </w:r>
      <w:bookmarkEnd w:id="63"/>
      <w:bookmarkEnd w:id="64"/>
      <w:bookmarkEnd w:id="65"/>
      <w:bookmarkEnd w:id="66"/>
    </w:p>
    <w:p>
      <w:pPr>
        <w:spacing w:line="360" w:lineRule="auto"/>
        <w:ind w:firstLine="48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9.1 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是对</w:t>
      </w:r>
      <w:r>
        <w:rPr>
          <w:rFonts w:hint="eastAsia" w:asciiTheme="minorEastAsia" w:hAnsiTheme="minorEastAsia" w:eastAsiaTheme="minorEastAsia" w:cstheme="minorEastAsia"/>
          <w:color w:val="auto"/>
          <w:sz w:val="24"/>
          <w:highlight w:val="none"/>
          <w:lang w:eastAsia="zh-CN"/>
        </w:rPr>
        <w:t>克拉玛依市克拉玛依区人民政府胜利路街道办事处食堂外包服务采购</w:t>
      </w:r>
      <w:r>
        <w:rPr>
          <w:rFonts w:hint="eastAsia" w:asciiTheme="minorEastAsia" w:hAnsiTheme="minorEastAsia" w:eastAsiaTheme="minorEastAsia" w:cstheme="minorEastAsia"/>
          <w:color w:val="auto"/>
          <w:sz w:val="24"/>
          <w:highlight w:val="none"/>
        </w:rPr>
        <w:t>程序、合同条款进行说明。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包括下列内容：</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第一章  </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公告</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项目采购需求</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合同主要条款</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第六章  </w:t>
      </w:r>
      <w:r>
        <w:rPr>
          <w:rFonts w:hint="eastAsia" w:asciiTheme="minorEastAsia" w:hAnsiTheme="minorEastAsia" w:eastAsiaTheme="minorEastAsia" w:cstheme="minorEastAsia"/>
          <w:color w:val="auto"/>
          <w:sz w:val="24"/>
          <w:highlight w:val="none"/>
          <w:lang w:eastAsia="zh-CN"/>
        </w:rPr>
        <w:t>评审标准</w:t>
      </w:r>
      <w:r>
        <w:rPr>
          <w:rFonts w:hint="eastAsia" w:asciiTheme="minorEastAsia" w:hAnsiTheme="minorEastAsia" w:eastAsiaTheme="minorEastAsia" w:cstheme="minorEastAsia"/>
          <w:color w:val="auto"/>
          <w:sz w:val="24"/>
          <w:highlight w:val="none"/>
        </w:rPr>
        <w:t>（综合评分法）</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以中文编印，以中文文本为准。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除非有特殊要求，</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不单独提供采购项目使用地的自然环境、气候条件、劳动力及公用设施等情况，供应商被视为熟悉上述条件或若成交履行合同有关的一切情况。</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9.4采购人向供应商提供的有关数据和资料，是采购人现有的能被供应商利用的资料，供应商对此做出的推论、理解和结论自行负责。</w:t>
      </w:r>
    </w:p>
    <w:p>
      <w:pPr>
        <w:pStyle w:val="11"/>
        <w:spacing w:line="360" w:lineRule="auto"/>
        <w:rPr>
          <w:rFonts w:asciiTheme="minorEastAsia" w:hAnsiTheme="minorEastAsia" w:eastAsiaTheme="minorEastAsia" w:cstheme="minorEastAsia"/>
          <w:b/>
          <w:bCs/>
          <w:color w:val="auto"/>
          <w:sz w:val="24"/>
          <w:highlight w:val="none"/>
        </w:rPr>
      </w:pPr>
      <w:bookmarkStart w:id="67" w:name="_Toc245897281"/>
      <w:bookmarkStart w:id="68" w:name="_Toc233274821"/>
      <w:bookmarkStart w:id="69" w:name="_Toc243907581"/>
      <w:bookmarkStart w:id="70" w:name="_Toc243906321"/>
      <w:r>
        <w:rPr>
          <w:rFonts w:hint="eastAsia" w:asciiTheme="minorEastAsia" w:hAnsiTheme="minorEastAsia" w:eastAsiaTheme="minorEastAsia" w:cstheme="minorEastAsia"/>
          <w:b/>
          <w:bCs/>
          <w:color w:val="auto"/>
          <w:sz w:val="24"/>
          <w:highlight w:val="none"/>
        </w:rPr>
        <w:t>10、</w:t>
      </w:r>
      <w:bookmarkEnd w:id="67"/>
      <w:bookmarkEnd w:id="68"/>
      <w:bookmarkEnd w:id="69"/>
      <w:bookmarkEnd w:id="70"/>
      <w:r>
        <w:rPr>
          <w:rFonts w:hint="eastAsia" w:asciiTheme="minorEastAsia" w:hAnsiTheme="minorEastAsia" w:eastAsiaTheme="minorEastAsia" w:cstheme="minorEastAsia"/>
          <w:b/>
          <w:bCs/>
          <w:color w:val="auto"/>
          <w:sz w:val="24"/>
          <w:highlight w:val="none"/>
          <w:lang w:eastAsia="zh-CN"/>
        </w:rPr>
        <w:t>采购文件</w:t>
      </w:r>
      <w:r>
        <w:rPr>
          <w:rFonts w:hint="eastAsia" w:asciiTheme="minorEastAsia" w:hAnsiTheme="minorEastAsia" w:eastAsiaTheme="minorEastAsia" w:cstheme="minorEastAsia"/>
          <w:b/>
          <w:bCs/>
          <w:color w:val="auto"/>
          <w:sz w:val="24"/>
          <w:highlight w:val="none"/>
        </w:rPr>
        <w:t>的澄清或修改</w:t>
      </w:r>
    </w:p>
    <w:p>
      <w:pPr>
        <w:pStyle w:val="22"/>
        <w:spacing w:before="75" w:beforeAutospacing="0" w:after="75" w:afterAutospacing="0" w:line="360" w:lineRule="auto"/>
        <w:ind w:firstLine="480" w:firstLineChars="200"/>
        <w:rPr>
          <w:rFonts w:cs="宋体"/>
          <w:color w:val="auto"/>
          <w:sz w:val="24"/>
          <w:szCs w:val="24"/>
          <w:highlight w:val="none"/>
        </w:rPr>
      </w:pPr>
      <w:r>
        <w:rPr>
          <w:rStyle w:val="29"/>
          <w:rFonts w:hint="eastAsia" w:cs="宋体"/>
          <w:b w:val="0"/>
          <w:bCs/>
          <w:color w:val="auto"/>
          <w:sz w:val="24"/>
          <w:szCs w:val="24"/>
          <w:highlight w:val="none"/>
        </w:rPr>
        <w:t xml:space="preserve">10.1 </w:t>
      </w:r>
      <w:r>
        <w:rPr>
          <w:rFonts w:hint="eastAsia" w:cs="宋体"/>
          <w:color w:val="auto"/>
          <w:sz w:val="24"/>
          <w:highlight w:val="none"/>
        </w:rPr>
        <w:t>供应商对采购文件如有疑问，可要求澄清，</w:t>
      </w:r>
      <w:r>
        <w:rPr>
          <w:rFonts w:hint="eastAsia" w:cs="宋体"/>
          <w:color w:val="auto"/>
          <w:sz w:val="24"/>
          <w:szCs w:val="24"/>
          <w:highlight w:val="none"/>
        </w:rPr>
        <w:t>以书面形式（必须加盖供应商公章）送达至</w:t>
      </w:r>
      <w:r>
        <w:rPr>
          <w:rFonts w:hint="eastAsia" w:cs="宋体"/>
          <w:bCs/>
          <w:color w:val="auto"/>
          <w:sz w:val="24"/>
          <w:szCs w:val="24"/>
          <w:highlight w:val="none"/>
          <w:lang w:val="zh-CN"/>
        </w:rPr>
        <w:t>克拉玛依市金科工程监理有限责任公司</w:t>
      </w:r>
      <w:r>
        <w:rPr>
          <w:rFonts w:hint="eastAsia" w:cs="宋体"/>
          <w:color w:val="auto"/>
          <w:sz w:val="24"/>
          <w:szCs w:val="24"/>
          <w:highlight w:val="none"/>
        </w:rPr>
        <w:t>或发至</w:t>
      </w:r>
      <w:r>
        <w:rPr>
          <w:rFonts w:cs="宋体"/>
          <w:color w:val="auto"/>
          <w:sz w:val="24"/>
          <w:szCs w:val="24"/>
          <w:highlight w:val="none"/>
        </w:rPr>
        <w:t>1225783619</w:t>
      </w:r>
      <w:r>
        <w:rPr>
          <w:rFonts w:hint="eastAsia" w:cs="宋体"/>
          <w:color w:val="auto"/>
          <w:sz w:val="24"/>
          <w:szCs w:val="24"/>
          <w:highlight w:val="none"/>
        </w:rPr>
        <w:t>@qq.com，采购人和采购代理机构将对所提疑问视情况以书面形式予以答复，并发至领取采购文件的每位供应商。答复中包括所提问题，但不包括问题的来源。</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提交响应文件截止之日前，采购人、采购代理机构或者专家评审小组可以对已发出的采购文件进行必要的澄清或者修改，澄清或者修改的内容作为采购文件的组成部分。澄清或者修改的内容可能影响响应文件编制的，采购人、采购代理机构应当在提交首次响应文件截止时间至少5日前，通知所有获取采购文件的供应商；不足5日的，采购人、采购代理机构应当顺延提交首次响应文件截止时间。</w:t>
      </w:r>
    </w:p>
    <w:p>
      <w:pPr>
        <w:pStyle w:val="22"/>
        <w:spacing w:before="75" w:beforeAutospacing="0" w:after="75" w:afterAutospacing="0" w:line="360" w:lineRule="auto"/>
        <w:ind w:firstLine="480" w:firstLineChars="200"/>
        <w:rPr>
          <w:rFonts w:cs="宋体"/>
          <w:color w:val="auto"/>
          <w:sz w:val="24"/>
          <w:szCs w:val="24"/>
          <w:highlight w:val="none"/>
        </w:rPr>
      </w:pPr>
      <w:r>
        <w:rPr>
          <w:rFonts w:cs="宋体"/>
          <w:color w:val="auto"/>
          <w:sz w:val="24"/>
          <w:szCs w:val="24"/>
          <w:highlight w:val="none"/>
        </w:rPr>
        <w:t>10.</w:t>
      </w:r>
      <w:r>
        <w:rPr>
          <w:rFonts w:hint="eastAsia" w:cs="宋体"/>
          <w:color w:val="auto"/>
          <w:sz w:val="24"/>
          <w:szCs w:val="24"/>
          <w:highlight w:val="none"/>
        </w:rPr>
        <w:t>3</w:t>
      </w:r>
      <w:r>
        <w:rPr>
          <w:rFonts w:cs="宋体"/>
          <w:color w:val="auto"/>
          <w:sz w:val="24"/>
          <w:szCs w:val="24"/>
          <w:highlight w:val="none"/>
        </w:rPr>
        <w:t xml:space="preserve"> </w:t>
      </w:r>
      <w:r>
        <w:rPr>
          <w:rFonts w:hint="eastAsia" w:cs="宋体"/>
          <w:color w:val="auto"/>
          <w:sz w:val="24"/>
          <w:szCs w:val="24"/>
          <w:highlight w:val="none"/>
        </w:rPr>
        <w:t>采购代理机构</w:t>
      </w:r>
      <w:r>
        <w:rPr>
          <w:rFonts w:cs="宋体"/>
          <w:color w:val="auto"/>
          <w:sz w:val="24"/>
          <w:szCs w:val="24"/>
          <w:highlight w:val="none"/>
        </w:rPr>
        <w:t>对</w:t>
      </w:r>
      <w:r>
        <w:rPr>
          <w:rFonts w:hint="eastAsia" w:cs="宋体"/>
          <w:color w:val="auto"/>
          <w:sz w:val="24"/>
          <w:szCs w:val="24"/>
          <w:highlight w:val="none"/>
        </w:rPr>
        <w:t>采购文件</w:t>
      </w:r>
      <w:r>
        <w:rPr>
          <w:rFonts w:cs="宋体"/>
          <w:color w:val="auto"/>
          <w:sz w:val="24"/>
          <w:szCs w:val="24"/>
          <w:highlight w:val="none"/>
        </w:rPr>
        <w:t>作出的澄清、修改在政采云平台内进行披露，请</w:t>
      </w:r>
      <w:r>
        <w:rPr>
          <w:rFonts w:hint="eastAsia" w:cs="宋体"/>
          <w:color w:val="auto"/>
          <w:sz w:val="24"/>
          <w:szCs w:val="24"/>
          <w:highlight w:val="none"/>
        </w:rPr>
        <w:t>供应商</w:t>
      </w:r>
      <w:r>
        <w:rPr>
          <w:rFonts w:cs="宋体"/>
          <w:color w:val="auto"/>
          <w:sz w:val="24"/>
          <w:szCs w:val="24"/>
          <w:highlight w:val="none"/>
        </w:rPr>
        <w:t>及时关注并获取相关资料。因登记有误、线路故障或其它任何意外情形，导致</w:t>
      </w:r>
      <w:r>
        <w:rPr>
          <w:rFonts w:hint="eastAsia" w:cs="宋体"/>
          <w:color w:val="auto"/>
          <w:sz w:val="24"/>
          <w:szCs w:val="24"/>
          <w:highlight w:val="none"/>
        </w:rPr>
        <w:t>供应商</w:t>
      </w:r>
      <w:r>
        <w:rPr>
          <w:rFonts w:cs="宋体"/>
          <w:color w:val="auto"/>
          <w:sz w:val="24"/>
          <w:szCs w:val="24"/>
          <w:highlight w:val="none"/>
        </w:rPr>
        <w:t>未及时获取的，</w:t>
      </w:r>
      <w:r>
        <w:rPr>
          <w:rFonts w:hint="eastAsia" w:cs="宋体"/>
          <w:color w:val="auto"/>
          <w:sz w:val="24"/>
          <w:szCs w:val="24"/>
          <w:highlight w:val="none"/>
        </w:rPr>
        <w:t>采购代理机构</w:t>
      </w:r>
      <w:r>
        <w:rPr>
          <w:rFonts w:cs="宋体"/>
          <w:color w:val="auto"/>
          <w:sz w:val="24"/>
          <w:szCs w:val="24"/>
          <w:highlight w:val="none"/>
        </w:rPr>
        <w:t>不因此承担任何责任，且有关的招标活动继续有效进行。当</w:t>
      </w:r>
      <w:r>
        <w:rPr>
          <w:rFonts w:hint="eastAsia" w:cs="宋体"/>
          <w:color w:val="auto"/>
          <w:sz w:val="24"/>
          <w:szCs w:val="24"/>
          <w:highlight w:val="none"/>
        </w:rPr>
        <w:t>采购文件</w:t>
      </w:r>
      <w:r>
        <w:rPr>
          <w:rFonts w:cs="宋体"/>
          <w:color w:val="auto"/>
          <w:sz w:val="24"/>
          <w:szCs w:val="24"/>
          <w:highlight w:val="none"/>
        </w:rPr>
        <w:t>的澄清、修改及进行其他答复等就同一内容的表述不一致时，以最后发布的内容为准。</w:t>
      </w:r>
    </w:p>
    <w:p>
      <w:pPr>
        <w:pStyle w:val="22"/>
        <w:spacing w:before="75" w:beforeAutospacing="0" w:after="75" w:afterAutospacing="0" w:line="360" w:lineRule="auto"/>
        <w:ind w:firstLine="480" w:firstLineChars="200"/>
        <w:rPr>
          <w:rFonts w:cs="宋体"/>
          <w:color w:val="auto"/>
          <w:sz w:val="24"/>
          <w:szCs w:val="24"/>
          <w:highlight w:val="none"/>
        </w:rPr>
      </w:pPr>
      <w:r>
        <w:rPr>
          <w:rFonts w:cs="宋体"/>
          <w:color w:val="auto"/>
          <w:sz w:val="24"/>
          <w:szCs w:val="24"/>
          <w:highlight w:val="none"/>
        </w:rPr>
        <w:t>10.</w:t>
      </w:r>
      <w:r>
        <w:rPr>
          <w:rFonts w:hint="eastAsia" w:cs="宋体"/>
          <w:color w:val="auto"/>
          <w:sz w:val="24"/>
          <w:szCs w:val="24"/>
          <w:highlight w:val="none"/>
        </w:rPr>
        <w:t>4</w:t>
      </w:r>
      <w:r>
        <w:rPr>
          <w:rFonts w:cs="宋体"/>
          <w:color w:val="auto"/>
          <w:sz w:val="24"/>
          <w:szCs w:val="24"/>
          <w:highlight w:val="none"/>
        </w:rPr>
        <w:t>澄清、修改文件发出后，</w:t>
      </w:r>
      <w:r>
        <w:rPr>
          <w:rFonts w:hint="eastAsia" w:cs="宋体"/>
          <w:color w:val="auto"/>
          <w:sz w:val="24"/>
          <w:szCs w:val="24"/>
          <w:highlight w:val="none"/>
        </w:rPr>
        <w:t>供应商</w:t>
      </w:r>
      <w:r>
        <w:rPr>
          <w:rFonts w:cs="宋体"/>
          <w:color w:val="auto"/>
          <w:sz w:val="24"/>
          <w:szCs w:val="24"/>
          <w:highlight w:val="none"/>
        </w:rPr>
        <w:t>必须使用最新的答疑、澄清文件制作电子</w:t>
      </w:r>
      <w:r>
        <w:rPr>
          <w:rFonts w:hint="eastAsia" w:cs="宋体"/>
          <w:color w:val="auto"/>
          <w:sz w:val="24"/>
          <w:szCs w:val="24"/>
          <w:highlight w:val="none"/>
        </w:rPr>
        <w:t>响应文件</w:t>
      </w:r>
      <w:r>
        <w:rPr>
          <w:rFonts w:cs="宋体"/>
          <w:color w:val="auto"/>
          <w:sz w:val="24"/>
          <w:szCs w:val="24"/>
          <w:highlight w:val="none"/>
        </w:rPr>
        <w:t>，否则将无法完成上传。</w:t>
      </w:r>
    </w:p>
    <w:p>
      <w:pPr>
        <w:pStyle w:val="11"/>
        <w:spacing w:line="360" w:lineRule="auto"/>
        <w:jc w:val="center"/>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highlight w:val="none"/>
        </w:rPr>
        <w:t>C 响应文件的编写</w:t>
      </w:r>
    </w:p>
    <w:p>
      <w:pPr>
        <w:pStyle w:val="22"/>
        <w:spacing w:before="75" w:beforeAutospacing="0" w:after="75" w:afterAutospacing="0" w:line="360" w:lineRule="auto"/>
        <w:rPr>
          <w:rStyle w:val="29"/>
          <w:rFonts w:cs="宋体"/>
          <w:b/>
          <w:bCs w:val="0"/>
          <w:color w:val="auto"/>
          <w:sz w:val="24"/>
          <w:szCs w:val="24"/>
          <w:highlight w:val="none"/>
        </w:rPr>
      </w:pPr>
      <w:bookmarkStart w:id="71" w:name="_Toc243906323"/>
      <w:bookmarkStart w:id="72" w:name="_Toc243907583"/>
      <w:bookmarkStart w:id="73" w:name="_Toc245897283"/>
      <w:bookmarkStart w:id="74" w:name="_Toc460703963"/>
      <w:bookmarkStart w:id="75" w:name="_Toc239650588"/>
      <w:bookmarkStart w:id="76" w:name="_Toc239649752"/>
      <w:bookmarkStart w:id="77" w:name="_Toc239649300"/>
      <w:bookmarkStart w:id="78" w:name="_Toc239651307"/>
      <w:bookmarkStart w:id="79" w:name="_Toc239649376"/>
      <w:bookmarkStart w:id="80" w:name="_Toc424211817"/>
      <w:bookmarkStart w:id="81" w:name="_Toc424059487"/>
      <w:bookmarkStart w:id="82" w:name="_Toc239822493"/>
      <w:bookmarkStart w:id="83" w:name="_Toc239822608"/>
      <w:bookmarkStart w:id="84" w:name="_Toc239648854"/>
      <w:bookmarkStart w:id="85" w:name="_Toc239648588"/>
      <w:r>
        <w:rPr>
          <w:rStyle w:val="29"/>
          <w:rFonts w:hint="eastAsia" w:cs="宋体"/>
          <w:b/>
          <w:bCs w:val="0"/>
          <w:color w:val="auto"/>
          <w:sz w:val="24"/>
          <w:szCs w:val="24"/>
          <w:highlight w:val="none"/>
          <w:lang w:val="en-US" w:eastAsia="zh-CN"/>
        </w:rPr>
        <w:t>11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的编写</w:t>
      </w:r>
      <w:bookmarkEnd w:id="71"/>
      <w:bookmarkEnd w:id="72"/>
      <w:bookmarkEnd w:id="73"/>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22"/>
        <w:spacing w:before="75" w:beforeAutospacing="0" w:after="75" w:afterAutospacing="0" w:line="360" w:lineRule="auto"/>
        <w:rPr>
          <w:rStyle w:val="29"/>
          <w:rFonts w:hint="eastAsia" w:cs="宋体"/>
          <w:b/>
          <w:bCs w:val="0"/>
          <w:color w:val="auto"/>
          <w:sz w:val="24"/>
          <w:szCs w:val="24"/>
          <w:highlight w:val="none"/>
        </w:rPr>
      </w:pPr>
      <w:bookmarkStart w:id="86" w:name="_Toc243906325"/>
      <w:bookmarkStart w:id="87" w:name="_Toc233274825"/>
      <w:bookmarkStart w:id="88" w:name="_Toc243907585"/>
      <w:bookmarkStart w:id="89" w:name="_Toc245897285"/>
      <w:r>
        <w:rPr>
          <w:rStyle w:val="29"/>
          <w:rFonts w:hint="eastAsia" w:cs="宋体"/>
          <w:b/>
          <w:bCs w:val="0"/>
          <w:color w:val="auto"/>
          <w:sz w:val="24"/>
          <w:szCs w:val="24"/>
          <w:highlight w:val="none"/>
          <w:lang w:val="en-US" w:eastAsia="zh-CN"/>
        </w:rPr>
        <w:t>12</w:t>
      </w:r>
      <w:bookmarkEnd w:id="86"/>
      <w:bookmarkEnd w:id="87"/>
      <w:bookmarkEnd w:id="88"/>
      <w:bookmarkEnd w:id="89"/>
      <w:r>
        <w:rPr>
          <w:rStyle w:val="29"/>
          <w:rFonts w:hint="eastAsia" w:cs="宋体"/>
          <w:b/>
          <w:bCs w:val="0"/>
          <w:color w:val="auto"/>
          <w:sz w:val="24"/>
          <w:szCs w:val="24"/>
          <w:highlight w:val="none"/>
          <w:lang w:val="en-US" w:eastAsia="zh-CN"/>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的组成</w:t>
      </w:r>
      <w:r>
        <w:rPr>
          <w:rStyle w:val="29"/>
          <w:rFonts w:hint="eastAsia" w:cs="宋体"/>
          <w:b/>
          <w:bCs w:val="0"/>
          <w:color w:val="auto"/>
          <w:sz w:val="24"/>
          <w:szCs w:val="24"/>
          <w:highlight w:val="none"/>
          <w:lang w:eastAsia="zh-CN"/>
        </w:rPr>
        <w:t>（以下响应文件格式详见第五章“</w:t>
      </w:r>
      <w:r>
        <w:rPr>
          <w:rStyle w:val="29"/>
          <w:rFonts w:hint="eastAsia" w:cs="宋体"/>
          <w:b/>
          <w:bCs w:val="0"/>
          <w:color w:val="auto"/>
          <w:sz w:val="24"/>
          <w:szCs w:val="24"/>
          <w:highlight w:val="none"/>
          <w:lang w:val="en-US" w:eastAsia="zh-CN"/>
        </w:rPr>
        <w:t>响应文件</w:t>
      </w:r>
      <w:r>
        <w:rPr>
          <w:rStyle w:val="29"/>
          <w:rFonts w:hint="eastAsia" w:cs="宋体"/>
          <w:b/>
          <w:bCs w:val="0"/>
          <w:color w:val="auto"/>
          <w:sz w:val="24"/>
          <w:szCs w:val="24"/>
          <w:highlight w:val="none"/>
          <w:lang w:eastAsia="zh-CN"/>
        </w:rPr>
        <w:t>格式”）</w:t>
      </w:r>
    </w:p>
    <w:p>
      <w:pPr>
        <w:pStyle w:val="11"/>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12.1资格证明文件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（1）“资格证明文件”封面</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（2）资格性/符合性自查表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（3）诚信承诺书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（4）具有履行合同所必需的设备和专业技术能力的承诺书</w:t>
      </w:r>
    </w:p>
    <w:p>
      <w:pPr>
        <w:widowControl/>
        <w:spacing w:line="360" w:lineRule="auto"/>
        <w:ind w:firstLine="480" w:firstLineChars="200"/>
        <w:jc w:val="left"/>
        <w:rPr>
          <w:rStyle w:val="29"/>
          <w:rFonts w:cs="宋体"/>
          <w:b w:val="0"/>
          <w:bCs/>
          <w:color w:val="auto"/>
          <w:sz w:val="24"/>
          <w:highlight w:val="none"/>
        </w:rPr>
      </w:pPr>
      <w:r>
        <w:rPr>
          <w:rFonts w:hint="eastAsia" w:ascii="宋体" w:hAnsi="宋体" w:cs="宋体"/>
          <w:color w:val="auto"/>
          <w:kern w:val="0"/>
          <w:sz w:val="24"/>
          <w:highlight w:val="none"/>
          <w:lang w:bidi="ar"/>
        </w:rPr>
        <w:t>（5）无重大违法记录承诺书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（6）法定代表人资格证明书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（7）法定代表人授权书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（8）相关证件：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①三证合一营业执照（副本）或事业单位法人证书（副本）复印件；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②</w:t>
      </w:r>
      <w:r>
        <w:rPr>
          <w:rStyle w:val="29"/>
          <w:rFonts w:cs="宋体"/>
          <w:b w:val="0"/>
          <w:bCs/>
          <w:color w:val="auto"/>
          <w:sz w:val="24"/>
          <w:szCs w:val="24"/>
          <w:highlight w:val="none"/>
        </w:rPr>
        <w:t>提供</w:t>
      </w:r>
      <w:r>
        <w:rPr>
          <w:rStyle w:val="29"/>
          <w:rFonts w:hint="eastAsia" w:cs="宋体"/>
          <w:b w:val="0"/>
          <w:bCs/>
          <w:color w:val="auto"/>
          <w:sz w:val="24"/>
          <w:szCs w:val="24"/>
          <w:highlight w:val="none"/>
          <w:lang w:eastAsia="zh-CN"/>
        </w:rPr>
        <w:t>近</w:t>
      </w:r>
      <w:r>
        <w:rPr>
          <w:rStyle w:val="29"/>
          <w:rFonts w:cs="宋体"/>
          <w:b w:val="0"/>
          <w:bCs/>
          <w:color w:val="auto"/>
          <w:sz w:val="24"/>
          <w:szCs w:val="24"/>
          <w:highlight w:val="none"/>
        </w:rPr>
        <w:t>三个月任意一个月</w:t>
      </w:r>
      <w:r>
        <w:rPr>
          <w:rStyle w:val="29"/>
          <w:rFonts w:hint="eastAsia" w:cs="宋体"/>
          <w:b w:val="0"/>
          <w:bCs/>
          <w:color w:val="auto"/>
          <w:sz w:val="24"/>
          <w:szCs w:val="24"/>
          <w:highlight w:val="none"/>
        </w:rPr>
        <w:t>依法缴纳税收和社会保障资金的良好记录的证明材料（附复印件）；</w:t>
      </w:r>
    </w:p>
    <w:p>
      <w:pPr>
        <w:pStyle w:val="22"/>
        <w:spacing w:before="75" w:beforeAutospacing="0" w:after="75" w:afterAutospacing="0" w:line="360" w:lineRule="auto"/>
        <w:ind w:firstLine="482" w:firstLineChars="200"/>
        <w:rPr>
          <w:rStyle w:val="29"/>
          <w:rFonts w:cs="宋体"/>
          <w:b w:val="0"/>
          <w:bCs/>
          <w:color w:val="auto"/>
          <w:sz w:val="24"/>
          <w:szCs w:val="24"/>
          <w:highlight w:val="none"/>
        </w:rPr>
      </w:pPr>
      <w:r>
        <w:rPr>
          <w:rStyle w:val="29"/>
          <w:rFonts w:hint="eastAsia" w:cs="宋体"/>
          <w:color w:val="auto"/>
          <w:sz w:val="24"/>
          <w:szCs w:val="24"/>
          <w:highlight w:val="none"/>
        </w:rPr>
        <w:t>③</w:t>
      </w:r>
      <w:r>
        <w:rPr>
          <w:rStyle w:val="29"/>
          <w:rFonts w:hint="eastAsia" w:cs="宋体"/>
          <w:b w:val="0"/>
          <w:bCs/>
          <w:color w:val="auto"/>
          <w:sz w:val="24"/>
          <w:szCs w:val="24"/>
          <w:highlight w:val="none"/>
          <w:lang w:val="en-US" w:eastAsia="zh-CN"/>
        </w:rPr>
        <w:t>提供</w:t>
      </w:r>
      <w:r>
        <w:rPr>
          <w:rStyle w:val="29"/>
          <w:rFonts w:hint="eastAsia" w:cs="宋体"/>
          <w:b w:val="0"/>
          <w:bCs/>
          <w:color w:val="auto"/>
          <w:sz w:val="24"/>
          <w:szCs w:val="24"/>
          <w:highlight w:val="none"/>
          <w:u w:val="single"/>
          <w:lang w:val="en-US" w:eastAsia="zh-CN"/>
        </w:rPr>
        <w:t>2021年度或2022年度经审计财务会计报告</w:t>
      </w:r>
      <w:r>
        <w:rPr>
          <w:rStyle w:val="29"/>
          <w:rFonts w:hint="eastAsia" w:cs="宋体"/>
          <w:b w:val="0"/>
          <w:bCs/>
          <w:color w:val="auto"/>
          <w:sz w:val="24"/>
          <w:szCs w:val="24"/>
          <w:highlight w:val="none"/>
          <w:lang w:val="en-US" w:eastAsia="zh-CN"/>
        </w:rPr>
        <w:t>（至少包括资产负债表、损益表、利润表、现金流量表，新成立的公司提供情况说明</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企业财务报表</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基本开户银行出具的资信证明</w:t>
      </w:r>
      <w:r>
        <w:rPr>
          <w:rStyle w:val="29"/>
          <w:rFonts w:hint="eastAsia"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Hans"/>
        </w:rPr>
        <w:t>④</w:t>
      </w:r>
      <w:r>
        <w:rPr>
          <w:rStyle w:val="29"/>
          <w:rFonts w:hint="eastAsia" w:cs="宋体"/>
          <w:b w:val="0"/>
          <w:bCs/>
          <w:color w:val="auto"/>
          <w:sz w:val="24"/>
          <w:szCs w:val="24"/>
          <w:highlight w:val="none"/>
        </w:rPr>
        <w:t>法律、行政法规、本采购文件规定的其他条件。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w:t>
      </w:r>
      <w:r>
        <w:rPr>
          <w:rStyle w:val="29"/>
          <w:rFonts w:hint="eastAsia" w:ascii="宋体" w:hAnsi="宋体" w:eastAsia="宋体" w:cs="宋体"/>
          <w:b w:val="0"/>
          <w:bCs/>
          <w:color w:val="auto"/>
          <w:sz w:val="24"/>
          <w:szCs w:val="24"/>
          <w:highlight w:val="none"/>
          <w:lang w:eastAsia="zh-CN"/>
        </w:rPr>
        <w:t>开标一览表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w:t>
      </w:r>
      <w:r>
        <w:rPr>
          <w:rFonts w:hint="eastAsia" w:ascii="宋体" w:hAnsi="宋体" w:cs="宋体"/>
          <w:b w:val="0"/>
          <w:bCs w:val="0"/>
          <w:color w:val="auto"/>
          <w:kern w:val="0"/>
          <w:sz w:val="24"/>
          <w:szCs w:val="24"/>
          <w:highlight w:val="none"/>
          <w:lang w:val="en-US" w:eastAsia="zh-CN"/>
        </w:rPr>
        <w:t>20</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29"/>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）项目实施方案（包括但不限于：①实施目标、范围和任务②实施方案、工作流程、质量保证措施等③服务团队组织安排计划④关键节点控制措施）</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拟</w:t>
      </w:r>
      <w:r>
        <w:rPr>
          <w:rStyle w:val="29"/>
          <w:rFonts w:hint="eastAsia" w:ascii="Times New Roman" w:hAnsi="Times New Roman" w:eastAsia="宋体" w:cs="宋体"/>
          <w:b w:val="0"/>
          <w:bCs w:val="0"/>
          <w:color w:val="auto"/>
          <w:sz w:val="24"/>
          <w:szCs w:val="24"/>
          <w:highlight w:val="none"/>
          <w:lang w:val="en-US" w:eastAsia="zh-CN"/>
        </w:rPr>
        <w:t>投入设备设施清单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0</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质量</w:t>
      </w:r>
      <w:r>
        <w:rPr>
          <w:rFonts w:hint="eastAsia" w:ascii="宋体" w:hAnsi="宋体" w:cs="宋体"/>
          <w:b w:val="0"/>
          <w:bCs w:val="0"/>
          <w:color w:val="auto"/>
          <w:kern w:val="0"/>
          <w:sz w:val="24"/>
          <w:szCs w:val="24"/>
          <w:highlight w:val="none"/>
          <w:lang w:val="en-US" w:eastAsia="zh-CN"/>
        </w:rPr>
        <w:t>控制方案</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合理化建议及</w:t>
      </w:r>
      <w:r>
        <w:rPr>
          <w:rFonts w:hint="eastAsia" w:ascii="宋体" w:hAnsi="宋体" w:cs="宋体"/>
          <w:b w:val="0"/>
          <w:bCs w:val="0"/>
          <w:color w:val="auto"/>
          <w:kern w:val="0"/>
          <w:sz w:val="24"/>
          <w:szCs w:val="24"/>
          <w:highlight w:val="none"/>
          <w:lang w:val="en-US" w:eastAsia="zh-CN"/>
        </w:rPr>
        <w:t>增值</w:t>
      </w:r>
      <w:r>
        <w:rPr>
          <w:rFonts w:hint="eastAsia" w:ascii="宋体" w:hAnsi="宋体" w:eastAsia="宋体" w:cs="宋体"/>
          <w:b w:val="0"/>
          <w:bCs w:val="0"/>
          <w:color w:val="auto"/>
          <w:kern w:val="0"/>
          <w:sz w:val="24"/>
          <w:szCs w:val="24"/>
          <w:highlight w:val="none"/>
          <w:lang w:val="en-US" w:eastAsia="zh-CN"/>
        </w:rPr>
        <w:t>服务承诺</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13</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拟提供的餐盒、</w:t>
      </w:r>
      <w:r>
        <w:rPr>
          <w:rFonts w:hint="eastAsia" w:ascii="宋体" w:hAnsi="宋体" w:cs="宋体"/>
          <w:b w:val="0"/>
          <w:bCs w:val="0"/>
          <w:color w:val="auto"/>
          <w:kern w:val="0"/>
          <w:sz w:val="24"/>
          <w:szCs w:val="24"/>
          <w:highlight w:val="none"/>
          <w:lang w:val="en-US" w:eastAsia="zh-CN"/>
        </w:rPr>
        <w:t>菜品</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2"/>
        <w:spacing w:before="75" w:beforeAutospacing="0" w:after="75" w:afterAutospacing="0" w:line="360" w:lineRule="auto"/>
        <w:ind w:firstLine="482" w:firstLineChars="200"/>
        <w:rPr>
          <w:rStyle w:val="29"/>
          <w:rFonts w:hint="eastAsia" w:cs="宋体"/>
          <w:b/>
          <w:bCs w:val="0"/>
          <w:color w:val="auto"/>
          <w:sz w:val="24"/>
          <w:szCs w:val="24"/>
          <w:highlight w:val="none"/>
        </w:rPr>
      </w:pPr>
      <w:r>
        <w:rPr>
          <w:rStyle w:val="29"/>
          <w:rFonts w:hint="eastAsia" w:cs="宋体"/>
          <w:b/>
          <w:bCs w:val="0"/>
          <w:color w:val="auto"/>
          <w:sz w:val="24"/>
          <w:szCs w:val="24"/>
          <w:highlight w:val="none"/>
        </w:rPr>
        <w:t>特别说明：</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①上述各种证件、证书复印件须加盖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公章。如未按要求加盖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公章者，可能导致其</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无效。</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②</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应如实提供资料，并保证真实可靠，不得弄虚作假。如</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隐瞒事实真相、弄虚作假，一经查实，取消该</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的</w:t>
      </w:r>
      <w:r>
        <w:rPr>
          <w:rStyle w:val="29"/>
          <w:rFonts w:hint="eastAsia" w:cs="宋体"/>
          <w:b/>
          <w:bCs w:val="0"/>
          <w:color w:val="auto"/>
          <w:sz w:val="24"/>
          <w:szCs w:val="24"/>
          <w:highlight w:val="none"/>
          <w:lang w:eastAsia="zh-CN"/>
        </w:rPr>
        <w:t>投标</w:t>
      </w:r>
      <w:r>
        <w:rPr>
          <w:rStyle w:val="29"/>
          <w:rFonts w:hint="eastAsia" w:cs="宋体"/>
          <w:b/>
          <w:bCs w:val="0"/>
          <w:color w:val="auto"/>
          <w:sz w:val="24"/>
          <w:szCs w:val="24"/>
          <w:highlight w:val="none"/>
        </w:rPr>
        <w:t>资格，若中标的，取消其中标资格。</w:t>
      </w:r>
    </w:p>
    <w:p>
      <w:pPr>
        <w:pStyle w:val="22"/>
        <w:spacing w:before="75" w:beforeAutospacing="0" w:after="75" w:afterAutospacing="0" w:line="360" w:lineRule="auto"/>
        <w:ind w:firstLine="482" w:firstLineChars="200"/>
        <w:rPr>
          <w:rFonts w:hint="default" w:ascii="宋体" w:hAnsi="宋体" w:eastAsia="宋体" w:cs="宋体"/>
          <w:b w:val="0"/>
          <w:bCs w:val="0"/>
          <w:color w:val="auto"/>
          <w:kern w:val="0"/>
          <w:sz w:val="24"/>
          <w:szCs w:val="24"/>
          <w:highlight w:val="yellow"/>
          <w:lang w:val="en-US" w:eastAsia="zh-CN"/>
        </w:rPr>
      </w:pPr>
      <w:bookmarkStart w:id="90" w:name="_Toc243907587"/>
      <w:bookmarkStart w:id="91" w:name="_Toc243906326"/>
      <w:bookmarkStart w:id="92" w:name="_Toc233274827"/>
      <w:bookmarkStart w:id="93" w:name="_Toc245897286"/>
      <w:bookmarkStart w:id="94" w:name="_Toc246216196"/>
      <w:r>
        <w:rPr>
          <w:rStyle w:val="29"/>
          <w:rFonts w:hint="eastAsia" w:cs="宋体"/>
          <w:color w:val="auto"/>
          <w:sz w:val="24"/>
          <w:szCs w:val="24"/>
          <w:highlight w:val="none"/>
          <w:lang w:eastAsia="zh-CN"/>
        </w:rPr>
        <w:t>③响应文件</w:t>
      </w:r>
      <w:r>
        <w:rPr>
          <w:rStyle w:val="29"/>
          <w:rFonts w:hint="eastAsia" w:cs="宋体"/>
          <w:color w:val="auto"/>
          <w:sz w:val="24"/>
          <w:szCs w:val="24"/>
          <w:highlight w:val="none"/>
        </w:rPr>
        <w:t>包括但不限于</w:t>
      </w:r>
      <w:r>
        <w:rPr>
          <w:rStyle w:val="29"/>
          <w:rFonts w:hint="eastAsia" w:cs="宋体"/>
          <w:color w:val="auto"/>
          <w:sz w:val="24"/>
          <w:szCs w:val="24"/>
          <w:highlight w:val="none"/>
          <w:lang w:eastAsia="zh-CN"/>
        </w:rPr>
        <w:t>以上</w:t>
      </w:r>
      <w:r>
        <w:rPr>
          <w:rStyle w:val="29"/>
          <w:rFonts w:hint="eastAsia" w:cs="宋体"/>
          <w:color w:val="auto"/>
          <w:sz w:val="24"/>
          <w:szCs w:val="24"/>
          <w:highlight w:val="none"/>
        </w:rPr>
        <w:t>内容，各</w:t>
      </w:r>
      <w:r>
        <w:rPr>
          <w:rStyle w:val="29"/>
          <w:rFonts w:hint="eastAsia" w:cs="宋体"/>
          <w:color w:val="auto"/>
          <w:sz w:val="24"/>
          <w:szCs w:val="24"/>
          <w:highlight w:val="none"/>
          <w:lang w:eastAsia="zh-CN"/>
        </w:rPr>
        <w:t>供应商</w:t>
      </w:r>
      <w:r>
        <w:rPr>
          <w:rStyle w:val="29"/>
          <w:rFonts w:hint="eastAsia" w:cs="宋体"/>
          <w:color w:val="auto"/>
          <w:sz w:val="24"/>
          <w:szCs w:val="24"/>
          <w:highlight w:val="none"/>
        </w:rPr>
        <w:t>应对照“第三章 项目采购需求”及“第六章</w:t>
      </w:r>
      <w:r>
        <w:rPr>
          <w:rStyle w:val="29"/>
          <w:rFonts w:hint="eastAsia" w:cs="宋体"/>
          <w:color w:val="auto"/>
          <w:sz w:val="24"/>
          <w:szCs w:val="24"/>
          <w:highlight w:val="none"/>
          <w:lang w:val="en-US" w:eastAsia="zh-CN"/>
        </w:rPr>
        <w:t xml:space="preserve"> </w:t>
      </w:r>
      <w:r>
        <w:rPr>
          <w:rStyle w:val="29"/>
          <w:rFonts w:hint="eastAsia" w:cs="宋体"/>
          <w:color w:val="auto"/>
          <w:sz w:val="24"/>
          <w:szCs w:val="24"/>
          <w:highlight w:val="none"/>
        </w:rPr>
        <w:t>评审标准（综合评分法）”提供相关的证明资料</w:t>
      </w:r>
      <w:r>
        <w:rPr>
          <w:rStyle w:val="29"/>
          <w:rFonts w:hint="eastAsia" w:cs="宋体"/>
          <w:color w:val="auto"/>
          <w:sz w:val="24"/>
          <w:szCs w:val="24"/>
          <w:highlight w:val="none"/>
          <w:lang w:eastAsia="zh-CN"/>
        </w:rPr>
        <w:t>。</w:t>
      </w:r>
      <w:bookmarkEnd w:id="90"/>
      <w:bookmarkEnd w:id="91"/>
      <w:bookmarkEnd w:id="92"/>
      <w:bookmarkEnd w:id="93"/>
      <w:bookmarkEnd w:id="94"/>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3</w:t>
      </w:r>
      <w:r>
        <w:rPr>
          <w:rFonts w:hint="eastAsia" w:asciiTheme="minorEastAsia" w:hAnsiTheme="minorEastAsia" w:eastAsiaTheme="minorEastAsia" w:cstheme="minorEastAsia"/>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供应商应按本章“1</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、响应文件的组成”中的要求提供响应文件，文件格式可参考第五</w:t>
      </w:r>
      <w:r>
        <w:rPr>
          <w:rFonts w:hint="eastAsia" w:asciiTheme="minorEastAsia" w:hAnsiTheme="minorEastAsia" w:eastAsiaTheme="minorEastAsia" w:cstheme="minorEastAsia"/>
          <w:color w:val="auto"/>
          <w:sz w:val="24"/>
          <w:szCs w:val="21"/>
          <w:highlight w:val="none"/>
          <w:lang w:eastAsia="zh-CN"/>
        </w:rPr>
        <w:t>章</w:t>
      </w:r>
      <w:r>
        <w:rPr>
          <w:rFonts w:hint="eastAsia" w:asciiTheme="minorEastAsia" w:hAnsiTheme="minorEastAsia" w:eastAsiaTheme="minorEastAsia" w:cstheme="minorEastAsia"/>
          <w:color w:val="auto"/>
          <w:sz w:val="24"/>
          <w:szCs w:val="21"/>
          <w:highlight w:val="none"/>
        </w:rPr>
        <w:t>“响应文件格式”。若表格的栏目设计不够，供应商可按照同一格式自制表格填写；未提出的格式，供应商应自行拟定格式佐证响应。</w:t>
      </w:r>
    </w:p>
    <w:p>
      <w:pPr>
        <w:pStyle w:val="11"/>
        <w:spacing w:line="360" w:lineRule="auto"/>
        <w:outlineLvl w:val="1"/>
        <w:rPr>
          <w:rFonts w:asciiTheme="minorEastAsia" w:hAnsiTheme="minorEastAsia" w:eastAsiaTheme="minorEastAsia" w:cstheme="minorEastAsia"/>
          <w:b/>
          <w:bCs/>
          <w:color w:val="auto"/>
          <w:sz w:val="24"/>
          <w:highlight w:val="none"/>
        </w:rPr>
      </w:pPr>
      <w:bookmarkStart w:id="95" w:name="_Toc460703964"/>
      <w:bookmarkStart w:id="96" w:name="_Toc239650589"/>
      <w:bookmarkStart w:id="97" w:name="_Toc239822494"/>
      <w:bookmarkStart w:id="98" w:name="_Toc424059488"/>
      <w:bookmarkStart w:id="99" w:name="_Toc239648855"/>
      <w:bookmarkStart w:id="100" w:name="_Toc239651308"/>
      <w:bookmarkStart w:id="101" w:name="_Toc424211818"/>
      <w:bookmarkStart w:id="102" w:name="_Toc239648589"/>
      <w:bookmarkStart w:id="103" w:name="_Toc239822609"/>
      <w:bookmarkStart w:id="104" w:name="_Toc239649301"/>
      <w:bookmarkStart w:id="105" w:name="_Toc239649377"/>
      <w:bookmarkStart w:id="106" w:name="_Toc239649753"/>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、响应文件的语言及计量单位</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除在</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1"/>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、知识产权</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 采购人享有本项目实施过程中产生的知识成果及知识产权。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07" w:name="_Toc239648592"/>
      <w:bookmarkStart w:id="108" w:name="_Toc239822497"/>
      <w:bookmarkStart w:id="109" w:name="_Toc239650592"/>
      <w:bookmarkStart w:id="110" w:name="_Toc239649304"/>
      <w:bookmarkStart w:id="111" w:name="_Toc239648858"/>
      <w:bookmarkStart w:id="112" w:name="_Toc239649380"/>
      <w:bookmarkStart w:id="113" w:name="_Toc239649756"/>
      <w:bookmarkStart w:id="114" w:name="_Toc239651311"/>
      <w:bookmarkStart w:id="115" w:name="_Toc239822612"/>
      <w:r>
        <w:rPr>
          <w:rFonts w:hint="eastAsia" w:asciiTheme="minorEastAsia" w:hAnsiTheme="minorEastAsia" w:eastAsiaTheme="minorEastAsia" w:cstheme="minorEastAsia"/>
          <w:color w:val="auto"/>
          <w:sz w:val="24"/>
          <w:szCs w:val="21"/>
          <w:highlight w:val="none"/>
        </w:rPr>
        <w:t>本次磋商报价采用两轮报价。</w:t>
      </w:r>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16" w:name="_Toc245897288"/>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.1</w:t>
      </w:r>
      <w:r>
        <w:rPr>
          <w:rFonts w:hint="eastAsia" w:ascii="宋体" w:hAnsi="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.3商务报价中不得包含合同条款、技术规范及标准、项目采购需求、本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要求以外的其他内容。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.4商务报价总价应包括的内容和计价因素</w:t>
      </w:r>
    </w:p>
    <w:p>
      <w:pPr>
        <w:numPr>
          <w:ilvl w:val="0"/>
          <w:numId w:val="1"/>
        </w:num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报价包含的内容：</w:t>
      </w:r>
      <w:r>
        <w:rPr>
          <w:rFonts w:hint="eastAsia" w:ascii="宋体" w:hAnsi="宋体" w:cs="宋体"/>
          <w:bCs/>
          <w:color w:val="auto"/>
          <w:kern w:val="0"/>
          <w:sz w:val="24"/>
          <w:szCs w:val="24"/>
          <w:highlight w:val="none"/>
          <w:lang w:val="zh-CN" w:eastAsia="zh-CN" w:bidi="ar-SA"/>
        </w:rPr>
        <w:t>完成克拉玛依市克拉玛依区人民政府胜利路街道办事处食堂外包服务包含的全部内容，本次采购涉及到胜利路街道机关、长征社区,共有食堂</w:t>
      </w:r>
      <w:r>
        <w:rPr>
          <w:rFonts w:hint="default" w:ascii="宋体" w:hAnsi="宋体" w:cs="宋体"/>
          <w:bCs/>
          <w:color w:val="auto"/>
          <w:kern w:val="0"/>
          <w:sz w:val="24"/>
          <w:szCs w:val="24"/>
          <w:highlight w:val="none"/>
          <w:lang w:eastAsia="zh-CN" w:bidi="ar-SA"/>
        </w:rPr>
        <w:t>2</w:t>
      </w:r>
      <w:r>
        <w:rPr>
          <w:rFonts w:hint="eastAsia" w:ascii="宋体" w:hAnsi="宋体" w:cs="宋体"/>
          <w:bCs/>
          <w:color w:val="auto"/>
          <w:kern w:val="0"/>
          <w:sz w:val="24"/>
          <w:szCs w:val="24"/>
          <w:highlight w:val="none"/>
          <w:lang w:val="zh-CN" w:eastAsia="zh-CN" w:bidi="ar-SA"/>
        </w:rPr>
        <w:t>个，后期可合并。供应商需满足街道机关及社区的餐饮实际需求提供食堂现场制作、线下堂食等多样化服务，并针对不同的服务需求制定合理可行的实施方案和质量保证措施。</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（2）供应商根据对本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1"/>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、商务报价货币</w:t>
      </w:r>
      <w:bookmarkEnd w:id="116"/>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商务报价一览表、设备、材料清单及价格明细表和响应文件中的所有报价一律使用人民币（RMB）填报。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2"/>
        <w:spacing w:before="75" w:beforeAutospacing="0" w:after="75" w:afterAutospacing="0" w:line="360" w:lineRule="auto"/>
        <w:rPr>
          <w:rStyle w:val="29"/>
          <w:rFonts w:hint="eastAsia" w:ascii="Times New Roman" w:hAnsi="Times New Roman" w:eastAsia="宋体" w:cs="宋体"/>
          <w:b/>
          <w:bCs/>
          <w:color w:val="auto"/>
          <w:sz w:val="24"/>
          <w:szCs w:val="24"/>
          <w:highlight w:val="none"/>
        </w:rPr>
      </w:pPr>
      <w:bookmarkStart w:id="117" w:name="_Toc233274832"/>
      <w:bookmarkStart w:id="118" w:name="_Toc243907592"/>
      <w:bookmarkStart w:id="119" w:name="_Toc243906331"/>
      <w:bookmarkStart w:id="120" w:name="_Toc245897292"/>
      <w:bookmarkStart w:id="121" w:name="_Toc460703966"/>
      <w:bookmarkStart w:id="122" w:name="_Toc239651312"/>
      <w:bookmarkStart w:id="123" w:name="_Toc424059490"/>
      <w:bookmarkStart w:id="124" w:name="_Toc239649305"/>
      <w:bookmarkStart w:id="125" w:name="_Toc239822498"/>
      <w:bookmarkStart w:id="126" w:name="_Toc239822613"/>
      <w:bookmarkStart w:id="127" w:name="_Toc239649757"/>
      <w:bookmarkStart w:id="128" w:name="_Toc239648593"/>
      <w:bookmarkStart w:id="129" w:name="_Toc239650593"/>
      <w:bookmarkStart w:id="130" w:name="_Toc239649381"/>
      <w:bookmarkStart w:id="131" w:name="_Toc239648859"/>
      <w:bookmarkStart w:id="132" w:name="_Toc424211820"/>
      <w:r>
        <w:rPr>
          <w:rStyle w:val="29"/>
          <w:rFonts w:hint="eastAsia" w:ascii="Times New Roman" w:hAnsi="Times New Roman" w:eastAsia="宋体" w:cs="宋体"/>
          <w:b/>
          <w:bCs/>
          <w:color w:val="auto"/>
          <w:sz w:val="24"/>
          <w:szCs w:val="24"/>
          <w:highlight w:val="none"/>
          <w:lang w:val="en-US" w:eastAsia="zh-CN"/>
        </w:rPr>
        <w:t>18</w:t>
      </w:r>
      <w:r>
        <w:rPr>
          <w:rStyle w:val="29"/>
          <w:rFonts w:hint="eastAsia" w:ascii="Times New Roman" w:hAnsi="Times New Roman" w:eastAsia="宋体" w:cs="宋体"/>
          <w:b/>
          <w:bCs/>
          <w:color w:val="auto"/>
          <w:sz w:val="24"/>
          <w:szCs w:val="24"/>
          <w:highlight w:val="none"/>
        </w:rPr>
        <w:t>、</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的签署及规定</w:t>
      </w:r>
      <w:bookmarkEnd w:id="117"/>
      <w:bookmarkEnd w:id="118"/>
      <w:bookmarkEnd w:id="119"/>
      <w:bookmarkEnd w:id="120"/>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lang w:val="en-US" w:eastAsia="zh-CN"/>
        </w:rPr>
        <w:t>18.1</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采用电子文档。</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中应按照</w:t>
      </w:r>
      <w:r>
        <w:rPr>
          <w:rStyle w:val="29"/>
          <w:rFonts w:hint="eastAsia" w:ascii="Times New Roman" w:hAnsi="Times New Roman" w:cs="宋体"/>
          <w:b/>
          <w:bCs/>
          <w:color w:val="auto"/>
          <w:sz w:val="24"/>
          <w:szCs w:val="24"/>
          <w:highlight w:val="none"/>
          <w:lang w:eastAsia="zh-CN"/>
        </w:rPr>
        <w:t>采购文件</w:t>
      </w:r>
      <w:r>
        <w:rPr>
          <w:rStyle w:val="29"/>
          <w:rFonts w:hint="eastAsia" w:ascii="Times New Roman" w:hAnsi="Times New Roman" w:eastAsia="宋体" w:cs="宋体"/>
          <w:b/>
          <w:bCs/>
          <w:color w:val="auto"/>
          <w:sz w:val="24"/>
          <w:szCs w:val="24"/>
          <w:highlight w:val="none"/>
        </w:rPr>
        <w:t>第</w:t>
      </w:r>
      <w:r>
        <w:rPr>
          <w:rStyle w:val="29"/>
          <w:rFonts w:hint="eastAsia" w:ascii="Times New Roman" w:hAnsi="Times New Roman" w:eastAsia="宋体" w:cs="宋体"/>
          <w:b/>
          <w:bCs/>
          <w:color w:val="auto"/>
          <w:sz w:val="24"/>
          <w:szCs w:val="24"/>
          <w:highlight w:val="none"/>
          <w:lang w:val="en-US" w:eastAsia="zh-CN"/>
        </w:rPr>
        <w:t>五章</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格式中规定签字、盖章的地方必须按其规定签字、盖章。</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rPr>
        <w:t>若</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对</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做必要修改或澄清，则应在修改或澄清处加盖</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公章或由法定代表人或法定代表人授权代表签字确认。</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在</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18.2纸质版</w:t>
      </w:r>
      <w:r>
        <w:rPr>
          <w:rStyle w:val="29"/>
          <w:rFonts w:hint="eastAsia" w:ascii="Times New Roman" w:hAnsi="Times New Roman" w:cs="宋体"/>
          <w:b/>
          <w:bCs/>
          <w:color w:val="auto"/>
          <w:kern w:val="0"/>
          <w:sz w:val="24"/>
          <w:szCs w:val="24"/>
          <w:highlight w:val="none"/>
          <w:lang w:val="en-US" w:eastAsia="zh-CN" w:bidi="ar-SA"/>
        </w:rPr>
        <w:t>响应文件</w:t>
      </w:r>
      <w:r>
        <w:rPr>
          <w:rStyle w:val="29"/>
          <w:rFonts w:hint="eastAsia" w:ascii="Times New Roman" w:hAnsi="Times New Roman" w:eastAsia="宋体" w:cs="宋体"/>
          <w:b/>
          <w:bCs/>
          <w:color w:val="auto"/>
          <w:kern w:val="0"/>
          <w:sz w:val="24"/>
          <w:szCs w:val="24"/>
          <w:highlight w:val="none"/>
          <w:lang w:val="en-US" w:eastAsia="zh-CN" w:bidi="ar-SA"/>
        </w:rPr>
        <w:t>要求：</w:t>
      </w:r>
    </w:p>
    <w:p>
      <w:pPr>
        <w:pStyle w:val="22"/>
        <w:spacing w:before="75" w:beforeAutospacing="0" w:after="75" w:afterAutospacing="0" w:line="360" w:lineRule="auto"/>
        <w:ind w:firstLine="480" w:firstLineChars="200"/>
        <w:rPr>
          <w:rStyle w:val="29"/>
          <w:rFonts w:hint="eastAsia" w:eastAsia="宋体" w:cs="宋体"/>
          <w:b w:val="0"/>
          <w:bCs w:val="0"/>
          <w:color w:val="auto"/>
          <w:sz w:val="24"/>
          <w:szCs w:val="24"/>
          <w:highlight w:val="none"/>
          <w:lang w:eastAsia="zh-CN"/>
        </w:rPr>
      </w:pPr>
      <w:r>
        <w:rPr>
          <w:rStyle w:val="29"/>
          <w:rFonts w:hint="eastAsia" w:ascii="Times New Roman" w:hAnsi="Times New Roman" w:eastAsia="宋体" w:cs="宋体"/>
          <w:b w:val="0"/>
          <w:bCs w:val="0"/>
          <w:color w:val="auto"/>
          <w:kern w:val="0"/>
          <w:sz w:val="24"/>
          <w:szCs w:val="24"/>
          <w:highlight w:val="none"/>
          <w:lang w:val="en-US" w:eastAsia="zh-CN" w:bidi="ar-SA"/>
        </w:rPr>
        <w:t>18.2.1</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响应文件；②未成交单位提供正本壹份响应文件。</w:t>
      </w:r>
      <w:r>
        <w:rPr>
          <w:rStyle w:val="29"/>
          <w:rFonts w:hint="eastAsia" w:ascii="Times New Roman" w:hAnsi="Times New Roman" w:eastAsia="宋体" w:cs="宋体"/>
          <w:b w:val="0"/>
          <w:bCs w:val="0"/>
          <w:color w:val="auto"/>
          <w:kern w:val="0"/>
          <w:sz w:val="24"/>
          <w:szCs w:val="24"/>
          <w:highlight w:val="none"/>
          <w:lang w:val="en-US" w:eastAsia="zh-CN" w:bidi="ar-SA"/>
        </w:rPr>
        <w:t>分册采用死页胶装方式装订,装订应牢固、不易拆散和换页，不得采用活页装订。投标企业将纸质版</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并承诺与纸质</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内容一致的承诺书于</w:t>
      </w:r>
      <w:r>
        <w:rPr>
          <w:rStyle w:val="29"/>
          <w:rFonts w:hint="eastAsia" w:ascii="Times New Roman" w:hAnsi="Times New Roman" w:eastAsia="宋体" w:cs="宋体"/>
          <w:b/>
          <w:bCs/>
          <w:color w:val="auto"/>
          <w:kern w:val="0"/>
          <w:sz w:val="24"/>
          <w:szCs w:val="24"/>
          <w:highlight w:val="none"/>
          <w:lang w:val="en-US" w:eastAsia="zh-CN" w:bidi="ar-SA"/>
        </w:rPr>
        <w:t>开标结束后</w:t>
      </w:r>
      <w:r>
        <w:rPr>
          <w:rStyle w:val="29"/>
          <w:rFonts w:hint="eastAsia" w:ascii="Times New Roman" w:hAnsi="Times New Roman"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 ）</w:t>
      </w:r>
      <w:r>
        <w:rPr>
          <w:rFonts w:hint="eastAsia"/>
          <w:color w:val="auto"/>
          <w:lang w:eastAsia="zh-CN"/>
        </w:rPr>
        <w:t>。</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18.2.2</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正本和副本须打印并由法定代表人或委托代理人签字或盖章。</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应加盖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的公章。</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2.3</w:t>
      </w:r>
      <w:r>
        <w:rPr>
          <w:rStyle w:val="29"/>
          <w:rFonts w:hint="eastAsia" w:cs="宋体"/>
          <w:b w:val="0"/>
          <w:bCs/>
          <w:color w:val="auto"/>
          <w:sz w:val="24"/>
          <w:szCs w:val="24"/>
          <w:highlight w:val="none"/>
        </w:rPr>
        <w:t xml:space="preserve"> 除</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对错误做必要修改外，</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中不许有增删、涂改或改写。若确有修改必须由签署</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的委托代理人签字或盖章。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2.4</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副本的上述签名及盖章之处既可由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的法定代表人或其委托代理人签字或盖章，也可通过复印正本将上述签名及盖章复制到副本上。</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color w:val="auto"/>
          <w:sz w:val="28"/>
          <w:szCs w:val="28"/>
          <w:highlight w:val="none"/>
        </w:rPr>
        <w:t xml:space="preserve">D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6216209"/>
      <w:bookmarkStart w:id="134" w:name="_Toc243906339"/>
      <w:bookmarkStart w:id="135" w:name="_Toc233274840"/>
      <w:bookmarkStart w:id="136" w:name="_Toc243907600"/>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响应文件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响应文件制作完成并生成加密标书，在投标截止时间前，供应商需将加密的响应文件上传至政采云平台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须知前附表”第12条）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2"/>
        <w:spacing w:before="75" w:beforeAutospacing="0" w:after="75" w:afterAutospacing="0" w:line="360" w:lineRule="auto"/>
        <w:rPr>
          <w:rStyle w:val="29"/>
          <w:rFonts w:hint="eastAsia" w:eastAsia="宋体" w:cs="宋体"/>
          <w:b/>
          <w:bCs w:val="0"/>
          <w:color w:val="auto"/>
          <w:sz w:val="24"/>
          <w:szCs w:val="24"/>
          <w:highlight w:val="none"/>
          <w:lang w:eastAsia="zh-CN"/>
        </w:rPr>
      </w:pPr>
      <w:bookmarkStart w:id="137" w:name="_Toc243906336"/>
      <w:bookmarkStart w:id="138" w:name="_Toc245897297"/>
      <w:bookmarkStart w:id="139" w:name="_Toc233274837"/>
      <w:bookmarkStart w:id="140" w:name="_Toc243907597"/>
      <w:r>
        <w:rPr>
          <w:rStyle w:val="29"/>
          <w:rFonts w:hint="eastAsia" w:cs="宋体"/>
          <w:b/>
          <w:bCs w:val="0"/>
          <w:color w:val="auto"/>
          <w:sz w:val="24"/>
          <w:szCs w:val="24"/>
          <w:highlight w:val="none"/>
          <w:lang w:val="en-US" w:eastAsia="zh-CN"/>
        </w:rPr>
        <w:t>20</w:t>
      </w:r>
      <w:r>
        <w:rPr>
          <w:rStyle w:val="29"/>
          <w:rFonts w:hint="eastAsia" w:cs="宋体"/>
          <w:b/>
          <w:bCs w:val="0"/>
          <w:color w:val="auto"/>
          <w:sz w:val="24"/>
          <w:szCs w:val="24"/>
          <w:highlight w:val="none"/>
        </w:rPr>
        <w:t>、迟交的</w:t>
      </w:r>
      <w:bookmarkEnd w:id="137"/>
      <w:bookmarkEnd w:id="138"/>
      <w:bookmarkEnd w:id="139"/>
      <w:bookmarkEnd w:id="140"/>
      <w:r>
        <w:rPr>
          <w:rStyle w:val="29"/>
          <w:rFonts w:hint="eastAsia" w:cs="宋体"/>
          <w:b/>
          <w:bCs w:val="0"/>
          <w:color w:val="auto"/>
          <w:sz w:val="24"/>
          <w:szCs w:val="24"/>
          <w:highlight w:val="none"/>
          <w:lang w:eastAsia="zh-CN"/>
        </w:rPr>
        <w:t>响应文件</w:t>
      </w:r>
    </w:p>
    <w:p>
      <w:pPr>
        <w:widowControl/>
        <w:spacing w:line="360" w:lineRule="auto"/>
        <w:ind w:firstLine="480"/>
        <w:rPr>
          <w:rFonts w:hint="eastAsia" w:ascii="宋体" w:hAnsi="宋体" w:cs="宋体"/>
          <w:color w:val="auto"/>
          <w:kern w:val="0"/>
          <w:sz w:val="24"/>
          <w:highlight w:val="none"/>
        </w:rPr>
      </w:pPr>
      <w:bookmarkStart w:id="141" w:name="_Toc245897298"/>
      <w:bookmarkStart w:id="142" w:name="_Toc243906337"/>
      <w:bookmarkStart w:id="143" w:name="_Toc233274838"/>
      <w:bookmarkStart w:id="144" w:name="_Toc243907598"/>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w:t>
      </w:r>
      <w:bookmarkStart w:id="145" w:name="_Toc213839733"/>
      <w:bookmarkEnd w:id="145"/>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21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的修改和撤回</w:t>
      </w:r>
      <w:bookmarkEnd w:id="141"/>
      <w:bookmarkEnd w:id="142"/>
      <w:bookmarkEnd w:id="143"/>
      <w:bookmarkEnd w:id="144"/>
    </w:p>
    <w:p>
      <w:pPr>
        <w:pStyle w:val="122"/>
        <w:spacing w:line="360" w:lineRule="auto"/>
        <w:ind w:firstLine="48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w:t>
      </w:r>
    </w:p>
    <w:p>
      <w:pPr>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E </w:t>
      </w:r>
      <w:r>
        <w:rPr>
          <w:rFonts w:hint="eastAsia" w:asciiTheme="minorEastAsia" w:hAnsiTheme="minorEastAsia" w:eastAsiaTheme="minorEastAsia" w:cstheme="minorEastAsia"/>
          <w:b/>
          <w:bCs/>
          <w:color w:val="auto"/>
          <w:sz w:val="28"/>
          <w:szCs w:val="28"/>
          <w:highlight w:val="none"/>
          <w:lang w:eastAsia="zh-CN"/>
        </w:rPr>
        <w:t>开标</w:t>
      </w:r>
      <w:r>
        <w:rPr>
          <w:rFonts w:hint="eastAsia" w:asciiTheme="minorEastAsia" w:hAnsiTheme="minorEastAsia" w:eastAsiaTheme="minorEastAsia" w:cstheme="minorEastAsia"/>
          <w:b/>
          <w:bCs/>
          <w:color w:val="auto"/>
          <w:sz w:val="28"/>
          <w:szCs w:val="28"/>
          <w:highlight w:val="none"/>
        </w:rPr>
        <w:t>、评审、</w:t>
      </w:r>
      <w:bookmarkEnd w:id="133"/>
      <w:bookmarkEnd w:id="134"/>
      <w:bookmarkEnd w:id="135"/>
      <w:bookmarkEnd w:id="136"/>
      <w:r>
        <w:rPr>
          <w:rFonts w:hint="eastAsia" w:asciiTheme="minorEastAsia" w:hAnsiTheme="minorEastAsia" w:eastAsiaTheme="minorEastAsia" w:cstheme="minorEastAsia"/>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29"/>
          <w:rFonts w:hint="eastAsia" w:ascii="宋体" w:hAnsi="宋体" w:cs="宋体" w:eastAsia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0"/>
          <w:highlight w:val="none"/>
        </w:rPr>
        <w:t>2</w:t>
      </w:r>
      <w:r>
        <w:rPr>
          <w:rFonts w:hint="eastAsia" w:asciiTheme="minorEastAsia" w:hAnsiTheme="minorEastAsia" w:eastAsiaTheme="minorEastAsia" w:cstheme="minorEastAsia"/>
          <w:b/>
          <w:bCs/>
          <w:color w:val="auto"/>
          <w:sz w:val="24"/>
          <w:szCs w:val="20"/>
          <w:highlight w:val="none"/>
          <w:lang w:val="en-US" w:eastAsia="zh-CN"/>
        </w:rPr>
        <w:t>2</w:t>
      </w:r>
      <w:r>
        <w:rPr>
          <w:rFonts w:hint="eastAsia" w:asciiTheme="minorEastAsia" w:hAnsiTheme="minorEastAsia" w:eastAsiaTheme="minorEastAsia" w:cstheme="minorEastAsia"/>
          <w:b/>
          <w:bCs/>
          <w:color w:val="auto"/>
          <w:sz w:val="24"/>
          <w:szCs w:val="20"/>
          <w:highlight w:val="none"/>
        </w:rPr>
        <w:t>、</w:t>
      </w:r>
      <w:bookmarkStart w:id="146" w:name="_Toc243906341"/>
      <w:bookmarkStart w:id="147" w:name="_Toc245897302"/>
      <w:bookmarkStart w:id="148" w:name="_Toc233274842"/>
      <w:bookmarkStart w:id="149" w:name="_Toc243907602"/>
      <w:r>
        <w:rPr>
          <w:rFonts w:hint="eastAsia" w:asciiTheme="minorEastAsia" w:hAnsiTheme="minorEastAsia" w:eastAsiaTheme="minorEastAsia" w:cstheme="minorEastAsia"/>
          <w:b/>
          <w:bCs/>
          <w:color w:val="auto"/>
          <w:sz w:val="24"/>
          <w:szCs w:val="20"/>
          <w:highlight w:val="none"/>
          <w:lang w:eastAsia="zh-CN"/>
        </w:rPr>
        <w:t>开标</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22.1</w:t>
      </w:r>
      <w:r>
        <w:rPr>
          <w:rStyle w:val="29"/>
          <w:rFonts w:hint="eastAsia" w:ascii="宋体" w:hAnsi="宋体" w:eastAsia="宋体" w:cs="宋体"/>
          <w:b w:val="0"/>
          <w:bCs w:val="0"/>
          <w:color w:val="auto"/>
          <w:sz w:val="24"/>
          <w:szCs w:val="24"/>
          <w:highlight w:val="none"/>
        </w:rPr>
        <w:t>开标应当在</w:t>
      </w:r>
      <w:r>
        <w:rPr>
          <w:rStyle w:val="29"/>
          <w:rFonts w:hint="eastAsia" w:cs="宋体"/>
          <w:b w:val="0"/>
          <w:bCs w:val="0"/>
          <w:color w:val="auto"/>
          <w:sz w:val="24"/>
          <w:szCs w:val="24"/>
          <w:highlight w:val="none"/>
          <w:lang w:eastAsia="zh-CN"/>
        </w:rPr>
        <w:t>采购文件</w:t>
      </w:r>
      <w:r>
        <w:rPr>
          <w:rStyle w:val="29"/>
          <w:rFonts w:hint="eastAsia" w:eastAsia="宋体" w:cs="宋体"/>
          <w:b w:val="0"/>
          <w:bCs w:val="0"/>
          <w:color w:val="auto"/>
          <w:sz w:val="24"/>
          <w:szCs w:val="24"/>
          <w:highlight w:val="none"/>
          <w:lang w:eastAsia="zh-CN"/>
        </w:rPr>
        <w:t>第二章</w:t>
      </w:r>
      <w:r>
        <w:rPr>
          <w:rStyle w:val="29"/>
          <w:rFonts w:hint="eastAsia" w:ascii="宋体" w:hAnsi="宋体" w:eastAsia="宋体" w:cs="宋体"/>
          <w:b w:val="0"/>
          <w:bCs w:val="0"/>
          <w:color w:val="auto"/>
          <w:sz w:val="24"/>
          <w:szCs w:val="24"/>
          <w:highlight w:val="none"/>
        </w:rPr>
        <w:t>“</w:t>
      </w:r>
      <w:r>
        <w:rPr>
          <w:rStyle w:val="29"/>
          <w:rFonts w:hint="eastAsia" w:cs="宋体"/>
          <w:b w:val="0"/>
          <w:bCs w:val="0"/>
          <w:color w:val="auto"/>
          <w:sz w:val="24"/>
          <w:szCs w:val="24"/>
          <w:highlight w:val="none"/>
          <w:lang w:eastAsia="zh-CN"/>
        </w:rPr>
        <w:t>供应商</w:t>
      </w:r>
      <w:r>
        <w:rPr>
          <w:rStyle w:val="29"/>
          <w:rFonts w:hint="eastAsia" w:eastAsia="宋体" w:cs="宋体"/>
          <w:b w:val="0"/>
          <w:bCs w:val="0"/>
          <w:color w:val="auto"/>
          <w:sz w:val="24"/>
          <w:szCs w:val="24"/>
          <w:highlight w:val="none"/>
          <w:lang w:eastAsia="zh-CN"/>
        </w:rPr>
        <w:t>须知前附表</w:t>
      </w:r>
      <w:r>
        <w:rPr>
          <w:rStyle w:val="29"/>
          <w:rFonts w:hint="eastAsia" w:ascii="宋体" w:hAnsi="宋体" w:eastAsia="宋体" w:cs="宋体"/>
          <w:b w:val="0"/>
          <w:bCs w:val="0"/>
          <w:color w:val="auto"/>
          <w:sz w:val="24"/>
          <w:szCs w:val="24"/>
          <w:highlight w:val="none"/>
        </w:rPr>
        <w:t>”确定的时间和地点公开进行。</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22.2</w:t>
      </w:r>
      <w:r>
        <w:rPr>
          <w:rStyle w:val="29"/>
          <w:rFonts w:hint="eastAsia" w:ascii="宋体" w:hAnsi="宋体" w:eastAsia="宋体" w:cs="宋体"/>
          <w:b w:val="0"/>
          <w:bCs w:val="0"/>
          <w:color w:val="auto"/>
          <w:sz w:val="24"/>
          <w:szCs w:val="24"/>
          <w:highlight w:val="none"/>
        </w:rPr>
        <w:t>开标由</w:t>
      </w:r>
      <w:r>
        <w:rPr>
          <w:rStyle w:val="29"/>
          <w:rFonts w:hint="eastAsia" w:cs="宋体"/>
          <w:b w:val="0"/>
          <w:bCs w:val="0"/>
          <w:color w:val="auto"/>
          <w:sz w:val="24"/>
          <w:szCs w:val="24"/>
          <w:highlight w:val="none"/>
          <w:lang w:eastAsia="zh-CN"/>
        </w:rPr>
        <w:t>采购代理机构</w:t>
      </w:r>
      <w:r>
        <w:rPr>
          <w:rStyle w:val="29"/>
          <w:rFonts w:hint="eastAsia" w:ascii="宋体" w:hAnsi="宋体" w:eastAsia="宋体" w:cs="宋体"/>
          <w:b w:val="0"/>
          <w:bCs w:val="0"/>
          <w:color w:val="auto"/>
          <w:sz w:val="24"/>
          <w:szCs w:val="24"/>
          <w:highlight w:val="none"/>
        </w:rPr>
        <w:t>主持，财政部门和有关监督部门可视情况派员现场监督。</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22.3</w:t>
      </w:r>
      <w:r>
        <w:rPr>
          <w:rStyle w:val="29"/>
          <w:rFonts w:hint="eastAsia" w:ascii="宋体" w:hAnsi="宋体" w:eastAsia="宋体" w:cs="宋体"/>
          <w:b w:val="0"/>
          <w:bCs w:val="0"/>
          <w:color w:val="auto"/>
          <w:sz w:val="24"/>
          <w:szCs w:val="24"/>
          <w:highlight w:val="none"/>
        </w:rPr>
        <w:t>本次采用</w:t>
      </w:r>
      <w:r>
        <w:rPr>
          <w:rStyle w:val="29"/>
          <w:rFonts w:hint="eastAsia" w:eastAsia="宋体" w:cs="宋体"/>
          <w:b w:val="0"/>
          <w:bCs w:val="0"/>
          <w:color w:val="auto"/>
          <w:sz w:val="24"/>
          <w:szCs w:val="24"/>
          <w:highlight w:val="none"/>
          <w:lang w:eastAsia="zh-CN"/>
        </w:rPr>
        <w:t>不见面</w:t>
      </w:r>
      <w:r>
        <w:rPr>
          <w:rStyle w:val="29"/>
          <w:rFonts w:hint="eastAsia" w:ascii="宋体" w:hAnsi="宋体" w:eastAsia="宋体" w:cs="宋体"/>
          <w:b w:val="0"/>
          <w:bCs w:val="0"/>
          <w:color w:val="auto"/>
          <w:sz w:val="24"/>
          <w:szCs w:val="24"/>
          <w:highlight w:val="none"/>
        </w:rPr>
        <w:t>开标</w:t>
      </w:r>
      <w:r>
        <w:rPr>
          <w:rStyle w:val="29"/>
          <w:rFonts w:hint="eastAsia" w:eastAsia="宋体" w:cs="宋体"/>
          <w:b w:val="0"/>
          <w:bCs w:val="0"/>
          <w:color w:val="auto"/>
          <w:sz w:val="24"/>
          <w:szCs w:val="24"/>
          <w:highlight w:val="none"/>
          <w:lang w:eastAsia="zh-CN"/>
        </w:rPr>
        <w:t>方式</w:t>
      </w:r>
      <w:r>
        <w:rPr>
          <w:rStyle w:val="29"/>
          <w:rFonts w:hint="eastAsia" w:ascii="宋体" w:hAnsi="宋体" w:eastAsia="宋体" w:cs="宋体"/>
          <w:b w:val="0"/>
          <w:bCs w:val="0"/>
          <w:color w:val="auto"/>
          <w:sz w:val="24"/>
          <w:szCs w:val="24"/>
          <w:highlight w:val="none"/>
        </w:rPr>
        <w:t>，在规定的投标截止时间（开标时间）和</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须知前附表规定的地点开标。</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开标前</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完成设备测试，保证摄像头及麦克风正常使用。自开标时间起至评标结束，</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须登录新疆政府采购平台并保持网络畅通，随时答复</w:t>
      </w:r>
      <w:r>
        <w:rPr>
          <w:rStyle w:val="29"/>
          <w:rFonts w:hint="eastAsia" w:cs="宋体"/>
          <w:b w:val="0"/>
          <w:bCs w:val="0"/>
          <w:color w:val="auto"/>
          <w:sz w:val="24"/>
          <w:szCs w:val="24"/>
          <w:highlight w:val="none"/>
          <w:lang w:eastAsia="zh-CN"/>
        </w:rPr>
        <w:t>磋商小组</w:t>
      </w:r>
      <w:r>
        <w:rPr>
          <w:rStyle w:val="29"/>
          <w:rFonts w:hint="eastAsia" w:ascii="宋体" w:hAnsi="宋体" w:eastAsia="宋体" w:cs="宋体"/>
          <w:b w:val="0"/>
          <w:bCs w:val="0"/>
          <w:color w:val="auto"/>
          <w:sz w:val="24"/>
          <w:szCs w:val="24"/>
          <w:highlight w:val="none"/>
        </w:rPr>
        <w:t>的疑问。若</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未在规定时间内答复的，由此产生的后果将由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一端参与交互的人员将均被视为是</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的授权委托人或法人代表，</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不得以不承认交互人员的资格或身份等为借口推脱，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自行承担随意更换人员所导致的一切后果。</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eastAsia="zh-CN"/>
        </w:rPr>
      </w:pPr>
      <w:r>
        <w:rPr>
          <w:rStyle w:val="29"/>
          <w:rFonts w:hint="eastAsia" w:ascii="宋体" w:hAnsi="宋体" w:eastAsia="宋体" w:cs="宋体"/>
          <w:b/>
          <w:bCs/>
          <w:color w:val="auto"/>
          <w:sz w:val="24"/>
          <w:szCs w:val="24"/>
          <w:highlight w:val="none"/>
          <w:lang w:val="en-US" w:eastAsia="zh-CN"/>
        </w:rPr>
        <w:t>22.4</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的解密：</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登录政采云平台，在开标时间后30分钟内（20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rPr>
        <w:t>月</w:t>
      </w:r>
      <w:r>
        <w:rPr>
          <w:rStyle w:val="29"/>
          <w:rFonts w:hint="default" w:cs="宋体"/>
          <w:b/>
          <w:bCs/>
          <w:color w:val="auto"/>
          <w:sz w:val="24"/>
          <w:szCs w:val="24"/>
          <w:highlight w:val="none"/>
        </w:rPr>
        <w:t>12</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default" w:cs="宋体"/>
          <w:b/>
          <w:bCs/>
          <w:color w:val="auto"/>
          <w:sz w:val="24"/>
          <w:szCs w:val="24"/>
          <w:highlight w:val="none"/>
          <w:lang w:eastAsia="zh-CN"/>
        </w:rPr>
        <w:t>0</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w:t>
      </w:r>
      <w:r>
        <w:rPr>
          <w:rStyle w:val="29"/>
          <w:rFonts w:hint="default" w:cs="宋体"/>
          <w:b/>
          <w:bCs/>
          <w:color w:val="auto"/>
          <w:sz w:val="24"/>
          <w:szCs w:val="24"/>
          <w:highlight w:val="none"/>
          <w:lang w:eastAsia="zh-CN"/>
        </w:rPr>
        <w:t>11</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）用“项目采购-开标评标”功能进行解密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。若</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在规定时间内未按时解密的，视为无效投标。解密与加密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须使用同一个CA。</w:t>
      </w:r>
      <w:r>
        <w:rPr>
          <w:rStyle w:val="29"/>
          <w:rFonts w:hint="eastAsia" w:ascii="宋体" w:hAnsi="宋体" w:eastAsia="宋体" w:cs="宋体"/>
          <w:b/>
          <w:bCs/>
          <w:color w:val="auto"/>
          <w:sz w:val="24"/>
          <w:szCs w:val="24"/>
          <w:highlight w:val="none"/>
          <w:lang w:eastAsia="zh-CN"/>
        </w:rPr>
        <w:t>（</w:t>
      </w:r>
      <w:r>
        <w:rPr>
          <w:rStyle w:val="29"/>
          <w:rFonts w:hint="eastAsia" w:ascii="宋体" w:hAnsi="宋体" w:eastAsia="宋体" w:cs="宋体"/>
          <w:b/>
          <w:bCs/>
          <w:color w:val="auto"/>
          <w:sz w:val="24"/>
          <w:szCs w:val="24"/>
          <w:highlight w:val="none"/>
          <w:lang w:val="en-US" w:eastAsia="zh-CN"/>
        </w:rPr>
        <w:t>（详见第二章“</w:t>
      </w:r>
      <w:r>
        <w:rPr>
          <w:rStyle w:val="29"/>
          <w:rFonts w:hint="eastAsia" w:cs="宋体"/>
          <w:b/>
          <w:bCs/>
          <w:color w:val="auto"/>
          <w:sz w:val="24"/>
          <w:szCs w:val="24"/>
          <w:highlight w:val="none"/>
          <w:lang w:val="en-US" w:eastAsia="zh-CN"/>
        </w:rPr>
        <w:t>供应商</w:t>
      </w:r>
      <w:r>
        <w:rPr>
          <w:rStyle w:val="29"/>
          <w:rFonts w:hint="eastAsia" w:ascii="宋体" w:hAnsi="宋体" w:eastAsia="宋体" w:cs="宋体"/>
          <w:b/>
          <w:bCs/>
          <w:color w:val="auto"/>
          <w:sz w:val="24"/>
          <w:szCs w:val="24"/>
          <w:highlight w:val="none"/>
          <w:lang w:val="en-US" w:eastAsia="zh-CN"/>
        </w:rPr>
        <w:t>须知前附表”第13条</w:t>
      </w:r>
      <w:r>
        <w:rPr>
          <w:rStyle w:val="29"/>
          <w:rFonts w:hint="eastAsia" w:ascii="宋体" w:hAnsi="宋体" w:eastAsia="宋体" w:cs="宋体"/>
          <w:b/>
          <w:bCs/>
          <w:color w:val="auto"/>
          <w:sz w:val="24"/>
          <w:szCs w:val="24"/>
          <w:highlight w:val="none"/>
          <w:lang w:eastAsia="zh-CN"/>
        </w:rPr>
        <w:t>）</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val="en-US" w:eastAsia="zh-CN"/>
        </w:rPr>
      </w:pPr>
      <w:r>
        <w:rPr>
          <w:rStyle w:val="29"/>
          <w:rFonts w:hint="eastAsia" w:cs="宋体"/>
          <w:b/>
          <w:bCs/>
          <w:color w:val="auto"/>
          <w:sz w:val="24"/>
          <w:szCs w:val="24"/>
          <w:highlight w:val="none"/>
          <w:lang w:val="en-US" w:eastAsia="zh-CN"/>
        </w:rPr>
        <w:t>22.5首轮报价确认：</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应在</w:t>
      </w:r>
      <w:r>
        <w:rPr>
          <w:rStyle w:val="29"/>
          <w:rFonts w:hint="eastAsia" w:ascii="宋体" w:hAnsi="宋体" w:eastAsia="宋体" w:cs="宋体"/>
          <w:b/>
          <w:bCs/>
          <w:color w:val="auto"/>
          <w:sz w:val="24"/>
          <w:szCs w:val="24"/>
          <w:highlight w:val="none"/>
          <w:lang w:eastAsia="zh-CN"/>
        </w:rPr>
        <w:t>开启签字时段后进行</w:t>
      </w:r>
      <w:r>
        <w:rPr>
          <w:rStyle w:val="29"/>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lang w:val="en-US" w:eastAsia="zh-CN"/>
        </w:rPr>
        <w:t>22.</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二轮报价：供应商进行两轮报价</w:t>
      </w:r>
      <w:r>
        <w:rPr>
          <w:rStyle w:val="29"/>
          <w:rFonts w:hint="eastAsia" w:cs="宋体"/>
          <w:b/>
          <w:bCs/>
          <w:color w:val="auto"/>
          <w:sz w:val="24"/>
          <w:szCs w:val="24"/>
          <w:highlight w:val="none"/>
          <w:lang w:val="en-US" w:eastAsia="zh-CN"/>
        </w:rPr>
        <w:t>，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9"/>
          <w:rFonts w:hint="eastAsia" w:ascii="宋体" w:hAnsi="宋体" w:eastAsia="宋体" w:cs="宋体"/>
          <w:b/>
          <w:bCs/>
          <w:color w:val="auto"/>
          <w:sz w:val="24"/>
          <w:szCs w:val="24"/>
          <w:highlight w:val="none"/>
        </w:rPr>
        <w:t>。</w:t>
      </w:r>
    </w:p>
    <w:p>
      <w:pPr>
        <w:pStyle w:val="22"/>
        <w:spacing w:before="75" w:beforeAutospacing="0" w:after="75" w:afterAutospacing="0" w:line="360" w:lineRule="auto"/>
        <w:ind w:firstLine="480" w:firstLineChars="200"/>
        <w:rPr>
          <w:rStyle w:val="29"/>
          <w:rFonts w:hint="default"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22.</w:t>
      </w:r>
      <w:r>
        <w:rPr>
          <w:rStyle w:val="29"/>
          <w:rFonts w:hint="eastAsia" w:cs="宋体"/>
          <w:b w:val="0"/>
          <w:bCs w:val="0"/>
          <w:color w:val="auto"/>
          <w:sz w:val="24"/>
          <w:szCs w:val="24"/>
          <w:highlight w:val="none"/>
          <w:lang w:val="en-US" w:eastAsia="zh-CN"/>
        </w:rPr>
        <w:t>7</w:t>
      </w:r>
      <w:r>
        <w:rPr>
          <w:rStyle w:val="29"/>
          <w:rFonts w:hint="eastAsia" w:ascii="宋体" w:hAnsi="宋体" w:eastAsia="宋体" w:cs="宋体"/>
          <w:b w:val="0"/>
          <w:bCs w:val="0"/>
          <w:color w:val="auto"/>
          <w:sz w:val="24"/>
          <w:szCs w:val="24"/>
          <w:highlight w:val="none"/>
          <w:lang w:val="en-US" w:eastAsia="zh-CN"/>
        </w:rPr>
        <w:t>开标完毕，进行下一步评标。</w:t>
      </w:r>
    </w:p>
    <w:p>
      <w:pPr>
        <w:numPr>
          <w:ilvl w:val="0"/>
          <w:numId w:val="2"/>
        </w:numPr>
        <w:spacing w:line="360" w:lineRule="auto"/>
        <w:ind w:left="630" w:leftChars="0" w:firstLineChars="0"/>
        <w:outlineLvl w:val="1"/>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cs="宋体"/>
          <w:b w:val="0"/>
          <w:bCs w:val="0"/>
          <w:color w:val="auto"/>
          <w:sz w:val="24"/>
          <w:szCs w:val="24"/>
          <w:highlight w:val="none"/>
          <w:lang w:val="en-US" w:eastAsia="zh-CN"/>
        </w:rPr>
        <w:t>磋商小组</w:t>
      </w:r>
      <w:r>
        <w:rPr>
          <w:rStyle w:val="29"/>
          <w:rFonts w:hint="eastAsia" w:ascii="宋体" w:hAnsi="宋体" w:eastAsia="宋体" w:cs="宋体"/>
          <w:b w:val="0"/>
          <w:bCs w:val="0"/>
          <w:color w:val="auto"/>
          <w:sz w:val="24"/>
          <w:szCs w:val="24"/>
          <w:highlight w:val="none"/>
          <w:lang w:val="en-US" w:eastAsia="zh-CN"/>
        </w:rPr>
        <w:t>组成：</w:t>
      </w:r>
      <w:bookmarkEnd w:id="146"/>
      <w:bookmarkEnd w:id="147"/>
      <w:bookmarkEnd w:id="148"/>
      <w:bookmarkEnd w:id="149"/>
    </w:p>
    <w:p>
      <w:pPr>
        <w:pStyle w:val="122"/>
        <w:numPr>
          <w:ilvl w:val="0"/>
          <w:numId w:val="0"/>
        </w:numPr>
        <w:spacing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磋商小组将负责对供应商提交的响应文件进行公开、评审，确保公开、评审过程公正、合法、保密，并向采购人推荐中标候选人。</w:t>
      </w:r>
    </w:p>
    <w:p>
      <w:pPr>
        <w:pStyle w:val="122"/>
        <w:numPr>
          <w:ilvl w:val="0"/>
          <w:numId w:val="0"/>
        </w:numPr>
        <w:spacing w:line="360" w:lineRule="auto"/>
        <w:ind w:firstLine="480" w:firstLineChars="200"/>
        <w:rPr>
          <w:rFonts w:hint="eastAsia" w:ascii="宋体" w:hAnsi="宋体" w:eastAsia="宋体"/>
          <w:color w:val="auto"/>
          <w:sz w:val="24"/>
          <w:szCs w:val="22"/>
          <w:highlight w:val="none"/>
        </w:rPr>
      </w:pPr>
      <w:r>
        <w:rPr>
          <w:rFonts w:hint="eastAsia" w:ascii="宋体" w:hAnsi="宋体" w:eastAsia="宋体"/>
          <w:color w:val="auto"/>
          <w:sz w:val="24"/>
          <w:szCs w:val="22"/>
          <w:highlight w:val="none"/>
          <w:lang w:val="en-US" w:eastAsia="zh-CN"/>
        </w:rPr>
        <w:t>23.2</w:t>
      </w:r>
      <w:r>
        <w:rPr>
          <w:rFonts w:hint="eastAsia" w:ascii="宋体" w:hAnsi="宋体" w:eastAsia="宋体"/>
          <w:color w:val="auto"/>
          <w:sz w:val="24"/>
          <w:szCs w:val="22"/>
          <w:highlight w:val="none"/>
        </w:rPr>
        <w:t>参与过本项目的论证专家不得作为评标专家参加评标，</w:t>
      </w:r>
      <w:r>
        <w:rPr>
          <w:rFonts w:hint="eastAsia" w:ascii="宋体" w:hAnsi="宋体" w:eastAsia="宋体"/>
          <w:color w:val="auto"/>
          <w:sz w:val="24"/>
          <w:szCs w:val="22"/>
          <w:highlight w:val="none"/>
          <w:lang w:eastAsia="zh-CN"/>
        </w:rPr>
        <w:t>采购人</w:t>
      </w:r>
      <w:r>
        <w:rPr>
          <w:rFonts w:hint="eastAsia" w:ascii="宋体" w:hAnsi="宋体" w:eastAsia="宋体"/>
          <w:color w:val="auto"/>
          <w:sz w:val="24"/>
          <w:szCs w:val="22"/>
          <w:highlight w:val="none"/>
        </w:rPr>
        <w:t>不得以专家身份参与评标</w:t>
      </w:r>
      <w:r>
        <w:rPr>
          <w:rFonts w:hint="eastAsia" w:ascii="宋体" w:hAnsi="宋体" w:eastAsia="宋体"/>
          <w:color w:val="auto"/>
          <w:sz w:val="24"/>
          <w:szCs w:val="22"/>
          <w:highlight w:val="none"/>
          <w:lang w:eastAsia="zh-CN"/>
        </w:rPr>
        <w:t>，只能作为采购人代表参与评审活动</w:t>
      </w:r>
      <w:r>
        <w:rPr>
          <w:rFonts w:hint="eastAsia" w:ascii="宋体" w:hAnsi="宋体" w:eastAsia="宋体"/>
          <w:color w:val="auto"/>
          <w:sz w:val="24"/>
          <w:szCs w:val="22"/>
          <w:highlight w:val="none"/>
        </w:rPr>
        <w:t>。</w:t>
      </w:r>
    </w:p>
    <w:p>
      <w:pPr>
        <w:spacing w:line="360" w:lineRule="auto"/>
        <w:rPr>
          <w:rFonts w:asciiTheme="minorEastAsia" w:hAnsiTheme="minorEastAsia" w:eastAsiaTheme="minorEastAsia" w:cstheme="minorEastAsia"/>
          <w:color w:val="auto"/>
          <w:sz w:val="24"/>
          <w:szCs w:val="20"/>
          <w:highlight w:val="none"/>
        </w:rPr>
      </w:pPr>
      <w:bookmarkStart w:id="150" w:name="_Toc224624767"/>
      <w:bookmarkStart w:id="151" w:name="_Toc243906345"/>
      <w:bookmarkStart w:id="152" w:name="_Toc224623451"/>
      <w:bookmarkStart w:id="153" w:name="_Toc224620150"/>
      <w:bookmarkStart w:id="154" w:name="_Toc243907606"/>
      <w:bookmarkStart w:id="155" w:name="_Toc245897305"/>
      <w:bookmarkStart w:id="156" w:name="_Toc224622928"/>
      <w:bookmarkStart w:id="157" w:name="_Toc224624628"/>
      <w:bookmarkStart w:id="158" w:name="_Toc224624488"/>
      <w:bookmarkStart w:id="159" w:name="_Toc224623557"/>
      <w:bookmarkStart w:id="160" w:name="_Toc224620071"/>
      <w:bookmarkStart w:id="161" w:name="_Toc224623663"/>
      <w:r>
        <w:rPr>
          <w:rFonts w:hint="eastAsia" w:asciiTheme="minorEastAsia" w:hAnsiTheme="minorEastAsia" w:eastAsiaTheme="minorEastAsia" w:cstheme="minorEastAsia"/>
          <w:color w:val="auto"/>
          <w:sz w:val="24"/>
          <w:szCs w:val="20"/>
          <w:highlight w:val="none"/>
        </w:rPr>
        <w:t>2</w:t>
      </w:r>
      <w:r>
        <w:rPr>
          <w:rFonts w:hint="eastAsia" w:asciiTheme="minorEastAsia" w:hAnsiTheme="minorEastAsia" w:eastAsiaTheme="minorEastAsia" w:cstheme="minorEastAsia"/>
          <w:color w:val="auto"/>
          <w:sz w:val="24"/>
          <w:szCs w:val="20"/>
          <w:highlight w:val="none"/>
          <w:lang w:val="en-US" w:eastAsia="zh-CN"/>
        </w:rPr>
        <w:t>4</w:t>
      </w:r>
      <w:r>
        <w:rPr>
          <w:rFonts w:hint="eastAsia" w:asciiTheme="minorEastAsia" w:hAnsiTheme="minorEastAsia" w:eastAsiaTheme="minorEastAsia" w:cstheme="minorEastAsia"/>
          <w:color w:val="auto"/>
          <w:sz w:val="24"/>
          <w:szCs w:val="20"/>
          <w:highlight w:val="none"/>
        </w:rPr>
        <w:t>、商务报价错误的修正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将按第24.1条原则修正商务报价，并要求供应商进行</w:t>
      </w:r>
      <w:r>
        <w:rPr>
          <w:rFonts w:hint="eastAsia" w:asciiTheme="minorEastAsia" w:hAnsiTheme="minorEastAsia" w:eastAsiaTheme="minorEastAsia" w:cstheme="minorEastAsia"/>
          <w:color w:val="auto"/>
          <w:sz w:val="24"/>
          <w:highlight w:val="none"/>
          <w:lang w:eastAsia="zh-CN"/>
        </w:rPr>
        <w:t>澄清</w:t>
      </w:r>
      <w:r>
        <w:rPr>
          <w:rFonts w:hint="eastAsia" w:asciiTheme="minorEastAsia" w:hAnsiTheme="minorEastAsia" w:eastAsiaTheme="minorEastAsia" w:cstheme="minorEastAsia"/>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2"/>
        <w:numPr>
          <w:ilvl w:val="0"/>
          <w:numId w:val="0"/>
        </w:numPr>
        <w:spacing w:before="75" w:beforeAutospacing="0" w:after="75" w:afterAutospacing="0" w:line="360" w:lineRule="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bCs/>
          <w:color w:val="auto"/>
          <w:sz w:val="24"/>
          <w:szCs w:val="24"/>
          <w:highlight w:val="none"/>
          <w:lang w:val="en-US" w:eastAsia="zh-CN"/>
        </w:rPr>
        <w:t>25、</w:t>
      </w:r>
      <w:r>
        <w:rPr>
          <w:rStyle w:val="29"/>
          <w:rFonts w:hint="eastAsia" w:cs="宋体"/>
          <w:b/>
          <w:bCs/>
          <w:color w:val="auto"/>
          <w:sz w:val="24"/>
          <w:szCs w:val="24"/>
          <w:highlight w:val="none"/>
          <w:lang w:eastAsia="zh-CN"/>
        </w:rPr>
        <w:t>询标澄清</w:t>
      </w:r>
    </w:p>
    <w:p>
      <w:pPr>
        <w:pStyle w:val="22"/>
        <w:numPr>
          <w:ilvl w:val="0"/>
          <w:numId w:val="0"/>
        </w:numPr>
        <w:spacing w:before="75" w:beforeAutospacing="0" w:after="75" w:afterAutospacing="0" w:line="360" w:lineRule="auto"/>
        <w:ind w:left="420"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25.2如磋商小组对评标文件有疑问，由磋商小组组长将问题汇总后发起询标函，或由采购代理机构代替发起。供应商在截止时间前，根据标项回复询标函。（询标澄清：选择对应的标项，点击“澄清”；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25.3</w:t>
      </w:r>
      <w:r>
        <w:rPr>
          <w:rFonts w:hint="eastAsia" w:asciiTheme="minorEastAsia" w:hAnsiTheme="minorEastAsia" w:eastAsiaTheme="minorEastAsia" w:cstheme="minorEastAsia"/>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25.3.1</w:t>
      </w:r>
      <w:r>
        <w:rPr>
          <w:rFonts w:hint="eastAsia" w:asciiTheme="minorEastAsia" w:hAnsiTheme="minorEastAsia" w:eastAsiaTheme="minorEastAsia" w:cstheme="minorEastAsia"/>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Theme="minorEastAsia" w:hAnsiTheme="minorEastAsia" w:eastAsiaTheme="minorEastAsia" w:cstheme="minorEastAsia"/>
          <w:color w:val="auto"/>
          <w:sz w:val="24"/>
          <w:highlight w:val="none"/>
          <w:lang w:val="en-US" w:eastAsia="zh-CN"/>
        </w:rPr>
        <w:t>pdf格式上传；签章：对已上传的澄清文件进行CA签章。</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25.4</w:t>
      </w:r>
      <w:r>
        <w:rPr>
          <w:rFonts w:hint="eastAsia" w:asciiTheme="minorEastAsia" w:hAnsiTheme="minorEastAsia" w:eastAsiaTheme="minorEastAsia" w:cstheme="minorEastAsia"/>
          <w:color w:val="auto"/>
          <w:sz w:val="24"/>
          <w:highlight w:val="none"/>
          <w:lang w:eastAsia="zh-CN"/>
        </w:rPr>
        <w:t>若供应商未在规定时间内答复的，由此产生的后果将由供应商自行承担。</w:t>
      </w:r>
    </w:p>
    <w:p>
      <w:pPr>
        <w:widowControl/>
        <w:spacing w:line="360" w:lineRule="auto"/>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26、重大偏离与</w:t>
      </w:r>
      <w:r>
        <w:rPr>
          <w:rFonts w:hint="eastAsia" w:ascii="宋体" w:hAnsi="宋体" w:cs="宋体"/>
          <w:b/>
          <w:color w:val="auto"/>
          <w:sz w:val="24"/>
          <w:highlight w:val="none"/>
        </w:rPr>
        <w:t>细微偏差修正</w:t>
      </w:r>
    </w:p>
    <w:p>
      <w:pPr>
        <w:widowControl/>
        <w:spacing w:line="360" w:lineRule="auto"/>
        <w:ind w:left="-84" w:leftChars="-40" w:firstLine="600" w:firstLineChars="250"/>
        <w:rPr>
          <w:rFonts w:asciiTheme="minorEastAsia" w:hAnsiTheme="minorEastAsia" w:eastAsiaTheme="minorEastAsia" w:cstheme="minorEastAsia"/>
          <w:bCs/>
          <w:color w:val="auto"/>
          <w:sz w:val="24"/>
          <w:szCs w:val="20"/>
          <w:highlight w:val="none"/>
        </w:rPr>
      </w:pPr>
      <w:bookmarkStart w:id="162" w:name="_Toc243907608"/>
      <w:bookmarkStart w:id="163" w:name="_Toc233274846"/>
      <w:bookmarkStart w:id="164" w:name="_Toc243906347"/>
      <w:bookmarkStart w:id="165" w:name="_Toc245897307"/>
      <w:r>
        <w:rPr>
          <w:rFonts w:hint="eastAsia" w:asciiTheme="minorEastAsia" w:hAnsiTheme="minorEastAsia" w:eastAsiaTheme="minorEastAsia" w:cstheme="minorEastAsia"/>
          <w:bCs/>
          <w:color w:val="auto"/>
          <w:sz w:val="24"/>
          <w:szCs w:val="20"/>
          <w:highlight w:val="none"/>
        </w:rPr>
        <w:t>26.1重大偏离是指实质上影响合同的</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范围、质量和性能、</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期等，或者实质上不满足</w:t>
      </w:r>
      <w:r>
        <w:rPr>
          <w:rFonts w:hint="eastAsia" w:asciiTheme="minorEastAsia" w:hAnsiTheme="minorEastAsia" w:eastAsiaTheme="minorEastAsia" w:cstheme="minorEastAsia"/>
          <w:bCs/>
          <w:color w:val="auto"/>
          <w:sz w:val="24"/>
          <w:szCs w:val="20"/>
          <w:highlight w:val="none"/>
          <w:lang w:eastAsia="zh-CN"/>
        </w:rPr>
        <w:t>采购文件</w:t>
      </w:r>
      <w:r>
        <w:rPr>
          <w:rFonts w:hint="eastAsia" w:asciiTheme="minorEastAsia" w:hAnsiTheme="minorEastAsia" w:eastAsiaTheme="minorEastAsia" w:cstheme="minorEastAsia"/>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0"/>
          <w:highlight w:val="none"/>
        </w:rPr>
        <w:t>26.2</w:t>
      </w:r>
      <w:r>
        <w:rPr>
          <w:rFonts w:hint="eastAsia" w:ascii="宋体" w:hAnsi="宋体" w:cs="宋体"/>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确认的符合性响应文件虽然实质上响应</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color w:val="auto"/>
          <w:sz w:val="24"/>
          <w:szCs w:val="20"/>
          <w:highlight w:val="none"/>
        </w:rPr>
      </w:pPr>
      <w:r>
        <w:rPr>
          <w:rFonts w:hint="eastAsia" w:ascii="宋体" w:hAnsi="宋体" w:cs="宋体"/>
          <w:color w:val="auto"/>
          <w:sz w:val="24"/>
          <w:highlight w:val="none"/>
        </w:rPr>
        <w:t>26.3经</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确认存在细微偏差的响应文件，</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27、无效响应文件</w:t>
      </w:r>
    </w:p>
    <w:p>
      <w:pPr>
        <w:spacing w:line="360" w:lineRule="auto"/>
        <w:ind w:firstLine="480" w:firstLineChars="200"/>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响应文件有下列情形之一的，由</w:t>
      </w:r>
      <w:r>
        <w:rPr>
          <w:rFonts w:hint="eastAsia" w:asciiTheme="minorEastAsia" w:hAnsiTheme="minorEastAsia" w:eastAsiaTheme="minorEastAsia" w:cstheme="minorEastAsia"/>
          <w:bCs/>
          <w:color w:val="auto"/>
          <w:sz w:val="24"/>
          <w:highlight w:val="none"/>
          <w:lang w:eastAsia="zh-CN"/>
        </w:rPr>
        <w:t>磋商小组</w:t>
      </w:r>
      <w:r>
        <w:rPr>
          <w:rFonts w:hint="eastAsia" w:asciiTheme="minorEastAsia" w:hAnsiTheme="minorEastAsia" w:eastAsiaTheme="minorEastAsia" w:cstheme="minorEastAsia"/>
          <w:bCs/>
          <w:color w:val="auto"/>
          <w:sz w:val="24"/>
          <w:highlight w:val="none"/>
        </w:rPr>
        <w:t>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27.1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提出的实质性要求和条件未能实质性响应；</w:t>
      </w:r>
    </w:p>
    <w:p>
      <w:pPr>
        <w:spacing w:line="360" w:lineRule="auto"/>
        <w:ind w:firstLine="480" w:firstLineChars="200"/>
        <w:rPr>
          <w:rFonts w:hint="eastAsia" w:ascii="宋体" w:hAnsi="宋体" w:eastAsia="宋体"/>
          <w:color w:val="auto"/>
          <w:sz w:val="24"/>
          <w:szCs w:val="22"/>
          <w:highlight w:val="none"/>
        </w:rPr>
      </w:pPr>
      <w:r>
        <w:rPr>
          <w:rFonts w:hint="eastAsia" w:asciiTheme="minorEastAsia" w:hAnsiTheme="minorEastAsia" w:eastAsiaTheme="minorEastAsia" w:cstheme="minorEastAsia"/>
          <w:color w:val="auto"/>
          <w:sz w:val="24"/>
          <w:highlight w:val="none"/>
        </w:rPr>
        <w:t>27.5《中华人民共和国政府采购法》、《中华人民共和国政府采购实施条例》、</w:t>
      </w:r>
      <w:r>
        <w:rPr>
          <w:rFonts w:hint="eastAsia" w:ascii="宋体" w:hAnsi="宋体" w:eastAsia="宋体" w:cs="宋体"/>
          <w:color w:val="auto"/>
          <w:sz w:val="24"/>
          <w:highlight w:val="none"/>
        </w:rPr>
        <w:t>《政府采购货物和服务招标投标管理办法》（中华人民共和国财政部令第87号）</w:t>
      </w:r>
      <w:r>
        <w:rPr>
          <w:rFonts w:hint="eastAsia" w:asciiTheme="minorEastAsia" w:hAnsiTheme="minorEastAsia" w:eastAsiaTheme="minorEastAsia" w:cstheme="minorEastAsia"/>
          <w:color w:val="auto"/>
          <w:sz w:val="24"/>
          <w:highlight w:val="none"/>
        </w:rPr>
        <w:t>及相关法律法规及</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文件明确规定</w:t>
      </w:r>
      <w:r>
        <w:rPr>
          <w:rFonts w:hint="eastAsia" w:asciiTheme="minorEastAsia" w:hAnsiTheme="minorEastAsia" w:eastAsiaTheme="minorEastAsia" w:cstheme="minorEastAsia"/>
          <w:color w:val="auto"/>
          <w:sz w:val="24"/>
          <w:szCs w:val="20"/>
          <w:highlight w:val="none"/>
        </w:rPr>
        <w:t>可以作无效响应的其他情形。</w:t>
      </w:r>
    </w:p>
    <w:p>
      <w:pPr>
        <w:widowControl/>
        <w:numPr>
          <w:ilvl w:val="0"/>
          <w:numId w:val="0"/>
        </w:numPr>
        <w:spacing w:line="360" w:lineRule="auto"/>
        <w:ind w:left="210" w:leftChars="0"/>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lang w:val="en-US" w:eastAsia="zh-CN"/>
        </w:rPr>
        <w:t>28、</w:t>
      </w:r>
      <w:r>
        <w:rPr>
          <w:rFonts w:hint="eastAsia" w:asciiTheme="minorEastAsia" w:hAnsiTheme="minorEastAsia" w:eastAsiaTheme="minorEastAsia" w:cstheme="minorEastAsia"/>
          <w:b/>
          <w:bCs/>
          <w:color w:val="auto"/>
          <w:sz w:val="24"/>
          <w:szCs w:val="20"/>
          <w:highlight w:val="none"/>
          <w:lang w:eastAsia="zh-CN"/>
        </w:rPr>
        <w:t>评标</w:t>
      </w:r>
      <w:r>
        <w:rPr>
          <w:rFonts w:hint="eastAsia" w:asciiTheme="minorEastAsia" w:hAnsiTheme="minorEastAsia" w:eastAsiaTheme="minorEastAsia" w:cstheme="minorEastAsia"/>
          <w:b/>
          <w:bCs/>
          <w:color w:val="auto"/>
          <w:sz w:val="24"/>
          <w:szCs w:val="20"/>
          <w:highlight w:val="none"/>
        </w:rPr>
        <w:t>程序</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.1信用查询：按照《财政部关于在政府采购活动中查询及使用信用记录有关问题的通知》（财库〔2016〕125 号）的要求，根据开标当日“信用中国” 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 xml:space="preserve">，拒绝参与政府采购活动，同时对信用信息查询记录和证据进行打印存档。 </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Style w:val="29"/>
          <w:rFonts w:hint="eastAsia" w:ascii="宋体" w:hAnsi="宋体" w:eastAsia="宋体" w:cs="宋体"/>
          <w:b w:val="0"/>
          <w:bCs w:val="0"/>
          <w:color w:val="auto"/>
          <w:sz w:val="24"/>
          <w:szCs w:val="24"/>
          <w:highlight w:val="none"/>
          <w:lang w:val="en-US" w:eastAsia="zh-CN"/>
        </w:rPr>
        <w:t>2</w:t>
      </w:r>
      <w:r>
        <w:rPr>
          <w:rStyle w:val="29"/>
          <w:rFonts w:hint="eastAsia" w:ascii="宋体" w:hAnsi="宋体"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将依照以下程序进行磋商评审，首先对响应文件进行资格性和符合性的初步审查：</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.2.1资格性检查。依据法律法规和</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的规定，对</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中的资格证明等进行审查，以确定</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是否具备投标资格。资格性检查不合格的，将失去</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资格。</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48"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.2.2符合性审查：由</w:t>
      </w:r>
      <w:r>
        <w:rPr>
          <w:rStyle w:val="29"/>
          <w:rFonts w:hint="eastAsia" w:cs="宋体"/>
          <w:b w:val="0"/>
          <w:bCs w:val="0"/>
          <w:color w:val="auto"/>
          <w:sz w:val="24"/>
          <w:szCs w:val="24"/>
          <w:highlight w:val="none"/>
          <w:lang w:val="en-US" w:eastAsia="zh-CN"/>
        </w:rPr>
        <w:t>磋商小组</w:t>
      </w:r>
      <w:r>
        <w:rPr>
          <w:rStyle w:val="29"/>
          <w:rFonts w:hint="eastAsia" w:ascii="宋体" w:hAnsi="宋体" w:eastAsia="宋体" w:cs="宋体"/>
          <w:b w:val="0"/>
          <w:bCs w:val="0"/>
          <w:color w:val="auto"/>
          <w:sz w:val="24"/>
          <w:szCs w:val="24"/>
          <w:highlight w:val="none"/>
          <w:lang w:val="en-US" w:eastAsia="zh-CN"/>
        </w:rPr>
        <w:t>评委对符合资格的各</w:t>
      </w:r>
      <w:r>
        <w:rPr>
          <w:rStyle w:val="29"/>
          <w:rFonts w:hint="eastAsia" w:cs="宋体"/>
          <w:b w:val="0"/>
          <w:bCs w:val="0"/>
          <w:color w:val="auto"/>
          <w:sz w:val="24"/>
          <w:szCs w:val="24"/>
          <w:highlight w:val="none"/>
          <w:lang w:val="en-US" w:eastAsia="zh-CN"/>
        </w:rPr>
        <w:t>供应商响应文件</w:t>
      </w:r>
      <w:r>
        <w:rPr>
          <w:rStyle w:val="29"/>
          <w:rFonts w:hint="eastAsia" w:ascii="宋体" w:hAnsi="宋体" w:eastAsia="宋体" w:cs="宋体"/>
          <w:b w:val="0"/>
          <w:bCs w:val="0"/>
          <w:color w:val="auto"/>
          <w:sz w:val="24"/>
          <w:szCs w:val="24"/>
          <w:highlight w:val="none"/>
          <w:lang w:val="en-US" w:eastAsia="zh-CN"/>
        </w:rPr>
        <w:t>进行符合性审查。符合性审查是从</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的有效性、完整性和对</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的响应程度进行审查。未通过符合性审查的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其</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 xml:space="preserve">将按照无效投标处理。 </w:t>
      </w:r>
    </w:p>
    <w:p>
      <w:pPr>
        <w:pStyle w:val="22"/>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48" w:lineRule="auto"/>
        <w:ind w:firstLine="480" w:firstLineChars="200"/>
        <w:textAlignment w:val="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val="0"/>
          <w:bCs w:val="0"/>
          <w:color w:val="auto"/>
          <w:sz w:val="24"/>
          <w:szCs w:val="24"/>
          <w:highlight w:val="none"/>
          <w:lang w:val="en-US" w:eastAsia="zh-CN"/>
        </w:rPr>
        <w:t>28.3商务技术评审：磋商小组根据采购文件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r>
        <w:rPr>
          <w:rFonts w:hint="eastAsia" w:asciiTheme="minorEastAsia" w:hAnsiTheme="minorEastAsia" w:eastAsiaTheme="minorEastAsia" w:cstheme="minorEastAsia"/>
          <w:b/>
          <w:bCs/>
          <w:color w:val="auto"/>
          <w:sz w:val="24"/>
          <w:szCs w:val="20"/>
          <w:highlight w:val="none"/>
          <w:lang w:eastAsia="zh-CN"/>
        </w:rPr>
        <w:t>中的内容对投标供应商进行评审。</w:t>
      </w:r>
    </w:p>
    <w:p>
      <w:pPr>
        <w:pStyle w:val="22"/>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48" w:lineRule="auto"/>
        <w:ind w:firstLine="482" w:firstLineChars="200"/>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b/>
          <w:bCs/>
          <w:color w:val="auto"/>
          <w:sz w:val="24"/>
          <w:szCs w:val="20"/>
          <w:highlight w:val="none"/>
          <w:lang w:val="en-US" w:eastAsia="zh-CN"/>
        </w:rPr>
        <w:t>28.4报价评审：投标</w:t>
      </w:r>
      <w:r>
        <w:rPr>
          <w:rStyle w:val="29"/>
          <w:rFonts w:hint="eastAsia" w:ascii="宋体" w:hAnsi="宋体" w:eastAsia="宋体" w:cs="宋体"/>
          <w:b w:val="0"/>
          <w:bCs w:val="0"/>
          <w:color w:val="auto"/>
          <w:sz w:val="24"/>
          <w:szCs w:val="24"/>
          <w:highlight w:val="none"/>
          <w:lang w:val="en-US" w:eastAsia="zh-CN"/>
        </w:rPr>
        <w:t>供应商进行两轮报价且以最终报价为准进行报价评审</w:t>
      </w:r>
      <w:r>
        <w:rPr>
          <w:rStyle w:val="29"/>
          <w:rFonts w:hint="eastAsia" w:cs="宋体"/>
          <w:b w:val="0"/>
          <w:bCs w:val="0"/>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28.5</w:t>
      </w:r>
      <w:r>
        <w:rPr>
          <w:rFonts w:hint="eastAsia" w:asciiTheme="minorEastAsia" w:hAnsiTheme="minorEastAsia" w:eastAsiaTheme="minorEastAsia" w:cstheme="minorEastAsia"/>
          <w:color w:val="auto"/>
          <w:sz w:val="24"/>
          <w:szCs w:val="20"/>
          <w:highlight w:val="none"/>
        </w:rPr>
        <w:t>本项目评审采用综合评分法，严格按照</w:t>
      </w:r>
      <w:r>
        <w:rPr>
          <w:rFonts w:hint="eastAsia" w:asciiTheme="minorEastAsia" w:hAnsiTheme="minorEastAsia" w:eastAsiaTheme="minorEastAsia" w:cstheme="minorEastAsia"/>
          <w:color w:val="auto"/>
          <w:sz w:val="24"/>
          <w:szCs w:val="20"/>
          <w:highlight w:val="none"/>
          <w:lang w:eastAsia="zh-CN"/>
        </w:rPr>
        <w:t>采购文件</w:t>
      </w:r>
      <w:r>
        <w:rPr>
          <w:rFonts w:hint="eastAsia" w:asciiTheme="minorEastAsia" w:hAnsiTheme="minorEastAsia" w:eastAsiaTheme="minorEastAsia" w:cstheme="minorEastAsia"/>
          <w:color w:val="auto"/>
          <w:sz w:val="24"/>
          <w:szCs w:val="20"/>
          <w:highlight w:val="none"/>
        </w:rPr>
        <w:t>的要求和条件进行。</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28.6</w:t>
      </w:r>
      <w:r>
        <w:rPr>
          <w:rFonts w:hint="eastAsia" w:asciiTheme="minorEastAsia" w:hAnsiTheme="minorEastAsia" w:eastAsiaTheme="minorEastAsia" w:cstheme="minorEastAsia"/>
          <w:b/>
          <w:bCs/>
          <w:color w:val="auto"/>
          <w:sz w:val="24"/>
          <w:szCs w:val="20"/>
          <w:highlight w:val="none"/>
        </w:rPr>
        <w:t>评审分值：总分值为100分，其中价格分值为</w:t>
      </w:r>
      <w:r>
        <w:rPr>
          <w:rFonts w:hint="eastAsia" w:asciiTheme="minorEastAsia" w:hAnsiTheme="minorEastAsia" w:eastAsiaTheme="minorEastAsia" w:cstheme="minorEastAsia"/>
          <w:b/>
          <w:bCs/>
          <w:color w:val="auto"/>
          <w:sz w:val="24"/>
          <w:szCs w:val="20"/>
          <w:highlight w:val="none"/>
          <w:lang w:val="en-US" w:eastAsia="zh-CN"/>
        </w:rPr>
        <w:t>20</w:t>
      </w:r>
      <w:r>
        <w:rPr>
          <w:rFonts w:hint="eastAsia" w:asciiTheme="minorEastAsia" w:hAnsiTheme="minorEastAsia" w:eastAsiaTheme="minorEastAsia" w:cstheme="minorEastAsia"/>
          <w:b/>
          <w:bCs/>
          <w:color w:val="auto"/>
          <w:sz w:val="24"/>
          <w:szCs w:val="20"/>
          <w:highlight w:val="none"/>
        </w:rPr>
        <w:t>分，其余部分分值为</w:t>
      </w:r>
      <w:r>
        <w:rPr>
          <w:rFonts w:hint="eastAsia" w:asciiTheme="minorEastAsia" w:hAnsiTheme="minorEastAsia" w:eastAsiaTheme="minorEastAsia" w:cstheme="minorEastAsia"/>
          <w:b/>
          <w:bCs/>
          <w:color w:val="auto"/>
          <w:sz w:val="24"/>
          <w:szCs w:val="20"/>
          <w:highlight w:val="none"/>
          <w:lang w:val="en-US" w:eastAsia="zh-CN"/>
        </w:rPr>
        <w:t>80</w:t>
      </w:r>
      <w:r>
        <w:rPr>
          <w:rFonts w:hint="eastAsia" w:asciiTheme="minorEastAsia" w:hAnsiTheme="minorEastAsia" w:eastAsiaTheme="minorEastAsia" w:cstheme="minorEastAsia"/>
          <w:b/>
          <w:bCs/>
          <w:color w:val="auto"/>
          <w:sz w:val="24"/>
          <w:szCs w:val="20"/>
          <w:highlight w:val="none"/>
        </w:rPr>
        <w:t>分，具体评审评分内容详见本</w:t>
      </w:r>
      <w:r>
        <w:rPr>
          <w:rFonts w:hint="eastAsia" w:asciiTheme="minorEastAsia" w:hAnsiTheme="minorEastAsia" w:eastAsiaTheme="minorEastAsia" w:cstheme="minorEastAsia"/>
          <w:b/>
          <w:bCs/>
          <w:color w:val="auto"/>
          <w:sz w:val="24"/>
          <w:szCs w:val="20"/>
          <w:highlight w:val="none"/>
          <w:lang w:eastAsia="zh-CN"/>
        </w:rPr>
        <w:t>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28.7</w:t>
      </w:r>
      <w:r>
        <w:rPr>
          <w:rFonts w:hint="eastAsia" w:asciiTheme="minorEastAsia" w:hAnsiTheme="minorEastAsia" w:eastAsiaTheme="minorEastAsia" w:cstheme="minorEastAsia"/>
          <w:color w:val="auto"/>
          <w:sz w:val="24"/>
          <w:szCs w:val="20"/>
          <w:highlight w:val="none"/>
        </w:rPr>
        <w:t>评分计算结果保留两位小数，第三位小数四舍五入。</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28.8</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复核。</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评分汇总结束后，</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应当进行评审复核，对拟推荐为成交候选供应商的、报价最低的、供应商资格审查未通过的、供应商响应文件作无效处理的重点复核。</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28.9</w:t>
      </w:r>
      <w:r>
        <w:rPr>
          <w:rFonts w:hint="eastAsia" w:asciiTheme="minorEastAsia" w:hAnsiTheme="minorEastAsia" w:eastAsiaTheme="minorEastAsia" w:cstheme="minorEastAsia"/>
          <w:color w:val="auto"/>
          <w:sz w:val="24"/>
          <w:szCs w:val="20"/>
          <w:highlight w:val="none"/>
        </w:rPr>
        <w:t>推荐成交候选供应商</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eastAsia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rPr>
        <w:t>28.9.1</w:t>
      </w:r>
      <w:r>
        <w:rPr>
          <w:rFonts w:hint="eastAsia" w:asciiTheme="minorEastAsia" w:hAnsiTheme="minorEastAsia" w:eastAsiaTheme="minorEastAsia" w:cstheme="minorEastAsia"/>
          <w:color w:val="auto"/>
          <w:sz w:val="24"/>
          <w:szCs w:val="20"/>
          <w:highlight w:val="none"/>
        </w:rPr>
        <w:t>各供应商的评审得分由高至低排序，评审得分排列前3名的供应商被推荐为成交候选供应商。评审得分相同的，按照最后报价由</w:t>
      </w:r>
      <w:r>
        <w:rPr>
          <w:rFonts w:hint="eastAsia" w:asciiTheme="minorEastAsia" w:hAnsiTheme="minorEastAsia" w:eastAsiaTheme="minorEastAsia" w:cstheme="minorEastAsia"/>
          <w:color w:val="auto"/>
          <w:sz w:val="24"/>
          <w:szCs w:val="20"/>
          <w:highlight w:val="none"/>
          <w:lang w:eastAsia="zh-CN"/>
        </w:rPr>
        <w:t>高</w:t>
      </w:r>
      <w:r>
        <w:rPr>
          <w:rFonts w:hint="eastAsia" w:asciiTheme="minorEastAsia" w:hAnsiTheme="minorEastAsia" w:eastAsiaTheme="minorEastAsia" w:cstheme="minorEastAsia"/>
          <w:color w:val="auto"/>
          <w:sz w:val="24"/>
          <w:szCs w:val="20"/>
          <w:highlight w:val="none"/>
        </w:rPr>
        <w:t>到</w:t>
      </w:r>
      <w:r>
        <w:rPr>
          <w:rFonts w:hint="eastAsia" w:asciiTheme="minorEastAsia" w:hAnsiTheme="minorEastAsia" w:eastAsiaTheme="minorEastAsia" w:cstheme="minorEastAsia"/>
          <w:color w:val="auto"/>
          <w:sz w:val="24"/>
          <w:szCs w:val="20"/>
          <w:highlight w:val="none"/>
          <w:lang w:eastAsia="zh-CN"/>
        </w:rPr>
        <w:t>低</w:t>
      </w:r>
      <w:r>
        <w:rPr>
          <w:rFonts w:hint="eastAsia" w:asciiTheme="minorEastAsia" w:hAnsiTheme="minorEastAsia" w:eastAsiaTheme="minorEastAsia" w:cstheme="minorEastAsia"/>
          <w:color w:val="auto"/>
          <w:sz w:val="24"/>
          <w:szCs w:val="20"/>
          <w:highlight w:val="none"/>
        </w:rPr>
        <w:t>的顺序推荐。评审得分且最后报价相同的，按照技术指标优劣顺序推荐。</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szCs w:val="20"/>
          <w:highlight w:val="none"/>
        </w:rPr>
      </w:pPr>
      <w:bookmarkStart w:id="166" w:name="_Toc243907610"/>
      <w:bookmarkStart w:id="167" w:name="_Toc233274848"/>
      <w:bookmarkStart w:id="168" w:name="_Toc243906349"/>
      <w:bookmarkStart w:id="169" w:name="_Toc245897309"/>
      <w:r>
        <w:rPr>
          <w:rFonts w:hint="eastAsia" w:asciiTheme="minorEastAsia" w:hAnsiTheme="minorEastAsia" w:eastAsiaTheme="minorEastAsia" w:cstheme="minorEastAsia"/>
          <w:b/>
          <w:bCs/>
          <w:color w:val="auto"/>
          <w:sz w:val="24"/>
          <w:szCs w:val="20"/>
          <w:highlight w:val="none"/>
          <w:lang w:val="en-US" w:eastAsia="zh-CN"/>
        </w:rPr>
        <w:t>29</w:t>
      </w:r>
      <w:r>
        <w:rPr>
          <w:rFonts w:hint="eastAsia" w:asciiTheme="minorEastAsia" w:hAnsiTheme="minorEastAsia" w:eastAsiaTheme="minorEastAsia" w:cstheme="minorEastAsia"/>
          <w:b/>
          <w:bCs/>
          <w:color w:val="auto"/>
          <w:sz w:val="24"/>
          <w:szCs w:val="20"/>
          <w:highlight w:val="none"/>
        </w:rPr>
        <w:t>、成交通知</w:t>
      </w:r>
      <w:bookmarkEnd w:id="166"/>
      <w:bookmarkEnd w:id="167"/>
      <w:bookmarkEnd w:id="168"/>
      <w:bookmarkEnd w:id="169"/>
      <w:r>
        <w:rPr>
          <w:rFonts w:hint="eastAsia" w:asciiTheme="minorEastAsia" w:hAnsiTheme="minorEastAsia" w:eastAsiaTheme="minorEastAsia" w:cstheme="minorEastAsia"/>
          <w:b/>
          <w:bCs/>
          <w:color w:val="auto"/>
          <w:sz w:val="24"/>
          <w:szCs w:val="20"/>
          <w:highlight w:val="none"/>
        </w:rPr>
        <w:t>书</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.2《成交通知书》将是合同的组成部分。</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szCs w:val="20"/>
          <w:highlight w:val="none"/>
        </w:rPr>
      </w:pPr>
      <w:bookmarkStart w:id="170" w:name="_Toc233274849"/>
      <w:bookmarkStart w:id="171" w:name="_Toc243907611"/>
      <w:bookmarkStart w:id="172" w:name="_Toc245897310"/>
      <w:bookmarkStart w:id="173" w:name="_Toc243906350"/>
      <w:r>
        <w:rPr>
          <w:rFonts w:hint="eastAsia" w:asciiTheme="minorEastAsia" w:hAnsiTheme="minorEastAsia" w:eastAsiaTheme="minorEastAsia" w:cstheme="minorEastAsia"/>
          <w:b/>
          <w:bCs/>
          <w:color w:val="auto"/>
          <w:sz w:val="24"/>
          <w:szCs w:val="20"/>
          <w:highlight w:val="none"/>
          <w:lang w:val="en-US" w:eastAsia="zh-CN"/>
        </w:rPr>
        <w:t>30</w:t>
      </w:r>
      <w:r>
        <w:rPr>
          <w:rFonts w:hint="eastAsia" w:asciiTheme="minorEastAsia" w:hAnsiTheme="minorEastAsia" w:eastAsiaTheme="minorEastAsia" w:cstheme="minorEastAsia"/>
          <w:b/>
          <w:bCs/>
          <w:color w:val="auto"/>
          <w:sz w:val="24"/>
          <w:szCs w:val="20"/>
          <w:highlight w:val="none"/>
        </w:rPr>
        <w:t>、纪律与保密事项</w:t>
      </w:r>
      <w:bookmarkEnd w:id="170"/>
      <w:bookmarkEnd w:id="171"/>
      <w:bookmarkEnd w:id="172"/>
      <w:bookmarkEnd w:id="173"/>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.1凡参与磋商工作的有关人员均应自觉接受有关主管部门的监督，不得向他人透露可能影响公平竞争的有关磋商的其他情况。</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.2领取本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.3供应商不得与采购人串通磋商，不得向采购人或者</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30</w:t>
      </w:r>
      <w:r>
        <w:rPr>
          <w:rFonts w:hint="eastAsia" w:asciiTheme="minorEastAsia" w:hAnsiTheme="minorEastAsia" w:eastAsiaTheme="minorEastAsia" w:cstheme="minorEastAsia"/>
          <w:color w:val="auto"/>
          <w:sz w:val="24"/>
          <w:szCs w:val="20"/>
          <w:highlight w:val="none"/>
        </w:rPr>
        <w:t>.6从磋商之日起至授予合同期间，供应商试图向</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.7除供应商被要求对响应文件进行澄清外，从磋商之时起至授予合同期间，供应商不得就与其响应文件有关的事项主动与</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.8成交供应商确定后，采购人不对未成交供应商就评审过程以及未能成交原因作出任何解释，未成交供应商不得向</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或其他有关人员询问评审过程的情况和索取评审过程的资料。</w:t>
      </w:r>
    </w:p>
    <w:p>
      <w:pPr>
        <w:pStyle w:val="11"/>
        <w:keepNext w:val="0"/>
        <w:keepLines w:val="0"/>
        <w:pageBreakBefore w:val="0"/>
        <w:kinsoku/>
        <w:wordWrap/>
        <w:overflowPunct/>
        <w:topLinePunct w:val="0"/>
        <w:autoSpaceDE/>
        <w:autoSpaceDN/>
        <w:bidi w:val="0"/>
        <w:adjustRightInd/>
        <w:snapToGrid/>
        <w:spacing w:line="348" w:lineRule="auto"/>
        <w:jc w:val="center"/>
        <w:textAlignment w:val="auto"/>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F</w:t>
      </w:r>
      <w:r>
        <w:rPr>
          <w:rFonts w:hint="eastAsia" w:asciiTheme="minorEastAsia" w:hAnsiTheme="minorEastAsia" w:eastAsiaTheme="minorEastAsia" w:cstheme="minorEastAsia"/>
          <w:b/>
          <w:bCs/>
          <w:color w:val="auto"/>
          <w:sz w:val="28"/>
          <w:szCs w:val="28"/>
          <w:highlight w:val="none"/>
        </w:rPr>
        <w:t xml:space="preserve"> 授予合同</w:t>
      </w:r>
    </w:p>
    <w:p>
      <w:pPr>
        <w:pStyle w:val="11"/>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31、授予合同标准</w:t>
      </w:r>
    </w:p>
    <w:p>
      <w:pPr>
        <w:pStyle w:val="11"/>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本采购项目的采购合同将授予按磋商文件第2</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条所确定成交供应商。</w:t>
      </w:r>
    </w:p>
    <w:p>
      <w:pPr>
        <w:pStyle w:val="11"/>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highlight w:val="none"/>
        </w:rPr>
      </w:pPr>
      <w:bookmarkStart w:id="174" w:name="_Toc233274855"/>
      <w:bookmarkStart w:id="175" w:name="_Toc243906357"/>
      <w:bookmarkStart w:id="176" w:name="_Toc245897317"/>
      <w:bookmarkStart w:id="177" w:name="_Toc243907620"/>
      <w:r>
        <w:rPr>
          <w:rFonts w:hint="eastAsia" w:asciiTheme="minorEastAsia" w:hAnsiTheme="minorEastAsia" w:eastAsiaTheme="minorEastAsia" w:cstheme="minorEastAsia"/>
          <w:b/>
          <w:bCs/>
          <w:color w:val="auto"/>
          <w:sz w:val="24"/>
          <w:highlight w:val="none"/>
        </w:rPr>
        <w:t>32、签订合同</w:t>
      </w:r>
      <w:bookmarkEnd w:id="174"/>
      <w:bookmarkEnd w:id="175"/>
      <w:bookmarkEnd w:id="176"/>
      <w:bookmarkEnd w:id="177"/>
    </w:p>
    <w:p>
      <w:pPr>
        <w:pStyle w:val="11"/>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1"/>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1"/>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32.3采购人如不按磋商文件第32.1条规定与成交供应商签订合同，或者采购人、成交供应商签订背离合同实质性内容的协议，由监督管理部门责令其改正。</w:t>
      </w:r>
    </w:p>
    <w:p>
      <w:pPr>
        <w:pStyle w:val="11"/>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32.5成交供应商</w:t>
      </w:r>
      <w:r>
        <w:rPr>
          <w:rFonts w:hint="eastAsia" w:asciiTheme="minorEastAsia" w:hAnsiTheme="minorEastAsia" w:eastAsiaTheme="minorEastAsia" w:cstheme="minorEastAsia"/>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highlight w:val="none"/>
        </w:rPr>
      </w:pPr>
      <w:bookmarkStart w:id="178" w:name="_Toc245897318"/>
      <w:bookmarkStart w:id="179" w:name="_Toc243907621"/>
      <w:r>
        <w:rPr>
          <w:rFonts w:hint="eastAsia" w:asciiTheme="minorEastAsia" w:hAnsiTheme="minorEastAsia" w:eastAsiaTheme="minorEastAsia" w:cstheme="minorEastAsia"/>
          <w:b/>
          <w:bCs/>
          <w:color w:val="auto"/>
          <w:sz w:val="24"/>
          <w:highlight w:val="none"/>
        </w:rPr>
        <w:t>33、合同的签订准则</w:t>
      </w:r>
      <w:bookmarkEnd w:id="178"/>
      <w:bookmarkEnd w:id="179"/>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33.1合同签订必须由采购人、成交供应商双方法定代表或其委托代理人签署并加盖法人公章后方能生效。</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33.2合同转包（实质性要求）</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成交供应商转包的，视同拒绝履行政府采购合同义务，将依法追究法律责任。</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33.3补充合同</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34、验收</w:t>
      </w:r>
    </w:p>
    <w:p>
      <w:pPr>
        <w:keepNext w:val="0"/>
        <w:keepLines w:val="0"/>
        <w:pageBreakBefore w:val="0"/>
        <w:widowControl w:val="0"/>
        <w:kinsoku/>
        <w:wordWrap/>
        <w:overflowPunct/>
        <w:topLinePunct w:val="0"/>
        <w:autoSpaceDE/>
        <w:autoSpaceDN/>
        <w:bidi w:val="0"/>
        <w:adjustRightInd/>
        <w:spacing w:line="348" w:lineRule="auto"/>
        <w:ind w:firstLine="360" w:firstLineChars="150"/>
        <w:jc w:val="left"/>
        <w:textAlignment w:val="auto"/>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sz w:val="24"/>
          <w:highlight w:val="none"/>
        </w:rPr>
        <w:t>本项目采购人将严格按照政府采购相关法律法规以及《克拉玛依市政府采购项目需求论证和履约验收管理办法》（克财发〔2016〕9号）的要求进行验收。</w:t>
      </w: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H</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35、询问 </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color w:val="auto"/>
          <w:highlight w:val="none"/>
        </w:rPr>
      </w:pPr>
      <w:r>
        <w:rPr>
          <w:rFonts w:hint="eastAsia" w:asciiTheme="minorEastAsia" w:hAnsiTheme="minorEastAsia" w:eastAsiaTheme="minorEastAsia" w:cstheme="minorEastAsia"/>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36、质疑</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36.3上述应知其权益受到损害之日，是指：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（1）对可以质疑的磋商文件提出质疑的，为收到磋商文件之日或者磋商文件公告期限届满之日；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36.4质疑供应商在法定质疑期内应当一次性提出针对同一采购环节提出质疑。</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（1）供应商的姓名或者名称、地址、邮编、联系人及联系电话（包括座机、手机、传真号码等）；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（2）质疑项目的名称、项目编号、包号、采购公告发布时间、递交响应文件或响应文件截止时间；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（8）供应商委托代理质疑的，应当提交授权委托书，并载明代理人的姓名或者名称、代理事项、 具体权限、期限和相关事项。</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36.6质疑供应商是指直接参加本项目采购活动的供应商，未参加政府采购活动的供应商或在采购活动中自身权益未受到损害的供应商所提出的质疑不予受理。</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37、投诉</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37.2供应商投诉的事项不得超出已质疑事项的范围，但基于质疑答复内容提出的投诉事项除外。</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38、诚实信用</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38.1供应商不得虚假承诺，否则，按照提供虚假材料谋取中标或成交处理。</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color w:val="auto"/>
          <w:sz w:val="24"/>
          <w:highlight w:val="none"/>
        </w:rPr>
        <w:t>38.2供应商提供中小企业声明函内容不实的，属于提供虚假材料谋取中标、成交，依照 《中华人民共和国政府采购法》等国家有关规定追究相应责任。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G 义务、工作纪律</w:t>
      </w:r>
    </w:p>
    <w:p>
      <w:pPr>
        <w:keepNext w:val="0"/>
        <w:keepLines w:val="0"/>
        <w:pageBreakBefore w:val="0"/>
        <w:widowControl w:val="0"/>
        <w:tabs>
          <w:tab w:val="left" w:pos="7665"/>
        </w:tabs>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39、磋商小组在政府采购活动中承担以下义务：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color w:val="auto"/>
          <w:sz w:val="24"/>
          <w:highlight w:val="none"/>
        </w:rPr>
        <w:t>政府采购评审专家应当遵守评审工作纪律，不得泄露评审文件、评审情况和评审中获悉的商业秘密</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eastAsiaTheme="minorEastAsia"/>
          <w:color w:val="auto"/>
          <w:sz w:val="24"/>
          <w:highlight w:val="none"/>
        </w:rPr>
        <w:t>磋商小组</w:t>
      </w:r>
      <w:r>
        <w:rPr>
          <w:color w:val="auto"/>
          <w:sz w:val="24"/>
          <w:highlight w:val="none"/>
        </w:rPr>
        <w:t>、竞争性谈判小组或者询价小组成员应当按照客观、公正、审慎的原则，根据</w:t>
      </w:r>
      <w:r>
        <w:rPr>
          <w:rFonts w:hint="eastAsia"/>
          <w:color w:val="auto"/>
          <w:sz w:val="24"/>
          <w:highlight w:val="none"/>
        </w:rPr>
        <w:t>磋商文件</w:t>
      </w:r>
      <w:r>
        <w:rPr>
          <w:color w:val="auto"/>
          <w:sz w:val="24"/>
          <w:highlight w:val="none"/>
        </w:rPr>
        <w:t>规定的评审程序、评审方法和评审标准进行独立评审。</w:t>
      </w:r>
      <w:r>
        <w:rPr>
          <w:rFonts w:hint="eastAsia"/>
          <w:color w:val="auto"/>
          <w:sz w:val="24"/>
          <w:highlight w:val="none"/>
        </w:rPr>
        <w:t>磋商文件</w:t>
      </w:r>
      <w:r>
        <w:rPr>
          <w:color w:val="auto"/>
          <w:sz w:val="24"/>
          <w:highlight w:val="none"/>
        </w:rPr>
        <w:t>内容违反国家有关强制性规定的，</w:t>
      </w:r>
      <w:r>
        <w:rPr>
          <w:rFonts w:hint="eastAsia"/>
          <w:color w:val="auto"/>
          <w:sz w:val="24"/>
          <w:highlight w:val="none"/>
        </w:rPr>
        <w:t>磋商小组</w:t>
      </w:r>
      <w:r>
        <w:rPr>
          <w:color w:val="auto"/>
          <w:sz w:val="24"/>
          <w:highlight w:val="none"/>
        </w:rPr>
        <w:t>、竞争性谈判小组或者询价小组应当停止评审并向采购人或者采购代理机构说明情况</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eastAsiaTheme="minorEastAsia"/>
          <w:color w:val="auto"/>
          <w:highlight w:val="none"/>
        </w:rPr>
      </w:pPr>
      <w:r>
        <w:rPr>
          <w:rFonts w:hint="eastAsia" w:asciiTheme="minorEastAsia" w:hAnsiTheme="minorEastAsia" w:eastAsiaTheme="minorEastAsia" w:cstheme="minorEastAsia"/>
          <w:color w:val="auto"/>
          <w:sz w:val="24"/>
          <w:highlight w:val="none"/>
        </w:rPr>
        <w:t>（三）</w:t>
      </w:r>
      <w:r>
        <w:rPr>
          <w:rFonts w:hint="eastAsia" w:eastAsiaTheme="minorEastAsia"/>
          <w:color w:val="auto"/>
          <w:sz w:val="24"/>
          <w:highlight w:val="none"/>
        </w:rPr>
        <w:t>磋商小组</w:t>
      </w:r>
      <w:r>
        <w:rPr>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（四）及时向财政部门报告评审过程中发现的采购人、采购代理机构向评审专家做倾向性、误导性的解释或者说明，以及供应商行贿、提供虚假材料或者串通等违法行为；</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（五）发现磋商文件内容违反国家有关强制性规定或者磋商文件存在歧义、重大缺陷导致评审工作无法进行时，停止评审并向采购人或者采购代理机构书面说明情况；</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（六）及时向财政、监察等部门举报在评审过程中受到非法干预的情况；</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（七）配合答复处理供应商的询问、质疑和投诉等事项；</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（八）法律、法规和规章规定的其他义务。</w:t>
      </w:r>
    </w:p>
    <w:p>
      <w:pPr>
        <w:keepNext w:val="0"/>
        <w:keepLines w:val="0"/>
        <w:pageBreakBefore w:val="0"/>
        <w:widowControl w:val="0"/>
        <w:tabs>
          <w:tab w:val="left" w:pos="7665"/>
        </w:tabs>
        <w:kinsoku/>
        <w:wordWrap/>
        <w:overflowPunct/>
        <w:topLinePunct w:val="0"/>
        <w:autoSpaceDE/>
        <w:autoSpaceDN/>
        <w:bidi w:val="0"/>
        <w:adjustRightInd/>
        <w:spacing w:line="348" w:lineRule="auto"/>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40、评审专家在政府采购活动中应当遵守以下工作纪律</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（二）评审前，应当将通讯工具或者相关电子设备交由采购代理机构统一保管；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（七）遵守有关廉洁自律规定，不得私下接触供应商，不得收受供应商及有关业务单位和个人的财物或好处，不得接受采购代理机构的请托。</w:t>
      </w:r>
    </w:p>
    <w:p>
      <w:pPr>
        <w:numPr>
          <w:ilvl w:val="0"/>
          <w:numId w:val="0"/>
        </w:numPr>
        <w:jc w:val="both"/>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第三章</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项目采购需求</w:t>
      </w:r>
    </w:p>
    <w:p>
      <w:pPr>
        <w:pStyle w:val="24"/>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本章节内容为克拉玛依市克拉玛依区人民政府胜利路街道办事处食堂外包服务项目的基本需求，各供应商应详细阅读</w:t>
      </w:r>
      <w:r>
        <w:rPr>
          <w:rFonts w:hint="eastAsia" w:ascii="宋体" w:hAnsi="宋体" w:cs="宋体"/>
          <w:b/>
          <w:bCs/>
          <w:color w:val="auto"/>
          <w:kern w:val="2"/>
          <w:sz w:val="24"/>
          <w:szCs w:val="22"/>
          <w:highlight w:val="none"/>
          <w:lang w:val="en-US" w:eastAsia="zh-CN" w:bidi="ar-SA"/>
        </w:rPr>
        <w:t>、充分理解</w:t>
      </w:r>
      <w:r>
        <w:rPr>
          <w:rFonts w:hint="eastAsia" w:ascii="宋体" w:hAnsi="宋体" w:eastAsia="宋体" w:cs="宋体"/>
          <w:b/>
          <w:bCs/>
          <w:color w:val="auto"/>
          <w:kern w:val="2"/>
          <w:sz w:val="24"/>
          <w:szCs w:val="22"/>
          <w:highlight w:val="none"/>
          <w:lang w:val="en-US" w:eastAsia="zh-CN" w:bidi="ar-SA"/>
        </w:rPr>
        <w:t>并响应，</w:t>
      </w:r>
      <w:r>
        <w:rPr>
          <w:rFonts w:hint="eastAsia" w:ascii="宋体" w:hAnsi="宋体" w:cs="宋体"/>
          <w:b/>
          <w:bCs/>
          <w:color w:val="auto"/>
          <w:kern w:val="2"/>
          <w:sz w:val="24"/>
          <w:szCs w:val="22"/>
          <w:highlight w:val="none"/>
          <w:lang w:val="en-US" w:eastAsia="zh-CN" w:bidi="ar-SA"/>
        </w:rPr>
        <w:t>任何因供应商忽视或误解造成的损失由供应商自行承担。</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w:t>
      </w:r>
      <w:r>
        <w:rPr>
          <w:rFonts w:hint="eastAsia" w:ascii="宋体" w:hAnsi="宋体" w:eastAsia="宋体" w:cs="宋体"/>
          <w:b/>
          <w:bCs/>
          <w:color w:val="auto"/>
          <w:kern w:val="2"/>
          <w:sz w:val="24"/>
          <w:szCs w:val="22"/>
          <w:highlight w:val="none"/>
          <w:lang w:val="en-US" w:eastAsia="zh-CN" w:bidi="ar-SA"/>
        </w:rPr>
        <w:t>采购范围</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firstLine="480" w:firstLineChars="200"/>
        <w:jc w:val="both"/>
        <w:textAlignment w:val="auto"/>
        <w:rPr>
          <w:rFonts w:hint="eastAsia"/>
          <w:b w:val="0"/>
          <w:bCs w:val="0"/>
          <w:color w:val="auto"/>
          <w:sz w:val="24"/>
          <w:szCs w:val="24"/>
          <w:lang w:val="en-US" w:eastAsia="zh-CN"/>
        </w:rPr>
      </w:pPr>
      <w:r>
        <w:rPr>
          <w:rFonts w:hint="eastAsia" w:ascii="宋体" w:hAnsi="宋体" w:eastAsia="宋体" w:cs="宋体"/>
          <w:color w:val="auto"/>
          <w:kern w:val="2"/>
          <w:sz w:val="24"/>
          <w:szCs w:val="22"/>
          <w:highlight w:val="none"/>
          <w:lang w:val="en-US" w:eastAsia="zh-CN" w:bidi="ar-SA"/>
        </w:rPr>
        <w:t>本次采购涉及到</w:t>
      </w:r>
      <w:r>
        <w:rPr>
          <w:rFonts w:hint="eastAsia"/>
          <w:b w:val="0"/>
          <w:bCs w:val="0"/>
          <w:color w:val="auto"/>
          <w:sz w:val="24"/>
          <w:szCs w:val="24"/>
          <w:lang w:val="en-US" w:eastAsia="zh-CN"/>
        </w:rPr>
        <w:t>：</w:t>
      </w:r>
      <w:r>
        <w:rPr>
          <w:rFonts w:hint="eastAsia"/>
          <w:b w:val="0"/>
          <w:bCs w:val="0"/>
          <w:color w:val="auto"/>
          <w:sz w:val="24"/>
          <w:szCs w:val="24"/>
          <w:u w:val="none"/>
          <w:lang w:val="en-US" w:eastAsia="zh-CN"/>
        </w:rPr>
        <w:t>胜利路街道机关</w:t>
      </w:r>
      <w:r>
        <w:rPr>
          <w:rFonts w:hint="eastAsia"/>
          <w:b w:val="0"/>
          <w:bCs w:val="0"/>
          <w:color w:val="auto"/>
          <w:sz w:val="24"/>
          <w:szCs w:val="24"/>
          <w:u w:val="none"/>
          <w:lang w:val="en-US" w:eastAsia="zh-Hans"/>
        </w:rPr>
        <w:t>及长征社区</w:t>
      </w:r>
      <w:r>
        <w:rPr>
          <w:rFonts w:hint="eastAsia" w:ascii="宋体" w:hAnsi="宋体" w:cs="宋体"/>
          <w:bCs/>
          <w:color w:val="auto"/>
          <w:kern w:val="0"/>
          <w:sz w:val="24"/>
          <w:szCs w:val="24"/>
          <w:highlight w:val="none"/>
          <w:lang w:val="en-US" w:eastAsia="zh-CN" w:bidi="ar-SA"/>
        </w:rPr>
        <w:t>,</w:t>
      </w:r>
      <w:r>
        <w:rPr>
          <w:rFonts w:hint="eastAsia" w:ascii="宋体" w:hAnsi="宋体" w:cs="宋体"/>
          <w:bCs/>
          <w:color w:val="auto"/>
          <w:kern w:val="0"/>
          <w:sz w:val="24"/>
          <w:szCs w:val="24"/>
          <w:highlight w:val="none"/>
          <w:lang w:val="zh-CN" w:eastAsia="zh-CN" w:bidi="ar-SA"/>
        </w:rPr>
        <w:t>共有食堂</w:t>
      </w:r>
      <w:r>
        <w:rPr>
          <w:rFonts w:hint="eastAsia" w:ascii="宋体" w:hAnsi="宋体" w:cs="宋体"/>
          <w:bCs/>
          <w:color w:val="auto"/>
          <w:kern w:val="0"/>
          <w:sz w:val="24"/>
          <w:szCs w:val="24"/>
          <w:highlight w:val="none"/>
          <w:lang w:val="en-US" w:eastAsia="zh-CN" w:bidi="ar-SA"/>
        </w:rPr>
        <w:t>2个，后期可合并</w:t>
      </w:r>
      <w:r>
        <w:rPr>
          <w:rFonts w:hint="eastAsia"/>
          <w:b w:val="0"/>
          <w:bCs w:val="0"/>
          <w:color w:val="auto"/>
          <w:sz w:val="24"/>
          <w:szCs w:val="24"/>
          <w:u w:val="none"/>
          <w:lang w:val="en-US" w:eastAsia="zh-CN"/>
        </w:rPr>
        <w:t>。供应商需满足街道机关及社区的餐饮实际需求提供</w:t>
      </w:r>
      <w:r>
        <w:rPr>
          <w:rFonts w:hint="eastAsia" w:ascii="宋体" w:hAnsi="宋体" w:cs="宋体"/>
          <w:color w:val="auto"/>
          <w:kern w:val="2"/>
          <w:sz w:val="24"/>
          <w:szCs w:val="22"/>
          <w:highlight w:val="none"/>
          <w:u w:val="single"/>
          <w:lang w:val="en-US" w:eastAsia="zh-CN" w:bidi="ar-SA"/>
        </w:rPr>
        <w:t>食堂现场制作、</w:t>
      </w:r>
      <w:r>
        <w:rPr>
          <w:rFonts w:hint="eastAsia" w:cs="宋体"/>
          <w:color w:val="auto"/>
          <w:kern w:val="2"/>
          <w:sz w:val="24"/>
          <w:szCs w:val="22"/>
          <w:highlight w:val="none"/>
          <w:u w:val="single"/>
          <w:lang w:val="en-US" w:eastAsia="zh-CN" w:bidi="ar-SA"/>
        </w:rPr>
        <w:t>线下堂食等多样化服务</w:t>
      </w:r>
      <w:r>
        <w:rPr>
          <w:rFonts w:hint="eastAsia" w:ascii="宋体" w:hAnsi="宋体" w:cs="宋体"/>
          <w:color w:val="auto"/>
          <w:kern w:val="2"/>
          <w:sz w:val="24"/>
          <w:szCs w:val="22"/>
          <w:highlight w:val="none"/>
          <w:lang w:val="en-US" w:eastAsia="zh-CN" w:bidi="ar-SA"/>
        </w:rPr>
        <w:t>，</w:t>
      </w:r>
      <w:r>
        <w:rPr>
          <w:rFonts w:hint="eastAsia"/>
          <w:b w:val="0"/>
          <w:bCs w:val="0"/>
          <w:color w:val="auto"/>
          <w:sz w:val="24"/>
          <w:szCs w:val="24"/>
          <w:u w:val="none"/>
          <w:lang w:val="en-US" w:eastAsia="zh-CN"/>
        </w:rPr>
        <w:t>并针对不同的服务需求制定合理可行的实施方案和质量保证措施。</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符合就餐标准人员约</w:t>
      </w:r>
      <w:r>
        <w:rPr>
          <w:rFonts w:hint="eastAsia"/>
          <w:b w:val="0"/>
          <w:bCs w:val="0"/>
          <w:color w:val="auto"/>
          <w:sz w:val="24"/>
          <w:szCs w:val="24"/>
          <w:u w:val="single"/>
          <w:lang w:val="en-US" w:eastAsia="zh-CN"/>
        </w:rPr>
        <w:t xml:space="preserve"> 123</w:t>
      </w:r>
      <w:r>
        <w:rPr>
          <w:rFonts w:hint="eastAsia"/>
          <w:b w:val="0"/>
          <w:bCs w:val="0"/>
          <w:color w:val="auto"/>
          <w:sz w:val="24"/>
          <w:szCs w:val="24"/>
          <w:lang w:val="en-US" w:eastAsia="zh-CN"/>
        </w:rPr>
        <w:t>人。</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b w:val="0"/>
          <w:bCs w:val="0"/>
          <w:color w:val="auto"/>
          <w:sz w:val="24"/>
          <w:szCs w:val="24"/>
          <w:lang w:val="en-US" w:eastAsia="zh-CN"/>
        </w:rPr>
      </w:pPr>
      <w:r>
        <w:rPr>
          <w:rFonts w:hint="eastAsia"/>
          <w:b/>
          <w:bCs/>
          <w:color w:val="auto"/>
          <w:sz w:val="24"/>
          <w:szCs w:val="24"/>
          <w:lang w:val="en-US" w:eastAsia="zh-CN"/>
        </w:rPr>
        <w:t>二、服务期限：</w:t>
      </w:r>
      <w:r>
        <w:rPr>
          <w:rFonts w:hint="eastAsia"/>
          <w:b w:val="0"/>
          <w:bCs w:val="0"/>
          <w:color w:val="auto"/>
          <w:sz w:val="24"/>
          <w:szCs w:val="24"/>
          <w:lang w:val="en-US" w:eastAsia="zh-CN"/>
        </w:rPr>
        <w:t>自合同签订之日起一年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b/>
          <w:bCs/>
          <w:color w:val="auto"/>
          <w:sz w:val="24"/>
          <w:szCs w:val="24"/>
          <w:lang w:val="en-US" w:eastAsia="zh-CN"/>
        </w:rPr>
      </w:pPr>
      <w:r>
        <w:rPr>
          <w:rFonts w:hint="eastAsia"/>
          <w:b/>
          <w:bCs/>
          <w:color w:val="auto"/>
          <w:sz w:val="24"/>
          <w:szCs w:val="24"/>
          <w:lang w:val="en-US" w:eastAsia="zh-CN"/>
        </w:rPr>
        <w:t>三、运营方式</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食堂招标采用服务外包的方式，</w:t>
      </w:r>
      <w:r>
        <w:rPr>
          <w:rFonts w:hint="eastAsia" w:ascii="宋体" w:hAnsi="宋体" w:cs="宋体"/>
          <w:color w:val="auto"/>
          <w:kern w:val="2"/>
          <w:sz w:val="24"/>
          <w:szCs w:val="22"/>
          <w:highlight w:val="none"/>
          <w:lang w:val="en-US" w:eastAsia="zh-CN" w:bidi="ar-SA"/>
        </w:rPr>
        <w:t>即供应商须</w:t>
      </w:r>
      <w:r>
        <w:rPr>
          <w:rFonts w:hint="eastAsia" w:ascii="宋体" w:hAnsi="宋体" w:eastAsia="宋体" w:cs="宋体"/>
          <w:color w:val="auto"/>
          <w:kern w:val="2"/>
          <w:sz w:val="24"/>
          <w:szCs w:val="22"/>
          <w:highlight w:val="none"/>
          <w:lang w:val="en-US" w:eastAsia="zh-CN" w:bidi="ar-SA"/>
        </w:rPr>
        <w:t>负责食堂人员配备和管理、食材采购、制定菜谱、制定食材采购计划、食材加工烹饪、安全生产管理</w:t>
      </w:r>
      <w:r>
        <w:rPr>
          <w:rFonts w:hint="eastAsia" w:cs="宋体"/>
          <w:color w:val="auto"/>
          <w:kern w:val="2"/>
          <w:sz w:val="24"/>
          <w:szCs w:val="22"/>
          <w:highlight w:val="none"/>
          <w:lang w:val="en-US" w:eastAsia="zh-CN" w:bidi="ar-SA"/>
        </w:rPr>
        <w:t>等工作内容，并根据实际需求提供餐食供应配送、线下堂食</w:t>
      </w:r>
      <w:r>
        <w:rPr>
          <w:rFonts w:hint="eastAsia" w:ascii="宋体" w:hAnsi="宋体" w:eastAsia="宋体" w:cs="宋体"/>
          <w:color w:val="auto"/>
          <w:kern w:val="2"/>
          <w:sz w:val="24"/>
          <w:szCs w:val="22"/>
          <w:highlight w:val="none"/>
          <w:lang w:val="en-US" w:eastAsia="zh-CN" w:bidi="ar-SA"/>
        </w:rPr>
        <w:t>等服务，</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负责监管、考核等。</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四、</w:t>
      </w:r>
      <w:r>
        <w:rPr>
          <w:rFonts w:hint="eastAsia" w:ascii="宋体" w:hAnsi="宋体" w:eastAsia="宋体" w:cs="宋体"/>
          <w:b/>
          <w:bCs/>
          <w:color w:val="auto"/>
          <w:kern w:val="2"/>
          <w:sz w:val="24"/>
          <w:szCs w:val="22"/>
          <w:highlight w:val="none"/>
          <w:lang w:val="en-US" w:eastAsia="zh-CN" w:bidi="ar-SA"/>
        </w:rPr>
        <w:t>服务内容及要求</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按照30元/人/天的伙食标准进行餐食供应和配送，每月供餐22天。每日餐食供应、配送数量以街道和各社区实际</w:t>
      </w:r>
      <w:r>
        <w:rPr>
          <w:rFonts w:hint="eastAsia" w:ascii="宋体" w:hAnsi="宋体" w:cs="宋体"/>
          <w:color w:val="auto"/>
          <w:kern w:val="2"/>
          <w:sz w:val="24"/>
          <w:szCs w:val="22"/>
          <w:highlight w:val="none"/>
          <w:lang w:val="en-US" w:eastAsia="zh-CN" w:bidi="ar-SA"/>
        </w:rPr>
        <w:t>就餐</w:t>
      </w:r>
      <w:r>
        <w:rPr>
          <w:rFonts w:hint="eastAsia" w:ascii="宋体" w:hAnsi="宋体" w:eastAsia="宋体" w:cs="宋体"/>
          <w:color w:val="auto"/>
          <w:kern w:val="2"/>
          <w:sz w:val="24"/>
          <w:szCs w:val="22"/>
          <w:highlight w:val="none"/>
          <w:lang w:val="en-US" w:eastAsia="zh-CN" w:bidi="ar-SA"/>
        </w:rPr>
        <w:t>人数为主，同时</w:t>
      </w:r>
      <w:r>
        <w:rPr>
          <w:rFonts w:hint="eastAsia" w:ascii="宋体" w:hAnsi="宋体" w:cs="宋体"/>
          <w:color w:val="auto"/>
          <w:kern w:val="2"/>
          <w:sz w:val="24"/>
          <w:szCs w:val="22"/>
          <w:highlight w:val="none"/>
          <w:lang w:val="en-US" w:eastAsia="zh-CN" w:bidi="ar-SA"/>
        </w:rPr>
        <w:t>根据采购人提出需求，</w:t>
      </w:r>
      <w:r>
        <w:rPr>
          <w:rFonts w:hint="eastAsia" w:ascii="宋体" w:hAnsi="宋体" w:eastAsia="宋体" w:cs="宋体"/>
          <w:color w:val="auto"/>
          <w:kern w:val="2"/>
          <w:sz w:val="24"/>
          <w:szCs w:val="22"/>
          <w:highlight w:val="none"/>
          <w:lang w:val="en-US" w:eastAsia="zh-CN" w:bidi="ar-SA"/>
        </w:rPr>
        <w:t>保证临时紧急供餐（需送餐至特殊地点）。</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提倡健康膳食，供应商需配备专业营养师对每周菜谱进行合理搭配并</w:t>
      </w:r>
      <w:r>
        <w:rPr>
          <w:rFonts w:hint="eastAsia" w:ascii="宋体" w:hAnsi="宋体" w:eastAsia="宋体" w:cs="宋体"/>
          <w:color w:val="auto"/>
          <w:kern w:val="2"/>
          <w:sz w:val="24"/>
          <w:szCs w:val="22"/>
          <w:highlight w:val="none"/>
          <w:lang w:val="en-US" w:eastAsia="zh-CN" w:bidi="ar-SA"/>
        </w:rPr>
        <w:t>提前一周向</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报送下一周食谱（需荤素搭配），</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有权对菜单作出调整。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cs="宋体"/>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早餐品种丰富含粥类、豆浆、牛奶等饮品及鸡蛋，含包子、面包、面条等主食、小菜2种；中餐菜品三荤三素及面条、米饭、馒头等主食1种，搭配时令水果、酸奶；晚餐菜品根据实际情况搭配。以上餐需为基本需求，供应商应综合考虑合理搭配、菜品丰富以保证营养均衡。</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3.食堂餐厅供应餐食时间为法定工作日，如遇重大活动、会议</w:t>
      </w:r>
      <w:r>
        <w:rPr>
          <w:rFonts w:hint="eastAsia" w:ascii="宋体" w:hAnsi="宋体" w:cs="宋体"/>
          <w:color w:val="auto"/>
          <w:kern w:val="2"/>
          <w:sz w:val="24"/>
          <w:szCs w:val="22"/>
          <w:highlight w:val="none"/>
          <w:lang w:val="en-US" w:eastAsia="zh-CN" w:bidi="ar-SA"/>
        </w:rPr>
        <w:t>及其他</w:t>
      </w:r>
      <w:r>
        <w:rPr>
          <w:rFonts w:hint="eastAsia" w:ascii="宋体" w:hAnsi="宋体" w:eastAsia="宋体" w:cs="宋体"/>
          <w:color w:val="auto"/>
          <w:kern w:val="2"/>
          <w:sz w:val="24"/>
          <w:szCs w:val="22"/>
          <w:highlight w:val="none"/>
          <w:lang w:val="en-US" w:eastAsia="zh-CN" w:bidi="ar-SA"/>
        </w:rPr>
        <w:t>特殊情况，根据实际要求供应餐食或提供</w:t>
      </w:r>
      <w:r>
        <w:rPr>
          <w:rFonts w:hint="eastAsia" w:ascii="宋体" w:hAnsi="宋体" w:cs="宋体"/>
          <w:color w:val="auto"/>
          <w:kern w:val="2"/>
          <w:sz w:val="24"/>
          <w:szCs w:val="22"/>
          <w:highlight w:val="none"/>
          <w:lang w:val="en-US" w:eastAsia="zh-CN" w:bidi="ar-SA"/>
        </w:rPr>
        <w:t>线下堂食等</w:t>
      </w:r>
      <w:r>
        <w:rPr>
          <w:rFonts w:hint="eastAsia" w:ascii="宋体" w:hAnsi="宋体" w:eastAsia="宋体" w:cs="宋体"/>
          <w:color w:val="auto"/>
          <w:kern w:val="2"/>
          <w:sz w:val="24"/>
          <w:szCs w:val="22"/>
          <w:highlight w:val="none"/>
          <w:lang w:val="en-US" w:eastAsia="zh-CN" w:bidi="ar-SA"/>
        </w:rPr>
        <w:t>服务。</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w:t>
      </w:r>
      <w:r>
        <w:rPr>
          <w:rFonts w:hint="eastAsia" w:ascii="宋体" w:hAnsi="宋体" w:eastAsia="宋体" w:cs="宋体"/>
          <w:color w:val="auto"/>
          <w:sz w:val="24"/>
          <w:highlight w:val="none"/>
        </w:rPr>
        <w:t>开餐时间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早餐开餐时间9:00——</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w:t>
      </w:r>
      <w:r>
        <w:rPr>
          <w:rFonts w:hint="eastAsia" w:ascii="宋体" w:hAnsi="宋体" w:cs="宋体"/>
          <w:color w:val="auto"/>
          <w:sz w:val="24"/>
          <w:highlight w:val="none"/>
          <w:lang w:eastAsia="zh-CN"/>
        </w:rPr>
        <w:t>；午</w:t>
      </w:r>
      <w:r>
        <w:rPr>
          <w:rFonts w:hint="eastAsia" w:ascii="宋体" w:hAnsi="宋体" w:eastAsia="宋体" w:cs="宋体"/>
          <w:color w:val="auto"/>
          <w:sz w:val="24"/>
          <w:highlight w:val="none"/>
        </w:rPr>
        <w:t>餐开餐时间1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晚餐开餐时间19:30——20：30。（可视实际情况调整）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5.人员配备要求：</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应按</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要求合理配置</w:t>
      </w:r>
      <w:r>
        <w:rPr>
          <w:rFonts w:hint="default" w:ascii="宋体" w:hAnsi="宋体" w:eastAsia="宋体" w:cs="宋体"/>
          <w:color w:val="auto"/>
          <w:kern w:val="2"/>
          <w:sz w:val="24"/>
          <w:szCs w:val="22"/>
          <w:highlight w:val="none"/>
          <w:lang w:eastAsia="zh-CN" w:bidi="ar-SA"/>
        </w:rPr>
        <w:t>项目主管、</w:t>
      </w:r>
      <w:r>
        <w:rPr>
          <w:rFonts w:hint="eastAsia" w:ascii="宋体" w:hAnsi="宋体" w:eastAsia="宋体" w:cs="宋体"/>
          <w:color w:val="auto"/>
          <w:kern w:val="2"/>
          <w:sz w:val="24"/>
          <w:szCs w:val="22"/>
          <w:highlight w:val="none"/>
          <w:lang w:val="en-US" w:eastAsia="zh-CN" w:bidi="ar-SA"/>
        </w:rPr>
        <w:t>专业厨师、面点师</w:t>
      </w:r>
      <w:r>
        <w:rPr>
          <w:rFonts w:hint="eastAsia" w:ascii="宋体" w:hAnsi="宋体" w:cs="宋体"/>
          <w:color w:val="auto"/>
          <w:kern w:val="2"/>
          <w:sz w:val="24"/>
          <w:szCs w:val="22"/>
          <w:highlight w:val="none"/>
          <w:lang w:val="en-US" w:eastAsia="zh-CN" w:bidi="ar-SA"/>
        </w:rPr>
        <w:t>等服务人员，为采购人提供食堂现场制作</w:t>
      </w:r>
      <w:r>
        <w:rPr>
          <w:rFonts w:hint="eastAsia" w:ascii="宋体" w:hAnsi="宋体" w:eastAsia="宋体" w:cs="宋体"/>
          <w:color w:val="auto"/>
          <w:kern w:val="2"/>
          <w:sz w:val="24"/>
          <w:szCs w:val="22"/>
          <w:highlight w:val="none"/>
          <w:lang w:val="en-US" w:eastAsia="zh-CN" w:bidi="ar-SA"/>
        </w:rPr>
        <w:t>等服务</w:t>
      </w:r>
      <w:r>
        <w:rPr>
          <w:rFonts w:hint="eastAsia" w:ascii="宋体" w:hAnsi="宋体" w:cs="宋体"/>
          <w:color w:val="auto"/>
          <w:kern w:val="2"/>
          <w:sz w:val="24"/>
          <w:szCs w:val="22"/>
          <w:highlight w:val="none"/>
          <w:lang w:val="en-US" w:eastAsia="zh-CN" w:bidi="ar-SA"/>
        </w:rPr>
        <w:t>，服务人员须</w:t>
      </w:r>
      <w:r>
        <w:rPr>
          <w:rFonts w:hint="eastAsia" w:ascii="宋体" w:hAnsi="宋体" w:eastAsia="宋体" w:cs="宋体"/>
          <w:color w:val="auto"/>
          <w:kern w:val="2"/>
          <w:sz w:val="24"/>
          <w:szCs w:val="22"/>
          <w:highlight w:val="none"/>
          <w:lang w:val="en-US" w:eastAsia="zh-CN" w:bidi="ar-SA"/>
        </w:rPr>
        <w:t>持有饮食行业健康证明。</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工作人员工作期间必须统一着装。</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项目主管：项目主管年龄在30-50周岁之间，具备一定的行政管理能力和餐饮管理经验，熟悉后厨工作流程，能够代表</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配合</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抓好食堂考核监督、内控管理和组织协调事宜，全面落实</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的各项具体工作要求，确保职工队伍安全、稳定、规范、有活力。</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厨师：具备厨师等级相关资质；三星级以上酒店或专业餐饮企业从业经验;年龄不超过50周岁。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面点师：具备面点师资质；专业面点企业从业经验；年龄不超过50周岁。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其他工作人员：身体健康、吃苦耐劳，以固定岗位工作为主，年龄不超过55周岁。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注：供应商工作人员不属于采购人编制，但应当接受采购人统一管理，</w:t>
      </w:r>
      <w:r>
        <w:rPr>
          <w:rFonts w:hint="eastAsia" w:ascii="宋体" w:hAnsi="宋体" w:eastAsia="宋体" w:cs="宋体"/>
          <w:b/>
          <w:bCs/>
          <w:color w:val="auto"/>
          <w:sz w:val="24"/>
          <w:highlight w:val="none"/>
        </w:rPr>
        <w:t>遵守</w:t>
      </w:r>
      <w:r>
        <w:rPr>
          <w:rFonts w:hint="eastAsia" w:ascii="宋体" w:hAnsi="宋体" w:eastAsia="宋体" w:cs="宋体"/>
          <w:b/>
          <w:bCs/>
          <w:color w:val="auto"/>
          <w:sz w:val="24"/>
          <w:highlight w:val="none"/>
          <w:lang w:eastAsia="zh-CN"/>
        </w:rPr>
        <w:t>采购人</w:t>
      </w:r>
      <w:r>
        <w:rPr>
          <w:rFonts w:hint="eastAsia" w:ascii="宋体" w:hAnsi="宋体" w:eastAsia="宋体" w:cs="宋体"/>
          <w:b/>
          <w:bCs/>
          <w:color w:val="auto"/>
          <w:sz w:val="24"/>
          <w:highlight w:val="none"/>
        </w:rPr>
        <w:t>的规章制度</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kern w:val="2"/>
          <w:sz w:val="24"/>
          <w:szCs w:val="22"/>
          <w:highlight w:val="none"/>
          <w:lang w:val="en-US" w:eastAsia="zh-CN" w:bidi="ar-SA"/>
        </w:rPr>
        <w:t>采购人有权对人员专业服务能力考核，对考核不合格的人员供应商应予以调换。</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w:t>
      </w:r>
      <w:r>
        <w:rPr>
          <w:rFonts w:hint="eastAsia" w:ascii="宋体" w:hAnsi="宋体" w:cs="宋体"/>
          <w:b/>
          <w:bCs/>
          <w:color w:val="auto"/>
          <w:kern w:val="2"/>
          <w:sz w:val="24"/>
          <w:szCs w:val="22"/>
          <w:highlight w:val="none"/>
          <w:lang w:val="en-US" w:eastAsia="zh-CN" w:bidi="ar-SA"/>
        </w:rPr>
        <w:t>餐盒要求：</w:t>
      </w:r>
      <w:r>
        <w:rPr>
          <w:rFonts w:hint="eastAsia" w:ascii="宋体" w:hAnsi="宋体" w:cs="宋体"/>
          <w:color w:val="auto"/>
          <w:kern w:val="2"/>
          <w:sz w:val="24"/>
          <w:szCs w:val="22"/>
          <w:highlight w:val="none"/>
          <w:lang w:val="en-US" w:eastAsia="zh-CN" w:bidi="ar-SA"/>
        </w:rPr>
        <w:t>供应商应在响应文件中对餐盒做详细介绍，并提前准备好</w:t>
      </w:r>
      <w:r>
        <w:rPr>
          <w:rFonts w:hint="eastAsia" w:ascii="宋体" w:hAnsi="宋体" w:eastAsia="宋体" w:cs="宋体"/>
          <w:color w:val="auto"/>
          <w:kern w:val="2"/>
          <w:sz w:val="24"/>
          <w:szCs w:val="22"/>
          <w:highlight w:val="none"/>
          <w:lang w:val="en-US" w:eastAsia="zh-CN" w:bidi="ar-SA"/>
        </w:rPr>
        <w:t>餐盒</w:t>
      </w:r>
      <w:r>
        <w:rPr>
          <w:rFonts w:hint="eastAsia" w:ascii="宋体" w:hAnsi="宋体" w:cs="宋体"/>
          <w:color w:val="auto"/>
          <w:kern w:val="2"/>
          <w:sz w:val="24"/>
          <w:szCs w:val="22"/>
          <w:highlight w:val="none"/>
          <w:lang w:val="en-US" w:eastAsia="zh-CN" w:bidi="ar-SA"/>
        </w:rPr>
        <w:t>以备</w:t>
      </w:r>
      <w:r>
        <w:rPr>
          <w:rFonts w:hint="eastAsia" w:ascii="宋体" w:hAnsi="宋体" w:eastAsia="宋体" w:cs="宋体"/>
          <w:color w:val="auto"/>
          <w:kern w:val="2"/>
          <w:sz w:val="24"/>
          <w:szCs w:val="22"/>
          <w:highlight w:val="none"/>
          <w:lang w:val="en-US" w:eastAsia="zh-CN" w:bidi="ar-SA"/>
        </w:rPr>
        <w:t>现场</w:t>
      </w:r>
      <w:r>
        <w:rPr>
          <w:rFonts w:hint="eastAsia" w:ascii="宋体" w:hAnsi="宋体" w:cs="宋体"/>
          <w:color w:val="auto"/>
          <w:kern w:val="2"/>
          <w:sz w:val="24"/>
          <w:szCs w:val="22"/>
          <w:highlight w:val="none"/>
          <w:lang w:val="en-US" w:eastAsia="zh-CN" w:bidi="ar-SA"/>
        </w:rPr>
        <w:t>评审</w:t>
      </w:r>
      <w:r>
        <w:rPr>
          <w:rFonts w:hint="eastAsia" w:ascii="宋体" w:hAnsi="宋体" w:eastAsia="宋体" w:cs="宋体"/>
          <w:color w:val="auto"/>
          <w:kern w:val="2"/>
          <w:sz w:val="24"/>
          <w:szCs w:val="22"/>
          <w:highlight w:val="none"/>
          <w:lang w:val="en-US" w:eastAsia="zh-CN" w:bidi="ar-SA"/>
        </w:rPr>
        <w:t>过程中</w:t>
      </w:r>
      <w:r>
        <w:rPr>
          <w:rFonts w:hint="eastAsia" w:ascii="宋体" w:hAnsi="宋体" w:cs="宋体"/>
          <w:color w:val="auto"/>
          <w:kern w:val="2"/>
          <w:sz w:val="24"/>
          <w:szCs w:val="22"/>
          <w:highlight w:val="none"/>
          <w:lang w:val="en-US" w:eastAsia="zh-CN" w:bidi="ar-SA"/>
        </w:rPr>
        <w:t>（磋商评审环节）发起视频会议查验。成交供应商</w:t>
      </w:r>
      <w:r>
        <w:rPr>
          <w:rFonts w:hint="eastAsia" w:ascii="宋体" w:hAnsi="宋体" w:eastAsia="宋体" w:cs="宋体"/>
          <w:color w:val="auto"/>
          <w:kern w:val="2"/>
          <w:sz w:val="24"/>
          <w:szCs w:val="22"/>
          <w:highlight w:val="none"/>
          <w:lang w:val="en-US" w:eastAsia="zh-CN" w:bidi="ar-SA"/>
        </w:rPr>
        <w:t>提供的样品，由</w:t>
      </w:r>
      <w:r>
        <w:rPr>
          <w:rFonts w:hint="eastAsia" w:ascii="宋体" w:hAnsi="宋体" w:cs="宋体"/>
          <w:color w:val="auto"/>
          <w:kern w:val="2"/>
          <w:sz w:val="24"/>
          <w:szCs w:val="22"/>
          <w:highlight w:val="none"/>
          <w:lang w:val="en-US" w:eastAsia="zh-CN" w:bidi="ar-SA"/>
        </w:rPr>
        <w:t>采购</w:t>
      </w:r>
      <w:r>
        <w:rPr>
          <w:rFonts w:hint="eastAsia" w:ascii="宋体" w:hAnsi="宋体" w:eastAsia="宋体" w:cs="宋体"/>
          <w:color w:val="auto"/>
          <w:kern w:val="2"/>
          <w:sz w:val="24"/>
          <w:szCs w:val="22"/>
          <w:highlight w:val="none"/>
          <w:lang w:val="en-US" w:eastAsia="zh-CN" w:bidi="ar-SA"/>
        </w:rPr>
        <w:t>人进行保管、封存，作为后期</w:t>
      </w:r>
      <w:r>
        <w:rPr>
          <w:rFonts w:hint="eastAsia" w:ascii="宋体" w:hAnsi="宋体" w:cs="宋体"/>
          <w:color w:val="auto"/>
          <w:kern w:val="2"/>
          <w:sz w:val="24"/>
          <w:szCs w:val="22"/>
          <w:highlight w:val="none"/>
          <w:lang w:val="en-US" w:eastAsia="zh-CN" w:bidi="ar-SA"/>
        </w:rPr>
        <w:t>用</w:t>
      </w:r>
      <w:r>
        <w:rPr>
          <w:rFonts w:hint="eastAsia" w:ascii="宋体" w:hAnsi="宋体" w:eastAsia="宋体" w:cs="宋体"/>
          <w:color w:val="auto"/>
          <w:kern w:val="2"/>
          <w:sz w:val="24"/>
          <w:szCs w:val="22"/>
          <w:highlight w:val="none"/>
          <w:lang w:val="en-US" w:eastAsia="zh-CN" w:bidi="ar-SA"/>
        </w:rPr>
        <w:t>餐</w:t>
      </w:r>
      <w:r>
        <w:rPr>
          <w:rFonts w:hint="eastAsia" w:ascii="宋体" w:hAnsi="宋体" w:cs="宋体"/>
          <w:color w:val="auto"/>
          <w:kern w:val="2"/>
          <w:sz w:val="24"/>
          <w:szCs w:val="22"/>
          <w:highlight w:val="none"/>
          <w:lang w:val="en-US" w:eastAsia="zh-CN" w:bidi="ar-SA"/>
        </w:rPr>
        <w:t>使用</w:t>
      </w:r>
      <w:r>
        <w:rPr>
          <w:rFonts w:hint="eastAsia" w:ascii="宋体" w:hAnsi="宋体" w:eastAsia="宋体" w:cs="宋体"/>
          <w:color w:val="auto"/>
          <w:kern w:val="2"/>
          <w:sz w:val="24"/>
          <w:szCs w:val="22"/>
          <w:highlight w:val="none"/>
          <w:lang w:val="en-US" w:eastAsia="zh-CN" w:bidi="ar-SA"/>
        </w:rPr>
        <w:t>验收的参考依据。</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7.</w:t>
      </w:r>
      <w:r>
        <w:rPr>
          <w:rFonts w:hint="eastAsia" w:ascii="宋体" w:hAnsi="宋体" w:eastAsia="宋体" w:cs="宋体"/>
          <w:color w:val="auto"/>
          <w:kern w:val="2"/>
          <w:sz w:val="24"/>
          <w:szCs w:val="22"/>
          <w:highlight w:val="none"/>
          <w:lang w:val="en-US" w:eastAsia="zh-CN" w:bidi="ar-SA"/>
        </w:rPr>
        <w:t>每日提供的餐食质量符合食品卫生标准，保证菜品的品质高、分量足。；严禁使用腐烂变质、过期以及无检验合格的食材原料；饭、菜中不得出现杂物、异物、原料不新鲜、腐败变质、菜量太少、夹生、冷饭等不符合食品卫生标准的情况；质量必须是检测合格的食品或新鲜的食品原材料、包装食品必须通过国家食品生产许可且包装具有SC认证标志。</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8</w:t>
      </w:r>
      <w:r>
        <w:rPr>
          <w:rFonts w:hint="eastAsia" w:ascii="宋体" w:hAnsi="宋体" w:eastAsia="宋体" w:cs="宋体"/>
          <w:color w:val="auto"/>
          <w:kern w:val="2"/>
          <w:sz w:val="24"/>
          <w:szCs w:val="22"/>
          <w:highlight w:val="none"/>
          <w:lang w:val="en-US" w:eastAsia="zh-CN" w:bidi="ar-SA"/>
        </w:rPr>
        <w:t>.在重要节假日提高当日餐品品质，让在岗工作人员体验到节日气氛，</w:t>
      </w:r>
      <w:r>
        <w:rPr>
          <w:rFonts w:hint="eastAsia" w:ascii="宋体" w:hAnsi="宋体" w:cs="宋体"/>
          <w:color w:val="auto"/>
          <w:kern w:val="2"/>
          <w:sz w:val="24"/>
          <w:szCs w:val="22"/>
          <w:highlight w:val="none"/>
          <w:lang w:val="en-US" w:eastAsia="zh-CN" w:bidi="ar-SA"/>
        </w:rPr>
        <w:t>须制作</w:t>
      </w:r>
      <w:r>
        <w:rPr>
          <w:rFonts w:hint="eastAsia" w:ascii="宋体" w:hAnsi="宋体" w:eastAsia="宋体" w:cs="宋体"/>
          <w:color w:val="auto"/>
          <w:kern w:val="2"/>
          <w:sz w:val="24"/>
          <w:szCs w:val="22"/>
          <w:highlight w:val="none"/>
          <w:lang w:val="en-US" w:eastAsia="zh-CN" w:bidi="ar-SA"/>
        </w:rPr>
        <w:t>相对应的节日食物（</w:t>
      </w:r>
      <w:r>
        <w:rPr>
          <w:rFonts w:hint="eastAsia" w:ascii="宋体" w:hAnsi="宋体" w:cs="宋体"/>
          <w:color w:val="auto"/>
          <w:kern w:val="2"/>
          <w:sz w:val="24"/>
          <w:szCs w:val="22"/>
          <w:highlight w:val="none"/>
          <w:lang w:val="en-US" w:eastAsia="zh-CN" w:bidi="ar-SA"/>
        </w:rPr>
        <w:t>如：</w:t>
      </w:r>
      <w:r>
        <w:rPr>
          <w:rFonts w:hint="eastAsia" w:ascii="宋体" w:hAnsi="宋体" w:eastAsia="宋体" w:cs="宋体"/>
          <w:color w:val="auto"/>
          <w:kern w:val="2"/>
          <w:sz w:val="24"/>
          <w:szCs w:val="22"/>
          <w:highlight w:val="none"/>
          <w:lang w:val="en-US" w:eastAsia="zh-CN" w:bidi="ar-SA"/>
        </w:rPr>
        <w:t>端午-粽子、冬至-饺子等）。</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9</w:t>
      </w:r>
      <w:r>
        <w:rPr>
          <w:rFonts w:hint="eastAsia" w:ascii="宋体" w:hAnsi="宋体" w:eastAsia="宋体" w:cs="宋体"/>
          <w:color w:val="auto"/>
          <w:kern w:val="2"/>
          <w:sz w:val="24"/>
          <w:szCs w:val="22"/>
          <w:highlight w:val="none"/>
          <w:lang w:val="en-US" w:eastAsia="zh-CN" w:bidi="ar-SA"/>
        </w:rPr>
        <w:t>.承包经营期间，供应商需加强对工作人员的安全教育，配备必要的安全防护设备和用品，做好安全防护工作，</w:t>
      </w:r>
      <w:r>
        <w:rPr>
          <w:rFonts w:hint="eastAsia" w:ascii="宋体" w:hAnsi="宋体" w:cs="宋体"/>
          <w:color w:val="auto"/>
          <w:kern w:val="2"/>
          <w:sz w:val="24"/>
          <w:szCs w:val="22"/>
          <w:highlight w:val="none"/>
          <w:lang w:val="en-US" w:eastAsia="zh-CN" w:bidi="ar-SA"/>
        </w:rPr>
        <w:t>食堂区域内</w:t>
      </w:r>
      <w:r>
        <w:rPr>
          <w:rFonts w:hint="eastAsia" w:ascii="宋体" w:hAnsi="宋体" w:eastAsia="宋体" w:cs="宋体"/>
          <w:color w:val="auto"/>
          <w:kern w:val="2"/>
          <w:sz w:val="24"/>
          <w:szCs w:val="22"/>
          <w:highlight w:val="none"/>
          <w:lang w:val="en-US" w:eastAsia="zh-CN" w:bidi="ar-SA"/>
        </w:rPr>
        <w:t>所发生的一切</w:t>
      </w:r>
      <w:r>
        <w:rPr>
          <w:rFonts w:hint="eastAsia" w:ascii="宋体" w:hAnsi="宋体" w:cs="宋体"/>
          <w:color w:val="auto"/>
          <w:kern w:val="2"/>
          <w:sz w:val="24"/>
          <w:szCs w:val="22"/>
          <w:highlight w:val="none"/>
          <w:lang w:val="en-US" w:eastAsia="zh-CN" w:bidi="ar-SA"/>
        </w:rPr>
        <w:t>安全事故</w:t>
      </w:r>
      <w:r>
        <w:rPr>
          <w:rFonts w:hint="eastAsia" w:ascii="宋体" w:hAnsi="宋体" w:eastAsia="宋体" w:cs="宋体"/>
          <w:color w:val="auto"/>
          <w:kern w:val="2"/>
          <w:sz w:val="24"/>
          <w:szCs w:val="22"/>
          <w:highlight w:val="none"/>
          <w:lang w:val="en-US" w:eastAsia="zh-CN" w:bidi="ar-SA"/>
        </w:rPr>
        <w:t>全部由</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负责。</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10</w:t>
      </w:r>
      <w:r>
        <w:rPr>
          <w:rFonts w:hint="eastAsia" w:ascii="宋体" w:hAnsi="宋体" w:eastAsia="宋体" w:cs="宋体"/>
          <w:color w:val="auto"/>
          <w:kern w:val="2"/>
          <w:sz w:val="24"/>
          <w:szCs w:val="22"/>
          <w:highlight w:val="none"/>
          <w:lang w:val="en-US" w:eastAsia="zh-CN" w:bidi="ar-SA"/>
        </w:rPr>
        <w:t>.供应商必须按照采购人要求对聘用人员进行政审和背景调查，审查内容包括个人简历、经历、表现、荣誉、家庭成员关系、无犯罪记录等。</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1</w:t>
      </w:r>
      <w:r>
        <w:rPr>
          <w:rFonts w:hint="eastAsia" w:ascii="宋体" w:hAnsi="宋体" w:eastAsia="宋体" w:cs="宋体"/>
          <w:color w:val="auto"/>
          <w:kern w:val="2"/>
          <w:sz w:val="24"/>
          <w:szCs w:val="22"/>
          <w:highlight w:val="none"/>
          <w:lang w:val="en-US" w:eastAsia="zh-CN" w:bidi="ar-SA"/>
        </w:rPr>
        <w:t>.供应商工作人员工资、福利待遇等由</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按时支付，因供应商原因造成的上访等事件，采购人有权从供应商就餐费用或履约保证金中扣除并支付给当事人。</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2</w:t>
      </w:r>
      <w:r>
        <w:rPr>
          <w:rFonts w:hint="eastAsia" w:ascii="宋体" w:hAnsi="宋体" w:eastAsia="宋体" w:cs="宋体"/>
          <w:color w:val="auto"/>
          <w:kern w:val="2"/>
          <w:sz w:val="24"/>
          <w:szCs w:val="22"/>
          <w:highlight w:val="none"/>
          <w:lang w:val="en-US" w:eastAsia="zh-CN" w:bidi="ar-SA"/>
        </w:rPr>
        <w:t>.</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食堂实行独立承包经营模式，不得采取合伙、合股、转租、转让等其他形式经营。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3</w:t>
      </w:r>
      <w:r>
        <w:rPr>
          <w:rFonts w:hint="eastAsia" w:ascii="宋体" w:hAnsi="宋体" w:eastAsia="宋体" w:cs="宋体"/>
          <w:color w:val="auto"/>
          <w:kern w:val="2"/>
          <w:sz w:val="24"/>
          <w:szCs w:val="22"/>
          <w:highlight w:val="none"/>
          <w:lang w:val="en-US" w:eastAsia="zh-CN" w:bidi="ar-SA"/>
        </w:rPr>
        <w:t>.供应商承包经营期间，水费、电费、暖气费由采购人承担，</w:t>
      </w:r>
      <w:r>
        <w:rPr>
          <w:rFonts w:hint="eastAsia" w:ascii="宋体" w:hAnsi="宋体" w:cs="宋体"/>
          <w:color w:val="auto"/>
          <w:kern w:val="2"/>
          <w:sz w:val="24"/>
          <w:szCs w:val="22"/>
          <w:highlight w:val="none"/>
          <w:lang w:val="en-US" w:eastAsia="zh-CN" w:bidi="ar-SA"/>
        </w:rPr>
        <w:t>天然气费、厨房间设备维修费、食堂消杀、每季度烟道清洗等费用由供应商承担。</w:t>
      </w:r>
      <w:r>
        <w:rPr>
          <w:rFonts w:hint="eastAsia" w:ascii="宋体" w:hAnsi="宋体" w:eastAsia="宋体" w:cs="宋体"/>
          <w:color w:val="auto"/>
          <w:kern w:val="2"/>
          <w:sz w:val="24"/>
          <w:szCs w:val="22"/>
          <w:highlight w:val="none"/>
          <w:lang w:val="en-US" w:eastAsia="zh-CN" w:bidi="ar-SA"/>
        </w:rPr>
        <w:t>供应商应节约用水、用电、用气。疫情防控、体温检测、安全生产、卫生检疫、工作人员体检、伤残疾病等费用均由供应商自理。</w:t>
      </w:r>
    </w:p>
    <w:p>
      <w:pPr>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4</w:t>
      </w:r>
      <w:r>
        <w:rPr>
          <w:rFonts w:hint="eastAsia" w:ascii="宋体" w:hAnsi="宋体" w:eastAsia="宋体" w:cs="宋体"/>
          <w:color w:val="auto"/>
          <w:kern w:val="2"/>
          <w:sz w:val="24"/>
          <w:szCs w:val="22"/>
          <w:highlight w:val="none"/>
          <w:lang w:val="en-US" w:eastAsia="zh-CN" w:bidi="ar-SA"/>
        </w:rPr>
        <w:t>.采购人与供应商签订合同时，双方共同核对食堂设施设备并签字存档，供应商经营承包期间需爱护好采购人的一切设施设备，严禁发生人为损坏、丢失现象，合同期满后双方共同对食堂设施设备进行检查，损坏、丢失的设施设备由</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赔偿损失。</w:t>
      </w:r>
      <w:r>
        <w:rPr>
          <w:rFonts w:hint="eastAsia" w:ascii="宋体" w:hAnsi="宋体" w:eastAsia="宋体" w:cs="宋体"/>
          <w:color w:val="auto"/>
          <w:sz w:val="24"/>
          <w:highlight w:val="none"/>
        </w:rPr>
        <w:t>除</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已提供的厨房用具用品外（冰柜、消毒柜、炒菜锅以及必须的工作用具和盛食品的碗、盘），再需增添食堂用具用品，由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自行承担。</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5</w:t>
      </w:r>
      <w:r>
        <w:rPr>
          <w:rFonts w:hint="eastAsia" w:ascii="宋体" w:hAnsi="宋体" w:eastAsia="宋体" w:cs="宋体"/>
          <w:color w:val="auto"/>
          <w:kern w:val="2"/>
          <w:sz w:val="24"/>
          <w:szCs w:val="22"/>
          <w:highlight w:val="none"/>
          <w:lang w:val="en-US" w:eastAsia="zh-CN" w:bidi="ar-SA"/>
        </w:rPr>
        <w:t>.采购人向供应商提供厨房、餐厅、储物室等工作区域，供应商承担上述区域的清洁工作，办理卫生等相关许可证。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16</w:t>
      </w:r>
      <w:r>
        <w:rPr>
          <w:rFonts w:hint="eastAsia" w:ascii="宋体" w:hAnsi="宋体" w:eastAsia="宋体" w:cs="宋体"/>
          <w:color w:val="auto"/>
          <w:kern w:val="2"/>
          <w:sz w:val="24"/>
          <w:szCs w:val="22"/>
          <w:highlight w:val="none"/>
          <w:lang w:val="en-US" w:eastAsia="zh-CN" w:bidi="ar-SA"/>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需完成</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交办的所有工作事项。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五、监督考核</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1.每日</w:t>
      </w:r>
      <w:r>
        <w:rPr>
          <w:rFonts w:hint="eastAsia" w:ascii="宋体" w:hAnsi="宋体" w:cs="宋体"/>
          <w:color w:val="auto"/>
          <w:kern w:val="2"/>
          <w:sz w:val="24"/>
          <w:szCs w:val="22"/>
          <w:highlight w:val="none"/>
          <w:lang w:val="en-US" w:eastAsia="zh-CN" w:bidi="ar-SA"/>
        </w:rPr>
        <w:t>做好</w:t>
      </w:r>
      <w:r>
        <w:rPr>
          <w:rFonts w:hint="eastAsia" w:ascii="宋体" w:hAnsi="宋体" w:eastAsia="宋体" w:cs="宋体"/>
          <w:color w:val="auto"/>
          <w:kern w:val="2"/>
          <w:sz w:val="24"/>
          <w:szCs w:val="22"/>
          <w:highlight w:val="none"/>
          <w:lang w:val="en-US" w:eastAsia="zh-CN" w:bidi="ar-SA"/>
        </w:rPr>
        <w:t>餐食的留样</w:t>
      </w:r>
      <w:r>
        <w:rPr>
          <w:rFonts w:hint="eastAsia" w:ascii="宋体" w:hAnsi="宋体" w:cs="宋体"/>
          <w:color w:val="auto"/>
          <w:kern w:val="2"/>
          <w:sz w:val="24"/>
          <w:szCs w:val="22"/>
          <w:highlight w:val="none"/>
          <w:lang w:val="en-US" w:eastAsia="zh-CN" w:bidi="ar-SA"/>
        </w:rPr>
        <w:t>以备检查，</w:t>
      </w:r>
      <w:r>
        <w:rPr>
          <w:rFonts w:hint="eastAsia" w:ascii="宋体" w:hAnsi="宋体" w:eastAsia="宋体" w:cs="宋体"/>
          <w:color w:val="auto"/>
          <w:kern w:val="2"/>
          <w:sz w:val="24"/>
          <w:szCs w:val="22"/>
          <w:highlight w:val="none"/>
          <w:lang w:val="en-US" w:eastAsia="zh-CN" w:bidi="ar-SA"/>
        </w:rPr>
        <w:t>并粘贴菜品标签（留样盒由</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提供）。</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2.供应商要保证厨房及每日餐食的卫生情况符合政府及相关部门法规、条例管理要求，并接受</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不定期对餐厨卫生开展检查。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3.因供应商导致伙食质量等方面出现问题，出现问题将纳入考核，严格按考核制度执行。</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六、违约责任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1.因</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违反国家和地方食品卫生管理法规以及单位有关人员餐厅的卫生管理制度，提供不洁的食物造成</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食物中毒或其他食源性疾病的，其产生的一切治疗费、误工费等所有费用由</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负责赔偿，</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有权单方面解除合同，并有权按照合同额30%追究</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的违约责任。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2.因</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责任造成水、电、天然气等安全责任事故的，按照《安全生产法》规定对</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进行考核，</w:t>
      </w:r>
      <w:r>
        <w:rPr>
          <w:rFonts w:hint="eastAsia" w:ascii="宋体" w:hAnsi="宋体" w:cs="宋体"/>
          <w:color w:val="auto"/>
          <w:kern w:val="2"/>
          <w:sz w:val="24"/>
          <w:szCs w:val="22"/>
          <w:highlight w:val="none"/>
          <w:lang w:val="en-US" w:eastAsia="zh-CN" w:bidi="ar-SA"/>
        </w:rPr>
        <w:t>对造成后果及产生的费用由供应商承担。</w:t>
      </w:r>
      <w:r>
        <w:rPr>
          <w:rFonts w:hint="eastAsia" w:ascii="宋体" w:hAnsi="宋体" w:eastAsia="宋体" w:cs="宋体"/>
          <w:color w:val="auto"/>
          <w:kern w:val="2"/>
          <w:sz w:val="24"/>
          <w:szCs w:val="22"/>
          <w:highlight w:val="none"/>
          <w:lang w:val="en-US" w:eastAsia="zh-CN" w:bidi="ar-SA"/>
        </w:rPr>
        <w:t>造成严重后果或影响特别恶劣的，</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有权单方面解除合同，并有权按照年承包服务费30%-100%追究</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违约责任。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3.经营期间，除合同约定的解除合同条款外，</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不得擅自中止本合同。如</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确因特殊原因中止合同的，需提前60天以书面形式通知</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，并向</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支付违约金。</w:t>
      </w:r>
      <w:r>
        <w:rPr>
          <w:rFonts w:hint="eastAsia" w:ascii="宋体" w:hAnsi="宋体" w:cs="宋体"/>
          <w:color w:val="auto"/>
          <w:kern w:val="2"/>
          <w:sz w:val="24"/>
          <w:szCs w:val="22"/>
          <w:highlight w:val="none"/>
          <w:lang w:val="en-US" w:eastAsia="zh-CN" w:bidi="ar-SA"/>
        </w:rPr>
        <w:t>供应商</w:t>
      </w:r>
      <w:r>
        <w:rPr>
          <w:rFonts w:hint="eastAsia" w:ascii="宋体" w:hAnsi="宋体" w:eastAsia="宋体" w:cs="宋体"/>
          <w:color w:val="auto"/>
          <w:kern w:val="2"/>
          <w:sz w:val="24"/>
          <w:szCs w:val="22"/>
          <w:highlight w:val="none"/>
          <w:lang w:val="en-US" w:eastAsia="zh-CN" w:bidi="ar-SA"/>
        </w:rPr>
        <w:t>擅自中止合同的，按照本合同全年服务费的30%向</w:t>
      </w:r>
      <w:r>
        <w:rPr>
          <w:rFonts w:hint="eastAsia" w:ascii="宋体" w:hAnsi="宋体" w:cs="宋体"/>
          <w:color w:val="auto"/>
          <w:kern w:val="2"/>
          <w:sz w:val="24"/>
          <w:szCs w:val="22"/>
          <w:highlight w:val="none"/>
          <w:lang w:val="en-US" w:eastAsia="zh-CN" w:bidi="ar-SA"/>
        </w:rPr>
        <w:t>采购人</w:t>
      </w:r>
      <w:r>
        <w:rPr>
          <w:rFonts w:hint="eastAsia" w:ascii="宋体" w:hAnsi="宋体" w:eastAsia="宋体" w:cs="宋体"/>
          <w:color w:val="auto"/>
          <w:kern w:val="2"/>
          <w:sz w:val="24"/>
          <w:szCs w:val="22"/>
          <w:highlight w:val="none"/>
          <w:lang w:val="en-US" w:eastAsia="zh-CN" w:bidi="ar-SA"/>
        </w:rPr>
        <w:t>支付违约金。</w:t>
      </w:r>
    </w:p>
    <w:p>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付款方式：</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需统计实际就餐人数</w:t>
      </w:r>
      <w:r>
        <w:rPr>
          <w:rFonts w:hint="default" w:ascii="宋体" w:hAnsi="宋体" w:eastAsia="宋体" w:cs="宋体"/>
          <w:color w:val="auto"/>
          <w:sz w:val="24"/>
          <w:szCs w:val="24"/>
          <w:highlight w:val="none"/>
          <w:lang w:val="en-US" w:eastAsia="zh-CN"/>
        </w:rPr>
        <w:t>报</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人审核，按照实际就餐人数</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季</w:t>
      </w:r>
      <w:r>
        <w:rPr>
          <w:rFonts w:hint="eastAsia" w:ascii="宋体" w:hAnsi="宋体" w:eastAsia="宋体" w:cs="宋体"/>
          <w:color w:val="auto"/>
          <w:sz w:val="24"/>
          <w:szCs w:val="24"/>
          <w:highlight w:val="none"/>
          <w:lang w:val="en-US" w:eastAsia="zh-CN"/>
        </w:rPr>
        <w:t>结算一次</w:t>
      </w:r>
      <w:r>
        <w:rPr>
          <w:rFonts w:hint="default" w:ascii="宋体" w:hAnsi="宋体" w:eastAsia="宋体" w:cs="宋体"/>
          <w:color w:val="auto"/>
          <w:sz w:val="24"/>
          <w:szCs w:val="24"/>
          <w:highlight w:val="none"/>
          <w:lang w:val="en-US" w:eastAsia="zh-CN"/>
        </w:rPr>
        <w:t>，并依据考核实际情况支付。</w:t>
      </w:r>
      <w:r>
        <w:rPr>
          <w:rFonts w:hint="eastAsia" w:ascii="宋体" w:hAnsi="宋体" w:eastAsia="宋体" w:cs="宋体"/>
          <w:color w:val="auto"/>
          <w:sz w:val="24"/>
          <w:szCs w:val="24"/>
          <w:highlight w:val="none"/>
          <w:lang w:val="en-US" w:eastAsia="zh-CN"/>
        </w:rPr>
        <w:t>具体付款方式以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实际签订为准。</w:t>
      </w:r>
    </w:p>
    <w:p>
      <w:pPr>
        <w:pStyle w:val="24"/>
        <w:rPr>
          <w:rFonts w:hint="default"/>
          <w:color w:val="auto"/>
          <w:lang w:val="en-US" w:eastAsia="zh-CN"/>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2"/>
        <w:spacing w:before="75" w:beforeAutospacing="0" w:after="75" w:afterAutospacing="0" w:line="360" w:lineRule="auto"/>
        <w:jc w:val="center"/>
        <w:rPr>
          <w:rFonts w:cs="宋体"/>
          <w:b/>
          <w:bCs/>
          <w:color w:val="auto"/>
          <w:sz w:val="28"/>
          <w:szCs w:val="28"/>
          <w:highlight w:val="none"/>
        </w:rPr>
      </w:pPr>
      <w:r>
        <w:rPr>
          <w:rFonts w:hint="eastAsia" w:cs="宋体"/>
          <w:b/>
          <w:bCs/>
          <w:color w:val="auto"/>
          <w:sz w:val="28"/>
          <w:szCs w:val="28"/>
          <w:highlight w:val="none"/>
        </w:rPr>
        <w:t>第四章</w:t>
      </w:r>
      <w:r>
        <w:rPr>
          <w:rFonts w:hint="eastAsia"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6"/>
        <w:spacing w:line="360" w:lineRule="auto"/>
        <w:ind w:firstLine="0" w:firstLineChars="0"/>
        <w:rPr>
          <w:rStyle w:val="29"/>
          <w:rFonts w:hint="eastAsia" w:ascii="Times New Roman" w:hAnsi="Times New Roman" w:eastAsia="宋体" w:cs="宋体"/>
          <w:b w:val="0"/>
          <w:bCs/>
          <w:color w:val="auto"/>
          <w:kern w:val="0"/>
          <w:sz w:val="24"/>
          <w:szCs w:val="24"/>
          <w:highlight w:val="none"/>
          <w:lang w:val="en-US" w:eastAsia="zh-CN" w:bidi="ar-SA"/>
        </w:rPr>
      </w:pPr>
      <w:bookmarkStart w:id="180" w:name="_Toc490756174"/>
      <w:r>
        <w:rPr>
          <w:rStyle w:val="29"/>
          <w:rFonts w:hint="eastAsia" w:ascii="Times New Roman" w:hAnsi="Times New Roman"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1.1甲方（需方）即</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，是指通过招标采购，接受合同货物及服务的各级国家机关、事业单位和团体组织。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1.2乙方（供方）即</w:t>
      </w:r>
      <w:r>
        <w:rPr>
          <w:rStyle w:val="29"/>
          <w:rFonts w:hint="eastAsia" w:cs="宋体"/>
          <w:b w:val="0"/>
          <w:bCs/>
          <w:color w:val="auto"/>
          <w:kern w:val="0"/>
          <w:sz w:val="24"/>
          <w:szCs w:val="24"/>
          <w:highlight w:val="none"/>
          <w:lang w:val="en-US" w:eastAsia="zh-CN" w:bidi="ar-SA"/>
        </w:rPr>
        <w:t>成交人</w:t>
      </w:r>
      <w:r>
        <w:rPr>
          <w:rStyle w:val="29"/>
          <w:rFonts w:hint="eastAsia" w:ascii="Times New Roman" w:hAnsi="Times New Roman" w:eastAsia="宋体" w:cs="宋体"/>
          <w:b w:val="0"/>
          <w:bCs/>
          <w:color w:val="auto"/>
          <w:kern w:val="0"/>
          <w:sz w:val="24"/>
          <w:szCs w:val="24"/>
          <w:highlight w:val="none"/>
          <w:lang w:val="en-US" w:eastAsia="zh-CN" w:bidi="ar-SA"/>
        </w:rPr>
        <w:t>，是指中标后提供合同货物和服务的自然人、法人及其他组织。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1.3合同是指由甲乙双方按照</w:t>
      </w:r>
      <w:r>
        <w:rPr>
          <w:rStyle w:val="29"/>
          <w:rFonts w:hint="default" w:cs="宋体"/>
          <w:b w:val="0"/>
          <w:bCs/>
          <w:color w:val="auto"/>
          <w:kern w:val="0"/>
          <w:sz w:val="24"/>
          <w:szCs w:val="24"/>
          <w:highlight w:val="none"/>
          <w:lang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和</w:t>
      </w:r>
      <w:r>
        <w:rPr>
          <w:rStyle w:val="29"/>
          <w:rFonts w:hint="default" w:cs="宋体"/>
          <w:b w:val="0"/>
          <w:bCs/>
          <w:color w:val="auto"/>
          <w:kern w:val="0"/>
          <w:sz w:val="24"/>
          <w:szCs w:val="24"/>
          <w:highlight w:val="none"/>
          <w:lang w:eastAsia="zh-CN" w:bidi="ar-SA"/>
        </w:rPr>
        <w:t>响应文件</w:t>
      </w:r>
      <w:r>
        <w:rPr>
          <w:rStyle w:val="29"/>
          <w:rFonts w:hint="eastAsia" w:ascii="Times New Roman" w:hAnsi="Times New Roman"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5.1乙方应按</w:t>
      </w:r>
      <w:r>
        <w:rPr>
          <w:rStyle w:val="29"/>
          <w:rFonts w:hint="default" w:cs="宋体"/>
          <w:b w:val="0"/>
          <w:bCs/>
          <w:color w:val="auto"/>
          <w:kern w:val="0"/>
          <w:sz w:val="24"/>
          <w:szCs w:val="24"/>
          <w:highlight w:val="none"/>
          <w:lang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规定的服务标准向甲方提供服务。</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5.2乙方提供的服务标准达不到</w:t>
      </w:r>
      <w:r>
        <w:rPr>
          <w:rStyle w:val="29"/>
          <w:rFonts w:hint="default" w:cs="宋体"/>
          <w:b w:val="0"/>
          <w:bCs/>
          <w:color w:val="auto"/>
          <w:kern w:val="0"/>
          <w:sz w:val="24"/>
          <w:szCs w:val="24"/>
          <w:highlight w:val="none"/>
          <w:lang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规定者，除承担相应责任外，将按失信行为处置。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8.2在60天内当事人协商不能达成协议的，可提请</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当地仲裁机构仲裁。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bookmarkStart w:id="181" w:name="_Toc490756175"/>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6"/>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仿宋" w:hAnsi="仿宋" w:eastAsia="仿宋" w:cs="仿宋"/>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2"/>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2"/>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default" w:ascii="宋体" w:hAnsi="宋体" w:cs="宋体"/>
          <w:color w:val="auto"/>
          <w:sz w:val="24"/>
          <w:szCs w:val="24"/>
          <w:highlight w:val="none"/>
        </w:rPr>
        <w:t>采购文件</w:t>
      </w:r>
      <w:r>
        <w:rPr>
          <w:rFonts w:hint="eastAsia" w:ascii="宋体" w:hAnsi="宋体" w:eastAsia="宋体" w:cs="宋体"/>
          <w:color w:val="auto"/>
          <w:sz w:val="24"/>
          <w:szCs w:val="24"/>
          <w:highlight w:val="none"/>
        </w:rPr>
        <w:t>、</w:t>
      </w:r>
      <w:r>
        <w:rPr>
          <w:rFonts w:hint="default" w:ascii="宋体" w:hAnsi="宋体" w:cs="宋体"/>
          <w:color w:val="auto"/>
          <w:sz w:val="24"/>
          <w:szCs w:val="24"/>
          <w:highlight w:val="none"/>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6" w:type="default"/>
          <w:footerReference r:id="rId7" w:type="default"/>
          <w:pgSz w:w="11906" w:h="16838"/>
          <w:pgMar w:top="720" w:right="720" w:bottom="720" w:left="720" w:header="851" w:footer="992" w:gutter="0"/>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第五章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格式</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资格证明文件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（1）“资格证明文件”封面</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（2）资格性/符合性自查表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（3）诚信承诺书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（4）具有履行合同所必需的设备和专业技术能力的承诺书</w:t>
      </w:r>
    </w:p>
    <w:p>
      <w:pPr>
        <w:widowControl/>
        <w:spacing w:line="360" w:lineRule="auto"/>
        <w:ind w:firstLine="480" w:firstLineChars="200"/>
        <w:jc w:val="left"/>
        <w:rPr>
          <w:rStyle w:val="29"/>
          <w:rFonts w:cs="宋体"/>
          <w:b w:val="0"/>
          <w:bCs/>
          <w:color w:val="auto"/>
          <w:sz w:val="24"/>
          <w:highlight w:val="none"/>
        </w:rPr>
      </w:pPr>
      <w:r>
        <w:rPr>
          <w:rFonts w:hint="eastAsia" w:ascii="宋体" w:hAnsi="宋体" w:cs="宋体"/>
          <w:color w:val="auto"/>
          <w:kern w:val="0"/>
          <w:sz w:val="24"/>
          <w:highlight w:val="none"/>
          <w:lang w:bidi="ar"/>
        </w:rPr>
        <w:t>（5）无重大违法记录承诺书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（6）法定代表人资格证明书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（7）法定代表人授权书</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（8）相关证件：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①三证合一营业执照（副本）或事业单位法人证书（副本）复印件；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②</w:t>
      </w:r>
      <w:r>
        <w:rPr>
          <w:rStyle w:val="29"/>
          <w:rFonts w:cs="宋体"/>
          <w:b w:val="0"/>
          <w:bCs/>
          <w:color w:val="auto"/>
          <w:sz w:val="24"/>
          <w:szCs w:val="24"/>
          <w:highlight w:val="none"/>
        </w:rPr>
        <w:t>提供</w:t>
      </w:r>
      <w:r>
        <w:rPr>
          <w:rStyle w:val="29"/>
          <w:rFonts w:hint="eastAsia" w:cs="宋体"/>
          <w:b w:val="0"/>
          <w:bCs/>
          <w:color w:val="auto"/>
          <w:sz w:val="24"/>
          <w:szCs w:val="24"/>
          <w:highlight w:val="none"/>
          <w:lang w:eastAsia="zh-CN"/>
        </w:rPr>
        <w:t>近</w:t>
      </w:r>
      <w:r>
        <w:rPr>
          <w:rStyle w:val="29"/>
          <w:rFonts w:cs="宋体"/>
          <w:b w:val="0"/>
          <w:bCs/>
          <w:color w:val="auto"/>
          <w:sz w:val="24"/>
          <w:szCs w:val="24"/>
          <w:highlight w:val="none"/>
        </w:rPr>
        <w:t>三个月任意一个月</w:t>
      </w:r>
      <w:r>
        <w:rPr>
          <w:rStyle w:val="29"/>
          <w:rFonts w:hint="eastAsia" w:cs="宋体"/>
          <w:b w:val="0"/>
          <w:bCs/>
          <w:color w:val="auto"/>
          <w:sz w:val="24"/>
          <w:szCs w:val="24"/>
          <w:highlight w:val="none"/>
        </w:rPr>
        <w:t>依法缴纳税收和社会保障资金的良好记录的证明材料（附复印件）；</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Hans"/>
        </w:rPr>
        <w:t>③</w:t>
      </w:r>
      <w:r>
        <w:rPr>
          <w:rStyle w:val="29"/>
          <w:rFonts w:hint="eastAsia" w:cs="宋体"/>
          <w:b w:val="0"/>
          <w:bCs/>
          <w:color w:val="auto"/>
          <w:sz w:val="24"/>
          <w:szCs w:val="24"/>
          <w:highlight w:val="none"/>
          <w:lang w:val="en-US" w:eastAsia="zh-CN"/>
        </w:rPr>
        <w:t>提供</w:t>
      </w:r>
      <w:r>
        <w:rPr>
          <w:rStyle w:val="29"/>
          <w:rFonts w:hint="eastAsia" w:cs="宋体"/>
          <w:b w:val="0"/>
          <w:bCs/>
          <w:color w:val="auto"/>
          <w:sz w:val="24"/>
          <w:szCs w:val="24"/>
          <w:highlight w:val="none"/>
          <w:u w:val="single"/>
          <w:lang w:val="en-US" w:eastAsia="zh-CN"/>
        </w:rPr>
        <w:t>（2021年度或2022年度）经审计财务会计报告</w:t>
      </w:r>
      <w:r>
        <w:rPr>
          <w:rStyle w:val="29"/>
          <w:rFonts w:hint="eastAsia" w:cs="宋体"/>
          <w:b w:val="0"/>
          <w:bCs/>
          <w:color w:val="auto"/>
          <w:sz w:val="24"/>
          <w:szCs w:val="24"/>
          <w:highlight w:val="none"/>
          <w:lang w:val="en-US" w:eastAsia="zh-CN"/>
        </w:rPr>
        <w:t>（至少包括资产负债表、损益表、利润表、现金流量表，新成立的公司提供情况说明</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企业财务报表</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基本开户银行出具的资信证明</w:t>
      </w:r>
      <w:r>
        <w:rPr>
          <w:rStyle w:val="29"/>
          <w:rFonts w:hint="eastAsia"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Hans"/>
        </w:rPr>
        <w:t>④</w:t>
      </w:r>
      <w:r>
        <w:rPr>
          <w:rStyle w:val="29"/>
          <w:rFonts w:hint="eastAsia" w:cs="宋体"/>
          <w:b w:val="0"/>
          <w:bCs/>
          <w:color w:val="auto"/>
          <w:sz w:val="24"/>
          <w:szCs w:val="24"/>
          <w:highlight w:val="none"/>
        </w:rPr>
        <w:t>法律、行政法规、本采购文件规定的其他条件。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w:t>
      </w:r>
      <w:r>
        <w:rPr>
          <w:rStyle w:val="29"/>
          <w:rFonts w:hint="eastAsia" w:ascii="宋体" w:hAnsi="宋体" w:eastAsia="宋体" w:cs="宋体"/>
          <w:b w:val="0"/>
          <w:bCs/>
          <w:color w:val="auto"/>
          <w:sz w:val="24"/>
          <w:szCs w:val="24"/>
          <w:highlight w:val="none"/>
          <w:lang w:eastAsia="zh-CN"/>
        </w:rPr>
        <w:t>开标一览表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w:t>
      </w:r>
      <w:r>
        <w:rPr>
          <w:rFonts w:hint="eastAsia" w:ascii="宋体" w:hAnsi="宋体" w:cs="宋体"/>
          <w:b w:val="0"/>
          <w:bCs w:val="0"/>
          <w:color w:val="auto"/>
          <w:kern w:val="0"/>
          <w:sz w:val="24"/>
          <w:szCs w:val="24"/>
          <w:highlight w:val="none"/>
          <w:lang w:val="en-US" w:eastAsia="zh-CN"/>
        </w:rPr>
        <w:t>20</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29"/>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）项目实施方案（包括但不限于：①实施目标、范围和任务②实施方案、工作流程、质量保证措施等③服务团队组织安排计划④关键节点控制措施）</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拟</w:t>
      </w:r>
      <w:r>
        <w:rPr>
          <w:rStyle w:val="29"/>
          <w:rFonts w:hint="eastAsia" w:ascii="Times New Roman" w:hAnsi="Times New Roman" w:eastAsia="宋体" w:cs="宋体"/>
          <w:b w:val="0"/>
          <w:bCs w:val="0"/>
          <w:color w:val="auto"/>
          <w:sz w:val="24"/>
          <w:szCs w:val="24"/>
          <w:highlight w:val="none"/>
          <w:lang w:val="en-US" w:eastAsia="zh-CN"/>
        </w:rPr>
        <w:t>投入设备设施清单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0</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质量</w:t>
      </w:r>
      <w:r>
        <w:rPr>
          <w:rFonts w:hint="eastAsia" w:ascii="宋体" w:hAnsi="宋体" w:cs="宋体"/>
          <w:b w:val="0"/>
          <w:bCs w:val="0"/>
          <w:color w:val="auto"/>
          <w:kern w:val="0"/>
          <w:sz w:val="24"/>
          <w:szCs w:val="24"/>
          <w:highlight w:val="none"/>
          <w:lang w:val="en-US" w:eastAsia="zh-CN"/>
        </w:rPr>
        <w:t>控制方案</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合理化建议及</w:t>
      </w:r>
      <w:r>
        <w:rPr>
          <w:rFonts w:hint="eastAsia" w:ascii="宋体" w:hAnsi="宋体" w:cs="宋体"/>
          <w:b w:val="0"/>
          <w:bCs w:val="0"/>
          <w:color w:val="auto"/>
          <w:kern w:val="0"/>
          <w:sz w:val="24"/>
          <w:szCs w:val="24"/>
          <w:highlight w:val="none"/>
          <w:lang w:val="en-US" w:eastAsia="zh-CN"/>
        </w:rPr>
        <w:t>增值</w:t>
      </w:r>
      <w:r>
        <w:rPr>
          <w:rFonts w:hint="eastAsia" w:ascii="宋体" w:hAnsi="宋体" w:eastAsia="宋体" w:cs="宋体"/>
          <w:b w:val="0"/>
          <w:bCs w:val="0"/>
          <w:color w:val="auto"/>
          <w:kern w:val="0"/>
          <w:sz w:val="24"/>
          <w:szCs w:val="24"/>
          <w:highlight w:val="none"/>
          <w:lang w:val="en-US" w:eastAsia="zh-CN"/>
        </w:rPr>
        <w:t>服务承诺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13</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拟提供的餐盒、</w:t>
      </w:r>
      <w:r>
        <w:rPr>
          <w:rFonts w:hint="eastAsia" w:ascii="宋体" w:hAnsi="宋体" w:cs="宋体"/>
          <w:b w:val="0"/>
          <w:bCs w:val="0"/>
          <w:color w:val="auto"/>
          <w:kern w:val="0"/>
          <w:sz w:val="24"/>
          <w:szCs w:val="24"/>
          <w:highlight w:val="none"/>
          <w:lang w:val="en-US" w:eastAsia="zh-CN"/>
        </w:rPr>
        <w:t>菜品</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spacing w:before="75" w:beforeAutospacing="0" w:after="75" w:afterAutospacing="0" w:line="360" w:lineRule="auto"/>
        <w:rPr>
          <w:rStyle w:val="29"/>
          <w:rFonts w:cs="宋体"/>
          <w:b w:val="0"/>
          <w:bCs/>
          <w:color w:val="auto"/>
          <w:sz w:val="24"/>
          <w:szCs w:val="24"/>
          <w:highlight w:val="none"/>
        </w:rPr>
      </w:pPr>
    </w:p>
    <w:p>
      <w:pPr>
        <w:spacing w:line="360" w:lineRule="auto"/>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4"/>
        <w:ind w:left="0" w:leftChars="0" w:firstLine="0" w:firstLineChars="0"/>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9"/>
        <w:spacing w:line="360" w:lineRule="auto"/>
        <w:rPr>
          <w:rFonts w:ascii="宋体" w:hAnsi="宋体" w:cs="宋体"/>
          <w:b/>
          <w:bCs/>
          <w:color w:val="auto"/>
          <w:sz w:val="44"/>
          <w:szCs w:val="44"/>
          <w:highlight w:val="none"/>
        </w:rPr>
      </w:pPr>
    </w:p>
    <w:p>
      <w:pPr>
        <w:pStyle w:val="10"/>
        <w:spacing w:line="360" w:lineRule="auto"/>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spacing w:line="360" w:lineRule="auto"/>
        <w:ind w:right="-319" w:rightChars="-152"/>
        <w:jc w:val="center"/>
        <w:rPr>
          <w:rFonts w:hint="eastAsia" w:ascii="宋体" w:hAnsi="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克拉玛依市克拉玛依区人民政府胜利路街道办事处</w:t>
      </w: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食堂外包服务</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JKJL[ZC]2023-38</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9"/>
        <w:spacing w:line="360" w:lineRule="auto"/>
        <w:rPr>
          <w:rFonts w:hint="eastAsia" w:ascii="宋体" w:hAnsi="宋体" w:eastAsia="宋体" w:cs="宋体"/>
          <w:b w:val="0"/>
          <w:bCs w:val="0"/>
          <w:color w:val="auto"/>
          <w:highlight w:val="none"/>
        </w:rPr>
      </w:pPr>
    </w:p>
    <w:p>
      <w:pPr>
        <w:pStyle w:val="18"/>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2"/>
        <w:rPr>
          <w:rFonts w:hint="eastAsia"/>
        </w:rPr>
      </w:pPr>
    </w:p>
    <w:p>
      <w:pPr>
        <w:pStyle w:val="10"/>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1"/>
        <w:spacing w:line="360" w:lineRule="auto"/>
        <w:ind w:firstLine="594" w:firstLineChars="198"/>
        <w:outlineLvl w:val="0"/>
        <w:rPr>
          <w:rStyle w:val="29"/>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5"/>
        <w:spacing w:line="360" w:lineRule="auto"/>
        <w:rPr>
          <w:rFonts w:hint="eastAsia" w:ascii="宋体" w:hAnsi="宋体" w:eastAsia="宋体" w:cs="宋体"/>
          <w:color w:val="auto"/>
          <w:sz w:val="28"/>
          <w:szCs w:val="28"/>
          <w:highlight w:val="none"/>
        </w:rPr>
      </w:pPr>
    </w:p>
    <w:p>
      <w:pPr>
        <w:pStyle w:val="12"/>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w:t>
      </w:r>
      <w:r>
        <w:rPr>
          <w:rStyle w:val="29"/>
          <w:rFonts w:hint="eastAsia" w:cs="宋体"/>
          <w:color w:val="auto"/>
          <w:sz w:val="28"/>
          <w:szCs w:val="28"/>
          <w:highlight w:val="none"/>
        </w:rPr>
        <w:t>资格性/符合性自查表</w:t>
      </w:r>
    </w:p>
    <w:p>
      <w:pPr>
        <w:pStyle w:val="22"/>
        <w:spacing w:before="75" w:beforeAutospacing="0" w:after="75" w:afterAutospacing="0" w:line="360" w:lineRule="auto"/>
        <w:jc w:val="center"/>
        <w:rPr>
          <w:rStyle w:val="29"/>
          <w:rFonts w:cs="宋体"/>
          <w:b w:val="0"/>
          <w:bCs/>
          <w:color w:val="auto"/>
          <w:sz w:val="24"/>
          <w:szCs w:val="24"/>
          <w:highlight w:val="none"/>
        </w:rPr>
      </w:pPr>
    </w:p>
    <w:tbl>
      <w:tblPr>
        <w:tblStyle w:val="2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注：以上材料将作为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有效性审核的重要内容之一，</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必须严格按照其内容及序列要求在</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中对应如实提供，对资格性和符合性证明文件的任何缺漏和不符合项将会直接导致无效投标！</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(单位名称或个人)，</w:t>
      </w:r>
      <w:r>
        <w:rPr>
          <w:rFonts w:hint="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r>
        <w:rPr>
          <w:rFonts w:hint="eastAsia"/>
          <w:color w:val="auto"/>
          <w:sz w:val="24"/>
          <w:szCs w:val="24"/>
          <w:highlight w:val="none"/>
        </w:rPr>
        <w:t>统一社会信用代码（个人身份证号）是具备《政府采购法》第二十二条件的</w:t>
      </w:r>
      <w:r>
        <w:rPr>
          <w:rFonts w:hint="eastAsia"/>
          <w:color w:val="auto"/>
          <w:sz w:val="24"/>
          <w:szCs w:val="24"/>
          <w:highlight w:val="none"/>
          <w:lang w:eastAsia="zh-CN"/>
        </w:rPr>
        <w:t>供应商</w:t>
      </w:r>
      <w:r>
        <w:rPr>
          <w:rFonts w:hint="eastAsia"/>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（一）严格遵守国家法律、法规和规章，全面履行应尽的责任和义务</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（二）</w:t>
      </w:r>
      <w:r>
        <w:rPr>
          <w:rFonts w:hint="eastAsia" w:ascii="Times New Roman"/>
          <w:color w:val="auto"/>
          <w:sz w:val="24"/>
          <w:szCs w:val="24"/>
          <w:highlight w:val="none"/>
        </w:rPr>
        <w:t>保证参加政府采购活动时</w:t>
      </w:r>
      <w:r>
        <w:rPr>
          <w:rFonts w:ascii="Times New Roman"/>
          <w:color w:val="auto"/>
          <w:sz w:val="24"/>
          <w:szCs w:val="24"/>
          <w:highlight w:val="none"/>
        </w:rPr>
        <w:t>所</w:t>
      </w:r>
      <w:r>
        <w:rPr>
          <w:rFonts w:hint="eastAsia" w:ascii="Times New Roman"/>
          <w:color w:val="auto"/>
          <w:sz w:val="24"/>
          <w:szCs w:val="24"/>
          <w:highlight w:val="none"/>
        </w:rPr>
        <w:t>提供</w:t>
      </w:r>
      <w:r>
        <w:rPr>
          <w:rFonts w:ascii="Times New Roman"/>
          <w:color w:val="auto"/>
          <w:sz w:val="24"/>
          <w:szCs w:val="24"/>
          <w:highlight w:val="none"/>
        </w:rPr>
        <w:t>资料均合法、真实、有效，并对所提供资料的真实性负责</w:t>
      </w:r>
      <w:r>
        <w:rPr>
          <w:rFonts w:hint="eastAsia" w:ascii="Times New Roman"/>
          <w:color w:val="auto"/>
          <w:sz w:val="24"/>
          <w:szCs w:val="24"/>
          <w:highlight w:val="none"/>
        </w:rPr>
        <w:t>；我单位（个人）在参加政府采购活动前三年在经营活动中没有《政府采购法》第</w:t>
      </w:r>
      <w:r>
        <w:rPr>
          <w:rFonts w:hint="eastAsia"/>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三</w:t>
      </w:r>
      <w:r>
        <w:rPr>
          <w:rFonts w:ascii="Times New Roman"/>
          <w:color w:val="auto"/>
          <w:sz w:val="24"/>
          <w:szCs w:val="24"/>
          <w:highlight w:val="none"/>
        </w:rPr>
        <w:t>）承诺本单位（个人）自觉接受行政管理部门、行业组织、社会公众、新闻舆论的监督</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四</w:t>
      </w:r>
      <w:r>
        <w:rPr>
          <w:rFonts w:ascii="Times New Roman"/>
          <w:color w:val="auto"/>
          <w:sz w:val="24"/>
          <w:szCs w:val="24"/>
          <w:highlight w:val="none"/>
        </w:rPr>
        <w:t>）承诺本单位（个人）将按照信用管理要求，按照规定通过克拉玛依诚信网向社会公示信用信息</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五</w:t>
      </w:r>
      <w:r>
        <w:rPr>
          <w:rFonts w:ascii="Times New Roman"/>
          <w:color w:val="auto"/>
          <w:sz w:val="24"/>
          <w:szCs w:val="24"/>
          <w:highlight w:val="none"/>
        </w:rPr>
        <w:t>）承诺本单位（个人）不制假售假、商标侵权、虚假宣传、违约毁约、价格欺诈、垄断和不正当竞争，守合同、重信用，维护经营者、消费者的合法权益</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六</w:t>
      </w:r>
      <w:r>
        <w:rPr>
          <w:rFonts w:ascii="Times New Roman"/>
          <w:color w:val="auto"/>
          <w:sz w:val="24"/>
          <w:szCs w:val="24"/>
          <w:highlight w:val="none"/>
        </w:rPr>
        <w:t>）失信主体承诺本单位（个人）依法依规接受处罚、主动积极整改、不再触犯相关法律法规、今后全面做到履约守信等</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七</w:t>
      </w:r>
      <w:r>
        <w:rPr>
          <w:rFonts w:ascii="Times New Roman"/>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rPr>
      </w:pPr>
      <w:r>
        <w:rPr>
          <w:rFonts w:hint="eastAsia"/>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widowControl/>
        <w:spacing w:line="480" w:lineRule="auto"/>
        <w:jc w:val="center"/>
        <w:rPr>
          <w:rFonts w:ascii="宋体" w:hAnsi="宋体" w:cs="宋体"/>
          <w:color w:val="auto"/>
          <w:sz w:val="24"/>
          <w:highlight w:val="none"/>
        </w:rPr>
      </w:pPr>
      <w:r>
        <w:rPr>
          <w:rFonts w:hint="eastAsia" w:hAnsi="宋体" w:cs="宋体"/>
          <w:b/>
          <w:bCs/>
          <w:color w:val="auto"/>
          <w:sz w:val="28"/>
          <w:szCs w:val="28"/>
          <w:highlight w:val="none"/>
        </w:rPr>
        <w:t>（4）</w:t>
      </w:r>
      <w:r>
        <w:rPr>
          <w:rFonts w:hint="eastAsia" w:ascii="宋体" w:hAnsi="宋体" w:cs="宋体"/>
          <w:b/>
          <w:bCs/>
          <w:color w:val="auto"/>
          <w:sz w:val="28"/>
          <w:szCs w:val="28"/>
          <w:highlight w:val="none"/>
        </w:rPr>
        <w:t>具有履行合同所必需的设备和专业技术能力的承诺书</w:t>
      </w:r>
    </w:p>
    <w:p>
      <w:pPr>
        <w:widowControl/>
        <w:spacing w:line="48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致（</w:t>
      </w:r>
      <w:r>
        <w:rPr>
          <w:rFonts w:hint="eastAsia" w:hAnsi="宋体" w:cs="宋体"/>
          <w:color w:val="auto"/>
          <w:kern w:val="0"/>
          <w:sz w:val="24"/>
          <w:highlight w:val="none"/>
          <w:u w:val="single"/>
          <w:lang w:eastAsia="zh-CN" w:bidi="ar"/>
        </w:rPr>
        <w:t>采购人</w:t>
      </w:r>
      <w:r>
        <w:rPr>
          <w:rFonts w:hint="eastAsia" w:ascii="宋体" w:hAnsi="宋体" w:cs="宋体"/>
          <w:color w:val="auto"/>
          <w:kern w:val="0"/>
          <w:sz w:val="24"/>
          <w:highlight w:val="none"/>
          <w:u w:val="single"/>
          <w:lang w:bidi="ar"/>
        </w:rPr>
        <w:t>、</w:t>
      </w:r>
      <w:r>
        <w:rPr>
          <w:rFonts w:hint="eastAsia" w:hAnsi="宋体" w:cs="宋体"/>
          <w:color w:val="auto"/>
          <w:kern w:val="0"/>
          <w:sz w:val="24"/>
          <w:highlight w:val="none"/>
          <w:u w:val="single"/>
          <w:lang w:eastAsia="zh-CN" w:bidi="ar"/>
        </w:rPr>
        <w:t>采购代理机构</w:t>
      </w:r>
      <w:r>
        <w:rPr>
          <w:rFonts w:hint="eastAsia" w:ascii="宋体" w:hAnsi="宋体" w:cs="宋体"/>
          <w:color w:val="auto"/>
          <w:kern w:val="0"/>
          <w:sz w:val="24"/>
          <w:highlight w:val="none"/>
          <w:lang w:bidi="ar"/>
        </w:rPr>
        <w:t xml:space="preserve">)：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我公司自愿参加由贵公司组织的</w:t>
      </w:r>
      <w:r>
        <w:rPr>
          <w:rFonts w:hint="eastAsia" w:ascii="宋体" w:hAnsi="宋体" w:cs="宋体"/>
          <w:color w:val="auto"/>
          <w:kern w:val="0"/>
          <w:sz w:val="24"/>
          <w:highlight w:val="none"/>
          <w:u w:val="single"/>
          <w:lang w:bidi="ar"/>
        </w:rPr>
        <w:t xml:space="preserve"> </w:t>
      </w:r>
      <w:r>
        <w:rPr>
          <w:rFonts w:hint="default" w:ascii="宋体" w:hAnsi="宋体" w:cs="宋体"/>
          <w:color w:val="auto"/>
          <w:kern w:val="0"/>
          <w:sz w:val="24"/>
          <w:highlight w:val="none"/>
          <w:u w:val="single"/>
          <w:lang w:eastAsia="zh-CN" w:bidi="ar"/>
        </w:rPr>
        <w:t>采购文件</w:t>
      </w:r>
      <w:r>
        <w:rPr>
          <w:rFonts w:hint="eastAsia" w:ascii="宋体" w:hAnsi="宋体" w:cs="宋体"/>
          <w:color w:val="auto"/>
          <w:kern w:val="0"/>
          <w:sz w:val="24"/>
          <w:highlight w:val="none"/>
          <w:u w:val="single"/>
          <w:lang w:bidi="ar"/>
        </w:rPr>
        <w:t xml:space="preserve">编号   </w:t>
      </w:r>
      <w:r>
        <w:rPr>
          <w:rFonts w:hint="eastAsia" w:ascii="宋体" w:hAnsi="宋体" w:cs="宋体"/>
          <w:color w:val="auto"/>
          <w:kern w:val="0"/>
          <w:sz w:val="24"/>
          <w:highlight w:val="none"/>
          <w:u w:val="single"/>
          <w:lang w:eastAsia="zh-CN" w:bidi="ar"/>
        </w:rPr>
        <w:t>招标项目</w:t>
      </w:r>
      <w:r>
        <w:rPr>
          <w:rFonts w:hint="eastAsia" w:ascii="宋体" w:hAnsi="宋体" w:cs="宋体"/>
          <w:color w:val="auto"/>
          <w:kern w:val="0"/>
          <w:sz w:val="24"/>
          <w:highlight w:val="none"/>
          <w:u w:val="single"/>
          <w:lang w:bidi="ar"/>
        </w:rPr>
        <w:t xml:space="preserve">名称 </w:t>
      </w:r>
      <w:r>
        <w:rPr>
          <w:rFonts w:hint="eastAsia" w:hAnsi="宋体" w:cs="宋体"/>
          <w:color w:val="auto"/>
          <w:kern w:val="0"/>
          <w:sz w:val="24"/>
          <w:highlight w:val="none"/>
          <w:lang w:bidi="ar"/>
        </w:rPr>
        <w:t>采购</w:t>
      </w:r>
      <w:r>
        <w:rPr>
          <w:rFonts w:hint="eastAsia" w:ascii="宋体" w:hAnsi="宋体" w:cs="宋体"/>
          <w:color w:val="auto"/>
          <w:kern w:val="0"/>
          <w:sz w:val="24"/>
          <w:highlight w:val="none"/>
          <w:lang w:bidi="ar"/>
        </w:rPr>
        <w:t xml:space="preserve">活动，在此郑重承诺： </w:t>
      </w:r>
    </w:p>
    <w:p>
      <w:pPr>
        <w:widowControl/>
        <w:spacing w:line="48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我公司完全理解本项目采购的技术要求、商务条款及其他内容，决定参与该项目的投标活动。并承诺，如成交我公司将提供满意的服务和专业技术能力保证本合同履行。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ascii="宋体" w:hAnsi="宋体" w:cs="宋体"/>
          <w:color w:val="auto"/>
          <w:kern w:val="0"/>
          <w:sz w:val="24"/>
          <w:highlight w:val="none"/>
          <w:lang w:bidi="ar"/>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eastAsia="zh-CN"/>
        </w:rPr>
      </w:pPr>
    </w:p>
    <w:p>
      <w:pPr>
        <w:pStyle w:val="139"/>
        <w:spacing w:line="360" w:lineRule="auto"/>
        <w:ind w:firstLine="0" w:firstLineChars="0"/>
        <w:jc w:val="both"/>
        <w:rPr>
          <w:rStyle w:val="29"/>
          <w:rFonts w:hint="eastAsia" w:cs="宋体"/>
          <w:color w:val="auto"/>
          <w:sz w:val="28"/>
          <w:szCs w:val="28"/>
          <w:highlight w:val="none"/>
          <w:lang w:eastAsia="zh-CN"/>
        </w:rPr>
      </w:pPr>
    </w:p>
    <w:p>
      <w:pPr>
        <w:pStyle w:val="139"/>
        <w:spacing w:line="360" w:lineRule="auto"/>
        <w:ind w:firstLine="0" w:firstLineChars="0"/>
        <w:jc w:val="center"/>
        <w:rPr>
          <w:rStyle w:val="29"/>
          <w:rFonts w:hint="eastAsia" w:cs="宋体"/>
          <w:color w:val="auto"/>
          <w:sz w:val="28"/>
          <w:szCs w:val="28"/>
          <w:highlight w:val="none"/>
          <w:lang w:val="en-US" w:eastAsia="zh-CN"/>
        </w:rPr>
      </w:pPr>
    </w:p>
    <w:p>
      <w:pPr>
        <w:pStyle w:val="139"/>
        <w:spacing w:line="360" w:lineRule="auto"/>
        <w:ind w:firstLine="0" w:firstLineChars="0"/>
        <w:jc w:val="center"/>
        <w:rPr>
          <w:rStyle w:val="29"/>
          <w:rFonts w:hint="eastAsia" w:cs="宋体"/>
          <w:color w:val="auto"/>
          <w:sz w:val="28"/>
          <w:szCs w:val="28"/>
          <w:highlight w:val="none"/>
          <w:lang w:val="en-US" w:eastAsia="zh-CN"/>
        </w:rPr>
      </w:pPr>
    </w:p>
    <w:p>
      <w:pPr>
        <w:pStyle w:val="139"/>
        <w:spacing w:line="360" w:lineRule="auto"/>
        <w:ind w:firstLine="0" w:firstLineChars="0"/>
        <w:jc w:val="center"/>
        <w:rPr>
          <w:rStyle w:val="29"/>
          <w:rFonts w:hint="eastAsia" w:cs="宋体"/>
          <w:color w:val="auto"/>
          <w:sz w:val="28"/>
          <w:szCs w:val="28"/>
          <w:highlight w:val="none"/>
          <w:lang w:val="en-US" w:eastAsia="zh-CN"/>
        </w:rPr>
      </w:pPr>
    </w:p>
    <w:p>
      <w:pPr>
        <w:pStyle w:val="139"/>
        <w:spacing w:line="360" w:lineRule="auto"/>
        <w:ind w:firstLine="0" w:firstLineChars="0"/>
        <w:jc w:val="center"/>
        <w:rPr>
          <w:rStyle w:val="29"/>
          <w:rFonts w:hint="eastAsia" w:cs="宋体"/>
          <w:color w:val="auto"/>
          <w:sz w:val="28"/>
          <w:szCs w:val="28"/>
          <w:highlight w:val="none"/>
          <w:lang w:val="en-US" w:eastAsia="zh-CN"/>
        </w:rPr>
      </w:pPr>
    </w:p>
    <w:p>
      <w:pPr>
        <w:pStyle w:val="139"/>
        <w:spacing w:line="360" w:lineRule="auto"/>
        <w:ind w:firstLine="0" w:firstLineChars="0"/>
        <w:jc w:val="center"/>
        <w:rPr>
          <w:rStyle w:val="29"/>
          <w:rFonts w:hint="eastAsia" w:ascii="Times New Roman" w:hAnsi="Times New Roman" w:eastAsia="宋体" w:cs="宋体"/>
          <w:b/>
          <w:color w:val="auto"/>
          <w:kern w:val="0"/>
          <w:sz w:val="28"/>
          <w:szCs w:val="28"/>
          <w:highlight w:val="none"/>
          <w:lang w:val="en-US" w:eastAsia="zh-CN" w:bidi="ar-SA"/>
        </w:rPr>
      </w:pPr>
      <w:r>
        <w:rPr>
          <w:rStyle w:val="29"/>
          <w:rFonts w:hint="eastAsia" w:cs="宋体"/>
          <w:color w:val="auto"/>
          <w:sz w:val="28"/>
          <w:szCs w:val="28"/>
          <w:highlight w:val="none"/>
          <w:lang w:val="en-US" w:eastAsia="zh-CN"/>
        </w:rPr>
        <w:t>（5</w:t>
      </w:r>
      <w:r>
        <w:rPr>
          <w:rStyle w:val="29"/>
          <w:rFonts w:hint="eastAsia" w:cs="宋体"/>
          <w:color w:val="auto"/>
          <w:sz w:val="28"/>
          <w:szCs w:val="28"/>
          <w:highlight w:val="none"/>
          <w:lang w:eastAsia="zh-CN"/>
        </w:rPr>
        <w:t>）</w:t>
      </w:r>
      <w:r>
        <w:rPr>
          <w:rStyle w:val="29"/>
          <w:rFonts w:hint="eastAsia" w:ascii="Times New Roman" w:hAnsi="Times New Roman" w:eastAsia="宋体" w:cs="宋体"/>
          <w:b/>
          <w:color w:val="auto"/>
          <w:kern w:val="0"/>
          <w:sz w:val="28"/>
          <w:szCs w:val="28"/>
          <w:highlight w:val="none"/>
          <w:lang w:val="en-US" w:eastAsia="zh-CN" w:bidi="ar-SA"/>
        </w:rPr>
        <w:t>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采购代理机构</w:t>
      </w:r>
      <w:r>
        <w:rPr>
          <w:rFonts w:hint="eastAsia" w:ascii="宋体" w:hAnsi="宋体" w:eastAsia="宋体" w:cs="宋体"/>
          <w:color w:val="auto"/>
          <w:sz w:val="24"/>
          <w:szCs w:val="24"/>
          <w:highlight w:val="none"/>
          <w:u w:val="single"/>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2"/>
        <w:spacing w:before="75" w:beforeAutospacing="0" w:after="75" w:afterAutospacing="0" w:line="360" w:lineRule="auto"/>
        <w:jc w:val="left"/>
        <w:rPr>
          <w:rStyle w:val="29"/>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说明：投标截止前3年内</w:t>
      </w:r>
      <w:r>
        <w:rPr>
          <w:rFonts w:hint="eastAsia" w:cs="宋体"/>
          <w:b/>
          <w:color w:val="auto"/>
          <w:sz w:val="24"/>
          <w:szCs w:val="24"/>
          <w:highlight w:val="none"/>
          <w:lang w:eastAsia="zh-CN"/>
        </w:rPr>
        <w:t>供应商</w:t>
      </w:r>
      <w:r>
        <w:rPr>
          <w:rFonts w:hint="eastAsia" w:ascii="宋体" w:hAnsi="宋体" w:eastAsia="宋体" w:cs="宋体"/>
          <w:b/>
          <w:color w:val="auto"/>
          <w:sz w:val="24"/>
          <w:szCs w:val="24"/>
          <w:highlight w:val="none"/>
        </w:rPr>
        <w:t>的信用记录若存在受到罚款的行政处罚且未显示具体数额时，应提供行政处罚决定书或书面说明其罚款数额。</w:t>
      </w:r>
    </w:p>
    <w:p>
      <w:pPr>
        <w:pStyle w:val="22"/>
        <w:spacing w:before="75" w:beforeAutospacing="0" w:after="75" w:afterAutospacing="0" w:line="360" w:lineRule="auto"/>
        <w:jc w:val="left"/>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6</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法定代表人资格证明书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单位名称：</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姓名：        性别：       年龄：         职务：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系</w:t>
      </w:r>
      <w:r>
        <w:rPr>
          <w:rStyle w:val="29"/>
          <w:rFonts w:hint="eastAsia" w:cs="宋体"/>
          <w:b w:val="0"/>
          <w:bCs/>
          <w:color w:val="auto"/>
          <w:sz w:val="24"/>
          <w:szCs w:val="24"/>
          <w:highlight w:val="none"/>
          <w:u w:val="single"/>
        </w:rPr>
        <w:t xml:space="preserve">             （单位）</w:t>
      </w:r>
      <w:r>
        <w:rPr>
          <w:rStyle w:val="29"/>
          <w:rFonts w:hint="eastAsia" w:cs="宋体"/>
          <w:b w:val="0"/>
          <w:bCs/>
          <w:color w:val="auto"/>
          <w:sz w:val="24"/>
          <w:szCs w:val="24"/>
          <w:highlight w:val="none"/>
        </w:rPr>
        <w:t>的法定代表人。为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的项目，签署上述项目的</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、进行合同谈判、签署合同和处理与之有关的一切事务。</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特此证明。</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法定代表人身份证复印件或扫描件（正、反两面）</w:t>
            </w:r>
          </w:p>
        </w:tc>
      </w:tr>
    </w:tbl>
    <w:p>
      <w:pPr>
        <w:pStyle w:val="22"/>
        <w:spacing w:before="75" w:beforeAutospacing="0" w:after="75" w:afterAutospacing="0" w:line="360" w:lineRule="auto"/>
        <w:jc w:val="center"/>
        <w:rPr>
          <w:rStyle w:val="29"/>
          <w:rFonts w:hint="eastAsia" w:cs="宋体"/>
          <w:color w:val="auto"/>
          <w:sz w:val="24"/>
          <w:szCs w:val="24"/>
          <w:highlight w:val="none"/>
        </w:rPr>
      </w:pPr>
      <w:r>
        <w:rPr>
          <w:rStyle w:val="29"/>
          <w:rFonts w:hint="eastAsia" w:cs="宋体"/>
          <w:b w:val="0"/>
          <w:bCs/>
          <w:color w:val="auto"/>
          <w:sz w:val="24"/>
          <w:szCs w:val="24"/>
          <w:highlight w:val="none"/>
        </w:rPr>
        <w:t>注：法定代表人身份证复印件或扫描件应反映出证件有效期等所载内容。</w:t>
      </w:r>
    </w:p>
    <w:p>
      <w:pPr>
        <w:pStyle w:val="22"/>
        <w:spacing w:before="75" w:beforeAutospacing="0" w:after="75" w:afterAutospacing="0" w:line="360" w:lineRule="auto"/>
        <w:jc w:val="center"/>
        <w:rPr>
          <w:rStyle w:val="29"/>
          <w:rFonts w:hint="eastAsia" w:cs="宋体"/>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 </w:t>
      </w: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7</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法定代表人授权书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本授权委托书声明：我</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（姓名）系</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名称）的法定代表人，现授权委托</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（姓名），其身份证号为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为我</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代理人，以本</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的名义参加</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 项目名称）的评标活动。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代理人在递交</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、评标、合同谈判过程中所签署的一切文件和处理与之有关的一切事务，我均予以承认。</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本授权委托书期限自</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日起至</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日止。</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委托代理人无转委权</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特此委托。</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            性别：           年龄：</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              部门：           职务：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委托代理人身份证复印件或扫描件（正、反两面）</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注：委托代理人身份证复印件或扫描件应反映出证件有效期等所载内容。</w:t>
      </w:r>
    </w:p>
    <w:p>
      <w:pPr>
        <w:numPr>
          <w:ilvl w:val="0"/>
          <w:numId w:val="0"/>
        </w:numPr>
        <w:spacing w:line="360" w:lineRule="auto"/>
        <w:ind w:firstLine="3373" w:firstLineChars="1200"/>
        <w:jc w:val="both"/>
        <w:rPr>
          <w:rFonts w:hint="eastAsia" w:ascii="宋体" w:hAnsi="宋体" w:eastAsia="宋体" w:cs="宋体"/>
          <w:b/>
          <w:color w:val="auto"/>
          <w:kern w:val="0"/>
          <w:sz w:val="28"/>
          <w:szCs w:val="28"/>
          <w:highlight w:val="none"/>
          <w:lang w:eastAsia="zh-CN"/>
        </w:rPr>
      </w:pP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①三证合一营业执照（副本）或事业单位法人证书（副本）复印件；</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②</w:t>
      </w:r>
      <w:r>
        <w:rPr>
          <w:rStyle w:val="29"/>
          <w:rFonts w:cs="宋体"/>
          <w:b w:val="0"/>
          <w:bCs/>
          <w:color w:val="auto"/>
          <w:sz w:val="24"/>
          <w:szCs w:val="24"/>
          <w:highlight w:val="none"/>
        </w:rPr>
        <w:t>提供</w:t>
      </w:r>
      <w:r>
        <w:rPr>
          <w:rStyle w:val="29"/>
          <w:rFonts w:hint="eastAsia" w:cs="宋体"/>
          <w:b w:val="0"/>
          <w:bCs/>
          <w:color w:val="auto"/>
          <w:sz w:val="24"/>
          <w:szCs w:val="24"/>
          <w:highlight w:val="none"/>
          <w:lang w:eastAsia="zh-CN"/>
        </w:rPr>
        <w:t>近</w:t>
      </w:r>
      <w:r>
        <w:rPr>
          <w:rStyle w:val="29"/>
          <w:rFonts w:cs="宋体"/>
          <w:b w:val="0"/>
          <w:bCs/>
          <w:color w:val="auto"/>
          <w:sz w:val="24"/>
          <w:szCs w:val="24"/>
          <w:highlight w:val="none"/>
        </w:rPr>
        <w:t>三个月任意一个月</w:t>
      </w:r>
      <w:r>
        <w:rPr>
          <w:rStyle w:val="29"/>
          <w:rFonts w:hint="eastAsia" w:cs="宋体"/>
          <w:b w:val="0"/>
          <w:bCs/>
          <w:color w:val="auto"/>
          <w:sz w:val="24"/>
          <w:szCs w:val="24"/>
          <w:highlight w:val="none"/>
        </w:rPr>
        <w:t>依法缴纳税收和社会保障资金的良好记录的证明材料（附复印件）；</w:t>
      </w:r>
    </w:p>
    <w:p>
      <w:pPr>
        <w:pStyle w:val="22"/>
        <w:spacing w:before="75" w:beforeAutospacing="0" w:after="75" w:afterAutospacing="0" w:line="360" w:lineRule="auto"/>
        <w:ind w:firstLine="482" w:firstLineChars="200"/>
        <w:rPr>
          <w:rStyle w:val="29"/>
          <w:rFonts w:cs="宋体"/>
          <w:b w:val="0"/>
          <w:bCs/>
          <w:color w:val="auto"/>
          <w:sz w:val="24"/>
          <w:szCs w:val="24"/>
          <w:highlight w:val="none"/>
        </w:rPr>
      </w:pPr>
      <w:r>
        <w:rPr>
          <w:rStyle w:val="29"/>
          <w:rFonts w:hint="eastAsia" w:cs="宋体"/>
          <w:color w:val="auto"/>
          <w:sz w:val="24"/>
          <w:szCs w:val="24"/>
          <w:highlight w:val="none"/>
        </w:rPr>
        <w:t>③</w:t>
      </w:r>
      <w:r>
        <w:rPr>
          <w:rStyle w:val="29"/>
          <w:rFonts w:hint="eastAsia" w:cs="宋体"/>
          <w:b w:val="0"/>
          <w:bCs/>
          <w:color w:val="auto"/>
          <w:sz w:val="24"/>
          <w:szCs w:val="24"/>
          <w:highlight w:val="none"/>
          <w:lang w:val="en-US" w:eastAsia="zh-CN"/>
        </w:rPr>
        <w:t>提供</w:t>
      </w:r>
      <w:r>
        <w:rPr>
          <w:rStyle w:val="29"/>
          <w:rFonts w:hint="eastAsia" w:cs="宋体"/>
          <w:b w:val="0"/>
          <w:bCs/>
          <w:color w:val="auto"/>
          <w:sz w:val="24"/>
          <w:szCs w:val="24"/>
          <w:highlight w:val="none"/>
          <w:u w:val="single"/>
          <w:lang w:val="en-US" w:eastAsia="zh-CN"/>
        </w:rPr>
        <w:t>（2021年度或2022年度）经审计财务会计报告</w:t>
      </w:r>
      <w:r>
        <w:rPr>
          <w:rStyle w:val="29"/>
          <w:rFonts w:hint="eastAsia" w:cs="宋体"/>
          <w:b w:val="0"/>
          <w:bCs/>
          <w:color w:val="auto"/>
          <w:sz w:val="24"/>
          <w:szCs w:val="24"/>
          <w:highlight w:val="none"/>
          <w:lang w:val="en-US" w:eastAsia="zh-CN"/>
        </w:rPr>
        <w:t>（至少包括资产负债表、损益表、利润表、现金流量表，新成立的公司提供情况说明</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企业财务报表</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基本开户银行出具的资信证明</w:t>
      </w:r>
      <w:r>
        <w:rPr>
          <w:rStyle w:val="29"/>
          <w:rFonts w:hint="eastAsia"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Hans"/>
        </w:rPr>
        <w:t>④</w:t>
      </w:r>
      <w:r>
        <w:rPr>
          <w:rStyle w:val="29"/>
          <w:rFonts w:hint="eastAsia" w:cs="宋体"/>
          <w:b w:val="0"/>
          <w:bCs/>
          <w:color w:val="auto"/>
          <w:sz w:val="24"/>
          <w:szCs w:val="24"/>
          <w:highlight w:val="none"/>
        </w:rPr>
        <w:t>法律、行政法规、本采购文件规定的其他条件。</w:t>
      </w:r>
    </w:p>
    <w:p>
      <w:pPr>
        <w:pStyle w:val="22"/>
        <w:spacing w:before="75" w:beforeAutospacing="0" w:after="75" w:afterAutospacing="0" w:line="360" w:lineRule="auto"/>
        <w:rPr>
          <w:rFonts w:hint="eastAsia" w:ascii="宋体" w:hAnsi="宋体" w:eastAsia="宋体" w:cs="宋体"/>
          <w:b w:val="0"/>
          <w:bCs w:val="0"/>
          <w:color w:val="auto"/>
          <w:sz w:val="24"/>
          <w:highlight w:val="none"/>
          <w:lang w:eastAsia="zh-CN"/>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w:t>
      </w:r>
      <w:bookmarkStart w:id="182" w:name="OLE_LINK8"/>
      <w:r>
        <w:rPr>
          <w:rFonts w:hint="eastAsia" w:ascii="宋体" w:hAnsi="宋体" w:eastAsia="宋体" w:cs="宋体"/>
          <w:color w:val="auto"/>
          <w:sz w:val="28"/>
          <w:szCs w:val="28"/>
          <w:highlight w:val="none"/>
        </w:rPr>
        <w:t>或</w:t>
      </w:r>
      <w:bookmarkEnd w:id="182"/>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）响应函</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克拉玛依市克拉玛依区人民政府胜利路街道办事处</w:t>
      </w:r>
      <w:r>
        <w:rPr>
          <w:rStyle w:val="29"/>
          <w:rFonts w:hint="eastAsia" w:ascii="宋体" w:hAnsi="宋体" w:eastAsia="宋体" w:cs="宋体"/>
          <w:b w:val="0"/>
          <w:bCs/>
          <w:color w:val="auto"/>
          <w:sz w:val="24"/>
          <w:szCs w:val="24"/>
          <w:highlight w:val="none"/>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我方全面研究了 “</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”项目</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（文件编号：</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），决定参加本项目。我方授权</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（姓名、职务）代表我方</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w:t>
      </w:r>
      <w:r>
        <w:rPr>
          <w:rStyle w:val="29"/>
          <w:rFonts w:hint="eastAsia" w:eastAsia="宋体"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的名称）全权处理本项目评标的有关事宜。</w:t>
      </w:r>
    </w:p>
    <w:p>
      <w:pPr>
        <w:pStyle w:val="56"/>
        <w:spacing w:line="360" w:lineRule="auto"/>
        <w:ind w:firstLine="480"/>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1、我方自愿按照</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规定的各项要求向</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rPr>
        <w:t>商务报价为</w:t>
      </w:r>
      <w:r>
        <w:rPr>
          <w:rFonts w:hint="eastAsia" w:ascii="宋体" w:hAnsi="宋体" w:cs="宋体"/>
          <w:color w:val="auto"/>
          <w:sz w:val="24"/>
          <w:highlight w:val="none"/>
          <w:lang w:eastAsia="zh-CN"/>
        </w:rPr>
        <w:t>单价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/人/天</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Style w:val="29"/>
          <w:rFonts w:hint="eastAsia" w:ascii="宋体" w:hAnsi="宋体" w:eastAsia="宋体"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2、若我方</w:t>
      </w:r>
      <w:r>
        <w:rPr>
          <w:rStyle w:val="29"/>
          <w:rFonts w:hint="eastAsia" w:eastAsia="宋体" w:cs="宋体"/>
          <w:b w:val="0"/>
          <w:bCs/>
          <w:color w:val="auto"/>
          <w:sz w:val="24"/>
          <w:szCs w:val="24"/>
          <w:highlight w:val="none"/>
          <w:lang w:eastAsia="zh-CN"/>
        </w:rPr>
        <w:t>成交</w:t>
      </w:r>
      <w:r>
        <w:rPr>
          <w:rStyle w:val="29"/>
          <w:rFonts w:hint="eastAsia" w:ascii="宋体" w:hAnsi="宋体" w:eastAsia="宋体" w:cs="宋体"/>
          <w:b w:val="0"/>
          <w:bCs/>
          <w:color w:val="auto"/>
          <w:sz w:val="24"/>
          <w:szCs w:val="24"/>
          <w:highlight w:val="none"/>
        </w:rPr>
        <w:t>，我方将严格履行合同规定的责任和义务，保证按</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要求及我方承诺完成应尽义务，并交付</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验收、使用。</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 xml:space="preserve">3、其投标自递交响应文件截止之日起有效期为 </w:t>
      </w:r>
      <w:r>
        <w:rPr>
          <w:rStyle w:val="29"/>
          <w:rFonts w:hint="eastAsia" w:ascii="宋体" w:hAnsi="宋体" w:eastAsia="宋体" w:cs="宋体"/>
          <w:b w:val="0"/>
          <w:bCs/>
          <w:color w:val="auto"/>
          <w:sz w:val="24"/>
          <w:szCs w:val="24"/>
          <w:highlight w:val="none"/>
          <w:u w:val="single"/>
        </w:rPr>
        <w:t xml:space="preserve">90 </w:t>
      </w:r>
      <w:r>
        <w:rPr>
          <w:rStyle w:val="29"/>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29"/>
          <w:rFonts w:hint="eastAsia" w:ascii="宋体" w:hAnsi="宋体" w:eastAsia="宋体" w:cs="宋体"/>
          <w:b w:val="0"/>
          <w:bCs/>
          <w:color w:val="auto"/>
          <w:sz w:val="24"/>
          <w:szCs w:val="24"/>
          <w:highlight w:val="none"/>
          <w:lang w:eastAsia="zh-CN"/>
        </w:rPr>
        <w:t>采购</w:t>
      </w:r>
      <w:r>
        <w:rPr>
          <w:rStyle w:val="29"/>
          <w:rFonts w:hint="eastAsia" w:ascii="宋体" w:hAnsi="宋体" w:eastAsia="宋体" w:cs="宋体"/>
          <w:b w:val="0"/>
          <w:bCs/>
          <w:color w:val="auto"/>
          <w:sz w:val="24"/>
          <w:szCs w:val="24"/>
          <w:highlight w:val="none"/>
        </w:rPr>
        <w:t>文件的规定履行合同责任和义务。</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5、我方愿意提供采购人可能另外要求的，与</w:t>
      </w:r>
      <w:r>
        <w:rPr>
          <w:rFonts w:hint="eastAsia" w:asciiTheme="minorEastAsia" w:hAnsiTheme="minorEastAsia" w:eastAsiaTheme="minorEastAsia" w:cstheme="minorEastAsia"/>
          <w:b w:val="0"/>
          <w:bCs/>
          <w:color w:val="auto"/>
          <w:highlight w:val="none"/>
          <w:lang w:eastAsia="zh-CN"/>
        </w:rPr>
        <w:t>采购</w:t>
      </w:r>
      <w:r>
        <w:rPr>
          <w:rFonts w:hint="eastAsia" w:asciiTheme="minorEastAsia" w:hAnsiTheme="minorEastAsia" w:eastAsiaTheme="minorEastAsia" w:cstheme="minorEastAsia"/>
          <w:b w:val="0"/>
          <w:bCs/>
          <w:color w:val="auto"/>
          <w:highlight w:val="none"/>
        </w:rPr>
        <w:t>有关的文件资料，并保证我方已提供和将要提供的文件资料是真实、准确的。</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6、我方完全理解采购人不一定将合同授予最低报价的供应商的行为。</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        （盖章）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通讯地址：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邮政编码：</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联系电话：</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传    真：</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    期：    年  月  日</w:t>
      </w: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eastAsia="宋体" w:cs="宋体"/>
          <w:color w:val="auto"/>
          <w:sz w:val="28"/>
          <w:szCs w:val="28"/>
          <w:highlight w:val="none"/>
          <w:lang w:eastAsia="zh-CN"/>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商务报价一览表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eastAsia="zh-CN"/>
        </w:rPr>
        <w:t>供应商</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pPr w:leftFromText="180" w:rightFromText="180" w:vertAnchor="text" w:horzAnchor="page" w:tblpX="1173" w:tblpY="468"/>
        <w:tblOverlap w:val="never"/>
        <w:tblW w:w="997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6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3841" w:type="dxa"/>
            <w:tcBorders>
              <w:top w:val="double" w:color="auto" w:sz="4" w:space="0"/>
              <w:bottom w:val="single" w:color="auto" w:sz="4" w:space="0"/>
            </w:tcBorders>
            <w:vAlign w:val="center"/>
          </w:tcPr>
          <w:p>
            <w:pPr>
              <w:tabs>
                <w:tab w:val="left" w:pos="630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135" w:type="dxa"/>
            <w:tcBorders>
              <w:top w:val="double" w:color="auto" w:sz="4" w:space="0"/>
              <w:bottom w:val="single" w:color="auto" w:sz="4" w:space="0"/>
            </w:tcBorders>
            <w:vAlign w:val="center"/>
          </w:tcPr>
          <w:p>
            <w:pPr>
              <w:tabs>
                <w:tab w:val="left" w:pos="630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单价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元/人/天</w:t>
            </w:r>
            <w:r>
              <w:rPr>
                <w:rFonts w:hint="eastAsia" w:ascii="宋体" w:hAnsi="宋体" w:cs="宋体"/>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ascii="宋体" w:hAnsi="宋体" w:cs="宋体"/>
                <w:color w:val="auto"/>
                <w:sz w:val="24"/>
                <w:highlight w:val="none"/>
              </w:rPr>
            </w:pPr>
            <w:r>
              <w:rPr>
                <w:rFonts w:ascii="宋体" w:hAnsi="宋体" w:cs="宋体"/>
                <w:color w:val="auto"/>
                <w:sz w:val="24"/>
                <w:highlight w:val="none"/>
              </w:rPr>
              <w:t>克拉玛依市克拉玛依区人民政府胜利路街道办事处食堂外包服务</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p>
            <w:pPr>
              <w:tabs>
                <w:tab w:val="left" w:pos="6300"/>
              </w:tabs>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服务期限</w:t>
            </w:r>
          </w:p>
        </w:tc>
        <w:tc>
          <w:tcPr>
            <w:tcW w:w="6135" w:type="dxa"/>
            <w:tcBorders>
              <w:top w:val="single" w:color="auto" w:sz="4" w:space="0"/>
              <w:bottom w:val="single" w:color="auto" w:sz="4" w:space="0"/>
            </w:tcBorders>
            <w:vAlign w:val="center"/>
          </w:tcPr>
          <w:p>
            <w:pPr>
              <w:pStyle w:val="56"/>
              <w:numPr>
                <w:ilvl w:val="0"/>
                <w:numId w:val="0"/>
              </w:numPr>
              <w:spacing w:line="460" w:lineRule="exact"/>
              <w:rPr>
                <w:rFonts w:asciiTheme="minorEastAsia" w:hAnsiTheme="minorEastAsia" w:eastAsiaTheme="minorEastAsia" w:cstheme="minorEastAsia"/>
                <w:color w:val="auto"/>
                <w:sz w:val="24"/>
                <w:highlight w:val="none"/>
              </w:rPr>
            </w:pPr>
            <w:r>
              <w:rPr>
                <w:rFonts w:hint="eastAsia"/>
                <w:b w:val="0"/>
                <w:bCs w:val="0"/>
                <w:color w:val="auto"/>
                <w:sz w:val="24"/>
                <w:szCs w:val="24"/>
                <w:lang w:val="en-US" w:eastAsia="zh-CN"/>
              </w:rPr>
              <w:t>自合同签订之日起一年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cs="宋体"/>
                <w:color w:val="auto"/>
                <w:sz w:val="24"/>
                <w:szCs w:val="24"/>
                <w:lang w:eastAsia="zh-CN"/>
              </w:rPr>
            </w:pPr>
          </w:p>
        </w:tc>
      </w:tr>
    </w:tbl>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 人民币</w:t>
      </w:r>
      <w:r>
        <w:rPr>
          <w:rFonts w:hint="eastAsia" w:hAnsi="宋体" w:cs="宋体"/>
          <w:color w:val="auto"/>
          <w:sz w:val="24"/>
          <w:highlight w:val="none"/>
        </w:rPr>
        <w:t>/</w:t>
      </w:r>
      <w:r>
        <w:rPr>
          <w:rFonts w:hint="eastAsia" w:ascii="宋体" w:hAnsi="宋体" w:cs="宋体"/>
          <w:color w:val="auto"/>
          <w:sz w:val="24"/>
          <w:highlight w:val="none"/>
        </w:rPr>
        <w:t>元</w:t>
      </w:r>
    </w:p>
    <w:p>
      <w:pPr>
        <w:tabs>
          <w:tab w:val="left" w:pos="6300"/>
        </w:tabs>
        <w:snapToGrid w:val="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1、价格应按“</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文件”中规定的货币单位填写。</w:t>
      </w:r>
    </w:p>
    <w:p>
      <w:pPr>
        <w:numPr>
          <w:ilvl w:val="0"/>
          <w:numId w:val="5"/>
        </w:numPr>
        <w:tabs>
          <w:tab w:val="left" w:pos="6300"/>
        </w:tabs>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服务期限</w:t>
      </w:r>
      <w:r>
        <w:rPr>
          <w:rFonts w:hint="eastAsia" w:ascii="宋体" w:hAnsi="宋体" w:cs="宋体"/>
          <w:color w:val="auto"/>
          <w:sz w:val="24"/>
          <w:highlight w:val="none"/>
        </w:rPr>
        <w:t>”指合同生效之日起，多少个</w:t>
      </w:r>
      <w:r>
        <w:rPr>
          <w:rFonts w:hint="eastAsia" w:hAnsi="宋体" w:cs="宋体"/>
          <w:color w:val="auto"/>
          <w:sz w:val="24"/>
          <w:highlight w:val="none"/>
        </w:rPr>
        <w:t>工作日</w:t>
      </w:r>
      <w:r>
        <w:rPr>
          <w:rFonts w:hint="eastAsia" w:ascii="宋体" w:hAnsi="宋体" w:cs="宋体"/>
          <w:color w:val="auto"/>
          <w:sz w:val="24"/>
          <w:highlight w:val="none"/>
        </w:rPr>
        <w:t>完成合同规定的全部要求。</w:t>
      </w:r>
    </w:p>
    <w:p>
      <w:pPr>
        <w:tabs>
          <w:tab w:val="left" w:pos="6300"/>
        </w:tabs>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3、供应商如果需要对报价或其它内容加以说明，可在备注栏填写。</w:t>
      </w:r>
    </w:p>
    <w:p>
      <w:pPr>
        <w:tabs>
          <w:tab w:val="left" w:pos="6300"/>
        </w:tabs>
        <w:snapToGrid w:val="0"/>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cs="宋体"/>
          <w:b/>
          <w:bCs/>
          <w:color w:val="auto"/>
          <w:kern w:val="2"/>
          <w:sz w:val="24"/>
          <w:szCs w:val="24"/>
          <w:highlight w:val="none"/>
          <w:lang w:val="en-US" w:eastAsia="zh-CN"/>
        </w:rPr>
        <w:t>单价控制价为30元/人/天,供应商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单价</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项目单价控制价</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default" w:cs="宋体"/>
          <w:b/>
          <w:bCs/>
          <w:color w:val="auto"/>
          <w:kern w:val="2"/>
          <w:sz w:val="24"/>
          <w:szCs w:val="24"/>
          <w:highlight w:val="none"/>
        </w:rPr>
        <w:t>响应文件</w:t>
      </w:r>
      <w:r>
        <w:rPr>
          <w:rFonts w:hint="eastAsia" w:cs="宋体"/>
          <w:b/>
          <w:bCs/>
          <w:color w:val="auto"/>
          <w:kern w:val="2"/>
          <w:sz w:val="24"/>
          <w:szCs w:val="24"/>
          <w:highlight w:val="none"/>
        </w:rPr>
        <w:t>作无效响应处理。</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color w:val="auto"/>
          <w:sz w:val="28"/>
          <w:szCs w:val="28"/>
          <w:highlight w:val="none"/>
        </w:rPr>
      </w:pPr>
      <w:r>
        <w:rPr>
          <w:rStyle w:val="29"/>
          <w:rFonts w:hint="eastAsia" w:cs="宋体"/>
          <w:b w:val="0"/>
          <w:bCs/>
          <w:color w:val="auto"/>
          <w:sz w:val="24"/>
          <w:szCs w:val="24"/>
          <w:highlight w:val="none"/>
        </w:rPr>
        <w:t>日    期： 年  月  日</w:t>
      </w:r>
    </w:p>
    <w:p>
      <w:pPr>
        <w:spacing w:line="360" w:lineRule="auto"/>
        <w:jc w:val="center"/>
        <w:rPr>
          <w:rFonts w:hint="eastAsia" w:ascii="宋体" w:hAnsi="宋体" w:cs="宋体"/>
          <w:b/>
          <w:color w:val="auto"/>
          <w:sz w:val="28"/>
          <w:szCs w:val="28"/>
          <w:highlight w:val="none"/>
          <w:lang w:eastAsia="zh-CN"/>
        </w:rPr>
      </w:pPr>
    </w:p>
    <w:p>
      <w:pPr>
        <w:spacing w:line="360" w:lineRule="auto"/>
        <w:jc w:val="center"/>
        <w:rPr>
          <w:rFonts w:hint="eastAsia" w:ascii="宋体" w:hAnsi="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rPr>
      </w:pPr>
      <w:bookmarkStart w:id="184" w:name="_GoBack"/>
      <w:bookmarkEnd w:id="184"/>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ascii="宋体" w:hAnsi="宋体" w:eastAsia="宋体" w:cs="宋体"/>
          <w:color w:val="auto"/>
          <w:sz w:val="28"/>
          <w:szCs w:val="28"/>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2"/>
        <w:rPr>
          <w:rFonts w:hint="eastAsia" w:ascii="宋体" w:hAnsi="宋体" w:eastAsia="宋体" w:cs="宋体"/>
          <w:color w:val="auto"/>
          <w:sz w:val="84"/>
          <w:szCs w:val="84"/>
          <w:highlight w:val="none"/>
        </w:rPr>
      </w:pPr>
    </w:p>
    <w:p>
      <w:pPr>
        <w:rPr>
          <w:rFonts w:hint="eastAsia"/>
          <w:color w:val="auto"/>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）供应商</w:t>
      </w:r>
      <w:r>
        <w:rPr>
          <w:rStyle w:val="29"/>
          <w:rFonts w:hint="eastAsia" w:cs="宋体"/>
          <w:color w:val="auto"/>
          <w:sz w:val="28"/>
          <w:szCs w:val="28"/>
          <w:highlight w:val="none"/>
        </w:rPr>
        <w:t>资格声明</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地 址</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主管部门</w:t>
            </w: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w:t>
            </w:r>
          </w:p>
        </w:tc>
        <w:tc>
          <w:tcPr>
            <w:tcW w:w="1635"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职 务</w:t>
            </w: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注册时间</w:t>
            </w:r>
          </w:p>
        </w:tc>
        <w:tc>
          <w:tcPr>
            <w:tcW w:w="2929"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经济类型</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营业执照号</w:t>
            </w:r>
          </w:p>
        </w:tc>
        <w:tc>
          <w:tcPr>
            <w:tcW w:w="4739"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近三年内（20</w:t>
            </w:r>
            <w:r>
              <w:rPr>
                <w:rStyle w:val="29"/>
                <w:rFonts w:hint="eastAsia" w:cs="宋体"/>
                <w:b w:val="0"/>
                <w:bCs/>
                <w:color w:val="auto"/>
                <w:sz w:val="24"/>
                <w:szCs w:val="24"/>
                <w:highlight w:val="none"/>
                <w:lang w:val="en-US" w:eastAsia="zh-CN"/>
              </w:rPr>
              <w:t>20</w:t>
            </w:r>
            <w:r>
              <w:rPr>
                <w:rStyle w:val="29"/>
                <w:rFonts w:hint="eastAsia" w:cs="宋体"/>
                <w:b w:val="0"/>
                <w:bCs/>
                <w:color w:val="auto"/>
                <w:sz w:val="24"/>
                <w:szCs w:val="24"/>
                <w:highlight w:val="none"/>
              </w:rPr>
              <w:t>年至今）在经营活动中有无重大违法纪录</w:t>
            </w:r>
          </w:p>
        </w:tc>
        <w:tc>
          <w:tcPr>
            <w:tcW w:w="4739"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是否依法缴纳税收</w:t>
            </w:r>
          </w:p>
        </w:tc>
        <w:tc>
          <w:tcPr>
            <w:tcW w:w="2929"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是否依法缴纳社会保障资金</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单</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位</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概</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况</w:t>
            </w: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注册资本</w:t>
            </w: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万元</w:t>
            </w: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占地面积</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职工总数</w:t>
            </w: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人</w:t>
            </w: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建筑面积</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restart"/>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资产</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情况</w:t>
            </w:r>
          </w:p>
        </w:tc>
        <w:tc>
          <w:tcPr>
            <w:tcW w:w="3184" w:type="dxa"/>
            <w:gridSpan w:val="2"/>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净资产：        万元</w:t>
            </w:r>
          </w:p>
        </w:tc>
        <w:tc>
          <w:tcPr>
            <w:tcW w:w="3104" w:type="dxa"/>
            <w:gridSpan w:val="2"/>
            <w:vMerge w:val="restart"/>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固定资产原值：      万元</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3184" w:type="dxa"/>
            <w:gridSpan w:val="2"/>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负 债：         万元</w:t>
            </w:r>
          </w:p>
        </w:tc>
        <w:tc>
          <w:tcPr>
            <w:tcW w:w="3104" w:type="dxa"/>
            <w:gridSpan w:val="2"/>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财务状况</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（最近三年20</w:t>
            </w:r>
            <w:r>
              <w:rPr>
                <w:rStyle w:val="29"/>
                <w:rFonts w:hint="eastAsia" w:cs="宋体"/>
                <w:b w:val="0"/>
                <w:bCs/>
                <w:color w:val="auto"/>
                <w:sz w:val="24"/>
                <w:szCs w:val="24"/>
                <w:highlight w:val="none"/>
                <w:lang w:val="en-US" w:eastAsia="zh-CN"/>
              </w:rPr>
              <w:t>20</w:t>
            </w:r>
            <w:r>
              <w:rPr>
                <w:rStyle w:val="29"/>
                <w:rFonts w:hint="eastAsia" w:cs="宋体"/>
                <w:b w:val="0"/>
                <w:bCs/>
                <w:color w:val="auto"/>
                <w:sz w:val="24"/>
                <w:szCs w:val="24"/>
                <w:highlight w:val="none"/>
              </w:rPr>
              <w:t>年至202</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rPr>
              <w:t>）</w:t>
            </w:r>
          </w:p>
        </w:tc>
        <w:tc>
          <w:tcPr>
            <w:tcW w:w="1380"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549"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主营收入</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35"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收入总额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49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利润总额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0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净利润</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经营范围</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我们保证上述声明中的资料和数据是真实的、正确的，我们同意如贵方要求，可以出示相关证明文件。</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2"/>
        <w:spacing w:before="75" w:beforeAutospacing="0" w:after="75" w:afterAutospacing="0" w:line="360" w:lineRule="auto"/>
        <w:rPr>
          <w:rStyle w:val="29"/>
          <w:rFonts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餐饮</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2"/>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p>
    <w:p>
      <w:pPr>
        <w:tabs>
          <w:tab w:val="left" w:pos="6300"/>
        </w:tabs>
        <w:snapToGrid w:val="0"/>
        <w:spacing w:line="360" w:lineRule="auto"/>
        <w:rPr>
          <w:rStyle w:val="29"/>
          <w:rFonts w:ascii="宋体" w:hAnsi="宋体" w:cs="宋体"/>
          <w:b w:val="0"/>
          <w:bCs/>
          <w:color w:val="auto"/>
          <w:sz w:val="24"/>
          <w:highlight w:val="none"/>
        </w:rPr>
        <w:sectPr>
          <w:headerReference r:id="rId8" w:type="default"/>
          <w:footerReference r:id="rId9" w:type="default"/>
          <w:pgSz w:w="11907" w:h="16840"/>
          <w:pgMar w:top="720" w:right="720" w:bottom="720" w:left="720" w:header="964" w:footer="992" w:gutter="0"/>
          <w:cols w:space="720" w:num="1"/>
          <w:docGrid w:linePitch="354" w:charSpace="0"/>
        </w:sectPr>
      </w:pPr>
    </w:p>
    <w:p>
      <w:pPr>
        <w:pStyle w:val="22"/>
        <w:spacing w:before="75" w:beforeAutospacing="0" w:after="75" w:afterAutospacing="0" w:line="360" w:lineRule="auto"/>
        <w:jc w:val="center"/>
        <w:rPr>
          <w:rStyle w:val="29"/>
          <w:rFonts w:hint="eastAsia" w:cs="宋体"/>
          <w:b/>
          <w:bCs w:val="0"/>
          <w:color w:val="auto"/>
          <w:sz w:val="28"/>
          <w:szCs w:val="28"/>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4</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近三年（自20</w:t>
      </w:r>
      <w:r>
        <w:rPr>
          <w:rStyle w:val="29"/>
          <w:rFonts w:hint="eastAsia" w:cs="宋体"/>
          <w:b/>
          <w:bCs w:val="0"/>
          <w:color w:val="auto"/>
          <w:sz w:val="28"/>
          <w:szCs w:val="28"/>
          <w:highlight w:val="none"/>
          <w:lang w:val="en-US" w:eastAsia="zh-CN"/>
        </w:rPr>
        <w:t>20</w:t>
      </w:r>
      <w:r>
        <w:rPr>
          <w:rStyle w:val="29"/>
          <w:rFonts w:hint="eastAsia" w:cs="宋体"/>
          <w:b/>
          <w:bCs w:val="0"/>
          <w:color w:val="auto"/>
          <w:sz w:val="28"/>
          <w:szCs w:val="28"/>
          <w:highlight w:val="none"/>
        </w:rPr>
        <w:t>年1月1日至今）</w:t>
      </w:r>
      <w:r>
        <w:rPr>
          <w:rStyle w:val="29"/>
          <w:rFonts w:hint="eastAsia" w:cs="宋体"/>
          <w:b/>
          <w:bCs w:val="0"/>
          <w:color w:val="auto"/>
          <w:sz w:val="28"/>
          <w:szCs w:val="28"/>
          <w:highlight w:val="none"/>
          <w:lang w:eastAsia="zh-CN"/>
        </w:rPr>
        <w:t>类似</w:t>
      </w:r>
      <w:r>
        <w:rPr>
          <w:rStyle w:val="29"/>
          <w:rFonts w:hint="eastAsia" w:cs="宋体"/>
          <w:b/>
          <w:bCs w:val="0"/>
          <w:color w:val="auto"/>
          <w:sz w:val="28"/>
          <w:szCs w:val="28"/>
          <w:highlight w:val="none"/>
        </w:rPr>
        <w:t>项目业绩表</w:t>
      </w:r>
    </w:p>
    <w:tbl>
      <w:tblPr>
        <w:tblStyle w:val="26"/>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30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项目名称</w:t>
            </w:r>
          </w:p>
        </w:tc>
        <w:tc>
          <w:tcPr>
            <w:tcW w:w="1496"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用户名称</w:t>
            </w:r>
          </w:p>
        </w:tc>
        <w:tc>
          <w:tcPr>
            <w:tcW w:w="131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完成时间</w:t>
            </w:r>
          </w:p>
        </w:tc>
        <w:tc>
          <w:tcPr>
            <w:tcW w:w="1428"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合同金额</w:t>
            </w:r>
          </w:p>
        </w:tc>
        <w:tc>
          <w:tcPr>
            <w:tcW w:w="1842" w:type="dxa"/>
            <w:gridSpan w:val="2"/>
            <w:tcBorders>
              <w:right w:val="single" w:color="auto" w:sz="4" w:space="0"/>
            </w:tcBorders>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用户联系电话</w:t>
            </w:r>
          </w:p>
        </w:tc>
        <w:tc>
          <w:tcPr>
            <w:tcW w:w="1351" w:type="dxa"/>
            <w:tcBorders>
              <w:left w:val="single" w:color="auto" w:sz="4" w:space="0"/>
            </w:tcBorders>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（仅限于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自身实施的）以上业绩需提供有关书面证明材料。“合同金额”需提供合同复印件。</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cs="宋体"/>
          <w:b w:val="0"/>
          <w:bCs/>
          <w:color w:val="auto"/>
          <w:sz w:val="24"/>
          <w:szCs w:val="24"/>
          <w:highlight w:val="none"/>
        </w:rPr>
      </w:pPr>
    </w:p>
    <w:tbl>
      <w:tblPr>
        <w:tblStyle w:val="26"/>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225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商务条款</w:t>
            </w:r>
          </w:p>
        </w:tc>
        <w:tc>
          <w:tcPr>
            <w:tcW w:w="2238"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商务条款</w:t>
            </w:r>
          </w:p>
        </w:tc>
        <w:tc>
          <w:tcPr>
            <w:tcW w:w="180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响应/偏离说明</w:t>
            </w: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bl>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5</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商务条款响应偏离表</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default" w:cs="宋体"/>
          <w:b w:val="0"/>
          <w:bCs/>
          <w:color w:val="auto"/>
          <w:sz w:val="24"/>
          <w:szCs w:val="24"/>
          <w:highlight w:val="none"/>
          <w:lang w:val="en-US"/>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2"/>
        <w:numPr>
          <w:ilvl w:val="0"/>
          <w:numId w:val="0"/>
        </w:numPr>
        <w:spacing w:beforeAutospacing="0" w:afterAutospacing="0" w:line="360" w:lineRule="auto"/>
        <w:ind w:left="0" w:leftChars="0"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2"/>
        <w:rPr>
          <w:rFonts w:hint="eastAsia" w:ascii="宋体" w:hAnsi="宋体" w:eastAsia="宋体" w:cs="宋体"/>
          <w:color w:val="auto"/>
          <w:sz w:val="84"/>
          <w:szCs w:val="84"/>
          <w:highlight w:val="none"/>
        </w:rPr>
      </w:pPr>
    </w:p>
    <w:p>
      <w:pPr>
        <w:rPr>
          <w:rFonts w:hint="eastAsia"/>
          <w:color w:val="auto"/>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ind w:firstLine="250" w:firstLineChars="89"/>
        <w:jc w:val="center"/>
        <w:rPr>
          <w:rFonts w:ascii="宋体" w:hAnsi="宋体"/>
          <w:b/>
          <w:color w:val="auto"/>
          <w:sz w:val="21"/>
          <w:szCs w:val="24"/>
          <w:highlight w:val="none"/>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cs="宋体"/>
          <w:b/>
          <w:bCs w:val="0"/>
          <w:color w:val="auto"/>
          <w:sz w:val="28"/>
          <w:szCs w:val="28"/>
          <w:highlight w:val="none"/>
          <w:lang w:val="en-US" w:eastAsia="zh-CN"/>
        </w:rPr>
        <w:t>7</w:t>
      </w:r>
      <w:r>
        <w:rPr>
          <w:rStyle w:val="29"/>
          <w:rFonts w:hint="eastAsia" w:ascii="宋体" w:hAnsi="宋体" w:eastAsia="宋体" w:cs="宋体"/>
          <w:b/>
          <w:bCs w:val="0"/>
          <w:color w:val="auto"/>
          <w:sz w:val="28"/>
          <w:szCs w:val="28"/>
          <w:highlight w:val="none"/>
          <w:lang w:eastAsia="zh-CN"/>
        </w:rPr>
        <w:t>）项目人员配置情况表</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6"/>
        <w:tblW w:w="104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902"/>
        <w:gridCol w:w="919"/>
        <w:gridCol w:w="1575"/>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943" w:type="dxa"/>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29" w:type="dxa"/>
            <w:gridSpan w:val="2"/>
            <w:tcBorders>
              <w:right w:val="single" w:color="auto" w:sz="4" w:space="0"/>
            </w:tcBorders>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6" w:type="dxa"/>
            <w:tcBorders>
              <w:lef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38"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902" w:type="dxa"/>
            <w:tcBorders>
              <w:righ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919" w:type="dxa"/>
            <w:tcBorders>
              <w:lef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所获荣誉/证书</w:t>
            </w:r>
          </w:p>
        </w:tc>
        <w:tc>
          <w:tcPr>
            <w:tcW w:w="1575"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926"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0475" w:type="dxa"/>
            <w:gridSpan w:val="10"/>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43" w:type="dxa"/>
            <w:noWrap w:val="0"/>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9" w:type="dxa"/>
            <w:gridSpan w:val="2"/>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46"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0475" w:type="dxa"/>
            <w:gridSpan w:val="10"/>
            <w:noWrap w:val="0"/>
            <w:vAlign w:val="top"/>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43" w:type="dxa"/>
            <w:noWrap w:val="0"/>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43" w:type="dxa"/>
            <w:noWrap w:val="0"/>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43" w:type="dxa"/>
            <w:noWrap w:val="0"/>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0"/>
              </w:numPr>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0475" w:type="dxa"/>
            <w:gridSpan w:val="10"/>
            <w:noWrap w:val="0"/>
            <w:vAlign w:val="top"/>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三、备选人员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0"/>
              </w:numPr>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0"/>
              </w:numPr>
              <w:spacing w:line="360" w:lineRule="auto"/>
              <w:ind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943" w:type="dxa"/>
            <w:noWrap w:val="0"/>
            <w:vAlign w:val="top"/>
          </w:tcPr>
          <w:p>
            <w:pPr>
              <w:numPr>
                <w:ilvl w:val="0"/>
                <w:numId w:val="0"/>
              </w:numPr>
              <w:spacing w:line="360" w:lineRule="auto"/>
              <w:ind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97"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0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1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575"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6"/>
        <w:numPr>
          <w:ilvl w:val="0"/>
          <w:numId w:val="8"/>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提供拟投入项目人员的职称证（如有）、执业资格证书（如有）等相关资料的扫描件。</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both"/>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8</w:t>
      </w:r>
      <w:r>
        <w:rPr>
          <w:rStyle w:val="29"/>
          <w:rFonts w:hint="eastAsia" w:ascii="宋体" w:hAnsi="宋体" w:eastAsia="宋体" w:cs="宋体"/>
          <w:b/>
          <w:bCs w:val="0"/>
          <w:color w:val="auto"/>
          <w:sz w:val="28"/>
          <w:szCs w:val="28"/>
          <w:highlight w:val="none"/>
          <w:lang w:eastAsia="zh-CN"/>
        </w:rPr>
        <w:t>）项目实施</w:t>
      </w:r>
      <w:r>
        <w:rPr>
          <w:rStyle w:val="29"/>
          <w:rFonts w:hint="eastAsia" w:ascii="宋体" w:hAnsi="宋体" w:eastAsia="宋体" w:cs="宋体"/>
          <w:b/>
          <w:bCs w:val="0"/>
          <w:color w:val="auto"/>
          <w:sz w:val="28"/>
          <w:szCs w:val="28"/>
          <w:highlight w:val="none"/>
        </w:rPr>
        <w:t>方案</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提供本项目的</w:t>
      </w:r>
      <w:r>
        <w:rPr>
          <w:rStyle w:val="29"/>
          <w:rFonts w:hint="eastAsia" w:ascii="宋体" w:hAnsi="宋体" w:eastAsia="宋体" w:cs="宋体"/>
          <w:b w:val="0"/>
          <w:bCs/>
          <w:color w:val="auto"/>
          <w:sz w:val="24"/>
          <w:szCs w:val="24"/>
          <w:highlight w:val="none"/>
          <w:lang w:eastAsia="zh-CN"/>
        </w:rPr>
        <w:t>各类供餐</w:t>
      </w:r>
      <w:r>
        <w:rPr>
          <w:rStyle w:val="29"/>
          <w:rFonts w:hint="eastAsia" w:ascii="宋体" w:hAnsi="宋体" w:eastAsia="宋体" w:cs="宋体"/>
          <w:b w:val="0"/>
          <w:bCs/>
          <w:color w:val="auto"/>
          <w:sz w:val="24"/>
          <w:szCs w:val="24"/>
          <w:highlight w:val="none"/>
        </w:rPr>
        <w:t>服务</w:t>
      </w: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食堂现场制作、线下堂食、餐食供应配送等多样化服务</w:t>
      </w:r>
      <w:r>
        <w:rPr>
          <w:rStyle w:val="29"/>
          <w:rFonts w:hint="eastAsia" w:ascii="宋体" w:hAnsi="宋体" w:eastAsia="宋体" w:cs="宋体"/>
          <w:b w:val="0"/>
          <w:bCs/>
          <w:color w:val="auto"/>
          <w:sz w:val="24"/>
          <w:szCs w:val="24"/>
          <w:highlight w:val="none"/>
          <w:lang w:eastAsia="zh-CN"/>
        </w:rPr>
        <w:t>）</w:t>
      </w:r>
    </w:p>
    <w:p>
      <w:pPr>
        <w:pStyle w:val="22"/>
        <w:numPr>
          <w:ilvl w:val="0"/>
          <w:numId w:val="9"/>
        </w:numPr>
        <w:spacing w:before="75" w:beforeAutospacing="0" w:after="75" w:afterAutospacing="0" w:line="360" w:lineRule="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食堂现场制作</w:t>
      </w:r>
    </w:p>
    <w:p>
      <w:pPr>
        <w:pStyle w:val="22"/>
        <w:numPr>
          <w:ilvl w:val="0"/>
          <w:numId w:val="9"/>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线下堂食</w:t>
      </w:r>
    </w:p>
    <w:p>
      <w:pPr>
        <w:pStyle w:val="22"/>
        <w:numPr>
          <w:ilvl w:val="0"/>
          <w:numId w:val="0"/>
        </w:numPr>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w:t>
      </w:r>
    </w:p>
    <w:p>
      <w:pPr>
        <w:pStyle w:val="22"/>
        <w:numPr>
          <w:ilvl w:val="0"/>
          <w:numId w:val="0"/>
        </w:numPr>
        <w:spacing w:before="75" w:beforeAutospacing="0" w:after="75" w:afterAutospacing="0" w:line="360" w:lineRule="auto"/>
        <w:rPr>
          <w:rStyle w:val="29"/>
          <w:rFonts w:hint="eastAsia" w:cs="宋体"/>
          <w:b w:val="0"/>
          <w:bCs/>
          <w:color w:val="auto"/>
          <w:sz w:val="24"/>
          <w:szCs w:val="24"/>
          <w:highlight w:val="none"/>
          <w:lang w:eastAsia="zh-CN"/>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提供的方案包括但不限于以下内容：</w:t>
      </w:r>
    </w:p>
    <w:p>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1、实施目标、范围和任务；</w:t>
      </w:r>
    </w:p>
    <w:p>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2、实施方案、工作流程、质量保证措施等；</w:t>
      </w:r>
    </w:p>
    <w:p>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3、服务团队组织安排计划；</w:t>
      </w:r>
    </w:p>
    <w:p>
      <w:pPr>
        <w:widowControl/>
        <w:spacing w:line="36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4、关键节点控制措施</w:t>
      </w:r>
      <w:r>
        <w:rPr>
          <w:rFonts w:hint="eastAsia" w:ascii="宋体" w:hAnsi="宋体" w:eastAsia="宋体" w:cs="宋体"/>
          <w:b w:val="0"/>
          <w:bCs w:val="0"/>
          <w:color w:val="auto"/>
          <w:kern w:val="0"/>
          <w:sz w:val="24"/>
          <w:szCs w:val="24"/>
          <w:highlight w:val="none"/>
          <w:lang w:eastAsia="zh-CN"/>
        </w:rPr>
        <w:t>；</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 xml:space="preserve">...... </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日期：</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年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月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日</w:t>
      </w:r>
    </w:p>
    <w:p>
      <w:pPr>
        <w:jc w:val="both"/>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jc w:val="center"/>
        <w:rPr>
          <w:rFonts w:hint="eastAsia" w:ascii="宋体" w:hAnsi="宋体" w:cs="宋体"/>
          <w:b/>
          <w:color w:val="auto"/>
          <w:sz w:val="28"/>
          <w:szCs w:val="28"/>
          <w:highlight w:val="none"/>
          <w:lang w:eastAsia="zh-CN"/>
        </w:rPr>
      </w:pPr>
    </w:p>
    <w:p>
      <w:pPr>
        <w:jc w:val="center"/>
        <w:rPr>
          <w:rFonts w:hint="eastAsia" w:ascii="宋体" w:hAnsi="宋体" w:cs="宋体"/>
          <w:b/>
          <w:color w:val="auto"/>
          <w:sz w:val="28"/>
          <w:szCs w:val="28"/>
          <w:highlight w:val="none"/>
          <w:lang w:eastAsia="zh-CN"/>
        </w:rPr>
      </w:pPr>
    </w:p>
    <w:p>
      <w:pPr>
        <w:jc w:val="both"/>
        <w:rPr>
          <w:rFonts w:hint="eastAsia" w:ascii="宋体" w:hAnsi="宋体" w:cs="宋体"/>
          <w:b/>
          <w:color w:val="auto"/>
          <w:sz w:val="28"/>
          <w:szCs w:val="28"/>
          <w:highlight w:val="none"/>
          <w:lang w:eastAsia="zh-CN"/>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r>
        <w:rPr>
          <w:rStyle w:val="29"/>
          <w:rFonts w:hint="eastAsia" w:ascii="宋体" w:hAnsi="宋体" w:eastAsia="宋体" w:cs="宋体"/>
          <w:bCs w:val="0"/>
          <w:color w:val="auto"/>
          <w:kern w:val="0"/>
          <w:sz w:val="28"/>
          <w:szCs w:val="28"/>
          <w:highlight w:val="none"/>
          <w:lang w:val="en-US" w:eastAsia="zh-CN" w:bidi="ar-SA"/>
        </w:rPr>
        <w:t>（9）投入设备设施清单</w:t>
      </w:r>
    </w:p>
    <w:p>
      <w:pPr>
        <w:rPr>
          <w:rFonts w:ascii="宋体" w:hAnsi="宋体" w:eastAsia="宋体" w:cs="宋体"/>
          <w:color w:val="auto"/>
          <w:sz w:val="24"/>
          <w:highlight w:val="none"/>
        </w:rPr>
      </w:pPr>
    </w:p>
    <w:tbl>
      <w:tblPr>
        <w:tblStyle w:val="2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90"/>
        <w:gridCol w:w="1875"/>
        <w:gridCol w:w="1335"/>
        <w:gridCol w:w="1125"/>
        <w:gridCol w:w="750"/>
        <w:gridCol w:w="94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序号</w:t>
            </w:r>
          </w:p>
        </w:tc>
        <w:tc>
          <w:tcPr>
            <w:tcW w:w="2190" w:type="dxa"/>
            <w:tcBorders>
              <w:left w:val="single" w:color="auto" w:sz="4" w:space="0"/>
            </w:tcBorders>
            <w:noWrap w:val="0"/>
            <w:vAlign w:val="center"/>
          </w:tcPr>
          <w:p>
            <w:pPr>
              <w:pStyle w:val="11"/>
              <w:spacing w:line="240" w:lineRule="atLeast"/>
              <w:jc w:val="center"/>
              <w:rPr>
                <w:rFonts w:ascii="宋体" w:hAnsi="宋体" w:eastAsia="宋体" w:cs="宋体"/>
                <w:color w:val="auto"/>
                <w:position w:val="-36"/>
                <w:sz w:val="24"/>
                <w:szCs w:val="24"/>
                <w:highlight w:val="none"/>
              </w:rPr>
            </w:pPr>
            <w:r>
              <w:rPr>
                <w:rFonts w:hint="eastAsia" w:ascii="宋体" w:hAnsi="宋体" w:eastAsia="宋体" w:cs="宋体"/>
                <w:color w:val="auto"/>
                <w:position w:val="-24"/>
                <w:sz w:val="24"/>
                <w:szCs w:val="24"/>
                <w:highlight w:val="none"/>
              </w:rPr>
              <w:t>名称</w:t>
            </w:r>
          </w:p>
        </w:tc>
        <w:tc>
          <w:tcPr>
            <w:tcW w:w="1875" w:type="dxa"/>
            <w:tcBorders>
              <w:left w:val="single" w:color="auto" w:sz="4" w:space="0"/>
            </w:tcBorders>
            <w:noWrap w:val="0"/>
            <w:vAlign w:val="center"/>
          </w:tcPr>
          <w:p>
            <w:pPr>
              <w:pStyle w:val="11"/>
              <w:spacing w:line="240" w:lineRule="atLeast"/>
              <w:jc w:val="center"/>
              <w:rPr>
                <w:rFonts w:hint="eastAsia"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规格型号</w:t>
            </w:r>
          </w:p>
        </w:tc>
        <w:tc>
          <w:tcPr>
            <w:tcW w:w="1335" w:type="dxa"/>
            <w:noWrap w:val="0"/>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品牌</w:t>
            </w:r>
          </w:p>
        </w:tc>
        <w:tc>
          <w:tcPr>
            <w:tcW w:w="1125" w:type="dxa"/>
            <w:noWrap w:val="0"/>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单位</w:t>
            </w:r>
          </w:p>
        </w:tc>
        <w:tc>
          <w:tcPr>
            <w:tcW w:w="750" w:type="dxa"/>
            <w:noWrap w:val="0"/>
            <w:vAlign w:val="center"/>
          </w:tcPr>
          <w:p>
            <w:pPr>
              <w:pStyle w:val="11"/>
              <w:spacing w:line="240" w:lineRule="atLeast"/>
              <w:jc w:val="center"/>
              <w:rPr>
                <w:rFonts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数量</w:t>
            </w:r>
          </w:p>
        </w:tc>
        <w:tc>
          <w:tcPr>
            <w:tcW w:w="945" w:type="dxa"/>
            <w:noWrap w:val="0"/>
            <w:vAlign w:val="center"/>
          </w:tcPr>
          <w:p>
            <w:pPr>
              <w:pStyle w:val="11"/>
              <w:spacing w:line="240" w:lineRule="atLeas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自有</w:t>
            </w:r>
            <w:r>
              <w:rPr>
                <w:rFonts w:hint="eastAsia" w:hAnsi="宋体" w:cs="宋体"/>
                <w:color w:val="auto"/>
                <w:sz w:val="24"/>
                <w:szCs w:val="24"/>
                <w:highlight w:val="none"/>
                <w:lang w:val="en-US" w:eastAsia="zh-CN"/>
              </w:rPr>
              <w:t>/租赁</w:t>
            </w:r>
          </w:p>
        </w:tc>
        <w:tc>
          <w:tcPr>
            <w:tcW w:w="790" w:type="dxa"/>
            <w:noWrap w:val="0"/>
            <w:vAlign w:val="center"/>
          </w:tcPr>
          <w:p>
            <w:pPr>
              <w:pStyle w:val="11"/>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tcBorders>
              <w:top w:val="single" w:color="auto" w:sz="4" w:space="0"/>
            </w:tcBorders>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noWrap w:val="0"/>
            <w:vAlign w:val="top"/>
          </w:tcPr>
          <w:p>
            <w:pPr>
              <w:pStyle w:val="11"/>
              <w:rPr>
                <w:rFonts w:ascii="宋体" w:hAnsi="宋体" w:eastAsia="宋体" w:cs="宋体"/>
                <w:color w:val="auto"/>
                <w:sz w:val="24"/>
                <w:szCs w:val="24"/>
                <w:highlight w:val="none"/>
              </w:rPr>
            </w:pPr>
          </w:p>
        </w:tc>
        <w:tc>
          <w:tcPr>
            <w:tcW w:w="2190" w:type="dxa"/>
            <w:noWrap w:val="0"/>
            <w:vAlign w:val="top"/>
          </w:tcPr>
          <w:p>
            <w:pPr>
              <w:pStyle w:val="11"/>
              <w:rPr>
                <w:rFonts w:ascii="宋体" w:hAnsi="宋体" w:eastAsia="宋体" w:cs="宋体"/>
                <w:color w:val="auto"/>
                <w:sz w:val="24"/>
                <w:szCs w:val="24"/>
                <w:highlight w:val="none"/>
              </w:rPr>
            </w:pPr>
          </w:p>
        </w:tc>
        <w:tc>
          <w:tcPr>
            <w:tcW w:w="1875" w:type="dxa"/>
            <w:noWrap w:val="0"/>
            <w:vAlign w:val="top"/>
          </w:tcPr>
          <w:p>
            <w:pPr>
              <w:pStyle w:val="11"/>
              <w:rPr>
                <w:rFonts w:ascii="宋体" w:hAnsi="宋体" w:eastAsia="宋体" w:cs="宋体"/>
                <w:color w:val="auto"/>
                <w:sz w:val="24"/>
                <w:szCs w:val="24"/>
                <w:highlight w:val="none"/>
              </w:rPr>
            </w:pPr>
          </w:p>
        </w:tc>
        <w:tc>
          <w:tcPr>
            <w:tcW w:w="1335" w:type="dxa"/>
            <w:noWrap w:val="0"/>
            <w:vAlign w:val="top"/>
          </w:tcPr>
          <w:p>
            <w:pPr>
              <w:pStyle w:val="11"/>
              <w:rPr>
                <w:rFonts w:ascii="宋体" w:hAnsi="宋体" w:eastAsia="宋体" w:cs="宋体"/>
                <w:color w:val="auto"/>
                <w:sz w:val="24"/>
                <w:szCs w:val="24"/>
                <w:highlight w:val="none"/>
              </w:rPr>
            </w:pPr>
          </w:p>
        </w:tc>
        <w:tc>
          <w:tcPr>
            <w:tcW w:w="1125" w:type="dxa"/>
            <w:noWrap w:val="0"/>
            <w:vAlign w:val="top"/>
          </w:tcPr>
          <w:p>
            <w:pPr>
              <w:pStyle w:val="11"/>
              <w:rPr>
                <w:rFonts w:ascii="宋体" w:hAnsi="宋体" w:eastAsia="宋体" w:cs="宋体"/>
                <w:color w:val="auto"/>
                <w:sz w:val="24"/>
                <w:szCs w:val="24"/>
                <w:highlight w:val="none"/>
              </w:rPr>
            </w:pPr>
          </w:p>
        </w:tc>
        <w:tc>
          <w:tcPr>
            <w:tcW w:w="750" w:type="dxa"/>
            <w:noWrap w:val="0"/>
            <w:vAlign w:val="top"/>
          </w:tcPr>
          <w:p>
            <w:pPr>
              <w:pStyle w:val="11"/>
              <w:rPr>
                <w:rFonts w:ascii="宋体" w:hAnsi="宋体" w:eastAsia="宋体" w:cs="宋体"/>
                <w:color w:val="auto"/>
                <w:sz w:val="24"/>
                <w:szCs w:val="24"/>
                <w:highlight w:val="none"/>
              </w:rPr>
            </w:pPr>
          </w:p>
        </w:tc>
        <w:tc>
          <w:tcPr>
            <w:tcW w:w="945" w:type="dxa"/>
            <w:noWrap w:val="0"/>
            <w:vAlign w:val="top"/>
          </w:tcPr>
          <w:p>
            <w:pPr>
              <w:pStyle w:val="11"/>
              <w:rPr>
                <w:rFonts w:ascii="宋体" w:hAnsi="宋体" w:eastAsia="宋体" w:cs="宋体"/>
                <w:color w:val="auto"/>
                <w:sz w:val="24"/>
                <w:szCs w:val="24"/>
                <w:highlight w:val="none"/>
              </w:rPr>
            </w:pPr>
          </w:p>
        </w:tc>
        <w:tc>
          <w:tcPr>
            <w:tcW w:w="790" w:type="dxa"/>
            <w:noWrap w:val="0"/>
            <w:vAlign w:val="top"/>
          </w:tcPr>
          <w:p>
            <w:pPr>
              <w:pStyle w:val="11"/>
              <w:rPr>
                <w:rFonts w:ascii="宋体" w:hAnsi="宋体" w:eastAsia="宋体" w:cs="宋体"/>
                <w:color w:val="auto"/>
                <w:sz w:val="24"/>
                <w:szCs w:val="24"/>
                <w:highlight w:val="none"/>
              </w:rPr>
            </w:pPr>
          </w:p>
        </w:tc>
      </w:tr>
    </w:tbl>
    <w:p>
      <w:pPr>
        <w:pStyle w:val="11"/>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w:t>
      </w:r>
      <w:r>
        <w:rPr>
          <w:rFonts w:hint="default"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按此表格式自行填写，表格不够时可自行添加。</w:t>
      </w:r>
    </w:p>
    <w:p>
      <w:pPr>
        <w:pStyle w:val="11"/>
        <w:spacing w:line="360" w:lineRule="auto"/>
        <w:ind w:firstLine="480" w:firstLineChars="200"/>
        <w:rPr>
          <w:rFonts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pPr>
        <w:pStyle w:val="12"/>
        <w:rPr>
          <w:color w:val="auto"/>
          <w:highlight w:val="none"/>
        </w:rPr>
      </w:pPr>
    </w:p>
    <w:p>
      <w:pPr>
        <w:pStyle w:val="1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pPr>
        <w:spacing w:line="360" w:lineRule="auto"/>
        <w:ind w:firstLine="480" w:firstLineChars="200"/>
        <w:jc w:val="center"/>
        <w:rPr>
          <w:rFonts w:ascii="仿宋" w:hAnsi="仿宋" w:eastAsia="仿宋" w:cs="仿宋"/>
          <w:color w:val="auto"/>
          <w:sz w:val="24"/>
          <w:highlight w:val="none"/>
        </w:rPr>
      </w:pPr>
    </w:p>
    <w:p>
      <w:pPr>
        <w:pStyle w:val="9"/>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ascii="宋体" w:hAnsi="宋体" w:cs="宋体"/>
          <w:b/>
          <w:bCs/>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10</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技术规格响应偏离表</w:t>
      </w:r>
    </w:p>
    <w:p>
      <w:pPr>
        <w:rPr>
          <w:color w:val="auto"/>
          <w:highlight w:val="none"/>
        </w:rPr>
      </w:pPr>
    </w:p>
    <w:tbl>
      <w:tblPr>
        <w:tblStyle w:val="26"/>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3071"/>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7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货物或设备名称</w:t>
            </w:r>
          </w:p>
        </w:tc>
        <w:tc>
          <w:tcPr>
            <w:tcW w:w="16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采购文件要求参数</w:t>
            </w:r>
          </w:p>
        </w:tc>
        <w:tc>
          <w:tcPr>
            <w:tcW w:w="3071" w:type="dxa"/>
            <w:vAlign w:val="center"/>
          </w:tcPr>
          <w:p>
            <w:pPr>
              <w:jc w:val="center"/>
              <w:rPr>
                <w:rFonts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rPr>
              <w:t>采购</w:t>
            </w:r>
            <w:r>
              <w:rPr>
                <w:rFonts w:hint="eastAsia" w:ascii="宋体" w:hAnsi="宋体" w:cs="宋体"/>
                <w:color w:val="auto"/>
                <w:sz w:val="24"/>
                <w:highlight w:val="none"/>
              </w:rPr>
              <w:t>文件要求一一对应）</w:t>
            </w:r>
          </w:p>
        </w:tc>
        <w:tc>
          <w:tcPr>
            <w:tcW w:w="11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w:t>
            </w:r>
          </w:p>
        </w:tc>
        <w:tc>
          <w:tcPr>
            <w:tcW w:w="91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注：1.各供应商按此表格式自行填写，表格不够时可自行添加。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2.若有偏离,请将具体偏离条款在”偏离”一栏中详细说明;若无偏离,请在”偏离”一栏中标注”无”字样.</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572" w:lineRule="atLeast"/>
        <w:jc w:val="center"/>
        <w:rPr>
          <w:rFonts w:ascii="宋体" w:hAnsi="宋体" w:cs="宋体"/>
          <w:b/>
          <w:color w:val="auto"/>
          <w:sz w:val="24"/>
          <w:highlight w:val="none"/>
        </w:rPr>
      </w:pPr>
    </w:p>
    <w:p>
      <w:pPr>
        <w:rPr>
          <w:rFonts w:hint="eastAsia"/>
          <w:color w:val="auto"/>
          <w:lang w:val="en-US" w:eastAsia="zh-CN"/>
        </w:rPr>
      </w:pP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spacing w:line="360" w:lineRule="auto"/>
        <w:jc w:val="center"/>
        <w:rPr>
          <w:rFonts w:hint="eastAsia" w:ascii="宋体" w:hAnsi="宋体" w:cs="宋体"/>
          <w:b/>
          <w:bCs/>
          <w:color w:val="auto"/>
          <w:sz w:val="28"/>
          <w:szCs w:val="28"/>
          <w:highlight w:val="none"/>
          <w:lang w:eastAsia="zh-CN"/>
        </w:rPr>
      </w:pPr>
    </w:p>
    <w:p>
      <w:pPr>
        <w:spacing w:line="360" w:lineRule="auto"/>
        <w:jc w:val="center"/>
        <w:rPr>
          <w:rFonts w:ascii="宋体" w:hAnsi="宋体" w:cs="宋体"/>
          <w:b/>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质量控制方案</w:t>
      </w:r>
    </w:p>
    <w:p>
      <w:pPr>
        <w:spacing w:line="360" w:lineRule="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 xml:space="preserve">1.食品质量控制方案  </w:t>
      </w:r>
    </w:p>
    <w:p>
      <w:pPr>
        <w:pStyle w:val="2"/>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2.卫生管理控制方案</w:t>
      </w:r>
    </w:p>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3.原材料采购管理方案及食品保存管理方案：</w:t>
      </w:r>
    </w:p>
    <w:p>
      <w:pPr>
        <w:pStyle w:val="24"/>
        <w:rPr>
          <w:rFonts w:hint="eastAsia" w:ascii="宋体" w:hAnsi="宋体" w:cs="宋体"/>
          <w:b w:val="0"/>
          <w:bCs w:val="0"/>
          <w:color w:val="auto"/>
          <w:sz w:val="24"/>
          <w:highlight w:val="none"/>
          <w:lang w:val="en-US" w:eastAsia="zh-CN"/>
        </w:rPr>
      </w:pPr>
    </w:p>
    <w:p>
      <w:pPr>
        <w:pStyle w:val="24"/>
        <w:ind w:left="0" w:leftChars="0" w:firstLine="0" w:firstLineChars="0"/>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p>
      <w:pPr>
        <w:pStyle w:val="2"/>
        <w:rPr>
          <w:rFonts w:hint="eastAsia" w:ascii="宋体" w:hAnsi="宋体" w:cs="宋体"/>
          <w:color w:val="auto"/>
          <w:sz w:val="24"/>
          <w:highlight w:val="none"/>
          <w:lang w:val="en-US" w:eastAsia="zh-CN"/>
        </w:rPr>
      </w:pPr>
    </w:p>
    <w:p>
      <w:pPr>
        <w:rPr>
          <w:rFonts w:hint="eastAsia" w:ascii="宋体" w:hAnsi="宋体" w:cs="宋体"/>
          <w:color w:val="auto"/>
          <w:sz w:val="24"/>
          <w:highlight w:val="none"/>
          <w:lang w:val="en-US" w:eastAsia="zh-CN"/>
        </w:rPr>
      </w:pPr>
    </w:p>
    <w:p>
      <w:pPr>
        <w:pStyle w:val="2"/>
        <w:rPr>
          <w:rFonts w:hint="eastAsia" w:ascii="宋体" w:hAnsi="宋体" w:cs="宋体"/>
          <w:color w:val="auto"/>
          <w:sz w:val="24"/>
          <w:highlight w:val="none"/>
          <w:lang w:val="en-US" w:eastAsia="zh-CN"/>
        </w:rPr>
      </w:pPr>
    </w:p>
    <w:p>
      <w:pPr>
        <w:rPr>
          <w:rFonts w:hint="eastAsia" w:ascii="宋体" w:hAnsi="宋体" w:cs="宋体"/>
          <w:color w:val="auto"/>
          <w:sz w:val="24"/>
          <w:highlight w:val="none"/>
          <w:lang w:val="en-US" w:eastAsia="zh-CN"/>
        </w:rPr>
      </w:pPr>
    </w:p>
    <w:p>
      <w:pPr>
        <w:pStyle w:val="2"/>
        <w:rPr>
          <w:rFonts w:hint="default"/>
          <w:color w:val="auto"/>
          <w:lang w:val="en-US" w:eastAsia="zh-CN"/>
        </w:rPr>
      </w:pPr>
    </w:p>
    <w:p>
      <w:pPr>
        <w:spacing w:line="360" w:lineRule="auto"/>
        <w:jc w:val="right"/>
        <w:rPr>
          <w:rFonts w:ascii="宋体" w:hAnsi="宋体" w:cs="宋体"/>
          <w:color w:val="auto"/>
          <w:sz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jc w:val="center"/>
        <w:rPr>
          <w:rFonts w:hint="eastAsia" w:ascii="宋体" w:hAnsi="宋体" w:cs="宋体"/>
          <w:b/>
          <w:bCs/>
          <w:color w:val="auto"/>
          <w:sz w:val="24"/>
          <w:highlight w:val="none"/>
        </w:rPr>
      </w:pPr>
    </w:p>
    <w:p>
      <w:pPr>
        <w:pStyle w:val="9"/>
        <w:rPr>
          <w:rFonts w:hint="eastAsia"/>
          <w:color w:val="auto"/>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合理化建议及增值服务承诺</w:t>
      </w:r>
    </w:p>
    <w:p>
      <w:pPr>
        <w:spacing w:line="360" w:lineRule="auto"/>
        <w:jc w:val="both"/>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一、合理化建议</w:t>
      </w:r>
    </w:p>
    <w:p>
      <w:pPr>
        <w:pStyle w:val="24"/>
        <w:ind w:left="0" w:leftChars="0" w:firstLine="0" w:firstLineChars="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二、增值服务承诺</w:t>
      </w:r>
    </w:p>
    <w:p>
      <w:pPr>
        <w:pStyle w:val="9"/>
        <w:ind w:firstLine="420" w:firstLineChars="200"/>
        <w:rPr>
          <w:rFonts w:hint="default" w:eastAsia="宋体"/>
          <w:color w:val="auto"/>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numPr>
          <w:ilvl w:val="0"/>
          <w:numId w:val="0"/>
        </w:numPr>
        <w:spacing w:line="360" w:lineRule="auto"/>
        <w:jc w:val="both"/>
        <w:rPr>
          <w:rFonts w:hint="eastAsia" w:ascii="宋体" w:hAnsi="宋体" w:cs="宋体"/>
          <w:b/>
          <w:bCs/>
          <w:color w:val="auto"/>
          <w:sz w:val="28"/>
          <w:szCs w:val="28"/>
          <w:highlight w:val="none"/>
          <w:lang w:eastAsia="zh-CN"/>
        </w:rPr>
      </w:pPr>
    </w:p>
    <w:p>
      <w:pPr>
        <w:numPr>
          <w:ilvl w:val="0"/>
          <w:numId w:val="10"/>
        </w:numPr>
        <w:spacing w:line="360" w:lineRule="auto"/>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拟提供的餐盒、菜品</w:t>
      </w:r>
    </w:p>
    <w:p>
      <w:pPr>
        <w:pStyle w:val="24"/>
        <w:numPr>
          <w:ilvl w:val="0"/>
          <w:numId w:val="0"/>
        </w:num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①餐盒</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2"/>
        <w:gridCol w:w="3744"/>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182" w:type="dxa"/>
            <w:vAlign w:val="center"/>
          </w:tcPr>
          <w:p>
            <w:pPr>
              <w:pStyle w:val="24"/>
              <w:numPr>
                <w:ilvl w:val="0"/>
                <w:numId w:val="0"/>
              </w:num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餐盒图片</w:t>
            </w:r>
          </w:p>
        </w:tc>
        <w:tc>
          <w:tcPr>
            <w:tcW w:w="3744" w:type="dxa"/>
            <w:vAlign w:val="center"/>
          </w:tcPr>
          <w:p>
            <w:pPr>
              <w:pStyle w:val="24"/>
              <w:numPr>
                <w:ilvl w:val="0"/>
                <w:numId w:val="0"/>
              </w:num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餐盒规格介绍</w:t>
            </w:r>
          </w:p>
        </w:tc>
        <w:tc>
          <w:tcPr>
            <w:tcW w:w="2598" w:type="dxa"/>
            <w:vAlign w:val="center"/>
          </w:tcPr>
          <w:p>
            <w:pPr>
              <w:pStyle w:val="24"/>
              <w:numPr>
                <w:ilvl w:val="0"/>
                <w:numId w:val="0"/>
              </w:num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餐盒特点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4182" w:type="dxa"/>
          </w:tcPr>
          <w:p>
            <w:pPr>
              <w:pStyle w:val="24"/>
              <w:numPr>
                <w:ilvl w:val="0"/>
                <w:numId w:val="0"/>
              </w:numPr>
              <w:rPr>
                <w:rFonts w:hint="eastAsia"/>
                <w:color w:val="auto"/>
                <w:vertAlign w:val="baseline"/>
                <w:lang w:val="en-US" w:eastAsia="zh-CN"/>
              </w:rPr>
            </w:pPr>
          </w:p>
        </w:tc>
        <w:tc>
          <w:tcPr>
            <w:tcW w:w="3744" w:type="dxa"/>
          </w:tcPr>
          <w:p>
            <w:pPr>
              <w:pStyle w:val="24"/>
              <w:numPr>
                <w:ilvl w:val="0"/>
                <w:numId w:val="0"/>
              </w:numPr>
              <w:rPr>
                <w:rFonts w:hint="eastAsia"/>
                <w:color w:val="auto"/>
                <w:vertAlign w:val="baseline"/>
                <w:lang w:val="en-US" w:eastAsia="zh-CN"/>
              </w:rPr>
            </w:pPr>
          </w:p>
        </w:tc>
        <w:tc>
          <w:tcPr>
            <w:tcW w:w="2598" w:type="dxa"/>
          </w:tcPr>
          <w:p>
            <w:pPr>
              <w:pStyle w:val="24"/>
              <w:numPr>
                <w:ilvl w:val="0"/>
                <w:numId w:val="0"/>
              </w:numP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524" w:type="dxa"/>
            <w:gridSpan w:val="3"/>
            <w:vAlign w:val="center"/>
          </w:tcPr>
          <w:p>
            <w:pPr>
              <w:pStyle w:val="24"/>
              <w:numPr>
                <w:ilvl w:val="0"/>
                <w:numId w:val="0"/>
              </w:numPr>
              <w:rPr>
                <w:rFonts w:hint="eastAsia"/>
                <w:color w:val="auto"/>
                <w:vertAlign w:val="baseline"/>
                <w:lang w:val="en-US" w:eastAsia="zh-CN"/>
              </w:rPr>
            </w:pPr>
            <w:r>
              <w:rPr>
                <w:rFonts w:hint="eastAsia" w:ascii="宋体" w:hAnsi="宋体" w:eastAsia="宋体" w:cs="宋体"/>
                <w:color w:val="auto"/>
                <w:kern w:val="2"/>
                <w:sz w:val="24"/>
                <w:szCs w:val="24"/>
                <w:highlight w:val="none"/>
                <w:lang w:val="en-US" w:eastAsia="zh-CN" w:bidi="ar-SA"/>
              </w:rPr>
              <w:t>备注</w:t>
            </w:r>
            <w:r>
              <w:rPr>
                <w:rFonts w:hint="eastAsia" w:ascii="宋体" w:hAnsi="宋体" w:cs="宋体"/>
                <w:color w:val="auto"/>
                <w:kern w:val="2"/>
                <w:sz w:val="24"/>
                <w:szCs w:val="24"/>
                <w:highlight w:val="none"/>
                <w:lang w:val="en-US" w:eastAsia="zh-CN" w:bidi="ar-SA"/>
              </w:rPr>
              <w:t>：</w:t>
            </w:r>
          </w:p>
        </w:tc>
      </w:tr>
    </w:tbl>
    <w:p>
      <w:pPr>
        <w:pStyle w:val="24"/>
        <w:numPr>
          <w:ilvl w:val="0"/>
          <w:numId w:val="0"/>
        </w:numPr>
        <w:jc w:val="both"/>
        <w:rPr>
          <w:rFonts w:hint="eastAsia" w:ascii="宋体" w:hAnsi="宋体" w:eastAsia="宋体" w:cs="宋体"/>
          <w:color w:val="auto"/>
          <w:kern w:val="2"/>
          <w:sz w:val="24"/>
          <w:szCs w:val="24"/>
          <w:highlight w:val="none"/>
          <w:lang w:val="en-US" w:eastAsia="zh-CN" w:bidi="ar-SA"/>
        </w:rPr>
      </w:pPr>
    </w:p>
    <w:p>
      <w:pPr>
        <w:pStyle w:val="24"/>
        <w:numPr>
          <w:ilvl w:val="0"/>
          <w:numId w:val="0"/>
        </w:num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②餐品</w:t>
      </w:r>
    </w:p>
    <w:tbl>
      <w:tblPr>
        <w:tblStyle w:val="26"/>
        <w:tblW w:w="10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195"/>
        <w:gridCol w:w="3756"/>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3195"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名称</w:t>
            </w:r>
          </w:p>
        </w:tc>
        <w:tc>
          <w:tcPr>
            <w:tcW w:w="3756" w:type="dxa"/>
            <w:vAlign w:val="center"/>
          </w:tcPr>
          <w:p>
            <w:pPr>
              <w:jc w:val="center"/>
              <w:rPr>
                <w:rFonts w:ascii="宋体" w:hAnsi="宋体" w:cs="宋体"/>
                <w:color w:val="auto"/>
                <w:sz w:val="24"/>
                <w:highlight w:val="none"/>
              </w:rPr>
            </w:pPr>
            <w:r>
              <w:rPr>
                <w:rFonts w:hint="eastAsia" w:ascii="宋体" w:hAnsi="宋体" w:cs="宋体"/>
                <w:color w:val="auto"/>
                <w:sz w:val="24"/>
                <w:highlight w:val="none"/>
                <w:lang w:eastAsia="zh-CN"/>
              </w:rPr>
              <w:t>菜品图片</w:t>
            </w:r>
          </w:p>
        </w:tc>
        <w:tc>
          <w:tcPr>
            <w:tcW w:w="2598"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菜品介绍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513" w:type="dxa"/>
            <w:gridSpan w:val="4"/>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4"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4"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4"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4"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13" w:type="dxa"/>
            <w:gridSpan w:val="4"/>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964"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513" w:type="dxa"/>
            <w:gridSpan w:val="4"/>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964"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513" w:type="dxa"/>
            <w:gridSpan w:val="4"/>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964"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4"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95" w:type="dxa"/>
            <w:vAlign w:val="center"/>
          </w:tcPr>
          <w:p>
            <w:pPr>
              <w:rPr>
                <w:rFonts w:ascii="宋体" w:hAnsi="宋体" w:cs="宋体"/>
                <w:color w:val="auto"/>
                <w:sz w:val="24"/>
                <w:highlight w:val="none"/>
              </w:rPr>
            </w:pPr>
          </w:p>
        </w:tc>
        <w:tc>
          <w:tcPr>
            <w:tcW w:w="3756" w:type="dxa"/>
            <w:vAlign w:val="center"/>
          </w:tcPr>
          <w:p>
            <w:pPr>
              <w:rPr>
                <w:rFonts w:ascii="宋体" w:hAnsi="宋体" w:cs="宋体"/>
                <w:color w:val="auto"/>
                <w:sz w:val="24"/>
                <w:highlight w:val="none"/>
              </w:rPr>
            </w:pPr>
          </w:p>
        </w:tc>
        <w:tc>
          <w:tcPr>
            <w:tcW w:w="2598"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513" w:type="dxa"/>
            <w:gridSpan w:val="4"/>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bl>
    <w:p>
      <w:pPr>
        <w:widowControl/>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rPr>
        <w:t>1.各供应商按此表格式自行填写，表格不够时可自行添加。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widowControl/>
        <w:spacing w:line="360" w:lineRule="auto"/>
        <w:jc w:val="both"/>
        <w:rPr>
          <w:rFonts w:hint="eastAsia" w:ascii="宋体" w:hAnsi="宋体" w:eastAsia="宋体" w:cs="宋体"/>
          <w:b/>
          <w:bCs/>
          <w:color w:val="auto"/>
          <w:kern w:val="0"/>
          <w:sz w:val="24"/>
          <w:szCs w:val="24"/>
          <w:highlight w:val="none"/>
          <w:lang w:val="en-US" w:eastAsia="zh-CN"/>
        </w:rPr>
      </w:pPr>
    </w:p>
    <w:p>
      <w:pPr>
        <w:pStyle w:val="24"/>
        <w:rPr>
          <w:rFonts w:hint="eastAsia" w:ascii="宋体" w:hAnsi="宋体" w:eastAsia="宋体" w:cs="宋体"/>
          <w:b/>
          <w:bCs/>
          <w:color w:val="auto"/>
          <w:kern w:val="0"/>
          <w:sz w:val="24"/>
          <w:szCs w:val="24"/>
          <w:highlight w:val="none"/>
          <w:lang w:val="en-US" w:eastAsia="zh-CN"/>
        </w:rPr>
      </w:pPr>
    </w:p>
    <w:p>
      <w:pPr>
        <w:pStyle w:val="24"/>
        <w:rPr>
          <w:rFonts w:hint="eastAsia" w:ascii="宋体" w:hAnsi="宋体" w:eastAsia="宋体" w:cs="宋体"/>
          <w:b/>
          <w:bCs/>
          <w:color w:val="auto"/>
          <w:kern w:val="0"/>
          <w:sz w:val="24"/>
          <w:szCs w:val="24"/>
          <w:highlight w:val="none"/>
          <w:lang w:val="en-US" w:eastAsia="zh-CN"/>
        </w:rPr>
      </w:pPr>
    </w:p>
    <w:p>
      <w:pPr>
        <w:pStyle w:val="24"/>
        <w:ind w:left="0" w:leftChars="0" w:firstLine="0" w:firstLineChars="0"/>
        <w:rPr>
          <w:rFonts w:hint="eastAsia" w:ascii="宋体" w:hAnsi="宋体" w:eastAsia="宋体" w:cs="宋体"/>
          <w:b/>
          <w:bCs/>
          <w:color w:val="auto"/>
          <w:kern w:val="0"/>
          <w:sz w:val="24"/>
          <w:szCs w:val="24"/>
          <w:highlight w:val="none"/>
          <w:lang w:val="en-US" w:eastAsia="zh-CN"/>
        </w:rPr>
      </w:pPr>
    </w:p>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numPr>
          <w:ilvl w:val="0"/>
          <w:numId w:val="0"/>
        </w:numPr>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第六章  评审标准（综合评分法）</w:t>
      </w:r>
    </w:p>
    <w:p>
      <w:pPr>
        <w:pStyle w:val="22"/>
        <w:spacing w:before="75" w:beforeAutospacing="0" w:after="75" w:afterAutospacing="0" w:line="360" w:lineRule="auto"/>
        <w:rPr>
          <w:rStyle w:val="29"/>
          <w:rFonts w:cs="宋体"/>
          <w:color w:val="auto"/>
          <w:sz w:val="24"/>
          <w:szCs w:val="24"/>
          <w:highlight w:val="none"/>
        </w:rPr>
      </w:pPr>
      <w:r>
        <w:rPr>
          <w:rStyle w:val="29"/>
          <w:rFonts w:hint="eastAsia" w:cs="宋体"/>
          <w:color w:val="auto"/>
          <w:sz w:val="24"/>
          <w:szCs w:val="24"/>
          <w:highlight w:val="none"/>
        </w:rPr>
        <w:t>一、初审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1、资格性审查</w:t>
      </w:r>
    </w:p>
    <w:tbl>
      <w:tblPr>
        <w:tblStyle w:val="26"/>
        <w:tblW w:w="9796"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200"/>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noWrap w:val="0"/>
            <w:vAlign w:val="center"/>
          </w:tcPr>
          <w:p>
            <w:pPr>
              <w:spacing w:line="44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4200" w:type="dxa"/>
            <w:noWrap w:val="0"/>
            <w:vAlign w:val="center"/>
          </w:tcPr>
          <w:p>
            <w:pPr>
              <w:spacing w:line="44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检查因素</w:t>
            </w:r>
          </w:p>
        </w:tc>
        <w:tc>
          <w:tcPr>
            <w:tcW w:w="4865" w:type="dxa"/>
            <w:noWrap w:val="0"/>
            <w:vAlign w:val="center"/>
          </w:tcPr>
          <w:p>
            <w:pPr>
              <w:spacing w:line="44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31" w:type="dxa"/>
            <w:vMerge w:val="restart"/>
            <w:noWrap w:val="0"/>
            <w:vAlign w:val="center"/>
          </w:tcPr>
          <w:p>
            <w:pPr>
              <w:spacing w:line="44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p>
        </w:tc>
        <w:tc>
          <w:tcPr>
            <w:tcW w:w="4200" w:type="dxa"/>
            <w:noWrap w:val="0"/>
            <w:vAlign w:val="center"/>
          </w:tcPr>
          <w:p>
            <w:pPr>
              <w:spacing w:line="440" w:lineRule="exact"/>
              <w:rPr>
                <w:rFonts w:ascii="宋体" w:hAnsi="宋体" w:cs="宋体"/>
                <w:color w:val="auto"/>
                <w:kern w:val="0"/>
                <w:sz w:val="24"/>
                <w:highlight w:val="none"/>
                <w:lang w:val="zh-CN"/>
              </w:rPr>
            </w:pPr>
            <w:r>
              <w:rPr>
                <w:rFonts w:hint="eastAsia" w:ascii="宋体" w:hAnsi="宋体" w:cs="宋体"/>
                <w:color w:val="auto"/>
                <w:sz w:val="24"/>
                <w:highlight w:val="none"/>
              </w:rPr>
              <w:t>具有独立承担民事责任的能力；</w:t>
            </w:r>
          </w:p>
        </w:tc>
        <w:tc>
          <w:tcPr>
            <w:tcW w:w="4865" w:type="dxa"/>
            <w:noWrap w:val="0"/>
            <w:vAlign w:val="center"/>
          </w:tcPr>
          <w:p>
            <w:pPr>
              <w:spacing w:line="440" w:lineRule="exact"/>
              <w:rPr>
                <w:rFonts w:ascii="宋体" w:hAnsi="宋体" w:cs="宋体"/>
                <w:color w:val="auto"/>
                <w:kern w:val="0"/>
                <w:sz w:val="24"/>
                <w:highlight w:val="none"/>
                <w:lang w:val="zh-CN"/>
              </w:rPr>
            </w:pPr>
            <w:r>
              <w:rPr>
                <w:rStyle w:val="29"/>
                <w:rFonts w:hint="eastAsia" w:cs="宋体"/>
                <w:b w:val="0"/>
                <w:bCs/>
                <w:color w:val="auto"/>
                <w:sz w:val="24"/>
                <w:highlight w:val="none"/>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pPr>
              <w:spacing w:line="440" w:lineRule="exact"/>
              <w:jc w:val="center"/>
              <w:rPr>
                <w:rFonts w:ascii="宋体" w:hAnsi="宋体" w:cs="宋体"/>
                <w:color w:val="auto"/>
                <w:kern w:val="0"/>
                <w:sz w:val="24"/>
                <w:highlight w:val="none"/>
                <w:lang w:val="zh-CN"/>
              </w:rPr>
            </w:pPr>
          </w:p>
        </w:tc>
        <w:tc>
          <w:tcPr>
            <w:tcW w:w="4200" w:type="dxa"/>
            <w:noWrap w:val="0"/>
            <w:vAlign w:val="center"/>
          </w:tcPr>
          <w:p>
            <w:pPr>
              <w:spacing w:line="440" w:lineRule="exact"/>
              <w:rPr>
                <w:rFonts w:ascii="宋体" w:hAnsi="宋体" w:cs="宋体"/>
                <w:color w:val="auto"/>
                <w:kern w:val="0"/>
                <w:sz w:val="24"/>
                <w:highlight w:val="none"/>
                <w:lang w:val="zh-CN"/>
              </w:rPr>
            </w:pPr>
            <w:r>
              <w:rPr>
                <w:rFonts w:hint="eastAsia" w:ascii="宋体" w:hAnsi="宋体" w:cs="宋体"/>
                <w:color w:val="auto"/>
                <w:sz w:val="24"/>
                <w:highlight w:val="none"/>
              </w:rPr>
              <w:t>具有良好的商业信誉和健全的财务会计制度；</w:t>
            </w:r>
          </w:p>
        </w:tc>
        <w:tc>
          <w:tcPr>
            <w:tcW w:w="4865" w:type="dxa"/>
            <w:noWrap w:val="0"/>
            <w:vAlign w:val="center"/>
          </w:tcPr>
          <w:p>
            <w:pPr>
              <w:pStyle w:val="22"/>
              <w:spacing w:before="75" w:beforeAutospacing="0" w:after="75" w:afterAutospacing="0" w:line="360" w:lineRule="auto"/>
              <w:rPr>
                <w:rFonts w:ascii="宋体" w:hAnsi="宋体" w:cs="宋体"/>
                <w:color w:val="auto"/>
                <w:kern w:val="0"/>
                <w:sz w:val="24"/>
                <w:highlight w:val="none"/>
                <w:lang w:val="zh-CN"/>
              </w:rPr>
            </w:pPr>
            <w:r>
              <w:rPr>
                <w:rStyle w:val="29"/>
                <w:rFonts w:hint="eastAsia" w:cs="宋体"/>
                <w:b w:val="0"/>
                <w:bCs/>
                <w:color w:val="auto"/>
                <w:sz w:val="24"/>
                <w:szCs w:val="24"/>
                <w:highlight w:val="none"/>
                <w:lang w:val="en-US" w:eastAsia="zh-CN"/>
              </w:rPr>
              <w:t>提供</w:t>
            </w:r>
            <w:r>
              <w:rPr>
                <w:rStyle w:val="29"/>
                <w:rFonts w:hint="eastAsia" w:cs="宋体"/>
                <w:b w:val="0"/>
                <w:bCs/>
                <w:color w:val="auto"/>
                <w:sz w:val="24"/>
                <w:szCs w:val="24"/>
                <w:highlight w:val="none"/>
                <w:u w:val="single"/>
                <w:lang w:val="en-US" w:eastAsia="zh-CN"/>
              </w:rPr>
              <w:t>（2021年度或2022年度）经审计财务会计报告</w:t>
            </w:r>
            <w:r>
              <w:rPr>
                <w:rStyle w:val="29"/>
                <w:rFonts w:hint="eastAsia" w:cs="宋体"/>
                <w:b w:val="0"/>
                <w:bCs/>
                <w:color w:val="auto"/>
                <w:sz w:val="24"/>
                <w:szCs w:val="24"/>
                <w:highlight w:val="none"/>
                <w:lang w:val="en-US" w:eastAsia="zh-CN"/>
              </w:rPr>
              <w:t>（至少包括资产负债表、损益表、利润表、现金流量表，新成立的公司提供情况说明</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企业财务报表</w:t>
            </w:r>
            <w:r>
              <w:rPr>
                <w:rStyle w:val="29"/>
                <w:rFonts w:hint="eastAsia" w:cs="宋体"/>
                <w:b w:val="0"/>
                <w:bCs/>
                <w:color w:val="auto"/>
                <w:sz w:val="24"/>
                <w:szCs w:val="24"/>
                <w:highlight w:val="none"/>
                <w:lang w:val="en-US" w:eastAsia="zh-Hans"/>
              </w:rPr>
              <w:t>或</w:t>
            </w:r>
            <w:r>
              <w:rPr>
                <w:rStyle w:val="29"/>
                <w:rFonts w:hint="eastAsia" w:cs="宋体"/>
                <w:b w:val="0"/>
                <w:bCs/>
                <w:color w:val="auto"/>
                <w:sz w:val="24"/>
                <w:szCs w:val="24"/>
                <w:highlight w:val="none"/>
                <w:u w:val="single"/>
                <w:lang w:val="en-US" w:eastAsia="zh-CN"/>
              </w:rPr>
              <w:t>基本开户银行出具的资信证明</w:t>
            </w:r>
            <w:r>
              <w:rPr>
                <w:rStyle w:val="29"/>
                <w:rFonts w:hint="eastAsia" w:cs="宋体"/>
                <w:b w:val="0"/>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731" w:type="dxa"/>
            <w:vMerge w:val="continue"/>
            <w:noWrap w:val="0"/>
            <w:vAlign w:val="center"/>
          </w:tcPr>
          <w:p>
            <w:pPr>
              <w:spacing w:line="440" w:lineRule="exact"/>
              <w:jc w:val="center"/>
              <w:rPr>
                <w:rFonts w:ascii="宋体" w:hAnsi="宋体" w:cs="宋体"/>
                <w:color w:val="auto"/>
                <w:kern w:val="0"/>
                <w:sz w:val="24"/>
                <w:highlight w:val="none"/>
                <w:lang w:val="zh-CN"/>
              </w:rPr>
            </w:pPr>
          </w:p>
        </w:tc>
        <w:tc>
          <w:tcPr>
            <w:tcW w:w="4200" w:type="dxa"/>
            <w:noWrap w:val="0"/>
            <w:vAlign w:val="center"/>
          </w:tcPr>
          <w:p>
            <w:pPr>
              <w:spacing w:line="440" w:lineRule="exact"/>
              <w:rPr>
                <w:rFonts w:ascii="宋体" w:hAnsi="宋体" w:cs="宋体"/>
                <w:color w:val="auto"/>
                <w:kern w:val="0"/>
                <w:sz w:val="24"/>
                <w:highlight w:val="none"/>
                <w:lang w:val="zh-CN"/>
              </w:rPr>
            </w:pPr>
            <w:r>
              <w:rPr>
                <w:rFonts w:hint="eastAsia" w:ascii="宋体" w:hAnsi="宋体" w:cs="宋体"/>
                <w:color w:val="auto"/>
                <w:sz w:val="24"/>
                <w:highlight w:val="none"/>
              </w:rPr>
              <w:t>具有履行合同所必需的设备和专业技术能力；</w:t>
            </w:r>
          </w:p>
        </w:tc>
        <w:tc>
          <w:tcPr>
            <w:tcW w:w="4865" w:type="dxa"/>
            <w:noWrap w:val="0"/>
            <w:vAlign w:val="center"/>
          </w:tcPr>
          <w:p>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提供“</w:t>
            </w:r>
            <w:r>
              <w:rPr>
                <w:rStyle w:val="29"/>
                <w:rFonts w:hint="eastAsia" w:cs="宋体"/>
                <w:b w:val="0"/>
                <w:bCs/>
                <w:color w:val="auto"/>
                <w:sz w:val="24"/>
                <w:highlight w:val="none"/>
              </w:rPr>
              <w:t>具有履行合同所必需的设备和专业技术能力的承诺书</w:t>
            </w:r>
            <w:r>
              <w:rPr>
                <w:rFonts w:hint="eastAsia" w:ascii="宋体" w:hAnsi="宋体" w:cs="宋体"/>
                <w:color w:val="auto"/>
                <w:kern w:val="0"/>
                <w:sz w:val="24"/>
                <w:highlight w:val="none"/>
              </w:rPr>
              <w:t>”，</w:t>
            </w:r>
            <w:r>
              <w:rPr>
                <w:rStyle w:val="29"/>
                <w:rFonts w:hint="eastAsia" w:cs="宋体"/>
                <w:b w:val="0"/>
                <w:bCs/>
                <w:color w:val="auto"/>
                <w:sz w:val="24"/>
                <w:highlight w:val="none"/>
              </w:rPr>
              <w:t xml:space="preserve">格式见“第五章  </w:t>
            </w:r>
            <w:r>
              <w:rPr>
                <w:rStyle w:val="29"/>
                <w:rFonts w:hint="default" w:cs="宋体"/>
                <w:b w:val="0"/>
                <w:bCs/>
                <w:color w:val="auto"/>
                <w:sz w:val="24"/>
                <w:highlight w:val="none"/>
              </w:rPr>
              <w:t>响应文件格式</w:t>
            </w:r>
            <w:r>
              <w:rPr>
                <w:rStyle w:val="29"/>
                <w:rFonts w:hint="eastAsia" w:cs="宋体"/>
                <w:b w:val="0"/>
                <w:bCs/>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31" w:type="dxa"/>
            <w:vMerge w:val="continue"/>
            <w:noWrap w:val="0"/>
            <w:vAlign w:val="center"/>
          </w:tcPr>
          <w:p>
            <w:pPr>
              <w:spacing w:line="440" w:lineRule="exact"/>
              <w:jc w:val="center"/>
              <w:rPr>
                <w:rFonts w:ascii="宋体" w:hAnsi="宋体" w:cs="宋体"/>
                <w:color w:val="auto"/>
                <w:kern w:val="0"/>
                <w:sz w:val="24"/>
                <w:highlight w:val="none"/>
                <w:lang w:val="zh-CN"/>
              </w:rPr>
            </w:pPr>
          </w:p>
        </w:tc>
        <w:tc>
          <w:tcPr>
            <w:tcW w:w="4200" w:type="dxa"/>
            <w:noWrap w:val="0"/>
            <w:vAlign w:val="center"/>
          </w:tcPr>
          <w:p>
            <w:pPr>
              <w:spacing w:line="440" w:lineRule="exact"/>
              <w:rPr>
                <w:rFonts w:ascii="宋体" w:hAnsi="宋体" w:cs="宋体"/>
                <w:color w:val="auto"/>
                <w:kern w:val="0"/>
                <w:sz w:val="24"/>
                <w:highlight w:val="none"/>
                <w:lang w:val="zh-CN"/>
              </w:rPr>
            </w:pPr>
            <w:r>
              <w:rPr>
                <w:rFonts w:hint="eastAsia" w:ascii="宋体" w:hAnsi="宋体" w:cs="宋体"/>
                <w:color w:val="auto"/>
                <w:sz w:val="24"/>
                <w:highlight w:val="none"/>
              </w:rPr>
              <w:t>有依法缴纳税收和社会保障资金的良好记录；</w:t>
            </w:r>
          </w:p>
        </w:tc>
        <w:tc>
          <w:tcPr>
            <w:tcW w:w="4865" w:type="dxa"/>
            <w:noWrap w:val="0"/>
            <w:vAlign w:val="center"/>
          </w:tcPr>
          <w:p>
            <w:pPr>
              <w:spacing w:line="440" w:lineRule="exact"/>
              <w:rPr>
                <w:rFonts w:hint="eastAsia" w:ascii="宋体" w:hAnsi="宋体" w:eastAsia="宋体" w:cs="宋体"/>
                <w:color w:val="auto"/>
                <w:kern w:val="0"/>
                <w:sz w:val="24"/>
                <w:highlight w:val="none"/>
                <w:lang w:val="zh-CN" w:eastAsia="zh-CN"/>
              </w:rPr>
            </w:pPr>
            <w:r>
              <w:rPr>
                <w:rStyle w:val="29"/>
                <w:rFonts w:cs="宋体"/>
                <w:b w:val="0"/>
                <w:bCs/>
                <w:color w:val="auto"/>
                <w:sz w:val="24"/>
                <w:szCs w:val="24"/>
                <w:highlight w:val="none"/>
              </w:rPr>
              <w:t>提供</w:t>
            </w:r>
            <w:r>
              <w:rPr>
                <w:rStyle w:val="29"/>
                <w:rFonts w:hint="eastAsia" w:cs="宋体"/>
                <w:b w:val="0"/>
                <w:bCs/>
                <w:color w:val="auto"/>
                <w:sz w:val="24"/>
                <w:szCs w:val="24"/>
                <w:highlight w:val="none"/>
                <w:lang w:eastAsia="zh-CN"/>
              </w:rPr>
              <w:t>近</w:t>
            </w:r>
            <w:r>
              <w:rPr>
                <w:rStyle w:val="29"/>
                <w:rFonts w:cs="宋体"/>
                <w:b w:val="0"/>
                <w:bCs/>
                <w:color w:val="auto"/>
                <w:sz w:val="24"/>
                <w:szCs w:val="24"/>
                <w:highlight w:val="none"/>
              </w:rPr>
              <w:t>三个月任意一个月</w:t>
            </w:r>
            <w:r>
              <w:rPr>
                <w:rStyle w:val="29"/>
                <w:rFonts w:hint="eastAsia" w:cs="宋体"/>
                <w:b w:val="0"/>
                <w:bCs/>
                <w:color w:val="auto"/>
                <w:sz w:val="24"/>
                <w:szCs w:val="24"/>
                <w:highlight w:val="none"/>
              </w:rPr>
              <w:t>依法缴纳税收和社会保障资金的良好记录的证明材料（附复印件）</w:t>
            </w:r>
            <w:r>
              <w:rPr>
                <w:rStyle w:val="29"/>
                <w:rFonts w:hint="eastAsia"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31" w:type="dxa"/>
            <w:vMerge w:val="continue"/>
            <w:noWrap w:val="0"/>
            <w:vAlign w:val="center"/>
          </w:tcPr>
          <w:p>
            <w:pPr>
              <w:spacing w:line="440" w:lineRule="exact"/>
              <w:jc w:val="center"/>
              <w:rPr>
                <w:rFonts w:ascii="宋体" w:hAnsi="宋体" w:cs="宋体"/>
                <w:color w:val="auto"/>
                <w:kern w:val="0"/>
                <w:sz w:val="24"/>
                <w:highlight w:val="none"/>
                <w:lang w:val="zh-CN"/>
              </w:rPr>
            </w:pPr>
          </w:p>
        </w:tc>
        <w:tc>
          <w:tcPr>
            <w:tcW w:w="4200" w:type="dxa"/>
            <w:noWrap w:val="0"/>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tc>
        <w:tc>
          <w:tcPr>
            <w:tcW w:w="4865" w:type="dxa"/>
            <w:noWrap w:val="0"/>
            <w:vAlign w:val="center"/>
          </w:tcPr>
          <w:p>
            <w:pPr>
              <w:spacing w:line="440" w:lineRule="exact"/>
              <w:rPr>
                <w:rStyle w:val="29"/>
                <w:rFonts w:cs="宋体"/>
                <w:b w:val="0"/>
                <w:bCs/>
                <w:color w:val="auto"/>
                <w:sz w:val="24"/>
                <w:highlight w:val="none"/>
              </w:rPr>
            </w:pPr>
            <w:r>
              <w:rPr>
                <w:rStyle w:val="29"/>
                <w:rFonts w:hint="eastAsia" w:cs="宋体"/>
                <w:b w:val="0"/>
                <w:bCs/>
                <w:color w:val="auto"/>
                <w:sz w:val="24"/>
                <w:highlight w:val="none"/>
              </w:rPr>
              <w:t xml:space="preserve">提供“无重大违法记录承诺书”，格式见“第五章  </w:t>
            </w:r>
            <w:r>
              <w:rPr>
                <w:rStyle w:val="29"/>
                <w:rFonts w:hint="default" w:cs="宋体"/>
                <w:b w:val="0"/>
                <w:bCs/>
                <w:color w:val="auto"/>
                <w:sz w:val="24"/>
                <w:highlight w:val="none"/>
              </w:rPr>
              <w:t>响应文件格式</w:t>
            </w:r>
            <w:r>
              <w:rPr>
                <w:rStyle w:val="29"/>
                <w:rFonts w:hint="eastAsia" w:cs="宋体"/>
                <w:b w:val="0"/>
                <w:bCs/>
                <w:color w:val="auto"/>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31" w:type="dxa"/>
            <w:noWrap w:val="0"/>
            <w:vAlign w:val="center"/>
          </w:tcPr>
          <w:p>
            <w:pPr>
              <w:spacing w:line="44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p>
        </w:tc>
        <w:tc>
          <w:tcPr>
            <w:tcW w:w="4200" w:type="dxa"/>
            <w:noWrap w:val="0"/>
            <w:vAlign w:val="center"/>
          </w:tcPr>
          <w:p>
            <w:pPr>
              <w:spacing w:line="440" w:lineRule="exact"/>
              <w:rPr>
                <w:rFonts w:hint="default" w:ascii="宋体" w:hAnsi="宋体" w:cs="宋体"/>
                <w:bCs/>
                <w:color w:val="auto"/>
                <w:kern w:val="0"/>
                <w:sz w:val="24"/>
                <w:szCs w:val="22"/>
                <w:highlight w:val="none"/>
                <w:lang w:eastAsia="zh-Hans"/>
              </w:rPr>
            </w:pPr>
            <w:r>
              <w:rPr>
                <w:rFonts w:hint="default" w:ascii="宋体" w:hAnsi="宋体" w:cs="宋体"/>
                <w:bCs/>
                <w:color w:val="auto"/>
                <w:kern w:val="0"/>
                <w:sz w:val="24"/>
                <w:szCs w:val="22"/>
                <w:highlight w:val="none"/>
                <w:lang w:eastAsia="zh-CN"/>
              </w:rPr>
              <w:t>供应商为中小微企业</w:t>
            </w:r>
          </w:p>
        </w:tc>
        <w:tc>
          <w:tcPr>
            <w:tcW w:w="4865" w:type="dxa"/>
            <w:noWrap w:val="0"/>
            <w:vAlign w:val="center"/>
          </w:tcPr>
          <w:p>
            <w:pPr>
              <w:spacing w:line="440" w:lineRule="exact"/>
              <w:rPr>
                <w:rFonts w:ascii="宋体" w:hAnsi="宋体" w:cs="宋体"/>
                <w:color w:val="auto"/>
                <w:kern w:val="0"/>
                <w:sz w:val="24"/>
                <w:highlight w:val="none"/>
                <w:lang w:eastAsia="zh-Hans"/>
              </w:rPr>
            </w:pPr>
            <w:r>
              <w:rPr>
                <w:rFonts w:hint="eastAsia" w:ascii="宋体" w:hAnsi="宋体" w:cs="宋体"/>
                <w:color w:val="auto"/>
                <w:kern w:val="0"/>
                <w:sz w:val="24"/>
                <w:highlight w:val="none"/>
                <w:lang w:eastAsia="zh-Hans"/>
              </w:rPr>
              <w:t>根据</w:t>
            </w:r>
            <w:r>
              <w:rPr>
                <w:rFonts w:hint="eastAsia" w:ascii="宋体" w:hAnsi="宋体" w:cs="宋体"/>
                <w:color w:val="auto"/>
                <w:kern w:val="0"/>
                <w:sz w:val="24"/>
                <w:highlight w:val="none"/>
                <w:lang w:eastAsia="zh-CN"/>
              </w:rPr>
              <w:t>采购文件</w:t>
            </w:r>
            <w:r>
              <w:rPr>
                <w:rFonts w:hint="eastAsia" w:ascii="宋体" w:hAnsi="宋体" w:cs="宋体"/>
                <w:color w:val="auto"/>
                <w:kern w:val="0"/>
                <w:sz w:val="24"/>
                <w:highlight w:val="none"/>
                <w:lang w:eastAsia="zh-Hans"/>
              </w:rPr>
              <w:t>要求，提供“中小企业声明函”</w:t>
            </w:r>
          </w:p>
        </w:tc>
      </w:tr>
    </w:tbl>
    <w:p>
      <w:pPr>
        <w:pStyle w:val="22"/>
        <w:spacing w:before="75" w:beforeAutospacing="0" w:after="75" w:afterAutospacing="0" w:line="360" w:lineRule="auto"/>
        <w:rPr>
          <w:rStyle w:val="29"/>
          <w:rFonts w:cs="宋体"/>
          <w:b w:val="0"/>
          <w:bCs/>
          <w:color w:val="auto"/>
          <w:sz w:val="22"/>
          <w:szCs w:val="22"/>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2、符合性审查</w:t>
      </w:r>
    </w:p>
    <w:tbl>
      <w:tblPr>
        <w:tblStyle w:val="26"/>
        <w:tblpPr w:leftFromText="180" w:rightFromText="180" w:vertAnchor="text" w:horzAnchor="page" w:tblpXSpec="center" w:tblpY="135"/>
        <w:tblOverlap w:val="never"/>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382"/>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2" w:type="dxa"/>
            <w:noWrap w:val="0"/>
            <w:vAlign w:val="center"/>
          </w:tcPr>
          <w:p>
            <w:pPr>
              <w:spacing w:line="300" w:lineRule="auto"/>
              <w:ind w:left="60"/>
              <w:jc w:val="center"/>
              <w:rPr>
                <w:rFonts w:ascii="宋体" w:hAnsi="宋体" w:cs="宋体"/>
                <w:color w:val="auto"/>
                <w:sz w:val="24"/>
                <w:highlight w:val="none"/>
              </w:rPr>
            </w:pPr>
            <w:r>
              <w:rPr>
                <w:rFonts w:hint="eastAsia" w:ascii="宋体" w:hAnsi="宋体" w:cs="宋体"/>
                <w:color w:val="auto"/>
                <w:sz w:val="24"/>
                <w:highlight w:val="none"/>
              </w:rPr>
              <w:t>序号</w:t>
            </w:r>
          </w:p>
        </w:tc>
        <w:tc>
          <w:tcPr>
            <w:tcW w:w="3382" w:type="dxa"/>
            <w:noWrap w:val="0"/>
            <w:vAlign w:val="center"/>
          </w:tcPr>
          <w:p>
            <w:pPr>
              <w:spacing w:line="300" w:lineRule="auto"/>
              <w:ind w:left="60"/>
              <w:jc w:val="center"/>
              <w:rPr>
                <w:rFonts w:ascii="宋体" w:hAnsi="宋体" w:cs="宋体"/>
                <w:color w:val="auto"/>
                <w:sz w:val="24"/>
                <w:highlight w:val="none"/>
              </w:rPr>
            </w:pPr>
            <w:r>
              <w:rPr>
                <w:rFonts w:hint="eastAsia" w:ascii="宋体" w:hAnsi="宋体" w:cs="宋体"/>
                <w:color w:val="auto"/>
                <w:sz w:val="24"/>
                <w:highlight w:val="none"/>
              </w:rPr>
              <w:t>审查内容</w:t>
            </w:r>
          </w:p>
        </w:tc>
        <w:tc>
          <w:tcPr>
            <w:tcW w:w="5694" w:type="dxa"/>
            <w:noWrap w:val="0"/>
            <w:vAlign w:val="center"/>
          </w:tcPr>
          <w:p>
            <w:pPr>
              <w:spacing w:line="300" w:lineRule="auto"/>
              <w:ind w:left="60"/>
              <w:jc w:val="center"/>
              <w:rPr>
                <w:rFonts w:ascii="宋体" w:hAnsi="宋体" w:cs="宋体"/>
                <w:color w:val="auto"/>
                <w:sz w:val="24"/>
                <w:highlight w:val="none"/>
              </w:rPr>
            </w:pPr>
            <w:r>
              <w:rPr>
                <w:rFonts w:hint="eastAsia" w:ascii="宋体" w:hAnsi="宋体" w:cs="宋体"/>
                <w:color w:val="auto"/>
                <w:sz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2" w:type="dxa"/>
            <w:noWrap w:val="0"/>
            <w:vAlign w:val="center"/>
          </w:tcPr>
          <w:p>
            <w:pPr>
              <w:spacing w:line="360" w:lineRule="auto"/>
              <w:ind w:left="60" w:leftChars="0"/>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1</w:t>
            </w:r>
          </w:p>
        </w:tc>
        <w:tc>
          <w:tcPr>
            <w:tcW w:w="3382" w:type="dxa"/>
            <w:noWrap w:val="0"/>
            <w:vAlign w:val="center"/>
          </w:tcPr>
          <w:p>
            <w:pPr>
              <w:spacing w:line="300" w:lineRule="auto"/>
              <w:ind w:left="6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w:t>
            </w:r>
          </w:p>
        </w:tc>
        <w:tc>
          <w:tcPr>
            <w:tcW w:w="5694" w:type="dxa"/>
            <w:noWrap w:val="0"/>
            <w:vAlign w:val="center"/>
          </w:tcPr>
          <w:p>
            <w:pPr>
              <w:spacing w:line="300" w:lineRule="auto"/>
              <w:ind w:left="6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报价符合</w:t>
            </w:r>
            <w:r>
              <w:rPr>
                <w:rFonts w:hint="default" w:ascii="宋体" w:hAnsi="宋体" w:cs="宋体"/>
                <w:color w:val="auto"/>
                <w:sz w:val="24"/>
                <w:highlight w:val="none"/>
                <w:lang w:eastAsia="zh-CN"/>
              </w:rPr>
              <w:t>采购文件</w:t>
            </w:r>
            <w:r>
              <w:rPr>
                <w:rFonts w:hint="eastAsia" w:ascii="宋体" w:hAnsi="宋体" w:cs="宋体"/>
                <w:color w:val="auto"/>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2</w:t>
            </w:r>
          </w:p>
        </w:tc>
        <w:tc>
          <w:tcPr>
            <w:tcW w:w="3382"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color w:val="auto"/>
                <w:kern w:val="0"/>
                <w:sz w:val="24"/>
                <w:highlight w:val="none"/>
              </w:rPr>
              <w:t>联合体投标规定</w:t>
            </w:r>
          </w:p>
        </w:tc>
        <w:tc>
          <w:tcPr>
            <w:tcW w:w="5694"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bCs/>
                <w:color w:val="auto"/>
                <w:kern w:val="0"/>
                <w:sz w:val="24"/>
                <w:szCs w:val="22"/>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3</w:t>
            </w:r>
          </w:p>
        </w:tc>
        <w:tc>
          <w:tcPr>
            <w:tcW w:w="3382" w:type="dxa"/>
            <w:noWrap w:val="0"/>
            <w:vAlign w:val="center"/>
          </w:tcPr>
          <w:p>
            <w:pPr>
              <w:spacing w:line="360" w:lineRule="auto"/>
              <w:ind w:left="60"/>
              <w:jc w:val="left"/>
              <w:rPr>
                <w:rFonts w:ascii="宋体" w:hAnsi="宋体" w:cs="宋体"/>
                <w:color w:val="auto"/>
                <w:kern w:val="0"/>
                <w:sz w:val="24"/>
                <w:highlight w:val="none"/>
              </w:rPr>
            </w:pP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的关联性</w:t>
            </w:r>
          </w:p>
        </w:tc>
        <w:tc>
          <w:tcPr>
            <w:tcW w:w="5694" w:type="dxa"/>
            <w:noWrap w:val="0"/>
            <w:vAlign w:val="center"/>
          </w:tcPr>
          <w:p>
            <w:pPr>
              <w:spacing w:line="360" w:lineRule="auto"/>
              <w:ind w:left="60"/>
              <w:jc w:val="left"/>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在同一标包内，单位负责人非同一人或者不存在直接控股、管理关系的不同</w:t>
            </w: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4</w:t>
            </w:r>
          </w:p>
        </w:tc>
        <w:tc>
          <w:tcPr>
            <w:tcW w:w="3382"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color w:val="auto"/>
                <w:sz w:val="24"/>
                <w:highlight w:val="none"/>
              </w:rPr>
              <w:t>满足投标范围的完整性要求</w:t>
            </w:r>
          </w:p>
        </w:tc>
        <w:tc>
          <w:tcPr>
            <w:tcW w:w="5694" w:type="dxa"/>
            <w:noWrap w:val="0"/>
            <w:vAlign w:val="center"/>
          </w:tcPr>
          <w:p>
            <w:pPr>
              <w:spacing w:line="360" w:lineRule="auto"/>
              <w:ind w:left="6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对所投</w:t>
            </w:r>
            <w:r>
              <w:rPr>
                <w:rFonts w:hint="default" w:ascii="宋体" w:hAnsi="宋体" w:cs="宋体"/>
                <w:color w:val="auto"/>
                <w:sz w:val="24"/>
                <w:highlight w:val="none"/>
                <w:lang w:eastAsia="zh-CN"/>
              </w:rPr>
              <w:t>采购文件</w:t>
            </w:r>
            <w:r>
              <w:rPr>
                <w:rFonts w:hint="eastAsia" w:ascii="宋体" w:hAnsi="宋体" w:cs="宋体"/>
                <w:color w:val="auto"/>
                <w:sz w:val="24"/>
                <w:highlight w:val="none"/>
              </w:rPr>
              <w:t>中所列的所有内容进行投标。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5</w:t>
            </w:r>
          </w:p>
        </w:tc>
        <w:tc>
          <w:tcPr>
            <w:tcW w:w="3382" w:type="dxa"/>
            <w:noWrap w:val="0"/>
            <w:vAlign w:val="center"/>
          </w:tcPr>
          <w:p>
            <w:pPr>
              <w:spacing w:line="360" w:lineRule="auto"/>
              <w:ind w:left="60"/>
              <w:jc w:val="left"/>
              <w:rPr>
                <w:rFonts w:ascii="宋体" w:hAnsi="宋体" w:cs="宋体"/>
                <w:color w:val="auto"/>
                <w:sz w:val="24"/>
                <w:highlight w:val="none"/>
              </w:rPr>
            </w:pPr>
            <w:r>
              <w:rPr>
                <w:rFonts w:hint="default" w:ascii="宋体" w:hAnsi="宋体" w:cs="宋体"/>
                <w:color w:val="auto"/>
                <w:sz w:val="24"/>
                <w:highlight w:val="none"/>
                <w:lang w:eastAsia="zh-CN"/>
              </w:rPr>
              <w:t>响应文件</w:t>
            </w:r>
            <w:r>
              <w:rPr>
                <w:rFonts w:hint="eastAsia" w:ascii="宋体" w:hAnsi="宋体" w:cs="宋体"/>
                <w:color w:val="auto"/>
                <w:sz w:val="24"/>
                <w:highlight w:val="none"/>
              </w:rPr>
              <w:t>的签署和盖章符合要求</w:t>
            </w:r>
          </w:p>
        </w:tc>
        <w:tc>
          <w:tcPr>
            <w:tcW w:w="5694" w:type="dxa"/>
            <w:noWrap w:val="0"/>
            <w:vAlign w:val="center"/>
          </w:tcPr>
          <w:p>
            <w:pPr>
              <w:spacing w:line="360" w:lineRule="auto"/>
              <w:ind w:left="60"/>
              <w:rPr>
                <w:rFonts w:ascii="宋体" w:hAnsi="宋体" w:cs="宋体"/>
                <w:color w:val="auto"/>
                <w:sz w:val="24"/>
                <w:highlight w:val="none"/>
              </w:rPr>
            </w:pPr>
            <w:r>
              <w:rPr>
                <w:rFonts w:hint="default" w:ascii="宋体" w:hAnsi="宋体" w:cs="宋体"/>
                <w:color w:val="auto"/>
                <w:sz w:val="24"/>
                <w:highlight w:val="none"/>
                <w:lang w:eastAsia="zh-CN"/>
              </w:rPr>
              <w:t>响应文件</w:t>
            </w:r>
            <w:r>
              <w:rPr>
                <w:rFonts w:hint="eastAsia" w:ascii="宋体" w:hAnsi="宋体" w:cs="宋体"/>
                <w:color w:val="auto"/>
                <w:sz w:val="24"/>
                <w:highlight w:val="none"/>
              </w:rPr>
              <w:t>制作、签署和盖章是否符合本</w:t>
            </w:r>
            <w:r>
              <w:rPr>
                <w:rFonts w:hint="default" w:ascii="宋体" w:hAnsi="宋体" w:cs="宋体"/>
                <w:color w:val="auto"/>
                <w:sz w:val="24"/>
                <w:highlight w:val="none"/>
                <w:lang w:eastAsia="zh-CN"/>
              </w:rPr>
              <w:t>采购文件</w:t>
            </w:r>
            <w:r>
              <w:rPr>
                <w:rFonts w:hint="eastAsia" w:ascii="宋体" w:hAnsi="宋体" w:cs="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6</w:t>
            </w:r>
          </w:p>
        </w:tc>
        <w:tc>
          <w:tcPr>
            <w:tcW w:w="3382"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color w:val="auto"/>
                <w:sz w:val="24"/>
                <w:highlight w:val="none"/>
              </w:rPr>
              <w:t>没有</w:t>
            </w:r>
            <w:r>
              <w:rPr>
                <w:rFonts w:hint="default" w:ascii="宋体" w:hAnsi="宋体" w:cs="宋体"/>
                <w:color w:val="auto"/>
                <w:sz w:val="24"/>
                <w:highlight w:val="none"/>
                <w:lang w:eastAsia="zh-CN"/>
              </w:rPr>
              <w:t>采购人</w:t>
            </w:r>
            <w:r>
              <w:rPr>
                <w:rFonts w:hint="eastAsia" w:ascii="宋体" w:hAnsi="宋体" w:cs="宋体"/>
                <w:color w:val="auto"/>
                <w:sz w:val="24"/>
                <w:highlight w:val="none"/>
              </w:rPr>
              <w:t>不能接受的附加条件</w:t>
            </w:r>
          </w:p>
        </w:tc>
        <w:tc>
          <w:tcPr>
            <w:tcW w:w="5694" w:type="dxa"/>
            <w:noWrap w:val="0"/>
            <w:vAlign w:val="center"/>
          </w:tcPr>
          <w:p>
            <w:pPr>
              <w:spacing w:line="360" w:lineRule="auto"/>
              <w:ind w:left="60"/>
              <w:rPr>
                <w:rFonts w:ascii="宋体" w:hAnsi="宋体" w:cs="宋体"/>
                <w:color w:val="auto"/>
                <w:sz w:val="24"/>
                <w:highlight w:val="none"/>
              </w:rPr>
            </w:pPr>
            <w:r>
              <w:rPr>
                <w:rFonts w:hint="default" w:ascii="宋体" w:hAnsi="宋体" w:cs="宋体"/>
                <w:color w:val="auto"/>
                <w:sz w:val="24"/>
                <w:highlight w:val="none"/>
                <w:lang w:eastAsia="zh-CN"/>
              </w:rPr>
              <w:t>响应文件</w:t>
            </w:r>
            <w:r>
              <w:rPr>
                <w:rFonts w:hint="eastAsia" w:ascii="宋体" w:hAnsi="宋体" w:cs="宋体"/>
                <w:color w:val="auto"/>
                <w:sz w:val="24"/>
                <w:highlight w:val="none"/>
              </w:rPr>
              <w:t>未含有</w:t>
            </w:r>
            <w:r>
              <w:rPr>
                <w:rFonts w:hint="default" w:ascii="宋体" w:hAnsi="宋体" w:cs="宋体"/>
                <w:color w:val="auto"/>
                <w:sz w:val="24"/>
                <w:highlight w:val="none"/>
                <w:lang w:eastAsia="zh-CN"/>
              </w:rPr>
              <w:t>采购人</w:t>
            </w:r>
            <w:r>
              <w:rPr>
                <w:rFonts w:hint="eastAsia" w:ascii="宋体" w:hAnsi="宋体" w:cs="宋体"/>
                <w:color w:val="auto"/>
                <w:sz w:val="24"/>
                <w:highlight w:val="none"/>
              </w:rPr>
              <w:t>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2" w:type="dxa"/>
            <w:noWrap w:val="0"/>
            <w:vAlign w:val="center"/>
          </w:tcPr>
          <w:p>
            <w:pPr>
              <w:spacing w:line="36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7</w:t>
            </w:r>
          </w:p>
        </w:tc>
        <w:tc>
          <w:tcPr>
            <w:tcW w:w="3382"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color w:val="auto"/>
                <w:sz w:val="24"/>
                <w:highlight w:val="none"/>
              </w:rPr>
              <w:t>未发现串通投标</w:t>
            </w:r>
          </w:p>
        </w:tc>
        <w:tc>
          <w:tcPr>
            <w:tcW w:w="5694" w:type="dxa"/>
            <w:noWrap w:val="0"/>
            <w:vAlign w:val="center"/>
          </w:tcPr>
          <w:p>
            <w:pPr>
              <w:spacing w:line="360" w:lineRule="auto"/>
              <w:ind w:left="60"/>
              <w:rPr>
                <w:rFonts w:ascii="宋体" w:hAnsi="宋体" w:cs="宋体"/>
                <w:color w:val="auto"/>
                <w:sz w:val="24"/>
                <w:highlight w:val="none"/>
              </w:rPr>
            </w:pPr>
            <w:r>
              <w:rPr>
                <w:rFonts w:hint="eastAsia" w:ascii="宋体" w:hAnsi="宋体" w:cs="宋体"/>
                <w:color w:val="auto"/>
                <w:sz w:val="24"/>
                <w:highlight w:val="none"/>
              </w:rPr>
              <w:t>未与其他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串通投标，或者与</w:t>
            </w:r>
            <w:r>
              <w:rPr>
                <w:rFonts w:hint="default" w:ascii="宋体" w:hAnsi="宋体" w:cs="宋体"/>
                <w:color w:val="auto"/>
                <w:sz w:val="24"/>
                <w:highlight w:val="none"/>
                <w:lang w:eastAsia="zh-CN"/>
              </w:rPr>
              <w:t>采购人</w:t>
            </w:r>
            <w:r>
              <w:rPr>
                <w:rFonts w:hint="eastAsia" w:ascii="宋体" w:hAnsi="宋体" w:cs="宋体"/>
                <w:color w:val="auto"/>
                <w:sz w:val="24"/>
                <w:highlight w:val="none"/>
              </w:rPr>
              <w:t>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2" w:type="dxa"/>
            <w:noWrap w:val="0"/>
            <w:vAlign w:val="center"/>
          </w:tcPr>
          <w:p>
            <w:pPr>
              <w:spacing w:line="360" w:lineRule="auto"/>
              <w:ind w:left="6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3382" w:type="dxa"/>
            <w:noWrap w:val="0"/>
            <w:vAlign w:val="center"/>
          </w:tcPr>
          <w:p>
            <w:pPr>
              <w:spacing w:line="360" w:lineRule="auto"/>
              <w:ind w:left="60"/>
              <w:jc w:val="left"/>
              <w:rPr>
                <w:rFonts w:ascii="宋体" w:hAnsi="宋体" w:cs="宋体"/>
                <w:color w:val="auto"/>
                <w:sz w:val="24"/>
                <w:highlight w:val="none"/>
              </w:rPr>
            </w:pPr>
            <w:r>
              <w:rPr>
                <w:rFonts w:hint="eastAsia" w:ascii="宋体" w:hAnsi="宋体" w:cs="宋体"/>
                <w:color w:val="auto"/>
                <w:sz w:val="24"/>
                <w:highlight w:val="none"/>
              </w:rPr>
              <w:t>投标有效期满足要求</w:t>
            </w:r>
          </w:p>
        </w:tc>
        <w:tc>
          <w:tcPr>
            <w:tcW w:w="5694" w:type="dxa"/>
            <w:noWrap w:val="0"/>
            <w:vAlign w:val="center"/>
          </w:tcPr>
          <w:p>
            <w:pPr>
              <w:spacing w:line="360" w:lineRule="auto"/>
              <w:ind w:left="60"/>
              <w:rPr>
                <w:rFonts w:ascii="宋体" w:hAnsi="宋体" w:cs="宋体"/>
                <w:color w:val="auto"/>
                <w:sz w:val="24"/>
                <w:highlight w:val="none"/>
              </w:rPr>
            </w:pPr>
            <w:r>
              <w:rPr>
                <w:rStyle w:val="29"/>
                <w:rFonts w:hint="eastAsia" w:cs="宋体"/>
                <w:b w:val="0"/>
                <w:bCs/>
                <w:color w:val="auto"/>
                <w:sz w:val="24"/>
                <w:highlight w:val="none"/>
              </w:rPr>
              <w:t>递交</w:t>
            </w:r>
            <w:r>
              <w:rPr>
                <w:rStyle w:val="29"/>
                <w:rFonts w:hint="default" w:cs="宋体"/>
                <w:b w:val="0"/>
                <w:bCs/>
                <w:color w:val="auto"/>
                <w:sz w:val="24"/>
                <w:highlight w:val="none"/>
                <w:lang w:eastAsia="zh-CN"/>
              </w:rPr>
              <w:t>响应文件</w:t>
            </w:r>
            <w:r>
              <w:rPr>
                <w:rStyle w:val="29"/>
                <w:rFonts w:hint="eastAsia" w:cs="宋体"/>
                <w:b w:val="0"/>
                <w:bCs/>
                <w:color w:val="auto"/>
                <w:sz w:val="24"/>
                <w:highlight w:val="none"/>
              </w:rPr>
              <w:t>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18" w:type="dxa"/>
            <w:gridSpan w:val="3"/>
            <w:noWrap w:val="0"/>
            <w:vAlign w:val="center"/>
          </w:tcPr>
          <w:p>
            <w:pPr>
              <w:spacing w:line="300" w:lineRule="auto"/>
              <w:ind w:left="60"/>
              <w:rPr>
                <w:rFonts w:ascii="宋体" w:hAnsi="宋体" w:cs="宋体"/>
                <w:color w:val="auto"/>
                <w:sz w:val="24"/>
                <w:highlight w:val="none"/>
              </w:rPr>
            </w:pPr>
            <w:r>
              <w:rPr>
                <w:rFonts w:hint="eastAsia" w:ascii="宋体" w:hAnsi="宋体" w:cs="宋体"/>
                <w:color w:val="auto"/>
                <w:sz w:val="24"/>
                <w:highlight w:val="none"/>
              </w:rPr>
              <w:t>结论：通过评审打“√”，未通过评审打“×”</w:t>
            </w:r>
          </w:p>
        </w:tc>
      </w:tr>
    </w:tbl>
    <w:p>
      <w:pPr>
        <w:spacing w:line="360" w:lineRule="auto"/>
        <w:rPr>
          <w:rFonts w:hint="eastAsia" w:ascii="宋体" w:hAnsi="宋体" w:cs="宋体"/>
          <w:b/>
          <w:bCs/>
          <w:color w:val="auto"/>
          <w:sz w:val="24"/>
          <w:highlight w:val="none"/>
        </w:rPr>
      </w:pPr>
    </w:p>
    <w:p>
      <w:pPr>
        <w:spacing w:line="360" w:lineRule="auto"/>
        <w:rPr>
          <w:rFonts w:ascii="宋体" w:hAnsi="宋体" w:cs="宋体"/>
          <w:b/>
          <w:bCs/>
          <w:color w:val="auto"/>
          <w:sz w:val="24"/>
          <w:highlight w:val="none"/>
        </w:rPr>
        <w:sectPr>
          <w:footerReference r:id="rId10" w:type="default"/>
          <w:pgSz w:w="11906" w:h="16838"/>
          <w:pgMar w:top="720" w:right="720" w:bottom="720" w:left="720" w:header="851" w:footer="992" w:gutter="0"/>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初步评审不通过，未通过初审的其</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将按照无效响应处理。</w:t>
      </w:r>
    </w:p>
    <w:p>
      <w:pPr>
        <w:pStyle w:val="22"/>
        <w:numPr>
          <w:ilvl w:val="0"/>
          <w:numId w:val="11"/>
        </w:numPr>
        <w:spacing w:before="75" w:beforeAutospacing="0" w:after="75" w:afterAutospacing="0" w:line="360" w:lineRule="auto"/>
        <w:rPr>
          <w:rStyle w:val="29"/>
          <w:rFonts w:hint="eastAsia" w:cs="宋体"/>
          <w:color w:val="auto"/>
          <w:sz w:val="24"/>
          <w:szCs w:val="24"/>
          <w:highlight w:val="none"/>
        </w:rPr>
      </w:pPr>
      <w:r>
        <w:rPr>
          <w:rStyle w:val="29"/>
          <w:rFonts w:hint="eastAsia" w:cs="宋体"/>
          <w:color w:val="auto"/>
          <w:sz w:val="24"/>
          <w:szCs w:val="24"/>
          <w:highlight w:val="none"/>
        </w:rPr>
        <w:t>评标方法（综合评分法）</w:t>
      </w:r>
    </w:p>
    <w:tbl>
      <w:tblPr>
        <w:tblStyle w:val="26"/>
        <w:tblW w:w="4882"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84"/>
        <w:gridCol w:w="113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评审因素</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评审分值</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投标报价</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w:t>
            </w:r>
            <w:r>
              <w:rPr>
                <w:rFonts w:hint="default" w:ascii="宋体" w:hAnsi="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lang w:eastAsia="zh-CN"/>
              </w:rPr>
              <w:t>要求且投标价格最低的投标报价为评标基准价，其价格分为满分</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4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技术商务水平评分</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项目服务实施方案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根据各</w:t>
            </w:r>
            <w:r>
              <w:rPr>
                <w:rFonts w:hint="default" w:ascii="宋体" w:hAnsi="宋体" w:cs="宋体"/>
                <w:color w:val="auto"/>
                <w:kern w:val="0"/>
                <w:sz w:val="21"/>
                <w:szCs w:val="21"/>
                <w:highlight w:val="none"/>
              </w:rPr>
              <w:t>供应商</w:t>
            </w:r>
            <w:r>
              <w:rPr>
                <w:rFonts w:hint="eastAsia" w:ascii="宋体" w:hAnsi="宋体" w:eastAsia="宋体" w:cs="宋体"/>
                <w:color w:val="auto"/>
                <w:kern w:val="0"/>
                <w:sz w:val="21"/>
                <w:szCs w:val="21"/>
                <w:highlight w:val="none"/>
              </w:rPr>
              <w:t>对针对本项目理解程度，</w:t>
            </w:r>
            <w:r>
              <w:rPr>
                <w:rFonts w:hint="eastAsia" w:ascii="宋体" w:hAnsi="宋体" w:eastAsia="宋体" w:cs="宋体"/>
                <w:b/>
                <w:bCs/>
                <w:color w:val="auto"/>
                <w:kern w:val="0"/>
                <w:sz w:val="21"/>
                <w:szCs w:val="21"/>
                <w:highlight w:val="none"/>
              </w:rPr>
              <w:t>提供本项目的</w:t>
            </w:r>
            <w:r>
              <w:rPr>
                <w:rFonts w:hint="eastAsia" w:ascii="宋体" w:hAnsi="宋体" w:cs="宋体"/>
                <w:b/>
                <w:bCs/>
                <w:color w:val="auto"/>
                <w:kern w:val="0"/>
                <w:sz w:val="21"/>
                <w:szCs w:val="21"/>
                <w:highlight w:val="none"/>
                <w:lang w:eastAsia="zh-CN"/>
              </w:rPr>
              <w:t>各类供餐</w:t>
            </w:r>
            <w:r>
              <w:rPr>
                <w:rFonts w:hint="eastAsia" w:ascii="宋体" w:hAnsi="宋体" w:eastAsia="宋体" w:cs="宋体"/>
                <w:b/>
                <w:bCs/>
                <w:color w:val="auto"/>
                <w:kern w:val="0"/>
                <w:sz w:val="21"/>
                <w:szCs w:val="21"/>
                <w:highlight w:val="none"/>
              </w:rPr>
              <w:t>服务</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食堂现场制作、线下堂食等多样化服务</w:t>
            </w:r>
            <w:r>
              <w:rPr>
                <w:rFonts w:hint="eastAsia" w:ascii="宋体" w:hAnsi="宋体" w:cs="宋体"/>
                <w:b/>
                <w:bCs/>
                <w:color w:val="auto"/>
                <w:kern w:val="0"/>
                <w:sz w:val="21"/>
                <w:szCs w:val="21"/>
                <w:highlight w:val="none"/>
                <w:lang w:eastAsia="zh-CN"/>
              </w:rPr>
              <w:t>）</w:t>
            </w:r>
            <w:r>
              <w:rPr>
                <w:rFonts w:hint="eastAsia" w:ascii="宋体" w:hAnsi="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lang w:eastAsia="zh-CN"/>
              </w:rPr>
              <w:t>实施</w:t>
            </w:r>
            <w:r>
              <w:rPr>
                <w:rFonts w:hint="eastAsia" w:ascii="宋体" w:hAnsi="宋体" w:eastAsia="宋体" w:cs="宋体"/>
                <w:color w:val="auto"/>
                <w:kern w:val="0"/>
                <w:sz w:val="21"/>
                <w:szCs w:val="21"/>
                <w:highlight w:val="none"/>
              </w:rPr>
              <w:t>方案、服务理念和思路、实施目标、服务计划、操作流程综合打分：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对项目实施目标解读准确到位、整体策划及实施方案充分考虑项目需求，契合度高，内容完善、流程完整，针对性、可行性强并能充分满足项目需求的得</w:t>
            </w:r>
            <w:r>
              <w:rPr>
                <w:rFonts w:hint="eastAsia" w:ascii="宋体" w:hAnsi="宋体" w:cs="宋体"/>
                <w:color w:val="auto"/>
                <w:kern w:val="0"/>
                <w:sz w:val="21"/>
                <w:szCs w:val="21"/>
                <w:highlight w:val="none"/>
                <w:lang w:val="en-US" w:eastAsia="zh-CN"/>
              </w:rPr>
              <w:t>12-15</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对项目实施目标理解正确完整、整体策划及实施方案能满足服务需要，具有一定的针对性、可行性的得</w:t>
            </w:r>
            <w:r>
              <w:rPr>
                <w:rFonts w:hint="eastAsia" w:ascii="宋体" w:hAnsi="宋体" w:cs="宋体"/>
                <w:color w:val="auto"/>
                <w:kern w:val="0"/>
                <w:sz w:val="21"/>
                <w:szCs w:val="21"/>
                <w:highlight w:val="none"/>
                <w:lang w:val="en-US" w:eastAsia="zh-CN"/>
              </w:rPr>
              <w:t>7-12</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对项目实施目标理解基本正确、整体策划及实施方案尚能满足服务需要，针对性、可行性尚可得</w:t>
            </w:r>
            <w:r>
              <w:rPr>
                <w:rFonts w:hint="eastAsia" w:ascii="宋体" w:hAnsi="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对项目实施目标理解尚可、整体策划及实施方案较简单，未能充分针对本项目需求特点，方案设计较粗糙的得</w:t>
            </w:r>
            <w:r>
              <w:rPr>
                <w:rFonts w:hint="eastAsia" w:ascii="宋体" w:hAnsi="宋体" w:cs="宋体"/>
                <w:color w:val="auto"/>
                <w:kern w:val="0"/>
                <w:sz w:val="21"/>
                <w:szCs w:val="21"/>
                <w:highlight w:val="none"/>
                <w:lang w:val="en-US" w:eastAsia="zh-CN"/>
              </w:rPr>
              <w:t>0-3</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管理经营方案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针对本项目</w:t>
            </w:r>
            <w:r>
              <w:rPr>
                <w:rFonts w:hint="eastAsia" w:ascii="宋体" w:hAnsi="宋体" w:eastAsia="宋体" w:cs="宋体"/>
                <w:color w:val="auto"/>
                <w:kern w:val="2"/>
                <w:sz w:val="21"/>
                <w:szCs w:val="21"/>
                <w:highlight w:val="none"/>
                <w:lang w:val="en-US" w:eastAsia="zh-CN" w:bidi="ar-SA"/>
              </w:rPr>
              <w:t>提供全套管理规章制度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b w:val="0"/>
                <w:color w:val="auto"/>
                <w:kern w:val="2"/>
                <w:sz w:val="21"/>
                <w:szCs w:val="22"/>
                <w:highlight w:val="none"/>
                <w:lang w:val="en-US" w:eastAsia="zh-CN"/>
              </w:rPr>
              <w:t>管理措施合理、可行，</w:t>
            </w:r>
            <w:r>
              <w:rPr>
                <w:rFonts w:hint="eastAsia" w:ascii="宋体" w:hAnsi="宋体" w:eastAsia="宋体" w:cs="宋体"/>
                <w:color w:val="auto"/>
                <w:kern w:val="2"/>
                <w:sz w:val="21"/>
                <w:szCs w:val="21"/>
                <w:highlight w:val="none"/>
                <w:lang w:val="en-US" w:eastAsia="zh-CN" w:bidi="ar-SA"/>
              </w:rPr>
              <w:t>包括但不限于</w:t>
            </w:r>
            <w:r>
              <w:rPr>
                <w:rFonts w:hint="eastAsia" w:ascii="宋体" w:hAnsi="宋体" w:eastAsia="宋体" w:cs="宋体"/>
                <w:b w:val="0"/>
                <w:color w:val="auto"/>
                <w:kern w:val="2"/>
                <w:sz w:val="21"/>
                <w:szCs w:val="22"/>
                <w:highlight w:val="none"/>
                <w:lang w:val="en-US" w:eastAsia="zh-CN"/>
              </w:rPr>
              <w:t>投诉处理方案、治安及意外事故处理方案齐全（责任明确，落实到人）、</w:t>
            </w:r>
            <w:r>
              <w:rPr>
                <w:rFonts w:hint="eastAsia" w:ascii="宋体" w:hAnsi="宋体" w:eastAsia="宋体" w:cs="宋体"/>
                <w:color w:val="auto"/>
                <w:kern w:val="2"/>
                <w:sz w:val="21"/>
                <w:szCs w:val="21"/>
                <w:highlight w:val="none"/>
                <w:lang w:val="en-US" w:eastAsia="zh-CN" w:bidi="ar-SA"/>
              </w:rPr>
              <w:t>员工日常管理制度和考核办法、员工培训管理、资产管理、安全稳定管理等。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制度</w:t>
            </w:r>
            <w:r>
              <w:rPr>
                <w:rFonts w:hint="eastAsia" w:ascii="宋体" w:hAnsi="宋体" w:eastAsia="宋体" w:cs="宋体"/>
                <w:color w:val="auto"/>
                <w:kern w:val="0"/>
                <w:sz w:val="21"/>
                <w:szCs w:val="21"/>
                <w:highlight w:val="none"/>
              </w:rPr>
              <w:t>明确细致并有较清晰的安排，</w:t>
            </w:r>
            <w:r>
              <w:rPr>
                <w:rFonts w:hint="eastAsia" w:ascii="宋体" w:hAnsi="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rPr>
              <w:t>合理、完善、操作性强的得</w:t>
            </w:r>
            <w:r>
              <w:rPr>
                <w:rFonts w:hint="eastAsia" w:ascii="宋体" w:hAnsi="宋体" w:cs="宋体"/>
                <w:color w:val="auto"/>
                <w:kern w:val="0"/>
                <w:sz w:val="21"/>
                <w:szCs w:val="21"/>
                <w:highlight w:val="none"/>
                <w:lang w:val="en-US" w:eastAsia="zh-CN"/>
              </w:rPr>
              <w:t>4-7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制度</w:t>
            </w:r>
            <w:r>
              <w:rPr>
                <w:rFonts w:hint="eastAsia" w:ascii="宋体" w:hAnsi="宋体" w:eastAsia="宋体" w:cs="宋体"/>
                <w:color w:val="auto"/>
                <w:kern w:val="0"/>
                <w:sz w:val="21"/>
                <w:szCs w:val="21"/>
                <w:highlight w:val="none"/>
              </w:rPr>
              <w:t>较一般，合理性、操作性一般的得</w:t>
            </w:r>
            <w:r>
              <w:rPr>
                <w:rFonts w:hint="eastAsia" w:ascii="宋体" w:hAnsi="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制度</w:t>
            </w:r>
            <w:r>
              <w:rPr>
                <w:rFonts w:hint="eastAsia" w:ascii="宋体" w:hAnsi="宋体" w:eastAsia="宋体" w:cs="宋体"/>
                <w:color w:val="auto"/>
                <w:kern w:val="0"/>
                <w:sz w:val="21"/>
                <w:szCs w:val="21"/>
                <w:highlight w:val="none"/>
              </w:rPr>
              <w:t>有明显缺失，</w:t>
            </w:r>
            <w:r>
              <w:rPr>
                <w:rFonts w:hint="eastAsia" w:ascii="宋体" w:hAnsi="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rPr>
              <w:t>不合理或操作性较差的得</w:t>
            </w:r>
            <w:r>
              <w:rPr>
                <w:rFonts w:hint="eastAsia" w:ascii="宋体" w:hAnsi="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合理化建议及</w:t>
            </w:r>
            <w:r>
              <w:rPr>
                <w:rFonts w:hint="eastAsia" w:ascii="宋体" w:hAnsi="宋体" w:cs="宋体"/>
                <w:b w:val="0"/>
                <w:bCs w:val="0"/>
                <w:color w:val="auto"/>
                <w:sz w:val="21"/>
                <w:szCs w:val="21"/>
                <w:highlight w:val="none"/>
                <w:lang w:eastAsia="zh-CN"/>
              </w:rPr>
              <w:t>增值</w:t>
            </w:r>
            <w:r>
              <w:rPr>
                <w:rFonts w:hint="eastAsia" w:ascii="宋体" w:hAnsi="宋体" w:eastAsia="宋体" w:cs="宋体"/>
                <w:b w:val="0"/>
                <w:bCs w:val="0"/>
                <w:color w:val="auto"/>
                <w:sz w:val="21"/>
                <w:szCs w:val="21"/>
                <w:highlight w:val="none"/>
                <w:lang w:eastAsia="zh-CN"/>
              </w:rPr>
              <w:t>服务承诺</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eastAsia="zh-CN"/>
              </w:rPr>
            </w:pPr>
            <w:r>
              <w:rPr>
                <w:rFonts w:hint="eastAsia"/>
                <w:color w:val="auto"/>
              </w:rPr>
              <w:t>根据</w:t>
            </w:r>
            <w:r>
              <w:rPr>
                <w:rFonts w:hint="eastAsia"/>
                <w:color w:val="auto"/>
                <w:lang w:eastAsia="zh-CN"/>
              </w:rPr>
              <w:t>供应商</w:t>
            </w:r>
            <w:r>
              <w:rPr>
                <w:rFonts w:hint="eastAsia"/>
                <w:color w:val="auto"/>
              </w:rPr>
              <w:t>针对本项目的合理化建议</w:t>
            </w:r>
            <w:r>
              <w:rPr>
                <w:rFonts w:hint="eastAsia"/>
                <w:color w:val="auto"/>
                <w:lang w:eastAsia="zh-CN"/>
              </w:rPr>
              <w:t>、增值服务</w:t>
            </w:r>
            <w:r>
              <w:rPr>
                <w:rFonts w:hint="eastAsia"/>
                <w:color w:val="auto"/>
              </w:rPr>
              <w:t>承诺</w:t>
            </w:r>
            <w:r>
              <w:rPr>
                <w:rFonts w:hint="eastAsia"/>
                <w:color w:val="auto"/>
                <w:lang w:eastAsia="zh-CN"/>
              </w:rPr>
              <w:t>是否充分考虑</w:t>
            </w:r>
            <w:r>
              <w:rPr>
                <w:rFonts w:hint="eastAsia"/>
                <w:color w:val="auto"/>
              </w:rPr>
              <w:t>本项目需求</w:t>
            </w:r>
            <w:r>
              <w:rPr>
                <w:rFonts w:hint="eastAsia"/>
                <w:color w:val="auto"/>
                <w:lang w:eastAsia="zh-CN"/>
              </w:rPr>
              <w:t>，描述清晰</w:t>
            </w:r>
            <w:r>
              <w:rPr>
                <w:rFonts w:hint="eastAsia"/>
                <w:color w:val="auto"/>
              </w:rPr>
              <w:t>可行性强</w:t>
            </w:r>
            <w:r>
              <w:rPr>
                <w:rFonts w:hint="eastAsia"/>
                <w:color w:val="auto"/>
                <w:lang w:eastAsia="zh-CN"/>
              </w:rPr>
              <w:t>进行</w:t>
            </w:r>
            <w:r>
              <w:rPr>
                <w:rFonts w:hint="eastAsia"/>
                <w:color w:val="auto"/>
              </w:rPr>
              <w:t>打分；</w:t>
            </w:r>
            <w:r>
              <w:rPr>
                <w:rFonts w:hint="eastAsia"/>
                <w:color w:val="auto"/>
                <w:lang w:eastAsia="zh-CN"/>
              </w:rPr>
              <w:t>（是</w:t>
            </w:r>
            <w:r>
              <w:rPr>
                <w:rFonts w:hint="eastAsia"/>
                <w:color w:val="auto"/>
                <w:lang w:val="en-US" w:eastAsia="zh-CN"/>
              </w:rPr>
              <w:t>否属于有效内容由评审委员会根据供应商响应文件中针对此部分内容的编制进行认定</w:t>
            </w:r>
            <w:r>
              <w:rPr>
                <w:rFonts w:hint="eastAsia"/>
                <w:color w:val="auto"/>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r>
              <w:rPr>
                <w:rFonts w:hint="eastAsia"/>
                <w:color w:val="auto"/>
                <w:lang w:val="en-US" w:eastAsia="zh-CN"/>
              </w:rPr>
              <w:t>①每具有一个有效</w:t>
            </w:r>
            <w:r>
              <w:rPr>
                <w:rFonts w:hint="eastAsia"/>
                <w:color w:val="auto"/>
              </w:rPr>
              <w:t>合理化建议</w:t>
            </w:r>
            <w:r>
              <w:rPr>
                <w:rFonts w:hint="eastAsia"/>
                <w:color w:val="auto"/>
                <w:lang w:val="en-US" w:eastAsia="zh-CN"/>
              </w:rPr>
              <w:t>得0.5分，最多得 2分。</w:t>
            </w:r>
            <w:r>
              <w:rPr>
                <w:rFonts w:hint="eastAsia"/>
                <w:b/>
                <w:bCs/>
                <w:color w:val="auto"/>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r>
              <w:rPr>
                <w:rFonts w:hint="eastAsia"/>
                <w:color w:val="auto"/>
                <w:lang w:val="en-US" w:eastAsia="zh-CN"/>
              </w:rPr>
              <w:t>②每具有一个有效增值服务</w:t>
            </w:r>
            <w:r>
              <w:rPr>
                <w:rFonts w:hint="eastAsia"/>
                <w:color w:val="auto"/>
              </w:rPr>
              <w:t>承诺</w:t>
            </w:r>
            <w:r>
              <w:rPr>
                <w:rFonts w:hint="eastAsia"/>
                <w:color w:val="auto"/>
                <w:lang w:eastAsia="zh-CN"/>
              </w:rPr>
              <w:t>得</w:t>
            </w:r>
            <w:r>
              <w:rPr>
                <w:rFonts w:hint="eastAsia"/>
                <w:color w:val="auto"/>
                <w:lang w:val="en-US" w:eastAsia="zh-CN"/>
              </w:rPr>
              <w:t>1.5分，最多得9分。</w:t>
            </w:r>
            <w:r>
              <w:rPr>
                <w:rFonts w:hint="eastAsia"/>
                <w:b/>
                <w:bCs/>
                <w:color w:val="auto"/>
                <w:lang w:val="en-US" w:eastAsia="zh-CN"/>
              </w:rPr>
              <w:t>此小项目满分9分。</w:t>
            </w:r>
          </w:p>
          <w:p>
            <w:pPr>
              <w:pStyle w:val="24"/>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pStyle w:val="24"/>
              <w:ind w:left="0" w:leftChars="0" w:firstLine="0" w:firstLineChars="0"/>
              <w:rPr>
                <w:rFonts w:hint="eastAsia"/>
                <w:color w:val="auto"/>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11</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人员配置情况</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eastAsia="zh-CN"/>
              </w:rPr>
            </w:pP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各类人员配备齐全，配备合理且职责分明，如：面食人员、厨师、切配、勤杂工、消毒工、采购人员等。</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配备人员完全满足项目需求且人员配备合理得</w:t>
            </w:r>
            <w:r>
              <w:rPr>
                <w:rFonts w:hint="eastAsia" w:ascii="宋体" w:hAnsi="宋体" w:cs="宋体"/>
                <w:color w:val="auto"/>
                <w:highlight w:val="none"/>
                <w:lang w:val="en-US" w:eastAsia="zh-CN"/>
              </w:rPr>
              <w:t>5-8</w:t>
            </w:r>
            <w:r>
              <w:rPr>
                <w:rFonts w:hint="eastAsia" w:ascii="宋体" w:hAnsi="宋体" w:eastAsia="宋体" w:cs="宋体"/>
                <w:color w:val="auto"/>
                <w:highlight w:val="none"/>
              </w:rPr>
              <w:t>分；</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基本满足项目需求且人员配备基本合理得</w:t>
            </w:r>
            <w:r>
              <w:rPr>
                <w:rFonts w:hint="eastAsia" w:ascii="宋体" w:hAnsi="宋体" w:cs="宋体"/>
                <w:color w:val="auto"/>
                <w:highlight w:val="none"/>
                <w:lang w:val="en-US" w:eastAsia="zh-CN"/>
              </w:rPr>
              <w:t>3-5</w:t>
            </w:r>
            <w:r>
              <w:rPr>
                <w:rFonts w:hint="eastAsia" w:ascii="宋体" w:hAnsi="宋体" w:eastAsia="宋体" w:cs="宋体"/>
                <w:color w:val="auto"/>
                <w:highlight w:val="none"/>
              </w:rPr>
              <w:t>分；</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不满足本项目各类人员要求的得0-3分。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注：需提供有效的证书复印件及在本公司任职的外部证明材料：即本项目投标截止前</w:t>
            </w:r>
            <w:r>
              <w:rPr>
                <w:rFonts w:hint="eastAsia" w:ascii="宋体" w:hAnsi="宋体" w:cs="宋体"/>
                <w:b w:val="0"/>
                <w:bCs w:val="0"/>
                <w:color w:val="auto"/>
                <w:kern w:val="0"/>
                <w:sz w:val="21"/>
                <w:szCs w:val="21"/>
                <w:highlight w:val="none"/>
                <w:lang w:eastAsia="zh-CN"/>
              </w:rPr>
              <w:t>近</w:t>
            </w:r>
            <w:r>
              <w:rPr>
                <w:rFonts w:hint="eastAsia" w:ascii="宋体" w:hAnsi="宋体" w:eastAsia="宋体" w:cs="宋体"/>
                <w:b w:val="0"/>
                <w:bCs w:val="0"/>
                <w:color w:val="auto"/>
                <w:kern w:val="0"/>
                <w:sz w:val="21"/>
                <w:szCs w:val="21"/>
                <w:highlight w:val="none"/>
                <w:lang w:eastAsia="zh-CN"/>
              </w:rPr>
              <w:t>三个月</w:t>
            </w:r>
            <w:r>
              <w:rPr>
                <w:rFonts w:hint="eastAsia" w:ascii="宋体" w:hAnsi="宋体" w:cs="宋体"/>
                <w:b w:val="0"/>
                <w:bCs w:val="0"/>
                <w:color w:val="auto"/>
                <w:kern w:val="0"/>
                <w:sz w:val="21"/>
                <w:szCs w:val="21"/>
                <w:highlight w:val="none"/>
                <w:lang w:eastAsia="zh-CN"/>
              </w:rPr>
              <w:t>任意一个月</w:t>
            </w:r>
            <w:r>
              <w:rPr>
                <w:rFonts w:hint="eastAsia" w:ascii="宋体" w:hAnsi="宋体" w:eastAsia="宋体" w:cs="宋体"/>
                <w:b w:val="0"/>
                <w:bCs w:val="0"/>
                <w:color w:val="auto"/>
                <w:kern w:val="0"/>
                <w:sz w:val="21"/>
                <w:szCs w:val="21"/>
                <w:highlight w:val="none"/>
                <w:lang w:eastAsia="zh-CN"/>
              </w:rPr>
              <w:t>的《投保单》或《社会保险参保证明》，或单位代缴个人所得税税单复印件，由本单位或其分支机构工商注册地社保部门（或税务部门）出具并加盖印章（或电子印章）（说明：为方便评审，请在社保证明文件中标注出相应人员），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餐盒、菜品方案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SA"/>
              </w:rPr>
              <w:t>根据各供应商提供的</w:t>
            </w:r>
            <w:r>
              <w:rPr>
                <w:rFonts w:hint="eastAsia" w:ascii="宋体" w:hAnsi="宋体" w:cs="宋体"/>
                <w:color w:val="auto"/>
                <w:kern w:val="2"/>
                <w:sz w:val="21"/>
                <w:szCs w:val="21"/>
                <w:highlight w:val="none"/>
                <w:lang w:val="en-US" w:eastAsia="zh-CN" w:bidi="ar-SA"/>
              </w:rPr>
              <w:t>餐盒实用性、经济性以及菜品</w:t>
            </w:r>
            <w:r>
              <w:rPr>
                <w:rFonts w:hint="eastAsia" w:ascii="宋体" w:hAnsi="宋体" w:eastAsia="宋体" w:cs="宋体"/>
                <w:color w:val="auto"/>
                <w:kern w:val="2"/>
                <w:sz w:val="21"/>
                <w:szCs w:val="21"/>
                <w:highlight w:val="none"/>
                <w:lang w:val="en-US" w:eastAsia="zh-CN" w:bidi="ar-SA"/>
              </w:rPr>
              <w:t>的营养搭配</w:t>
            </w:r>
            <w:r>
              <w:rPr>
                <w:rFonts w:hint="eastAsia" w:ascii="宋体" w:hAnsi="宋体" w:cs="宋体"/>
                <w:color w:val="auto"/>
                <w:kern w:val="2"/>
                <w:sz w:val="21"/>
                <w:szCs w:val="21"/>
                <w:highlight w:val="none"/>
                <w:lang w:val="en-US" w:eastAsia="zh-CN" w:bidi="ar-SA"/>
              </w:rPr>
              <w:t>、品种</w:t>
            </w:r>
            <w:r>
              <w:rPr>
                <w:rFonts w:hint="eastAsia" w:ascii="宋体" w:hAnsi="宋体" w:eastAsia="宋体" w:cs="宋体"/>
                <w:color w:val="auto"/>
                <w:kern w:val="2"/>
                <w:sz w:val="21"/>
                <w:szCs w:val="21"/>
                <w:highlight w:val="none"/>
                <w:lang w:val="en-US" w:eastAsia="zh-CN" w:bidi="ar-SA"/>
              </w:rPr>
              <w:t>丰富、菜品多样，进行横向对比，优得</w:t>
            </w:r>
            <w:r>
              <w:rPr>
                <w:rFonts w:hint="eastAsia" w:ascii="宋体" w:hAnsi="宋体" w:cs="宋体"/>
                <w:color w:val="auto"/>
                <w:kern w:val="2"/>
                <w:sz w:val="21"/>
                <w:szCs w:val="21"/>
                <w:highlight w:val="none"/>
                <w:lang w:val="en-US" w:eastAsia="zh-CN" w:bidi="ar-SA"/>
              </w:rPr>
              <w:t>5-8</w:t>
            </w:r>
            <w:r>
              <w:rPr>
                <w:rFonts w:hint="eastAsia" w:ascii="宋体" w:hAnsi="宋体" w:eastAsia="宋体" w:cs="宋体"/>
                <w:color w:val="auto"/>
                <w:kern w:val="2"/>
                <w:sz w:val="21"/>
                <w:szCs w:val="21"/>
                <w:highlight w:val="none"/>
                <w:lang w:val="en-US" w:eastAsia="zh-CN" w:bidi="ar-SA"/>
              </w:rPr>
              <w:t>分；较好得</w:t>
            </w:r>
            <w:r>
              <w:rPr>
                <w:rFonts w:hint="eastAsia" w:ascii="宋体" w:hAnsi="宋体"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eastAsia="zh-CN" w:bidi="ar-SA"/>
              </w:rPr>
              <w:t>分；一般得0-</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质量控制方案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r>
              <w:rPr>
                <w:rFonts w:hint="eastAsia"/>
                <w:color w:val="auto"/>
                <w:lang w:val="en-US" w:eastAsia="zh-CN"/>
              </w:rPr>
              <w:t>①食品质量控制方案：完整、科学、合理，得3-5分；较完整、科学、合理，得1-3分；合理、一般得0-1分。</w:t>
            </w:r>
            <w:r>
              <w:rPr>
                <w:rFonts w:hint="eastAsia"/>
                <w:b/>
                <w:bCs/>
                <w:color w:val="auto"/>
                <w:lang w:val="en-US" w:eastAsia="zh-CN"/>
              </w:rPr>
              <w:t>此小项目满分5分。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r>
              <w:rPr>
                <w:rFonts w:hint="eastAsia"/>
                <w:color w:val="auto"/>
                <w:lang w:val="en-US" w:eastAsia="zh-CN"/>
              </w:rPr>
              <w:t>②卫生管理控制方案:提供食品卫生、人员卫生、垃圾处理方案齐全且具有科学性的得3-5分，方案一般得1-3分，方案差得0-1分。</w:t>
            </w:r>
            <w:r>
              <w:rPr>
                <w:rFonts w:hint="eastAsia"/>
                <w:b/>
                <w:bCs/>
                <w:color w:val="auto"/>
                <w:lang w:val="en-US" w:eastAsia="zh-CN"/>
              </w:rPr>
              <w:t>此小项目满分5分。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lang w:val="en-US" w:eastAsia="zh-CN"/>
              </w:rPr>
            </w:pPr>
            <w:r>
              <w:rPr>
                <w:rFonts w:hint="eastAsia"/>
                <w:color w:val="auto"/>
                <w:lang w:val="en-US" w:eastAsia="zh-CN"/>
              </w:rPr>
              <w:t>③原材料采购管理方案及食品保存管理方案：原材料采购管理方案及食品保存管理方案：完整、科学、合理，得3-5分；较完整、科学、合理，得1-3分；合理、一般得0-1分。</w:t>
            </w:r>
            <w:r>
              <w:rPr>
                <w:rFonts w:hint="eastAsia"/>
                <w:b/>
                <w:bCs/>
                <w:color w:val="auto"/>
                <w:lang w:val="en-US" w:eastAsia="zh-CN"/>
              </w:rPr>
              <w:t>此小项目满分5分。</w:t>
            </w:r>
          </w:p>
          <w:p>
            <w:pPr>
              <w:pStyle w:val="24"/>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pStyle w:val="24"/>
              <w:ind w:left="0" w:leftChars="0" w:firstLine="0" w:firstLineChars="0"/>
              <w:rPr>
                <w:rFonts w:hint="eastAsia"/>
                <w:color w:val="auto"/>
                <w:lang w:val="en-US"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15</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restart"/>
            <w:noWrap w:val="0"/>
            <w:vAlign w:val="center"/>
          </w:tcPr>
          <w:p>
            <w:pPr>
              <w:widowControl/>
              <w:tabs>
                <w:tab w:val="left" w:pos="190"/>
              </w:tabs>
              <w:ind w:left="-13" w:firstLine="11" w:firstLineChars="5"/>
              <w:jc w:val="center"/>
              <w:rPr>
                <w:rFonts w:ascii="宋体" w:hAnsi="宋体"/>
                <w:b/>
                <w:bCs/>
                <w:color w:val="auto"/>
                <w:szCs w:val="21"/>
                <w:highlight w:val="none"/>
              </w:rPr>
            </w:pPr>
            <w:r>
              <w:rPr>
                <w:rFonts w:hint="eastAsia" w:ascii="宋体" w:hAnsi="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b/>
                <w:bCs/>
                <w:color w:val="auto"/>
                <w:szCs w:val="21"/>
                <w:highlight w:val="none"/>
              </w:rPr>
              <w:t>能力</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综合实力</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highlight w:val="none"/>
                <w:lang w:val="en-US" w:eastAsia="zh-CN"/>
              </w:rPr>
            </w:pPr>
            <w:r>
              <w:rPr>
                <w:rFonts w:hint="eastAsia"/>
                <w:color w:val="auto"/>
                <w:highlight w:val="none"/>
                <w:lang w:eastAsia="zh-CN"/>
              </w:rPr>
              <w:t>①根据响应方的公司资质、信誉情况、履约能力、营运状况以及用户评价等综合实力进行评分，得</w:t>
            </w:r>
            <w:r>
              <w:rPr>
                <w:rFonts w:hint="eastAsia"/>
                <w:color w:val="auto"/>
                <w:highlight w:val="none"/>
                <w:lang w:val="en-US" w:eastAsia="zh-CN"/>
              </w:rPr>
              <w:t>0-3分。</w:t>
            </w:r>
            <w:r>
              <w:rPr>
                <w:rFonts w:hint="eastAsia" w:ascii="Times New Roman" w:hAnsi="Times New Roman" w:eastAsia="宋体" w:cs="Times New Roman"/>
                <w:b/>
                <w:bCs/>
                <w:color w:val="auto"/>
                <w:highlight w:val="none"/>
                <w:lang w:val="en-US" w:eastAsia="zh-CN"/>
              </w:rPr>
              <w:t>此小项目满分3分。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olor w:val="auto"/>
                <w:highlight w:val="none"/>
                <w:lang w:val="en-US" w:eastAsia="zh-CN"/>
              </w:rPr>
            </w:pPr>
            <w:r>
              <w:rPr>
                <w:rFonts w:hint="eastAsia" w:cs="Times New Roman"/>
                <w:color w:val="auto"/>
                <w:highlight w:val="none"/>
                <w:lang w:val="en-US" w:eastAsia="zh-CN"/>
              </w:rPr>
              <w:t>②</w:t>
            </w:r>
            <w:r>
              <w:rPr>
                <w:rFonts w:hint="eastAsia" w:ascii="Times New Roman" w:hAnsi="Times New Roman" w:eastAsia="宋体" w:cs="Times New Roman"/>
                <w:color w:val="auto"/>
                <w:highlight w:val="none"/>
                <w:lang w:eastAsia="zh-CN"/>
              </w:rPr>
              <w:t>供应商承担过的</w:t>
            </w:r>
            <w:r>
              <w:rPr>
                <w:rFonts w:hint="eastAsia" w:cs="Times New Roman"/>
                <w:color w:val="auto"/>
                <w:highlight w:val="none"/>
                <w:lang w:eastAsia="zh-CN"/>
              </w:rPr>
              <w:t>餐饮类</w:t>
            </w:r>
            <w:r>
              <w:rPr>
                <w:rFonts w:hint="eastAsia" w:ascii="Times New Roman" w:hAnsi="Times New Roman" w:eastAsia="宋体" w:cs="Times New Roman"/>
                <w:color w:val="auto"/>
                <w:highlight w:val="none"/>
                <w:lang w:eastAsia="zh-CN"/>
              </w:rPr>
              <w:t>服务项目获得用户好评，每个得2分，最高得4分。</w:t>
            </w:r>
            <w:r>
              <w:rPr>
                <w:rFonts w:hint="eastAsia" w:ascii="Times New Roman" w:hAnsi="Times New Roman" w:eastAsia="宋体" w:cs="Times New Roman"/>
                <w:b/>
                <w:bCs/>
                <w:color w:val="auto"/>
                <w:highlight w:val="none"/>
                <w:lang w:eastAsia="zh-CN"/>
              </w:rPr>
              <w:t>此小项目满分</w:t>
            </w:r>
            <w:r>
              <w:rPr>
                <w:rFonts w:hint="eastAsia" w:ascii="Times New Roman" w:hAnsi="Times New Roman" w:eastAsia="宋体" w:cs="Times New Roman"/>
                <w:b/>
                <w:bCs/>
                <w:color w:val="auto"/>
                <w:highlight w:val="none"/>
                <w:lang w:val="en-US" w:eastAsia="zh-CN"/>
              </w:rPr>
              <w:t>4分。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2"/>
                <w:sz w:val="21"/>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7</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auto"/>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近三年（20</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 xml:space="preserve"> 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bCs/>
                <w:color w:val="auto"/>
                <w:sz w:val="21"/>
                <w:szCs w:val="21"/>
                <w:highlight w:val="none"/>
              </w:rPr>
              <w:t>是否属于有效业绩由评审委员会根据</w:t>
            </w:r>
            <w:r>
              <w:rPr>
                <w:rFonts w:hint="eastAsia"/>
                <w:bCs/>
                <w:color w:val="auto"/>
                <w:sz w:val="21"/>
                <w:szCs w:val="21"/>
                <w:highlight w:val="none"/>
                <w:lang w:eastAsia="zh-CN"/>
              </w:rPr>
              <w:t>供应商</w:t>
            </w:r>
            <w:r>
              <w:rPr>
                <w:rFonts w:hint="eastAsia"/>
                <w:bCs/>
                <w:color w:val="auto"/>
                <w:sz w:val="21"/>
                <w:szCs w:val="21"/>
                <w:highlight w:val="none"/>
              </w:rPr>
              <w:t>项目业绩中服务内容、技术特点等与本项目的类似程度进行认定</w:t>
            </w:r>
            <w:r>
              <w:rPr>
                <w:rFonts w:hint="eastAsia"/>
                <w:bCs/>
                <w:color w:val="auto"/>
                <w:sz w:val="21"/>
                <w:szCs w:val="21"/>
                <w:highlight w:val="none"/>
                <w:lang w:eastAsia="zh-CN"/>
              </w:rPr>
              <w:t>。</w:t>
            </w:r>
            <w:r>
              <w:rPr>
                <w:rFonts w:hint="eastAsia" w:ascii="宋体" w:hAnsi="宋体" w:eastAsia="宋体" w:cs="宋体"/>
                <w:color w:val="auto"/>
                <w:kern w:val="0"/>
                <w:sz w:val="21"/>
                <w:szCs w:val="21"/>
                <w:highlight w:val="none"/>
              </w:rPr>
              <w:t xml:space="preserve">每具有一个业绩得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分，并附清晰可见的业绩证明资料（中标通知书或成交通知书或合同），最多得 </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sz w:val="21"/>
                <w:szCs w:val="21"/>
                <w:highlight w:val="none"/>
              </w:rPr>
            </w:pPr>
            <w:r>
              <w:rPr>
                <w:rFonts w:hint="eastAsia" w:ascii="宋体" w:hAnsi="宋体"/>
                <w:color w:val="auto"/>
                <w:szCs w:val="21"/>
                <w:highlight w:val="none"/>
                <w:shd w:val="clear" w:color="auto" w:fill="FFFFFF"/>
              </w:rPr>
              <w:t>管理体系</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4</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具有完善的管理体系认证，同时具有有效期内的以下</w:t>
            </w:r>
            <w:r>
              <w:rPr>
                <w:color w:val="auto"/>
                <w:highlight w:val="none"/>
              </w:rPr>
              <w:t>4</w:t>
            </w:r>
            <w:r>
              <w:rPr>
                <w:rFonts w:hint="eastAsia"/>
                <w:color w:val="auto"/>
                <w:highlight w:val="none"/>
              </w:rPr>
              <w:t>个证书得</w:t>
            </w:r>
            <w:r>
              <w:rPr>
                <w:color w:val="auto"/>
                <w:highlight w:val="none"/>
              </w:rPr>
              <w:t>4</w:t>
            </w:r>
            <w:r>
              <w:rPr>
                <w:rFonts w:hint="eastAsia"/>
                <w:color w:val="auto"/>
                <w:highlight w:val="none"/>
              </w:rPr>
              <w:t>分，每少一项扣1分，扣完为止。</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ISO</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9001质量管理体系认证证书</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ISO</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14001环境管理体系认证证书</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auto"/>
              <w:rPr>
                <w:rFonts w:hint="eastAsia"/>
                <w:color w:val="auto"/>
              </w:rPr>
            </w:pPr>
            <w:r>
              <w:rPr>
                <w:rFonts w:hint="eastAsia" w:ascii="宋体" w:hAnsi="宋体" w:eastAsia="宋体" w:cs="宋体"/>
                <w:color w:val="auto"/>
                <w:kern w:val="0"/>
                <w:sz w:val="21"/>
                <w:szCs w:val="21"/>
                <w:highlight w:val="none"/>
              </w:rPr>
              <w:t>ISO</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28001职业健康管理体系认证证书</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auto"/>
              <w:rPr>
                <w:rFonts w:hint="eastAsia"/>
                <w:color w:val="auto"/>
              </w:rPr>
            </w:pPr>
            <w:r>
              <w:rPr>
                <w:rFonts w:hint="eastAsia" w:ascii="宋体" w:hAnsi="宋体" w:eastAsia="宋体" w:cs="宋体"/>
                <w:color w:val="auto"/>
                <w:kern w:val="0"/>
                <w:sz w:val="21"/>
                <w:szCs w:val="21"/>
                <w:highlight w:val="none"/>
                <w:lang w:eastAsia="zh-CN"/>
              </w:rPr>
              <w:t>企业信用等级证书。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olor w:val="auto"/>
                <w:highlight w:val="none"/>
              </w:rPr>
              <w:t>注：提供以上证书的复印件并加盖公章，并同时提供在全国认证认可信息公共服务平台（http://cx.cnca.cn）信息查询截图作为评审依据，已失效或撤销的不得分。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bookmarkStart w:id="183" w:name="_Hlk511944786"/>
            <w:r>
              <w:rPr>
                <w:rFonts w:hint="eastAsia" w:ascii="宋体" w:hAnsi="宋体" w:cs="宋体"/>
                <w:b/>
                <w:bCs/>
                <w:color w:val="auto"/>
                <w:kern w:val="0"/>
                <w:sz w:val="21"/>
                <w:szCs w:val="21"/>
                <w:highlight w:val="none"/>
              </w:rPr>
              <w:t>注：评审得分合计100分，评分计算结果保留两位小数，第三位小数四舍五入。</w:t>
            </w:r>
          </w:p>
        </w:tc>
      </w:tr>
      <w:bookmarkEnd w:id="183"/>
    </w:tbl>
    <w:p>
      <w:pPr>
        <w:spacing w:line="360" w:lineRule="auto"/>
        <w:rPr>
          <w:rFonts w:asciiTheme="minorEastAsia" w:hAnsiTheme="minorEastAsia" w:eastAsiaTheme="minorEastAsia" w:cstheme="minorEastAsia"/>
          <w:b/>
          <w:bCs/>
          <w:color w:val="auto"/>
          <w:sz w:val="24"/>
          <w:highlight w:val="none"/>
        </w:rPr>
      </w:pPr>
    </w:p>
    <w:sectPr>
      <w:headerReference r:id="rId11" w:type="default"/>
      <w:footerReference r:id="rId12" w:type="default"/>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A835C4A9-5DF5-462A-8269-835219815C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B3B5031A-C8AA-49E6-9F05-E410F44D21DB}"/>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altName w:val="Arial Unicode MS"/>
    <w:panose1 w:val="02000000000000000000"/>
    <w:charset w:val="86"/>
    <w:family w:val="auto"/>
    <w:pitch w:val="default"/>
    <w:sig w:usb0="00000000" w:usb1="00000000" w:usb2="00000000" w:usb3="00000000" w:csb0="00000000" w:csb1="00000000"/>
    <w:embedRegular r:id="rId3" w:fontKey="{6D78DAB4-BA3E-481D-8900-37DD32B370E4}"/>
  </w:font>
  <w:font w:name="Wingdings 2">
    <w:panose1 w:val="05020102010507070707"/>
    <w:charset w:val="02"/>
    <w:family w:val="roman"/>
    <w:pitch w:val="default"/>
    <w:sig w:usb0="00000000" w:usb1="00000000" w:usb2="00000000" w:usb3="00000000" w:csb0="80000000" w:csb1="00000000"/>
    <w:embedRegular r:id="rId4" w:fontKey="{456133E6-A1F0-463E-AEA5-E24DFAF84D41}"/>
  </w:font>
  <w:font w:name="hakuyoxingshu7000">
    <w:panose1 w:val="02000600000000000000"/>
    <w:charset w:val="86"/>
    <w:family w:val="auto"/>
    <w:pitch w:val="default"/>
    <w:sig w:usb0="FFFFFFFF" w:usb1="E9FFFFFF" w:usb2="0000003F" w:usb3="00000000" w:csb0="603F00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282"/>
        <w:tab w:val="clear" w:pos="4153"/>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F4E47"/>
    <w:multiLevelType w:val="singleLevel"/>
    <w:tmpl w:val="AA0F4E47"/>
    <w:lvl w:ilvl="0" w:tentative="0">
      <w:start w:val="2"/>
      <w:numFmt w:val="decimal"/>
      <w:suff w:val="nothing"/>
      <w:lvlText w:val="%1、"/>
      <w:lvlJc w:val="left"/>
    </w:lvl>
  </w:abstractNum>
  <w:abstractNum w:abstractNumId="1">
    <w:nsid w:val="BE8C6EE5"/>
    <w:multiLevelType w:val="singleLevel"/>
    <w:tmpl w:val="BE8C6EE5"/>
    <w:lvl w:ilvl="0" w:tentative="0">
      <w:start w:val="13"/>
      <w:numFmt w:val="decimal"/>
      <w:suff w:val="nothing"/>
      <w:lvlText w:val="（%1）"/>
      <w:lvlJc w:val="left"/>
    </w:lvl>
  </w:abstractNum>
  <w:abstractNum w:abstractNumId="2">
    <w:nsid w:val="C16EE383"/>
    <w:multiLevelType w:val="singleLevel"/>
    <w:tmpl w:val="C16EE383"/>
    <w:lvl w:ilvl="0" w:tentative="0">
      <w:start w:val="1"/>
      <w:numFmt w:val="decimal"/>
      <w:lvlText w:val="%1."/>
      <w:lvlJc w:val="left"/>
      <w:pPr>
        <w:tabs>
          <w:tab w:val="left" w:pos="312"/>
        </w:tabs>
      </w:pPr>
    </w:lvl>
  </w:abstractNum>
  <w:abstractNum w:abstractNumId="3">
    <w:nsid w:val="CF6FC9CC"/>
    <w:multiLevelType w:val="singleLevel"/>
    <w:tmpl w:val="CF6FC9CC"/>
    <w:lvl w:ilvl="0" w:tentative="0">
      <w:start w:val="23"/>
      <w:numFmt w:val="decimal"/>
      <w:suff w:val="nothing"/>
      <w:lvlText w:val="%1、"/>
      <w:lvlJc w:val="left"/>
      <w:pPr>
        <w:ind w:left="630"/>
      </w:pPr>
    </w:lvl>
  </w:abstractNum>
  <w:abstractNum w:abstractNumId="4">
    <w:nsid w:val="EA216BDB"/>
    <w:multiLevelType w:val="singleLevel"/>
    <w:tmpl w:val="EA216BDB"/>
    <w:lvl w:ilvl="0" w:tentative="0">
      <w:start w:val="1"/>
      <w:numFmt w:val="chineseCounting"/>
      <w:suff w:val="nothing"/>
      <w:lvlText w:val="%1、"/>
      <w:lvlJc w:val="left"/>
      <w:rPr>
        <w:rFonts w:hint="eastAsia"/>
      </w:rPr>
    </w:lvl>
  </w:abstractNum>
  <w:abstractNum w:abstractNumId="5">
    <w:nsid w:val="F4FEB3A4"/>
    <w:multiLevelType w:val="singleLevel"/>
    <w:tmpl w:val="F4FEB3A4"/>
    <w:lvl w:ilvl="0" w:tentative="0">
      <w:start w:val="1"/>
      <w:numFmt w:val="decimal"/>
      <w:lvlText w:val="%1."/>
      <w:lvlJc w:val="left"/>
      <w:pPr>
        <w:tabs>
          <w:tab w:val="left" w:pos="312"/>
        </w:tabs>
      </w:pPr>
    </w:lvl>
  </w:abstractNum>
  <w:abstractNum w:abstractNumId="6">
    <w:nsid w:val="F64B5E37"/>
    <w:multiLevelType w:val="singleLevel"/>
    <w:tmpl w:val="F64B5E37"/>
    <w:lvl w:ilvl="0" w:tentative="0">
      <w:start w:val="1"/>
      <w:numFmt w:val="decimal"/>
      <w:suff w:val="nothing"/>
      <w:lvlText w:val="（%1）"/>
      <w:lvlJc w:val="left"/>
    </w:lvl>
  </w:abstractNum>
  <w:abstractNum w:abstractNumId="7">
    <w:nsid w:val="FA048078"/>
    <w:multiLevelType w:val="singleLevel"/>
    <w:tmpl w:val="FA048078"/>
    <w:lvl w:ilvl="0" w:tentative="0">
      <w:start w:val="1"/>
      <w:numFmt w:val="decimal"/>
      <w:lvlText w:val="%1."/>
      <w:lvlJc w:val="left"/>
      <w:pPr>
        <w:tabs>
          <w:tab w:val="left" w:pos="312"/>
        </w:tabs>
      </w:pPr>
    </w:lvl>
  </w:abstractNum>
  <w:abstractNum w:abstractNumId="8">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7903AE"/>
    <w:multiLevelType w:val="singleLevel"/>
    <w:tmpl w:val="4B7903AE"/>
    <w:lvl w:ilvl="0" w:tentative="0">
      <w:start w:val="2"/>
      <w:numFmt w:val="decimal"/>
      <w:suff w:val="nothing"/>
      <w:lvlText w:val="%1、"/>
      <w:lvlJc w:val="left"/>
    </w:lvl>
  </w:abstractNum>
  <w:abstractNum w:abstractNumId="11">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764456"/>
    <w:multiLevelType w:val="singleLevel"/>
    <w:tmpl w:val="7E764456"/>
    <w:lvl w:ilvl="0" w:tentative="0">
      <w:start w:val="1"/>
      <w:numFmt w:val="decimal"/>
      <w:lvlText w:val="%1."/>
      <w:lvlJc w:val="left"/>
      <w:pPr>
        <w:tabs>
          <w:tab w:val="left" w:pos="312"/>
        </w:tabs>
      </w:pPr>
    </w:lvl>
  </w:abstractNum>
  <w:num w:numId="1">
    <w:abstractNumId w:val="6"/>
  </w:num>
  <w:num w:numId="2">
    <w:abstractNumId w:val="3"/>
  </w:num>
  <w:num w:numId="3">
    <w:abstractNumId w:val="7"/>
  </w:num>
  <w:num w:numId="4">
    <w:abstractNumId w:val="12"/>
  </w:num>
  <w:num w:numId="5">
    <w:abstractNumId w:val="0"/>
  </w:num>
  <w:num w:numId="6">
    <w:abstractNumId w:val="11"/>
  </w:num>
  <w:num w:numId="7">
    <w:abstractNumId w:val="9"/>
  </w:num>
  <w:num w:numId="8">
    <w:abstractNumId w:val="8"/>
  </w:num>
  <w:num w:numId="9">
    <w:abstractNumId w:val="4"/>
  </w:num>
  <w:num w:numId="10">
    <w:abstractNumId w:val="1"/>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ZjIxOTM0YWJlMDk4YjUxYTZmMDFmMDE2MWQ0OTIifQ=="/>
  </w:docVars>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D4613E"/>
    <w:rsid w:val="00DE7270"/>
    <w:rsid w:val="00E84381"/>
    <w:rsid w:val="00F226C0"/>
    <w:rsid w:val="00F428D9"/>
    <w:rsid w:val="00F43FB0"/>
    <w:rsid w:val="00F735C3"/>
    <w:rsid w:val="00F82AAE"/>
    <w:rsid w:val="00FC2C02"/>
    <w:rsid w:val="01454801"/>
    <w:rsid w:val="0159521E"/>
    <w:rsid w:val="016E210A"/>
    <w:rsid w:val="01A16E30"/>
    <w:rsid w:val="01D03419"/>
    <w:rsid w:val="01FD25AD"/>
    <w:rsid w:val="02254726"/>
    <w:rsid w:val="02446693"/>
    <w:rsid w:val="024911DA"/>
    <w:rsid w:val="027B26FE"/>
    <w:rsid w:val="02965A65"/>
    <w:rsid w:val="02DF5E36"/>
    <w:rsid w:val="02FE4054"/>
    <w:rsid w:val="03155B98"/>
    <w:rsid w:val="034568D1"/>
    <w:rsid w:val="034C425B"/>
    <w:rsid w:val="036544B5"/>
    <w:rsid w:val="038A7E04"/>
    <w:rsid w:val="03C268A1"/>
    <w:rsid w:val="04781EA1"/>
    <w:rsid w:val="04CA1FF7"/>
    <w:rsid w:val="04DA2C26"/>
    <w:rsid w:val="04ED5290"/>
    <w:rsid w:val="04FF71AA"/>
    <w:rsid w:val="05225518"/>
    <w:rsid w:val="05421E3D"/>
    <w:rsid w:val="055F039E"/>
    <w:rsid w:val="05694F94"/>
    <w:rsid w:val="05803578"/>
    <w:rsid w:val="05B2713E"/>
    <w:rsid w:val="05E1620A"/>
    <w:rsid w:val="060419B3"/>
    <w:rsid w:val="06765E66"/>
    <w:rsid w:val="06B54C53"/>
    <w:rsid w:val="06C976C4"/>
    <w:rsid w:val="06D41C21"/>
    <w:rsid w:val="06FD6432"/>
    <w:rsid w:val="07425090"/>
    <w:rsid w:val="07576FFF"/>
    <w:rsid w:val="077925AF"/>
    <w:rsid w:val="0779350E"/>
    <w:rsid w:val="077F6BB2"/>
    <w:rsid w:val="07845199"/>
    <w:rsid w:val="078F5429"/>
    <w:rsid w:val="079D2257"/>
    <w:rsid w:val="07AB2710"/>
    <w:rsid w:val="07B776EC"/>
    <w:rsid w:val="080512B1"/>
    <w:rsid w:val="08131858"/>
    <w:rsid w:val="08132F25"/>
    <w:rsid w:val="082133C2"/>
    <w:rsid w:val="082D4884"/>
    <w:rsid w:val="082F5E1B"/>
    <w:rsid w:val="0859195C"/>
    <w:rsid w:val="086C2D34"/>
    <w:rsid w:val="08B06AE6"/>
    <w:rsid w:val="095664BF"/>
    <w:rsid w:val="096545A8"/>
    <w:rsid w:val="09762376"/>
    <w:rsid w:val="09B661C4"/>
    <w:rsid w:val="09CA167A"/>
    <w:rsid w:val="09CD0B80"/>
    <w:rsid w:val="09F62154"/>
    <w:rsid w:val="09F62820"/>
    <w:rsid w:val="0A5D2DE6"/>
    <w:rsid w:val="0A693CB1"/>
    <w:rsid w:val="0A852F24"/>
    <w:rsid w:val="0AA2391D"/>
    <w:rsid w:val="0AD70C7B"/>
    <w:rsid w:val="0AE439D8"/>
    <w:rsid w:val="0AF865C8"/>
    <w:rsid w:val="0B07010B"/>
    <w:rsid w:val="0B073E1A"/>
    <w:rsid w:val="0B3E50C9"/>
    <w:rsid w:val="0B5110C1"/>
    <w:rsid w:val="0B642816"/>
    <w:rsid w:val="0B9E1856"/>
    <w:rsid w:val="0BA84CCD"/>
    <w:rsid w:val="0BAF49D6"/>
    <w:rsid w:val="0BD04822"/>
    <w:rsid w:val="0BDC599B"/>
    <w:rsid w:val="0BF333DE"/>
    <w:rsid w:val="0BF65480"/>
    <w:rsid w:val="0C04364E"/>
    <w:rsid w:val="0C5B33A4"/>
    <w:rsid w:val="0C7E476D"/>
    <w:rsid w:val="0CE53C97"/>
    <w:rsid w:val="0CF444F3"/>
    <w:rsid w:val="0D076ED1"/>
    <w:rsid w:val="0D0F2768"/>
    <w:rsid w:val="0D855EF0"/>
    <w:rsid w:val="0DBB345F"/>
    <w:rsid w:val="0F2A659F"/>
    <w:rsid w:val="0F3F5F4E"/>
    <w:rsid w:val="0F5E74D0"/>
    <w:rsid w:val="0F727709"/>
    <w:rsid w:val="0F8060D8"/>
    <w:rsid w:val="0FB02B1B"/>
    <w:rsid w:val="0FB80486"/>
    <w:rsid w:val="0FD1291C"/>
    <w:rsid w:val="0FDF1E12"/>
    <w:rsid w:val="103940D6"/>
    <w:rsid w:val="109D1709"/>
    <w:rsid w:val="10D100C5"/>
    <w:rsid w:val="11155316"/>
    <w:rsid w:val="111D4066"/>
    <w:rsid w:val="11244F9E"/>
    <w:rsid w:val="117A14B8"/>
    <w:rsid w:val="11801B96"/>
    <w:rsid w:val="11B26435"/>
    <w:rsid w:val="11BB0A89"/>
    <w:rsid w:val="11C06CF8"/>
    <w:rsid w:val="11D666C4"/>
    <w:rsid w:val="11D951D6"/>
    <w:rsid w:val="121216F1"/>
    <w:rsid w:val="1213041C"/>
    <w:rsid w:val="12320AF7"/>
    <w:rsid w:val="12543DC0"/>
    <w:rsid w:val="125A35B7"/>
    <w:rsid w:val="126F6D64"/>
    <w:rsid w:val="129317A0"/>
    <w:rsid w:val="12FC7039"/>
    <w:rsid w:val="130B5CAA"/>
    <w:rsid w:val="130C73ED"/>
    <w:rsid w:val="130E6277"/>
    <w:rsid w:val="13166603"/>
    <w:rsid w:val="13273B73"/>
    <w:rsid w:val="13504303"/>
    <w:rsid w:val="135A3503"/>
    <w:rsid w:val="139E4678"/>
    <w:rsid w:val="13A47AF4"/>
    <w:rsid w:val="13AD3A0E"/>
    <w:rsid w:val="13D81E60"/>
    <w:rsid w:val="14353475"/>
    <w:rsid w:val="144B713C"/>
    <w:rsid w:val="14606C13"/>
    <w:rsid w:val="14723763"/>
    <w:rsid w:val="14842F63"/>
    <w:rsid w:val="149B16E7"/>
    <w:rsid w:val="149B5650"/>
    <w:rsid w:val="14A52008"/>
    <w:rsid w:val="14B4685E"/>
    <w:rsid w:val="14B72B64"/>
    <w:rsid w:val="14BF5B27"/>
    <w:rsid w:val="14CF20B4"/>
    <w:rsid w:val="14E82BDD"/>
    <w:rsid w:val="15110159"/>
    <w:rsid w:val="15506BD7"/>
    <w:rsid w:val="15833361"/>
    <w:rsid w:val="15B05E09"/>
    <w:rsid w:val="15C9701E"/>
    <w:rsid w:val="15D16E0C"/>
    <w:rsid w:val="160D0226"/>
    <w:rsid w:val="16123E99"/>
    <w:rsid w:val="16281EEF"/>
    <w:rsid w:val="1672357B"/>
    <w:rsid w:val="16780C1E"/>
    <w:rsid w:val="169B262C"/>
    <w:rsid w:val="16A77652"/>
    <w:rsid w:val="16C50573"/>
    <w:rsid w:val="16DC6904"/>
    <w:rsid w:val="16E73E61"/>
    <w:rsid w:val="16F169C4"/>
    <w:rsid w:val="172D0BB9"/>
    <w:rsid w:val="1735562A"/>
    <w:rsid w:val="1748016B"/>
    <w:rsid w:val="174A53F0"/>
    <w:rsid w:val="175224E3"/>
    <w:rsid w:val="17617037"/>
    <w:rsid w:val="17D95D0E"/>
    <w:rsid w:val="17DC2CCB"/>
    <w:rsid w:val="17F05399"/>
    <w:rsid w:val="180E7796"/>
    <w:rsid w:val="18571F2A"/>
    <w:rsid w:val="186758E5"/>
    <w:rsid w:val="189F0CEC"/>
    <w:rsid w:val="18A12F95"/>
    <w:rsid w:val="18A30349"/>
    <w:rsid w:val="18C2401A"/>
    <w:rsid w:val="192614EC"/>
    <w:rsid w:val="19290548"/>
    <w:rsid w:val="1954465D"/>
    <w:rsid w:val="197769AD"/>
    <w:rsid w:val="198454BD"/>
    <w:rsid w:val="19AF4A19"/>
    <w:rsid w:val="19C41C75"/>
    <w:rsid w:val="19E3432C"/>
    <w:rsid w:val="19F24936"/>
    <w:rsid w:val="19FC5F79"/>
    <w:rsid w:val="1A027C60"/>
    <w:rsid w:val="1A0C0936"/>
    <w:rsid w:val="1A0C394D"/>
    <w:rsid w:val="1A5D6F2D"/>
    <w:rsid w:val="1A840CB2"/>
    <w:rsid w:val="1AAB25D1"/>
    <w:rsid w:val="1ACC15FD"/>
    <w:rsid w:val="1B0E6E75"/>
    <w:rsid w:val="1B283D33"/>
    <w:rsid w:val="1B295E11"/>
    <w:rsid w:val="1B325CD4"/>
    <w:rsid w:val="1B3F320F"/>
    <w:rsid w:val="1B884D33"/>
    <w:rsid w:val="1B891525"/>
    <w:rsid w:val="1B9642FD"/>
    <w:rsid w:val="1BD3618F"/>
    <w:rsid w:val="1BEC51B7"/>
    <w:rsid w:val="1BF652F6"/>
    <w:rsid w:val="1C6023B1"/>
    <w:rsid w:val="1C6E3215"/>
    <w:rsid w:val="1C7409FF"/>
    <w:rsid w:val="1C844F99"/>
    <w:rsid w:val="1C85238F"/>
    <w:rsid w:val="1C9124B9"/>
    <w:rsid w:val="1CB37D25"/>
    <w:rsid w:val="1CF343A2"/>
    <w:rsid w:val="1D3B6228"/>
    <w:rsid w:val="1D4D2172"/>
    <w:rsid w:val="1D7E00C0"/>
    <w:rsid w:val="1D88366B"/>
    <w:rsid w:val="1D966242"/>
    <w:rsid w:val="1DB90575"/>
    <w:rsid w:val="1DD57700"/>
    <w:rsid w:val="1DE76A19"/>
    <w:rsid w:val="1E215FDE"/>
    <w:rsid w:val="1E253988"/>
    <w:rsid w:val="1E2E2BB7"/>
    <w:rsid w:val="1E434F96"/>
    <w:rsid w:val="1E562334"/>
    <w:rsid w:val="1E7D7EB2"/>
    <w:rsid w:val="1EA2320D"/>
    <w:rsid w:val="1EA872CE"/>
    <w:rsid w:val="1EC91389"/>
    <w:rsid w:val="1ECE47FC"/>
    <w:rsid w:val="1EDB0A97"/>
    <w:rsid w:val="1EE513F5"/>
    <w:rsid w:val="1F016FEC"/>
    <w:rsid w:val="1F8C63A7"/>
    <w:rsid w:val="1FC748DB"/>
    <w:rsid w:val="20016663"/>
    <w:rsid w:val="2014032E"/>
    <w:rsid w:val="202347E1"/>
    <w:rsid w:val="20B635E6"/>
    <w:rsid w:val="20C463C3"/>
    <w:rsid w:val="20C75AC4"/>
    <w:rsid w:val="20F61559"/>
    <w:rsid w:val="210B4648"/>
    <w:rsid w:val="21402E44"/>
    <w:rsid w:val="21414DB3"/>
    <w:rsid w:val="21415CFC"/>
    <w:rsid w:val="21AE1B87"/>
    <w:rsid w:val="21C65B59"/>
    <w:rsid w:val="21C929F2"/>
    <w:rsid w:val="21DD1027"/>
    <w:rsid w:val="21E12DC8"/>
    <w:rsid w:val="21F53B28"/>
    <w:rsid w:val="221E30A5"/>
    <w:rsid w:val="224949D4"/>
    <w:rsid w:val="225769EE"/>
    <w:rsid w:val="22B346F4"/>
    <w:rsid w:val="22CF79E7"/>
    <w:rsid w:val="22DB716E"/>
    <w:rsid w:val="22DC15BA"/>
    <w:rsid w:val="23575E92"/>
    <w:rsid w:val="2360149A"/>
    <w:rsid w:val="23824899"/>
    <w:rsid w:val="23A85CF5"/>
    <w:rsid w:val="23C7467A"/>
    <w:rsid w:val="23D4358A"/>
    <w:rsid w:val="241A480F"/>
    <w:rsid w:val="24401F5B"/>
    <w:rsid w:val="2448334F"/>
    <w:rsid w:val="247D138F"/>
    <w:rsid w:val="247F4E83"/>
    <w:rsid w:val="24AA4A44"/>
    <w:rsid w:val="24EC4A83"/>
    <w:rsid w:val="253142C2"/>
    <w:rsid w:val="253A7FD5"/>
    <w:rsid w:val="255631E3"/>
    <w:rsid w:val="25732A64"/>
    <w:rsid w:val="25780E35"/>
    <w:rsid w:val="259F3930"/>
    <w:rsid w:val="25AC4D35"/>
    <w:rsid w:val="25CB2F75"/>
    <w:rsid w:val="25F960F8"/>
    <w:rsid w:val="26396DF4"/>
    <w:rsid w:val="26DC54DA"/>
    <w:rsid w:val="26DE5D1F"/>
    <w:rsid w:val="27007912"/>
    <w:rsid w:val="273364D7"/>
    <w:rsid w:val="273A46EA"/>
    <w:rsid w:val="2773426F"/>
    <w:rsid w:val="27776DCE"/>
    <w:rsid w:val="277B6C42"/>
    <w:rsid w:val="27A70420"/>
    <w:rsid w:val="27EA0644"/>
    <w:rsid w:val="285048C9"/>
    <w:rsid w:val="28A52EDC"/>
    <w:rsid w:val="2935642C"/>
    <w:rsid w:val="29532C0A"/>
    <w:rsid w:val="29791DCD"/>
    <w:rsid w:val="297E06D5"/>
    <w:rsid w:val="297E391D"/>
    <w:rsid w:val="298F232A"/>
    <w:rsid w:val="299078BB"/>
    <w:rsid w:val="29DA7026"/>
    <w:rsid w:val="2A534512"/>
    <w:rsid w:val="2B0173AB"/>
    <w:rsid w:val="2B3718B2"/>
    <w:rsid w:val="2B3A6FC3"/>
    <w:rsid w:val="2B512E32"/>
    <w:rsid w:val="2B692D6B"/>
    <w:rsid w:val="2BD87616"/>
    <w:rsid w:val="2BF8558E"/>
    <w:rsid w:val="2C7D562D"/>
    <w:rsid w:val="2C7D5F77"/>
    <w:rsid w:val="2CD56C8F"/>
    <w:rsid w:val="2D0C02CC"/>
    <w:rsid w:val="2D126DF1"/>
    <w:rsid w:val="2D1E016C"/>
    <w:rsid w:val="2D2D302D"/>
    <w:rsid w:val="2D5351FC"/>
    <w:rsid w:val="2D735097"/>
    <w:rsid w:val="2D9B4EE6"/>
    <w:rsid w:val="2DBC3628"/>
    <w:rsid w:val="2DC01092"/>
    <w:rsid w:val="2DD46BD9"/>
    <w:rsid w:val="2E0E70FE"/>
    <w:rsid w:val="2E1961AA"/>
    <w:rsid w:val="2E295DE0"/>
    <w:rsid w:val="2E4A7A07"/>
    <w:rsid w:val="2E5B194A"/>
    <w:rsid w:val="2E67471B"/>
    <w:rsid w:val="2EB173AA"/>
    <w:rsid w:val="2EE77C35"/>
    <w:rsid w:val="2F1C7329"/>
    <w:rsid w:val="2F1E6A16"/>
    <w:rsid w:val="2F5357A7"/>
    <w:rsid w:val="2F606488"/>
    <w:rsid w:val="2F625C39"/>
    <w:rsid w:val="2F911A4F"/>
    <w:rsid w:val="2FB16F59"/>
    <w:rsid w:val="2FD868A8"/>
    <w:rsid w:val="300748C4"/>
    <w:rsid w:val="30271F81"/>
    <w:rsid w:val="303934C0"/>
    <w:rsid w:val="303E4FF2"/>
    <w:rsid w:val="308B0B94"/>
    <w:rsid w:val="30995164"/>
    <w:rsid w:val="310F5FF1"/>
    <w:rsid w:val="31103CC5"/>
    <w:rsid w:val="311936BD"/>
    <w:rsid w:val="312A523C"/>
    <w:rsid w:val="319D5A1B"/>
    <w:rsid w:val="31AC4B5F"/>
    <w:rsid w:val="31CF0897"/>
    <w:rsid w:val="32041562"/>
    <w:rsid w:val="32092F90"/>
    <w:rsid w:val="322A0D97"/>
    <w:rsid w:val="325C1FC2"/>
    <w:rsid w:val="325D7407"/>
    <w:rsid w:val="325D7DA5"/>
    <w:rsid w:val="326559E8"/>
    <w:rsid w:val="328462D9"/>
    <w:rsid w:val="329E7049"/>
    <w:rsid w:val="32AA7298"/>
    <w:rsid w:val="32B64752"/>
    <w:rsid w:val="32BB8C0B"/>
    <w:rsid w:val="32C9777E"/>
    <w:rsid w:val="32D75646"/>
    <w:rsid w:val="32E33E72"/>
    <w:rsid w:val="32EC46AE"/>
    <w:rsid w:val="32FA4805"/>
    <w:rsid w:val="33292BA9"/>
    <w:rsid w:val="3337155F"/>
    <w:rsid w:val="33476C8B"/>
    <w:rsid w:val="334A78DB"/>
    <w:rsid w:val="33501A2D"/>
    <w:rsid w:val="335807B3"/>
    <w:rsid w:val="335E41EA"/>
    <w:rsid w:val="33735217"/>
    <w:rsid w:val="338479CA"/>
    <w:rsid w:val="33C3210A"/>
    <w:rsid w:val="33E17280"/>
    <w:rsid w:val="33F0160D"/>
    <w:rsid w:val="33F41838"/>
    <w:rsid w:val="34262EEC"/>
    <w:rsid w:val="342B27BC"/>
    <w:rsid w:val="34314A3B"/>
    <w:rsid w:val="346D6A14"/>
    <w:rsid w:val="3482173C"/>
    <w:rsid w:val="348E24BF"/>
    <w:rsid w:val="34B1206D"/>
    <w:rsid w:val="34B61100"/>
    <w:rsid w:val="34D072D8"/>
    <w:rsid w:val="34E728CA"/>
    <w:rsid w:val="34FE7940"/>
    <w:rsid w:val="351078BF"/>
    <w:rsid w:val="3549083A"/>
    <w:rsid w:val="356D1D0A"/>
    <w:rsid w:val="3575434F"/>
    <w:rsid w:val="35834366"/>
    <w:rsid w:val="35851FE3"/>
    <w:rsid w:val="35BF7AA7"/>
    <w:rsid w:val="35C55B35"/>
    <w:rsid w:val="35F76A56"/>
    <w:rsid w:val="361155F3"/>
    <w:rsid w:val="36401815"/>
    <w:rsid w:val="364F070D"/>
    <w:rsid w:val="36900D7F"/>
    <w:rsid w:val="36A5311B"/>
    <w:rsid w:val="36FD3750"/>
    <w:rsid w:val="377E1242"/>
    <w:rsid w:val="379600DA"/>
    <w:rsid w:val="37E56048"/>
    <w:rsid w:val="38174D98"/>
    <w:rsid w:val="38423024"/>
    <w:rsid w:val="385F2A7D"/>
    <w:rsid w:val="387E162E"/>
    <w:rsid w:val="38946770"/>
    <w:rsid w:val="38FA3210"/>
    <w:rsid w:val="39114139"/>
    <w:rsid w:val="39167469"/>
    <w:rsid w:val="39194863"/>
    <w:rsid w:val="39273A0B"/>
    <w:rsid w:val="392D66BE"/>
    <w:rsid w:val="39674E4A"/>
    <w:rsid w:val="39CD06E6"/>
    <w:rsid w:val="3A3C10EF"/>
    <w:rsid w:val="3A6D4693"/>
    <w:rsid w:val="3A754DB7"/>
    <w:rsid w:val="3A7C1F9C"/>
    <w:rsid w:val="3AD94AE7"/>
    <w:rsid w:val="3B151D0B"/>
    <w:rsid w:val="3B240CB2"/>
    <w:rsid w:val="3B52521D"/>
    <w:rsid w:val="3B6F4D8C"/>
    <w:rsid w:val="3B72418D"/>
    <w:rsid w:val="3BB02649"/>
    <w:rsid w:val="3BC35B39"/>
    <w:rsid w:val="3BD24A47"/>
    <w:rsid w:val="3C99635F"/>
    <w:rsid w:val="3CC84F02"/>
    <w:rsid w:val="3D562F1D"/>
    <w:rsid w:val="3D74487C"/>
    <w:rsid w:val="3D7539F3"/>
    <w:rsid w:val="3D99743A"/>
    <w:rsid w:val="3DAD1CC3"/>
    <w:rsid w:val="3DAE2731"/>
    <w:rsid w:val="3DC82FD8"/>
    <w:rsid w:val="3DDF67D0"/>
    <w:rsid w:val="3DE37696"/>
    <w:rsid w:val="3DFD43BD"/>
    <w:rsid w:val="3DFEC63F"/>
    <w:rsid w:val="3E280279"/>
    <w:rsid w:val="3E42694D"/>
    <w:rsid w:val="3E495851"/>
    <w:rsid w:val="3E840455"/>
    <w:rsid w:val="3E850635"/>
    <w:rsid w:val="3EC45D93"/>
    <w:rsid w:val="3EF266A0"/>
    <w:rsid w:val="3EFB141B"/>
    <w:rsid w:val="3F3635BC"/>
    <w:rsid w:val="3F4F411A"/>
    <w:rsid w:val="3FBF210B"/>
    <w:rsid w:val="4014633F"/>
    <w:rsid w:val="403279F1"/>
    <w:rsid w:val="403B4F63"/>
    <w:rsid w:val="4092706C"/>
    <w:rsid w:val="40EB2E13"/>
    <w:rsid w:val="40ED65CA"/>
    <w:rsid w:val="41282E3B"/>
    <w:rsid w:val="41416411"/>
    <w:rsid w:val="41546D16"/>
    <w:rsid w:val="417646D2"/>
    <w:rsid w:val="41856A5F"/>
    <w:rsid w:val="41912A36"/>
    <w:rsid w:val="419868C9"/>
    <w:rsid w:val="42411CC2"/>
    <w:rsid w:val="42A81C22"/>
    <w:rsid w:val="42B35002"/>
    <w:rsid w:val="42E47289"/>
    <w:rsid w:val="43671615"/>
    <w:rsid w:val="436D2FCA"/>
    <w:rsid w:val="43A06B6B"/>
    <w:rsid w:val="43A60A47"/>
    <w:rsid w:val="43B147C6"/>
    <w:rsid w:val="43C401ED"/>
    <w:rsid w:val="43C65471"/>
    <w:rsid w:val="43DC1E7C"/>
    <w:rsid w:val="43E060FD"/>
    <w:rsid w:val="43EF71DA"/>
    <w:rsid w:val="44152D75"/>
    <w:rsid w:val="44184330"/>
    <w:rsid w:val="44576A15"/>
    <w:rsid w:val="44D040DF"/>
    <w:rsid w:val="44DC1442"/>
    <w:rsid w:val="44E67FFA"/>
    <w:rsid w:val="44EC6252"/>
    <w:rsid w:val="44EF561C"/>
    <w:rsid w:val="45144E13"/>
    <w:rsid w:val="4515400F"/>
    <w:rsid w:val="451B4863"/>
    <w:rsid w:val="454C6BF7"/>
    <w:rsid w:val="456F4E33"/>
    <w:rsid w:val="457476F5"/>
    <w:rsid w:val="45AC50DC"/>
    <w:rsid w:val="45D314A4"/>
    <w:rsid w:val="45DE18A5"/>
    <w:rsid w:val="45FC62AA"/>
    <w:rsid w:val="46301603"/>
    <w:rsid w:val="464F674F"/>
    <w:rsid w:val="4666755A"/>
    <w:rsid w:val="466D7EFE"/>
    <w:rsid w:val="46B2560C"/>
    <w:rsid w:val="46C77EC2"/>
    <w:rsid w:val="46FB7FB4"/>
    <w:rsid w:val="46FF5F7E"/>
    <w:rsid w:val="473E11AB"/>
    <w:rsid w:val="47656C02"/>
    <w:rsid w:val="48082FA7"/>
    <w:rsid w:val="481F1B55"/>
    <w:rsid w:val="4829584F"/>
    <w:rsid w:val="48566786"/>
    <w:rsid w:val="48846FEC"/>
    <w:rsid w:val="491723AF"/>
    <w:rsid w:val="491B279C"/>
    <w:rsid w:val="49533CD9"/>
    <w:rsid w:val="49791BB0"/>
    <w:rsid w:val="49A0228C"/>
    <w:rsid w:val="49B85240"/>
    <w:rsid w:val="4A1323A4"/>
    <w:rsid w:val="4A1342E6"/>
    <w:rsid w:val="4A4616A6"/>
    <w:rsid w:val="4A48032F"/>
    <w:rsid w:val="4AAF1561"/>
    <w:rsid w:val="4B0C62B2"/>
    <w:rsid w:val="4B1152BC"/>
    <w:rsid w:val="4B5E76A1"/>
    <w:rsid w:val="4B861E0D"/>
    <w:rsid w:val="4BA03825"/>
    <w:rsid w:val="4BDF6269"/>
    <w:rsid w:val="4C0503C1"/>
    <w:rsid w:val="4C2B5D26"/>
    <w:rsid w:val="4C401B1A"/>
    <w:rsid w:val="4C496920"/>
    <w:rsid w:val="4C8B0BFB"/>
    <w:rsid w:val="4CE8163D"/>
    <w:rsid w:val="4CF3569F"/>
    <w:rsid w:val="4D014DD1"/>
    <w:rsid w:val="4D0633FC"/>
    <w:rsid w:val="4D09183C"/>
    <w:rsid w:val="4D117102"/>
    <w:rsid w:val="4D20658B"/>
    <w:rsid w:val="4D880D89"/>
    <w:rsid w:val="4D957224"/>
    <w:rsid w:val="4D9676A9"/>
    <w:rsid w:val="4DAA211C"/>
    <w:rsid w:val="4DC27E7D"/>
    <w:rsid w:val="4DC74ED3"/>
    <w:rsid w:val="4DD54EA2"/>
    <w:rsid w:val="4E21054A"/>
    <w:rsid w:val="4E8332BB"/>
    <w:rsid w:val="4E8B7676"/>
    <w:rsid w:val="4E911A92"/>
    <w:rsid w:val="4EAC7E0E"/>
    <w:rsid w:val="4EAE36F2"/>
    <w:rsid w:val="4EB51578"/>
    <w:rsid w:val="4EC452A9"/>
    <w:rsid w:val="4ED951DA"/>
    <w:rsid w:val="4F271559"/>
    <w:rsid w:val="4F2C1DC0"/>
    <w:rsid w:val="4F954B2B"/>
    <w:rsid w:val="4F9F022F"/>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B6101"/>
    <w:rsid w:val="514E39D3"/>
    <w:rsid w:val="516A7823"/>
    <w:rsid w:val="517C76EB"/>
    <w:rsid w:val="518C4349"/>
    <w:rsid w:val="51AA1D87"/>
    <w:rsid w:val="51AA591A"/>
    <w:rsid w:val="51AF3936"/>
    <w:rsid w:val="521D20A2"/>
    <w:rsid w:val="52923018"/>
    <w:rsid w:val="52B50F48"/>
    <w:rsid w:val="52BB55F9"/>
    <w:rsid w:val="52EC3699"/>
    <w:rsid w:val="53035610"/>
    <w:rsid w:val="53563FF9"/>
    <w:rsid w:val="535649D0"/>
    <w:rsid w:val="536B298A"/>
    <w:rsid w:val="538452A3"/>
    <w:rsid w:val="538C0C05"/>
    <w:rsid w:val="53AB1466"/>
    <w:rsid w:val="53AC3338"/>
    <w:rsid w:val="5446070C"/>
    <w:rsid w:val="546D01CE"/>
    <w:rsid w:val="547722A4"/>
    <w:rsid w:val="548824F8"/>
    <w:rsid w:val="54940181"/>
    <w:rsid w:val="549E35CA"/>
    <w:rsid w:val="54A45761"/>
    <w:rsid w:val="54A948F7"/>
    <w:rsid w:val="54B96BE5"/>
    <w:rsid w:val="54F04832"/>
    <w:rsid w:val="55027A25"/>
    <w:rsid w:val="551E5264"/>
    <w:rsid w:val="55313209"/>
    <w:rsid w:val="553801B1"/>
    <w:rsid w:val="55612EE1"/>
    <w:rsid w:val="556A1904"/>
    <w:rsid w:val="559D264C"/>
    <w:rsid w:val="559D4932"/>
    <w:rsid w:val="55A12572"/>
    <w:rsid w:val="55D93E49"/>
    <w:rsid w:val="55E17773"/>
    <w:rsid w:val="55EE16DA"/>
    <w:rsid w:val="55F83D27"/>
    <w:rsid w:val="56095F34"/>
    <w:rsid w:val="564936DC"/>
    <w:rsid w:val="56717635"/>
    <w:rsid w:val="567D0515"/>
    <w:rsid w:val="56A033DC"/>
    <w:rsid w:val="56AB0A6F"/>
    <w:rsid w:val="56C9249B"/>
    <w:rsid w:val="56D12583"/>
    <w:rsid w:val="56FB0D6B"/>
    <w:rsid w:val="5705211A"/>
    <w:rsid w:val="57055CC2"/>
    <w:rsid w:val="573C78BF"/>
    <w:rsid w:val="573F7601"/>
    <w:rsid w:val="575533B2"/>
    <w:rsid w:val="575B6F5B"/>
    <w:rsid w:val="5784057F"/>
    <w:rsid w:val="579064D1"/>
    <w:rsid w:val="57983F7E"/>
    <w:rsid w:val="57EE4E5E"/>
    <w:rsid w:val="58211389"/>
    <w:rsid w:val="5822508B"/>
    <w:rsid w:val="58A42627"/>
    <w:rsid w:val="58B1365B"/>
    <w:rsid w:val="58B4661C"/>
    <w:rsid w:val="58CD73F0"/>
    <w:rsid w:val="58F25192"/>
    <w:rsid w:val="58FB0D6B"/>
    <w:rsid w:val="592E5C8B"/>
    <w:rsid w:val="59B938EC"/>
    <w:rsid w:val="59F039EB"/>
    <w:rsid w:val="5A142BFD"/>
    <w:rsid w:val="5A276347"/>
    <w:rsid w:val="5A295A1E"/>
    <w:rsid w:val="5A7551F0"/>
    <w:rsid w:val="5AE21575"/>
    <w:rsid w:val="5B267475"/>
    <w:rsid w:val="5B6920E1"/>
    <w:rsid w:val="5B7C4952"/>
    <w:rsid w:val="5BA16290"/>
    <w:rsid w:val="5BC26346"/>
    <w:rsid w:val="5BC623F5"/>
    <w:rsid w:val="5BCD47BD"/>
    <w:rsid w:val="5C207123"/>
    <w:rsid w:val="5C3C1B52"/>
    <w:rsid w:val="5C42398A"/>
    <w:rsid w:val="5C863894"/>
    <w:rsid w:val="5C9F5FE6"/>
    <w:rsid w:val="5CC04511"/>
    <w:rsid w:val="5CD86F67"/>
    <w:rsid w:val="5CDFC97D"/>
    <w:rsid w:val="5CED1068"/>
    <w:rsid w:val="5CFE6618"/>
    <w:rsid w:val="5D1F019A"/>
    <w:rsid w:val="5D7C58CD"/>
    <w:rsid w:val="5D9C0ED5"/>
    <w:rsid w:val="5DB70557"/>
    <w:rsid w:val="5DCE6F87"/>
    <w:rsid w:val="5DDFF29A"/>
    <w:rsid w:val="5E035BD3"/>
    <w:rsid w:val="5E0A615E"/>
    <w:rsid w:val="5E767403"/>
    <w:rsid w:val="5E7E5207"/>
    <w:rsid w:val="5E841EF2"/>
    <w:rsid w:val="5ED65219"/>
    <w:rsid w:val="5EE01142"/>
    <w:rsid w:val="5F03760E"/>
    <w:rsid w:val="5F533947"/>
    <w:rsid w:val="5F7A5417"/>
    <w:rsid w:val="5FA10F8B"/>
    <w:rsid w:val="5FC25210"/>
    <w:rsid w:val="5FEFBC40"/>
    <w:rsid w:val="6009431E"/>
    <w:rsid w:val="60125AB9"/>
    <w:rsid w:val="6025250E"/>
    <w:rsid w:val="60283E5C"/>
    <w:rsid w:val="6070030D"/>
    <w:rsid w:val="60777475"/>
    <w:rsid w:val="609864D9"/>
    <w:rsid w:val="60B779A0"/>
    <w:rsid w:val="60B95A02"/>
    <w:rsid w:val="60C232FF"/>
    <w:rsid w:val="60EE6BC0"/>
    <w:rsid w:val="615304FE"/>
    <w:rsid w:val="615831A3"/>
    <w:rsid w:val="61981D76"/>
    <w:rsid w:val="61BA63EE"/>
    <w:rsid w:val="61C775EF"/>
    <w:rsid w:val="61C81269"/>
    <w:rsid w:val="621A1C7A"/>
    <w:rsid w:val="623A31CE"/>
    <w:rsid w:val="626F75E7"/>
    <w:rsid w:val="629B6165"/>
    <w:rsid w:val="62C666BF"/>
    <w:rsid w:val="62CB5E4F"/>
    <w:rsid w:val="62F359D6"/>
    <w:rsid w:val="62F6494D"/>
    <w:rsid w:val="63046445"/>
    <w:rsid w:val="63296B7A"/>
    <w:rsid w:val="6389514D"/>
    <w:rsid w:val="63AE7336"/>
    <w:rsid w:val="64227BA4"/>
    <w:rsid w:val="64383304"/>
    <w:rsid w:val="64836707"/>
    <w:rsid w:val="64D80755"/>
    <w:rsid w:val="65834054"/>
    <w:rsid w:val="659E0E20"/>
    <w:rsid w:val="65AF0DFE"/>
    <w:rsid w:val="65E2561F"/>
    <w:rsid w:val="65E63B9C"/>
    <w:rsid w:val="6601683A"/>
    <w:rsid w:val="660E5151"/>
    <w:rsid w:val="6620296E"/>
    <w:rsid w:val="6628431F"/>
    <w:rsid w:val="662D2F8B"/>
    <w:rsid w:val="66510F74"/>
    <w:rsid w:val="66593D73"/>
    <w:rsid w:val="666378FF"/>
    <w:rsid w:val="666727C6"/>
    <w:rsid w:val="66777625"/>
    <w:rsid w:val="669F29C9"/>
    <w:rsid w:val="66CB0F2F"/>
    <w:rsid w:val="66FC541B"/>
    <w:rsid w:val="670B5D1A"/>
    <w:rsid w:val="67424E02"/>
    <w:rsid w:val="677A4081"/>
    <w:rsid w:val="677F4B3D"/>
    <w:rsid w:val="679A0CEF"/>
    <w:rsid w:val="67B52C01"/>
    <w:rsid w:val="67B53159"/>
    <w:rsid w:val="67DC4FA1"/>
    <w:rsid w:val="67EE4DCA"/>
    <w:rsid w:val="680B0026"/>
    <w:rsid w:val="680E169B"/>
    <w:rsid w:val="683E4589"/>
    <w:rsid w:val="68415476"/>
    <w:rsid w:val="68492A7C"/>
    <w:rsid w:val="68647CB3"/>
    <w:rsid w:val="689C6B36"/>
    <w:rsid w:val="68A31E5A"/>
    <w:rsid w:val="68C93FF6"/>
    <w:rsid w:val="68DC276A"/>
    <w:rsid w:val="68E02B96"/>
    <w:rsid w:val="68F90409"/>
    <w:rsid w:val="690F6177"/>
    <w:rsid w:val="69286C48"/>
    <w:rsid w:val="694A3D9E"/>
    <w:rsid w:val="696A4039"/>
    <w:rsid w:val="698C1A55"/>
    <w:rsid w:val="69A86E39"/>
    <w:rsid w:val="69D8170A"/>
    <w:rsid w:val="6A17487E"/>
    <w:rsid w:val="6A9B436E"/>
    <w:rsid w:val="6A9D31E5"/>
    <w:rsid w:val="6ABE6D4A"/>
    <w:rsid w:val="6B0A032C"/>
    <w:rsid w:val="6B221F70"/>
    <w:rsid w:val="6B273CA9"/>
    <w:rsid w:val="6B4008DB"/>
    <w:rsid w:val="6B4D6FB4"/>
    <w:rsid w:val="6B531462"/>
    <w:rsid w:val="6B682826"/>
    <w:rsid w:val="6B867AE1"/>
    <w:rsid w:val="6BAB44C8"/>
    <w:rsid w:val="6BB1672B"/>
    <w:rsid w:val="6BC3504B"/>
    <w:rsid w:val="6BF91EC4"/>
    <w:rsid w:val="6C1950FF"/>
    <w:rsid w:val="6C20558F"/>
    <w:rsid w:val="6C2F5940"/>
    <w:rsid w:val="6C34412C"/>
    <w:rsid w:val="6C5F3CA6"/>
    <w:rsid w:val="6C697356"/>
    <w:rsid w:val="6C875CB5"/>
    <w:rsid w:val="6C9013B3"/>
    <w:rsid w:val="6CD362D7"/>
    <w:rsid w:val="6D035420"/>
    <w:rsid w:val="6D510F2F"/>
    <w:rsid w:val="6D5F3A64"/>
    <w:rsid w:val="6D6D0877"/>
    <w:rsid w:val="6DC70081"/>
    <w:rsid w:val="6DE90B45"/>
    <w:rsid w:val="6DFBC5B3"/>
    <w:rsid w:val="6E071417"/>
    <w:rsid w:val="6E326006"/>
    <w:rsid w:val="6E82366F"/>
    <w:rsid w:val="6E8334A3"/>
    <w:rsid w:val="6E9C41E0"/>
    <w:rsid w:val="6E9C74ED"/>
    <w:rsid w:val="6ECE27BA"/>
    <w:rsid w:val="6EFF2BFE"/>
    <w:rsid w:val="6F055931"/>
    <w:rsid w:val="6F114EF6"/>
    <w:rsid w:val="6F53446B"/>
    <w:rsid w:val="6F5A4210"/>
    <w:rsid w:val="6F75478E"/>
    <w:rsid w:val="6F895FB2"/>
    <w:rsid w:val="6FA468BA"/>
    <w:rsid w:val="6FAB3377"/>
    <w:rsid w:val="6FCC06C7"/>
    <w:rsid w:val="6FCD682F"/>
    <w:rsid w:val="6FCF7432"/>
    <w:rsid w:val="6FE939E0"/>
    <w:rsid w:val="6FEA0DFA"/>
    <w:rsid w:val="6FFB85E0"/>
    <w:rsid w:val="706A7177"/>
    <w:rsid w:val="709E0DDB"/>
    <w:rsid w:val="70A42908"/>
    <w:rsid w:val="70A57BA3"/>
    <w:rsid w:val="70D43B4C"/>
    <w:rsid w:val="70EC20C7"/>
    <w:rsid w:val="70F345F8"/>
    <w:rsid w:val="70F52624"/>
    <w:rsid w:val="712C46D9"/>
    <w:rsid w:val="714722DC"/>
    <w:rsid w:val="71537188"/>
    <w:rsid w:val="715D0B65"/>
    <w:rsid w:val="71654FF4"/>
    <w:rsid w:val="716629DA"/>
    <w:rsid w:val="71692CA9"/>
    <w:rsid w:val="71730D49"/>
    <w:rsid w:val="71AB4D47"/>
    <w:rsid w:val="71E923F4"/>
    <w:rsid w:val="7202479D"/>
    <w:rsid w:val="72236013"/>
    <w:rsid w:val="72363868"/>
    <w:rsid w:val="726101EA"/>
    <w:rsid w:val="726D248E"/>
    <w:rsid w:val="72783DCD"/>
    <w:rsid w:val="728C2BF0"/>
    <w:rsid w:val="72B87E8B"/>
    <w:rsid w:val="72D120BA"/>
    <w:rsid w:val="72D276DF"/>
    <w:rsid w:val="731E158E"/>
    <w:rsid w:val="734667EB"/>
    <w:rsid w:val="742324DB"/>
    <w:rsid w:val="7426150B"/>
    <w:rsid w:val="744766C4"/>
    <w:rsid w:val="748E2D2D"/>
    <w:rsid w:val="74924809"/>
    <w:rsid w:val="74CF6993"/>
    <w:rsid w:val="75092E76"/>
    <w:rsid w:val="753516CB"/>
    <w:rsid w:val="75374C37"/>
    <w:rsid w:val="7556368F"/>
    <w:rsid w:val="75676903"/>
    <w:rsid w:val="75691945"/>
    <w:rsid w:val="75AC62C6"/>
    <w:rsid w:val="75B22A1A"/>
    <w:rsid w:val="75BE3004"/>
    <w:rsid w:val="75EA7C8A"/>
    <w:rsid w:val="76085DD4"/>
    <w:rsid w:val="760E348E"/>
    <w:rsid w:val="760F6B04"/>
    <w:rsid w:val="76815405"/>
    <w:rsid w:val="768E7B82"/>
    <w:rsid w:val="76D74D2B"/>
    <w:rsid w:val="76E5607B"/>
    <w:rsid w:val="77380CA8"/>
    <w:rsid w:val="77E5736C"/>
    <w:rsid w:val="77EF1DED"/>
    <w:rsid w:val="77FA121B"/>
    <w:rsid w:val="784F420B"/>
    <w:rsid w:val="78566A72"/>
    <w:rsid w:val="7869107C"/>
    <w:rsid w:val="7879209D"/>
    <w:rsid w:val="78866EAB"/>
    <w:rsid w:val="788E2D13"/>
    <w:rsid w:val="789B2461"/>
    <w:rsid w:val="7908612C"/>
    <w:rsid w:val="796645D5"/>
    <w:rsid w:val="797C3D9D"/>
    <w:rsid w:val="79BC2823"/>
    <w:rsid w:val="79BD61BB"/>
    <w:rsid w:val="79CB6C85"/>
    <w:rsid w:val="79E311CB"/>
    <w:rsid w:val="79F4337C"/>
    <w:rsid w:val="79F503F9"/>
    <w:rsid w:val="7A164076"/>
    <w:rsid w:val="7A197C2B"/>
    <w:rsid w:val="7AB47524"/>
    <w:rsid w:val="7AB94A6E"/>
    <w:rsid w:val="7ADE22DC"/>
    <w:rsid w:val="7AEC5514"/>
    <w:rsid w:val="7AFE01AD"/>
    <w:rsid w:val="7B5E8DA7"/>
    <w:rsid w:val="7B875D8F"/>
    <w:rsid w:val="7B8E1711"/>
    <w:rsid w:val="7B9F63FE"/>
    <w:rsid w:val="7BA34456"/>
    <w:rsid w:val="7BB4786B"/>
    <w:rsid w:val="7BD244A8"/>
    <w:rsid w:val="7BF51348"/>
    <w:rsid w:val="7BF551FD"/>
    <w:rsid w:val="7C1508DF"/>
    <w:rsid w:val="7C1FA062"/>
    <w:rsid w:val="7C506DFC"/>
    <w:rsid w:val="7C5808AB"/>
    <w:rsid w:val="7C6713F1"/>
    <w:rsid w:val="7CB72F89"/>
    <w:rsid w:val="7CC457D0"/>
    <w:rsid w:val="7CDE5B83"/>
    <w:rsid w:val="7CEA7748"/>
    <w:rsid w:val="7CF35C79"/>
    <w:rsid w:val="7D0924A9"/>
    <w:rsid w:val="7D31246A"/>
    <w:rsid w:val="7D396535"/>
    <w:rsid w:val="7D4C4846"/>
    <w:rsid w:val="7D4E24EE"/>
    <w:rsid w:val="7D6876FE"/>
    <w:rsid w:val="7D6A6880"/>
    <w:rsid w:val="7DB008BF"/>
    <w:rsid w:val="7E517B74"/>
    <w:rsid w:val="7E534872"/>
    <w:rsid w:val="7E7A1309"/>
    <w:rsid w:val="7E803C59"/>
    <w:rsid w:val="7E916828"/>
    <w:rsid w:val="7EBA5A8F"/>
    <w:rsid w:val="7EC200C9"/>
    <w:rsid w:val="7ED15A38"/>
    <w:rsid w:val="7EED51BC"/>
    <w:rsid w:val="7EEEFABB"/>
    <w:rsid w:val="7F06361E"/>
    <w:rsid w:val="7F201F9A"/>
    <w:rsid w:val="7F472B75"/>
    <w:rsid w:val="7F4D5D02"/>
    <w:rsid w:val="7F5247AD"/>
    <w:rsid w:val="7F652CC9"/>
    <w:rsid w:val="7F8F791E"/>
    <w:rsid w:val="7FA36220"/>
    <w:rsid w:val="7FC27DFD"/>
    <w:rsid w:val="7FC324FA"/>
    <w:rsid w:val="7FC7650A"/>
    <w:rsid w:val="7FDA368B"/>
    <w:rsid w:val="7FDE7E2F"/>
    <w:rsid w:val="7FEEF0EC"/>
    <w:rsid w:val="7FF5350D"/>
    <w:rsid w:val="7FFA0E83"/>
    <w:rsid w:val="8BF72B1D"/>
    <w:rsid w:val="ADFCA0CB"/>
    <w:rsid w:val="BDAB037F"/>
    <w:rsid w:val="CFFCB260"/>
    <w:rsid w:val="EBEB9FC6"/>
    <w:rsid w:val="EF7F7B9A"/>
    <w:rsid w:val="F3C24DD7"/>
    <w:rsid w:val="F3FE739A"/>
    <w:rsid w:val="F9B3A0FE"/>
    <w:rsid w:val="FE1FBBDE"/>
    <w:rsid w:val="FEABE2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
    <w:qFormat/>
    <w:uiPriority w:val="0"/>
  </w:style>
  <w:style w:type="paragraph" w:styleId="10">
    <w:name w:val="Body Text Indent"/>
    <w:basedOn w:val="1"/>
    <w:next w:val="1"/>
    <w:qFormat/>
    <w:uiPriority w:val="0"/>
    <w:pPr>
      <w:spacing w:line="360" w:lineRule="auto"/>
    </w:pPr>
    <w:rPr>
      <w:rFonts w:ascii="仿宋体" w:eastAsia="仿宋体"/>
      <w:sz w:val="24"/>
    </w:rPr>
  </w:style>
  <w:style w:type="paragraph" w:styleId="11">
    <w:name w:val="Plain Text"/>
    <w:basedOn w:val="1"/>
    <w:next w:val="12"/>
    <w:unhideWhenUsed/>
    <w:qFormat/>
    <w:uiPriority w:val="99"/>
    <w:rPr>
      <w:rFonts w:ascii="宋体" w:hAnsi="Courier New" w:cs="Courier New"/>
      <w:szCs w:val="21"/>
    </w:rPr>
  </w:style>
  <w:style w:type="paragraph" w:styleId="12">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3">
    <w:name w:val="Date"/>
    <w:basedOn w:val="1"/>
    <w:next w:val="1"/>
    <w:qFormat/>
    <w:uiPriority w:val="0"/>
    <w:pPr>
      <w:ind w:left="100" w:leftChars="2500"/>
    </w:pPr>
    <w:rPr>
      <w:rFonts w:ascii="华文仿宋" w:hAnsi="华文仿宋" w:eastAsia="华文仿宋"/>
      <w:sz w:val="24"/>
    </w:rPr>
  </w:style>
  <w:style w:type="paragraph" w:styleId="14">
    <w:name w:val="Body Text Indent 2"/>
    <w:basedOn w:val="1"/>
    <w:qFormat/>
    <w:uiPriority w:val="0"/>
    <w:pPr>
      <w:spacing w:line="360" w:lineRule="auto"/>
      <w:ind w:left="839" w:hanging="839" w:hangingChars="355"/>
    </w:pPr>
    <w:rPr>
      <w:b/>
      <w:sz w:val="24"/>
    </w:rPr>
  </w:style>
  <w:style w:type="paragraph" w:styleId="15">
    <w:name w:val="Balloon Text"/>
    <w:basedOn w:val="1"/>
    <w:link w:val="4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9"/>
    <w:basedOn w:val="1"/>
    <w:next w:val="1"/>
    <w:unhideWhenUsed/>
    <w:qFormat/>
    <w:uiPriority w:val="39"/>
    <w:pPr>
      <w:ind w:left="1680"/>
      <w:jc w:val="left"/>
    </w:pPr>
    <w:rPr>
      <w:rFonts w:ascii="Calibri" w:hAnsi="Calibri" w:cs="Calibri"/>
      <w:sz w:val="18"/>
      <w:szCs w:val="18"/>
    </w:rPr>
  </w:style>
  <w:style w:type="paragraph" w:styleId="19">
    <w:name w:val="Body Text 2"/>
    <w:basedOn w:val="1"/>
    <w:qFormat/>
    <w:uiPriority w:val="99"/>
    <w:pPr>
      <w:spacing w:after="120" w:line="480" w:lineRule="auto"/>
    </w:pPr>
    <w:rPr>
      <w:rFonts w:ascii="Calibri" w:hAnsi="Calibri"/>
      <w:kern w:val="0"/>
      <w:sz w:val="20"/>
    </w:rPr>
  </w:style>
  <w:style w:type="paragraph" w:styleId="20">
    <w:name w:val="List Continue 2"/>
    <w:basedOn w:val="1"/>
    <w:qFormat/>
    <w:uiPriority w:val="0"/>
    <w:pPr>
      <w:spacing w:after="120"/>
      <w:ind w:left="840" w:leftChars="4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9"/>
    <w:qFormat/>
    <w:uiPriority w:val="0"/>
    <w:pPr>
      <w:ind w:firstLine="420" w:firstLineChars="100"/>
    </w:pPr>
    <w:rPr>
      <w:szCs w:val="21"/>
    </w:rPr>
  </w:style>
  <w:style w:type="paragraph" w:styleId="25">
    <w:name w:val="Body Text First Indent 2"/>
    <w:basedOn w:val="10"/>
    <w:qFormat/>
    <w:uiPriority w:val="0"/>
    <w:pPr>
      <w:ind w:firstLine="420" w:firstLineChars="200"/>
    </w:p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687D0"/>
      <w:u w:val="single"/>
    </w:rPr>
  </w:style>
  <w:style w:type="character" w:styleId="32">
    <w:name w:val="HTML Definition"/>
    <w:basedOn w:val="28"/>
    <w:qFormat/>
    <w:uiPriority w:val="0"/>
    <w:rPr>
      <w:i/>
    </w:rPr>
  </w:style>
  <w:style w:type="character" w:styleId="33">
    <w:name w:val="Hyperlink"/>
    <w:basedOn w:val="28"/>
    <w:semiHidden/>
    <w:unhideWhenUsed/>
    <w:qFormat/>
    <w:uiPriority w:val="99"/>
    <w:rPr>
      <w:color w:val="0000FF"/>
      <w:u w:val="single"/>
    </w:rPr>
  </w:style>
  <w:style w:type="character" w:styleId="34">
    <w:name w:val="HTML Code"/>
    <w:basedOn w:val="28"/>
    <w:qFormat/>
    <w:uiPriority w:val="0"/>
    <w:rPr>
      <w:rFonts w:ascii="Consolas" w:hAnsi="Consolas" w:eastAsia="Consolas" w:cs="Consolas"/>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表格文字"/>
    <w:basedOn w:val="1"/>
    <w:next w:val="9"/>
    <w:qFormat/>
    <w:uiPriority w:val="0"/>
    <w:pPr>
      <w:jc w:val="left"/>
    </w:pPr>
    <w:rPr>
      <w:bCs/>
      <w:spacing w:val="10"/>
      <w:sz w:val="24"/>
    </w:rPr>
  </w:style>
  <w:style w:type="paragraph" w:customStyle="1" w:styleId="38">
    <w:name w:val="赛德正文"/>
    <w:basedOn w:val="1"/>
    <w:qFormat/>
    <w:uiPriority w:val="0"/>
    <w:pPr>
      <w:spacing w:line="360" w:lineRule="auto"/>
      <w:ind w:firstLine="200" w:firstLineChars="200"/>
    </w:pPr>
    <w:rPr>
      <w:sz w:val="24"/>
    </w:rPr>
  </w:style>
  <w:style w:type="paragraph" w:customStyle="1" w:styleId="39">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默认段落字体 Para Char"/>
    <w:basedOn w:val="1"/>
    <w:qFormat/>
    <w:uiPriority w:val="0"/>
    <w:pPr>
      <w:adjustRightInd w:val="0"/>
      <w:spacing w:line="360" w:lineRule="auto"/>
    </w:p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列出段落1"/>
    <w:basedOn w:val="1"/>
    <w:qFormat/>
    <w:uiPriority w:val="34"/>
    <w:pPr>
      <w:ind w:firstLine="420" w:firstLineChars="200"/>
    </w:pPr>
  </w:style>
  <w:style w:type="character" w:customStyle="1" w:styleId="46">
    <w:name w:val="font11"/>
    <w:basedOn w:val="28"/>
    <w:qFormat/>
    <w:uiPriority w:val="0"/>
    <w:rPr>
      <w:rFonts w:hint="default" w:ascii="Times New Roman" w:hAnsi="Times New Roman" w:cs="Times New Roman"/>
      <w:color w:val="000000"/>
      <w:sz w:val="24"/>
      <w:szCs w:val="24"/>
      <w:u w:val="none"/>
    </w:rPr>
  </w:style>
  <w:style w:type="character" w:customStyle="1" w:styleId="47">
    <w:name w:val="font31"/>
    <w:basedOn w:val="28"/>
    <w:qFormat/>
    <w:uiPriority w:val="0"/>
    <w:rPr>
      <w:rFonts w:hint="eastAsia" w:ascii="宋体" w:hAnsi="宋体" w:eastAsia="宋体" w:cs="宋体"/>
      <w:color w:val="000000"/>
      <w:sz w:val="24"/>
      <w:szCs w:val="24"/>
      <w:u w:val="none"/>
    </w:rPr>
  </w:style>
  <w:style w:type="paragraph" w:customStyle="1" w:styleId="48">
    <w:name w:val="WPS Plain"/>
    <w:qFormat/>
    <w:uiPriority w:val="0"/>
    <w:rPr>
      <w:rFonts w:ascii="Times New Roman" w:hAnsi="Times New Roman" w:eastAsia="宋体" w:cs="Times New Roman"/>
      <w:lang w:val="en-US" w:eastAsia="zh-CN" w:bidi="ar-SA"/>
    </w:rPr>
  </w:style>
  <w:style w:type="character" w:customStyle="1" w:styleId="49">
    <w:name w:val="批注框文本 Char"/>
    <w:basedOn w:val="28"/>
    <w:link w:val="15"/>
    <w:qFormat/>
    <w:uiPriority w:val="0"/>
    <w:rPr>
      <w:kern w:val="2"/>
      <w:sz w:val="18"/>
      <w:szCs w:val="18"/>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1">
    <w:name w:val="apple-converted-space"/>
    <w:basedOn w:val="28"/>
    <w:qFormat/>
    <w:uiPriority w:val="0"/>
  </w:style>
  <w:style w:type="paragraph" w:customStyle="1" w:styleId="52">
    <w:name w:val="Table Paragraph"/>
    <w:basedOn w:val="1"/>
    <w:qFormat/>
    <w:uiPriority w:val="1"/>
    <w:rPr>
      <w:rFonts w:ascii="宋体" w:hAnsi="宋体" w:cs="宋体"/>
      <w:lang w:val="zh-CN" w:bidi="zh-CN"/>
    </w:rPr>
  </w:style>
  <w:style w:type="paragraph" w:customStyle="1" w:styleId="53">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4">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5">
    <w:name w:val="明显参考1"/>
    <w:basedOn w:val="28"/>
    <w:qFormat/>
    <w:uiPriority w:val="32"/>
    <w:rPr>
      <w:b/>
      <w:bCs/>
      <w:smallCaps/>
      <w:color w:val="C0504D"/>
      <w:spacing w:val="5"/>
      <w:u w:val="single"/>
    </w:rPr>
  </w:style>
  <w:style w:type="paragraph" w:styleId="56">
    <w:name w:val="List Paragraph"/>
    <w:basedOn w:val="1"/>
    <w:qFormat/>
    <w:uiPriority w:val="34"/>
    <w:pPr>
      <w:ind w:firstLine="420" w:firstLineChars="200"/>
    </w:pPr>
    <w:rPr>
      <w:rFonts w:ascii="Calibri" w:hAnsi="Calibri"/>
      <w:szCs w:val="22"/>
    </w:rPr>
  </w:style>
  <w:style w:type="character" w:customStyle="1" w:styleId="57">
    <w:name w:val="明显参考11"/>
    <w:basedOn w:val="28"/>
    <w:qFormat/>
    <w:uiPriority w:val="32"/>
    <w:rPr>
      <w:b/>
      <w:bCs/>
      <w:smallCaps/>
      <w:color w:val="C0504D"/>
      <w:spacing w:val="5"/>
      <w:u w:val="single"/>
    </w:rPr>
  </w:style>
  <w:style w:type="character" w:customStyle="1" w:styleId="58">
    <w:name w:val="cm-header"/>
    <w:basedOn w:val="28"/>
    <w:qFormat/>
    <w:uiPriority w:val="0"/>
    <w:rPr>
      <w:b/>
    </w:rPr>
  </w:style>
  <w:style w:type="character" w:customStyle="1" w:styleId="59">
    <w:name w:val="cm-header1"/>
    <w:basedOn w:val="28"/>
    <w:qFormat/>
    <w:uiPriority w:val="0"/>
    <w:rPr>
      <w:color w:val="AA00AA"/>
    </w:rPr>
  </w:style>
  <w:style w:type="character" w:customStyle="1" w:styleId="60">
    <w:name w:val="cm-em"/>
    <w:basedOn w:val="28"/>
    <w:qFormat/>
    <w:uiPriority w:val="0"/>
    <w:rPr>
      <w:i/>
    </w:rPr>
  </w:style>
  <w:style w:type="character" w:customStyle="1" w:styleId="61">
    <w:name w:val="search"/>
    <w:basedOn w:val="28"/>
    <w:qFormat/>
    <w:uiPriority w:val="0"/>
  </w:style>
  <w:style w:type="character" w:customStyle="1" w:styleId="62">
    <w:name w:val="search1"/>
    <w:basedOn w:val="28"/>
    <w:qFormat/>
    <w:uiPriority w:val="0"/>
  </w:style>
  <w:style w:type="character" w:customStyle="1" w:styleId="63">
    <w:name w:val="cm-string"/>
    <w:basedOn w:val="28"/>
    <w:qFormat/>
    <w:uiPriority w:val="0"/>
    <w:rPr>
      <w:color w:val="AA1111"/>
    </w:rPr>
  </w:style>
  <w:style w:type="character" w:customStyle="1" w:styleId="64">
    <w:name w:val="last-child"/>
    <w:basedOn w:val="28"/>
    <w:qFormat/>
    <w:uiPriority w:val="0"/>
  </w:style>
  <w:style w:type="character" w:customStyle="1" w:styleId="65">
    <w:name w:val="cm-error"/>
    <w:basedOn w:val="28"/>
    <w:qFormat/>
    <w:uiPriority w:val="0"/>
    <w:rPr>
      <w:color w:val="FF0000"/>
    </w:rPr>
  </w:style>
  <w:style w:type="character" w:customStyle="1" w:styleId="66">
    <w:name w:val="codemirror-matchingbracket"/>
    <w:basedOn w:val="28"/>
    <w:qFormat/>
    <w:uiPriority w:val="0"/>
    <w:rPr>
      <w:color w:val="00FF00"/>
    </w:rPr>
  </w:style>
  <w:style w:type="character" w:customStyle="1" w:styleId="67">
    <w:name w:val="caret4"/>
    <w:basedOn w:val="28"/>
    <w:qFormat/>
    <w:uiPriority w:val="0"/>
  </w:style>
  <w:style w:type="character" w:customStyle="1" w:styleId="68">
    <w:name w:val="codemirror-nonmatchingbracket"/>
    <w:basedOn w:val="28"/>
    <w:qFormat/>
    <w:uiPriority w:val="0"/>
    <w:rPr>
      <w:color w:val="FF2222"/>
    </w:rPr>
  </w:style>
  <w:style w:type="character" w:customStyle="1" w:styleId="69">
    <w:name w:val="cm-link"/>
    <w:basedOn w:val="28"/>
    <w:qFormat/>
    <w:uiPriority w:val="0"/>
    <w:rPr>
      <w:color w:val="0000CC"/>
    </w:rPr>
  </w:style>
  <w:style w:type="character" w:customStyle="1" w:styleId="70">
    <w:name w:val="current"/>
    <w:basedOn w:val="28"/>
    <w:qFormat/>
    <w:uiPriority w:val="0"/>
    <w:rPr>
      <w:color w:val="FFFFFF"/>
      <w:bdr w:val="single" w:color="197AFF" w:sz="6" w:space="0"/>
      <w:shd w:val="clear" w:color="auto" w:fill="197AFF"/>
    </w:rPr>
  </w:style>
  <w:style w:type="character" w:customStyle="1" w:styleId="71">
    <w:name w:val="current1"/>
    <w:basedOn w:val="28"/>
    <w:qFormat/>
    <w:uiPriority w:val="0"/>
    <w:rPr>
      <w:color w:val="FFFFFF"/>
      <w:bdr w:val="single" w:color="197AFF" w:sz="6" w:space="0"/>
      <w:shd w:val="clear" w:color="auto" w:fill="197AFF"/>
    </w:rPr>
  </w:style>
  <w:style w:type="character" w:customStyle="1" w:styleId="72">
    <w:name w:val="current2"/>
    <w:basedOn w:val="28"/>
    <w:qFormat/>
    <w:uiPriority w:val="0"/>
    <w:rPr>
      <w:color w:val="197AFF"/>
      <w:shd w:val="clear" w:color="auto" w:fill="EBECF0"/>
    </w:rPr>
  </w:style>
  <w:style w:type="character" w:customStyle="1" w:styleId="73">
    <w:name w:val="cm-strong"/>
    <w:basedOn w:val="28"/>
    <w:qFormat/>
    <w:uiPriority w:val="0"/>
    <w:rPr>
      <w:b/>
    </w:rPr>
  </w:style>
  <w:style w:type="character" w:customStyle="1" w:styleId="74">
    <w:name w:val="icon-zcy86"/>
    <w:basedOn w:val="28"/>
    <w:qFormat/>
    <w:uiPriority w:val="0"/>
    <w:rPr>
      <w:color w:val="EEEEEE"/>
    </w:rPr>
  </w:style>
  <w:style w:type="character" w:customStyle="1" w:styleId="75">
    <w:name w:val="error"/>
    <w:basedOn w:val="28"/>
    <w:qFormat/>
    <w:uiPriority w:val="0"/>
    <w:rPr>
      <w:color w:val="FF625C"/>
    </w:rPr>
  </w:style>
  <w:style w:type="character" w:customStyle="1" w:styleId="76">
    <w:name w:val="error1"/>
    <w:basedOn w:val="28"/>
    <w:qFormat/>
    <w:uiPriority w:val="0"/>
    <w:rPr>
      <w:color w:val="FF625C"/>
    </w:rPr>
  </w:style>
  <w:style w:type="character" w:customStyle="1" w:styleId="77">
    <w:name w:val="next-item"/>
    <w:basedOn w:val="28"/>
    <w:qFormat/>
    <w:uiPriority w:val="0"/>
    <w:rPr>
      <w:color w:val="333333"/>
      <w:bdr w:val="single" w:color="CCD0D6" w:sz="6" w:space="0"/>
    </w:rPr>
  </w:style>
  <w:style w:type="character" w:customStyle="1" w:styleId="78">
    <w:name w:val="cm-qualifier"/>
    <w:basedOn w:val="28"/>
    <w:qFormat/>
    <w:uiPriority w:val="0"/>
    <w:rPr>
      <w:color w:val="555555"/>
    </w:rPr>
  </w:style>
  <w:style w:type="character" w:customStyle="1" w:styleId="79">
    <w:name w:val="modal-title40"/>
    <w:basedOn w:val="28"/>
    <w:qFormat/>
    <w:uiPriority w:val="0"/>
    <w:rPr>
      <w:b/>
      <w:sz w:val="30"/>
      <w:szCs w:val="30"/>
    </w:rPr>
  </w:style>
  <w:style w:type="character" w:customStyle="1" w:styleId="80">
    <w:name w:val="danger6"/>
    <w:basedOn w:val="28"/>
    <w:qFormat/>
    <w:uiPriority w:val="0"/>
    <w:rPr>
      <w:color w:val="FF2200"/>
    </w:rPr>
  </w:style>
  <w:style w:type="character" w:customStyle="1" w:styleId="81">
    <w:name w:val="danger7"/>
    <w:basedOn w:val="28"/>
    <w:qFormat/>
    <w:uiPriority w:val="0"/>
    <w:rPr>
      <w:color w:val="FF2200"/>
    </w:rPr>
  </w:style>
  <w:style w:type="character" w:customStyle="1" w:styleId="82">
    <w:name w:val="success6"/>
    <w:basedOn w:val="28"/>
    <w:qFormat/>
    <w:uiPriority w:val="0"/>
    <w:rPr>
      <w:color w:val="2DC12D"/>
    </w:rPr>
  </w:style>
  <w:style w:type="character" w:customStyle="1" w:styleId="83">
    <w:name w:val="success7"/>
    <w:basedOn w:val="28"/>
    <w:qFormat/>
    <w:uiPriority w:val="0"/>
    <w:rPr>
      <w:color w:val="2DC12D"/>
    </w:rPr>
  </w:style>
  <w:style w:type="character" w:customStyle="1" w:styleId="84">
    <w:name w:val="cm-comment"/>
    <w:basedOn w:val="28"/>
    <w:qFormat/>
    <w:uiPriority w:val="0"/>
    <w:rPr>
      <w:color w:val="AA5500"/>
    </w:rPr>
  </w:style>
  <w:style w:type="character" w:customStyle="1" w:styleId="85">
    <w:name w:val="cm-variable-2"/>
    <w:basedOn w:val="28"/>
    <w:qFormat/>
    <w:uiPriority w:val="0"/>
    <w:rPr>
      <w:color w:val="0055AA"/>
    </w:rPr>
  </w:style>
  <w:style w:type="character" w:customStyle="1" w:styleId="86">
    <w:name w:val="mark"/>
    <w:basedOn w:val="28"/>
    <w:qFormat/>
    <w:uiPriority w:val="0"/>
    <w:rPr>
      <w:bdr w:val="single" w:color="CCD0D6" w:sz="6" w:space="0"/>
      <w:shd w:val="clear" w:color="auto" w:fill="FFFFFF"/>
    </w:rPr>
  </w:style>
  <w:style w:type="character" w:customStyle="1" w:styleId="87">
    <w:name w:val="mark1"/>
    <w:basedOn w:val="28"/>
    <w:qFormat/>
    <w:uiPriority w:val="0"/>
    <w:rPr>
      <w:bdr w:val="single" w:color="2D88CD" w:sz="6" w:space="0"/>
      <w:shd w:val="clear" w:color="auto" w:fill="2D88CD"/>
    </w:rPr>
  </w:style>
  <w:style w:type="character" w:customStyle="1" w:styleId="88">
    <w:name w:val="parallel4"/>
    <w:basedOn w:val="28"/>
    <w:qFormat/>
    <w:uiPriority w:val="0"/>
  </w:style>
  <w:style w:type="character" w:customStyle="1" w:styleId="89">
    <w:name w:val="name4"/>
    <w:basedOn w:val="28"/>
    <w:qFormat/>
    <w:uiPriority w:val="0"/>
    <w:rPr>
      <w:color w:val="32465A"/>
    </w:rPr>
  </w:style>
  <w:style w:type="character" w:customStyle="1" w:styleId="90">
    <w:name w:val="edui-unclickable"/>
    <w:basedOn w:val="28"/>
    <w:qFormat/>
    <w:uiPriority w:val="0"/>
    <w:rPr>
      <w:color w:val="808080"/>
    </w:rPr>
  </w:style>
  <w:style w:type="character" w:customStyle="1" w:styleId="91">
    <w:name w:val="edui-clickable"/>
    <w:basedOn w:val="28"/>
    <w:qFormat/>
    <w:uiPriority w:val="0"/>
    <w:rPr>
      <w:color w:val="0000FF"/>
      <w:u w:val="single"/>
    </w:rPr>
  </w:style>
  <w:style w:type="character" w:customStyle="1" w:styleId="92">
    <w:name w:val="codemirror-selected"/>
    <w:basedOn w:val="28"/>
    <w:qFormat/>
    <w:uiPriority w:val="0"/>
    <w:rPr>
      <w:shd w:val="clear" w:color="auto" w:fill="D2DCF8"/>
    </w:rPr>
  </w:style>
  <w:style w:type="character" w:customStyle="1" w:styleId="93">
    <w:name w:val="codemirror-selected1"/>
    <w:basedOn w:val="28"/>
    <w:qFormat/>
    <w:uiPriority w:val="0"/>
    <w:rPr>
      <w:shd w:val="clear" w:color="auto" w:fill="D9D9D9"/>
    </w:rPr>
  </w:style>
  <w:style w:type="character" w:customStyle="1" w:styleId="94">
    <w:name w:val="cm-keyword"/>
    <w:basedOn w:val="28"/>
    <w:qFormat/>
    <w:uiPriority w:val="0"/>
    <w:rPr>
      <w:color w:val="770088"/>
    </w:rPr>
  </w:style>
  <w:style w:type="character" w:customStyle="1" w:styleId="95">
    <w:name w:val="cm-atom"/>
    <w:basedOn w:val="28"/>
    <w:qFormat/>
    <w:uiPriority w:val="0"/>
    <w:rPr>
      <w:color w:val="221199"/>
    </w:rPr>
  </w:style>
  <w:style w:type="character" w:customStyle="1" w:styleId="96">
    <w:name w:val="cm-bracket"/>
    <w:basedOn w:val="28"/>
    <w:qFormat/>
    <w:uiPriority w:val="0"/>
    <w:rPr>
      <w:color w:val="CCCC77"/>
    </w:rPr>
  </w:style>
  <w:style w:type="character" w:customStyle="1" w:styleId="97">
    <w:name w:val="cm-number"/>
    <w:basedOn w:val="28"/>
    <w:qFormat/>
    <w:uiPriority w:val="0"/>
    <w:rPr>
      <w:color w:val="116644"/>
    </w:rPr>
  </w:style>
  <w:style w:type="character" w:customStyle="1" w:styleId="98">
    <w:name w:val="cm-def"/>
    <w:basedOn w:val="28"/>
    <w:qFormat/>
    <w:uiPriority w:val="0"/>
    <w:rPr>
      <w:color w:val="0000FF"/>
    </w:rPr>
  </w:style>
  <w:style w:type="character" w:customStyle="1" w:styleId="99">
    <w:name w:val="cm-property"/>
    <w:basedOn w:val="28"/>
    <w:qFormat/>
    <w:uiPriority w:val="0"/>
    <w:rPr>
      <w:color w:val="000000"/>
    </w:rPr>
  </w:style>
  <w:style w:type="character" w:customStyle="1" w:styleId="100">
    <w:name w:val="cm-variable"/>
    <w:basedOn w:val="28"/>
    <w:qFormat/>
    <w:uiPriority w:val="0"/>
    <w:rPr>
      <w:color w:val="000000"/>
    </w:rPr>
  </w:style>
  <w:style w:type="character" w:customStyle="1" w:styleId="101">
    <w:name w:val="cm-tag"/>
    <w:basedOn w:val="28"/>
    <w:qFormat/>
    <w:uiPriority w:val="0"/>
    <w:rPr>
      <w:color w:val="117700"/>
    </w:rPr>
  </w:style>
  <w:style w:type="character" w:customStyle="1" w:styleId="102">
    <w:name w:val="cm-operator"/>
    <w:basedOn w:val="28"/>
    <w:qFormat/>
    <w:uiPriority w:val="0"/>
    <w:rPr>
      <w:color w:val="000000"/>
    </w:rPr>
  </w:style>
  <w:style w:type="character" w:customStyle="1" w:styleId="103">
    <w:name w:val="cm-variable-3"/>
    <w:basedOn w:val="28"/>
    <w:qFormat/>
    <w:uiPriority w:val="0"/>
    <w:rPr>
      <w:color w:val="008855"/>
    </w:rPr>
  </w:style>
  <w:style w:type="character" w:customStyle="1" w:styleId="104">
    <w:name w:val="cm-string-2"/>
    <w:basedOn w:val="28"/>
    <w:qFormat/>
    <w:uiPriority w:val="0"/>
    <w:rPr>
      <w:color w:val="FF5500"/>
    </w:rPr>
  </w:style>
  <w:style w:type="character" w:customStyle="1" w:styleId="105">
    <w:name w:val="cm-meta"/>
    <w:basedOn w:val="28"/>
    <w:qFormat/>
    <w:uiPriority w:val="0"/>
    <w:rPr>
      <w:color w:val="555555"/>
    </w:rPr>
  </w:style>
  <w:style w:type="character" w:customStyle="1" w:styleId="106">
    <w:name w:val="cm-builtin"/>
    <w:basedOn w:val="28"/>
    <w:qFormat/>
    <w:uiPriority w:val="0"/>
    <w:rPr>
      <w:color w:val="3300AA"/>
    </w:rPr>
  </w:style>
  <w:style w:type="character" w:customStyle="1" w:styleId="107">
    <w:name w:val="cm-attribute"/>
    <w:basedOn w:val="28"/>
    <w:qFormat/>
    <w:uiPriority w:val="0"/>
    <w:rPr>
      <w:color w:val="0000CC"/>
    </w:rPr>
  </w:style>
  <w:style w:type="character" w:customStyle="1" w:styleId="108">
    <w:name w:val="cm-quote"/>
    <w:basedOn w:val="28"/>
    <w:qFormat/>
    <w:uiPriority w:val="0"/>
    <w:rPr>
      <w:color w:val="009900"/>
    </w:rPr>
  </w:style>
  <w:style w:type="character" w:customStyle="1" w:styleId="109">
    <w:name w:val="cm-hr"/>
    <w:basedOn w:val="28"/>
    <w:qFormat/>
    <w:uiPriority w:val="0"/>
    <w:rPr>
      <w:color w:val="999999"/>
    </w:rPr>
  </w:style>
  <w:style w:type="character" w:customStyle="1" w:styleId="110">
    <w:name w:val="cm-emstrong"/>
    <w:basedOn w:val="28"/>
    <w:qFormat/>
    <w:uiPriority w:val="0"/>
    <w:rPr>
      <w:b/>
      <w:i/>
    </w:rPr>
  </w:style>
  <w:style w:type="character" w:customStyle="1" w:styleId="111">
    <w:name w:val="success"/>
    <w:basedOn w:val="28"/>
    <w:qFormat/>
    <w:uiPriority w:val="0"/>
    <w:rPr>
      <w:color w:val="2DC12D"/>
    </w:rPr>
  </w:style>
  <w:style w:type="character" w:customStyle="1" w:styleId="112">
    <w:name w:val="success1"/>
    <w:basedOn w:val="28"/>
    <w:qFormat/>
    <w:uiPriority w:val="0"/>
    <w:rPr>
      <w:color w:val="2DC12D"/>
    </w:rPr>
  </w:style>
  <w:style w:type="character" w:customStyle="1" w:styleId="113">
    <w:name w:val="danger"/>
    <w:basedOn w:val="28"/>
    <w:qFormat/>
    <w:uiPriority w:val="0"/>
    <w:rPr>
      <w:color w:val="FF2200"/>
    </w:rPr>
  </w:style>
  <w:style w:type="character" w:customStyle="1" w:styleId="114">
    <w:name w:val="danger1"/>
    <w:basedOn w:val="28"/>
    <w:qFormat/>
    <w:uiPriority w:val="0"/>
    <w:rPr>
      <w:color w:val="FF2200"/>
    </w:rPr>
  </w:style>
  <w:style w:type="paragraph" w:customStyle="1" w:styleId="115">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6">
    <w:name w:val="网格型11"/>
    <w:basedOn w:val="26"/>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7">
    <w:name w:val="表 靠左"/>
    <w:basedOn w:val="118"/>
    <w:qFormat/>
    <w:uiPriority w:val="0"/>
    <w:pPr>
      <w:jc w:val="left"/>
    </w:pPr>
    <w:rPr>
      <w:rFonts w:ascii="等线" w:hAnsi="等线" w:eastAsia="等线"/>
    </w:rPr>
  </w:style>
  <w:style w:type="paragraph" w:customStyle="1" w:styleId="118">
    <w:name w:val="表"/>
    <w:basedOn w:val="1"/>
    <w:next w:val="1"/>
    <w:qFormat/>
    <w:uiPriority w:val="0"/>
    <w:pPr>
      <w:jc w:val="center"/>
    </w:pPr>
    <w:rPr>
      <w:szCs w:val="21"/>
    </w:rPr>
  </w:style>
  <w:style w:type="paragraph" w:customStyle="1" w:styleId="119">
    <w:name w:val="纯文本1"/>
    <w:basedOn w:val="1"/>
    <w:qFormat/>
    <w:uiPriority w:val="0"/>
    <w:rPr>
      <w:rFonts w:ascii="宋体" w:hAnsi="Courier New" w:eastAsia="宋体"/>
      <w:sz w:val="24"/>
    </w:rPr>
  </w:style>
  <w:style w:type="paragraph" w:customStyle="1" w:styleId="12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1">
    <w:name w:val="+正文"/>
    <w:basedOn w:val="1"/>
    <w:qFormat/>
    <w:uiPriority w:val="0"/>
    <w:pPr>
      <w:spacing w:line="360" w:lineRule="auto"/>
      <w:ind w:firstLine="200" w:firstLineChars="200"/>
    </w:pPr>
    <w:rPr>
      <w:sz w:val="24"/>
      <w:szCs w:val="28"/>
    </w:rPr>
  </w:style>
  <w:style w:type="paragraph" w:customStyle="1" w:styleId="122">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3">
    <w:name w:val="正文缩进_0"/>
    <w:basedOn w:val="122"/>
    <w:qFormat/>
    <w:uiPriority w:val="0"/>
    <w:pPr>
      <w:ind w:firstLine="420" w:firstLineChars="200"/>
    </w:pPr>
    <w:rPr>
      <w:rFonts w:ascii="Times New Roman" w:hAnsi="Times New Roman"/>
    </w:rPr>
  </w:style>
  <w:style w:type="table" w:customStyle="1" w:styleId="124">
    <w:name w:val="网格表 41"/>
    <w:basedOn w:val="26"/>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5">
    <w:name w:val="Default"/>
    <w:next w:val="1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正文文本缩进_2"/>
    <w:basedOn w:val="129"/>
    <w:qFormat/>
    <w:uiPriority w:val="0"/>
    <w:pPr>
      <w:spacing w:line="500" w:lineRule="exact"/>
      <w:ind w:left="1588" w:leftChars="832" w:firstLine="433" w:firstLineChars="196"/>
    </w:pPr>
    <w:rPr>
      <w:kern w:val="0"/>
      <w:sz w:val="24"/>
    </w:rPr>
  </w:style>
  <w:style w:type="paragraph" w:customStyle="1" w:styleId="1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日期_0"/>
    <w:basedOn w:val="131"/>
    <w:next w:val="131"/>
    <w:qFormat/>
    <w:uiPriority w:val="0"/>
    <w:pPr>
      <w:ind w:left="100" w:leftChars="2500"/>
    </w:pPr>
    <w:rPr>
      <w:kern w:val="0"/>
      <w:sz w:val="20"/>
    </w:rPr>
  </w:style>
  <w:style w:type="paragraph" w:customStyle="1" w:styleId="1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_3"/>
    <w:basedOn w:val="132"/>
    <w:qFormat/>
    <w:uiPriority w:val="0"/>
    <w:pPr>
      <w:spacing w:line="500" w:lineRule="exact"/>
      <w:ind w:left="1588" w:leftChars="832" w:firstLine="433" w:firstLineChars="196"/>
    </w:pPr>
    <w:rPr>
      <w:kern w:val="0"/>
      <w:sz w:val="24"/>
    </w:rPr>
  </w:style>
  <w:style w:type="paragraph"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
    <w:basedOn w:val="137"/>
    <w:qFormat/>
    <w:uiPriority w:val="0"/>
    <w:pPr>
      <w:widowControl w:val="0"/>
      <w:jc w:val="both"/>
    </w:pPr>
    <w:rPr>
      <w:kern w:val="2"/>
      <w:sz w:val="21"/>
      <w:szCs w:val="24"/>
      <w:lang w:val="en-US" w:eastAsia="zh-CN" w:bidi="ar-SA"/>
    </w:rPr>
  </w:style>
  <w:style w:type="paragraph" w:customStyle="1" w:styleId="137">
    <w:name w:val="正文_2_0"/>
    <w:basedOn w:val="122"/>
    <w:qFormat/>
    <w:uiPriority w:val="0"/>
    <w:pPr>
      <w:widowControl w:val="0"/>
      <w:jc w:val="both"/>
    </w:pPr>
    <w:rPr>
      <w:rFonts w:ascii="Calibri" w:hAnsi="Calibri"/>
      <w:kern w:val="2"/>
      <w:sz w:val="21"/>
      <w:szCs w:val="22"/>
      <w:lang w:val="en-US" w:eastAsia="zh-CN" w:bidi="ar-SA"/>
    </w:rPr>
  </w:style>
  <w:style w:type="paragraph" w:customStyle="1" w:styleId="138">
    <w:name w:val="Normal_1"/>
    <w:qFormat/>
    <w:uiPriority w:val="0"/>
    <w:rPr>
      <w:rFonts w:ascii="黑体" w:hAnsi="黑体" w:eastAsia="黑体" w:cs="Times New Roman"/>
      <w:b/>
      <w:sz w:val="32"/>
      <w:szCs w:val="24"/>
      <w:lang w:bidi="ar-SA"/>
    </w:rPr>
  </w:style>
  <w:style w:type="paragraph" w:customStyle="1" w:styleId="139">
    <w:name w:val="*正文"/>
    <w:basedOn w:val="1"/>
    <w:qFormat/>
    <w:uiPriority w:val="0"/>
    <w:pPr>
      <w:adjustRightInd/>
      <w:ind w:firstLine="200" w:firstLineChars="200"/>
      <w:textAlignment w:val="auto"/>
    </w:pPr>
    <w:rPr>
      <w:rFonts w:ascii="宋体" w:hAnsi="宋体" w:cs="仿宋_GB2312"/>
      <w:kern w:val="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70</Pages>
  <Words>29596</Words>
  <Characters>31286</Characters>
  <Lines>194</Lines>
  <Paragraphs>54</Paragraphs>
  <TotalTime>21</TotalTime>
  <ScaleCrop>false</ScaleCrop>
  <LinksUpToDate>false</LinksUpToDate>
  <CharactersWithSpaces>33460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2019-04-24T04:10:00Z</dcterms:created>
  <dc:creator>HapPy</dc:creator>
  <cp:lastModifiedBy>赵萱儿~~</cp:lastModifiedBy>
  <cp:lastPrinted>2019-06-07T11:13:00Z</cp:lastPrinted>
  <dcterms:modified xsi:type="dcterms:W3CDTF">2023-06-01T02:34:19Z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279E1AE6F0AB4939BCB47479DCCD331F</vt:lpwstr>
  </property>
</Properties>
</file>