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52"/>
          <w:szCs w:val="52"/>
          <w:lang w:val="en-US" w:eastAsia="zh-CN"/>
        </w:rPr>
      </w:pPr>
      <w:bookmarkStart w:id="0" w:name="_Toc267301280"/>
      <w:bookmarkStart w:id="1" w:name="_Toc349637918"/>
      <w:bookmarkStart w:id="2" w:name="_Toc20015"/>
      <w:bookmarkStart w:id="3" w:name="_Toc298240403"/>
      <w:bookmarkStart w:id="4" w:name="_Toc527642950"/>
      <w:bookmarkStart w:id="5" w:name="_Toc349573119"/>
    </w:p>
    <w:p>
      <w:pPr>
        <w:pStyle w:val="8"/>
        <w:rPr>
          <w:rFonts w:hint="eastAsia" w:ascii="宋体" w:hAnsi="宋体" w:cs="宋体"/>
          <w:b/>
          <w:bCs/>
          <w:color w:val="auto"/>
          <w:sz w:val="52"/>
          <w:szCs w:val="52"/>
          <w:lang w:val="en-US" w:eastAsia="zh-CN"/>
        </w:rPr>
      </w:pPr>
    </w:p>
    <w:p>
      <w:pPr>
        <w:rPr>
          <w:rFonts w:hint="eastAsia"/>
          <w:color w:val="auto"/>
          <w:lang w:val="en-US" w:eastAsia="zh-CN"/>
        </w:rPr>
      </w:pPr>
    </w:p>
    <w:p>
      <w:pPr>
        <w:jc w:val="center"/>
        <w:outlineLvl w:val="0"/>
        <w:rPr>
          <w:rFonts w:hint="default"/>
          <w:color w:val="auto"/>
          <w:sz w:val="16"/>
          <w:szCs w:val="20"/>
          <w:highlight w:val="yellow"/>
          <w:lang w:val="en-US"/>
        </w:rPr>
      </w:pPr>
      <w:r>
        <w:rPr>
          <w:rFonts w:hint="eastAsia"/>
          <w:b/>
          <w:bCs/>
          <w:color w:val="auto"/>
          <w:sz w:val="60"/>
          <w:szCs w:val="60"/>
          <w:lang w:val="en-US" w:eastAsia="zh-CN"/>
        </w:rPr>
        <w:t>洛浦县</w:t>
      </w:r>
      <w:r>
        <w:rPr>
          <w:b/>
          <w:bCs/>
          <w:color w:val="auto"/>
          <w:sz w:val="60"/>
          <w:szCs w:val="60"/>
        </w:rPr>
        <w:t>政府采购项目</w:t>
      </w:r>
    </w:p>
    <w:p>
      <w:pPr>
        <w:jc w:val="center"/>
        <w:rPr>
          <w:rFonts w:ascii="宋体" w:hAnsi="宋体" w:cs="宋体"/>
          <w:color w:val="auto"/>
          <w:sz w:val="28"/>
          <w:szCs w:val="28"/>
        </w:rPr>
      </w:pPr>
      <w:r>
        <w:rPr>
          <w:rFonts w:hint="eastAsia"/>
          <w:b/>
          <w:bCs/>
          <w:color w:val="auto"/>
          <w:sz w:val="60"/>
          <w:szCs w:val="60"/>
          <w:lang w:val="en-US" w:eastAsia="zh-CN"/>
        </w:rPr>
        <w:t>竞争性磋商</w:t>
      </w:r>
      <w:r>
        <w:rPr>
          <w:b/>
          <w:bCs/>
          <w:color w:val="auto"/>
          <w:sz w:val="60"/>
          <w:szCs w:val="60"/>
        </w:rPr>
        <w:t>招标文件</w:t>
      </w:r>
    </w:p>
    <w:p>
      <w:pPr>
        <w:pStyle w:val="26"/>
        <w:rPr>
          <w:rFonts w:ascii="宋体" w:hAnsi="宋体" w:cs="宋体"/>
          <w:color w:val="auto"/>
          <w:sz w:val="28"/>
          <w:szCs w:val="28"/>
        </w:rPr>
      </w:pPr>
    </w:p>
    <w:p>
      <w:pPr>
        <w:pStyle w:val="9"/>
        <w:rPr>
          <w:rFonts w:hint="eastAsia"/>
          <w:color w:val="auto"/>
        </w:rPr>
      </w:pPr>
    </w:p>
    <w:p>
      <w:pPr>
        <w:rPr>
          <w:color w:val="auto"/>
          <w:lang w:val="zh-CN"/>
        </w:rPr>
      </w:pPr>
    </w:p>
    <w:p>
      <w:pPr>
        <w:pStyle w:val="26"/>
        <w:rPr>
          <w:color w:val="auto"/>
          <w:lang w:val="zh-CN"/>
        </w:rPr>
      </w:pPr>
    </w:p>
    <w:p>
      <w:pPr>
        <w:pStyle w:val="26"/>
        <w:rPr>
          <w:color w:val="auto"/>
          <w:lang w:val="zh-CN"/>
        </w:rPr>
      </w:pPr>
    </w:p>
    <w:p>
      <w:pPr>
        <w:pStyle w:val="26"/>
        <w:rPr>
          <w:color w:val="auto"/>
          <w:lang w:val="zh-CN"/>
        </w:rPr>
      </w:pPr>
    </w:p>
    <w:p>
      <w:pPr>
        <w:pStyle w:val="26"/>
        <w:rPr>
          <w:color w:val="auto"/>
          <w:lang w:val="zh-CN"/>
        </w:rPr>
      </w:pPr>
    </w:p>
    <w:p>
      <w:pPr>
        <w:pStyle w:val="26"/>
        <w:rPr>
          <w:color w:val="auto"/>
          <w:lang w:val="zh-CN"/>
        </w:rPr>
      </w:pPr>
    </w:p>
    <w:p>
      <w:pPr>
        <w:pStyle w:val="26"/>
        <w:rPr>
          <w:color w:val="auto"/>
          <w:lang w:val="zh-CN"/>
        </w:rPr>
      </w:pPr>
    </w:p>
    <w:p>
      <w:pPr>
        <w:ind w:left="0" w:leftChars="0" w:firstLine="0" w:firstLineChars="0"/>
        <w:rPr>
          <w:rFonts w:hint="eastAsia"/>
          <w:color w:val="auto"/>
          <w:lang w:val="zh-CN"/>
        </w:rPr>
      </w:pPr>
    </w:p>
    <w:p>
      <w:pPr>
        <w:tabs>
          <w:tab w:val="left" w:pos="3240"/>
          <w:tab w:val="left" w:pos="3420"/>
        </w:tabs>
        <w:spacing w:line="360" w:lineRule="auto"/>
        <w:ind w:left="2832" w:leftChars="444" w:hanging="1900" w:hangingChars="528"/>
        <w:jc w:val="left"/>
        <w:rPr>
          <w:rFonts w:hint="eastAsia"/>
          <w:bCs/>
          <w:color w:val="auto"/>
          <w:sz w:val="36"/>
          <w:szCs w:val="36"/>
        </w:rPr>
      </w:pPr>
      <w:r>
        <w:rPr>
          <w:bCs/>
          <w:color w:val="auto"/>
          <w:sz w:val="36"/>
          <w:szCs w:val="36"/>
        </w:rPr>
        <w:t>项目名称：</w:t>
      </w:r>
      <w:r>
        <w:rPr>
          <w:rFonts w:hint="eastAsia"/>
          <w:bCs/>
          <w:color w:val="auto"/>
          <w:sz w:val="36"/>
          <w:szCs w:val="36"/>
        </w:rPr>
        <w:t>洛浦县2021年度、2022年度耕地进出平衡总体方案编制采购项目</w:t>
      </w:r>
    </w:p>
    <w:p>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项目编号：</w:t>
      </w:r>
      <w:r>
        <w:rPr>
          <w:rFonts w:hint="eastAsia"/>
          <w:bCs/>
          <w:color w:val="auto"/>
          <w:sz w:val="36"/>
          <w:szCs w:val="36"/>
        </w:rPr>
        <w:t>XJJYD-LPCG（CS）-2023/003</w:t>
      </w:r>
    </w:p>
    <w:p>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采 购 人：</w:t>
      </w:r>
      <w:r>
        <w:rPr>
          <w:rFonts w:hint="eastAsia"/>
          <w:bCs/>
          <w:color w:val="auto"/>
          <w:sz w:val="36"/>
          <w:szCs w:val="36"/>
        </w:rPr>
        <w:t>洛浦县自然资源局</w:t>
      </w:r>
    </w:p>
    <w:p>
      <w:pPr>
        <w:tabs>
          <w:tab w:val="left" w:pos="3240"/>
          <w:tab w:val="left" w:pos="3420"/>
        </w:tabs>
        <w:spacing w:line="360" w:lineRule="auto"/>
        <w:ind w:left="2832" w:leftChars="444" w:hanging="1900" w:hangingChars="528"/>
        <w:jc w:val="left"/>
        <w:rPr>
          <w:bCs/>
          <w:color w:val="auto"/>
          <w:sz w:val="36"/>
          <w:szCs w:val="36"/>
        </w:rPr>
      </w:pPr>
      <w:r>
        <w:rPr>
          <w:rFonts w:hint="eastAsia"/>
          <w:bCs/>
          <w:color w:val="auto"/>
          <w:sz w:val="36"/>
          <w:szCs w:val="36"/>
        </w:rPr>
        <w:t>采购</w:t>
      </w:r>
      <w:r>
        <w:rPr>
          <w:bCs/>
          <w:color w:val="auto"/>
          <w:sz w:val="36"/>
          <w:szCs w:val="36"/>
        </w:rPr>
        <w:t>代理机构：</w:t>
      </w:r>
      <w:r>
        <w:rPr>
          <w:rFonts w:hint="eastAsia"/>
          <w:bCs/>
          <w:color w:val="auto"/>
          <w:sz w:val="36"/>
          <w:szCs w:val="36"/>
        </w:rPr>
        <w:t>新疆金誉达项目管理有限公司</w:t>
      </w:r>
      <w:r>
        <w:rPr>
          <w:bCs/>
          <w:color w:val="auto"/>
          <w:sz w:val="36"/>
          <w:szCs w:val="36"/>
        </w:rPr>
        <w:t xml:space="preserve"> </w:t>
      </w:r>
    </w:p>
    <w:p>
      <w:pPr>
        <w:autoSpaceDE w:val="0"/>
        <w:autoSpaceDN w:val="0"/>
        <w:jc w:val="center"/>
        <w:rPr>
          <w:rFonts w:hint="eastAsia" w:ascii="宋体" w:hAnsi="宋体" w:cs="宋体"/>
          <w:bCs/>
          <w:color w:val="auto"/>
          <w:sz w:val="44"/>
          <w:szCs w:val="44"/>
          <w:lang w:val="zh-CN"/>
        </w:rPr>
      </w:pPr>
    </w:p>
    <w:p>
      <w:pPr>
        <w:shd w:val="clear" w:color="auto" w:fill="auto"/>
        <w:jc w:val="center"/>
        <w:rPr>
          <w:rFonts w:hAnsi="宋体" w:cs="宋体"/>
          <w:b/>
          <w:bCs/>
          <w:color w:val="auto"/>
          <w:sz w:val="36"/>
          <w:szCs w:val="36"/>
          <w:highlight w:val="none"/>
        </w:rPr>
        <w:sectPr>
          <w:headerReference r:id="rId3" w:type="default"/>
          <w:footerReference r:id="rId4" w:type="default"/>
          <w:pgSz w:w="11905" w:h="16838"/>
          <w:pgMar w:top="1304" w:right="964" w:bottom="1020" w:left="1191" w:header="567" w:footer="454" w:gutter="0"/>
          <w:cols w:space="720" w:num="1"/>
          <w:rtlGutter w:val="0"/>
          <w:docGrid w:type="lines" w:linePitch="317" w:charSpace="0"/>
        </w:sectPr>
      </w:pPr>
      <w:r>
        <w:rPr>
          <w:rFonts w:hint="eastAsia" w:cs="宋体"/>
          <w:b/>
          <w:bCs/>
          <w:color w:val="auto"/>
          <w:sz w:val="30"/>
          <w:szCs w:val="30"/>
          <w:highlight w:val="none"/>
        </w:rPr>
        <w:t>202</w:t>
      </w:r>
      <w:r>
        <w:rPr>
          <w:rFonts w:hint="eastAsia" w:cs="宋体"/>
          <w:b/>
          <w:bCs/>
          <w:color w:val="auto"/>
          <w:sz w:val="30"/>
          <w:szCs w:val="30"/>
          <w:highlight w:val="none"/>
          <w:lang w:val="en-US" w:eastAsia="zh-CN"/>
        </w:rPr>
        <w:t>3</w:t>
      </w:r>
      <w:r>
        <w:rPr>
          <w:rFonts w:hint="eastAsia" w:cs="宋体"/>
          <w:b/>
          <w:bCs/>
          <w:color w:val="auto"/>
          <w:sz w:val="30"/>
          <w:szCs w:val="30"/>
          <w:highlight w:val="none"/>
        </w:rPr>
        <w:t>年</w:t>
      </w:r>
      <w:r>
        <w:rPr>
          <w:rFonts w:hint="eastAsia" w:cs="宋体"/>
          <w:b/>
          <w:bCs/>
          <w:color w:val="auto"/>
          <w:sz w:val="30"/>
          <w:szCs w:val="30"/>
          <w:highlight w:val="none"/>
          <w:lang w:val="en-US" w:eastAsia="zh-CN"/>
        </w:rPr>
        <w:t xml:space="preserve"> 6</w:t>
      </w:r>
      <w:bookmarkStart w:id="190" w:name="_GoBack"/>
      <w:bookmarkEnd w:id="190"/>
      <w:r>
        <w:rPr>
          <w:rFonts w:hint="eastAsia" w:cs="宋体"/>
          <w:b/>
          <w:bCs/>
          <w:color w:val="auto"/>
          <w:sz w:val="30"/>
          <w:szCs w:val="30"/>
          <w:highlight w:val="none"/>
        </w:rPr>
        <w:t>月</w:t>
      </w:r>
    </w:p>
    <w:p>
      <w:pPr>
        <w:rPr>
          <w:rFonts w:hint="eastAsia"/>
          <w:color w:val="auto"/>
          <w:lang w:eastAsia="zh-CN"/>
        </w:rPr>
      </w:pPr>
    </w:p>
    <w:p>
      <w:pPr>
        <w:pStyle w:val="2"/>
        <w:rPr>
          <w:rFonts w:hint="eastAsia"/>
          <w:color w:val="auto"/>
          <w:lang w:eastAsia="zh-CN"/>
        </w:rPr>
      </w:pPr>
    </w:p>
    <w:p>
      <w:pPr>
        <w:snapToGrid w:val="0"/>
        <w:spacing w:line="700" w:lineRule="exact"/>
        <w:ind w:left="-26" w:leftChars="-95" w:hanging="173" w:hangingChars="62"/>
        <w:rPr>
          <w:rFonts w:hint="eastAsia" w:ascii="宋体" w:hAnsi="宋体"/>
          <w:bCs/>
          <w:color w:val="auto"/>
          <w:sz w:val="28"/>
          <w:szCs w:val="28"/>
          <w:lang w:eastAsia="zh-CN"/>
        </w:rPr>
      </w:pPr>
    </w:p>
    <w:p>
      <w:pPr>
        <w:snapToGrid w:val="0"/>
        <w:spacing w:line="700" w:lineRule="exact"/>
        <w:ind w:left="-26" w:leftChars="-95" w:hanging="173" w:hangingChars="62"/>
        <w:rPr>
          <w:rFonts w:hint="default" w:ascii="宋体" w:hAnsi="宋体"/>
          <w:bCs/>
          <w:color w:val="auto"/>
          <w:sz w:val="28"/>
          <w:szCs w:val="28"/>
          <w:highlight w:val="none"/>
          <w:lang w:val="en-US" w:eastAsia="zh-CN"/>
        </w:rPr>
      </w:pPr>
      <w:r>
        <w:rPr>
          <w:rFonts w:hint="eastAsia" w:ascii="宋体" w:hAnsi="宋体"/>
          <w:bCs/>
          <w:color w:val="auto"/>
          <w:sz w:val="28"/>
          <w:szCs w:val="28"/>
          <w:highlight w:val="none"/>
          <w:lang w:eastAsia="zh-CN"/>
        </w:rPr>
        <w:t>项目</w:t>
      </w:r>
      <w:r>
        <w:rPr>
          <w:rFonts w:hint="eastAsia" w:ascii="宋体" w:hAnsi="宋体"/>
          <w:bCs/>
          <w:color w:val="auto"/>
          <w:sz w:val="28"/>
          <w:szCs w:val="28"/>
          <w:highlight w:val="none"/>
        </w:rPr>
        <w:t>名称：</w:t>
      </w:r>
      <w:r>
        <w:rPr>
          <w:rFonts w:hint="eastAsia" w:ascii="宋体" w:hAnsi="宋体"/>
          <w:bCs/>
          <w:color w:val="auto"/>
          <w:sz w:val="28"/>
          <w:szCs w:val="28"/>
          <w:highlight w:val="none"/>
          <w:lang w:val="en-US" w:eastAsia="zh-CN"/>
        </w:rPr>
        <w:t xml:space="preserve"> 洛浦县2021年度、2022年度耕地进出平衡总体方案编制采购项目           </w:t>
      </w:r>
    </w:p>
    <w:p>
      <w:pPr>
        <w:snapToGrid w:val="0"/>
        <w:spacing w:line="700" w:lineRule="exact"/>
        <w:ind w:left="-26" w:leftChars="-95" w:hanging="173" w:hangingChars="62"/>
        <w:rPr>
          <w:rFonts w:hint="default" w:ascii="宋体" w:hAnsi="宋体"/>
          <w:bCs/>
          <w:color w:val="auto"/>
          <w:sz w:val="28"/>
          <w:szCs w:val="28"/>
          <w:highlight w:val="none"/>
          <w:lang w:val="en-US" w:eastAsia="zh-CN"/>
        </w:rPr>
      </w:pPr>
      <w:r>
        <w:rPr>
          <w:rFonts w:hint="eastAsia" w:ascii="宋体" w:hAnsi="宋体"/>
          <w:bCs/>
          <w:color w:val="auto"/>
          <w:sz w:val="28"/>
          <w:szCs w:val="28"/>
          <w:highlight w:val="none"/>
          <w:lang w:eastAsia="zh-CN"/>
        </w:rPr>
        <w:t>采购</w:t>
      </w:r>
      <w:r>
        <w:rPr>
          <w:rFonts w:hint="eastAsia" w:ascii="宋体" w:hAnsi="宋体"/>
          <w:bCs/>
          <w:color w:val="auto"/>
          <w:sz w:val="28"/>
          <w:szCs w:val="28"/>
          <w:highlight w:val="none"/>
        </w:rPr>
        <w:t>人:</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盖章</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法定代表人或其委托代理人</w:t>
      </w:r>
      <w:r>
        <w:rPr>
          <w:rFonts w:ascii="宋体" w:hAnsi="宋体"/>
          <w:bCs/>
          <w:color w:val="auto"/>
          <w:sz w:val="28"/>
          <w:szCs w:val="28"/>
          <w:highlight w:val="none"/>
        </w:rPr>
        <w:t>:</w:t>
      </w:r>
      <w:r>
        <w:rPr>
          <w:rFonts w:hint="eastAsia" w:ascii="宋体" w:hAnsi="宋体"/>
          <w:bCs/>
          <w:color w:val="auto"/>
          <w:sz w:val="28"/>
          <w:szCs w:val="28"/>
          <w:highlight w:val="none"/>
        </w:rPr>
        <w:t>（签字或盖章）</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联系人：</w:t>
      </w:r>
      <w:r>
        <w:rPr>
          <w:rFonts w:hint="eastAsia" w:ascii="宋体" w:hAnsi="宋体"/>
          <w:bCs/>
          <w:color w:val="auto"/>
          <w:sz w:val="28"/>
          <w:szCs w:val="28"/>
          <w:highlight w:val="none"/>
          <w:lang w:val="en-US" w:eastAsia="zh-CN"/>
        </w:rPr>
        <w:t xml:space="preserve"> 阿主任          </w:t>
      </w:r>
    </w:p>
    <w:p>
      <w:pPr>
        <w:snapToGrid w:val="0"/>
        <w:spacing w:line="700" w:lineRule="exact"/>
        <w:ind w:left="-26" w:leftChars="-95" w:hanging="173" w:hangingChars="62"/>
        <w:rPr>
          <w:rFonts w:hint="eastAsia"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联系电话</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 0903-7887308            </w:t>
      </w:r>
    </w:p>
    <w:p>
      <w:pPr>
        <w:snapToGrid w:val="0"/>
        <w:spacing w:line="700" w:lineRule="exact"/>
        <w:ind w:left="-26" w:leftChars="-95" w:hanging="173" w:hangingChars="62"/>
        <w:rPr>
          <w:rFonts w:hint="eastAsia" w:ascii="宋体" w:hAnsi="宋体"/>
          <w:bCs/>
          <w:color w:val="auto"/>
          <w:sz w:val="28"/>
          <w:szCs w:val="28"/>
          <w:highlight w:val="none"/>
        </w:rPr>
      </w:pPr>
    </w:p>
    <w:p>
      <w:pPr>
        <w:snapToGrid w:val="0"/>
        <w:spacing w:line="700" w:lineRule="exact"/>
        <w:ind w:left="-26" w:leftChars="-95" w:hanging="173" w:hangingChars="62"/>
        <w:rPr>
          <w:rFonts w:hint="eastAsia" w:ascii="宋体" w:hAnsi="宋体"/>
          <w:bCs/>
          <w:color w:val="auto"/>
          <w:sz w:val="28"/>
          <w:szCs w:val="28"/>
          <w:highlight w:val="none"/>
        </w:rPr>
      </w:pPr>
    </w:p>
    <w:p>
      <w:pPr>
        <w:snapToGrid w:val="0"/>
        <w:spacing w:line="700" w:lineRule="exact"/>
        <w:ind w:left="-26" w:leftChars="-95" w:hanging="173" w:hangingChars="62"/>
        <w:rPr>
          <w:rFonts w:hint="eastAsia" w:ascii="宋体" w:hAnsi="宋体"/>
          <w:bCs/>
          <w:color w:val="auto"/>
          <w:sz w:val="28"/>
          <w:szCs w:val="28"/>
          <w:highlight w:val="none"/>
        </w:rPr>
      </w:pPr>
    </w:p>
    <w:p>
      <w:pPr>
        <w:pStyle w:val="2"/>
        <w:rPr>
          <w:rFonts w:hint="eastAsia" w:ascii="宋体" w:hAnsi="宋体"/>
          <w:bCs/>
          <w:color w:val="auto"/>
          <w:sz w:val="28"/>
          <w:szCs w:val="28"/>
          <w:highlight w:val="none"/>
        </w:rPr>
      </w:pPr>
    </w:p>
    <w:p>
      <w:pPr>
        <w:rPr>
          <w:rFonts w:hint="eastAsia" w:ascii="宋体" w:hAnsi="宋体"/>
          <w:bCs/>
          <w:color w:val="auto"/>
          <w:sz w:val="28"/>
          <w:szCs w:val="28"/>
          <w:highlight w:val="none"/>
        </w:rPr>
      </w:pPr>
    </w:p>
    <w:p>
      <w:pPr>
        <w:pStyle w:val="2"/>
        <w:rPr>
          <w:rFonts w:hint="eastAsia" w:ascii="宋体" w:hAnsi="宋体"/>
          <w:bCs/>
          <w:color w:val="auto"/>
          <w:sz w:val="28"/>
          <w:szCs w:val="28"/>
          <w:highlight w:val="none"/>
        </w:rPr>
      </w:pPr>
    </w:p>
    <w:p>
      <w:pPr>
        <w:rPr>
          <w:rFonts w:hint="eastAsia" w:ascii="宋体" w:hAnsi="宋体"/>
          <w:bCs/>
          <w:color w:val="auto"/>
          <w:sz w:val="28"/>
          <w:szCs w:val="28"/>
          <w:highlight w:val="none"/>
        </w:rPr>
      </w:pPr>
    </w:p>
    <w:p>
      <w:pPr>
        <w:pStyle w:val="2"/>
        <w:rPr>
          <w:rFonts w:hint="eastAsia" w:ascii="宋体" w:hAnsi="宋体"/>
          <w:bCs/>
          <w:color w:val="auto"/>
          <w:sz w:val="28"/>
          <w:szCs w:val="28"/>
          <w:highlight w:val="none"/>
        </w:rPr>
      </w:pPr>
    </w:p>
    <w:p>
      <w:pPr>
        <w:rPr>
          <w:rFonts w:hint="eastAsia"/>
          <w:color w:val="auto"/>
          <w:highlight w:val="none"/>
        </w:rPr>
      </w:pP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招标代理机构:</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盖章</w:t>
      </w:r>
      <w:r>
        <w:rPr>
          <w:rFonts w:hint="eastAsia" w:ascii="宋体" w:hAnsi="宋体"/>
          <w:bCs/>
          <w:color w:val="auto"/>
          <w:sz w:val="28"/>
          <w:szCs w:val="28"/>
          <w:highlight w:val="none"/>
          <w:lang w:eastAsia="zh-CN"/>
        </w:rPr>
        <w:t>）</w:t>
      </w:r>
      <w:r>
        <w:rPr>
          <w:rFonts w:hint="eastAsia" w:ascii="宋体" w:hAnsi="宋体"/>
          <w:bCs/>
          <w:color w:val="auto"/>
          <w:sz w:val="28"/>
          <w:szCs w:val="28"/>
          <w:highlight w:val="none"/>
          <w:lang w:val="en-US" w:eastAsia="zh-CN"/>
        </w:rPr>
        <w:t xml:space="preserve">新疆金誉达项目管理有限公司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法定代表人或其委托代理人: （签字或盖章）</w:t>
      </w:r>
      <w:r>
        <w:rPr>
          <w:rFonts w:hint="eastAsia" w:ascii="宋体" w:hAnsi="宋体"/>
          <w:bCs/>
          <w:color w:val="auto"/>
          <w:sz w:val="28"/>
          <w:szCs w:val="28"/>
          <w:highlight w:val="none"/>
          <w:lang w:val="en-US" w:eastAsia="zh-CN"/>
        </w:rPr>
        <w:t xml:space="preserve">            </w:t>
      </w:r>
    </w:p>
    <w:p>
      <w:pPr>
        <w:snapToGrid w:val="0"/>
        <w:spacing w:line="700" w:lineRule="exact"/>
        <w:ind w:left="-26" w:leftChars="-95" w:hanging="173" w:hangingChars="62"/>
        <w:rPr>
          <w:rFonts w:hint="default" w:ascii="宋体" w:hAnsi="宋体" w:eastAsia="宋体"/>
          <w:bCs/>
          <w:color w:val="auto"/>
          <w:sz w:val="28"/>
          <w:szCs w:val="28"/>
          <w:highlight w:val="none"/>
          <w:lang w:val="en-US" w:eastAsia="zh-CN"/>
        </w:rPr>
      </w:pPr>
      <w:r>
        <w:rPr>
          <w:rFonts w:hint="eastAsia" w:ascii="宋体" w:hAnsi="宋体"/>
          <w:bCs/>
          <w:color w:val="auto"/>
          <w:sz w:val="28"/>
          <w:szCs w:val="28"/>
          <w:highlight w:val="none"/>
        </w:rPr>
        <w:t>联系人：</w:t>
      </w:r>
      <w:r>
        <w:rPr>
          <w:rFonts w:hint="eastAsia" w:ascii="宋体" w:hAnsi="宋体"/>
          <w:bCs/>
          <w:color w:val="auto"/>
          <w:sz w:val="28"/>
          <w:szCs w:val="28"/>
          <w:highlight w:val="none"/>
          <w:lang w:val="en-US" w:eastAsia="zh-CN"/>
        </w:rPr>
        <w:t xml:space="preserve"> 周女士          </w:t>
      </w:r>
    </w:p>
    <w:p>
      <w:pPr>
        <w:snapToGrid w:val="0"/>
        <w:spacing w:line="700" w:lineRule="exact"/>
        <w:ind w:left="-26" w:leftChars="-95" w:hanging="173" w:hangingChars="62"/>
        <w:rPr>
          <w:rFonts w:hint="default" w:ascii="宋体" w:hAnsi="宋体" w:eastAsia="宋体"/>
          <w:bCs/>
          <w:color w:val="auto"/>
          <w:sz w:val="32"/>
          <w:highlight w:val="none"/>
          <w:lang w:val="en-US" w:eastAsia="zh-CN"/>
        </w:rPr>
      </w:pPr>
      <w:r>
        <w:rPr>
          <w:rFonts w:hint="eastAsia" w:ascii="宋体" w:hAnsi="宋体"/>
          <w:bCs/>
          <w:color w:val="auto"/>
          <w:sz w:val="28"/>
          <w:szCs w:val="28"/>
          <w:highlight w:val="none"/>
        </w:rPr>
        <w:t>联系电话：0903-2063689</w:t>
      </w:r>
      <w:r>
        <w:rPr>
          <w:rFonts w:hint="eastAsia" w:ascii="宋体" w:hAnsi="宋体"/>
          <w:bCs/>
          <w:color w:val="auto"/>
          <w:sz w:val="28"/>
          <w:szCs w:val="28"/>
          <w:highlight w:val="none"/>
          <w:lang w:val="en-US" w:eastAsia="zh-CN"/>
        </w:rPr>
        <w:t xml:space="preserve">           </w:t>
      </w:r>
    </w:p>
    <w:p>
      <w:pPr>
        <w:pStyle w:val="9"/>
        <w:spacing w:line="480" w:lineRule="auto"/>
        <w:jc w:val="center"/>
        <w:rPr>
          <w:rFonts w:hint="eastAsia" w:ascii="宋体" w:hAnsi="宋体" w:eastAsia="宋体" w:cs="宋体"/>
          <w:b/>
          <w:bCs/>
          <w:color w:val="auto"/>
          <w:sz w:val="52"/>
          <w:szCs w:val="52"/>
          <w:highlight w:val="none"/>
        </w:rPr>
      </w:pPr>
    </w:p>
    <w:p>
      <w:pPr>
        <w:pStyle w:val="9"/>
        <w:spacing w:line="480" w:lineRule="auto"/>
        <w:jc w:val="center"/>
        <w:rPr>
          <w:rFonts w:hint="eastAsia" w:ascii="宋体" w:hAnsi="宋体" w:eastAsia="宋体" w:cs="宋体"/>
          <w:bCs/>
          <w:caps/>
          <w:color w:val="auto"/>
          <w:kern w:val="2"/>
          <w:sz w:val="22"/>
          <w:szCs w:val="32"/>
          <w:highlight w:val="none"/>
          <w:lang w:val="en-US" w:eastAsia="zh-CN" w:bidi="ar-SA"/>
        </w:rPr>
      </w:pPr>
      <w:r>
        <w:rPr>
          <w:rFonts w:hint="eastAsia" w:ascii="宋体" w:hAnsi="宋体" w:eastAsia="宋体" w:cs="宋体"/>
          <w:b/>
          <w:bCs/>
          <w:color w:val="auto"/>
          <w:sz w:val="52"/>
          <w:szCs w:val="52"/>
          <w:highlight w:val="none"/>
        </w:rPr>
        <w:t>目    录</w:t>
      </w:r>
      <w:r>
        <w:rPr>
          <w:rFonts w:hint="eastAsia" w:ascii="宋体" w:hAnsi="宋体" w:eastAsia="宋体" w:cs="宋体"/>
          <w:b/>
          <w:bCs/>
          <w:caps/>
          <w:color w:val="auto"/>
          <w:sz w:val="32"/>
          <w:szCs w:val="32"/>
          <w:highlight w:val="none"/>
        </w:rPr>
        <w:fldChar w:fldCharType="begin"/>
      </w:r>
      <w:r>
        <w:rPr>
          <w:rFonts w:hint="eastAsia" w:ascii="宋体" w:hAnsi="宋体" w:eastAsia="宋体" w:cs="宋体"/>
          <w:b/>
          <w:bCs/>
          <w:caps/>
          <w:color w:val="auto"/>
          <w:sz w:val="32"/>
          <w:szCs w:val="32"/>
          <w:highlight w:val="none"/>
        </w:rPr>
        <w:instrText xml:space="preserve">TOC \o "1-1" \h \u </w:instrText>
      </w:r>
      <w:r>
        <w:rPr>
          <w:rFonts w:hint="eastAsia" w:ascii="宋体" w:hAnsi="宋体" w:eastAsia="宋体" w:cs="宋体"/>
          <w:b/>
          <w:bCs/>
          <w:caps/>
          <w:color w:val="auto"/>
          <w:sz w:val="32"/>
          <w:szCs w:val="32"/>
          <w:highlight w:val="none"/>
        </w:rPr>
        <w:fldChar w:fldCharType="separate"/>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_Toc21730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bCs w:val="0"/>
          <w:color w:val="auto"/>
          <w:sz w:val="28"/>
          <w:szCs w:val="28"/>
          <w:highlight w:val="none"/>
        </w:rPr>
        <w:t xml:space="preserve">第一章 </w:t>
      </w:r>
      <w:r>
        <w:rPr>
          <w:rFonts w:hint="eastAsia" w:ascii="宋体" w:hAnsi="宋体" w:eastAsia="宋体" w:cs="宋体"/>
          <w:bCs w:val="0"/>
          <w:color w:val="auto"/>
          <w:sz w:val="28"/>
          <w:szCs w:val="28"/>
          <w:highlight w:val="none"/>
          <w:lang w:val="en-US" w:eastAsia="zh-CN"/>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_Toc21730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_Toc25437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rPr>
        <w:t>第二章 投标须知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_Toc25437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_Toc13448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第三章 服务要求及需求表</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_Toc13448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keepNext w:val="0"/>
        <w:keepLines w:val="0"/>
        <w:pageBreakBefore w:val="0"/>
        <w:widowControl w:val="0"/>
        <w:tabs>
          <w:tab w:val="right" w:leader="dot" w:pos="827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_Toc2366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第四章 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pStyle w:val="14"/>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bCs/>
          <w:caps/>
          <w:color w:val="auto"/>
          <w:sz w:val="28"/>
          <w:szCs w:val="28"/>
          <w:highlight w:val="none"/>
        </w:rPr>
        <w:fldChar w:fldCharType="begin"/>
      </w:r>
      <w:r>
        <w:rPr>
          <w:rFonts w:hint="eastAsia" w:ascii="宋体" w:hAnsi="宋体" w:eastAsia="宋体" w:cs="宋体"/>
          <w:bCs/>
          <w:caps/>
          <w:color w:val="auto"/>
          <w:sz w:val="28"/>
          <w:szCs w:val="28"/>
          <w:highlight w:val="none"/>
        </w:rPr>
        <w:instrText xml:space="preserve"> HYPERLINK \l _Toc10450 </w:instrText>
      </w:r>
      <w:r>
        <w:rPr>
          <w:rFonts w:hint="eastAsia" w:ascii="宋体" w:hAnsi="宋体" w:eastAsia="宋体" w:cs="宋体"/>
          <w:bCs/>
          <w:caps/>
          <w:color w:val="auto"/>
          <w:sz w:val="28"/>
          <w:szCs w:val="28"/>
          <w:highlight w:val="none"/>
        </w:rPr>
        <w:fldChar w:fldCharType="separate"/>
      </w:r>
      <w:r>
        <w:rPr>
          <w:rFonts w:hint="eastAsia" w:ascii="宋体" w:hAnsi="宋体" w:eastAsia="宋体" w:cs="宋体"/>
          <w:color w:val="auto"/>
          <w:sz w:val="28"/>
          <w:szCs w:val="28"/>
          <w:highlight w:val="none"/>
        </w:rPr>
        <w:t>第五章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_Toc10450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bCs/>
          <w:caps/>
          <w:color w:val="auto"/>
          <w:sz w:val="28"/>
          <w:szCs w:val="28"/>
          <w:highlight w:val="none"/>
        </w:rPr>
        <w:fldChar w:fldCharType="end"/>
      </w:r>
    </w:p>
    <w:p>
      <w:pPr>
        <w:spacing w:line="480" w:lineRule="auto"/>
        <w:jc w:val="center"/>
        <w:rPr>
          <w:rFonts w:hint="eastAsia" w:ascii="宋体" w:hAnsi="宋体" w:eastAsia="宋体" w:cs="宋体"/>
          <w:b/>
          <w:bCs/>
          <w:caps/>
          <w:color w:val="auto"/>
          <w:sz w:val="28"/>
          <w:szCs w:val="28"/>
          <w:highlight w:val="none"/>
        </w:rPr>
      </w:pPr>
      <w:r>
        <w:rPr>
          <w:rFonts w:hint="eastAsia" w:ascii="宋体" w:hAnsi="宋体" w:eastAsia="宋体" w:cs="宋体"/>
          <w:bCs/>
          <w:caps/>
          <w:color w:val="auto"/>
          <w:sz w:val="22"/>
          <w:szCs w:val="32"/>
          <w:highlight w:val="none"/>
        </w:rPr>
        <w:fldChar w:fldCharType="end"/>
      </w:r>
    </w:p>
    <w:p>
      <w:pPr>
        <w:pStyle w:val="3"/>
        <w:numPr>
          <w:ilvl w:val="0"/>
          <w:numId w:val="0"/>
        </w:numPr>
        <w:tabs>
          <w:tab w:val="left" w:pos="0"/>
        </w:tabs>
        <w:bidi w:val="0"/>
        <w:ind w:leftChars="0"/>
        <w:jc w:val="center"/>
        <w:outlineLvl w:val="9"/>
        <w:rPr>
          <w:rFonts w:hint="eastAsia" w:ascii="宋体" w:hAnsi="宋体" w:eastAsia="宋体" w:cs="宋体"/>
          <w:b/>
          <w:bCs/>
          <w:color w:val="auto"/>
          <w:highlight w:val="none"/>
        </w:rPr>
      </w:pPr>
      <w:bookmarkStart w:id="6" w:name="_Toc521014774"/>
      <w:bookmarkStart w:id="7" w:name="_Toc5048"/>
    </w:p>
    <w:p>
      <w:pPr>
        <w:bidi w:val="0"/>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bidi w:val="0"/>
        <w:rPr>
          <w:rFonts w:hint="eastAsia" w:ascii="宋体" w:hAnsi="宋体" w:eastAsia="宋体" w:cs="宋体"/>
          <w:color w:val="auto"/>
          <w:highlight w:val="none"/>
        </w:rPr>
      </w:pPr>
    </w:p>
    <w:p>
      <w:pPr>
        <w:tabs>
          <w:tab w:val="left" w:pos="2377"/>
        </w:tabs>
        <w:bidi w:val="0"/>
        <w:jc w:val="left"/>
        <w:rPr>
          <w:rFonts w:hint="eastAsia" w:ascii="宋体" w:hAnsi="宋体" w:eastAsia="宋体" w:cs="宋体"/>
          <w:color w:val="auto"/>
          <w:highlight w:val="none"/>
          <w:lang w:eastAsia="zh-CN"/>
        </w:rPr>
        <w:sectPr>
          <w:footerReference r:id="rId5" w:type="default"/>
          <w:pgSz w:w="11907" w:h="16840"/>
          <w:pgMar w:top="1474" w:right="1814" w:bottom="1474" w:left="1814" w:header="851" w:footer="851"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宋体" w:hAnsi="宋体" w:eastAsia="宋体" w:cs="宋体"/>
          <w:color w:val="auto"/>
          <w:highlight w:val="none"/>
          <w:lang w:eastAsia="zh-CN"/>
        </w:rPr>
        <w:tab/>
      </w:r>
    </w:p>
    <w:bookmarkEnd w:id="6"/>
    <w:bookmarkEnd w:id="7"/>
    <w:p>
      <w:pPr>
        <w:numPr>
          <w:ilvl w:val="0"/>
          <w:numId w:val="2"/>
        </w:numPr>
        <w:spacing w:line="460" w:lineRule="exact"/>
        <w:jc w:val="center"/>
        <w:outlineLvl w:val="0"/>
        <w:rPr>
          <w:rFonts w:hint="eastAsia" w:ascii="宋体" w:hAnsi="宋体" w:eastAsia="宋体" w:cs="宋体"/>
          <w:b/>
          <w:bCs w:val="0"/>
          <w:color w:val="auto"/>
          <w:sz w:val="32"/>
          <w:szCs w:val="32"/>
          <w:highlight w:val="none"/>
          <w:lang w:val="en-US" w:eastAsia="zh-CN"/>
        </w:rPr>
      </w:pPr>
      <w:bookmarkStart w:id="8" w:name="_Toc24806"/>
      <w:bookmarkStart w:id="9" w:name="_Toc21730"/>
      <w:bookmarkStart w:id="10" w:name="_Toc31279"/>
      <w:bookmarkStart w:id="11" w:name="_Toc10143"/>
      <w:r>
        <w:rPr>
          <w:rFonts w:hint="eastAsia" w:ascii="宋体" w:hAnsi="宋体" w:eastAsia="宋体" w:cs="宋体"/>
          <w:b/>
          <w:bCs w:val="0"/>
          <w:color w:val="auto"/>
          <w:sz w:val="32"/>
          <w:szCs w:val="32"/>
          <w:highlight w:val="none"/>
          <w:lang w:val="en-US" w:eastAsia="zh-CN"/>
        </w:rPr>
        <w:t>竞争性磋商公告</w:t>
      </w:r>
      <w:bookmarkEnd w:id="8"/>
      <w:bookmarkEnd w:id="9"/>
      <w:bookmarkEnd w:id="10"/>
    </w:p>
    <w:p>
      <w:pPr>
        <w:pStyle w:val="19"/>
        <w:numPr>
          <w:ilvl w:val="0"/>
          <w:numId w:val="0"/>
        </w:numPr>
        <w:rPr>
          <w:rFonts w:hint="eastAsia" w:ascii="宋体" w:hAnsi="宋体" w:eastAsia="宋体" w:cs="宋体"/>
          <w:color w:val="auto"/>
          <w:highlight w:val="none"/>
          <w:lang w:eastAsia="zh-CN"/>
        </w:rPr>
      </w:pPr>
    </w:p>
    <w:p>
      <w:pPr>
        <w:pStyle w:val="3"/>
        <w:keepNext w:val="0"/>
        <w:keepLines w:val="0"/>
        <w:pageBreakBefore w:val="0"/>
        <w:numPr>
          <w:ilvl w:val="0"/>
          <w:numId w:val="0"/>
        </w:numPr>
        <w:tabs>
          <w:tab w:val="left" w:pos="0"/>
        </w:tabs>
        <w:topLinePunct/>
        <w:snapToGrid w:val="0"/>
        <w:spacing w:before="0" w:after="0" w:line="480" w:lineRule="auto"/>
        <w:ind w:right="0"/>
        <w:jc w:val="center"/>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t>洛浦县2021年度、2022年度耕地进出平衡总体方案编制采购项目</w:t>
      </w:r>
    </w:p>
    <w:p>
      <w:pPr>
        <w:pStyle w:val="3"/>
        <w:keepNext w:val="0"/>
        <w:keepLines w:val="0"/>
        <w:pageBreakBefore w:val="0"/>
        <w:numPr>
          <w:ilvl w:val="0"/>
          <w:numId w:val="0"/>
        </w:numPr>
        <w:tabs>
          <w:tab w:val="left" w:pos="0"/>
        </w:tabs>
        <w:topLinePunct/>
        <w:snapToGrid w:val="0"/>
        <w:spacing w:before="0" w:after="0" w:line="480" w:lineRule="auto"/>
        <w:ind w:right="0"/>
        <w:jc w:val="center"/>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t>竞争性磋商公告</w:t>
      </w:r>
    </w:p>
    <w:tbl>
      <w:tblPr>
        <w:tblStyle w:val="21"/>
        <w:tblW w:w="96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4" w:hRule="atLeast"/>
        </w:trPr>
        <w:tc>
          <w:tcPr>
            <w:tcW w:w="9620" w:type="dxa"/>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pPr>
              <w:pStyle w:val="19"/>
              <w:keepNext w:val="0"/>
              <w:keepLines w:val="0"/>
              <w:pageBreakBefore w:val="0"/>
              <w:widowControl w:val="0"/>
              <w:kinsoku/>
              <w:wordWrap/>
              <w:overflowPunct/>
              <w:topLinePunct/>
              <w:autoSpaceDE/>
              <w:autoSpaceDN/>
              <w:bidi w:val="0"/>
              <w:adjustRightInd w:val="0"/>
              <w:snapToGrid w:val="0"/>
              <w:spacing w:after="0" w:line="360" w:lineRule="auto"/>
              <w:ind w:left="0" w:leftChars="0" w:right="0"/>
              <w:rPr>
                <w:rFonts w:hint="eastAsia" w:ascii="宋体" w:hAnsi="宋体" w:eastAsia="宋体" w:cs="宋体"/>
                <w:color w:val="auto"/>
                <w:highlight w:val="none"/>
              </w:rPr>
            </w:pPr>
            <w:r>
              <w:rPr>
                <w:rFonts w:hint="eastAsia" w:ascii="宋体" w:hAnsi="宋体" w:eastAsia="宋体" w:cs="宋体"/>
                <w:color w:val="auto"/>
                <w:highlight w:val="none"/>
                <w:u w:val="single"/>
              </w:rPr>
              <w:t>洛浦县2021年度、2022年度耕地进出平衡总体方案编制采购项目的潜在供应商应在新疆政府采购网（http://www.ccgp-xinjiang.gov.cn/）获取采购文件，并于2023年</w:t>
            </w:r>
            <w:r>
              <w:rPr>
                <w:rFonts w:hint="eastAsia" w:cs="宋体"/>
                <w:color w:val="auto"/>
                <w:highlight w:val="none"/>
                <w:u w:val="single"/>
                <w:lang w:eastAsia="zh-CN"/>
              </w:rPr>
              <w:t>06月15日</w:t>
            </w:r>
            <w:r>
              <w:rPr>
                <w:rFonts w:hint="eastAsia" w:ascii="宋体" w:hAnsi="宋体" w:eastAsia="宋体" w:cs="宋体"/>
                <w:color w:val="auto"/>
                <w:highlight w:val="none"/>
                <w:u w:val="single"/>
              </w:rPr>
              <w:t>11</w:t>
            </w:r>
            <w:r>
              <w:rPr>
                <w:rFonts w:hint="eastAsia" w:cs="宋体"/>
                <w:color w:val="auto"/>
                <w:highlight w:val="none"/>
                <w:u w:val="single"/>
                <w:lang w:eastAsia="zh-CN"/>
              </w:rPr>
              <w:t>：</w:t>
            </w:r>
            <w:r>
              <w:rPr>
                <w:rFonts w:hint="eastAsia" w:ascii="宋体" w:hAnsi="宋体" w:eastAsia="宋体" w:cs="宋体"/>
                <w:color w:val="auto"/>
                <w:highlight w:val="none"/>
                <w:u w:val="single"/>
              </w:rPr>
              <w:t>00分（北京时间）前提交（上传）响应文件。</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rPr>
          <w:rFonts w:hint="eastAsia" w:ascii="宋体" w:hAnsi="宋体" w:eastAsia="宋体" w:cs="宋体"/>
          <w:color w:val="auto"/>
          <w:kern w:val="0"/>
          <w:highlight w:val="none"/>
        </w:rPr>
      </w:pPr>
    </w:p>
    <w:p>
      <w:pPr>
        <w:keepNext w:val="0"/>
        <w:keepLines w:val="0"/>
        <w:pageBreakBefore w:val="0"/>
        <w:widowControl w:val="0"/>
        <w:kinsoku/>
        <w:wordWrap/>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b/>
          <w:bCs/>
          <w:color w:val="auto"/>
          <w:kern w:val="0"/>
          <w:szCs w:val="21"/>
          <w:highlight w:val="none"/>
        </w:rPr>
      </w:pPr>
      <w:bookmarkStart w:id="12" w:name="_Toc28359012"/>
      <w:bookmarkStart w:id="13" w:name="_Toc28359089"/>
      <w:bookmarkStart w:id="14" w:name="_Toc35393798"/>
      <w:bookmarkStart w:id="15" w:name="_Toc35393629"/>
      <w:r>
        <w:rPr>
          <w:rFonts w:hint="eastAsia" w:ascii="宋体" w:hAnsi="宋体" w:eastAsia="宋体" w:cs="宋体"/>
          <w:b/>
          <w:bCs/>
          <w:color w:val="auto"/>
          <w:kern w:val="0"/>
          <w:szCs w:val="21"/>
          <w:highlight w:val="none"/>
        </w:rPr>
        <w:t>一、项目基本情况</w:t>
      </w:r>
      <w:bookmarkEnd w:id="12"/>
      <w:bookmarkEnd w:id="13"/>
      <w:bookmarkEnd w:id="14"/>
      <w:bookmarkEnd w:id="15"/>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项目编号：XJJYD-LPCG（CS）-2023/003</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lang w:eastAsia="zh-CN"/>
        </w:rPr>
        <w:t>洛浦县2021年度、2022年度耕地进出平衡总体方案编制采购项目</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采购方式：竞争性</w:t>
      </w:r>
      <w:r>
        <w:rPr>
          <w:rFonts w:hint="eastAsia" w:ascii="宋体" w:hAnsi="宋体" w:eastAsia="宋体" w:cs="宋体"/>
          <w:color w:val="auto"/>
          <w:kern w:val="0"/>
          <w:szCs w:val="21"/>
          <w:highlight w:val="none"/>
          <w:lang w:eastAsia="zh-CN"/>
        </w:rPr>
        <w:t>磋商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850000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850000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需求</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洛浦县需要按照要求编制《和田地区洛浦县2021年度耕地“进出平衡”总体方案》和《和田地区洛浦县2022年度耕地“进出平衡”总体方案》 </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合同履行期限：</w:t>
      </w:r>
      <w:r>
        <w:rPr>
          <w:rFonts w:hint="eastAsia" w:ascii="宋体" w:hAnsi="宋体" w:cs="宋体"/>
          <w:color w:val="auto"/>
          <w:kern w:val="0"/>
          <w:szCs w:val="21"/>
          <w:highlight w:val="none"/>
          <w:lang w:val="en-US" w:eastAsia="zh-CN"/>
        </w:rPr>
        <w:t>合同签订之日起6</w:t>
      </w:r>
      <w:r>
        <w:rPr>
          <w:rFonts w:hint="eastAsia" w:ascii="宋体" w:hAnsi="宋体" w:eastAsia="宋体" w:cs="宋体"/>
          <w:color w:val="auto"/>
          <w:kern w:val="0"/>
          <w:szCs w:val="21"/>
          <w:highlight w:val="none"/>
          <w:lang w:val="en-US" w:eastAsia="zh-CN"/>
        </w:rPr>
        <w:t>0天。（具体以与甲方签订合同为准）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本项目不接受联合体投标。</w:t>
      </w:r>
      <w:bookmarkStart w:id="16" w:name="_Toc35393799"/>
      <w:bookmarkStart w:id="17" w:name="_Toc28359090"/>
      <w:bookmarkStart w:id="18" w:name="_Toc35393630"/>
      <w:bookmarkStart w:id="19" w:name="_Toc28359013"/>
    </w:p>
    <w:bookmarkEnd w:id="16"/>
    <w:bookmarkEnd w:id="17"/>
    <w:bookmarkEnd w:id="18"/>
    <w:bookmarkEnd w:id="19"/>
    <w:p>
      <w:pPr>
        <w:keepNext w:val="0"/>
        <w:keepLines w:val="0"/>
        <w:pageBreakBefore w:val="0"/>
        <w:widowControl w:val="0"/>
        <w:kinsoku/>
        <w:wordWrap/>
        <w:overflowPunct/>
        <w:topLinePunct/>
        <w:autoSpaceDE/>
        <w:autoSpaceDN/>
        <w:bidi w:val="0"/>
        <w:adjustRightInd w:val="0"/>
        <w:snapToGrid w:val="0"/>
        <w:spacing w:line="360" w:lineRule="auto"/>
        <w:ind w:left="0" w:right="0" w:firstLine="422" w:firstLineChars="200"/>
        <w:textAlignment w:val="baseline"/>
        <w:rPr>
          <w:rFonts w:hint="eastAsia" w:ascii="宋体" w:hAnsi="宋体" w:eastAsia="宋体" w:cs="宋体"/>
          <w:b/>
          <w:bCs/>
          <w:color w:val="auto"/>
          <w:kern w:val="0"/>
          <w:highlight w:val="none"/>
          <w:lang w:val="en-US" w:eastAsia="zh-CN"/>
        </w:rPr>
      </w:pPr>
      <w:bookmarkStart w:id="20" w:name="_Toc25666"/>
      <w:bookmarkStart w:id="21" w:name="_Toc32382"/>
      <w:bookmarkStart w:id="22" w:name="_Toc16391"/>
      <w:bookmarkStart w:id="23" w:name="_Toc28359091"/>
      <w:bookmarkStart w:id="24" w:name="_Toc35393800"/>
      <w:bookmarkStart w:id="25" w:name="_Toc18665"/>
      <w:bookmarkStart w:id="26" w:name="_Toc35393631"/>
      <w:bookmarkStart w:id="27" w:name="_Toc28359014"/>
      <w:r>
        <w:rPr>
          <w:rFonts w:hint="eastAsia" w:ascii="宋体" w:hAnsi="宋体" w:eastAsia="宋体" w:cs="宋体"/>
          <w:b/>
          <w:bCs/>
          <w:color w:val="auto"/>
          <w:kern w:val="0"/>
          <w:highlight w:val="none"/>
        </w:rPr>
        <w:t>二、申请</w:t>
      </w:r>
      <w:r>
        <w:rPr>
          <w:rFonts w:hint="eastAsia" w:ascii="宋体" w:hAnsi="宋体" w:eastAsia="宋体" w:cs="宋体"/>
          <w:b/>
          <w:bCs/>
          <w:color w:val="auto"/>
          <w:kern w:val="0"/>
          <w:highlight w:val="none"/>
          <w:lang w:val="en-US" w:eastAsia="zh-CN"/>
        </w:rPr>
        <w:t>人的资格要求：</w:t>
      </w:r>
      <w:bookmarkEnd w:id="20"/>
      <w:bookmarkEnd w:id="21"/>
    </w:p>
    <w:bookmarkEnd w:id="22"/>
    <w:bookmarkEnd w:id="23"/>
    <w:bookmarkEnd w:id="24"/>
    <w:bookmarkEnd w:id="25"/>
    <w:bookmarkEnd w:id="26"/>
    <w:bookmarkEnd w:id="27"/>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（一）供应商必须符合《中华人民共和国政府采购法》第二十二条规定：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（1）经年审合格（三证合一）的营业执照；</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cs="宋体"/>
          <w:color w:val="auto"/>
          <w:kern w:val="0"/>
          <w:highlight w:val="none"/>
          <w:lang w:val="en-US" w:eastAsia="zh-CN"/>
        </w:rPr>
      </w:pPr>
      <w:r>
        <w:rPr>
          <w:rFonts w:hint="eastAsia" w:ascii="宋体" w:hAnsi="宋体" w:eastAsia="宋体" w:cs="宋体"/>
          <w:color w:val="auto"/>
          <w:kern w:val="0"/>
          <w:highlight w:val="none"/>
          <w:lang w:val="en-US" w:eastAsia="zh-CN"/>
        </w:rPr>
        <w:t>（2）</w:t>
      </w:r>
      <w:r>
        <w:rPr>
          <w:rFonts w:hint="eastAsia" w:ascii="宋体" w:hAnsi="宋体" w:cs="宋体"/>
          <w:color w:val="auto"/>
          <w:kern w:val="0"/>
          <w:highlight w:val="none"/>
          <w:lang w:val="en-US" w:eastAsia="zh-CN"/>
        </w:rPr>
        <w:t>具有有效期内的乙级及以上测绘资质(专业范围包含地理信息系统工程)</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w:t>
      </w:r>
      <w:r>
        <w:rPr>
          <w:rFonts w:hint="eastAsia" w:ascii="宋体" w:hAnsi="宋体" w:cs="宋体"/>
          <w:color w:val="auto"/>
          <w:kern w:val="0"/>
          <w:highlight w:val="none"/>
          <w:lang w:val="en-US" w:eastAsia="zh-CN"/>
        </w:rPr>
        <w:t>提供法人（指本单位）2023年2月至2023年4月单</w:t>
      </w:r>
      <w:r>
        <w:rPr>
          <w:rFonts w:hint="eastAsia" w:ascii="宋体" w:hAnsi="宋体" w:eastAsia="宋体" w:cs="宋体"/>
          <w:color w:val="auto"/>
          <w:kern w:val="0"/>
          <w:highlight w:val="none"/>
          <w:lang w:val="en-US" w:eastAsia="zh-CN"/>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（5）具有良好的商业信誉和健全的财务会计制度：</w:t>
      </w:r>
      <w:r>
        <w:rPr>
          <w:rFonts w:hint="eastAsia" w:ascii="宋体" w:hAnsi="宋体" w:cs="宋体"/>
          <w:color w:val="auto"/>
          <w:kern w:val="0"/>
          <w:highlight w:val="none"/>
          <w:lang w:val="en-US" w:eastAsia="zh-CN"/>
        </w:rPr>
        <w:t>提供2021年度或2022年度由第三方财务审计机构出具</w:t>
      </w:r>
      <w:r>
        <w:rPr>
          <w:rFonts w:hint="eastAsia" w:ascii="宋体" w:hAnsi="宋体" w:eastAsia="宋体" w:cs="宋体"/>
          <w:color w:val="auto"/>
          <w:kern w:val="0"/>
          <w:highlight w:val="none"/>
          <w:lang w:val="en-US" w:eastAsia="zh-CN"/>
        </w:rPr>
        <w:t>的财务审计报告或新成立的企业提供银行出具的近三个月的资信证明；</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（7）投标保证金或电子保函：8500元整（大写：捌仟伍佰元整）。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eastAsia="zh-CN"/>
        </w:rPr>
        <w:t>（二）</w:t>
      </w:r>
      <w:r>
        <w:rPr>
          <w:rFonts w:hint="eastAsia" w:ascii="宋体" w:hAnsi="宋体" w:eastAsia="宋体" w:cs="宋体"/>
          <w:color w:val="auto"/>
          <w:kern w:val="0"/>
          <w:highlight w:val="none"/>
        </w:rPr>
        <w:t>落实政府采购政策需满足的资格要求：</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新疆政府采购促进中小企业发展管理办法》(财库〔2020〕46号)；关于进一步加大政府采购支持中小企业力度的通知财库〔2022〕19号；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（三）本项目的特定资格要求：无</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三、获取采购文件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时间：2023年</w:t>
      </w:r>
      <w:r>
        <w:rPr>
          <w:rFonts w:hint="eastAsia" w:ascii="宋体" w:hAnsi="宋体" w:cs="宋体"/>
          <w:color w:val="auto"/>
          <w:kern w:val="0"/>
          <w:highlight w:val="none"/>
          <w:lang w:val="en-US" w:eastAsia="zh-CN"/>
        </w:rPr>
        <w:t>06</w:t>
      </w:r>
      <w:r>
        <w:rPr>
          <w:rFonts w:hint="eastAsia" w:ascii="宋体" w:hAnsi="宋体" w:eastAsia="宋体" w:cs="宋体"/>
          <w:color w:val="auto"/>
          <w:kern w:val="0"/>
          <w:highlight w:val="none"/>
          <w:lang w:val="en-US" w:eastAsia="zh-CN"/>
        </w:rPr>
        <w:t>月</w:t>
      </w:r>
      <w:r>
        <w:rPr>
          <w:rFonts w:hint="eastAsia" w:ascii="宋体" w:hAnsi="宋体" w:cs="宋体"/>
          <w:color w:val="auto"/>
          <w:kern w:val="0"/>
          <w:highlight w:val="none"/>
          <w:lang w:val="en-US" w:eastAsia="zh-CN"/>
        </w:rPr>
        <w:t>02</w:t>
      </w:r>
      <w:r>
        <w:rPr>
          <w:rFonts w:hint="eastAsia" w:ascii="宋体" w:hAnsi="宋体" w:eastAsia="宋体" w:cs="宋体"/>
          <w:color w:val="auto"/>
          <w:kern w:val="0"/>
          <w:highlight w:val="none"/>
          <w:lang w:val="en-US" w:eastAsia="zh-CN"/>
        </w:rPr>
        <w:t>日至2023年06月</w:t>
      </w:r>
      <w:r>
        <w:rPr>
          <w:rFonts w:hint="eastAsia" w:ascii="宋体" w:hAnsi="宋体" w:cs="宋体"/>
          <w:color w:val="auto"/>
          <w:kern w:val="0"/>
          <w:highlight w:val="none"/>
          <w:lang w:val="en-US" w:eastAsia="zh-CN"/>
        </w:rPr>
        <w:t>14</w:t>
      </w:r>
      <w:r>
        <w:rPr>
          <w:rFonts w:hint="eastAsia" w:ascii="宋体" w:hAnsi="宋体" w:eastAsia="宋体" w:cs="宋体"/>
          <w:color w:val="auto"/>
          <w:kern w:val="0"/>
          <w:highlight w:val="none"/>
          <w:lang w:val="en-US" w:eastAsia="zh-CN"/>
        </w:rPr>
        <w:t>日，每天上午00:00至12:00，下午12:00至23:59 (北京时间，法定节假日除外)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地点：政采云平台线上获取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四、响应文件提交</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截止时间：2023年</w:t>
      </w:r>
      <w:r>
        <w:rPr>
          <w:rFonts w:hint="eastAsia" w:ascii="宋体" w:hAnsi="宋体" w:cs="宋体"/>
          <w:color w:val="auto"/>
          <w:kern w:val="0"/>
          <w:highlight w:val="none"/>
          <w:lang w:val="en-US" w:eastAsia="zh-CN"/>
        </w:rPr>
        <w:t>06月15日11:00</w:t>
      </w:r>
      <w:r>
        <w:rPr>
          <w:rFonts w:hint="eastAsia" w:ascii="宋体" w:hAnsi="宋体" w:eastAsia="宋体" w:cs="宋体"/>
          <w:color w:val="auto"/>
          <w:kern w:val="0"/>
          <w:highlight w:val="none"/>
          <w:lang w:val="en-US" w:eastAsia="zh-CN"/>
        </w:rPr>
        <w:t>(北京时间)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地点：投标人应于2023年</w:t>
      </w:r>
      <w:r>
        <w:rPr>
          <w:rFonts w:hint="eastAsia" w:ascii="宋体" w:hAnsi="宋体" w:cs="宋体"/>
          <w:color w:val="auto"/>
          <w:kern w:val="0"/>
          <w:highlight w:val="none"/>
          <w:lang w:val="en-US" w:eastAsia="zh-CN"/>
        </w:rPr>
        <w:t>06</w:t>
      </w:r>
      <w:r>
        <w:rPr>
          <w:rFonts w:hint="eastAsia" w:ascii="宋体" w:hAnsi="宋体" w:eastAsia="宋体" w:cs="宋体"/>
          <w:color w:val="auto"/>
          <w:kern w:val="0"/>
          <w:highlight w:val="none"/>
          <w:lang w:val="en-US" w:eastAsia="zh-CN"/>
        </w:rPr>
        <w:t>月</w:t>
      </w:r>
      <w:r>
        <w:rPr>
          <w:rFonts w:hint="eastAsia" w:ascii="宋体" w:hAnsi="宋体" w:cs="宋体"/>
          <w:color w:val="auto"/>
          <w:kern w:val="0"/>
          <w:highlight w:val="none"/>
          <w:lang w:val="en-US" w:eastAsia="zh-CN"/>
        </w:rPr>
        <w:t>15</w:t>
      </w:r>
      <w:r>
        <w:rPr>
          <w:rFonts w:hint="eastAsia" w:ascii="宋体" w:hAnsi="宋体" w:eastAsia="宋体" w:cs="宋体"/>
          <w:color w:val="auto"/>
          <w:kern w:val="0"/>
          <w:highlight w:val="none"/>
          <w:lang w:val="en-US" w:eastAsia="zh-CN"/>
        </w:rPr>
        <w:t>日 11:00(北京时间）之前将电子投标文件上传到“政采云”平台。应按照本项目招标文件和政采云平台的要求编制、加密传输投标文件。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五、响应文件开启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开启时间：2023年</w:t>
      </w:r>
      <w:r>
        <w:rPr>
          <w:rFonts w:hint="eastAsia" w:ascii="宋体" w:hAnsi="宋体" w:cs="宋体"/>
          <w:color w:val="auto"/>
          <w:kern w:val="0"/>
          <w:highlight w:val="none"/>
          <w:lang w:val="en-US" w:eastAsia="zh-CN"/>
        </w:rPr>
        <w:t>06月15日11:00</w:t>
      </w:r>
      <w:r>
        <w:rPr>
          <w:rFonts w:hint="eastAsia" w:ascii="宋体" w:hAnsi="宋体" w:eastAsia="宋体" w:cs="宋体"/>
          <w:color w:val="auto"/>
          <w:kern w:val="0"/>
          <w:highlight w:val="none"/>
          <w:lang w:val="en-US" w:eastAsia="zh-CN"/>
        </w:rPr>
        <w:t>(北京时间)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地点：洛浦县政务服务和公共资源交易中心（洛浦县北京工业园区北园区振兴路10号）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六、公告期限</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自本公告发布之日起3个工作日。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七、其他补充事宜：</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7.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本项目全面面向中小微企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8.本项目中小企业划分标准为：其他未列</w:t>
      </w:r>
      <w:r>
        <w:rPr>
          <w:rFonts w:hint="eastAsia" w:ascii="宋体" w:hAnsi="宋体" w:cs="宋体"/>
          <w:color w:val="auto"/>
          <w:kern w:val="0"/>
          <w:highlight w:val="none"/>
          <w:lang w:val="en-US" w:eastAsia="zh-CN"/>
        </w:rPr>
        <w:t>明</w:t>
      </w:r>
      <w:r>
        <w:rPr>
          <w:rFonts w:hint="eastAsia" w:ascii="宋体" w:hAnsi="宋体" w:eastAsia="宋体" w:cs="宋体"/>
          <w:color w:val="auto"/>
          <w:kern w:val="0"/>
          <w:highlight w:val="none"/>
          <w:lang w:val="en-US" w:eastAsia="zh-CN"/>
        </w:rPr>
        <w:t>行业；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特别提示：</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八、监督部门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本招标项目的监督部门为：洛浦县政府采购管理办公室</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 xml:space="preserve">联系人：唐洋龙      </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联系电话：0903-6622186</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九、凡对本次采购提出询问，请按以下方式联系。</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1、采购人信息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名称：洛浦县自然资源局</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联系人：阿</w:t>
      </w:r>
      <w:r>
        <w:rPr>
          <w:rFonts w:hint="eastAsia" w:ascii="宋体" w:hAnsi="宋体" w:cs="宋体"/>
          <w:color w:val="auto"/>
          <w:kern w:val="0"/>
          <w:highlight w:val="none"/>
          <w:lang w:val="en-US" w:eastAsia="zh-CN"/>
        </w:rPr>
        <w:t>主任</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联系电话：0903-7887308</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2.采购代理机构信息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名 称：新疆金誉达项目管理有限公司</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地 址：和田市古江南路180号新疆和中昆仑矿业有限公司5楼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联系方式：0903-2063689</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3.项目联系方式</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项目联系人：周女士</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电 话：0903-2063689</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20" w:firstLineChars="200"/>
        <w:textAlignment w:val="baseline"/>
        <w:rPr>
          <w:rFonts w:hint="eastAsia" w:ascii="宋体" w:hAnsi="宋体" w:eastAsia="宋体" w:cs="宋体"/>
          <w:color w:val="auto"/>
          <w:kern w:val="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25"/>
        <w:rPr>
          <w:rStyle w:val="30"/>
          <w:rFonts w:hint="eastAsia" w:ascii="宋体" w:hAnsi="宋体" w:eastAsia="宋体" w:cs="宋体"/>
          <w:b/>
          <w:bCs/>
          <w:color w:val="auto"/>
          <w:sz w:val="28"/>
          <w:szCs w:val="18"/>
          <w:highlight w:val="none"/>
        </w:rPr>
      </w:pPr>
    </w:p>
    <w:bookmarkEnd w:id="11"/>
    <w:p>
      <w:pPr>
        <w:jc w:val="both"/>
        <w:outlineLvl w:val="0"/>
        <w:rPr>
          <w:rFonts w:hint="eastAsia" w:ascii="宋体" w:hAnsi="宋体" w:eastAsia="宋体" w:cs="宋体"/>
          <w:b/>
          <w:color w:val="auto"/>
          <w:sz w:val="32"/>
          <w:szCs w:val="32"/>
          <w:highlight w:val="none"/>
          <w:lang w:val="en-US" w:eastAsia="zh-CN"/>
        </w:rPr>
        <w:sectPr>
          <w:headerReference r:id="rId6" w:type="default"/>
          <w:footerReference r:id="rId7" w:type="default"/>
          <w:pgSz w:w="11906" w:h="16838"/>
          <w:pgMar w:top="1134" w:right="1531" w:bottom="782" w:left="1417" w:header="851" w:footer="992" w:gutter="0"/>
          <w:pgBorders>
            <w:top w:val="none" w:sz="0" w:space="0"/>
            <w:left w:val="none" w:sz="0" w:space="0"/>
            <w:bottom w:val="none" w:sz="0" w:space="0"/>
            <w:right w:val="none" w:sz="0" w:space="0"/>
          </w:pgBorders>
          <w:pgNumType w:fmt="numberInDash" w:start="1"/>
          <w:cols w:space="720" w:num="1"/>
          <w:rtlGutter w:val="0"/>
          <w:docGrid w:type="lines" w:linePitch="383" w:charSpace="0"/>
        </w:sectPr>
      </w:pPr>
    </w:p>
    <w:p>
      <w:pPr>
        <w:pStyle w:val="29"/>
        <w:pageBreakBefore w:val="0"/>
        <w:kinsoku/>
        <w:wordWrap/>
        <w:topLinePunct w:val="0"/>
        <w:bidi w:val="0"/>
        <w:spacing w:line="360" w:lineRule="auto"/>
        <w:ind w:firstLine="0"/>
        <w:jc w:val="left"/>
        <w:outlineLvl w:val="9"/>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特别提醒：</w:t>
      </w:r>
    </w:p>
    <w:p>
      <w:pPr>
        <w:spacing w:line="360" w:lineRule="auto"/>
        <w:jc w:val="left"/>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1、投标</w:t>
      </w:r>
      <w:r>
        <w:rPr>
          <w:rFonts w:hint="eastAsia" w:ascii="宋体" w:hAnsi="宋体" w:eastAsia="宋体" w:cs="宋体"/>
          <w:b/>
          <w:bCs/>
          <w:i w:val="0"/>
          <w:iCs w:val="0"/>
          <w:caps w:val="0"/>
          <w:color w:val="auto"/>
          <w:spacing w:val="0"/>
          <w:kern w:val="0"/>
          <w:sz w:val="24"/>
          <w:szCs w:val="24"/>
          <w:highlight w:val="none"/>
          <w:lang w:val="en-US" w:eastAsia="zh-CN" w:bidi="ar"/>
        </w:rPr>
        <w:t>企业采用银行转账或电汇的方式的，</w:t>
      </w:r>
      <w:r>
        <w:rPr>
          <w:rFonts w:hint="eastAsia" w:ascii="宋体" w:hAnsi="宋体" w:eastAsia="宋体" w:cs="宋体"/>
          <w:b/>
          <w:bCs/>
          <w:i w:val="0"/>
          <w:iCs w:val="0"/>
          <w:caps w:val="0"/>
          <w:color w:val="auto"/>
          <w:spacing w:val="0"/>
          <w:kern w:val="0"/>
          <w:sz w:val="24"/>
          <w:szCs w:val="24"/>
          <w:lang w:val="en-US" w:eastAsia="zh-CN" w:bidi="ar"/>
        </w:rPr>
        <w:t>投标保证金由投标人基本账户</w:t>
      </w:r>
      <w:r>
        <w:rPr>
          <w:rFonts w:hint="eastAsia" w:ascii="宋体" w:hAnsi="宋体" w:cs="宋体"/>
          <w:b/>
          <w:bCs/>
          <w:i w:val="0"/>
          <w:iCs w:val="0"/>
          <w:caps w:val="0"/>
          <w:color w:val="auto"/>
          <w:spacing w:val="0"/>
          <w:kern w:val="0"/>
          <w:sz w:val="24"/>
          <w:szCs w:val="24"/>
          <w:lang w:val="en-US" w:eastAsia="zh-CN" w:bidi="ar"/>
        </w:rPr>
        <w:t>或一般户</w:t>
      </w:r>
      <w:r>
        <w:rPr>
          <w:rFonts w:hint="eastAsia" w:ascii="宋体" w:hAnsi="宋体" w:eastAsia="宋体" w:cs="宋体"/>
          <w:b/>
          <w:bCs/>
          <w:i w:val="0"/>
          <w:iCs w:val="0"/>
          <w:caps w:val="0"/>
          <w:color w:val="auto"/>
          <w:spacing w:val="0"/>
          <w:kern w:val="0"/>
          <w:sz w:val="24"/>
          <w:szCs w:val="24"/>
          <w:lang w:val="en-US" w:eastAsia="zh-CN" w:bidi="ar"/>
        </w:rPr>
        <w:t>汇出（投标保证金需一笔</w:t>
      </w:r>
      <w:r>
        <w:rPr>
          <w:rFonts w:hint="eastAsia" w:ascii="宋体" w:hAnsi="宋体" w:eastAsia="宋体" w:cs="宋体"/>
          <w:b/>
          <w:bCs/>
          <w:i w:val="0"/>
          <w:iCs w:val="0"/>
          <w:caps w:val="0"/>
          <w:color w:val="auto"/>
          <w:spacing w:val="0"/>
          <w:kern w:val="0"/>
          <w:sz w:val="24"/>
          <w:szCs w:val="24"/>
          <w:highlight w:val="none"/>
          <w:lang w:val="en-US" w:eastAsia="zh-CN" w:bidi="ar"/>
        </w:rPr>
        <w:t>汇出，分笔汇出银行系统将不予统计），且不得以分公司的名义转账，投标保证金需</w:t>
      </w:r>
      <w:r>
        <w:rPr>
          <w:rFonts w:hint="eastAsia" w:ascii="宋体" w:hAnsi="宋体" w:eastAsia="宋体" w:cs="宋体"/>
          <w:b/>
          <w:bCs/>
          <w:i w:val="0"/>
          <w:iCs w:val="0"/>
          <w:caps w:val="0"/>
          <w:color w:val="auto"/>
          <w:spacing w:val="0"/>
          <w:kern w:val="0"/>
          <w:sz w:val="24"/>
          <w:szCs w:val="24"/>
          <w:lang w:val="en-US" w:eastAsia="zh-CN" w:bidi="ar"/>
        </w:rPr>
        <w:t>在投标截止时间前</w:t>
      </w:r>
      <w:r>
        <w:rPr>
          <w:rFonts w:hint="eastAsia" w:ascii="宋体" w:hAnsi="宋体" w:eastAsia="宋体" w:cs="宋体"/>
          <w:b/>
          <w:bCs/>
          <w:i w:val="0"/>
          <w:iCs w:val="0"/>
          <w:caps w:val="0"/>
          <w:color w:val="auto"/>
          <w:spacing w:val="0"/>
          <w:kern w:val="0"/>
          <w:sz w:val="24"/>
          <w:szCs w:val="24"/>
          <w:highlight w:val="none"/>
          <w:lang w:val="en-US" w:eastAsia="zh-CN" w:bidi="ar"/>
        </w:rPr>
        <w:t>（2023年06月</w:t>
      </w:r>
      <w:r>
        <w:rPr>
          <w:rFonts w:hint="eastAsia" w:ascii="宋体" w:hAnsi="宋体" w:cs="宋体"/>
          <w:b/>
          <w:bCs/>
          <w:i w:val="0"/>
          <w:iCs w:val="0"/>
          <w:caps w:val="0"/>
          <w:color w:val="auto"/>
          <w:spacing w:val="0"/>
          <w:kern w:val="0"/>
          <w:sz w:val="24"/>
          <w:szCs w:val="24"/>
          <w:highlight w:val="none"/>
          <w:lang w:val="en-US" w:eastAsia="zh-CN" w:bidi="ar"/>
        </w:rPr>
        <w:t>15</w:t>
      </w:r>
      <w:r>
        <w:rPr>
          <w:rFonts w:hint="eastAsia" w:ascii="宋体" w:hAnsi="宋体" w:eastAsia="宋体" w:cs="宋体"/>
          <w:b/>
          <w:bCs/>
          <w:i w:val="0"/>
          <w:iCs w:val="0"/>
          <w:caps w:val="0"/>
          <w:color w:val="auto"/>
          <w:spacing w:val="0"/>
          <w:kern w:val="0"/>
          <w:sz w:val="24"/>
          <w:szCs w:val="24"/>
          <w:highlight w:val="none"/>
          <w:lang w:val="en-US" w:eastAsia="zh-CN" w:bidi="ar"/>
        </w:rPr>
        <w:t>日11：00（北京时间））</w:t>
      </w:r>
      <w:r>
        <w:rPr>
          <w:rFonts w:hint="eastAsia" w:ascii="宋体" w:hAnsi="宋体" w:cs="宋体"/>
          <w:b/>
          <w:bCs/>
          <w:i w:val="0"/>
          <w:iCs w:val="0"/>
          <w:caps w:val="0"/>
          <w:color w:val="auto"/>
          <w:spacing w:val="0"/>
          <w:kern w:val="0"/>
          <w:sz w:val="24"/>
          <w:szCs w:val="24"/>
          <w:highlight w:val="none"/>
          <w:lang w:val="en-US" w:eastAsia="zh-CN" w:bidi="ar"/>
        </w:rPr>
        <w:t>前</w:t>
      </w:r>
      <w:r>
        <w:rPr>
          <w:rFonts w:hint="eastAsia" w:ascii="宋体" w:hAnsi="宋体" w:eastAsia="宋体" w:cs="宋体"/>
          <w:b/>
          <w:bCs/>
          <w:i w:val="0"/>
          <w:iCs w:val="0"/>
          <w:caps w:val="0"/>
          <w:color w:val="auto"/>
          <w:spacing w:val="0"/>
          <w:kern w:val="0"/>
          <w:sz w:val="24"/>
          <w:szCs w:val="24"/>
          <w:lang w:val="en-US" w:eastAsia="zh-CN" w:bidi="ar"/>
        </w:rPr>
        <w:t>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2、投标企业下载招标文件后请仔细阅读，如对招标文件内容有质疑，投标人应在投标截止7日前按招标文件中载明的邮箱：1784632410@qq.com，地址：和田市古江南路180号新疆和中昆仑矿业有限公司5楼，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spacing w:line="360" w:lineRule="auto"/>
        <w:jc w:val="left"/>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3、为确保投标保证金的及时退还，评标结束后投标企业需提供保证金汇款凭证、开户许可证复印件、收据并注明开户行行号、联系方式（加盖公司鲜红公章）交至或邮寄（EMS）洛浦县政府投资交易中心财务室办理（联系电话13239801355）。（注：废标项目投保证金在后续项目再次招标时银行系统不做统计，请投标企业及时办理退款），中标企业签订政府采购合同后，携带合同原件一份及以上资料办理退投标保证金事宜。</w:t>
      </w:r>
    </w:p>
    <w:p>
      <w:pPr>
        <w:spacing w:line="360" w:lineRule="auto"/>
        <w:jc w:val="left"/>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4.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  供应商须知</w:t>
      </w:r>
      <w:bookmarkEnd w:id="0"/>
      <w:bookmarkEnd w:id="1"/>
      <w:bookmarkEnd w:id="2"/>
      <w:bookmarkEnd w:id="3"/>
      <w:bookmarkEnd w:id="4"/>
      <w:bookmarkEnd w:id="5"/>
    </w:p>
    <w:p>
      <w:pPr>
        <w:pStyle w:val="4"/>
        <w:spacing w:before="0" w:after="100" w:afterAutospacing="1" w:line="400" w:lineRule="atLeast"/>
        <w:jc w:val="center"/>
        <w:rPr>
          <w:rFonts w:hint="eastAsia" w:ascii="宋体" w:hAnsi="宋体" w:eastAsia="宋体" w:cs="宋体"/>
          <w:color w:val="auto"/>
          <w:sz w:val="28"/>
          <w:szCs w:val="28"/>
          <w:highlight w:val="none"/>
        </w:rPr>
      </w:pPr>
      <w:bookmarkStart w:id="28" w:name="_Toc267301281"/>
      <w:bookmarkStart w:id="29" w:name="_Toc349637919"/>
      <w:bookmarkStart w:id="30" w:name="_Toc298240404"/>
      <w:bookmarkStart w:id="31" w:name="_Toc349573120"/>
      <w:bookmarkStart w:id="32" w:name="_Toc527642951"/>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供应商须知附表</w:t>
      </w:r>
      <w:bookmarkEnd w:id="28"/>
      <w:bookmarkEnd w:id="29"/>
      <w:bookmarkEnd w:id="30"/>
      <w:bookmarkEnd w:id="31"/>
      <w:bookmarkEnd w:id="32"/>
    </w:p>
    <w:tbl>
      <w:tblPr>
        <w:tblStyle w:val="21"/>
        <w:tblW w:w="9732"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980"/>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条款号</w:t>
            </w:r>
          </w:p>
        </w:tc>
        <w:tc>
          <w:tcPr>
            <w:tcW w:w="1980"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条款名称</w:t>
            </w:r>
          </w:p>
        </w:tc>
        <w:tc>
          <w:tcPr>
            <w:tcW w:w="6477"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p>
        </w:tc>
        <w:tc>
          <w:tcPr>
            <w:tcW w:w="6477" w:type="dxa"/>
            <w:vAlign w:val="center"/>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XJJYD-LPCG（CS）-2023/003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rPr>
              <w:t>项目名称</w:t>
            </w:r>
          </w:p>
        </w:tc>
        <w:tc>
          <w:tcPr>
            <w:tcW w:w="6477" w:type="dxa"/>
            <w:vAlign w:val="top"/>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lang w:eastAsia="zh-CN"/>
              </w:rPr>
              <w:t>洛浦县2021年度、2022年度耕地进出平衡总体方案编制采购项目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p>
        </w:tc>
        <w:tc>
          <w:tcPr>
            <w:tcW w:w="6477" w:type="dxa"/>
            <w:vAlign w:val="top"/>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采购单位：</w:t>
            </w:r>
            <w:r>
              <w:rPr>
                <w:rFonts w:hint="eastAsia" w:ascii="宋体" w:hAnsi="宋体" w:eastAsia="宋体" w:cs="宋体"/>
                <w:color w:val="auto"/>
                <w:sz w:val="24"/>
                <w:szCs w:val="24"/>
                <w:highlight w:val="none"/>
                <w:lang w:val="en-US" w:eastAsia="zh-CN"/>
              </w:rPr>
              <w:t>洛浦县自然资源局</w:t>
            </w:r>
            <w:r>
              <w:rPr>
                <w:rFonts w:hint="eastAsia" w:ascii="宋体" w:hAnsi="宋体" w:eastAsia="宋体" w:cs="宋体"/>
                <w:color w:val="auto"/>
                <w:sz w:val="24"/>
                <w:szCs w:val="24"/>
                <w:highlight w:val="none"/>
                <w:lang w:eastAsia="zh-CN"/>
              </w:rPr>
              <w:t xml:space="preserve"> </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lang w:val="en-US" w:eastAsia="zh-CN"/>
              </w:rPr>
              <w:t>阿</w:t>
            </w:r>
            <w:r>
              <w:rPr>
                <w:rFonts w:hint="eastAsia" w:ascii="宋体" w:hAnsi="宋体" w:cs="宋体"/>
                <w:color w:val="auto"/>
                <w:sz w:val="24"/>
                <w:szCs w:val="24"/>
                <w:highlight w:val="none"/>
                <w:lang w:val="en-US" w:eastAsia="zh-CN"/>
              </w:rPr>
              <w:t>主任</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地址：洛浦县北京路46号</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联系电话：0903-7887308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名  称: </w:t>
            </w:r>
            <w:r>
              <w:rPr>
                <w:rFonts w:hint="eastAsia" w:ascii="宋体" w:hAnsi="宋体" w:eastAsia="宋体" w:cs="宋体"/>
                <w:color w:val="auto"/>
                <w:sz w:val="24"/>
                <w:szCs w:val="24"/>
                <w:highlight w:val="none"/>
                <w:lang w:val="en-US" w:eastAsia="zh-CN"/>
              </w:rPr>
              <w:t>新疆金誉达项目管理有限公司</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z w:val="24"/>
                <w:szCs w:val="24"/>
                <w:highlight w:val="none"/>
                <w:lang w:eastAsia="zh-CN"/>
              </w:rPr>
              <w:t xml:space="preserve">地  址: </w:t>
            </w:r>
            <w:r>
              <w:rPr>
                <w:rFonts w:hint="eastAsia" w:ascii="宋体" w:hAnsi="宋体" w:eastAsia="宋体" w:cs="宋体"/>
                <w:color w:val="auto"/>
                <w:spacing w:val="-11"/>
                <w:sz w:val="24"/>
                <w:szCs w:val="24"/>
                <w:highlight w:val="none"/>
                <w:lang w:eastAsia="zh-CN"/>
              </w:rPr>
              <w:t>和田市古江南路180号新疆和中昆仑矿业有限公司5楼</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 xml:space="preserve">联系人: </w:t>
            </w:r>
            <w:r>
              <w:rPr>
                <w:rFonts w:hint="eastAsia" w:ascii="宋体" w:hAnsi="宋体" w:eastAsia="宋体" w:cs="宋体"/>
                <w:color w:val="auto"/>
                <w:sz w:val="24"/>
                <w:szCs w:val="24"/>
                <w:highlight w:val="none"/>
                <w:lang w:val="en-US" w:eastAsia="zh-CN"/>
              </w:rPr>
              <w:t>周女士</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lang w:val="en-US" w:eastAsia="zh-CN"/>
              </w:rPr>
              <w:t xml:space="preserve"> 0903-2063689</w:t>
            </w:r>
            <w:r>
              <w:rPr>
                <w:rFonts w:hint="eastAsia" w:ascii="宋体" w:hAnsi="宋体" w:cs="宋体"/>
                <w:color w:val="auto"/>
                <w:sz w:val="24"/>
                <w:szCs w:val="24"/>
                <w:highlight w:val="none"/>
                <w:lang w:val="en-US" w:eastAsia="zh-CN"/>
              </w:rPr>
              <w:t>、15569012775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洛浦县需要按照要求编制《和田地区洛浦县2021年度耕地“进出平衡”总体方案》和《和田地区洛浦县2022年度耕地“进出平衡”总体方案》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以采购单位指定地点为准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期限</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合同签订之日起60天。（具体以与甲方签订合同为准）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1期：支付比例30%，合同签订生效后的15个工作日内申请支付合同总金额的30%。</w:t>
            </w:r>
          </w:p>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2期：支付比例40%，总体方案成果提交后的30个工作日内申请支付合同总金额的40%。</w:t>
            </w:r>
          </w:p>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3期：支付比例30%，项目通过验收后的30个工作日内申请支付余下款项（合同总金额的30%）。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供应商资格条件</w:t>
            </w:r>
          </w:p>
        </w:tc>
        <w:tc>
          <w:tcPr>
            <w:tcW w:w="6477" w:type="dxa"/>
            <w:vAlign w:val="center"/>
          </w:tcPr>
          <w:p>
            <w:pPr>
              <w:pStyle w:val="27"/>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1.供应商必须符合《中华人民共和国政府采购法》第二十二条规定：</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（1）经年审合格（三证合一）的营业执照；</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w:t>
            </w:r>
            <w:r>
              <w:rPr>
                <w:rFonts w:hint="eastAsia" w:ascii="宋体" w:hAnsi="宋体" w:cs="宋体"/>
                <w:b w:val="0"/>
                <w:bCs/>
                <w:i w:val="0"/>
                <w:caps w:val="0"/>
                <w:color w:val="auto"/>
                <w:spacing w:val="0"/>
                <w:kern w:val="0"/>
                <w:sz w:val="24"/>
                <w:szCs w:val="24"/>
                <w:highlight w:val="none"/>
                <w:lang w:val="en-US" w:eastAsia="zh-CN" w:bidi="ar"/>
              </w:rPr>
              <w:t>具有有效期内的乙级及以上测绘资质(专业范围包含地理信息系统工程)</w:t>
            </w:r>
            <w:r>
              <w:rPr>
                <w:rFonts w:hint="eastAsia" w:ascii="宋体" w:hAnsi="宋体" w:eastAsia="宋体" w:cs="宋体"/>
                <w:b w:val="0"/>
                <w:bCs/>
                <w:i w:val="0"/>
                <w:caps w:val="0"/>
                <w:color w:val="auto"/>
                <w:spacing w:val="0"/>
                <w:kern w:val="0"/>
                <w:sz w:val="24"/>
                <w:szCs w:val="24"/>
                <w:highlight w:val="none"/>
                <w:lang w:val="en-US" w:eastAsia="zh-CN" w:bidi="ar"/>
              </w:rPr>
              <w:t>；</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w:t>
            </w:r>
            <w:r>
              <w:rPr>
                <w:rFonts w:hint="eastAsia" w:ascii="宋体" w:hAnsi="宋体" w:cs="宋体"/>
                <w:b w:val="0"/>
                <w:bCs/>
                <w:i w:val="0"/>
                <w:caps w:val="0"/>
                <w:color w:val="auto"/>
                <w:spacing w:val="0"/>
                <w:kern w:val="0"/>
                <w:sz w:val="24"/>
                <w:szCs w:val="24"/>
                <w:highlight w:val="none"/>
                <w:lang w:val="en-US" w:eastAsia="zh-CN" w:bidi="ar"/>
              </w:rPr>
              <w:t>提供法人（指本单位）2023年2月至2023年4月单</w:t>
            </w:r>
            <w:r>
              <w:rPr>
                <w:rFonts w:hint="eastAsia" w:ascii="宋体" w:hAnsi="宋体" w:eastAsia="宋体" w:cs="宋体"/>
                <w:b w:val="0"/>
                <w:bCs/>
                <w:i w:val="0"/>
                <w:caps w:val="0"/>
                <w:color w:val="auto"/>
                <w:spacing w:val="0"/>
                <w:kern w:val="0"/>
                <w:sz w:val="24"/>
                <w:szCs w:val="24"/>
                <w:highlight w:val="none"/>
                <w:lang w:val="en-US" w:eastAsia="zh-CN" w:bidi="ar"/>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（5）具有良好的商业信誉和健全的财务会计制度：提供2021年度或2022年度由第三方财务审计机构出具的财务审计报告或新成立的企业提供银行出具的近三个月的资信证明；</w:t>
            </w:r>
          </w:p>
          <w:p>
            <w:pPr>
              <w:pStyle w:val="27"/>
              <w:numPr>
                <w:ilvl w:val="0"/>
                <w:numId w:val="0"/>
              </w:numPr>
              <w:spacing w:line="240" w:lineRule="auto"/>
              <w:ind w:left="0" w:leftChars="0" w:firstLine="240" w:firstLineChars="100"/>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11</w:t>
            </w:r>
          </w:p>
        </w:tc>
        <w:tc>
          <w:tcPr>
            <w:tcW w:w="1980" w:type="dxa"/>
            <w:vAlign w:val="center"/>
          </w:tcPr>
          <w:p>
            <w:pPr>
              <w:keepNext w:val="0"/>
              <w:keepLines w:val="0"/>
              <w:pageBreakBefore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投标保证金</w:t>
            </w:r>
          </w:p>
        </w:tc>
        <w:tc>
          <w:tcPr>
            <w:tcW w:w="6477" w:type="dxa"/>
            <w:vAlign w:val="center"/>
          </w:tcPr>
          <w:p>
            <w:pPr>
              <w:spacing w:before="24" w:beforeLines="10" w:after="24" w:afterLines="10" w:line="240" w:lineRule="auto"/>
              <w:ind w:firstLine="0" w:firstLineChars="0"/>
              <w:jc w:val="left"/>
              <w:rPr>
                <w:rFonts w:hint="eastAsia" w:ascii="宋体" w:hAnsi="宋体" w:eastAsia="宋体" w:cs="宋体"/>
                <w:b/>
                <w:bCs w:val="0"/>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投标保证金的形式：转账、电汇、电子保函</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投标保证金的金额：8500元（捌仟伍佰元整）</w:t>
            </w:r>
          </w:p>
          <w:p>
            <w:pPr>
              <w:spacing w:before="24" w:beforeLines="10" w:after="24" w:afterLines="10" w:line="240" w:lineRule="auto"/>
              <w:ind w:firstLine="0" w:firstLineChars="0"/>
              <w:jc w:val="left"/>
              <w:rPr>
                <w:rFonts w:hint="eastAsia" w:ascii="宋体" w:hAnsi="宋体" w:eastAsia="宋体" w:cs="宋体"/>
                <w:b/>
                <w:bCs w:val="0"/>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投标保证金缴纳账户：</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1、开户银行：中国农业银行股份有限公司洛浦县支行；</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2、收款单位：洛浦县政务服务和公共资源交易中心；</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3、银行帐号：30581601040888887；</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4、行号:103896558162</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注：1.采用银行转账或电汇的方式的，由报名单位基本账户</w:t>
            </w:r>
            <w:r>
              <w:rPr>
                <w:rFonts w:hint="eastAsia" w:ascii="宋体" w:hAnsi="宋体" w:cs="宋体"/>
                <w:b w:val="0"/>
                <w:bCs/>
                <w:i w:val="0"/>
                <w:caps w:val="0"/>
                <w:color w:val="auto"/>
                <w:spacing w:val="0"/>
                <w:kern w:val="0"/>
                <w:sz w:val="24"/>
                <w:szCs w:val="24"/>
                <w:highlight w:val="none"/>
                <w:lang w:val="en-US" w:eastAsia="zh-CN" w:bidi="ar"/>
              </w:rPr>
              <w:t>或一般户</w:t>
            </w:r>
            <w:r>
              <w:rPr>
                <w:rFonts w:hint="eastAsia" w:ascii="宋体" w:hAnsi="宋体" w:eastAsia="宋体" w:cs="宋体"/>
                <w:b w:val="0"/>
                <w:bCs/>
                <w:i w:val="0"/>
                <w:caps w:val="0"/>
                <w:color w:val="auto"/>
                <w:spacing w:val="0"/>
                <w:kern w:val="0"/>
                <w:sz w:val="24"/>
                <w:szCs w:val="24"/>
                <w:highlight w:val="none"/>
                <w:lang w:val="en-US" w:eastAsia="zh-CN" w:bidi="ar"/>
              </w:rPr>
              <w:t>于投标保证金截止时间前（2023年</w:t>
            </w:r>
            <w:r>
              <w:rPr>
                <w:rFonts w:hint="eastAsia" w:ascii="宋体" w:hAnsi="宋体" w:cs="宋体"/>
                <w:b w:val="0"/>
                <w:bCs/>
                <w:i w:val="0"/>
                <w:caps w:val="0"/>
                <w:color w:val="auto"/>
                <w:spacing w:val="0"/>
                <w:kern w:val="0"/>
                <w:sz w:val="24"/>
                <w:szCs w:val="24"/>
                <w:highlight w:val="none"/>
                <w:lang w:val="en-US" w:eastAsia="zh-CN" w:bidi="ar"/>
              </w:rPr>
              <w:t>06月15日</w:t>
            </w:r>
            <w:r>
              <w:rPr>
                <w:rFonts w:hint="eastAsia" w:ascii="宋体" w:hAnsi="宋体" w:eastAsia="宋体" w:cs="宋体"/>
                <w:b w:val="0"/>
                <w:bCs/>
                <w:i w:val="0"/>
                <w:caps w:val="0"/>
                <w:color w:val="auto"/>
                <w:spacing w:val="0"/>
                <w:kern w:val="0"/>
                <w:sz w:val="24"/>
                <w:szCs w:val="24"/>
                <w:highlight w:val="none"/>
                <w:lang w:val="en-US" w:eastAsia="zh-CN" w:bidi="ar"/>
              </w:rPr>
              <w:t>11：00（北京时间））汇至洛浦县政府投资交易中心专用账户，不得以现金和其他形式缴纳，不得以分公司、办事处或其他机构的名义缴纳，报名单位在缴纳保证金时，需在进账凭证上明确资金用途、项目名称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，以便查对核实。投标保证金缴纳截止时间为递交投标文件截止时间，无须到洛浦县政府投资交易中心换取收据。</w:t>
            </w:r>
          </w:p>
          <w:p>
            <w:pPr>
              <w:spacing w:before="24" w:beforeLines="10" w:after="24" w:afterLines="10" w:line="240" w:lineRule="auto"/>
              <w:ind w:firstLine="0" w:firstLineChars="0"/>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保函投保金额(元)：8500</w:t>
            </w:r>
          </w:p>
          <w:p>
            <w:pPr>
              <w:pStyle w:val="48"/>
              <w:keepNext/>
              <w:keepLines w:val="0"/>
              <w:pageBreakBefore w:val="0"/>
              <w:widowControl w:val="0"/>
              <w:kinsoku/>
              <w:wordWrap/>
              <w:overflowPunct/>
              <w:topLinePunct w:val="0"/>
              <w:bidi w:val="0"/>
              <w:snapToGrid/>
              <w:spacing w:line="300" w:lineRule="exact"/>
              <w:ind w:right="0" w:rightChars="0"/>
              <w:jc w:val="both"/>
              <w:textAlignment w:val="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保函承保期限：2023年</w:t>
            </w:r>
            <w:r>
              <w:rPr>
                <w:rFonts w:hint="eastAsia" w:cs="宋体"/>
                <w:b w:val="0"/>
                <w:bCs/>
                <w:i w:val="0"/>
                <w:caps w:val="0"/>
                <w:color w:val="auto"/>
                <w:spacing w:val="0"/>
                <w:kern w:val="0"/>
                <w:sz w:val="24"/>
                <w:szCs w:val="24"/>
                <w:highlight w:val="none"/>
                <w:lang w:val="en-US" w:eastAsia="zh-CN" w:bidi="ar"/>
              </w:rPr>
              <w:t>06月15日</w:t>
            </w:r>
            <w:r>
              <w:rPr>
                <w:rFonts w:hint="eastAsia" w:ascii="宋体" w:hAnsi="宋体" w:eastAsia="宋体" w:cs="宋体"/>
                <w:b w:val="0"/>
                <w:bCs/>
                <w:i w:val="0"/>
                <w:caps w:val="0"/>
                <w:color w:val="auto"/>
                <w:spacing w:val="0"/>
                <w:kern w:val="0"/>
                <w:sz w:val="24"/>
                <w:szCs w:val="24"/>
                <w:highlight w:val="none"/>
                <w:lang w:val="en-US" w:eastAsia="zh-CN" w:bidi="ar"/>
              </w:rPr>
              <w:t>---- 2023年</w:t>
            </w:r>
            <w:r>
              <w:rPr>
                <w:rFonts w:hint="eastAsia" w:cs="宋体"/>
                <w:b w:val="0"/>
                <w:bCs/>
                <w:i w:val="0"/>
                <w:caps w:val="0"/>
                <w:color w:val="auto"/>
                <w:spacing w:val="0"/>
                <w:kern w:val="0"/>
                <w:sz w:val="24"/>
                <w:szCs w:val="24"/>
                <w:highlight w:val="none"/>
                <w:lang w:val="en-US" w:eastAsia="zh-CN" w:bidi="ar"/>
              </w:rPr>
              <w:t>10</w:t>
            </w:r>
            <w:r>
              <w:rPr>
                <w:rFonts w:hint="eastAsia" w:ascii="宋体" w:hAnsi="宋体" w:eastAsia="宋体" w:cs="宋体"/>
                <w:b w:val="0"/>
                <w:bCs/>
                <w:i w:val="0"/>
                <w:caps w:val="0"/>
                <w:color w:val="auto"/>
                <w:spacing w:val="0"/>
                <w:kern w:val="0"/>
                <w:sz w:val="24"/>
                <w:szCs w:val="24"/>
                <w:highlight w:val="none"/>
                <w:lang w:val="en-US" w:eastAsia="zh-CN" w:bidi="ar"/>
              </w:rPr>
              <w:t>月</w:t>
            </w:r>
            <w:r>
              <w:rPr>
                <w:rFonts w:hint="eastAsia" w:cs="宋体"/>
                <w:b w:val="0"/>
                <w:bCs/>
                <w:i w:val="0"/>
                <w:caps w:val="0"/>
                <w:color w:val="auto"/>
                <w:spacing w:val="0"/>
                <w:kern w:val="0"/>
                <w:sz w:val="24"/>
                <w:szCs w:val="24"/>
                <w:highlight w:val="none"/>
                <w:lang w:val="en-US" w:eastAsia="zh-CN" w:bidi="ar"/>
              </w:rPr>
              <w:t>15</w:t>
            </w:r>
            <w:r>
              <w:rPr>
                <w:rFonts w:hint="eastAsia" w:ascii="宋体" w:hAnsi="宋体" w:eastAsia="宋体" w:cs="宋体"/>
                <w:b w:val="0"/>
                <w:bCs/>
                <w:i w:val="0"/>
                <w:caps w:val="0"/>
                <w:color w:val="auto"/>
                <w:spacing w:val="0"/>
                <w:kern w:val="0"/>
                <w:sz w:val="24"/>
                <w:szCs w:val="24"/>
                <w:highlight w:val="none"/>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信用情况</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1、信用记录查询时间及方式：</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（1）查询时间：自招标公告发布日期起至开标日期止，超出此时间范围将被视为无效投标。</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（3）供应商参加政府采购活动时，应当就自己的诚信情况在响应性文件中进行承诺。</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13</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标前准备</w:t>
            </w:r>
          </w:p>
        </w:tc>
        <w:tc>
          <w:tcPr>
            <w:tcW w:w="6477"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本项目实行网上投标，采用电子投标文件。若供应商参与投标，自 行承担投标一切费用。</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各供应商应在开标前应确保成为新疆维吾尔自治区政府采购网正式注册入库供应商，并完成 CA 数字证书申领。因 未注册入库、未办理 CA 数字证书等原因造成无法投标或投标失败等后 果由供应商自行承担。</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color w:val="auto"/>
                <w:sz w:val="24"/>
                <w:szCs w:val="24"/>
                <w:highlight w:val="none"/>
              </w:rPr>
              <w:t xml:space="preserve">3、本项目为电子招投标，投标人需要使用 CA 加 密设备，有意向参与新疆区域电子开评标的供应商，请访问新疆数字证书认证中心官方网站（https://www.xjca.com.cn/）或下载 新疆政务 通 ;APP 自 行 进 行 申 领 。 如 需 咨 询 ， 请 联 系 新 疆 CA 服 务 热 线 0991-28192904、供应商将政采云电子交易客户端下载、安装完成后， 可通过账号密码或 CA 登录客户端进行投标文件制作。在使用政采云投 标客户端时，建议使用 WIN7 及以上操作系统。客户端请至新疆政府采 购网（https://www.zcygov.cn/）下载专区查看，如有问题可拨打政采云客户服务热线 </w:t>
            </w:r>
            <w:r>
              <w:rPr>
                <w:rFonts w:hint="eastAsia" w:ascii="宋体" w:hAnsi="宋体" w:eastAsia="宋体" w:cs="宋体"/>
                <w:b/>
                <w:bCs w:val="0"/>
                <w:color w:val="auto"/>
                <w:sz w:val="24"/>
                <w:szCs w:val="24"/>
                <w:highlight w:val="none"/>
                <w:lang w:eastAsia="zh-CN"/>
              </w:rPr>
              <w:t>95763</w:t>
            </w:r>
            <w:r>
              <w:rPr>
                <w:rFonts w:hint="eastAsia" w:ascii="宋体" w:hAnsi="宋体" w:eastAsia="宋体" w:cs="宋体"/>
                <w:b/>
                <w:bCs w:val="0"/>
                <w:color w:val="auto"/>
                <w:sz w:val="24"/>
                <w:szCs w:val="24"/>
                <w:highlight w:val="none"/>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14</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资金来源</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政府自筹资金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15</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投标有效期</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招标文件发放</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i w:val="0"/>
                <w:caps w:val="0"/>
                <w:color w:val="auto"/>
                <w:spacing w:val="0"/>
                <w:kern w:val="0"/>
                <w:sz w:val="24"/>
                <w:szCs w:val="24"/>
                <w:highlight w:val="none"/>
                <w:lang w:val="en-US" w:eastAsia="zh-CN" w:bidi="ar"/>
              </w:rPr>
              <w:t>供应商登陆政采云平台</w:t>
            </w:r>
            <w:r>
              <w:rPr>
                <w:rFonts w:hint="eastAsia" w:ascii="宋体" w:hAnsi="宋体" w:eastAsia="宋体" w:cs="宋体"/>
                <w:b/>
                <w:bCs w:val="0"/>
                <w:i w:val="0"/>
                <w:caps w:val="0"/>
                <w:color w:val="auto"/>
                <w:spacing w:val="0"/>
                <w:kern w:val="0"/>
                <w:sz w:val="24"/>
                <w:szCs w:val="24"/>
                <w:highlight w:val="none"/>
                <w:lang w:val="en-US" w:eastAsia="zh-CN" w:bidi="ar"/>
              </w:rPr>
              <w:fldChar w:fldCharType="begin"/>
            </w:r>
            <w:r>
              <w:rPr>
                <w:rFonts w:hint="eastAsia" w:ascii="宋体" w:hAnsi="宋体" w:eastAsia="宋体" w:cs="宋体"/>
                <w:b/>
                <w:bCs w:val="0"/>
                <w:i w:val="0"/>
                <w:caps w:val="0"/>
                <w:color w:val="auto"/>
                <w:spacing w:val="0"/>
                <w:kern w:val="0"/>
                <w:sz w:val="24"/>
                <w:szCs w:val="24"/>
                <w:highlight w:val="none"/>
                <w:lang w:val="en-US" w:eastAsia="zh-CN" w:bidi="ar"/>
              </w:rPr>
              <w:instrText xml:space="preserve"> HYPERLINK "https://www.zcygov.cn/" </w:instrText>
            </w:r>
            <w:r>
              <w:rPr>
                <w:rFonts w:hint="eastAsia" w:ascii="宋体" w:hAnsi="宋体" w:eastAsia="宋体" w:cs="宋体"/>
                <w:b/>
                <w:bCs w:val="0"/>
                <w:i w:val="0"/>
                <w:caps w:val="0"/>
                <w:color w:val="auto"/>
                <w:spacing w:val="0"/>
                <w:kern w:val="0"/>
                <w:sz w:val="24"/>
                <w:szCs w:val="24"/>
                <w:highlight w:val="none"/>
                <w:lang w:val="en-US" w:eastAsia="zh-CN" w:bidi="ar"/>
              </w:rPr>
              <w:fldChar w:fldCharType="separate"/>
            </w:r>
            <w:r>
              <w:rPr>
                <w:rFonts w:hint="eastAsia" w:ascii="宋体" w:hAnsi="宋体" w:eastAsia="宋体" w:cs="宋体"/>
                <w:b/>
                <w:bCs w:val="0"/>
                <w:i w:val="0"/>
                <w:caps w:val="0"/>
                <w:color w:val="auto"/>
                <w:spacing w:val="0"/>
                <w:kern w:val="0"/>
                <w:sz w:val="24"/>
                <w:szCs w:val="24"/>
                <w:highlight w:val="none"/>
                <w:lang w:val="en-US" w:eastAsia="zh-CN" w:bidi="ar"/>
              </w:rPr>
              <w:t>https://www.zcygov.cn/</w:t>
            </w:r>
            <w:r>
              <w:rPr>
                <w:rFonts w:hint="eastAsia" w:ascii="宋体" w:hAnsi="宋体" w:eastAsia="宋体" w:cs="宋体"/>
                <w:b/>
                <w:bCs w:val="0"/>
                <w:i w:val="0"/>
                <w:caps w:val="0"/>
                <w:color w:val="auto"/>
                <w:spacing w:val="0"/>
                <w:kern w:val="0"/>
                <w:sz w:val="24"/>
                <w:szCs w:val="24"/>
                <w:highlight w:val="none"/>
                <w:lang w:val="en-US" w:eastAsia="zh-CN" w:bidi="ar"/>
              </w:rPr>
              <w:fldChar w:fldCharType="end"/>
            </w:r>
            <w:r>
              <w:rPr>
                <w:rFonts w:hint="eastAsia" w:ascii="宋体" w:hAnsi="宋体" w:eastAsia="宋体" w:cs="宋体"/>
                <w:b/>
                <w:bCs w:val="0"/>
                <w:i w:val="0"/>
                <w:caps w:val="0"/>
                <w:color w:val="auto"/>
                <w:spacing w:val="0"/>
                <w:kern w:val="0"/>
                <w:sz w:val="24"/>
                <w:szCs w:val="24"/>
                <w:highlight w:val="none"/>
                <w:lang w:val="en-US" w:eastAsia="zh-CN" w:bidi="ar"/>
              </w:rPr>
              <w:t>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17</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投标截止时间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2023年</w:t>
            </w:r>
            <w:r>
              <w:rPr>
                <w:rFonts w:hint="eastAsia" w:ascii="宋体" w:hAnsi="宋体" w:cs="宋体"/>
                <w:b w:val="0"/>
                <w:bCs/>
                <w:i w:val="0"/>
                <w:caps w:val="0"/>
                <w:color w:val="auto"/>
                <w:spacing w:val="0"/>
                <w:kern w:val="0"/>
                <w:sz w:val="24"/>
                <w:szCs w:val="24"/>
                <w:highlight w:val="none"/>
                <w:lang w:val="en-US" w:eastAsia="zh-CN" w:bidi="ar"/>
              </w:rPr>
              <w:t>06月15日</w:t>
            </w:r>
            <w:r>
              <w:rPr>
                <w:rFonts w:hint="eastAsia" w:ascii="宋体" w:hAnsi="宋体" w:eastAsia="宋体" w:cs="宋体"/>
                <w:b w:val="0"/>
                <w:bCs/>
                <w:i w:val="0"/>
                <w:caps w:val="0"/>
                <w:color w:val="auto"/>
                <w:spacing w:val="0"/>
                <w:kern w:val="0"/>
                <w:sz w:val="24"/>
                <w:szCs w:val="24"/>
                <w:highlight w:val="none"/>
                <w:lang w:val="en-US" w:eastAsia="zh-CN" w:bidi="ar"/>
              </w:rPr>
              <w:t>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18</w:t>
            </w:r>
          </w:p>
        </w:tc>
        <w:tc>
          <w:tcPr>
            <w:tcW w:w="1980"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递交投标文件的地点及方式</w:t>
            </w:r>
          </w:p>
        </w:tc>
        <w:tc>
          <w:tcPr>
            <w:tcW w:w="6477" w:type="dxa"/>
            <w:vAlign w:val="center"/>
          </w:tcPr>
          <w:p>
            <w:pPr>
              <w:spacing w:line="360" w:lineRule="auto"/>
              <w:jc w:val="left"/>
              <w:rPr>
                <w:rFonts w:hint="eastAsia" w:ascii="Times New Roman" w:hAnsi="Times New Roman" w:eastAsia="宋体" w:cs="Times New Roman"/>
                <w:b/>
                <w:bCs w:val="0"/>
                <w:kern w:val="2"/>
                <w:sz w:val="24"/>
                <w:szCs w:val="22"/>
                <w:lang w:val="en-US" w:eastAsia="zh-CN" w:bidi="ar-SA"/>
              </w:rPr>
            </w:pPr>
            <w:r>
              <w:rPr>
                <w:rFonts w:hint="eastAsia" w:ascii="Times New Roman" w:hAnsi="Times New Roman" w:eastAsia="宋体" w:cs="Times New Roman"/>
                <w:b/>
                <w:bCs w:val="0"/>
                <w:kern w:val="2"/>
                <w:sz w:val="24"/>
                <w:szCs w:val="22"/>
                <w:lang w:val="en-US" w:eastAsia="zh-CN" w:bidi="ar-SA"/>
              </w:rPr>
              <w:t>开标地点：洛浦县政府投资交易中心三楼</w:t>
            </w:r>
          </w:p>
          <w:p>
            <w:pPr>
              <w:spacing w:line="360" w:lineRule="auto"/>
              <w:jc w:val="left"/>
              <w:rPr>
                <w:rFonts w:hint="eastAsia" w:ascii="Times New Roman" w:hAnsi="Times New Roman" w:eastAsia="宋体" w:cs="Times New Roman"/>
                <w:b/>
                <w:bCs w:val="0"/>
                <w:kern w:val="2"/>
                <w:sz w:val="24"/>
                <w:szCs w:val="22"/>
                <w:lang w:val="en-US" w:eastAsia="zh-CN" w:bidi="ar-SA"/>
              </w:rPr>
            </w:pPr>
            <w:r>
              <w:rPr>
                <w:rFonts w:hint="eastAsia" w:ascii="Times New Roman" w:hAnsi="Times New Roman" w:eastAsia="宋体" w:cs="Times New Roman"/>
                <w:b/>
                <w:bCs w:val="0"/>
                <w:kern w:val="2"/>
                <w:sz w:val="24"/>
                <w:szCs w:val="22"/>
                <w:lang w:val="en-US" w:eastAsia="zh-CN" w:bidi="ar-SA"/>
              </w:rPr>
              <w:t>递交投标文件的地点及方式：投标人应2023年06月15日11</w:t>
            </w:r>
            <w:r>
              <w:rPr>
                <w:rFonts w:hint="eastAsia"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00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95763。</w:t>
            </w:r>
          </w:p>
          <w:p>
            <w:pPr>
              <w:pStyle w:val="2"/>
              <w:rPr>
                <w:rFonts w:hint="eastAsia"/>
                <w:lang w:val="en-US" w:eastAsia="zh-CN"/>
              </w:rPr>
            </w:pPr>
          </w:p>
          <w:p>
            <w:pPr>
              <w:pStyle w:val="2"/>
              <w:rPr>
                <w:rFonts w:hint="eastAsia"/>
                <w:lang w:val="en-US" w:eastAsia="zh-CN"/>
              </w:rPr>
            </w:pPr>
            <w:r>
              <w:rPr>
                <w:rFonts w:hint="eastAsia" w:ascii="Times New Roman" w:hAnsi="Times New Roman" w:eastAsia="宋体" w:cs="Times New Roman"/>
                <w:b/>
                <w:bCs w:val="0"/>
                <w:kern w:val="2"/>
                <w:sz w:val="24"/>
                <w:szCs w:val="22"/>
                <w:lang w:val="en-US" w:eastAsia="zh-CN" w:bidi="ar-SA"/>
              </w:rPr>
              <w:t>投标文件：开标结束后各投标人将上传政府采购网的投标文件使用A4纸胶装成册（1正2副）电子版</w:t>
            </w:r>
            <w:r>
              <w:rPr>
                <w:rFonts w:hint="eastAsia" w:ascii="Times New Roman" w:hAnsi="Times New Roman" w:cs="Times New Roman"/>
                <w:b/>
                <w:bCs w:val="0"/>
                <w:kern w:val="2"/>
                <w:sz w:val="24"/>
                <w:szCs w:val="22"/>
                <w:lang w:val="en-US" w:eastAsia="zh-CN" w:bidi="ar-SA"/>
              </w:rPr>
              <w:t>投标</w:t>
            </w:r>
            <w:r>
              <w:rPr>
                <w:rFonts w:hint="eastAsia" w:ascii="Times New Roman" w:hAnsi="Times New Roman" w:eastAsia="宋体" w:cs="Times New Roman"/>
                <w:b/>
                <w:bCs w:val="0"/>
                <w:kern w:val="2"/>
                <w:sz w:val="24"/>
                <w:szCs w:val="22"/>
                <w:lang w:val="en-US" w:eastAsia="zh-CN" w:bidi="ar-SA"/>
              </w:rPr>
              <w:t>文件</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U盘一份</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递交或邮寄至</w:t>
            </w:r>
            <w:r>
              <w:rPr>
                <w:rFonts w:hint="eastAsia" w:ascii="Times New Roman" w:hAnsi="Times New Roman" w:cs="Times New Roman"/>
                <w:b/>
                <w:bCs w:val="0"/>
                <w:kern w:val="2"/>
                <w:sz w:val="24"/>
                <w:szCs w:val="22"/>
                <w:lang w:val="en-US" w:eastAsia="zh-CN" w:bidi="ar-SA"/>
              </w:rPr>
              <w:t>新疆金誉达项目管理有限公司（</w:t>
            </w:r>
            <w:r>
              <w:rPr>
                <w:rFonts w:hint="eastAsia" w:ascii="Times New Roman" w:hAnsi="Times New Roman" w:eastAsia="宋体" w:cs="Times New Roman"/>
                <w:b/>
                <w:bCs w:val="0"/>
                <w:kern w:val="2"/>
                <w:sz w:val="24"/>
                <w:szCs w:val="22"/>
                <w:lang w:val="en-US" w:eastAsia="zh-CN" w:bidi="ar-SA"/>
              </w:rPr>
              <w:t xml:space="preserve">和田市古江南路180号新疆和中昆仑矿业有限公司5楼 </w:t>
            </w:r>
            <w:r>
              <w:rPr>
                <w:rFonts w:hint="eastAsia" w:ascii="Times New Roman" w:hAnsi="Times New Roman" w:cs="Times New Roman"/>
                <w:b/>
                <w:bCs w:val="0"/>
                <w:kern w:val="2"/>
                <w:sz w:val="24"/>
                <w:szCs w:val="22"/>
                <w:lang w:val="en-US" w:eastAsia="zh-CN" w:bidi="ar-SA"/>
              </w:rPr>
              <w:t>）</w:t>
            </w:r>
            <w:r>
              <w:rPr>
                <w:rFonts w:hint="eastAsia" w:ascii="Times New Roman" w:hAnsi="Times New Roman" w:eastAsia="宋体" w:cs="Times New Roman"/>
                <w:b/>
                <w:bCs w:val="0"/>
                <w:kern w:val="2"/>
                <w:sz w:val="24"/>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19</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投标文件解密时间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bCs w:val="0"/>
                <w:color w:val="auto"/>
                <w:sz w:val="21"/>
                <w:szCs w:val="21"/>
                <w:highlight w:val="none"/>
              </w:rPr>
              <w:t>开标时间后</w:t>
            </w:r>
            <w:r>
              <w:rPr>
                <w:rFonts w:hint="eastAsia" w:ascii="宋体" w:hAnsi="宋体" w:eastAsia="宋体" w:cs="宋体"/>
                <w:b/>
                <w:bCs w:val="0"/>
                <w:color w:val="auto"/>
                <w:sz w:val="21"/>
                <w:szCs w:val="21"/>
                <w:highlight w:val="none"/>
                <w:lang w:val="en-US" w:eastAsia="zh-CN"/>
              </w:rPr>
              <w:t>60分钟</w:t>
            </w:r>
            <w:r>
              <w:rPr>
                <w:rFonts w:hint="eastAsia" w:ascii="宋体" w:hAnsi="宋体" w:eastAsia="宋体" w:cs="宋体"/>
                <w:b/>
                <w:bCs w:val="0"/>
                <w:color w:val="auto"/>
                <w:sz w:val="21"/>
                <w:szCs w:val="21"/>
                <w:highlight w:val="none"/>
              </w:rPr>
              <w:t>内（</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06月15日</w:t>
            </w:r>
            <w:r>
              <w:rPr>
                <w:rFonts w:hint="eastAsia" w:ascii="宋体" w:hAnsi="宋体" w:eastAsia="宋体" w:cs="宋体"/>
                <w:b/>
                <w:bCs w:val="0"/>
                <w:color w:val="auto"/>
                <w:sz w:val="21"/>
                <w:szCs w:val="21"/>
                <w:highlight w:val="none"/>
                <w:lang w:eastAsia="zh-CN"/>
              </w:rPr>
              <w:t>上</w:t>
            </w:r>
            <w:r>
              <w:rPr>
                <w:rFonts w:hint="eastAsia" w:ascii="宋体" w:hAnsi="宋体" w:eastAsia="宋体" w:cs="宋体"/>
                <w:b/>
                <w:bCs w:val="0"/>
                <w:color w:val="auto"/>
                <w:sz w:val="21"/>
                <w:szCs w:val="21"/>
                <w:highlight w:val="none"/>
              </w:rPr>
              <w:t>午</w:t>
            </w:r>
            <w:r>
              <w:rPr>
                <w:rFonts w:hint="eastAsia" w:ascii="宋体" w:hAnsi="宋体" w:eastAsia="宋体" w:cs="宋体"/>
                <w:b/>
                <w:bCs w:val="0"/>
                <w:color w:val="auto"/>
                <w:sz w:val="21"/>
                <w:szCs w:val="21"/>
                <w:highlight w:val="none"/>
                <w:lang w:val="en-US" w:eastAsia="zh-CN"/>
              </w:rPr>
              <w:t>11</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00-12：00</w:t>
            </w:r>
            <w:r>
              <w:rPr>
                <w:rFonts w:hint="eastAsia" w:ascii="宋体" w:hAnsi="宋体" w:eastAsia="宋体" w:cs="宋体"/>
                <w:b/>
                <w:bCs w:val="0"/>
                <w:color w:val="auto"/>
                <w:sz w:val="21"/>
                <w:szCs w:val="21"/>
                <w:highlight w:val="none"/>
              </w:rPr>
              <w:t>前）供应商可以登录“政采云”平台，用“项目采购-开标评标”功能进行解密投标文件。若供应商在规定时间内（</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06月15日</w:t>
            </w:r>
            <w:r>
              <w:rPr>
                <w:rFonts w:hint="eastAsia" w:ascii="宋体" w:hAnsi="宋体" w:eastAsia="宋体" w:cs="宋体"/>
                <w:b/>
                <w:bCs w:val="0"/>
                <w:color w:val="auto"/>
                <w:sz w:val="21"/>
                <w:szCs w:val="21"/>
                <w:highlight w:val="none"/>
                <w:lang w:eastAsia="zh-CN"/>
              </w:rPr>
              <w:t>上</w:t>
            </w:r>
            <w:r>
              <w:rPr>
                <w:rFonts w:hint="eastAsia" w:ascii="宋体" w:hAnsi="宋体" w:eastAsia="宋体" w:cs="宋体"/>
                <w:b/>
                <w:bCs w:val="0"/>
                <w:color w:val="auto"/>
                <w:sz w:val="21"/>
                <w:szCs w:val="21"/>
                <w:highlight w:val="none"/>
              </w:rPr>
              <w:t>午</w:t>
            </w:r>
            <w:r>
              <w:rPr>
                <w:rFonts w:hint="eastAsia" w:ascii="宋体" w:hAnsi="宋体" w:eastAsia="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00</w:t>
            </w:r>
            <w:r>
              <w:rPr>
                <w:rFonts w:hint="eastAsia" w:ascii="宋体" w:hAnsi="宋体" w:eastAsia="宋体" w:cs="宋体"/>
                <w:b/>
                <w:bCs w:val="0"/>
                <w:color w:val="auto"/>
                <w:sz w:val="21"/>
                <w:szCs w:val="21"/>
                <w:highlight w:val="none"/>
              </w:rPr>
              <w:t>前）未按时解密的，视为投标文件撤回。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20</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备选投标方案和报价</w:t>
            </w:r>
          </w:p>
        </w:tc>
        <w:tc>
          <w:tcPr>
            <w:tcW w:w="6477" w:type="dxa"/>
            <w:vAlign w:val="center"/>
          </w:tcPr>
          <w:p>
            <w:pPr>
              <w:adjustRightInd w:val="0"/>
              <w:snapToGrid w:val="0"/>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21</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采购预算金额</w:t>
            </w:r>
          </w:p>
        </w:tc>
        <w:tc>
          <w:tcPr>
            <w:tcW w:w="6477" w:type="dxa"/>
            <w:vAlign w:val="center"/>
          </w:tcPr>
          <w:p>
            <w:pPr>
              <w:pStyle w:val="2"/>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采购预算价：850000.00元，最高限价：850000.00元；</w:t>
            </w:r>
          </w:p>
          <w:p>
            <w:pPr>
              <w:pStyle w:val="2"/>
              <w:rPr>
                <w:rFonts w:hint="eastAsia" w:ascii="宋体" w:hAnsi="宋体" w:eastAsia="宋体" w:cs="宋体"/>
                <w:color w:val="auto"/>
                <w:lang w:val="en-US" w:eastAsia="zh-CN"/>
              </w:rPr>
            </w:pPr>
            <w:r>
              <w:rPr>
                <w:rFonts w:hint="eastAsia" w:ascii="宋体" w:hAnsi="宋体" w:eastAsia="宋体" w:cs="宋体"/>
                <w:b w:val="0"/>
                <w:bCs/>
                <w:i w:val="0"/>
                <w:caps w:val="0"/>
                <w:color w:val="auto"/>
                <w:spacing w:val="0"/>
                <w:kern w:val="0"/>
                <w:sz w:val="24"/>
                <w:szCs w:val="24"/>
                <w:highlight w:val="none"/>
                <w:lang w:val="en-US" w:eastAsia="zh-CN" w:bidi="ar"/>
              </w:rPr>
              <w:t>高于采购最高限价的报价视为无效报价，作否决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含为完成采购文件规定的服务工作所涉及到的一切相关费用），包括完成该项目采购需求范围内服务、第三方服务等全部内容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投标报价</w:t>
            </w:r>
          </w:p>
        </w:tc>
        <w:tc>
          <w:tcPr>
            <w:tcW w:w="6477" w:type="dxa"/>
            <w:vAlign w:val="center"/>
          </w:tcPr>
          <w:p>
            <w:pPr>
              <w:numPr>
                <w:ilvl w:val="0"/>
                <w:numId w:val="0"/>
              </w:num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针对响应文件的商务、技术和价格等内容进行磋商并提交二次报价，最终报价以二次报价为准（二次报价不得高于一次报价，否则以否决投标处理）。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23</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评标办法</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24</w:t>
            </w:r>
          </w:p>
        </w:tc>
        <w:tc>
          <w:tcPr>
            <w:tcW w:w="1980" w:type="dxa"/>
            <w:vAlign w:val="center"/>
          </w:tcPr>
          <w:p>
            <w:pPr>
              <w:spacing w:line="340" w:lineRule="exact"/>
              <w:jc w:val="center"/>
              <w:rPr>
                <w:rFonts w:hint="default" w:ascii="宋体" w:hAnsi="宋体" w:eastAsia="宋体" w:cs="宋体"/>
                <w:b w:val="0"/>
                <w:bCs/>
                <w:i w:val="0"/>
                <w:caps w:val="0"/>
                <w:color w:val="auto"/>
                <w:spacing w:val="0"/>
                <w:kern w:val="0"/>
                <w:sz w:val="24"/>
                <w:szCs w:val="24"/>
                <w:highlight w:val="none"/>
                <w:lang w:val="en-US" w:eastAsia="zh-CN" w:bidi="ar"/>
              </w:rPr>
            </w:pPr>
            <w:r>
              <w:rPr>
                <w:rFonts w:hint="eastAsia" w:ascii="宋体" w:hAnsi="宋体" w:cs="宋体"/>
                <w:color w:val="auto"/>
                <w:sz w:val="24"/>
                <w:szCs w:val="24"/>
                <w:highlight w:val="none"/>
                <w:lang w:val="en-US" w:eastAsia="zh-CN"/>
              </w:rPr>
              <w:t>磋商小组</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eastAsia="zh-CN"/>
              </w:rPr>
              <w:t>构成：3人组成，其中采购人代表1人和专家评委2人；评标专家确定方式：由招标代理在开标前48小时在政采云专家库中随机抽取此次评标专家。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75"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w:t>
            </w:r>
          </w:p>
        </w:tc>
        <w:tc>
          <w:tcPr>
            <w:tcW w:w="1980"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是否接受联合体投标</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26</w:t>
            </w:r>
          </w:p>
        </w:tc>
        <w:tc>
          <w:tcPr>
            <w:tcW w:w="1980"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踏勘现场</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27</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履约保证金</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履约保证金形式：支票、汇票、本票、或者金融机构、担保机构出具的保函、等非现金形式提交（履约赔付地点为项目所在地）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28</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不予退还保证金的情形</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有下列情形之一的，保证金不予退还：</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（1）投标人在投标有效期内撤回投标文件的；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（2）投标人在投标过程中弄虚作假，提供虚假材料的；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（3）中标人无正当理由不与招标人签订合同的；</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（4）其他严重扰乱招投标程序的。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29</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政府采购政策支持</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1.本项目全面面向中小企业。</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注：参加本项目的中小企业须提供《中小企业声明函》（附件），未提供的不视为中小企业。中小企业按《政府采购促进中小企业发展暂行办法》（财库〔2020〕46号）和《工业和信息化部、国家统计局、国家发展和改革委员会、财政部关于印发&lt;中小企业划型标准规定&gt;的通知》（工信部联企业【2011】300号）文件规定标准确认。监狱企业、残疾人福利性单位视同为小微企业。</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2.本项目中小企业划分标准为：其他未列明行业，从业人员300人以下的为中小微型企业。其中，从业人员100人及以上的为中型企业；从业人员10人及以上的为小型企业；从业人员10人以下的为微型企业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30</w:t>
            </w:r>
          </w:p>
        </w:tc>
        <w:tc>
          <w:tcPr>
            <w:tcW w:w="1980" w:type="dxa"/>
            <w:vAlign w:val="center"/>
          </w:tcPr>
          <w:p>
            <w:pPr>
              <w:adjustRightInd w:val="0"/>
              <w:snapToGrid w:val="0"/>
              <w:spacing w:line="36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招标代理服务费</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1、收取方式：现金或银行转账。</w:t>
            </w:r>
          </w:p>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2、收取标准：以中标金额为基数，参照国家发改委[2011]534号文、[2015]299号文作为协商价格的基础收取，经协商本次招标代理费由中标人领取中标通知书前一次性向采购代理机构支付。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31</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供应商对招标文件提出质疑的时间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提出质疑函的时限：对采购文件提出质疑的，应当在获取采购文件或者采购文件公告期限届满之日起7个工作日内提出。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rPr>
              <w:t>其他说明</w:t>
            </w:r>
          </w:p>
        </w:tc>
        <w:tc>
          <w:tcPr>
            <w:tcW w:w="6477" w:type="dxa"/>
            <w:vAlign w:val="center"/>
          </w:tcPr>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特别提醒：</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1、所有供应商的报价高于采购预算额度视为无效报价（即作否决投标处理）。</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2、为保证本项目服务质量，良好的售后服务；最低报价不作为中标的唯一依据。</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所有供应商的报价明显低于其他投标报价或者在设有标底时明显低于标底，使得其投标报价可能低于其个别成本的，应当要求该供应商作出书面说明并提供相应证明材料。供应商不能合理或者不能提供相应证明材料的，由评标委员会认定该供应商以低于成本报价竞标，其投标视为无效标处理。</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4、更正补充公告请自行登录新疆政府采购网查看下载。</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5、招标文件中部分加“*”、“★”、加粗、加下划线为招标的实质性要求和条件，着重提醒各投标人注意，并认真查看招标文件中的每一个条款及要求，因误读招标文件而造成的后果，招标人概不负责。</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7、投标供应商制作投标文件的CA锁必须和开标解密的CA锁为同一把锁，在解密过程中因为CA锁不同而导致解密失败的，由投标供应商自行承担。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33</w:t>
            </w:r>
          </w:p>
        </w:tc>
        <w:tc>
          <w:tcPr>
            <w:tcW w:w="1980" w:type="dxa"/>
            <w:vAlign w:val="center"/>
          </w:tcPr>
          <w:p>
            <w:pPr>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重要提示</w:t>
            </w:r>
          </w:p>
        </w:tc>
        <w:tc>
          <w:tcPr>
            <w:tcW w:w="6477" w:type="dxa"/>
            <w:vAlign w:val="center"/>
          </w:tcPr>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（4）中标供应商中标后被监管部门查实存在违法行为，不满足中标条件的，由采购人取消中标资格，并做好项目后续工作； </w:t>
            </w:r>
          </w:p>
          <w:p>
            <w:pPr>
              <w:spacing w:line="34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shd w:val="clear" w:color="auto" w:fill="auto"/>
              <w:ind w:left="120" w:leftChars="0" w:right="62" w:rightChars="0" w:hanging="120" w:hangingChars="5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质疑</w:t>
            </w:r>
          </w:p>
        </w:tc>
        <w:tc>
          <w:tcPr>
            <w:tcW w:w="8457" w:type="dxa"/>
            <w:gridSpan w:val="2"/>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shd w:val="clear" w:color="auto" w:fill="auto"/>
              <w:ind w:left="120" w:leftChars="0" w:right="62" w:rightChars="0" w:hanging="120" w:hangingChars="50"/>
              <w:jc w:val="cente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投诉</w:t>
            </w:r>
          </w:p>
        </w:tc>
        <w:tc>
          <w:tcPr>
            <w:tcW w:w="8457" w:type="dxa"/>
            <w:gridSpan w:val="2"/>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leftChars="0" w:right="0" w:rightChars="0" w:firstLine="482"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注：根据《中华人民共和国政府采购法实施条例》的规定，供应商投诉事项不得超出已质疑事项的范围。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732" w:type="dxa"/>
            <w:gridSpan w:val="3"/>
            <w:vAlign w:val="center"/>
          </w:tcPr>
          <w:p>
            <w:pPr>
              <w:spacing w:line="440" w:lineRule="exac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提示：（1）投标人认为竞争性磋商文件使自己的权益受到损害的，可以自获取竞争性磋商文件之日或者采购公告期限届满之日（公告期限届满后获取竞争性磋商文件的，以公告期限届满之日为准）起7个工作日内，以书面形式向采购人和采购代理机构提出质疑。对未按上述方式获取竞争性磋商文件的投标人对该文件提出的质疑，采购人或采购代理机构将不予处理。</w:t>
            </w:r>
          </w:p>
          <w:p>
            <w:pPr>
              <w:spacing w:line="440" w:lineRule="exact"/>
              <w:rPr>
                <w:rFonts w:hint="eastAsia" w:ascii="宋体" w:hAnsi="宋体" w:eastAsia="宋体" w:cs="宋体"/>
                <w:b w:val="0"/>
                <w:bCs/>
                <w:i w:val="0"/>
                <w:caps w:val="0"/>
                <w:color w:val="auto"/>
                <w:spacing w:val="0"/>
                <w:kern w:val="0"/>
                <w:sz w:val="24"/>
                <w:szCs w:val="24"/>
                <w:highlight w:val="none"/>
                <w:lang w:val="en-US" w:eastAsia="zh-CN" w:bidi="ar"/>
              </w:rPr>
            </w:pPr>
            <w:r>
              <w:rPr>
                <w:rFonts w:hint="eastAsia" w:ascii="宋体" w:hAnsi="宋体" w:eastAsia="宋体" w:cs="宋体"/>
                <w:b w:val="0"/>
                <w:bCs/>
                <w:i w:val="0"/>
                <w:caps w:val="0"/>
                <w:color w:val="auto"/>
                <w:spacing w:val="0"/>
                <w:kern w:val="0"/>
                <w:sz w:val="24"/>
                <w:szCs w:val="24"/>
                <w:highlight w:val="none"/>
                <w:lang w:val="en-US" w:eastAsia="zh-CN" w:bidi="ar"/>
              </w:rPr>
              <w:t>（2）更正补充公告请自行登录新疆政府采购网查看下载。</w:t>
            </w:r>
          </w:p>
        </w:tc>
      </w:tr>
    </w:tbl>
    <w:p>
      <w:pPr>
        <w:rPr>
          <w:rFonts w:hint="eastAsia" w:ascii="宋体" w:hAnsi="宋体" w:eastAsia="宋体" w:cs="宋体"/>
          <w:color w:val="auto"/>
          <w:sz w:val="28"/>
          <w:szCs w:val="28"/>
          <w:highlight w:val="none"/>
        </w:rPr>
      </w:pPr>
      <w:bookmarkStart w:id="33" w:name="_Toc298240405"/>
      <w:bookmarkStart w:id="34" w:name="_Toc527642952"/>
      <w:bookmarkStart w:id="35" w:name="_Toc349637920"/>
      <w:bookmarkStart w:id="36" w:name="_Toc349573121"/>
      <w:bookmarkStart w:id="37" w:name="_Toc267301282"/>
      <w:r>
        <w:rPr>
          <w:rFonts w:hint="eastAsia" w:ascii="宋体" w:hAnsi="宋体" w:eastAsia="宋体" w:cs="宋体"/>
          <w:color w:val="auto"/>
          <w:sz w:val="24"/>
          <w:szCs w:val="24"/>
          <w:highlight w:val="none"/>
        </w:rPr>
        <w:br w:type="page"/>
      </w:r>
    </w:p>
    <w:p>
      <w:pPr>
        <w:pStyle w:val="4"/>
        <w:spacing w:before="100" w:beforeAutospacing="1" w:after="100" w:afterAutospacing="1" w:line="400" w:lineRule="atLeast"/>
        <w:ind w:firstLine="3092" w:firstLineChars="11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  说　明</w:t>
      </w:r>
      <w:bookmarkEnd w:id="33"/>
      <w:bookmarkEnd w:id="34"/>
      <w:bookmarkEnd w:id="35"/>
      <w:bookmarkEnd w:id="36"/>
      <w:bookmarkEnd w:id="37"/>
    </w:p>
    <w:p>
      <w:p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适用范围</w:t>
      </w:r>
    </w:p>
    <w:p>
      <w:pPr>
        <w:numPr>
          <w:ilvl w:val="1"/>
          <w:numId w:val="4"/>
        </w:num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文件仅适用于本投标中所述的</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招标项目。</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2、投标人资格要求：</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1.供应商必须符合《中华人民共和国政府采购法》第二十二条规定：</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（1）经年审合格（三证合一）的营业执照；</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eastAsia="zh-CN"/>
        </w:rPr>
        <w:t>具有有效期内的乙级及以上测绘资质(专业范围包含地理信息系统工程)</w:t>
      </w:r>
      <w:r>
        <w:rPr>
          <w:rFonts w:hint="eastAsia" w:ascii="宋体" w:hAnsi="宋体" w:eastAsia="宋体" w:cs="宋体"/>
          <w:color w:val="auto"/>
          <w:sz w:val="28"/>
          <w:szCs w:val="28"/>
          <w:highlight w:val="none"/>
        </w:rPr>
        <w:t>；</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cs="宋体"/>
          <w:color w:val="auto"/>
          <w:sz w:val="28"/>
          <w:szCs w:val="28"/>
          <w:highlight w:val="none"/>
          <w:lang w:eastAsia="zh-CN"/>
        </w:rPr>
        <w:t>提供法人（指本单位）2023年2月至2023年4月单</w:t>
      </w:r>
      <w:r>
        <w:rPr>
          <w:rFonts w:hint="eastAsia" w:ascii="宋体" w:hAnsi="宋体" w:eastAsia="宋体" w:cs="宋体"/>
          <w:color w:val="auto"/>
          <w:sz w:val="28"/>
          <w:szCs w:val="28"/>
          <w:highlight w:val="none"/>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（5）具有良好的商业信誉和健全的财务会计制度：</w:t>
      </w:r>
      <w:r>
        <w:rPr>
          <w:rFonts w:hint="eastAsia" w:ascii="宋体" w:hAnsi="宋体" w:cs="宋体"/>
          <w:color w:val="auto"/>
          <w:sz w:val="28"/>
          <w:szCs w:val="28"/>
          <w:highlight w:val="none"/>
          <w:lang w:eastAsia="zh-CN"/>
        </w:rPr>
        <w:t>提供2021年度</w:t>
      </w:r>
      <w:r>
        <w:rPr>
          <w:rFonts w:hint="eastAsia" w:ascii="宋体" w:hAnsi="宋体" w:cs="宋体"/>
          <w:color w:val="auto"/>
          <w:sz w:val="28"/>
          <w:szCs w:val="28"/>
          <w:highlight w:val="none"/>
          <w:lang w:val="en-US" w:eastAsia="zh-CN"/>
        </w:rPr>
        <w:t>或2022年度</w:t>
      </w:r>
      <w:r>
        <w:rPr>
          <w:rFonts w:hint="eastAsia" w:ascii="宋体" w:hAnsi="宋体" w:cs="宋体"/>
          <w:color w:val="auto"/>
          <w:sz w:val="28"/>
          <w:szCs w:val="28"/>
          <w:highlight w:val="none"/>
          <w:lang w:eastAsia="zh-CN"/>
        </w:rPr>
        <w:t>由第三方财务审计机构出具</w:t>
      </w:r>
      <w:r>
        <w:rPr>
          <w:rFonts w:hint="eastAsia" w:ascii="宋体" w:hAnsi="宋体" w:eastAsia="宋体" w:cs="宋体"/>
          <w:color w:val="auto"/>
          <w:sz w:val="28"/>
          <w:szCs w:val="28"/>
          <w:highlight w:val="none"/>
        </w:rPr>
        <w:t>的财务审计报告或新成立的企业提供银行出具的近三个月的资信证明；</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pStyle w:val="2"/>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（7）提供中小企业声明函。</w:t>
      </w:r>
    </w:p>
    <w:p>
      <w:pPr>
        <w:pStyle w:val="2"/>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（8）本项目不接受联合体投标；</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2.1落实政府采购政策需满足的资格要求：《新疆政府政府采购促进中小企业发展管理办法》（财库〔2020〕46 号）；关于进一步加大政府采购支持中小企业力度的通知财库〔2022〕19号；</w:t>
      </w:r>
    </w:p>
    <w:p>
      <w:pPr>
        <w:rPr>
          <w:rFonts w:hint="eastAsia" w:ascii="宋体" w:hAnsi="宋体" w:eastAsia="宋体" w:cs="宋体"/>
          <w:color w:val="auto"/>
          <w:highlight w:val="none"/>
          <w:lang w:val="en-US" w:eastAsia="zh-CN"/>
        </w:rPr>
      </w:pPr>
    </w:p>
    <w:p>
      <w:pPr>
        <w:spacing w:line="460" w:lineRule="exact"/>
        <w:ind w:firstLine="560" w:firstLineChars="200"/>
        <w:rPr>
          <w:rFonts w:hint="eastAsia" w:ascii="宋体" w:hAnsi="宋体" w:eastAsia="宋体" w:cs="宋体"/>
          <w:color w:val="auto"/>
          <w:sz w:val="28"/>
          <w:szCs w:val="28"/>
          <w:highlight w:val="none"/>
        </w:rPr>
      </w:pPr>
    </w:p>
    <w:p>
      <w:pPr>
        <w:spacing w:line="460" w:lineRule="exact"/>
        <w:ind w:firstLine="560" w:firstLineChars="200"/>
        <w:rPr>
          <w:rFonts w:hint="eastAsia" w:ascii="宋体" w:hAnsi="宋体" w:eastAsia="宋体" w:cs="宋体"/>
          <w:color w:val="auto"/>
          <w:sz w:val="28"/>
          <w:szCs w:val="28"/>
          <w:highlight w:val="none"/>
        </w:rPr>
      </w:pPr>
    </w:p>
    <w:p>
      <w:pPr>
        <w:spacing w:line="460" w:lineRule="exact"/>
        <w:ind w:firstLine="560" w:firstLineChars="200"/>
        <w:rPr>
          <w:rFonts w:hint="eastAsia" w:ascii="宋体" w:hAnsi="宋体" w:eastAsia="宋体" w:cs="宋体"/>
          <w:color w:val="auto"/>
          <w:sz w:val="28"/>
          <w:szCs w:val="28"/>
          <w:highlight w:val="none"/>
        </w:rPr>
      </w:pP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2.2 投标人在本次招标活动中，必须遵守《</w:t>
      </w:r>
      <w:r>
        <w:rPr>
          <w:rFonts w:hint="eastAsia" w:ascii="宋体" w:hAnsi="宋体" w:eastAsia="宋体" w:cs="宋体"/>
          <w:color w:val="auto"/>
          <w:sz w:val="28"/>
          <w:szCs w:val="28"/>
          <w:highlight w:val="none"/>
          <w:lang w:eastAsia="zh-CN"/>
        </w:rPr>
        <w:t>中华人民共和国政府采购法</w:t>
      </w:r>
      <w:r>
        <w:rPr>
          <w:rFonts w:hint="eastAsia" w:ascii="宋体" w:hAnsi="宋体" w:eastAsia="宋体" w:cs="宋体"/>
          <w:color w:val="auto"/>
          <w:sz w:val="28"/>
          <w:szCs w:val="28"/>
          <w:highlight w:val="none"/>
        </w:rPr>
        <w:t>》的规定。</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定义</w:t>
      </w:r>
    </w:p>
    <w:p>
      <w:pPr>
        <w:spacing w:line="500" w:lineRule="exac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3.1 “采购人”系指合同中明确规定的实际购买货物和服务的法人、行政事业单位、团体组织。</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 “供应商”系指响应招标，并按照竞争性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文件的要求参与投标竞争的法人，中标后即为中标人，签定合同后即为卖方。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“招标机构”系指在委托人授权范围内具体组织实施招标活动的法人。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 “货物”系指卖方按合同要求，须向买方提供的一切产品及其它技术资料和材料。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“服务”系指合同规定卖方须承担的技术协助、本地化开发、安装、调试和交付使用后免费维护期内应履行的义务及售后服务等其他类似的义务。</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 “卖方”系指提供合同货物和服务的法人。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 “买方”系指购买</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的单位。</w:t>
      </w:r>
    </w:p>
    <w:p>
      <w:pPr>
        <w:spacing w:line="500" w:lineRule="exact"/>
        <w:rPr>
          <w:rFonts w:hint="eastAsia" w:ascii="宋体" w:hAnsi="宋体" w:eastAsia="宋体" w:cs="宋体"/>
          <w:b/>
          <w:color w:val="auto"/>
          <w:sz w:val="28"/>
          <w:szCs w:val="28"/>
          <w:highlight w:val="none"/>
        </w:rPr>
      </w:pPr>
      <w:bookmarkStart w:id="38" w:name="_Toc267301283"/>
      <w:bookmarkStart w:id="39" w:name="_Toc527642953"/>
      <w:bookmarkStart w:id="40" w:name="_Toc349573122"/>
      <w:bookmarkStart w:id="41" w:name="_Toc349637921"/>
      <w:bookmarkStart w:id="42" w:name="_Toc298240406"/>
      <w:r>
        <w:rPr>
          <w:rFonts w:hint="eastAsia" w:ascii="宋体" w:hAnsi="宋体" w:eastAsia="宋体" w:cs="宋体"/>
          <w:b/>
          <w:color w:val="auto"/>
          <w:sz w:val="28"/>
          <w:szCs w:val="28"/>
          <w:highlight w:val="none"/>
        </w:rPr>
        <w:t>4、投标费用</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无论投标结果如何，供应商须自行承担所有与参加投标有关的全部费用,采购人和招标代理机构在任何情况下均无义务和责任承担这些费用。</w:t>
      </w:r>
    </w:p>
    <w:p>
      <w:pPr>
        <w:pStyle w:val="4"/>
        <w:spacing w:before="100" w:beforeAutospacing="1" w:after="100" w:afterAutospacing="1" w:line="400" w:lineRule="atLeast"/>
        <w:ind w:firstLine="3654" w:firstLineChars="1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B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w:t>
      </w:r>
      <w:bookmarkEnd w:id="38"/>
      <w:bookmarkEnd w:id="39"/>
      <w:bookmarkEnd w:id="40"/>
      <w:bookmarkEnd w:id="41"/>
      <w:bookmarkEnd w:id="42"/>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文件包括：</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TOC \o "1-2" \h \z \u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"_Toc527642949"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（1）竞争性磋商公告</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（2） 供应商须知</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技术要求</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合同条款及格式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（4） 响应文件格式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fldChar w:fldCharType="end"/>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文件以中文编写。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.3 供应商应认真阅读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文件中所有的事项、格式、条款和规范等要求，从对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文件作出实质性响应。如果没有按照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文件要求提交全部</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响应文件或资料，没有对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文件作出实质性响应，其风险应由供应商自行承担。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文件澄清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.1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文件有疑问的，可以向招标代理机构提出询问，招标代理机构将及时做出答复；</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.2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文件有质疑，须在得到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文件之日起至质疑截止时间止，以书面形式向招标机构提出质疑；招标机构在收到书面质疑后，在投标截止时间</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个工作日前做出答复，并以书面形式通知质疑供应商。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 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文件进行必要的修改，招标代理机构将在投标截止时间</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个工作日前以书面形式通知所有购买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文件的供应商。该修改的内容为</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文件的组成部分；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 在投标截止时间前，招标机构可视具体情况延长投标截止时间，并将变更时间书面通知所有购买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w:t>
      </w:r>
    </w:p>
    <w:p>
      <w:pPr>
        <w:pStyle w:val="4"/>
        <w:spacing w:before="100" w:beforeAutospacing="1" w:after="100" w:afterAutospacing="1" w:line="400" w:lineRule="atLeast"/>
        <w:jc w:val="center"/>
        <w:rPr>
          <w:rFonts w:hint="eastAsia" w:ascii="宋体" w:hAnsi="宋体" w:eastAsia="宋体" w:cs="宋体"/>
          <w:color w:val="auto"/>
          <w:sz w:val="28"/>
          <w:szCs w:val="28"/>
          <w:highlight w:val="none"/>
        </w:rPr>
      </w:pPr>
      <w:bookmarkStart w:id="43" w:name="_Toc267301284"/>
      <w:bookmarkStart w:id="44" w:name="_Toc527642954"/>
      <w:bookmarkStart w:id="45" w:name="_Toc349573123"/>
      <w:bookmarkStart w:id="46" w:name="_Toc298240407"/>
      <w:bookmarkStart w:id="47" w:name="_Toc349637922"/>
      <w:r>
        <w:rPr>
          <w:rFonts w:hint="eastAsia" w:ascii="宋体" w:hAnsi="宋体" w:eastAsia="宋体" w:cs="宋体"/>
          <w:color w:val="auto"/>
          <w:sz w:val="28"/>
          <w:szCs w:val="28"/>
          <w:highlight w:val="none"/>
        </w:rPr>
        <w:t xml:space="preserve">C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响应文件的编写</w:t>
      </w:r>
      <w:bookmarkEnd w:id="43"/>
      <w:bookmarkEnd w:id="44"/>
      <w:bookmarkEnd w:id="45"/>
      <w:bookmarkEnd w:id="46"/>
      <w:bookmarkEnd w:id="47"/>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 供应商应仔细阅读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文件的所有内容，按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文件的要求提供</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响应文件，并保证所提供的全部资料的真实性，以使其投标对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文件作出实质性响应，否则，其投标可能被拒绝。</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．投标语言</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响应文件及供应商与招标代理机构就投标交换的文件和来往信件，应以中文书写。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 供应商编写的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响应文件应包括下列内容：</w:t>
      </w:r>
    </w:p>
    <w:p>
      <w:pPr>
        <w:spacing w:line="5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11.1</w:t>
      </w:r>
      <w:r>
        <w:rPr>
          <w:rFonts w:hint="eastAsia" w:ascii="宋体" w:hAnsi="宋体" w:eastAsia="宋体" w:cs="宋体"/>
          <w:b/>
          <w:bCs/>
          <w:color w:val="auto"/>
          <w:sz w:val="28"/>
          <w:szCs w:val="28"/>
          <w:highlight w:val="none"/>
        </w:rPr>
        <w:t>响应文件包含：</w:t>
      </w:r>
      <w:r>
        <w:rPr>
          <w:rFonts w:hint="eastAsia" w:ascii="宋体" w:hAnsi="宋体" w:eastAsia="宋体" w:cs="宋体"/>
          <w:b/>
          <w:bCs/>
          <w:color w:val="auto"/>
          <w:sz w:val="28"/>
          <w:szCs w:val="28"/>
          <w:highlight w:val="none"/>
          <w:lang w:eastAsia="zh-CN"/>
        </w:rPr>
        <w:t>经济报价部分、</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部分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技术部分三部分组成，</w:t>
      </w:r>
      <w:r>
        <w:rPr>
          <w:rFonts w:hint="eastAsia" w:ascii="宋体" w:hAnsi="宋体" w:eastAsia="宋体" w:cs="宋体"/>
          <w:b/>
          <w:bCs/>
          <w:color w:val="auto"/>
          <w:sz w:val="28"/>
          <w:szCs w:val="28"/>
          <w:highlight w:val="none"/>
          <w:lang w:val="en-US" w:eastAsia="zh-CN"/>
        </w:rPr>
        <w:t>具体详见招标文件第五部分磋商响应文件及格式</w:t>
      </w:r>
    </w:p>
    <w:p>
      <w:pPr>
        <w:spacing w:line="5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12、</w:t>
      </w:r>
      <w:r>
        <w:rPr>
          <w:rFonts w:hint="eastAsia" w:ascii="宋体" w:hAnsi="宋体" w:eastAsia="宋体" w:cs="宋体"/>
          <w:b/>
          <w:bCs/>
          <w:color w:val="auto"/>
          <w:sz w:val="28"/>
          <w:szCs w:val="28"/>
          <w:highlight w:val="none"/>
        </w:rPr>
        <w:t>投标报价（本</w:t>
      </w:r>
      <w:bookmarkStart w:id="48" w:name="OLE_LINK1"/>
      <w:r>
        <w:rPr>
          <w:rFonts w:hint="eastAsia" w:ascii="宋体" w:hAnsi="宋体" w:eastAsia="宋体" w:cs="宋体"/>
          <w:b/>
          <w:bCs/>
          <w:color w:val="auto"/>
          <w:sz w:val="28"/>
          <w:szCs w:val="28"/>
          <w:highlight w:val="none"/>
        </w:rPr>
        <w:t>项目采用二轮报价）</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12.1、投标报价不得高于采购预算价，如高于采购预算价视为无效投标报价；</w:t>
      </w:r>
    </w:p>
    <w:bookmarkEnd w:id="48"/>
    <w:p>
      <w:pPr>
        <w:spacing w:line="50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13、供应商应逐条详细阅读竞争性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文件有关要求，表明所提供的服务是否对竞争性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文件做出实质性响应。</w:t>
      </w:r>
    </w:p>
    <w:p>
      <w:pPr>
        <w:spacing w:line="460" w:lineRule="exact"/>
        <w:rPr>
          <w:rFonts w:hint="eastAsia" w:ascii="宋体" w:hAnsi="宋体" w:eastAsia="宋体" w:cs="宋体"/>
          <w:b/>
          <w:color w:val="auto"/>
          <w:sz w:val="28"/>
          <w:szCs w:val="28"/>
          <w:highlight w:val="none"/>
        </w:rPr>
      </w:pPr>
      <w:bookmarkStart w:id="49" w:name="_Toc298240409"/>
      <w:bookmarkStart w:id="50" w:name="_Toc267301286"/>
      <w:bookmarkStart w:id="51" w:name="_Toc349637924"/>
      <w:bookmarkStart w:id="52" w:name="_Toc527642956"/>
      <w:bookmarkStart w:id="53" w:name="_Toc349573125"/>
      <w:r>
        <w:rPr>
          <w:rFonts w:hint="eastAsia" w:ascii="宋体" w:hAnsi="宋体" w:eastAsia="宋体" w:cs="宋体"/>
          <w:b/>
          <w:color w:val="auto"/>
          <w:sz w:val="28"/>
          <w:szCs w:val="28"/>
          <w:highlight w:val="none"/>
        </w:rPr>
        <w:t>14、投标文件的有效期</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投标文件从实际开标之日起</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天内有效。有效期不足的投标文件将被拒绝。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如遇特殊情况，在原投标有效期届满之前，招标人可与投标人协商延长投标文件的有效期，并经投标人确认。</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14.3投标人可拒绝接受延期要求而不会导致投标保证金被没收。同意延长有效期的投标人需要相应延长投标保证金的有效期，但不能修改投标文件。 </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14.4中标人的投标文件自开标之日起至合同履行完毕止均应保持有效。</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15、投标文件的签署、递交、准备和解密时间要求</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15.2投标人</w:t>
      </w:r>
      <w:r>
        <w:rPr>
          <w:rFonts w:hint="eastAsia" w:ascii="宋体" w:hAnsi="宋体" w:eastAsia="宋体" w:cs="宋体"/>
          <w:b/>
          <w:bCs/>
          <w:color w:val="auto"/>
          <w:sz w:val="28"/>
          <w:szCs w:val="28"/>
          <w:highlight w:val="none"/>
          <w:lang w:eastAsia="zh-CN"/>
        </w:rPr>
        <w:t>应于</w:t>
      </w:r>
      <w:r>
        <w:rPr>
          <w:rFonts w:hint="eastAsia" w:ascii="宋体" w:hAnsi="宋体" w:eastAsia="宋体" w:cs="宋体"/>
          <w:b/>
          <w:bCs/>
          <w:color w:val="auto"/>
          <w:sz w:val="28"/>
          <w:szCs w:val="28"/>
          <w:highlight w:val="none"/>
          <w:shd w:val="clear" w:color="auto" w:fill="auto"/>
          <w:lang w:eastAsia="zh-CN"/>
        </w:rPr>
        <w:t>2023年</w:t>
      </w:r>
      <w:r>
        <w:rPr>
          <w:rFonts w:hint="eastAsia" w:ascii="宋体" w:hAnsi="宋体" w:cs="宋体"/>
          <w:b/>
          <w:bCs/>
          <w:color w:val="auto"/>
          <w:sz w:val="28"/>
          <w:szCs w:val="28"/>
          <w:highlight w:val="none"/>
          <w:shd w:val="clear" w:color="auto" w:fill="auto"/>
          <w:lang w:val="en-US" w:eastAsia="zh-CN"/>
        </w:rPr>
        <w:t>06月15日11:00</w:t>
      </w:r>
      <w:r>
        <w:rPr>
          <w:rFonts w:hint="eastAsia" w:ascii="宋体" w:hAnsi="宋体" w:eastAsia="宋体" w:cs="宋体"/>
          <w:b/>
          <w:bCs/>
          <w:color w:val="auto"/>
          <w:sz w:val="28"/>
          <w:szCs w:val="28"/>
          <w:highlight w:val="none"/>
          <w:shd w:val="clear" w:color="auto" w:fill="auto"/>
          <w:lang w:eastAsia="zh-CN"/>
        </w:rPr>
        <w:t>（北京时间）</w:t>
      </w:r>
      <w:r>
        <w:rPr>
          <w:rFonts w:hint="eastAsia" w:ascii="宋体" w:hAnsi="宋体" w:eastAsia="宋体" w:cs="宋体"/>
          <w:b/>
          <w:bCs/>
          <w:color w:val="auto"/>
          <w:sz w:val="28"/>
          <w:szCs w:val="28"/>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宋体" w:hAnsi="宋体" w:eastAsia="宋体" w:cs="宋体"/>
          <w:b/>
          <w:bCs/>
          <w:color w:val="auto"/>
          <w:sz w:val="28"/>
          <w:szCs w:val="28"/>
          <w:highlight w:val="none"/>
          <w:lang w:eastAsia="zh-CN"/>
        </w:rPr>
        <w:t>95763</w:t>
      </w:r>
      <w:r>
        <w:rPr>
          <w:rFonts w:hint="eastAsia" w:ascii="宋体" w:hAnsi="宋体" w:eastAsia="宋体" w:cs="宋体"/>
          <w:b/>
          <w:bCs/>
          <w:color w:val="auto"/>
          <w:sz w:val="28"/>
          <w:szCs w:val="28"/>
          <w:highlight w:val="none"/>
        </w:rPr>
        <w:t>。</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15.3投标文件须由投标人在规定位置盖章并由法定代表人或法定代表人的授权委托人签署，投标人应写全称。</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15.5</w:t>
      </w:r>
      <w:r>
        <w:rPr>
          <w:rFonts w:hint="eastAsia" w:ascii="宋体" w:hAnsi="宋体" w:eastAsia="宋体" w:cs="宋体"/>
          <w:b/>
          <w:bCs/>
          <w:color w:val="auto"/>
          <w:sz w:val="28"/>
          <w:szCs w:val="28"/>
          <w:highlight w:val="none"/>
        </w:rPr>
        <w:t xml:space="preserve">、本项目实行网上投标，采用电子投标文件。若供应商参与投标，自行承担投标一切费用。 </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15.6</w:t>
      </w:r>
      <w:r>
        <w:rPr>
          <w:rFonts w:hint="eastAsia" w:ascii="宋体" w:hAnsi="宋体" w:eastAsia="宋体" w:cs="宋体"/>
          <w:b/>
          <w:bCs/>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15.7</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15.8</w:t>
      </w:r>
      <w:r>
        <w:rPr>
          <w:rFonts w:hint="eastAsia" w:ascii="宋体" w:hAnsi="宋体" w:eastAsia="宋体" w:cs="宋体"/>
          <w:b/>
          <w:bCs/>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b/>
          <w:bCs/>
          <w:color w:val="auto"/>
          <w:sz w:val="28"/>
          <w:szCs w:val="28"/>
          <w:highlight w:val="none"/>
          <w:lang w:eastAsia="zh-CN"/>
        </w:rPr>
        <w:t>95763</w:t>
      </w:r>
      <w:r>
        <w:rPr>
          <w:rFonts w:hint="eastAsia" w:ascii="宋体" w:hAnsi="宋体" w:eastAsia="宋体" w:cs="宋体"/>
          <w:b/>
          <w:bCs/>
          <w:color w:val="auto"/>
          <w:sz w:val="28"/>
          <w:szCs w:val="28"/>
          <w:highlight w:val="none"/>
        </w:rPr>
        <w:t>进行咨询。</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15.9开标时间</w:t>
      </w:r>
      <w:r>
        <w:rPr>
          <w:rFonts w:hint="eastAsia" w:ascii="宋体" w:hAnsi="宋体" w:eastAsia="宋体" w:cs="宋体"/>
          <w:b/>
          <w:bCs/>
          <w:color w:val="auto"/>
          <w:sz w:val="28"/>
          <w:szCs w:val="28"/>
          <w:highlight w:val="none"/>
          <w:lang w:eastAsia="zh-CN"/>
        </w:rPr>
        <w:t>（20</w:t>
      </w:r>
      <w:r>
        <w:rPr>
          <w:rFonts w:hint="eastAsia" w:ascii="宋体" w:hAnsi="宋体" w:eastAsia="宋体" w:cs="宋体"/>
          <w:b/>
          <w:bCs/>
          <w:color w:val="auto"/>
          <w:sz w:val="28"/>
          <w:szCs w:val="28"/>
          <w:highlight w:val="none"/>
          <w:lang w:val="en-US" w:eastAsia="zh-CN"/>
        </w:rPr>
        <w:t>23</w:t>
      </w:r>
      <w:r>
        <w:rPr>
          <w:rFonts w:hint="eastAsia" w:ascii="宋体" w:hAnsi="宋体" w:eastAsia="宋体" w:cs="宋体"/>
          <w:b/>
          <w:bCs/>
          <w:color w:val="auto"/>
          <w:sz w:val="28"/>
          <w:szCs w:val="28"/>
          <w:highlight w:val="none"/>
          <w:lang w:eastAsia="zh-CN"/>
        </w:rPr>
        <w:t>年</w:t>
      </w:r>
      <w:r>
        <w:rPr>
          <w:rFonts w:hint="eastAsia" w:ascii="宋体" w:hAnsi="宋体" w:cs="宋体"/>
          <w:b/>
          <w:bCs/>
          <w:color w:val="auto"/>
          <w:sz w:val="28"/>
          <w:szCs w:val="28"/>
          <w:highlight w:val="none"/>
          <w:lang w:val="en-US" w:eastAsia="zh-CN"/>
        </w:rPr>
        <w:t>06月15日</w:t>
      </w:r>
      <w:r>
        <w:rPr>
          <w:rFonts w:hint="eastAsia" w:ascii="宋体" w:hAnsi="宋体" w:eastAsia="宋体" w:cs="宋体"/>
          <w:b/>
          <w:bCs/>
          <w:color w:val="auto"/>
          <w:sz w:val="28"/>
          <w:szCs w:val="28"/>
          <w:highlight w:val="none"/>
          <w:lang w:val="en-US" w:eastAsia="zh-CN"/>
        </w:rPr>
        <w:t>上</w:t>
      </w:r>
      <w:r>
        <w:rPr>
          <w:rFonts w:hint="eastAsia" w:ascii="宋体" w:hAnsi="宋体" w:eastAsia="宋体" w:cs="宋体"/>
          <w:b/>
          <w:bCs/>
          <w:color w:val="auto"/>
          <w:sz w:val="28"/>
          <w:szCs w:val="28"/>
          <w:highlight w:val="none"/>
          <w:lang w:eastAsia="zh-CN"/>
        </w:rPr>
        <w:t>午</w:t>
      </w:r>
      <w:r>
        <w:rPr>
          <w:rFonts w:hint="eastAsia" w:ascii="宋体" w:hAnsi="宋体" w:cs="宋体"/>
          <w:b/>
          <w:bCs/>
          <w:color w:val="auto"/>
          <w:sz w:val="28"/>
          <w:szCs w:val="28"/>
          <w:highlight w:val="none"/>
          <w:lang w:val="en-US" w:eastAsia="zh-CN"/>
        </w:rPr>
        <w:t>11:00-12:00</w:t>
      </w:r>
      <w:r>
        <w:rPr>
          <w:rFonts w:hint="eastAsia" w:ascii="宋体" w:hAnsi="宋体" w:eastAsia="宋体" w:cs="宋体"/>
          <w:b/>
          <w:bCs/>
          <w:color w:val="auto"/>
          <w:sz w:val="28"/>
          <w:szCs w:val="28"/>
          <w:highlight w:val="none"/>
          <w:lang w:eastAsia="zh-CN"/>
        </w:rPr>
        <w:t>前）</w:t>
      </w:r>
      <w:r>
        <w:rPr>
          <w:rFonts w:hint="eastAsia" w:ascii="宋体" w:hAnsi="宋体" w:cs="宋体"/>
          <w:b/>
          <w:bCs/>
          <w:color w:val="auto"/>
          <w:sz w:val="28"/>
          <w:szCs w:val="28"/>
          <w:highlight w:val="none"/>
          <w:lang w:val="en-US" w:eastAsia="zh-CN"/>
        </w:rPr>
        <w:t>60</w:t>
      </w:r>
      <w:r>
        <w:rPr>
          <w:rFonts w:hint="eastAsia" w:ascii="宋体" w:hAnsi="宋体" w:eastAsia="宋体" w:cs="宋体"/>
          <w:b/>
          <w:bCs/>
          <w:color w:val="auto"/>
          <w:sz w:val="28"/>
          <w:szCs w:val="28"/>
          <w:highlight w:val="none"/>
        </w:rPr>
        <w:t>分钟内供应商可以登录“政采云”平台，用“项目采购-开标评标”功能进行解密投标文件。若供应商在规定时间内</w:t>
      </w:r>
      <w:r>
        <w:rPr>
          <w:rFonts w:hint="eastAsia" w:ascii="宋体" w:hAnsi="宋体" w:eastAsia="宋体" w:cs="宋体"/>
          <w:b/>
          <w:bCs/>
          <w:color w:val="auto"/>
          <w:sz w:val="28"/>
          <w:szCs w:val="28"/>
          <w:highlight w:val="none"/>
          <w:lang w:eastAsia="zh-CN"/>
        </w:rPr>
        <w:t>（2023年</w:t>
      </w:r>
      <w:r>
        <w:rPr>
          <w:rFonts w:hint="eastAsia" w:ascii="宋体" w:hAnsi="宋体" w:cs="宋体"/>
          <w:b/>
          <w:bCs/>
          <w:color w:val="auto"/>
          <w:sz w:val="28"/>
          <w:szCs w:val="28"/>
          <w:highlight w:val="none"/>
          <w:lang w:val="en-US" w:eastAsia="zh-CN"/>
        </w:rPr>
        <w:t>06月15日11:00-12:00</w:t>
      </w:r>
      <w:r>
        <w:rPr>
          <w:rFonts w:hint="eastAsia" w:ascii="宋体" w:hAnsi="宋体" w:eastAsia="宋体" w:cs="宋体"/>
          <w:b/>
          <w:bCs/>
          <w:color w:val="auto"/>
          <w:sz w:val="28"/>
          <w:szCs w:val="28"/>
          <w:highlight w:val="none"/>
          <w:lang w:eastAsia="zh-CN"/>
        </w:rPr>
        <w:t>前）</w:t>
      </w:r>
      <w:r>
        <w:rPr>
          <w:rFonts w:hint="eastAsia" w:ascii="宋体" w:hAnsi="宋体" w:eastAsia="宋体" w:cs="宋体"/>
          <w:b/>
          <w:bCs/>
          <w:color w:val="auto"/>
          <w:sz w:val="28"/>
          <w:szCs w:val="28"/>
          <w:highlight w:val="none"/>
        </w:rPr>
        <w:t>未按时解密的，视为投标文件撤回。</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16、投标保证金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16.1 投标保证金数额</w:t>
      </w:r>
      <w:r>
        <w:rPr>
          <w:rFonts w:hint="eastAsia" w:ascii="宋体" w:hAnsi="宋体" w:eastAsia="宋体" w:cs="宋体"/>
          <w:b/>
          <w:color w:val="auto"/>
          <w:sz w:val="28"/>
          <w:szCs w:val="28"/>
          <w:highlight w:val="none"/>
          <w:u w:val="single"/>
        </w:rPr>
        <w:t>详见投标人须知前附表</w:t>
      </w:r>
      <w:r>
        <w:rPr>
          <w:rFonts w:hint="eastAsia" w:ascii="宋体" w:hAnsi="宋体" w:eastAsia="宋体" w:cs="宋体"/>
          <w:color w:val="auto"/>
          <w:sz w:val="28"/>
          <w:szCs w:val="28"/>
          <w:highlight w:val="none"/>
        </w:rPr>
        <w:t>。</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16.2 投标保证金用于应对本次招标因投标人违规、违约而产生的风险。</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16.3 投标人必须于投标截止时间之前（</w:t>
      </w:r>
      <w:r>
        <w:rPr>
          <w:rFonts w:hint="eastAsia" w:ascii="宋体" w:hAnsi="宋体" w:eastAsia="宋体" w:cs="宋体"/>
          <w:b/>
          <w:color w:val="auto"/>
          <w:sz w:val="28"/>
          <w:szCs w:val="28"/>
          <w:highlight w:val="none"/>
          <w:u w:val="single"/>
        </w:rPr>
        <w:t>详见投标人须知前附表规定）</w:t>
      </w:r>
      <w:r>
        <w:rPr>
          <w:rFonts w:hint="eastAsia" w:ascii="宋体" w:hAnsi="宋体" w:eastAsia="宋体" w:cs="宋体"/>
          <w:color w:val="auto"/>
          <w:sz w:val="28"/>
          <w:szCs w:val="28"/>
          <w:highlight w:val="none"/>
        </w:rPr>
        <w:t>按将投标保证金交纳至规定的帐号，对未按要求提交投标保证金的投标书，招标机构将视为不响应投标予以拒绝。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16.4 投标保证金应以基本账户对公转账方式提交。本招标不接受银行保函形式的投标保证金。</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16.5在招标方规定的投标有效期满之前，招标方将以书面形式 发出《中标通知书》，《中标通知书》一经发出即发生法律效力。</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6.6 有下列情形之一的，保证金不予退还：</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（1）投标人在投标有效期内撤回投标文件的；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（2）投标人在投标过程中弄虚作假，提供虚假材料的；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（3）中标人无正当理由不与招标人签订合同的；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（4）其他严重扰乱招投标程序的。</w:t>
      </w:r>
    </w:p>
    <w:p>
      <w:pPr>
        <w:numPr>
          <w:ilvl w:val="0"/>
          <w:numId w:val="0"/>
        </w:numPr>
        <w:spacing w:line="460" w:lineRule="exact"/>
        <w:ind w:firstLine="2811" w:firstLineChars="1000"/>
        <w:jc w:val="both"/>
        <w:outlineLvl w:val="2"/>
        <w:rPr>
          <w:rFonts w:hint="eastAsia" w:ascii="宋体" w:hAnsi="宋体" w:eastAsia="宋体" w:cs="宋体"/>
          <w:b/>
          <w:color w:val="auto"/>
          <w:sz w:val="28"/>
          <w:szCs w:val="28"/>
          <w:highlight w:val="none"/>
        </w:rPr>
      </w:pPr>
      <w:bookmarkStart w:id="54" w:name="_Toc22295"/>
      <w:bookmarkStart w:id="55" w:name="_Toc22171"/>
      <w:r>
        <w:rPr>
          <w:rFonts w:hint="eastAsia" w:ascii="宋体" w:hAnsi="宋体" w:eastAsia="宋体" w:cs="宋体"/>
          <w:b/>
          <w:color w:val="auto"/>
          <w:sz w:val="28"/>
          <w:szCs w:val="28"/>
          <w:highlight w:val="none"/>
          <w:lang w:val="en-US" w:eastAsia="zh-CN"/>
        </w:rPr>
        <w:t xml:space="preserve">d  </w:t>
      </w:r>
      <w:r>
        <w:rPr>
          <w:rFonts w:hint="eastAsia" w:ascii="宋体" w:hAnsi="宋体" w:eastAsia="宋体" w:cs="宋体"/>
          <w:b/>
          <w:color w:val="auto"/>
          <w:sz w:val="28"/>
          <w:szCs w:val="28"/>
          <w:highlight w:val="none"/>
        </w:rPr>
        <w:t>投标文件的递交</w:t>
      </w:r>
      <w:bookmarkEnd w:id="54"/>
      <w:bookmarkEnd w:id="55"/>
    </w:p>
    <w:p>
      <w:pPr>
        <w:widowControl/>
        <w:spacing w:line="340" w:lineRule="exact"/>
        <w:jc w:val="left"/>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17.1.投标文件的准备和解密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本项目实行网上投标，采用电子投标文件。若供应商参与投标，自行承担投标一切费用。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17.1.3 </w:t>
      </w:r>
      <w:r>
        <w:rPr>
          <w:rFonts w:hint="eastAsia" w:ascii="宋体" w:hAnsi="宋体" w:eastAsia="宋体" w:cs="宋体"/>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spacing w:line="4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17.1.5</w:t>
      </w:r>
      <w:r>
        <w:rPr>
          <w:rFonts w:hint="eastAsia" w:ascii="宋体" w:hAnsi="宋体" w:eastAsia="宋体" w:cs="宋体"/>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color w:val="auto"/>
          <w:sz w:val="28"/>
          <w:szCs w:val="28"/>
          <w:highlight w:val="none"/>
          <w:lang w:eastAsia="zh-CN"/>
        </w:rPr>
        <w:t>95763</w:t>
      </w:r>
      <w:r>
        <w:rPr>
          <w:rFonts w:hint="eastAsia" w:ascii="宋体" w:hAnsi="宋体" w:eastAsia="宋体" w:cs="宋体"/>
          <w:color w:val="auto"/>
          <w:sz w:val="28"/>
          <w:szCs w:val="28"/>
          <w:highlight w:val="none"/>
        </w:rPr>
        <w:t>进行咨询。</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1.6 </w:t>
      </w:r>
      <w:r>
        <w:rPr>
          <w:rFonts w:hint="eastAsia" w:ascii="宋体" w:hAnsi="宋体" w:eastAsia="宋体" w:cs="宋体"/>
          <w:color w:val="auto"/>
          <w:sz w:val="28"/>
          <w:szCs w:val="28"/>
          <w:highlight w:val="none"/>
        </w:rPr>
        <w:t>投标截止时间后，供应商应及时登录“</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”平台，用“项目采购-开标评标”功能对投标文件进行解密。规定的解密时限为：</w:t>
      </w:r>
      <w:bookmarkStart w:id="56" w:name="_Hlk49254376"/>
      <w:r>
        <w:rPr>
          <w:rFonts w:hint="eastAsia" w:ascii="宋体" w:hAnsi="宋体" w:eastAsia="宋体" w:cs="宋体"/>
          <w:color w:val="auto"/>
          <w:sz w:val="28"/>
          <w:szCs w:val="28"/>
          <w:highlight w:val="none"/>
        </w:rPr>
        <w:t>“投标人须知前附表”的中规定</w:t>
      </w:r>
      <w:bookmarkEnd w:id="56"/>
      <w:r>
        <w:rPr>
          <w:rFonts w:hint="eastAsia" w:ascii="宋体" w:hAnsi="宋体" w:eastAsia="宋体" w:cs="宋体"/>
          <w:color w:val="auto"/>
          <w:sz w:val="28"/>
          <w:szCs w:val="28"/>
          <w:highlight w:val="none"/>
        </w:rPr>
        <w:t>，若供应商在规定的时间内（“投标人须知前附表”的中规定）未能解密的，视为供应商对其投标文件的撤回。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7 </w:t>
      </w:r>
      <w:r>
        <w:rPr>
          <w:rFonts w:hint="eastAsia" w:ascii="宋体" w:hAnsi="宋体" w:eastAsia="宋体" w:cs="宋体"/>
          <w:color w:val="auto"/>
          <w:sz w:val="28"/>
          <w:szCs w:val="28"/>
          <w:highlight w:val="none"/>
        </w:rPr>
        <w:t>因系统（非投标供应商行为）的原因，造成投标供应商未能在规定的解密时限内解密的，请及时与招标代理机构或与</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投标客户端进行联系。</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1.8 </w:t>
      </w:r>
      <w:r>
        <w:rPr>
          <w:rFonts w:hint="eastAsia" w:ascii="宋体" w:hAnsi="宋体" w:eastAsia="宋体" w:cs="宋体"/>
          <w:color w:val="auto"/>
          <w:sz w:val="28"/>
          <w:szCs w:val="28"/>
          <w:highlight w:val="none"/>
        </w:rPr>
        <w:t>投标文件未按规定上传的，视为其自动放弃投标。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1.9 </w:t>
      </w:r>
      <w:r>
        <w:rPr>
          <w:rFonts w:hint="eastAsia" w:ascii="宋体" w:hAnsi="宋体" w:eastAsia="宋体" w:cs="宋体"/>
          <w:color w:val="auto"/>
          <w:sz w:val="28"/>
          <w:szCs w:val="28"/>
          <w:highlight w:val="none"/>
        </w:rPr>
        <w:t>投标文件的修改与撤回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1.10</w:t>
      </w:r>
      <w:r>
        <w:rPr>
          <w:rFonts w:hint="eastAsia" w:ascii="宋体" w:hAnsi="宋体" w:eastAsia="宋体" w:cs="宋体"/>
          <w:color w:val="auto"/>
          <w:sz w:val="28"/>
          <w:szCs w:val="28"/>
          <w:highlight w:val="none"/>
        </w:rPr>
        <w:t>投标人在投标截止时间前，可以对所递交的投标文件进行补充、修改或者撤回，并书面通知采购人或者采购代理机构。</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1.11 </w:t>
      </w:r>
      <w:r>
        <w:rPr>
          <w:rFonts w:hint="eastAsia" w:ascii="宋体" w:hAnsi="宋体" w:eastAsia="宋体" w:cs="宋体"/>
          <w:color w:val="auto"/>
          <w:sz w:val="28"/>
          <w:szCs w:val="28"/>
          <w:highlight w:val="none"/>
        </w:rPr>
        <w:t>投标人在投标截止期后不得修改、撤回投标文件。投标人在投标截止期后修改投标文件的，其投标无效。</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1.12 </w:t>
      </w:r>
      <w:r>
        <w:rPr>
          <w:rFonts w:hint="eastAsia" w:ascii="宋体" w:hAnsi="宋体" w:eastAsia="宋体" w:cs="宋体"/>
          <w:color w:val="auto"/>
          <w:sz w:val="28"/>
          <w:szCs w:val="28"/>
          <w:highlight w:val="none"/>
        </w:rPr>
        <w:t>若供应商在规定的时间内（“投标人须知前附表”的中规定）未能解密的，也将被视为供应商对其投标文件的撤回。</w:t>
      </w:r>
    </w:p>
    <w:p>
      <w:pPr>
        <w:spacing w:line="360" w:lineRule="auto"/>
        <w:ind w:firstLine="3654" w:firstLineChars="13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E  </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程序</w:t>
      </w:r>
      <w:bookmarkEnd w:id="49"/>
      <w:bookmarkEnd w:id="50"/>
      <w:bookmarkEnd w:id="51"/>
      <w:bookmarkEnd w:id="52"/>
      <w:bookmarkEnd w:id="53"/>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18.1.1 本次采用不见面方式网上开标。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18.1.2开标由招标代理机构主持，招标人、投标人和有关方面代表参加。</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18.1.3开标时，由采购代理机构工作人员当众在不见面开标大厅解密，宣布投标人名称、投标价格和招标文件规定的需要宣布的其他内容。投标人不足3家的，不得开标。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18.1.4开标时，投标报价以系统显示投标报价为准。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18.1.6投标人代表在开标过程中未提出异议的，视为认可本次开标及开标过程的全部事宜。</w:t>
      </w: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评标、定标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19.、评标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19.1磋商小组组成及职责 </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19.2、磋商小组组成：在磋商开始前，磋商小组成员由采购人代表及有关技术、经济，法律等方面的专家组成，其中技术、经济、法律类专家人数不少于总人数的 2/3。</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19.3、磋商小组或评标小组负责具体的评标事务，并独立履行以下职责：</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19.3.1 审查响应文件是否符合竞争性磋商文件的要求，并作出评价；</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19.3.2 可以要求投标供应商对响应文件有关事项作出解释或澄清；</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19.3.3 向招标单位或者有关部门报告非法干预评标工作的行为。</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19.3.4 磋商小组成员应当履行下列义务：</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19.3.5 遵纪守法，客观、公正、廉洁地履行职责；</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19.3.6 按照竞争性磋商文件规定的评标办法和评标标准进行评标，</w:t>
      </w:r>
      <w:r>
        <w:rPr>
          <w:rFonts w:hint="eastAsia" w:ascii="宋体" w:hAnsi="宋体" w:eastAsia="宋体" w:cs="宋体"/>
          <w:color w:val="auto"/>
          <w:sz w:val="28"/>
          <w:szCs w:val="28"/>
          <w:highlight w:val="none"/>
        </w:rPr>
        <w:t>对评审意见承担个人责任；</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19.3.7</w:t>
      </w:r>
      <w:r>
        <w:rPr>
          <w:rFonts w:hint="eastAsia" w:ascii="宋体" w:hAnsi="宋体" w:eastAsia="宋体" w:cs="宋体"/>
          <w:color w:val="auto"/>
          <w:sz w:val="28"/>
          <w:szCs w:val="28"/>
          <w:highlight w:val="none"/>
        </w:rPr>
        <w:t>对评标过程和结果，以及供应商的商业秘密保密；</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19.3.8</w:t>
      </w:r>
      <w:r>
        <w:rPr>
          <w:rFonts w:hint="eastAsia" w:ascii="宋体" w:hAnsi="宋体" w:eastAsia="宋体" w:cs="宋体"/>
          <w:color w:val="auto"/>
          <w:sz w:val="28"/>
          <w:szCs w:val="28"/>
          <w:highlight w:val="none"/>
        </w:rPr>
        <w:t xml:space="preserve"> 参与评标报告的起草；</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19.3.9 </w:t>
      </w:r>
      <w:r>
        <w:rPr>
          <w:rFonts w:hint="eastAsia" w:ascii="宋体" w:hAnsi="宋体" w:eastAsia="宋体" w:cs="宋体"/>
          <w:color w:val="auto"/>
          <w:sz w:val="28"/>
          <w:szCs w:val="28"/>
          <w:highlight w:val="none"/>
        </w:rPr>
        <w:t>配合财政部门的投诉处理工作；</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19.3.10</w:t>
      </w:r>
      <w:r>
        <w:rPr>
          <w:rFonts w:hint="eastAsia" w:ascii="宋体" w:hAnsi="宋体" w:eastAsia="宋体" w:cs="宋体"/>
          <w:color w:val="auto"/>
          <w:sz w:val="28"/>
          <w:szCs w:val="28"/>
          <w:highlight w:val="none"/>
        </w:rPr>
        <w:t xml:space="preserve"> 配合招标单位答复投标供应商提出的质疑。</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19.3.11</w:t>
      </w:r>
      <w:r>
        <w:rPr>
          <w:rFonts w:hint="eastAsia" w:ascii="宋体" w:hAnsi="宋体" w:eastAsia="宋体" w:cs="宋体"/>
          <w:color w:val="auto"/>
          <w:sz w:val="28"/>
          <w:szCs w:val="28"/>
          <w:highlight w:val="none"/>
        </w:rPr>
        <w:t>按国家计委等七部委颁发的《评标委员会和评标方法暂行规定》，结合本项目特点，</w:t>
      </w:r>
      <w:r>
        <w:rPr>
          <w:rFonts w:hint="eastAsia" w:ascii="宋体" w:hAnsi="宋体" w:eastAsia="宋体" w:cs="宋体"/>
          <w:b/>
          <w:color w:val="auto"/>
          <w:sz w:val="28"/>
          <w:szCs w:val="28"/>
          <w:highlight w:val="none"/>
        </w:rPr>
        <w:t>本项目采用竞争性</w:t>
      </w: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方式</w:t>
      </w:r>
      <w:r>
        <w:rPr>
          <w:rFonts w:hint="eastAsia" w:ascii="宋体" w:hAnsi="宋体" w:eastAsia="宋体" w:cs="宋体"/>
          <w:color w:val="auto"/>
          <w:sz w:val="28"/>
          <w:szCs w:val="28"/>
          <w:highlight w:val="none"/>
        </w:rPr>
        <w:t>（本项目采用两轮报价，供应商提交二次报价后，</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小组对满足所有实质性要求提交最后报价的供应商的响应文件和供应商提交的二次报价进行</w:t>
      </w:r>
      <w:r>
        <w:rPr>
          <w:rFonts w:hint="eastAsia" w:ascii="宋体" w:hAnsi="宋体" w:eastAsia="宋体" w:cs="宋体"/>
          <w:color w:val="auto"/>
          <w:sz w:val="28"/>
          <w:szCs w:val="28"/>
          <w:highlight w:val="none"/>
          <w:lang w:val="en-US" w:eastAsia="zh-CN"/>
        </w:rPr>
        <w:t>评审，综合得分最高的供应商为推荐成交供应商</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 xml:space="preserve">。  </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19.3.14</w:t>
      </w:r>
      <w:r>
        <w:rPr>
          <w:rFonts w:hint="eastAsia" w:ascii="宋体" w:hAnsi="宋体" w:eastAsia="宋体" w:cs="宋体"/>
          <w:color w:val="auto"/>
          <w:sz w:val="28"/>
          <w:szCs w:val="28"/>
          <w:highlight w:val="none"/>
        </w:rPr>
        <w:t>评标的依据为竞争性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文件和响应文件。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19.3.15</w:t>
      </w:r>
      <w:r>
        <w:rPr>
          <w:rFonts w:hint="eastAsia" w:ascii="宋体" w:hAnsi="宋体" w:eastAsia="宋体" w:cs="宋体"/>
          <w:color w:val="auto"/>
          <w:sz w:val="28"/>
          <w:szCs w:val="28"/>
          <w:highlight w:val="none"/>
        </w:rPr>
        <w:t>评标过程的保密性。开标后，直到授予供应商合同止，凡是属于审查、澄清、评价和比较的有关资料以及授标建议等均不得向供应商或其他无关的人员透露。</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19.3.16</w:t>
      </w:r>
      <w:r>
        <w:rPr>
          <w:rFonts w:hint="eastAsia" w:ascii="宋体" w:hAnsi="宋体" w:eastAsia="宋体" w:cs="宋体"/>
          <w:color w:val="auto"/>
          <w:sz w:val="28"/>
          <w:szCs w:val="28"/>
          <w:highlight w:val="none"/>
        </w:rPr>
        <w:t>供应商在评标过程中所进行的力图影响评标结果、有悖于招标规则的活动，将导致取消其中标资格。</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19.3.17</w:t>
      </w:r>
      <w:r>
        <w:rPr>
          <w:rFonts w:hint="eastAsia" w:ascii="宋体" w:hAnsi="宋体" w:eastAsia="宋体" w:cs="宋体"/>
          <w:color w:val="auto"/>
          <w:sz w:val="28"/>
          <w:szCs w:val="28"/>
          <w:highlight w:val="none"/>
        </w:rPr>
        <w:t>与竞争性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文件有重大偏离的响应文件将被拒绝。且此重大偏离在开标后不许修改。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19.3.18</w:t>
      </w:r>
      <w:r>
        <w:rPr>
          <w:rFonts w:hint="eastAsia" w:ascii="宋体" w:hAnsi="宋体" w:eastAsia="宋体" w:cs="宋体"/>
          <w:color w:val="auto"/>
          <w:sz w:val="28"/>
          <w:szCs w:val="28"/>
          <w:highlight w:val="none"/>
        </w:rPr>
        <w:t>根据国家计委等七部委颁发的《评标委员会和评标方法暂行规定》以下为</w:t>
      </w:r>
      <w:r>
        <w:rPr>
          <w:rFonts w:hint="eastAsia" w:ascii="宋体" w:hAnsi="宋体" w:eastAsia="宋体" w:cs="宋体"/>
          <w:b/>
          <w:bCs/>
          <w:color w:val="auto"/>
          <w:sz w:val="28"/>
          <w:szCs w:val="28"/>
          <w:highlight w:val="none"/>
        </w:rPr>
        <w:t>重大偏离：</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（一）投标保证金的缴纳主体与供应商不一致的，没有按照竞争性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文件要求提供投标担保，或者所提供的投标担保有瑕疵的；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（二）响应文件没有供应商法定代表人或其授权代表签字（章）和加盖供应商公章的；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（三）响应文件记载的招标项目完成期限超过竞争性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文件规定的完成期限；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（四）商务条款有偏离情况的；</w:t>
      </w:r>
    </w:p>
    <w:p>
      <w:pPr>
        <w:pStyle w:val="8"/>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（五）技术条款有偏离情况的；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（六）投标附有采购人不能接受的条件；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文件中规定的其他实质性要求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（八)投标报价不符合竞争性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响应文件有上述情形之一的，视为非实质性响应招标，并按规定作废标处理。竞争性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文件对重大偏差另有规定的，从其规定。</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小组应当审查每一响应文件是否对竞争性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文件提出的所有实质性要求和条件作出响应。未能在实质上响应招标的投标，将作废标处理。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20  </w:t>
      </w:r>
      <w:r>
        <w:rPr>
          <w:rFonts w:hint="eastAsia" w:ascii="宋体" w:hAnsi="宋体" w:eastAsia="宋体" w:cs="宋体"/>
          <w:color w:val="auto"/>
          <w:sz w:val="28"/>
          <w:szCs w:val="28"/>
          <w:highlight w:val="none"/>
        </w:rPr>
        <w:t>评审标准对投标文件的初步审查和响应性确定</w:t>
      </w:r>
    </w:p>
    <w:p>
      <w:pPr>
        <w:spacing w:line="500" w:lineRule="exact"/>
        <w:rPr>
          <w:rFonts w:hint="eastAsia" w:ascii="宋体" w:hAnsi="宋体" w:eastAsia="宋体" w:cs="宋体"/>
          <w:color w:val="auto"/>
          <w:kern w:val="2"/>
          <w:sz w:val="28"/>
          <w:szCs w:val="28"/>
          <w:highlight w:val="none"/>
        </w:rPr>
      </w:pPr>
      <w:r>
        <w:rPr>
          <w:rFonts w:hint="eastAsia" w:ascii="宋体" w:hAnsi="宋体" w:eastAsia="宋体" w:cs="宋体"/>
          <w:color w:val="auto"/>
          <w:sz w:val="28"/>
          <w:szCs w:val="28"/>
          <w:highlight w:val="none"/>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w:t>
      </w:r>
      <w:r>
        <w:rPr>
          <w:rFonts w:hint="eastAsia" w:ascii="宋体" w:hAnsi="宋体" w:eastAsia="宋体" w:cs="宋体"/>
          <w:color w:val="auto"/>
          <w:kern w:val="2"/>
          <w:sz w:val="28"/>
          <w:szCs w:val="28"/>
          <w:highlight w:val="none"/>
        </w:rPr>
        <w:t>的，以开标一览表的总价为准，并修改单价；（四）总价金额与按单价汇总金额不一致的，以单价金额计算结果为准。若投标人拒绝接受上述修正，其投标将可能被拒绝。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20.3 招标人判断投标文件的响应性是基于投标文件本身而不靠外部证据。</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20.4 招标人将拒绝被定为非响应性的投标，投标人不能通过修正或撤消不符之处而使其投标成为响应性投标。</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21、投标文件的澄清</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 评标委员会在评标过程中有权随时请投标人就投标文件中含混之处加以澄清或答疑。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 投标人对要求澄清的问题应以书面形式明确答复，并应有法人授权代表的签署。</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 投标人的澄清文件是投标文件的组成部分，并取代投标文件中被澄清的部分。</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21.4 投标文件的澄清不得改变投标的实质内容。</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21.5 如果投标人在投标文件中未对招标文件中的条款或参数要求提出偏离意见或澄清将视同投标人同意招标文件的全部或部分要求。</w:t>
      </w:r>
    </w:p>
    <w:p>
      <w:pPr>
        <w:widowControl/>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rPr>
        <w:t>评审标准：</w:t>
      </w:r>
    </w:p>
    <w:p>
      <w:pPr>
        <w:pStyle w:val="2"/>
        <w:numPr>
          <w:ilvl w:val="0"/>
          <w:numId w:val="5"/>
        </w:numPr>
        <w:spacing w:line="380" w:lineRule="exact"/>
        <w:ind w:left="425" w:leftChars="0" w:hanging="425"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磋商小组构成：本项目的磋商小组由采购人代表和有关技术、经济、法律等</w:t>
      </w:r>
    </w:p>
    <w:p>
      <w:pPr>
        <w:pStyle w:val="2"/>
        <w:numPr>
          <w:ilvl w:val="0"/>
          <w:numId w:val="0"/>
        </w:numPr>
        <w:spacing w:line="380" w:lineRule="exact"/>
        <w:ind w:left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方面的三位专家组成。成员人数应当为三人以上（含三人）单数。其中，技术、经济、法律等方面的专家不得少于成员总数的三分之二。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评标依据：磋商小组按照磋商文件要求对磋商响应文件中的供应商资格、供应商资格证明文件、重要技术指标以及技术和商务上要求的其它重要内容进行审核。</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经磋商确定最终采购需求和提交最后报价的供应商后，由磋商小组综合评分法法对提交最后报价的供应商的响应文件和最后报价进行。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详细评审标准如下：</w:t>
      </w:r>
    </w:p>
    <w:p>
      <w:pPr>
        <w:pStyle w:val="2"/>
        <w:spacing w:line="38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8"/>
          <w:szCs w:val="28"/>
          <w:highlight w:val="none"/>
        </w:rPr>
        <w:t xml:space="preserve">  </w:t>
      </w: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rPr>
      </w:pPr>
    </w:p>
    <w:p>
      <w:pPr>
        <w:pStyle w:val="25"/>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eastAsia="zh-CN"/>
        </w:rPr>
        <w:t>一：资格查验</w:t>
      </w:r>
    </w:p>
    <w:tbl>
      <w:tblPr>
        <w:tblStyle w:val="20"/>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7446"/>
        <w:gridCol w:w="468"/>
        <w:gridCol w:w="444"/>
        <w:gridCol w:w="411"/>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8095" w:type="dxa"/>
            <w:gridSpan w:val="2"/>
            <w:vMerge w:val="restart"/>
            <w:vAlign w:val="center"/>
          </w:tcPr>
          <w:p>
            <w:pPr>
              <w:spacing w:line="440" w:lineRule="exact"/>
              <w:ind w:firstLine="2666" w:firstLineChars="1130"/>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评审内容</w:t>
            </w:r>
          </w:p>
        </w:tc>
        <w:tc>
          <w:tcPr>
            <w:tcW w:w="1784" w:type="dxa"/>
            <w:gridSpan w:val="4"/>
            <w:vAlign w:val="center"/>
          </w:tcPr>
          <w:p>
            <w:pPr>
              <w:spacing w:line="440" w:lineRule="exac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095" w:type="dxa"/>
            <w:gridSpan w:val="2"/>
            <w:vMerge w:val="continue"/>
          </w:tcPr>
          <w:p>
            <w:pPr>
              <w:spacing w:line="440" w:lineRule="exact"/>
              <w:ind w:firstLine="424" w:firstLineChars="180"/>
              <w:rPr>
                <w:rStyle w:val="30"/>
                <w:rFonts w:hint="eastAsia" w:ascii="宋体" w:hAnsi="宋体" w:eastAsia="宋体" w:cs="宋体"/>
                <w:i w:val="0"/>
                <w:iCs w:val="0"/>
                <w:color w:val="auto"/>
                <w:spacing w:val="-2"/>
                <w:sz w:val="24"/>
                <w:szCs w:val="24"/>
                <w:highlight w:val="none"/>
              </w:rPr>
            </w:pPr>
          </w:p>
        </w:tc>
        <w:tc>
          <w:tcPr>
            <w:tcW w:w="468" w:type="dxa"/>
          </w:tcPr>
          <w:p>
            <w:pPr>
              <w:spacing w:line="440" w:lineRule="exact"/>
              <w:ind w:firstLine="236" w:firstLineChars="100"/>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1</w:t>
            </w:r>
          </w:p>
        </w:tc>
        <w:tc>
          <w:tcPr>
            <w:tcW w:w="444" w:type="dxa"/>
          </w:tcPr>
          <w:p>
            <w:pPr>
              <w:spacing w:line="440" w:lineRule="exact"/>
              <w:jc w:val="center"/>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2</w:t>
            </w:r>
          </w:p>
        </w:tc>
        <w:tc>
          <w:tcPr>
            <w:tcW w:w="411" w:type="dxa"/>
            <w:vAlign w:val="center"/>
          </w:tcPr>
          <w:p>
            <w:pPr>
              <w:spacing w:line="440" w:lineRule="exact"/>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3</w:t>
            </w:r>
          </w:p>
        </w:tc>
        <w:tc>
          <w:tcPr>
            <w:tcW w:w="461" w:type="dxa"/>
            <w:vAlign w:val="center"/>
          </w:tcPr>
          <w:p>
            <w:pPr>
              <w:jc w:val="center"/>
              <w:rPr>
                <w:rStyle w:val="30"/>
                <w:rFonts w:hint="eastAsia" w:ascii="宋体" w:hAnsi="宋体" w:eastAsia="宋体" w:cs="宋体"/>
                <w:b/>
                <w:i w:val="0"/>
                <w:iCs w:val="0"/>
                <w:color w:val="auto"/>
                <w:sz w:val="24"/>
                <w:szCs w:val="24"/>
                <w:highlight w:val="none"/>
              </w:rPr>
            </w:pPr>
            <w:r>
              <w:rPr>
                <w:rStyle w:val="30"/>
                <w:rFonts w:hint="eastAsia" w:ascii="宋体" w:hAnsi="宋体" w:eastAsia="宋体" w:cs="宋体"/>
                <w:b/>
                <w:i w:val="0"/>
                <w:i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649" w:type="dxa"/>
            <w:vAlign w:val="center"/>
          </w:tcPr>
          <w:p>
            <w:pPr>
              <w:spacing w:line="240" w:lineRule="auto"/>
              <w:jc w:val="center"/>
              <w:rPr>
                <w:rStyle w:val="30"/>
                <w:rFonts w:hint="eastAsia" w:ascii="宋体" w:hAnsi="宋体" w:eastAsia="宋体" w:cs="宋体"/>
                <w:i w:val="0"/>
                <w:iCs w:val="0"/>
                <w:color w:val="auto"/>
                <w:sz w:val="24"/>
                <w:szCs w:val="24"/>
                <w:highlight w:val="none"/>
              </w:rPr>
            </w:pPr>
            <w:r>
              <w:rPr>
                <w:rStyle w:val="30"/>
                <w:rFonts w:hint="eastAsia" w:ascii="宋体" w:hAnsi="宋体" w:eastAsia="宋体" w:cs="宋体"/>
                <w:i w:val="0"/>
                <w:iCs w:val="0"/>
                <w:color w:val="auto"/>
                <w:sz w:val="24"/>
                <w:szCs w:val="24"/>
                <w:highlight w:val="none"/>
              </w:rPr>
              <w:t>1</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经年审合格（三证合一）的营业执照；</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cs="宋体"/>
                <w:i w:val="0"/>
                <w:iCs w:val="0"/>
                <w:color w:val="auto"/>
                <w:spacing w:val="-2"/>
                <w:kern w:val="2"/>
                <w:sz w:val="24"/>
                <w:szCs w:val="24"/>
                <w:highlight w:val="none"/>
                <w:lang w:val="en-US" w:eastAsia="zh-CN" w:bidi="ar-SA"/>
              </w:rPr>
              <w:t>具有有效期内的乙级及以上测绘资质(专业范围包含地理信息系统工程)</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3</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cs="宋体"/>
                <w:i w:val="0"/>
                <w:iCs w:val="0"/>
                <w:color w:val="auto"/>
                <w:spacing w:val="-2"/>
                <w:kern w:val="2"/>
                <w:sz w:val="24"/>
                <w:szCs w:val="24"/>
                <w:highlight w:val="none"/>
                <w:lang w:val="en-US" w:eastAsia="zh-CN" w:bidi="ar-SA"/>
              </w:rPr>
              <w:t>提供法人（指本单位）2023年2月至2023年4月单</w:t>
            </w:r>
            <w:r>
              <w:rPr>
                <w:rFonts w:hint="eastAsia" w:ascii="宋体" w:hAnsi="宋体" w:eastAsia="宋体" w:cs="宋体"/>
                <w:i w:val="0"/>
                <w:iCs w:val="0"/>
                <w:color w:val="auto"/>
                <w:spacing w:val="-2"/>
                <w:kern w:val="2"/>
                <w:sz w:val="24"/>
                <w:szCs w:val="24"/>
                <w:highlight w:val="none"/>
                <w:lang w:val="en-US" w:eastAsia="zh-CN" w:bidi="ar-SA"/>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4</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eastAsia="宋体" w:cs="宋体"/>
                <w:i w:val="0"/>
                <w:iCs w:val="0"/>
                <w:color w:val="auto"/>
                <w:spacing w:val="-2"/>
                <w:kern w:val="2"/>
                <w:sz w:val="24"/>
                <w:szCs w:val="24"/>
                <w:highlight w:val="none"/>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0"/>
                <w:rFonts w:hint="eastAsia" w:ascii="宋体" w:hAnsi="宋体" w:eastAsia="宋体" w:cs="宋体"/>
                <w:i w:val="0"/>
                <w:iCs w:val="0"/>
                <w:color w:val="auto"/>
                <w:sz w:val="24"/>
                <w:szCs w:val="24"/>
                <w:highlight w:val="none"/>
                <w:lang w:val="en-US" w:eastAsia="zh-CN"/>
              </w:rPr>
              <w:t>5</w:t>
            </w:r>
          </w:p>
        </w:tc>
        <w:tc>
          <w:tcPr>
            <w:tcW w:w="7446" w:type="dxa"/>
            <w:vAlign w:val="center"/>
          </w:tcPr>
          <w:p>
            <w:pPr>
              <w:spacing w:line="240" w:lineRule="auto"/>
              <w:jc w:val="left"/>
              <w:rPr>
                <w:rFonts w:hint="eastAsia" w:ascii="宋体" w:hAnsi="宋体" w:eastAsia="宋体" w:cs="宋体"/>
                <w:i w:val="0"/>
                <w:iCs w:val="0"/>
                <w:color w:val="auto"/>
                <w:spacing w:val="-2"/>
                <w:kern w:val="2"/>
                <w:sz w:val="24"/>
                <w:szCs w:val="24"/>
                <w:highlight w:val="none"/>
                <w:lang w:val="en-US" w:eastAsia="zh-CN" w:bidi="ar-SA"/>
              </w:rPr>
            </w:pPr>
            <w:r>
              <w:rPr>
                <w:rFonts w:hint="eastAsia" w:ascii="宋体" w:hAnsi="宋体" w:eastAsia="宋体" w:cs="宋体"/>
                <w:i w:val="0"/>
                <w:iCs w:val="0"/>
                <w:color w:val="auto"/>
                <w:spacing w:val="-2"/>
                <w:kern w:val="2"/>
                <w:sz w:val="24"/>
                <w:szCs w:val="24"/>
                <w:highlight w:val="none"/>
                <w:lang w:val="en-US" w:eastAsia="zh-CN" w:bidi="ar-SA"/>
              </w:rPr>
              <w:t>具有良好的商业信誉和健全的财务会计制度：</w:t>
            </w:r>
            <w:r>
              <w:rPr>
                <w:rFonts w:hint="eastAsia" w:ascii="宋体" w:hAnsi="宋体" w:cs="宋体"/>
                <w:i w:val="0"/>
                <w:iCs w:val="0"/>
                <w:color w:val="auto"/>
                <w:spacing w:val="-2"/>
                <w:kern w:val="2"/>
                <w:sz w:val="24"/>
                <w:szCs w:val="24"/>
                <w:highlight w:val="none"/>
                <w:lang w:val="en-US" w:eastAsia="zh-CN" w:bidi="ar-SA"/>
              </w:rPr>
              <w:t>提供2021年度或2022年度由第三方财务审计机构出具</w:t>
            </w:r>
            <w:r>
              <w:rPr>
                <w:rFonts w:hint="eastAsia" w:ascii="宋体" w:hAnsi="宋体" w:eastAsia="宋体" w:cs="宋体"/>
                <w:i w:val="0"/>
                <w:iCs w:val="0"/>
                <w:color w:val="auto"/>
                <w:spacing w:val="-2"/>
                <w:kern w:val="2"/>
                <w:sz w:val="24"/>
                <w:szCs w:val="24"/>
                <w:highlight w:val="none"/>
                <w:lang w:val="en-US" w:eastAsia="zh-CN" w:bidi="ar-SA"/>
              </w:rPr>
              <w:t>的财务审计报告或新成立的企业提供银行出具的近三个月的资信证明；</w:t>
            </w:r>
          </w:p>
        </w:tc>
        <w:tc>
          <w:tcPr>
            <w:tcW w:w="468"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6</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企业负责人为同一人或者存在直接控股、管理关系的不同投标人，不得参加同一合同项下的政府采购活动。否则，皆取消投标资格；</w:t>
            </w:r>
          </w:p>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7</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凡拟参加本次项目的供应商还须提供“参加政府采购活动前3年内在经营活动中没有重大违法记录的书面声明函”；</w:t>
            </w:r>
          </w:p>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8</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是否按照要求足额缴纳投标保证金或保函；</w:t>
            </w: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649" w:type="dxa"/>
            <w:vAlign w:val="center"/>
          </w:tcPr>
          <w:p>
            <w:pPr>
              <w:spacing w:line="240" w:lineRule="auto"/>
              <w:jc w:val="center"/>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9</w:t>
            </w:r>
          </w:p>
        </w:tc>
        <w:tc>
          <w:tcPr>
            <w:tcW w:w="7446" w:type="dxa"/>
            <w:vAlign w:val="center"/>
          </w:tcPr>
          <w:p>
            <w:pPr>
              <w:spacing w:line="240" w:lineRule="auto"/>
              <w:jc w:val="left"/>
              <w:rPr>
                <w:rStyle w:val="30"/>
                <w:rFonts w:hint="eastAsia" w:ascii="宋体" w:hAnsi="宋体" w:eastAsia="宋体" w:cs="宋体"/>
                <w:i w:val="0"/>
                <w:iCs w:val="0"/>
                <w:color w:val="auto"/>
                <w:spacing w:val="-2"/>
                <w:sz w:val="24"/>
                <w:szCs w:val="24"/>
                <w:highlight w:val="none"/>
                <w:lang w:val="en-US" w:eastAsia="zh-CN"/>
              </w:rPr>
            </w:pPr>
            <w:r>
              <w:rPr>
                <w:rStyle w:val="30"/>
                <w:rFonts w:hint="eastAsia" w:ascii="宋体" w:hAnsi="宋体" w:eastAsia="宋体" w:cs="宋体"/>
                <w:i w:val="0"/>
                <w:iCs w:val="0"/>
                <w:color w:val="auto"/>
                <w:spacing w:val="-2"/>
                <w:sz w:val="24"/>
                <w:szCs w:val="24"/>
                <w:highlight w:val="none"/>
                <w:lang w:val="en-US" w:eastAsia="zh-CN"/>
              </w:rPr>
              <w:t>是否提供有效的中小企业声明函。</w:t>
            </w:r>
          </w:p>
        </w:tc>
        <w:tc>
          <w:tcPr>
            <w:tcW w:w="468"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095" w:type="dxa"/>
            <w:gridSpan w:val="2"/>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rPr>
              <w:t>结论：</w:t>
            </w:r>
            <w:r>
              <w:rPr>
                <w:rStyle w:val="30"/>
                <w:rFonts w:hint="eastAsia" w:ascii="宋体" w:hAnsi="宋体" w:eastAsia="宋体" w:cs="宋体"/>
                <w:i w:val="0"/>
                <w:iCs w:val="0"/>
                <w:color w:val="auto"/>
                <w:spacing w:val="-2"/>
                <w:sz w:val="24"/>
                <w:szCs w:val="24"/>
                <w:highlight w:val="none"/>
                <w:lang w:val="en-US" w:eastAsia="zh-CN"/>
              </w:rPr>
              <w:t>结论为符合或不符合</w:t>
            </w:r>
          </w:p>
        </w:tc>
        <w:tc>
          <w:tcPr>
            <w:tcW w:w="468"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44"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0"/>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0"/>
                <w:rFonts w:hint="eastAsia" w:ascii="宋体" w:hAnsi="宋体" w:eastAsia="宋体" w:cs="宋体"/>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9879" w:type="dxa"/>
            <w:gridSpan w:val="6"/>
          </w:tcPr>
          <w:p>
            <w:pPr>
              <w:spacing w:line="240" w:lineRule="auto"/>
              <w:jc w:val="left"/>
              <w:rPr>
                <w:rStyle w:val="30"/>
                <w:rFonts w:hint="eastAsia" w:ascii="宋体" w:hAnsi="宋体" w:eastAsia="宋体" w:cs="宋体"/>
                <w:i w:val="0"/>
                <w:iCs w:val="0"/>
                <w:color w:val="auto"/>
                <w:spacing w:val="-2"/>
                <w:sz w:val="24"/>
                <w:szCs w:val="24"/>
                <w:highlight w:val="none"/>
              </w:rPr>
            </w:pPr>
            <w:r>
              <w:rPr>
                <w:rStyle w:val="30"/>
                <w:rFonts w:hint="eastAsia" w:ascii="宋体" w:hAnsi="宋体" w:eastAsia="宋体" w:cs="宋体"/>
                <w:i w:val="0"/>
                <w:iCs w:val="0"/>
                <w:color w:val="auto"/>
                <w:spacing w:val="-2"/>
                <w:sz w:val="24"/>
                <w:szCs w:val="24"/>
                <w:highlight w:val="none"/>
                <w:lang w:val="en-US" w:eastAsia="zh-CN"/>
              </w:rPr>
              <w:t>符合竞争性磋商文件要求打√，不符合竞争性磋商文件要求打×，结论为符合或不符合。</w:t>
            </w:r>
          </w:p>
        </w:tc>
      </w:tr>
    </w:tbl>
    <w:p>
      <w:pPr>
        <w:spacing w:line="240" w:lineRule="auto"/>
        <w:jc w:val="left"/>
        <w:rPr>
          <w:rFonts w:hint="eastAsia" w:ascii="宋体" w:hAnsi="宋体" w:eastAsia="宋体" w:cs="宋体"/>
          <w:color w:val="auto"/>
          <w:sz w:val="24"/>
          <w:szCs w:val="24"/>
          <w:highlight w:val="none"/>
          <w:lang w:val="zh-CN"/>
        </w:rPr>
      </w:pPr>
      <w:bookmarkStart w:id="57" w:name="_Toc349637925"/>
      <w:bookmarkStart w:id="58" w:name="_Toc298240410"/>
      <w:bookmarkStart w:id="59" w:name="_Toc527642957"/>
      <w:bookmarkStart w:id="60" w:name="_Toc267301287"/>
      <w:bookmarkStart w:id="61" w:name="_Toc349573126"/>
      <w:bookmarkStart w:id="62" w:name="_Toc471489758"/>
      <w:bookmarkStart w:id="63" w:name="_Toc267301288"/>
      <w:r>
        <w:rPr>
          <w:rFonts w:hint="eastAsia" w:ascii="宋体" w:hAnsi="宋体" w:eastAsia="宋体" w:cs="宋体"/>
          <w:color w:val="auto"/>
          <w:sz w:val="24"/>
          <w:szCs w:val="24"/>
          <w:highlight w:val="none"/>
          <w:lang w:val="zh-CN"/>
        </w:rPr>
        <w:t>备注：如果资格评审中有一项不满足审查标准的，磋商小组将认定该供应商不通过资格审查，不得进入下一阶段评审。并且不允许供应商通过修改或撤销其不符合要求的差异或保留，使之成为具有响应性的投标。</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5"/>
        <w:rPr>
          <w:rFonts w:hint="eastAsia" w:ascii="宋体" w:hAnsi="宋体" w:eastAsia="宋体" w:cs="宋体"/>
          <w:color w:val="auto"/>
        </w:rPr>
      </w:pPr>
    </w:p>
    <w:p>
      <w:pP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表</w:t>
      </w:r>
      <w:r>
        <w:rPr>
          <w:rFonts w:hint="eastAsia" w:ascii="宋体" w:hAnsi="宋体" w:eastAsia="宋体" w:cs="宋体"/>
          <w:color w:val="auto"/>
          <w:sz w:val="28"/>
          <w:szCs w:val="28"/>
          <w:highlight w:val="none"/>
          <w:lang w:eastAsia="zh-CN"/>
        </w:rPr>
        <w:t>二：</w:t>
      </w:r>
      <w:r>
        <w:rPr>
          <w:rFonts w:hint="eastAsia" w:ascii="宋体" w:hAnsi="宋体" w:eastAsia="宋体" w:cs="宋体"/>
          <w:b/>
          <w:color w:val="auto"/>
          <w:sz w:val="28"/>
          <w:szCs w:val="28"/>
          <w:highlight w:val="none"/>
          <w:lang w:val="en-US" w:eastAsia="zh-CN"/>
        </w:rPr>
        <w:t>初步评审标准-</w:t>
      </w:r>
      <w:r>
        <w:rPr>
          <w:rFonts w:hint="eastAsia" w:ascii="宋体" w:hAnsi="宋体" w:eastAsia="宋体" w:cs="宋体"/>
          <w:b/>
          <w:color w:val="auto"/>
          <w:sz w:val="28"/>
          <w:szCs w:val="28"/>
          <w:highlight w:val="none"/>
          <w:lang w:eastAsia="zh-CN"/>
        </w:rPr>
        <w:t>响应性</w:t>
      </w:r>
      <w:r>
        <w:rPr>
          <w:rFonts w:hint="eastAsia" w:ascii="宋体" w:hAnsi="宋体" w:eastAsia="宋体" w:cs="宋体"/>
          <w:b/>
          <w:color w:val="auto"/>
          <w:sz w:val="28"/>
          <w:szCs w:val="28"/>
          <w:highlight w:val="none"/>
        </w:rPr>
        <w:t>评审</w:t>
      </w:r>
    </w:p>
    <w:tbl>
      <w:tblPr>
        <w:tblStyle w:val="20"/>
        <w:tblpPr w:leftFromText="180" w:rightFromText="180" w:vertAnchor="text" w:horzAnchor="page" w:tblpX="1350" w:tblpY="616"/>
        <w:tblOverlap w:val="never"/>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5"/>
        <w:gridCol w:w="5545"/>
        <w:gridCol w:w="731"/>
        <w:gridCol w:w="731"/>
        <w:gridCol w:w="709"/>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38" w:type="dxa"/>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6030" w:type="dxa"/>
            <w:gridSpan w:val="2"/>
            <w:noWrap w:val="0"/>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内  容</w:t>
            </w:r>
          </w:p>
        </w:tc>
        <w:tc>
          <w:tcPr>
            <w:tcW w:w="7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投标人1</w:t>
            </w:r>
          </w:p>
        </w:tc>
        <w:tc>
          <w:tcPr>
            <w:tcW w:w="7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w:t>
            </w:r>
          </w:p>
        </w:tc>
        <w:tc>
          <w:tcPr>
            <w:tcW w:w="70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投标人3</w:t>
            </w:r>
          </w:p>
        </w:tc>
        <w:tc>
          <w:tcPr>
            <w:tcW w:w="7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restart"/>
            <w:noWrap w:val="0"/>
            <w:vAlign w:val="center"/>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符合性审查</w:t>
            </w:r>
          </w:p>
        </w:tc>
        <w:tc>
          <w:tcPr>
            <w:tcW w:w="48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是否按照磋商文件规定要求签署、盖章的；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38" w:type="dxa"/>
            <w:vMerge w:val="continue"/>
            <w:noWrap w:val="0"/>
            <w:vAlign w:val="center"/>
          </w:tcPr>
          <w:p>
            <w:pPr>
              <w:rPr>
                <w:rFonts w:hint="eastAsia" w:ascii="宋体" w:hAnsi="宋体" w:eastAsia="宋体" w:cs="宋体"/>
                <w:color w:val="auto"/>
                <w:sz w:val="24"/>
                <w:szCs w:val="24"/>
                <w:highlight w:val="none"/>
                <w:lang w:val="en-US" w:eastAsia="zh-CN"/>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响应文件是否不齐全或者内容虚假的；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响应文件记载的招标项目服务期限是否超过磋商文件规定的服务期限；</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投标有效期是否满足磋商文件要求的；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投标报价没有高于采购预算价；</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投标人对同一招标项目做出两个以上报价未明确效力的；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商务条款是否有偏离情况的；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投标文件是否附有采购人不能接受条件的；</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是否满足磋商文件实质性要求的其他情形；</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宋体" w:hAnsi="宋体" w:eastAsia="宋体" w:cs="宋体"/>
                <w:color w:val="auto"/>
                <w:sz w:val="24"/>
                <w:szCs w:val="24"/>
                <w:highlight w:val="none"/>
              </w:rPr>
            </w:pPr>
          </w:p>
        </w:tc>
        <w:tc>
          <w:tcPr>
            <w:tcW w:w="48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545" w:type="dxa"/>
            <w:noWrap w:val="0"/>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投标保证金的缴纳主体与投标人是否一致；</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768" w:type="dxa"/>
            <w:gridSpan w:val="3"/>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结论：合格/不合格</w:t>
            </w:r>
          </w:p>
        </w:tc>
        <w:tc>
          <w:tcPr>
            <w:tcW w:w="731" w:type="dxa"/>
            <w:noWrap w:val="0"/>
            <w:vAlign w:val="center"/>
          </w:tcPr>
          <w:p>
            <w:pPr>
              <w:rPr>
                <w:rFonts w:hint="eastAsia" w:ascii="宋体" w:hAnsi="宋体" w:eastAsia="宋体" w:cs="宋体"/>
                <w:color w:val="auto"/>
                <w:sz w:val="24"/>
                <w:szCs w:val="24"/>
                <w:highlight w:val="none"/>
              </w:rPr>
            </w:pPr>
          </w:p>
        </w:tc>
        <w:tc>
          <w:tcPr>
            <w:tcW w:w="731" w:type="dxa"/>
            <w:noWrap w:val="0"/>
            <w:vAlign w:val="center"/>
          </w:tcPr>
          <w:p>
            <w:pPr>
              <w:rPr>
                <w:rFonts w:hint="eastAsia" w:ascii="宋体" w:hAnsi="宋体" w:eastAsia="宋体" w:cs="宋体"/>
                <w:color w:val="auto"/>
                <w:sz w:val="24"/>
                <w:szCs w:val="24"/>
                <w:highlight w:val="none"/>
              </w:rPr>
            </w:pPr>
          </w:p>
        </w:tc>
        <w:tc>
          <w:tcPr>
            <w:tcW w:w="709" w:type="dxa"/>
            <w:noWrap w:val="0"/>
            <w:vAlign w:val="center"/>
          </w:tcPr>
          <w:p>
            <w:pPr>
              <w:rPr>
                <w:rFonts w:hint="eastAsia" w:ascii="宋体" w:hAnsi="宋体" w:eastAsia="宋体" w:cs="宋体"/>
                <w:color w:val="auto"/>
                <w:sz w:val="24"/>
                <w:szCs w:val="24"/>
                <w:highlight w:val="none"/>
              </w:rPr>
            </w:pPr>
          </w:p>
        </w:tc>
        <w:tc>
          <w:tcPr>
            <w:tcW w:w="707" w:type="dxa"/>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6" w:type="dxa"/>
            <w:gridSpan w:val="7"/>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46" w:type="dxa"/>
            <w:gridSpan w:val="7"/>
            <w:noWrap w:val="0"/>
            <w:vAlign w:val="center"/>
          </w:tcPr>
          <w:p>
            <w:pPr>
              <w:spacing w:line="24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备注：如果投标文件中有一项未通过上述审查标准，评标委员会将认定整个投标文件不响应</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而予以废标，并且不允许投标人通过修改或撤销其不符合要求的差异或保留，使之成为具有响应性的投标。</w:t>
            </w:r>
          </w:p>
        </w:tc>
      </w:tr>
    </w:tbl>
    <w:p>
      <w:pPr>
        <w:rPr>
          <w:rFonts w:hint="eastAsia" w:ascii="宋体" w:hAnsi="宋体" w:eastAsia="宋体" w:cs="宋体"/>
          <w:b/>
          <w:color w:val="auto"/>
          <w:sz w:val="28"/>
          <w:szCs w:val="28"/>
          <w:highlight w:val="none"/>
        </w:rPr>
        <w:sectPr>
          <w:pgSz w:w="11907" w:h="16839"/>
          <w:pgMar w:top="1431" w:right="1226" w:bottom="0" w:left="1241" w:header="0" w:footer="0" w:gutter="0"/>
          <w:pgNumType w:fmt="numberInDash"/>
          <w:cols w:space="720" w:num="1"/>
        </w:sectPr>
      </w:pPr>
      <w:r>
        <w:rPr>
          <w:rFonts w:hint="eastAsia" w:ascii="宋体" w:hAnsi="宋体" w:eastAsia="宋体" w:cs="宋体"/>
          <w:b/>
          <w:color w:val="auto"/>
          <w:sz w:val="28"/>
          <w:szCs w:val="28"/>
          <w:highlight w:val="none"/>
        </w:rPr>
        <w:br w:type="page"/>
      </w:r>
    </w:p>
    <w:tbl>
      <w:tblPr>
        <w:tblStyle w:val="20"/>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726"/>
        <w:gridCol w:w="1462"/>
        <w:gridCol w:w="4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447"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评分因素</w:t>
            </w: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评分点</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kern w:val="0"/>
                <w:sz w:val="24"/>
                <w:szCs w:val="24"/>
                <w:highlight w:val="none"/>
                <w:lang w:val="en-US" w:eastAsia="zh-CN"/>
              </w:rPr>
              <w:t>详细评审</w:t>
            </w:r>
          </w:p>
        </w:tc>
        <w:tc>
          <w:tcPr>
            <w:tcW w:w="172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kern w:val="0"/>
                <w:sz w:val="24"/>
                <w:szCs w:val="24"/>
                <w:highlight w:val="none"/>
                <w:lang w:val="en-US" w:eastAsia="zh-CN"/>
              </w:rPr>
              <w:t>价格评审（10分）</w:t>
            </w: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投标报价</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（10分）</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评标基准价 =有效投标报价的最低值，有效投标报价等于基准值的得满分，投标报价得分=（评标基准价/投标报价）×价格权重×100。有效投标报价为通过初步审查的供应商报价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zh-CN" w:eastAsia="zh-CN" w:bidi="zh-CN"/>
              </w:rPr>
            </w:pPr>
            <w:r>
              <w:rPr>
                <w:rFonts w:hint="eastAsia" w:asciiTheme="minorEastAsia" w:hAnsiTheme="minorEastAsia" w:eastAsiaTheme="minorEastAsia" w:cstheme="minorEastAsia"/>
                <w:color w:val="auto"/>
                <w:kern w:val="0"/>
                <w:sz w:val="24"/>
                <w:szCs w:val="24"/>
                <w:highlight w:val="none"/>
                <w:lang w:val="en-US" w:eastAsia="zh-CN"/>
              </w:rPr>
              <w:t>商务标评审（37分）</w:t>
            </w: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shd w:val="clear" w:color="auto" w:fill="auto"/>
                <w:lang w:val="en-US" w:eastAsia="zh-CN"/>
              </w:rPr>
            </w:pPr>
            <w:r>
              <w:rPr>
                <w:rFonts w:hint="eastAsia" w:asciiTheme="minorEastAsia" w:hAnsiTheme="minorEastAsia" w:eastAsiaTheme="minorEastAsia" w:cstheme="minorEastAsia"/>
                <w:color w:val="auto"/>
                <w:sz w:val="24"/>
                <w:szCs w:val="24"/>
                <w:highlight w:val="none"/>
                <w:shd w:val="clear" w:color="auto" w:fill="auto"/>
              </w:rPr>
              <w:t>业绩（</w:t>
            </w:r>
            <w:r>
              <w:rPr>
                <w:rFonts w:hint="eastAsia" w:asciiTheme="minorEastAsia" w:hAnsiTheme="minorEastAsia" w:eastAsiaTheme="minorEastAsia" w:cstheme="minorEastAsia"/>
                <w:color w:val="auto"/>
                <w:sz w:val="24"/>
                <w:szCs w:val="24"/>
                <w:highlight w:val="none"/>
                <w:shd w:val="clear" w:color="auto" w:fill="auto"/>
                <w:lang w:val="en-US" w:eastAsia="zh-CN"/>
              </w:rPr>
              <w:t>10</w:t>
            </w:r>
            <w:r>
              <w:rPr>
                <w:rFonts w:hint="eastAsia" w:asciiTheme="minorEastAsia" w:hAnsiTheme="minorEastAsia" w:eastAsiaTheme="minorEastAsia" w:cstheme="minorEastAsia"/>
                <w:color w:val="auto"/>
                <w:sz w:val="24"/>
                <w:szCs w:val="24"/>
                <w:highlight w:val="none"/>
                <w:shd w:val="clear" w:color="auto" w:fill="auto"/>
              </w:rPr>
              <w:t>分）</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供应商近</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五</w:t>
            </w:r>
            <w:r>
              <w:rPr>
                <w:rFonts w:hint="eastAsia" w:asciiTheme="minorEastAsia" w:hAnsiTheme="minorEastAsia" w:eastAsiaTheme="minorEastAsia" w:cstheme="minorEastAsia"/>
                <w:color w:val="auto"/>
                <w:kern w:val="0"/>
                <w:sz w:val="24"/>
                <w:szCs w:val="24"/>
                <w:highlight w:val="none"/>
                <w:shd w:val="clear" w:color="auto" w:fill="auto"/>
              </w:rPr>
              <w:t>年</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完成的</w:t>
            </w:r>
            <w:r>
              <w:rPr>
                <w:rFonts w:hint="eastAsia" w:asciiTheme="minorEastAsia" w:hAnsiTheme="minorEastAsia" w:eastAsiaTheme="minorEastAsia" w:cstheme="minorEastAsia"/>
                <w:color w:val="auto"/>
                <w:kern w:val="0"/>
                <w:sz w:val="24"/>
                <w:szCs w:val="24"/>
                <w:highlight w:val="none"/>
                <w:shd w:val="clear" w:color="auto" w:fill="auto"/>
              </w:rPr>
              <w:t>相关业绩，每一项类似业绩得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2.5</w:t>
            </w:r>
            <w:r>
              <w:rPr>
                <w:rFonts w:hint="eastAsia" w:asciiTheme="minorEastAsia" w:hAnsiTheme="minorEastAsia" w:eastAsiaTheme="minorEastAsia" w:cstheme="minorEastAsia"/>
                <w:color w:val="auto"/>
                <w:kern w:val="0"/>
                <w:sz w:val="24"/>
                <w:szCs w:val="24"/>
                <w:highlight w:val="none"/>
                <w:shd w:val="clear" w:color="auto" w:fill="auto"/>
              </w:rPr>
              <w:t>分，满分</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分。（提供中标通知书</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或</w:t>
            </w:r>
            <w:r>
              <w:rPr>
                <w:rFonts w:hint="eastAsia" w:asciiTheme="minorEastAsia" w:hAnsiTheme="minorEastAsia" w:eastAsiaTheme="minorEastAsia" w:cstheme="minorEastAsia"/>
                <w:color w:val="auto"/>
                <w:kern w:val="0"/>
                <w:sz w:val="24"/>
                <w:szCs w:val="24"/>
                <w:highlight w:val="none"/>
                <w:shd w:val="clear" w:color="auto" w:fill="auto"/>
              </w:rPr>
              <w:t>合同；以合同签订时间为准，提供合同关键页扫描件，提供不全或不提供的不</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得</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rPr>
              <w:t>专业技术人员配备情况（</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w:t>
            </w:r>
          </w:p>
        </w:tc>
        <w:tc>
          <w:tcPr>
            <w:tcW w:w="4689"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项目组专业技术人员结构合理，项目组人员具有测绘类相关专业职称，高级职称每有1人得2分，中级职称每有1人得1分，初级职称每一个得0.5分。最多得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10</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462"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lang w:val="en-US" w:eastAsia="zh-CN"/>
              </w:rPr>
            </w:pPr>
            <w:r>
              <w:rPr>
                <w:rFonts w:hint="eastAsia" w:asciiTheme="minorEastAsia" w:hAnsiTheme="minorEastAsia" w:eastAsiaTheme="minorEastAsia" w:cstheme="minorEastAsia"/>
                <w:color w:val="auto"/>
                <w:kern w:val="0"/>
                <w:sz w:val="24"/>
                <w:szCs w:val="24"/>
                <w:highlight w:val="none"/>
                <w:shd w:val="clear" w:color="auto" w:fill="auto"/>
              </w:rPr>
              <w:t>管理制度体系（</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7</w:t>
            </w:r>
            <w:r>
              <w:rPr>
                <w:rFonts w:hint="eastAsia" w:asciiTheme="minorEastAsia" w:hAnsiTheme="minorEastAsia" w:eastAsiaTheme="minorEastAsia" w:cstheme="minorEastAsia"/>
                <w:color w:val="auto"/>
                <w:kern w:val="0"/>
                <w:sz w:val="24"/>
                <w:szCs w:val="24"/>
                <w:highlight w:val="none"/>
                <w:shd w:val="clear" w:color="auto" w:fill="auto"/>
              </w:rPr>
              <w:t>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各投标人需有完备、合理、严谨的内部管理制度体系。评审委员会将依据各投标人提供的资料进行对比打分。有管理制度得基本分</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5</w:t>
            </w:r>
            <w:r>
              <w:rPr>
                <w:rFonts w:hint="eastAsia" w:asciiTheme="minorEastAsia" w:hAnsiTheme="minorEastAsia" w:eastAsiaTheme="minorEastAsia" w:cstheme="minorEastAsia"/>
                <w:color w:val="auto"/>
                <w:kern w:val="0"/>
                <w:sz w:val="24"/>
                <w:szCs w:val="24"/>
                <w:highlight w:val="none"/>
                <w:shd w:val="clear" w:color="auto" w:fill="auto"/>
              </w:rPr>
              <w:t>分。具备完成本次工作的具体管理制度得</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7</w:t>
            </w:r>
            <w:r>
              <w:rPr>
                <w:rFonts w:hint="eastAsia" w:asciiTheme="minorEastAsia" w:hAnsiTheme="minorEastAsia" w:eastAsiaTheme="minorEastAsia" w:cstheme="minorEastAsia"/>
                <w:color w:val="auto"/>
                <w:kern w:val="0"/>
                <w:sz w:val="24"/>
                <w:szCs w:val="24"/>
                <w:highlight w:val="none"/>
                <w:shd w:val="clear" w:color="auto" w:fil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bidi="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项目负责人（5分）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0"/>
                <w:sz w:val="24"/>
                <w:szCs w:val="24"/>
                <w:highlight w:val="none"/>
                <w:shd w:val="clear" w:color="auto" w:fill="auto"/>
              </w:rPr>
            </w:pPr>
            <w:r>
              <w:rPr>
                <w:rFonts w:hint="eastAsia" w:asciiTheme="minorEastAsia" w:hAnsiTheme="minorEastAsia" w:eastAsiaTheme="minorEastAsia" w:cstheme="minorEastAsia"/>
                <w:color w:val="auto"/>
                <w:kern w:val="0"/>
                <w:sz w:val="24"/>
                <w:szCs w:val="24"/>
                <w:highlight w:val="none"/>
                <w:shd w:val="clear" w:color="auto" w:fill="auto"/>
              </w:rPr>
              <w:t>拟投入本项目项目负责人具有相关专业高级工程师资格证书的得5分；项目负责人具有相关专业中级职称得2分。初级职称及以下不得分。（需提供职称证明材料）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廉洁自律承诺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承诺企业及相关人员在本项目实施期间廉洁自律拒绝商业贿赂的得5分否则不得分</w:t>
            </w:r>
            <w:r>
              <w:rPr>
                <w:rFonts w:hint="eastAsia" w:asciiTheme="minorEastAsia" w:hAnsiTheme="minorEastAsia" w:eastAsiaTheme="minorEastAsia" w:cstheme="minorEastAsia"/>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tl w:val="0"/>
                <w:lang w:val="en-US" w:eastAsia="zh-CN" w:bidi="zh-CN"/>
              </w:rPr>
            </w:pPr>
          </w:p>
        </w:tc>
        <w:tc>
          <w:tcPr>
            <w:tcW w:w="172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技术标</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评审</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sz w:val="24"/>
                <w:szCs w:val="24"/>
                <w:highlight w:val="none"/>
                <w:rtl w:val="0"/>
                <w:lang w:val="en-US" w:eastAsia="zh-CN" w:bidi="zh-CN"/>
              </w:rPr>
            </w:pPr>
            <w:r>
              <w:rPr>
                <w:rFonts w:hint="eastAsia" w:asciiTheme="minorEastAsia" w:hAnsiTheme="minorEastAsia" w:eastAsiaTheme="minorEastAsia" w:cstheme="minorEastAsia"/>
                <w:color w:val="auto"/>
                <w:kern w:val="0"/>
                <w:sz w:val="24"/>
                <w:szCs w:val="24"/>
                <w:highlight w:val="none"/>
                <w:lang w:val="en-US" w:eastAsia="zh-CN"/>
              </w:rPr>
              <w:t>（53分）</w:t>
            </w: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服务质量保障措施（8分）</w:t>
            </w:r>
          </w:p>
        </w:tc>
        <w:tc>
          <w:tcPr>
            <w:tcW w:w="4689"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根据供应商针对本项目的服务质量保障措施进行评审：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有严格合理的质量保证体系，对整个项目质量管理有具体的保障制度和措施，针对性强，能很好的保证项目质量，得</w:t>
            </w:r>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提供有较合理质量保证措施，质量保证及质量承诺符合项目需求，得</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提供相对简单的质量保证措施，没有针对性，得</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未提供质量保证措施得0分。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tl w:val="0"/>
                <w:lang w:val="en-US" w:eastAsia="zh-CN" w:bidi="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项目理解和响应程度（</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4689" w:type="dxa"/>
            <w:vAlign w:val="top"/>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kern w:val="0"/>
                <w:sz w:val="24"/>
                <w:szCs w:val="24"/>
                <w:highlight w:val="none"/>
              </w:rPr>
              <w:t>主要工作内容的理解和响应程度</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rtl w:val="0"/>
                <w:lang w:val="en-US" w:eastAsia="zh-CN" w:bidi="zh-CN"/>
              </w:rPr>
              <w:t xml:space="preserve">根据投标人对采购需求的理解程度，重点难点的分析进行情况评审：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 xml:space="preserve">对采购需求理解透彻，对项目重点难点的理解十分到位，提出的重点难点有利于项目实施，满足或优于采购需求的，得10分；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对采购需求理解比较透彻，对项目重点难点的理解比较到位，提出的重点难点比较有利于项目实施，比较满足采购需求的，得6分；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对采购需求理解一般，对项目重点难点的理解分析基本到位，基本符合采购需求的，得4分；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bidi="zh-CN"/>
              </w:rPr>
            </w:pPr>
            <w:r>
              <w:rPr>
                <w:rFonts w:hint="eastAsia" w:asciiTheme="minorEastAsia" w:hAnsiTheme="minorEastAsia" w:eastAsiaTheme="minorEastAsia" w:cstheme="minorEastAsia"/>
                <w:color w:val="auto"/>
                <w:sz w:val="24"/>
                <w:szCs w:val="24"/>
                <w:highlight w:val="none"/>
                <w:rtl w:val="0"/>
                <w:lang w:val="en-US" w:eastAsia="zh-CN" w:bidi="zh-CN"/>
              </w:rPr>
              <w:t>对采购需求理解较差，对项目重点难点的理解分析有所欠缺，不能满足采购需求的，得1分；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bidi="zh-CN"/>
              </w:rPr>
              <w:t xml:space="preserve">其他或无响应，得0分。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bidi="zh-CN"/>
              </w:rPr>
            </w:pPr>
          </w:p>
        </w:tc>
        <w:tc>
          <w:tcPr>
            <w:tcW w:w="172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highlight w:val="none"/>
                <w:lang w:val="en-US" w:eastAsia="zh-CN"/>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项目实施总体思路、实施方案（20分）</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项目实施总体思路与技术路线的可 行性、合理性：</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内容与深度完全符合招标文件要求和本项目实际发展需求，工作思路清晰，合理，得20分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内容与深度符合招标文件要求和本项目实际发展需求，工作思路较清晰，得12分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tl w:val="0"/>
                <w:lang w:val="en-US" w:eastAsia="zh-CN"/>
              </w:rPr>
            </w:pPr>
            <w:r>
              <w:rPr>
                <w:rFonts w:hint="eastAsia" w:asciiTheme="minorEastAsia" w:hAnsiTheme="minorEastAsia" w:eastAsiaTheme="minorEastAsia" w:cstheme="minorEastAsia"/>
                <w:color w:val="auto"/>
                <w:sz w:val="24"/>
                <w:szCs w:val="24"/>
                <w:highlight w:val="none"/>
                <w:rtl w:val="0"/>
                <w:lang w:val="en-US" w:eastAsia="zh-CN"/>
              </w:rPr>
              <w:t>内容与深度完全与招标文件要求和本项目实际发展需求符合度不足，工作思路一般，得6分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成果文件内容（</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 ）</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提供的主要成果内容完整性：主要成果完整，数据库、文字报告、图、表齐全，得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分；主要成果较完整，数据库较齐全，有图表，得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分；成果内容不完整，得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tl w:val="0"/>
                <w:lang w:val="en-US" w:eastAsia="zh-CN"/>
              </w:rPr>
              <w:t>后续服务承诺（5分）</w:t>
            </w:r>
          </w:p>
        </w:tc>
        <w:tc>
          <w:tcPr>
            <w:tcW w:w="4689" w:type="dxa"/>
            <w:vAlign w:val="top"/>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根据</w:t>
            </w:r>
            <w:r>
              <w:rPr>
                <w:rFonts w:hint="eastAsia" w:asciiTheme="minorEastAsia" w:hAnsiTheme="minorEastAsia" w:eastAsiaTheme="minorEastAsia" w:cstheme="minorEastAsia"/>
                <w:color w:val="auto"/>
                <w:sz w:val="24"/>
                <w:szCs w:val="24"/>
                <w:highlight w:val="none"/>
              </w:rPr>
              <w:t>后续服务内容、响应和解决问题时间承诺，服务措施详细可行，违约处罚承诺，服务机构及人员</w:t>
            </w:r>
            <w:r>
              <w:rPr>
                <w:rFonts w:hint="eastAsia" w:asciiTheme="minorEastAsia" w:hAnsiTheme="minorEastAsia" w:eastAsiaTheme="minorEastAsia" w:cstheme="minorEastAsia"/>
                <w:color w:val="auto"/>
                <w:sz w:val="24"/>
                <w:szCs w:val="24"/>
                <w:highlight w:val="none"/>
                <w:lang w:val="en-US" w:eastAsia="zh-CN"/>
              </w:rPr>
              <w:t>进行评审</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后续服务内容明确、响应和解决问题时间承诺及时，服务措施详细可行，且有违约处罚承诺，服务机构及人员</w:t>
            </w:r>
            <w:r>
              <w:rPr>
                <w:rFonts w:hint="eastAsia" w:asciiTheme="minorEastAsia" w:hAnsiTheme="minorEastAsia" w:eastAsiaTheme="minorEastAsia" w:cstheme="minorEastAsia"/>
                <w:color w:val="auto"/>
                <w:sz w:val="24"/>
                <w:szCs w:val="24"/>
                <w:highlight w:val="none"/>
                <w:lang w:val="en-US" w:eastAsia="zh-CN"/>
              </w:rPr>
              <w:t>明确；</w:t>
            </w:r>
            <w:r>
              <w:rPr>
                <w:rFonts w:hint="eastAsia" w:asciiTheme="minorEastAsia" w:hAnsiTheme="minorEastAsia" w:eastAsiaTheme="minorEastAsia" w:cstheme="minorEastAsia"/>
                <w:color w:val="auto"/>
                <w:sz w:val="24"/>
                <w:szCs w:val="24"/>
                <w:highlight w:val="none"/>
                <w:lang w:val="en-US" w:eastAsia="zh-CN" w:bidi="zh-CN"/>
              </w:rPr>
              <w:t>得3分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Theme="minorEastAsia" w:hAnsiTheme="minorEastAsia" w:eastAsiaTheme="minorEastAsia" w:cstheme="minorEastAsia"/>
                <w:color w:val="auto"/>
                <w:sz w:val="24"/>
                <w:szCs w:val="24"/>
                <w:highlight w:val="none"/>
                <w:lang w:val="en-US" w:eastAsia="zh-CN" w:bidi="zh-CN"/>
              </w:rPr>
            </w:pPr>
            <w:r>
              <w:rPr>
                <w:rFonts w:hint="eastAsia" w:asciiTheme="minorEastAsia" w:hAnsiTheme="minorEastAsia" w:eastAsiaTheme="minorEastAsia" w:cstheme="minorEastAsia"/>
                <w:color w:val="auto"/>
                <w:sz w:val="24"/>
                <w:szCs w:val="24"/>
                <w:highlight w:val="none"/>
                <w:lang w:val="en-US" w:eastAsia="zh-CN" w:bidi="zh-CN"/>
              </w:rPr>
              <w:t>承诺提供后期服务，承诺服务内容较完善，具有对本项目长期跟踪研究服务的能力，承诺提供后续服务，得5分</w:t>
            </w:r>
          </w:p>
          <w:p>
            <w:pPr>
              <w:pStyle w:val="16"/>
              <w:rPr>
                <w:rFonts w:hint="eastAsia" w:asciiTheme="minorEastAsia" w:hAnsiTheme="minorEastAsia" w:eastAsiaTheme="minorEastAsia" w:cstheme="minorEastAsia"/>
                <w:color w:val="auto"/>
                <w:sz w:val="24"/>
                <w:szCs w:val="24"/>
                <w:highlight w:val="none"/>
                <w:lang w:val="en-US" w:bidi="zh-CN"/>
              </w:rPr>
            </w:pPr>
            <w:r>
              <w:rPr>
                <w:rFonts w:hint="eastAsia" w:asciiTheme="minorEastAsia" w:hAnsiTheme="minorEastAsia" w:eastAsiaTheme="minorEastAsia" w:cstheme="minorEastAsia"/>
                <w:color w:val="auto"/>
                <w:sz w:val="24"/>
                <w:szCs w:val="24"/>
                <w:highlight w:val="none"/>
                <w:lang w:val="en-US" w:bidi="zh-CN"/>
              </w:rPr>
              <w:t>服务内容含糊不确定，得3分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bidi="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721"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sz w:val="24"/>
                <w:szCs w:val="24"/>
                <w:highlight w:val="none"/>
              </w:rPr>
            </w:pPr>
          </w:p>
        </w:tc>
        <w:tc>
          <w:tcPr>
            <w:tcW w:w="1726" w:type="dxa"/>
            <w:vMerge w:val="continue"/>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highlight w:val="none"/>
              </w:rPr>
            </w:pPr>
          </w:p>
        </w:tc>
        <w:tc>
          <w:tcPr>
            <w:tcW w:w="1462"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项目实施进度计划（</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4689"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根据各投标人提供的计划安排的合理性、工期的长短、组织实施及进度安排方案进行综合评审：</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严格把握提交时限，根据本项目工作的关键时间点有序推进，项目进度控制科学，时间节点清晰合理，并附有详细的确保完成工作措施，得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满足招标文件中规定的服务期限要求，各阶段时间节点较为明确，并附有较详细的确保完成工作措施，得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只承诺满足招标文件中规定的服务期限以内完成的，时间节点划分照搬招标文件或较为简单，得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未承诺满足招标文件中规定的服务期限以内完成的，时间节点划分照搬招标文件，得0分。</w:t>
            </w:r>
          </w:p>
        </w:tc>
      </w:tr>
    </w:tbl>
    <w:p>
      <w:pPr>
        <w:pStyle w:val="27"/>
        <w:rPr>
          <w:rFonts w:hint="eastAsia" w:ascii="宋体" w:hAnsi="宋体" w:eastAsia="宋体" w:cs="宋体"/>
          <w:b/>
          <w:color w:val="auto"/>
          <w:sz w:val="28"/>
          <w:szCs w:val="28"/>
          <w:highlight w:val="none"/>
          <w:lang w:val="en-US" w:eastAsia="zh-CN"/>
        </w:rPr>
      </w:pP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注：1、各评委应认真了解本磋商文件和工程有关情况后，做出须自己负责的评审。</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技术商务标在进行汇总时，分项项目评分进行算术平均，计算结果值在小数点后保留两位小数，后余位数四舍五入计。项目评审过程中，不得去掉最后报价中的最高报价和最低报价。</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、供应商请认真阅读和理解上述内容，避免投标文件中有违背上述审查标准之一的情况发生而造成废标；评标中各评委若发生意见分歧，通过书面表决形式，以少数服从多数为原则决定。</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6、磋商小组应当根据</w:t>
      </w:r>
      <w:r>
        <w:rPr>
          <w:rFonts w:hint="eastAsia" w:ascii="宋体" w:hAnsi="宋体" w:eastAsia="宋体" w:cs="宋体"/>
          <w:color w:val="auto"/>
          <w:sz w:val="24"/>
          <w:szCs w:val="24"/>
          <w:highlight w:val="none"/>
          <w:lang w:val="en-US" w:eastAsia="zh-CN"/>
        </w:rPr>
        <w:t>磋商报价</w:t>
      </w:r>
      <w:r>
        <w:rPr>
          <w:rFonts w:hint="eastAsia" w:ascii="宋体" w:hAnsi="宋体" w:eastAsia="宋体" w:cs="宋体"/>
          <w:color w:val="auto"/>
          <w:sz w:val="24"/>
          <w:szCs w:val="24"/>
          <w:highlight w:val="none"/>
          <w:lang w:val="zh-CN"/>
        </w:rPr>
        <w:t>情况，按照</w:t>
      </w:r>
      <w:r>
        <w:rPr>
          <w:rFonts w:hint="eastAsia" w:ascii="宋体" w:hAnsi="宋体" w:eastAsia="宋体" w:cs="宋体"/>
          <w:color w:val="auto"/>
          <w:sz w:val="24"/>
          <w:szCs w:val="24"/>
          <w:highlight w:val="none"/>
          <w:lang w:val="en-US" w:eastAsia="zh-CN"/>
        </w:rPr>
        <w:t>最终报</w:t>
      </w:r>
      <w:r>
        <w:rPr>
          <w:rFonts w:hint="eastAsia" w:ascii="宋体" w:hAnsi="宋体" w:eastAsia="宋体" w:cs="宋体"/>
          <w:color w:val="auto"/>
          <w:sz w:val="24"/>
          <w:szCs w:val="24"/>
          <w:highlight w:val="none"/>
          <w:lang w:val="zh-CN"/>
        </w:rPr>
        <w:t>由</w:t>
      </w:r>
      <w:r>
        <w:rPr>
          <w:rFonts w:hint="eastAsia" w:ascii="宋体" w:hAnsi="宋体" w:eastAsia="宋体" w:cs="宋体"/>
          <w:color w:val="auto"/>
          <w:sz w:val="24"/>
          <w:szCs w:val="24"/>
          <w:highlight w:val="none"/>
          <w:lang w:val="en-US" w:eastAsia="zh-CN"/>
        </w:rPr>
        <w:t>低</w:t>
      </w:r>
      <w:r>
        <w:rPr>
          <w:rFonts w:hint="eastAsia" w:ascii="宋体" w:hAnsi="宋体" w:eastAsia="宋体" w:cs="宋体"/>
          <w:color w:val="auto"/>
          <w:sz w:val="24"/>
          <w:szCs w:val="24"/>
          <w:highlight w:val="none"/>
          <w:lang w:val="zh-CN"/>
        </w:rPr>
        <w:t>到</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lang w:val="zh-CN"/>
        </w:rPr>
        <w:t>顺序推荐3名成交候选供应商。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授予合同</w:t>
      </w:r>
      <w:bookmarkEnd w:id="57"/>
      <w:bookmarkEnd w:id="58"/>
      <w:bookmarkEnd w:id="59"/>
      <w:bookmarkEnd w:id="60"/>
      <w:bookmarkEnd w:id="61"/>
      <w:bookmarkEnd w:id="62"/>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28．合同授予标准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28.1合同将授予被确定为实质上响应</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文件要求，符合采购需求、质量和服务相等且</w:t>
      </w:r>
      <w:r>
        <w:rPr>
          <w:rFonts w:hint="eastAsia" w:ascii="宋体" w:hAnsi="宋体" w:eastAsia="宋体" w:cs="宋体"/>
          <w:color w:val="auto"/>
          <w:sz w:val="24"/>
          <w:szCs w:val="24"/>
          <w:highlight w:val="none"/>
          <w:lang w:val="en-US" w:eastAsia="zh-CN"/>
        </w:rPr>
        <w:t>报综合得分最高</w:t>
      </w:r>
      <w:r>
        <w:rPr>
          <w:rFonts w:hint="eastAsia" w:ascii="宋体" w:hAnsi="宋体" w:eastAsia="宋体" w:cs="宋体"/>
          <w:color w:val="auto"/>
          <w:sz w:val="24"/>
          <w:szCs w:val="24"/>
          <w:highlight w:val="none"/>
        </w:rPr>
        <w:t>的供应商。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28.2 </w:t>
      </w:r>
      <w:r>
        <w:rPr>
          <w:rFonts w:hint="eastAsia" w:ascii="宋体" w:hAnsi="宋体" w:eastAsia="宋体" w:cs="宋体"/>
          <w:color w:val="auto"/>
          <w:sz w:val="24"/>
          <w:szCs w:val="24"/>
          <w:highlight w:val="none"/>
          <w:lang w:val="en-US" w:eastAsia="zh-CN"/>
        </w:rPr>
        <w:t>未通过资格审查和符合性审查的</w:t>
      </w:r>
      <w:r>
        <w:rPr>
          <w:rFonts w:hint="eastAsia" w:ascii="宋体" w:hAnsi="宋体" w:eastAsia="宋体" w:cs="宋体"/>
          <w:color w:val="auto"/>
          <w:sz w:val="24"/>
          <w:szCs w:val="24"/>
          <w:highlight w:val="none"/>
        </w:rPr>
        <w:t>最低报价不一定是被授予合同的保证。</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28.3排名第一的成交候选人放弃中标、因不可抗力不能履行合同、不按照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要求提交履约保证金，或者被查实存在影响中标结果的违法行为等情形，不符合成交条件的，采购人可以按照</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提出的成交候选人名单排序依次确定其他中标候选人为成交供应商，也可以重新招标。</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29．接受和拒绝任何或所有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29.1为维护国家利益，买方在授予合同之前仍有选择或拒绝任何全部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的权力，并对所采取的行为不作任何解释。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．成交通知书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评标结束后在“新疆政府采购网”（网址：http://www.ccgp-xinjiang.gov.cn/）上予以公告。公告有效期1个工作日；</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招标代理机构根据</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标结果，在投标有效期届满前，以书面形式向中标单位发出中标通知书。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招标代理机构将</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标结果及时通知未中标单位并退还投标保证金。无需解释落标原因。</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招标人有权在定标之前拒绝任何有不正当行为或扰乱正常招标工作的投标人，由此对投标人造成的损失不负任何责任，同时对此无需做任何解释。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在成交通知书发出后五个工作日内退还未成交供应商的保证金，在采购合同签订后五个工作日内退还成交供应商的保证金。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31．签订合同</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供应商收到《成交通知书》后，按《成交通知书》中规定的时间地点与买方签订合同。买方和成交方不得再订立背离合同实质性内容的其他协议。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如成交方拒签合同，则按违约处理。招标代理机构没收其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文件、成交方的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响应文件及其澄清文件等，均为签订经济合同的依据。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32．履约保证金（如适用）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32.1成交方应按合同规定的方式、时间和金额向买方提交履约保证金。履约保证金</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不超过</w:t>
      </w:r>
      <w:r>
        <w:rPr>
          <w:rFonts w:hint="eastAsia" w:ascii="宋体" w:hAnsi="宋体" w:eastAsia="宋体" w:cs="宋体"/>
          <w:color w:val="auto"/>
          <w:sz w:val="24"/>
          <w:szCs w:val="24"/>
          <w:highlight w:val="none"/>
          <w:lang w:eastAsia="zh-CN"/>
        </w:rPr>
        <w:t>合同价款的</w:t>
      </w:r>
      <w:r>
        <w:rPr>
          <w:rFonts w:hint="eastAsia" w:ascii="宋体" w:hAnsi="宋体" w:eastAsia="宋体" w:cs="宋体"/>
          <w:color w:val="auto"/>
          <w:sz w:val="24"/>
          <w:szCs w:val="24"/>
          <w:highlight w:val="none"/>
          <w:lang w:val="en-US" w:eastAsia="zh-CN"/>
        </w:rPr>
        <w:t>10%。（具体以与甲方协商约定为准）。</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按差额定率累进法计算</w:t>
      </w:r>
      <w:r>
        <w:rPr>
          <w:rFonts w:hint="eastAsia" w:ascii="宋体" w:hAnsi="宋体" w:eastAsia="宋体" w:cs="宋体"/>
          <w:color w:val="auto"/>
          <w:sz w:val="24"/>
          <w:szCs w:val="24"/>
          <w:highlight w:val="none"/>
          <w:lang w:val="en-US" w:eastAsia="zh-CN"/>
        </w:rPr>
        <w:t>收取：100万元以下收取1.5%，100万-500万元收取0.8%，500万-1000万元收取0.45%，1000万-5000万元收取0.25%，5000万-1亿元收取0.1%，以此类推。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例如：中标金额为100.8万元，则招标代理服务收费额为（100万元X1.5%）+（0.8万元X1.1%）=15088.00元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中标单位在领取成交通知书时一次性支付</w:t>
      </w:r>
      <w:r>
        <w:rPr>
          <w:rFonts w:hint="eastAsia" w:ascii="宋体" w:hAnsi="宋体" w:eastAsia="宋体" w:cs="宋体"/>
          <w:color w:val="auto"/>
          <w:sz w:val="24"/>
          <w:szCs w:val="24"/>
          <w:highlight w:val="none"/>
        </w:rPr>
        <w:t>。</w:t>
      </w:r>
    </w:p>
    <w:p>
      <w:pPr>
        <w:pStyle w:val="4"/>
        <w:spacing w:before="100" w:beforeAutospacing="1" w:after="100" w:afterAutospacing="1" w:line="240" w:lineRule="auto"/>
        <w:jc w:val="center"/>
        <w:rPr>
          <w:rFonts w:hint="eastAsia" w:ascii="宋体" w:hAnsi="宋体" w:eastAsia="宋体" w:cs="宋体"/>
          <w:bCs/>
          <w:color w:val="auto"/>
          <w:sz w:val="28"/>
          <w:szCs w:val="28"/>
          <w:highlight w:val="none"/>
        </w:rPr>
      </w:pPr>
      <w:bookmarkStart w:id="64" w:name="_Toc471489759"/>
      <w:bookmarkStart w:id="65" w:name="_Toc527642958"/>
      <w:r>
        <w:rPr>
          <w:rFonts w:hint="eastAsia" w:ascii="宋体" w:hAnsi="宋体" w:eastAsia="宋体" w:cs="宋体"/>
          <w:color w:val="auto"/>
          <w:sz w:val="28"/>
          <w:szCs w:val="28"/>
          <w:highlight w:val="none"/>
        </w:rPr>
        <w:t xml:space="preserve">G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失败条件</w:t>
      </w:r>
      <w:bookmarkEnd w:id="64"/>
      <w:bookmarkEnd w:id="65"/>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34.出现影响采购公正的违法、违规行为的；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35.因重大变故，采购任务取消的；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36.磋商响应文件截止时间后，实际参与的供应商不足法定家数的；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37.最终报价均超过采购预算的；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38.对磋商文件作出实质性响应的供应商不足法定家数的；</w:t>
      </w:r>
    </w:p>
    <w:p>
      <w:pPr>
        <w:pStyle w:val="3"/>
        <w:numPr>
          <w:ilvl w:val="0"/>
          <w:numId w:val="0"/>
        </w:numPr>
        <w:spacing w:line="400" w:lineRule="atLeast"/>
        <w:jc w:val="center"/>
        <w:rPr>
          <w:rFonts w:hint="eastAsia" w:ascii="宋体" w:hAnsi="宋体" w:eastAsia="宋体" w:cs="宋体"/>
          <w:color w:val="auto"/>
          <w:sz w:val="28"/>
          <w:szCs w:val="28"/>
          <w:highlight w:val="none"/>
        </w:rPr>
      </w:pPr>
      <w:bookmarkStart w:id="66" w:name="_Toc349637926"/>
      <w:bookmarkStart w:id="67" w:name="_Toc527642959"/>
      <w:bookmarkStart w:id="68" w:name="_Toc298240411"/>
      <w:bookmarkStart w:id="69" w:name="_Toc28010"/>
      <w:bookmarkStart w:id="70" w:name="_Toc349573127"/>
      <w:r>
        <w:rPr>
          <w:rFonts w:hint="eastAsia" w:ascii="宋体" w:hAnsi="宋体" w:eastAsia="宋体" w:cs="宋体"/>
          <w:color w:val="auto"/>
          <w:sz w:val="28"/>
          <w:szCs w:val="28"/>
          <w:highlight w:val="none"/>
          <w:lang w:val="en-US" w:eastAsia="zh-CN"/>
        </w:rPr>
        <w:t xml:space="preserve">H </w:t>
      </w:r>
      <w:r>
        <w:rPr>
          <w:rFonts w:hint="eastAsia" w:ascii="宋体" w:hAnsi="宋体" w:eastAsia="宋体" w:cs="宋体"/>
          <w:color w:val="auto"/>
          <w:sz w:val="28"/>
          <w:szCs w:val="28"/>
          <w:highlight w:val="none"/>
        </w:rPr>
        <w:t>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39.1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（一）提供虚假材料谋取中标的；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（二）采取不正当手段诋毁、排挤其他投标人的；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（三）与招标人、采购人、其他投标人恶意串通的；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（四）向招标人、采购人行贿或者提供其他不正当利益的；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（五）在招标过程中与招标人、采购人进行协商磋商、不按照招标文件、投标文件订立合同，或者与采购人另行订立背离合同实质性内容的协议的；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（六）拒绝有关部门监督检查或者提供虚假情况的。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投标人有前款第（一）至（五）项情形之一的，中标无效。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中标人有下列情形之一的，招标人不予退还其交纳的投标保证金；情节严重的，由财政部门将其列入不良行为记录名单，在一至三年内禁止参加政府采购活动，并予以通报：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（一）中标后无正当理由不与采购人签订合同的；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（二）将中标项目转让给他人，或者在投标文件中未说明，且未经招标人同意，将中标项目分包给他人的；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（三）拒绝履行合同义务的。</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I   </w:t>
      </w:r>
      <w:r>
        <w:rPr>
          <w:rFonts w:hint="eastAsia" w:ascii="宋体" w:hAnsi="宋体" w:eastAsia="宋体" w:cs="宋体"/>
          <w:color w:val="auto"/>
          <w:sz w:val="28"/>
          <w:szCs w:val="28"/>
          <w:highlight w:val="none"/>
        </w:rPr>
        <w:t>特别提示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40、投标人应认真研读招标文件，充分考虑招标文件中的技术要求和合同条款后编制投标文件。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41、如招标文件中未提供的各类表格样式，投标人可另行设计表格样式，但力求内容完整，表达清晰、准确。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42、本项目实行网上投标，采用电子投标文件。若供应商参与投标，自行承担投标一切费用。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43、各供应商应在开标前应确保成为新疆维吾尔自治区政府采购网正式注册入库供应商，并完成CA数字证书申领。因未注册入库、未办理CA数字证书等原因造成无法投标或投标失败等后果由供应商自行承担。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46、本招标文件是根据《中华人民共和国政府采购法》规定编制的，解释权属新疆金誉达项目管理有限公司。</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J  </w:t>
      </w:r>
      <w:r>
        <w:rPr>
          <w:rFonts w:hint="eastAsia" w:ascii="宋体" w:hAnsi="宋体" w:eastAsia="宋体" w:cs="宋体"/>
          <w:color w:val="auto"/>
          <w:sz w:val="28"/>
          <w:szCs w:val="28"/>
          <w:highlight w:val="none"/>
        </w:rPr>
        <w:t>质疑及答复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47、质疑的提出</w:t>
      </w:r>
      <w:r>
        <w:rPr>
          <w:rFonts w:hint="eastAsia" w:ascii="宋体" w:hAnsi="宋体" w:eastAsia="宋体" w:cs="宋体"/>
          <w:color w:val="auto"/>
          <w:sz w:val="24"/>
          <w:szCs w:val="24"/>
          <w:highlight w:val="none"/>
          <w:lang w:val="en-US" w:eastAsia="zh-CN"/>
        </w:rPr>
        <w:tab/>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 本采购文件中所称质疑及答复，是指参加本次采购活动的供应商对政府采购活动中的采购文件、采购过程和中标结果向采购方提出质疑，采购方答复质疑的行为。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 供应商认为采购文件、采购过程和中标结果使自己的权益受到损害的，可以在知道或者应知其权益受到损害之日起 7 个工作日内，以书面形式向采购方提出质疑。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47.2.1供应商应知其权益受到损害之日，是指：</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（一）对可以质疑的采购文件提出质疑的，为收到采购文件之日或者采购文件公告期限届满之日；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（二）对采购过程提出质疑的，为各采购程序环节结束之日；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（三）对中标结果提出质疑的，为中标结果公告期限届满之日。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47.3 对可以质疑的采购文件提出质疑的，质疑人为参与本项目的报价方或潜在报价方。可质疑的文件为采购公告以及采购文件（包括属于其组成部分的澄清、修改、补充文件和评审标准、合同文本等）。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47.5   提出质疑应当符合下列条件：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（一）质疑主体应当符合有关规定；</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（二）在质疑法定期限内提出；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（三）属于可以提出质疑的政府采购事项受理范围和本项目采购人的管辖权范围；</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（四）政府采购法律、法规、规章规定的其他条件。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47.7 质疑人所提供的证明材料应当具有真实性、合法性以及与质疑事项的关联性和证明力，否则不能作为认定该质疑事项成立的依据。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47.8 质疑人提出质疑时应当提交质疑函。质疑函包括下列内容：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（一）提出质疑的质疑人的名称、地址、邮编、联系人及联系电话等；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（二）质疑项目的名称、编号；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（四）事实依据和证明材料；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（六）提出质疑的日期。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47.9  质疑函采用实名制。质疑人为自然人的应当由本人签字，并附有效身份证明文件；质疑人为法人或者非法人组织的应当由法定代表人或者负责人签字并加盖公章，并附有效身份证明文件。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47.10 质疑人可以委托代理人进行质疑。代理人应当提交授权委托书。授权委托书应当载明委托代理的具体权限、期限和相关事项。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48、质疑的审查和受理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采购方在收到质疑函后应当及时审查是否符合质疑受理条件，对符合质疑受理条件的，及时予以受理。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48.2对不符合质疑受理条件的，分别按照下列不同情形予以处理：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（一）质疑函内容不符合规定的，告知质疑人进行修改并重新提出质疑。修改后质疑事项仍不具体、不明确或者最终递交质疑函的时间超过质疑法定期限的，不予受理；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（二）质疑主体不符合有关规定的，告知质疑人不予受理；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（三）超过质疑法定期限提出质疑的，告知质疑人不予受理；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（四）对不属于可以提出质疑的政府采购事项提出质疑的，告知质疑人不予受理；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（五）质疑不属于本项目采购方管辖的，告知质疑人向有管辖权的采购人提出质疑；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（六）质疑不符合其他条件的，告知质疑人不予受理。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48、质疑的处理和答复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按照《政府采购质疑和投诉办法（财政部94号令）》处理及答复质疑。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 采购方受理质疑后，将及时把质疑函发送给被质疑人，并要求其在一定限期人提交书面答复，同时提供有关证据、依据和相关材料。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48.3 对于质疑事项中涉及的问题较多、情况比较复杂的，为了全面查清事实、取得充分的证据，采购方认为有必要时，可以进行调查取证或者组织质证。</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48.4对评审过程、中标结果提出质疑的，采购方可以组织原评审委员会协助答复质疑。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48.5质疑处理过程中，质疑人书面申请撤回质疑的，将终止质疑处理程序。</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48.6质疑人拒绝配合采购方依法对质疑进行调查处理的，采购方将按质疑人自动撤回质疑处理；被质疑人拒绝配合采购方依法对质疑进行调查处理的，采购方将视同其认可质疑事项。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48.7 采购方将在正式受理质疑后 7 个工作日内作出答复，但处理质疑需要进行调查取证、组织专家评审、质疑人及被质疑人提交或补正材料等所需时间，不计算在质疑处理期限内。</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48.8 采购方经调查、论证、核实，认定质疑不能成立的，继续开展采购活动；认定质疑成立的，按照以下情况处理：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48.9 采购方将书面答复质疑，质疑答复包括下列内容：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（一）质疑人名称；</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（二）收到质疑函的日期、质疑项目名称及编号;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（三）质疑事项、质疑答复的具体内容、事实依据和法律依据；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（四）告知质疑人依法投诉的权利；</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（五）质疑答复日期。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48.10 质疑人有下列行为之一的，属于虚假、恶意质疑，将由采购方建议财政部门将其列入不良行为记录名单，禁止其 1 至 3 年内参加政府采购活动：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（一）受理后发现投诉不符合法定受理条件；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（二）投诉事项缺乏事实依据，投诉事项不成立；</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（三）投诉人捏造事实或者提供虚假材料；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（四）投诉人以非法手段取得证明材料。证据来源的合法性存在明显疑问，投诉人无法证明其取得方式合法的，视为以非法手段取得证明材料。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（五）法律法规规定的其他违法情形。</w:t>
      </w: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color w:val="auto"/>
          <w:spacing w:val="25"/>
          <w:sz w:val="24"/>
          <w:highlight w:val="none"/>
        </w:rPr>
      </w:pPr>
    </w:p>
    <w:p>
      <w:pPr>
        <w:shd w:val="clear" w:color="auto" w:fill="auto"/>
        <w:spacing w:before="101" w:line="225" w:lineRule="auto"/>
        <w:ind w:left="3656"/>
        <w:rPr>
          <w:rFonts w:hint="eastAsia" w:ascii="宋体" w:hAnsi="宋体" w:eastAsia="宋体" w:cs="宋体"/>
          <w:b/>
          <w:bCs/>
          <w:color w:val="auto"/>
          <w:sz w:val="28"/>
          <w:szCs w:val="21"/>
          <w:highlight w:val="none"/>
        </w:rPr>
      </w:pPr>
      <w:r>
        <w:rPr>
          <w:rFonts w:hint="eastAsia" w:ascii="宋体" w:hAnsi="宋体" w:eastAsia="宋体" w:cs="宋体"/>
          <w:b/>
          <w:bCs/>
          <w:color w:val="auto"/>
          <w:spacing w:val="25"/>
          <w:sz w:val="28"/>
          <w:szCs w:val="21"/>
          <w:highlight w:val="none"/>
        </w:rPr>
        <w:t>质</w:t>
      </w:r>
      <w:r>
        <w:rPr>
          <w:rFonts w:hint="eastAsia" w:ascii="宋体" w:hAnsi="宋体" w:eastAsia="宋体" w:cs="宋体"/>
          <w:b/>
          <w:bCs/>
          <w:color w:val="auto"/>
          <w:spacing w:val="24"/>
          <w:sz w:val="28"/>
          <w:szCs w:val="21"/>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71" w:name="_Toc25739"/>
      <w:bookmarkStart w:id="72" w:name="_Toc5896"/>
      <w:bookmarkStart w:id="73" w:name="_Toc1299"/>
      <w:bookmarkStart w:id="74" w:name="_Toc110010425"/>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71"/>
      <w:bookmarkEnd w:id="72"/>
      <w:bookmarkEnd w:id="73"/>
      <w:bookmarkEnd w:id="74"/>
    </w:p>
    <w:p>
      <w:pPr>
        <w:shd w:val="clear" w:color="auto" w:fill="auto"/>
        <w:spacing w:before="77"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r>
        <w:rPr>
          <w:rFonts w:hint="eastAsia" w:ascii="宋体" w:hAnsi="宋体" w:eastAsia="宋体" w:cs="宋体"/>
          <w:color w:val="auto"/>
          <w:sz w:val="24"/>
          <w:highlight w:val="none"/>
          <w:u w:val="dotted"/>
        </w:rPr>
        <w:t xml:space="preserve">                                       </w:t>
      </w:r>
    </w:p>
    <w:p>
      <w:pPr>
        <w:shd w:val="clear" w:color="auto" w:fill="auto"/>
        <w:spacing w:before="21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11"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205"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r>
        <w:rPr>
          <w:rFonts w:hint="eastAsia" w:ascii="宋体" w:hAnsi="宋体" w:eastAsia="宋体" w:cs="宋体"/>
          <w:color w:val="auto"/>
          <w:sz w:val="24"/>
          <w:highlight w:val="none"/>
          <w:u w:val="dotted"/>
        </w:rPr>
        <w:t xml:space="preserve">                                         </w:t>
      </w:r>
    </w:p>
    <w:p>
      <w:pPr>
        <w:shd w:val="clear" w:color="auto" w:fill="auto"/>
        <w:spacing w:before="21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208"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75" w:name="_Toc15098"/>
      <w:bookmarkStart w:id="76" w:name="_Toc1061"/>
      <w:bookmarkStart w:id="77" w:name="_Toc110010426"/>
      <w:bookmarkStart w:id="78" w:name="_Toc3585"/>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75"/>
      <w:bookmarkEnd w:id="76"/>
      <w:bookmarkEnd w:id="77"/>
      <w:bookmarkEnd w:id="78"/>
    </w:p>
    <w:p>
      <w:pPr>
        <w:shd w:val="clear" w:color="auto" w:fill="auto"/>
        <w:spacing w:before="173"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r>
        <w:rPr>
          <w:rFonts w:hint="eastAsia" w:ascii="宋体" w:hAnsi="宋体" w:eastAsia="宋体" w:cs="宋体"/>
          <w:color w:val="auto"/>
          <w:sz w:val="24"/>
          <w:highlight w:val="none"/>
          <w:u w:val="dotted"/>
        </w:rPr>
        <w:t xml:space="preserve">                                         </w:t>
      </w:r>
    </w:p>
    <w:p>
      <w:pPr>
        <w:shd w:val="clear" w:color="auto" w:fill="auto"/>
        <w:spacing w:before="210"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5"/>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r>
        <w:rPr>
          <w:rFonts w:hint="eastAsia" w:ascii="宋体" w:hAnsi="宋体" w:eastAsia="宋体" w:cs="宋体"/>
          <w:color w:val="auto"/>
          <w:sz w:val="24"/>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79" w:name="_Toc32569"/>
      <w:bookmarkStart w:id="80" w:name="_Toc14686"/>
      <w:bookmarkStart w:id="81" w:name="_Toc22496"/>
      <w:bookmarkStart w:id="82" w:name="_Toc110010427"/>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79"/>
      <w:bookmarkEnd w:id="80"/>
      <w:bookmarkEnd w:id="81"/>
      <w:bookmarkEnd w:id="82"/>
    </w:p>
    <w:p>
      <w:pPr>
        <w:shd w:val="clear" w:color="auto" w:fill="auto"/>
        <w:spacing w:before="184"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 1：</w:t>
      </w:r>
      <w:r>
        <w:rPr>
          <w:rFonts w:hint="eastAsia" w:ascii="宋体" w:hAnsi="宋体" w:eastAsia="宋体" w:cs="宋体"/>
          <w:color w:val="auto"/>
          <w:sz w:val="24"/>
          <w:highlight w:val="none"/>
          <w:u w:val="dotted"/>
        </w:rPr>
        <w:t xml:space="preserve">                                             </w:t>
      </w:r>
    </w:p>
    <w:p>
      <w:pPr>
        <w:shd w:val="clear" w:color="auto" w:fill="auto"/>
        <w:spacing w:before="211"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 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签字(签章)：                          日期：</w:t>
      </w:r>
    </w:p>
    <w:p>
      <w:pPr>
        <w:shd w:val="clear" w:color="auto" w:fill="auto"/>
        <w:spacing w:before="56" w:line="185" w:lineRule="auto"/>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rPr>
          <w:rFonts w:hint="eastAsia" w:ascii="宋体" w:hAnsi="宋体" w:eastAsia="宋体" w:cs="宋体"/>
          <w:color w:val="auto"/>
        </w:rPr>
      </w:pP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质疑函制作说明：</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 体分包号。</w:t>
      </w:r>
    </w:p>
    <w:p>
      <w:pPr>
        <w:shd w:val="clear" w:color="auto" w:fill="auto"/>
        <w:spacing w:line="14"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4.质疑函的质疑事项应具体、明确，并有必要的事实依据和法律</w:t>
      </w:r>
      <w:r>
        <w:rPr>
          <w:rFonts w:hint="eastAsia" w:ascii="宋体" w:hAnsi="宋体" w:eastAsia="宋体" w:cs="宋体"/>
          <w:color w:val="auto"/>
          <w:sz w:val="24"/>
          <w:highlight w:val="none"/>
          <w:lang w:val="en-US" w:eastAsia="zh-CN"/>
        </w:rPr>
        <w:t>+</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依据。</w:t>
      </w:r>
    </w:p>
    <w:p>
      <w:pPr>
        <w:shd w:val="clear" w:color="auto" w:fill="auto"/>
        <w:spacing w:line="14"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shd w:val="clear" w:color="auto" w:fill="auto"/>
        <w:spacing w:line="14" w:lineRule="auto"/>
        <w:rPr>
          <w:rFonts w:hint="eastAsia" w:ascii="宋体" w:hAnsi="宋体" w:eastAsia="宋体" w:cs="宋体"/>
          <w:color w:val="auto"/>
          <w:sz w:val="24"/>
          <w:highlight w:val="none"/>
        </w:rPr>
        <w:sectPr>
          <w:footerReference r:id="rId8" w:type="default"/>
          <w:pgSz w:w="11905" w:h="16838"/>
          <w:pgMar w:top="1304" w:right="964" w:bottom="1020" w:left="1191" w:header="567" w:footer="454" w:gutter="0"/>
          <w:pgNumType w:fmt="numberInDash"/>
          <w:cols w:space="720" w:num="1"/>
          <w:rtlGutter w:val="0"/>
          <w:docGrid w:type="lines" w:linePitch="317" w:charSpace="0"/>
        </w:sectPr>
      </w:pPr>
      <w:r>
        <w:rPr>
          <w:rFonts w:hint="eastAsia" w:ascii="宋体" w:hAnsi="宋体" w:eastAsia="宋体" w:cs="宋体"/>
          <w:color w:val="auto"/>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before="101" w:line="225" w:lineRule="auto"/>
        <w:ind w:left="3656"/>
        <w:rPr>
          <w:rFonts w:hint="eastAsia" w:ascii="宋体" w:hAnsi="宋体" w:eastAsia="宋体" w:cs="宋体"/>
          <w:b/>
          <w:bCs/>
          <w:color w:val="auto"/>
          <w:spacing w:val="24"/>
          <w:sz w:val="28"/>
          <w:szCs w:val="21"/>
          <w:highlight w:val="none"/>
        </w:rPr>
      </w:pPr>
      <w:r>
        <w:rPr>
          <w:rFonts w:hint="eastAsia" w:ascii="宋体" w:hAnsi="宋体" w:eastAsia="宋体" w:cs="宋体"/>
          <w:b/>
          <w:bCs/>
          <w:color w:val="auto"/>
          <w:spacing w:val="24"/>
          <w:sz w:val="28"/>
          <w:szCs w:val="21"/>
          <w:highlight w:val="none"/>
        </w:rPr>
        <w:t>投诉书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83" w:name="_Toc110010429"/>
      <w:bookmarkStart w:id="84" w:name="_Toc26371"/>
      <w:bookmarkStart w:id="85" w:name="_Toc21592"/>
      <w:bookmarkStart w:id="86" w:name="_Toc5746"/>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83"/>
      <w:bookmarkEnd w:id="84"/>
      <w:bookmarkEnd w:id="85"/>
      <w:bookmarkEnd w:id="86"/>
    </w:p>
    <w:p>
      <w:pPr>
        <w:shd w:val="clear" w:color="auto" w:fill="auto"/>
        <w:spacing w:before="1" w:line="220" w:lineRule="auto"/>
        <w:ind w:left="508"/>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r>
        <w:rPr>
          <w:rFonts w:hint="eastAsia" w:ascii="宋体" w:hAnsi="宋体" w:eastAsia="宋体" w:cs="宋体"/>
          <w:color w:val="auto"/>
          <w:sz w:val="24"/>
          <w:highlight w:val="none"/>
          <w:u w:val="dotted"/>
        </w:rPr>
        <w:t xml:space="preserve">                                                 </w:t>
      </w:r>
    </w:p>
    <w:p>
      <w:pPr>
        <w:shd w:val="clear" w:color="auto" w:fill="auto"/>
        <w:spacing w:before="10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r>
        <w:rPr>
          <w:rFonts w:hint="eastAsia" w:ascii="宋体" w:hAnsi="宋体" w:eastAsia="宋体" w:cs="宋体"/>
          <w:color w:val="auto"/>
          <w:sz w:val="24"/>
          <w:highlight w:val="none"/>
          <w:u w:val="dotted"/>
        </w:rPr>
        <w:t xml:space="preserve">                                  </w:t>
      </w:r>
    </w:p>
    <w:p>
      <w:pPr>
        <w:shd w:val="clear" w:color="auto" w:fill="auto"/>
        <w:spacing w:before="10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99"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 1：</w:t>
      </w:r>
    </w:p>
    <w:p>
      <w:pPr>
        <w:shd w:val="clear" w:color="auto" w:fill="auto"/>
        <w:spacing w:before="101" w:line="185"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r>
        <w:rPr>
          <w:rFonts w:hint="eastAsia" w:ascii="宋体" w:hAnsi="宋体" w:eastAsia="宋体" w:cs="宋体"/>
          <w:color w:val="auto"/>
          <w:sz w:val="24"/>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87" w:name="_Toc25199"/>
      <w:bookmarkStart w:id="88" w:name="_Toc110010430"/>
      <w:bookmarkStart w:id="89" w:name="_Toc377"/>
      <w:bookmarkStart w:id="90" w:name="_Toc27620"/>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87"/>
      <w:bookmarkEnd w:id="88"/>
      <w:bookmarkEnd w:id="89"/>
      <w:bookmarkEnd w:id="90"/>
    </w:p>
    <w:p>
      <w:pPr>
        <w:shd w:val="clear" w:color="auto" w:fill="auto"/>
        <w:spacing w:before="6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10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5"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u w:val="single"/>
        </w:rPr>
        <w:t xml:space="preserve">  是/否 </w:t>
      </w:r>
      <w:r>
        <w:rPr>
          <w:rFonts w:hint="eastAsia" w:ascii="宋体" w:hAnsi="宋体" w:eastAsia="宋体" w:cs="宋体"/>
          <w:color w:val="auto"/>
          <w:spacing w:val="7"/>
          <w:sz w:val="24"/>
          <w:highlight w:val="none"/>
        </w:rPr>
        <w:t xml:space="preserve"> 公告期限</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 xml:space="preserve">  是/否 </w:t>
      </w:r>
      <w:r>
        <w:rPr>
          <w:rFonts w:hint="eastAsia" w:ascii="宋体" w:hAnsi="宋体" w:eastAsia="宋体" w:cs="宋体"/>
          <w:color w:val="auto"/>
          <w:spacing w:val="-1"/>
          <w:sz w:val="24"/>
          <w:highlight w:val="none"/>
        </w:rPr>
        <w:t xml:space="preserve"> 公告期限：</w:t>
      </w:r>
      <w:r>
        <w:rPr>
          <w:rFonts w:hint="eastAsia" w:ascii="宋体" w:hAnsi="宋体" w:eastAsia="宋体" w:cs="宋体"/>
          <w:color w:val="auto"/>
          <w:spacing w:val="-1"/>
          <w:sz w:val="24"/>
          <w:highlight w:val="none"/>
          <w:u w:val="dotted"/>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日 ，向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年</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月</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日，就质疑</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法定期限内做出答复。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 1 ：</w:t>
      </w:r>
      <w:r>
        <w:rPr>
          <w:rFonts w:hint="eastAsia" w:ascii="宋体" w:hAnsi="宋体" w:eastAsia="宋体" w:cs="宋体"/>
          <w:color w:val="auto"/>
          <w:sz w:val="24"/>
          <w:highlight w:val="none"/>
          <w:u w:val="dotted"/>
        </w:rPr>
        <w:t xml:space="preserve">                                            </w:t>
      </w:r>
    </w:p>
    <w:p>
      <w:pPr>
        <w:shd w:val="clear" w:color="auto" w:fill="auto"/>
        <w:spacing w:before="100"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 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
          <w:position w:val="11"/>
          <w:sz w:val="24"/>
          <w:highlight w:val="none"/>
        </w:rPr>
        <w:t>签字(签</w:t>
      </w:r>
      <w:r>
        <w:rPr>
          <w:rFonts w:hint="eastAsia" w:ascii="宋体" w:hAnsi="宋体" w:eastAsia="宋体" w:cs="宋体"/>
          <w:color w:val="auto"/>
          <w:spacing w:val="-1"/>
          <w:position w:val="11"/>
          <w:sz w:val="24"/>
          <w:highlight w:val="none"/>
        </w:rPr>
        <w:t xml:space="preserve">章)： </w:t>
      </w: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r>
        <w:rPr>
          <w:rFonts w:hint="eastAsia" w:ascii="宋体" w:hAnsi="宋体" w:eastAsia="宋体" w:cs="宋体"/>
          <w:color w:val="auto"/>
          <w:spacing w:val="-1"/>
          <w:position w:val="11"/>
          <w:sz w:val="24"/>
          <w:highlight w:val="none"/>
        </w:rPr>
        <w:t xml:space="preserve"> </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pStyle w:val="5"/>
        <w:keepNext/>
        <w:keepLines/>
        <w:pageBreakBefore w:val="0"/>
        <w:widowControl w:val="0"/>
        <w:numPr>
          <w:ilvl w:val="0"/>
          <w:numId w:val="6"/>
        </w:numPr>
        <w:kinsoku/>
        <w:wordWrap/>
        <w:overflowPunct/>
        <w:topLinePunct w:val="0"/>
        <w:autoSpaceDE/>
        <w:autoSpaceDN/>
        <w:bidi w:val="0"/>
        <w:adjustRightInd/>
        <w:snapToGrid/>
        <w:spacing w:line="356" w:lineRule="atLeast"/>
        <w:jc w:val="center"/>
        <w:textAlignment w:val="auto"/>
        <w:outlineLvl w:val="0"/>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lang w:val="en-US" w:eastAsia="zh-CN" w:bidi="ar-SA"/>
        </w:rPr>
        <w:br w:type="page"/>
      </w:r>
      <w:r>
        <w:rPr>
          <w:rFonts w:hint="eastAsia" w:ascii="宋体" w:hAnsi="宋体" w:eastAsia="宋体" w:cs="宋体"/>
          <w:color w:val="auto"/>
          <w:sz w:val="28"/>
          <w:szCs w:val="28"/>
          <w:highlight w:val="none"/>
        </w:rPr>
        <w:t xml:space="preserve">  </w:t>
      </w:r>
      <w:bookmarkEnd w:id="63"/>
      <w:bookmarkEnd w:id="66"/>
      <w:bookmarkEnd w:id="67"/>
      <w:bookmarkEnd w:id="68"/>
      <w:bookmarkEnd w:id="69"/>
      <w:bookmarkEnd w:id="70"/>
      <w:bookmarkStart w:id="91" w:name="_Toc10290"/>
      <w:r>
        <w:rPr>
          <w:rFonts w:hint="eastAsia" w:ascii="宋体" w:hAnsi="宋体" w:eastAsia="宋体" w:cs="宋体"/>
          <w:color w:val="auto"/>
          <w:highlight w:val="none"/>
          <w:lang w:val="en-US" w:eastAsia="zh-CN"/>
        </w:rPr>
        <w:t>服务要求</w:t>
      </w:r>
    </w:p>
    <w:p>
      <w:pPr>
        <w:spacing w:before="91" w:line="220" w:lineRule="auto"/>
        <w:ind w:left="56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14:textOutline w14:w="5094" w14:cap="flat" w14:cmpd="sng">
            <w14:solidFill>
              <w14:srgbClr w14:val="000000"/>
            </w14:solidFill>
            <w14:prstDash w14:val="solid"/>
            <w14:miter w14:val="0"/>
          </w14:textOutline>
        </w:rPr>
        <w:t>一</w:t>
      </w:r>
      <w:r>
        <w:rPr>
          <w:rFonts w:hint="eastAsia" w:ascii="宋体" w:hAnsi="宋体" w:eastAsia="宋体" w:cs="宋体"/>
          <w:color w:val="auto"/>
          <w:spacing w:val="-8"/>
          <w:sz w:val="24"/>
          <w:szCs w:val="24"/>
          <w:highlight w:val="none"/>
          <w14:textOutline w14:w="5094" w14:cap="flat" w14:cmpd="sng">
            <w14:solidFill>
              <w14:srgbClr w14:val="000000"/>
            </w14:solidFill>
            <w14:prstDash w14:val="solid"/>
            <w14:miter w14:val="0"/>
          </w14:textOutline>
        </w:rPr>
        <w:t>、项目概况：</w:t>
      </w:r>
    </w:p>
    <w:p>
      <w:pPr>
        <w:spacing w:before="91" w:line="414" w:lineRule="auto"/>
        <w:ind w:left="421" w:firstLine="841"/>
        <w:rPr>
          <w:rFonts w:hint="eastAsia" w:ascii="宋体" w:hAnsi="宋体" w:eastAsia="宋体" w:cs="宋体"/>
          <w:color w:val="auto"/>
          <w:spacing w:val="-10"/>
          <w:sz w:val="24"/>
          <w:szCs w:val="24"/>
          <w:highlight w:val="none"/>
        </w:rPr>
      </w:pPr>
      <w:r>
        <w:rPr>
          <w:rFonts w:hint="eastAsia" w:ascii="宋体" w:hAnsi="宋体" w:eastAsia="宋体" w:cs="宋体"/>
          <w:color w:val="auto"/>
          <w:spacing w:val="2"/>
          <w:sz w:val="24"/>
          <w:szCs w:val="24"/>
          <w:highlight w:val="none"/>
        </w:rPr>
        <w:t>本项目为</w:t>
      </w:r>
      <w:r>
        <w:rPr>
          <w:rFonts w:hint="eastAsia" w:ascii="宋体" w:hAnsi="宋体" w:eastAsia="宋体" w:cs="宋体"/>
          <w:color w:val="auto"/>
          <w:kern w:val="0"/>
          <w:sz w:val="24"/>
          <w:szCs w:val="24"/>
          <w:highlight w:val="none"/>
          <w:lang w:eastAsia="zh-CN"/>
        </w:rPr>
        <w:t>洛浦县2021年度、2022年度耕地进出平衡总体方案编制采购项目采购项目</w:t>
      </w:r>
      <w:r>
        <w:rPr>
          <w:rFonts w:hint="eastAsia" w:ascii="宋体" w:hAnsi="宋体" w:eastAsia="宋体" w:cs="宋体"/>
          <w:color w:val="auto"/>
          <w:spacing w:val="-10"/>
          <w:sz w:val="24"/>
          <w:szCs w:val="24"/>
          <w:highlight w:val="none"/>
        </w:rPr>
        <w:t>。</w:t>
      </w:r>
    </w:p>
    <w:p>
      <w:pPr>
        <w:spacing w:before="91" w:line="414" w:lineRule="auto"/>
        <w:ind w:firstLine="880" w:firstLineChars="400"/>
        <w:rPr>
          <w:rFonts w:hint="eastAsia" w:ascii="宋体" w:hAnsi="宋体" w:eastAsia="宋体" w:cs="宋体"/>
          <w:color w:val="auto"/>
          <w:sz w:val="24"/>
          <w:szCs w:val="24"/>
          <w:highlight w:val="none"/>
        </w:rPr>
      </w:pPr>
      <w:r>
        <w:rPr>
          <w:rFonts w:hint="eastAsia" w:ascii="宋体" w:hAnsi="宋体" w:cs="宋体"/>
          <w:color w:val="auto"/>
          <w:spacing w:val="-10"/>
          <w:sz w:val="24"/>
          <w:szCs w:val="24"/>
          <w:highlight w:val="none"/>
          <w:lang w:val="en-US" w:eastAsia="zh-CN"/>
        </w:rPr>
        <w:t>服务需求：</w:t>
      </w:r>
      <w:r>
        <w:rPr>
          <w:rFonts w:hint="eastAsia" w:ascii="宋体" w:hAnsi="宋体" w:eastAsia="宋体" w:cs="宋体"/>
          <w:color w:val="auto"/>
          <w:spacing w:val="-10"/>
          <w:sz w:val="24"/>
          <w:szCs w:val="24"/>
          <w:highlight w:val="none"/>
        </w:rPr>
        <w:t>需要按照要求编制《和田地区洛浦县2021年度耕地“进出平衡”总体方案》和《和田地区洛浦县2022年度耕地“进出平衡”总体方案》 </w:t>
      </w:r>
    </w:p>
    <w:p>
      <w:pPr>
        <w:spacing w:before="53" w:line="220" w:lineRule="auto"/>
        <w:ind w:left="567"/>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5094" w14:cap="flat" w14:cmpd="sng">
            <w14:solidFill>
              <w14:srgbClr w14:val="000000"/>
            </w14:solidFill>
            <w14:prstDash w14:val="solid"/>
            <w14:miter w14:val="0"/>
          </w14:textOutline>
        </w:rPr>
        <w:t>二、项目服务要</w:t>
      </w:r>
      <w:r>
        <w:rPr>
          <w:rFonts w:hint="eastAsia" w:ascii="宋体" w:hAnsi="宋体" w:eastAsia="宋体" w:cs="宋体"/>
          <w:color w:val="auto"/>
          <w:sz w:val="24"/>
          <w:szCs w:val="24"/>
          <w:highlight w:val="none"/>
          <w14:textOutline w14:w="5094" w14:cap="flat" w14:cmpd="sng">
            <w14:solidFill>
              <w14:srgbClr w14:val="000000"/>
            </w14:solidFill>
            <w14:prstDash w14:val="solid"/>
            <w14:miter w14:val="0"/>
          </w14:textOutline>
        </w:rPr>
        <w:t>求</w:t>
      </w:r>
    </w:p>
    <w:p>
      <w:pPr>
        <w:spacing w:before="155" w:line="220" w:lineRule="auto"/>
        <w:ind w:left="58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3"/>
          <w:sz w:val="24"/>
          <w:szCs w:val="24"/>
          <w:highlight w:val="none"/>
        </w:rPr>
        <w:t>、项目地点：</w:t>
      </w:r>
      <w:r>
        <w:rPr>
          <w:rFonts w:hint="eastAsia" w:ascii="宋体" w:hAnsi="宋体" w:eastAsia="宋体" w:cs="宋体"/>
          <w:color w:val="auto"/>
          <w:spacing w:val="-3"/>
          <w:sz w:val="24"/>
          <w:szCs w:val="24"/>
          <w:highlight w:val="none"/>
          <w:lang w:eastAsia="zh-CN"/>
        </w:rPr>
        <w:t>洛浦县</w:t>
      </w:r>
    </w:p>
    <w:p>
      <w:pPr>
        <w:spacing w:before="100" w:line="418" w:lineRule="auto"/>
        <w:ind w:firstLine="594" w:firstLineChars="236"/>
        <w:rPr>
          <w:rFonts w:hint="eastAsia" w:ascii="宋体" w:hAnsi="宋体" w:cs="宋体"/>
          <w:color w:val="auto"/>
          <w:kern w:val="0"/>
          <w:sz w:val="24"/>
          <w:szCs w:val="24"/>
          <w:highlight w:val="none"/>
          <w:lang w:eastAsia="zh-CN"/>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、工作内容：</w:t>
      </w:r>
      <w:r>
        <w:rPr>
          <w:rFonts w:hint="eastAsia" w:ascii="宋体" w:hAnsi="宋体" w:eastAsia="宋体" w:cs="宋体"/>
          <w:color w:val="auto"/>
          <w:kern w:val="0"/>
          <w:sz w:val="24"/>
          <w:szCs w:val="24"/>
          <w:highlight w:val="none"/>
          <w:lang w:eastAsia="zh-CN"/>
        </w:rPr>
        <w:t>编制2021年度、2022年度洛浦县耕地“进出平衡”总体方案。需明确2022年内将耕地转为林地、草地、园地等其他农用地和农业设施建设用地的规模、布局、时序和年度内落实“进出平衡”的安排，形成“进出平衡”数据库,将耕地转出和转入情况严格落图、落地、落实</w:t>
      </w:r>
      <w:r>
        <w:rPr>
          <w:rFonts w:hint="eastAsia" w:ascii="宋体" w:hAnsi="宋体" w:cs="宋体"/>
          <w:color w:val="auto"/>
          <w:kern w:val="0"/>
          <w:sz w:val="24"/>
          <w:szCs w:val="24"/>
          <w:highlight w:val="none"/>
          <w:lang w:eastAsia="zh-CN"/>
        </w:rPr>
        <w:t>。</w:t>
      </w:r>
    </w:p>
    <w:p>
      <w:pPr>
        <w:pStyle w:val="2"/>
        <w:rPr>
          <w:rFonts w:hint="eastAsia" w:ascii="宋体" w:hAnsi="宋体" w:cs="宋体"/>
          <w:color w:val="auto"/>
          <w:kern w:val="0"/>
          <w:sz w:val="24"/>
          <w:szCs w:val="24"/>
          <w:highlight w:val="none"/>
          <w:lang w:eastAsia="zh-CN"/>
        </w:rPr>
      </w:pPr>
    </w:p>
    <w:p>
      <w:pPr>
        <w:rPr>
          <w:rFonts w:hint="eastAsia"/>
          <w:color w:val="auto"/>
          <w:lang w:eastAsia="zh-CN"/>
        </w:rPr>
        <w:sectPr>
          <w:pgSz w:w="11907" w:h="16839"/>
          <w:pgMar w:top="1431" w:right="1230" w:bottom="0" w:left="1244" w:header="0" w:footer="0" w:gutter="0"/>
          <w:pgNumType w:fmt="numberInDash"/>
          <w:cols w:space="720" w:num="1"/>
        </w:sectPr>
      </w:pPr>
    </w:p>
    <w:p>
      <w:pPr>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第四部分 合同条款及格式</w:t>
      </w:r>
      <w:bookmarkEnd w:id="91"/>
    </w:p>
    <w:p>
      <w:pPr>
        <w:pStyle w:val="2"/>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92" w:name="_Toc3044_WPSOffice_Level1"/>
      <w:bookmarkStart w:id="93" w:name="_Toc372_WPSOffice_Level1"/>
      <w:bookmarkStart w:id="94" w:name="_Toc7342_WPSOffice_Level1"/>
      <w:bookmarkStart w:id="95" w:name="_Toc349573138"/>
      <w:bookmarkStart w:id="96" w:name="_Toc267301296"/>
      <w:bookmarkStart w:id="97" w:name="_Toc298240423"/>
      <w:bookmarkStart w:id="98" w:name="_Toc349637937"/>
      <w:bookmarkStart w:id="99" w:name="_Toc13252"/>
      <w:bookmarkStart w:id="100" w:name="_Toc349573144"/>
      <w:bookmarkStart w:id="101" w:name="_Toc527642969"/>
      <w:bookmarkStart w:id="102" w:name="_Toc507690272"/>
      <w:bookmarkStart w:id="103" w:name="_Toc298240429"/>
      <w:bookmarkStart w:id="104" w:name="_Toc349637943"/>
      <w:r>
        <w:rPr>
          <w:rFonts w:hint="eastAsia" w:ascii="宋体" w:hAnsi="宋体" w:eastAsia="宋体" w:cs="宋体"/>
          <w:color w:val="auto"/>
          <w:sz w:val="24"/>
          <w:szCs w:val="24"/>
          <w:highlight w:val="none"/>
        </w:rPr>
        <w:t>以下为中标后签定本项目合同的通用条款，中标人不得提出实质性的修改。关于专用条款将由采购人与中标人结合本项目具体情况协商后补充，但补充内容对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和投标文件以及通用条款，不得作实质性修改。</w:t>
      </w:r>
    </w:p>
    <w:p>
      <w:pPr>
        <w:pStyle w:val="2"/>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bookmarkEnd w:id="92"/>
      <w:bookmarkEnd w:id="93"/>
      <w:bookmarkEnd w:id="94"/>
    </w:p>
    <w:p>
      <w:pPr>
        <w:spacing w:line="400" w:lineRule="exact"/>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合 同 书</w:t>
      </w:r>
    </w:p>
    <w:p>
      <w:pPr>
        <w:spacing w:line="400" w:lineRule="exact"/>
        <w:ind w:firstLine="813" w:firstLineChars="450"/>
        <w:rPr>
          <w:rFonts w:hint="eastAsia" w:ascii="宋体" w:hAnsi="宋体" w:eastAsia="宋体" w:cs="宋体"/>
          <w:b/>
          <w:color w:val="auto"/>
          <w:sz w:val="18"/>
          <w:szCs w:val="18"/>
          <w:highlight w:val="none"/>
        </w:rPr>
      </w:pPr>
    </w:p>
    <w:p>
      <w:pPr>
        <w:spacing w:line="400" w:lineRule="exact"/>
        <w:ind w:firstLine="6240" w:firstLineChars="2600"/>
        <w:rPr>
          <w:rFonts w:hint="eastAsia" w:ascii="宋体" w:hAnsi="宋体" w:eastAsia="宋体" w:cs="宋体"/>
          <w:b/>
          <w:color w:val="auto"/>
          <w:sz w:val="21"/>
          <w:szCs w:val="21"/>
          <w:highlight w:val="none"/>
          <w:lang w:val="en-US"/>
        </w:rPr>
      </w:pPr>
      <w:r>
        <w:rPr>
          <w:rFonts w:hint="eastAsia" w:ascii="宋体" w:hAnsi="宋体" w:eastAsia="宋体" w:cs="宋体"/>
          <w:color w:val="auto"/>
          <w:sz w:val="24"/>
          <w:szCs w:val="24"/>
          <w:highlight w:val="none"/>
        </w:rPr>
        <w:t>协议号：</w:t>
      </w:r>
    </w:p>
    <w:p>
      <w:pPr>
        <w:spacing w:line="400" w:lineRule="exact"/>
        <w:ind w:firstLine="904" w:firstLineChars="500"/>
        <w:rPr>
          <w:rFonts w:hint="eastAsia" w:ascii="宋体" w:hAnsi="宋体" w:eastAsia="宋体" w:cs="宋体"/>
          <w:b/>
          <w:color w:val="auto"/>
          <w:sz w:val="18"/>
          <w:szCs w:val="18"/>
          <w:highlight w:val="none"/>
        </w:rPr>
      </w:pPr>
    </w:p>
    <w:bookmarkEnd w:id="95"/>
    <w:bookmarkEnd w:id="96"/>
    <w:bookmarkEnd w:id="97"/>
    <w:bookmarkEnd w:id="98"/>
    <w:p>
      <w:pPr>
        <w:spacing w:before="120" w:line="22"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pStyle w:val="56"/>
        <w:spacing w:before="120" w:line="22" w:lineRule="atLeast"/>
        <w:rPr>
          <w:rFonts w:hint="eastAsia" w:ascii="宋体" w:hAnsi="宋体" w:eastAsia="宋体" w:cs="宋体"/>
          <w:color w:val="auto"/>
          <w:sz w:val="24"/>
          <w:szCs w:val="24"/>
          <w:highlight w:val="none"/>
        </w:rPr>
      </w:pPr>
    </w:p>
    <w:p>
      <w:pPr>
        <w:pStyle w:val="56"/>
        <w:spacing w:before="120" w:line="22" w:lineRule="atLeast"/>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pStyle w:val="26"/>
        <w:rPr>
          <w:rFonts w:hint="eastAsia" w:ascii="宋体" w:hAnsi="宋体" w:eastAsia="宋体" w:cs="宋体"/>
          <w:color w:val="auto"/>
        </w:rPr>
      </w:pPr>
    </w:p>
    <w:p>
      <w:pPr>
        <w:spacing w:before="120" w:line="22"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pPr>
        <w:spacing w:before="120" w:line="22" w:lineRule="atLeast"/>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pPr>
        <w:spacing w:before="120" w:line="22" w:lineRule="atLeast"/>
        <w:rPr>
          <w:rFonts w:hint="eastAsia" w:ascii="宋体" w:hAnsi="宋体" w:eastAsia="宋体" w:cs="宋体"/>
          <w:color w:val="auto"/>
          <w:sz w:val="24"/>
          <w:szCs w:val="24"/>
          <w:highlight w:val="none"/>
        </w:rPr>
      </w:pPr>
    </w:p>
    <w:p>
      <w:pPr>
        <w:spacing w:before="120" w:line="22" w:lineRule="atLeas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zh-CN"/>
        </w:rPr>
        <w:t xml:space="preserve">        </w:t>
      </w:r>
    </w:p>
    <w:p>
      <w:pPr>
        <w:spacing w:before="120" w:line="22" w:lineRule="atLeast"/>
        <w:rPr>
          <w:rFonts w:hint="eastAsia" w:ascii="宋体" w:hAnsi="宋体" w:eastAsia="宋体" w:cs="宋体"/>
          <w:color w:val="auto"/>
          <w:sz w:val="24"/>
          <w:szCs w:val="24"/>
          <w:highlight w:val="none"/>
          <w:u w:val="singl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spacing w:before="120" w:line="22" w:lineRule="atLeast"/>
        <w:rPr>
          <w:rFonts w:hint="eastAsia" w:ascii="宋体" w:hAnsi="宋体" w:eastAsia="宋体" w:cs="宋体"/>
          <w:color w:val="auto"/>
          <w:sz w:val="24"/>
          <w:szCs w:val="24"/>
          <w:highlight w:val="none"/>
          <w:lang w:val="zh-CN"/>
        </w:rPr>
      </w:pPr>
    </w:p>
    <w:p>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pPr>
        <w:spacing w:before="120" w:line="22"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项目进行了采购。经</w:t>
      </w:r>
      <w:r>
        <w:rPr>
          <w:rFonts w:hint="eastAsia" w:ascii="宋体" w:hAnsi="宋体" w:eastAsia="宋体" w:cs="宋体"/>
          <w:color w:val="auto"/>
          <w:sz w:val="24"/>
          <w:szCs w:val="24"/>
          <w:highlight w:val="none"/>
          <w:u w:val="single"/>
        </w:rPr>
        <w:t xml:space="preserve">   （相关评定主体名称）   </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（中标供应商名称）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pPr>
        <w:spacing w:line="560" w:lineRule="exact"/>
        <w:ind w:firstLine="482" w:firstLineChars="200"/>
        <w:outlineLvl w:val="0"/>
        <w:rPr>
          <w:rFonts w:hint="eastAsia" w:ascii="宋体" w:hAnsi="宋体" w:eastAsia="宋体" w:cs="宋体"/>
          <w:color w:val="auto"/>
          <w:sz w:val="24"/>
          <w:szCs w:val="24"/>
          <w:highlight w:val="none"/>
        </w:rPr>
      </w:pPr>
      <w:bookmarkStart w:id="105" w:name="_Toc15367"/>
      <w:bookmarkStart w:id="106" w:name="_Toc20421"/>
      <w:bookmarkStart w:id="107" w:name="_Toc19273"/>
      <w:bookmarkStart w:id="108" w:name="_Toc28855"/>
      <w:r>
        <w:rPr>
          <w:rFonts w:hint="eastAsia" w:ascii="宋体" w:hAnsi="宋体" w:eastAsia="宋体" w:cs="宋体"/>
          <w:b/>
          <w:color w:val="auto"/>
          <w:sz w:val="24"/>
          <w:szCs w:val="24"/>
          <w:highlight w:val="none"/>
        </w:rPr>
        <w:t>1.1 合同组成部分</w:t>
      </w:r>
      <w:bookmarkEnd w:id="105"/>
      <w:bookmarkEnd w:id="106"/>
      <w:bookmarkEnd w:id="107"/>
      <w:bookmarkEnd w:id="10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中标通知书；</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投标文件（含澄清或者说明文件）；</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招标文件（含澄清或者修改文件）；</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pPr>
        <w:spacing w:line="560" w:lineRule="exact"/>
        <w:ind w:firstLine="482" w:firstLineChars="200"/>
        <w:outlineLvl w:val="0"/>
        <w:rPr>
          <w:rFonts w:hint="eastAsia" w:ascii="宋体" w:hAnsi="宋体" w:eastAsia="宋体" w:cs="宋体"/>
          <w:b/>
          <w:color w:val="auto"/>
          <w:sz w:val="24"/>
          <w:szCs w:val="24"/>
          <w:highlight w:val="none"/>
        </w:rPr>
      </w:pPr>
      <w:bookmarkStart w:id="109" w:name="_Toc6773"/>
      <w:bookmarkStart w:id="110" w:name="_Toc22185"/>
      <w:bookmarkStart w:id="111" w:name="_Toc18585"/>
      <w:bookmarkStart w:id="112" w:name="_Toc2918"/>
      <w:bookmarkStart w:id="113" w:name="_Toc6311"/>
      <w:r>
        <w:rPr>
          <w:rFonts w:hint="eastAsia" w:ascii="宋体" w:hAnsi="宋体" w:eastAsia="宋体" w:cs="宋体"/>
          <w:b/>
          <w:color w:val="auto"/>
          <w:sz w:val="24"/>
          <w:szCs w:val="24"/>
          <w:highlight w:val="none"/>
        </w:rPr>
        <w:t>1.2 标的</w:t>
      </w:r>
      <w:bookmarkEnd w:id="109"/>
      <w:bookmarkEnd w:id="110"/>
      <w:bookmarkEnd w:id="111"/>
      <w:bookmarkEnd w:id="112"/>
      <w:bookmarkEnd w:id="11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标的名称：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 标的数量：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标的质量：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560" w:lineRule="exact"/>
        <w:ind w:firstLine="480" w:firstLineChars="200"/>
        <w:rPr>
          <w:rFonts w:hint="eastAsia" w:ascii="宋体" w:hAnsi="宋体" w:eastAsia="宋体" w:cs="宋体"/>
          <w:color w:val="auto"/>
          <w:sz w:val="24"/>
          <w:szCs w:val="24"/>
          <w:highlight w:val="none"/>
        </w:rPr>
      </w:pPr>
      <w:bookmarkStart w:id="114" w:name="_Toc13918"/>
      <w:bookmarkStart w:id="115" w:name="_Toc5635"/>
      <w:bookmarkStart w:id="116" w:name="_Toc1386"/>
      <w:bookmarkStart w:id="117" w:name="_Toc21124"/>
      <w:bookmarkStart w:id="118" w:name="_Toc4929"/>
      <w:r>
        <w:rPr>
          <w:rFonts w:hint="eastAsia" w:ascii="宋体" w:hAnsi="宋体" w:eastAsia="宋体" w:cs="宋体"/>
          <w:color w:val="auto"/>
          <w:sz w:val="24"/>
          <w:szCs w:val="24"/>
          <w:highlight w:val="none"/>
        </w:rPr>
        <w:t>1.3 价款</w:t>
      </w:r>
      <w:bookmarkEnd w:id="114"/>
      <w:bookmarkEnd w:id="115"/>
      <w:bookmarkEnd w:id="116"/>
      <w:bookmarkEnd w:id="117"/>
      <w:bookmarkEnd w:id="11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p>
      <w:pPr>
        <w:spacing w:line="560" w:lineRule="exact"/>
        <w:ind w:firstLine="480" w:firstLineChars="200"/>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分项名称</w:t>
            </w:r>
          </w:p>
        </w:tc>
        <w:tc>
          <w:tcPr>
            <w:tcW w:w="2552" w:type="dxa"/>
            <w:noWrap w:val="0"/>
            <w:vAlign w:val="center"/>
          </w:tcPr>
          <w:p>
            <w:pPr>
              <w:pStyle w:val="57"/>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340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总价</w:t>
            </w:r>
          </w:p>
        </w:tc>
        <w:tc>
          <w:tcPr>
            <w:tcW w:w="2552" w:type="dxa"/>
            <w:noWrap w:val="0"/>
            <w:vAlign w:val="center"/>
          </w:tcPr>
          <w:p>
            <w:pPr>
              <w:pStyle w:val="57"/>
              <w:spacing w:line="560" w:lineRule="exact"/>
              <w:ind w:firstLine="200"/>
              <w:jc w:val="center"/>
              <w:rPr>
                <w:rFonts w:hint="eastAsia" w:ascii="宋体" w:hAnsi="宋体" w:eastAsia="宋体" w:cs="宋体"/>
                <w:color w:val="auto"/>
                <w:kern w:val="2"/>
                <w:sz w:val="24"/>
                <w:szCs w:val="24"/>
                <w:highlight w:val="none"/>
              </w:rPr>
            </w:pPr>
          </w:p>
        </w:tc>
      </w:tr>
    </w:tbl>
    <w:p>
      <w:pPr>
        <w:spacing w:line="560" w:lineRule="exact"/>
        <w:ind w:firstLine="482" w:firstLineChars="200"/>
        <w:outlineLvl w:val="0"/>
        <w:rPr>
          <w:rFonts w:hint="eastAsia" w:ascii="宋体" w:hAnsi="宋体" w:eastAsia="宋体" w:cs="宋体"/>
          <w:b/>
          <w:color w:val="auto"/>
          <w:sz w:val="24"/>
          <w:szCs w:val="24"/>
          <w:highlight w:val="none"/>
        </w:rPr>
      </w:pPr>
      <w:bookmarkStart w:id="119" w:name="_Toc30506"/>
      <w:bookmarkStart w:id="120" w:name="_Toc30158"/>
      <w:bookmarkStart w:id="121" w:name="_Toc3654"/>
      <w:bookmarkStart w:id="122" w:name="_Toc14993"/>
      <w:bookmarkStart w:id="123" w:name="_Toc26916"/>
      <w:r>
        <w:rPr>
          <w:rFonts w:hint="eastAsia" w:ascii="宋体" w:hAnsi="宋体" w:eastAsia="宋体" w:cs="宋体"/>
          <w:b/>
          <w:color w:val="auto"/>
          <w:sz w:val="24"/>
          <w:szCs w:val="24"/>
          <w:highlight w:val="none"/>
        </w:rPr>
        <w:t>1.4 付款方式和发票开具方式</w:t>
      </w:r>
      <w:bookmarkEnd w:id="119"/>
      <w:bookmarkEnd w:id="120"/>
      <w:bookmarkEnd w:id="121"/>
      <w:bookmarkEnd w:id="122"/>
      <w:bookmarkEnd w:id="12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2" w:firstLineChars="200"/>
        <w:outlineLvl w:val="0"/>
        <w:rPr>
          <w:rFonts w:hint="eastAsia" w:ascii="宋体" w:hAnsi="宋体" w:eastAsia="宋体" w:cs="宋体"/>
          <w:b/>
          <w:color w:val="auto"/>
          <w:sz w:val="24"/>
          <w:szCs w:val="24"/>
          <w:highlight w:val="none"/>
        </w:rPr>
      </w:pPr>
      <w:bookmarkStart w:id="124" w:name="_Toc11108"/>
      <w:bookmarkStart w:id="125" w:name="_Toc31421"/>
      <w:bookmarkStart w:id="126" w:name="_Toc8772"/>
      <w:bookmarkStart w:id="127" w:name="_Toc4760"/>
      <w:bookmarkStart w:id="128" w:name="_Toc3625"/>
      <w:r>
        <w:rPr>
          <w:rFonts w:hint="eastAsia" w:ascii="宋体" w:hAnsi="宋体" w:eastAsia="宋体" w:cs="宋体"/>
          <w:b/>
          <w:color w:val="auto"/>
          <w:sz w:val="24"/>
          <w:szCs w:val="24"/>
          <w:highlight w:val="none"/>
        </w:rPr>
        <w:t>1.5 履行期限、地点和方式</w:t>
      </w:r>
      <w:bookmarkEnd w:id="124"/>
      <w:bookmarkEnd w:id="125"/>
      <w:bookmarkEnd w:id="126"/>
      <w:bookmarkEnd w:id="127"/>
      <w:bookmarkEnd w:id="128"/>
    </w:p>
    <w:p>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 履行期限：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履行地点：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履行方式：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60" w:lineRule="exact"/>
        <w:ind w:firstLine="482" w:firstLineChars="200"/>
        <w:outlineLvl w:val="0"/>
        <w:rPr>
          <w:rFonts w:hint="eastAsia" w:ascii="宋体" w:hAnsi="宋体" w:eastAsia="宋体" w:cs="宋体"/>
          <w:color w:val="auto"/>
          <w:sz w:val="24"/>
          <w:szCs w:val="24"/>
          <w:highlight w:val="none"/>
          <w:u w:val="single"/>
        </w:rPr>
      </w:pPr>
      <w:bookmarkStart w:id="129" w:name="_Toc8586"/>
      <w:bookmarkStart w:id="130" w:name="_Toc2375"/>
      <w:bookmarkStart w:id="131" w:name="_Toc24662"/>
      <w:bookmarkStart w:id="132" w:name="_Toc5698"/>
      <w:bookmarkStart w:id="133" w:name="_Toc3079"/>
      <w:r>
        <w:rPr>
          <w:rFonts w:hint="eastAsia" w:ascii="宋体" w:hAnsi="宋体" w:eastAsia="宋体" w:cs="宋体"/>
          <w:b/>
          <w:color w:val="auto"/>
          <w:sz w:val="24"/>
          <w:szCs w:val="24"/>
          <w:highlight w:val="none"/>
        </w:rPr>
        <w:t>1.6 违约责任</w:t>
      </w:r>
      <w:bookmarkEnd w:id="129"/>
      <w:bookmarkEnd w:id="130"/>
      <w:bookmarkEnd w:id="131"/>
      <w:bookmarkEnd w:id="132"/>
      <w:bookmarkEnd w:id="133"/>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color w:val="auto"/>
          <w:sz w:val="24"/>
          <w:szCs w:val="24"/>
          <w:highlight w:val="none"/>
        </w:rPr>
      </w:pPr>
      <w:bookmarkStart w:id="134" w:name="_Toc18683"/>
      <w:bookmarkStart w:id="135" w:name="_Toc26807"/>
      <w:bookmarkStart w:id="136" w:name="_Toc30329"/>
      <w:bookmarkStart w:id="137" w:name="_Toc9497"/>
      <w:bookmarkStart w:id="138" w:name="_Toc32454"/>
      <w:r>
        <w:rPr>
          <w:rFonts w:hint="eastAsia" w:ascii="宋体" w:hAnsi="宋体" w:eastAsia="宋体" w:cs="宋体"/>
          <w:b/>
          <w:color w:val="auto"/>
          <w:sz w:val="24"/>
          <w:szCs w:val="24"/>
          <w:highlight w:val="none"/>
        </w:rPr>
        <w:t>1.7 合同争议的解决</w:t>
      </w:r>
      <w:bookmarkEnd w:id="134"/>
      <w:bookmarkEnd w:id="135"/>
      <w:bookmarkEnd w:id="136"/>
      <w:bookmarkEnd w:id="137"/>
      <w:bookmarkEnd w:id="138"/>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向</w:t>
      </w:r>
      <w:r>
        <w:rPr>
          <w:rFonts w:hint="eastAsia" w:ascii="宋体" w:hAnsi="宋体" w:eastAsia="宋体" w:cs="宋体"/>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szCs w:val="24"/>
          <w:highlight w:val="none"/>
        </w:rPr>
        <w:t>人民法院起诉。</w:t>
      </w:r>
    </w:p>
    <w:p>
      <w:pPr>
        <w:spacing w:line="560" w:lineRule="exact"/>
        <w:ind w:firstLine="482" w:firstLineChars="200"/>
        <w:outlineLvl w:val="0"/>
        <w:rPr>
          <w:rFonts w:hint="eastAsia" w:ascii="宋体" w:hAnsi="宋体" w:eastAsia="宋体" w:cs="宋体"/>
          <w:b/>
          <w:color w:val="auto"/>
          <w:sz w:val="24"/>
          <w:szCs w:val="24"/>
          <w:highlight w:val="none"/>
        </w:rPr>
      </w:pPr>
      <w:bookmarkStart w:id="139" w:name="_Toc12273"/>
      <w:bookmarkStart w:id="140" w:name="_Toc26227"/>
      <w:bookmarkStart w:id="141" w:name="_Toc16417"/>
      <w:bookmarkStart w:id="142" w:name="_Toc23784"/>
      <w:bookmarkStart w:id="143" w:name="_Toc15827"/>
      <w:r>
        <w:rPr>
          <w:rFonts w:hint="eastAsia" w:ascii="宋体" w:hAnsi="宋体" w:eastAsia="宋体" w:cs="宋体"/>
          <w:b/>
          <w:color w:val="auto"/>
          <w:sz w:val="24"/>
          <w:szCs w:val="24"/>
          <w:highlight w:val="none"/>
        </w:rPr>
        <w:t>1.8 合同生效</w:t>
      </w:r>
      <w:bookmarkEnd w:id="139"/>
      <w:bookmarkEnd w:id="140"/>
      <w:bookmarkEnd w:id="141"/>
      <w:bookmarkEnd w:id="142"/>
      <w:bookmarkEnd w:id="143"/>
    </w:p>
    <w:p>
      <w:pPr>
        <w:spacing w:line="5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本合同自双方当事人盖章或者签字时生效。</w:t>
      </w:r>
    </w:p>
    <w:p>
      <w:pPr>
        <w:autoSpaceDE w:val="0"/>
        <w:autoSpaceDN w:val="0"/>
        <w:adjustRightInd w:val="0"/>
        <w:spacing w:line="560" w:lineRule="exact"/>
        <w:rPr>
          <w:rFonts w:hint="eastAsia" w:ascii="宋体" w:hAnsi="宋体" w:eastAsia="宋体" w:cs="宋体"/>
          <w:color w:val="auto"/>
          <w:sz w:val="24"/>
          <w:szCs w:val="24"/>
          <w:highlight w:val="none"/>
          <w:lang w:val="zh-CN"/>
        </w:rPr>
      </w:pP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甲方</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color w:val="auto"/>
          <w:sz w:val="24"/>
          <w:szCs w:val="24"/>
          <w:highlight w:val="none"/>
          <w:lang w:val="zh-CN"/>
        </w:rPr>
        <w:t xml:space="preserve">      乙方</w:t>
      </w:r>
      <w:r>
        <w:rPr>
          <w:rFonts w:hint="eastAsia" w:ascii="宋体" w:hAnsi="宋体" w:eastAsia="宋体" w:cs="宋体"/>
          <w:color w:val="auto"/>
          <w:sz w:val="24"/>
          <w:szCs w:val="24"/>
          <w:highlight w:val="none"/>
          <w:lang w:val="zh-CN"/>
        </w:rPr>
        <w:t>：</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auto"/>
          <w:sz w:val="24"/>
          <w:szCs w:val="24"/>
          <w:highlight w:val="none"/>
          <w:lang w:val="zh-CN"/>
        </w:rPr>
      </w:pP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住所：                          住所：</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                    法定代表人</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或授权代表（签字）: </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联系人：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 xml:space="preserve"> 联系人：</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约定送达地址：                  约定送达地址：</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邮政编码：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邮政编码：</w:t>
      </w:r>
    </w:p>
    <w:p>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电话:                           电话: </w:t>
      </w:r>
    </w:p>
    <w:p>
      <w:pPr>
        <w:autoSpaceDE w:val="0"/>
        <w:autoSpaceDN w:val="0"/>
        <w:adjustRightInd w:val="0"/>
        <w:spacing w:line="440" w:lineRule="exact"/>
        <w:jc w:val="both"/>
        <w:outlineLvl w:val="0"/>
        <w:rPr>
          <w:rFonts w:hint="eastAsia" w:ascii="宋体" w:hAnsi="宋体" w:eastAsia="宋体" w:cs="宋体"/>
          <w:color w:val="auto"/>
          <w:sz w:val="28"/>
          <w:szCs w:val="28"/>
          <w:highlight w:val="none"/>
        </w:rPr>
      </w:pPr>
    </w:p>
    <w:p>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44"/>
          <w:szCs w:val="44"/>
          <w:highlight w:val="none"/>
        </w:rPr>
        <w:t>第五部分　</w:t>
      </w:r>
      <w:bookmarkEnd w:id="99"/>
      <w:bookmarkEnd w:id="100"/>
      <w:bookmarkEnd w:id="101"/>
      <w:bookmarkEnd w:id="102"/>
      <w:bookmarkEnd w:id="103"/>
      <w:bookmarkEnd w:id="104"/>
      <w:r>
        <w:rPr>
          <w:rFonts w:hint="eastAsia" w:ascii="宋体" w:hAnsi="宋体" w:eastAsia="宋体" w:cs="宋体"/>
          <w:b/>
          <w:bCs/>
          <w:color w:val="auto"/>
          <w:sz w:val="44"/>
          <w:szCs w:val="44"/>
          <w:highlight w:val="none"/>
          <w:lang w:eastAsia="zh-CN"/>
        </w:rPr>
        <w:t>磋商</w:t>
      </w:r>
      <w:r>
        <w:rPr>
          <w:rFonts w:hint="eastAsia" w:ascii="宋体" w:hAnsi="宋体" w:eastAsia="宋体" w:cs="宋体"/>
          <w:b/>
          <w:bCs/>
          <w:color w:val="auto"/>
          <w:sz w:val="44"/>
          <w:szCs w:val="44"/>
          <w:highlight w:val="none"/>
        </w:rPr>
        <w:t>响应文件及格式</w:t>
      </w:r>
    </w:p>
    <w:p>
      <w:pPr>
        <w:spacing w:line="400" w:lineRule="atLeast"/>
        <w:jc w:val="center"/>
        <w:rPr>
          <w:rFonts w:hint="eastAsia" w:ascii="宋体" w:hAnsi="宋体" w:eastAsia="宋体" w:cs="宋体"/>
          <w:color w:val="auto"/>
          <w:sz w:val="28"/>
          <w:szCs w:val="28"/>
          <w:highlight w:val="none"/>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bookmarkStart w:id="144" w:name="_Toc727"/>
      <w:bookmarkStart w:id="145" w:name="_Toc6125"/>
      <w:r>
        <w:rPr>
          <w:rFonts w:hint="eastAsia" w:ascii="宋体" w:hAnsi="宋体" w:eastAsia="宋体" w:cs="宋体"/>
          <w:color w:val="auto"/>
          <w:sz w:val="28"/>
          <w:szCs w:val="28"/>
          <w:highlight w:val="none"/>
          <w:lang w:val="zh-CN"/>
        </w:rPr>
        <w:t>注：为了便于查找，标注目录及页码</w:t>
      </w:r>
      <w:bookmarkEnd w:id="144"/>
      <w:bookmarkEnd w:id="145"/>
    </w:p>
    <w:p>
      <w:pPr>
        <w:autoSpaceDE w:val="0"/>
        <w:autoSpaceDN w:val="0"/>
        <w:adjustRightInd w:val="0"/>
        <w:spacing w:line="440" w:lineRule="exact"/>
        <w:jc w:val="center"/>
        <w:outlineLvl w:val="0"/>
        <w:rPr>
          <w:rFonts w:hint="eastAsia" w:ascii="宋体" w:hAnsi="宋体" w:eastAsia="宋体" w:cs="宋体"/>
          <w:color w:val="auto"/>
          <w:sz w:val="28"/>
          <w:szCs w:val="28"/>
          <w:highlight w:val="none"/>
          <w:lang w:val="zh-CN"/>
        </w:rPr>
      </w:pPr>
      <w:bookmarkStart w:id="146" w:name="_Toc23556"/>
      <w:bookmarkStart w:id="147" w:name="_Toc24845"/>
      <w:r>
        <w:rPr>
          <w:rFonts w:hint="eastAsia" w:ascii="宋体" w:hAnsi="宋体" w:eastAsia="宋体" w:cs="宋体"/>
          <w:color w:val="auto"/>
          <w:sz w:val="28"/>
          <w:szCs w:val="28"/>
          <w:highlight w:val="none"/>
          <w:lang w:val="zh-CN"/>
        </w:rPr>
        <w:t>（以下内容需按要求提供相应证明材料）</w:t>
      </w:r>
      <w:bookmarkEnd w:id="146"/>
      <w:bookmarkEnd w:id="147"/>
    </w:p>
    <w:p>
      <w:pPr>
        <w:autoSpaceDE w:val="0"/>
        <w:autoSpaceDN w:val="0"/>
        <w:adjustRightInd w:val="0"/>
        <w:spacing w:line="440" w:lineRule="exact"/>
        <w:jc w:val="center"/>
        <w:rPr>
          <w:rFonts w:hint="eastAsia" w:ascii="宋体" w:hAnsi="宋体" w:eastAsia="宋体" w:cs="宋体"/>
          <w:b/>
          <w:bCs/>
          <w:color w:val="auto"/>
          <w:sz w:val="28"/>
          <w:szCs w:val="28"/>
          <w:highlight w:val="none"/>
          <w:lang w:val="zh-CN"/>
        </w:rPr>
      </w:pPr>
    </w:p>
    <w:p>
      <w:pPr>
        <w:autoSpaceDE w:val="0"/>
        <w:autoSpaceDN w:val="0"/>
        <w:adjustRightInd w:val="0"/>
        <w:spacing w:line="440" w:lineRule="exact"/>
        <w:rPr>
          <w:rFonts w:hint="eastAsia" w:ascii="宋体" w:hAnsi="宋体" w:eastAsia="宋体" w:cs="宋体"/>
          <w:b/>
          <w:bCs/>
          <w:color w:val="auto"/>
          <w:sz w:val="28"/>
          <w:szCs w:val="28"/>
          <w:highlight w:val="none"/>
          <w:lang w:val="zh-CN"/>
        </w:rPr>
      </w:pP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val="0"/>
          <w:bCs/>
          <w:color w:val="auto"/>
          <w:sz w:val="28"/>
          <w:szCs w:val="28"/>
          <w:highlight w:val="none"/>
          <w:lang w:val="zh-CN"/>
        </w:rPr>
      </w:pPr>
      <w:r>
        <w:rPr>
          <w:rFonts w:hint="eastAsia" w:ascii="宋体" w:hAnsi="宋体" w:eastAsia="宋体" w:cs="宋体"/>
          <w:b w:val="0"/>
          <w:bCs/>
          <w:color w:val="auto"/>
          <w:sz w:val="28"/>
          <w:szCs w:val="28"/>
          <w:highlight w:val="none"/>
          <w:lang w:val="zh-CN"/>
        </w:rPr>
        <w:br w:type="page"/>
      </w: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宋体" w:hAnsi="宋体" w:eastAsia="宋体" w:cs="宋体"/>
          <w:b w:val="0"/>
          <w:bCs/>
          <w:color w:val="auto"/>
          <w:sz w:val="28"/>
          <w:szCs w:val="28"/>
          <w:highlight w:val="none"/>
          <w:lang w:val="en-US" w:eastAsia="zh-CN"/>
        </w:rPr>
      </w:pPr>
      <w:r>
        <w:rPr>
          <w:rFonts w:hint="eastAsia" w:ascii="宋体" w:hAnsi="宋体" w:cs="宋体"/>
          <w:b w:val="0"/>
          <w:bCs/>
          <w:color w:val="auto"/>
          <w:sz w:val="28"/>
          <w:szCs w:val="28"/>
          <w:highlight w:val="none"/>
          <w:lang w:val="en-US" w:eastAsia="zh-CN"/>
        </w:rPr>
        <w:t xml:space="preserve">                                          正本/副本</w:t>
      </w: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val="0"/>
          <w:bCs/>
          <w:color w:val="auto"/>
          <w:sz w:val="28"/>
          <w:szCs w:val="28"/>
          <w:highlight w:val="none"/>
          <w:lang w:val="zh-CN"/>
        </w:rPr>
      </w:pPr>
    </w:p>
    <w:p>
      <w:pPr>
        <w:pStyle w:val="50"/>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rPr>
        <w:t>投  标  文  件</w:t>
      </w:r>
      <w:r>
        <w:rPr>
          <w:rFonts w:hint="eastAsia" w:ascii="宋体" w:hAnsi="宋体" w:cs="宋体"/>
          <w:b/>
          <w:bCs/>
          <w:color w:val="auto"/>
          <w:sz w:val="52"/>
          <w:szCs w:val="52"/>
          <w:highlight w:val="none"/>
          <w:lang w:val="en-US" w:eastAsia="zh-CN"/>
        </w:rPr>
        <w:t xml:space="preserve">         </w:t>
      </w:r>
    </w:p>
    <w:p>
      <w:pPr>
        <w:pStyle w:val="50"/>
        <w:spacing w:line="380" w:lineRule="exact"/>
        <w:jc w:val="center"/>
        <w:rPr>
          <w:rFonts w:hint="eastAsia" w:ascii="宋体" w:hAnsi="宋体" w:eastAsia="宋体" w:cs="宋体"/>
          <w:b/>
          <w:bCs/>
          <w:color w:val="auto"/>
          <w:sz w:val="44"/>
          <w:szCs w:val="44"/>
          <w:highlight w:val="none"/>
        </w:rPr>
      </w:pPr>
    </w:p>
    <w:p>
      <w:pPr>
        <w:pStyle w:val="50"/>
        <w:spacing w:line="380" w:lineRule="exact"/>
        <w:jc w:val="center"/>
        <w:rPr>
          <w:rFonts w:hint="eastAsia" w:ascii="宋体" w:hAnsi="宋体" w:eastAsia="宋体" w:cs="宋体"/>
          <w:color w:val="auto"/>
          <w:sz w:val="28"/>
          <w:szCs w:val="28"/>
          <w:highlight w:val="none"/>
        </w:rPr>
      </w:pPr>
    </w:p>
    <w:p>
      <w:pPr>
        <w:ind w:right="980"/>
        <w:jc w:val="center"/>
        <w:rPr>
          <w:rFonts w:hint="eastAsia" w:ascii="宋体" w:hAnsi="宋体" w:eastAsia="宋体" w:cs="宋体"/>
          <w:color w:val="auto"/>
          <w:sz w:val="28"/>
          <w:szCs w:val="28"/>
          <w:highlight w:val="none"/>
          <w:u w:val="single"/>
        </w:rPr>
      </w:pPr>
    </w:p>
    <w:p>
      <w:pPr>
        <w:ind w:right="980"/>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bookmarkStart w:id="148" w:name="_Toc4262"/>
      <w:bookmarkStart w:id="149" w:name="_Toc4074_WPSOffice_Level1"/>
      <w:bookmarkStart w:id="150" w:name="_Toc27418_WPSOffice_Level1"/>
      <w:bookmarkStart w:id="151" w:name="_Toc11176"/>
      <w:bookmarkStart w:id="152" w:name="_Toc9390"/>
      <w:bookmarkStart w:id="153" w:name="_Toc27431"/>
      <w:r>
        <w:rPr>
          <w:rFonts w:hint="eastAsia" w:ascii="宋体" w:hAnsi="宋体" w:eastAsia="宋体" w:cs="宋体"/>
          <w:color w:val="auto"/>
          <w:sz w:val="28"/>
          <w:szCs w:val="28"/>
          <w:highlight w:val="none"/>
        </w:rPr>
        <w:t>（项目名称）</w:t>
      </w:r>
      <w:bookmarkEnd w:id="148"/>
      <w:bookmarkEnd w:id="149"/>
      <w:bookmarkEnd w:id="150"/>
      <w:bookmarkEnd w:id="151"/>
      <w:bookmarkEnd w:id="152"/>
      <w:bookmarkEnd w:id="153"/>
    </w:p>
    <w:p>
      <w:pPr>
        <w:rPr>
          <w:rFonts w:hint="eastAsia" w:ascii="宋体" w:hAnsi="宋体" w:eastAsia="宋体" w:cs="宋体"/>
          <w:color w:val="auto"/>
          <w:sz w:val="28"/>
          <w:szCs w:val="28"/>
          <w:highlight w:val="none"/>
        </w:rPr>
      </w:pPr>
      <w:r>
        <w:rPr>
          <w:rFonts w:hint="eastAsia" w:ascii="宋体" w:hAnsi="宋体" w:eastAsia="宋体" w:cs="宋体"/>
          <w:color w:val="auto"/>
          <w:sz w:val="20"/>
          <w:highlight w:val="none"/>
        </w:rPr>
        <w:t xml:space="preserve">             </w:t>
      </w:r>
    </w:p>
    <w:p>
      <w:pPr>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项目</w:t>
      </w:r>
      <w:r>
        <w:rPr>
          <w:rFonts w:hint="eastAsia" w:ascii="宋体" w:hAnsi="宋体" w:eastAsia="宋体" w:cs="宋体"/>
          <w:color w:val="auto"/>
          <w:sz w:val="28"/>
          <w:szCs w:val="28"/>
          <w:highlight w:val="none"/>
        </w:rPr>
        <w:t>编号：</w:t>
      </w:r>
      <w:r>
        <w:rPr>
          <w:rFonts w:hint="eastAsia" w:ascii="宋体" w:hAnsi="宋体" w:eastAsia="宋体" w:cs="宋体"/>
          <w:color w:val="auto"/>
          <w:sz w:val="28"/>
          <w:szCs w:val="28"/>
          <w:highlight w:val="none"/>
          <w:u w:val="single"/>
        </w:rPr>
        <w:t xml:space="preserve">                      </w:t>
      </w: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Cs/>
          <w:color w:val="auto"/>
          <w:sz w:val="30"/>
          <w:szCs w:val="30"/>
          <w:highlight w:val="none"/>
        </w:rPr>
      </w:pPr>
    </w:p>
    <w:p>
      <w:pPr>
        <w:rPr>
          <w:rFonts w:hint="eastAsia" w:ascii="宋体" w:hAnsi="宋体" w:eastAsia="宋体" w:cs="宋体"/>
          <w:bCs/>
          <w:color w:val="auto"/>
          <w:sz w:val="30"/>
          <w:szCs w:val="30"/>
          <w:highlight w:val="none"/>
        </w:rPr>
      </w:pPr>
    </w:p>
    <w:p>
      <w:pPr>
        <w:ind w:firstLine="1120" w:firstLineChars="400"/>
        <w:jc w:val="both"/>
        <w:rPr>
          <w:rFonts w:hint="eastAsia" w:ascii="宋体" w:hAnsi="宋体" w:eastAsia="宋体" w:cs="宋体"/>
          <w:color w:val="auto"/>
          <w:sz w:val="28"/>
          <w:szCs w:val="28"/>
          <w:highlight w:val="none"/>
          <w:u w:val="single"/>
        </w:rPr>
      </w:pPr>
      <w:bookmarkStart w:id="154" w:name="_Toc26498_WPSOffice_Level1"/>
      <w:bookmarkStart w:id="155" w:name="_Toc23913_WPSOffice_Level1"/>
      <w:r>
        <w:rPr>
          <w:rFonts w:hint="eastAsia" w:ascii="宋体" w:hAnsi="宋体" w:eastAsia="宋体" w:cs="宋体"/>
          <w:color w:val="auto"/>
          <w:sz w:val="28"/>
          <w:szCs w:val="28"/>
          <w:highlight w:val="none"/>
        </w:rPr>
        <w:t>投标</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bookmarkEnd w:id="154"/>
      <w:bookmarkEnd w:id="155"/>
    </w:p>
    <w:p>
      <w:pPr>
        <w:jc w:val="center"/>
        <w:rPr>
          <w:rFonts w:hint="eastAsia" w:ascii="宋体" w:hAnsi="宋体" w:eastAsia="宋体" w:cs="宋体"/>
          <w:color w:val="auto"/>
          <w:sz w:val="28"/>
          <w:szCs w:val="28"/>
          <w:highlight w:val="none"/>
        </w:rPr>
      </w:pPr>
    </w:p>
    <w:p>
      <w:pPr>
        <w:ind w:firstLine="980" w:firstLineChars="3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jc w:val="center"/>
        <w:rPr>
          <w:rFonts w:hint="eastAsia" w:ascii="宋体" w:hAnsi="宋体" w:eastAsia="宋体" w:cs="宋体"/>
          <w:color w:val="auto"/>
          <w:highlight w:val="none"/>
        </w:rPr>
      </w:pPr>
    </w:p>
    <w:p>
      <w:pPr>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156" w:name="_Toc21903"/>
      <w:bookmarkStart w:id="157" w:name="_Toc14257"/>
      <w:bookmarkStart w:id="158" w:name="_Toc23099_WPSOffice_Level1"/>
      <w:bookmarkStart w:id="159" w:name="_Toc25330"/>
      <w:bookmarkStart w:id="160" w:name="_Toc17713_WPSOffice_Level1"/>
      <w:bookmarkStart w:id="161" w:name="_Toc19352"/>
      <w:r>
        <w:rPr>
          <w:rFonts w:hint="eastAsia" w:ascii="宋体" w:hAnsi="宋体" w:eastAsia="宋体" w:cs="宋体"/>
          <w:color w:val="auto"/>
          <w:sz w:val="28"/>
          <w:szCs w:val="28"/>
          <w:highlight w:val="none"/>
        </w:rPr>
        <w:t>年        月        日</w:t>
      </w:r>
      <w:bookmarkEnd w:id="156"/>
      <w:bookmarkEnd w:id="157"/>
      <w:bookmarkEnd w:id="158"/>
      <w:bookmarkEnd w:id="159"/>
      <w:bookmarkEnd w:id="160"/>
      <w:bookmarkEnd w:id="161"/>
    </w:p>
    <w:p>
      <w:pPr>
        <w:jc w:val="center"/>
        <w:rPr>
          <w:rFonts w:hint="eastAsia" w:ascii="宋体" w:hAnsi="宋体" w:eastAsia="宋体" w:cs="宋体"/>
          <w:color w:val="auto"/>
          <w:highlight w:val="none"/>
        </w:rPr>
      </w:pPr>
    </w:p>
    <w:p>
      <w:pPr>
        <w:jc w:val="both"/>
        <w:rPr>
          <w:rFonts w:hint="eastAsia" w:ascii="宋体" w:hAnsi="宋体" w:eastAsia="宋体" w:cs="宋体"/>
          <w:color w:val="auto"/>
          <w:highlight w:val="none"/>
        </w:rPr>
      </w:pPr>
    </w:p>
    <w:p>
      <w:pPr>
        <w:ind w:right="600"/>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1.磋商函</w:t>
      </w: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我们收到你们的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，经认真研究，我们决定参加投标。</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中的一切要求，提供招标</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w:t>
      </w:r>
      <w:r>
        <w:rPr>
          <w:rFonts w:hint="eastAsia" w:ascii="宋体" w:hAnsi="宋体" w:eastAsia="宋体" w:cs="宋体"/>
          <w:color w:val="auto"/>
          <w:sz w:val="24"/>
          <w:szCs w:val="24"/>
          <w:highlight w:val="none"/>
          <w:lang w:val="en-US" w:eastAsia="zh-CN"/>
        </w:rPr>
        <w:t>保障</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元（用阿拉伯数字书写），大写：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2、如果我们的投标书被接受，我们将履行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中规定的每一项义务和要求，按期、按质、按量完成交货。</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的规定，本投标书的有效期为开标后</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天。</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4、我们愿意提供招标人在</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中要求的所有资料。</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5、我们认为你们有选择或拒绝任何投标者中标的权力。我们理解，最低报价不是中标的唯一条件。</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6、我们愿按合同法履行自己的全部责任。</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7、我们愿意遵守国家有关规定和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中规定的收费标准，承付中标服务费。</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8、该项投标在开标后的全过程中保持有效，不作任何更改和变动。</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规定，交纳</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10、其它说明。</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11、所有有关本标书的函电，请按下列地址联系：</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400" w:lineRule="exact"/>
        <w:ind w:firstLine="4800" w:firstLineChars="2000"/>
        <w:outlineLvl w:val="9"/>
        <w:rPr>
          <w:rFonts w:hint="eastAsia" w:ascii="宋体" w:hAnsi="宋体" w:eastAsia="宋体" w:cs="宋体"/>
          <w:color w:val="auto"/>
          <w:sz w:val="24"/>
          <w:szCs w:val="24"/>
          <w:highlight w:val="none"/>
        </w:rPr>
      </w:pPr>
    </w:p>
    <w:p>
      <w:pPr>
        <w:spacing w:line="400" w:lineRule="exact"/>
        <w:ind w:firstLine="4800" w:firstLineChars="20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400" w:lineRule="exact"/>
        <w:ind w:firstLine="4800" w:firstLineChars="2000"/>
        <w:outlineLvl w:val="9"/>
        <w:rPr>
          <w:rFonts w:hint="eastAsia" w:ascii="宋体" w:hAnsi="宋体" w:eastAsia="宋体" w:cs="宋体"/>
          <w:color w:val="auto"/>
          <w:sz w:val="24"/>
          <w:szCs w:val="24"/>
          <w:highlight w:val="none"/>
        </w:rPr>
      </w:pPr>
    </w:p>
    <w:p>
      <w:pPr>
        <w:rPr>
          <w:rFonts w:hint="eastAsia" w:ascii="宋体" w:hAnsi="宋体" w:eastAsia="宋体" w:cs="宋体"/>
          <w:b/>
          <w:color w:val="auto"/>
          <w:sz w:val="28"/>
          <w:szCs w:val="28"/>
          <w:highlight w:val="none"/>
          <w:lang w:val="en-US" w:eastAsia="zh-CN"/>
        </w:rPr>
      </w:pPr>
      <w:bookmarkStart w:id="162" w:name="_Toc21293"/>
      <w:bookmarkStart w:id="163" w:name="_Toc25683"/>
      <w:bookmarkStart w:id="164" w:name="_Toc27588_WPSOffice_Level1"/>
      <w:bookmarkStart w:id="165" w:name="_Toc20978"/>
      <w:bookmarkStart w:id="166" w:name="_Toc521_WPSOffice_Level1"/>
      <w:r>
        <w:rPr>
          <w:rFonts w:hint="eastAsia" w:ascii="宋体" w:hAnsi="宋体" w:eastAsia="宋体" w:cs="宋体"/>
          <w:b/>
          <w:color w:val="auto"/>
          <w:sz w:val="28"/>
          <w:szCs w:val="28"/>
          <w:highlight w:val="none"/>
          <w:lang w:val="en-US" w:eastAsia="zh-CN"/>
        </w:rPr>
        <w:br w:type="page"/>
      </w:r>
    </w:p>
    <w:p>
      <w:pPr>
        <w:spacing w:line="440" w:lineRule="exact"/>
        <w:ind w:firstLine="48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lang w:val="en-US" w:eastAsia="zh-CN"/>
        </w:rPr>
        <w:t>2、</w:t>
      </w:r>
      <w:r>
        <w:rPr>
          <w:rFonts w:hint="eastAsia" w:ascii="宋体" w:hAnsi="宋体" w:eastAsia="宋体" w:cs="宋体"/>
          <w:b/>
          <w:bCs/>
          <w:color w:val="auto"/>
          <w:sz w:val="30"/>
          <w:szCs w:val="30"/>
        </w:rPr>
        <w:t>投标文件</w:t>
      </w:r>
      <w:r>
        <w:rPr>
          <w:rFonts w:hint="eastAsia" w:ascii="宋体" w:hAnsi="宋体" w:eastAsia="宋体" w:cs="宋体"/>
          <w:b/>
          <w:bCs/>
          <w:color w:val="auto"/>
          <w:sz w:val="30"/>
          <w:szCs w:val="30"/>
          <w:highlight w:val="none"/>
        </w:rPr>
        <w:t>真实性和不存在限制投标情形的声明</w:t>
      </w:r>
    </w:p>
    <w:p>
      <w:pPr>
        <w:spacing w:line="200" w:lineRule="exact"/>
        <w:rPr>
          <w:rFonts w:hint="eastAsia" w:ascii="宋体" w:hAnsi="宋体" w:eastAsia="宋体" w:cs="宋体"/>
          <w:color w:val="auto"/>
          <w:highlight w:val="none"/>
        </w:rPr>
      </w:pPr>
    </w:p>
    <w:p>
      <w:pPr>
        <w:spacing w:line="480" w:lineRule="auto"/>
        <w:ind w:firstLine="480" w:firstLineChars="200"/>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 xml:space="preserve">                      ：</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我方在此声明，所递交的（项目名称）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（项目编号）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的投标文件（包括有关资料、澄清）真实可信，不存在虚假（包括隐瞒）。我方近三年来在经营活动中没有重大违法记录。</w:t>
      </w:r>
    </w:p>
    <w:p>
      <w:pPr>
        <w:spacing w:line="480" w:lineRule="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我方承诺，如存在虚假投标行为，我方自愿承担一切法律责任。</w:t>
      </w:r>
    </w:p>
    <w:p>
      <w:pPr>
        <w:spacing w:line="480" w:lineRule="auto"/>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投标单位：（单位公章）</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投标单位法定代表人或其授权委托人（签字或盖章）：</w:t>
      </w: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p>
    <w:p>
      <w:pPr>
        <w:spacing w:line="480" w:lineRule="auto"/>
        <w:ind w:firstLine="480" w:firstLineChars="200"/>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年   月   日</w:t>
      </w: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lang w:val="en-US" w:eastAsia="zh-CN"/>
        </w:rPr>
      </w:pPr>
    </w:p>
    <w:p>
      <w:pPr>
        <w:numPr>
          <w:ilvl w:val="0"/>
          <w:numId w:val="0"/>
        </w:numPr>
        <w:jc w:val="both"/>
        <w:outlineLvl w:val="9"/>
        <w:rPr>
          <w:rFonts w:hint="eastAsia" w:ascii="宋体" w:hAnsi="宋体" w:eastAsia="宋体" w:cs="宋体"/>
          <w:b/>
          <w:color w:val="auto"/>
          <w:sz w:val="28"/>
          <w:szCs w:val="28"/>
          <w:highlight w:val="none"/>
          <w:lang w:val="en-US" w:eastAsia="zh-CN"/>
        </w:rPr>
      </w:pPr>
    </w:p>
    <w:p>
      <w:pPr>
        <w:numPr>
          <w:ilvl w:val="0"/>
          <w:numId w:val="0"/>
        </w:numPr>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开标一览表</w:t>
      </w:r>
      <w:bookmarkEnd w:id="162"/>
      <w:bookmarkEnd w:id="163"/>
      <w:bookmarkEnd w:id="164"/>
      <w:bookmarkEnd w:id="165"/>
      <w:bookmarkEnd w:id="166"/>
    </w:p>
    <w:p>
      <w:pPr>
        <w:outlineLvl w:val="9"/>
        <w:rPr>
          <w:rFonts w:hint="eastAsia" w:ascii="宋体" w:hAnsi="宋体" w:eastAsia="宋体" w:cs="宋体"/>
          <w:b/>
          <w:color w:val="auto"/>
          <w:sz w:val="28"/>
          <w:szCs w:val="28"/>
          <w:highlight w:val="none"/>
          <w:lang w:eastAsia="zh-CN"/>
        </w:rPr>
      </w:pP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项目编号</w:t>
      </w:r>
      <w:r>
        <w:rPr>
          <w:rFonts w:hint="eastAsia" w:ascii="宋体" w:hAnsi="宋体" w:eastAsia="宋体" w:cs="宋体"/>
          <w:b/>
          <w:color w:val="auto"/>
          <w:sz w:val="24"/>
          <w:szCs w:val="24"/>
          <w:highlight w:val="none"/>
          <w:lang w:eastAsia="zh-CN"/>
        </w:rPr>
        <w:t>：</w:t>
      </w: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w:t>
      </w:r>
      <w:r>
        <w:rPr>
          <w:rFonts w:hint="eastAsia" w:ascii="宋体" w:hAnsi="宋体" w:cs="宋体"/>
          <w:b/>
          <w:color w:val="auto"/>
          <w:sz w:val="24"/>
          <w:szCs w:val="24"/>
          <w:highlight w:val="none"/>
          <w:lang w:val="en-US" w:eastAsia="zh-CN"/>
        </w:rPr>
        <w:t>单位</w:t>
      </w:r>
      <w:r>
        <w:rPr>
          <w:rFonts w:hint="eastAsia" w:ascii="宋体" w:hAnsi="宋体" w:eastAsia="宋体" w:cs="宋体"/>
          <w:b/>
          <w:color w:val="auto"/>
          <w:sz w:val="24"/>
          <w:szCs w:val="24"/>
          <w:highlight w:val="none"/>
          <w:lang w:eastAsia="zh-CN"/>
        </w:rPr>
        <w:t>名称：</w:t>
      </w:r>
    </w:p>
    <w:tbl>
      <w:tblPr>
        <w:tblStyle w:val="20"/>
        <w:tblpPr w:leftFromText="180" w:rightFromText="180" w:vertAnchor="text" w:horzAnchor="page" w:tblpXSpec="center" w:tblpY="381"/>
        <w:tblOverlap w:val="never"/>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1"/>
        <w:gridCol w:w="1505"/>
        <w:gridCol w:w="1485"/>
        <w:gridCol w:w="1192"/>
        <w:gridCol w:w="1475"/>
        <w:gridCol w:w="1360"/>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名称</w:t>
            </w:r>
          </w:p>
        </w:tc>
        <w:tc>
          <w:tcPr>
            <w:tcW w:w="150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单价</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u w:val="none"/>
                <w:lang w:eastAsia="zh-CN"/>
              </w:rPr>
              <w:t>）</w:t>
            </w:r>
          </w:p>
        </w:tc>
        <w:tc>
          <w:tcPr>
            <w:tcW w:w="148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kern w:val="2"/>
                <w:sz w:val="24"/>
                <w:highlight w:val="none"/>
                <w:u w:val="none"/>
                <w:lang w:val="en-US" w:eastAsia="zh-CN" w:bidi="ar-SA"/>
              </w:rPr>
              <w:t>服务内容</w:t>
            </w:r>
          </w:p>
        </w:tc>
        <w:tc>
          <w:tcPr>
            <w:tcW w:w="1192"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服务期限</w:t>
            </w:r>
          </w:p>
        </w:tc>
        <w:tc>
          <w:tcPr>
            <w:tcW w:w="147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服务地点</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备注</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21" w:type="dxa"/>
            <w:vMerge w:val="restart"/>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投标</w:t>
            </w:r>
            <w:r>
              <w:rPr>
                <w:rFonts w:hint="eastAsia" w:ascii="宋体" w:hAnsi="宋体" w:eastAsia="宋体" w:cs="宋体"/>
                <w:color w:val="auto"/>
                <w:sz w:val="24"/>
                <w:highlight w:val="none"/>
                <w:u w:val="none"/>
              </w:rPr>
              <w:t>总价</w:t>
            </w: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（人民币小写）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821" w:type="dxa"/>
            <w:vMerge w:val="continue"/>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（人民币大写）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bl>
    <w:p>
      <w:pPr>
        <w:tabs>
          <w:tab w:val="left" w:pos="9135"/>
        </w:tabs>
        <w:spacing w:line="400" w:lineRule="atLeast"/>
        <w:outlineLvl w:val="9"/>
        <w:rPr>
          <w:rFonts w:hint="eastAsia" w:ascii="宋体" w:hAnsi="宋体" w:eastAsia="宋体" w:cs="宋体"/>
          <w:color w:val="auto"/>
          <w:sz w:val="24"/>
          <w:highlight w:val="none"/>
          <w:u w:val="singl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注：1、报价货币为人民币。</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2、投标一览表中投标总报价大小应写一致，如不一致以大写为准。</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3、以上报价含一切费用,是指货物经验收交付采购人使用的价格。</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4、各投标企业总投标报价不得高于本项目招标控制价，超过本项目招标控制价的视为无效报价，做否决投标处理。</w:t>
      </w:r>
    </w:p>
    <w:p>
      <w:pPr>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投标单位：（盖单位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outlineLvl w:val="9"/>
        <w:rPr>
          <w:rFonts w:hint="eastAsia" w:ascii="宋体" w:hAnsi="宋体" w:eastAsia="宋体" w:cs="宋体"/>
          <w:b/>
          <w:color w:val="auto"/>
          <w:sz w:val="28"/>
          <w:szCs w:val="28"/>
          <w:highlight w:val="none"/>
        </w:rPr>
      </w:pPr>
    </w:p>
    <w:p>
      <w:pPr>
        <w:adjustRightInd w:val="0"/>
        <w:snapToGrid w:val="0"/>
        <w:spacing w:before="319" w:beforeLines="100" w:after="319" w:afterLines="100" w:line="360" w:lineRule="auto"/>
        <w:ind w:right="105" w:rightChars="50"/>
        <w:jc w:val="center"/>
        <w:outlineLvl w:val="9"/>
        <w:rPr>
          <w:rFonts w:hint="eastAsia" w:ascii="宋体" w:hAnsi="宋体" w:eastAsia="宋体" w:cs="宋体"/>
          <w:b/>
          <w:bCs/>
          <w:color w:val="auto"/>
          <w:sz w:val="32"/>
          <w:szCs w:val="32"/>
          <w:highlight w:val="none"/>
        </w:rPr>
      </w:pPr>
      <w:bookmarkStart w:id="167" w:name="_Toc3478_WPSOffice_Level1"/>
      <w:bookmarkStart w:id="168" w:name="_Toc7158_WPSOffice_Level1"/>
      <w:r>
        <w:rPr>
          <w:rFonts w:hint="eastAsia" w:ascii="宋体" w:hAnsi="宋体" w:eastAsia="宋体" w:cs="宋体"/>
          <w:b/>
          <w:color w:val="auto"/>
          <w:sz w:val="28"/>
          <w:szCs w:val="28"/>
          <w:highlight w:val="none"/>
          <w:lang w:val="en-US" w:eastAsia="zh-CN"/>
        </w:rPr>
        <w:br w:type="page"/>
      </w:r>
      <w:bookmarkStart w:id="169" w:name="_Toc25075"/>
      <w:bookmarkStart w:id="170" w:name="_Toc7219"/>
      <w:bookmarkStart w:id="171" w:name="_Toc8792"/>
      <w:r>
        <w:rPr>
          <w:rFonts w:hint="eastAsia" w:ascii="宋体" w:hAnsi="宋体" w:eastAsia="宋体" w:cs="宋体"/>
          <w:b/>
          <w:color w:val="auto"/>
          <w:sz w:val="28"/>
          <w:szCs w:val="28"/>
          <w:highlight w:val="none"/>
        </w:rPr>
        <w:t>服务价格明细表</w:t>
      </w:r>
    </w:p>
    <w:bookmarkEnd w:id="167"/>
    <w:bookmarkEnd w:id="168"/>
    <w:bookmarkEnd w:id="169"/>
    <w:bookmarkEnd w:id="170"/>
    <w:bookmarkEnd w:id="171"/>
    <w:p>
      <w:pPr>
        <w:ind w:firstLine="723" w:firstLineChars="300"/>
        <w:outlineLvl w:val="9"/>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项目编号</w:t>
      </w:r>
      <w:r>
        <w:rPr>
          <w:rFonts w:hint="eastAsia" w:ascii="宋体" w:hAnsi="宋体" w:eastAsia="宋体" w:cs="宋体"/>
          <w:b/>
          <w:color w:val="auto"/>
          <w:sz w:val="24"/>
          <w:szCs w:val="24"/>
          <w:highlight w:val="none"/>
          <w:lang w:eastAsia="zh-CN"/>
        </w:rPr>
        <w:t>：</w:t>
      </w:r>
    </w:p>
    <w:p>
      <w:pPr>
        <w:ind w:firstLine="723" w:firstLineChars="300"/>
        <w:outlineLvl w:val="9"/>
        <w:rPr>
          <w:rFonts w:hint="eastAsia" w:ascii="宋体" w:hAnsi="宋体" w:eastAsia="宋体" w:cs="宋体"/>
          <w:color w:val="auto"/>
          <w:highlight w:val="none"/>
        </w:rPr>
      </w:pPr>
      <w:r>
        <w:rPr>
          <w:rFonts w:hint="eastAsia" w:ascii="宋体" w:hAnsi="宋体" w:eastAsia="宋体" w:cs="宋体"/>
          <w:b/>
          <w:color w:val="auto"/>
          <w:sz w:val="24"/>
          <w:szCs w:val="24"/>
          <w:highlight w:val="none"/>
          <w:lang w:eastAsia="zh-CN"/>
        </w:rPr>
        <w:t>投标</w:t>
      </w:r>
      <w:r>
        <w:rPr>
          <w:rFonts w:hint="eastAsia" w:ascii="宋体" w:hAnsi="宋体" w:cs="宋体"/>
          <w:b/>
          <w:color w:val="auto"/>
          <w:sz w:val="24"/>
          <w:szCs w:val="24"/>
          <w:highlight w:val="none"/>
          <w:lang w:val="en-US" w:eastAsia="zh-CN"/>
        </w:rPr>
        <w:t>单位</w:t>
      </w:r>
      <w:r>
        <w:rPr>
          <w:rFonts w:hint="eastAsia" w:ascii="宋体" w:hAnsi="宋体" w:eastAsia="宋体" w:cs="宋体"/>
          <w:b/>
          <w:color w:val="auto"/>
          <w:sz w:val="24"/>
          <w:szCs w:val="24"/>
          <w:highlight w:val="none"/>
          <w:lang w:eastAsia="zh-CN"/>
        </w:rPr>
        <w:t>名称：</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534"/>
        <w:gridCol w:w="1410"/>
        <w:gridCol w:w="1421"/>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34"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41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421"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673"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94" w:type="dxa"/>
            <w:gridSpan w:val="2"/>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bl>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注：1.此表中，总价应和开标一览表的投标总价相一致。</w:t>
      </w:r>
    </w:p>
    <w:p>
      <w:pPr>
        <w:adjustRightInd w:val="0"/>
        <w:snapToGrid w:val="0"/>
        <w:spacing w:line="360" w:lineRule="auto"/>
        <w:ind w:right="105" w:rightChars="50" w:firstLine="840" w:firstLineChars="4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2.本表可根据实际情况进行拓展。</w:t>
      </w: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投标人名称（加盖单位公章）：</w:t>
      </w:r>
      <w:r>
        <w:rPr>
          <w:rFonts w:hint="eastAsia" w:ascii="宋体" w:hAnsi="宋体" w:eastAsia="宋体" w:cs="宋体"/>
          <w:color w:val="auto"/>
          <w:highlight w:val="none"/>
          <w:u w:val="single"/>
        </w:rPr>
        <w:t xml:space="preserve">           </w:t>
      </w: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Cs w:val="21"/>
          <w:highlight w:val="none"/>
        </w:rPr>
        <w:t>非法人组织负责人）或</w:t>
      </w:r>
      <w:r>
        <w:rPr>
          <w:rFonts w:hint="eastAsia" w:ascii="宋体" w:hAnsi="宋体" w:eastAsia="宋体" w:cs="宋体"/>
          <w:color w:val="auto"/>
          <w:highlight w:val="none"/>
        </w:rPr>
        <w:t>其委托代理人(签字或盖章)：</w:t>
      </w:r>
      <w:r>
        <w:rPr>
          <w:rFonts w:hint="eastAsia" w:ascii="宋体" w:hAnsi="宋体" w:eastAsia="宋体" w:cs="宋体"/>
          <w:color w:val="auto"/>
          <w:highlight w:val="none"/>
          <w:u w:val="single"/>
        </w:rPr>
        <w:t xml:space="preserve">           </w:t>
      </w:r>
    </w:p>
    <w:p>
      <w:pPr>
        <w:adjustRightInd w:val="0"/>
        <w:snapToGrid w:val="0"/>
        <w:spacing w:line="360" w:lineRule="auto"/>
        <w:ind w:right="1050" w:rightChars="500"/>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 xml:space="preserve"> </w:t>
      </w:r>
    </w:p>
    <w:p>
      <w:pPr>
        <w:outlineLvl w:val="9"/>
        <w:rPr>
          <w:rFonts w:hint="eastAsia" w:ascii="宋体" w:hAnsi="宋体" w:eastAsia="宋体" w:cs="宋体"/>
          <w:b/>
          <w:color w:val="auto"/>
          <w:sz w:val="24"/>
          <w:szCs w:val="24"/>
          <w:highlight w:val="none"/>
        </w:rPr>
      </w:pPr>
    </w:p>
    <w:p>
      <w:pPr>
        <w:outlineLvl w:val="9"/>
        <w:rPr>
          <w:rFonts w:hint="eastAsia" w:ascii="宋体" w:hAnsi="宋体" w:eastAsia="宋体" w:cs="宋体"/>
          <w:b/>
          <w:color w:val="auto"/>
          <w:sz w:val="24"/>
          <w:szCs w:val="24"/>
          <w:highlight w:val="none"/>
        </w:rPr>
      </w:pPr>
    </w:p>
    <w:p>
      <w:pPr>
        <w:pStyle w:val="8"/>
        <w:outlineLvl w:val="9"/>
        <w:rPr>
          <w:rFonts w:hint="eastAsia" w:ascii="宋体" w:hAnsi="宋体" w:eastAsia="宋体" w:cs="宋体"/>
          <w:b/>
          <w:color w:val="auto"/>
          <w:sz w:val="28"/>
          <w:szCs w:val="28"/>
          <w:highlight w:val="none"/>
        </w:rPr>
      </w:pPr>
    </w:p>
    <w:p>
      <w:pPr>
        <w:pStyle w:val="8"/>
        <w:outlineLvl w:val="9"/>
        <w:rPr>
          <w:rFonts w:hint="eastAsia" w:ascii="宋体" w:hAnsi="宋体" w:eastAsia="宋体" w:cs="宋体"/>
          <w:b/>
          <w:color w:val="auto"/>
          <w:sz w:val="28"/>
          <w:szCs w:val="28"/>
          <w:highlight w:val="none"/>
        </w:rPr>
      </w:pPr>
    </w:p>
    <w:p>
      <w:pPr>
        <w:pStyle w:val="5"/>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2"/>
          <w:sz w:val="30"/>
          <w:szCs w:val="30"/>
          <w:highlight w:val="none"/>
          <w:lang w:val="en-US" w:eastAsia="zh-CN" w:bidi="ar-SA"/>
        </w:rPr>
        <w:t>4、</w:t>
      </w:r>
      <w:r>
        <w:rPr>
          <w:rFonts w:hint="eastAsia" w:ascii="宋体" w:hAnsi="宋体" w:eastAsia="宋体" w:cs="宋体"/>
          <w:b/>
          <w:bCs/>
          <w:color w:val="auto"/>
          <w:kern w:val="2"/>
          <w:sz w:val="30"/>
          <w:szCs w:val="30"/>
          <w:highlight w:val="none"/>
          <w:lang w:val="zh-CN" w:eastAsia="zh-CN" w:bidi="ar-SA"/>
        </w:rPr>
        <w:t>法定代表人身份证明书</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61595</wp:posOffset>
                </wp:positionV>
                <wp:extent cx="2619375" cy="1704975"/>
                <wp:effectExtent l="7620" t="7620" r="20955" b="20955"/>
                <wp:wrapNone/>
                <wp:docPr id="11" name="文本框 11"/>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法定代表人身份证反面</w:t>
                            </w:r>
                          </w:p>
                          <w:p>
                            <w:pPr>
                              <w:jc w:val="center"/>
                            </w:pPr>
                          </w:p>
                        </w:txbxContent>
                      </wps:txbx>
                      <wps:bodyPr wrap="square" upright="1"/>
                    </wps:wsp>
                  </a:graphicData>
                </a:graphic>
              </wp:anchor>
            </w:drawing>
          </mc:Choice>
          <mc:Fallback>
            <w:pict>
              <v:shape id="_x0000_s1026" o:spid="_x0000_s1026" o:spt="202" type="#_x0000_t202" style="position:absolute;left:0pt;margin-left:208.3pt;margin-top:4.85pt;height:134.25pt;width:206.25pt;z-index:251663360;mso-width-relative:page;mso-height-relative:page;" fillcolor="#FFFFFF" filled="t" stroked="t" coordsize="21600,21600" o:gfxdata="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rStEfXAAAACQEA&#10;AA8AAAAAAAAAAQAgAAAAIgAAAGRycy9kb3ducmV2LnhtbFBLAQIUABQAAAAIAIdO4kAKoYQxVAIA&#10;AN0EAAAOAAAAAAAAAAEAIAAAACYBAABkcnMvZTJvRG9jLnhtbFBLBQYAAAAABgAGAFkBAADsBQAA&#10;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法定代表人身份证反面</w:t>
                      </w:r>
                    </w:p>
                    <w:p>
                      <w:pPr>
                        <w:jc w:val="center"/>
                      </w:pP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-74930</wp:posOffset>
                </wp:positionH>
                <wp:positionV relativeFrom="paragraph">
                  <wp:posOffset>85090</wp:posOffset>
                </wp:positionV>
                <wp:extent cx="2619375" cy="1704975"/>
                <wp:effectExtent l="7620" t="7620" r="20955" b="20955"/>
                <wp:wrapNone/>
                <wp:docPr id="8" name="文本框 8"/>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_x0000_s1026" o:spid="_x0000_s1026" o:spt="202" type="#_x0000_t202" style="position:absolute;left:0pt;margin-left:-5.9pt;margin-top:6.7pt;height:134.25pt;width:206.25pt;z-index:251662336;mso-width-relative:page;mso-height-relative:page;" fillcolor="#FFFFFF" filled="t" stroked="t" coordsize="21600,21600" o:gfxdata="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THPJ62AAAAAoB&#10;AAAPAAAAAAAAAAEAIAAAACIAAABkcnMvZG93bnJldi54bWxQSwECFAAUAAAACACHTuJAvCxWR1QC&#10;AADbBAAADgAAAAAAAAABACAAAAAn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pStyle w:val="9"/>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                                    日    期：   年 月 日</w:t>
      </w:r>
      <w:r>
        <w:rPr>
          <w:rFonts w:hint="eastAsia" w:ascii="宋体" w:hAnsi="宋体" w:eastAsia="宋体" w:cs="宋体"/>
          <w:color w:val="auto"/>
          <w:sz w:val="28"/>
          <w:szCs w:val="28"/>
          <w:highlight w:val="none"/>
        </w:rPr>
        <w:t xml:space="preserve">  </w:t>
      </w:r>
    </w:p>
    <w:p>
      <w:pPr>
        <w:spacing w:line="360" w:lineRule="auto"/>
        <w:rPr>
          <w:rFonts w:hint="eastAsia" w:ascii="宋体" w:hAnsi="宋体" w:eastAsia="宋体" w:cs="宋体"/>
          <w:color w:val="auto"/>
          <w:sz w:val="28"/>
          <w:szCs w:val="28"/>
          <w:highlight w:val="none"/>
        </w:rPr>
      </w:pPr>
    </w:p>
    <w:p>
      <w:pPr>
        <w:spacing w:line="400" w:lineRule="exact"/>
        <w:rPr>
          <w:rFonts w:hint="eastAsia" w:ascii="宋体" w:hAnsi="宋体" w:eastAsia="宋体" w:cs="宋体"/>
          <w:color w:val="auto"/>
          <w:sz w:val="28"/>
          <w:szCs w:val="28"/>
          <w:highlight w:val="none"/>
        </w:rPr>
      </w:pPr>
    </w:p>
    <w:p>
      <w:pPr>
        <w:autoSpaceDE w:val="0"/>
        <w:autoSpaceDN w:val="0"/>
        <w:adjustRightIn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br w:type="page"/>
      </w:r>
      <w:bookmarkStart w:id="172" w:name="_Toc13321"/>
      <w:bookmarkStart w:id="173" w:name="_Toc32721"/>
      <w:bookmarkStart w:id="174" w:name="_Toc32628"/>
      <w:bookmarkStart w:id="175" w:name="_Toc23575"/>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rPr>
        <w:t>法定代表人授权书格式</w:t>
      </w:r>
      <w:bookmarkEnd w:id="172"/>
      <w:bookmarkEnd w:id="173"/>
      <w:bookmarkEnd w:id="174"/>
      <w:bookmarkEnd w:id="175"/>
    </w:p>
    <w:p>
      <w:pPr>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w:t>
      </w:r>
    </w:p>
    <w:p>
      <w:pPr>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(投标单位名称)法定代表人授权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为本公司的合法代理人，参加贵方组织的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项目招标文件采购招标活动，全权代表我方处理招标活动中的一切事宜和签署一切文件，被授权人无转委托权，特此委托。</w:t>
      </w:r>
    </w:p>
    <w:p>
      <w:pPr>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w:t>
      </w:r>
    </w:p>
    <w:p>
      <w:pPr>
        <w:ind w:firstLine="686" w:firstLineChars="2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pPr>
        <w:ind w:firstLine="686" w:firstLineChars="245"/>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被授权人姓名：</w:t>
      </w:r>
    </w:p>
    <w:p>
      <w:pPr>
        <w:ind w:firstLine="686" w:firstLineChars="2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电    话：</w:t>
      </w: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2783205</wp:posOffset>
                </wp:positionH>
                <wp:positionV relativeFrom="paragraph">
                  <wp:posOffset>131445</wp:posOffset>
                </wp:positionV>
                <wp:extent cx="2619375" cy="1381760"/>
                <wp:effectExtent l="7620" t="7620" r="20955" b="20320"/>
                <wp:wrapNone/>
                <wp:docPr id="9" name="文本框 9"/>
                <wp:cNvGraphicFramePr/>
                <a:graphic xmlns:a="http://schemas.openxmlformats.org/drawingml/2006/main">
                  <a:graphicData uri="http://schemas.microsoft.com/office/word/2010/wordprocessingShape">
                    <wps:wsp>
                      <wps:cNvSpPr txBox="1"/>
                      <wps:spPr>
                        <a:xfrm>
                          <a:off x="0" y="0"/>
                          <a:ext cx="2619375" cy="13817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被委托人身份证正面</w:t>
                            </w:r>
                          </w:p>
                        </w:txbxContent>
                      </wps:txbx>
                      <wps:bodyPr wrap="square" upright="1"/>
                    </wps:wsp>
                  </a:graphicData>
                </a:graphic>
              </wp:anchor>
            </w:drawing>
          </mc:Choice>
          <mc:Fallback>
            <w:pict>
              <v:shape id="_x0000_s1026" o:spid="_x0000_s1026" o:spt="202" type="#_x0000_t202" style="position:absolute;left:0pt;margin-left:219.15pt;margin-top:10.35pt;height:108.8pt;width:206.25pt;z-index:251665408;mso-width-relative:page;mso-height-relative:page;" fillcolor="#FFFFFF" filled="t" stroked="t" coordsize="21600,21600" o:gfxdata="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r7EtN1wAAAAoB&#10;AAAPAAAAAAAAAAEAIAAAACIAAABkcnMvZG93bnJldi54bWxQSwECFAAUAAAACACHTuJAeavzxlUC&#10;AADbBAAADgAAAAAAAAABACAAAAAmAQAAZHJzL2Uyb0RvYy54bWxQSwUGAAAAAAYABgBZAQAA7QUA&#10;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被委托人身份证正面</w:t>
                      </w:r>
                    </w:p>
                  </w:txbxContent>
                </v:textbox>
              </v:shap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11430</wp:posOffset>
                </wp:positionH>
                <wp:positionV relativeFrom="paragraph">
                  <wp:posOffset>87630</wp:posOffset>
                </wp:positionV>
                <wp:extent cx="2619375" cy="1448435"/>
                <wp:effectExtent l="7620" t="7620" r="20955" b="10795"/>
                <wp:wrapNone/>
                <wp:docPr id="13" name="文本框 13"/>
                <wp:cNvGraphicFramePr/>
                <a:graphic xmlns:a="http://schemas.openxmlformats.org/drawingml/2006/main">
                  <a:graphicData uri="http://schemas.microsoft.com/office/word/2010/wordprocessingShape">
                    <wps:wsp>
                      <wps:cNvSpPr txBox="1"/>
                      <wps:spPr>
                        <a:xfrm>
                          <a:off x="0" y="0"/>
                          <a:ext cx="2619375" cy="144843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法定代表人身份证正面</w:t>
                            </w:r>
                          </w:p>
                        </w:txbxContent>
                      </wps:txbx>
                      <wps:bodyPr wrap="square" upright="1"/>
                    </wps:wsp>
                  </a:graphicData>
                </a:graphic>
              </wp:anchor>
            </w:drawing>
          </mc:Choice>
          <mc:Fallback>
            <w:pict>
              <v:shape id="_x0000_s1026" o:spid="_x0000_s1026" o:spt="202" type="#_x0000_t202" style="position:absolute;left:0pt;margin-left:0.9pt;margin-top:6.9pt;height:114.05pt;width:206.25pt;z-index:251664384;mso-width-relative:page;mso-height-relative:page;" fillcolor="#FFFFFF" filled="t" stroked="t" coordsize="21600,21600" o:gfxdata="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6NPzYdUAAAAIAQAA&#10;DwAAAAAAAAABACAAAAAiAAAAZHJzL2Rvd25yZXYueG1sUEsBAhQAFAAAAAgAh07iQF8t80xVAgAA&#10;3QQAAA4AAAAAAAAAAQAgAAAAJA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法定代表人身份证正面</w:t>
                      </w:r>
                    </w:p>
                  </w:txbxContent>
                </v:textbox>
              </v:shape>
            </w:pict>
          </mc:Fallback>
        </mc:AlternateContent>
      </w: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center"/>
        <w:rPr>
          <w:rFonts w:hint="eastAsia" w:ascii="宋体" w:hAnsi="宋体" w:eastAsia="宋体" w:cs="宋体"/>
          <w:b/>
          <w:color w:val="auto"/>
          <w:sz w:val="28"/>
          <w:szCs w:val="28"/>
          <w:highlight w:val="none"/>
        </w:rPr>
      </w:pPr>
    </w:p>
    <w:p>
      <w:pPr>
        <w:spacing w:line="360" w:lineRule="auto"/>
        <w:jc w:val="left"/>
        <w:rPr>
          <w:rFonts w:hint="eastAsia" w:ascii="宋体" w:hAnsi="宋体" w:eastAsia="宋体" w:cs="宋体"/>
          <w:bCs/>
          <w:color w:val="auto"/>
          <w:sz w:val="28"/>
          <w:szCs w:val="28"/>
          <w:highlight w:val="none"/>
          <w:u w:val="single"/>
          <w:lang w:val="en-US" w:eastAsia="zh-CN"/>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2818765</wp:posOffset>
                </wp:positionH>
                <wp:positionV relativeFrom="paragraph">
                  <wp:posOffset>175895</wp:posOffset>
                </wp:positionV>
                <wp:extent cx="2619375" cy="1428750"/>
                <wp:effectExtent l="7620" t="7620" r="20955" b="11430"/>
                <wp:wrapNone/>
                <wp:docPr id="15" name="文本框 15"/>
                <wp:cNvGraphicFramePr/>
                <a:graphic xmlns:a="http://schemas.openxmlformats.org/drawingml/2006/main">
                  <a:graphicData uri="http://schemas.microsoft.com/office/word/2010/wordprocessingShape">
                    <wps:wsp>
                      <wps:cNvSpPr txBox="1"/>
                      <wps:spPr>
                        <a:xfrm>
                          <a:off x="0" y="0"/>
                          <a:ext cx="2619375" cy="142875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被委托人身份证背面</w:t>
                            </w:r>
                          </w:p>
                        </w:txbxContent>
                      </wps:txbx>
                      <wps:bodyPr wrap="square" upright="1"/>
                    </wps:wsp>
                  </a:graphicData>
                </a:graphic>
              </wp:anchor>
            </w:drawing>
          </mc:Choice>
          <mc:Fallback>
            <w:pict>
              <v:shape id="_x0000_s1026" o:spid="_x0000_s1026" o:spt="202" type="#_x0000_t202" style="position:absolute;left:0pt;margin-left:221.95pt;margin-top:13.85pt;height:112.5pt;width:206.25pt;z-index:251667456;mso-width-relative:page;mso-height-relative:page;" fillcolor="#FFFFFF" filled="t" stroked="t" coordsize="21600,21600" o:gfxdata="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zgbBNkAAAAK&#10;AQAADwAAAAAAAAABACAAAAAiAAAAZHJzL2Rvd25yZXYueG1sUEsBAhQAFAAAAAgAh07iQKIaKJpU&#10;AgAA3QQAAA4AAAAAAAAAAQAgAAAAKAEAAGRycy9lMm9Eb2MueG1sUEsFBgAAAAAGAAYAWQEAAO4F&#10;AAAA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被委托人身份证背面</w:t>
                      </w:r>
                    </w:p>
                  </w:txbxContent>
                </v:textbox>
              </v:shap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163830</wp:posOffset>
                </wp:positionV>
                <wp:extent cx="2619375" cy="1438275"/>
                <wp:effectExtent l="8255" t="7620" r="20320" b="20955"/>
                <wp:wrapTopAndBottom/>
                <wp:docPr id="16" name="文本框 16"/>
                <wp:cNvGraphicFramePr/>
                <a:graphic xmlns:a="http://schemas.openxmlformats.org/drawingml/2006/main">
                  <a:graphicData uri="http://schemas.microsoft.com/office/word/2010/wordprocessingShape">
                    <wps:wsp>
                      <wps:cNvSpPr txBox="1"/>
                      <wps:spPr>
                        <a:xfrm>
                          <a:off x="0" y="0"/>
                          <a:ext cx="2619375" cy="14382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r>
                              <w:rPr>
                                <w:rFonts w:hint="eastAsia"/>
                              </w:rPr>
                              <w:t>法定代表人身份证背面</w:t>
                            </w:r>
                          </w:p>
                        </w:txbxContent>
                      </wps:txbx>
                      <wps:bodyPr wrap="square" upright="1"/>
                    </wps:wsp>
                  </a:graphicData>
                </a:graphic>
              </wp:anchor>
            </w:drawing>
          </mc:Choice>
          <mc:Fallback>
            <w:pict>
              <v:shape id="_x0000_s1026" o:spid="_x0000_s1026" o:spt="202" type="#_x0000_t202" style="position:absolute;left:0pt;margin-left:0.5pt;margin-top:12.9pt;height:113.25pt;width:206.25pt;mso-wrap-distance-bottom:0pt;mso-wrap-distance-top:0pt;z-index:251666432;mso-width-relative:page;mso-height-relative:page;" fillcolor="#FFFFFF" filled="t" stroked="t" coordsize="21600,21600" o:gfxdata="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Uzij9UAAAAIAQAA&#10;DwAAAAAAAAABACAAAAAiAAAAZHJzL2Rvd25yZXYueG1sUEsBAhQAFAAAAAgAh07iQHwzaCFVAgAA&#10;3QQAAA4AAAAAAAAAAQAgAAAAJAEAAGRycy9lMm9Eb2MueG1sUEsFBgAAAAAGAAYAWQEAAOsFAAAA&#10;AA==&#10;">
                <v:fill type="gradient" on="t" color2="#FFFFFF" angle="90" focus="100%" focussize="0,0">
                  <o:fill type="gradientUnscaled" v:ext="backwardCompatible"/>
                </v:fill>
                <v:stroke weight="1.25pt" color="#000000" joinstyle="miter"/>
                <v:imagedata o:title=""/>
                <o:lock v:ext="edit" aspectratio="f"/>
                <v:textbox>
                  <w:txbxContent>
                    <w:p>
                      <w:pPr>
                        <w:jc w:val="center"/>
                      </w:pPr>
                    </w:p>
                    <w:p>
                      <w:pPr>
                        <w:jc w:val="center"/>
                      </w:pPr>
                    </w:p>
                    <w:p>
                      <w:pPr>
                        <w:jc w:val="center"/>
                      </w:pPr>
                      <w:r>
                        <w:rPr>
                          <w:rFonts w:hint="eastAsia"/>
                        </w:rPr>
                        <w:t>法定代表人身份证背面</w:t>
                      </w:r>
                    </w:p>
                  </w:txbxContent>
                </v:textbox>
                <w10:wrap type="topAndBottom"/>
              </v:shape>
            </w:pict>
          </mc:Fallback>
        </mc:AlternateContent>
      </w:r>
      <w:r>
        <w:rPr>
          <w:rFonts w:hint="eastAsia" w:ascii="宋体" w:hAnsi="宋体" w:eastAsia="宋体" w:cs="宋体"/>
          <w:bCs/>
          <w:color w:val="auto"/>
          <w:sz w:val="28"/>
          <w:szCs w:val="28"/>
          <w:highlight w:val="none"/>
        </w:rPr>
        <w:t>投标企业（盖章）：</w:t>
      </w:r>
    </w:p>
    <w:p>
      <w:pPr>
        <w:pStyle w:val="9"/>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    期：   年 月 日</w:t>
      </w:r>
    </w:p>
    <w:p>
      <w:pPr>
        <w:pStyle w:val="9"/>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sz w:val="30"/>
          <w:szCs w:val="30"/>
          <w:highlight w:val="none"/>
          <w:lang w:val="en-US" w:eastAsia="zh-CN"/>
        </w:rPr>
        <w:t>6</w:t>
      </w:r>
      <w:r>
        <w:rPr>
          <w:rFonts w:hint="eastAsia" w:ascii="宋体" w:hAnsi="宋体" w:cs="宋体"/>
          <w:b/>
          <w:bCs/>
          <w:color w:val="auto"/>
          <w:sz w:val="30"/>
          <w:szCs w:val="30"/>
          <w:highlight w:val="none"/>
          <w:lang w:val="en-US" w:eastAsia="zh-CN"/>
        </w:rPr>
        <w:t>、</w:t>
      </w:r>
      <w:r>
        <w:rPr>
          <w:rFonts w:hint="eastAsia" w:ascii="宋体" w:hAnsi="宋体" w:eastAsia="宋体" w:cs="宋体"/>
          <w:b/>
          <w:bCs/>
          <w:color w:val="auto"/>
          <w:sz w:val="30"/>
          <w:szCs w:val="30"/>
          <w:highlight w:val="none"/>
          <w:lang w:val="en-US" w:eastAsia="zh-CN"/>
        </w:rPr>
        <w:t>企业情况</w:t>
      </w:r>
    </w:p>
    <w:p>
      <w:pPr>
        <w:pStyle w:val="4"/>
        <w:jc w:val="both"/>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（1）包含营业场所，办公条件，企业简介等相关内容</w:t>
      </w:r>
    </w:p>
    <w:p>
      <w:pPr>
        <w:pStyle w:val="4"/>
        <w:jc w:val="both"/>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法人营业执照函</w:t>
      </w: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现附上由</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（签发机关名称）签发的我方法人营业执照复印件，该执照已经年检，真实有效。</w:t>
      </w:r>
    </w:p>
    <w:p>
      <w:pPr>
        <w:spacing w:line="360" w:lineRule="auto"/>
        <w:ind w:firstLine="48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注：在此页附上营业执照</w:t>
      </w:r>
    </w:p>
    <w:p>
      <w:pPr>
        <w:spacing w:line="360" w:lineRule="auto"/>
        <w:ind w:firstLine="480"/>
        <w:rPr>
          <w:rFonts w:hint="eastAsia" w:ascii="宋体" w:hAnsi="宋体" w:eastAsia="宋体" w:cs="宋体"/>
          <w:color w:val="auto"/>
          <w:sz w:val="28"/>
          <w:szCs w:val="28"/>
          <w:highlight w:val="none"/>
        </w:rPr>
      </w:pPr>
    </w:p>
    <w:p>
      <w:pPr>
        <w:spacing w:line="360" w:lineRule="auto"/>
        <w:ind w:firstLine="480"/>
        <w:rPr>
          <w:rFonts w:hint="eastAsia" w:ascii="宋体" w:hAnsi="宋体" w:eastAsia="宋体" w:cs="宋体"/>
          <w:color w:val="auto"/>
          <w:sz w:val="28"/>
          <w:szCs w:val="28"/>
          <w:highlight w:val="none"/>
        </w:rPr>
      </w:pPr>
    </w:p>
    <w:p>
      <w:pPr>
        <w:pStyle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供应商：（加盖公章）   </w:t>
      </w:r>
    </w:p>
    <w:p>
      <w:pPr>
        <w:pStyle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供应商授权代表人(签字或盖章)：          </w:t>
      </w:r>
    </w:p>
    <w:p>
      <w:pPr>
        <w:pStyle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    期：   年 月 日  </w:t>
      </w:r>
    </w:p>
    <w:p>
      <w:pPr>
        <w:pStyle w:val="9"/>
        <w:rPr>
          <w:rFonts w:hint="eastAsia" w:ascii="宋体" w:hAnsi="宋体" w:eastAsia="宋体" w:cs="宋体"/>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both"/>
        <w:outlineLvl w:val="9"/>
        <w:rPr>
          <w:rFonts w:hint="eastAsia" w:ascii="宋体" w:hAnsi="宋体" w:eastAsia="宋体" w:cs="宋体"/>
          <w:b/>
          <w:color w:val="auto"/>
          <w:sz w:val="28"/>
          <w:szCs w:val="28"/>
          <w:highlight w:val="yellow"/>
          <w:lang w:val="en-US" w:eastAsia="zh-CN"/>
        </w:rPr>
      </w:pPr>
    </w:p>
    <w:p>
      <w:pPr>
        <w:spacing w:line="360" w:lineRule="auto"/>
        <w:ind w:firstLine="60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30"/>
          <w:szCs w:val="30"/>
          <w:highlight w:val="none"/>
          <w:lang w:val="en-US" w:eastAsia="zh-CN"/>
        </w:rPr>
        <w:t>7</w:t>
      </w:r>
      <w:r>
        <w:rPr>
          <w:rFonts w:hint="eastAsia" w:ascii="宋体" w:hAnsi="宋体" w:cs="宋体"/>
          <w:b/>
          <w:color w:val="auto"/>
          <w:sz w:val="30"/>
          <w:szCs w:val="30"/>
          <w:highlight w:val="none"/>
          <w:lang w:val="en-US" w:eastAsia="zh-CN"/>
        </w:rPr>
        <w:t>、</w:t>
      </w:r>
      <w:r>
        <w:rPr>
          <w:rFonts w:hint="eastAsia" w:ascii="宋体" w:hAnsi="宋体" w:eastAsia="宋体" w:cs="宋体"/>
          <w:b/>
          <w:color w:val="auto"/>
          <w:sz w:val="30"/>
          <w:szCs w:val="30"/>
          <w:highlight w:val="none"/>
        </w:rPr>
        <w:t>关于资格的声明函</w:t>
      </w:r>
    </w:p>
    <w:p>
      <w:pPr>
        <w:widowControl/>
        <w:spacing w:line="460" w:lineRule="exact"/>
        <w:jc w:val="left"/>
        <w:rPr>
          <w:rFonts w:hint="eastAsia" w:ascii="宋体" w:hAnsi="宋体" w:eastAsia="宋体" w:cs="宋体"/>
          <w:color w:val="auto"/>
          <w:sz w:val="28"/>
          <w:szCs w:val="28"/>
          <w:u w:val="single"/>
        </w:rPr>
      </w:pP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w:t>
      </w:r>
      <w:r>
        <w:rPr>
          <w:rFonts w:hint="eastAsia" w:ascii="宋体" w:hAnsi="宋体" w:eastAsia="宋体" w:cs="宋体"/>
          <w:color w:val="auto"/>
          <w:sz w:val="28"/>
          <w:szCs w:val="28"/>
          <w:u w:val="single"/>
        </w:rPr>
        <w:t xml:space="preserve">            ：</w:t>
      </w:r>
    </w:p>
    <w:p>
      <w:pPr>
        <w:widowControl/>
        <w:spacing w:line="46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关于贵方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日发出的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项目招标文件，本投标方愿意参加投标，并证明资格文件中和所要求的说明是真实和准确无误的。</w:t>
      </w:r>
    </w:p>
    <w:p>
      <w:pPr>
        <w:spacing w:line="460" w:lineRule="exact"/>
        <w:ind w:firstLine="576"/>
        <w:rPr>
          <w:rFonts w:hint="eastAsia" w:ascii="宋体" w:hAnsi="宋体" w:eastAsia="宋体" w:cs="宋体"/>
          <w:color w:val="auto"/>
          <w:sz w:val="28"/>
          <w:szCs w:val="28"/>
        </w:rPr>
      </w:pPr>
      <w:r>
        <w:rPr>
          <w:rFonts w:hint="eastAsia" w:ascii="宋体" w:hAnsi="宋体" w:eastAsia="宋体" w:cs="宋体"/>
          <w:color w:val="auto"/>
          <w:sz w:val="28"/>
          <w:szCs w:val="28"/>
        </w:rPr>
        <w:t>本投标方对可能要求的进一步的资格资料表示理解和同意，并同意按贵方的要求提供任何有关资料。</w:t>
      </w:r>
    </w:p>
    <w:p>
      <w:pPr>
        <w:spacing w:line="460" w:lineRule="exact"/>
        <w:ind w:firstLine="576"/>
        <w:rPr>
          <w:rFonts w:hint="eastAsia" w:ascii="宋体" w:hAnsi="宋体" w:eastAsia="宋体" w:cs="宋体"/>
          <w:color w:val="auto"/>
          <w:sz w:val="28"/>
          <w:szCs w:val="28"/>
        </w:rPr>
      </w:pPr>
    </w:p>
    <w:p>
      <w:pPr>
        <w:spacing w:line="460" w:lineRule="exact"/>
        <w:ind w:firstLine="576"/>
        <w:rPr>
          <w:rFonts w:hint="eastAsia" w:ascii="宋体" w:hAnsi="宋体" w:eastAsia="宋体" w:cs="宋体"/>
          <w:color w:val="auto"/>
          <w:sz w:val="28"/>
          <w:szCs w:val="28"/>
        </w:rPr>
      </w:pPr>
    </w:p>
    <w:p>
      <w:pPr>
        <w:spacing w:line="460" w:lineRule="exact"/>
        <w:ind w:firstLine="576"/>
        <w:rPr>
          <w:rFonts w:hint="eastAsia" w:ascii="宋体" w:hAnsi="宋体" w:eastAsia="宋体" w:cs="宋体"/>
          <w:color w:val="auto"/>
          <w:sz w:val="28"/>
          <w:szCs w:val="28"/>
        </w:rPr>
      </w:pPr>
    </w:p>
    <w:p>
      <w:pPr>
        <w:spacing w:line="4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投标单位名称：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（单位公章）</w:t>
      </w:r>
    </w:p>
    <w:p>
      <w:pPr>
        <w:spacing w:line="46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pacing w:val="-1"/>
          <w:sz w:val="28"/>
          <w:szCs w:val="28"/>
        </w:rPr>
        <w:t>法定代表人或其授权代表 (</w:t>
      </w:r>
      <w:r>
        <w:rPr>
          <w:rFonts w:hint="eastAsia" w:ascii="宋体" w:hAnsi="宋体" w:eastAsia="宋体" w:cs="宋体"/>
          <w:color w:val="auto"/>
          <w:sz w:val="28"/>
          <w:szCs w:val="28"/>
          <w:highlight w:val="none"/>
        </w:rPr>
        <w:t>签字或盖章</w:t>
      </w:r>
      <w:r>
        <w:rPr>
          <w:rFonts w:hint="eastAsia" w:ascii="宋体" w:hAnsi="宋体" w:eastAsia="宋体" w:cs="宋体"/>
          <w:color w:val="auto"/>
          <w:spacing w:val="-1"/>
          <w:sz w:val="28"/>
          <w:szCs w:val="28"/>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传真：</w:t>
      </w:r>
      <w:r>
        <w:rPr>
          <w:rFonts w:hint="eastAsia" w:ascii="宋体" w:hAnsi="宋体" w:eastAsia="宋体" w:cs="宋体"/>
          <w:color w:val="auto"/>
          <w:sz w:val="28"/>
          <w:szCs w:val="28"/>
          <w:u w:val="single"/>
        </w:rPr>
        <w:t xml:space="preserve">                                               </w:t>
      </w:r>
    </w:p>
    <w:p>
      <w:pPr>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电话：</w:t>
      </w:r>
      <w:r>
        <w:rPr>
          <w:rFonts w:hint="eastAsia" w:ascii="宋体" w:hAnsi="宋体" w:eastAsia="宋体" w:cs="宋体"/>
          <w:color w:val="auto"/>
          <w:sz w:val="28"/>
          <w:szCs w:val="28"/>
          <w:u w:val="single"/>
        </w:rPr>
        <w:t xml:space="preserve">                                               </w:t>
      </w:r>
    </w:p>
    <w:p>
      <w:pPr>
        <w:rPr>
          <w:rFonts w:hint="eastAsia" w:ascii="宋体" w:hAnsi="宋体" w:eastAsia="宋体" w:cs="宋体"/>
          <w:color w:val="auto"/>
          <w:sz w:val="28"/>
          <w:szCs w:val="28"/>
          <w:highlight w:val="none"/>
          <w:lang w:val="en-US" w:eastAsia="zh-CN"/>
        </w:rPr>
      </w:pPr>
    </w:p>
    <w:p>
      <w:pPr>
        <w:pStyle w:val="9"/>
        <w:rPr>
          <w:rFonts w:hint="eastAsia" w:ascii="宋体" w:hAnsi="宋体" w:eastAsia="宋体" w:cs="宋体"/>
          <w:color w:val="auto"/>
          <w:sz w:val="28"/>
          <w:szCs w:val="28"/>
          <w:highlight w:val="none"/>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yellow"/>
          <w:lang w:val="en-US" w:eastAsia="zh-CN"/>
        </w:rPr>
      </w:pPr>
    </w:p>
    <w:p>
      <w:pPr>
        <w:spacing w:line="600" w:lineRule="exact"/>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8</w:t>
      </w:r>
      <w:r>
        <w:rPr>
          <w:rFonts w:hint="eastAsia" w:ascii="宋体" w:hAnsi="宋体" w:cs="宋体"/>
          <w:b/>
          <w:color w:val="auto"/>
          <w:sz w:val="28"/>
          <w:szCs w:val="28"/>
          <w:highlight w:val="none"/>
          <w:lang w:val="en-US" w:eastAsia="zh-CN"/>
        </w:rPr>
        <w:t>、</w:t>
      </w:r>
      <w:r>
        <w:rPr>
          <w:rFonts w:hint="eastAsia" w:ascii="宋体" w:hAnsi="宋体" w:eastAsia="宋体" w:cs="宋体"/>
          <w:b/>
          <w:color w:val="auto"/>
          <w:sz w:val="30"/>
          <w:szCs w:val="30"/>
          <w:highlight w:val="none"/>
          <w:lang w:val="en-US" w:eastAsia="zh-CN"/>
        </w:rPr>
        <w:t>符合《政府采购法》第二十二条规定的条件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（1）经年审合格（三证合一）的营业执照；</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（2）</w:t>
      </w:r>
      <w:r>
        <w:rPr>
          <w:rFonts w:hint="eastAsia" w:ascii="宋体" w:hAnsi="宋体" w:cs="宋体"/>
          <w:color w:val="auto"/>
          <w:kern w:val="0"/>
          <w:sz w:val="24"/>
          <w:szCs w:val="22"/>
          <w:highlight w:val="none"/>
          <w:lang w:val="en-US" w:eastAsia="zh-CN"/>
        </w:rPr>
        <w:t>具有有效期内的乙级及以上测绘资质(专业范围包含地理信息系统工程)</w:t>
      </w:r>
      <w:r>
        <w:rPr>
          <w:rFonts w:hint="eastAsia" w:ascii="宋体" w:hAnsi="宋体" w:eastAsia="宋体" w:cs="宋体"/>
          <w:color w:val="auto"/>
          <w:kern w:val="0"/>
          <w:sz w:val="24"/>
          <w:szCs w:val="22"/>
          <w:highlight w:val="none"/>
          <w:lang w:val="en-US" w:eastAsia="zh-CN"/>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（3）</w:t>
      </w:r>
      <w:r>
        <w:rPr>
          <w:rFonts w:hint="eastAsia" w:ascii="宋体" w:hAnsi="宋体" w:cs="宋体"/>
          <w:color w:val="auto"/>
          <w:kern w:val="0"/>
          <w:sz w:val="24"/>
          <w:szCs w:val="22"/>
          <w:highlight w:val="none"/>
          <w:lang w:val="en-US" w:eastAsia="zh-CN"/>
        </w:rPr>
        <w:t>提供法人（指本单位）2023年2月至2023年4月单</w:t>
      </w:r>
      <w:r>
        <w:rPr>
          <w:rFonts w:hint="eastAsia" w:ascii="宋体" w:hAnsi="宋体" w:eastAsia="宋体" w:cs="宋体"/>
          <w:color w:val="auto"/>
          <w:kern w:val="0"/>
          <w:sz w:val="24"/>
          <w:szCs w:val="22"/>
          <w:highlight w:val="none"/>
          <w:lang w:val="en-US" w:eastAsia="zh-CN"/>
        </w:rPr>
        <w:t>位缴纳的社保明细及缴费凭证，成立不足三个月的按实际提供；提供税务机关出具的近3个月的完税证明或依法报税资料（新成立不足3个月的按实际情况发生提供，成立时间超过3个月的零申报的需提供依法报税资料）；</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4）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val="en-US" w:eastAsia="zh-CN"/>
        </w:rPr>
        <w:t>（5）具有良好的商业信誉和健全的财务会计制度：</w:t>
      </w:r>
      <w:r>
        <w:rPr>
          <w:rFonts w:hint="eastAsia" w:ascii="宋体" w:hAnsi="宋体" w:cs="宋体"/>
          <w:color w:val="auto"/>
          <w:kern w:val="0"/>
          <w:sz w:val="24"/>
          <w:szCs w:val="22"/>
          <w:highlight w:val="none"/>
          <w:lang w:val="en-US" w:eastAsia="zh-CN"/>
        </w:rPr>
        <w:t>提供2021年度或2022年度由第三方财务审计机构出具</w:t>
      </w:r>
      <w:r>
        <w:rPr>
          <w:rFonts w:hint="eastAsia" w:ascii="宋体" w:hAnsi="宋体" w:eastAsia="宋体" w:cs="宋体"/>
          <w:color w:val="auto"/>
          <w:kern w:val="0"/>
          <w:sz w:val="24"/>
          <w:szCs w:val="22"/>
          <w:highlight w:val="none"/>
          <w:lang w:val="en-US" w:eastAsia="zh-CN"/>
        </w:rPr>
        <w:t>的财务审计报告或新成立的企业提供银行出具的近三个月的资信证明；</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sz w:val="24"/>
          <w:szCs w:val="22"/>
          <w:highlight w:val="none"/>
          <w:lang w:val="en-US" w:eastAsia="zh-CN"/>
        </w:rPr>
        <w:t>（6）企业负责人为同一人或者存在直接控股、管理关系的不同投标人，不得参加同一合同项下的政府采购活动。否则，皆取消投标资格；凡拟参加本次招标项目的投标人还须提供“参加政府采购活动前3年内在经营活动中没有重大违法记录的书面声明函”；</w:t>
      </w:r>
    </w:p>
    <w:p>
      <w:pPr>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注：以上证明材料应逐页盖章</w:t>
      </w:r>
    </w:p>
    <w:p>
      <w:pPr>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8"/>
          <w:szCs w:val="28"/>
          <w:highlight w:val="none"/>
          <w:lang w:val="en-US" w:eastAsia="zh-CN"/>
        </w:rPr>
        <w:br w:type="page"/>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、近</w:t>
      </w: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18</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5月</w:t>
      </w:r>
      <w:r>
        <w:rPr>
          <w:rFonts w:hint="eastAsia" w:ascii="宋体" w:hAnsi="宋体" w:eastAsia="宋体" w:cs="宋体"/>
          <w:b/>
          <w:bCs/>
          <w:color w:val="auto"/>
          <w:sz w:val="28"/>
          <w:szCs w:val="28"/>
          <w:highlight w:val="none"/>
          <w:lang w:val="en-US" w:eastAsia="zh-CN"/>
        </w:rPr>
        <w:t>至今</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业绩及相关证明</w:t>
      </w:r>
    </w:p>
    <w:p>
      <w:pPr>
        <w:pStyle w:val="8"/>
        <w:ind w:firstLine="0"/>
        <w:outlineLvl w:val="9"/>
        <w:rPr>
          <w:rFonts w:hint="eastAsia" w:ascii="宋体" w:hAnsi="宋体" w:eastAsia="宋体" w:cs="宋体"/>
          <w:color w:val="auto"/>
          <w:highlight w:val="none"/>
        </w:rPr>
      </w:pPr>
    </w:p>
    <w:p>
      <w:pPr>
        <w:pStyle w:val="50"/>
        <w:ind w:firstLine="240" w:firstLineChars="100"/>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项目名称 ：</w:t>
      </w:r>
      <w:r>
        <w:rPr>
          <w:rFonts w:hint="eastAsia" w:ascii="宋体" w:hAnsi="宋体" w:eastAsia="宋体" w:cs="宋体"/>
          <w:color w:val="auto"/>
          <w:szCs w:val="24"/>
          <w:highlight w:val="none"/>
          <w:u w:val="single"/>
        </w:rPr>
        <w:t xml:space="preserve">        </w:t>
      </w:r>
      <w:r>
        <w:rPr>
          <w:rFonts w:hint="eastAsia" w:ascii="宋体" w:hAnsi="宋体" w:cs="宋体"/>
          <w:color w:val="auto"/>
          <w:szCs w:val="24"/>
          <w:highlight w:val="none"/>
          <w:lang w:val="en-US" w:eastAsia="zh-CN"/>
        </w:rPr>
        <w:t>项目编号</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w:t>
      </w:r>
    </w:p>
    <w:tbl>
      <w:tblPr>
        <w:tblStyle w:val="20"/>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5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1"/>
              <w:outlineLvl w:val="9"/>
              <w:rPr>
                <w:rFonts w:hint="eastAsia" w:ascii="宋体" w:hAnsi="宋体" w:eastAsia="宋体" w:cs="宋体"/>
                <w:color w:val="auto"/>
                <w:highlight w:val="none"/>
              </w:rPr>
            </w:pPr>
          </w:p>
        </w:tc>
      </w:tr>
    </w:tbl>
    <w:p>
      <w:pPr>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Theme="minorEastAsia" w:hAnsiTheme="minorEastAsia" w:eastAsiaTheme="minorEastAsia" w:cstheme="minorEastAsia"/>
          <w:color w:val="auto"/>
          <w:kern w:val="0"/>
          <w:sz w:val="24"/>
          <w:szCs w:val="24"/>
          <w:highlight w:val="none"/>
          <w:shd w:val="clear" w:color="auto" w:fill="auto"/>
        </w:rPr>
        <w:t>（提供中标通知书</w:t>
      </w:r>
      <w:r>
        <w:rPr>
          <w:rFonts w:hint="eastAsia" w:asciiTheme="minorEastAsia" w:hAnsiTheme="minorEastAsia" w:eastAsiaTheme="minorEastAsia" w:cstheme="minorEastAsia"/>
          <w:color w:val="auto"/>
          <w:kern w:val="0"/>
          <w:sz w:val="24"/>
          <w:szCs w:val="24"/>
          <w:highlight w:val="none"/>
          <w:shd w:val="clear" w:color="auto" w:fill="auto"/>
          <w:lang w:val="en-US" w:eastAsia="zh-CN"/>
        </w:rPr>
        <w:t>或</w:t>
      </w:r>
      <w:r>
        <w:rPr>
          <w:rFonts w:hint="eastAsia" w:asciiTheme="minorEastAsia" w:hAnsiTheme="minorEastAsia" w:eastAsiaTheme="minorEastAsia" w:cstheme="minorEastAsia"/>
          <w:color w:val="auto"/>
          <w:kern w:val="0"/>
          <w:sz w:val="24"/>
          <w:szCs w:val="24"/>
          <w:highlight w:val="none"/>
          <w:shd w:val="clear" w:color="auto" w:fill="auto"/>
        </w:rPr>
        <w:t>合同；以合同签订时间为准，提供合同关键页扫描件。</w:t>
      </w:r>
    </w:p>
    <w:p>
      <w:pPr>
        <w:outlineLvl w:val="9"/>
        <w:rPr>
          <w:rFonts w:hint="eastAsia" w:ascii="宋体" w:hAnsi="宋体" w:eastAsia="宋体" w:cs="宋体"/>
          <w:color w:val="auto"/>
          <w:highlight w:val="none"/>
        </w:rPr>
      </w:pPr>
    </w:p>
    <w:p>
      <w:pPr>
        <w:spacing w:line="40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pStyle w:val="50"/>
        <w:tabs>
          <w:tab w:val="left" w:pos="540"/>
          <w:tab w:val="left" w:pos="1080"/>
        </w:tabs>
        <w:spacing w:line="400" w:lineRule="exac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 </w:t>
      </w:r>
    </w:p>
    <w:p>
      <w:pPr>
        <w:spacing w:line="400" w:lineRule="exact"/>
        <w:ind w:firstLine="240" w:firstLineChars="1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   年  月  日</w:t>
      </w: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0"/>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rPr>
      </w:pP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color w:val="auto"/>
          <w:sz w:val="28"/>
          <w:szCs w:val="28"/>
          <w:highlight w:val="none"/>
        </w:rPr>
        <w:t>商务条款偏离表</w:t>
      </w:r>
    </w:p>
    <w:p>
      <w:pPr>
        <w:outlineLvl w:val="9"/>
        <w:rPr>
          <w:rFonts w:hint="eastAsia" w:ascii="宋体" w:hAnsi="宋体" w:eastAsia="宋体" w:cs="宋体"/>
          <w:b/>
          <w:color w:val="auto"/>
          <w:sz w:val="28"/>
          <w:szCs w:val="28"/>
          <w:highlight w:val="none"/>
        </w:rPr>
      </w:pPr>
    </w:p>
    <w:p>
      <w:pPr>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86"/>
        <w:gridCol w:w="3175"/>
        <w:gridCol w:w="2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1"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8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条目号</w:t>
            </w:r>
          </w:p>
        </w:tc>
        <w:tc>
          <w:tcPr>
            <w:tcW w:w="3175"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的商务条款</w:t>
            </w:r>
          </w:p>
        </w:tc>
        <w:tc>
          <w:tcPr>
            <w:tcW w:w="2607"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2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bl>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投标单位： </w:t>
      </w:r>
      <w:r>
        <w:rPr>
          <w:rFonts w:hint="eastAsia" w:ascii="宋体" w:hAnsi="宋体" w:eastAsia="宋体" w:cs="宋体"/>
          <w:color w:val="auto"/>
          <w:sz w:val="24"/>
          <w:szCs w:val="24"/>
          <w:highlight w:val="none"/>
          <w:u w:val="single"/>
        </w:rPr>
        <w:t xml:space="preserve">                       （盖单位章）   </w:t>
      </w:r>
      <w:r>
        <w:rPr>
          <w:rFonts w:hint="eastAsia" w:ascii="宋体" w:hAnsi="宋体" w:eastAsia="宋体" w:cs="宋体"/>
          <w:color w:val="auto"/>
          <w:sz w:val="24"/>
          <w:szCs w:val="24"/>
          <w:highlight w:val="none"/>
          <w:u w:val="single"/>
          <w:lang w:val="en-US" w:eastAsia="zh-CN"/>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50"/>
        <w:tabs>
          <w:tab w:val="left" w:pos="540"/>
          <w:tab w:val="left" w:pos="1080"/>
        </w:tabs>
        <w:ind w:firstLine="480" w:firstLineChars="20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numPr>
          <w:ilvl w:val="0"/>
          <w:numId w:val="7"/>
        </w:numPr>
        <w:autoSpaceDE w:val="0"/>
        <w:autoSpaceDN w:val="0"/>
        <w:adjustRightInd w:val="0"/>
        <w:jc w:val="center"/>
        <w:outlineLvl w:val="9"/>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t>投标单位（投标人）反商业贿赂承诺书</w:t>
      </w:r>
    </w:p>
    <w:p>
      <w:pPr>
        <w:pStyle w:val="18"/>
        <w:numPr>
          <w:ilvl w:val="0"/>
          <w:numId w:val="0"/>
        </w:numPr>
        <w:rPr>
          <w:rFonts w:hint="eastAsia"/>
          <w:color w:val="auto"/>
          <w:lang w:val="zh-CN"/>
        </w:rPr>
      </w:pPr>
    </w:p>
    <w:p>
      <w:pPr>
        <w:autoSpaceDE w:val="0"/>
        <w:autoSpaceDN w:val="0"/>
        <w:adjustRightIn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我公司承诺在</w:t>
      </w:r>
      <w:r>
        <w:rPr>
          <w:rFonts w:hint="eastAsia" w:ascii="宋体" w:hAnsi="宋体" w:eastAsia="宋体" w:cs="宋体"/>
          <w:bCs/>
          <w:color w:val="auto"/>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before="100" w:beforeAutospacing="1" w:after="100" w:afterAutospacing="1"/>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项目经办人签字：</w:t>
      </w:r>
      <w:r>
        <w:rPr>
          <w:rFonts w:hint="eastAsia" w:ascii="宋体" w:hAnsi="宋体" w:eastAsia="宋体" w:cs="宋体"/>
          <w:color w:val="auto"/>
          <w:sz w:val="24"/>
          <w:szCs w:val="24"/>
          <w:highlight w:val="none"/>
          <w:u w:val="single"/>
        </w:rPr>
        <w:t xml:space="preserve">                                  </w:t>
      </w:r>
    </w:p>
    <w:p>
      <w:pPr>
        <w:spacing w:before="100" w:beforeAutospacing="1" w:after="100" w:afterAutospacing="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日期：   年   月   日</w:t>
      </w: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pStyle w:val="8"/>
        <w:widowControl w:val="0"/>
        <w:numPr>
          <w:ilvl w:val="0"/>
          <w:numId w:val="0"/>
        </w:numPr>
        <w:spacing w:line="420" w:lineRule="exact"/>
        <w:jc w:val="both"/>
        <w:outlineLvl w:val="9"/>
        <w:rPr>
          <w:rFonts w:hint="eastAsia" w:ascii="宋体" w:hAnsi="宋体" w:eastAsia="宋体" w:cs="宋体"/>
          <w:color w:val="auto"/>
          <w:highlight w:val="none"/>
        </w:rPr>
      </w:pPr>
    </w:p>
    <w:p>
      <w:pPr>
        <w:pStyle w:val="8"/>
        <w:widowControl w:val="0"/>
        <w:numPr>
          <w:ilvl w:val="0"/>
          <w:numId w:val="0"/>
        </w:numPr>
        <w:spacing w:line="420" w:lineRule="exact"/>
        <w:jc w:val="both"/>
        <w:outlineLvl w:val="9"/>
        <w:rPr>
          <w:rFonts w:hint="eastAsia" w:ascii="宋体" w:hAnsi="宋体" w:eastAsia="宋体" w:cs="宋体"/>
          <w:color w:val="auto"/>
          <w:highlight w:val="none"/>
        </w:rPr>
      </w:pPr>
    </w:p>
    <w:p>
      <w:pPr>
        <w:pStyle w:val="8"/>
        <w:widowControl w:val="0"/>
        <w:numPr>
          <w:ilvl w:val="0"/>
          <w:numId w:val="0"/>
        </w:numPr>
        <w:spacing w:line="420" w:lineRule="exact"/>
        <w:jc w:val="both"/>
        <w:outlineLvl w:val="9"/>
        <w:rPr>
          <w:rFonts w:hint="eastAsia" w:ascii="宋体" w:hAnsi="宋体" w:eastAsia="宋体" w:cs="宋体"/>
          <w:color w:val="auto"/>
          <w:highlight w:val="none"/>
        </w:rPr>
      </w:pPr>
    </w:p>
    <w:p>
      <w:pPr>
        <w:pStyle w:val="8"/>
        <w:widowControl w:val="0"/>
        <w:numPr>
          <w:ilvl w:val="0"/>
          <w:numId w:val="0"/>
        </w:numPr>
        <w:spacing w:line="420" w:lineRule="exact"/>
        <w:jc w:val="both"/>
        <w:outlineLvl w:val="9"/>
        <w:rPr>
          <w:rFonts w:hint="eastAsia" w:ascii="宋体" w:hAnsi="宋体" w:eastAsia="宋体" w:cs="宋体"/>
          <w:color w:val="auto"/>
          <w:highlight w:val="none"/>
        </w:rPr>
      </w:pPr>
    </w:p>
    <w:p>
      <w:pPr>
        <w:pStyle w:val="8"/>
        <w:widowControl w:val="0"/>
        <w:numPr>
          <w:ilvl w:val="0"/>
          <w:numId w:val="0"/>
        </w:numPr>
        <w:spacing w:line="420" w:lineRule="exact"/>
        <w:jc w:val="both"/>
        <w:outlineLvl w:val="9"/>
        <w:rPr>
          <w:rFonts w:hint="eastAsia" w:ascii="宋体" w:hAnsi="宋体" w:eastAsia="宋体" w:cs="宋体"/>
          <w:color w:val="auto"/>
          <w:highlight w:val="none"/>
        </w:rPr>
      </w:pPr>
    </w:p>
    <w:p>
      <w:pPr>
        <w:numPr>
          <w:ilvl w:val="0"/>
          <w:numId w:val="0"/>
        </w:numPr>
        <w:jc w:val="left"/>
        <w:outlineLvl w:val="9"/>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before="156" w:beforeLines="50" w:after="312" w:afterLines="100" w:line="440" w:lineRule="exact"/>
        <w:jc w:val="center"/>
        <w:rPr>
          <w:rFonts w:hint="eastAsia" w:ascii="宋体" w:hAnsi="宋体" w:eastAsia="宋体" w:cs="宋体"/>
          <w:b/>
          <w:color w:val="auto"/>
          <w:sz w:val="32"/>
          <w:szCs w:val="30"/>
        </w:rPr>
      </w:pPr>
      <w:r>
        <w:rPr>
          <w:rFonts w:hint="eastAsia" w:ascii="宋体" w:hAnsi="宋体" w:eastAsia="宋体" w:cs="宋体"/>
          <w:b/>
          <w:bCs/>
          <w:color w:val="auto"/>
          <w:sz w:val="30"/>
          <w:szCs w:val="30"/>
          <w:highlight w:val="none"/>
          <w:lang w:val="en-US" w:eastAsia="zh-CN"/>
        </w:rPr>
        <w:t>12、</w:t>
      </w:r>
      <w:r>
        <w:rPr>
          <w:rFonts w:hint="eastAsia" w:ascii="宋体" w:hAnsi="宋体" w:eastAsia="宋体" w:cs="宋体"/>
          <w:b/>
          <w:bCs/>
          <w:color w:val="auto"/>
          <w:sz w:val="30"/>
          <w:szCs w:val="30"/>
        </w:rPr>
        <w:t>投标人基本情况表</w:t>
      </w:r>
    </w:p>
    <w:tbl>
      <w:tblPr>
        <w:tblStyle w:val="20"/>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53"/>
        <w:gridCol w:w="2063"/>
        <w:gridCol w:w="187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28" w:type="dxa"/>
            <w:vMerge w:val="restart"/>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标</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人</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概</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况</w:t>
            </w: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公司名称</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地址</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618" w:type="dxa"/>
            <w:gridSpan w:val="3"/>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经济性质</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技术人员数</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资产总额</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净资产</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工商登记号</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税务登记号</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是否依法纳税</w:t>
            </w:r>
          </w:p>
        </w:tc>
        <w:tc>
          <w:tcPr>
            <w:tcW w:w="2063" w:type="dxa"/>
            <w:noWrap w:val="0"/>
            <w:vAlign w:val="center"/>
          </w:tcPr>
          <w:p>
            <w:pPr>
              <w:spacing w:after="60" w:afterLines="25" w:line="360" w:lineRule="exact"/>
              <w:jc w:val="center"/>
              <w:rPr>
                <w:rFonts w:hint="eastAsia" w:ascii="宋体" w:hAnsi="宋体" w:eastAsia="宋体" w:cs="宋体"/>
                <w:color w:val="auto"/>
                <w:sz w:val="24"/>
                <w:szCs w:val="24"/>
              </w:rPr>
            </w:pPr>
          </w:p>
        </w:tc>
        <w:tc>
          <w:tcPr>
            <w:tcW w:w="1870"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是否参加社保</w:t>
            </w:r>
          </w:p>
        </w:tc>
        <w:tc>
          <w:tcPr>
            <w:tcW w:w="2685" w:type="dxa"/>
            <w:noWrap w:val="0"/>
            <w:vAlign w:val="center"/>
          </w:tcPr>
          <w:p>
            <w:pPr>
              <w:spacing w:after="60" w:afterLines="25" w:line="3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1753" w:type="dxa"/>
            <w:noWrap w:val="0"/>
            <w:vAlign w:val="center"/>
          </w:tcPr>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近</w:t>
            </w:r>
            <w:r>
              <w:rPr>
                <w:rFonts w:hint="eastAsia" w:ascii="宋体" w:hAnsi="宋体" w:cs="宋体"/>
                <w:color w:val="auto"/>
                <w:sz w:val="24"/>
                <w:szCs w:val="24"/>
                <w:lang w:val="en-US" w:eastAsia="zh-CN"/>
              </w:rPr>
              <w:t>五</w:t>
            </w:r>
            <w:r>
              <w:rPr>
                <w:rFonts w:hint="eastAsia" w:ascii="宋体" w:hAnsi="宋体" w:eastAsia="宋体" w:cs="宋体"/>
                <w:color w:val="auto"/>
                <w:sz w:val="24"/>
                <w:szCs w:val="24"/>
              </w:rPr>
              <w:t>年公司</w:t>
            </w:r>
          </w:p>
          <w:p>
            <w:pPr>
              <w:spacing w:after="60" w:afterLines="25" w:line="36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业绩、信誉</w:t>
            </w:r>
          </w:p>
        </w:tc>
        <w:tc>
          <w:tcPr>
            <w:tcW w:w="6618" w:type="dxa"/>
            <w:gridSpan w:val="3"/>
            <w:noWrap w:val="0"/>
            <w:vAlign w:val="center"/>
          </w:tcPr>
          <w:p>
            <w:pPr>
              <w:spacing w:after="60" w:afterLines="25"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合同总额：     万元，合同履行情况：</w:t>
            </w:r>
          </w:p>
          <w:p>
            <w:pPr>
              <w:spacing w:after="60" w:afterLines="25" w:line="360" w:lineRule="exact"/>
              <w:jc w:val="center"/>
              <w:rPr>
                <w:rFonts w:hint="eastAsia" w:ascii="宋体" w:hAnsi="宋体" w:eastAsia="宋体" w:cs="宋体"/>
                <w:color w:val="auto"/>
                <w:sz w:val="24"/>
                <w:szCs w:val="24"/>
              </w:rPr>
            </w:pPr>
          </w:p>
          <w:p>
            <w:pPr>
              <w:spacing w:after="60" w:afterLines="25" w:line="360" w:lineRule="exac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9" w:hRule="atLeast"/>
        </w:trPr>
        <w:tc>
          <w:tcPr>
            <w:tcW w:w="628" w:type="dxa"/>
            <w:vMerge w:val="continue"/>
            <w:noWrap w:val="0"/>
            <w:vAlign w:val="center"/>
          </w:tcPr>
          <w:p>
            <w:pPr>
              <w:spacing w:after="60" w:afterLines="25" w:line="360" w:lineRule="exact"/>
              <w:jc w:val="center"/>
              <w:rPr>
                <w:rFonts w:hint="eastAsia" w:ascii="宋体" w:hAnsi="宋体" w:eastAsia="宋体" w:cs="宋体"/>
                <w:color w:val="auto"/>
                <w:sz w:val="24"/>
                <w:szCs w:val="24"/>
              </w:rPr>
            </w:pPr>
          </w:p>
        </w:tc>
        <w:tc>
          <w:tcPr>
            <w:tcW w:w="8371" w:type="dxa"/>
            <w:gridSpan w:val="4"/>
            <w:noWrap w:val="0"/>
            <w:vAlign w:val="top"/>
          </w:tcPr>
          <w:p>
            <w:pPr>
              <w:spacing w:after="60" w:afterLines="25"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单位优势及特点：</w:t>
            </w:r>
          </w:p>
        </w:tc>
      </w:tr>
    </w:tbl>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numPr>
          <w:ilvl w:val="0"/>
          <w:numId w:val="0"/>
        </w:numPr>
        <w:jc w:val="center"/>
        <w:outlineLvl w:val="9"/>
        <w:rPr>
          <w:rFonts w:hint="eastAsia" w:ascii="宋体" w:hAnsi="宋体" w:eastAsia="宋体" w:cs="宋体"/>
          <w:b/>
          <w:bCs/>
          <w:color w:val="auto"/>
          <w:sz w:val="24"/>
          <w:szCs w:val="24"/>
          <w:highlight w:val="yellow"/>
          <w:lang w:val="en-US" w:eastAsia="zh-CN"/>
        </w:rPr>
      </w:pPr>
    </w:p>
    <w:p>
      <w:pPr>
        <w:spacing w:before="156" w:beforeLines="50" w:after="312" w:afterLines="100" w:line="440" w:lineRule="exact"/>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13、投标保证金缴纳凭证或保函；</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tbl>
      <w:tblPr>
        <w:tblStyle w:val="21"/>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8680" w:type="dxa"/>
            <w:noWrap w:val="0"/>
            <w:vAlign w:val="top"/>
          </w:tcPr>
          <w:p>
            <w:pPr>
              <w:keepNext/>
              <w:keepLines/>
              <w:widowControl w:val="0"/>
              <w:numPr>
                <w:ilvl w:val="0"/>
                <w:numId w:val="0"/>
              </w:numPr>
              <w:spacing w:before="260" w:beforeLines="0" w:after="260" w:afterLines="0" w:line="416" w:lineRule="auto"/>
              <w:jc w:val="cente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jc w:val="center"/>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vertAlign w:val="baseline"/>
                <w:lang w:val="en-US" w:eastAsia="zh-CN"/>
              </w:rPr>
              <w:t>保证金缴纳凭证</w:t>
            </w:r>
            <w:r>
              <w:rPr>
                <w:rFonts w:hint="eastAsia" w:ascii="宋体" w:hAnsi="宋体" w:cs="宋体"/>
                <w:color w:val="auto"/>
                <w:highlight w:val="none"/>
                <w:vertAlign w:val="baseline"/>
                <w:lang w:val="en-US" w:eastAsia="zh-CN"/>
              </w:rPr>
              <w:t>或保函</w:t>
            </w:r>
          </w:p>
        </w:tc>
      </w:tr>
    </w:tbl>
    <w:p>
      <w:pPr>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bookmarkStart w:id="176" w:name="_Toc3724"/>
      <w:bookmarkStart w:id="177" w:name="_Toc1732"/>
      <w:bookmarkStart w:id="178" w:name="_Toc20619"/>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p>
      <w:pPr>
        <w:adjustRightInd w:val="0"/>
        <w:snapToGrid w:val="0"/>
        <w:spacing w:before="319" w:beforeLines="100" w:line="360" w:lineRule="auto"/>
        <w:ind w:right="105" w:rightChars="50"/>
        <w:jc w:val="both"/>
        <w:outlineLvl w:val="9"/>
        <w:rPr>
          <w:rFonts w:hint="eastAsia" w:ascii="宋体" w:hAnsi="宋体" w:eastAsia="宋体" w:cs="宋体"/>
          <w:b/>
          <w:color w:val="auto"/>
          <w:sz w:val="28"/>
          <w:szCs w:val="18"/>
          <w:highlight w:val="none"/>
          <w:lang w:val="en-US" w:eastAsia="zh-CN"/>
        </w:rPr>
      </w:pPr>
    </w:p>
    <w:bookmarkEnd w:id="176"/>
    <w:bookmarkEnd w:id="177"/>
    <w:bookmarkEnd w:id="178"/>
    <w:p>
      <w:pPr>
        <w:rPr>
          <w:b/>
          <w:color w:val="auto"/>
          <w:sz w:val="28"/>
          <w:szCs w:val="28"/>
        </w:rPr>
      </w:pPr>
    </w:p>
    <w:p>
      <w:pPr>
        <w:pStyle w:val="18"/>
        <w:rPr>
          <w:color w:val="auto"/>
        </w:rPr>
      </w:pPr>
    </w:p>
    <w:p>
      <w:pPr>
        <w:jc w:val="center"/>
        <w:rPr>
          <w:rFonts w:hint="eastAsia" w:ascii="宋体" w:hAnsi="宋体" w:eastAsia="宋体" w:cs="宋体"/>
          <w:b/>
          <w:bCs/>
          <w:color w:val="auto"/>
          <w:sz w:val="28"/>
          <w:szCs w:val="28"/>
          <w:highlight w:val="none"/>
        </w:rPr>
      </w:pPr>
      <w:bookmarkStart w:id="179" w:name="_Toc5529"/>
      <w:bookmarkStart w:id="180" w:name="_Toc19298"/>
      <w:bookmarkStart w:id="181" w:name="_Toc5425"/>
      <w:bookmarkStart w:id="182" w:name="_Toc19656"/>
      <w:bookmarkStart w:id="183" w:name="_Toc27546"/>
      <w:bookmarkStart w:id="184" w:name="_Toc13017"/>
      <w:bookmarkStart w:id="185" w:name="_Toc26203"/>
      <w:r>
        <w:rPr>
          <w:rFonts w:hint="eastAsia" w:ascii="宋体" w:hAnsi="宋体" w:eastAsia="宋体" w:cs="宋体"/>
          <w:b/>
          <w:bCs/>
          <w:color w:val="auto"/>
          <w:sz w:val="28"/>
          <w:szCs w:val="28"/>
          <w:highlight w:val="none"/>
          <w:lang w:val="en-US" w:eastAsia="zh-CN"/>
        </w:rPr>
        <w:t>14、</w:t>
      </w:r>
      <w:r>
        <w:rPr>
          <w:rFonts w:hint="eastAsia" w:ascii="宋体" w:hAnsi="宋体" w:eastAsia="宋体" w:cs="宋体"/>
          <w:b/>
          <w:bCs/>
          <w:color w:val="auto"/>
          <w:sz w:val="28"/>
          <w:szCs w:val="28"/>
          <w:highlight w:val="none"/>
        </w:rPr>
        <w:t>不参与围标串标承诺书</w:t>
      </w:r>
    </w:p>
    <w:p>
      <w:pPr>
        <w:ind w:left="105" w:hanging="105"/>
        <w:jc w:val="left"/>
        <w:rPr>
          <w:rFonts w:hint="eastAsia" w:ascii="宋体" w:hAnsi="宋体" w:eastAsia="宋体" w:cs="宋体"/>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我公司在参与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项目招投标过程中，自觉遵守《中华人民共和国政府采购法》和《中华人民共和国政府采购实施条例》以及自治区、地、市招标投标管理的有关规定。就本次投标，我公司郑重承诺如下：</w:t>
      </w:r>
    </w:p>
    <w:p>
      <w:pPr>
        <w:ind w:left="105" w:hanging="10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（一）不与其他投标企业存在任何关联关系；</w:t>
      </w:r>
    </w:p>
    <w:p>
      <w:pPr>
        <w:ind w:left="105" w:hanging="10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（二）不组织、不参与任何串通投标的行为；</w:t>
      </w:r>
    </w:p>
    <w:p>
      <w:pPr>
        <w:ind w:left="105" w:hanging="10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（三）不以他人名义投标，不组织、不参与以其他弄虚作假的方式参加投标的行为；</w:t>
      </w:r>
    </w:p>
    <w:p>
      <w:pPr>
        <w:ind w:left="105" w:hanging="10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（四）不出让或出租资格、资质证书参加投标，不组织、不参与类似违法违规行为。</w:t>
      </w:r>
    </w:p>
    <w:p>
      <w:pPr>
        <w:ind w:left="105" w:hanging="10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（五）积极主动检举、揭发和配合相关部门调查串通投标等违法违规行为。</w:t>
      </w:r>
    </w:p>
    <w:p>
      <w:pPr>
        <w:ind w:left="105" w:hanging="10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我公司对以上承诺内容的真实性和履约性负责，如有违诺，自愿承担一切违法违规后果。</w:t>
      </w:r>
    </w:p>
    <w:p>
      <w:pPr>
        <w:ind w:left="239"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p>
    <w:p>
      <w:pPr>
        <w:ind w:left="105" w:leftChars="50" w:right="482" w:firstLine="140" w:firstLineChars="50"/>
        <w:jc w:val="center"/>
        <w:rPr>
          <w:rFonts w:hint="eastAsia" w:ascii="宋体" w:hAnsi="宋体" w:eastAsia="宋体" w:cs="宋体"/>
          <w:color w:val="auto"/>
          <w:sz w:val="28"/>
          <w:szCs w:val="28"/>
          <w:highlight w:val="none"/>
        </w:rPr>
      </w:pPr>
    </w:p>
    <w:p>
      <w:pPr>
        <w:ind w:left="105" w:leftChars="50" w:right="482" w:firstLine="140" w:firstLineChars="50"/>
        <w:jc w:val="center"/>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供应商（公章）：</w:t>
      </w:r>
      <w:r>
        <w:rPr>
          <w:rFonts w:hint="eastAsia" w:ascii="宋体" w:hAnsi="宋体" w:eastAsia="宋体" w:cs="宋体"/>
          <w:color w:val="auto"/>
          <w:sz w:val="28"/>
          <w:szCs w:val="28"/>
          <w:highlight w:val="none"/>
          <w:u w:val="single"/>
          <w:lang w:val="en-US" w:eastAsia="zh-CN"/>
        </w:rPr>
        <w:t xml:space="preserve">               </w:t>
      </w:r>
    </w:p>
    <w:p>
      <w:pPr>
        <w:ind w:left="105" w:right="482" w:hanging="105"/>
        <w:jc w:val="center"/>
        <w:rPr>
          <w:rFonts w:hint="eastAsia" w:ascii="宋体" w:hAnsi="宋体" w:eastAsia="宋体" w:cs="宋体"/>
          <w:color w:val="auto"/>
          <w:sz w:val="28"/>
          <w:szCs w:val="28"/>
          <w:highlight w:val="none"/>
        </w:rPr>
      </w:pPr>
    </w:p>
    <w:p>
      <w:pPr>
        <w:ind w:left="105" w:right="482" w:hanging="105"/>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法定代表人（签字或盖章）：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640" w:lineRule="exact"/>
        <w:ind w:left="105" w:leftChars="50" w:firstLine="0" w:firstLineChars="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日    期：   年   月  日  </w:t>
      </w:r>
    </w:p>
    <w:p>
      <w:pPr>
        <w:jc w:val="center"/>
        <w:rPr>
          <w:rFonts w:hint="eastAsia" w:ascii="宋体" w:hAnsi="宋体" w:cs="宋体"/>
          <w:b/>
          <w:bCs/>
          <w:color w:val="auto"/>
          <w:sz w:val="28"/>
          <w:szCs w:val="28"/>
          <w:highlight w:val="none"/>
          <w:lang w:val="en-US" w:eastAsia="zh-CN"/>
        </w:rPr>
      </w:pPr>
    </w:p>
    <w:p>
      <w:pPr>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15</w:t>
      </w:r>
      <w:r>
        <w:rPr>
          <w:rFonts w:hint="eastAsia" w:ascii="宋体" w:hAnsi="宋体" w:eastAsia="宋体" w:cs="宋体"/>
          <w:b/>
          <w:bCs/>
          <w:color w:val="auto"/>
          <w:sz w:val="28"/>
          <w:szCs w:val="28"/>
          <w:highlight w:val="none"/>
          <w:lang w:val="en-US" w:eastAsia="zh-CN"/>
        </w:rPr>
        <w:t>、</w:t>
      </w:r>
      <w:r>
        <w:rPr>
          <w:rFonts w:hint="eastAsia" w:ascii="宋体" w:hAnsi="宋体" w:eastAsia="宋体" w:cs="宋体"/>
          <w:b/>
          <w:bCs/>
          <w:color w:val="auto"/>
          <w:sz w:val="28"/>
          <w:szCs w:val="28"/>
          <w:highlight w:val="none"/>
        </w:rPr>
        <w:t>中小企业声明函（</w:t>
      </w:r>
      <w:r>
        <w:rPr>
          <w:rFonts w:hint="eastAsia" w:ascii="宋体" w:hAnsi="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rPr>
        <w:t>）</w:t>
      </w:r>
      <w:bookmarkEnd w:id="179"/>
      <w:bookmarkEnd w:id="180"/>
      <w:bookmarkEnd w:id="181"/>
      <w:bookmarkEnd w:id="182"/>
      <w:bookmarkEnd w:id="183"/>
      <w:bookmarkEnd w:id="184"/>
      <w:bookmarkEnd w:id="185"/>
    </w:p>
    <w:p>
      <w:pPr>
        <w:widowControl/>
        <w:spacing w:line="360" w:lineRule="auto"/>
        <w:ind w:firstLine="420" w:firstLineChars="200"/>
        <w:jc w:val="left"/>
        <w:rPr>
          <w:rFonts w:hint="eastAsia" w:ascii="宋体" w:hAnsi="宋体" w:eastAsia="宋体" w:cs="宋体"/>
          <w:color w:val="auto"/>
          <w:sz w:val="21"/>
          <w:szCs w:val="21"/>
          <w:lang w:bidi="ar"/>
        </w:rPr>
      </w:pPr>
      <w:bookmarkStart w:id="186" w:name="_Toc14195_WPSOffice_Level1"/>
      <w:bookmarkStart w:id="187" w:name="_Toc20603"/>
      <w:bookmarkStart w:id="188" w:name="_Toc21568"/>
      <w:bookmarkStart w:id="189" w:name="_Toc14689"/>
      <w:r>
        <w:rPr>
          <w:rFonts w:hint="eastAsia" w:ascii="宋体" w:hAnsi="宋体" w:eastAsia="宋体" w:cs="宋体"/>
          <w:color w:val="auto"/>
          <w:sz w:val="21"/>
          <w:szCs w:val="21"/>
          <w:lang w:bidi="ar"/>
        </w:rPr>
        <w:t>本公司（联合体）郑重声明，根据《政府采购促进中小企业发展管理办法》（财库﹝2020﹞46 号）的规定，本公司（联合体）参加</w:t>
      </w:r>
      <w:r>
        <w:rPr>
          <w:rFonts w:hint="eastAsia" w:ascii="宋体" w:hAnsi="宋体" w:eastAsia="宋体" w:cs="宋体"/>
          <w:color w:val="auto"/>
          <w:sz w:val="21"/>
          <w:szCs w:val="21"/>
          <w:u w:val="single"/>
          <w:lang w:bidi="ar"/>
        </w:rPr>
        <w:t>（单位名称）</w:t>
      </w:r>
      <w:r>
        <w:rPr>
          <w:rFonts w:hint="eastAsia" w:ascii="宋体" w:hAnsi="宋体" w:eastAsia="宋体" w:cs="宋体"/>
          <w:color w:val="auto"/>
          <w:sz w:val="21"/>
          <w:szCs w:val="21"/>
          <w:lang w:bidi="ar"/>
        </w:rPr>
        <w:t>的</w:t>
      </w:r>
      <w:r>
        <w:rPr>
          <w:rFonts w:hint="eastAsia" w:ascii="宋体" w:hAnsi="宋体" w:eastAsia="宋体" w:cs="宋体"/>
          <w:color w:val="auto"/>
          <w:sz w:val="21"/>
          <w:szCs w:val="21"/>
          <w:u w:val="single"/>
          <w:lang w:bidi="ar"/>
        </w:rPr>
        <w:t>（项目名称）</w:t>
      </w:r>
      <w:r>
        <w:rPr>
          <w:rFonts w:hint="eastAsia" w:ascii="宋体" w:hAnsi="宋体" w:eastAsia="宋体" w:cs="宋体"/>
          <w:color w:val="auto"/>
          <w:sz w:val="21"/>
          <w:szCs w:val="21"/>
          <w:lang w:bidi="ar"/>
        </w:rPr>
        <w:t>采购活动，</w:t>
      </w:r>
      <w:r>
        <w:rPr>
          <w:rFonts w:hint="eastAsia" w:ascii="宋体" w:hAnsi="宋体" w:eastAsia="宋体" w:cs="宋体"/>
          <w:color w:val="auto"/>
          <w:sz w:val="21"/>
          <w:szCs w:val="21"/>
          <w:lang w:val="en-US" w:eastAsia="zh-CN" w:bidi="ar"/>
        </w:rPr>
        <w:t>服务</w:t>
      </w:r>
      <w:r>
        <w:rPr>
          <w:rFonts w:hint="eastAsia" w:ascii="宋体" w:hAnsi="宋体" w:eastAsia="宋体" w:cs="宋体"/>
          <w:color w:val="auto"/>
          <w:sz w:val="21"/>
          <w:szCs w:val="21"/>
          <w:lang w:bidi="ar"/>
        </w:rPr>
        <w:t>的</w:t>
      </w:r>
      <w:r>
        <w:rPr>
          <w:rFonts w:hint="eastAsia" w:ascii="宋体" w:hAnsi="宋体" w:eastAsia="宋体" w:cs="宋体"/>
          <w:color w:val="auto"/>
          <w:sz w:val="21"/>
          <w:szCs w:val="21"/>
          <w:lang w:val="en-US" w:eastAsia="zh-CN" w:bidi="ar"/>
        </w:rPr>
        <w:t>供应商</w:t>
      </w:r>
      <w:r>
        <w:rPr>
          <w:rFonts w:hint="eastAsia" w:ascii="宋体" w:hAnsi="宋体" w:eastAsia="宋体" w:cs="宋体"/>
          <w:color w:val="auto"/>
          <w:sz w:val="21"/>
          <w:szCs w:val="21"/>
          <w:lang w:bidi="ar"/>
        </w:rPr>
        <w:t>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 </w:t>
      </w:r>
      <w:r>
        <w:rPr>
          <w:rFonts w:hint="eastAsia" w:ascii="宋体" w:hAnsi="宋体" w:eastAsia="宋体" w:cs="宋体"/>
          <w:color w:val="auto"/>
          <w:sz w:val="21"/>
          <w:szCs w:val="21"/>
          <w:u w:val="single"/>
          <w:lang w:bidi="ar"/>
        </w:rPr>
        <w:t xml:space="preserve">（标的名称） </w:t>
      </w:r>
      <w:r>
        <w:rPr>
          <w:rFonts w:hint="eastAsia" w:ascii="宋体" w:hAnsi="宋体" w:eastAsia="宋体" w:cs="宋体"/>
          <w:color w:val="auto"/>
          <w:sz w:val="21"/>
          <w:szCs w:val="21"/>
          <w:lang w:bidi="ar"/>
        </w:rPr>
        <w:t>，属于</w:t>
      </w:r>
      <w:r>
        <w:rPr>
          <w:rFonts w:hint="eastAsia" w:ascii="宋体" w:hAnsi="宋体" w:eastAsia="宋体" w:cs="宋体"/>
          <w:color w:val="auto"/>
          <w:sz w:val="21"/>
          <w:szCs w:val="21"/>
          <w:u w:val="single"/>
          <w:lang w:bidi="ar"/>
        </w:rPr>
        <w:t>（采购文件中明确的所属行业）</w:t>
      </w:r>
      <w:r>
        <w:rPr>
          <w:rFonts w:hint="eastAsia" w:ascii="宋体" w:hAnsi="宋体" w:eastAsia="宋体" w:cs="宋体"/>
          <w:color w:val="auto"/>
          <w:sz w:val="21"/>
          <w:szCs w:val="21"/>
          <w:lang w:bidi="ar"/>
        </w:rPr>
        <w:t>；承建（承接）企业为</w:t>
      </w:r>
      <w:r>
        <w:rPr>
          <w:rFonts w:hint="eastAsia" w:ascii="宋体" w:hAnsi="宋体" w:eastAsia="宋体" w:cs="宋体"/>
          <w:color w:val="auto"/>
          <w:sz w:val="21"/>
          <w:szCs w:val="21"/>
          <w:u w:val="single"/>
          <w:lang w:bidi="ar"/>
        </w:rPr>
        <w:t>（企业名称）</w:t>
      </w:r>
      <w:r>
        <w:rPr>
          <w:rFonts w:hint="eastAsia" w:ascii="宋体" w:hAnsi="宋体" w:eastAsia="宋体" w:cs="宋体"/>
          <w:color w:val="auto"/>
          <w:sz w:val="21"/>
          <w:szCs w:val="21"/>
          <w:lang w:bidi="ar"/>
        </w:rPr>
        <w:t>，从业人员</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人，营业 收入为</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万元，资产总额为</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万元，属于</w:t>
      </w:r>
      <w:r>
        <w:rPr>
          <w:rFonts w:hint="eastAsia" w:ascii="宋体" w:hAnsi="宋体" w:eastAsia="宋体" w:cs="宋体"/>
          <w:color w:val="auto"/>
          <w:sz w:val="21"/>
          <w:szCs w:val="21"/>
          <w:u w:val="single"/>
          <w:lang w:bidi="ar"/>
        </w:rPr>
        <w:t>（中型企业、小型企业、微型企业）</w:t>
      </w:r>
      <w:r>
        <w:rPr>
          <w:rFonts w:hint="eastAsia" w:ascii="宋体" w:hAnsi="宋体" w:eastAsia="宋体" w:cs="宋体"/>
          <w:color w:val="auto"/>
          <w:sz w:val="21"/>
          <w:szCs w:val="21"/>
          <w:lang w:bidi="ar"/>
        </w:rPr>
        <w:t xml:space="preserve">； </w:t>
      </w:r>
    </w:p>
    <w:p>
      <w:pPr>
        <w:widowControl/>
        <w:spacing w:line="360" w:lineRule="auto"/>
        <w:ind w:firstLine="420" w:firstLineChars="20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2. </w:t>
      </w:r>
      <w:r>
        <w:rPr>
          <w:rFonts w:hint="eastAsia" w:ascii="宋体" w:hAnsi="宋体" w:eastAsia="宋体" w:cs="宋体"/>
          <w:color w:val="auto"/>
          <w:sz w:val="21"/>
          <w:szCs w:val="21"/>
          <w:u w:val="single"/>
          <w:lang w:bidi="ar"/>
        </w:rPr>
        <w:t xml:space="preserve">（标的名称） </w:t>
      </w:r>
      <w:r>
        <w:rPr>
          <w:rFonts w:hint="eastAsia" w:ascii="宋体" w:hAnsi="宋体" w:eastAsia="宋体" w:cs="宋体"/>
          <w:color w:val="auto"/>
          <w:sz w:val="21"/>
          <w:szCs w:val="21"/>
          <w:lang w:bidi="ar"/>
        </w:rPr>
        <w:t>，属于</w:t>
      </w:r>
      <w:r>
        <w:rPr>
          <w:rFonts w:hint="eastAsia" w:ascii="宋体" w:hAnsi="宋体" w:eastAsia="宋体" w:cs="宋体"/>
          <w:color w:val="auto"/>
          <w:sz w:val="21"/>
          <w:szCs w:val="21"/>
          <w:u w:val="single"/>
          <w:lang w:bidi="ar"/>
        </w:rPr>
        <w:t>（采购文件中明确的所属行业）</w:t>
      </w:r>
      <w:r>
        <w:rPr>
          <w:rFonts w:hint="eastAsia" w:ascii="宋体" w:hAnsi="宋体" w:eastAsia="宋体" w:cs="宋体"/>
          <w:color w:val="auto"/>
          <w:sz w:val="21"/>
          <w:szCs w:val="21"/>
          <w:lang w:bidi="ar"/>
        </w:rPr>
        <w:t>；承建（承接）企业为</w:t>
      </w:r>
      <w:r>
        <w:rPr>
          <w:rFonts w:hint="eastAsia" w:ascii="宋体" w:hAnsi="宋体" w:eastAsia="宋体" w:cs="宋体"/>
          <w:color w:val="auto"/>
          <w:sz w:val="21"/>
          <w:szCs w:val="21"/>
          <w:u w:val="single"/>
          <w:lang w:bidi="ar"/>
        </w:rPr>
        <w:t>（企业名称）</w:t>
      </w:r>
      <w:r>
        <w:rPr>
          <w:rFonts w:hint="eastAsia" w:ascii="宋体" w:hAnsi="宋体" w:eastAsia="宋体" w:cs="宋体"/>
          <w:color w:val="auto"/>
          <w:sz w:val="21"/>
          <w:szCs w:val="21"/>
          <w:lang w:bidi="ar"/>
        </w:rPr>
        <w:t>，从业人员</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人，营业 收入为</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万元，资产总额为</w:t>
      </w:r>
      <w:r>
        <w:rPr>
          <w:rFonts w:hint="eastAsia" w:ascii="宋体" w:hAnsi="宋体" w:eastAsia="宋体" w:cs="宋体"/>
          <w:color w:val="auto"/>
          <w:sz w:val="21"/>
          <w:szCs w:val="21"/>
          <w:u w:val="single"/>
          <w:lang w:bidi="ar"/>
        </w:rPr>
        <w:t xml:space="preserve">    </w:t>
      </w:r>
      <w:r>
        <w:rPr>
          <w:rFonts w:hint="eastAsia" w:ascii="宋体" w:hAnsi="宋体" w:eastAsia="宋体" w:cs="宋体"/>
          <w:color w:val="auto"/>
          <w:sz w:val="21"/>
          <w:szCs w:val="21"/>
          <w:lang w:bidi="ar"/>
        </w:rPr>
        <w:t>万元，属于</w:t>
      </w:r>
      <w:r>
        <w:rPr>
          <w:rFonts w:hint="eastAsia" w:ascii="宋体" w:hAnsi="宋体" w:eastAsia="宋体" w:cs="宋体"/>
          <w:color w:val="auto"/>
          <w:sz w:val="21"/>
          <w:szCs w:val="21"/>
          <w:u w:val="single"/>
          <w:lang w:bidi="ar"/>
        </w:rPr>
        <w:t>（中型企业、小型企业、微型企业）</w:t>
      </w:r>
      <w:r>
        <w:rPr>
          <w:rFonts w:hint="eastAsia" w:ascii="宋体" w:hAnsi="宋体" w:eastAsia="宋体" w:cs="宋体"/>
          <w:color w:val="auto"/>
          <w:sz w:val="21"/>
          <w:szCs w:val="21"/>
          <w:lang w:bidi="ar"/>
        </w:rPr>
        <w:t xml:space="preserve">； </w:t>
      </w:r>
    </w:p>
    <w:p>
      <w:pPr>
        <w:widowControl/>
        <w:spacing w:line="360" w:lineRule="auto"/>
        <w:ind w:firstLine="420" w:firstLineChars="20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w:t>
      </w:r>
    </w:p>
    <w:p>
      <w:pPr>
        <w:widowControl/>
        <w:spacing w:line="360" w:lineRule="auto"/>
        <w:ind w:firstLine="420" w:firstLineChars="20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本企业对上述声明内容的真实性负责。如有虚假，将依法承担相应责任。 </w:t>
      </w:r>
    </w:p>
    <w:p>
      <w:pPr>
        <w:widowControl/>
        <w:spacing w:line="360" w:lineRule="auto"/>
        <w:ind w:firstLine="3360" w:firstLineChars="1600"/>
        <w:jc w:val="left"/>
        <w:rPr>
          <w:rFonts w:hint="eastAsia" w:ascii="宋体" w:hAnsi="宋体" w:eastAsia="宋体" w:cs="宋体"/>
          <w:color w:val="auto"/>
          <w:sz w:val="21"/>
          <w:szCs w:val="21"/>
          <w:lang w:bidi="ar"/>
        </w:rPr>
      </w:pPr>
    </w:p>
    <w:p>
      <w:pPr>
        <w:widowControl/>
        <w:spacing w:line="360" w:lineRule="auto"/>
        <w:ind w:firstLine="3360" w:firstLineChars="1600"/>
        <w:jc w:val="left"/>
        <w:rPr>
          <w:rFonts w:hint="eastAsia" w:ascii="宋体" w:hAnsi="宋体" w:eastAsia="宋体" w:cs="宋体"/>
          <w:color w:val="auto"/>
          <w:sz w:val="21"/>
          <w:szCs w:val="21"/>
          <w:lang w:bidi="ar"/>
        </w:rPr>
      </w:pPr>
      <w:r>
        <w:rPr>
          <w:rFonts w:hint="eastAsia" w:ascii="宋体" w:hAnsi="宋体" w:cs="宋体"/>
          <w:color w:val="auto"/>
          <w:sz w:val="21"/>
          <w:szCs w:val="21"/>
          <w:lang w:val="en-US" w:eastAsia="zh-CN" w:bidi="ar"/>
        </w:rPr>
        <w:t>投标单位</w:t>
      </w:r>
      <w:r>
        <w:rPr>
          <w:rFonts w:hint="eastAsia" w:ascii="宋体" w:hAnsi="宋体" w:eastAsia="宋体" w:cs="宋体"/>
          <w:color w:val="auto"/>
          <w:sz w:val="21"/>
          <w:szCs w:val="21"/>
          <w:lang w:bidi="ar"/>
        </w:rPr>
        <w:t xml:space="preserve">（盖章）： </w:t>
      </w:r>
    </w:p>
    <w:p>
      <w:pPr>
        <w:widowControl/>
        <w:spacing w:line="360" w:lineRule="auto"/>
        <w:ind w:firstLine="3360" w:firstLineChars="1600"/>
        <w:jc w:val="left"/>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日 期： </w:t>
      </w:r>
    </w:p>
    <w:p>
      <w:pPr>
        <w:snapToGrid w:val="0"/>
        <w:spacing w:line="360" w:lineRule="auto"/>
        <w:jc w:val="center"/>
        <w:rPr>
          <w:rFonts w:hint="eastAsia" w:ascii="宋体" w:hAnsi="宋体" w:eastAsia="宋体" w:cs="宋体"/>
          <w:b/>
          <w:color w:val="auto"/>
          <w:sz w:val="21"/>
        </w:rPr>
      </w:pPr>
    </w:p>
    <w:p>
      <w:pPr>
        <w:snapToGrid w:val="0"/>
        <w:spacing w:line="360" w:lineRule="auto"/>
        <w:jc w:val="center"/>
        <w:rPr>
          <w:rFonts w:hint="eastAsia" w:ascii="宋体" w:hAnsi="宋体" w:eastAsia="宋体" w:cs="宋体"/>
          <w:b/>
          <w:color w:val="auto"/>
          <w:sz w:val="21"/>
        </w:rPr>
      </w:pPr>
    </w:p>
    <w:p>
      <w:pPr>
        <w:snapToGrid w:val="0"/>
        <w:spacing w:line="360" w:lineRule="auto"/>
        <w:jc w:val="center"/>
        <w:rPr>
          <w:rFonts w:hint="eastAsia" w:ascii="宋体" w:hAnsi="宋体" w:eastAsia="宋体" w:cs="宋体"/>
          <w:b/>
          <w:color w:val="auto"/>
          <w:sz w:val="21"/>
        </w:rPr>
      </w:pPr>
    </w:p>
    <w:p>
      <w:pPr>
        <w:snapToGrid w:val="0"/>
        <w:spacing w:line="360" w:lineRule="auto"/>
        <w:jc w:val="center"/>
        <w:rPr>
          <w:rFonts w:hint="eastAsia" w:ascii="宋体" w:hAnsi="宋体" w:eastAsia="宋体" w:cs="宋体"/>
          <w:b/>
          <w:color w:val="auto"/>
          <w:sz w:val="21"/>
        </w:rPr>
      </w:pPr>
    </w:p>
    <w:p>
      <w:pPr>
        <w:keepNext w:val="0"/>
        <w:keepLines w:val="0"/>
        <w:pageBreakBefore w:val="0"/>
        <w:kinsoku/>
        <w:overflowPunct/>
        <w:topLinePunct w:val="0"/>
        <w:autoSpaceDE/>
        <w:autoSpaceDN/>
        <w:bidi w:val="0"/>
        <w:adjustRightInd/>
        <w:snapToGrid/>
        <w:spacing w:line="400" w:lineRule="exact"/>
        <w:ind w:right="0" w:firstLine="586"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本项目为专门面向中小微企业（含中型、小型、微型企业）采购项目，本项目对应中小企业划分标准所属行业为</w:t>
      </w:r>
      <w:r>
        <w:rPr>
          <w:rFonts w:hint="eastAsia" w:ascii="仿宋" w:hAnsi="仿宋" w:eastAsia="仿宋" w:cs="仿宋"/>
          <w:b/>
          <w:bCs/>
          <w:color w:val="auto"/>
          <w:spacing w:val="6"/>
          <w:sz w:val="28"/>
          <w:szCs w:val="28"/>
          <w:highlight w:val="none"/>
          <w:lang w:val="en-US" w:eastAsia="zh-CN"/>
        </w:rPr>
        <w:t>其他未列明行</w:t>
      </w:r>
      <w:r>
        <w:rPr>
          <w:rFonts w:hint="eastAsia" w:ascii="仿宋" w:hAnsi="仿宋" w:eastAsia="仿宋" w:cs="仿宋"/>
          <w:b/>
          <w:bCs/>
          <w:color w:val="auto"/>
          <w:spacing w:val="6"/>
          <w:sz w:val="28"/>
          <w:szCs w:val="28"/>
          <w:highlight w:val="none"/>
        </w:rPr>
        <w:t>业，供应商须按格式要求真实填报并提供中小企业声明函，未提供者视为不响应招标文件资格要求，</w:t>
      </w:r>
      <w:r>
        <w:rPr>
          <w:rFonts w:hint="eastAsia" w:ascii="仿宋" w:hAnsi="仿宋" w:eastAsia="仿宋" w:cs="仿宋"/>
          <w:b/>
          <w:bCs/>
          <w:color w:val="auto"/>
          <w:spacing w:val="6"/>
          <w:sz w:val="28"/>
          <w:szCs w:val="28"/>
          <w:highlight w:val="none"/>
          <w:lang w:val="en-US" w:eastAsia="zh-CN"/>
        </w:rPr>
        <w:t>评标时不予认可</w:t>
      </w:r>
      <w:r>
        <w:rPr>
          <w:rFonts w:hint="eastAsia" w:ascii="仿宋" w:hAnsi="仿宋" w:eastAsia="仿宋" w:cs="仿宋"/>
          <w:b/>
          <w:bCs/>
          <w:color w:val="auto"/>
          <w:spacing w:val="6"/>
          <w:sz w:val="28"/>
          <w:szCs w:val="28"/>
          <w:highlight w:val="none"/>
        </w:rPr>
        <w:t>！</w:t>
      </w:r>
    </w:p>
    <w:p>
      <w:pPr>
        <w:snapToGrid w:val="0"/>
        <w:spacing w:line="360" w:lineRule="auto"/>
        <w:jc w:val="center"/>
        <w:rPr>
          <w:rFonts w:hint="eastAsia" w:ascii="宋体" w:hAnsi="宋体" w:eastAsia="宋体" w:cs="宋体"/>
          <w:b/>
          <w:color w:val="auto"/>
          <w:sz w:val="21"/>
        </w:rPr>
      </w:pPr>
    </w:p>
    <w:p>
      <w:pPr>
        <w:snapToGrid w:val="0"/>
        <w:spacing w:line="360" w:lineRule="auto"/>
        <w:jc w:val="center"/>
        <w:rPr>
          <w:rFonts w:hint="eastAsia" w:ascii="宋体" w:hAnsi="宋体" w:eastAsia="宋体" w:cs="宋体"/>
          <w:b/>
          <w:color w:val="auto"/>
          <w:sz w:val="21"/>
        </w:rPr>
      </w:pPr>
    </w:p>
    <w:p>
      <w:pPr>
        <w:snapToGrid w:val="0"/>
        <w:spacing w:line="360" w:lineRule="auto"/>
        <w:jc w:val="center"/>
        <w:rPr>
          <w:rFonts w:hint="eastAsia" w:ascii="宋体" w:hAnsi="宋体" w:eastAsia="宋体" w:cs="宋体"/>
          <w:b/>
          <w:color w:val="auto"/>
          <w:sz w:val="21"/>
        </w:rPr>
      </w:pPr>
    </w:p>
    <w:p>
      <w:pPr>
        <w:snapToGrid w:val="0"/>
        <w:spacing w:line="360" w:lineRule="auto"/>
        <w:jc w:val="center"/>
        <w:rPr>
          <w:rFonts w:hint="eastAsia" w:ascii="宋体" w:hAnsi="宋体" w:eastAsia="宋体" w:cs="宋体"/>
          <w:b/>
          <w:color w:val="auto"/>
          <w:sz w:val="21"/>
        </w:rPr>
      </w:pPr>
    </w:p>
    <w:p>
      <w:pPr>
        <w:snapToGrid w:val="0"/>
        <w:spacing w:line="360" w:lineRule="auto"/>
        <w:jc w:val="both"/>
        <w:rPr>
          <w:rFonts w:hint="eastAsia" w:ascii="宋体" w:hAnsi="宋体" w:eastAsia="宋体" w:cs="宋体"/>
          <w:b/>
          <w:color w:val="auto"/>
          <w:sz w:val="21"/>
        </w:rPr>
      </w:pPr>
    </w:p>
    <w:p>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残疾人福利性单位声明函</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如是</w:t>
      </w:r>
      <w:r>
        <w:rPr>
          <w:rFonts w:hint="eastAsia" w:ascii="宋体" w:hAnsi="宋体" w:eastAsia="宋体" w:cs="宋体"/>
          <w:b/>
          <w:bCs/>
          <w:color w:val="auto"/>
          <w:sz w:val="28"/>
          <w:szCs w:val="28"/>
          <w:highlight w:val="none"/>
          <w:lang w:eastAsia="zh-CN"/>
        </w:rPr>
        <w:t>）</w:t>
      </w:r>
    </w:p>
    <w:p>
      <w:pPr>
        <w:pStyle w:val="2"/>
        <w:rPr>
          <w:rFonts w:hint="eastAsia"/>
          <w:color w:val="auto"/>
          <w:lang w:eastAsia="zh-CN"/>
        </w:rPr>
      </w:pPr>
    </w:p>
    <w:p>
      <w:pPr>
        <w:snapToGrid w:val="0"/>
        <w:spacing w:line="480" w:lineRule="auto"/>
        <w:ind w:firstLine="420" w:firstLineChars="200"/>
        <w:rPr>
          <w:rFonts w:hint="eastAsia" w:ascii="宋体" w:hAnsi="宋体" w:eastAsia="宋体" w:cs="宋体"/>
          <w:color w:val="auto"/>
          <w:sz w:val="21"/>
        </w:rPr>
      </w:pPr>
      <w:r>
        <w:rPr>
          <w:rFonts w:hint="eastAsia" w:ascii="宋体" w:hAnsi="宋体" w:eastAsia="宋体" w:cs="宋体"/>
          <w:color w:val="auto"/>
          <w:sz w:val="21"/>
        </w:rPr>
        <w:t>本单位郑重声明，根据《财政部 民政部 中国残疾人联合会关于促进残疾人就业政府采购政策的通知》（财库〔2017〕 141号）的规定，本单位为</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(填写:符合或不符合)条件的残疾人福利性单位，且本单位参加</w:t>
      </w:r>
      <w:r>
        <w:rPr>
          <w:rFonts w:hint="eastAsia" w:ascii="宋体" w:hAnsi="宋体" w:cs="宋体"/>
          <w:color w:val="auto"/>
          <w:sz w:val="21"/>
          <w:u w:val="single"/>
          <w:lang w:val="en-US" w:eastAsia="zh-CN"/>
        </w:rPr>
        <w:t xml:space="preserve">                </w:t>
      </w:r>
      <w:r>
        <w:rPr>
          <w:rFonts w:hint="eastAsia" w:ascii="宋体" w:hAnsi="宋体" w:eastAsia="宋体" w:cs="宋体"/>
          <w:color w:val="auto"/>
          <w:sz w:val="21"/>
        </w:rPr>
        <w:t>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firstLineChars="200"/>
        <w:rPr>
          <w:rFonts w:hint="eastAsia" w:ascii="宋体" w:hAnsi="宋体" w:eastAsia="宋体" w:cs="宋体"/>
          <w:color w:val="auto"/>
          <w:sz w:val="21"/>
        </w:rPr>
      </w:pPr>
      <w:r>
        <w:rPr>
          <w:rFonts w:hint="eastAsia" w:ascii="宋体" w:hAnsi="宋体" w:eastAsia="宋体" w:cs="宋体"/>
          <w:color w:val="auto"/>
          <w:sz w:val="21"/>
        </w:rPr>
        <w:t>本公司对上述声明的真实性负责。如有虚假，将按照提供虚假投标材料处理。</w:t>
      </w:r>
    </w:p>
    <w:p>
      <w:pPr>
        <w:snapToGrid w:val="0"/>
        <w:spacing w:line="360" w:lineRule="auto"/>
        <w:rPr>
          <w:rFonts w:hint="eastAsia" w:ascii="宋体" w:hAnsi="宋体" w:eastAsia="宋体" w:cs="宋体"/>
          <w:b/>
          <w:color w:val="auto"/>
          <w:sz w:val="21"/>
        </w:rPr>
      </w:pP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w:t>
      </w:r>
      <w:r>
        <w:rPr>
          <w:rFonts w:hint="eastAsia" w:ascii="宋体" w:hAnsi="宋体" w:cs="宋体"/>
          <w:color w:val="auto"/>
          <w:sz w:val="21"/>
          <w:szCs w:val="21"/>
          <w:lang w:val="en-US" w:eastAsia="zh-CN"/>
        </w:rPr>
        <w:t>单位</w:t>
      </w:r>
      <w:r>
        <w:rPr>
          <w:rFonts w:hint="eastAsia" w:ascii="宋体" w:hAnsi="宋体" w:eastAsia="宋体" w:cs="宋体"/>
          <w:color w:val="auto"/>
          <w:sz w:val="21"/>
          <w:szCs w:val="21"/>
        </w:rPr>
        <w:t>名称：（加盖公章）</w:t>
      </w: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投标日期：</w:t>
      </w:r>
    </w:p>
    <w:p>
      <w:pPr>
        <w:snapToGrid w:val="0"/>
        <w:spacing w:line="360" w:lineRule="auto"/>
        <w:rPr>
          <w:rFonts w:hint="eastAsia" w:ascii="宋体" w:hAnsi="宋体" w:eastAsia="宋体" w:cs="宋体"/>
          <w:bCs/>
          <w:color w:val="auto"/>
          <w:sz w:val="21"/>
        </w:rPr>
      </w:pPr>
      <w:r>
        <w:rPr>
          <w:rFonts w:hint="eastAsia" w:ascii="宋体" w:hAnsi="宋体" w:eastAsia="宋体" w:cs="宋体"/>
          <w:bCs/>
          <w:color w:val="auto"/>
          <w:sz w:val="21"/>
        </w:rPr>
        <w:t>注：残疾人福利性单位视同小型、微型企业，享受预留份额、评审中价格扣除等促进中小企业发展的政府采购政策。残疾人福利性单位属于小型、微型企业的，不重复享受政策。投标人为非残疾人福利性单位的，可不提供此声明。</w:t>
      </w: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rPr>
      </w:pPr>
    </w:p>
    <w:p>
      <w:pPr>
        <w:snapToGrid w:val="0"/>
        <w:spacing w:line="360" w:lineRule="auto"/>
        <w:jc w:val="both"/>
        <w:rPr>
          <w:rFonts w:hint="eastAsia" w:ascii="宋体" w:hAnsi="宋体" w:eastAsia="宋体" w:cs="宋体"/>
          <w:b/>
          <w:color w:val="auto"/>
          <w:spacing w:val="6"/>
          <w:sz w:val="21"/>
          <w:szCs w:val="21"/>
        </w:rPr>
      </w:pPr>
    </w:p>
    <w:p>
      <w:pPr>
        <w:snapToGrid w:val="0"/>
        <w:spacing w:line="360" w:lineRule="auto"/>
        <w:jc w:val="center"/>
        <w:rPr>
          <w:rFonts w:hint="eastAsia" w:ascii="宋体" w:hAnsi="宋体" w:eastAsia="宋体" w:cs="宋体"/>
          <w:b/>
          <w:color w:val="auto"/>
          <w:spacing w:val="6"/>
          <w:sz w:val="21"/>
          <w:szCs w:val="21"/>
          <w:lang w:eastAsia="zh-CN"/>
        </w:rPr>
      </w:pPr>
      <w:r>
        <w:rPr>
          <w:rFonts w:hint="eastAsia" w:ascii="宋体" w:hAnsi="宋体" w:eastAsia="宋体" w:cs="宋体"/>
          <w:b/>
          <w:color w:val="auto"/>
          <w:spacing w:val="6"/>
          <w:sz w:val="21"/>
          <w:szCs w:val="21"/>
        </w:rPr>
        <w:t>监狱企业声明函</w:t>
      </w:r>
      <w:r>
        <w:rPr>
          <w:rFonts w:hint="eastAsia" w:ascii="宋体" w:hAnsi="宋体" w:eastAsia="宋体" w:cs="宋体"/>
          <w:b/>
          <w:color w:val="auto"/>
          <w:spacing w:val="6"/>
          <w:sz w:val="21"/>
          <w:szCs w:val="21"/>
          <w:lang w:eastAsia="zh-CN"/>
        </w:rPr>
        <w:t>（</w:t>
      </w:r>
      <w:r>
        <w:rPr>
          <w:rFonts w:hint="eastAsia" w:ascii="宋体" w:hAnsi="宋体" w:eastAsia="宋体" w:cs="宋体"/>
          <w:b/>
          <w:color w:val="auto"/>
          <w:spacing w:val="6"/>
          <w:sz w:val="21"/>
          <w:szCs w:val="21"/>
          <w:lang w:val="en-US" w:eastAsia="zh-CN"/>
        </w:rPr>
        <w:t>如是</w:t>
      </w:r>
      <w:r>
        <w:rPr>
          <w:rFonts w:hint="eastAsia" w:ascii="宋体" w:hAnsi="宋体" w:eastAsia="宋体" w:cs="宋体"/>
          <w:b/>
          <w:color w:val="auto"/>
          <w:spacing w:val="6"/>
          <w:sz w:val="21"/>
          <w:szCs w:val="21"/>
          <w:lang w:eastAsia="zh-CN"/>
        </w:rPr>
        <w:t>）</w:t>
      </w:r>
    </w:p>
    <w:p>
      <w:pPr>
        <w:tabs>
          <w:tab w:val="left" w:pos="1134"/>
        </w:tabs>
        <w:snapToGrid w:val="0"/>
        <w:spacing w:line="360" w:lineRule="auto"/>
        <w:ind w:firstLine="444" w:firstLineChars="200"/>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本公司郑重声明，根据《政府采购支持监狱企业发展有关问题的通知》（财库〔2014〕68号）的规定，本公司______（请填写：“是” 或 “不是”）监狱企业。即，本公司满足以下条件：</w:t>
      </w:r>
    </w:p>
    <w:p>
      <w:pPr>
        <w:tabs>
          <w:tab w:val="left" w:pos="0"/>
        </w:tabs>
        <w:snapToGrid w:val="0"/>
        <w:spacing w:line="360" w:lineRule="auto"/>
        <w:ind w:firstLine="444" w:firstLineChars="200"/>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根据《工业和信息化部、国家统计局、国家发展和改革委员会、财政部关于印发中小企业划型标准规定的通知》（工信部联企业[2011]300号）规定的划分标准，本公司为______（请填写：“是” 或 “不是”）监狱企业。</w:t>
      </w:r>
    </w:p>
    <w:p>
      <w:pPr>
        <w:tabs>
          <w:tab w:val="left" w:pos="1134"/>
        </w:tabs>
        <w:snapToGrid w:val="0"/>
        <w:spacing w:line="360" w:lineRule="auto"/>
        <w:ind w:firstLine="444" w:firstLineChars="200"/>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本公司参加本次</w:t>
      </w:r>
      <w:r>
        <w:rPr>
          <w:rFonts w:hint="eastAsia" w:ascii="宋体" w:hAnsi="宋体" w:cs="宋体"/>
          <w:color w:val="auto"/>
          <w:spacing w:val="6"/>
          <w:sz w:val="21"/>
          <w:szCs w:val="21"/>
          <w:u w:val="single"/>
          <w:lang w:val="en-US" w:eastAsia="zh-CN"/>
        </w:rPr>
        <w:t xml:space="preserve">                   </w:t>
      </w:r>
      <w:r>
        <w:rPr>
          <w:rFonts w:hint="eastAsia" w:ascii="宋体" w:hAnsi="宋体" w:eastAsia="宋体" w:cs="宋体"/>
          <w:color w:val="auto"/>
          <w:spacing w:val="6"/>
          <w:sz w:val="21"/>
          <w:szCs w:val="21"/>
        </w:rPr>
        <w:t>活动提供本企业制造的货物及服务，由本企业承担工程、提供服务。</w:t>
      </w:r>
    </w:p>
    <w:p>
      <w:pPr>
        <w:tabs>
          <w:tab w:val="left" w:pos="1134"/>
        </w:tabs>
        <w:snapToGrid w:val="0"/>
        <w:spacing w:line="360" w:lineRule="auto"/>
        <w:ind w:firstLine="444" w:firstLineChars="200"/>
        <w:rPr>
          <w:rFonts w:hint="eastAsia" w:ascii="宋体" w:hAnsi="宋体" w:eastAsia="宋体" w:cs="宋体"/>
          <w:color w:val="auto"/>
          <w:spacing w:val="6"/>
          <w:sz w:val="21"/>
          <w:szCs w:val="21"/>
        </w:rPr>
      </w:pPr>
      <w:r>
        <w:rPr>
          <w:rFonts w:hint="eastAsia" w:ascii="宋体" w:hAnsi="宋体" w:eastAsia="宋体" w:cs="宋体"/>
          <w:color w:val="auto"/>
          <w:spacing w:val="6"/>
          <w:sz w:val="21"/>
          <w:szCs w:val="21"/>
        </w:rPr>
        <w:t>本公司对上述声明的真实性负责。如有虚假，将按照提供虚假投标材料处理。</w:t>
      </w:r>
    </w:p>
    <w:p>
      <w:pPr>
        <w:tabs>
          <w:tab w:val="left" w:pos="3969"/>
        </w:tabs>
        <w:snapToGrid w:val="0"/>
        <w:spacing w:line="360" w:lineRule="auto"/>
        <w:ind w:right="-58"/>
        <w:jc w:val="left"/>
        <w:rPr>
          <w:rFonts w:hint="eastAsia" w:ascii="宋体" w:hAnsi="宋体" w:eastAsia="宋体" w:cs="宋体"/>
          <w:color w:val="auto"/>
          <w:spacing w:val="6"/>
          <w:sz w:val="21"/>
          <w:szCs w:val="21"/>
        </w:rPr>
      </w:pP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w:t>
      </w:r>
      <w:r>
        <w:rPr>
          <w:rFonts w:hint="eastAsia" w:ascii="宋体" w:hAnsi="宋体" w:cs="宋体"/>
          <w:color w:val="auto"/>
          <w:sz w:val="21"/>
          <w:szCs w:val="21"/>
          <w:lang w:val="en-US" w:eastAsia="zh-CN"/>
        </w:rPr>
        <w:t>单位</w:t>
      </w:r>
      <w:r>
        <w:rPr>
          <w:rFonts w:hint="eastAsia" w:ascii="宋体" w:hAnsi="宋体" w:eastAsia="宋体" w:cs="宋体"/>
          <w:color w:val="auto"/>
          <w:sz w:val="21"/>
          <w:szCs w:val="21"/>
        </w:rPr>
        <w:t>名称：（加盖公章）</w:t>
      </w:r>
    </w:p>
    <w:p>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投标日期：</w:t>
      </w:r>
    </w:p>
    <w:p>
      <w:pPr>
        <w:spacing w:line="360" w:lineRule="auto"/>
        <w:ind w:firstLine="420" w:firstLineChars="200"/>
        <w:rPr>
          <w:rFonts w:hint="eastAsia" w:ascii="宋体" w:hAnsi="宋体" w:eastAsia="宋体" w:cs="宋体"/>
          <w:color w:val="auto"/>
        </w:rPr>
      </w:pPr>
    </w:p>
    <w:p>
      <w:pPr>
        <w:pStyle w:val="25"/>
        <w:spacing w:line="360" w:lineRule="auto"/>
        <w:rPr>
          <w:rFonts w:hint="eastAsia" w:ascii="宋体" w:hAnsi="宋体" w:eastAsia="宋体" w:cs="宋体"/>
          <w:color w:val="auto"/>
          <w:sz w:val="21"/>
          <w:szCs w:val="21"/>
        </w:rPr>
      </w:pPr>
    </w:p>
    <w:p>
      <w:pPr>
        <w:snapToGrid w:val="0"/>
        <w:spacing w:line="360" w:lineRule="auto"/>
        <w:rPr>
          <w:rFonts w:hint="eastAsia" w:ascii="宋体" w:hAnsi="宋体" w:eastAsia="宋体" w:cs="宋体"/>
          <w:bCs/>
          <w:color w:val="auto"/>
          <w:sz w:val="21"/>
          <w:szCs w:val="21"/>
        </w:rPr>
      </w:pPr>
      <w:r>
        <w:rPr>
          <w:rFonts w:hint="eastAsia" w:ascii="宋体" w:hAnsi="宋体" w:eastAsia="宋体" w:cs="宋体"/>
          <w:bCs/>
          <w:color w:val="auto"/>
          <w:spacing w:val="6"/>
          <w:sz w:val="21"/>
          <w:szCs w:val="21"/>
        </w:rPr>
        <w:t>注：1.</w:t>
      </w:r>
      <w:r>
        <w:rPr>
          <w:rFonts w:hint="eastAsia" w:ascii="宋体" w:hAnsi="宋体" w:eastAsia="宋体" w:cs="宋体"/>
          <w:bCs/>
          <w:color w:val="auto"/>
          <w:sz w:val="21"/>
          <w:szCs w:val="21"/>
        </w:rPr>
        <w:t>如投标人为大型企业或未提供中小企业（监狱企业）声明函的，则其投标产品中的小型、微型企业生产的产品不能享受招标文件规定的价格扣除，但不影响投标人投标文件的有效性。</w:t>
      </w:r>
    </w:p>
    <w:p>
      <w:pPr>
        <w:pStyle w:val="25"/>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25"/>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3.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pStyle w:val="25"/>
        <w:rPr>
          <w:rFonts w:hint="eastAsia" w:ascii="宋体" w:hAnsi="宋体" w:eastAsia="宋体" w:cs="宋体"/>
          <w:b/>
          <w:color w:val="auto"/>
          <w:sz w:val="21"/>
        </w:rPr>
      </w:pPr>
    </w:p>
    <w:p>
      <w:pPr>
        <w:pStyle w:val="25"/>
        <w:rPr>
          <w:rFonts w:hint="eastAsia" w:ascii="宋体" w:hAnsi="宋体" w:eastAsia="宋体" w:cs="宋体"/>
          <w:b/>
          <w:color w:val="auto"/>
          <w:sz w:val="21"/>
        </w:rPr>
      </w:pPr>
    </w:p>
    <w:p>
      <w:pPr>
        <w:pStyle w:val="25"/>
        <w:rPr>
          <w:rFonts w:hint="eastAsia" w:ascii="宋体" w:hAnsi="宋体" w:eastAsia="宋体" w:cs="宋体"/>
          <w:b/>
          <w:color w:val="auto"/>
          <w:sz w:val="21"/>
        </w:rPr>
      </w:pPr>
    </w:p>
    <w:p>
      <w:pPr>
        <w:pStyle w:val="25"/>
        <w:rPr>
          <w:rFonts w:hint="eastAsia" w:ascii="宋体" w:hAnsi="宋体" w:eastAsia="宋体" w:cs="宋体"/>
          <w:b/>
          <w:color w:val="auto"/>
          <w:sz w:val="21"/>
        </w:rPr>
      </w:pPr>
    </w:p>
    <w:p>
      <w:pPr>
        <w:pStyle w:val="25"/>
        <w:rPr>
          <w:rFonts w:hint="eastAsia" w:ascii="宋体" w:hAnsi="宋体" w:eastAsia="宋体" w:cs="宋体"/>
          <w:b/>
          <w:color w:val="auto"/>
          <w:sz w:val="21"/>
        </w:rPr>
      </w:pPr>
    </w:p>
    <w:p>
      <w:pPr>
        <w:pStyle w:val="25"/>
        <w:rPr>
          <w:rFonts w:hint="eastAsia" w:ascii="宋体" w:hAnsi="宋体" w:eastAsia="宋体" w:cs="宋体"/>
          <w:b/>
          <w:color w:val="auto"/>
          <w:sz w:val="21"/>
        </w:rPr>
      </w:pPr>
    </w:p>
    <w:p>
      <w:pPr>
        <w:pStyle w:val="25"/>
        <w:rPr>
          <w:rFonts w:hint="eastAsia" w:ascii="宋体" w:hAnsi="宋体" w:eastAsia="宋体" w:cs="宋体"/>
          <w:b/>
          <w:color w:val="auto"/>
          <w:sz w:val="21"/>
        </w:rPr>
      </w:pPr>
    </w:p>
    <w:p>
      <w:pPr>
        <w:pStyle w:val="25"/>
        <w:rPr>
          <w:rFonts w:hint="eastAsia" w:ascii="宋体" w:hAnsi="宋体" w:eastAsia="宋体" w:cs="宋体"/>
          <w:b/>
          <w:color w:val="auto"/>
          <w:sz w:val="21"/>
        </w:rPr>
      </w:pPr>
    </w:p>
    <w:p>
      <w:pPr>
        <w:pStyle w:val="25"/>
        <w:rPr>
          <w:rFonts w:hint="eastAsia" w:ascii="宋体" w:hAnsi="宋体" w:eastAsia="宋体" w:cs="宋体"/>
          <w:b/>
          <w:color w:val="auto"/>
          <w:sz w:val="21"/>
        </w:rPr>
      </w:pPr>
    </w:p>
    <w:bookmarkEnd w:id="186"/>
    <w:bookmarkEnd w:id="187"/>
    <w:bookmarkEnd w:id="188"/>
    <w:bookmarkEnd w:id="189"/>
    <w:p>
      <w:pPr>
        <w:pStyle w:val="58"/>
        <w:keepNext/>
        <w:keepLines/>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宋体" w:hAnsi="宋体" w:eastAsia="宋体" w:cs="宋体"/>
          <w:b/>
          <w:bCs/>
          <w:color w:val="auto"/>
          <w:kern w:val="2"/>
          <w:sz w:val="28"/>
          <w:szCs w:val="32"/>
          <w:lang w:val="en-US" w:eastAsia="zh-CN" w:bidi="ar-SA"/>
        </w:rPr>
      </w:pPr>
      <w:r>
        <w:rPr>
          <w:rFonts w:hint="eastAsia" w:ascii="宋体" w:hAnsi="宋体" w:eastAsia="宋体" w:cs="宋体"/>
          <w:b/>
          <w:bCs w:val="0"/>
          <w:color w:val="auto"/>
          <w:kern w:val="2"/>
          <w:sz w:val="30"/>
          <w:szCs w:val="30"/>
          <w:highlight w:val="none"/>
          <w:lang w:val="en-US" w:eastAsia="zh-CN" w:bidi="ar-SA"/>
        </w:rPr>
        <w:t>16</w:t>
      </w:r>
      <w:r>
        <w:rPr>
          <w:rFonts w:hint="eastAsia" w:ascii="宋体" w:hAnsi="宋体" w:eastAsia="宋体" w:cs="宋体"/>
          <w:b/>
          <w:bCs w:val="0"/>
          <w:color w:val="auto"/>
          <w:kern w:val="2"/>
          <w:sz w:val="30"/>
          <w:szCs w:val="30"/>
          <w:highlight w:val="none"/>
          <w:lang w:val="zh-CN" w:eastAsia="zh-CN" w:bidi="ar-SA"/>
        </w:rPr>
        <w:t>、项目负责人简历表及拟投入本项目主要成员表</w:t>
      </w:r>
    </w:p>
    <w:p>
      <w:pPr>
        <w:pageBreakBefore w:val="0"/>
        <w:widowControl w:val="0"/>
        <w:wordWrap/>
        <w:topLinePunct w:val="0"/>
        <w:bidi w:val="0"/>
        <w:spacing w:line="240" w:lineRule="auto"/>
        <w:jc w:val="center"/>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1、项目负责人简历表</w:t>
      </w:r>
    </w:p>
    <w:tbl>
      <w:tblPr>
        <w:tblStyle w:val="20"/>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主要经历</w:t>
            </w: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bl>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2、拟投入本项目的主要成员表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序号</w:t>
            </w:r>
          </w:p>
        </w:tc>
        <w:tc>
          <w:tcPr>
            <w:tcW w:w="133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姓名</w:t>
            </w:r>
          </w:p>
        </w:tc>
        <w:tc>
          <w:tcPr>
            <w:tcW w:w="2040"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性别</w:t>
            </w:r>
          </w:p>
        </w:tc>
        <w:tc>
          <w:tcPr>
            <w:tcW w:w="1939"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职称</w:t>
            </w:r>
          </w:p>
        </w:tc>
        <w:tc>
          <w:tcPr>
            <w:tcW w:w="1799"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岗位</w:t>
            </w:r>
          </w:p>
        </w:tc>
        <w:tc>
          <w:tcPr>
            <w:tcW w:w="2006" w:type="dxa"/>
            <w:noWrap w:val="0"/>
            <w:vAlign w:val="center"/>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1</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2</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3</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w:t>
            </w:r>
          </w:p>
        </w:tc>
        <w:tc>
          <w:tcPr>
            <w:tcW w:w="133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040"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93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1799"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c>
          <w:tcPr>
            <w:tcW w:w="2006" w:type="dxa"/>
            <w:noWrap w:val="0"/>
            <w:vAlign w:val="top"/>
          </w:tcPr>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tc>
      </w:tr>
    </w:tbl>
    <w:p>
      <w:pPr>
        <w:pageBreakBefore w:val="0"/>
        <w:widowControl w:val="0"/>
        <w:wordWrap/>
        <w:topLinePunct w:val="0"/>
        <w:bidi w:val="0"/>
        <w:spacing w:line="360" w:lineRule="auto"/>
        <w:jc w:val="left"/>
        <w:rPr>
          <w:rFonts w:hint="eastAsia" w:ascii="宋体" w:hAnsi="宋体" w:eastAsia="宋体" w:cs="宋体"/>
          <w:b w:val="0"/>
          <w:bCs w:val="0"/>
          <w:color w:val="auto"/>
          <w:kern w:val="2"/>
          <w:sz w:val="24"/>
          <w:szCs w:val="20"/>
          <w:lang w:val="en-US" w:eastAsia="zh-CN" w:bidi="ar-SA"/>
        </w:rPr>
      </w:pPr>
    </w:p>
    <w:p>
      <w:pPr>
        <w:pageBreakBefore w:val="0"/>
        <w:widowControl w:val="0"/>
        <w:wordWrap/>
        <w:topLinePunct w:val="0"/>
        <w:bidi w:val="0"/>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注：后附人员相关资格证书复印件。</w:t>
      </w:r>
    </w:p>
    <w:p>
      <w:pPr>
        <w:pageBreakBefore w:val="0"/>
        <w:widowControl w:val="0"/>
        <w:wordWrap/>
        <w:topLinePunct w:val="0"/>
        <w:bidi w:val="0"/>
        <w:ind w:firstLine="480" w:firstLineChars="200"/>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b w:val="0"/>
          <w:bCs w:val="0"/>
          <w:color w:val="auto"/>
          <w:kern w:val="2"/>
          <w:sz w:val="24"/>
          <w:szCs w:val="20"/>
          <w:lang w:val="en-US" w:eastAsia="zh-CN" w:bidi="ar-SA"/>
        </w:rPr>
        <w:t>本</w:t>
      </w:r>
      <w:r>
        <w:rPr>
          <w:rFonts w:hint="eastAsia" w:ascii="宋体" w:hAnsi="宋体" w:cs="宋体"/>
          <w:b w:val="0"/>
          <w:bCs w:val="0"/>
          <w:color w:val="auto"/>
          <w:kern w:val="2"/>
          <w:sz w:val="24"/>
          <w:szCs w:val="20"/>
          <w:lang w:val="en-US" w:eastAsia="zh-CN" w:bidi="ar-SA"/>
        </w:rPr>
        <w:t>项目</w:t>
      </w:r>
      <w:r>
        <w:rPr>
          <w:rFonts w:hint="eastAsia" w:ascii="宋体" w:hAnsi="宋体" w:eastAsia="宋体" w:cs="宋体"/>
          <w:b w:val="0"/>
          <w:bCs w:val="0"/>
          <w:color w:val="auto"/>
          <w:kern w:val="2"/>
          <w:sz w:val="24"/>
          <w:szCs w:val="20"/>
          <w:lang w:val="en-US" w:eastAsia="zh-CN" w:bidi="ar-SA"/>
        </w:rPr>
        <w:t xml:space="preserve">一旦我单位中标，将配备上述项目管理人员。上述填报内容真实，如不真实，将按照有关规定接受处理。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b w:val="0"/>
          <w:bCs w:val="0"/>
          <w:color w:val="auto"/>
          <w:kern w:val="2"/>
          <w:sz w:val="24"/>
          <w:szCs w:val="20"/>
          <w:lang w:val="en-US" w:eastAsia="zh-CN" w:bidi="ar-SA"/>
        </w:rPr>
        <w:t xml:space="preserve">  投标单位：                        （公章） </w:t>
      </w:r>
    </w:p>
    <w:p>
      <w:pPr>
        <w:pageBreakBefore w:val="0"/>
        <w:widowControl w:val="0"/>
        <w:wordWrap/>
        <w:topLinePunct w:val="0"/>
        <w:bidi w:val="0"/>
        <w:rPr>
          <w:rFonts w:hint="eastAsia" w:ascii="宋体" w:hAnsi="宋体" w:eastAsia="宋体" w:cs="宋体"/>
          <w:b w:val="0"/>
          <w:bCs w:val="0"/>
          <w:color w:val="auto"/>
          <w:kern w:val="2"/>
          <w:sz w:val="24"/>
          <w:szCs w:val="20"/>
          <w:lang w:val="en-US" w:eastAsia="zh-CN" w:bidi="ar-SA"/>
        </w:rPr>
      </w:pPr>
      <w:r>
        <w:rPr>
          <w:rFonts w:hint="eastAsia" w:ascii="宋体" w:hAnsi="宋体" w:eastAsia="宋体" w:cs="宋体"/>
          <w:color w:val="auto"/>
          <w:sz w:val="28"/>
          <w:szCs w:val="28"/>
          <w:highlight w:val="none"/>
        </w:rPr>
        <w:t xml:space="preserve"> </w:t>
      </w:r>
      <w:r>
        <w:rPr>
          <w:rFonts w:hint="eastAsia" w:ascii="宋体" w:hAnsi="宋体" w:eastAsia="宋体" w:cs="宋体"/>
          <w:b w:val="0"/>
          <w:bCs w:val="0"/>
          <w:color w:val="auto"/>
          <w:kern w:val="2"/>
          <w:sz w:val="24"/>
          <w:szCs w:val="20"/>
          <w:lang w:val="en-US" w:eastAsia="zh-CN" w:bidi="ar-SA"/>
        </w:rPr>
        <w:t xml:space="preserve"> 法定代表人或授权代表人（签字）：                           </w:t>
      </w:r>
    </w:p>
    <w:p>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val="0"/>
          <w:bCs w:val="0"/>
          <w:color w:val="auto"/>
          <w:kern w:val="2"/>
          <w:sz w:val="24"/>
          <w:szCs w:val="20"/>
          <w:lang w:val="en-US" w:eastAsia="zh-CN" w:bidi="ar-SA"/>
        </w:rPr>
        <w:t>投标日期：</w:t>
      </w:r>
    </w:p>
    <w:p>
      <w:pPr>
        <w:spacing w:line="360" w:lineRule="auto"/>
        <w:jc w:val="center"/>
        <w:rPr>
          <w:rFonts w:hint="eastAsia" w:ascii="宋体" w:hAnsi="宋体" w:cs="宋体"/>
          <w:b/>
          <w:bCs w:val="0"/>
          <w:color w:val="auto"/>
          <w:kern w:val="2"/>
          <w:sz w:val="30"/>
          <w:szCs w:val="30"/>
          <w:highlight w:val="none"/>
          <w:lang w:val="en-US" w:eastAsia="zh-CN" w:bidi="ar-SA"/>
        </w:rPr>
      </w:pPr>
    </w:p>
    <w:p>
      <w:pPr>
        <w:spacing w:line="360" w:lineRule="auto"/>
        <w:jc w:val="center"/>
        <w:rPr>
          <w:rFonts w:hint="eastAsia" w:ascii="宋体" w:hAnsi="宋体" w:cs="宋体"/>
          <w:b/>
          <w:bCs w:val="0"/>
          <w:color w:val="auto"/>
          <w:kern w:val="2"/>
          <w:sz w:val="30"/>
          <w:szCs w:val="30"/>
          <w:highlight w:val="none"/>
          <w:lang w:val="en-US" w:eastAsia="zh-CN" w:bidi="ar-SA"/>
        </w:rPr>
      </w:pPr>
    </w:p>
    <w:p>
      <w:pPr>
        <w:spacing w:line="360" w:lineRule="auto"/>
        <w:jc w:val="center"/>
        <w:rPr>
          <w:rFonts w:hint="eastAsia" w:ascii="宋体" w:hAnsi="宋体" w:cs="宋体"/>
          <w:b/>
          <w:bCs w:val="0"/>
          <w:color w:val="auto"/>
          <w:kern w:val="2"/>
          <w:sz w:val="30"/>
          <w:szCs w:val="30"/>
          <w:highlight w:val="none"/>
          <w:lang w:val="en-US" w:eastAsia="zh-CN" w:bidi="ar-SA"/>
        </w:rPr>
      </w:pPr>
    </w:p>
    <w:p>
      <w:pPr>
        <w:spacing w:line="360" w:lineRule="auto"/>
        <w:jc w:val="center"/>
        <w:rPr>
          <w:rFonts w:hint="eastAsia" w:ascii="宋体" w:hAnsi="宋体" w:eastAsia="宋体" w:cs="宋体"/>
          <w:b/>
          <w:bCs w:val="0"/>
          <w:color w:val="auto"/>
          <w:kern w:val="2"/>
          <w:sz w:val="30"/>
          <w:szCs w:val="30"/>
          <w:highlight w:val="none"/>
          <w:lang w:val="en-US" w:eastAsia="zh-CN" w:bidi="ar-SA"/>
        </w:rPr>
      </w:pPr>
      <w:r>
        <w:rPr>
          <w:rFonts w:hint="eastAsia" w:ascii="宋体" w:hAnsi="宋体" w:cs="宋体"/>
          <w:b/>
          <w:bCs w:val="0"/>
          <w:color w:val="auto"/>
          <w:kern w:val="2"/>
          <w:sz w:val="30"/>
          <w:szCs w:val="30"/>
          <w:highlight w:val="none"/>
          <w:lang w:val="en-US" w:eastAsia="zh-CN" w:bidi="ar-SA"/>
        </w:rPr>
        <w:t>17</w:t>
      </w:r>
      <w:r>
        <w:rPr>
          <w:rFonts w:hint="eastAsia" w:ascii="宋体" w:hAnsi="宋体" w:eastAsia="宋体" w:cs="宋体"/>
          <w:b/>
          <w:bCs w:val="0"/>
          <w:color w:val="auto"/>
          <w:kern w:val="2"/>
          <w:sz w:val="30"/>
          <w:szCs w:val="30"/>
          <w:highlight w:val="none"/>
          <w:lang w:val="en-US" w:eastAsia="zh-CN" w:bidi="ar-SA"/>
        </w:rPr>
        <w:t>.供应商认为需要提供的其它资料</w:t>
      </w:r>
    </w:p>
    <w:p>
      <w:pPr>
        <w:pStyle w:val="5"/>
        <w:numPr>
          <w:ilvl w:val="0"/>
          <w:numId w:val="0"/>
        </w:numPr>
        <w:rPr>
          <w:rFonts w:hint="eastAsia" w:ascii="宋体" w:hAnsi="宋体" w:eastAsia="宋体" w:cs="宋体"/>
          <w:color w:val="auto"/>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eastAsia="zh-CN"/>
        </w:rPr>
        <w:t>包括但不限于（</w:t>
      </w:r>
      <w:r>
        <w:rPr>
          <w:rFonts w:hint="eastAsia" w:ascii="宋体" w:hAnsi="宋体" w:eastAsia="宋体" w:cs="宋体"/>
          <w:color w:val="auto"/>
          <w:sz w:val="24"/>
          <w:szCs w:val="24"/>
          <w:lang w:eastAsia="zh-CN"/>
        </w:rPr>
        <w:t>具体详见评标标准</w:t>
      </w:r>
      <w:r>
        <w:rPr>
          <w:rFonts w:hint="eastAsia" w:ascii="宋体" w:hAnsi="宋体" w:eastAsia="宋体" w:cs="宋体"/>
          <w:color w:val="auto"/>
          <w:sz w:val="24"/>
          <w:szCs w:val="24"/>
        </w:rPr>
        <w:t>，否则</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专家在评审时将不予采信</w:t>
      </w:r>
      <w:r>
        <w:rPr>
          <w:rFonts w:hint="eastAsia" w:ascii="宋体" w:hAnsi="宋体" w:eastAsia="宋体" w:cs="宋体"/>
          <w:b/>
          <w:bCs/>
          <w:color w:val="auto"/>
          <w:sz w:val="24"/>
          <w:szCs w:val="24"/>
          <w:lang w:eastAsia="zh-CN"/>
        </w:rPr>
        <w:t>）：</w:t>
      </w:r>
    </w:p>
    <w:p>
      <w:pPr>
        <w:spacing w:line="360" w:lineRule="auto"/>
        <w:ind w:right="640"/>
        <w:jc w:val="center"/>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rPr>
        <w:t>投标人认为更有利于此次投标的其它资料</w:t>
      </w:r>
      <w:r>
        <w:rPr>
          <w:rFonts w:hint="eastAsia" w:ascii="宋体" w:hAnsi="宋体" w:eastAsia="宋体" w:cs="宋体"/>
          <w:color w:val="auto"/>
          <w:sz w:val="24"/>
          <w:szCs w:val="24"/>
          <w:lang w:eastAsia="zh-CN"/>
        </w:rPr>
        <w:t>；</w:t>
      </w:r>
    </w:p>
    <w:p>
      <w:pPr>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pStyle w:val="8"/>
        <w:outlineLvl w:val="9"/>
        <w:rPr>
          <w:rFonts w:hint="eastAsia" w:ascii="宋体" w:hAnsi="宋体" w:eastAsia="宋体" w:cs="宋体"/>
          <w:color w:val="auto"/>
          <w:highlight w:val="none"/>
        </w:rPr>
      </w:pPr>
    </w:p>
    <w:p>
      <w:pPr>
        <w:jc w:val="both"/>
        <w:outlineLvl w:val="9"/>
        <w:rPr>
          <w:rFonts w:hint="eastAsia" w:ascii="宋体" w:hAnsi="宋体" w:eastAsia="宋体" w:cs="宋体"/>
          <w:b/>
          <w:bCs/>
          <w:color w:val="auto"/>
          <w:sz w:val="30"/>
          <w:szCs w:val="30"/>
          <w:highlight w:val="none"/>
          <w:lang w:val="en-US" w:eastAsia="zh-CN"/>
        </w:rPr>
      </w:pPr>
    </w:p>
    <w:p>
      <w:pPr>
        <w:pStyle w:val="2"/>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2"/>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2"/>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5"/>
        <w:spacing w:before="336" w:after="336"/>
        <w:ind w:left="105" w:hanging="105"/>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特别注意：</w:t>
      </w:r>
    </w:p>
    <w:p>
      <w:pPr>
        <w:pStyle w:val="8"/>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请各供应商仔细阅读并理解磋商文件的相关说明，严格按照磋商文件要求制作响应文件，如未按要求提供相关材料及承诺，视为不响应竞争性磋商文件，做无效投标处理，</w:t>
      </w:r>
    </w:p>
    <w:p>
      <w:pPr>
        <w:pStyle w:val="8"/>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1、供应商对所附表格中要求的资料和询问应做出肯定的回答。</w:t>
      </w:r>
    </w:p>
    <w:p>
      <w:pPr>
        <w:pStyle w:val="8"/>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2、磋商文件的签字人应保证他所做的声明及对一切问题的回答的真实性和准确。</w:t>
      </w:r>
    </w:p>
    <w:p>
      <w:pPr>
        <w:pStyle w:val="8"/>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3、供应商提供的响应文件将由采购人使用，并据此进行评价和判断，确定供应商的能力。</w:t>
      </w:r>
    </w:p>
    <w:p>
      <w:pPr>
        <w:pStyle w:val="8"/>
        <w:spacing w:after="156"/>
        <w:ind w:left="50"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4、供应商提交的文件将给予保密，但不退还。</w:t>
      </w:r>
    </w:p>
    <w:p>
      <w:pPr>
        <w:pStyle w:val="2"/>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2"/>
        <w:rPr>
          <w:rFonts w:hint="eastAsia" w:ascii="宋体" w:hAnsi="宋体" w:eastAsia="宋体" w:cs="宋体"/>
          <w:b/>
          <w:bCs/>
          <w:color w:val="auto"/>
          <w:sz w:val="30"/>
          <w:szCs w:val="30"/>
          <w:highlight w:val="none"/>
          <w:lang w:val="en-US" w:eastAsia="zh-CN"/>
        </w:rPr>
      </w:pPr>
    </w:p>
    <w:p>
      <w:pPr>
        <w:rPr>
          <w:rFonts w:hint="eastAsia"/>
          <w:color w:val="auto"/>
          <w:lang w:val="en-US" w:eastAsia="zh-CN"/>
        </w:rPr>
      </w:pPr>
    </w:p>
    <w:sectPr>
      <w:headerReference r:id="rId9" w:type="default"/>
      <w:footerReference r:id="rId10" w:type="default"/>
      <w:pgSz w:w="11905" w:h="16838"/>
      <w:pgMar w:top="1440" w:right="1797" w:bottom="1440" w:left="1797" w:header="850"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35</w:t>
                    </w:r>
                    <w:r>
                      <w:fldChar w:fldCharType="end"/>
                    </w:r>
                  </w:p>
                </w:txbxContent>
              </v:textbox>
            </v:shape>
          </w:pict>
        </mc:Fallback>
      </mc:AlternateContent>
    </w:r>
    <w:r>
      <w:rPr>
        <w:lang w:val="zh-CN"/>
      </w:rPr>
      <w:t xml:space="preserve">  </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default"/>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3231F"/>
    <w:multiLevelType w:val="singleLevel"/>
    <w:tmpl w:val="B033231F"/>
    <w:lvl w:ilvl="0" w:tentative="0">
      <w:start w:val="11"/>
      <w:numFmt w:val="decimal"/>
      <w:suff w:val="nothing"/>
      <w:lvlText w:val="%1、"/>
      <w:lvlJc w:val="left"/>
    </w:lvl>
  </w:abstractNum>
  <w:abstractNum w:abstractNumId="1">
    <w:nsid w:val="CB66B541"/>
    <w:multiLevelType w:val="singleLevel"/>
    <w:tmpl w:val="CB66B541"/>
    <w:lvl w:ilvl="0" w:tentative="0">
      <w:start w:val="1"/>
      <w:numFmt w:val="decimal"/>
      <w:lvlText w:val="(%1)"/>
      <w:lvlJc w:val="left"/>
      <w:pPr>
        <w:ind w:left="425" w:hanging="425"/>
      </w:pPr>
      <w:rPr>
        <w:rFonts w:hint="default"/>
      </w:rPr>
    </w:lvl>
  </w:abstractNum>
  <w:abstractNum w:abstractNumId="2">
    <w:nsid w:val="D7A06E69"/>
    <w:multiLevelType w:val="singleLevel"/>
    <w:tmpl w:val="D7A06E69"/>
    <w:lvl w:ilvl="0" w:tentative="0">
      <w:start w:val="3"/>
      <w:numFmt w:val="chineseCounting"/>
      <w:suff w:val="space"/>
      <w:lvlText w:val="第%1章"/>
      <w:lvlJc w:val="left"/>
      <w:rPr>
        <w:rFonts w:hint="eastAsia"/>
      </w:rPr>
    </w:lvl>
  </w:abstractNum>
  <w:abstractNum w:abstractNumId="3">
    <w:nsid w:val="105C7470"/>
    <w:multiLevelType w:val="singleLevel"/>
    <w:tmpl w:val="105C7470"/>
    <w:lvl w:ilvl="0" w:tentative="0">
      <w:start w:val="1"/>
      <w:numFmt w:val="chineseCounting"/>
      <w:suff w:val="space"/>
      <w:lvlText w:val="第%1章"/>
      <w:lvlJc w:val="left"/>
      <w:rPr>
        <w:rFonts w:hint="eastAsia"/>
      </w:rPr>
    </w:lvl>
  </w:abstractNum>
  <w:abstractNum w:abstractNumId="4">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BD48FB7"/>
    <w:multiLevelType w:val="singleLevel"/>
    <w:tmpl w:val="2BD48FB7"/>
    <w:lvl w:ilvl="0" w:tentative="0">
      <w:start w:val="1"/>
      <w:numFmt w:val="decimal"/>
      <w:suff w:val="nothing"/>
      <w:lvlText w:val="%1、"/>
      <w:lvlJc w:val="left"/>
    </w:lvl>
  </w:abstractNum>
  <w:abstractNum w:abstractNumId="6">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YzYwZmE0ZDE2ZmQ5MGMyMDk4MGRhNTAzYjI4ZGQifQ=="/>
  </w:docVars>
  <w:rsids>
    <w:rsidRoot w:val="562A7F8C"/>
    <w:rsid w:val="001709D0"/>
    <w:rsid w:val="002102A4"/>
    <w:rsid w:val="006B390D"/>
    <w:rsid w:val="008764DD"/>
    <w:rsid w:val="00EB2A6A"/>
    <w:rsid w:val="0159301C"/>
    <w:rsid w:val="015A2F03"/>
    <w:rsid w:val="0167761B"/>
    <w:rsid w:val="017B56D8"/>
    <w:rsid w:val="01DC2A3E"/>
    <w:rsid w:val="02682574"/>
    <w:rsid w:val="026A06A9"/>
    <w:rsid w:val="026B50B2"/>
    <w:rsid w:val="026D46FD"/>
    <w:rsid w:val="028C44B2"/>
    <w:rsid w:val="02D23086"/>
    <w:rsid w:val="02F948B2"/>
    <w:rsid w:val="032136EA"/>
    <w:rsid w:val="035A2D65"/>
    <w:rsid w:val="03EA7997"/>
    <w:rsid w:val="03F637F9"/>
    <w:rsid w:val="0437120C"/>
    <w:rsid w:val="0462650F"/>
    <w:rsid w:val="050C225F"/>
    <w:rsid w:val="052D3FE4"/>
    <w:rsid w:val="05551D4C"/>
    <w:rsid w:val="06383B48"/>
    <w:rsid w:val="06B10483"/>
    <w:rsid w:val="06E52171"/>
    <w:rsid w:val="070856F4"/>
    <w:rsid w:val="0719587F"/>
    <w:rsid w:val="073A569E"/>
    <w:rsid w:val="073E68E9"/>
    <w:rsid w:val="074C1DED"/>
    <w:rsid w:val="07C242FF"/>
    <w:rsid w:val="08117958"/>
    <w:rsid w:val="08850056"/>
    <w:rsid w:val="089A68B5"/>
    <w:rsid w:val="08C56734"/>
    <w:rsid w:val="08CA31E9"/>
    <w:rsid w:val="08D47156"/>
    <w:rsid w:val="08E2169E"/>
    <w:rsid w:val="09383E5F"/>
    <w:rsid w:val="093942E6"/>
    <w:rsid w:val="095A3DD5"/>
    <w:rsid w:val="095B4169"/>
    <w:rsid w:val="09D35B05"/>
    <w:rsid w:val="09DA3F01"/>
    <w:rsid w:val="09F676EA"/>
    <w:rsid w:val="0AA74DF8"/>
    <w:rsid w:val="0AA779FC"/>
    <w:rsid w:val="0AE0655C"/>
    <w:rsid w:val="0B387018"/>
    <w:rsid w:val="0B50249F"/>
    <w:rsid w:val="0B8A37E6"/>
    <w:rsid w:val="0C0A52F6"/>
    <w:rsid w:val="0C210272"/>
    <w:rsid w:val="0C2B1A59"/>
    <w:rsid w:val="0C3C4ED9"/>
    <w:rsid w:val="0C434FF4"/>
    <w:rsid w:val="0C5E598A"/>
    <w:rsid w:val="0C803F2C"/>
    <w:rsid w:val="0CBC3F4A"/>
    <w:rsid w:val="0CC50EF3"/>
    <w:rsid w:val="0CD73F43"/>
    <w:rsid w:val="0CE27C09"/>
    <w:rsid w:val="0D673AAC"/>
    <w:rsid w:val="0DA567FA"/>
    <w:rsid w:val="0DC11EEC"/>
    <w:rsid w:val="0DC75B75"/>
    <w:rsid w:val="0E2230B3"/>
    <w:rsid w:val="0E224BE9"/>
    <w:rsid w:val="0E31014F"/>
    <w:rsid w:val="0E345BC0"/>
    <w:rsid w:val="0E611762"/>
    <w:rsid w:val="0E67321C"/>
    <w:rsid w:val="0F03484A"/>
    <w:rsid w:val="0F182F7D"/>
    <w:rsid w:val="0FE92E3B"/>
    <w:rsid w:val="0FF07241"/>
    <w:rsid w:val="10237CB7"/>
    <w:rsid w:val="10396824"/>
    <w:rsid w:val="10407D3F"/>
    <w:rsid w:val="1066305F"/>
    <w:rsid w:val="10B6067D"/>
    <w:rsid w:val="11093DA8"/>
    <w:rsid w:val="111331E7"/>
    <w:rsid w:val="111E3E94"/>
    <w:rsid w:val="112076B2"/>
    <w:rsid w:val="113A263D"/>
    <w:rsid w:val="11462734"/>
    <w:rsid w:val="11DC43DC"/>
    <w:rsid w:val="11DC6897"/>
    <w:rsid w:val="12135DC3"/>
    <w:rsid w:val="12295C3B"/>
    <w:rsid w:val="127C6B6A"/>
    <w:rsid w:val="12D05D18"/>
    <w:rsid w:val="132B1ABC"/>
    <w:rsid w:val="13462C73"/>
    <w:rsid w:val="134868DB"/>
    <w:rsid w:val="135B2C24"/>
    <w:rsid w:val="14FC1FEF"/>
    <w:rsid w:val="150B08E6"/>
    <w:rsid w:val="150C5907"/>
    <w:rsid w:val="15364320"/>
    <w:rsid w:val="15FA4976"/>
    <w:rsid w:val="160447A2"/>
    <w:rsid w:val="16111CBF"/>
    <w:rsid w:val="162278E8"/>
    <w:rsid w:val="163C29C8"/>
    <w:rsid w:val="163F7012"/>
    <w:rsid w:val="165B7F9E"/>
    <w:rsid w:val="166B0E3F"/>
    <w:rsid w:val="169311EC"/>
    <w:rsid w:val="16C831A6"/>
    <w:rsid w:val="172C29AE"/>
    <w:rsid w:val="17481711"/>
    <w:rsid w:val="17E1744C"/>
    <w:rsid w:val="17F25099"/>
    <w:rsid w:val="18320317"/>
    <w:rsid w:val="183D6623"/>
    <w:rsid w:val="187A159E"/>
    <w:rsid w:val="18B43502"/>
    <w:rsid w:val="18D13137"/>
    <w:rsid w:val="19062F7F"/>
    <w:rsid w:val="19235F91"/>
    <w:rsid w:val="19332B35"/>
    <w:rsid w:val="193816C7"/>
    <w:rsid w:val="193F48D0"/>
    <w:rsid w:val="197B677C"/>
    <w:rsid w:val="199F0AAB"/>
    <w:rsid w:val="19A76508"/>
    <w:rsid w:val="19FD1793"/>
    <w:rsid w:val="19FF28E0"/>
    <w:rsid w:val="1AA42578"/>
    <w:rsid w:val="1AC02E15"/>
    <w:rsid w:val="1AD41657"/>
    <w:rsid w:val="1AE5303E"/>
    <w:rsid w:val="1AF271EC"/>
    <w:rsid w:val="1BAB3904"/>
    <w:rsid w:val="1C074B5F"/>
    <w:rsid w:val="1C686DDC"/>
    <w:rsid w:val="1CA84156"/>
    <w:rsid w:val="1CAB0F32"/>
    <w:rsid w:val="1CF05B1D"/>
    <w:rsid w:val="1D411F19"/>
    <w:rsid w:val="1D7902E3"/>
    <w:rsid w:val="1D8A7F05"/>
    <w:rsid w:val="1D910DE4"/>
    <w:rsid w:val="1D9531D6"/>
    <w:rsid w:val="1DD302FB"/>
    <w:rsid w:val="1E053244"/>
    <w:rsid w:val="1E2A5750"/>
    <w:rsid w:val="1E3B0933"/>
    <w:rsid w:val="1E4D0A1C"/>
    <w:rsid w:val="1E9A6699"/>
    <w:rsid w:val="1EDC4AED"/>
    <w:rsid w:val="1EF06916"/>
    <w:rsid w:val="1F4D1FBA"/>
    <w:rsid w:val="1F5C3068"/>
    <w:rsid w:val="1F9749F8"/>
    <w:rsid w:val="1FB042F7"/>
    <w:rsid w:val="20196052"/>
    <w:rsid w:val="203C020F"/>
    <w:rsid w:val="20403220"/>
    <w:rsid w:val="204B23C4"/>
    <w:rsid w:val="20651585"/>
    <w:rsid w:val="207639E7"/>
    <w:rsid w:val="20E93740"/>
    <w:rsid w:val="21607F04"/>
    <w:rsid w:val="21AF47B7"/>
    <w:rsid w:val="21EC4478"/>
    <w:rsid w:val="21FF3314"/>
    <w:rsid w:val="22133536"/>
    <w:rsid w:val="222B5EB7"/>
    <w:rsid w:val="22360A87"/>
    <w:rsid w:val="227D2BB6"/>
    <w:rsid w:val="22DD5403"/>
    <w:rsid w:val="230A637E"/>
    <w:rsid w:val="23230F2C"/>
    <w:rsid w:val="23812740"/>
    <w:rsid w:val="2386564E"/>
    <w:rsid w:val="242029A5"/>
    <w:rsid w:val="24AB50AF"/>
    <w:rsid w:val="24B6699D"/>
    <w:rsid w:val="251A1B58"/>
    <w:rsid w:val="25755DF3"/>
    <w:rsid w:val="260E4558"/>
    <w:rsid w:val="260E7FC9"/>
    <w:rsid w:val="26450CC0"/>
    <w:rsid w:val="279E046E"/>
    <w:rsid w:val="27C61B43"/>
    <w:rsid w:val="27F13B68"/>
    <w:rsid w:val="27F76C9B"/>
    <w:rsid w:val="282B6C11"/>
    <w:rsid w:val="28331991"/>
    <w:rsid w:val="28342D4D"/>
    <w:rsid w:val="28CF3E4A"/>
    <w:rsid w:val="28EE6106"/>
    <w:rsid w:val="28F16B8C"/>
    <w:rsid w:val="29362F86"/>
    <w:rsid w:val="294640EF"/>
    <w:rsid w:val="296970B4"/>
    <w:rsid w:val="296F6FD1"/>
    <w:rsid w:val="297E291D"/>
    <w:rsid w:val="297F2B8F"/>
    <w:rsid w:val="29D735AC"/>
    <w:rsid w:val="29DF65CD"/>
    <w:rsid w:val="2A23727D"/>
    <w:rsid w:val="2A302808"/>
    <w:rsid w:val="2A6A43BB"/>
    <w:rsid w:val="2AC05D36"/>
    <w:rsid w:val="2AF305AC"/>
    <w:rsid w:val="2AF96FA6"/>
    <w:rsid w:val="2B125E66"/>
    <w:rsid w:val="2B367DA6"/>
    <w:rsid w:val="2BA469B4"/>
    <w:rsid w:val="2C11436F"/>
    <w:rsid w:val="2C1D4E6C"/>
    <w:rsid w:val="2C4016BA"/>
    <w:rsid w:val="2C4C0D6A"/>
    <w:rsid w:val="2C546920"/>
    <w:rsid w:val="2C596B02"/>
    <w:rsid w:val="2C6710BB"/>
    <w:rsid w:val="2C8C39F6"/>
    <w:rsid w:val="2CAB0320"/>
    <w:rsid w:val="2CD8378E"/>
    <w:rsid w:val="2CF67110"/>
    <w:rsid w:val="2CF82668"/>
    <w:rsid w:val="2D0A522F"/>
    <w:rsid w:val="2D312F83"/>
    <w:rsid w:val="2D4A5C64"/>
    <w:rsid w:val="2D7822FD"/>
    <w:rsid w:val="2DAA0AE3"/>
    <w:rsid w:val="2DE3464D"/>
    <w:rsid w:val="2DE955A4"/>
    <w:rsid w:val="2E4418F4"/>
    <w:rsid w:val="2E4A4A48"/>
    <w:rsid w:val="2E574658"/>
    <w:rsid w:val="2E8850EF"/>
    <w:rsid w:val="2E944D6F"/>
    <w:rsid w:val="2E9E2416"/>
    <w:rsid w:val="2F3547AB"/>
    <w:rsid w:val="2F50619A"/>
    <w:rsid w:val="2F555E00"/>
    <w:rsid w:val="2F8B0851"/>
    <w:rsid w:val="2FD60E9E"/>
    <w:rsid w:val="30654F90"/>
    <w:rsid w:val="30860F27"/>
    <w:rsid w:val="31A57A34"/>
    <w:rsid w:val="31BA2CDF"/>
    <w:rsid w:val="31DE2CAD"/>
    <w:rsid w:val="31E85B0F"/>
    <w:rsid w:val="31EE7FAA"/>
    <w:rsid w:val="320846B6"/>
    <w:rsid w:val="32883C32"/>
    <w:rsid w:val="32A72C61"/>
    <w:rsid w:val="32AE36C9"/>
    <w:rsid w:val="32B048E2"/>
    <w:rsid w:val="337A66A2"/>
    <w:rsid w:val="33F9677D"/>
    <w:rsid w:val="34014CFA"/>
    <w:rsid w:val="34237336"/>
    <w:rsid w:val="34252DDB"/>
    <w:rsid w:val="353271C8"/>
    <w:rsid w:val="353725BB"/>
    <w:rsid w:val="35591701"/>
    <w:rsid w:val="3588593F"/>
    <w:rsid w:val="362C39B2"/>
    <w:rsid w:val="37486F1C"/>
    <w:rsid w:val="375E6623"/>
    <w:rsid w:val="37C85FF7"/>
    <w:rsid w:val="37FF3F7C"/>
    <w:rsid w:val="381709EA"/>
    <w:rsid w:val="386812B7"/>
    <w:rsid w:val="38AC78FA"/>
    <w:rsid w:val="391A3A8C"/>
    <w:rsid w:val="395A55A8"/>
    <w:rsid w:val="398D703A"/>
    <w:rsid w:val="398F29B1"/>
    <w:rsid w:val="3A08060C"/>
    <w:rsid w:val="3A141377"/>
    <w:rsid w:val="3A5C3116"/>
    <w:rsid w:val="3AC609ED"/>
    <w:rsid w:val="3B390E5C"/>
    <w:rsid w:val="3B7566C9"/>
    <w:rsid w:val="3B8B4C6A"/>
    <w:rsid w:val="3BB645EB"/>
    <w:rsid w:val="3BD93295"/>
    <w:rsid w:val="3C687FDC"/>
    <w:rsid w:val="3C9963E7"/>
    <w:rsid w:val="3CBF558C"/>
    <w:rsid w:val="3CED04E1"/>
    <w:rsid w:val="3D3B6DEA"/>
    <w:rsid w:val="3D807426"/>
    <w:rsid w:val="3DF013CD"/>
    <w:rsid w:val="3ED657B5"/>
    <w:rsid w:val="3EE12F99"/>
    <w:rsid w:val="3F5A4156"/>
    <w:rsid w:val="3FA26E4D"/>
    <w:rsid w:val="40110F35"/>
    <w:rsid w:val="404B7AD8"/>
    <w:rsid w:val="40762ABD"/>
    <w:rsid w:val="40812151"/>
    <w:rsid w:val="40A87283"/>
    <w:rsid w:val="40BC6B48"/>
    <w:rsid w:val="40CB42F5"/>
    <w:rsid w:val="40F57964"/>
    <w:rsid w:val="41026DD9"/>
    <w:rsid w:val="41294845"/>
    <w:rsid w:val="412F10C8"/>
    <w:rsid w:val="414779F7"/>
    <w:rsid w:val="415835B4"/>
    <w:rsid w:val="41A12760"/>
    <w:rsid w:val="41A43131"/>
    <w:rsid w:val="41B20F4B"/>
    <w:rsid w:val="41D53177"/>
    <w:rsid w:val="421F36AF"/>
    <w:rsid w:val="423050F8"/>
    <w:rsid w:val="4286740D"/>
    <w:rsid w:val="42882328"/>
    <w:rsid w:val="42896C0B"/>
    <w:rsid w:val="42A14BDF"/>
    <w:rsid w:val="43207507"/>
    <w:rsid w:val="4364433D"/>
    <w:rsid w:val="436A51DA"/>
    <w:rsid w:val="437400BA"/>
    <w:rsid w:val="437A3B68"/>
    <w:rsid w:val="439711A6"/>
    <w:rsid w:val="43BE20C5"/>
    <w:rsid w:val="43D941C3"/>
    <w:rsid w:val="44011C2D"/>
    <w:rsid w:val="4412096A"/>
    <w:rsid w:val="44D51F86"/>
    <w:rsid w:val="44E5395C"/>
    <w:rsid w:val="453B48F9"/>
    <w:rsid w:val="45407CA5"/>
    <w:rsid w:val="454E3F0A"/>
    <w:rsid w:val="456B1CC4"/>
    <w:rsid w:val="45892246"/>
    <w:rsid w:val="45947D5B"/>
    <w:rsid w:val="46230960"/>
    <w:rsid w:val="46326F64"/>
    <w:rsid w:val="46404F54"/>
    <w:rsid w:val="4695351C"/>
    <w:rsid w:val="469745E4"/>
    <w:rsid w:val="469750EF"/>
    <w:rsid w:val="46D33DC6"/>
    <w:rsid w:val="46D651B3"/>
    <w:rsid w:val="46DD20EA"/>
    <w:rsid w:val="46F33E69"/>
    <w:rsid w:val="474F720D"/>
    <w:rsid w:val="476A7BFA"/>
    <w:rsid w:val="477566A4"/>
    <w:rsid w:val="477A6F54"/>
    <w:rsid w:val="479539D4"/>
    <w:rsid w:val="47AB54FA"/>
    <w:rsid w:val="47E0660A"/>
    <w:rsid w:val="48021352"/>
    <w:rsid w:val="480A2692"/>
    <w:rsid w:val="481A666F"/>
    <w:rsid w:val="4883391C"/>
    <w:rsid w:val="490A4796"/>
    <w:rsid w:val="495B43A7"/>
    <w:rsid w:val="495C6361"/>
    <w:rsid w:val="497B39EA"/>
    <w:rsid w:val="49941E2F"/>
    <w:rsid w:val="4A4215A5"/>
    <w:rsid w:val="4A7A1352"/>
    <w:rsid w:val="4A7A7E0A"/>
    <w:rsid w:val="4A810B41"/>
    <w:rsid w:val="4AC91857"/>
    <w:rsid w:val="4AC92FA7"/>
    <w:rsid w:val="4AFE29E5"/>
    <w:rsid w:val="4B141867"/>
    <w:rsid w:val="4B3D4425"/>
    <w:rsid w:val="4B4E2A92"/>
    <w:rsid w:val="4B5333AE"/>
    <w:rsid w:val="4B6C333C"/>
    <w:rsid w:val="4BD56D10"/>
    <w:rsid w:val="4BF40E3E"/>
    <w:rsid w:val="4C191E51"/>
    <w:rsid w:val="4C1E305B"/>
    <w:rsid w:val="4C39311D"/>
    <w:rsid w:val="4CA40A92"/>
    <w:rsid w:val="4CAA6BB8"/>
    <w:rsid w:val="4CC814AE"/>
    <w:rsid w:val="4D4569D0"/>
    <w:rsid w:val="4D62111E"/>
    <w:rsid w:val="4D697D65"/>
    <w:rsid w:val="4D7B33A4"/>
    <w:rsid w:val="4D9A6AF7"/>
    <w:rsid w:val="4DA33313"/>
    <w:rsid w:val="4DD70B1D"/>
    <w:rsid w:val="4E065B01"/>
    <w:rsid w:val="4E3D66C3"/>
    <w:rsid w:val="4E71109E"/>
    <w:rsid w:val="4E8D3B81"/>
    <w:rsid w:val="4EAC3D58"/>
    <w:rsid w:val="4ECC64F1"/>
    <w:rsid w:val="4EF32435"/>
    <w:rsid w:val="4F4122A3"/>
    <w:rsid w:val="4F50502B"/>
    <w:rsid w:val="4F912F4E"/>
    <w:rsid w:val="4FA15F89"/>
    <w:rsid w:val="4FB3211C"/>
    <w:rsid w:val="4FB40A26"/>
    <w:rsid w:val="4FCC21D8"/>
    <w:rsid w:val="50085EFE"/>
    <w:rsid w:val="501F0559"/>
    <w:rsid w:val="503D798F"/>
    <w:rsid w:val="504B134F"/>
    <w:rsid w:val="50545D49"/>
    <w:rsid w:val="50566012"/>
    <w:rsid w:val="50B11AF9"/>
    <w:rsid w:val="51074484"/>
    <w:rsid w:val="511D2CEB"/>
    <w:rsid w:val="515E4ECF"/>
    <w:rsid w:val="51874DAF"/>
    <w:rsid w:val="51CE7817"/>
    <w:rsid w:val="52225B87"/>
    <w:rsid w:val="522307D5"/>
    <w:rsid w:val="5250430D"/>
    <w:rsid w:val="527077C5"/>
    <w:rsid w:val="527904B0"/>
    <w:rsid w:val="52A511EA"/>
    <w:rsid w:val="52CA29FF"/>
    <w:rsid w:val="52F7761E"/>
    <w:rsid w:val="5310474C"/>
    <w:rsid w:val="531E1297"/>
    <w:rsid w:val="5359231A"/>
    <w:rsid w:val="53D201AA"/>
    <w:rsid w:val="53DA1367"/>
    <w:rsid w:val="540D249E"/>
    <w:rsid w:val="54272972"/>
    <w:rsid w:val="542F58CA"/>
    <w:rsid w:val="54393681"/>
    <w:rsid w:val="54415B3F"/>
    <w:rsid w:val="54851C81"/>
    <w:rsid w:val="548E7A76"/>
    <w:rsid w:val="54B70C4B"/>
    <w:rsid w:val="54F6197A"/>
    <w:rsid w:val="5520724E"/>
    <w:rsid w:val="552E5A45"/>
    <w:rsid w:val="5568601F"/>
    <w:rsid w:val="558C3776"/>
    <w:rsid w:val="55BF3C5C"/>
    <w:rsid w:val="55D9487A"/>
    <w:rsid w:val="55EC0C4B"/>
    <w:rsid w:val="560F0609"/>
    <w:rsid w:val="562969FC"/>
    <w:rsid w:val="562A7F8C"/>
    <w:rsid w:val="56462975"/>
    <w:rsid w:val="565A420A"/>
    <w:rsid w:val="5689497F"/>
    <w:rsid w:val="56C0247C"/>
    <w:rsid w:val="56C14289"/>
    <w:rsid w:val="57233025"/>
    <w:rsid w:val="5726041F"/>
    <w:rsid w:val="572B430E"/>
    <w:rsid w:val="572F5217"/>
    <w:rsid w:val="5739015C"/>
    <w:rsid w:val="57882E88"/>
    <w:rsid w:val="5799049A"/>
    <w:rsid w:val="58135565"/>
    <w:rsid w:val="58552FA4"/>
    <w:rsid w:val="5870229A"/>
    <w:rsid w:val="58782BD5"/>
    <w:rsid w:val="58A72C94"/>
    <w:rsid w:val="58FE78A6"/>
    <w:rsid w:val="58FF717A"/>
    <w:rsid w:val="590E45F0"/>
    <w:rsid w:val="59710010"/>
    <w:rsid w:val="59BB7545"/>
    <w:rsid w:val="59D54CCE"/>
    <w:rsid w:val="5A1D6510"/>
    <w:rsid w:val="5AC4701D"/>
    <w:rsid w:val="5AC76EF3"/>
    <w:rsid w:val="5AC778C6"/>
    <w:rsid w:val="5B36565B"/>
    <w:rsid w:val="5B6B4F9B"/>
    <w:rsid w:val="5B935A55"/>
    <w:rsid w:val="5C6519EA"/>
    <w:rsid w:val="5C9122C7"/>
    <w:rsid w:val="5C9E1265"/>
    <w:rsid w:val="5C9F2273"/>
    <w:rsid w:val="5CA16240"/>
    <w:rsid w:val="5CA27028"/>
    <w:rsid w:val="5CB509FE"/>
    <w:rsid w:val="5D8A5C57"/>
    <w:rsid w:val="5DAD0036"/>
    <w:rsid w:val="5E305A39"/>
    <w:rsid w:val="5EC3487F"/>
    <w:rsid w:val="5EE55A30"/>
    <w:rsid w:val="5F0B3163"/>
    <w:rsid w:val="5F150FC9"/>
    <w:rsid w:val="5F2F20B1"/>
    <w:rsid w:val="5F3C2ED6"/>
    <w:rsid w:val="5F815C47"/>
    <w:rsid w:val="5F8A3AFF"/>
    <w:rsid w:val="5FAD406B"/>
    <w:rsid w:val="5FCA54A8"/>
    <w:rsid w:val="5FDC6F72"/>
    <w:rsid w:val="605007E5"/>
    <w:rsid w:val="60900E16"/>
    <w:rsid w:val="60A06F3C"/>
    <w:rsid w:val="610D33D4"/>
    <w:rsid w:val="61133E1C"/>
    <w:rsid w:val="618C6696"/>
    <w:rsid w:val="61AD6F5F"/>
    <w:rsid w:val="61B229C5"/>
    <w:rsid w:val="61CB0541"/>
    <w:rsid w:val="620654F7"/>
    <w:rsid w:val="621771F3"/>
    <w:rsid w:val="62315E81"/>
    <w:rsid w:val="623F5A0E"/>
    <w:rsid w:val="625473BB"/>
    <w:rsid w:val="63090C47"/>
    <w:rsid w:val="63373080"/>
    <w:rsid w:val="635F53E5"/>
    <w:rsid w:val="63E95FE4"/>
    <w:rsid w:val="63EC5FEE"/>
    <w:rsid w:val="63F55E58"/>
    <w:rsid w:val="643A340B"/>
    <w:rsid w:val="64430863"/>
    <w:rsid w:val="64507A64"/>
    <w:rsid w:val="64836C73"/>
    <w:rsid w:val="65156747"/>
    <w:rsid w:val="65293A1E"/>
    <w:rsid w:val="65312228"/>
    <w:rsid w:val="656A1E1F"/>
    <w:rsid w:val="65713EE3"/>
    <w:rsid w:val="65B82D44"/>
    <w:rsid w:val="66073FA5"/>
    <w:rsid w:val="665A1E94"/>
    <w:rsid w:val="667C1E0A"/>
    <w:rsid w:val="66C23A0D"/>
    <w:rsid w:val="66F91D94"/>
    <w:rsid w:val="672D1422"/>
    <w:rsid w:val="67613F05"/>
    <w:rsid w:val="67672ABA"/>
    <w:rsid w:val="67902011"/>
    <w:rsid w:val="67EE1AA4"/>
    <w:rsid w:val="67F15564"/>
    <w:rsid w:val="68633A22"/>
    <w:rsid w:val="68B91067"/>
    <w:rsid w:val="68CA296D"/>
    <w:rsid w:val="69201631"/>
    <w:rsid w:val="693115D2"/>
    <w:rsid w:val="69497468"/>
    <w:rsid w:val="69635503"/>
    <w:rsid w:val="69AE2D01"/>
    <w:rsid w:val="69BF0D46"/>
    <w:rsid w:val="69E06B54"/>
    <w:rsid w:val="69FF522C"/>
    <w:rsid w:val="6A192BBD"/>
    <w:rsid w:val="6A2C3B47"/>
    <w:rsid w:val="6A84490C"/>
    <w:rsid w:val="6AE1388A"/>
    <w:rsid w:val="6B44040B"/>
    <w:rsid w:val="6B676E2D"/>
    <w:rsid w:val="6BC61B26"/>
    <w:rsid w:val="6C2E1DF8"/>
    <w:rsid w:val="6C6455FC"/>
    <w:rsid w:val="6C7A5A27"/>
    <w:rsid w:val="6C942977"/>
    <w:rsid w:val="6CDE55CC"/>
    <w:rsid w:val="6CDE7F2B"/>
    <w:rsid w:val="6D25480D"/>
    <w:rsid w:val="6D38300F"/>
    <w:rsid w:val="6D40407E"/>
    <w:rsid w:val="6D543AE1"/>
    <w:rsid w:val="6DA70DDE"/>
    <w:rsid w:val="6DFA54F2"/>
    <w:rsid w:val="6E0E1D04"/>
    <w:rsid w:val="6E162CF4"/>
    <w:rsid w:val="6E786D28"/>
    <w:rsid w:val="6EB365E5"/>
    <w:rsid w:val="6ED137D9"/>
    <w:rsid w:val="6EE113A4"/>
    <w:rsid w:val="6F656ED8"/>
    <w:rsid w:val="6F706EB8"/>
    <w:rsid w:val="6F7275A2"/>
    <w:rsid w:val="6F8C5177"/>
    <w:rsid w:val="6F9F54A8"/>
    <w:rsid w:val="6FE949B4"/>
    <w:rsid w:val="70264B58"/>
    <w:rsid w:val="70476728"/>
    <w:rsid w:val="705E388D"/>
    <w:rsid w:val="706D4930"/>
    <w:rsid w:val="70955189"/>
    <w:rsid w:val="71557E27"/>
    <w:rsid w:val="716534DB"/>
    <w:rsid w:val="719A4140"/>
    <w:rsid w:val="72055DFE"/>
    <w:rsid w:val="722C2936"/>
    <w:rsid w:val="72E1371D"/>
    <w:rsid w:val="73094156"/>
    <w:rsid w:val="738B796F"/>
    <w:rsid w:val="73A51D13"/>
    <w:rsid w:val="73D809E1"/>
    <w:rsid w:val="73E6120B"/>
    <w:rsid w:val="7410790B"/>
    <w:rsid w:val="74153B95"/>
    <w:rsid w:val="7488316A"/>
    <w:rsid w:val="74956EB9"/>
    <w:rsid w:val="752E0B23"/>
    <w:rsid w:val="753777CB"/>
    <w:rsid w:val="755F25E1"/>
    <w:rsid w:val="7561071A"/>
    <w:rsid w:val="756C40D1"/>
    <w:rsid w:val="757C6CA5"/>
    <w:rsid w:val="758D6003"/>
    <w:rsid w:val="75F4354A"/>
    <w:rsid w:val="76260573"/>
    <w:rsid w:val="762A3631"/>
    <w:rsid w:val="76404C02"/>
    <w:rsid w:val="767D4479"/>
    <w:rsid w:val="768D1F2A"/>
    <w:rsid w:val="772A05B7"/>
    <w:rsid w:val="772E4591"/>
    <w:rsid w:val="773F135E"/>
    <w:rsid w:val="775C1833"/>
    <w:rsid w:val="77711576"/>
    <w:rsid w:val="77943A8C"/>
    <w:rsid w:val="779C7CB1"/>
    <w:rsid w:val="77A47ED0"/>
    <w:rsid w:val="77B95D12"/>
    <w:rsid w:val="780222F2"/>
    <w:rsid w:val="782D126E"/>
    <w:rsid w:val="78337FEA"/>
    <w:rsid w:val="783E034C"/>
    <w:rsid w:val="784C3D32"/>
    <w:rsid w:val="786E011D"/>
    <w:rsid w:val="79741FA4"/>
    <w:rsid w:val="799F6CA3"/>
    <w:rsid w:val="7A0702F5"/>
    <w:rsid w:val="7A3B2DFB"/>
    <w:rsid w:val="7ACB0136"/>
    <w:rsid w:val="7AEF46D7"/>
    <w:rsid w:val="7AFC10FC"/>
    <w:rsid w:val="7B0D1441"/>
    <w:rsid w:val="7B424295"/>
    <w:rsid w:val="7B547D85"/>
    <w:rsid w:val="7B9B6EAF"/>
    <w:rsid w:val="7BC166F1"/>
    <w:rsid w:val="7C043DAD"/>
    <w:rsid w:val="7C4104B9"/>
    <w:rsid w:val="7C7C44BA"/>
    <w:rsid w:val="7C8415C1"/>
    <w:rsid w:val="7CCE160F"/>
    <w:rsid w:val="7CEA232C"/>
    <w:rsid w:val="7D7B4C19"/>
    <w:rsid w:val="7D9B04C6"/>
    <w:rsid w:val="7DB05507"/>
    <w:rsid w:val="7DD07777"/>
    <w:rsid w:val="7DDA1DE0"/>
    <w:rsid w:val="7DE7105B"/>
    <w:rsid w:val="7E3B1D74"/>
    <w:rsid w:val="7E4016A1"/>
    <w:rsid w:val="7E42291F"/>
    <w:rsid w:val="7EA33A11"/>
    <w:rsid w:val="7EA9540C"/>
    <w:rsid w:val="7ED226A6"/>
    <w:rsid w:val="7ED32EFE"/>
    <w:rsid w:val="7F032C71"/>
    <w:rsid w:val="7F4272AF"/>
    <w:rsid w:val="7F8853F6"/>
    <w:rsid w:val="7F96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7">
    <w:name w:val="table of authorities"/>
    <w:basedOn w:val="1"/>
    <w:next w:val="1"/>
    <w:unhideWhenUsed/>
    <w:qFormat/>
    <w:uiPriority w:val="99"/>
    <w:pPr>
      <w:ind w:left="420" w:leftChars="200"/>
    </w:pPr>
  </w:style>
  <w:style w:type="paragraph" w:styleId="8">
    <w:name w:val="Normal Indent"/>
    <w:basedOn w:val="1"/>
    <w:next w:val="1"/>
    <w:qFormat/>
    <w:uiPriority w:val="0"/>
    <w:pPr>
      <w:ind w:firstLine="420" w:firstLineChars="200"/>
    </w:pPr>
    <w:rPr>
      <w:szCs w:val="24"/>
    </w:rPr>
  </w:style>
  <w:style w:type="paragraph" w:styleId="9">
    <w:name w:val="Body Text"/>
    <w:basedOn w:val="1"/>
    <w:next w:val="1"/>
    <w:qFormat/>
    <w:uiPriority w:val="0"/>
    <w:rPr>
      <w:rFonts w:ascii="Arial" w:hAnsi="Arial"/>
      <w:sz w:val="24"/>
    </w:rPr>
  </w:style>
  <w:style w:type="paragraph" w:styleId="10">
    <w:name w:val="Body Text Indent"/>
    <w:basedOn w:val="1"/>
    <w:next w:val="6"/>
    <w:qFormat/>
    <w:uiPriority w:val="0"/>
    <w:pPr>
      <w:ind w:firstLine="480"/>
    </w:pPr>
    <w:rPr>
      <w:rFonts w:ascii="宋体" w:hAnsi="宋体"/>
      <w:sz w:val="24"/>
    </w:rPr>
  </w:style>
  <w:style w:type="paragraph" w:styleId="11">
    <w:name w:val="Date"/>
    <w:basedOn w:val="1"/>
    <w:next w:val="1"/>
    <w:qFormat/>
    <w:uiPriority w:val="0"/>
    <w:pPr>
      <w:ind w:left="100" w:leftChars="2500"/>
    </w:pPr>
  </w:style>
  <w:style w:type="paragraph" w:styleId="12">
    <w:name w:val="footer"/>
    <w:basedOn w:val="1"/>
    <w:next w:val="1"/>
    <w:qFormat/>
    <w:uiPriority w:val="99"/>
    <w:pPr>
      <w:tabs>
        <w:tab w:val="center" w:pos="4153"/>
        <w:tab w:val="right" w:pos="8306"/>
      </w:tabs>
      <w:snapToGrid w:val="0"/>
      <w:jc w:val="left"/>
    </w:pPr>
    <w:rPr>
      <w:sz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style>
  <w:style w:type="paragraph" w:styleId="15">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6">
    <w:name w:val="footnote text"/>
    <w:basedOn w:val="1"/>
    <w:qFormat/>
    <w:uiPriority w:val="0"/>
    <w:pPr>
      <w:snapToGrid w:val="0"/>
      <w:jc w:val="left"/>
    </w:pPr>
    <w:rPr>
      <w:sz w:val="18"/>
    </w:rPr>
  </w:style>
  <w:style w:type="paragraph" w:styleId="17">
    <w:name w:val="Normal (Web)"/>
    <w:basedOn w:val="1"/>
    <w:next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8">
    <w:name w:val="Body Text First Indent"/>
    <w:basedOn w:val="9"/>
    <w:qFormat/>
    <w:uiPriority w:val="0"/>
    <w:pPr>
      <w:spacing w:after="120"/>
      <w:ind w:firstLine="420" w:firstLineChars="100"/>
    </w:pPr>
    <w:rPr>
      <w:rFonts w:eastAsia="宋体"/>
    </w:rPr>
  </w:style>
  <w:style w:type="paragraph" w:styleId="19">
    <w:name w:val="Body Text First Indent 2"/>
    <w:basedOn w:val="10"/>
    <w:next w:val="1"/>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99"/>
    <w:rPr>
      <w:color w:val="000000"/>
      <w:u w:val="none"/>
    </w:rPr>
  </w:style>
  <w:style w:type="paragraph" w:customStyle="1" w:styleId="2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_Style 1"/>
    <w:qFormat/>
    <w:uiPriority w:val="0"/>
    <w:pPr>
      <w:widowControl w:val="0"/>
      <w:jc w:val="both"/>
    </w:pPr>
    <w:rPr>
      <w:rFonts w:ascii="Calibri" w:hAnsi="Calibri" w:eastAsia="宋体" w:cs="Times New Roman"/>
      <w:kern w:val="2"/>
      <w:sz w:val="21"/>
      <w:szCs w:val="22"/>
    </w:rPr>
  </w:style>
  <w:style w:type="paragraph" w:customStyle="1" w:styleId="27">
    <w:name w:val="正文首行缩进 21"/>
    <w:basedOn w:val="28"/>
    <w:qFormat/>
    <w:uiPriority w:val="0"/>
    <w:pPr>
      <w:ind w:firstLine="420" w:firstLineChars="200"/>
    </w:pPr>
  </w:style>
  <w:style w:type="paragraph" w:customStyle="1" w:styleId="28">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29">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30">
    <w:name w:val="NormalCharacter"/>
    <w:semiHidden/>
    <w:qFormat/>
    <w:uiPriority w:val="0"/>
  </w:style>
  <w:style w:type="paragraph" w:customStyle="1" w:styleId="31">
    <w:name w:val="1正文"/>
    <w:basedOn w:val="1"/>
    <w:qFormat/>
    <w:uiPriority w:val="0"/>
    <w:pPr>
      <w:ind w:left="-38"/>
      <w:textAlignment w:val="baseline"/>
    </w:pPr>
    <w:rPr>
      <w:rFonts w:ascii="宋体" w:hAnsi="宋体"/>
      <w:kern w:val="0"/>
      <w:sz w:val="24"/>
      <w:szCs w:val="20"/>
    </w:rPr>
  </w:style>
  <w:style w:type="paragraph" w:customStyle="1" w:styleId="32">
    <w:name w:val="列表_0"/>
    <w:basedOn w:val="33"/>
    <w:qFormat/>
    <w:uiPriority w:val="0"/>
    <w:pPr>
      <w:spacing w:afterAutospacing="1" w:line="360" w:lineRule="auto"/>
      <w:jc w:val="center"/>
    </w:pPr>
    <w:rPr>
      <w:rFonts w:ascii="宋体" w:hAnsi="宋体"/>
      <w:b/>
      <w:bCs/>
      <w:sz w:val="28"/>
      <w:szCs w:val="28"/>
    </w:rPr>
  </w:style>
  <w:style w:type="paragraph" w:customStyle="1" w:styleId="33">
    <w:name w:val="正文_15_0"/>
    <w:basedOn w:val="34"/>
    <w:next w:val="32"/>
    <w:qFormat/>
    <w:uiPriority w:val="0"/>
    <w:rPr>
      <w:rFonts w:ascii="Times New Roman" w:hAnsi="Times New Roman"/>
      <w:szCs w:val="21"/>
    </w:rPr>
  </w:style>
  <w:style w:type="paragraph" w:customStyle="1" w:styleId="34">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10_0"/>
    <w:basedOn w:val="22"/>
    <w:qFormat/>
    <w:uiPriority w:val="0"/>
    <w:rPr>
      <w:rFonts w:ascii="Times New Roman" w:hAnsi="Times New Roman" w:eastAsia="宋体" w:cs="Times New Roman"/>
    </w:rPr>
  </w:style>
  <w:style w:type="paragraph" w:customStyle="1" w:styleId="36">
    <w:name w:val="标题 3 + 宋体"/>
    <w:basedOn w:val="4"/>
    <w:qFormat/>
    <w:uiPriority w:val="0"/>
    <w:pPr>
      <w:spacing w:line="415" w:lineRule="auto"/>
      <w:jc w:val="both"/>
    </w:pPr>
    <w:rPr>
      <w:rFonts w:ascii="宋体" w:hAnsi="宋体" w:cs="Arial"/>
      <w:kern w:val="0"/>
      <w:sz w:val="28"/>
    </w:rPr>
  </w:style>
  <w:style w:type="paragraph" w:customStyle="1" w:styleId="37">
    <w:name w:val="Table Paragraph"/>
    <w:basedOn w:val="1"/>
    <w:qFormat/>
    <w:uiPriority w:val="1"/>
    <w:pPr>
      <w:jc w:val="center"/>
    </w:pPr>
    <w:rPr>
      <w:rFonts w:ascii="宋体" w:hAnsi="宋体" w:eastAsia="宋体" w:cs="宋体"/>
      <w:lang w:val="zh-CN" w:eastAsia="zh-CN" w:bidi="zh-CN"/>
    </w:rPr>
  </w:style>
  <w:style w:type="paragraph" w:customStyle="1" w:styleId="38">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font01"/>
    <w:basedOn w:val="22"/>
    <w:qFormat/>
    <w:uiPriority w:val="0"/>
    <w:rPr>
      <w:rFonts w:hint="eastAsia" w:ascii="宋体" w:hAnsi="宋体" w:eastAsia="宋体" w:cs="宋体"/>
      <w:color w:val="000000"/>
      <w:sz w:val="22"/>
      <w:szCs w:val="22"/>
      <w:u w:val="none"/>
    </w:rPr>
  </w:style>
  <w:style w:type="character" w:customStyle="1" w:styleId="40">
    <w:name w:val="font41"/>
    <w:basedOn w:val="22"/>
    <w:qFormat/>
    <w:uiPriority w:val="0"/>
    <w:rPr>
      <w:rFonts w:ascii="Tahoma" w:hAnsi="Tahoma" w:eastAsia="Tahoma" w:cs="Tahoma"/>
      <w:color w:val="808080"/>
      <w:sz w:val="24"/>
      <w:szCs w:val="24"/>
      <w:u w:val="none"/>
    </w:rPr>
  </w:style>
  <w:style w:type="character" w:customStyle="1" w:styleId="41">
    <w:name w:val="font21"/>
    <w:basedOn w:val="22"/>
    <w:qFormat/>
    <w:uiPriority w:val="0"/>
    <w:rPr>
      <w:rFonts w:hint="eastAsia" w:ascii="宋体" w:hAnsi="宋体" w:eastAsia="宋体" w:cs="宋体"/>
      <w:color w:val="666666"/>
      <w:sz w:val="24"/>
      <w:szCs w:val="24"/>
      <w:u w:val="none"/>
    </w:rPr>
  </w:style>
  <w:style w:type="character" w:customStyle="1" w:styleId="42">
    <w:name w:val="font51"/>
    <w:basedOn w:val="22"/>
    <w:qFormat/>
    <w:uiPriority w:val="0"/>
    <w:rPr>
      <w:rFonts w:hint="eastAsia" w:ascii="宋体" w:hAnsi="宋体" w:eastAsia="宋体" w:cs="宋体"/>
      <w:color w:val="808080"/>
      <w:sz w:val="24"/>
      <w:szCs w:val="24"/>
      <w:u w:val="none"/>
    </w:rPr>
  </w:style>
  <w:style w:type="paragraph" w:customStyle="1" w:styleId="43">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44">
    <w:name w:val="Other|2"/>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45">
    <w:name w:val="p0"/>
    <w:basedOn w:val="1"/>
    <w:qFormat/>
    <w:uiPriority w:val="0"/>
    <w:pPr>
      <w:widowControl/>
      <w:jc w:val="left"/>
    </w:pPr>
    <w:rPr>
      <w:kern w:val="0"/>
      <w:szCs w:val="21"/>
    </w:rPr>
  </w:style>
  <w:style w:type="character" w:customStyle="1" w:styleId="46">
    <w:name w:val="font91"/>
    <w:basedOn w:val="22"/>
    <w:qFormat/>
    <w:uiPriority w:val="0"/>
    <w:rPr>
      <w:rFonts w:hint="eastAsia" w:ascii="宋体" w:hAnsi="宋体" w:eastAsia="宋体" w:cs="宋体"/>
      <w:color w:val="000000"/>
      <w:sz w:val="20"/>
      <w:szCs w:val="20"/>
      <w:u w:val="none"/>
    </w:rPr>
  </w:style>
  <w:style w:type="character" w:customStyle="1" w:styleId="47">
    <w:name w:val="font61"/>
    <w:basedOn w:val="22"/>
    <w:qFormat/>
    <w:uiPriority w:val="0"/>
    <w:rPr>
      <w:rFonts w:hint="eastAsia" w:ascii="宋体" w:hAnsi="宋体" w:eastAsia="宋体" w:cs="宋体"/>
      <w:color w:val="000000"/>
      <w:sz w:val="20"/>
      <w:szCs w:val="20"/>
      <w:u w:val="none"/>
    </w:rPr>
  </w:style>
  <w:style w:type="paragraph" w:customStyle="1" w:styleId="48">
    <w:name w:val="样式"/>
    <w:next w:val="2"/>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Char Char Char Char"/>
    <w:basedOn w:val="1"/>
    <w:qFormat/>
    <w:uiPriority w:val="0"/>
    <w:rPr>
      <w:szCs w:val="21"/>
    </w:r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2">
    <w:name w:val="List Paragraph"/>
    <w:basedOn w:val="1"/>
    <w:qFormat/>
    <w:uiPriority w:val="1"/>
    <w:pPr>
      <w:ind w:left="106" w:hanging="301"/>
    </w:pPr>
    <w:rPr>
      <w:rFonts w:ascii="宋体" w:hAnsi="宋体" w:eastAsia="宋体" w:cs="宋体"/>
      <w:lang w:val="zh-CN" w:eastAsia="zh-CN" w:bidi="zh-CN"/>
    </w:rPr>
  </w:style>
  <w:style w:type="paragraph" w:customStyle="1" w:styleId="53">
    <w:name w:val="正文文本_1_0"/>
    <w:basedOn w:val="54"/>
    <w:unhideWhenUsed/>
    <w:qFormat/>
    <w:uiPriority w:val="0"/>
    <w:rPr>
      <w:rFonts w:ascii="Calibri" w:hAnsi="Calibri" w:eastAsia="黑体" w:cs="Times New Roman"/>
      <w:sz w:val="36"/>
    </w:rPr>
  </w:style>
  <w:style w:type="paragraph" w:customStyle="1" w:styleId="54">
    <w:name w:val="正文_2_0"/>
    <w:next w:val="55"/>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5">
    <w:name w:val="表格文字_1_0"/>
    <w:basedOn w:val="54"/>
    <w:qFormat/>
    <w:uiPriority w:val="0"/>
    <w:pPr>
      <w:adjustRightInd w:val="0"/>
      <w:spacing w:line="420" w:lineRule="atLeast"/>
      <w:jc w:val="left"/>
    </w:pPr>
    <w:rPr>
      <w:rFonts w:ascii="Calibri" w:hAnsi="Calibri" w:eastAsia="宋体" w:cs="Times New Roman"/>
      <w:kern w:val="0"/>
      <w:szCs w:val="20"/>
    </w:rPr>
  </w:style>
  <w:style w:type="paragraph" w:customStyle="1" w:styleId="56">
    <w:name w:val="索引 11"/>
    <w:basedOn w:val="1"/>
    <w:next w:val="1"/>
    <w:qFormat/>
    <w:uiPriority w:val="0"/>
    <w:pPr>
      <w:spacing w:line="360" w:lineRule="auto"/>
    </w:pPr>
    <w:rPr>
      <w:rFonts w:ascii="仿宋_GB2312" w:eastAsia="仿宋_GB2312"/>
      <w:sz w:val="24"/>
      <w:szCs w:val="20"/>
    </w:rPr>
  </w:style>
  <w:style w:type="paragraph" w:customStyle="1" w:styleId="57">
    <w:name w:val="纯文本1"/>
    <w:basedOn w:val="1"/>
    <w:qFormat/>
    <w:uiPriority w:val="0"/>
    <w:rPr>
      <w:rFonts w:ascii="宋体" w:hAnsi="Courier New"/>
      <w:kern w:val="0"/>
      <w:sz w:val="20"/>
      <w:szCs w:val="20"/>
    </w:rPr>
  </w:style>
  <w:style w:type="paragraph" w:customStyle="1" w:styleId="5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30336</Words>
  <Characters>32547</Characters>
  <Lines>0</Lines>
  <Paragraphs>0</Paragraphs>
  <TotalTime>0</TotalTime>
  <ScaleCrop>false</ScaleCrop>
  <LinksUpToDate>false</LinksUpToDate>
  <CharactersWithSpaces>36844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2021-12-16T04:49:00Z</dcterms:created>
  <dc:creator>哈呆</dc:creator>
  <cp:lastModifiedBy>呆呆周</cp:lastModifiedBy>
  <dcterms:modified xsi:type="dcterms:W3CDTF">2023-06-01T04:31:39Z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318B7F3E5ECF4236904B7E738B94B68F_13</vt:lpwstr>
  </property>
</Properties>
</file>