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52"/>
          <w:szCs w:val="52"/>
          <w:highlight w:val="none"/>
          <w:lang w:val="en-US" w:eastAsia="zh-CN"/>
        </w:rPr>
      </w:pPr>
      <w:bookmarkStart w:id="0" w:name="_Toc267301280"/>
      <w:bookmarkStart w:id="1" w:name="_Toc349573119"/>
      <w:bookmarkStart w:id="2" w:name="_Toc20015"/>
      <w:bookmarkStart w:id="3" w:name="_Toc298240403"/>
      <w:bookmarkStart w:id="4" w:name="_Toc527642950"/>
      <w:bookmarkStart w:id="5" w:name="_Toc349637918"/>
    </w:p>
    <w:p>
      <w:pPr>
        <w:pStyle w:val="2"/>
        <w:rPr>
          <w:rFonts w:hint="eastAsia" w:ascii="宋体" w:hAnsi="宋体" w:cs="宋体"/>
          <w:b/>
          <w:bCs/>
          <w:color w:val="auto"/>
          <w:sz w:val="52"/>
          <w:szCs w:val="52"/>
          <w:highlight w:val="none"/>
          <w:lang w:val="en-US" w:eastAsia="zh-CN"/>
        </w:rPr>
      </w:pPr>
    </w:p>
    <w:p>
      <w:pPr>
        <w:rPr>
          <w:rFonts w:hint="eastAsia"/>
          <w:color w:val="auto"/>
          <w:highlight w:val="none"/>
          <w:lang w:val="en-US" w:eastAsia="zh-CN"/>
        </w:rPr>
      </w:pPr>
    </w:p>
    <w:p>
      <w:pPr>
        <w:jc w:val="center"/>
        <w:outlineLvl w:val="0"/>
        <w:rPr>
          <w:rFonts w:hint="default"/>
          <w:color w:val="auto"/>
          <w:sz w:val="16"/>
          <w:szCs w:val="20"/>
          <w:highlight w:val="none"/>
          <w:lang w:val="en-US"/>
        </w:rPr>
      </w:pPr>
      <w:r>
        <w:rPr>
          <w:rFonts w:hint="eastAsia"/>
          <w:b/>
          <w:bCs/>
          <w:color w:val="auto"/>
          <w:sz w:val="60"/>
          <w:szCs w:val="60"/>
          <w:highlight w:val="none"/>
          <w:lang w:val="en-US" w:eastAsia="zh-CN"/>
        </w:rPr>
        <w:t>洛浦县</w:t>
      </w:r>
      <w:r>
        <w:rPr>
          <w:b/>
          <w:bCs/>
          <w:color w:val="auto"/>
          <w:sz w:val="60"/>
          <w:szCs w:val="60"/>
          <w:highlight w:val="none"/>
        </w:rPr>
        <w:t>政府采购项目</w:t>
      </w:r>
    </w:p>
    <w:p>
      <w:pPr>
        <w:jc w:val="center"/>
        <w:rPr>
          <w:rFonts w:ascii="宋体" w:hAnsi="宋体" w:cs="宋体"/>
          <w:color w:val="auto"/>
          <w:sz w:val="28"/>
          <w:szCs w:val="28"/>
          <w:highlight w:val="none"/>
        </w:rPr>
      </w:pPr>
      <w:r>
        <w:rPr>
          <w:rFonts w:hint="eastAsia"/>
          <w:b/>
          <w:bCs/>
          <w:color w:val="auto"/>
          <w:sz w:val="60"/>
          <w:szCs w:val="60"/>
          <w:highlight w:val="none"/>
          <w:lang w:val="en-US" w:eastAsia="zh-CN"/>
        </w:rPr>
        <w:t>竞争性磋商</w:t>
      </w:r>
      <w:r>
        <w:rPr>
          <w:b/>
          <w:bCs/>
          <w:color w:val="auto"/>
          <w:sz w:val="60"/>
          <w:szCs w:val="60"/>
          <w:highlight w:val="none"/>
        </w:rPr>
        <w:t>招标文件</w:t>
      </w:r>
    </w:p>
    <w:p>
      <w:pPr>
        <w:pStyle w:val="26"/>
        <w:rPr>
          <w:rFonts w:ascii="宋体" w:hAnsi="宋体" w:cs="宋体"/>
          <w:color w:val="auto"/>
          <w:sz w:val="28"/>
          <w:szCs w:val="28"/>
          <w:highlight w:val="none"/>
        </w:rPr>
      </w:pPr>
    </w:p>
    <w:p>
      <w:pPr>
        <w:pStyle w:val="8"/>
        <w:rPr>
          <w:rFonts w:hint="eastAsia"/>
          <w:color w:val="auto"/>
          <w:highlight w:val="none"/>
        </w:rPr>
      </w:pPr>
    </w:p>
    <w:p>
      <w:pPr>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ind w:left="0" w:leftChars="0" w:firstLine="0" w:firstLineChars="0"/>
        <w:rPr>
          <w:rFonts w:hint="eastAsia"/>
          <w:color w:val="auto"/>
          <w:highlight w:val="none"/>
          <w:lang w:val="zh-CN"/>
        </w:rPr>
      </w:pPr>
    </w:p>
    <w:p>
      <w:pPr>
        <w:tabs>
          <w:tab w:val="left" w:pos="3240"/>
          <w:tab w:val="left" w:pos="3420"/>
        </w:tabs>
        <w:spacing w:line="360" w:lineRule="auto"/>
        <w:ind w:left="2832" w:leftChars="444" w:hanging="1900" w:hangingChars="528"/>
        <w:jc w:val="left"/>
        <w:rPr>
          <w:rFonts w:hint="eastAsia"/>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2023年度洛浦县国土变更调查、卫片执法聘请第三方服务采购项目</w:t>
      </w:r>
    </w:p>
    <w:p>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项目编号：</w:t>
      </w:r>
      <w:r>
        <w:rPr>
          <w:rFonts w:hint="eastAsia"/>
          <w:bCs/>
          <w:color w:val="auto"/>
          <w:sz w:val="36"/>
          <w:szCs w:val="36"/>
          <w:highlight w:val="none"/>
          <w:lang w:eastAsia="zh-CN"/>
        </w:rPr>
        <w:t>XJJYD-LPCG（CS）-2023/006</w:t>
      </w:r>
    </w:p>
    <w:p>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 购 人：</w:t>
      </w:r>
      <w:r>
        <w:rPr>
          <w:rFonts w:hint="eastAsia"/>
          <w:bCs/>
          <w:color w:val="auto"/>
          <w:sz w:val="36"/>
          <w:szCs w:val="36"/>
          <w:highlight w:val="none"/>
        </w:rPr>
        <w:t>洛浦县自然资源局</w:t>
      </w:r>
    </w:p>
    <w:p>
      <w:pPr>
        <w:tabs>
          <w:tab w:val="left" w:pos="3240"/>
          <w:tab w:val="left" w:pos="3420"/>
        </w:tabs>
        <w:spacing w:line="360" w:lineRule="auto"/>
        <w:ind w:left="2832" w:leftChars="444" w:hanging="1900" w:hangingChars="528"/>
        <w:jc w:val="left"/>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新疆金誉达项目管理有限公司</w:t>
      </w:r>
      <w:r>
        <w:rPr>
          <w:bCs/>
          <w:color w:val="auto"/>
          <w:sz w:val="36"/>
          <w:szCs w:val="36"/>
          <w:highlight w:val="none"/>
        </w:rPr>
        <w:t xml:space="preserve"> </w:t>
      </w:r>
    </w:p>
    <w:p>
      <w:pPr>
        <w:autoSpaceDE w:val="0"/>
        <w:autoSpaceDN w:val="0"/>
        <w:jc w:val="center"/>
        <w:rPr>
          <w:rFonts w:hint="eastAsia" w:ascii="宋体" w:hAnsi="宋体" w:cs="宋体"/>
          <w:bCs/>
          <w:color w:val="auto"/>
          <w:sz w:val="44"/>
          <w:szCs w:val="44"/>
          <w:highlight w:val="none"/>
          <w:lang w:val="zh-CN"/>
        </w:rPr>
      </w:pPr>
    </w:p>
    <w:p>
      <w:pPr>
        <w:shd w:val="clear" w:color="auto" w:fill="auto"/>
        <w:jc w:val="center"/>
        <w:rPr>
          <w:rFonts w:hAnsi="宋体" w:cs="宋体"/>
          <w:b/>
          <w:bCs/>
          <w:color w:val="auto"/>
          <w:sz w:val="36"/>
          <w:szCs w:val="36"/>
          <w:highlight w:val="none"/>
        </w:rPr>
        <w:sectPr>
          <w:headerReference r:id="rId3" w:type="default"/>
          <w:footerReference r:id="rId4" w:type="default"/>
          <w:pgSz w:w="11905" w:h="16838"/>
          <w:pgMar w:top="1304" w:right="964" w:bottom="1020" w:left="1191" w:header="567" w:footer="454" w:gutter="0"/>
          <w:cols w:space="720" w:num="1"/>
          <w:rtlGutter w:val="0"/>
          <w:docGrid w:type="lines" w:linePitch="317" w:charSpace="0"/>
        </w:sectPr>
      </w:pPr>
      <w:r>
        <w:rPr>
          <w:rFonts w:hint="eastAsia" w:cs="宋体"/>
          <w:b/>
          <w:bCs/>
          <w:color w:val="auto"/>
          <w:sz w:val="30"/>
          <w:szCs w:val="30"/>
          <w:highlight w:val="none"/>
        </w:rPr>
        <w:t>202</w:t>
      </w:r>
      <w:r>
        <w:rPr>
          <w:rFonts w:hint="eastAsia" w:cs="宋体"/>
          <w:b/>
          <w:bCs/>
          <w:color w:val="auto"/>
          <w:sz w:val="30"/>
          <w:szCs w:val="30"/>
          <w:highlight w:val="none"/>
          <w:lang w:val="en-US" w:eastAsia="zh-CN"/>
        </w:rPr>
        <w:t>3</w:t>
      </w:r>
      <w:r>
        <w:rPr>
          <w:rFonts w:hint="eastAsia" w:cs="宋体"/>
          <w:b/>
          <w:bCs/>
          <w:color w:val="auto"/>
          <w:sz w:val="30"/>
          <w:szCs w:val="30"/>
          <w:highlight w:val="none"/>
        </w:rPr>
        <w:t>年</w:t>
      </w:r>
      <w:r>
        <w:rPr>
          <w:rFonts w:hint="eastAsia" w:cs="宋体"/>
          <w:b/>
          <w:bCs/>
          <w:color w:val="auto"/>
          <w:sz w:val="30"/>
          <w:szCs w:val="30"/>
          <w:highlight w:val="none"/>
          <w:lang w:val="en-US" w:eastAsia="zh-CN"/>
        </w:rPr>
        <w:t xml:space="preserve"> 6</w:t>
      </w:r>
      <w:bookmarkStart w:id="190" w:name="_GoBack"/>
      <w:bookmarkEnd w:id="190"/>
      <w:r>
        <w:rPr>
          <w:rFonts w:hint="eastAsia" w:cs="宋体"/>
          <w:b/>
          <w:bCs/>
          <w:color w:val="auto"/>
          <w:sz w:val="30"/>
          <w:szCs w:val="30"/>
          <w:highlight w:val="none"/>
        </w:rPr>
        <w:t>月</w:t>
      </w:r>
    </w:p>
    <w:p>
      <w:pPr>
        <w:rPr>
          <w:rFonts w:hint="eastAsia"/>
          <w:color w:val="auto"/>
          <w:highlight w:val="none"/>
          <w:lang w:eastAsia="zh-CN"/>
        </w:rPr>
      </w:pPr>
    </w:p>
    <w:p>
      <w:pPr>
        <w:pStyle w:val="10"/>
        <w:rPr>
          <w:rFonts w:hint="eastAsia"/>
          <w:color w:val="auto"/>
          <w:highlight w:val="none"/>
          <w:lang w:eastAsia="zh-CN"/>
        </w:rPr>
      </w:pPr>
    </w:p>
    <w:p>
      <w:pPr>
        <w:snapToGrid w:val="0"/>
        <w:spacing w:line="700" w:lineRule="exact"/>
        <w:ind w:left="-26" w:leftChars="-95" w:hanging="173" w:hangingChars="62"/>
        <w:rPr>
          <w:rFonts w:hint="eastAsia" w:ascii="宋体" w:hAnsi="宋体"/>
          <w:bCs/>
          <w:color w:val="auto"/>
          <w:sz w:val="28"/>
          <w:szCs w:val="28"/>
          <w:highlight w:val="none"/>
          <w:lang w:eastAsia="zh-CN"/>
        </w:rPr>
      </w:pPr>
    </w:p>
    <w:p>
      <w:pPr>
        <w:snapToGrid w:val="0"/>
        <w:spacing w:line="700" w:lineRule="exact"/>
        <w:ind w:left="-26" w:leftChars="-95" w:hanging="173" w:hangingChars="62"/>
        <w:rPr>
          <w:rFonts w:hint="default" w:ascii="宋体" w:hAnsi="宋体"/>
          <w:bCs/>
          <w:color w:val="auto"/>
          <w:sz w:val="28"/>
          <w:szCs w:val="28"/>
          <w:highlight w:val="none"/>
          <w:lang w:val="en-US" w:eastAsia="zh-CN"/>
        </w:rPr>
      </w:pPr>
      <w:r>
        <w:rPr>
          <w:rFonts w:hint="eastAsia" w:ascii="宋体" w:hAnsi="宋体"/>
          <w:bCs/>
          <w:color w:val="auto"/>
          <w:sz w:val="28"/>
          <w:szCs w:val="28"/>
          <w:highlight w:val="none"/>
          <w:lang w:eastAsia="zh-CN"/>
        </w:rPr>
        <w:t>项目</w:t>
      </w:r>
      <w:r>
        <w:rPr>
          <w:rFonts w:hint="eastAsia" w:ascii="宋体" w:hAnsi="宋体"/>
          <w:bCs/>
          <w:color w:val="auto"/>
          <w:sz w:val="28"/>
          <w:szCs w:val="28"/>
          <w:highlight w:val="none"/>
        </w:rPr>
        <w:t>名称：</w:t>
      </w:r>
      <w:r>
        <w:rPr>
          <w:rFonts w:hint="eastAsia" w:ascii="宋体" w:hAnsi="宋体"/>
          <w:bCs/>
          <w:color w:val="auto"/>
          <w:sz w:val="28"/>
          <w:szCs w:val="28"/>
          <w:highlight w:val="none"/>
          <w:lang w:val="en-US" w:eastAsia="zh-CN"/>
        </w:rPr>
        <w:t xml:space="preserve"> 2023年度洛浦县国土变更调查、卫片执法聘请第三方服务采购项目       </w:t>
      </w:r>
    </w:p>
    <w:p>
      <w:pPr>
        <w:snapToGrid w:val="0"/>
        <w:spacing w:line="700" w:lineRule="exact"/>
        <w:ind w:left="-26" w:leftChars="-95" w:hanging="173" w:hangingChars="62"/>
        <w:rPr>
          <w:rFonts w:hint="default" w:ascii="宋体" w:hAnsi="宋体"/>
          <w:bCs/>
          <w:color w:val="auto"/>
          <w:sz w:val="28"/>
          <w:szCs w:val="28"/>
          <w:highlight w:val="none"/>
          <w:lang w:val="en-US" w:eastAsia="zh-CN"/>
        </w:rPr>
      </w:pPr>
      <w:r>
        <w:rPr>
          <w:rFonts w:hint="eastAsia" w:ascii="宋体" w:hAnsi="宋体"/>
          <w:bCs/>
          <w:color w:val="auto"/>
          <w:sz w:val="28"/>
          <w:szCs w:val="28"/>
          <w:highlight w:val="none"/>
          <w:lang w:eastAsia="zh-CN"/>
        </w:rPr>
        <w:t>采购</w:t>
      </w:r>
      <w:r>
        <w:rPr>
          <w:rFonts w:hint="eastAsia" w:ascii="宋体" w:hAnsi="宋体"/>
          <w:bCs/>
          <w:color w:val="auto"/>
          <w:sz w:val="28"/>
          <w:szCs w:val="28"/>
          <w:highlight w:val="none"/>
        </w:rPr>
        <w:t>人:</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盖章</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法定代表人或其委托代理人</w:t>
      </w:r>
      <w:r>
        <w:rPr>
          <w:rFonts w:ascii="宋体" w:hAnsi="宋体"/>
          <w:bCs/>
          <w:color w:val="auto"/>
          <w:sz w:val="28"/>
          <w:szCs w:val="28"/>
          <w:highlight w:val="none"/>
        </w:rPr>
        <w:t>:</w:t>
      </w:r>
      <w:r>
        <w:rPr>
          <w:rFonts w:hint="eastAsia" w:ascii="宋体" w:hAnsi="宋体"/>
          <w:bCs/>
          <w:color w:val="auto"/>
          <w:sz w:val="28"/>
          <w:szCs w:val="28"/>
          <w:highlight w:val="none"/>
        </w:rPr>
        <w:t>（签字或盖章）</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联系人：</w:t>
      </w:r>
      <w:r>
        <w:rPr>
          <w:rFonts w:hint="eastAsia" w:ascii="宋体" w:hAnsi="宋体"/>
          <w:bCs/>
          <w:color w:val="auto"/>
          <w:sz w:val="28"/>
          <w:szCs w:val="28"/>
          <w:highlight w:val="none"/>
          <w:lang w:val="en-US" w:eastAsia="zh-CN"/>
        </w:rPr>
        <w:t xml:space="preserve"> 阿主任          </w:t>
      </w:r>
    </w:p>
    <w:p>
      <w:pPr>
        <w:snapToGrid w:val="0"/>
        <w:spacing w:line="700" w:lineRule="exact"/>
        <w:ind w:left="-26" w:leftChars="-95" w:hanging="173" w:hangingChars="62"/>
        <w:rPr>
          <w:rFonts w:hint="eastAsia"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联系电话</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 0903-7887308            </w:t>
      </w:r>
    </w:p>
    <w:p>
      <w:pPr>
        <w:snapToGrid w:val="0"/>
        <w:spacing w:line="700" w:lineRule="exact"/>
        <w:ind w:left="-26" w:leftChars="-95" w:hanging="173" w:hangingChars="62"/>
        <w:rPr>
          <w:rFonts w:hint="eastAsia" w:ascii="宋体" w:hAnsi="宋体"/>
          <w:bCs/>
          <w:color w:val="auto"/>
          <w:sz w:val="28"/>
          <w:szCs w:val="28"/>
          <w:highlight w:val="none"/>
        </w:rPr>
      </w:pPr>
    </w:p>
    <w:p>
      <w:pPr>
        <w:snapToGrid w:val="0"/>
        <w:spacing w:line="700" w:lineRule="exact"/>
        <w:ind w:left="-26" w:leftChars="-95" w:hanging="173" w:hangingChars="62"/>
        <w:rPr>
          <w:rFonts w:hint="eastAsia" w:ascii="宋体" w:hAnsi="宋体"/>
          <w:bCs/>
          <w:color w:val="auto"/>
          <w:sz w:val="28"/>
          <w:szCs w:val="28"/>
          <w:highlight w:val="none"/>
        </w:rPr>
      </w:pPr>
    </w:p>
    <w:p>
      <w:pPr>
        <w:snapToGrid w:val="0"/>
        <w:spacing w:line="700" w:lineRule="exact"/>
        <w:ind w:left="-26" w:leftChars="-95" w:hanging="173" w:hangingChars="62"/>
        <w:rPr>
          <w:rFonts w:hint="eastAsia" w:ascii="宋体" w:hAnsi="宋体"/>
          <w:bCs/>
          <w:color w:val="auto"/>
          <w:sz w:val="28"/>
          <w:szCs w:val="28"/>
          <w:highlight w:val="none"/>
        </w:rPr>
      </w:pPr>
    </w:p>
    <w:p>
      <w:pPr>
        <w:pStyle w:val="10"/>
        <w:rPr>
          <w:rFonts w:hint="eastAsia" w:ascii="宋体" w:hAnsi="宋体"/>
          <w:bCs/>
          <w:color w:val="auto"/>
          <w:sz w:val="28"/>
          <w:szCs w:val="28"/>
          <w:highlight w:val="none"/>
        </w:rPr>
      </w:pPr>
    </w:p>
    <w:p>
      <w:pPr>
        <w:rPr>
          <w:rFonts w:hint="eastAsia" w:ascii="宋体" w:hAnsi="宋体"/>
          <w:bCs/>
          <w:color w:val="auto"/>
          <w:sz w:val="28"/>
          <w:szCs w:val="28"/>
          <w:highlight w:val="none"/>
        </w:rPr>
      </w:pPr>
    </w:p>
    <w:p>
      <w:pPr>
        <w:pStyle w:val="10"/>
        <w:rPr>
          <w:rFonts w:hint="eastAsia" w:ascii="宋体" w:hAnsi="宋体"/>
          <w:bCs/>
          <w:color w:val="auto"/>
          <w:sz w:val="28"/>
          <w:szCs w:val="28"/>
          <w:highlight w:val="none"/>
        </w:rPr>
      </w:pPr>
    </w:p>
    <w:p>
      <w:pPr>
        <w:rPr>
          <w:rFonts w:hint="eastAsia" w:ascii="宋体" w:hAnsi="宋体"/>
          <w:bCs/>
          <w:color w:val="auto"/>
          <w:sz w:val="28"/>
          <w:szCs w:val="28"/>
          <w:highlight w:val="none"/>
        </w:rPr>
      </w:pPr>
    </w:p>
    <w:p>
      <w:pPr>
        <w:pStyle w:val="10"/>
        <w:rPr>
          <w:rFonts w:hint="eastAsia" w:ascii="宋体" w:hAnsi="宋体"/>
          <w:bCs/>
          <w:color w:val="auto"/>
          <w:sz w:val="28"/>
          <w:szCs w:val="28"/>
          <w:highlight w:val="none"/>
        </w:rPr>
      </w:pPr>
    </w:p>
    <w:p>
      <w:pPr>
        <w:rPr>
          <w:rFonts w:hint="eastAsia"/>
          <w:color w:val="auto"/>
          <w:highlight w:val="none"/>
        </w:rPr>
      </w:pP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招标代理机构:</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盖章</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新疆金誉达项目管理有限公司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法定代表人或其委托代理人: （签字或盖章）</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联系人：</w:t>
      </w:r>
      <w:r>
        <w:rPr>
          <w:rFonts w:hint="eastAsia" w:ascii="宋体" w:hAnsi="宋体"/>
          <w:bCs/>
          <w:color w:val="auto"/>
          <w:sz w:val="28"/>
          <w:szCs w:val="28"/>
          <w:highlight w:val="none"/>
          <w:lang w:val="en-US" w:eastAsia="zh-CN"/>
        </w:rPr>
        <w:t xml:space="preserve"> 周女士          </w:t>
      </w:r>
    </w:p>
    <w:p>
      <w:pPr>
        <w:snapToGrid w:val="0"/>
        <w:spacing w:line="700" w:lineRule="exact"/>
        <w:ind w:left="-26" w:leftChars="-95" w:hanging="173" w:hangingChars="62"/>
        <w:rPr>
          <w:rFonts w:hint="default" w:ascii="宋体" w:hAnsi="宋体" w:eastAsia="宋体"/>
          <w:bCs/>
          <w:color w:val="auto"/>
          <w:sz w:val="32"/>
          <w:highlight w:val="none"/>
          <w:lang w:val="en-US" w:eastAsia="zh-CN"/>
        </w:rPr>
      </w:pPr>
      <w:r>
        <w:rPr>
          <w:rFonts w:hint="eastAsia" w:ascii="宋体" w:hAnsi="宋体"/>
          <w:bCs/>
          <w:color w:val="auto"/>
          <w:sz w:val="28"/>
          <w:szCs w:val="28"/>
          <w:highlight w:val="none"/>
        </w:rPr>
        <w:t>联系电话：0903-2063689</w:t>
      </w:r>
      <w:r>
        <w:rPr>
          <w:rFonts w:hint="eastAsia" w:ascii="宋体" w:hAnsi="宋体"/>
          <w:bCs/>
          <w:color w:val="auto"/>
          <w:sz w:val="28"/>
          <w:szCs w:val="28"/>
          <w:highlight w:val="none"/>
          <w:lang w:val="en-US" w:eastAsia="zh-CN"/>
        </w:rPr>
        <w:t xml:space="preserve">           </w:t>
      </w:r>
    </w:p>
    <w:p>
      <w:pPr>
        <w:pStyle w:val="8"/>
        <w:spacing w:line="480" w:lineRule="auto"/>
        <w:jc w:val="center"/>
        <w:rPr>
          <w:rFonts w:hint="eastAsia" w:ascii="宋体" w:hAnsi="宋体" w:eastAsia="宋体" w:cs="宋体"/>
          <w:b/>
          <w:bCs/>
          <w:color w:val="auto"/>
          <w:sz w:val="52"/>
          <w:szCs w:val="52"/>
          <w:highlight w:val="none"/>
        </w:rPr>
      </w:pPr>
    </w:p>
    <w:p>
      <w:pPr>
        <w:pStyle w:val="8"/>
        <w:spacing w:line="480" w:lineRule="auto"/>
        <w:jc w:val="center"/>
        <w:rPr>
          <w:rFonts w:hint="eastAsia" w:ascii="宋体" w:hAnsi="宋体" w:eastAsia="宋体" w:cs="宋体"/>
          <w:bCs/>
          <w:caps/>
          <w:color w:val="auto"/>
          <w:kern w:val="2"/>
          <w:sz w:val="22"/>
          <w:szCs w:val="32"/>
          <w:highlight w:val="none"/>
          <w:lang w:val="en-US" w:eastAsia="zh-CN" w:bidi="ar-SA"/>
        </w:rPr>
      </w:pPr>
      <w:r>
        <w:rPr>
          <w:rFonts w:hint="eastAsia" w:ascii="宋体" w:hAnsi="宋体" w:eastAsia="宋体" w:cs="宋体"/>
          <w:b/>
          <w:bCs/>
          <w:color w:val="auto"/>
          <w:sz w:val="52"/>
          <w:szCs w:val="52"/>
          <w:highlight w:val="none"/>
        </w:rPr>
        <w:t>目    录</w:t>
      </w:r>
      <w:r>
        <w:rPr>
          <w:rFonts w:hint="eastAsia" w:ascii="宋体" w:hAnsi="宋体" w:eastAsia="宋体" w:cs="宋体"/>
          <w:b/>
          <w:bCs/>
          <w:caps/>
          <w:color w:val="auto"/>
          <w:sz w:val="32"/>
          <w:szCs w:val="32"/>
          <w:highlight w:val="none"/>
        </w:rPr>
        <w:fldChar w:fldCharType="begin"/>
      </w:r>
      <w:r>
        <w:rPr>
          <w:rFonts w:hint="eastAsia" w:ascii="宋体" w:hAnsi="宋体" w:eastAsia="宋体" w:cs="宋体"/>
          <w:b/>
          <w:bCs/>
          <w:caps/>
          <w:color w:val="auto"/>
          <w:sz w:val="32"/>
          <w:szCs w:val="32"/>
          <w:highlight w:val="none"/>
        </w:rPr>
        <w:instrText xml:space="preserve">TOC \o "1-1" \h \u </w:instrText>
      </w:r>
      <w:r>
        <w:rPr>
          <w:rFonts w:hint="eastAsia" w:ascii="宋体" w:hAnsi="宋体" w:eastAsia="宋体" w:cs="宋体"/>
          <w:b/>
          <w:bCs/>
          <w:caps/>
          <w:color w:val="auto"/>
          <w:sz w:val="32"/>
          <w:szCs w:val="32"/>
          <w:highlight w:val="none"/>
        </w:rPr>
        <w:fldChar w:fldCharType="separate"/>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_Toc21730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第一章 </w:t>
      </w:r>
      <w:r>
        <w:rPr>
          <w:rFonts w:hint="eastAsia" w:ascii="宋体" w:hAnsi="宋体" w:eastAsia="宋体" w:cs="宋体"/>
          <w:bCs w:val="0"/>
          <w:color w:val="auto"/>
          <w:sz w:val="28"/>
          <w:szCs w:val="28"/>
          <w:highlight w:val="none"/>
          <w:lang w:val="en-US" w:eastAsia="zh-CN"/>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_Toc21730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_Toc25437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rPr>
        <w:t>第二章 投标须知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_Toc25437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_Toc13448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服务要求及需求表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_Toc13448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_Toc2366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第四章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_Toc10450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rPr>
        <w:t>第五章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_Toc10450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spacing w:line="480" w:lineRule="auto"/>
        <w:jc w:val="center"/>
        <w:rPr>
          <w:rFonts w:hint="eastAsia" w:ascii="宋体" w:hAnsi="宋体" w:eastAsia="宋体" w:cs="宋体"/>
          <w:b/>
          <w:bCs/>
          <w:caps/>
          <w:color w:val="auto"/>
          <w:sz w:val="28"/>
          <w:szCs w:val="28"/>
          <w:highlight w:val="none"/>
        </w:rPr>
      </w:pPr>
      <w:r>
        <w:rPr>
          <w:rFonts w:hint="eastAsia" w:ascii="宋体" w:hAnsi="宋体" w:eastAsia="宋体" w:cs="宋体"/>
          <w:bCs/>
          <w:caps/>
          <w:color w:val="auto"/>
          <w:sz w:val="22"/>
          <w:szCs w:val="32"/>
          <w:highlight w:val="none"/>
        </w:rPr>
        <w:fldChar w:fldCharType="end"/>
      </w:r>
    </w:p>
    <w:p>
      <w:pPr>
        <w:pStyle w:val="3"/>
        <w:numPr>
          <w:ilvl w:val="0"/>
          <w:numId w:val="0"/>
        </w:numPr>
        <w:tabs>
          <w:tab w:val="left" w:pos="0"/>
        </w:tabs>
        <w:bidi w:val="0"/>
        <w:ind w:leftChars="0"/>
        <w:jc w:val="center"/>
        <w:outlineLvl w:val="9"/>
        <w:rPr>
          <w:rFonts w:hint="eastAsia" w:ascii="宋体" w:hAnsi="宋体" w:eastAsia="宋体" w:cs="宋体"/>
          <w:b/>
          <w:bCs/>
          <w:color w:val="auto"/>
          <w:highlight w:val="none"/>
        </w:rPr>
      </w:pPr>
      <w:bookmarkStart w:id="6" w:name="_Toc5048"/>
      <w:bookmarkStart w:id="7" w:name="_Toc521014774"/>
    </w:p>
    <w:p>
      <w:pPr>
        <w:bidi w:val="0"/>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tabs>
          <w:tab w:val="left" w:pos="2377"/>
        </w:tabs>
        <w:bidi w:val="0"/>
        <w:jc w:val="left"/>
        <w:rPr>
          <w:rFonts w:hint="eastAsia" w:ascii="宋体" w:hAnsi="宋体" w:eastAsia="宋体" w:cs="宋体"/>
          <w:color w:val="auto"/>
          <w:highlight w:val="none"/>
          <w:lang w:eastAsia="zh-CN"/>
        </w:rPr>
        <w:sectPr>
          <w:footerReference r:id="rId5" w:type="default"/>
          <w:pgSz w:w="11907" w:h="16840"/>
          <w:pgMar w:top="1474" w:right="1814" w:bottom="1474" w:left="1814" w:header="851" w:footer="851"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宋体" w:hAnsi="宋体" w:eastAsia="宋体" w:cs="宋体"/>
          <w:color w:val="auto"/>
          <w:highlight w:val="none"/>
          <w:lang w:eastAsia="zh-CN"/>
        </w:rPr>
        <w:tab/>
      </w:r>
    </w:p>
    <w:bookmarkEnd w:id="6"/>
    <w:bookmarkEnd w:id="7"/>
    <w:p>
      <w:pPr>
        <w:numPr>
          <w:ilvl w:val="0"/>
          <w:numId w:val="2"/>
        </w:numPr>
        <w:spacing w:line="460" w:lineRule="exact"/>
        <w:jc w:val="center"/>
        <w:outlineLvl w:val="0"/>
        <w:rPr>
          <w:rFonts w:hint="eastAsia" w:ascii="宋体" w:hAnsi="宋体" w:eastAsia="宋体" w:cs="宋体"/>
          <w:b/>
          <w:bCs w:val="0"/>
          <w:color w:val="auto"/>
          <w:sz w:val="32"/>
          <w:szCs w:val="32"/>
          <w:highlight w:val="none"/>
          <w:lang w:val="en-US" w:eastAsia="zh-CN"/>
        </w:rPr>
      </w:pPr>
      <w:bookmarkStart w:id="8" w:name="_Toc24806"/>
      <w:bookmarkStart w:id="9" w:name="_Toc31279"/>
      <w:bookmarkStart w:id="10" w:name="_Toc21730"/>
      <w:bookmarkStart w:id="11" w:name="_Toc10143"/>
      <w:r>
        <w:rPr>
          <w:rFonts w:hint="eastAsia" w:ascii="宋体" w:hAnsi="宋体" w:eastAsia="宋体" w:cs="宋体"/>
          <w:b/>
          <w:bCs w:val="0"/>
          <w:color w:val="auto"/>
          <w:sz w:val="32"/>
          <w:szCs w:val="32"/>
          <w:highlight w:val="none"/>
          <w:lang w:val="en-US" w:eastAsia="zh-CN"/>
        </w:rPr>
        <w:t>竞争性磋商公告</w:t>
      </w:r>
      <w:bookmarkEnd w:id="8"/>
      <w:bookmarkEnd w:id="9"/>
      <w:bookmarkEnd w:id="10"/>
    </w:p>
    <w:p>
      <w:pPr>
        <w:pStyle w:val="19"/>
        <w:numPr>
          <w:ilvl w:val="0"/>
          <w:numId w:val="0"/>
        </w:numPr>
        <w:rPr>
          <w:rFonts w:hint="eastAsia" w:ascii="宋体" w:hAnsi="宋体" w:eastAsia="宋体" w:cs="宋体"/>
          <w:color w:val="auto"/>
          <w:highlight w:val="none"/>
          <w:lang w:eastAsia="zh-CN"/>
        </w:rPr>
      </w:pPr>
    </w:p>
    <w:p>
      <w:pPr>
        <w:pStyle w:val="3"/>
        <w:keepNext w:val="0"/>
        <w:keepLines w:val="0"/>
        <w:pageBreakBefore w:val="0"/>
        <w:numPr>
          <w:ilvl w:val="0"/>
          <w:numId w:val="0"/>
        </w:numPr>
        <w:tabs>
          <w:tab w:val="left" w:pos="0"/>
        </w:tabs>
        <w:topLinePunct/>
        <w:snapToGrid w:val="0"/>
        <w:spacing w:before="0" w:after="0" w:line="480" w:lineRule="auto"/>
        <w:ind w:right="0"/>
        <w:jc w:val="center"/>
        <w:rPr>
          <w:rFonts w:hint="eastAsia" w:ascii="宋体" w:hAnsi="宋体" w:eastAsia="宋体" w:cs="宋体"/>
          <w:b/>
          <w:color w:val="auto"/>
          <w:kern w:val="0"/>
          <w:sz w:val="30"/>
          <w:szCs w:val="30"/>
          <w:highlight w:val="none"/>
          <w:lang w:val="en-US" w:eastAsia="zh-CN" w:bidi="ar-SA"/>
        </w:rPr>
      </w:pPr>
      <w:r>
        <w:rPr>
          <w:rFonts w:hint="eastAsia" w:ascii="宋体" w:hAnsi="宋体" w:cs="宋体"/>
          <w:b/>
          <w:color w:val="auto"/>
          <w:kern w:val="0"/>
          <w:sz w:val="30"/>
          <w:szCs w:val="30"/>
          <w:highlight w:val="none"/>
          <w:lang w:val="en-US" w:eastAsia="zh-CN" w:bidi="ar-SA"/>
        </w:rPr>
        <w:t>2023年度洛浦县国土变更调查、卫片执法聘请第三方服务采购项目</w:t>
      </w:r>
      <w:r>
        <w:rPr>
          <w:rFonts w:hint="eastAsia" w:ascii="宋体" w:hAnsi="宋体" w:eastAsia="宋体" w:cs="宋体"/>
          <w:b/>
          <w:color w:val="auto"/>
          <w:kern w:val="0"/>
          <w:sz w:val="30"/>
          <w:szCs w:val="30"/>
          <w:highlight w:val="none"/>
          <w:lang w:val="en-US" w:eastAsia="zh-CN" w:bidi="ar-SA"/>
        </w:rPr>
        <w:t>竞争性磋商公告</w:t>
      </w:r>
    </w:p>
    <w:tbl>
      <w:tblPr>
        <w:tblStyle w:val="21"/>
        <w:tblW w:w="96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4" w:hRule="atLeast"/>
        </w:trPr>
        <w:tc>
          <w:tcPr>
            <w:tcW w:w="9620" w:type="dxa"/>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pPr>
              <w:pStyle w:val="19"/>
              <w:keepNext w:val="0"/>
              <w:keepLines w:val="0"/>
              <w:pageBreakBefore w:val="0"/>
              <w:widowControl w:val="0"/>
              <w:kinsoku/>
              <w:wordWrap/>
              <w:overflowPunct/>
              <w:topLinePunct/>
              <w:autoSpaceDE/>
              <w:autoSpaceDN/>
              <w:bidi w:val="0"/>
              <w:adjustRightInd w:val="0"/>
              <w:snapToGrid w:val="0"/>
              <w:spacing w:after="0" w:line="360" w:lineRule="auto"/>
              <w:ind w:left="0" w:leftChars="0" w:right="0"/>
              <w:rPr>
                <w:rFonts w:hint="eastAsia" w:ascii="宋体" w:hAnsi="宋体" w:eastAsia="宋体" w:cs="宋体"/>
                <w:color w:val="auto"/>
                <w:highlight w:val="none"/>
              </w:rPr>
            </w:pPr>
            <w:r>
              <w:rPr>
                <w:rFonts w:hint="eastAsia" w:cs="宋体"/>
                <w:color w:val="auto"/>
                <w:highlight w:val="none"/>
                <w:u w:val="single"/>
                <w:lang w:eastAsia="zh-CN"/>
              </w:rPr>
              <w:t>2023年度洛浦县国土变更调查、卫片执法聘请第三方服务采购项目</w:t>
            </w:r>
            <w:r>
              <w:rPr>
                <w:rFonts w:hint="eastAsia" w:ascii="宋体" w:hAnsi="宋体" w:eastAsia="宋体" w:cs="宋体"/>
                <w:color w:val="auto"/>
                <w:highlight w:val="none"/>
                <w:u w:val="single"/>
              </w:rPr>
              <w:t>的潜在供应商应在新疆政府采购网（http://www.ccgp-xinjiang.gov.cn/）获取采购文件，并于</w:t>
            </w:r>
            <w:r>
              <w:rPr>
                <w:rFonts w:hint="eastAsia" w:cs="宋体"/>
                <w:color w:val="auto"/>
                <w:highlight w:val="none"/>
                <w:u w:val="single"/>
                <w:lang w:eastAsia="zh-CN"/>
              </w:rPr>
              <w:t>2023年06月15日16:00</w:t>
            </w:r>
            <w:r>
              <w:rPr>
                <w:rFonts w:hint="eastAsia" w:ascii="宋体" w:hAnsi="宋体" w:eastAsia="宋体" w:cs="宋体"/>
                <w:color w:val="auto"/>
                <w:highlight w:val="none"/>
                <w:u w:val="single"/>
              </w:rPr>
              <w:t>（北京时间）前提交（上传）响应文件。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rPr>
          <w:rFonts w:hint="eastAsia" w:ascii="宋体" w:hAnsi="宋体" w:eastAsia="宋体" w:cs="宋体"/>
          <w:color w:val="auto"/>
          <w:kern w:val="0"/>
          <w:highlight w:val="none"/>
        </w:rPr>
      </w:pPr>
    </w:p>
    <w:p>
      <w:pPr>
        <w:keepNext w:val="0"/>
        <w:keepLines w:val="0"/>
        <w:pageBreakBefore w:val="0"/>
        <w:widowControl w:val="0"/>
        <w:kinsoku/>
        <w:wordWrap/>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b/>
          <w:bCs/>
          <w:color w:val="auto"/>
          <w:kern w:val="0"/>
          <w:szCs w:val="21"/>
          <w:highlight w:val="none"/>
        </w:rPr>
      </w:pPr>
      <w:bookmarkStart w:id="12" w:name="_Toc28359012"/>
      <w:bookmarkStart w:id="13" w:name="_Toc28359089"/>
      <w:bookmarkStart w:id="14" w:name="_Toc35393629"/>
      <w:bookmarkStart w:id="15" w:name="_Toc35393798"/>
      <w:r>
        <w:rPr>
          <w:rFonts w:hint="eastAsia" w:ascii="宋体" w:hAnsi="宋体" w:eastAsia="宋体" w:cs="宋体"/>
          <w:b/>
          <w:bCs/>
          <w:color w:val="auto"/>
          <w:kern w:val="0"/>
          <w:szCs w:val="21"/>
          <w:highlight w:val="none"/>
        </w:rPr>
        <w:t>一、项目基本情况</w:t>
      </w:r>
      <w:bookmarkEnd w:id="12"/>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项目编号：</w:t>
      </w:r>
      <w:r>
        <w:rPr>
          <w:rFonts w:hint="eastAsia" w:ascii="宋体" w:hAnsi="宋体" w:cs="宋体"/>
          <w:color w:val="auto"/>
          <w:kern w:val="0"/>
          <w:szCs w:val="21"/>
          <w:highlight w:val="none"/>
          <w:lang w:eastAsia="zh-CN"/>
        </w:rPr>
        <w:t>XJJYD-LPCG（CS）-2023/006</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项目名称：</w:t>
      </w:r>
      <w:r>
        <w:rPr>
          <w:rFonts w:hint="eastAsia" w:ascii="宋体" w:hAnsi="宋体" w:cs="宋体"/>
          <w:color w:val="auto"/>
          <w:kern w:val="0"/>
          <w:szCs w:val="21"/>
          <w:highlight w:val="none"/>
          <w:lang w:eastAsia="zh-CN"/>
        </w:rPr>
        <w:t>2023年度洛浦县国土变更调查、卫片执法聘请第三方服务采购项目</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采购方式：竞争性</w:t>
      </w:r>
      <w:r>
        <w:rPr>
          <w:rFonts w:hint="eastAsia" w:ascii="宋体" w:hAnsi="宋体" w:eastAsia="宋体" w:cs="宋体"/>
          <w:color w:val="auto"/>
          <w:kern w:val="0"/>
          <w:szCs w:val="21"/>
          <w:highlight w:val="none"/>
          <w:lang w:eastAsia="zh-CN"/>
        </w:rPr>
        <w:t>磋商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1700000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1700000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需求</w:t>
      </w:r>
      <w:r>
        <w:rPr>
          <w:rFonts w:hint="eastAsia" w:ascii="宋体" w:hAnsi="宋体" w:cs="宋体"/>
          <w:color w:val="auto"/>
          <w:kern w:val="0"/>
          <w:szCs w:val="21"/>
          <w:highlight w:val="none"/>
          <w:lang w:eastAsia="zh-CN"/>
        </w:rPr>
        <w:t>：为进一步做好洛浦县2023年度国土利用变化情况和变化的合法性和违法性，加强对疑似违法用地的监管和预警，从而进一步规范建设用地报批、设施农用地审批备案、土地开发利用等用地程序。此项工作需具有较强技术支撑的第三方单位协助开展洛浦县国土变更调查、卫片执法工作。</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合同履行期限：</w:t>
      </w:r>
      <w:r>
        <w:rPr>
          <w:rFonts w:hint="eastAsia" w:ascii="宋体" w:hAnsi="宋体" w:cs="宋体"/>
          <w:color w:val="auto"/>
          <w:kern w:val="0"/>
          <w:szCs w:val="21"/>
          <w:highlight w:val="none"/>
          <w:lang w:val="en-US" w:eastAsia="zh-CN"/>
        </w:rPr>
        <w:t>合同签订之日起1年</w:t>
      </w:r>
      <w:r>
        <w:rPr>
          <w:rFonts w:hint="eastAsia" w:ascii="宋体" w:hAnsi="宋体" w:eastAsia="宋体" w:cs="宋体"/>
          <w:color w:val="auto"/>
          <w:kern w:val="0"/>
          <w:szCs w:val="21"/>
          <w:highlight w:val="none"/>
          <w:lang w:val="en-US" w:eastAsia="zh-CN"/>
        </w:rPr>
        <w:t>。（具体以与甲方签订合同为准）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本项目不接受联合体投标。</w:t>
      </w:r>
      <w:bookmarkStart w:id="16" w:name="_Toc28359090"/>
      <w:bookmarkStart w:id="17" w:name="_Toc35393630"/>
      <w:bookmarkStart w:id="18" w:name="_Toc35393799"/>
      <w:bookmarkStart w:id="19" w:name="_Toc28359013"/>
    </w:p>
    <w:bookmarkEnd w:id="16"/>
    <w:bookmarkEnd w:id="17"/>
    <w:bookmarkEnd w:id="18"/>
    <w:bookmarkEnd w:id="19"/>
    <w:p>
      <w:pPr>
        <w:keepNext w:val="0"/>
        <w:keepLines w:val="0"/>
        <w:pageBreakBefore w:val="0"/>
        <w:widowControl w:val="0"/>
        <w:kinsoku/>
        <w:wordWrap/>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b/>
          <w:bCs/>
          <w:color w:val="auto"/>
          <w:kern w:val="0"/>
          <w:highlight w:val="none"/>
          <w:lang w:val="en-US" w:eastAsia="zh-CN"/>
        </w:rPr>
      </w:pPr>
      <w:bookmarkStart w:id="20" w:name="_Toc32382"/>
      <w:bookmarkStart w:id="21" w:name="_Toc25666"/>
      <w:bookmarkStart w:id="22" w:name="_Toc16391"/>
      <w:bookmarkStart w:id="23" w:name="_Toc28359014"/>
      <w:bookmarkStart w:id="24" w:name="_Toc28359091"/>
      <w:bookmarkStart w:id="25" w:name="_Toc18665"/>
      <w:bookmarkStart w:id="26" w:name="_Toc35393800"/>
      <w:bookmarkStart w:id="27" w:name="_Toc35393631"/>
      <w:r>
        <w:rPr>
          <w:rFonts w:hint="eastAsia" w:ascii="宋体" w:hAnsi="宋体" w:eastAsia="宋体" w:cs="宋体"/>
          <w:b/>
          <w:bCs/>
          <w:color w:val="auto"/>
          <w:kern w:val="0"/>
          <w:highlight w:val="none"/>
        </w:rPr>
        <w:t>二、申请</w:t>
      </w:r>
      <w:r>
        <w:rPr>
          <w:rFonts w:hint="eastAsia" w:ascii="宋体" w:hAnsi="宋体" w:eastAsia="宋体" w:cs="宋体"/>
          <w:b/>
          <w:bCs/>
          <w:color w:val="auto"/>
          <w:kern w:val="0"/>
          <w:highlight w:val="none"/>
          <w:lang w:val="en-US" w:eastAsia="zh-CN"/>
        </w:rPr>
        <w:t>人的资格要求：</w:t>
      </w:r>
      <w:bookmarkEnd w:id="20"/>
      <w:bookmarkEnd w:id="21"/>
    </w:p>
    <w:bookmarkEnd w:id="22"/>
    <w:bookmarkEnd w:id="23"/>
    <w:bookmarkEnd w:id="24"/>
    <w:bookmarkEnd w:id="25"/>
    <w:bookmarkEnd w:id="26"/>
    <w:bookmarkEnd w:id="27"/>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（一）供应商必须符合《中华人民共和国政府采购法》第二十二条规定：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（1）经年审合格（三证合一）的营业执照；</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cs="宋体"/>
          <w:color w:val="auto"/>
          <w:kern w:val="0"/>
          <w:highlight w:val="none"/>
          <w:lang w:val="en-US" w:eastAsia="zh-CN"/>
        </w:rPr>
      </w:pPr>
      <w:r>
        <w:rPr>
          <w:rFonts w:hint="eastAsia" w:ascii="宋体" w:hAnsi="宋体" w:eastAsia="宋体" w:cs="宋体"/>
          <w:color w:val="auto"/>
          <w:kern w:val="0"/>
          <w:highlight w:val="none"/>
          <w:lang w:val="en-US" w:eastAsia="zh-CN"/>
        </w:rPr>
        <w:t>（2）</w:t>
      </w:r>
      <w:r>
        <w:rPr>
          <w:rFonts w:hint="eastAsia" w:ascii="宋体" w:hAnsi="宋体" w:cs="宋体"/>
          <w:color w:val="auto"/>
          <w:kern w:val="0"/>
          <w:highlight w:val="none"/>
          <w:lang w:val="en-US" w:eastAsia="zh-CN"/>
        </w:rPr>
        <w:t>具有有效期内的乙级及以上测绘资质(专业范围包含地理信息系统工程)</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w:t>
      </w:r>
      <w:r>
        <w:rPr>
          <w:rFonts w:hint="eastAsia" w:ascii="宋体" w:hAnsi="宋体" w:cs="宋体"/>
          <w:color w:val="auto"/>
          <w:kern w:val="0"/>
          <w:highlight w:val="none"/>
          <w:lang w:val="en-US" w:eastAsia="zh-CN"/>
        </w:rPr>
        <w:t>提供法人（指本单位）2023年2月至2023年4月单</w:t>
      </w:r>
      <w:r>
        <w:rPr>
          <w:rFonts w:hint="eastAsia" w:ascii="宋体" w:hAnsi="宋体" w:eastAsia="宋体" w:cs="宋体"/>
          <w:color w:val="auto"/>
          <w:kern w:val="0"/>
          <w:highlight w:val="none"/>
          <w:lang w:val="en-US" w:eastAsia="zh-CN"/>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（5）具有良好的商业信誉和健全的财务会计制度：</w:t>
      </w:r>
      <w:r>
        <w:rPr>
          <w:rFonts w:hint="eastAsia" w:ascii="宋体" w:hAnsi="宋体" w:cs="宋体"/>
          <w:color w:val="auto"/>
          <w:kern w:val="0"/>
          <w:highlight w:val="none"/>
          <w:lang w:val="en-US" w:eastAsia="zh-CN"/>
        </w:rPr>
        <w:t>提供2021年度或2022年度由第三方财务审计机构出具</w:t>
      </w:r>
      <w:r>
        <w:rPr>
          <w:rFonts w:hint="eastAsia" w:ascii="宋体" w:hAnsi="宋体" w:eastAsia="宋体" w:cs="宋体"/>
          <w:color w:val="auto"/>
          <w:kern w:val="0"/>
          <w:highlight w:val="none"/>
          <w:lang w:val="en-US" w:eastAsia="zh-CN"/>
        </w:rPr>
        <w:t>的财务审计报告或新成立的企业提供银行出具的近三个月的资信证明；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（7）投标保证金或电子保函：</w:t>
      </w:r>
      <w:r>
        <w:rPr>
          <w:rFonts w:hint="eastAsia" w:ascii="宋体" w:hAnsi="宋体" w:cs="宋体"/>
          <w:color w:val="auto"/>
          <w:kern w:val="0"/>
          <w:highlight w:val="none"/>
          <w:lang w:val="en-US" w:eastAsia="zh-CN"/>
        </w:rPr>
        <w:t>17000</w:t>
      </w:r>
      <w:r>
        <w:rPr>
          <w:rFonts w:hint="eastAsia" w:ascii="宋体" w:hAnsi="宋体" w:eastAsia="宋体" w:cs="宋体"/>
          <w:color w:val="auto"/>
          <w:kern w:val="0"/>
          <w:highlight w:val="none"/>
          <w:lang w:val="en-US" w:eastAsia="zh-CN"/>
        </w:rPr>
        <w:t>元整（大写：</w:t>
      </w:r>
      <w:r>
        <w:rPr>
          <w:rFonts w:hint="eastAsia" w:ascii="宋体" w:hAnsi="宋体" w:cs="宋体"/>
          <w:color w:val="auto"/>
          <w:kern w:val="0"/>
          <w:highlight w:val="none"/>
          <w:lang w:val="en-US" w:eastAsia="zh-CN"/>
        </w:rPr>
        <w:t>壹万柒仟元整</w:t>
      </w:r>
      <w:r>
        <w:rPr>
          <w:rFonts w:hint="eastAsia" w:ascii="宋体" w:hAnsi="宋体" w:eastAsia="宋体" w:cs="宋体"/>
          <w:color w:val="auto"/>
          <w:kern w:val="0"/>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eastAsia="zh-CN"/>
        </w:rPr>
        <w:t>（二）</w:t>
      </w:r>
      <w:r>
        <w:rPr>
          <w:rFonts w:hint="eastAsia" w:ascii="宋体" w:hAnsi="宋体" w:eastAsia="宋体" w:cs="宋体"/>
          <w:color w:val="auto"/>
          <w:kern w:val="0"/>
          <w:highlight w:val="none"/>
        </w:rPr>
        <w:t>落实政府采购政策需满足的资格要求：</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新疆政府采购促进中小企业发展管理办法》(财库〔2020〕46号)；关于进一步加大政府采购支持中小企业力度的通知财库〔2022〕19号；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（三）本项目的特定资格要求：无</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时间：2023年</w:t>
      </w:r>
      <w:r>
        <w:rPr>
          <w:rFonts w:hint="eastAsia" w:ascii="宋体" w:hAnsi="宋体" w:cs="宋体"/>
          <w:color w:val="auto"/>
          <w:kern w:val="0"/>
          <w:highlight w:val="none"/>
          <w:lang w:val="en-US" w:eastAsia="zh-CN"/>
        </w:rPr>
        <w:t>06</w:t>
      </w:r>
      <w:r>
        <w:rPr>
          <w:rFonts w:hint="eastAsia" w:ascii="宋体" w:hAnsi="宋体" w:eastAsia="宋体" w:cs="宋体"/>
          <w:color w:val="auto"/>
          <w:kern w:val="0"/>
          <w:highlight w:val="none"/>
          <w:lang w:val="en-US" w:eastAsia="zh-CN"/>
        </w:rPr>
        <w:t>月</w:t>
      </w:r>
      <w:r>
        <w:rPr>
          <w:rFonts w:hint="eastAsia" w:ascii="宋体" w:hAnsi="宋体" w:cs="宋体"/>
          <w:color w:val="auto"/>
          <w:kern w:val="0"/>
          <w:highlight w:val="none"/>
          <w:lang w:val="en-US" w:eastAsia="zh-CN"/>
        </w:rPr>
        <w:t>02</w:t>
      </w:r>
      <w:r>
        <w:rPr>
          <w:rFonts w:hint="eastAsia" w:ascii="宋体" w:hAnsi="宋体" w:eastAsia="宋体" w:cs="宋体"/>
          <w:color w:val="auto"/>
          <w:kern w:val="0"/>
          <w:highlight w:val="none"/>
          <w:lang w:val="en-US" w:eastAsia="zh-CN"/>
        </w:rPr>
        <w:t>日至2023年06月</w:t>
      </w:r>
      <w:r>
        <w:rPr>
          <w:rFonts w:hint="eastAsia" w:ascii="宋体" w:hAnsi="宋体" w:cs="宋体"/>
          <w:color w:val="auto"/>
          <w:kern w:val="0"/>
          <w:highlight w:val="none"/>
          <w:lang w:val="en-US" w:eastAsia="zh-CN"/>
        </w:rPr>
        <w:t>14</w:t>
      </w:r>
      <w:r>
        <w:rPr>
          <w:rFonts w:hint="eastAsia" w:ascii="宋体" w:hAnsi="宋体" w:eastAsia="宋体" w:cs="宋体"/>
          <w:color w:val="auto"/>
          <w:kern w:val="0"/>
          <w:highlight w:val="none"/>
          <w:lang w:val="en-US" w:eastAsia="zh-CN"/>
        </w:rPr>
        <w:t>日，每天上午00:00至12:00，下 午12:00至23:59 (北京时间，法定节假日除外)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地点：政采云平台线上获取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四、响应文件提交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截止时间：</w:t>
      </w:r>
      <w:r>
        <w:rPr>
          <w:rFonts w:hint="eastAsia" w:ascii="宋体" w:hAnsi="宋体" w:cs="宋体"/>
          <w:color w:val="auto"/>
          <w:kern w:val="0"/>
          <w:highlight w:val="none"/>
          <w:lang w:val="en-US" w:eastAsia="zh-CN"/>
        </w:rPr>
        <w:t>2023年06月15日16:00</w:t>
      </w:r>
      <w:r>
        <w:rPr>
          <w:rFonts w:hint="eastAsia" w:ascii="宋体" w:hAnsi="宋体" w:eastAsia="宋体" w:cs="宋体"/>
          <w:color w:val="auto"/>
          <w:kern w:val="0"/>
          <w:highlight w:val="none"/>
          <w:lang w:val="en-US" w:eastAsia="zh-CN"/>
        </w:rPr>
        <w:t xml:space="preserve"> (北京时间)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地点：投标人应于2023年</w:t>
      </w:r>
      <w:r>
        <w:rPr>
          <w:rFonts w:hint="eastAsia" w:ascii="宋体" w:hAnsi="宋体" w:cs="宋体"/>
          <w:color w:val="auto"/>
          <w:kern w:val="0"/>
          <w:highlight w:val="none"/>
          <w:lang w:val="en-US" w:eastAsia="zh-CN"/>
        </w:rPr>
        <w:t>06</w:t>
      </w:r>
      <w:r>
        <w:rPr>
          <w:rFonts w:hint="eastAsia" w:ascii="宋体" w:hAnsi="宋体" w:eastAsia="宋体" w:cs="宋体"/>
          <w:color w:val="auto"/>
          <w:kern w:val="0"/>
          <w:highlight w:val="none"/>
          <w:lang w:val="en-US" w:eastAsia="zh-CN"/>
        </w:rPr>
        <w:t xml:space="preserve">月 </w:t>
      </w:r>
      <w:r>
        <w:rPr>
          <w:rFonts w:hint="eastAsia" w:ascii="宋体" w:hAnsi="宋体" w:cs="宋体"/>
          <w:color w:val="auto"/>
          <w:kern w:val="0"/>
          <w:highlight w:val="none"/>
          <w:lang w:val="en-US" w:eastAsia="zh-CN"/>
        </w:rPr>
        <w:t>15</w:t>
      </w:r>
      <w:r>
        <w:rPr>
          <w:rFonts w:hint="eastAsia" w:ascii="宋体" w:hAnsi="宋体" w:eastAsia="宋体" w:cs="宋体"/>
          <w:color w:val="auto"/>
          <w:kern w:val="0"/>
          <w:highlight w:val="none"/>
          <w:lang w:val="en-US" w:eastAsia="zh-CN"/>
        </w:rPr>
        <w:t xml:space="preserve">日 </w:t>
      </w:r>
      <w:r>
        <w:rPr>
          <w:rFonts w:hint="eastAsia" w:ascii="宋体" w:hAnsi="宋体" w:cs="宋体"/>
          <w:color w:val="auto"/>
          <w:kern w:val="0"/>
          <w:highlight w:val="none"/>
          <w:lang w:val="en-US" w:eastAsia="zh-CN"/>
        </w:rPr>
        <w:t>16:00</w:t>
      </w:r>
      <w:r>
        <w:rPr>
          <w:rFonts w:hint="eastAsia" w:ascii="宋体" w:hAnsi="宋体" w:eastAsia="宋体" w:cs="宋体"/>
          <w:color w:val="auto"/>
          <w:kern w:val="0"/>
          <w:highlight w:val="none"/>
          <w:lang w:val="en-US" w:eastAsia="zh-CN"/>
        </w:rPr>
        <w:t>(北京时间）之前将电子投标文件上传到“政采云”平台。应按照本项目招标文件和政采云平台的要求编制、加密传输投标文件。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五、响应文件开启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开启时间：</w:t>
      </w:r>
      <w:r>
        <w:rPr>
          <w:rFonts w:hint="eastAsia" w:ascii="宋体" w:hAnsi="宋体" w:cs="宋体"/>
          <w:color w:val="auto"/>
          <w:kern w:val="0"/>
          <w:highlight w:val="none"/>
          <w:lang w:val="en-US" w:eastAsia="zh-CN"/>
        </w:rPr>
        <w:t>2023年06月15日16:00</w:t>
      </w:r>
      <w:r>
        <w:rPr>
          <w:rFonts w:hint="eastAsia" w:ascii="宋体" w:hAnsi="宋体" w:eastAsia="宋体" w:cs="宋体"/>
          <w:color w:val="auto"/>
          <w:kern w:val="0"/>
          <w:highlight w:val="none"/>
          <w:lang w:val="en-US" w:eastAsia="zh-CN"/>
        </w:rPr>
        <w:t>(北京时间)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地点：洛浦县政务服务和公共资源交易中心（洛浦县北京工业园区北园区振兴路10号）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六、公告期限</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自本公告发布之日起3个工作日。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七、其他补充事宜：</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全面面向中小微企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8.本项目中小企业划分标准为：其他未列</w:t>
      </w:r>
      <w:r>
        <w:rPr>
          <w:rFonts w:hint="eastAsia" w:ascii="宋体" w:hAnsi="宋体" w:cs="宋体"/>
          <w:color w:val="auto"/>
          <w:kern w:val="0"/>
          <w:highlight w:val="none"/>
          <w:lang w:val="en-US" w:eastAsia="zh-CN"/>
        </w:rPr>
        <w:t>明</w:t>
      </w:r>
      <w:r>
        <w:rPr>
          <w:rFonts w:hint="eastAsia" w:ascii="宋体" w:hAnsi="宋体" w:eastAsia="宋体" w:cs="宋体"/>
          <w:color w:val="auto"/>
          <w:kern w:val="0"/>
          <w:highlight w:val="none"/>
          <w:lang w:val="en-US" w:eastAsia="zh-CN"/>
        </w:rPr>
        <w:t>行业；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特别提示：</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八、监督部门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本招标项目的监督部门为：洛浦县政府采购管理办公室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 xml:space="preserve">联系人：唐洋龙      </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联系电话：0903-6622186</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九、凡对本次采购提出询问，请按以下方式联系。</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1、采购人信息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名称：洛浦县自然资源局</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联系人：阿</w:t>
      </w:r>
      <w:r>
        <w:rPr>
          <w:rFonts w:hint="eastAsia" w:ascii="宋体" w:hAnsi="宋体" w:cs="宋体"/>
          <w:color w:val="auto"/>
          <w:kern w:val="0"/>
          <w:highlight w:val="none"/>
          <w:lang w:val="en-US" w:eastAsia="zh-CN"/>
        </w:rPr>
        <w:t>主任</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联系电话：0903-7887308</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2.采购代理机构信息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 称：新疆金誉达项目管理有限公司</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 址：和田市古江南路180号新疆和中昆仑矿业有限公司5楼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联系方式：0903-2063689</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3.项目联系方式</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项目联系人：周女士</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电 话：0903-2063689</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25"/>
        <w:rPr>
          <w:rStyle w:val="30"/>
          <w:rFonts w:hint="eastAsia" w:ascii="宋体" w:hAnsi="宋体" w:eastAsia="宋体" w:cs="宋体"/>
          <w:b/>
          <w:bCs/>
          <w:color w:val="auto"/>
          <w:sz w:val="28"/>
          <w:szCs w:val="18"/>
          <w:highlight w:val="none"/>
        </w:rPr>
      </w:pPr>
    </w:p>
    <w:bookmarkEnd w:id="11"/>
    <w:p>
      <w:pPr>
        <w:jc w:val="both"/>
        <w:outlineLvl w:val="0"/>
        <w:rPr>
          <w:rFonts w:hint="eastAsia" w:ascii="宋体" w:hAnsi="宋体" w:eastAsia="宋体" w:cs="宋体"/>
          <w:b/>
          <w:color w:val="auto"/>
          <w:sz w:val="32"/>
          <w:szCs w:val="32"/>
          <w:highlight w:val="none"/>
          <w:lang w:val="en-US" w:eastAsia="zh-CN"/>
        </w:rPr>
        <w:sectPr>
          <w:headerReference r:id="rId6" w:type="default"/>
          <w:footerReference r:id="rId7" w:type="default"/>
          <w:pgSz w:w="11906" w:h="16838"/>
          <w:pgMar w:top="1134" w:right="1531" w:bottom="782" w:left="1417" w:header="851" w:footer="992" w:gutter="0"/>
          <w:pgBorders>
            <w:top w:val="none" w:sz="0" w:space="0"/>
            <w:left w:val="none" w:sz="0" w:space="0"/>
            <w:bottom w:val="none" w:sz="0" w:space="0"/>
            <w:right w:val="none" w:sz="0" w:space="0"/>
          </w:pgBorders>
          <w:pgNumType w:fmt="numberInDash" w:start="1"/>
          <w:cols w:space="720" w:num="1"/>
          <w:rtlGutter w:val="0"/>
          <w:docGrid w:type="lines" w:linePitch="383" w:charSpace="0"/>
        </w:sectPr>
      </w:pPr>
    </w:p>
    <w:p>
      <w:pPr>
        <w:pStyle w:val="29"/>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1、投标企业采用银行转账或电汇的方式的，投标保证金由投标人基本账户</w:t>
      </w:r>
      <w:r>
        <w:rPr>
          <w:rFonts w:hint="eastAsia" w:ascii="宋体" w:hAnsi="宋体" w:cs="宋体"/>
          <w:b/>
          <w:bCs/>
          <w:i w:val="0"/>
          <w:iCs w:val="0"/>
          <w:caps w:val="0"/>
          <w:color w:val="auto"/>
          <w:spacing w:val="0"/>
          <w:kern w:val="0"/>
          <w:sz w:val="24"/>
          <w:szCs w:val="24"/>
          <w:highlight w:val="none"/>
          <w:lang w:val="en-US" w:eastAsia="zh-CN" w:bidi="ar"/>
        </w:rPr>
        <w:t>或一般户</w:t>
      </w:r>
      <w:r>
        <w:rPr>
          <w:rFonts w:hint="eastAsia" w:ascii="宋体" w:hAnsi="宋体" w:eastAsia="宋体" w:cs="宋体"/>
          <w:b/>
          <w:bCs/>
          <w:i w:val="0"/>
          <w:iCs w:val="0"/>
          <w:caps w:val="0"/>
          <w:color w:val="auto"/>
          <w:spacing w:val="0"/>
          <w:kern w:val="0"/>
          <w:sz w:val="24"/>
          <w:szCs w:val="24"/>
          <w:highlight w:val="none"/>
          <w:lang w:val="en-US" w:eastAsia="zh-CN" w:bidi="ar"/>
        </w:rPr>
        <w:t>汇出（投标保证金需一笔汇出，分笔汇出银行系统将不予统计），且不得以分公司的名义转账，投标保证金需在投标截止时间前（2023年06月</w:t>
      </w:r>
      <w:r>
        <w:rPr>
          <w:rFonts w:hint="eastAsia" w:ascii="宋体" w:hAnsi="宋体" w:cs="宋体"/>
          <w:b/>
          <w:bCs/>
          <w:i w:val="0"/>
          <w:iCs w:val="0"/>
          <w:caps w:val="0"/>
          <w:color w:val="auto"/>
          <w:spacing w:val="0"/>
          <w:kern w:val="0"/>
          <w:sz w:val="24"/>
          <w:szCs w:val="24"/>
          <w:highlight w:val="none"/>
          <w:lang w:val="en-US" w:eastAsia="zh-CN" w:bidi="ar"/>
        </w:rPr>
        <w:t>15</w:t>
      </w:r>
      <w:r>
        <w:rPr>
          <w:rFonts w:hint="eastAsia" w:ascii="宋体" w:hAnsi="宋体" w:eastAsia="宋体" w:cs="宋体"/>
          <w:b/>
          <w:bCs/>
          <w:i w:val="0"/>
          <w:iCs w:val="0"/>
          <w:caps w:val="0"/>
          <w:color w:val="auto"/>
          <w:spacing w:val="0"/>
          <w:kern w:val="0"/>
          <w:sz w:val="24"/>
          <w:szCs w:val="24"/>
          <w:highlight w:val="none"/>
          <w:lang w:val="en-US" w:eastAsia="zh-CN" w:bidi="ar"/>
        </w:rPr>
        <w:t>日</w:t>
      </w:r>
      <w:r>
        <w:rPr>
          <w:rFonts w:hint="eastAsia" w:ascii="宋体" w:hAnsi="宋体" w:cs="宋体"/>
          <w:b/>
          <w:bCs/>
          <w:i w:val="0"/>
          <w:iCs w:val="0"/>
          <w:caps w:val="0"/>
          <w:color w:val="auto"/>
          <w:spacing w:val="0"/>
          <w:kern w:val="0"/>
          <w:sz w:val="24"/>
          <w:szCs w:val="24"/>
          <w:highlight w:val="none"/>
          <w:lang w:val="en-US" w:eastAsia="zh-CN" w:bidi="ar"/>
        </w:rPr>
        <w:t>16:00</w:t>
      </w:r>
      <w:r>
        <w:rPr>
          <w:rFonts w:hint="eastAsia" w:ascii="宋体" w:hAnsi="宋体" w:eastAsia="宋体" w:cs="宋体"/>
          <w:b/>
          <w:bCs/>
          <w:i w:val="0"/>
          <w:iCs w:val="0"/>
          <w:caps w:val="0"/>
          <w:color w:val="auto"/>
          <w:spacing w:val="0"/>
          <w:kern w:val="0"/>
          <w:sz w:val="24"/>
          <w:szCs w:val="24"/>
          <w:highlight w:val="none"/>
          <w:lang w:val="en-US" w:eastAsia="zh-CN" w:bidi="ar"/>
        </w:rPr>
        <w:t>（北京时间）</w:t>
      </w:r>
      <w:r>
        <w:rPr>
          <w:rFonts w:hint="eastAsia" w:ascii="宋体" w:hAnsi="宋体" w:cs="宋体"/>
          <w:b/>
          <w:bCs/>
          <w:i w:val="0"/>
          <w:iCs w:val="0"/>
          <w:caps w:val="0"/>
          <w:color w:val="auto"/>
          <w:spacing w:val="0"/>
          <w:kern w:val="0"/>
          <w:sz w:val="24"/>
          <w:szCs w:val="24"/>
          <w:highlight w:val="none"/>
          <w:lang w:val="en-US" w:eastAsia="zh-CN" w:bidi="ar"/>
        </w:rPr>
        <w:t>前</w:t>
      </w:r>
      <w:r>
        <w:rPr>
          <w:rFonts w:hint="eastAsia" w:ascii="宋体" w:hAnsi="宋体" w:eastAsia="宋体" w:cs="宋体"/>
          <w:b/>
          <w:bCs/>
          <w:i w:val="0"/>
          <w:iCs w:val="0"/>
          <w:caps w:val="0"/>
          <w:color w:val="auto"/>
          <w:spacing w:val="0"/>
          <w:kern w:val="0"/>
          <w:sz w:val="24"/>
          <w:szCs w:val="24"/>
          <w:highlight w:val="none"/>
          <w:lang w:val="en-US" w:eastAsia="zh-CN" w:bidi="ar"/>
        </w:rPr>
        <w:t>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投标企业下载招标文件后请仔细阅读，如对招标文件内容有质疑，投标人应在投标截止7日前按招标文件中载明的邮箱：1784632410@qq.com，地址：和田市古江南路180号新疆和中昆仑矿业有限公司5楼，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或邮寄（EMS）洛浦县政府投资交易中心财务室办理（联系电话13239801355）。（注：废标项目投保证金在后续项目再次招标时银行系统不做统计，请投标企业及时办理退款），中标企业签订政府采购合同后，携带合同原件一份及以上资料办理退投标保证金事宜。</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  供应商须知</w:t>
      </w:r>
      <w:bookmarkEnd w:id="0"/>
      <w:bookmarkEnd w:id="1"/>
      <w:bookmarkEnd w:id="2"/>
      <w:bookmarkEnd w:id="3"/>
      <w:bookmarkEnd w:id="4"/>
      <w:bookmarkEnd w:id="5"/>
    </w:p>
    <w:p>
      <w:pPr>
        <w:pStyle w:val="4"/>
        <w:spacing w:before="0" w:after="100" w:afterAutospacing="1" w:line="400" w:lineRule="atLeast"/>
        <w:jc w:val="center"/>
        <w:rPr>
          <w:rFonts w:hint="eastAsia" w:ascii="宋体" w:hAnsi="宋体" w:eastAsia="宋体" w:cs="宋体"/>
          <w:color w:val="auto"/>
          <w:sz w:val="28"/>
          <w:szCs w:val="28"/>
          <w:highlight w:val="none"/>
        </w:rPr>
      </w:pPr>
      <w:bookmarkStart w:id="28" w:name="_Toc298240404"/>
      <w:bookmarkStart w:id="29" w:name="_Toc349573120"/>
      <w:bookmarkStart w:id="30" w:name="_Toc349637919"/>
      <w:bookmarkStart w:id="31" w:name="_Toc267301281"/>
      <w:bookmarkStart w:id="32" w:name="_Toc527642951"/>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供应商须知附表</w:t>
      </w:r>
      <w:bookmarkEnd w:id="28"/>
      <w:bookmarkEnd w:id="29"/>
      <w:bookmarkEnd w:id="30"/>
      <w:bookmarkEnd w:id="31"/>
      <w:bookmarkEnd w:id="32"/>
    </w:p>
    <w:tbl>
      <w:tblPr>
        <w:tblStyle w:val="21"/>
        <w:tblW w:w="973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80"/>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条款号</w:t>
            </w:r>
          </w:p>
        </w:tc>
        <w:tc>
          <w:tcPr>
            <w:tcW w:w="1980"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条款名称</w:t>
            </w:r>
          </w:p>
        </w:tc>
        <w:tc>
          <w:tcPr>
            <w:tcW w:w="6477"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p>
        </w:tc>
        <w:tc>
          <w:tcPr>
            <w:tcW w:w="6477" w:type="dxa"/>
            <w:vAlign w:val="center"/>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XJJYD-LPCG（CS）-2023/006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项目名称</w:t>
            </w:r>
          </w:p>
        </w:tc>
        <w:tc>
          <w:tcPr>
            <w:tcW w:w="6477" w:type="dxa"/>
            <w:vAlign w:val="top"/>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color w:val="auto"/>
                <w:sz w:val="24"/>
                <w:szCs w:val="24"/>
                <w:highlight w:val="none"/>
                <w:lang w:eastAsia="zh-CN"/>
              </w:rPr>
              <w:t>2023年度洛浦县国土变更调查、卫片执法聘请第三方服务采购项目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p>
        </w:tc>
        <w:tc>
          <w:tcPr>
            <w:tcW w:w="6477" w:type="dxa"/>
            <w:vAlign w:val="top"/>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lang w:val="en-US" w:eastAsia="zh-CN"/>
              </w:rPr>
              <w:t>洛浦县自然资源局</w:t>
            </w:r>
            <w:r>
              <w:rPr>
                <w:rFonts w:hint="eastAsia" w:ascii="宋体" w:hAnsi="宋体" w:eastAsia="宋体" w:cs="宋体"/>
                <w:color w:val="auto"/>
                <w:sz w:val="24"/>
                <w:szCs w:val="24"/>
                <w:highlight w:val="none"/>
                <w:lang w:eastAsia="zh-CN"/>
              </w:rPr>
              <w:t xml:space="preserve"> </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阿</w:t>
            </w:r>
            <w:r>
              <w:rPr>
                <w:rFonts w:hint="eastAsia" w:ascii="宋体" w:hAnsi="宋体" w:cs="宋体"/>
                <w:color w:val="auto"/>
                <w:sz w:val="24"/>
                <w:szCs w:val="24"/>
                <w:highlight w:val="none"/>
                <w:lang w:val="en-US" w:eastAsia="zh-CN"/>
              </w:rPr>
              <w:t>主任</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地址：洛浦县北京路46号</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联系电话：0903-7887308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名  称: </w:t>
            </w:r>
            <w:r>
              <w:rPr>
                <w:rFonts w:hint="eastAsia" w:ascii="宋体" w:hAnsi="宋体" w:eastAsia="宋体" w:cs="宋体"/>
                <w:color w:val="auto"/>
                <w:sz w:val="24"/>
                <w:szCs w:val="24"/>
                <w:highlight w:val="none"/>
                <w:lang w:val="en-US" w:eastAsia="zh-CN"/>
              </w:rPr>
              <w:t>新疆金誉达项目管理有限公司</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z w:val="24"/>
                <w:szCs w:val="24"/>
                <w:highlight w:val="none"/>
                <w:lang w:eastAsia="zh-CN"/>
              </w:rPr>
              <w:t xml:space="preserve">地  址: </w:t>
            </w:r>
            <w:r>
              <w:rPr>
                <w:rFonts w:hint="eastAsia" w:ascii="宋体" w:hAnsi="宋体" w:eastAsia="宋体" w:cs="宋体"/>
                <w:color w:val="auto"/>
                <w:spacing w:val="-11"/>
                <w:sz w:val="24"/>
                <w:szCs w:val="24"/>
                <w:highlight w:val="none"/>
                <w:lang w:eastAsia="zh-CN"/>
              </w:rPr>
              <w:t>和田市古江南路180号新疆和中昆仑矿业有限公司5楼</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联系人: </w:t>
            </w:r>
            <w:r>
              <w:rPr>
                <w:rFonts w:hint="eastAsia" w:ascii="宋体" w:hAnsi="宋体" w:eastAsia="宋体" w:cs="宋体"/>
                <w:color w:val="auto"/>
                <w:sz w:val="24"/>
                <w:szCs w:val="24"/>
                <w:highlight w:val="none"/>
                <w:lang w:val="en-US" w:eastAsia="zh-CN"/>
              </w:rPr>
              <w:t>周女士</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val="en-US" w:eastAsia="zh-CN"/>
              </w:rPr>
              <w:t xml:space="preserve"> 0903-2063689</w:t>
            </w:r>
            <w:r>
              <w:rPr>
                <w:rFonts w:hint="eastAsia" w:ascii="宋体" w:hAnsi="宋体" w:cs="宋体"/>
                <w:color w:val="auto"/>
                <w:sz w:val="24"/>
                <w:szCs w:val="24"/>
                <w:highlight w:val="none"/>
                <w:lang w:val="en-US" w:eastAsia="zh-CN"/>
              </w:rPr>
              <w:t>、15569012775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进一步做好洛浦县2023年度国土利用变化情况和变化的合法性和违法性，加强对疑似违法用地的监管和预警，从而进一步规范建设用地报批、设施农用地审批备案、土地开发利用等用地程序。此项工作需具有较强技术支撑的第三方单位协助开展洛浦县国土变更调查、卫片执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以采购单位指定地点为准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期限</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合同签订之日起</w:t>
            </w:r>
            <w:r>
              <w:rPr>
                <w:rFonts w:hint="eastAsia" w:ascii="宋体" w:hAnsi="宋体" w:cs="宋体"/>
                <w:color w:val="auto"/>
                <w:sz w:val="24"/>
                <w:szCs w:val="24"/>
                <w:highlight w:val="none"/>
                <w:lang w:val="en-US" w:eastAsia="zh-CN"/>
              </w:rPr>
              <w:t>1年</w:t>
            </w:r>
            <w:r>
              <w:rPr>
                <w:rFonts w:hint="eastAsia" w:ascii="宋体" w:hAnsi="宋体" w:eastAsia="宋体" w:cs="宋体"/>
                <w:color w:val="auto"/>
                <w:sz w:val="24"/>
                <w:szCs w:val="24"/>
                <w:highlight w:val="none"/>
                <w:lang w:val="en-US" w:eastAsia="zh-CN"/>
              </w:rPr>
              <w:t>。（具体以与甲方签订合同为准）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1期：支付比例30%，合同签订生效后的15个工作日内申请支付合同总金额的30%。</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2期：支付比例40%，总体方案成果提交后的30个工作日内申请支付合同总金额的40%。</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3期：支付比例30%，项目通过验收后的30个工作日内申请支付余下款项（合同总金额的30%）。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供应商资格条件</w:t>
            </w:r>
          </w:p>
        </w:tc>
        <w:tc>
          <w:tcPr>
            <w:tcW w:w="6477" w:type="dxa"/>
            <w:vAlign w:val="center"/>
          </w:tcPr>
          <w:p>
            <w:pPr>
              <w:pStyle w:val="27"/>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1.供应商必须符合《中华人民共和国政府采购法》第二十二条规定：</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（1）经年审合格（三证合一）的营业执照；</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w:t>
            </w:r>
            <w:r>
              <w:rPr>
                <w:rFonts w:hint="eastAsia" w:ascii="宋体" w:hAnsi="宋体" w:cs="宋体"/>
                <w:b w:val="0"/>
                <w:bCs/>
                <w:i w:val="0"/>
                <w:caps w:val="0"/>
                <w:color w:val="auto"/>
                <w:spacing w:val="0"/>
                <w:kern w:val="0"/>
                <w:sz w:val="24"/>
                <w:szCs w:val="24"/>
                <w:highlight w:val="none"/>
                <w:lang w:val="en-US" w:eastAsia="zh-CN" w:bidi="ar"/>
              </w:rPr>
              <w:t>具有有效期内的乙级及以上测绘资质(专业范围包含地理信息系统工程)</w:t>
            </w:r>
            <w:r>
              <w:rPr>
                <w:rFonts w:hint="eastAsia" w:ascii="宋体" w:hAnsi="宋体" w:eastAsia="宋体" w:cs="宋体"/>
                <w:b w:val="0"/>
                <w:bCs/>
                <w:i w:val="0"/>
                <w:caps w:val="0"/>
                <w:color w:val="auto"/>
                <w:spacing w:val="0"/>
                <w:kern w:val="0"/>
                <w:sz w:val="24"/>
                <w:szCs w:val="24"/>
                <w:highlight w:val="none"/>
                <w:lang w:val="en-US" w:eastAsia="zh-CN" w:bidi="ar"/>
              </w:rPr>
              <w:t>；</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w:t>
            </w:r>
            <w:r>
              <w:rPr>
                <w:rFonts w:hint="eastAsia" w:ascii="宋体" w:hAnsi="宋体" w:cs="宋体"/>
                <w:b w:val="0"/>
                <w:bCs/>
                <w:i w:val="0"/>
                <w:caps w:val="0"/>
                <w:color w:val="auto"/>
                <w:spacing w:val="0"/>
                <w:kern w:val="0"/>
                <w:sz w:val="24"/>
                <w:szCs w:val="24"/>
                <w:highlight w:val="none"/>
                <w:lang w:val="en-US" w:eastAsia="zh-CN" w:bidi="ar"/>
              </w:rPr>
              <w:t>提供法人（指本单位）2023年2月至2023年4月单</w:t>
            </w:r>
            <w:r>
              <w:rPr>
                <w:rFonts w:hint="eastAsia" w:ascii="宋体" w:hAnsi="宋体" w:eastAsia="宋体" w:cs="宋体"/>
                <w:b w:val="0"/>
                <w:bCs/>
                <w:i w:val="0"/>
                <w:caps w:val="0"/>
                <w:color w:val="auto"/>
                <w:spacing w:val="0"/>
                <w:kern w:val="0"/>
                <w:sz w:val="24"/>
                <w:szCs w:val="24"/>
                <w:highlight w:val="none"/>
                <w:lang w:val="en-US" w:eastAsia="zh-CN" w:bidi="ar"/>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（5）具有良好的商业信誉和健全的财务会计制度：提供2021年度或2022年度由第三方财务审计机构出具的财务审计报告或新成立的企业提供银行出具的近三个月的资信证明；</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11</w:t>
            </w:r>
          </w:p>
        </w:tc>
        <w:tc>
          <w:tcPr>
            <w:tcW w:w="198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投标保证金</w:t>
            </w:r>
          </w:p>
        </w:tc>
        <w:tc>
          <w:tcPr>
            <w:tcW w:w="6477" w:type="dxa"/>
            <w:vAlign w:val="center"/>
          </w:tcPr>
          <w:p>
            <w:pPr>
              <w:spacing w:before="24" w:beforeLines="10" w:after="24" w:afterLines="10" w:line="240" w:lineRule="auto"/>
              <w:ind w:firstLine="0" w:firstLineChars="0"/>
              <w:jc w:val="left"/>
              <w:rPr>
                <w:rFonts w:hint="eastAsia" w:ascii="宋体" w:hAnsi="宋体" w:eastAsia="宋体" w:cs="宋体"/>
                <w:b/>
                <w:bCs w:val="0"/>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投标保证金的形式：转账、电汇、电子保函</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投标保证金的金额：</w:t>
            </w:r>
            <w:r>
              <w:rPr>
                <w:rFonts w:hint="eastAsia" w:ascii="宋体" w:hAnsi="宋体" w:cs="宋体"/>
                <w:b w:val="0"/>
                <w:bCs/>
                <w:i w:val="0"/>
                <w:caps w:val="0"/>
                <w:color w:val="auto"/>
                <w:spacing w:val="0"/>
                <w:kern w:val="0"/>
                <w:sz w:val="24"/>
                <w:szCs w:val="24"/>
                <w:highlight w:val="none"/>
                <w:lang w:val="en-US" w:eastAsia="zh-CN" w:bidi="ar"/>
              </w:rPr>
              <w:t>17000</w:t>
            </w:r>
            <w:r>
              <w:rPr>
                <w:rFonts w:hint="eastAsia" w:ascii="宋体" w:hAnsi="宋体" w:eastAsia="宋体" w:cs="宋体"/>
                <w:b w:val="0"/>
                <w:bCs/>
                <w:i w:val="0"/>
                <w:caps w:val="0"/>
                <w:color w:val="auto"/>
                <w:spacing w:val="0"/>
                <w:kern w:val="0"/>
                <w:sz w:val="24"/>
                <w:szCs w:val="24"/>
                <w:highlight w:val="none"/>
                <w:lang w:val="en-US" w:eastAsia="zh-CN" w:bidi="ar"/>
              </w:rPr>
              <w:t>元（</w:t>
            </w:r>
            <w:r>
              <w:rPr>
                <w:rFonts w:hint="eastAsia" w:ascii="宋体" w:hAnsi="宋体" w:cs="宋体"/>
                <w:b w:val="0"/>
                <w:bCs/>
                <w:i w:val="0"/>
                <w:caps w:val="0"/>
                <w:color w:val="auto"/>
                <w:spacing w:val="0"/>
                <w:kern w:val="0"/>
                <w:sz w:val="24"/>
                <w:szCs w:val="24"/>
                <w:highlight w:val="none"/>
                <w:lang w:val="en-US" w:eastAsia="zh-CN" w:bidi="ar"/>
              </w:rPr>
              <w:t>壹万柒仟元整</w:t>
            </w:r>
            <w:r>
              <w:rPr>
                <w:rFonts w:hint="eastAsia" w:ascii="宋体" w:hAnsi="宋体" w:eastAsia="宋体" w:cs="宋体"/>
                <w:b w:val="0"/>
                <w:bCs/>
                <w:i w:val="0"/>
                <w:caps w:val="0"/>
                <w:color w:val="auto"/>
                <w:spacing w:val="0"/>
                <w:kern w:val="0"/>
                <w:sz w:val="24"/>
                <w:szCs w:val="24"/>
                <w:highlight w:val="none"/>
                <w:lang w:val="en-US" w:eastAsia="zh-CN" w:bidi="ar"/>
              </w:rPr>
              <w:t>）</w:t>
            </w:r>
          </w:p>
          <w:p>
            <w:pPr>
              <w:spacing w:before="24" w:beforeLines="10" w:after="24" w:afterLines="10" w:line="240" w:lineRule="auto"/>
              <w:ind w:firstLine="0" w:firstLineChars="0"/>
              <w:jc w:val="left"/>
              <w:rPr>
                <w:rFonts w:hint="eastAsia" w:ascii="宋体" w:hAnsi="宋体" w:eastAsia="宋体" w:cs="宋体"/>
                <w:b/>
                <w:bCs w:val="0"/>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投标保证金缴纳账户：</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1、开户银行：中国农业银行股份有限公司洛浦县支行；</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2、收款单位：洛浦县政务服务和公共资源交易中心；</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3、银行帐号：30581601040888887；</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4、行号:103896558162</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注：1.采用银行转账或电汇的方式的，由报名单位基本账户</w:t>
            </w:r>
            <w:r>
              <w:rPr>
                <w:rFonts w:hint="eastAsia" w:ascii="宋体" w:hAnsi="宋体" w:cs="宋体"/>
                <w:b w:val="0"/>
                <w:bCs/>
                <w:i w:val="0"/>
                <w:caps w:val="0"/>
                <w:color w:val="auto"/>
                <w:spacing w:val="0"/>
                <w:kern w:val="0"/>
                <w:sz w:val="24"/>
                <w:szCs w:val="24"/>
                <w:highlight w:val="none"/>
                <w:lang w:val="en-US" w:eastAsia="zh-CN" w:bidi="ar"/>
              </w:rPr>
              <w:t>或一般户</w:t>
            </w:r>
            <w:r>
              <w:rPr>
                <w:rFonts w:hint="eastAsia" w:ascii="宋体" w:hAnsi="宋体" w:eastAsia="宋体" w:cs="宋体"/>
                <w:b w:val="0"/>
                <w:bCs/>
                <w:i w:val="0"/>
                <w:caps w:val="0"/>
                <w:color w:val="auto"/>
                <w:spacing w:val="0"/>
                <w:kern w:val="0"/>
                <w:sz w:val="24"/>
                <w:szCs w:val="24"/>
                <w:highlight w:val="none"/>
                <w:lang w:val="en-US" w:eastAsia="zh-CN" w:bidi="ar"/>
              </w:rPr>
              <w:t>于投标保证金时间前（</w:t>
            </w:r>
            <w:r>
              <w:rPr>
                <w:rFonts w:hint="eastAsia" w:ascii="宋体" w:hAnsi="宋体" w:cs="宋体"/>
                <w:b w:val="0"/>
                <w:bCs/>
                <w:i w:val="0"/>
                <w:caps w:val="0"/>
                <w:color w:val="auto"/>
                <w:spacing w:val="0"/>
                <w:kern w:val="0"/>
                <w:sz w:val="24"/>
                <w:szCs w:val="24"/>
                <w:highlight w:val="none"/>
                <w:lang w:val="en-US" w:eastAsia="zh-CN" w:bidi="ar"/>
              </w:rPr>
              <w:t>2023年06月15日16:00</w:t>
            </w:r>
            <w:r>
              <w:rPr>
                <w:rFonts w:hint="eastAsia" w:ascii="宋体" w:hAnsi="宋体" w:eastAsia="宋体" w:cs="宋体"/>
                <w:b w:val="0"/>
                <w:bCs/>
                <w:i w:val="0"/>
                <w:caps w:val="0"/>
                <w:color w:val="auto"/>
                <w:spacing w:val="0"/>
                <w:kern w:val="0"/>
                <w:sz w:val="24"/>
                <w:szCs w:val="24"/>
                <w:highlight w:val="none"/>
                <w:lang w:val="en-US" w:eastAsia="zh-CN" w:bidi="ar"/>
              </w:rPr>
              <w:t>（北京时间））汇至洛浦县政府投资交易中心专用账户，不得以现金和其他形式缴纳，不得以分公司、办事处或其他机构的名义缴纳，报名单位在缴纳保证金时，需在进账凭证上明确资金用途、项目名称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，以便查对核实。投标保证金缴纳截止时间为递交投标文件截止时间，无须到洛浦县政府投资交易中心换取收据。</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保函投保金额(元)：</w:t>
            </w:r>
            <w:r>
              <w:rPr>
                <w:rFonts w:hint="eastAsia" w:ascii="宋体" w:hAnsi="宋体" w:cs="宋体"/>
                <w:b w:val="0"/>
                <w:bCs/>
                <w:i w:val="0"/>
                <w:caps w:val="0"/>
                <w:color w:val="auto"/>
                <w:spacing w:val="0"/>
                <w:kern w:val="0"/>
                <w:sz w:val="24"/>
                <w:szCs w:val="24"/>
                <w:highlight w:val="none"/>
                <w:lang w:val="en-US" w:eastAsia="zh-CN" w:bidi="ar"/>
              </w:rPr>
              <w:t>17000</w:t>
            </w:r>
          </w:p>
          <w:p>
            <w:pPr>
              <w:pStyle w:val="48"/>
              <w:keepNext/>
              <w:keepLines w:val="0"/>
              <w:pageBreakBefore w:val="0"/>
              <w:widowControl w:val="0"/>
              <w:kinsoku/>
              <w:wordWrap/>
              <w:overflowPunct/>
              <w:topLinePunct w:val="0"/>
              <w:bidi w:val="0"/>
              <w:snapToGrid/>
              <w:spacing w:line="300" w:lineRule="exact"/>
              <w:ind w:right="0" w:rightChars="0"/>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保函承保期限：</w:t>
            </w:r>
            <w:r>
              <w:rPr>
                <w:rFonts w:hint="eastAsia" w:cs="宋体"/>
                <w:b w:val="0"/>
                <w:bCs/>
                <w:i w:val="0"/>
                <w:caps w:val="0"/>
                <w:color w:val="auto"/>
                <w:spacing w:val="0"/>
                <w:kern w:val="0"/>
                <w:sz w:val="24"/>
                <w:szCs w:val="24"/>
                <w:highlight w:val="none"/>
                <w:lang w:val="en-US" w:eastAsia="zh-CN" w:bidi="ar"/>
              </w:rPr>
              <w:t>2023年06月15日</w:t>
            </w:r>
            <w:r>
              <w:rPr>
                <w:rFonts w:hint="eastAsia" w:ascii="宋体" w:hAnsi="宋体" w:eastAsia="宋体" w:cs="宋体"/>
                <w:b w:val="0"/>
                <w:bCs/>
                <w:i w:val="0"/>
                <w:caps w:val="0"/>
                <w:color w:val="auto"/>
                <w:spacing w:val="0"/>
                <w:kern w:val="0"/>
                <w:sz w:val="24"/>
                <w:szCs w:val="24"/>
                <w:highlight w:val="none"/>
                <w:lang w:val="en-US" w:eastAsia="zh-CN" w:bidi="ar"/>
              </w:rPr>
              <w:t>---- 2023年</w:t>
            </w:r>
            <w:r>
              <w:rPr>
                <w:rFonts w:hint="eastAsia" w:cs="宋体"/>
                <w:b w:val="0"/>
                <w:bCs/>
                <w:i w:val="0"/>
                <w:caps w:val="0"/>
                <w:color w:val="auto"/>
                <w:spacing w:val="0"/>
                <w:kern w:val="0"/>
                <w:sz w:val="24"/>
                <w:szCs w:val="24"/>
                <w:highlight w:val="none"/>
                <w:lang w:val="en-US" w:eastAsia="zh-CN" w:bidi="ar"/>
              </w:rPr>
              <w:t>10</w:t>
            </w:r>
            <w:r>
              <w:rPr>
                <w:rFonts w:hint="eastAsia" w:ascii="宋体" w:hAnsi="宋体" w:eastAsia="宋体" w:cs="宋体"/>
                <w:b w:val="0"/>
                <w:bCs/>
                <w:i w:val="0"/>
                <w:caps w:val="0"/>
                <w:color w:val="auto"/>
                <w:spacing w:val="0"/>
                <w:kern w:val="0"/>
                <w:sz w:val="24"/>
                <w:szCs w:val="24"/>
                <w:highlight w:val="none"/>
                <w:lang w:val="en-US" w:eastAsia="zh-CN" w:bidi="ar"/>
              </w:rPr>
              <w:t>月</w:t>
            </w:r>
            <w:r>
              <w:rPr>
                <w:rFonts w:hint="eastAsia" w:cs="宋体"/>
                <w:b w:val="0"/>
                <w:bCs/>
                <w:i w:val="0"/>
                <w:caps w:val="0"/>
                <w:color w:val="auto"/>
                <w:spacing w:val="0"/>
                <w:kern w:val="0"/>
                <w:sz w:val="24"/>
                <w:szCs w:val="24"/>
                <w:highlight w:val="none"/>
                <w:lang w:val="en-US" w:eastAsia="zh-CN" w:bidi="ar"/>
              </w:rPr>
              <w:t>15</w:t>
            </w:r>
            <w:r>
              <w:rPr>
                <w:rFonts w:hint="eastAsia" w:ascii="宋体" w:hAnsi="宋体" w:eastAsia="宋体" w:cs="宋体"/>
                <w:b w:val="0"/>
                <w:bCs/>
                <w:i w:val="0"/>
                <w:caps w:val="0"/>
                <w:color w:val="auto"/>
                <w:spacing w:val="0"/>
                <w:kern w:val="0"/>
                <w:sz w:val="24"/>
                <w:szCs w:val="24"/>
                <w:highlight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信用情况</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1、信用记录查询时间及方式：</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（1）查询时间：自招标公告发布日期起至开标日期止，超出此时间范围将被视为无效投标。</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（3）供应商参加政府采购活动时，应当就自己的诚信情况在响应性文件中进行承诺。</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13</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标前准备</w:t>
            </w:r>
          </w:p>
        </w:tc>
        <w:tc>
          <w:tcPr>
            <w:tcW w:w="6477"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本项目实行网上投标，采用电子投标文件。若供应商参与投标，自 行承担投标一切费用。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各供应商应在开标前应确保成为新疆维吾尔自治区政府采购网正式注册入库供应商，并完成 CA 数字证书申领。因 未注册入库、未办理 CA 数字证书等原因造成无法投标或投标失败等后 果由供应商自行承担。</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color w:val="auto"/>
                <w:sz w:val="24"/>
                <w:szCs w:val="24"/>
                <w:highlight w:val="none"/>
              </w:rPr>
              <w:t xml:space="preserve">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购网（https://www.zcygov.cn/）下载专区查看，如有问题可拨打政采云客户服务热线 </w:t>
            </w:r>
            <w:r>
              <w:rPr>
                <w:rFonts w:hint="eastAsia" w:ascii="宋体" w:hAnsi="宋体" w:eastAsia="宋体" w:cs="宋体"/>
                <w:b/>
                <w:bCs w:val="0"/>
                <w:color w:val="auto"/>
                <w:sz w:val="24"/>
                <w:szCs w:val="24"/>
                <w:highlight w:val="none"/>
                <w:lang w:eastAsia="zh-CN"/>
              </w:rPr>
              <w:t>95763</w:t>
            </w:r>
            <w:r>
              <w:rPr>
                <w:rFonts w:hint="eastAsia" w:ascii="宋体" w:hAnsi="宋体" w:eastAsia="宋体" w:cs="宋体"/>
                <w:b/>
                <w:bCs w:val="0"/>
                <w:color w:val="auto"/>
                <w:sz w:val="24"/>
                <w:szCs w:val="24"/>
                <w:highlight w:val="none"/>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14</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资金来源</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政府自筹资金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15</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投标有效期</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招标文件发放</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供应商登陆政采云平台</w:t>
            </w:r>
            <w:r>
              <w:rPr>
                <w:rFonts w:hint="eastAsia" w:ascii="宋体" w:hAnsi="宋体" w:eastAsia="宋体" w:cs="宋体"/>
                <w:b/>
                <w:bCs w:val="0"/>
                <w:i w:val="0"/>
                <w:caps w:val="0"/>
                <w:color w:val="auto"/>
                <w:spacing w:val="0"/>
                <w:kern w:val="0"/>
                <w:sz w:val="24"/>
                <w:szCs w:val="24"/>
                <w:highlight w:val="none"/>
                <w:lang w:val="en-US" w:eastAsia="zh-CN" w:bidi="ar"/>
              </w:rPr>
              <w:fldChar w:fldCharType="begin"/>
            </w:r>
            <w:r>
              <w:rPr>
                <w:rFonts w:hint="eastAsia" w:ascii="宋体" w:hAnsi="宋体" w:eastAsia="宋体" w:cs="宋体"/>
                <w:b/>
                <w:bCs w:val="0"/>
                <w:i w:val="0"/>
                <w:caps w:val="0"/>
                <w:color w:val="auto"/>
                <w:spacing w:val="0"/>
                <w:kern w:val="0"/>
                <w:sz w:val="24"/>
                <w:szCs w:val="24"/>
                <w:highlight w:val="none"/>
                <w:lang w:val="en-US" w:eastAsia="zh-CN" w:bidi="ar"/>
              </w:rPr>
              <w:instrText xml:space="preserve"> HYPERLINK "https://www.zcygov.cn/" </w:instrText>
            </w:r>
            <w:r>
              <w:rPr>
                <w:rFonts w:hint="eastAsia" w:ascii="宋体" w:hAnsi="宋体" w:eastAsia="宋体" w:cs="宋体"/>
                <w:b/>
                <w:bCs w:val="0"/>
                <w:i w:val="0"/>
                <w:caps w:val="0"/>
                <w:color w:val="auto"/>
                <w:spacing w:val="0"/>
                <w:kern w:val="0"/>
                <w:sz w:val="24"/>
                <w:szCs w:val="24"/>
                <w:highlight w:val="none"/>
                <w:lang w:val="en-US" w:eastAsia="zh-CN" w:bidi="ar"/>
              </w:rPr>
              <w:fldChar w:fldCharType="separate"/>
            </w:r>
            <w:r>
              <w:rPr>
                <w:rFonts w:hint="eastAsia" w:ascii="宋体" w:hAnsi="宋体" w:eastAsia="宋体" w:cs="宋体"/>
                <w:b/>
                <w:bCs w:val="0"/>
                <w:i w:val="0"/>
                <w:caps w:val="0"/>
                <w:color w:val="auto"/>
                <w:spacing w:val="0"/>
                <w:kern w:val="0"/>
                <w:sz w:val="24"/>
                <w:szCs w:val="24"/>
                <w:highlight w:val="none"/>
                <w:lang w:val="en-US" w:eastAsia="zh-CN" w:bidi="ar"/>
              </w:rPr>
              <w:t>https://www.zcygov.cn/</w:t>
            </w:r>
            <w:r>
              <w:rPr>
                <w:rFonts w:hint="eastAsia" w:ascii="宋体" w:hAnsi="宋体" w:eastAsia="宋体" w:cs="宋体"/>
                <w:b/>
                <w:bCs w:val="0"/>
                <w:i w:val="0"/>
                <w:caps w:val="0"/>
                <w:color w:val="auto"/>
                <w:spacing w:val="0"/>
                <w:kern w:val="0"/>
                <w:sz w:val="24"/>
                <w:szCs w:val="24"/>
                <w:highlight w:val="none"/>
                <w:lang w:val="en-US" w:eastAsia="zh-CN" w:bidi="ar"/>
              </w:rPr>
              <w:fldChar w:fldCharType="end"/>
            </w:r>
            <w:r>
              <w:rPr>
                <w:rFonts w:hint="eastAsia" w:ascii="宋体" w:hAnsi="宋体" w:eastAsia="宋体" w:cs="宋体"/>
                <w:b/>
                <w:bCs w:val="0"/>
                <w:i w:val="0"/>
                <w:caps w:val="0"/>
                <w:color w:val="auto"/>
                <w:spacing w:val="0"/>
                <w:kern w:val="0"/>
                <w:sz w:val="24"/>
                <w:szCs w:val="24"/>
                <w:highlight w:val="none"/>
                <w:lang w:val="en-US" w:eastAsia="zh-CN" w:bidi="ar"/>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17</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投标截止时间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b w:val="0"/>
                <w:bCs/>
                <w:i w:val="0"/>
                <w:caps w:val="0"/>
                <w:color w:val="auto"/>
                <w:spacing w:val="0"/>
                <w:kern w:val="0"/>
                <w:sz w:val="24"/>
                <w:szCs w:val="24"/>
                <w:highlight w:val="none"/>
                <w:lang w:val="en-US" w:eastAsia="zh-CN" w:bidi="ar"/>
              </w:rPr>
              <w:t>2023年06月15日16:00</w:t>
            </w:r>
            <w:r>
              <w:rPr>
                <w:rFonts w:hint="eastAsia" w:ascii="宋体" w:hAnsi="宋体" w:eastAsia="宋体" w:cs="宋体"/>
                <w:b w:val="0"/>
                <w:bCs/>
                <w:i w:val="0"/>
                <w:caps w:val="0"/>
                <w:color w:val="auto"/>
                <w:spacing w:val="0"/>
                <w:kern w:val="0"/>
                <w:sz w:val="24"/>
                <w:szCs w:val="24"/>
                <w:highlight w:val="none"/>
                <w:lang w:val="en-US" w:eastAsia="zh-CN" w:bidi="ar"/>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18</w:t>
            </w:r>
          </w:p>
        </w:tc>
        <w:tc>
          <w:tcPr>
            <w:tcW w:w="1980"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递交投标文件的地点及方式</w:t>
            </w:r>
          </w:p>
        </w:tc>
        <w:tc>
          <w:tcPr>
            <w:tcW w:w="6477" w:type="dxa"/>
            <w:vAlign w:val="center"/>
          </w:tcPr>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开标地点：洛浦县政府投资交易中心三楼</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递交投标文件的地点及方式：投标人应</w:t>
            </w:r>
            <w:r>
              <w:rPr>
                <w:rFonts w:hint="eastAsia" w:ascii="宋体" w:hAnsi="宋体" w:cs="宋体"/>
                <w:b/>
                <w:bCs/>
                <w:i w:val="0"/>
                <w:iCs w:val="0"/>
                <w:caps w:val="0"/>
                <w:color w:val="auto"/>
                <w:spacing w:val="0"/>
                <w:kern w:val="0"/>
                <w:sz w:val="24"/>
                <w:szCs w:val="24"/>
                <w:highlight w:val="none"/>
                <w:lang w:val="en-US" w:eastAsia="zh-CN" w:bidi="ar"/>
              </w:rPr>
              <w:t>2023年06月15日16:00</w:t>
            </w:r>
            <w:r>
              <w:rPr>
                <w:rFonts w:hint="eastAsia" w:ascii="宋体" w:hAnsi="宋体" w:eastAsia="宋体" w:cs="宋体"/>
                <w:b/>
                <w:bCs/>
                <w:i w:val="0"/>
                <w:iCs w:val="0"/>
                <w:caps w:val="0"/>
                <w:color w:val="auto"/>
                <w:spacing w:val="0"/>
                <w:kern w:val="0"/>
                <w:sz w:val="24"/>
                <w:szCs w:val="24"/>
                <w:highlight w:val="none"/>
                <w:lang w:val="en-US" w:eastAsia="zh-CN" w:bidi="ar"/>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pPr>
              <w:spacing w:line="36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Times New Roman" w:hAnsi="Times New Roman" w:eastAsia="宋体" w:cs="Times New Roman"/>
                <w:b/>
                <w:bCs w:val="0"/>
                <w:kern w:val="2"/>
                <w:sz w:val="24"/>
                <w:szCs w:val="22"/>
                <w:lang w:val="en-US" w:eastAsia="zh-CN" w:bidi="ar-SA"/>
              </w:rPr>
              <w:t>投标文件：开标结束后各投标人将上传政府采购网的投标文件使用A4纸胶装成册（1正2副）电子版</w:t>
            </w:r>
            <w:r>
              <w:rPr>
                <w:rFonts w:hint="eastAsia" w:ascii="Times New Roman" w:hAnsi="Times New Roman" w:cs="Times New Roman"/>
                <w:b/>
                <w:bCs w:val="0"/>
                <w:kern w:val="2"/>
                <w:sz w:val="24"/>
                <w:szCs w:val="22"/>
                <w:lang w:val="en-US" w:eastAsia="zh-CN" w:bidi="ar-SA"/>
              </w:rPr>
              <w:t>投标</w:t>
            </w:r>
            <w:r>
              <w:rPr>
                <w:rFonts w:hint="eastAsia" w:ascii="Times New Roman" w:hAnsi="Times New Roman" w:eastAsia="宋体" w:cs="Times New Roman"/>
                <w:b/>
                <w:bCs w:val="0"/>
                <w:kern w:val="2"/>
                <w:sz w:val="24"/>
                <w:szCs w:val="22"/>
                <w:lang w:val="en-US" w:eastAsia="zh-CN" w:bidi="ar-SA"/>
              </w:rPr>
              <w:t>文件</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U盘一份</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递交或邮寄至</w:t>
            </w:r>
            <w:r>
              <w:rPr>
                <w:rFonts w:hint="eastAsia" w:ascii="Times New Roman" w:hAnsi="Times New Roman" w:cs="Times New Roman"/>
                <w:b/>
                <w:bCs w:val="0"/>
                <w:kern w:val="2"/>
                <w:sz w:val="24"/>
                <w:szCs w:val="22"/>
                <w:lang w:val="en-US" w:eastAsia="zh-CN" w:bidi="ar-SA"/>
              </w:rPr>
              <w:t>新疆金誉达项目管理有限公司（</w:t>
            </w:r>
            <w:r>
              <w:rPr>
                <w:rFonts w:hint="eastAsia" w:ascii="Times New Roman" w:hAnsi="Times New Roman" w:eastAsia="宋体" w:cs="Times New Roman"/>
                <w:b/>
                <w:bCs w:val="0"/>
                <w:kern w:val="2"/>
                <w:sz w:val="24"/>
                <w:szCs w:val="22"/>
                <w:lang w:val="en-US" w:eastAsia="zh-CN" w:bidi="ar-SA"/>
              </w:rPr>
              <w:t xml:space="preserve">和田市古江南路180号新疆和中昆仑矿业有限公司5楼 </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投标文件解密时间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color w:val="auto"/>
                <w:sz w:val="21"/>
                <w:szCs w:val="21"/>
                <w:highlight w:val="none"/>
              </w:rPr>
              <w:t>开标时间后</w:t>
            </w:r>
            <w:r>
              <w:rPr>
                <w:rFonts w:hint="eastAsia" w:ascii="宋体" w:hAnsi="宋体" w:eastAsia="宋体" w:cs="宋体"/>
                <w:b/>
                <w:bCs w:val="0"/>
                <w:color w:val="auto"/>
                <w:sz w:val="21"/>
                <w:szCs w:val="21"/>
                <w:highlight w:val="none"/>
                <w:lang w:val="en-US" w:eastAsia="zh-CN"/>
              </w:rPr>
              <w:t>60分钟</w:t>
            </w:r>
            <w:r>
              <w:rPr>
                <w:rFonts w:hint="eastAsia" w:ascii="宋体" w:hAnsi="宋体" w:eastAsia="宋体" w:cs="宋体"/>
                <w:b/>
                <w:bCs w:val="0"/>
                <w:color w:val="auto"/>
                <w:sz w:val="21"/>
                <w:szCs w:val="21"/>
                <w:highlight w:val="none"/>
              </w:rPr>
              <w:t>内（</w:t>
            </w:r>
            <w:r>
              <w:rPr>
                <w:rFonts w:hint="eastAsia" w:ascii="宋体" w:hAnsi="宋体" w:cs="宋体"/>
                <w:color w:val="auto"/>
                <w:sz w:val="21"/>
                <w:szCs w:val="21"/>
                <w:highlight w:val="none"/>
                <w:lang w:eastAsia="zh-CN"/>
              </w:rPr>
              <w:t>2023年06月15日</w:t>
            </w:r>
            <w:r>
              <w:rPr>
                <w:rFonts w:hint="eastAsia" w:ascii="宋体" w:hAnsi="宋体" w:cs="宋体"/>
                <w:b/>
                <w:bCs w:val="0"/>
                <w:color w:val="auto"/>
                <w:sz w:val="21"/>
                <w:szCs w:val="21"/>
                <w:highlight w:val="none"/>
                <w:lang w:val="en-US" w:eastAsia="zh-CN"/>
              </w:rPr>
              <w:t>16:00</w:t>
            </w:r>
            <w:r>
              <w:rPr>
                <w:rFonts w:hint="eastAsia" w:ascii="宋体" w:hAnsi="宋体" w:eastAsia="宋体" w:cs="宋体"/>
                <w:b/>
                <w:bCs w:val="0"/>
                <w:color w:val="auto"/>
                <w:sz w:val="21"/>
                <w:szCs w:val="21"/>
                <w:highlight w:val="none"/>
                <w:lang w:val="en-US" w:eastAsia="zh-CN"/>
              </w:rPr>
              <w:t>-1</w:t>
            </w:r>
            <w:r>
              <w:rPr>
                <w:rFonts w:hint="eastAsia" w:ascii="宋体" w:hAnsi="宋体" w:cs="宋体"/>
                <w:b/>
                <w:bCs w:val="0"/>
                <w:color w:val="auto"/>
                <w:sz w:val="21"/>
                <w:szCs w:val="21"/>
                <w:highlight w:val="none"/>
                <w:lang w:val="en-US" w:eastAsia="zh-CN"/>
              </w:rPr>
              <w:t>7：00</w:t>
            </w:r>
            <w:r>
              <w:rPr>
                <w:rFonts w:hint="eastAsia" w:ascii="宋体" w:hAnsi="宋体" w:eastAsia="宋体" w:cs="宋体"/>
                <w:b/>
                <w:bCs w:val="0"/>
                <w:color w:val="auto"/>
                <w:sz w:val="21"/>
                <w:szCs w:val="21"/>
                <w:highlight w:val="none"/>
              </w:rPr>
              <w:t>前）供应商可以登录“政采云”平台，用“项目采购-开标评标”功能进行解密投标文件。若供应商在规定时间内（</w:t>
            </w:r>
            <w:r>
              <w:rPr>
                <w:rFonts w:hint="eastAsia" w:ascii="宋体" w:hAnsi="宋体" w:cs="宋体"/>
                <w:color w:val="auto"/>
                <w:sz w:val="21"/>
                <w:szCs w:val="21"/>
                <w:highlight w:val="none"/>
                <w:lang w:eastAsia="zh-CN"/>
              </w:rPr>
              <w:t>2023年06月15日</w:t>
            </w:r>
            <w:r>
              <w:rPr>
                <w:rFonts w:hint="eastAsia" w:ascii="宋体" w:hAnsi="宋体" w:cs="宋体"/>
                <w:b/>
                <w:bCs w:val="0"/>
                <w:color w:val="auto"/>
                <w:sz w:val="21"/>
                <w:szCs w:val="21"/>
                <w:highlight w:val="none"/>
                <w:lang w:val="en-US" w:eastAsia="zh-CN"/>
              </w:rPr>
              <w:t>17:00</w:t>
            </w:r>
            <w:r>
              <w:rPr>
                <w:rFonts w:hint="eastAsia" w:ascii="宋体" w:hAnsi="宋体" w:eastAsia="宋体" w:cs="宋体"/>
                <w:b/>
                <w:bCs w:val="0"/>
                <w:color w:val="auto"/>
                <w:sz w:val="21"/>
                <w:szCs w:val="21"/>
                <w:highlight w:val="none"/>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备选投标方案和报价</w:t>
            </w:r>
          </w:p>
        </w:tc>
        <w:tc>
          <w:tcPr>
            <w:tcW w:w="6477" w:type="dxa"/>
            <w:vAlign w:val="center"/>
          </w:tcPr>
          <w:p>
            <w:pPr>
              <w:adjustRightInd w:val="0"/>
              <w:snapToGrid w:val="0"/>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21</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采购预算金额</w:t>
            </w:r>
          </w:p>
        </w:tc>
        <w:tc>
          <w:tcPr>
            <w:tcW w:w="6477" w:type="dxa"/>
            <w:vAlign w:val="center"/>
          </w:tcPr>
          <w:p>
            <w:pPr>
              <w:pStyle w:val="1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采购预算价：</w:t>
            </w:r>
            <w:r>
              <w:rPr>
                <w:rFonts w:hint="eastAsia" w:hAnsi="宋体" w:cs="宋体"/>
                <w:b w:val="0"/>
                <w:bCs/>
                <w:i w:val="0"/>
                <w:caps w:val="0"/>
                <w:color w:val="auto"/>
                <w:spacing w:val="0"/>
                <w:kern w:val="0"/>
                <w:sz w:val="24"/>
                <w:szCs w:val="24"/>
                <w:highlight w:val="none"/>
                <w:lang w:val="en-US" w:eastAsia="zh-CN" w:bidi="ar"/>
              </w:rPr>
              <w:t>1700000</w:t>
            </w:r>
            <w:r>
              <w:rPr>
                <w:rFonts w:hint="eastAsia" w:ascii="宋体" w:hAnsi="宋体" w:eastAsia="宋体" w:cs="宋体"/>
                <w:b w:val="0"/>
                <w:bCs/>
                <w:i w:val="0"/>
                <w:caps w:val="0"/>
                <w:color w:val="auto"/>
                <w:spacing w:val="0"/>
                <w:kern w:val="0"/>
                <w:sz w:val="24"/>
                <w:szCs w:val="24"/>
                <w:highlight w:val="none"/>
                <w:lang w:val="en-US" w:eastAsia="zh-CN" w:bidi="ar"/>
              </w:rPr>
              <w:t>.00元，最高限价：</w:t>
            </w:r>
            <w:r>
              <w:rPr>
                <w:rFonts w:hint="eastAsia" w:hAnsi="宋体" w:cs="宋体"/>
                <w:b w:val="0"/>
                <w:bCs/>
                <w:i w:val="0"/>
                <w:caps w:val="0"/>
                <w:color w:val="auto"/>
                <w:spacing w:val="0"/>
                <w:kern w:val="0"/>
                <w:sz w:val="24"/>
                <w:szCs w:val="24"/>
                <w:highlight w:val="none"/>
                <w:lang w:val="en-US" w:eastAsia="zh-CN" w:bidi="ar"/>
              </w:rPr>
              <w:t>1700000</w:t>
            </w:r>
            <w:r>
              <w:rPr>
                <w:rFonts w:hint="eastAsia" w:ascii="宋体" w:hAnsi="宋体" w:eastAsia="宋体" w:cs="宋体"/>
                <w:b w:val="0"/>
                <w:bCs/>
                <w:i w:val="0"/>
                <w:caps w:val="0"/>
                <w:color w:val="auto"/>
                <w:spacing w:val="0"/>
                <w:kern w:val="0"/>
                <w:sz w:val="24"/>
                <w:szCs w:val="24"/>
                <w:highlight w:val="none"/>
                <w:lang w:val="en-US" w:eastAsia="zh-CN" w:bidi="ar"/>
              </w:rPr>
              <w:t>.00元；</w:t>
            </w:r>
          </w:p>
          <w:p>
            <w:pPr>
              <w:pStyle w:val="10"/>
              <w:rPr>
                <w:rFonts w:hint="eastAsia" w:ascii="宋体" w:hAnsi="宋体" w:eastAsia="宋体" w:cs="宋体"/>
                <w:color w:val="auto"/>
                <w:highlight w:val="none"/>
                <w:lang w:val="en-US" w:eastAsia="zh-CN"/>
              </w:rPr>
            </w:pPr>
            <w:r>
              <w:rPr>
                <w:rFonts w:hint="eastAsia" w:ascii="宋体" w:hAnsi="宋体" w:eastAsia="宋体" w:cs="宋体"/>
                <w:b w:val="0"/>
                <w:bCs/>
                <w:i w:val="0"/>
                <w:caps w:val="0"/>
                <w:color w:val="auto"/>
                <w:spacing w:val="0"/>
                <w:kern w:val="0"/>
                <w:sz w:val="24"/>
                <w:szCs w:val="24"/>
                <w:highlight w:val="none"/>
                <w:lang w:val="en-US" w:eastAsia="zh-CN" w:bidi="ar"/>
              </w:rPr>
              <w:t>高于采购最高限价的报价视为无效报价，作否决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含为完成采购文件规定的服务工作所涉及到的一切相关费用），包括完成该项目采购需求范围内服务、第三方服务等全部内容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投标报价</w:t>
            </w:r>
          </w:p>
        </w:tc>
        <w:tc>
          <w:tcPr>
            <w:tcW w:w="6477" w:type="dxa"/>
            <w:vAlign w:val="center"/>
          </w:tcPr>
          <w:p>
            <w:pPr>
              <w:numPr>
                <w:ilvl w:val="0"/>
                <w:numId w:val="0"/>
              </w:num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针对响应文件的商务、技术和价格等内容进行磋商并提交二次报价，最终报价以二次报价为准（二次报价不得高于一次报价，否则以否决投标处理）。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23</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评标办法</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24</w:t>
            </w:r>
          </w:p>
        </w:tc>
        <w:tc>
          <w:tcPr>
            <w:tcW w:w="1980" w:type="dxa"/>
            <w:vAlign w:val="center"/>
          </w:tcPr>
          <w:p>
            <w:pPr>
              <w:spacing w:line="340" w:lineRule="exact"/>
              <w:jc w:val="center"/>
              <w:rPr>
                <w:rFonts w:hint="default"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color w:val="auto"/>
                <w:sz w:val="24"/>
                <w:szCs w:val="24"/>
                <w:highlight w:val="none"/>
                <w:lang w:val="en-US" w:eastAsia="zh-CN"/>
              </w:rPr>
              <w:t>磋商小组</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构成：3人组成，其中采购人代表1人和专家评委2人；评标专家确定方式：由招标代理在开标前48小时在政采云专家库中随机抽取此次评标专家。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75"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是否接受联合体投标</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26</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踏勘现场</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27</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履约保证金</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履约保证金形式：支票、汇票、本票、或者金融机构、担保机构出具的保函、等非现金形式提交（履约赔付地点为项目所在地）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28</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不予退还保证金的情形</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有下列情形之一的，保证金不予退还：</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（1）投标人在投标有效期内撤回投标文件的；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（2）投标人在投标过程中弄虚作假，提供虚假材料的；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（3）中标人无正当理由不与招标人签订合同的；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（4）其他严重扰乱招投标程序的。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政府采购政策支持</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1.本项目全面面向中小企业。</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注：参加本项目的中小企业须提供《中小企业声明函》（附件），未提供的不视为中小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2.本项目中小企业划分标准为：其他未列明行业，从业人员300人以下的为中小微型企业。其中，从业人员100人及以上的为中型企业；从业人员10人及以上的为小型企业；从业人员10人以下的为微型企业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30</w:t>
            </w:r>
          </w:p>
        </w:tc>
        <w:tc>
          <w:tcPr>
            <w:tcW w:w="1980" w:type="dxa"/>
            <w:vAlign w:val="center"/>
          </w:tcPr>
          <w:p>
            <w:pPr>
              <w:adjustRightInd w:val="0"/>
              <w:snapToGrid w:val="0"/>
              <w:spacing w:line="36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招标代理服务费</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1、收取方式：现金或银行转账。</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2、收取标准：以中标金额为基数，参照国家发改委[2011]534号文、[2015]299号文作为协商价格的基础收取，经协商本次招标代理费由中标人领取中标通知书前一次性向采购代理机构支付。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31</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供应商对招标文件提出质疑的时间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提出质疑函的时限：对采购文件提出质疑的，应当在获取采购文件或者采购文件公告期限届满之日起7个工作日内提出。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其他说明</w:t>
            </w:r>
          </w:p>
        </w:tc>
        <w:tc>
          <w:tcPr>
            <w:tcW w:w="6477" w:type="dxa"/>
            <w:vAlign w:val="center"/>
          </w:tcPr>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特别提醒：</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1、所有供应商的报价高于采购预算额度视为无效报价（即作否决投标处理）。</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2、为保证本项目服务质量，良好的售后服务；最低报价不作为中标的唯一依据。</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4、更正补充公告请自行登录新疆政府采购网查看下载。</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5、招标文件中部分加“*”、“★”、加粗、加下划线为招标的实质性要求和条件，着重提醒各投标人注意，并认真查看招标文件中的每一个条款及要求，因误读招标文件而造成的后果，招标人概不负责。</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7、投标供应商制作投标文件的CA锁必须和开标解密的CA锁为同一把锁，在解密过程中因为CA锁不同而导致解密失败的，由投标供应商自行承担。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33</w:t>
            </w:r>
          </w:p>
        </w:tc>
        <w:tc>
          <w:tcPr>
            <w:tcW w:w="1980" w:type="dxa"/>
            <w:vAlign w:val="center"/>
          </w:tcPr>
          <w:p>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重要提示</w:t>
            </w:r>
          </w:p>
        </w:tc>
        <w:tc>
          <w:tcPr>
            <w:tcW w:w="6477" w:type="dxa"/>
            <w:vAlign w:val="center"/>
          </w:tcPr>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（4）中标供应商中标后被监管部门查实存在违法行为，不满足中标条件的，由采购人取消中标资格，并做好项目后续工作； </w:t>
            </w:r>
          </w:p>
          <w:p>
            <w:pPr>
              <w:spacing w:line="34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shd w:val="clear" w:color="auto" w:fill="auto"/>
              <w:ind w:left="120" w:leftChars="0" w:right="62" w:rightChars="0" w:hanging="120" w:hangingChars="5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质疑</w:t>
            </w:r>
          </w:p>
        </w:tc>
        <w:tc>
          <w:tcPr>
            <w:tcW w:w="8457" w:type="dxa"/>
            <w:gridSpan w:val="2"/>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shd w:val="clear" w:color="auto" w:fill="auto"/>
              <w:ind w:left="120" w:leftChars="0" w:right="62" w:rightChars="0" w:hanging="120" w:hangingChars="5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投诉</w:t>
            </w:r>
          </w:p>
        </w:tc>
        <w:tc>
          <w:tcPr>
            <w:tcW w:w="8457" w:type="dxa"/>
            <w:gridSpan w:val="2"/>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注：根据《中华人民共和国政府采购法实施条例》的规定，供应商投诉事项不得超出已质疑事项的范围。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732" w:type="dxa"/>
            <w:gridSpan w:val="3"/>
            <w:vAlign w:val="center"/>
          </w:tcPr>
          <w:p>
            <w:pPr>
              <w:spacing w:line="440" w:lineRule="exac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提示：（1）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pPr>
              <w:spacing w:line="440" w:lineRule="exac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（2）更正补充公告请自行登录新疆政府采购网查看下载。</w:t>
            </w:r>
          </w:p>
        </w:tc>
      </w:tr>
    </w:tbl>
    <w:p>
      <w:pPr>
        <w:rPr>
          <w:rFonts w:hint="eastAsia" w:ascii="宋体" w:hAnsi="宋体" w:eastAsia="宋体" w:cs="宋体"/>
          <w:color w:val="auto"/>
          <w:sz w:val="28"/>
          <w:szCs w:val="28"/>
          <w:highlight w:val="none"/>
        </w:rPr>
      </w:pPr>
      <w:bookmarkStart w:id="33" w:name="_Toc527642952"/>
      <w:bookmarkStart w:id="34" w:name="_Toc349637920"/>
      <w:bookmarkStart w:id="35" w:name="_Toc298240405"/>
      <w:bookmarkStart w:id="36" w:name="_Toc349573121"/>
      <w:bookmarkStart w:id="37" w:name="_Toc267301282"/>
      <w:r>
        <w:rPr>
          <w:rFonts w:hint="eastAsia" w:ascii="宋体" w:hAnsi="宋体" w:eastAsia="宋体" w:cs="宋体"/>
          <w:color w:val="auto"/>
          <w:sz w:val="24"/>
          <w:szCs w:val="24"/>
          <w:highlight w:val="none"/>
        </w:rPr>
        <w:br w:type="page"/>
      </w:r>
    </w:p>
    <w:p>
      <w:pPr>
        <w:pStyle w:val="4"/>
        <w:spacing w:before="100" w:beforeAutospacing="1" w:after="100" w:afterAutospacing="1" w:line="400" w:lineRule="atLeast"/>
        <w:ind w:firstLine="3092" w:firstLineChars="11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  说　明</w:t>
      </w:r>
      <w:bookmarkEnd w:id="33"/>
      <w:bookmarkEnd w:id="34"/>
      <w:bookmarkEnd w:id="35"/>
      <w:bookmarkEnd w:id="36"/>
      <w:bookmarkEnd w:id="37"/>
    </w:p>
    <w:p>
      <w:p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适用范围</w:t>
      </w:r>
    </w:p>
    <w:p>
      <w:pPr>
        <w:numPr>
          <w:ilvl w:val="1"/>
          <w:numId w:val="4"/>
        </w:num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文件仅适用于本投标中所述的</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招标项目。</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2、投标人资格要求：</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1.供应商必须符合《中华人民共和国政府采购法》第二十二条规定：</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（1）经年审合格（三证合一）的营业执照；</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eastAsia="zh-CN"/>
        </w:rPr>
        <w:t>具有有效期内的乙级及以上测绘资质(专业范围包含地理信息系统工程)</w:t>
      </w:r>
      <w:r>
        <w:rPr>
          <w:rFonts w:hint="eastAsia" w:ascii="宋体" w:hAnsi="宋体" w:eastAsia="宋体" w:cs="宋体"/>
          <w:color w:val="auto"/>
          <w:sz w:val="28"/>
          <w:szCs w:val="28"/>
          <w:highlight w:val="none"/>
        </w:rPr>
        <w:t>；</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cs="宋体"/>
          <w:color w:val="auto"/>
          <w:sz w:val="28"/>
          <w:szCs w:val="28"/>
          <w:highlight w:val="none"/>
          <w:lang w:eastAsia="zh-CN"/>
        </w:rPr>
        <w:t>提供法人（指本单位）2023年2月至2023年4月单</w:t>
      </w:r>
      <w:r>
        <w:rPr>
          <w:rFonts w:hint="eastAsia" w:ascii="宋体" w:hAnsi="宋体" w:eastAsia="宋体" w:cs="宋体"/>
          <w:color w:val="auto"/>
          <w:sz w:val="28"/>
          <w:szCs w:val="28"/>
          <w:highlight w:val="none"/>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（5）具有良好的商业信誉和健全的财务会计制度：</w:t>
      </w:r>
      <w:r>
        <w:rPr>
          <w:rFonts w:hint="eastAsia" w:ascii="宋体" w:hAnsi="宋体" w:cs="宋体"/>
          <w:color w:val="auto"/>
          <w:sz w:val="28"/>
          <w:szCs w:val="28"/>
          <w:highlight w:val="none"/>
          <w:lang w:eastAsia="zh-CN"/>
        </w:rPr>
        <w:t>提供2021年度</w:t>
      </w:r>
      <w:r>
        <w:rPr>
          <w:rFonts w:hint="eastAsia" w:ascii="宋体" w:hAnsi="宋体" w:cs="宋体"/>
          <w:color w:val="auto"/>
          <w:sz w:val="28"/>
          <w:szCs w:val="28"/>
          <w:highlight w:val="none"/>
          <w:lang w:val="en-US" w:eastAsia="zh-CN"/>
        </w:rPr>
        <w:t>或2022年度</w:t>
      </w:r>
      <w:r>
        <w:rPr>
          <w:rFonts w:hint="eastAsia" w:ascii="宋体" w:hAnsi="宋体" w:cs="宋体"/>
          <w:color w:val="auto"/>
          <w:sz w:val="28"/>
          <w:szCs w:val="28"/>
          <w:highlight w:val="none"/>
          <w:lang w:eastAsia="zh-CN"/>
        </w:rPr>
        <w:t>由第三方财务审计机构出具</w:t>
      </w:r>
      <w:r>
        <w:rPr>
          <w:rFonts w:hint="eastAsia" w:ascii="宋体" w:hAnsi="宋体" w:eastAsia="宋体" w:cs="宋体"/>
          <w:color w:val="auto"/>
          <w:sz w:val="28"/>
          <w:szCs w:val="28"/>
          <w:highlight w:val="none"/>
        </w:rPr>
        <w:t>的财务审计报告或新成立的企业提供银行出具的近三个月的资信证明；</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pStyle w:val="10"/>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（7）提供中小企业声明函。</w:t>
      </w:r>
    </w:p>
    <w:p>
      <w:pPr>
        <w:pStyle w:val="10"/>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（8）本项目不接受联合体投标；</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2.1落实政府采购政策需满足的资格要求：《新疆政府政府采购促进中小企业发展管理办法》（财库〔2020〕46 号）；关于进一步加大政府采购支持中小企业力度的通知财库〔2022〕19号；</w:t>
      </w:r>
    </w:p>
    <w:p>
      <w:pPr>
        <w:rPr>
          <w:rFonts w:hint="eastAsia" w:ascii="宋体" w:hAnsi="宋体" w:eastAsia="宋体" w:cs="宋体"/>
          <w:color w:val="auto"/>
          <w:highlight w:val="none"/>
          <w:lang w:val="en-US" w:eastAsia="zh-CN"/>
        </w:rPr>
      </w:pP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2.2 投标人在本次招标活动中，必须遵守《</w:t>
      </w:r>
      <w:r>
        <w:rPr>
          <w:rFonts w:hint="eastAsia" w:ascii="宋体" w:hAnsi="宋体" w:eastAsia="宋体" w:cs="宋体"/>
          <w:color w:val="auto"/>
          <w:sz w:val="28"/>
          <w:szCs w:val="28"/>
          <w:highlight w:val="none"/>
          <w:lang w:eastAsia="zh-CN"/>
        </w:rPr>
        <w:t>中华人民共和国政府采购法</w:t>
      </w:r>
      <w:r>
        <w:rPr>
          <w:rFonts w:hint="eastAsia" w:ascii="宋体" w:hAnsi="宋体" w:eastAsia="宋体" w:cs="宋体"/>
          <w:color w:val="auto"/>
          <w:sz w:val="28"/>
          <w:szCs w:val="28"/>
          <w:highlight w:val="none"/>
        </w:rPr>
        <w:t>》的规定。</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定义</w:t>
      </w:r>
    </w:p>
    <w:p>
      <w:pPr>
        <w:spacing w:line="50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3.1 “采购人”系指合同中明确规定的实际购买货物和服务的法人、行政事业单位、团体组织。</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 “供应商”系指响应招标，并按照竞争性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文件的要求参与投标竞争的法人，中标后即为中标人，签定合同后即为卖方。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“招标机构”系指在委托人授权范围内具体组织实施招标活动的法人。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“货物”系指卖方按合同要求，须向买方提供的一切产品及其它技术资料和材料。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“服务”系指合同规定卖方须承担的技术协助、本地化开发、安装、调试和交付使用后免费维护期内应履行的义务及售后服务等其他类似的义务。</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“卖方”系指提供合同货物和服务的法人。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 “买方”系指购买</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的单位。</w:t>
      </w:r>
    </w:p>
    <w:p>
      <w:pPr>
        <w:spacing w:line="500" w:lineRule="exact"/>
        <w:rPr>
          <w:rFonts w:hint="eastAsia" w:ascii="宋体" w:hAnsi="宋体" w:eastAsia="宋体" w:cs="宋体"/>
          <w:b/>
          <w:color w:val="auto"/>
          <w:sz w:val="28"/>
          <w:szCs w:val="28"/>
          <w:highlight w:val="none"/>
        </w:rPr>
      </w:pPr>
      <w:bookmarkStart w:id="38" w:name="_Toc527642953"/>
      <w:bookmarkStart w:id="39" w:name="_Toc267301283"/>
      <w:bookmarkStart w:id="40" w:name="_Toc349637921"/>
      <w:bookmarkStart w:id="41" w:name="_Toc298240406"/>
      <w:bookmarkStart w:id="42" w:name="_Toc349573122"/>
      <w:r>
        <w:rPr>
          <w:rFonts w:hint="eastAsia" w:ascii="宋体" w:hAnsi="宋体" w:eastAsia="宋体" w:cs="宋体"/>
          <w:b/>
          <w:color w:val="auto"/>
          <w:sz w:val="28"/>
          <w:szCs w:val="28"/>
          <w:highlight w:val="none"/>
        </w:rPr>
        <w:t>4、投标费用</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无论投标结果如何，供应商须自行承担所有与参加投标有关的全部费用,采购人和招标代理机构在任何情况下均无义务和责任承担这些费用。</w:t>
      </w:r>
    </w:p>
    <w:p>
      <w:pPr>
        <w:pStyle w:val="4"/>
        <w:spacing w:before="100" w:beforeAutospacing="1" w:after="100" w:afterAutospacing="1" w:line="400" w:lineRule="atLeast"/>
        <w:ind w:firstLine="3654" w:firstLineChars="1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B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w:t>
      </w:r>
      <w:bookmarkEnd w:id="38"/>
      <w:bookmarkEnd w:id="39"/>
      <w:bookmarkEnd w:id="40"/>
      <w:bookmarkEnd w:id="41"/>
      <w:bookmarkEnd w:id="42"/>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文件包括：</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TOC \o "1-2" \h \z \u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"_Toc527642949"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（1）竞争性磋商公告</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（2） 供应商须知</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技术要求</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合同条款及格式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（4） 响应文件格式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fldChar w:fldCharType="end"/>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文件以中文编写。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.3 供应商应认真阅读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文件中所有的事项、格式、条款和规范等要求，从对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文件作出实质性响应。如果没有按照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文件要求提交全部</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响应文件或资料，没有对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文件作出实质性响应，其风险应由供应商自行承担。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文件澄清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.1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文件有疑问的，可以向招标代理机构提出询问，招标代理机构将及时做出答复；</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.2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文件有质疑，须在得到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文件之日起至质疑截止时间止，以书面形式向招标机构提出质疑；招标机构在收到书面质疑后，在投标截止时间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个工作日前做出答复，并以书面形式通知质疑供应商。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 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文件进行必要的修改，招标代理机构将在投标截止时间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个工作日前以书面形式通知所有购买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文件的供应商。该修改的内容为</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文件的组成部分；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 在投标截止时间前，招标机构可视具体情况延长投标截止时间，并将变更时间书面通知所有购买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w:t>
      </w:r>
    </w:p>
    <w:p>
      <w:pPr>
        <w:pStyle w:val="4"/>
        <w:spacing w:before="100" w:beforeAutospacing="1" w:after="100" w:afterAutospacing="1" w:line="400" w:lineRule="atLeast"/>
        <w:jc w:val="center"/>
        <w:rPr>
          <w:rFonts w:hint="eastAsia" w:ascii="宋体" w:hAnsi="宋体" w:eastAsia="宋体" w:cs="宋体"/>
          <w:color w:val="auto"/>
          <w:sz w:val="28"/>
          <w:szCs w:val="28"/>
          <w:highlight w:val="none"/>
        </w:rPr>
      </w:pPr>
      <w:bookmarkStart w:id="43" w:name="_Toc349573123"/>
      <w:bookmarkStart w:id="44" w:name="_Toc527642954"/>
      <w:bookmarkStart w:id="45" w:name="_Toc349637922"/>
      <w:bookmarkStart w:id="46" w:name="_Toc298240407"/>
      <w:bookmarkStart w:id="47" w:name="_Toc267301284"/>
      <w:r>
        <w:rPr>
          <w:rFonts w:hint="eastAsia" w:ascii="宋体" w:hAnsi="宋体" w:eastAsia="宋体" w:cs="宋体"/>
          <w:color w:val="auto"/>
          <w:sz w:val="28"/>
          <w:szCs w:val="28"/>
          <w:highlight w:val="none"/>
        </w:rPr>
        <w:t xml:space="preserve">C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响应文件的编写</w:t>
      </w:r>
      <w:bookmarkEnd w:id="43"/>
      <w:bookmarkEnd w:id="44"/>
      <w:bookmarkEnd w:id="45"/>
      <w:bookmarkEnd w:id="46"/>
      <w:bookmarkEnd w:id="47"/>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 供应商应仔细阅读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文件的所有内容，按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文件的要求提供</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响应文件，并保证所提供的全部资料的真实性，以使其投标对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文件作出实质性响应，否则，其投标可能被拒绝。</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．投标语言</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响应文件及供应商与招标代理机构就投标交换的文件和来往信件，应以中文书写。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 供应商编写的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响应文件应包括下列内容：</w:t>
      </w:r>
    </w:p>
    <w:p>
      <w:pPr>
        <w:spacing w:line="5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11.1</w:t>
      </w:r>
      <w:r>
        <w:rPr>
          <w:rFonts w:hint="eastAsia" w:ascii="宋体" w:hAnsi="宋体" w:eastAsia="宋体" w:cs="宋体"/>
          <w:b/>
          <w:bCs/>
          <w:color w:val="auto"/>
          <w:sz w:val="28"/>
          <w:szCs w:val="28"/>
          <w:highlight w:val="none"/>
        </w:rPr>
        <w:t>响应文件包含：</w:t>
      </w:r>
      <w:r>
        <w:rPr>
          <w:rFonts w:hint="eastAsia" w:ascii="宋体" w:hAnsi="宋体" w:eastAsia="宋体" w:cs="宋体"/>
          <w:b/>
          <w:bCs/>
          <w:color w:val="auto"/>
          <w:sz w:val="28"/>
          <w:szCs w:val="28"/>
          <w:highlight w:val="none"/>
          <w:lang w:eastAsia="zh-CN"/>
        </w:rPr>
        <w:t>经济报价部分、</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部分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技术部分三部分组成，</w:t>
      </w:r>
      <w:r>
        <w:rPr>
          <w:rFonts w:hint="eastAsia" w:ascii="宋体" w:hAnsi="宋体" w:eastAsia="宋体" w:cs="宋体"/>
          <w:b/>
          <w:bCs/>
          <w:color w:val="auto"/>
          <w:sz w:val="28"/>
          <w:szCs w:val="28"/>
          <w:highlight w:val="none"/>
          <w:lang w:val="en-US" w:eastAsia="zh-CN"/>
        </w:rPr>
        <w:t>具体详见招标文件第五部分磋商响应文件及格式</w:t>
      </w:r>
    </w:p>
    <w:p>
      <w:pPr>
        <w:spacing w:line="5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rPr>
        <w:t>投标报价（本</w:t>
      </w:r>
      <w:bookmarkStart w:id="48" w:name="OLE_LINK1"/>
      <w:r>
        <w:rPr>
          <w:rFonts w:hint="eastAsia" w:ascii="宋体" w:hAnsi="宋体" w:eastAsia="宋体" w:cs="宋体"/>
          <w:b/>
          <w:bCs/>
          <w:color w:val="auto"/>
          <w:sz w:val="28"/>
          <w:szCs w:val="28"/>
          <w:highlight w:val="none"/>
        </w:rPr>
        <w:t>项目采用二轮报价）</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12.1、投标报价不得高于采购预算价，如高于采购预算价视为无效投标报价；</w:t>
      </w:r>
    </w:p>
    <w:bookmarkEnd w:id="48"/>
    <w:p>
      <w:pPr>
        <w:spacing w:line="50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13、供应商应逐条详细阅读竞争性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文件有关要求，表明所提供的服务是否对竞争性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文件做出实质性响应。</w:t>
      </w:r>
    </w:p>
    <w:p>
      <w:pPr>
        <w:spacing w:line="460" w:lineRule="exact"/>
        <w:rPr>
          <w:rFonts w:hint="eastAsia" w:ascii="宋体" w:hAnsi="宋体" w:eastAsia="宋体" w:cs="宋体"/>
          <w:b/>
          <w:color w:val="auto"/>
          <w:sz w:val="28"/>
          <w:szCs w:val="28"/>
          <w:highlight w:val="none"/>
        </w:rPr>
      </w:pPr>
      <w:bookmarkStart w:id="49" w:name="_Toc349637924"/>
      <w:bookmarkStart w:id="50" w:name="_Toc349573125"/>
      <w:bookmarkStart w:id="51" w:name="_Toc267301286"/>
      <w:bookmarkStart w:id="52" w:name="_Toc298240409"/>
      <w:bookmarkStart w:id="53" w:name="_Toc527642956"/>
      <w:r>
        <w:rPr>
          <w:rFonts w:hint="eastAsia" w:ascii="宋体" w:hAnsi="宋体" w:eastAsia="宋体" w:cs="宋体"/>
          <w:b/>
          <w:color w:val="auto"/>
          <w:sz w:val="28"/>
          <w:szCs w:val="28"/>
          <w:highlight w:val="none"/>
        </w:rPr>
        <w:t>14、投标文件的有效期</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投标文件从实际开标之日起</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天内有效。有效期不足的投标文件将被拒绝。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如遇特殊情况，在原投标有效期届满之前，招标人可与投标人协商延长投标文件的有效期，并经投标人确认。</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14.3投标人可拒绝接受延期要求而不会导致投标保证金被没收。同意延长有效期的投标人需要相应延长投标保证金的有效期，但不能修改投标文件。 </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14.4中标人的投标文件自开标之日起至合同履行完毕止均应保持有效。</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15、投标文件的签署、递交、准备和解密时间要求</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15.2投标人</w:t>
      </w:r>
      <w:r>
        <w:rPr>
          <w:rFonts w:hint="eastAsia" w:ascii="宋体" w:hAnsi="宋体" w:eastAsia="宋体" w:cs="宋体"/>
          <w:b/>
          <w:bCs/>
          <w:color w:val="auto"/>
          <w:sz w:val="28"/>
          <w:szCs w:val="28"/>
          <w:highlight w:val="none"/>
          <w:lang w:eastAsia="zh-CN"/>
        </w:rPr>
        <w:t>应于</w:t>
      </w:r>
      <w:r>
        <w:rPr>
          <w:rFonts w:hint="eastAsia" w:ascii="宋体" w:hAnsi="宋体" w:cs="宋体"/>
          <w:b/>
          <w:bCs/>
          <w:color w:val="auto"/>
          <w:sz w:val="28"/>
          <w:szCs w:val="28"/>
          <w:highlight w:val="none"/>
          <w:shd w:val="clear" w:color="auto" w:fill="auto"/>
          <w:lang w:eastAsia="zh-CN"/>
        </w:rPr>
        <w:t>2023年06月15日</w:t>
      </w:r>
      <w:r>
        <w:rPr>
          <w:rFonts w:hint="eastAsia" w:ascii="宋体" w:hAnsi="宋体" w:cs="宋体"/>
          <w:b/>
          <w:bCs/>
          <w:color w:val="auto"/>
          <w:sz w:val="28"/>
          <w:szCs w:val="28"/>
          <w:highlight w:val="none"/>
          <w:shd w:val="clear" w:color="auto" w:fill="auto"/>
          <w:lang w:val="en-US" w:eastAsia="zh-CN"/>
        </w:rPr>
        <w:t>16:00</w:t>
      </w:r>
      <w:r>
        <w:rPr>
          <w:rFonts w:hint="eastAsia" w:ascii="宋体" w:hAnsi="宋体" w:eastAsia="宋体" w:cs="宋体"/>
          <w:b/>
          <w:bCs/>
          <w:color w:val="auto"/>
          <w:sz w:val="28"/>
          <w:szCs w:val="28"/>
          <w:highlight w:val="none"/>
          <w:shd w:val="clear" w:color="auto" w:fill="auto"/>
          <w:lang w:eastAsia="zh-CN"/>
        </w:rPr>
        <w:t>（北京时间）</w:t>
      </w:r>
      <w:r>
        <w:rPr>
          <w:rFonts w:hint="eastAsia" w:ascii="宋体" w:hAnsi="宋体" w:eastAsia="宋体" w:cs="宋体"/>
          <w:b/>
          <w:bCs/>
          <w:color w:val="auto"/>
          <w:sz w:val="28"/>
          <w:szCs w:val="28"/>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b/>
          <w:bCs/>
          <w:color w:val="auto"/>
          <w:sz w:val="28"/>
          <w:szCs w:val="28"/>
          <w:highlight w:val="none"/>
          <w:lang w:eastAsia="zh-CN"/>
        </w:rPr>
        <w:t>95763</w:t>
      </w:r>
      <w:r>
        <w:rPr>
          <w:rFonts w:hint="eastAsia" w:ascii="宋体" w:hAnsi="宋体" w:eastAsia="宋体" w:cs="宋体"/>
          <w:b/>
          <w:bCs/>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15.3投标文件须由投标人在规定位置盖章并由法定代表人或法定代表人的授权委托人签署，投标人应写全称。</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15.5</w:t>
      </w:r>
      <w:r>
        <w:rPr>
          <w:rFonts w:hint="eastAsia" w:ascii="宋体" w:hAnsi="宋体" w:eastAsia="宋体" w:cs="宋体"/>
          <w:b/>
          <w:bCs/>
          <w:color w:val="auto"/>
          <w:sz w:val="28"/>
          <w:szCs w:val="28"/>
          <w:highlight w:val="none"/>
        </w:rPr>
        <w:t xml:space="preserve">、本项目实行网上投标，采用电子投标文件。若供应商参与投标，自行承担投标一切费用。 </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15.6</w:t>
      </w:r>
      <w:r>
        <w:rPr>
          <w:rFonts w:hint="eastAsia" w:ascii="宋体" w:hAnsi="宋体" w:eastAsia="宋体" w:cs="宋体"/>
          <w:b/>
          <w:bCs/>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15.7</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15.8</w:t>
      </w:r>
      <w:r>
        <w:rPr>
          <w:rFonts w:hint="eastAsia" w:ascii="宋体" w:hAnsi="宋体" w:eastAsia="宋体" w:cs="宋体"/>
          <w:b/>
          <w:bCs/>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bCs/>
          <w:color w:val="auto"/>
          <w:sz w:val="28"/>
          <w:szCs w:val="28"/>
          <w:highlight w:val="none"/>
          <w:lang w:eastAsia="zh-CN"/>
        </w:rPr>
        <w:t>95763</w:t>
      </w:r>
      <w:r>
        <w:rPr>
          <w:rFonts w:hint="eastAsia" w:ascii="宋体" w:hAnsi="宋体" w:eastAsia="宋体" w:cs="宋体"/>
          <w:b/>
          <w:bCs/>
          <w:color w:val="auto"/>
          <w:sz w:val="28"/>
          <w:szCs w:val="28"/>
          <w:highlight w:val="none"/>
        </w:rPr>
        <w:t>进行咨询。</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15.9开标时间</w:t>
      </w:r>
      <w:r>
        <w:rPr>
          <w:rFonts w:hint="eastAsia" w:ascii="宋体" w:hAnsi="宋体" w:eastAsia="宋体" w:cs="宋体"/>
          <w:b/>
          <w:bCs/>
          <w:color w:val="auto"/>
          <w:sz w:val="28"/>
          <w:szCs w:val="28"/>
          <w:highlight w:val="none"/>
          <w:lang w:eastAsia="zh-CN"/>
        </w:rPr>
        <w:t>（20</w:t>
      </w:r>
      <w:r>
        <w:rPr>
          <w:rFonts w:hint="eastAsia" w:ascii="宋体" w:hAnsi="宋体" w:eastAsia="宋体" w:cs="宋体"/>
          <w:b/>
          <w:bCs/>
          <w:color w:val="auto"/>
          <w:sz w:val="28"/>
          <w:szCs w:val="28"/>
          <w:highlight w:val="none"/>
          <w:lang w:val="en-US" w:eastAsia="zh-CN"/>
        </w:rPr>
        <w:t>23</w:t>
      </w:r>
      <w:r>
        <w:rPr>
          <w:rFonts w:hint="eastAsia" w:ascii="宋体" w:hAnsi="宋体" w:eastAsia="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06</w:t>
      </w:r>
      <w:r>
        <w:rPr>
          <w:rFonts w:hint="eastAsia" w:ascii="宋体" w:hAnsi="宋体" w:eastAsia="宋体" w:cs="宋体"/>
          <w:b/>
          <w:bCs/>
          <w:color w:val="auto"/>
          <w:sz w:val="28"/>
          <w:szCs w:val="28"/>
          <w:highlight w:val="none"/>
          <w:lang w:val="en-US" w:eastAsia="zh-CN"/>
        </w:rPr>
        <w:t xml:space="preserve">月 </w:t>
      </w: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16:00-17:00</w:t>
      </w:r>
      <w:r>
        <w:rPr>
          <w:rFonts w:hint="eastAsia" w:ascii="宋体" w:hAnsi="宋体" w:eastAsia="宋体" w:cs="宋体"/>
          <w:b/>
          <w:bCs/>
          <w:color w:val="auto"/>
          <w:sz w:val="28"/>
          <w:szCs w:val="28"/>
          <w:highlight w:val="none"/>
          <w:lang w:eastAsia="zh-CN"/>
        </w:rPr>
        <w:t>前）</w:t>
      </w:r>
      <w:r>
        <w:rPr>
          <w:rFonts w:hint="eastAsia" w:ascii="宋体" w:hAnsi="宋体" w:cs="宋体"/>
          <w:b/>
          <w:bCs/>
          <w:color w:val="auto"/>
          <w:sz w:val="28"/>
          <w:szCs w:val="28"/>
          <w:highlight w:val="none"/>
          <w:lang w:val="en-US" w:eastAsia="zh-CN"/>
        </w:rPr>
        <w:t>60</w:t>
      </w:r>
      <w:r>
        <w:rPr>
          <w:rFonts w:hint="eastAsia" w:ascii="宋体" w:hAnsi="宋体" w:eastAsia="宋体" w:cs="宋体"/>
          <w:b/>
          <w:bCs/>
          <w:color w:val="auto"/>
          <w:sz w:val="28"/>
          <w:szCs w:val="28"/>
          <w:highlight w:val="none"/>
        </w:rPr>
        <w:t>分钟内供应商可以登录“政采云”平台，用“项目采购-开标评标”功能进行解密投标文件。若供应商在规定时间内</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2023年06月15日</w:t>
      </w:r>
      <w:r>
        <w:rPr>
          <w:rFonts w:hint="eastAsia" w:ascii="宋体" w:hAnsi="宋体" w:cs="宋体"/>
          <w:b/>
          <w:bCs/>
          <w:color w:val="auto"/>
          <w:sz w:val="28"/>
          <w:szCs w:val="28"/>
          <w:highlight w:val="none"/>
          <w:lang w:val="en-US" w:eastAsia="zh-CN"/>
        </w:rPr>
        <w:t>16:00-17:00</w:t>
      </w:r>
      <w:r>
        <w:rPr>
          <w:rFonts w:hint="eastAsia" w:ascii="宋体" w:hAnsi="宋体" w:eastAsia="宋体" w:cs="宋体"/>
          <w:b/>
          <w:bCs/>
          <w:color w:val="auto"/>
          <w:sz w:val="28"/>
          <w:szCs w:val="28"/>
          <w:highlight w:val="none"/>
          <w:lang w:eastAsia="zh-CN"/>
        </w:rPr>
        <w:t>前）</w:t>
      </w:r>
      <w:r>
        <w:rPr>
          <w:rFonts w:hint="eastAsia" w:ascii="宋体" w:hAnsi="宋体" w:eastAsia="宋体" w:cs="宋体"/>
          <w:b/>
          <w:bCs/>
          <w:color w:val="auto"/>
          <w:sz w:val="28"/>
          <w:szCs w:val="28"/>
          <w:highlight w:val="none"/>
        </w:rPr>
        <w:t>未按时解密的，视为投标文件撤回。</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16、投标保证金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 投标保证金数额</w:t>
      </w:r>
      <w:r>
        <w:rPr>
          <w:rFonts w:hint="eastAsia" w:ascii="宋体" w:hAnsi="宋体" w:eastAsia="宋体" w:cs="宋体"/>
          <w:b/>
          <w:color w:val="auto"/>
          <w:sz w:val="28"/>
          <w:szCs w:val="28"/>
          <w:highlight w:val="none"/>
          <w:u w:val="single"/>
        </w:rPr>
        <w:t>详见投标人须知前附表</w:t>
      </w:r>
      <w:r>
        <w:rPr>
          <w:rFonts w:hint="eastAsia" w:ascii="宋体" w:hAnsi="宋体" w:eastAsia="宋体" w:cs="宋体"/>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 投标保证金用于应对本次招标因投标人违规、违约而产生的风险。</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16.3 投标人必须于投标截止时间之前（</w:t>
      </w:r>
      <w:r>
        <w:rPr>
          <w:rFonts w:hint="eastAsia" w:ascii="宋体" w:hAnsi="宋体" w:eastAsia="宋体" w:cs="宋体"/>
          <w:b/>
          <w:color w:val="auto"/>
          <w:sz w:val="28"/>
          <w:szCs w:val="28"/>
          <w:highlight w:val="none"/>
          <w:u w:val="single"/>
        </w:rPr>
        <w:t>详见投标人须知前附表规定）</w:t>
      </w:r>
      <w:r>
        <w:rPr>
          <w:rFonts w:hint="eastAsia" w:ascii="宋体" w:hAnsi="宋体" w:eastAsia="宋体" w:cs="宋体"/>
          <w:color w:val="auto"/>
          <w:sz w:val="28"/>
          <w:szCs w:val="28"/>
          <w:highlight w:val="none"/>
        </w:rPr>
        <w:t>按将投标保证金交纳至规定的帐号，对未按要求提交投标保证金的投标书，招标机构将视为不响应投标予以拒绝。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16.4 投标保证金应以基本账户对公转账方式提交。本招标不接受银行保函形式的投标保证金。</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6.6 有下列情形之一的，保证金不予退还：</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（1）投标人在投标有效期内撤回投标文件的；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（2）投标人在投标过程中弄虚作假，提供虚假材料的；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（3）中标人无正当理由不与招标人签订合同的；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（4）其他严重扰乱招投标程序的。</w:t>
      </w:r>
    </w:p>
    <w:p>
      <w:pPr>
        <w:numPr>
          <w:ilvl w:val="0"/>
          <w:numId w:val="0"/>
        </w:numPr>
        <w:spacing w:line="460" w:lineRule="exact"/>
        <w:ind w:firstLine="2811" w:firstLineChars="1000"/>
        <w:jc w:val="both"/>
        <w:outlineLvl w:val="2"/>
        <w:rPr>
          <w:rFonts w:hint="eastAsia" w:ascii="宋体" w:hAnsi="宋体" w:eastAsia="宋体" w:cs="宋体"/>
          <w:b/>
          <w:color w:val="auto"/>
          <w:sz w:val="28"/>
          <w:szCs w:val="28"/>
          <w:highlight w:val="none"/>
        </w:rPr>
      </w:pPr>
      <w:bookmarkStart w:id="54" w:name="_Toc22295"/>
      <w:bookmarkStart w:id="55" w:name="_Toc22171"/>
      <w:r>
        <w:rPr>
          <w:rFonts w:hint="eastAsia" w:ascii="宋体" w:hAnsi="宋体" w:eastAsia="宋体" w:cs="宋体"/>
          <w:b/>
          <w:color w:val="auto"/>
          <w:sz w:val="28"/>
          <w:szCs w:val="28"/>
          <w:highlight w:val="none"/>
          <w:lang w:val="en-US" w:eastAsia="zh-CN"/>
        </w:rPr>
        <w:t xml:space="preserve">d  </w:t>
      </w:r>
      <w:r>
        <w:rPr>
          <w:rFonts w:hint="eastAsia" w:ascii="宋体" w:hAnsi="宋体" w:eastAsia="宋体" w:cs="宋体"/>
          <w:b/>
          <w:color w:val="auto"/>
          <w:sz w:val="28"/>
          <w:szCs w:val="28"/>
          <w:highlight w:val="none"/>
        </w:rPr>
        <w:t>投标文件的递交</w:t>
      </w:r>
      <w:bookmarkEnd w:id="54"/>
      <w:bookmarkEnd w:id="55"/>
    </w:p>
    <w:p>
      <w:pPr>
        <w:widowControl/>
        <w:spacing w:line="340" w:lineRule="exact"/>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17.1.投标文件的准备和解密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本项目实行网上投标，采用电子投标文件。若供应商参与投标，自行承担投标一切费用。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17.1.3 </w:t>
      </w:r>
      <w:r>
        <w:rPr>
          <w:rFonts w:hint="eastAsia" w:ascii="宋体" w:hAnsi="宋体" w:eastAsia="宋体" w:cs="宋体"/>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17.1.5</w:t>
      </w:r>
      <w:r>
        <w:rPr>
          <w:rFonts w:hint="eastAsia" w:ascii="宋体" w:hAnsi="宋体" w:eastAsia="宋体" w:cs="宋体"/>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color w:val="auto"/>
          <w:sz w:val="28"/>
          <w:szCs w:val="28"/>
          <w:highlight w:val="none"/>
          <w:lang w:eastAsia="zh-CN"/>
        </w:rPr>
        <w:t>95763</w:t>
      </w:r>
      <w:r>
        <w:rPr>
          <w:rFonts w:hint="eastAsia" w:ascii="宋体" w:hAnsi="宋体" w:eastAsia="宋体" w:cs="宋体"/>
          <w:color w:val="auto"/>
          <w:sz w:val="28"/>
          <w:szCs w:val="28"/>
          <w:highlight w:val="none"/>
        </w:rPr>
        <w:t>进行咨询。</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1.6 </w:t>
      </w:r>
      <w:r>
        <w:rPr>
          <w:rFonts w:hint="eastAsia" w:ascii="宋体" w:hAnsi="宋体" w:eastAsia="宋体" w:cs="宋体"/>
          <w:color w:val="auto"/>
          <w:sz w:val="28"/>
          <w:szCs w:val="28"/>
          <w:highlight w:val="none"/>
        </w:rPr>
        <w:t>投标截止时间后，供应商应及时登录“</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”平台，用“项目采购-开标评标”功能对投标文件进行解密。规定的解密时限为：</w:t>
      </w:r>
      <w:bookmarkStart w:id="56" w:name="_Hlk49254376"/>
      <w:r>
        <w:rPr>
          <w:rFonts w:hint="eastAsia" w:ascii="宋体" w:hAnsi="宋体" w:eastAsia="宋体" w:cs="宋体"/>
          <w:color w:val="auto"/>
          <w:sz w:val="28"/>
          <w:szCs w:val="28"/>
          <w:highlight w:val="none"/>
        </w:rPr>
        <w:t>“投标人须知前附表”的中规定</w:t>
      </w:r>
      <w:bookmarkEnd w:id="56"/>
      <w:r>
        <w:rPr>
          <w:rFonts w:hint="eastAsia" w:ascii="宋体" w:hAnsi="宋体" w:eastAsia="宋体" w:cs="宋体"/>
          <w:color w:val="auto"/>
          <w:sz w:val="28"/>
          <w:szCs w:val="28"/>
          <w:highlight w:val="none"/>
        </w:rPr>
        <w:t>，若供应商在规定的时间内（“投标人须知前附表”的中规定）未能解密的，视为供应商对其投标文件的撤回。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7 </w:t>
      </w:r>
      <w:r>
        <w:rPr>
          <w:rFonts w:hint="eastAsia" w:ascii="宋体" w:hAnsi="宋体" w:eastAsia="宋体" w:cs="宋体"/>
          <w:color w:val="auto"/>
          <w:sz w:val="28"/>
          <w:szCs w:val="28"/>
          <w:highlight w:val="none"/>
        </w:rPr>
        <w:t>因系统（非投标供应商行为）的原因，造成投标供应商未能在规定的解密时限内解密的，请及时与招标代理机构或与</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投标客户端进行联系。</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1.8 </w:t>
      </w:r>
      <w:r>
        <w:rPr>
          <w:rFonts w:hint="eastAsia" w:ascii="宋体" w:hAnsi="宋体" w:eastAsia="宋体" w:cs="宋体"/>
          <w:color w:val="auto"/>
          <w:sz w:val="28"/>
          <w:szCs w:val="28"/>
          <w:highlight w:val="none"/>
        </w:rPr>
        <w:t>投标文件未按规定上传的，视为其自动放弃投标。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1.9 </w:t>
      </w:r>
      <w:r>
        <w:rPr>
          <w:rFonts w:hint="eastAsia" w:ascii="宋体" w:hAnsi="宋体" w:eastAsia="宋体" w:cs="宋体"/>
          <w:color w:val="auto"/>
          <w:sz w:val="28"/>
          <w:szCs w:val="28"/>
          <w:highlight w:val="none"/>
        </w:rPr>
        <w:t>投标文件的修改与撤回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1.10</w:t>
      </w:r>
      <w:r>
        <w:rPr>
          <w:rFonts w:hint="eastAsia" w:ascii="宋体" w:hAnsi="宋体" w:eastAsia="宋体" w:cs="宋体"/>
          <w:color w:val="auto"/>
          <w:sz w:val="28"/>
          <w:szCs w:val="28"/>
          <w:highlight w:val="none"/>
        </w:rPr>
        <w:t>投标人在投标截止时间前，可以对所递交的投标文件进行补充、修改或者撤回，并书面通知采购人或者采购代理机构。</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1.11 </w:t>
      </w:r>
      <w:r>
        <w:rPr>
          <w:rFonts w:hint="eastAsia" w:ascii="宋体" w:hAnsi="宋体" w:eastAsia="宋体" w:cs="宋体"/>
          <w:color w:val="auto"/>
          <w:sz w:val="28"/>
          <w:szCs w:val="28"/>
          <w:highlight w:val="none"/>
        </w:rPr>
        <w:t>投标人在投标截止期后不得修改、撤回投标文件。投标人在投标截止期后修改投标文件的，其投标无效。</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1.12 </w:t>
      </w:r>
      <w:r>
        <w:rPr>
          <w:rFonts w:hint="eastAsia" w:ascii="宋体" w:hAnsi="宋体" w:eastAsia="宋体" w:cs="宋体"/>
          <w:color w:val="auto"/>
          <w:sz w:val="28"/>
          <w:szCs w:val="28"/>
          <w:highlight w:val="none"/>
        </w:rPr>
        <w:t>若供应商在规定的时间内（“投标人须知前附表”的中规定）未能解密的，也将被视为供应商对其投标文件的撤回。</w:t>
      </w:r>
    </w:p>
    <w:p>
      <w:pPr>
        <w:spacing w:line="360" w:lineRule="auto"/>
        <w:ind w:firstLine="3654" w:firstLineChars="13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E  </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程序</w:t>
      </w:r>
      <w:bookmarkEnd w:id="49"/>
      <w:bookmarkEnd w:id="50"/>
      <w:bookmarkEnd w:id="51"/>
      <w:bookmarkEnd w:id="52"/>
      <w:bookmarkEnd w:id="53"/>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18.1.1 本次采用不见面方式网上开标。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18.1.2开标由招标代理机构主持，招标人、投标人和有关方面代表参加。</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18.1.3开标时，由采购代理机构工作人员当众在不见面开标大厅解密，宣布投标人名称、投标价格和招标文件规定的需要宣布的其他内容。投标人不足3家的，不得开标。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18.1.4开标时，投标报价以系统显示投标报价为准。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18.1.6投标人代表在开标过程中未提出异议的，视为认可本次开标及开标过程的全部事宜。</w:t>
      </w: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评标、定标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19.、评标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19.1磋商小组组成及职责 </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19.2、磋商小组组成：在磋商开始前，磋商小组成员由采购人代表及有关技术、经济，法律等方面的专家组成，其中技术、经济、法律类专家人数不少于总人数的 2/3。</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19.3、磋商小组或评标小组负责具体的评标事务，并独立履行以下职责：</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19.3.1 审查响应文件是否符合竞争性磋商文件的要求，并作出评价；</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19.3.2 可以要求投标供应商对响应文件有关事项作出解释或澄清；</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19.3.3 向招标单位或者有关部门报告非法干预评标工作的行为。</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19.3.4 磋商小组成员应当履行下列义务：</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19.3.5 遵纪守法，客观、公正、廉洁地履行职责；</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19.3.6 按照竞争性磋商文件规定的评标办法和评标标准进行评标，</w:t>
      </w:r>
      <w:r>
        <w:rPr>
          <w:rFonts w:hint="eastAsia" w:ascii="宋体" w:hAnsi="宋体" w:eastAsia="宋体" w:cs="宋体"/>
          <w:color w:val="auto"/>
          <w:sz w:val="28"/>
          <w:szCs w:val="28"/>
          <w:highlight w:val="none"/>
        </w:rPr>
        <w:t>对评审意见承担个人责任；</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19.3.7</w:t>
      </w:r>
      <w:r>
        <w:rPr>
          <w:rFonts w:hint="eastAsia" w:ascii="宋体" w:hAnsi="宋体" w:eastAsia="宋体" w:cs="宋体"/>
          <w:color w:val="auto"/>
          <w:sz w:val="28"/>
          <w:szCs w:val="28"/>
          <w:highlight w:val="none"/>
        </w:rPr>
        <w:t>对评标过程和结果，以及供应商的商业秘密保密；</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19.3.8</w:t>
      </w:r>
      <w:r>
        <w:rPr>
          <w:rFonts w:hint="eastAsia" w:ascii="宋体" w:hAnsi="宋体" w:eastAsia="宋体" w:cs="宋体"/>
          <w:color w:val="auto"/>
          <w:sz w:val="28"/>
          <w:szCs w:val="28"/>
          <w:highlight w:val="none"/>
        </w:rPr>
        <w:t xml:space="preserve"> 参与评标报告的起草；</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19.3.9 </w:t>
      </w:r>
      <w:r>
        <w:rPr>
          <w:rFonts w:hint="eastAsia" w:ascii="宋体" w:hAnsi="宋体" w:eastAsia="宋体" w:cs="宋体"/>
          <w:color w:val="auto"/>
          <w:sz w:val="28"/>
          <w:szCs w:val="28"/>
          <w:highlight w:val="none"/>
        </w:rPr>
        <w:t>配合财政部门的投诉处理工作；</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19.3.10</w:t>
      </w:r>
      <w:r>
        <w:rPr>
          <w:rFonts w:hint="eastAsia" w:ascii="宋体" w:hAnsi="宋体" w:eastAsia="宋体" w:cs="宋体"/>
          <w:color w:val="auto"/>
          <w:sz w:val="28"/>
          <w:szCs w:val="28"/>
          <w:highlight w:val="none"/>
        </w:rPr>
        <w:t xml:space="preserve"> 配合招标单位答复投标供应商提出的质疑。</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19.3.11</w:t>
      </w:r>
      <w:r>
        <w:rPr>
          <w:rFonts w:hint="eastAsia" w:ascii="宋体" w:hAnsi="宋体" w:eastAsia="宋体" w:cs="宋体"/>
          <w:color w:val="auto"/>
          <w:sz w:val="28"/>
          <w:szCs w:val="28"/>
          <w:highlight w:val="none"/>
        </w:rPr>
        <w:t>按国家计委等七部委颁发的《评标委员会和评标方法暂行规定》，结合本项目特点，</w:t>
      </w:r>
      <w:r>
        <w:rPr>
          <w:rFonts w:hint="eastAsia" w:ascii="宋体" w:hAnsi="宋体" w:eastAsia="宋体" w:cs="宋体"/>
          <w:b/>
          <w:color w:val="auto"/>
          <w:sz w:val="28"/>
          <w:szCs w:val="28"/>
          <w:highlight w:val="none"/>
        </w:rPr>
        <w:t>本项目采用竞争性</w:t>
      </w: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方式</w:t>
      </w:r>
      <w:r>
        <w:rPr>
          <w:rFonts w:hint="eastAsia" w:ascii="宋体" w:hAnsi="宋体" w:eastAsia="宋体" w:cs="宋体"/>
          <w:color w:val="auto"/>
          <w:sz w:val="28"/>
          <w:szCs w:val="28"/>
          <w:highlight w:val="none"/>
        </w:rPr>
        <w:t>（本项目采用两轮报价，供应商提交二次报价后，</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小组对满足所有实质性要求提交最后报价的供应商的响应文件和供应商提交的二次报价进行</w:t>
      </w:r>
      <w:r>
        <w:rPr>
          <w:rFonts w:hint="eastAsia" w:ascii="宋体" w:hAnsi="宋体" w:eastAsia="宋体" w:cs="宋体"/>
          <w:color w:val="auto"/>
          <w:sz w:val="28"/>
          <w:szCs w:val="28"/>
          <w:highlight w:val="none"/>
          <w:lang w:val="en-US" w:eastAsia="zh-CN"/>
        </w:rPr>
        <w:t>评审，综合得分最高的供应商为推荐成交供应商</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 xml:space="preserve">。  </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19.3.14</w:t>
      </w:r>
      <w:r>
        <w:rPr>
          <w:rFonts w:hint="eastAsia" w:ascii="宋体" w:hAnsi="宋体" w:eastAsia="宋体" w:cs="宋体"/>
          <w:color w:val="auto"/>
          <w:sz w:val="28"/>
          <w:szCs w:val="28"/>
          <w:highlight w:val="none"/>
        </w:rPr>
        <w:t>评标的依据为竞争性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文件和响应文件。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19.3.15</w:t>
      </w:r>
      <w:r>
        <w:rPr>
          <w:rFonts w:hint="eastAsia" w:ascii="宋体" w:hAnsi="宋体" w:eastAsia="宋体" w:cs="宋体"/>
          <w:color w:val="auto"/>
          <w:sz w:val="28"/>
          <w:szCs w:val="28"/>
          <w:highlight w:val="none"/>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19.3.16</w:t>
      </w:r>
      <w:r>
        <w:rPr>
          <w:rFonts w:hint="eastAsia" w:ascii="宋体" w:hAnsi="宋体" w:eastAsia="宋体" w:cs="宋体"/>
          <w:color w:val="auto"/>
          <w:sz w:val="28"/>
          <w:szCs w:val="28"/>
          <w:highlight w:val="none"/>
        </w:rPr>
        <w:t>供应商在评标过程中所进行的力图影响评标结果、有悖于招标规则的活动，将导致取消其中标资格。</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19.3.17</w:t>
      </w:r>
      <w:r>
        <w:rPr>
          <w:rFonts w:hint="eastAsia" w:ascii="宋体" w:hAnsi="宋体" w:eastAsia="宋体" w:cs="宋体"/>
          <w:color w:val="auto"/>
          <w:sz w:val="28"/>
          <w:szCs w:val="28"/>
          <w:highlight w:val="none"/>
        </w:rPr>
        <w:t>与竞争性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文件有重大偏离的响应文件将被拒绝。且此重大偏离在开标后不许修改。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19.3.18</w:t>
      </w:r>
      <w:r>
        <w:rPr>
          <w:rFonts w:hint="eastAsia" w:ascii="宋体" w:hAnsi="宋体" w:eastAsia="宋体" w:cs="宋体"/>
          <w:color w:val="auto"/>
          <w:sz w:val="28"/>
          <w:szCs w:val="28"/>
          <w:highlight w:val="none"/>
        </w:rPr>
        <w:t>根据国家计委等七部委颁发的《评标委员会和评标方法暂行规定》以下为</w:t>
      </w:r>
      <w:r>
        <w:rPr>
          <w:rFonts w:hint="eastAsia" w:ascii="宋体" w:hAnsi="宋体" w:eastAsia="宋体" w:cs="宋体"/>
          <w:b/>
          <w:bCs/>
          <w:color w:val="auto"/>
          <w:sz w:val="28"/>
          <w:szCs w:val="28"/>
          <w:highlight w:val="none"/>
        </w:rPr>
        <w:t>重大偏离：</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（一）投标保证金的缴纳主体与供应商不一致的，没有按照竞争性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文件要求提供投标担保，或者所提供的投标担保有瑕疵的；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（二）响应文件没有供应商法定代表人或其授权代表签字（章）和加盖供应商公章的；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（三）响应文件记载的招标项目完成期限超过竞争性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文件规定的完成期限；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（四）商务条款有偏离情况的；</w:t>
      </w:r>
    </w:p>
    <w:p>
      <w:pPr>
        <w:pStyle w:val="2"/>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（五）技术条款有偏离情况的；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（六）投标附有采购人不能接受的条件；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文件中规定的其他实质性要求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（八)投标报价不符合竞争性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响应文件有上述情形之一的，视为非实质性响应招标，并按规定作废标处理。竞争性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文件对重大偏差另有规定的，从其规定。</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小组应当审查每一响应文件是否对竞争性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文件提出的所有实质性要求和条件作出响应。未能在实质上响应招标的投标，将作废标处理。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20  </w:t>
      </w:r>
      <w:r>
        <w:rPr>
          <w:rFonts w:hint="eastAsia" w:ascii="宋体" w:hAnsi="宋体" w:eastAsia="宋体" w:cs="宋体"/>
          <w:color w:val="auto"/>
          <w:sz w:val="28"/>
          <w:szCs w:val="28"/>
          <w:highlight w:val="none"/>
        </w:rPr>
        <w:t>评审标准对投标文件的初步审查和响应性确定</w:t>
      </w:r>
    </w:p>
    <w:p>
      <w:pPr>
        <w:spacing w:line="500" w:lineRule="exact"/>
        <w:rPr>
          <w:rFonts w:hint="eastAsia" w:ascii="宋体" w:hAnsi="宋体" w:eastAsia="宋体" w:cs="宋体"/>
          <w:color w:val="auto"/>
          <w:kern w:val="2"/>
          <w:sz w:val="28"/>
          <w:szCs w:val="28"/>
          <w:highlight w:val="none"/>
        </w:rPr>
      </w:pPr>
      <w:r>
        <w:rPr>
          <w:rFonts w:hint="eastAsia" w:ascii="宋体" w:hAnsi="宋体" w:eastAsia="宋体" w:cs="宋体"/>
          <w:color w:val="auto"/>
          <w:sz w:val="28"/>
          <w:szCs w:val="28"/>
          <w:highlight w:val="none"/>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w:t>
      </w:r>
      <w:r>
        <w:rPr>
          <w:rFonts w:hint="eastAsia" w:ascii="宋体" w:hAnsi="宋体" w:eastAsia="宋体" w:cs="宋体"/>
          <w:color w:val="auto"/>
          <w:kern w:val="2"/>
          <w:sz w:val="28"/>
          <w:szCs w:val="28"/>
          <w:highlight w:val="none"/>
        </w:rPr>
        <w:t>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20.3 招标人判断投标文件的响应性是基于投标文件本身而不靠外部证据。</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20.4 招标人将拒绝被定为非响应性的投标，投标人不能通过修正或撤消不符之处而使其投标成为响应性投标。</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21、投标文件的澄清</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 评标委员会在评标过程中有权随时请投标人就投标文件中含混之处加以澄清或答疑。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投标人对要求澄清的问题应以书面形式明确答复，并应有法人授权代表的签署。</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投标人的澄清文件是投标文件的组成部分，并取代投标文件中被澄清的部分。</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21.4 投标文件的澄清不得改变投标的实质内容。</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21.5 如果投标人在投标文件中未对招标文件中的条款或参数要求提出偏离意见或澄清将视同投标人同意招标文件的全部或部分要求。</w:t>
      </w:r>
    </w:p>
    <w:p>
      <w:pPr>
        <w:widowControl/>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rPr>
        <w:t>评审标准：</w:t>
      </w:r>
    </w:p>
    <w:p>
      <w:pPr>
        <w:pStyle w:val="10"/>
        <w:numPr>
          <w:ilvl w:val="0"/>
          <w:numId w:val="5"/>
        </w:numPr>
        <w:spacing w:line="380" w:lineRule="exact"/>
        <w:ind w:left="425" w:leftChars="0" w:hanging="425"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磋商小组构成：本项目的磋商小组由采购人代表和有关技术、经济、法律等</w:t>
      </w:r>
    </w:p>
    <w:p>
      <w:pPr>
        <w:pStyle w:val="10"/>
        <w:numPr>
          <w:ilvl w:val="0"/>
          <w:numId w:val="0"/>
        </w:numPr>
        <w:spacing w:line="380" w:lineRule="exact"/>
        <w:ind w:left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方面的三位专家组成。成员人数应当为三人以上（含三人）单数。其中，技术、经济、法律等方面的专家不得少于成员总数的三分之二。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评标依据：磋商小组按照磋商文件要求对磋商响应文件中的供应商资格、供应商资格证明文件、重要技术指标以及技术和商务上要求的其它重要内容进行审核。</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经磋商确定最终采购需求和提交最后报价的供应商后，由磋商小组综合评分法法对提交最后报价的供应商的响应文件和最后报价进行。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详细评审标准如下：</w:t>
      </w:r>
    </w:p>
    <w:p>
      <w:pPr>
        <w:pStyle w:val="10"/>
        <w:spacing w:line="38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rPr>
        <w:t xml:space="preserve">  </w:t>
      </w: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一：资格查验</w:t>
      </w:r>
    </w:p>
    <w:tbl>
      <w:tblPr>
        <w:tblStyle w:val="20"/>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7446"/>
        <w:gridCol w:w="468"/>
        <w:gridCol w:w="444"/>
        <w:gridCol w:w="41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8095" w:type="dxa"/>
            <w:gridSpan w:val="2"/>
            <w:vMerge w:val="restart"/>
            <w:vAlign w:val="center"/>
          </w:tcPr>
          <w:p>
            <w:pPr>
              <w:spacing w:line="440" w:lineRule="exact"/>
              <w:ind w:firstLine="2666" w:firstLineChars="1130"/>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评审内容</w:t>
            </w:r>
          </w:p>
        </w:tc>
        <w:tc>
          <w:tcPr>
            <w:tcW w:w="1784" w:type="dxa"/>
            <w:gridSpan w:val="4"/>
            <w:vAlign w:val="center"/>
          </w:tcPr>
          <w:p>
            <w:pPr>
              <w:spacing w:line="440" w:lineRule="exac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095" w:type="dxa"/>
            <w:gridSpan w:val="2"/>
            <w:vMerge w:val="continue"/>
          </w:tcPr>
          <w:p>
            <w:pPr>
              <w:spacing w:line="440" w:lineRule="exact"/>
              <w:ind w:firstLine="424" w:firstLineChars="180"/>
              <w:rPr>
                <w:rStyle w:val="30"/>
                <w:rFonts w:hint="eastAsia" w:ascii="宋体" w:hAnsi="宋体" w:eastAsia="宋体" w:cs="宋体"/>
                <w:i w:val="0"/>
                <w:iCs w:val="0"/>
                <w:color w:val="auto"/>
                <w:spacing w:val="-2"/>
                <w:sz w:val="24"/>
                <w:szCs w:val="24"/>
                <w:highlight w:val="none"/>
              </w:rPr>
            </w:pPr>
          </w:p>
        </w:tc>
        <w:tc>
          <w:tcPr>
            <w:tcW w:w="468" w:type="dxa"/>
          </w:tcPr>
          <w:p>
            <w:pPr>
              <w:spacing w:line="440" w:lineRule="exact"/>
              <w:ind w:firstLine="236" w:firstLineChars="100"/>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1</w:t>
            </w:r>
          </w:p>
        </w:tc>
        <w:tc>
          <w:tcPr>
            <w:tcW w:w="444" w:type="dxa"/>
          </w:tcPr>
          <w:p>
            <w:pPr>
              <w:spacing w:line="440" w:lineRule="exact"/>
              <w:jc w:val="center"/>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2</w:t>
            </w:r>
          </w:p>
        </w:tc>
        <w:tc>
          <w:tcPr>
            <w:tcW w:w="411" w:type="dxa"/>
            <w:vAlign w:val="center"/>
          </w:tcPr>
          <w:p>
            <w:pPr>
              <w:spacing w:line="440" w:lineRule="exact"/>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3</w:t>
            </w:r>
          </w:p>
        </w:tc>
        <w:tc>
          <w:tcPr>
            <w:tcW w:w="461" w:type="dxa"/>
            <w:vAlign w:val="center"/>
          </w:tcPr>
          <w:p>
            <w:pPr>
              <w:jc w:val="center"/>
              <w:rPr>
                <w:rStyle w:val="30"/>
                <w:rFonts w:hint="eastAsia" w:ascii="宋体" w:hAnsi="宋体" w:eastAsia="宋体" w:cs="宋体"/>
                <w:b/>
                <w:i w:val="0"/>
                <w:iCs w:val="0"/>
                <w:color w:val="auto"/>
                <w:sz w:val="24"/>
                <w:szCs w:val="24"/>
                <w:highlight w:val="none"/>
              </w:rPr>
            </w:pPr>
            <w:r>
              <w:rPr>
                <w:rStyle w:val="30"/>
                <w:rFonts w:hint="eastAsia" w:ascii="宋体" w:hAnsi="宋体" w:eastAsia="宋体" w:cs="宋体"/>
                <w:b/>
                <w:i w:val="0"/>
                <w:i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649" w:type="dxa"/>
            <w:vAlign w:val="center"/>
          </w:tcPr>
          <w:p>
            <w:pPr>
              <w:spacing w:line="240" w:lineRule="auto"/>
              <w:jc w:val="center"/>
              <w:rPr>
                <w:rStyle w:val="30"/>
                <w:rFonts w:hint="eastAsia" w:ascii="宋体" w:hAnsi="宋体" w:eastAsia="宋体" w:cs="宋体"/>
                <w:i w:val="0"/>
                <w:iCs w:val="0"/>
                <w:color w:val="auto"/>
                <w:sz w:val="24"/>
                <w:szCs w:val="24"/>
                <w:highlight w:val="none"/>
              </w:rPr>
            </w:pPr>
            <w:r>
              <w:rPr>
                <w:rStyle w:val="30"/>
                <w:rFonts w:hint="eastAsia" w:ascii="宋体" w:hAnsi="宋体" w:eastAsia="宋体" w:cs="宋体"/>
                <w:i w:val="0"/>
                <w:iCs w:val="0"/>
                <w:color w:val="auto"/>
                <w:sz w:val="24"/>
                <w:szCs w:val="24"/>
                <w:highlight w:val="none"/>
              </w:rPr>
              <w:t>1</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经年审合格（三证合一）的营业执照；</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cs="宋体"/>
                <w:i w:val="0"/>
                <w:iCs w:val="0"/>
                <w:color w:val="auto"/>
                <w:spacing w:val="-2"/>
                <w:kern w:val="2"/>
                <w:sz w:val="24"/>
                <w:szCs w:val="24"/>
                <w:highlight w:val="none"/>
                <w:lang w:val="en-US" w:eastAsia="zh-CN" w:bidi="ar-SA"/>
              </w:rPr>
              <w:t>具有有效期内的乙级及以上测绘资质(专业范围包含地理信息系统工程)</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3</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cs="宋体"/>
                <w:i w:val="0"/>
                <w:iCs w:val="0"/>
                <w:color w:val="auto"/>
                <w:spacing w:val="-2"/>
                <w:kern w:val="2"/>
                <w:sz w:val="24"/>
                <w:szCs w:val="24"/>
                <w:highlight w:val="none"/>
                <w:lang w:val="en-US" w:eastAsia="zh-CN" w:bidi="ar-SA"/>
              </w:rPr>
              <w:t>提供法人（指本单位）2023年2月至2023年4月单</w:t>
            </w:r>
            <w:r>
              <w:rPr>
                <w:rFonts w:hint="eastAsia" w:ascii="宋体" w:hAnsi="宋体" w:eastAsia="宋体" w:cs="宋体"/>
                <w:i w:val="0"/>
                <w:iCs w:val="0"/>
                <w:color w:val="auto"/>
                <w:spacing w:val="-2"/>
                <w:kern w:val="2"/>
                <w:sz w:val="24"/>
                <w:szCs w:val="24"/>
                <w:highlight w:val="none"/>
                <w:lang w:val="en-US" w:eastAsia="zh-CN" w:bidi="ar-SA"/>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4</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eastAsia="宋体" w:cs="宋体"/>
                <w:i w:val="0"/>
                <w:iCs w:val="0"/>
                <w:color w:val="auto"/>
                <w:spacing w:val="-2"/>
                <w:kern w:val="2"/>
                <w:sz w:val="24"/>
                <w:szCs w:val="24"/>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5</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eastAsia="宋体" w:cs="宋体"/>
                <w:i w:val="0"/>
                <w:iCs w:val="0"/>
                <w:color w:val="auto"/>
                <w:spacing w:val="-2"/>
                <w:kern w:val="2"/>
                <w:sz w:val="24"/>
                <w:szCs w:val="24"/>
                <w:highlight w:val="none"/>
                <w:lang w:val="en-US" w:eastAsia="zh-CN" w:bidi="ar-SA"/>
              </w:rPr>
              <w:t>具有良好的商业信誉和健全的财务会计制度：</w:t>
            </w:r>
            <w:r>
              <w:rPr>
                <w:rFonts w:hint="eastAsia" w:ascii="宋体" w:hAnsi="宋体" w:cs="宋体"/>
                <w:i w:val="0"/>
                <w:iCs w:val="0"/>
                <w:color w:val="auto"/>
                <w:spacing w:val="-2"/>
                <w:kern w:val="2"/>
                <w:sz w:val="24"/>
                <w:szCs w:val="24"/>
                <w:highlight w:val="none"/>
                <w:lang w:val="en-US" w:eastAsia="zh-CN" w:bidi="ar-SA"/>
              </w:rPr>
              <w:t>提供2021年度或2022年度由第三方财务审计机构出具</w:t>
            </w:r>
            <w:r>
              <w:rPr>
                <w:rFonts w:hint="eastAsia" w:ascii="宋体" w:hAnsi="宋体" w:eastAsia="宋体" w:cs="宋体"/>
                <w:i w:val="0"/>
                <w:iCs w:val="0"/>
                <w:color w:val="auto"/>
                <w:spacing w:val="-2"/>
                <w:kern w:val="2"/>
                <w:sz w:val="24"/>
                <w:szCs w:val="24"/>
                <w:highlight w:val="none"/>
                <w:lang w:val="en-US" w:eastAsia="zh-CN" w:bidi="ar-SA"/>
              </w:rPr>
              <w:t>的财务审计报告或新成立的企业提供银行出具的近三个月的资信证明；</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6</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企业负责人为同一人或者存在直接控股、管理关系的不同投标人，不得参加同一合同项下的政府采购活动。否则，皆取消投标资格；</w:t>
            </w:r>
          </w:p>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7</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凡拟参加本次项目的供应商还须提供“参加政府采购活动前3年内在经营活动中没有重大违法记录的书面声明函”；</w:t>
            </w:r>
          </w:p>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8</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是否按照要求足额缴纳投标保证金或保函；</w:t>
            </w: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9</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是否提供有效的中小企业声明函。</w:t>
            </w: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095" w:type="dxa"/>
            <w:gridSpan w:val="2"/>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结论：</w:t>
            </w:r>
            <w:r>
              <w:rPr>
                <w:rStyle w:val="30"/>
                <w:rFonts w:hint="eastAsia" w:ascii="宋体" w:hAnsi="宋体" w:eastAsia="宋体" w:cs="宋体"/>
                <w:i w:val="0"/>
                <w:iCs w:val="0"/>
                <w:color w:val="auto"/>
                <w:spacing w:val="-2"/>
                <w:sz w:val="24"/>
                <w:szCs w:val="24"/>
                <w:highlight w:val="none"/>
                <w:lang w:val="en-US" w:eastAsia="zh-CN"/>
              </w:rPr>
              <w:t>结论为符合或不符合</w:t>
            </w:r>
          </w:p>
        </w:tc>
        <w:tc>
          <w:tcPr>
            <w:tcW w:w="468"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9879" w:type="dxa"/>
            <w:gridSpan w:val="6"/>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lang w:val="en-US" w:eastAsia="zh-CN"/>
              </w:rPr>
              <w:t>符合竞争性磋商文件要求打√，不符合竞争性磋商文件要求打×，结论为符合或不符合。</w:t>
            </w:r>
          </w:p>
        </w:tc>
      </w:tr>
    </w:tbl>
    <w:p>
      <w:pPr>
        <w:spacing w:line="240" w:lineRule="auto"/>
        <w:jc w:val="left"/>
        <w:rPr>
          <w:rFonts w:hint="eastAsia" w:ascii="宋体" w:hAnsi="宋体" w:eastAsia="宋体" w:cs="宋体"/>
          <w:color w:val="auto"/>
          <w:sz w:val="24"/>
          <w:szCs w:val="24"/>
          <w:highlight w:val="none"/>
          <w:lang w:val="zh-CN"/>
        </w:rPr>
      </w:pPr>
      <w:bookmarkStart w:id="57" w:name="_Toc349573126"/>
      <w:bookmarkStart w:id="58" w:name="_Toc471489758"/>
      <w:bookmarkStart w:id="59" w:name="_Toc298240410"/>
      <w:bookmarkStart w:id="60" w:name="_Toc527642957"/>
      <w:bookmarkStart w:id="61" w:name="_Toc267301287"/>
      <w:bookmarkStart w:id="62" w:name="_Toc349637925"/>
      <w:bookmarkStart w:id="63" w:name="_Toc267301288"/>
      <w:r>
        <w:rPr>
          <w:rFonts w:hint="eastAsia" w:ascii="宋体" w:hAnsi="宋体" w:eastAsia="宋体" w:cs="宋体"/>
          <w:color w:val="auto"/>
          <w:sz w:val="24"/>
          <w:szCs w:val="24"/>
          <w:highlight w:val="none"/>
          <w:lang w:val="zh-CN"/>
        </w:rPr>
        <w:t>备注：如果资格评审中有一项不满足审查标准的，磋商小组将认定该供应商不通过资格审查，不得进入下一阶段评审。并且不允许供应商通过修改或撤销其不符合要求的差异或保留，使之成为具有响应性的投标。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5"/>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表</w:t>
      </w:r>
      <w:r>
        <w:rPr>
          <w:rFonts w:hint="eastAsia" w:ascii="宋体" w:hAnsi="宋体" w:eastAsia="宋体" w:cs="宋体"/>
          <w:color w:val="auto"/>
          <w:sz w:val="28"/>
          <w:szCs w:val="28"/>
          <w:highlight w:val="none"/>
          <w:lang w:eastAsia="zh-CN"/>
        </w:rPr>
        <w:t>二：</w:t>
      </w:r>
      <w:r>
        <w:rPr>
          <w:rFonts w:hint="eastAsia" w:ascii="宋体" w:hAnsi="宋体" w:eastAsia="宋体" w:cs="宋体"/>
          <w:b/>
          <w:color w:val="auto"/>
          <w:sz w:val="28"/>
          <w:szCs w:val="28"/>
          <w:highlight w:val="none"/>
          <w:lang w:val="en-US" w:eastAsia="zh-CN"/>
        </w:rPr>
        <w:t>初步评审标准-</w:t>
      </w:r>
      <w:r>
        <w:rPr>
          <w:rFonts w:hint="eastAsia" w:ascii="宋体" w:hAnsi="宋体" w:eastAsia="宋体" w:cs="宋体"/>
          <w:b/>
          <w:color w:val="auto"/>
          <w:sz w:val="28"/>
          <w:szCs w:val="28"/>
          <w:highlight w:val="none"/>
          <w:lang w:eastAsia="zh-CN"/>
        </w:rPr>
        <w:t>响应性</w:t>
      </w:r>
      <w:r>
        <w:rPr>
          <w:rFonts w:hint="eastAsia" w:ascii="宋体" w:hAnsi="宋体" w:eastAsia="宋体" w:cs="宋体"/>
          <w:b/>
          <w:color w:val="auto"/>
          <w:sz w:val="28"/>
          <w:szCs w:val="28"/>
          <w:highlight w:val="none"/>
        </w:rPr>
        <w:t>评审</w:t>
      </w:r>
    </w:p>
    <w:tbl>
      <w:tblPr>
        <w:tblStyle w:val="20"/>
        <w:tblpPr w:leftFromText="180" w:rightFromText="180" w:vertAnchor="text" w:horzAnchor="page" w:tblpX="1350" w:tblpY="616"/>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5"/>
        <w:gridCol w:w="5545"/>
        <w:gridCol w:w="731"/>
        <w:gridCol w:w="731"/>
        <w:gridCol w:w="70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38"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030" w:type="dxa"/>
            <w:gridSpan w:val="2"/>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内  容</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投标人1</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w:t>
            </w:r>
          </w:p>
        </w:tc>
        <w:tc>
          <w:tcPr>
            <w:tcW w:w="70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投标人3</w:t>
            </w:r>
          </w:p>
        </w:tc>
        <w:tc>
          <w:tcPr>
            <w:tcW w:w="7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restart"/>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符合性审查</w:t>
            </w: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是否按照磋商文件规定要求签署、盖章的；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38" w:type="dxa"/>
            <w:vMerge w:val="continue"/>
            <w:noWrap w:val="0"/>
            <w:vAlign w:val="center"/>
          </w:tcPr>
          <w:p>
            <w:pPr>
              <w:rPr>
                <w:rFonts w:hint="eastAsia" w:ascii="宋体" w:hAnsi="宋体" w:eastAsia="宋体" w:cs="宋体"/>
                <w:color w:val="auto"/>
                <w:sz w:val="24"/>
                <w:szCs w:val="24"/>
                <w:highlight w:val="none"/>
                <w:lang w:val="en-US" w:eastAsia="zh-CN"/>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响应文件是否不齐全或者内容虚假的；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响应文件记载的招标项目服务期限是否超过磋商文件规定的服务期限；</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投标有效期是否满足磋商文件要求的；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投标报价没有高于采购预算价；</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投标人对同一招标项目做出两个以上报价未明确效力的；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商务条款是否有偏离情况的；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投标文件是否附有采购人不能接受条件的；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是否满足磋商文件实质性要求的其他情形；</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投标保证金的缴纳主体与投标人是否一致；</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768"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结论：合格/不合格</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6" w:type="dxa"/>
            <w:gridSpan w:val="7"/>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46" w:type="dxa"/>
            <w:gridSpan w:val="7"/>
            <w:noWrap w:val="0"/>
            <w:vAlign w:val="center"/>
          </w:tcPr>
          <w:p>
            <w:pPr>
              <w:spacing w:line="24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备注：如果投标文件中有一项未通过上述审查标准，评标委员会将认定整个投标文件不响应</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而予以废标，并且不允许投标人通过修改或撤销其不符合要求的差异或保留，使之成为具有响应性的投标。</w:t>
            </w:r>
          </w:p>
        </w:tc>
      </w:tr>
    </w:tbl>
    <w:p>
      <w:pPr>
        <w:rPr>
          <w:rFonts w:hint="eastAsia" w:ascii="宋体" w:hAnsi="宋体" w:eastAsia="宋体" w:cs="宋体"/>
          <w:b/>
          <w:color w:val="auto"/>
          <w:sz w:val="28"/>
          <w:szCs w:val="28"/>
          <w:highlight w:val="none"/>
        </w:rPr>
        <w:sectPr>
          <w:pgSz w:w="11907" w:h="16839"/>
          <w:pgMar w:top="1431" w:right="1226" w:bottom="0" w:left="1241" w:header="0" w:footer="0" w:gutter="0"/>
          <w:pgNumType w:fmt="numberInDash"/>
          <w:cols w:space="720" w:num="1"/>
        </w:sectPr>
      </w:pPr>
      <w:r>
        <w:rPr>
          <w:rFonts w:hint="eastAsia" w:ascii="宋体" w:hAnsi="宋体" w:eastAsia="宋体" w:cs="宋体"/>
          <w:b/>
          <w:color w:val="auto"/>
          <w:sz w:val="28"/>
          <w:szCs w:val="28"/>
          <w:highlight w:val="none"/>
        </w:rPr>
        <w:br w:type="page"/>
      </w:r>
    </w:p>
    <w:tbl>
      <w:tblPr>
        <w:tblStyle w:val="20"/>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6"/>
        <w:gridCol w:w="1462"/>
        <w:gridCol w:w="4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447"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评分因素</w:t>
            </w: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评分点</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kern w:val="0"/>
                <w:sz w:val="24"/>
                <w:szCs w:val="24"/>
                <w:highlight w:val="none"/>
                <w:lang w:val="en-US" w:eastAsia="zh-CN"/>
              </w:rPr>
              <w:t>详细评审</w:t>
            </w:r>
          </w:p>
        </w:tc>
        <w:tc>
          <w:tcPr>
            <w:tcW w:w="172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kern w:val="0"/>
                <w:sz w:val="24"/>
                <w:szCs w:val="24"/>
                <w:highlight w:val="none"/>
                <w:lang w:val="en-US" w:eastAsia="zh-CN"/>
              </w:rPr>
              <w:t>价格评审（10分）</w:t>
            </w: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投标报价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（10分）</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评标基准价 =有效投标报价的最低值，有效投标报价等于基准值的得满分，投标报价得分=（评标基准价/投标报价）×价格权重×100。有效投标报价为通过初步审查的供应商报价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zh-CN" w:eastAsia="zh-CN" w:bidi="zh-CN"/>
              </w:rPr>
            </w:pPr>
            <w:r>
              <w:rPr>
                <w:rFonts w:hint="eastAsia" w:asciiTheme="minorEastAsia" w:hAnsiTheme="minorEastAsia" w:eastAsiaTheme="minorEastAsia" w:cstheme="minorEastAsia"/>
                <w:color w:val="auto"/>
                <w:kern w:val="0"/>
                <w:sz w:val="24"/>
                <w:szCs w:val="24"/>
                <w:highlight w:val="none"/>
                <w:lang w:val="en-US" w:eastAsia="zh-CN"/>
              </w:rPr>
              <w:t>商务标评审（37分）</w:t>
            </w: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业绩（</w:t>
            </w:r>
            <w:r>
              <w:rPr>
                <w:rFonts w:hint="eastAsia" w:asciiTheme="minorEastAsia" w:hAnsiTheme="minorEastAsia" w:eastAsiaTheme="minorEastAsia" w:cstheme="minorEastAsia"/>
                <w:color w:val="auto"/>
                <w:sz w:val="24"/>
                <w:szCs w:val="24"/>
                <w:highlight w:val="none"/>
                <w:shd w:val="clear" w:color="auto" w:fill="auto"/>
                <w:lang w:val="en-US" w:eastAsia="zh-CN"/>
              </w:rPr>
              <w:t>10</w:t>
            </w:r>
            <w:r>
              <w:rPr>
                <w:rFonts w:hint="eastAsia" w:asciiTheme="minorEastAsia" w:hAnsiTheme="minorEastAsia" w:eastAsiaTheme="minorEastAsia" w:cstheme="minorEastAsia"/>
                <w:color w:val="auto"/>
                <w:sz w:val="24"/>
                <w:szCs w:val="24"/>
                <w:highlight w:val="none"/>
                <w:shd w:val="clear" w:color="auto" w:fill="auto"/>
              </w:rPr>
              <w:t>分）</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供应商近</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五</w:t>
            </w:r>
            <w:r>
              <w:rPr>
                <w:rFonts w:hint="eastAsia" w:asciiTheme="minorEastAsia" w:hAnsiTheme="minorEastAsia" w:eastAsiaTheme="minorEastAsia" w:cstheme="minorEastAsia"/>
                <w:color w:val="auto"/>
                <w:kern w:val="0"/>
                <w:sz w:val="24"/>
                <w:szCs w:val="24"/>
                <w:highlight w:val="none"/>
                <w:shd w:val="clear" w:color="auto" w:fill="auto"/>
              </w:rPr>
              <w:t>年</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完成的</w:t>
            </w:r>
            <w:r>
              <w:rPr>
                <w:rFonts w:hint="eastAsia" w:asciiTheme="minorEastAsia" w:hAnsiTheme="minorEastAsia" w:eastAsiaTheme="minorEastAsia" w:cstheme="minorEastAsia"/>
                <w:color w:val="auto"/>
                <w:kern w:val="0"/>
                <w:sz w:val="24"/>
                <w:szCs w:val="24"/>
                <w:highlight w:val="none"/>
                <w:shd w:val="clear" w:color="auto" w:fill="auto"/>
              </w:rPr>
              <w:t>相关业绩，每一项类似业绩得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2.5</w:t>
            </w:r>
            <w:r>
              <w:rPr>
                <w:rFonts w:hint="eastAsia" w:asciiTheme="minorEastAsia" w:hAnsiTheme="minorEastAsia" w:eastAsiaTheme="minorEastAsia" w:cstheme="minorEastAsia"/>
                <w:color w:val="auto"/>
                <w:kern w:val="0"/>
                <w:sz w:val="24"/>
                <w:szCs w:val="24"/>
                <w:highlight w:val="none"/>
                <w:shd w:val="clear" w:color="auto" w:fill="auto"/>
              </w:rPr>
              <w:t>分，满分</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分。（提供中标通知书</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或</w:t>
            </w:r>
            <w:r>
              <w:rPr>
                <w:rFonts w:hint="eastAsia" w:asciiTheme="minorEastAsia" w:hAnsiTheme="minorEastAsia" w:eastAsiaTheme="minorEastAsia" w:cstheme="minorEastAsia"/>
                <w:color w:val="auto"/>
                <w:kern w:val="0"/>
                <w:sz w:val="24"/>
                <w:szCs w:val="24"/>
                <w:highlight w:val="none"/>
                <w:shd w:val="clear" w:color="auto" w:fill="auto"/>
              </w:rPr>
              <w:t>合同；以合同签订时间为准，提供合同关键页扫描件，提供不全或不提供的不</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得</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rPr>
              <w:t>专业技术人员配备情况（</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项目组专业技术人员结构合理，项目组人员具有测绘类相关专业职称，高级职称每有1人得2分，中级职称每有1人得1分，初级职称每一个得0.5分。最多得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rPr>
              <w:t>管理制度体系（</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7</w:t>
            </w:r>
            <w:r>
              <w:rPr>
                <w:rFonts w:hint="eastAsia" w:asciiTheme="minorEastAsia" w:hAnsiTheme="minorEastAsia" w:eastAsiaTheme="minorEastAsia" w:cstheme="minorEastAsia"/>
                <w:color w:val="auto"/>
                <w:kern w:val="0"/>
                <w:sz w:val="24"/>
                <w:szCs w:val="24"/>
                <w:highlight w:val="none"/>
                <w:shd w:val="clear" w:color="auto" w:fill="auto"/>
              </w:rPr>
              <w:t>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各投标人需有完备、合理、严谨的内部管理制度体系。评审委员会将依据各投标人提供的资料进行对比打分。有管理制度得基本分</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5</w:t>
            </w:r>
            <w:r>
              <w:rPr>
                <w:rFonts w:hint="eastAsia" w:asciiTheme="minorEastAsia" w:hAnsiTheme="minorEastAsia" w:eastAsiaTheme="minorEastAsia" w:cstheme="minorEastAsia"/>
                <w:color w:val="auto"/>
                <w:kern w:val="0"/>
                <w:sz w:val="24"/>
                <w:szCs w:val="24"/>
                <w:highlight w:val="none"/>
                <w:shd w:val="clear" w:color="auto" w:fill="auto"/>
              </w:rPr>
              <w:t>分。具备完成本次工作的具体管理制度得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7</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bidi="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项目负责人（5分）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拟投入本项目项目负责人具有相关专业高级工程师资格证书的得5分；项目负责人具有相关专业中级职称得2分。初级职称及以下不得分。（需提供职称证明材料）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廉洁自律承诺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承诺企业及相关人员在本项目实施期间廉洁自律拒绝商业贿赂的得5分否则不得分</w:t>
            </w:r>
            <w:r>
              <w:rPr>
                <w:rFonts w:hint="eastAsia" w:asciiTheme="minorEastAsia" w:hAnsiTheme="minorEastAsia" w:eastAsiaTheme="minorEastAsia" w:cstheme="minor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tl w:val="0"/>
                <w:lang w:val="en-US" w:eastAsia="zh-CN" w:bidi="zh-CN"/>
              </w:rPr>
            </w:pPr>
          </w:p>
        </w:tc>
        <w:tc>
          <w:tcPr>
            <w:tcW w:w="172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技术标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评审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highlight w:val="none"/>
                <w:rtl w:val="0"/>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rPr>
              <w:t>（53分）</w:t>
            </w: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服务质量保障措施（8分）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根据供应商针对本项目的服务质量保障措施进行评审：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有严格合理的质量保证体系，对整个项目质量管理有具体的保障制度和措施，针对性强，能很好的保证项目质量，得</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提供有较合理质量保证措施，质量保证及质量承诺符合项目需求，得</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提供相对简单的质量保证措施，没有针对性，得</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未提供质量保证措施得0分。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项目理解和响应程度（</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4689"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kern w:val="0"/>
                <w:sz w:val="24"/>
                <w:szCs w:val="24"/>
                <w:highlight w:val="none"/>
              </w:rPr>
              <w:t>主要工作内容的理解和响应程度</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tl w:val="0"/>
                <w:lang w:val="en-US" w:eastAsia="zh-CN" w:bidi="zh-CN"/>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 xml:space="preserve">对采购需求理解透彻，对项目重点难点的理解十分到位，提出的重点难点有利于项目实施，满足或优于采购需求的，得10分；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对采购需求理解比较透彻，对项目重点难点的理解比较到位，提出的重点难点比较有利于项目实施，比较满足采购需求的，得6分；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对采购需求理解一般，对项目重点难点的理解分析基本到位，基本符合采购需求的，得4分；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对采购需求理解较差，对项目重点难点的理解分析有所欠缺，不能满足采购需求的，得1分；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bidi="zh-CN"/>
              </w:rPr>
              <w:t xml:space="preserve">其他或无响应，得0分。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highlight w:val="none"/>
                <w:lang w:val="en-US" w:eastAsia="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项目实施总体思路、实施方案（20分）</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项目实施总体思路与技术路线的可 行性、合理性：</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内容与深度完全符合招标文件要求和本项目实际发展需求，工作思路清晰，合理，得20分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内容与深度符合招标文件要求和本项目实际发展需求，工作思路较清晰，得12分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内容与深度完全与招标文件要求和本项目实际发展需求符合度不足，工作思路一般，得6分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成果文件内容（</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 ）</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提供的主要成果内容完整性：主要成果完整，数据库、文字报告、图、表齐全，得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分；主要成果较完整，数据库较齐全，有图表，得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分；成果内容不完整，得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rPr>
              <w:t>后续服务承诺（5分）</w:t>
            </w:r>
          </w:p>
        </w:tc>
        <w:tc>
          <w:tcPr>
            <w:tcW w:w="4689"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根据</w:t>
            </w:r>
            <w:r>
              <w:rPr>
                <w:rFonts w:hint="eastAsia" w:asciiTheme="minorEastAsia" w:hAnsiTheme="minorEastAsia" w:eastAsiaTheme="minorEastAsia" w:cstheme="minorEastAsia"/>
                <w:color w:val="auto"/>
                <w:sz w:val="24"/>
                <w:szCs w:val="24"/>
                <w:highlight w:val="none"/>
              </w:rPr>
              <w:t>后续服务内容、响应和解决问题时间承诺，服务措施详细可行，违约处罚承诺，服务机构及人员</w:t>
            </w:r>
            <w:r>
              <w:rPr>
                <w:rFonts w:hint="eastAsia" w:asciiTheme="minorEastAsia" w:hAnsiTheme="minorEastAsia" w:eastAsiaTheme="minorEastAsia" w:cstheme="minorEastAsia"/>
                <w:color w:val="auto"/>
                <w:sz w:val="24"/>
                <w:szCs w:val="24"/>
                <w:highlight w:val="none"/>
                <w:lang w:val="en-US" w:eastAsia="zh-CN"/>
              </w:rPr>
              <w:t>进行评审</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后续服务内容明确、响应和解决问题时间承诺及时，服务措施详细可行，且有违约处罚承诺，服务机构及人员</w:t>
            </w:r>
            <w:r>
              <w:rPr>
                <w:rFonts w:hint="eastAsia" w:asciiTheme="minorEastAsia" w:hAnsiTheme="minorEastAsia" w:eastAsiaTheme="minorEastAsia" w:cstheme="minorEastAsia"/>
                <w:color w:val="auto"/>
                <w:sz w:val="24"/>
                <w:szCs w:val="24"/>
                <w:highlight w:val="none"/>
                <w:lang w:val="en-US" w:eastAsia="zh-CN"/>
              </w:rPr>
              <w:t>明确；</w:t>
            </w:r>
            <w:r>
              <w:rPr>
                <w:rFonts w:hint="eastAsia" w:asciiTheme="minorEastAsia" w:hAnsiTheme="minorEastAsia" w:eastAsiaTheme="minorEastAsia" w:cstheme="minorEastAsia"/>
                <w:color w:val="auto"/>
                <w:sz w:val="24"/>
                <w:szCs w:val="24"/>
                <w:highlight w:val="none"/>
                <w:lang w:val="en-US" w:eastAsia="zh-CN" w:bidi="zh-CN"/>
              </w:rPr>
              <w:t>得3分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bidi="zh-CN"/>
              </w:rPr>
              <w:t>承诺提供后期服务，承诺服务内容较完善，具有对本项目长期跟踪研究服务的能力，承诺提供后续服务，得5分</w:t>
            </w:r>
          </w:p>
          <w:p>
            <w:pPr>
              <w:pStyle w:val="16"/>
              <w:rPr>
                <w:rFonts w:hint="eastAsia" w:asciiTheme="minorEastAsia" w:hAnsiTheme="minorEastAsia" w:eastAsiaTheme="minorEastAsia" w:cstheme="minorEastAsia"/>
                <w:color w:val="auto"/>
                <w:sz w:val="24"/>
                <w:szCs w:val="24"/>
                <w:highlight w:val="none"/>
                <w:lang w:val="en-US" w:bidi="zh-CN"/>
              </w:rPr>
            </w:pPr>
            <w:r>
              <w:rPr>
                <w:rFonts w:hint="eastAsia" w:asciiTheme="minorEastAsia" w:hAnsiTheme="minorEastAsia" w:eastAsiaTheme="minorEastAsia" w:cstheme="minorEastAsia"/>
                <w:color w:val="auto"/>
                <w:sz w:val="24"/>
                <w:szCs w:val="24"/>
                <w:highlight w:val="none"/>
                <w:lang w:val="en-US" w:bidi="zh-CN"/>
              </w:rPr>
              <w:t>服务内容含糊不确定，得3分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bidi="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项目实施进度计划（</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根据各投标人提供的计划安排的合理性、工期的长短、组织实施及进度安排方案进行综合评审：</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严格把握提交时限，根据本项目工作的关键时间点有序推进，项目进度控制科学，时间节点清晰合理，并附有详细的确保完成工作措施，得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满足招标文件中规定的服务期限要求，各阶段时间节点较为明确，并附有较详细的确保完成工作措施，得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只承诺满足招标文件中规定的服务期限以内完成的，时间节点划分照搬招标文件或较为简单，得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未承诺满足招标文件中规定的服务期限以内完成的，时间节点划分照搬招标文件，得0分。</w:t>
            </w:r>
          </w:p>
        </w:tc>
      </w:tr>
    </w:tbl>
    <w:p>
      <w:pPr>
        <w:pStyle w:val="27"/>
        <w:rPr>
          <w:rFonts w:hint="eastAsia" w:ascii="宋体" w:hAnsi="宋体" w:eastAsia="宋体" w:cs="宋体"/>
          <w:b/>
          <w:color w:val="auto"/>
          <w:sz w:val="28"/>
          <w:szCs w:val="28"/>
          <w:highlight w:val="none"/>
          <w:lang w:val="en-US" w:eastAsia="zh-CN"/>
        </w:rPr>
      </w:pP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注：1、各评委应认真了解本磋商文件和工程有关情况后，做出须自己负责的评审。</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技术商务标在进行汇总时，分项项目评分进行算术平均，计算结果值在小数点后保留两位小数，后余位数四舍五入计。项目评审过程中，不得去掉最后报价中的最高报价和最低报价。</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、供应商请认真阅读和理解上述内容，避免投标文件中有违背上述审查标准之一的情况发生而造成废标；评标中各评委若发生意见分歧，通过书面表决形式，以少数服从多数为原则决定。</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6、磋商小组应当根据</w:t>
      </w:r>
      <w:r>
        <w:rPr>
          <w:rFonts w:hint="eastAsia" w:ascii="宋体" w:hAnsi="宋体" w:eastAsia="宋体" w:cs="宋体"/>
          <w:color w:val="auto"/>
          <w:sz w:val="24"/>
          <w:szCs w:val="24"/>
          <w:highlight w:val="none"/>
          <w:lang w:val="en-US" w:eastAsia="zh-CN"/>
        </w:rPr>
        <w:t>磋商报价</w:t>
      </w:r>
      <w:r>
        <w:rPr>
          <w:rFonts w:hint="eastAsia" w:ascii="宋体" w:hAnsi="宋体" w:eastAsia="宋体" w:cs="宋体"/>
          <w:color w:val="auto"/>
          <w:sz w:val="24"/>
          <w:szCs w:val="24"/>
          <w:highlight w:val="none"/>
          <w:lang w:val="zh-CN"/>
        </w:rPr>
        <w:t>情况，按照</w:t>
      </w:r>
      <w:r>
        <w:rPr>
          <w:rFonts w:hint="eastAsia" w:ascii="宋体" w:hAnsi="宋体" w:eastAsia="宋体" w:cs="宋体"/>
          <w:color w:val="auto"/>
          <w:sz w:val="24"/>
          <w:szCs w:val="24"/>
          <w:highlight w:val="none"/>
          <w:lang w:val="en-US" w:eastAsia="zh-CN"/>
        </w:rPr>
        <w:t>最终报</w:t>
      </w:r>
      <w:r>
        <w:rPr>
          <w:rFonts w:hint="eastAsia" w:ascii="宋体" w:hAnsi="宋体" w:eastAsia="宋体" w:cs="宋体"/>
          <w:color w:val="auto"/>
          <w:sz w:val="24"/>
          <w:szCs w:val="24"/>
          <w:highlight w:val="none"/>
          <w:lang w:val="zh-CN"/>
        </w:rPr>
        <w:t>由</w:t>
      </w: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lang w:val="zh-CN"/>
        </w:rPr>
        <w:t>到</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lang w:val="zh-CN"/>
        </w:rPr>
        <w:t>顺序推荐3名成交候选供应商。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授予合同</w:t>
      </w:r>
      <w:bookmarkEnd w:id="57"/>
      <w:bookmarkEnd w:id="58"/>
      <w:bookmarkEnd w:id="59"/>
      <w:bookmarkEnd w:id="60"/>
      <w:bookmarkEnd w:id="61"/>
      <w:bookmarkEnd w:id="62"/>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28．合同授予标准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28.1合同将授予被确定为实质上响应</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文件要求，符合采购需求、质量和服务相等且</w:t>
      </w:r>
      <w:r>
        <w:rPr>
          <w:rFonts w:hint="eastAsia" w:ascii="宋体" w:hAnsi="宋体" w:eastAsia="宋体" w:cs="宋体"/>
          <w:color w:val="auto"/>
          <w:sz w:val="24"/>
          <w:szCs w:val="24"/>
          <w:highlight w:val="none"/>
          <w:lang w:val="en-US" w:eastAsia="zh-CN"/>
        </w:rPr>
        <w:t>报综合得分最高</w:t>
      </w:r>
      <w:r>
        <w:rPr>
          <w:rFonts w:hint="eastAsia" w:ascii="宋体" w:hAnsi="宋体" w:eastAsia="宋体" w:cs="宋体"/>
          <w:color w:val="auto"/>
          <w:sz w:val="24"/>
          <w:szCs w:val="24"/>
          <w:highlight w:val="none"/>
        </w:rPr>
        <w:t>的供应商。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28.2 </w:t>
      </w:r>
      <w:r>
        <w:rPr>
          <w:rFonts w:hint="eastAsia" w:ascii="宋体" w:hAnsi="宋体" w:eastAsia="宋体" w:cs="宋体"/>
          <w:color w:val="auto"/>
          <w:sz w:val="24"/>
          <w:szCs w:val="24"/>
          <w:highlight w:val="none"/>
          <w:lang w:val="en-US" w:eastAsia="zh-CN"/>
        </w:rPr>
        <w:t>未通过资格审查和符合性审查的</w:t>
      </w:r>
      <w:r>
        <w:rPr>
          <w:rFonts w:hint="eastAsia" w:ascii="宋体" w:hAnsi="宋体" w:eastAsia="宋体" w:cs="宋体"/>
          <w:color w:val="auto"/>
          <w:sz w:val="24"/>
          <w:szCs w:val="24"/>
          <w:highlight w:val="none"/>
        </w:rPr>
        <w:t>最低报价不一定是被授予合同的保证。</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28.3排名第一的成交候选人放弃中标、因不可抗力不能履行合同、不按照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要求提交履约保证金，或者被查实存在影响中标结果的违法行为等情形，不符合成交条件的，采购人可以按照</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提出的成交候选人名单排序依次确定其他中标候选人为成交供应商，也可以重新招标。</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29．接受和拒绝任何或所有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29.1为维护国家利益，买方在授予合同之前仍有选择或拒绝任何全部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的权力，并对所采取的行为不作任何解释。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．成交通知书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评标结束后在“新疆政府采购网”（网址：http://www.ccgp-xinjiang.gov.cn/）上予以公告。公告有效期1个工作日；</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招标代理机构根据</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标结果，在投标有效期届满前，以书面形式向中标单位发出中标通知书。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招标代理机构将</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标结果及时通知未中标单位并退还投标保证金。无需解释落标原因。</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招标人有权在定标之前拒绝任何有不正当行为或扰乱正常招标工作的投标人，由此对投标人造成的损失不负任何责任，同时对此无需做任何解释。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在成交通知书发出后五个工作日内退还未成交供应商的保证金，在采购合同签订后五个工作日内退还成交供应商的保证金。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31．签订合同</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供应商收到《成交通知书》后，按《成交通知书》中规定的时间地点与买方签订合同。买方和成交方不得再订立背离合同实质性内容的其他协议。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如成交方拒签合同，则按违约处理。招标代理机构没收其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文件、成交方的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响应文件及其澄清文件等，均为签订经济合同的依据。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32．履约保证金（如适用）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32.1成交方应按合同规定的方式、时间和金额向买方提交履约保证金。履约保证金</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不超过</w:t>
      </w:r>
      <w:r>
        <w:rPr>
          <w:rFonts w:hint="eastAsia" w:ascii="宋体" w:hAnsi="宋体" w:eastAsia="宋体" w:cs="宋体"/>
          <w:color w:val="auto"/>
          <w:sz w:val="24"/>
          <w:szCs w:val="24"/>
          <w:highlight w:val="none"/>
          <w:lang w:eastAsia="zh-CN"/>
        </w:rPr>
        <w:t>合同价款的</w:t>
      </w:r>
      <w:r>
        <w:rPr>
          <w:rFonts w:hint="eastAsia" w:ascii="宋体" w:hAnsi="宋体" w:eastAsia="宋体" w:cs="宋体"/>
          <w:color w:val="auto"/>
          <w:sz w:val="24"/>
          <w:szCs w:val="24"/>
          <w:highlight w:val="none"/>
          <w:lang w:val="en-US" w:eastAsia="zh-CN"/>
        </w:rPr>
        <w:t>10%。（具体以与甲方协商约定为准）。</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按差额定率累进法计算</w:t>
      </w:r>
      <w:r>
        <w:rPr>
          <w:rFonts w:hint="eastAsia" w:ascii="宋体" w:hAnsi="宋体" w:eastAsia="宋体" w:cs="宋体"/>
          <w:color w:val="auto"/>
          <w:sz w:val="24"/>
          <w:szCs w:val="24"/>
          <w:highlight w:val="none"/>
          <w:lang w:val="en-US" w:eastAsia="zh-CN"/>
        </w:rPr>
        <w:t>收取：100万元以下收取1.5%，100万-500万元收取0.8%，500万-1000万元收取0.45%，1000万-5000万元收取0.25%，5000万-1亿元收取0.1%，以此类推。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例如：中标金额为100.8万元，则招标代理服务收费额为（100万元X1.5%）+（0.8万元X1.1%）=15088.00元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中标单位在领取成交通知书时一次性支付</w:t>
      </w:r>
      <w:r>
        <w:rPr>
          <w:rFonts w:hint="eastAsia" w:ascii="宋体" w:hAnsi="宋体" w:eastAsia="宋体" w:cs="宋体"/>
          <w:color w:val="auto"/>
          <w:sz w:val="24"/>
          <w:szCs w:val="24"/>
          <w:highlight w:val="none"/>
        </w:rPr>
        <w:t>。</w:t>
      </w:r>
    </w:p>
    <w:p>
      <w:pPr>
        <w:pStyle w:val="4"/>
        <w:spacing w:before="100" w:beforeAutospacing="1" w:after="100" w:afterAutospacing="1" w:line="240" w:lineRule="auto"/>
        <w:jc w:val="center"/>
        <w:rPr>
          <w:rFonts w:hint="eastAsia" w:ascii="宋体" w:hAnsi="宋体" w:eastAsia="宋体" w:cs="宋体"/>
          <w:bCs/>
          <w:color w:val="auto"/>
          <w:sz w:val="28"/>
          <w:szCs w:val="28"/>
          <w:highlight w:val="none"/>
        </w:rPr>
      </w:pPr>
      <w:bookmarkStart w:id="64" w:name="_Toc471489759"/>
      <w:bookmarkStart w:id="65" w:name="_Toc527642958"/>
      <w:r>
        <w:rPr>
          <w:rFonts w:hint="eastAsia" w:ascii="宋体" w:hAnsi="宋体" w:eastAsia="宋体" w:cs="宋体"/>
          <w:color w:val="auto"/>
          <w:sz w:val="28"/>
          <w:szCs w:val="28"/>
          <w:highlight w:val="none"/>
        </w:rPr>
        <w:t xml:space="preserve">G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失败条件</w:t>
      </w:r>
      <w:bookmarkEnd w:id="64"/>
      <w:bookmarkEnd w:id="65"/>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34.出现影响采购公正的违法、违规行为的；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35.因重大变故，采购任务取消的；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36.磋商响应文件截止时间后，实际参与的供应商不足法定家数的；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37.最终报价均超过采购预算的；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38.对磋商文件作出实质性响应的供应商不足法定家数的；</w:t>
      </w:r>
    </w:p>
    <w:p>
      <w:pPr>
        <w:pStyle w:val="3"/>
        <w:numPr>
          <w:ilvl w:val="0"/>
          <w:numId w:val="0"/>
        </w:numPr>
        <w:spacing w:line="400" w:lineRule="atLeast"/>
        <w:jc w:val="center"/>
        <w:rPr>
          <w:rFonts w:hint="eastAsia" w:ascii="宋体" w:hAnsi="宋体" w:eastAsia="宋体" w:cs="宋体"/>
          <w:color w:val="auto"/>
          <w:sz w:val="28"/>
          <w:szCs w:val="28"/>
          <w:highlight w:val="none"/>
        </w:rPr>
      </w:pPr>
      <w:bookmarkStart w:id="66" w:name="_Toc527642959"/>
      <w:bookmarkStart w:id="67" w:name="_Toc349637926"/>
      <w:bookmarkStart w:id="68" w:name="_Toc298240411"/>
      <w:bookmarkStart w:id="69" w:name="_Toc28010"/>
      <w:bookmarkStart w:id="70" w:name="_Toc349573127"/>
      <w:r>
        <w:rPr>
          <w:rFonts w:hint="eastAsia" w:ascii="宋体" w:hAnsi="宋体" w:eastAsia="宋体" w:cs="宋体"/>
          <w:color w:val="auto"/>
          <w:sz w:val="28"/>
          <w:szCs w:val="28"/>
          <w:highlight w:val="none"/>
          <w:lang w:val="en-US" w:eastAsia="zh-CN"/>
        </w:rPr>
        <w:t xml:space="preserve">H </w:t>
      </w:r>
      <w:r>
        <w:rPr>
          <w:rFonts w:hint="eastAsia" w:ascii="宋体" w:hAnsi="宋体" w:eastAsia="宋体" w:cs="宋体"/>
          <w:color w:val="auto"/>
          <w:sz w:val="28"/>
          <w:szCs w:val="28"/>
          <w:highlight w:val="none"/>
        </w:rPr>
        <w:t>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（一）提供虚假材料谋取中标的；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（二）采取不正当手段诋毁、排挤其他投标人的；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（三）与招标人、采购人、其他投标人恶意串通的；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（四）向招标人、采购人行贿或者提供其他不正当利益的；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（五）在招标过程中与招标人、采购人进行协商磋商、不按照招标文件、投标文件订立合同，或者与采购人另行订立背离合同实质性内容的协议的；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（六）拒绝有关部门监督检查或者提供虚假情况的。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投标人有前款第（一）至（五）项情形之一的，中标无效。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中标人有下列情形之一的，招标人不予退还其交纳的投标保证金；情节严重的，由财政部门将其列入不良行为记录名单，在一至三年内禁止参加政府采购活动，并予以通报：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（一）中标后无正当理由不与采购人签订合同的；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（二）将中标项目转让给他人，或者在投标文件中未说明，且未经招标人同意，将中标项目分包给他人的；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（三）拒绝履行合同义务的。</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I   </w:t>
      </w:r>
      <w:r>
        <w:rPr>
          <w:rFonts w:hint="eastAsia" w:ascii="宋体" w:hAnsi="宋体" w:eastAsia="宋体" w:cs="宋体"/>
          <w:color w:val="auto"/>
          <w:sz w:val="28"/>
          <w:szCs w:val="28"/>
          <w:highlight w:val="none"/>
        </w:rPr>
        <w:t>特别提示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40、投标人应认真研读招标文件，充分考虑招标文件中的技术要求和合同条款后编制投标文件。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41、如招标文件中未提供的各类表格样式，投标人可另行设计表格样式，但力求内容完整，表达清晰、准确。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42、本项目实行网上投标，采用电子投标文件。若供应商参与投标，自行承担投标一切费用。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43、各供应商应在开标前应确保成为新疆维吾尔自治区政府采购网正式注册入库供应商，并完成CA数字证书申领。因未注册入库、未办理CA数字证书等原因造成无法投标或投标失败等后果由供应商自行承担。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46、本招标文件是根据《中华人民共和国政府采购法》规定编制的，解释权属新疆金誉达项目管理有限公司。</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J  </w:t>
      </w:r>
      <w:r>
        <w:rPr>
          <w:rFonts w:hint="eastAsia" w:ascii="宋体" w:hAnsi="宋体" w:eastAsia="宋体" w:cs="宋体"/>
          <w:color w:val="auto"/>
          <w:sz w:val="28"/>
          <w:szCs w:val="28"/>
          <w:highlight w:val="none"/>
        </w:rPr>
        <w:t>质疑及答复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47、质疑的提出</w:t>
      </w:r>
      <w:r>
        <w:rPr>
          <w:rFonts w:hint="eastAsia" w:ascii="宋体" w:hAnsi="宋体" w:eastAsia="宋体" w:cs="宋体"/>
          <w:color w:val="auto"/>
          <w:sz w:val="24"/>
          <w:szCs w:val="24"/>
          <w:highlight w:val="none"/>
          <w:lang w:val="en-US" w:eastAsia="zh-CN"/>
        </w:rPr>
        <w:tab/>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 本采购文件中所称质疑及答复，是指参加本次采购活动的供应商对政府采购活动中的采购文件、采购过程和中标结果向采购方提出质疑，采购方答复质疑的行为。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 供应商认为采购文件、采购过程和中标结果使自己的权益受到损害的，可以在知道或者应知其权益受到损害之日起 7 个工作日内，以书面形式向采购方提出质疑。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47.2.1供应商应知其权益受到损害之日，是指：</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（一）对可以质疑的采购文件提出质疑的，为收到采购文件之日或者采购文件公告期限届满之日；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（二）对采购过程提出质疑的，为各采购程序环节结束之日；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（三）对中标结果提出质疑的，为中标结果公告期限届满之日。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47.3 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47.5   提出质疑应当符合下列条件：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（一）质疑主体应当符合有关规定；</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（二）在质疑法定期限内提出；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（三）属于可以提出质疑的政府采购事项受理范围和本项目采购人的管辖权范围；</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（四）政府采购法律、法规、规章规定的其他条件。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47.7 质疑人所提供的证明材料应当具有真实性、合法性以及与质疑事项的关联性和证明力，否则不能作为认定该质疑事项成立的依据。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47.8 质疑人提出质疑时应当提交质疑函。质疑函包括下列内容：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（一）提出质疑的质疑人的名称、地址、邮编、联系人及联系电话等；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（二）质疑项目的名称、编号；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（四）事实依据和证明材料；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（六）提出质疑的日期。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47.9  质疑函采用实名制。质疑人为自然人的应当由本人签字，并附有效身份证明文件；质疑人为法人或者非法人组织的应当由法定代表人或者负责人签字并加盖公章，并附有效身份证明文件。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47.10 质疑人可以委托代理人进行质疑。代理人应当提交授权委托书。授权委托书应当载明委托代理的具体权限、期限和相关事项。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48、质疑的审查和受理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采购方在收到质疑函后应当及时审查是否符合质疑受理条件，对符合质疑受理条件的，及时予以受理。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48.2对不符合质疑受理条件的，分别按照下列不同情形予以处理：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（一）质疑函内容不符合规定的，告知质疑人进行修改并重新提出质疑。修改后质疑事项仍不具体、不明确或者最终递交质疑函的时间超过质疑法定期限的，不予受理；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（二）质疑主体不符合有关规定的，告知质疑人不予受理；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（三）超过质疑法定期限提出质疑的，告知质疑人不予受理；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（四）对不属于可以提出质疑的政府采购事项提出质疑的，告知质疑人不予受理；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（五）质疑不属于本项目采购方管辖的，告知质疑人向有管辖权的采购人提出质疑；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（六）质疑不符合其他条件的，告知质疑人不予受理。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48、质疑的处理和答复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按照《政府采购质疑和投诉办法（财政部94号令）》处理及答复质疑。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 采购方受理质疑后，将及时把质疑函发送给被质疑人，并要求其在一定限期人提交书面答复，同时提供有关证据、依据和相关材料。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48.3 对于质疑事项中涉及的问题较多、情况比较复杂的，为了全面查清事实、取得充分的证据，采购方认为有必要时，可以进行调查取证或者组织质证。</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48.4对评审过程、中标结果提出质疑的，采购方可以组织原评审委员会协助答复质疑。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48.5质疑处理过程中，质疑人书面申请撤回质疑的，将终止质疑处理程序。</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48.6质疑人拒绝配合采购方依法对质疑进行调查处理的，采购方将按质疑人自动撤回质疑处理；被质疑人拒绝配合采购方依法对质疑进行调查处理的，采购方将视同其认可质疑事项。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48.7 采购方将在正式受理质疑后 7 个工作日内作出答复，但处理质疑需要进行调查取证、组织专家评审、质疑人及被质疑人提交或补正材料等所需时间，不计算在质疑处理期限内。</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48.8 采购方经调查、论证、核实，认定质疑不能成立的，继续开展采购活动；认定质疑成立的，按照以下情况处理：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48.9 采购方将书面答复质疑，质疑答复包括下列内容：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（一）质疑人名称；</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（二）收到质疑函的日期、质疑项目名称及编号;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（三）质疑事项、质疑答复的具体内容、事实依据和法律依据；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（四）告知质疑人依法投诉的权利；</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（五）质疑答复日期。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48.10 质疑人有下列行为之一的，属于虚假、恶意质疑，将由采购方建议财政部门将其列入不良行为记录名单，禁止其 1 至 3 年内参加政府采购活动：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（一）受理后发现投诉不符合法定受理条件；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（二）投诉事项缺乏事实依据，投诉事项不成立；</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（三）投诉人捏造事实或者提供虚假材料；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（四）投诉人以非法手段取得证明材料。证据来源的合法性存在明显疑问，投诉人无法证明其取得方式合法的，视为以非法手段取得证明材料。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（五）法律法规规定的其他违法情形。</w:t>
      </w: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b/>
          <w:bCs/>
          <w:color w:val="auto"/>
          <w:sz w:val="28"/>
          <w:szCs w:val="21"/>
          <w:highlight w:val="none"/>
        </w:rPr>
      </w:pPr>
      <w:r>
        <w:rPr>
          <w:rFonts w:hint="eastAsia" w:ascii="宋体" w:hAnsi="宋体" w:eastAsia="宋体" w:cs="宋体"/>
          <w:b/>
          <w:bCs/>
          <w:color w:val="auto"/>
          <w:spacing w:val="25"/>
          <w:sz w:val="28"/>
          <w:szCs w:val="21"/>
          <w:highlight w:val="none"/>
        </w:rPr>
        <w:t>质</w:t>
      </w:r>
      <w:r>
        <w:rPr>
          <w:rFonts w:hint="eastAsia" w:ascii="宋体" w:hAnsi="宋体" w:eastAsia="宋体" w:cs="宋体"/>
          <w:b/>
          <w:bCs/>
          <w:color w:val="auto"/>
          <w:spacing w:val="24"/>
          <w:sz w:val="28"/>
          <w:szCs w:val="21"/>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71" w:name="_Toc25739"/>
      <w:bookmarkStart w:id="72" w:name="_Toc110010425"/>
      <w:bookmarkStart w:id="73" w:name="_Toc5896"/>
      <w:bookmarkStart w:id="74" w:name="_Toc1299"/>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71"/>
      <w:bookmarkEnd w:id="72"/>
      <w:bookmarkEnd w:id="73"/>
      <w:bookmarkEnd w:id="74"/>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75" w:name="_Toc3585"/>
      <w:bookmarkStart w:id="76" w:name="_Toc1061"/>
      <w:bookmarkStart w:id="77" w:name="_Toc110010426"/>
      <w:bookmarkStart w:id="78" w:name="_Toc15098"/>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75"/>
      <w:bookmarkEnd w:id="76"/>
      <w:bookmarkEnd w:id="77"/>
      <w:bookmarkEnd w:id="78"/>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79" w:name="_Toc110010427"/>
      <w:bookmarkStart w:id="80" w:name="_Toc22496"/>
      <w:bookmarkStart w:id="81" w:name="_Toc32569"/>
      <w:bookmarkStart w:id="82" w:name="_Toc14686"/>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79"/>
      <w:bookmarkEnd w:id="80"/>
      <w:bookmarkEnd w:id="81"/>
      <w:bookmarkEnd w:id="82"/>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质疑函制作说明：</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 体分包号。</w:t>
      </w:r>
    </w:p>
    <w:p>
      <w:pPr>
        <w:shd w:val="clear" w:color="auto" w:fill="auto"/>
        <w:spacing w:line="14"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4.质疑函的质疑事项应具体、明确，并有必要的事实依据和法律</w:t>
      </w:r>
      <w:r>
        <w:rPr>
          <w:rFonts w:hint="eastAsia" w:ascii="宋体" w:hAnsi="宋体" w:eastAsia="宋体" w:cs="宋体"/>
          <w:color w:val="auto"/>
          <w:sz w:val="24"/>
          <w:highlight w:val="none"/>
          <w:lang w:val="en-US" w:eastAsia="zh-CN"/>
        </w:rPr>
        <w:t>+</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shd w:val="clear" w:color="auto" w:fill="auto"/>
        <w:spacing w:line="14" w:lineRule="auto"/>
        <w:rPr>
          <w:rFonts w:hint="eastAsia" w:ascii="宋体" w:hAnsi="宋体" w:eastAsia="宋体" w:cs="宋体"/>
          <w:color w:val="auto"/>
          <w:sz w:val="24"/>
          <w:highlight w:val="none"/>
        </w:rPr>
        <w:sectPr>
          <w:footerReference r:id="rId8" w:type="default"/>
          <w:pgSz w:w="11905" w:h="16838"/>
          <w:pgMar w:top="1304" w:right="964" w:bottom="1020" w:left="1191" w:header="567" w:footer="454" w:gutter="0"/>
          <w:pgNumType w:fmt="numberInDash"/>
          <w:cols w:space="720" w:num="1"/>
          <w:rtlGutter w:val="0"/>
          <w:docGrid w:type="lines" w:linePitch="317" w:charSpace="0"/>
        </w:sectPr>
      </w:pPr>
      <w:r>
        <w:rPr>
          <w:rFonts w:hint="eastAsia" w:ascii="宋体" w:hAnsi="宋体" w:eastAsia="宋体" w:cs="宋体"/>
          <w:color w:val="auto"/>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before="101" w:line="225" w:lineRule="auto"/>
        <w:ind w:left="3656"/>
        <w:rPr>
          <w:rFonts w:hint="eastAsia" w:ascii="宋体" w:hAnsi="宋体" w:eastAsia="宋体" w:cs="宋体"/>
          <w:b/>
          <w:bCs/>
          <w:color w:val="auto"/>
          <w:spacing w:val="24"/>
          <w:sz w:val="28"/>
          <w:szCs w:val="21"/>
          <w:highlight w:val="none"/>
        </w:rPr>
      </w:pPr>
      <w:r>
        <w:rPr>
          <w:rFonts w:hint="eastAsia" w:ascii="宋体" w:hAnsi="宋体" w:eastAsia="宋体" w:cs="宋体"/>
          <w:b/>
          <w:bCs/>
          <w:color w:val="auto"/>
          <w:spacing w:val="24"/>
          <w:sz w:val="28"/>
          <w:szCs w:val="21"/>
          <w:highlight w:val="none"/>
        </w:rPr>
        <w:t>投诉书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83" w:name="_Toc26371"/>
      <w:bookmarkStart w:id="84" w:name="_Toc5746"/>
      <w:bookmarkStart w:id="85" w:name="_Toc21592"/>
      <w:bookmarkStart w:id="86" w:name="_Toc110010429"/>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83"/>
      <w:bookmarkEnd w:id="84"/>
      <w:bookmarkEnd w:id="85"/>
      <w:bookmarkEnd w:id="86"/>
    </w:p>
    <w:p>
      <w:pPr>
        <w:shd w:val="clear" w:color="auto" w:fill="auto"/>
        <w:spacing w:before="1" w:line="220" w:lineRule="auto"/>
        <w:ind w:left="508"/>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shd w:val="clear" w:color="auto" w:fill="auto"/>
        <w:spacing w:before="10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shd w:val="clear" w:color="auto" w:fill="auto"/>
        <w:spacing w:before="10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99"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shd w:val="clear" w:color="auto" w:fill="auto"/>
        <w:spacing w:before="101" w:line="185"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87" w:name="_Toc25199"/>
      <w:bookmarkStart w:id="88" w:name="_Toc27620"/>
      <w:bookmarkStart w:id="89" w:name="_Toc377"/>
      <w:bookmarkStart w:id="90" w:name="_Toc110010430"/>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87"/>
      <w:bookmarkEnd w:id="88"/>
      <w:bookmarkEnd w:id="89"/>
      <w:bookmarkEnd w:id="90"/>
    </w:p>
    <w:p>
      <w:pPr>
        <w:shd w:val="clear" w:color="auto" w:fill="auto"/>
        <w:spacing w:before="6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10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5"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shd w:val="clear" w:color="auto" w:fill="auto"/>
        <w:spacing w:before="100"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pStyle w:val="5"/>
        <w:keepNext/>
        <w:keepLines/>
        <w:pageBreakBefore w:val="0"/>
        <w:widowControl w:val="0"/>
        <w:numPr>
          <w:ilvl w:val="0"/>
          <w:numId w:val="6"/>
        </w:numPr>
        <w:kinsoku/>
        <w:wordWrap/>
        <w:overflowPunct/>
        <w:topLinePunct w:val="0"/>
        <w:autoSpaceDE/>
        <w:autoSpaceDN/>
        <w:bidi w:val="0"/>
        <w:adjustRightInd/>
        <w:snapToGrid/>
        <w:spacing w:line="356" w:lineRule="atLeast"/>
        <w:jc w:val="center"/>
        <w:textAlignment w:val="auto"/>
        <w:outlineLvl w:val="0"/>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br w:type="page"/>
      </w:r>
      <w:r>
        <w:rPr>
          <w:rFonts w:hint="eastAsia" w:ascii="宋体" w:hAnsi="宋体" w:eastAsia="宋体" w:cs="宋体"/>
          <w:color w:val="auto"/>
          <w:sz w:val="28"/>
          <w:szCs w:val="28"/>
          <w:highlight w:val="none"/>
        </w:rPr>
        <w:t xml:space="preserve">  </w:t>
      </w:r>
      <w:bookmarkEnd w:id="63"/>
      <w:bookmarkEnd w:id="66"/>
      <w:bookmarkEnd w:id="67"/>
      <w:bookmarkEnd w:id="68"/>
      <w:bookmarkEnd w:id="69"/>
      <w:bookmarkEnd w:id="70"/>
      <w:bookmarkStart w:id="91" w:name="_Toc10290"/>
      <w:r>
        <w:rPr>
          <w:rFonts w:hint="eastAsia" w:ascii="宋体" w:hAnsi="宋体" w:eastAsia="宋体" w:cs="宋体"/>
          <w:color w:val="auto"/>
          <w:highlight w:val="none"/>
          <w:lang w:val="en-US" w:eastAsia="zh-CN"/>
        </w:rPr>
        <w:t>服务要求</w:t>
      </w:r>
    </w:p>
    <w:p>
      <w:pPr>
        <w:spacing w:before="91" w:line="220" w:lineRule="auto"/>
        <w:ind w:left="56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14:textOutline w14:w="5094" w14:cap="flat" w14:cmpd="sng">
            <w14:solidFill>
              <w14:srgbClr w14:val="000000"/>
            </w14:solidFill>
            <w14:prstDash w14:val="solid"/>
            <w14:miter w14:val="0"/>
          </w14:textOutline>
        </w:rPr>
        <w:t>一</w:t>
      </w:r>
      <w:r>
        <w:rPr>
          <w:rFonts w:hint="eastAsia" w:ascii="宋体" w:hAnsi="宋体" w:eastAsia="宋体" w:cs="宋体"/>
          <w:color w:val="auto"/>
          <w:spacing w:val="-8"/>
          <w:sz w:val="24"/>
          <w:szCs w:val="24"/>
          <w:highlight w:val="none"/>
          <w14:textOutline w14:w="5094" w14:cap="flat" w14:cmpd="sng">
            <w14:solidFill>
              <w14:srgbClr w14:val="000000"/>
            </w14:solidFill>
            <w14:prstDash w14:val="solid"/>
            <w14:miter w14:val="0"/>
          </w14:textOutline>
        </w:rPr>
        <w:t>、项目概况：</w:t>
      </w:r>
    </w:p>
    <w:p>
      <w:pPr>
        <w:spacing w:before="91" w:line="414" w:lineRule="auto"/>
        <w:ind w:left="421" w:firstLine="841"/>
        <w:rPr>
          <w:rFonts w:hint="eastAsia" w:ascii="宋体" w:hAnsi="宋体" w:eastAsia="宋体" w:cs="宋体"/>
          <w:color w:val="auto"/>
          <w:spacing w:val="-10"/>
          <w:sz w:val="24"/>
          <w:szCs w:val="24"/>
          <w:highlight w:val="none"/>
        </w:rPr>
      </w:pPr>
      <w:r>
        <w:rPr>
          <w:rFonts w:hint="eastAsia" w:ascii="宋体" w:hAnsi="宋体" w:eastAsia="宋体" w:cs="宋体"/>
          <w:color w:val="auto"/>
          <w:spacing w:val="2"/>
          <w:sz w:val="24"/>
          <w:szCs w:val="24"/>
          <w:highlight w:val="none"/>
        </w:rPr>
        <w:t>本项目为</w:t>
      </w:r>
      <w:r>
        <w:rPr>
          <w:rFonts w:hint="eastAsia" w:ascii="宋体" w:hAnsi="宋体" w:cs="宋体"/>
          <w:color w:val="auto"/>
          <w:kern w:val="0"/>
          <w:sz w:val="24"/>
          <w:szCs w:val="24"/>
          <w:highlight w:val="none"/>
          <w:lang w:eastAsia="zh-CN"/>
        </w:rPr>
        <w:t>2023年度洛浦县国土变更调查、卫片执法聘请第三方服务采购项目</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spacing w:val="-10"/>
          <w:sz w:val="24"/>
          <w:szCs w:val="24"/>
          <w:highlight w:val="none"/>
        </w:rPr>
        <w:t>。</w:t>
      </w:r>
    </w:p>
    <w:p>
      <w:pPr>
        <w:spacing w:before="91" w:line="414" w:lineRule="auto"/>
        <w:ind w:firstLine="880" w:firstLineChars="400"/>
        <w:rPr>
          <w:rFonts w:hint="eastAsia" w:ascii="宋体" w:hAnsi="宋体" w:eastAsia="宋体" w:cs="宋体"/>
          <w:color w:val="auto"/>
          <w:sz w:val="24"/>
          <w:szCs w:val="24"/>
          <w:highlight w:val="none"/>
        </w:rPr>
      </w:pPr>
      <w:r>
        <w:rPr>
          <w:rFonts w:hint="eastAsia" w:ascii="宋体" w:hAnsi="宋体" w:cs="宋体"/>
          <w:color w:val="auto"/>
          <w:spacing w:val="-10"/>
          <w:sz w:val="24"/>
          <w:szCs w:val="24"/>
          <w:highlight w:val="none"/>
          <w:lang w:val="en-US" w:eastAsia="zh-CN"/>
        </w:rPr>
        <w:t>服务需求：为进一步做好洛浦县2023年度国土利用变化情况和变化的合法性和违法性，加强对疑似违法用地的监管和预警，从而进一步规范建设用地报批、设施农用地审批备案、土地开发利用等用地程序。此项工作需具有较强技术支撑的第三方单位协助开展洛浦县国土变更调查、卫片执法工作。</w:t>
      </w:r>
    </w:p>
    <w:p>
      <w:pPr>
        <w:spacing w:before="53" w:line="220" w:lineRule="auto"/>
        <w:ind w:left="56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5094" w14:cap="flat" w14:cmpd="sng">
            <w14:solidFill>
              <w14:srgbClr w14:val="000000"/>
            </w14:solidFill>
            <w14:prstDash w14:val="solid"/>
            <w14:miter w14:val="0"/>
          </w14:textOutline>
        </w:rPr>
        <w:t>二、项目服务要</w:t>
      </w:r>
      <w:r>
        <w:rPr>
          <w:rFonts w:hint="eastAsia" w:ascii="宋体" w:hAnsi="宋体" w:eastAsia="宋体" w:cs="宋体"/>
          <w:color w:val="auto"/>
          <w:sz w:val="24"/>
          <w:szCs w:val="24"/>
          <w:highlight w:val="none"/>
          <w14:textOutline w14:w="5094" w14:cap="flat" w14:cmpd="sng">
            <w14:solidFill>
              <w14:srgbClr w14:val="000000"/>
            </w14:solidFill>
            <w14:prstDash w14:val="solid"/>
            <w14:miter w14:val="0"/>
          </w14:textOutline>
        </w:rPr>
        <w:t>求</w:t>
      </w:r>
    </w:p>
    <w:p>
      <w:pPr>
        <w:spacing w:before="91" w:line="414" w:lineRule="auto"/>
        <w:ind w:firstLine="880" w:firstLineChars="400"/>
        <w:rPr>
          <w:rFonts w:hint="eastAsia" w:ascii="宋体" w:hAnsi="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1、项目地点：洛浦县</w:t>
      </w:r>
    </w:p>
    <w:p>
      <w:pPr>
        <w:spacing w:before="91" w:line="414" w:lineRule="auto"/>
        <w:ind w:firstLine="880" w:firstLineChars="400"/>
        <w:rPr>
          <w:rFonts w:hint="eastAsia" w:ascii="宋体" w:hAnsi="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2、工作内容：2023年度洛浦县国土变更调查与卫片执法工作技术服务，通过采购第三方服务，对自治区下发图斑开展实地核查后，经与不动产数据、历年审批建设用地数据、设施农用地备案数据及乱占耕地建房等数据进行综合分析，分类上报上级业务部门审核，完成内外网系统填报与审核。</w:t>
      </w:r>
    </w:p>
    <w:p>
      <w:pPr>
        <w:spacing w:before="91" w:line="414" w:lineRule="auto"/>
        <w:ind w:firstLine="880" w:firstLineChars="400"/>
        <w:rPr>
          <w:rFonts w:hint="eastAsia" w:ascii="宋体" w:hAnsi="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按照国家统一标准，在洛浦县范围内利用卫星遥感、互联网、云计算等技术，统筹利用现有资料，以最新的正射影像图为基础，提取地类变化信息，开展实地调查举证，全面掌握2022年度初始时点、2023年度初始时点和统一时点间的地类、面积和权属变化情况，更新“三调”数据库。</w:t>
      </w:r>
    </w:p>
    <w:p>
      <w:pPr>
        <w:spacing w:before="91" w:line="414" w:lineRule="auto"/>
        <w:ind w:firstLine="880" w:firstLineChars="400"/>
        <w:rPr>
          <w:rFonts w:hint="eastAsia" w:ascii="宋体" w:hAnsi="宋体" w:cs="宋体"/>
          <w:color w:val="auto"/>
          <w:spacing w:val="-10"/>
          <w:sz w:val="24"/>
          <w:szCs w:val="24"/>
          <w:highlight w:val="none"/>
          <w:lang w:val="en-US" w:eastAsia="zh-CN"/>
        </w:rPr>
      </w:pPr>
    </w:p>
    <w:p>
      <w:pPr>
        <w:spacing w:before="91" w:line="414" w:lineRule="auto"/>
        <w:ind w:firstLine="880" w:firstLineChars="400"/>
        <w:rPr>
          <w:rFonts w:hint="eastAsia" w:ascii="宋体" w:hAnsi="宋体" w:cs="宋体"/>
          <w:color w:val="auto"/>
          <w:spacing w:val="-10"/>
          <w:sz w:val="24"/>
          <w:szCs w:val="24"/>
          <w:highlight w:val="none"/>
          <w:lang w:val="en-US" w:eastAsia="zh-CN"/>
        </w:rPr>
        <w:sectPr>
          <w:pgSz w:w="11907" w:h="16839"/>
          <w:pgMar w:top="1431" w:right="1230" w:bottom="0" w:left="1244" w:header="0" w:footer="0" w:gutter="0"/>
          <w:pgNumType w:fmt="numberInDash"/>
          <w:cols w:space="720" w:num="1"/>
        </w:sectPr>
      </w:pPr>
    </w:p>
    <w:p>
      <w:pPr>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第四部分 合同条款及格式</w:t>
      </w:r>
      <w:bookmarkEnd w:id="91"/>
    </w:p>
    <w:p>
      <w:pPr>
        <w:pStyle w:val="1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92" w:name="_Toc3044_WPSOffice_Level1"/>
      <w:bookmarkStart w:id="93" w:name="_Toc372_WPSOffice_Level1"/>
      <w:bookmarkStart w:id="94" w:name="_Toc7342_WPSOffice_Level1"/>
      <w:bookmarkStart w:id="95" w:name="_Toc349637937"/>
      <w:bookmarkStart w:id="96" w:name="_Toc349573138"/>
      <w:bookmarkStart w:id="97" w:name="_Toc267301296"/>
      <w:bookmarkStart w:id="98" w:name="_Toc298240423"/>
      <w:bookmarkStart w:id="99" w:name="_Toc13252"/>
      <w:bookmarkStart w:id="100" w:name="_Toc527642969"/>
      <w:bookmarkStart w:id="101" w:name="_Toc349637943"/>
      <w:bookmarkStart w:id="102" w:name="_Toc298240429"/>
      <w:bookmarkStart w:id="103" w:name="_Toc349573144"/>
      <w:bookmarkStart w:id="104" w:name="_Toc507690272"/>
      <w:r>
        <w:rPr>
          <w:rFonts w:hint="eastAsia" w:ascii="宋体" w:hAnsi="宋体" w:eastAsia="宋体" w:cs="宋体"/>
          <w:color w:val="auto"/>
          <w:sz w:val="24"/>
          <w:szCs w:val="24"/>
          <w:highlight w:val="none"/>
        </w:rPr>
        <w:t>以下为中标后签定本项目合同的通用条款，中标人不得提出实质性的修改。关于专用条款将由采购人与中标人结合本项目具体情况协商后补充，但补充内容对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和投标文件以及通用条款，不得作实质性修改。</w:t>
      </w:r>
    </w:p>
    <w:p>
      <w:pPr>
        <w:pStyle w:val="1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bookmarkEnd w:id="92"/>
      <w:bookmarkEnd w:id="93"/>
      <w:bookmarkEnd w:id="94"/>
    </w:p>
    <w:p>
      <w:pPr>
        <w:spacing w:line="40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合 同 书</w:t>
      </w:r>
    </w:p>
    <w:p>
      <w:pPr>
        <w:spacing w:line="400" w:lineRule="exact"/>
        <w:ind w:firstLine="813" w:firstLineChars="450"/>
        <w:rPr>
          <w:rFonts w:hint="eastAsia" w:ascii="宋体" w:hAnsi="宋体" w:eastAsia="宋体" w:cs="宋体"/>
          <w:b/>
          <w:color w:val="auto"/>
          <w:sz w:val="18"/>
          <w:szCs w:val="18"/>
          <w:highlight w:val="none"/>
        </w:rPr>
      </w:pPr>
    </w:p>
    <w:p>
      <w:pPr>
        <w:spacing w:line="400" w:lineRule="exact"/>
        <w:ind w:firstLine="6240" w:firstLineChars="2600"/>
        <w:rPr>
          <w:rFonts w:hint="eastAsia" w:ascii="宋体" w:hAnsi="宋体" w:eastAsia="宋体" w:cs="宋体"/>
          <w:b/>
          <w:color w:val="auto"/>
          <w:sz w:val="21"/>
          <w:szCs w:val="21"/>
          <w:highlight w:val="none"/>
          <w:lang w:val="en-US"/>
        </w:rPr>
      </w:pPr>
      <w:r>
        <w:rPr>
          <w:rFonts w:hint="eastAsia" w:ascii="宋体" w:hAnsi="宋体" w:eastAsia="宋体" w:cs="宋体"/>
          <w:color w:val="auto"/>
          <w:sz w:val="24"/>
          <w:szCs w:val="24"/>
          <w:highlight w:val="none"/>
        </w:rPr>
        <w:t>协议号：</w:t>
      </w:r>
    </w:p>
    <w:p>
      <w:pPr>
        <w:spacing w:line="400" w:lineRule="exact"/>
        <w:ind w:firstLine="904" w:firstLineChars="500"/>
        <w:rPr>
          <w:rFonts w:hint="eastAsia" w:ascii="宋体" w:hAnsi="宋体" w:eastAsia="宋体" w:cs="宋体"/>
          <w:b/>
          <w:color w:val="auto"/>
          <w:sz w:val="18"/>
          <w:szCs w:val="18"/>
          <w:highlight w:val="none"/>
        </w:rPr>
      </w:pPr>
    </w:p>
    <w:bookmarkEnd w:id="95"/>
    <w:bookmarkEnd w:id="96"/>
    <w:bookmarkEnd w:id="97"/>
    <w:bookmarkEnd w:id="98"/>
    <w:p>
      <w:pPr>
        <w:spacing w:before="120" w:line="22"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pStyle w:val="56"/>
        <w:spacing w:before="120" w:line="22" w:lineRule="atLeast"/>
        <w:rPr>
          <w:rFonts w:hint="eastAsia" w:ascii="宋体" w:hAnsi="宋体" w:eastAsia="宋体" w:cs="宋体"/>
          <w:color w:val="auto"/>
          <w:sz w:val="24"/>
          <w:szCs w:val="24"/>
          <w:highlight w:val="none"/>
        </w:rPr>
      </w:pPr>
    </w:p>
    <w:p>
      <w:pPr>
        <w:pStyle w:val="56"/>
        <w:spacing w:before="120" w:line="22" w:lineRule="atLeas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pStyle w:val="26"/>
        <w:rPr>
          <w:rFonts w:hint="eastAsia" w:ascii="宋体" w:hAnsi="宋体" w:eastAsia="宋体" w:cs="宋体"/>
          <w:color w:val="auto"/>
          <w:highlight w:val="none"/>
        </w:rPr>
      </w:pPr>
    </w:p>
    <w:p>
      <w:pPr>
        <w:spacing w:before="120" w:line="22"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pPr>
        <w:spacing w:before="120" w:line="22" w:lineRule="atLeast"/>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pPr>
        <w:spacing w:before="120" w:line="22" w:lineRule="atLeast"/>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zh-CN"/>
        </w:rPr>
        <w:t xml:space="preserve">        </w:t>
      </w:r>
    </w:p>
    <w:p>
      <w:pPr>
        <w:spacing w:before="120" w:line="22" w:lineRule="atLeast"/>
        <w:rPr>
          <w:rFonts w:hint="eastAsia" w:ascii="宋体" w:hAnsi="宋体" w:eastAsia="宋体" w:cs="宋体"/>
          <w:color w:val="auto"/>
          <w:sz w:val="24"/>
          <w:szCs w:val="24"/>
          <w:highlight w:val="none"/>
          <w:u w:val="singl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spacing w:before="120" w:line="22"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pPr>
        <w:spacing w:line="560" w:lineRule="exact"/>
        <w:ind w:firstLine="482" w:firstLineChars="200"/>
        <w:outlineLvl w:val="0"/>
        <w:rPr>
          <w:rFonts w:hint="eastAsia" w:ascii="宋体" w:hAnsi="宋体" w:eastAsia="宋体" w:cs="宋体"/>
          <w:color w:val="auto"/>
          <w:sz w:val="24"/>
          <w:szCs w:val="24"/>
          <w:highlight w:val="none"/>
        </w:rPr>
      </w:pPr>
      <w:bookmarkStart w:id="105" w:name="_Toc19273"/>
      <w:bookmarkStart w:id="106" w:name="_Toc28855"/>
      <w:bookmarkStart w:id="107" w:name="_Toc20421"/>
      <w:bookmarkStart w:id="108" w:name="_Toc15367"/>
      <w:r>
        <w:rPr>
          <w:rFonts w:hint="eastAsia" w:ascii="宋体" w:hAnsi="宋体" w:eastAsia="宋体" w:cs="宋体"/>
          <w:b/>
          <w:color w:val="auto"/>
          <w:sz w:val="24"/>
          <w:szCs w:val="24"/>
          <w:highlight w:val="none"/>
        </w:rPr>
        <w:t>1.1 合同组成部分</w:t>
      </w:r>
      <w:bookmarkEnd w:id="105"/>
      <w:bookmarkEnd w:id="106"/>
      <w:bookmarkEnd w:id="107"/>
      <w:bookmarkEnd w:id="10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spacing w:line="560" w:lineRule="exact"/>
        <w:ind w:firstLine="482" w:firstLineChars="200"/>
        <w:outlineLvl w:val="0"/>
        <w:rPr>
          <w:rFonts w:hint="eastAsia" w:ascii="宋体" w:hAnsi="宋体" w:eastAsia="宋体" w:cs="宋体"/>
          <w:b/>
          <w:color w:val="auto"/>
          <w:sz w:val="24"/>
          <w:szCs w:val="24"/>
          <w:highlight w:val="none"/>
        </w:rPr>
      </w:pPr>
      <w:bookmarkStart w:id="109" w:name="_Toc22185"/>
      <w:bookmarkStart w:id="110" w:name="_Toc6311"/>
      <w:bookmarkStart w:id="111" w:name="_Toc6773"/>
      <w:bookmarkStart w:id="112" w:name="_Toc2918"/>
      <w:bookmarkStart w:id="113" w:name="_Toc18585"/>
      <w:r>
        <w:rPr>
          <w:rFonts w:hint="eastAsia" w:ascii="宋体" w:hAnsi="宋体" w:eastAsia="宋体" w:cs="宋体"/>
          <w:b/>
          <w:color w:val="auto"/>
          <w:sz w:val="24"/>
          <w:szCs w:val="24"/>
          <w:highlight w:val="none"/>
        </w:rPr>
        <w:t>1.2 标的</w:t>
      </w:r>
      <w:bookmarkEnd w:id="109"/>
      <w:bookmarkEnd w:id="110"/>
      <w:bookmarkEnd w:id="111"/>
      <w:bookmarkEnd w:id="112"/>
      <w:bookmarkEnd w:id="11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标的名称：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标的数量：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标的质量：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560" w:lineRule="exact"/>
        <w:ind w:firstLine="480" w:firstLineChars="200"/>
        <w:rPr>
          <w:rFonts w:hint="eastAsia" w:ascii="宋体" w:hAnsi="宋体" w:eastAsia="宋体" w:cs="宋体"/>
          <w:color w:val="auto"/>
          <w:sz w:val="24"/>
          <w:szCs w:val="24"/>
          <w:highlight w:val="none"/>
        </w:rPr>
      </w:pPr>
      <w:bookmarkStart w:id="114" w:name="_Toc1386"/>
      <w:bookmarkStart w:id="115" w:name="_Toc21124"/>
      <w:bookmarkStart w:id="116" w:name="_Toc5635"/>
      <w:bookmarkStart w:id="117" w:name="_Toc4929"/>
      <w:bookmarkStart w:id="118" w:name="_Toc13918"/>
      <w:r>
        <w:rPr>
          <w:rFonts w:hint="eastAsia" w:ascii="宋体" w:hAnsi="宋体" w:eastAsia="宋体" w:cs="宋体"/>
          <w:color w:val="auto"/>
          <w:sz w:val="24"/>
          <w:szCs w:val="24"/>
          <w:highlight w:val="none"/>
        </w:rPr>
        <w:t>1.3 价款</w:t>
      </w:r>
      <w:bookmarkEnd w:id="114"/>
      <w:bookmarkEnd w:id="115"/>
      <w:bookmarkEnd w:id="116"/>
      <w:bookmarkEnd w:id="117"/>
      <w:bookmarkEnd w:id="11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p>
      <w:pPr>
        <w:spacing w:line="560" w:lineRule="exact"/>
        <w:ind w:firstLine="480" w:firstLineChars="200"/>
        <w:rPr>
          <w:rFonts w:hint="eastAsia" w:ascii="宋体" w:hAnsi="宋体" w:eastAsia="宋体" w:cs="宋体"/>
          <w:color w:val="auto"/>
          <w:sz w:val="24"/>
          <w:szCs w:val="24"/>
          <w:highlight w:val="none"/>
        </w:rPr>
      </w:pPr>
    </w:p>
    <w:p>
      <w:pPr>
        <w:pStyle w:val="10"/>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分项名称</w:t>
            </w:r>
          </w:p>
        </w:tc>
        <w:tc>
          <w:tcPr>
            <w:tcW w:w="2552" w:type="dxa"/>
            <w:noWrap w:val="0"/>
            <w:vAlign w:val="center"/>
          </w:tcPr>
          <w:p>
            <w:pPr>
              <w:pStyle w:val="57"/>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总价</w:t>
            </w: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bl>
    <w:p>
      <w:pPr>
        <w:spacing w:line="560" w:lineRule="exact"/>
        <w:ind w:firstLine="482" w:firstLineChars="200"/>
        <w:outlineLvl w:val="0"/>
        <w:rPr>
          <w:rFonts w:hint="eastAsia" w:ascii="宋体" w:hAnsi="宋体" w:eastAsia="宋体" w:cs="宋体"/>
          <w:b/>
          <w:color w:val="auto"/>
          <w:sz w:val="24"/>
          <w:szCs w:val="24"/>
          <w:highlight w:val="none"/>
        </w:rPr>
      </w:pPr>
      <w:bookmarkStart w:id="119" w:name="_Toc30506"/>
      <w:bookmarkStart w:id="120" w:name="_Toc30158"/>
      <w:bookmarkStart w:id="121" w:name="_Toc14993"/>
      <w:bookmarkStart w:id="122" w:name="_Toc3654"/>
      <w:bookmarkStart w:id="123" w:name="_Toc26916"/>
      <w:r>
        <w:rPr>
          <w:rFonts w:hint="eastAsia" w:ascii="宋体" w:hAnsi="宋体" w:eastAsia="宋体" w:cs="宋体"/>
          <w:b/>
          <w:color w:val="auto"/>
          <w:sz w:val="24"/>
          <w:szCs w:val="24"/>
          <w:highlight w:val="none"/>
        </w:rPr>
        <w:t>1.4 付款方式和发票开具方式</w:t>
      </w:r>
      <w:bookmarkEnd w:id="119"/>
      <w:bookmarkEnd w:id="120"/>
      <w:bookmarkEnd w:id="121"/>
      <w:bookmarkEnd w:id="122"/>
      <w:bookmarkEnd w:id="12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2" w:firstLineChars="200"/>
        <w:outlineLvl w:val="0"/>
        <w:rPr>
          <w:rFonts w:hint="eastAsia" w:ascii="宋体" w:hAnsi="宋体" w:eastAsia="宋体" w:cs="宋体"/>
          <w:b/>
          <w:color w:val="auto"/>
          <w:sz w:val="24"/>
          <w:szCs w:val="24"/>
          <w:highlight w:val="none"/>
        </w:rPr>
      </w:pPr>
      <w:bookmarkStart w:id="124" w:name="_Toc31421"/>
      <w:bookmarkStart w:id="125" w:name="_Toc11108"/>
      <w:bookmarkStart w:id="126" w:name="_Toc8772"/>
      <w:bookmarkStart w:id="127" w:name="_Toc4760"/>
      <w:bookmarkStart w:id="128" w:name="_Toc3625"/>
      <w:r>
        <w:rPr>
          <w:rFonts w:hint="eastAsia" w:ascii="宋体" w:hAnsi="宋体" w:eastAsia="宋体" w:cs="宋体"/>
          <w:b/>
          <w:color w:val="auto"/>
          <w:sz w:val="24"/>
          <w:szCs w:val="24"/>
          <w:highlight w:val="none"/>
        </w:rPr>
        <w:t>1.5 履行期限、地点和方式</w:t>
      </w:r>
      <w:bookmarkEnd w:id="124"/>
      <w:bookmarkEnd w:id="125"/>
      <w:bookmarkEnd w:id="126"/>
      <w:bookmarkEnd w:id="127"/>
      <w:bookmarkEnd w:id="128"/>
    </w:p>
    <w:p>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履行期限：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履行地点：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履行方式：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2" w:firstLineChars="200"/>
        <w:outlineLvl w:val="0"/>
        <w:rPr>
          <w:rFonts w:hint="eastAsia" w:ascii="宋体" w:hAnsi="宋体" w:eastAsia="宋体" w:cs="宋体"/>
          <w:color w:val="auto"/>
          <w:sz w:val="24"/>
          <w:szCs w:val="24"/>
          <w:highlight w:val="none"/>
          <w:u w:val="single"/>
        </w:rPr>
      </w:pPr>
      <w:bookmarkStart w:id="129" w:name="_Toc8586"/>
      <w:bookmarkStart w:id="130" w:name="_Toc24662"/>
      <w:bookmarkStart w:id="131" w:name="_Toc2375"/>
      <w:bookmarkStart w:id="132" w:name="_Toc5698"/>
      <w:bookmarkStart w:id="133" w:name="_Toc3079"/>
      <w:r>
        <w:rPr>
          <w:rFonts w:hint="eastAsia" w:ascii="宋体" w:hAnsi="宋体" w:eastAsia="宋体" w:cs="宋体"/>
          <w:b/>
          <w:color w:val="auto"/>
          <w:sz w:val="24"/>
          <w:szCs w:val="24"/>
          <w:highlight w:val="none"/>
        </w:rPr>
        <w:t>1.6 违约责任</w:t>
      </w:r>
      <w:bookmarkEnd w:id="129"/>
      <w:bookmarkEnd w:id="130"/>
      <w:bookmarkEnd w:id="131"/>
      <w:bookmarkEnd w:id="132"/>
      <w:bookmarkEnd w:id="13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color w:val="auto"/>
          <w:sz w:val="24"/>
          <w:szCs w:val="24"/>
          <w:highlight w:val="none"/>
        </w:rPr>
      </w:pPr>
      <w:bookmarkStart w:id="134" w:name="_Toc9497"/>
      <w:bookmarkStart w:id="135" w:name="_Toc26807"/>
      <w:bookmarkStart w:id="136" w:name="_Toc30329"/>
      <w:bookmarkStart w:id="137" w:name="_Toc18683"/>
      <w:bookmarkStart w:id="138" w:name="_Toc32454"/>
      <w:r>
        <w:rPr>
          <w:rFonts w:hint="eastAsia" w:ascii="宋体" w:hAnsi="宋体" w:eastAsia="宋体" w:cs="宋体"/>
          <w:b/>
          <w:color w:val="auto"/>
          <w:sz w:val="24"/>
          <w:szCs w:val="24"/>
          <w:highlight w:val="none"/>
        </w:rPr>
        <w:t>1.7 合同争议的解决</w:t>
      </w:r>
      <w:bookmarkEnd w:id="134"/>
      <w:bookmarkEnd w:id="135"/>
      <w:bookmarkEnd w:id="136"/>
      <w:bookmarkEnd w:id="137"/>
      <w:bookmarkEnd w:id="13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highlight w:val="none"/>
        </w:rPr>
        <w:t>人民法院起诉。</w:t>
      </w:r>
    </w:p>
    <w:p>
      <w:pPr>
        <w:spacing w:line="560" w:lineRule="exact"/>
        <w:ind w:firstLine="482" w:firstLineChars="200"/>
        <w:outlineLvl w:val="0"/>
        <w:rPr>
          <w:rFonts w:hint="eastAsia" w:ascii="宋体" w:hAnsi="宋体" w:eastAsia="宋体" w:cs="宋体"/>
          <w:b/>
          <w:color w:val="auto"/>
          <w:sz w:val="24"/>
          <w:szCs w:val="24"/>
          <w:highlight w:val="none"/>
        </w:rPr>
      </w:pPr>
      <w:bookmarkStart w:id="139" w:name="_Toc26227"/>
      <w:bookmarkStart w:id="140" w:name="_Toc12273"/>
      <w:bookmarkStart w:id="141" w:name="_Toc15827"/>
      <w:bookmarkStart w:id="142" w:name="_Toc16417"/>
      <w:bookmarkStart w:id="143" w:name="_Toc23784"/>
      <w:r>
        <w:rPr>
          <w:rFonts w:hint="eastAsia" w:ascii="宋体" w:hAnsi="宋体" w:eastAsia="宋体" w:cs="宋体"/>
          <w:b/>
          <w:color w:val="auto"/>
          <w:sz w:val="24"/>
          <w:szCs w:val="24"/>
          <w:highlight w:val="none"/>
        </w:rPr>
        <w:t>1.8 合同生效</w:t>
      </w:r>
      <w:bookmarkEnd w:id="139"/>
      <w:bookmarkEnd w:id="140"/>
      <w:bookmarkEnd w:id="141"/>
      <w:bookmarkEnd w:id="142"/>
      <w:bookmarkEnd w:id="143"/>
    </w:p>
    <w:p>
      <w:pPr>
        <w:spacing w:line="5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pPr>
        <w:autoSpaceDE w:val="0"/>
        <w:autoSpaceDN w:val="0"/>
        <w:adjustRightInd w:val="0"/>
        <w:spacing w:line="560" w:lineRule="exact"/>
        <w:rPr>
          <w:rFonts w:hint="eastAsia" w:ascii="宋体" w:hAnsi="宋体" w:eastAsia="宋体" w:cs="宋体"/>
          <w:color w:val="auto"/>
          <w:sz w:val="24"/>
          <w:szCs w:val="24"/>
          <w:highlight w:val="none"/>
          <w:lang w:val="zh-CN"/>
        </w:rPr>
      </w:pP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4"/>
          <w:szCs w:val="24"/>
          <w:highlight w:val="none"/>
          <w:lang w:val="zh-CN"/>
        </w:rPr>
      </w:pP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或授权代表（签字）: </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联系人：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 联系人：</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邮政编码：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邮政编码：</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autoSpaceDE w:val="0"/>
        <w:autoSpaceDN w:val="0"/>
        <w:adjustRightInd w:val="0"/>
        <w:spacing w:line="440" w:lineRule="exact"/>
        <w:jc w:val="both"/>
        <w:outlineLvl w:val="0"/>
        <w:rPr>
          <w:rFonts w:hint="eastAsia" w:ascii="宋体" w:hAnsi="宋体" w:eastAsia="宋体" w:cs="宋体"/>
          <w:color w:val="auto"/>
          <w:sz w:val="28"/>
          <w:szCs w:val="28"/>
          <w:highlight w:val="none"/>
        </w:rPr>
      </w:pPr>
    </w:p>
    <w:p>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44"/>
          <w:szCs w:val="44"/>
          <w:highlight w:val="none"/>
        </w:rPr>
        <w:t>第五部分　</w:t>
      </w:r>
      <w:bookmarkEnd w:id="99"/>
      <w:bookmarkEnd w:id="100"/>
      <w:bookmarkEnd w:id="101"/>
      <w:bookmarkEnd w:id="102"/>
      <w:bookmarkEnd w:id="103"/>
      <w:bookmarkEnd w:id="104"/>
      <w:r>
        <w:rPr>
          <w:rFonts w:hint="eastAsia" w:ascii="宋体" w:hAnsi="宋体" w:eastAsia="宋体" w:cs="宋体"/>
          <w:b/>
          <w:bCs/>
          <w:color w:val="auto"/>
          <w:sz w:val="44"/>
          <w:szCs w:val="44"/>
          <w:highlight w:val="none"/>
          <w:lang w:eastAsia="zh-CN"/>
        </w:rPr>
        <w:t>磋商</w:t>
      </w:r>
      <w:r>
        <w:rPr>
          <w:rFonts w:hint="eastAsia" w:ascii="宋体" w:hAnsi="宋体" w:eastAsia="宋体" w:cs="宋体"/>
          <w:b/>
          <w:bCs/>
          <w:color w:val="auto"/>
          <w:sz w:val="44"/>
          <w:szCs w:val="44"/>
          <w:highlight w:val="none"/>
        </w:rPr>
        <w:t>响应文件及格式</w:t>
      </w:r>
    </w:p>
    <w:p>
      <w:pPr>
        <w:spacing w:line="400" w:lineRule="atLeast"/>
        <w:jc w:val="center"/>
        <w:rPr>
          <w:rFonts w:hint="eastAsia" w:ascii="宋体" w:hAnsi="宋体" w:eastAsia="宋体" w:cs="宋体"/>
          <w:color w:val="auto"/>
          <w:sz w:val="28"/>
          <w:szCs w:val="28"/>
          <w:highlight w:val="none"/>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bookmarkStart w:id="144" w:name="_Toc6125"/>
      <w:bookmarkStart w:id="145" w:name="_Toc727"/>
      <w:r>
        <w:rPr>
          <w:rFonts w:hint="eastAsia" w:ascii="宋体" w:hAnsi="宋体" w:eastAsia="宋体" w:cs="宋体"/>
          <w:color w:val="auto"/>
          <w:sz w:val="28"/>
          <w:szCs w:val="28"/>
          <w:highlight w:val="none"/>
          <w:lang w:val="zh-CN"/>
        </w:rPr>
        <w:t>注：为了便于查找，标注目录及页码</w:t>
      </w:r>
      <w:bookmarkEnd w:id="144"/>
      <w:bookmarkEnd w:id="145"/>
    </w:p>
    <w:p>
      <w:pPr>
        <w:autoSpaceDE w:val="0"/>
        <w:autoSpaceDN w:val="0"/>
        <w:adjustRightInd w:val="0"/>
        <w:spacing w:line="440" w:lineRule="exact"/>
        <w:jc w:val="center"/>
        <w:outlineLvl w:val="0"/>
        <w:rPr>
          <w:rFonts w:hint="eastAsia" w:ascii="宋体" w:hAnsi="宋体" w:eastAsia="宋体" w:cs="宋体"/>
          <w:color w:val="auto"/>
          <w:sz w:val="28"/>
          <w:szCs w:val="28"/>
          <w:highlight w:val="none"/>
          <w:lang w:val="zh-CN"/>
        </w:rPr>
      </w:pPr>
      <w:bookmarkStart w:id="146" w:name="_Toc23556"/>
      <w:bookmarkStart w:id="147" w:name="_Toc24845"/>
      <w:r>
        <w:rPr>
          <w:rFonts w:hint="eastAsia" w:ascii="宋体" w:hAnsi="宋体" w:eastAsia="宋体" w:cs="宋体"/>
          <w:color w:val="auto"/>
          <w:sz w:val="28"/>
          <w:szCs w:val="28"/>
          <w:highlight w:val="none"/>
          <w:lang w:val="zh-CN"/>
        </w:rPr>
        <w:t>（以下内容需按要求提供相应证明材料）</w:t>
      </w:r>
      <w:bookmarkEnd w:id="146"/>
      <w:bookmarkEnd w:id="147"/>
    </w:p>
    <w:p>
      <w:pPr>
        <w:autoSpaceDE w:val="0"/>
        <w:autoSpaceDN w:val="0"/>
        <w:adjustRightInd w:val="0"/>
        <w:spacing w:line="440" w:lineRule="exact"/>
        <w:jc w:val="center"/>
        <w:rPr>
          <w:rFonts w:hint="eastAsia" w:ascii="宋体" w:hAnsi="宋体" w:eastAsia="宋体" w:cs="宋体"/>
          <w:b/>
          <w:bCs/>
          <w:color w:val="auto"/>
          <w:sz w:val="28"/>
          <w:szCs w:val="28"/>
          <w:highlight w:val="none"/>
          <w:lang w:val="zh-CN"/>
        </w:rPr>
      </w:pPr>
    </w:p>
    <w:p>
      <w:pPr>
        <w:autoSpaceDE w:val="0"/>
        <w:autoSpaceDN w:val="0"/>
        <w:adjustRightInd w:val="0"/>
        <w:spacing w:line="440" w:lineRule="exact"/>
        <w:rPr>
          <w:rFonts w:hint="eastAsia" w:ascii="宋体" w:hAnsi="宋体" w:eastAsia="宋体" w:cs="宋体"/>
          <w:b/>
          <w:bCs/>
          <w:color w:val="auto"/>
          <w:sz w:val="28"/>
          <w:szCs w:val="28"/>
          <w:highlight w:val="none"/>
          <w:lang w:val="zh-CN"/>
        </w:rPr>
      </w:pP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val="0"/>
          <w:bCs/>
          <w:color w:val="auto"/>
          <w:sz w:val="28"/>
          <w:szCs w:val="28"/>
          <w:highlight w:val="none"/>
          <w:lang w:val="zh-CN"/>
        </w:rPr>
      </w:pPr>
      <w:r>
        <w:rPr>
          <w:rFonts w:hint="eastAsia" w:ascii="宋体" w:hAnsi="宋体" w:eastAsia="宋体" w:cs="宋体"/>
          <w:b w:val="0"/>
          <w:bCs/>
          <w:color w:val="auto"/>
          <w:sz w:val="28"/>
          <w:szCs w:val="28"/>
          <w:highlight w:val="none"/>
          <w:lang w:val="zh-CN"/>
        </w:rPr>
        <w:br w:type="page"/>
      </w: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 xml:space="preserve">                                          正本/副本</w:t>
      </w: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val="0"/>
          <w:bCs/>
          <w:color w:val="auto"/>
          <w:sz w:val="28"/>
          <w:szCs w:val="28"/>
          <w:highlight w:val="none"/>
          <w:lang w:val="zh-CN"/>
        </w:rPr>
      </w:pP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投  标  文  件</w:t>
      </w:r>
      <w:r>
        <w:rPr>
          <w:rFonts w:hint="eastAsia" w:ascii="宋体" w:hAnsi="宋体" w:cs="宋体"/>
          <w:b/>
          <w:bCs/>
          <w:color w:val="auto"/>
          <w:sz w:val="52"/>
          <w:szCs w:val="52"/>
          <w:highlight w:val="none"/>
          <w:lang w:val="en-US" w:eastAsia="zh-CN"/>
        </w:rPr>
        <w:t xml:space="preserve">         </w:t>
      </w:r>
    </w:p>
    <w:p>
      <w:pPr>
        <w:pStyle w:val="50"/>
        <w:spacing w:line="380" w:lineRule="exact"/>
        <w:jc w:val="center"/>
        <w:rPr>
          <w:rFonts w:hint="eastAsia" w:ascii="宋体" w:hAnsi="宋体" w:eastAsia="宋体" w:cs="宋体"/>
          <w:b/>
          <w:bCs/>
          <w:color w:val="auto"/>
          <w:sz w:val="44"/>
          <w:szCs w:val="44"/>
          <w:highlight w:val="none"/>
        </w:rPr>
      </w:pPr>
    </w:p>
    <w:p>
      <w:pPr>
        <w:pStyle w:val="50"/>
        <w:spacing w:line="380" w:lineRule="exact"/>
        <w:jc w:val="center"/>
        <w:rPr>
          <w:rFonts w:hint="eastAsia" w:ascii="宋体" w:hAnsi="宋体" w:eastAsia="宋体" w:cs="宋体"/>
          <w:color w:val="auto"/>
          <w:sz w:val="28"/>
          <w:szCs w:val="28"/>
          <w:highlight w:val="none"/>
        </w:rPr>
      </w:pPr>
    </w:p>
    <w:p>
      <w:pPr>
        <w:ind w:right="980"/>
        <w:jc w:val="center"/>
        <w:rPr>
          <w:rFonts w:hint="eastAsia" w:ascii="宋体" w:hAnsi="宋体" w:eastAsia="宋体" w:cs="宋体"/>
          <w:color w:val="auto"/>
          <w:sz w:val="28"/>
          <w:szCs w:val="28"/>
          <w:highlight w:val="none"/>
          <w:u w:val="single"/>
        </w:rPr>
      </w:pPr>
    </w:p>
    <w:p>
      <w:pPr>
        <w:ind w:right="98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bookmarkStart w:id="148" w:name="_Toc27431"/>
      <w:bookmarkStart w:id="149" w:name="_Toc11176"/>
      <w:bookmarkStart w:id="150" w:name="_Toc9390"/>
      <w:bookmarkStart w:id="151" w:name="_Toc4074_WPSOffice_Level1"/>
      <w:bookmarkStart w:id="152" w:name="_Toc4262"/>
      <w:bookmarkStart w:id="153" w:name="_Toc27418_WPSOffice_Level1"/>
      <w:r>
        <w:rPr>
          <w:rFonts w:hint="eastAsia" w:ascii="宋体" w:hAnsi="宋体" w:eastAsia="宋体" w:cs="宋体"/>
          <w:color w:val="auto"/>
          <w:sz w:val="28"/>
          <w:szCs w:val="28"/>
          <w:highlight w:val="none"/>
        </w:rPr>
        <w:t>（项目名称）</w:t>
      </w:r>
      <w:bookmarkEnd w:id="148"/>
      <w:bookmarkEnd w:id="149"/>
      <w:bookmarkEnd w:id="150"/>
      <w:bookmarkEnd w:id="151"/>
      <w:bookmarkEnd w:id="152"/>
      <w:bookmarkEnd w:id="153"/>
    </w:p>
    <w:p>
      <w:pPr>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项目</w:t>
      </w:r>
      <w:r>
        <w:rPr>
          <w:rFonts w:hint="eastAsia" w:ascii="宋体" w:hAnsi="宋体" w:eastAsia="宋体" w:cs="宋体"/>
          <w:color w:val="auto"/>
          <w:sz w:val="28"/>
          <w:szCs w:val="28"/>
          <w:highlight w:val="none"/>
        </w:rPr>
        <w:t>编号：</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ind w:firstLine="1120" w:firstLineChars="400"/>
        <w:jc w:val="both"/>
        <w:rPr>
          <w:rFonts w:hint="eastAsia" w:ascii="宋体" w:hAnsi="宋体" w:eastAsia="宋体" w:cs="宋体"/>
          <w:color w:val="auto"/>
          <w:sz w:val="28"/>
          <w:szCs w:val="28"/>
          <w:highlight w:val="none"/>
          <w:u w:val="single"/>
        </w:rPr>
      </w:pPr>
      <w:bookmarkStart w:id="154" w:name="_Toc26498_WPSOffice_Level1"/>
      <w:bookmarkStart w:id="155" w:name="_Toc23913_WPSOffice_Level1"/>
      <w:r>
        <w:rPr>
          <w:rFonts w:hint="eastAsia" w:ascii="宋体" w:hAnsi="宋体" w:eastAsia="宋体" w:cs="宋体"/>
          <w:color w:val="auto"/>
          <w:sz w:val="28"/>
          <w:szCs w:val="28"/>
          <w:highlight w:val="none"/>
        </w:rPr>
        <w:t>投标</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bookmarkEnd w:id="154"/>
      <w:bookmarkEnd w:id="155"/>
    </w:p>
    <w:p>
      <w:pPr>
        <w:jc w:val="center"/>
        <w:rPr>
          <w:rFonts w:hint="eastAsia" w:ascii="宋体" w:hAnsi="宋体" w:eastAsia="宋体" w:cs="宋体"/>
          <w:color w:val="auto"/>
          <w:sz w:val="28"/>
          <w:szCs w:val="28"/>
          <w:highlight w:val="none"/>
        </w:rPr>
      </w:pPr>
    </w:p>
    <w:p>
      <w:pPr>
        <w:ind w:firstLine="980" w:firstLineChars="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jc w:val="center"/>
        <w:rPr>
          <w:rFonts w:hint="eastAsia" w:ascii="宋体" w:hAnsi="宋体" w:eastAsia="宋体" w:cs="宋体"/>
          <w:color w:val="auto"/>
          <w:highlight w:val="none"/>
        </w:rPr>
      </w:pPr>
    </w:p>
    <w:p>
      <w:pPr>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156" w:name="_Toc14257"/>
      <w:bookmarkStart w:id="157" w:name="_Toc17713_WPSOffice_Level1"/>
      <w:bookmarkStart w:id="158" w:name="_Toc19352"/>
      <w:bookmarkStart w:id="159" w:name="_Toc21903"/>
      <w:bookmarkStart w:id="160" w:name="_Toc25330"/>
      <w:bookmarkStart w:id="161" w:name="_Toc23099_WPSOffice_Level1"/>
      <w:r>
        <w:rPr>
          <w:rFonts w:hint="eastAsia" w:ascii="宋体" w:hAnsi="宋体" w:eastAsia="宋体" w:cs="宋体"/>
          <w:color w:val="auto"/>
          <w:sz w:val="28"/>
          <w:szCs w:val="28"/>
          <w:highlight w:val="none"/>
        </w:rPr>
        <w:t>年        月        日</w:t>
      </w:r>
      <w:bookmarkEnd w:id="156"/>
      <w:bookmarkEnd w:id="157"/>
      <w:bookmarkEnd w:id="158"/>
      <w:bookmarkEnd w:id="159"/>
      <w:bookmarkEnd w:id="160"/>
      <w:bookmarkEnd w:id="161"/>
    </w:p>
    <w:p>
      <w:pPr>
        <w:jc w:val="center"/>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ind w:right="600"/>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1.磋商函</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我们收到你们的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，经认真研究，我们决定参加投标。</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中的一切要求，提供招标</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w:t>
      </w:r>
      <w:r>
        <w:rPr>
          <w:rFonts w:hint="eastAsia" w:ascii="宋体" w:hAnsi="宋体" w:eastAsia="宋体" w:cs="宋体"/>
          <w:color w:val="auto"/>
          <w:sz w:val="24"/>
          <w:szCs w:val="24"/>
          <w:highlight w:val="none"/>
          <w:lang w:val="en-US" w:eastAsia="zh-CN"/>
        </w:rPr>
        <w:t>保障</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元（用阿拉伯数字书写），大写：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2、如果我们的投标书被接受，我们将履行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中规定的每一项义务和要求，按期、按质、按量完成交货。</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的规定，本投标书的有效期为开标后</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天。</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4、我们愿意提供招标人在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中要求的所有资料。</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5、我们认为你们有选择或拒绝任何投标者中标的权力。我们理解，最低报价不是中标的唯一条件。</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6、我们愿按合同法履行自己的全部责任。</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7、我们愿意遵守国家有关规定和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中规定的收费标准，承付中标服务费。</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8、该项投标在开标后的全过程中保持有效，不作任何更改和变动。</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10、其它说明。</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11、所有有关本标书的函电，请按下列地址联系：</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400" w:lineRule="exact"/>
        <w:ind w:firstLine="4800" w:firstLineChars="2000"/>
        <w:outlineLvl w:val="9"/>
        <w:rPr>
          <w:rFonts w:hint="eastAsia" w:ascii="宋体" w:hAnsi="宋体" w:eastAsia="宋体" w:cs="宋体"/>
          <w:color w:val="auto"/>
          <w:sz w:val="24"/>
          <w:szCs w:val="24"/>
          <w:highlight w:val="none"/>
        </w:rPr>
      </w:pPr>
    </w:p>
    <w:p>
      <w:pPr>
        <w:rPr>
          <w:rFonts w:hint="eastAsia" w:ascii="宋体" w:hAnsi="宋体" w:eastAsia="宋体" w:cs="宋体"/>
          <w:b/>
          <w:color w:val="auto"/>
          <w:sz w:val="28"/>
          <w:szCs w:val="28"/>
          <w:highlight w:val="none"/>
          <w:lang w:val="en-US" w:eastAsia="zh-CN"/>
        </w:rPr>
      </w:pPr>
      <w:bookmarkStart w:id="162" w:name="_Toc521_WPSOffice_Level1"/>
      <w:bookmarkStart w:id="163" w:name="_Toc25683"/>
      <w:bookmarkStart w:id="164" w:name="_Toc20978"/>
      <w:bookmarkStart w:id="165" w:name="_Toc27588_WPSOffice_Level1"/>
      <w:bookmarkStart w:id="166" w:name="_Toc21293"/>
      <w:r>
        <w:rPr>
          <w:rFonts w:hint="eastAsia" w:ascii="宋体" w:hAnsi="宋体" w:eastAsia="宋体" w:cs="宋体"/>
          <w:b/>
          <w:color w:val="auto"/>
          <w:sz w:val="28"/>
          <w:szCs w:val="28"/>
          <w:highlight w:val="none"/>
          <w:lang w:val="en-US" w:eastAsia="zh-CN"/>
        </w:rPr>
        <w:br w:type="page"/>
      </w:r>
    </w:p>
    <w:p>
      <w:pPr>
        <w:spacing w:line="440" w:lineRule="exact"/>
        <w:ind w:firstLine="48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投标文件真实性和不存在限制投标情形的声明</w:t>
      </w:r>
    </w:p>
    <w:p>
      <w:pPr>
        <w:spacing w:line="200" w:lineRule="exact"/>
        <w:rPr>
          <w:rFonts w:hint="eastAsia" w:ascii="宋体" w:hAnsi="宋体" w:eastAsia="宋体" w:cs="宋体"/>
          <w:color w:val="auto"/>
          <w:highlight w:val="none"/>
        </w:rPr>
      </w:pPr>
    </w:p>
    <w:p>
      <w:pPr>
        <w:spacing w:line="480" w:lineRule="auto"/>
        <w:ind w:firstLine="480" w:firstLineChars="200"/>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 xml:space="preserve">                      ：</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我方在此声明，所递交的（项目名称）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（项目编号）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的投标文件（包括有关资料、澄清）真实可信，不存在虚假（包括隐瞒）。我方近三年来在经营活动中没有重大违法记录。</w:t>
      </w:r>
    </w:p>
    <w:p>
      <w:pPr>
        <w:spacing w:line="480" w:lineRule="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我方承诺，如存在虚假投标行为，我方自愿承担一切法律责任。</w:t>
      </w:r>
    </w:p>
    <w:p>
      <w:pPr>
        <w:spacing w:line="480" w:lineRule="auto"/>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投标单位：（单位公章）</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投标单位法定代表人或其授权委托人（签字或盖章）：</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年   月   日</w:t>
      </w: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both"/>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开标一览表</w:t>
      </w:r>
      <w:bookmarkEnd w:id="162"/>
      <w:bookmarkEnd w:id="163"/>
      <w:bookmarkEnd w:id="164"/>
      <w:bookmarkEnd w:id="165"/>
      <w:bookmarkEnd w:id="166"/>
    </w:p>
    <w:p>
      <w:pPr>
        <w:outlineLvl w:val="9"/>
        <w:rPr>
          <w:rFonts w:hint="eastAsia" w:ascii="宋体" w:hAnsi="宋体" w:eastAsia="宋体" w:cs="宋体"/>
          <w:b/>
          <w:color w:val="auto"/>
          <w:sz w:val="28"/>
          <w:szCs w:val="28"/>
          <w:highlight w:val="none"/>
          <w:lang w:eastAsia="zh-CN"/>
        </w:rPr>
      </w:pP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项目编号</w:t>
      </w:r>
      <w:r>
        <w:rPr>
          <w:rFonts w:hint="eastAsia" w:ascii="宋体" w:hAnsi="宋体" w:eastAsia="宋体" w:cs="宋体"/>
          <w:b/>
          <w:color w:val="auto"/>
          <w:sz w:val="24"/>
          <w:szCs w:val="24"/>
          <w:highlight w:val="none"/>
          <w:lang w:eastAsia="zh-CN"/>
        </w:rPr>
        <w:t>：</w:t>
      </w: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w:t>
      </w:r>
      <w:r>
        <w:rPr>
          <w:rFonts w:hint="eastAsia" w:ascii="宋体" w:hAnsi="宋体" w:cs="宋体"/>
          <w:b/>
          <w:color w:val="auto"/>
          <w:sz w:val="24"/>
          <w:szCs w:val="24"/>
          <w:highlight w:val="none"/>
          <w:lang w:val="en-US" w:eastAsia="zh-CN"/>
        </w:rPr>
        <w:t>单位</w:t>
      </w:r>
      <w:r>
        <w:rPr>
          <w:rFonts w:hint="eastAsia" w:ascii="宋体" w:hAnsi="宋体" w:eastAsia="宋体" w:cs="宋体"/>
          <w:b/>
          <w:color w:val="auto"/>
          <w:sz w:val="24"/>
          <w:szCs w:val="24"/>
          <w:highlight w:val="none"/>
          <w:lang w:eastAsia="zh-CN"/>
        </w:rPr>
        <w:t>名称：</w:t>
      </w:r>
    </w:p>
    <w:tbl>
      <w:tblPr>
        <w:tblStyle w:val="20"/>
        <w:tblpPr w:leftFromText="180" w:rightFromText="180" w:vertAnchor="text" w:horzAnchor="page" w:tblpXSpec="center" w:tblpY="381"/>
        <w:tblOverlap w:val="never"/>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1505"/>
        <w:gridCol w:w="1485"/>
        <w:gridCol w:w="1192"/>
        <w:gridCol w:w="1475"/>
        <w:gridCol w:w="136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名称</w:t>
            </w:r>
          </w:p>
        </w:tc>
        <w:tc>
          <w:tcPr>
            <w:tcW w:w="150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单价</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u w:val="none"/>
                <w:lang w:eastAsia="zh-CN"/>
              </w:rPr>
              <w:t>）</w:t>
            </w:r>
          </w:p>
        </w:tc>
        <w:tc>
          <w:tcPr>
            <w:tcW w:w="148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kern w:val="2"/>
                <w:sz w:val="24"/>
                <w:highlight w:val="none"/>
                <w:u w:val="none"/>
                <w:lang w:val="en-US" w:eastAsia="zh-CN" w:bidi="ar-SA"/>
              </w:rPr>
              <w:t>服务内容</w:t>
            </w:r>
          </w:p>
        </w:tc>
        <w:tc>
          <w:tcPr>
            <w:tcW w:w="1192"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服务期限</w:t>
            </w:r>
          </w:p>
        </w:tc>
        <w:tc>
          <w:tcPr>
            <w:tcW w:w="147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服务地点</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备注</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21" w:type="dxa"/>
            <w:vMerge w:val="restart"/>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投标</w:t>
            </w:r>
            <w:r>
              <w:rPr>
                <w:rFonts w:hint="eastAsia" w:ascii="宋体" w:hAnsi="宋体" w:eastAsia="宋体" w:cs="宋体"/>
                <w:color w:val="auto"/>
                <w:sz w:val="24"/>
                <w:highlight w:val="none"/>
                <w:u w:val="none"/>
              </w:rPr>
              <w:t>总价</w:t>
            </w: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（人民币小写）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821" w:type="dxa"/>
            <w:vMerge w:val="continue"/>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（人民币大写）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bl>
    <w:p>
      <w:pPr>
        <w:tabs>
          <w:tab w:val="left" w:pos="9135"/>
        </w:tabs>
        <w:spacing w:line="400" w:lineRule="atLeast"/>
        <w:outlineLvl w:val="9"/>
        <w:rPr>
          <w:rFonts w:hint="eastAsia" w:ascii="宋体" w:hAnsi="宋体" w:eastAsia="宋体" w:cs="宋体"/>
          <w:color w:val="auto"/>
          <w:sz w:val="24"/>
          <w:highlight w:val="none"/>
          <w:u w:val="singl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注：1、报价货币为人民币。</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2、投标一览表中投标总报价大小应写一致，如不一致以大写为准。</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3、以上报价含一切费用,是指货物经验收交付采购人使用的价格。</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4、各投标企业总投标报价不得高于本项目招标控制价，超过本项目招标控制价的视为无效报价，做否决投标处理。</w:t>
      </w:r>
    </w:p>
    <w:p>
      <w:pPr>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投标单位：（盖单位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outlineLvl w:val="9"/>
        <w:rPr>
          <w:rFonts w:hint="eastAsia" w:ascii="宋体" w:hAnsi="宋体" w:eastAsia="宋体" w:cs="宋体"/>
          <w:b/>
          <w:color w:val="auto"/>
          <w:sz w:val="28"/>
          <w:szCs w:val="28"/>
          <w:highlight w:val="none"/>
        </w:rPr>
      </w:pPr>
    </w:p>
    <w:p>
      <w:pPr>
        <w:adjustRightInd w:val="0"/>
        <w:snapToGrid w:val="0"/>
        <w:spacing w:before="319" w:beforeLines="100" w:after="319" w:afterLines="100" w:line="360" w:lineRule="auto"/>
        <w:ind w:right="105" w:rightChars="50"/>
        <w:jc w:val="center"/>
        <w:outlineLvl w:val="9"/>
        <w:rPr>
          <w:rFonts w:hint="eastAsia" w:ascii="宋体" w:hAnsi="宋体" w:eastAsia="宋体" w:cs="宋体"/>
          <w:b/>
          <w:bCs/>
          <w:color w:val="auto"/>
          <w:sz w:val="32"/>
          <w:szCs w:val="32"/>
          <w:highlight w:val="none"/>
        </w:rPr>
      </w:pPr>
      <w:bookmarkStart w:id="167" w:name="_Toc7158_WPSOffice_Level1"/>
      <w:bookmarkStart w:id="168" w:name="_Toc3478_WPSOffice_Level1"/>
      <w:r>
        <w:rPr>
          <w:rFonts w:hint="eastAsia" w:ascii="宋体" w:hAnsi="宋体" w:eastAsia="宋体" w:cs="宋体"/>
          <w:b/>
          <w:color w:val="auto"/>
          <w:sz w:val="28"/>
          <w:szCs w:val="28"/>
          <w:highlight w:val="none"/>
          <w:lang w:val="en-US" w:eastAsia="zh-CN"/>
        </w:rPr>
        <w:br w:type="page"/>
      </w:r>
      <w:bookmarkStart w:id="169" w:name="_Toc25075"/>
      <w:bookmarkStart w:id="170" w:name="_Toc7219"/>
      <w:bookmarkStart w:id="171" w:name="_Toc8792"/>
      <w:r>
        <w:rPr>
          <w:rFonts w:hint="eastAsia" w:ascii="宋体" w:hAnsi="宋体" w:eastAsia="宋体" w:cs="宋体"/>
          <w:b/>
          <w:color w:val="auto"/>
          <w:sz w:val="28"/>
          <w:szCs w:val="28"/>
          <w:highlight w:val="none"/>
        </w:rPr>
        <w:t>服务价格明细表</w:t>
      </w:r>
    </w:p>
    <w:bookmarkEnd w:id="167"/>
    <w:bookmarkEnd w:id="168"/>
    <w:bookmarkEnd w:id="169"/>
    <w:bookmarkEnd w:id="170"/>
    <w:bookmarkEnd w:id="171"/>
    <w:p>
      <w:pPr>
        <w:ind w:firstLine="723" w:firstLineChars="300"/>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项目编号</w:t>
      </w:r>
      <w:r>
        <w:rPr>
          <w:rFonts w:hint="eastAsia" w:ascii="宋体" w:hAnsi="宋体" w:eastAsia="宋体" w:cs="宋体"/>
          <w:b/>
          <w:color w:val="auto"/>
          <w:sz w:val="24"/>
          <w:szCs w:val="24"/>
          <w:highlight w:val="none"/>
          <w:lang w:eastAsia="zh-CN"/>
        </w:rPr>
        <w:t>：</w:t>
      </w:r>
    </w:p>
    <w:p>
      <w:pPr>
        <w:ind w:firstLine="723" w:firstLineChars="300"/>
        <w:outlineLvl w:val="9"/>
        <w:rPr>
          <w:rFonts w:hint="eastAsia" w:ascii="宋体" w:hAnsi="宋体" w:eastAsia="宋体" w:cs="宋体"/>
          <w:color w:val="auto"/>
          <w:highlight w:val="none"/>
        </w:rPr>
      </w:pPr>
      <w:r>
        <w:rPr>
          <w:rFonts w:hint="eastAsia" w:ascii="宋体" w:hAnsi="宋体" w:eastAsia="宋体" w:cs="宋体"/>
          <w:b/>
          <w:color w:val="auto"/>
          <w:sz w:val="24"/>
          <w:szCs w:val="24"/>
          <w:highlight w:val="none"/>
          <w:lang w:eastAsia="zh-CN"/>
        </w:rPr>
        <w:t>投标</w:t>
      </w:r>
      <w:r>
        <w:rPr>
          <w:rFonts w:hint="eastAsia" w:ascii="宋体" w:hAnsi="宋体" w:cs="宋体"/>
          <w:b/>
          <w:color w:val="auto"/>
          <w:sz w:val="24"/>
          <w:szCs w:val="24"/>
          <w:highlight w:val="none"/>
          <w:lang w:val="en-US" w:eastAsia="zh-CN"/>
        </w:rPr>
        <w:t>单位</w:t>
      </w:r>
      <w:r>
        <w:rPr>
          <w:rFonts w:hint="eastAsia" w:ascii="宋体" w:hAnsi="宋体" w:eastAsia="宋体" w:cs="宋体"/>
          <w:b/>
          <w:color w:val="auto"/>
          <w:sz w:val="24"/>
          <w:szCs w:val="24"/>
          <w:highlight w:val="none"/>
          <w:lang w:eastAsia="zh-CN"/>
        </w:rPr>
        <w:t>名称：</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534"/>
        <w:gridCol w:w="1410"/>
        <w:gridCol w:w="1421"/>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34"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41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21"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673"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94" w:type="dxa"/>
            <w:gridSpan w:val="2"/>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bl>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注：1.此表中，总价应和开标一览表的投标总价相一致。</w:t>
      </w:r>
    </w:p>
    <w:p>
      <w:pPr>
        <w:adjustRightInd w:val="0"/>
        <w:snapToGrid w:val="0"/>
        <w:spacing w:line="360" w:lineRule="auto"/>
        <w:ind w:right="105" w:rightChars="50" w:firstLine="840" w:firstLineChars="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2.本表可根据实际情况进行拓展。</w:t>
      </w: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投标人名称（加盖单位公章）：</w:t>
      </w:r>
      <w:r>
        <w:rPr>
          <w:rFonts w:hint="eastAsia" w:ascii="宋体" w:hAnsi="宋体" w:eastAsia="宋体" w:cs="宋体"/>
          <w:color w:val="auto"/>
          <w:highlight w:val="none"/>
          <w:u w:val="single"/>
        </w:rPr>
        <w:t xml:space="preserve">           </w:t>
      </w: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法定代表人或授权代表人(签字或盖章)：</w:t>
      </w:r>
      <w:r>
        <w:rPr>
          <w:rFonts w:hint="eastAsia" w:ascii="宋体" w:hAnsi="宋体" w:eastAsia="宋体" w:cs="宋体"/>
          <w:color w:val="auto"/>
          <w:highlight w:val="none"/>
          <w:u w:val="single"/>
        </w:rPr>
        <w:t xml:space="preserve">           </w:t>
      </w:r>
    </w:p>
    <w:p>
      <w:pPr>
        <w:adjustRightInd w:val="0"/>
        <w:snapToGrid w:val="0"/>
        <w:spacing w:line="360" w:lineRule="auto"/>
        <w:ind w:right="1050" w:rightChars="500"/>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 xml:space="preserve"> </w:t>
      </w:r>
    </w:p>
    <w:p>
      <w:pPr>
        <w:outlineLvl w:val="9"/>
        <w:rPr>
          <w:rFonts w:hint="eastAsia" w:ascii="宋体" w:hAnsi="宋体" w:eastAsia="宋体" w:cs="宋体"/>
          <w:b/>
          <w:color w:val="auto"/>
          <w:sz w:val="24"/>
          <w:szCs w:val="24"/>
          <w:highlight w:val="none"/>
        </w:rPr>
      </w:pPr>
    </w:p>
    <w:p>
      <w:pPr>
        <w:outlineLvl w:val="9"/>
        <w:rPr>
          <w:rFonts w:hint="eastAsia" w:ascii="宋体" w:hAnsi="宋体" w:eastAsia="宋体" w:cs="宋体"/>
          <w:b/>
          <w:color w:val="auto"/>
          <w:sz w:val="24"/>
          <w:szCs w:val="24"/>
          <w:highlight w:val="none"/>
        </w:rPr>
      </w:pPr>
    </w:p>
    <w:p>
      <w:pPr>
        <w:pStyle w:val="2"/>
        <w:outlineLvl w:val="9"/>
        <w:rPr>
          <w:rFonts w:hint="eastAsia" w:ascii="宋体" w:hAnsi="宋体" w:eastAsia="宋体" w:cs="宋体"/>
          <w:b/>
          <w:color w:val="auto"/>
          <w:sz w:val="28"/>
          <w:szCs w:val="28"/>
          <w:highlight w:val="none"/>
        </w:rPr>
      </w:pPr>
    </w:p>
    <w:p>
      <w:pPr>
        <w:pStyle w:val="2"/>
        <w:outlineLvl w:val="9"/>
        <w:rPr>
          <w:rFonts w:hint="eastAsia" w:ascii="宋体" w:hAnsi="宋体" w:eastAsia="宋体" w:cs="宋体"/>
          <w:b/>
          <w:color w:val="auto"/>
          <w:sz w:val="28"/>
          <w:szCs w:val="28"/>
          <w:highlight w:val="none"/>
        </w:rPr>
      </w:pPr>
    </w:p>
    <w:p>
      <w:pPr>
        <w:pStyle w:val="5"/>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2"/>
          <w:sz w:val="30"/>
          <w:szCs w:val="30"/>
          <w:highlight w:val="none"/>
          <w:lang w:val="en-US" w:eastAsia="zh-CN" w:bidi="ar-SA"/>
        </w:rPr>
        <w:t>4、</w:t>
      </w:r>
      <w:r>
        <w:rPr>
          <w:rFonts w:hint="eastAsia" w:ascii="宋体" w:hAnsi="宋体" w:eastAsia="宋体" w:cs="宋体"/>
          <w:b/>
          <w:bCs/>
          <w:color w:val="auto"/>
          <w:kern w:val="2"/>
          <w:sz w:val="30"/>
          <w:szCs w:val="30"/>
          <w:highlight w:val="none"/>
          <w:lang w:val="zh-CN" w:eastAsia="zh-CN" w:bidi="ar-SA"/>
        </w:rPr>
        <w:t>法定代表人身份证明书</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1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wrap="square" upright="1"/>
                    </wps:wsp>
                  </a:graphicData>
                </a:graphic>
              </wp:anchor>
            </w:drawing>
          </mc:Choice>
          <mc:Fallback>
            <w:pict>
              <v:shape id="_x0000_s1026" o:spid="_x0000_s1026" o:spt="202" type="#_x0000_t202" style="position:absolute;left:0pt;margin-left:208.3pt;margin-top:4.85pt;height:134.25pt;width:206.25pt;z-index:251663360;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rStEfXAAAACQEA&#10;AA8AAAAAAAAAAQAgAAAAIgAAAGRycy9kb3ducmV2LnhtbFBLAQIUABQAAAAIAIdO4kAKoYQxVAIA&#10;AN0EAAAOAAAAAAAAAAEAIAAAACY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8" name="文本框 8"/>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_x0000_s1026" o:spid="_x0000_s1026" o:spt="202" type="#_x0000_t202" style="position:absolute;left:0pt;margin-left:-5.9pt;margin-top:6.7pt;height:134.25pt;width:206.25pt;z-index:251662336;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HPJ62AAAAAoB&#10;AAAPAAAAAAAAAAEAIAAAACIAAABkcnMvZG93bnJldi54bWxQSwECFAAUAAAACACHTuJAvCxWR1QC&#10;AADbBAAADgAAAAAAAAABACAAAAAn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8"/>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日    期：   年 月 日</w:t>
      </w: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autoSpaceDE w:val="0"/>
        <w:autoSpaceDN w:val="0"/>
        <w:adjustRightIn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br w:type="page"/>
      </w:r>
      <w:bookmarkStart w:id="172" w:name="_Toc23575"/>
      <w:bookmarkStart w:id="173" w:name="_Toc13321"/>
      <w:bookmarkStart w:id="174" w:name="_Toc32721"/>
      <w:bookmarkStart w:id="175" w:name="_Toc32628"/>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法定代表人授权书格式</w:t>
      </w:r>
      <w:bookmarkEnd w:id="172"/>
      <w:bookmarkEnd w:id="173"/>
      <w:bookmarkEnd w:id="174"/>
      <w:bookmarkEnd w:id="175"/>
    </w:p>
    <w:p>
      <w:pPr>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(投标单位名称)法定代表人授权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为本公司的合法代理人，参加贵方组织的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项目招标文件采购招标活动，全权代表我方处理招标活动中的一切事宜和签署一切文件，被授权人无转委托权，特此委托。</w:t>
      </w:r>
    </w:p>
    <w:p>
      <w:pPr>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w:t>
      </w:r>
    </w:p>
    <w:p>
      <w:pPr>
        <w:ind w:firstLine="686" w:firstLineChars="2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pPr>
        <w:ind w:firstLine="686" w:firstLineChars="245"/>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被授权人姓名：</w:t>
      </w:r>
    </w:p>
    <w:p>
      <w:pPr>
        <w:ind w:firstLine="686" w:firstLineChars="2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    话：</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2783205</wp:posOffset>
                </wp:positionH>
                <wp:positionV relativeFrom="paragraph">
                  <wp:posOffset>131445</wp:posOffset>
                </wp:positionV>
                <wp:extent cx="2619375" cy="1381760"/>
                <wp:effectExtent l="7620" t="7620" r="20955" b="20320"/>
                <wp:wrapNone/>
                <wp:docPr id="9" name="文本框 9"/>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wrap="square" upright="1"/>
                    </wps:wsp>
                  </a:graphicData>
                </a:graphic>
              </wp:anchor>
            </w:drawing>
          </mc:Choice>
          <mc:Fallback>
            <w:pict>
              <v:shape id="_x0000_s1026" o:spid="_x0000_s1026" o:spt="202" type="#_x0000_t202" style="position:absolute;left:0pt;margin-left:219.15pt;margin-top:10.35pt;height:108.8pt;width:206.25pt;z-index:251665408;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eavzxlUC&#10;AADb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87630</wp:posOffset>
                </wp:positionV>
                <wp:extent cx="2619375" cy="1448435"/>
                <wp:effectExtent l="7620" t="7620" r="20955" b="10795"/>
                <wp:wrapNone/>
                <wp:docPr id="13" name="文本框 13"/>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_x0000_s1026" o:spid="_x0000_s1026" o:spt="202" type="#_x0000_t202" style="position:absolute;left:0pt;margin-left:0.9pt;margin-top:6.9pt;height:114.05pt;width:206.25pt;z-index:251664384;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NPzYdUAAAAIAQAA&#10;DwAAAAAAAAABACAAAAAiAAAAZHJzL2Rvd25yZXYueG1sUEsBAhQAFAAAAAgAh07iQF8t80xVAgAA&#10;3QQAAA4AAAAAAAAAAQAgAAAAJA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Cs/>
          <w:color w:val="auto"/>
          <w:sz w:val="28"/>
          <w:szCs w:val="28"/>
          <w:highlight w:val="none"/>
          <w:u w:val="single"/>
          <w:lang w:val="en-US" w:eastAsia="zh-CN"/>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2818765</wp:posOffset>
                </wp:positionH>
                <wp:positionV relativeFrom="paragraph">
                  <wp:posOffset>175895</wp:posOffset>
                </wp:positionV>
                <wp:extent cx="2619375" cy="1428750"/>
                <wp:effectExtent l="7620" t="7620" r="20955" b="11430"/>
                <wp:wrapNone/>
                <wp:docPr id="15" name="文本框 1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wrap="square" upright="1"/>
                    </wps:wsp>
                  </a:graphicData>
                </a:graphic>
              </wp:anchor>
            </w:drawing>
          </mc:Choice>
          <mc:Fallback>
            <w:pict>
              <v:shape id="_x0000_s1026" o:spid="_x0000_s1026" o:spt="202" type="#_x0000_t202" style="position:absolute;left:0pt;margin-left:221.95pt;margin-top:13.85pt;height:112.5pt;width:206.25pt;z-index:251667456;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KIaKJpU&#10;AgAA3Q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163830</wp:posOffset>
                </wp:positionV>
                <wp:extent cx="2619375" cy="1438275"/>
                <wp:effectExtent l="8255" t="7620" r="20320" b="20955"/>
                <wp:wrapTopAndBottom/>
                <wp:docPr id="16" name="文本框 16"/>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wrap="square" upright="1"/>
                    </wps:wsp>
                  </a:graphicData>
                </a:graphic>
              </wp:anchor>
            </w:drawing>
          </mc:Choice>
          <mc:Fallback>
            <w:pict>
              <v:shape id="_x0000_s1026" o:spid="_x0000_s1026" o:spt="202" type="#_x0000_t202" style="position:absolute;left:0pt;margin-left:0.5pt;margin-top:12.9pt;height:113.25pt;width:206.25pt;mso-wrap-distance-bottom:0pt;mso-wrap-distance-top:0pt;z-index:251666432;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Uzij9UAAAAIAQAA&#10;DwAAAAAAAAABACAAAAAiAAAAZHJzL2Rvd25yZXYueG1sUEsBAhQAFAAAAAgAh07iQHwzaCFVAgAA&#10;3QQAAA4AAAAAAAAAAQAgAAAAJA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宋体" w:hAnsi="宋体" w:eastAsia="宋体" w:cs="宋体"/>
          <w:bCs/>
          <w:color w:val="auto"/>
          <w:sz w:val="28"/>
          <w:szCs w:val="28"/>
          <w:highlight w:val="none"/>
        </w:rPr>
        <w:t>投标</w:t>
      </w:r>
      <w:r>
        <w:rPr>
          <w:rFonts w:hint="eastAsia" w:ascii="宋体" w:hAnsi="宋体" w:cs="宋体"/>
          <w:bCs/>
          <w:color w:val="auto"/>
          <w:sz w:val="28"/>
          <w:szCs w:val="28"/>
          <w:highlight w:val="none"/>
          <w:lang w:val="en-US" w:eastAsia="zh-CN"/>
        </w:rPr>
        <w:t>单位</w:t>
      </w:r>
      <w:r>
        <w:rPr>
          <w:rFonts w:hint="eastAsia" w:ascii="宋体" w:hAnsi="宋体" w:eastAsia="宋体" w:cs="宋体"/>
          <w:bCs/>
          <w:color w:val="auto"/>
          <w:sz w:val="28"/>
          <w:szCs w:val="28"/>
          <w:highlight w:val="none"/>
        </w:rPr>
        <w:t>（盖章）：</w:t>
      </w:r>
    </w:p>
    <w:p>
      <w:pPr>
        <w:pStyle w:val="8"/>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pStyle w:val="8"/>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sz w:val="30"/>
          <w:szCs w:val="30"/>
          <w:highlight w:val="none"/>
          <w:lang w:val="en-US" w:eastAsia="zh-CN"/>
        </w:rPr>
        <w:t>6</w:t>
      </w:r>
      <w:r>
        <w:rPr>
          <w:rFonts w:hint="eastAsia" w:ascii="宋体" w:hAnsi="宋体" w:cs="宋体"/>
          <w:b/>
          <w:bCs/>
          <w:color w:val="auto"/>
          <w:sz w:val="30"/>
          <w:szCs w:val="30"/>
          <w:highlight w:val="none"/>
          <w:lang w:val="en-US" w:eastAsia="zh-CN"/>
        </w:rPr>
        <w:t>、</w:t>
      </w:r>
      <w:r>
        <w:rPr>
          <w:rFonts w:hint="eastAsia" w:ascii="宋体" w:hAnsi="宋体" w:eastAsia="宋体" w:cs="宋体"/>
          <w:b/>
          <w:bCs/>
          <w:color w:val="auto"/>
          <w:sz w:val="30"/>
          <w:szCs w:val="30"/>
          <w:highlight w:val="none"/>
          <w:lang w:val="en-US" w:eastAsia="zh-CN"/>
        </w:rPr>
        <w:t>企业情况</w:t>
      </w:r>
    </w:p>
    <w:p>
      <w:pPr>
        <w:pStyle w:val="4"/>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（1）包含营业场所，办公条件，企业简介等相关内容</w:t>
      </w:r>
    </w:p>
    <w:p>
      <w:pPr>
        <w:pStyle w:val="4"/>
        <w:jc w:val="both"/>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法人营业执照函</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现附上由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（签发机关名称）签发的我方法人营业执照复印件，该执照已经年检，真实有效。</w:t>
      </w:r>
    </w:p>
    <w:p>
      <w:pPr>
        <w:spacing w:line="360" w:lineRule="auto"/>
        <w:ind w:firstLine="48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注：在此页附上营业执照</w:t>
      </w:r>
    </w:p>
    <w:p>
      <w:pPr>
        <w:spacing w:line="360" w:lineRule="auto"/>
        <w:ind w:firstLine="480"/>
        <w:rPr>
          <w:rFonts w:hint="eastAsia" w:ascii="宋体" w:hAnsi="宋体" w:eastAsia="宋体" w:cs="宋体"/>
          <w:color w:val="auto"/>
          <w:sz w:val="28"/>
          <w:szCs w:val="28"/>
          <w:highlight w:val="none"/>
        </w:rPr>
      </w:pPr>
    </w:p>
    <w:p>
      <w:pPr>
        <w:spacing w:line="360" w:lineRule="auto"/>
        <w:ind w:firstLine="480"/>
        <w:rPr>
          <w:rFonts w:hint="eastAsia" w:ascii="宋体" w:hAnsi="宋体" w:eastAsia="宋体" w:cs="宋体"/>
          <w:color w:val="auto"/>
          <w:sz w:val="28"/>
          <w:szCs w:val="28"/>
          <w:highlight w:val="none"/>
        </w:rPr>
      </w:pPr>
    </w:p>
    <w:p>
      <w:pPr>
        <w:pStyle w:val="8"/>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投标单位</w:t>
      </w:r>
      <w:r>
        <w:rPr>
          <w:rFonts w:hint="eastAsia" w:ascii="宋体" w:hAnsi="宋体" w:eastAsia="宋体" w:cs="宋体"/>
          <w:color w:val="auto"/>
          <w:sz w:val="28"/>
          <w:szCs w:val="28"/>
          <w:highlight w:val="none"/>
        </w:rPr>
        <w:t xml:space="preserve">：（加盖公章）   </w:t>
      </w:r>
    </w:p>
    <w:p>
      <w:pPr>
        <w:pStyle w:val="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授权代表人(签字或盖章)：          </w:t>
      </w:r>
    </w:p>
    <w:p>
      <w:pPr>
        <w:pStyle w:val="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年 月 日  </w:t>
      </w:r>
    </w:p>
    <w:p>
      <w:pPr>
        <w:pStyle w:val="8"/>
        <w:rPr>
          <w:rFonts w:hint="eastAsia" w:ascii="宋体" w:hAnsi="宋体" w:eastAsia="宋体" w:cs="宋体"/>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both"/>
        <w:outlineLvl w:val="9"/>
        <w:rPr>
          <w:rFonts w:hint="eastAsia" w:ascii="宋体" w:hAnsi="宋体" w:eastAsia="宋体" w:cs="宋体"/>
          <w:b/>
          <w:color w:val="auto"/>
          <w:sz w:val="28"/>
          <w:szCs w:val="28"/>
          <w:highlight w:val="none"/>
          <w:lang w:val="en-US" w:eastAsia="zh-CN"/>
        </w:rPr>
      </w:pPr>
    </w:p>
    <w:p>
      <w:pPr>
        <w:spacing w:line="360" w:lineRule="auto"/>
        <w:ind w:firstLine="60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lang w:val="en-US" w:eastAsia="zh-CN"/>
        </w:rPr>
        <w:t>7</w:t>
      </w:r>
      <w:r>
        <w:rPr>
          <w:rFonts w:hint="eastAsia" w:ascii="宋体" w:hAnsi="宋体" w:cs="宋体"/>
          <w:b/>
          <w:color w:val="auto"/>
          <w:sz w:val="30"/>
          <w:szCs w:val="30"/>
          <w:highlight w:val="none"/>
          <w:lang w:val="en-US" w:eastAsia="zh-CN"/>
        </w:rPr>
        <w:t>、</w:t>
      </w:r>
      <w:r>
        <w:rPr>
          <w:rFonts w:hint="eastAsia" w:ascii="宋体" w:hAnsi="宋体" w:eastAsia="宋体" w:cs="宋体"/>
          <w:b/>
          <w:color w:val="auto"/>
          <w:sz w:val="30"/>
          <w:szCs w:val="30"/>
          <w:highlight w:val="none"/>
        </w:rPr>
        <w:t>关于资格的声明函</w:t>
      </w:r>
    </w:p>
    <w:p>
      <w:pPr>
        <w:widowControl/>
        <w:spacing w:line="460" w:lineRule="exact"/>
        <w:jc w:val="left"/>
        <w:rPr>
          <w:rFonts w:hint="eastAsia" w:ascii="宋体" w:hAnsi="宋体" w:eastAsia="宋体" w:cs="宋体"/>
          <w:color w:val="auto"/>
          <w:sz w:val="28"/>
          <w:szCs w:val="28"/>
          <w:highlight w:val="none"/>
          <w:u w:val="single"/>
        </w:rPr>
      </w:pP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rPr>
        <w:t xml:space="preserve">            ：</w:t>
      </w:r>
    </w:p>
    <w:p>
      <w:pPr>
        <w:widowControl/>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关于贵方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日发出的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项目招标文件，本投标方愿意参加投标，并证明资格文件中和所要求的说明是真实和准确无误的。</w:t>
      </w:r>
    </w:p>
    <w:p>
      <w:pPr>
        <w:spacing w:line="460" w:lineRule="exact"/>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本投标方对可能要求的进一步的资格资料表示理解和同意，并同意按贵方的要求提供任何有关资料。</w:t>
      </w:r>
    </w:p>
    <w:p>
      <w:pPr>
        <w:spacing w:line="460" w:lineRule="exact"/>
        <w:ind w:firstLine="576"/>
        <w:rPr>
          <w:rFonts w:hint="eastAsia" w:ascii="宋体" w:hAnsi="宋体" w:eastAsia="宋体" w:cs="宋体"/>
          <w:color w:val="auto"/>
          <w:sz w:val="28"/>
          <w:szCs w:val="28"/>
          <w:highlight w:val="none"/>
        </w:rPr>
      </w:pPr>
    </w:p>
    <w:p>
      <w:pPr>
        <w:spacing w:line="460" w:lineRule="exact"/>
        <w:ind w:firstLine="576"/>
        <w:rPr>
          <w:rFonts w:hint="eastAsia" w:ascii="宋体" w:hAnsi="宋体" w:eastAsia="宋体" w:cs="宋体"/>
          <w:color w:val="auto"/>
          <w:sz w:val="28"/>
          <w:szCs w:val="28"/>
          <w:highlight w:val="none"/>
        </w:rPr>
      </w:pPr>
    </w:p>
    <w:p>
      <w:pPr>
        <w:spacing w:line="460" w:lineRule="exact"/>
        <w:ind w:firstLine="576"/>
        <w:rPr>
          <w:rFonts w:hint="eastAsia" w:ascii="宋体" w:hAnsi="宋体" w:eastAsia="宋体" w:cs="宋体"/>
          <w:color w:val="auto"/>
          <w:sz w:val="28"/>
          <w:szCs w:val="28"/>
          <w:highlight w:val="none"/>
        </w:rPr>
      </w:pP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法定代表人或授权代表人</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签字或盖章</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8"/>
          <w:szCs w:val="28"/>
          <w:highlight w:val="none"/>
          <w:lang w:val="en-US" w:eastAsia="zh-CN"/>
        </w:rPr>
      </w:pPr>
    </w:p>
    <w:p>
      <w:pPr>
        <w:pStyle w:val="8"/>
        <w:rPr>
          <w:rFonts w:hint="eastAsia" w:ascii="宋体" w:hAnsi="宋体" w:eastAsia="宋体" w:cs="宋体"/>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8</w:t>
      </w:r>
      <w:r>
        <w:rPr>
          <w:rFonts w:hint="eastAsia" w:ascii="宋体" w:hAnsi="宋体" w:cs="宋体"/>
          <w:b/>
          <w:color w:val="auto"/>
          <w:sz w:val="28"/>
          <w:szCs w:val="28"/>
          <w:highlight w:val="none"/>
          <w:lang w:val="en-US" w:eastAsia="zh-CN"/>
        </w:rPr>
        <w:t>、</w:t>
      </w:r>
      <w:r>
        <w:rPr>
          <w:rFonts w:hint="eastAsia" w:ascii="宋体" w:hAnsi="宋体" w:eastAsia="宋体" w:cs="宋体"/>
          <w:b/>
          <w:color w:val="auto"/>
          <w:sz w:val="30"/>
          <w:szCs w:val="30"/>
          <w:highlight w:val="none"/>
          <w:lang w:val="en-US" w:eastAsia="zh-CN"/>
        </w:rPr>
        <w:t>符合《政府采购法》第二十二条规定的条件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（1）经年审合格（三证合一）的营业执照；</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（2）</w:t>
      </w:r>
      <w:r>
        <w:rPr>
          <w:rFonts w:hint="eastAsia" w:ascii="宋体" w:hAnsi="宋体" w:cs="宋体"/>
          <w:color w:val="auto"/>
          <w:kern w:val="0"/>
          <w:sz w:val="24"/>
          <w:szCs w:val="22"/>
          <w:highlight w:val="none"/>
          <w:lang w:val="en-US" w:eastAsia="zh-CN"/>
        </w:rPr>
        <w:t>具有有效期内的乙级及以上测绘资质(专业范围包含地理信息系统工程)</w:t>
      </w:r>
      <w:r>
        <w:rPr>
          <w:rFonts w:hint="eastAsia" w:ascii="宋体" w:hAnsi="宋体" w:eastAsia="宋体" w:cs="宋体"/>
          <w:color w:val="auto"/>
          <w:kern w:val="0"/>
          <w:sz w:val="24"/>
          <w:szCs w:val="22"/>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en-US" w:eastAsia="zh-CN"/>
        </w:rPr>
        <w:t>提供法人（指本单位）2023年2月至2023年4月单</w:t>
      </w:r>
      <w:r>
        <w:rPr>
          <w:rFonts w:hint="eastAsia" w:ascii="宋体" w:hAnsi="宋体" w:eastAsia="宋体" w:cs="宋体"/>
          <w:color w:val="auto"/>
          <w:kern w:val="0"/>
          <w:sz w:val="24"/>
          <w:szCs w:val="22"/>
          <w:highlight w:val="none"/>
          <w:lang w:val="en-US" w:eastAsia="zh-CN"/>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（5）具有良好的商业信誉和健全的财务会计制度：</w:t>
      </w:r>
      <w:r>
        <w:rPr>
          <w:rFonts w:hint="eastAsia" w:ascii="宋体" w:hAnsi="宋体" w:cs="宋体"/>
          <w:color w:val="auto"/>
          <w:kern w:val="0"/>
          <w:sz w:val="24"/>
          <w:szCs w:val="22"/>
          <w:highlight w:val="none"/>
          <w:lang w:val="en-US" w:eastAsia="zh-CN"/>
        </w:rPr>
        <w:t>提供2021年度或2022年度由第三方财务审计机构出具</w:t>
      </w:r>
      <w:r>
        <w:rPr>
          <w:rFonts w:hint="eastAsia" w:ascii="宋体" w:hAnsi="宋体" w:eastAsia="宋体" w:cs="宋体"/>
          <w:color w:val="auto"/>
          <w:kern w:val="0"/>
          <w:sz w:val="24"/>
          <w:szCs w:val="22"/>
          <w:highlight w:val="none"/>
          <w:lang w:val="en-US" w:eastAsia="zh-CN"/>
        </w:rPr>
        <w:t>的财务审计报告或新成立的企业提供银行出具的近三个月的资信证明；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sz w:val="24"/>
          <w:szCs w:val="22"/>
          <w:highlight w:val="none"/>
          <w:lang w:val="en-US" w:eastAsia="zh-CN"/>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注：以上证明材料应逐页盖章</w:t>
      </w:r>
    </w:p>
    <w:p>
      <w:pPr>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lang w:val="en-US" w:eastAsia="zh-CN"/>
        </w:rPr>
        <w:br w:type="page"/>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、近</w:t>
      </w: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18</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5月</w:t>
      </w:r>
      <w:r>
        <w:rPr>
          <w:rFonts w:hint="eastAsia" w:ascii="宋体" w:hAnsi="宋体" w:eastAsia="宋体" w:cs="宋体"/>
          <w:b/>
          <w:bCs/>
          <w:color w:val="auto"/>
          <w:sz w:val="28"/>
          <w:szCs w:val="28"/>
          <w:highlight w:val="none"/>
          <w:lang w:val="en-US" w:eastAsia="zh-CN"/>
        </w:rPr>
        <w:t>至今</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业绩及相关证明</w:t>
      </w:r>
    </w:p>
    <w:p>
      <w:pPr>
        <w:pStyle w:val="2"/>
        <w:ind w:firstLine="0"/>
        <w:outlineLvl w:val="9"/>
        <w:rPr>
          <w:rFonts w:hint="eastAsia" w:ascii="宋体" w:hAnsi="宋体" w:eastAsia="宋体" w:cs="宋体"/>
          <w:color w:val="auto"/>
          <w:highlight w:val="none"/>
        </w:rPr>
      </w:pPr>
    </w:p>
    <w:p>
      <w:pPr>
        <w:pStyle w:val="50"/>
        <w:ind w:firstLine="240" w:firstLineChars="100"/>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项目名称 ：</w:t>
      </w:r>
      <w:r>
        <w:rPr>
          <w:rFonts w:hint="eastAsia" w:ascii="宋体" w:hAnsi="宋体" w:eastAsia="宋体" w:cs="宋体"/>
          <w:color w:val="auto"/>
          <w:szCs w:val="24"/>
          <w:highlight w:val="none"/>
          <w:u w:val="single"/>
        </w:rPr>
        <w:t xml:space="preserve">        </w:t>
      </w:r>
      <w:r>
        <w:rPr>
          <w:rFonts w:hint="eastAsia" w:ascii="宋体" w:hAnsi="宋体" w:cs="宋体"/>
          <w:color w:val="auto"/>
          <w:szCs w:val="24"/>
          <w:highlight w:val="none"/>
          <w:lang w:val="en-US" w:eastAsia="zh-CN"/>
        </w:rPr>
        <w:t>项目编号</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w:t>
      </w:r>
    </w:p>
    <w:tbl>
      <w:tblPr>
        <w:tblStyle w:val="20"/>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bl>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Theme="minorEastAsia" w:hAnsiTheme="minorEastAsia" w:eastAsiaTheme="minorEastAsia" w:cstheme="minorEastAsia"/>
          <w:color w:val="auto"/>
          <w:kern w:val="0"/>
          <w:sz w:val="24"/>
          <w:szCs w:val="24"/>
          <w:highlight w:val="none"/>
          <w:shd w:val="clear" w:color="auto" w:fill="auto"/>
        </w:rPr>
        <w:t>（提供中标通知书</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或</w:t>
      </w:r>
      <w:r>
        <w:rPr>
          <w:rFonts w:hint="eastAsia" w:asciiTheme="minorEastAsia" w:hAnsiTheme="minorEastAsia" w:eastAsiaTheme="minorEastAsia" w:cstheme="minorEastAsia"/>
          <w:color w:val="auto"/>
          <w:kern w:val="0"/>
          <w:sz w:val="24"/>
          <w:szCs w:val="24"/>
          <w:highlight w:val="none"/>
          <w:shd w:val="clear" w:color="auto" w:fill="auto"/>
        </w:rPr>
        <w:t>合同；以合同签订时间为准，提供合同关键页扫描件。</w:t>
      </w:r>
    </w:p>
    <w:p>
      <w:pPr>
        <w:outlineLvl w:val="9"/>
        <w:rPr>
          <w:rFonts w:hint="eastAsia" w:ascii="宋体" w:hAnsi="宋体" w:eastAsia="宋体" w:cs="宋体"/>
          <w:color w:val="auto"/>
          <w:highlight w:val="none"/>
        </w:rPr>
      </w:pPr>
    </w:p>
    <w:p>
      <w:pPr>
        <w:spacing w:line="40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0"/>
          <w:highlight w:val="none"/>
          <w:lang w:val="en-US" w:eastAsia="zh-CN" w:bidi="ar-SA"/>
        </w:rPr>
        <w:t>法定代表人或授权代表人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p>
    <w:p>
      <w:pPr>
        <w:pStyle w:val="50"/>
        <w:tabs>
          <w:tab w:val="left" w:pos="540"/>
          <w:tab w:val="left" w:pos="1080"/>
        </w:tabs>
        <w:spacing w:line="400" w:lineRule="exac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 </w:t>
      </w:r>
    </w:p>
    <w:p>
      <w:pPr>
        <w:spacing w:line="400" w:lineRule="exact"/>
        <w:ind w:firstLine="240" w:firstLineChars="1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   年  月  日</w:t>
      </w: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rPr>
      </w:pP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color w:val="auto"/>
          <w:sz w:val="28"/>
          <w:szCs w:val="28"/>
          <w:highlight w:val="none"/>
        </w:rPr>
        <w:t>商务条款偏离表</w:t>
      </w:r>
    </w:p>
    <w:p>
      <w:pPr>
        <w:outlineLvl w:val="9"/>
        <w:rPr>
          <w:rFonts w:hint="eastAsia" w:ascii="宋体" w:hAnsi="宋体" w:eastAsia="宋体" w:cs="宋体"/>
          <w:b/>
          <w:color w:val="auto"/>
          <w:sz w:val="28"/>
          <w:szCs w:val="28"/>
          <w:highlight w:val="none"/>
        </w:rPr>
      </w:pPr>
    </w:p>
    <w:p>
      <w:pPr>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3175"/>
        <w:gridCol w:w="2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条目号</w:t>
            </w:r>
          </w:p>
        </w:tc>
        <w:tc>
          <w:tcPr>
            <w:tcW w:w="3175"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的商务条款</w:t>
            </w:r>
          </w:p>
        </w:tc>
        <w:tc>
          <w:tcPr>
            <w:tcW w:w="2607"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2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投标单位： </w:t>
      </w:r>
      <w:r>
        <w:rPr>
          <w:rFonts w:hint="eastAsia" w:ascii="宋体" w:hAnsi="宋体" w:eastAsia="宋体" w:cs="宋体"/>
          <w:color w:val="auto"/>
          <w:sz w:val="24"/>
          <w:szCs w:val="24"/>
          <w:highlight w:val="none"/>
          <w:u w:val="single"/>
        </w:rPr>
        <w:t xml:space="preserve">                       （盖单位章）   </w:t>
      </w:r>
      <w:r>
        <w:rPr>
          <w:rFonts w:hint="eastAsia" w:ascii="宋体" w:hAnsi="宋体" w:eastAsia="宋体" w:cs="宋体"/>
          <w:color w:val="auto"/>
          <w:sz w:val="24"/>
          <w:szCs w:val="24"/>
          <w:highlight w:val="none"/>
          <w:u w:val="single"/>
          <w:lang w:val="en-US" w:eastAsia="zh-CN"/>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50"/>
        <w:tabs>
          <w:tab w:val="left" w:pos="540"/>
          <w:tab w:val="left" w:pos="1080"/>
        </w:tabs>
        <w:ind w:firstLine="480" w:firstLineChars="20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numPr>
          <w:ilvl w:val="0"/>
          <w:numId w:val="7"/>
        </w:numPr>
        <w:autoSpaceDE w:val="0"/>
        <w:autoSpaceDN w:val="0"/>
        <w:adjustRightInd w:val="0"/>
        <w:jc w:val="center"/>
        <w:outlineLvl w:val="9"/>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投标单位（投标人）反商业贿赂承诺书</w:t>
      </w:r>
    </w:p>
    <w:p>
      <w:pPr>
        <w:pStyle w:val="18"/>
        <w:numPr>
          <w:ilvl w:val="0"/>
          <w:numId w:val="0"/>
        </w:numPr>
        <w:rPr>
          <w:rFonts w:hint="eastAsia"/>
          <w:color w:val="auto"/>
          <w:highlight w:val="none"/>
          <w:lang w:val="zh-CN"/>
        </w:rPr>
      </w:pPr>
    </w:p>
    <w:p>
      <w:pPr>
        <w:autoSpaceDE w:val="0"/>
        <w:autoSpaceDN w:val="0"/>
        <w:adjustRightIn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我公司承诺在</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before="100" w:beforeAutospacing="1" w:after="100" w:afterAutospacing="1"/>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项目经办人签字：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日期：   年   月   日</w:t>
      </w: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numPr>
          <w:ilvl w:val="0"/>
          <w:numId w:val="0"/>
        </w:numPr>
        <w:jc w:val="left"/>
        <w:outlineLvl w:val="9"/>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before="156" w:beforeLines="50" w:after="312" w:afterLines="100" w:line="440" w:lineRule="exact"/>
        <w:jc w:val="center"/>
        <w:rPr>
          <w:rFonts w:hint="eastAsia" w:ascii="宋体" w:hAnsi="宋体" w:eastAsia="宋体" w:cs="宋体"/>
          <w:b/>
          <w:color w:val="auto"/>
          <w:sz w:val="32"/>
          <w:szCs w:val="30"/>
          <w:highlight w:val="none"/>
        </w:rPr>
      </w:pPr>
      <w:r>
        <w:rPr>
          <w:rFonts w:hint="eastAsia" w:ascii="宋体" w:hAnsi="宋体" w:eastAsia="宋体" w:cs="宋体"/>
          <w:b/>
          <w:bCs/>
          <w:color w:val="auto"/>
          <w:sz w:val="30"/>
          <w:szCs w:val="30"/>
          <w:highlight w:val="none"/>
          <w:lang w:val="en-US" w:eastAsia="zh-CN"/>
        </w:rPr>
        <w:t>12、</w:t>
      </w:r>
      <w:r>
        <w:rPr>
          <w:rFonts w:hint="eastAsia" w:ascii="宋体" w:hAnsi="宋体" w:eastAsia="宋体" w:cs="宋体"/>
          <w:b/>
          <w:bCs/>
          <w:color w:val="auto"/>
          <w:sz w:val="30"/>
          <w:szCs w:val="30"/>
          <w:highlight w:val="none"/>
        </w:rPr>
        <w:t>投标人基本情况表</w:t>
      </w:r>
    </w:p>
    <w:tbl>
      <w:tblPr>
        <w:tblStyle w:val="20"/>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概</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况</w:t>
            </w: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经济性质</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技术人员数</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资产总额</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净资产</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工商登记号</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税务登记号</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是否依法纳税</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是否参加社保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年公司</w:t>
            </w: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业绩、信誉</w:t>
            </w:r>
          </w:p>
        </w:tc>
        <w:tc>
          <w:tcPr>
            <w:tcW w:w="6618" w:type="dxa"/>
            <w:gridSpan w:val="3"/>
            <w:noWrap w:val="0"/>
            <w:vAlign w:val="center"/>
          </w:tcPr>
          <w:p>
            <w:pPr>
              <w:spacing w:after="60" w:afterLines="25"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     万元，合同履行情况：</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8371" w:type="dxa"/>
            <w:gridSpan w:val="4"/>
            <w:noWrap w:val="0"/>
            <w:vAlign w:val="top"/>
          </w:tcPr>
          <w:p>
            <w:pPr>
              <w:spacing w:after="60" w:afterLines="25"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单位优势及特点：</w:t>
            </w:r>
          </w:p>
        </w:tc>
      </w:tr>
    </w:tbl>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spacing w:before="156" w:beforeLines="50" w:after="312" w:afterLines="100" w:line="440" w:lineRule="exact"/>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13、投标保证金缴纳凭证或保函；</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tbl>
      <w:tblPr>
        <w:tblStyle w:val="21"/>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8680" w:type="dxa"/>
            <w:noWrap w:val="0"/>
            <w:vAlign w:val="top"/>
          </w:tcPr>
          <w:p>
            <w:pPr>
              <w:keepNext/>
              <w:keepLines/>
              <w:widowControl w:val="0"/>
              <w:numPr>
                <w:ilvl w:val="0"/>
                <w:numId w:val="0"/>
              </w:numPr>
              <w:spacing w:before="260" w:beforeLines="0" w:after="260" w:afterLines="0" w:line="416" w:lineRule="auto"/>
              <w:jc w:val="cente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jc w:val="center"/>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vertAlign w:val="baseline"/>
                <w:lang w:val="en-US" w:eastAsia="zh-CN"/>
              </w:rPr>
              <w:t>保证金缴纳凭证</w:t>
            </w:r>
            <w:r>
              <w:rPr>
                <w:rFonts w:hint="eastAsia" w:ascii="宋体" w:hAnsi="宋体" w:cs="宋体"/>
                <w:color w:val="auto"/>
                <w:highlight w:val="none"/>
                <w:vertAlign w:val="baseline"/>
                <w:lang w:val="en-US" w:eastAsia="zh-CN"/>
              </w:rPr>
              <w:t>或保函</w:t>
            </w:r>
          </w:p>
        </w:tc>
      </w:tr>
    </w:tbl>
    <w:p>
      <w:pPr>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bookmarkStart w:id="176" w:name="_Toc3724"/>
      <w:bookmarkStart w:id="177" w:name="_Toc1732"/>
      <w:bookmarkStart w:id="178" w:name="_Toc20619"/>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bookmarkEnd w:id="176"/>
    <w:bookmarkEnd w:id="177"/>
    <w:bookmarkEnd w:id="178"/>
    <w:p>
      <w:pPr>
        <w:rPr>
          <w:b/>
          <w:color w:val="auto"/>
          <w:sz w:val="28"/>
          <w:szCs w:val="28"/>
          <w:highlight w:val="none"/>
        </w:rPr>
      </w:pPr>
    </w:p>
    <w:p>
      <w:pPr>
        <w:pStyle w:val="18"/>
        <w:rPr>
          <w:color w:val="auto"/>
          <w:highlight w:val="none"/>
        </w:rPr>
      </w:pPr>
    </w:p>
    <w:p>
      <w:pPr>
        <w:jc w:val="center"/>
        <w:rPr>
          <w:rFonts w:hint="eastAsia" w:ascii="宋体" w:hAnsi="宋体" w:eastAsia="宋体" w:cs="宋体"/>
          <w:b/>
          <w:bCs/>
          <w:color w:val="auto"/>
          <w:sz w:val="28"/>
          <w:szCs w:val="28"/>
          <w:highlight w:val="none"/>
        </w:rPr>
      </w:pPr>
      <w:bookmarkStart w:id="179" w:name="_Toc26203"/>
      <w:bookmarkStart w:id="180" w:name="_Toc19656"/>
      <w:bookmarkStart w:id="181" w:name="_Toc13017"/>
      <w:bookmarkStart w:id="182" w:name="_Toc5529"/>
      <w:bookmarkStart w:id="183" w:name="_Toc27546"/>
      <w:bookmarkStart w:id="184" w:name="_Toc5425"/>
      <w:bookmarkStart w:id="185" w:name="_Toc19298"/>
      <w:r>
        <w:rPr>
          <w:rFonts w:hint="eastAsia" w:ascii="宋体" w:hAnsi="宋体" w:eastAsia="宋体" w:cs="宋体"/>
          <w:b/>
          <w:bCs/>
          <w:color w:val="auto"/>
          <w:sz w:val="28"/>
          <w:szCs w:val="28"/>
          <w:highlight w:val="none"/>
          <w:lang w:val="en-US" w:eastAsia="zh-CN"/>
        </w:rPr>
        <w:t>14、</w:t>
      </w:r>
      <w:r>
        <w:rPr>
          <w:rFonts w:hint="eastAsia" w:ascii="宋体" w:hAnsi="宋体" w:eastAsia="宋体" w:cs="宋体"/>
          <w:b/>
          <w:bCs/>
          <w:color w:val="auto"/>
          <w:sz w:val="28"/>
          <w:szCs w:val="28"/>
          <w:highlight w:val="none"/>
        </w:rPr>
        <w:t>不参与围标串标承诺书</w:t>
      </w:r>
    </w:p>
    <w:p>
      <w:pPr>
        <w:spacing w:line="480" w:lineRule="auto"/>
        <w:ind w:left="105" w:hanging="105"/>
        <w:jc w:val="left"/>
        <w:rPr>
          <w:rFonts w:hint="eastAsia" w:ascii="宋体" w:hAnsi="宋体" w:eastAsia="宋体" w:cs="宋体"/>
          <w:color w:val="auto"/>
          <w:sz w:val="24"/>
          <w:szCs w:val="24"/>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我公司在参与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项目招投标过程中，自觉遵守《中华人民共和国政府采购法》和《中华人民共和国政府采购实施条例》以及自治区、地、市招标投标管理的有关规定。就本次投标，我公司郑重承诺如下：</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（一）不与其他投标企业存在任何关联关系；</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（二）不组织、不参与任何串通投标的行为；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（三）不以他人名义投标，不组织、不参与以其他弄虚作假的方式参加投标的行为；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（四）不出让或出租资格、资质证书参加投标，不组织、不参与类似违法违规行为。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（五）积极主动检举、揭发和配合相关部门调查串通投标等违法违规行为。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我公司对以上承诺内容的真实性和履约性负责，如有违诺，自愿承担一切违法违规后果。</w:t>
      </w:r>
    </w:p>
    <w:p>
      <w:pPr>
        <w:spacing w:line="480" w:lineRule="auto"/>
        <w:ind w:left="239"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480" w:lineRule="auto"/>
        <w:ind w:left="105" w:leftChars="50" w:right="482" w:firstLine="120" w:firstLineChars="50"/>
        <w:jc w:val="center"/>
        <w:rPr>
          <w:rFonts w:hint="eastAsia" w:ascii="宋体" w:hAnsi="宋体" w:eastAsia="宋体" w:cs="宋体"/>
          <w:color w:val="auto"/>
          <w:sz w:val="24"/>
          <w:szCs w:val="24"/>
          <w:highlight w:val="none"/>
        </w:rPr>
      </w:pPr>
    </w:p>
    <w:p>
      <w:pPr>
        <w:spacing w:line="480" w:lineRule="auto"/>
        <w:ind w:left="105" w:leftChars="50" w:right="482" w:firstLine="120" w:firstLineChars="5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lang w:val="en-US" w:eastAsia="zh-CN"/>
        </w:rPr>
        <w:t xml:space="preserve">               </w:t>
      </w:r>
    </w:p>
    <w:p>
      <w:pPr>
        <w:spacing w:line="480" w:lineRule="auto"/>
        <w:ind w:left="105" w:right="482" w:hanging="105"/>
        <w:jc w:val="center"/>
        <w:rPr>
          <w:rFonts w:hint="eastAsia" w:ascii="宋体" w:hAnsi="宋体" w:eastAsia="宋体" w:cs="宋体"/>
          <w:color w:val="auto"/>
          <w:sz w:val="24"/>
          <w:szCs w:val="24"/>
          <w:highlight w:val="none"/>
        </w:rPr>
      </w:pPr>
    </w:p>
    <w:p>
      <w:pPr>
        <w:spacing w:line="480" w:lineRule="auto"/>
        <w:ind w:left="105" w:right="482" w:hanging="10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80" w:lineRule="auto"/>
        <w:ind w:left="105" w:leftChars="5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日    期：   年   月  日  </w:t>
      </w:r>
    </w:p>
    <w:p>
      <w:pPr>
        <w:jc w:val="center"/>
        <w:rPr>
          <w:rFonts w:hint="eastAsia" w:ascii="宋体" w:hAnsi="宋体" w:cs="宋体"/>
          <w:b/>
          <w:bCs/>
          <w:color w:val="auto"/>
          <w:sz w:val="28"/>
          <w:szCs w:val="28"/>
          <w:highlight w:val="none"/>
          <w:lang w:val="en-US" w:eastAsia="zh-CN"/>
        </w:rPr>
      </w:pPr>
    </w:p>
    <w:p>
      <w:pPr>
        <w:pStyle w:val="2"/>
        <w:rPr>
          <w:rFonts w:hint="eastAsia" w:ascii="宋体" w:hAnsi="宋体" w:cs="宋体"/>
          <w:b/>
          <w:bCs/>
          <w:color w:val="auto"/>
          <w:sz w:val="28"/>
          <w:szCs w:val="28"/>
          <w:highlight w:val="none"/>
          <w:lang w:val="en-US" w:eastAsia="zh-CN"/>
        </w:rPr>
      </w:pPr>
    </w:p>
    <w:p>
      <w:pPr>
        <w:rPr>
          <w:rFonts w:hint="eastAsia"/>
          <w:color w:val="auto"/>
          <w:lang w:val="en-US" w:eastAsia="zh-CN"/>
        </w:rPr>
      </w:pPr>
    </w:p>
    <w:p>
      <w:pPr>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中小企业声明函（</w:t>
      </w:r>
      <w:r>
        <w:rPr>
          <w:rFonts w:hint="eastAsia" w:ascii="宋体" w:hAnsi="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w:t>
      </w:r>
      <w:bookmarkEnd w:id="179"/>
      <w:bookmarkEnd w:id="180"/>
      <w:bookmarkEnd w:id="181"/>
      <w:bookmarkEnd w:id="182"/>
      <w:bookmarkEnd w:id="183"/>
      <w:bookmarkEnd w:id="184"/>
      <w:bookmarkEnd w:id="185"/>
    </w:p>
    <w:p>
      <w:pPr>
        <w:widowControl/>
        <w:spacing w:line="360" w:lineRule="auto"/>
        <w:ind w:firstLine="480" w:firstLineChars="200"/>
        <w:jc w:val="left"/>
        <w:rPr>
          <w:rFonts w:hint="eastAsia" w:ascii="宋体" w:hAnsi="宋体" w:eastAsia="宋体" w:cs="宋体"/>
          <w:color w:val="auto"/>
          <w:sz w:val="24"/>
          <w:szCs w:val="24"/>
          <w:highlight w:val="none"/>
          <w:lang w:bidi="ar"/>
        </w:rPr>
      </w:pPr>
      <w:bookmarkStart w:id="186" w:name="_Toc21568"/>
      <w:bookmarkStart w:id="187" w:name="_Toc20603"/>
      <w:bookmarkStart w:id="188" w:name="_Toc14689"/>
      <w:bookmarkStart w:id="189" w:name="_Toc14195_WPSOffice_Level1"/>
      <w:r>
        <w:rPr>
          <w:rFonts w:hint="eastAsia" w:ascii="宋体" w:hAnsi="宋体" w:eastAsia="宋体" w:cs="宋体"/>
          <w:color w:val="auto"/>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bidi="ar"/>
        </w:rPr>
        <w:t>（单位名称）</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u w:val="single"/>
          <w:lang w:bidi="ar"/>
        </w:rPr>
        <w:t>（项目名称）</w:t>
      </w:r>
      <w:r>
        <w:rPr>
          <w:rFonts w:hint="eastAsia" w:ascii="宋体" w:hAnsi="宋体" w:eastAsia="宋体" w:cs="宋体"/>
          <w:color w:val="auto"/>
          <w:sz w:val="24"/>
          <w:szCs w:val="24"/>
          <w:highlight w:val="none"/>
          <w:lang w:bidi="ar"/>
        </w:rPr>
        <w:t>采购活动，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1. </w:t>
      </w:r>
      <w:r>
        <w:rPr>
          <w:rFonts w:hint="eastAsia" w:ascii="宋体" w:hAnsi="宋体" w:eastAsia="宋体" w:cs="宋体"/>
          <w:color w:val="auto"/>
          <w:sz w:val="24"/>
          <w:szCs w:val="24"/>
          <w:highlight w:val="none"/>
          <w:u w:val="single"/>
          <w:lang w:bidi="ar"/>
        </w:rPr>
        <w:t xml:space="preserve">（标的名称）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（采购文件中明确的所属行业）</w:t>
      </w:r>
      <w:r>
        <w:rPr>
          <w:rFonts w:hint="eastAsia" w:ascii="宋体" w:hAnsi="宋体" w:eastAsia="宋体" w:cs="宋体"/>
          <w:color w:val="auto"/>
          <w:sz w:val="24"/>
          <w:szCs w:val="24"/>
          <w:highlight w:val="none"/>
          <w:lang w:bidi="ar"/>
        </w:rPr>
        <w:t>；承建（承接）企业为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 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2. </w:t>
      </w:r>
      <w:r>
        <w:rPr>
          <w:rFonts w:hint="eastAsia" w:ascii="宋体" w:hAnsi="宋体" w:eastAsia="宋体" w:cs="宋体"/>
          <w:color w:val="auto"/>
          <w:sz w:val="24"/>
          <w:szCs w:val="24"/>
          <w:highlight w:val="none"/>
          <w:u w:val="single"/>
          <w:lang w:bidi="ar"/>
        </w:rPr>
        <w:t xml:space="preserve">（标的名称）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（采购文件中明确的所属行业）</w:t>
      </w:r>
      <w:r>
        <w:rPr>
          <w:rFonts w:hint="eastAsia" w:ascii="宋体" w:hAnsi="宋体" w:eastAsia="宋体" w:cs="宋体"/>
          <w:color w:val="auto"/>
          <w:sz w:val="24"/>
          <w:szCs w:val="24"/>
          <w:highlight w:val="none"/>
          <w:lang w:bidi="ar"/>
        </w:rPr>
        <w:t>；承建（承接）企业为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 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本企业对上述声明内容的真实性负责。如有虚假，将依法承担相应责任。 </w:t>
      </w:r>
    </w:p>
    <w:p>
      <w:pPr>
        <w:widowControl/>
        <w:spacing w:line="360" w:lineRule="auto"/>
        <w:ind w:firstLine="3840" w:firstLineChars="1600"/>
        <w:jc w:val="left"/>
        <w:rPr>
          <w:rFonts w:hint="eastAsia" w:ascii="宋体" w:hAnsi="宋体" w:eastAsia="宋体" w:cs="宋体"/>
          <w:color w:val="auto"/>
          <w:sz w:val="24"/>
          <w:szCs w:val="24"/>
          <w:highlight w:val="none"/>
          <w:lang w:bidi="ar"/>
        </w:rPr>
      </w:pPr>
    </w:p>
    <w:p>
      <w:pPr>
        <w:widowControl/>
        <w:spacing w:line="360" w:lineRule="auto"/>
        <w:ind w:firstLine="3840" w:firstLineChars="1600"/>
        <w:jc w:val="left"/>
        <w:rPr>
          <w:rFonts w:hint="eastAsia" w:ascii="宋体" w:hAnsi="宋体" w:eastAsia="宋体" w:cs="宋体"/>
          <w:color w:val="auto"/>
          <w:sz w:val="24"/>
          <w:szCs w:val="24"/>
          <w:highlight w:val="none"/>
          <w:lang w:bidi="ar"/>
        </w:rPr>
      </w:pPr>
      <w:r>
        <w:rPr>
          <w:rFonts w:hint="eastAsia" w:ascii="宋体" w:hAnsi="宋体" w:cs="宋体"/>
          <w:color w:val="auto"/>
          <w:sz w:val="24"/>
          <w:szCs w:val="24"/>
          <w:highlight w:val="none"/>
          <w:lang w:val="en-US" w:eastAsia="zh-CN" w:bidi="ar"/>
        </w:rPr>
        <w:t>投标单位</w:t>
      </w:r>
      <w:r>
        <w:rPr>
          <w:rFonts w:hint="eastAsia" w:ascii="宋体" w:hAnsi="宋体" w:eastAsia="宋体" w:cs="宋体"/>
          <w:color w:val="auto"/>
          <w:sz w:val="24"/>
          <w:szCs w:val="24"/>
          <w:highlight w:val="none"/>
          <w:lang w:bidi="ar"/>
        </w:rPr>
        <w:t xml:space="preserve">（盖章）： </w:t>
      </w:r>
    </w:p>
    <w:p>
      <w:pPr>
        <w:widowControl/>
        <w:spacing w:line="360" w:lineRule="auto"/>
        <w:ind w:firstLine="3840" w:firstLineChars="16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日 期： </w:t>
      </w: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keepNext w:val="0"/>
        <w:keepLines w:val="0"/>
        <w:pageBreakBefore w:val="0"/>
        <w:kinsoku/>
        <w:overflowPunct/>
        <w:topLinePunct w:val="0"/>
        <w:autoSpaceDE/>
        <w:autoSpaceDN/>
        <w:bidi w:val="0"/>
        <w:adjustRightInd/>
        <w:snapToGrid/>
        <w:spacing w:line="400" w:lineRule="exact"/>
        <w:ind w:right="0" w:firstLine="58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本项目为专门面向中小微企业（含中型、小型、微型企业）采购项目，本项目对应中小企业划分标准所属行业为</w:t>
      </w:r>
      <w:r>
        <w:rPr>
          <w:rFonts w:hint="eastAsia" w:ascii="仿宋" w:hAnsi="仿宋" w:eastAsia="仿宋" w:cs="仿宋"/>
          <w:b/>
          <w:bCs/>
          <w:color w:val="auto"/>
          <w:spacing w:val="6"/>
          <w:sz w:val="28"/>
          <w:szCs w:val="28"/>
          <w:highlight w:val="none"/>
          <w:lang w:val="en-US" w:eastAsia="zh-CN"/>
        </w:rPr>
        <w:t>其他未列明行</w:t>
      </w:r>
      <w:r>
        <w:rPr>
          <w:rFonts w:hint="eastAsia" w:ascii="仿宋" w:hAnsi="仿宋" w:eastAsia="仿宋" w:cs="仿宋"/>
          <w:b/>
          <w:bCs/>
          <w:color w:val="auto"/>
          <w:spacing w:val="6"/>
          <w:sz w:val="28"/>
          <w:szCs w:val="28"/>
          <w:highlight w:val="none"/>
        </w:rPr>
        <w:t>业，供应商须按格式要求真实填报并提供中小企业声明函，未提供者视为不响应招标文件资格要求，</w:t>
      </w:r>
      <w:r>
        <w:rPr>
          <w:rFonts w:hint="eastAsia" w:ascii="仿宋" w:hAnsi="仿宋" w:eastAsia="仿宋" w:cs="仿宋"/>
          <w:b/>
          <w:bCs/>
          <w:color w:val="auto"/>
          <w:spacing w:val="6"/>
          <w:sz w:val="28"/>
          <w:szCs w:val="28"/>
          <w:highlight w:val="none"/>
          <w:lang w:val="en-US" w:eastAsia="zh-CN"/>
        </w:rPr>
        <w:t>评标时不予认可</w:t>
      </w:r>
      <w:r>
        <w:rPr>
          <w:rFonts w:hint="eastAsia" w:ascii="仿宋" w:hAnsi="仿宋" w:eastAsia="仿宋" w:cs="仿宋"/>
          <w:b/>
          <w:bCs/>
          <w:color w:val="auto"/>
          <w:spacing w:val="6"/>
          <w:sz w:val="28"/>
          <w:szCs w:val="28"/>
          <w:highlight w:val="none"/>
        </w:rPr>
        <w:t>！</w:t>
      </w: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残疾人福利性单位声明函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如是</w:t>
      </w:r>
      <w:r>
        <w:rPr>
          <w:rFonts w:hint="eastAsia" w:ascii="宋体" w:hAnsi="宋体" w:eastAsia="宋体" w:cs="宋体"/>
          <w:b/>
          <w:bCs/>
          <w:color w:val="auto"/>
          <w:sz w:val="28"/>
          <w:szCs w:val="28"/>
          <w:highlight w:val="none"/>
          <w:lang w:eastAsia="zh-CN"/>
        </w:rPr>
        <w:t>）</w:t>
      </w:r>
    </w:p>
    <w:p>
      <w:pPr>
        <w:pStyle w:val="10"/>
        <w:rPr>
          <w:rFonts w:hint="eastAsia"/>
          <w:color w:val="auto"/>
          <w:highlight w:val="none"/>
          <w:lang w:eastAsia="zh-CN"/>
        </w:rPr>
      </w:pPr>
    </w:p>
    <w:p>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(填写:符合或不符合)条件的残疾人福利性单位，且本单位参加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本公司对上述声明的真实性负责。如有虚假，将按照提供虚假投标材料处理。</w:t>
      </w:r>
    </w:p>
    <w:p>
      <w:pPr>
        <w:snapToGrid w:val="0"/>
        <w:spacing w:line="360" w:lineRule="auto"/>
        <w:rPr>
          <w:rFonts w:hint="eastAsia" w:ascii="宋体" w:hAnsi="宋体" w:eastAsia="宋体" w:cs="宋体"/>
          <w:b/>
          <w:color w:val="auto"/>
          <w:sz w:val="24"/>
          <w:szCs w:val="24"/>
          <w:highlight w:val="none"/>
        </w:rPr>
      </w:pP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：（加盖公章）</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4"/>
          <w:szCs w:val="24"/>
          <w:highlight w:val="none"/>
        </w:rPr>
        <w:t>注：残疾人福利性单位视同小型、微型企业，享受预留份额、评审中价格扣除等促进中小企业发展的政府采购政策。残疾人福利性单位属于小型、微型企</w:t>
      </w:r>
      <w:r>
        <w:rPr>
          <w:rFonts w:hint="eastAsia" w:ascii="宋体" w:hAnsi="宋体" w:eastAsia="宋体" w:cs="宋体"/>
          <w:bCs/>
          <w:color w:val="auto"/>
          <w:sz w:val="21"/>
          <w:highlight w:val="none"/>
        </w:rPr>
        <w:t>业的，不重复享受政策。投标人为非残疾人福利性单位的，可不提供此声明。</w:t>
      </w: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both"/>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监狱企业声明函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如是</w:t>
      </w:r>
      <w:r>
        <w:rPr>
          <w:rFonts w:hint="eastAsia" w:ascii="宋体" w:hAnsi="宋体" w:eastAsia="宋体" w:cs="宋体"/>
          <w:b/>
          <w:bCs/>
          <w:color w:val="auto"/>
          <w:sz w:val="28"/>
          <w:szCs w:val="28"/>
          <w:highlight w:val="none"/>
          <w:lang w:eastAsia="zh-CN"/>
        </w:rPr>
        <w:t>）</w:t>
      </w:r>
    </w:p>
    <w:p>
      <w:pPr>
        <w:tabs>
          <w:tab w:val="left" w:pos="1134"/>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本公司郑重声明，根据《政府采购支持监狱企业发展有关问题的通知》（财库〔2014〕68号）的规定，本公司______（请填写：“是” 或 “不是”）监狱企业。即，本公司满足以下条件：</w:t>
      </w:r>
    </w:p>
    <w:p>
      <w:pPr>
        <w:tabs>
          <w:tab w:val="left" w:pos="0"/>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根据《工业和信息化部、国家统计局、国家发展和改革委员会、财政部关于印发中小企业划型标准规定的通知》（工信部联企业[2011]300号）规定的划分标准，本公司为______（请填写：“是” 或 “不是”）监狱企业。</w:t>
      </w:r>
    </w:p>
    <w:p>
      <w:pPr>
        <w:tabs>
          <w:tab w:val="left" w:pos="1134"/>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本公司参加本次</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活动提供本企业制造的货物及服务，由本企业承担工程、提供服务。</w:t>
      </w:r>
    </w:p>
    <w:p>
      <w:pPr>
        <w:tabs>
          <w:tab w:val="left" w:pos="1134"/>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本公司对上述声明的真实性负责。如有虚假，将按照提供虚假投标材料处理。</w:t>
      </w:r>
    </w:p>
    <w:p>
      <w:pPr>
        <w:tabs>
          <w:tab w:val="left" w:pos="3969"/>
        </w:tabs>
        <w:snapToGrid w:val="0"/>
        <w:spacing w:line="360" w:lineRule="auto"/>
        <w:ind w:right="-58"/>
        <w:jc w:val="left"/>
        <w:rPr>
          <w:rFonts w:hint="eastAsia" w:ascii="宋体" w:hAnsi="宋体" w:eastAsia="宋体" w:cs="宋体"/>
          <w:color w:val="auto"/>
          <w:spacing w:val="6"/>
          <w:sz w:val="24"/>
          <w:szCs w:val="24"/>
          <w:highlight w:val="none"/>
        </w:rPr>
      </w:pP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：（加盖公章）</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spacing w:line="360" w:lineRule="auto"/>
        <w:ind w:firstLine="480" w:firstLineChars="200"/>
        <w:rPr>
          <w:rFonts w:hint="eastAsia" w:ascii="宋体" w:hAnsi="宋体" w:eastAsia="宋体" w:cs="宋体"/>
          <w:color w:val="auto"/>
          <w:sz w:val="24"/>
          <w:szCs w:val="24"/>
          <w:highlight w:val="none"/>
        </w:rPr>
      </w:pPr>
    </w:p>
    <w:p>
      <w:pPr>
        <w:pStyle w:val="25"/>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pacing w:val="6"/>
          <w:sz w:val="24"/>
          <w:szCs w:val="24"/>
          <w:highlight w:val="none"/>
        </w:rPr>
        <w:t>注：1.</w:t>
      </w:r>
      <w:r>
        <w:rPr>
          <w:rFonts w:hint="eastAsia" w:ascii="宋体" w:hAnsi="宋体" w:eastAsia="宋体" w:cs="宋体"/>
          <w:bCs/>
          <w:color w:val="auto"/>
          <w:sz w:val="24"/>
          <w:szCs w:val="24"/>
          <w:highlight w:val="none"/>
        </w:rPr>
        <w:t>如投标人为大型企业或未提供中小企业（监狱企业）声明函的，则其投标产品中的小型、微型企业生产的产品不能享受招标文件规定的价格扣除，但不影响投标人投标文件的有效性。</w:t>
      </w:r>
    </w:p>
    <w:p>
      <w:pPr>
        <w:pStyle w:val="25"/>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5"/>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pStyle w:val="25"/>
        <w:rPr>
          <w:rFonts w:hint="eastAsia" w:ascii="宋体" w:hAnsi="宋体" w:eastAsia="宋体" w:cs="宋体"/>
          <w:b/>
          <w:color w:val="auto"/>
          <w:sz w:val="21"/>
          <w:highlight w:val="none"/>
        </w:rPr>
      </w:pPr>
    </w:p>
    <w:p>
      <w:pPr>
        <w:pStyle w:val="25"/>
        <w:rPr>
          <w:rFonts w:hint="eastAsia" w:ascii="宋体" w:hAnsi="宋体" w:eastAsia="宋体" w:cs="宋体"/>
          <w:b/>
          <w:color w:val="auto"/>
          <w:sz w:val="21"/>
          <w:highlight w:val="none"/>
        </w:rPr>
      </w:pPr>
    </w:p>
    <w:p>
      <w:pPr>
        <w:pStyle w:val="25"/>
        <w:rPr>
          <w:rFonts w:hint="eastAsia" w:ascii="宋体" w:hAnsi="宋体" w:eastAsia="宋体" w:cs="宋体"/>
          <w:b/>
          <w:color w:val="auto"/>
          <w:sz w:val="21"/>
          <w:highlight w:val="none"/>
        </w:rPr>
      </w:pPr>
    </w:p>
    <w:bookmarkEnd w:id="186"/>
    <w:bookmarkEnd w:id="187"/>
    <w:bookmarkEnd w:id="188"/>
    <w:bookmarkEnd w:id="189"/>
    <w:p>
      <w:pPr>
        <w:pStyle w:val="58"/>
        <w:keepNext/>
        <w:keepLines/>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宋体" w:hAnsi="宋体" w:eastAsia="宋体" w:cs="宋体"/>
          <w:b/>
          <w:bCs/>
          <w:color w:val="auto"/>
          <w:kern w:val="2"/>
          <w:sz w:val="28"/>
          <w:szCs w:val="32"/>
          <w:highlight w:val="none"/>
          <w:lang w:val="en-US" w:eastAsia="zh-CN" w:bidi="ar-SA"/>
        </w:rPr>
      </w:pPr>
      <w:r>
        <w:rPr>
          <w:rFonts w:hint="eastAsia" w:ascii="宋体" w:hAnsi="宋体" w:eastAsia="宋体" w:cs="宋体"/>
          <w:b/>
          <w:bCs w:val="0"/>
          <w:color w:val="auto"/>
          <w:kern w:val="2"/>
          <w:sz w:val="30"/>
          <w:szCs w:val="30"/>
          <w:highlight w:val="none"/>
          <w:lang w:val="en-US" w:eastAsia="zh-CN" w:bidi="ar-SA"/>
        </w:rPr>
        <w:t>16</w:t>
      </w:r>
      <w:r>
        <w:rPr>
          <w:rFonts w:hint="eastAsia" w:ascii="宋体" w:hAnsi="宋体" w:eastAsia="宋体" w:cs="宋体"/>
          <w:b/>
          <w:bCs w:val="0"/>
          <w:color w:val="auto"/>
          <w:kern w:val="2"/>
          <w:sz w:val="30"/>
          <w:szCs w:val="30"/>
          <w:highlight w:val="none"/>
          <w:lang w:val="zh-CN" w:eastAsia="zh-CN" w:bidi="ar-SA"/>
        </w:rPr>
        <w:t>、项目负责人简历表及拟投入本项目主要成员表</w:t>
      </w:r>
    </w:p>
    <w:p>
      <w:pPr>
        <w:pageBreakBefore w:val="0"/>
        <w:widowControl w:val="0"/>
        <w:wordWrap/>
        <w:topLinePunct w:val="0"/>
        <w:bidi w:val="0"/>
        <w:spacing w:line="240" w:lineRule="auto"/>
        <w:jc w:val="center"/>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1、项目负责人简历表</w:t>
      </w:r>
    </w:p>
    <w:tbl>
      <w:tblPr>
        <w:tblStyle w:val="20"/>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主要经历</w:t>
            </w: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bl>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2、拟投入本项目的主要成员表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序号</w:t>
            </w:r>
          </w:p>
        </w:tc>
        <w:tc>
          <w:tcPr>
            <w:tcW w:w="133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姓名</w:t>
            </w:r>
          </w:p>
        </w:tc>
        <w:tc>
          <w:tcPr>
            <w:tcW w:w="204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性别</w:t>
            </w:r>
          </w:p>
        </w:tc>
        <w:tc>
          <w:tcPr>
            <w:tcW w:w="1939"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职称</w:t>
            </w:r>
          </w:p>
        </w:tc>
        <w:tc>
          <w:tcPr>
            <w:tcW w:w="1799"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岗位</w:t>
            </w:r>
          </w:p>
        </w:tc>
        <w:tc>
          <w:tcPr>
            <w:tcW w:w="2006"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1</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2</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3</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bl>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p>
      <w:pPr>
        <w:pageBreakBefore w:val="0"/>
        <w:widowControl w:val="0"/>
        <w:wordWrap/>
        <w:topLinePunct w:val="0"/>
        <w:bidi w:val="0"/>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注：后附人员相关资格证书复印件。</w:t>
      </w:r>
    </w:p>
    <w:p>
      <w:pPr>
        <w:pageBreakBefore w:val="0"/>
        <w:widowControl w:val="0"/>
        <w:wordWrap/>
        <w:topLinePunct w:val="0"/>
        <w:bidi w:val="0"/>
        <w:ind w:firstLine="480" w:firstLineChars="200"/>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本</w:t>
      </w:r>
      <w:r>
        <w:rPr>
          <w:rFonts w:hint="eastAsia" w:ascii="宋体" w:hAnsi="宋体" w:cs="宋体"/>
          <w:b w:val="0"/>
          <w:bCs w:val="0"/>
          <w:color w:val="auto"/>
          <w:kern w:val="2"/>
          <w:sz w:val="24"/>
          <w:szCs w:val="20"/>
          <w:highlight w:val="none"/>
          <w:lang w:val="en-US" w:eastAsia="zh-CN" w:bidi="ar-SA"/>
        </w:rPr>
        <w:t>项目</w:t>
      </w:r>
      <w:r>
        <w:rPr>
          <w:rFonts w:hint="eastAsia" w:ascii="宋体" w:hAnsi="宋体" w:eastAsia="宋体" w:cs="宋体"/>
          <w:b w:val="0"/>
          <w:bCs w:val="0"/>
          <w:color w:val="auto"/>
          <w:kern w:val="2"/>
          <w:sz w:val="24"/>
          <w:szCs w:val="20"/>
          <w:highlight w:val="none"/>
          <w:lang w:val="en-US" w:eastAsia="zh-CN" w:bidi="ar-SA"/>
        </w:rPr>
        <w:t xml:space="preserve">一旦我单位中标，将配备上述项目管理人员。上述填报内容真实，如不真实，将按照有关规定接受处理。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b w:val="0"/>
          <w:bCs w:val="0"/>
          <w:color w:val="auto"/>
          <w:kern w:val="2"/>
          <w:sz w:val="24"/>
          <w:szCs w:val="20"/>
          <w:highlight w:val="none"/>
          <w:lang w:val="en-US" w:eastAsia="zh-CN" w:bidi="ar-SA"/>
        </w:rPr>
        <w:t xml:space="preserve">  投标单位：                        （公章） </w:t>
      </w:r>
    </w:p>
    <w:p>
      <w:pPr>
        <w:pageBreakBefore w:val="0"/>
        <w:widowControl w:val="0"/>
        <w:wordWrap/>
        <w:topLinePunct w:val="0"/>
        <w:bidi w:val="0"/>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color w:val="auto"/>
          <w:sz w:val="28"/>
          <w:szCs w:val="28"/>
          <w:highlight w:val="none"/>
        </w:rPr>
        <w:t xml:space="preserve"> </w:t>
      </w:r>
      <w:r>
        <w:rPr>
          <w:rFonts w:hint="eastAsia" w:ascii="宋体" w:hAnsi="宋体" w:eastAsia="宋体" w:cs="宋体"/>
          <w:b w:val="0"/>
          <w:bCs w:val="0"/>
          <w:color w:val="auto"/>
          <w:kern w:val="2"/>
          <w:sz w:val="24"/>
          <w:szCs w:val="20"/>
          <w:highlight w:val="none"/>
          <w:lang w:val="en-US" w:eastAsia="zh-CN" w:bidi="ar-SA"/>
        </w:rPr>
        <w:t xml:space="preserve"> 法定代表人或授权代表人（签字）：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val="0"/>
          <w:bCs w:val="0"/>
          <w:color w:val="auto"/>
          <w:kern w:val="2"/>
          <w:sz w:val="24"/>
          <w:szCs w:val="20"/>
          <w:highlight w:val="none"/>
          <w:lang w:val="en-US" w:eastAsia="zh-CN" w:bidi="ar-SA"/>
        </w:rPr>
        <w:t>投标日期：</w:t>
      </w:r>
    </w:p>
    <w:p>
      <w:pPr>
        <w:spacing w:line="360" w:lineRule="auto"/>
        <w:jc w:val="center"/>
        <w:rPr>
          <w:rFonts w:hint="eastAsia" w:ascii="宋体" w:hAnsi="宋体" w:cs="宋体"/>
          <w:b/>
          <w:bCs w:val="0"/>
          <w:color w:val="auto"/>
          <w:kern w:val="2"/>
          <w:sz w:val="30"/>
          <w:szCs w:val="30"/>
          <w:highlight w:val="none"/>
          <w:lang w:val="en-US" w:eastAsia="zh-CN" w:bidi="ar-SA"/>
        </w:rPr>
      </w:pPr>
    </w:p>
    <w:p>
      <w:pPr>
        <w:spacing w:line="360" w:lineRule="auto"/>
        <w:jc w:val="center"/>
        <w:rPr>
          <w:rFonts w:hint="eastAsia" w:ascii="宋体" w:hAnsi="宋体" w:cs="宋体"/>
          <w:b/>
          <w:bCs w:val="0"/>
          <w:color w:val="auto"/>
          <w:kern w:val="2"/>
          <w:sz w:val="30"/>
          <w:szCs w:val="30"/>
          <w:highlight w:val="none"/>
          <w:lang w:val="en-US" w:eastAsia="zh-CN" w:bidi="ar-SA"/>
        </w:rPr>
      </w:pPr>
    </w:p>
    <w:p>
      <w:pPr>
        <w:spacing w:line="360" w:lineRule="auto"/>
        <w:jc w:val="center"/>
        <w:rPr>
          <w:rFonts w:hint="eastAsia" w:ascii="宋体" w:hAnsi="宋体" w:cs="宋体"/>
          <w:b/>
          <w:bCs w:val="0"/>
          <w:color w:val="auto"/>
          <w:kern w:val="2"/>
          <w:sz w:val="30"/>
          <w:szCs w:val="30"/>
          <w:highlight w:val="none"/>
          <w:lang w:val="en-US" w:eastAsia="zh-CN" w:bidi="ar-SA"/>
        </w:rPr>
      </w:pPr>
    </w:p>
    <w:p>
      <w:pPr>
        <w:spacing w:line="360" w:lineRule="auto"/>
        <w:jc w:val="center"/>
        <w:rPr>
          <w:rFonts w:hint="eastAsia" w:ascii="宋体" w:hAnsi="宋体" w:eastAsia="宋体" w:cs="宋体"/>
          <w:b/>
          <w:bCs w:val="0"/>
          <w:color w:val="auto"/>
          <w:kern w:val="2"/>
          <w:sz w:val="30"/>
          <w:szCs w:val="30"/>
          <w:highlight w:val="none"/>
          <w:lang w:val="en-US" w:eastAsia="zh-CN" w:bidi="ar-SA"/>
        </w:rPr>
      </w:pPr>
      <w:r>
        <w:rPr>
          <w:rFonts w:hint="eastAsia" w:ascii="宋体" w:hAnsi="宋体" w:cs="宋体"/>
          <w:b/>
          <w:bCs w:val="0"/>
          <w:color w:val="auto"/>
          <w:kern w:val="2"/>
          <w:sz w:val="30"/>
          <w:szCs w:val="30"/>
          <w:highlight w:val="none"/>
          <w:lang w:val="en-US" w:eastAsia="zh-CN" w:bidi="ar-SA"/>
        </w:rPr>
        <w:t>17</w:t>
      </w:r>
      <w:r>
        <w:rPr>
          <w:rFonts w:hint="eastAsia" w:ascii="宋体" w:hAnsi="宋体" w:eastAsia="宋体" w:cs="宋体"/>
          <w:b/>
          <w:bCs w:val="0"/>
          <w:color w:val="auto"/>
          <w:kern w:val="2"/>
          <w:sz w:val="30"/>
          <w:szCs w:val="30"/>
          <w:highlight w:val="none"/>
          <w:lang w:val="en-US" w:eastAsia="zh-CN" w:bidi="ar-SA"/>
        </w:rPr>
        <w:t>.供应商认为需要提供的其它资料</w:t>
      </w:r>
    </w:p>
    <w:p>
      <w:pPr>
        <w:pStyle w:val="5"/>
        <w:numPr>
          <w:ilvl w:val="0"/>
          <w:numId w:val="0"/>
        </w:numPr>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包括但不限于（</w:t>
      </w:r>
      <w:r>
        <w:rPr>
          <w:rFonts w:hint="eastAsia" w:ascii="宋体" w:hAnsi="宋体" w:eastAsia="宋体" w:cs="宋体"/>
          <w:color w:val="auto"/>
          <w:sz w:val="24"/>
          <w:szCs w:val="24"/>
          <w:highlight w:val="none"/>
          <w:lang w:eastAsia="zh-CN"/>
        </w:rPr>
        <w:t>具体详见评标标准</w:t>
      </w:r>
      <w:r>
        <w:rPr>
          <w:rFonts w:hint="eastAsia" w:ascii="宋体" w:hAnsi="宋体" w:eastAsia="宋体" w:cs="宋体"/>
          <w:color w:val="auto"/>
          <w:sz w:val="24"/>
          <w:szCs w:val="24"/>
          <w:highlight w:val="none"/>
        </w:rPr>
        <w:t>，否则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专家在评审时将不予采信</w:t>
      </w:r>
      <w:r>
        <w:rPr>
          <w:rFonts w:hint="eastAsia" w:ascii="宋体" w:hAnsi="宋体" w:eastAsia="宋体" w:cs="宋体"/>
          <w:b/>
          <w:bCs/>
          <w:color w:val="auto"/>
          <w:sz w:val="24"/>
          <w:szCs w:val="24"/>
          <w:highlight w:val="none"/>
          <w:lang w:eastAsia="zh-CN"/>
        </w:rPr>
        <w:t>）：</w:t>
      </w:r>
    </w:p>
    <w:p>
      <w:pPr>
        <w:spacing w:line="360" w:lineRule="auto"/>
        <w:ind w:right="640"/>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rPr>
        <w:t>投标人认为更有利于此次投标的其它资料</w:t>
      </w:r>
      <w:r>
        <w:rPr>
          <w:rFonts w:hint="eastAsia" w:ascii="宋体" w:hAnsi="宋体" w:eastAsia="宋体" w:cs="宋体"/>
          <w:color w:val="auto"/>
          <w:sz w:val="24"/>
          <w:szCs w:val="24"/>
          <w:highlight w:val="none"/>
          <w:lang w:eastAsia="zh-CN"/>
        </w:rPr>
        <w:t>；</w:t>
      </w:r>
    </w:p>
    <w:p>
      <w:pPr>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jc w:val="both"/>
        <w:outlineLvl w:val="9"/>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5"/>
        <w:spacing w:before="336" w:after="336"/>
        <w:ind w:left="105" w:hanging="105"/>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特别注意：</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请各供应商仔细阅读并理解磋商文件的相关说明，严格按照磋商文件要求制作响应文件，如未按要求提供相关材料及承诺，视为不响应竞争性磋商文件，做无效投标处理，</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1、供应商对所附表格中要求的资料和询问应做出肯定的回答。</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2、磋商文件的签字人应保证他所做的声明及对一切问题的回答的真实性和准确。</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3、供应商提供的响应文件将由采购人使用，并据此进行评价和判断，确定供应商的能力。</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4、供应商提交的文件将给予保密，但不退还。</w:t>
      </w: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color w:val="auto"/>
          <w:highlight w:val="none"/>
          <w:lang w:val="en-US" w:eastAsia="zh-CN"/>
        </w:rPr>
      </w:pPr>
    </w:p>
    <w:sectPr>
      <w:headerReference r:id="rId9" w:type="default"/>
      <w:footerReference r:id="rId10" w:type="default"/>
      <w:pgSz w:w="11905" w:h="16838"/>
      <w:pgMar w:top="1440" w:right="1797" w:bottom="1440" w:left="179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35</w:t>
                    </w:r>
                    <w:r>
                      <w:fldChar w:fldCharType="end"/>
                    </w:r>
                  </w:p>
                </w:txbxContent>
              </v:textbox>
            </v:shape>
          </w:pict>
        </mc:Fallback>
      </mc:AlternateContent>
    </w:r>
    <w:r>
      <w:rPr>
        <w:lang w:val="zh-CN"/>
      </w:rPr>
      <w:t xml:space="preserve">  </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3231F"/>
    <w:multiLevelType w:val="singleLevel"/>
    <w:tmpl w:val="B033231F"/>
    <w:lvl w:ilvl="0" w:tentative="0">
      <w:start w:val="11"/>
      <w:numFmt w:val="decimal"/>
      <w:suff w:val="nothing"/>
      <w:lvlText w:val="%1、"/>
      <w:lvlJc w:val="left"/>
    </w:lvl>
  </w:abstractNum>
  <w:abstractNum w:abstractNumId="1">
    <w:nsid w:val="CB66B541"/>
    <w:multiLevelType w:val="singleLevel"/>
    <w:tmpl w:val="CB66B541"/>
    <w:lvl w:ilvl="0" w:tentative="0">
      <w:start w:val="1"/>
      <w:numFmt w:val="decimal"/>
      <w:lvlText w:val="(%1)"/>
      <w:lvlJc w:val="left"/>
      <w:pPr>
        <w:ind w:left="425" w:hanging="425"/>
      </w:pPr>
      <w:rPr>
        <w:rFonts w:hint="default"/>
      </w:rPr>
    </w:lvl>
  </w:abstractNum>
  <w:abstractNum w:abstractNumId="2">
    <w:nsid w:val="D7A06E69"/>
    <w:multiLevelType w:val="singleLevel"/>
    <w:tmpl w:val="D7A06E69"/>
    <w:lvl w:ilvl="0" w:tentative="0">
      <w:start w:val="3"/>
      <w:numFmt w:val="chineseCounting"/>
      <w:suff w:val="space"/>
      <w:lvlText w:val="第%1章"/>
      <w:lvlJc w:val="left"/>
      <w:rPr>
        <w:rFonts w:hint="eastAsia"/>
      </w:rPr>
    </w:lvl>
  </w:abstractNum>
  <w:abstractNum w:abstractNumId="3">
    <w:nsid w:val="105C7470"/>
    <w:multiLevelType w:val="singleLevel"/>
    <w:tmpl w:val="105C7470"/>
    <w:lvl w:ilvl="0" w:tentative="0">
      <w:start w:val="1"/>
      <w:numFmt w:val="chineseCounting"/>
      <w:suff w:val="space"/>
      <w:lvlText w:val="第%1章"/>
      <w:lvlJc w:val="left"/>
      <w:rPr>
        <w:rFonts w:hint="eastAsia"/>
      </w:rPr>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BD48FB7"/>
    <w:multiLevelType w:val="singleLevel"/>
    <w:tmpl w:val="2BD48FB7"/>
    <w:lvl w:ilvl="0" w:tentative="0">
      <w:start w:val="1"/>
      <w:numFmt w:val="decimal"/>
      <w:suff w:val="nothing"/>
      <w:lvlText w:val="%1、"/>
      <w:lvlJc w:val="left"/>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YzYwZmE0ZDE2ZmQ5MGMyMDk4MGRhNTAzYjI4ZGQifQ=="/>
  </w:docVars>
  <w:rsids>
    <w:rsidRoot w:val="562A7F8C"/>
    <w:rsid w:val="001709D0"/>
    <w:rsid w:val="002102A4"/>
    <w:rsid w:val="00401BA3"/>
    <w:rsid w:val="006B390D"/>
    <w:rsid w:val="008764DD"/>
    <w:rsid w:val="00EB2A6A"/>
    <w:rsid w:val="0159301C"/>
    <w:rsid w:val="0167761B"/>
    <w:rsid w:val="017B56D8"/>
    <w:rsid w:val="01DC2A3E"/>
    <w:rsid w:val="02587777"/>
    <w:rsid w:val="02682574"/>
    <w:rsid w:val="026A06A9"/>
    <w:rsid w:val="026D46FD"/>
    <w:rsid w:val="027A281B"/>
    <w:rsid w:val="028C44B2"/>
    <w:rsid w:val="02D23086"/>
    <w:rsid w:val="02F948B2"/>
    <w:rsid w:val="032136EA"/>
    <w:rsid w:val="035A2D65"/>
    <w:rsid w:val="03EA7997"/>
    <w:rsid w:val="03F637F9"/>
    <w:rsid w:val="0437120C"/>
    <w:rsid w:val="0462650F"/>
    <w:rsid w:val="050C225F"/>
    <w:rsid w:val="052D3FE4"/>
    <w:rsid w:val="05551D4C"/>
    <w:rsid w:val="06383B48"/>
    <w:rsid w:val="06B10483"/>
    <w:rsid w:val="06D02789"/>
    <w:rsid w:val="06E52171"/>
    <w:rsid w:val="070856F4"/>
    <w:rsid w:val="0719587F"/>
    <w:rsid w:val="0728510B"/>
    <w:rsid w:val="073A569E"/>
    <w:rsid w:val="073E68E9"/>
    <w:rsid w:val="074C1DED"/>
    <w:rsid w:val="07C242FF"/>
    <w:rsid w:val="08117958"/>
    <w:rsid w:val="08387E2F"/>
    <w:rsid w:val="08850056"/>
    <w:rsid w:val="089A68B5"/>
    <w:rsid w:val="08CA31E9"/>
    <w:rsid w:val="08D47156"/>
    <w:rsid w:val="08E2169E"/>
    <w:rsid w:val="09383E5F"/>
    <w:rsid w:val="093942E6"/>
    <w:rsid w:val="095A3DD5"/>
    <w:rsid w:val="095B4169"/>
    <w:rsid w:val="09C5316B"/>
    <w:rsid w:val="09D35B05"/>
    <w:rsid w:val="09DA3F01"/>
    <w:rsid w:val="09F676EA"/>
    <w:rsid w:val="0AA74DF8"/>
    <w:rsid w:val="0AA779FC"/>
    <w:rsid w:val="0AE0655C"/>
    <w:rsid w:val="0B387018"/>
    <w:rsid w:val="0B50249F"/>
    <w:rsid w:val="0B8A37E6"/>
    <w:rsid w:val="0C0A52F6"/>
    <w:rsid w:val="0C210272"/>
    <w:rsid w:val="0C2B1A59"/>
    <w:rsid w:val="0C3C4ED9"/>
    <w:rsid w:val="0C434FF4"/>
    <w:rsid w:val="0C5E598A"/>
    <w:rsid w:val="0C803F2C"/>
    <w:rsid w:val="0CBC3F4A"/>
    <w:rsid w:val="0CC50EF3"/>
    <w:rsid w:val="0CD73F43"/>
    <w:rsid w:val="0CE27C09"/>
    <w:rsid w:val="0D673AAC"/>
    <w:rsid w:val="0D952B32"/>
    <w:rsid w:val="0DA567FA"/>
    <w:rsid w:val="0DC11EEC"/>
    <w:rsid w:val="0DC75B75"/>
    <w:rsid w:val="0E2230B3"/>
    <w:rsid w:val="0E224BE9"/>
    <w:rsid w:val="0E31014F"/>
    <w:rsid w:val="0E345BC0"/>
    <w:rsid w:val="0E611762"/>
    <w:rsid w:val="0E67321C"/>
    <w:rsid w:val="0ED6213E"/>
    <w:rsid w:val="0F03484A"/>
    <w:rsid w:val="0F182F7D"/>
    <w:rsid w:val="0FB73D2F"/>
    <w:rsid w:val="0FE92E3B"/>
    <w:rsid w:val="0FF07241"/>
    <w:rsid w:val="10237CB7"/>
    <w:rsid w:val="10396824"/>
    <w:rsid w:val="10407D3F"/>
    <w:rsid w:val="1066305F"/>
    <w:rsid w:val="10782A20"/>
    <w:rsid w:val="10B6067D"/>
    <w:rsid w:val="11093DA8"/>
    <w:rsid w:val="111331E7"/>
    <w:rsid w:val="111E3E94"/>
    <w:rsid w:val="112076B2"/>
    <w:rsid w:val="113A263D"/>
    <w:rsid w:val="11DC43DC"/>
    <w:rsid w:val="11DC6897"/>
    <w:rsid w:val="12135DC3"/>
    <w:rsid w:val="12295C3B"/>
    <w:rsid w:val="1271591D"/>
    <w:rsid w:val="127C6B6A"/>
    <w:rsid w:val="12D05D18"/>
    <w:rsid w:val="131D659F"/>
    <w:rsid w:val="132B1ABC"/>
    <w:rsid w:val="13462C73"/>
    <w:rsid w:val="134868DB"/>
    <w:rsid w:val="135B2C24"/>
    <w:rsid w:val="14FC1FEF"/>
    <w:rsid w:val="150B08E6"/>
    <w:rsid w:val="15364320"/>
    <w:rsid w:val="15FA4976"/>
    <w:rsid w:val="16111CBF"/>
    <w:rsid w:val="162278E8"/>
    <w:rsid w:val="163C29C8"/>
    <w:rsid w:val="163F7012"/>
    <w:rsid w:val="165B7F9E"/>
    <w:rsid w:val="166B0E3F"/>
    <w:rsid w:val="169311EC"/>
    <w:rsid w:val="16C831A6"/>
    <w:rsid w:val="172C29AE"/>
    <w:rsid w:val="17481711"/>
    <w:rsid w:val="177942EC"/>
    <w:rsid w:val="17982698"/>
    <w:rsid w:val="17E1744C"/>
    <w:rsid w:val="17F25099"/>
    <w:rsid w:val="18320317"/>
    <w:rsid w:val="183D6623"/>
    <w:rsid w:val="187A159E"/>
    <w:rsid w:val="18B43502"/>
    <w:rsid w:val="18D13137"/>
    <w:rsid w:val="19062F7F"/>
    <w:rsid w:val="19235F91"/>
    <w:rsid w:val="19332B35"/>
    <w:rsid w:val="193816C7"/>
    <w:rsid w:val="193F48D0"/>
    <w:rsid w:val="197B677C"/>
    <w:rsid w:val="199F0AAB"/>
    <w:rsid w:val="19A76508"/>
    <w:rsid w:val="19FF28E0"/>
    <w:rsid w:val="1A0575B6"/>
    <w:rsid w:val="1AC02E15"/>
    <w:rsid w:val="1AD35795"/>
    <w:rsid w:val="1AD41657"/>
    <w:rsid w:val="1AE5303E"/>
    <w:rsid w:val="1AF271EC"/>
    <w:rsid w:val="1BAB3904"/>
    <w:rsid w:val="1BCD3BEA"/>
    <w:rsid w:val="1C074B5F"/>
    <w:rsid w:val="1C686DDC"/>
    <w:rsid w:val="1CA84156"/>
    <w:rsid w:val="1CAB0F32"/>
    <w:rsid w:val="1CF05B1D"/>
    <w:rsid w:val="1D411F19"/>
    <w:rsid w:val="1D7902E3"/>
    <w:rsid w:val="1D910DE4"/>
    <w:rsid w:val="1D9531D6"/>
    <w:rsid w:val="1DD302FB"/>
    <w:rsid w:val="1E053244"/>
    <w:rsid w:val="1E2A5750"/>
    <w:rsid w:val="1E3B0933"/>
    <w:rsid w:val="1E4D0A1C"/>
    <w:rsid w:val="1E9A6699"/>
    <w:rsid w:val="1EDC4AED"/>
    <w:rsid w:val="1EF06916"/>
    <w:rsid w:val="1F177FE7"/>
    <w:rsid w:val="1F4D1FBA"/>
    <w:rsid w:val="1F5C3068"/>
    <w:rsid w:val="1F9749F8"/>
    <w:rsid w:val="1FB042F7"/>
    <w:rsid w:val="1FC102B2"/>
    <w:rsid w:val="20196052"/>
    <w:rsid w:val="203C020F"/>
    <w:rsid w:val="20403220"/>
    <w:rsid w:val="20651585"/>
    <w:rsid w:val="207639E7"/>
    <w:rsid w:val="209E60FD"/>
    <w:rsid w:val="20E93740"/>
    <w:rsid w:val="21607F04"/>
    <w:rsid w:val="21AF47B7"/>
    <w:rsid w:val="21EC4478"/>
    <w:rsid w:val="21FF3314"/>
    <w:rsid w:val="22133536"/>
    <w:rsid w:val="222B5EB7"/>
    <w:rsid w:val="22360A87"/>
    <w:rsid w:val="227D2BB6"/>
    <w:rsid w:val="22DD5403"/>
    <w:rsid w:val="230A637E"/>
    <w:rsid w:val="23230F2C"/>
    <w:rsid w:val="23812740"/>
    <w:rsid w:val="2386564E"/>
    <w:rsid w:val="24091CE0"/>
    <w:rsid w:val="242029A5"/>
    <w:rsid w:val="247578BD"/>
    <w:rsid w:val="24AB50AF"/>
    <w:rsid w:val="251A1B58"/>
    <w:rsid w:val="25453733"/>
    <w:rsid w:val="25755DF3"/>
    <w:rsid w:val="260E4558"/>
    <w:rsid w:val="260E7FC9"/>
    <w:rsid w:val="26450CC0"/>
    <w:rsid w:val="279E046E"/>
    <w:rsid w:val="27C61B43"/>
    <w:rsid w:val="27CC5A46"/>
    <w:rsid w:val="27F13B68"/>
    <w:rsid w:val="27F76C9B"/>
    <w:rsid w:val="282B4E63"/>
    <w:rsid w:val="282B6C11"/>
    <w:rsid w:val="28331991"/>
    <w:rsid w:val="28342D4D"/>
    <w:rsid w:val="28CF3E4A"/>
    <w:rsid w:val="28EE6106"/>
    <w:rsid w:val="28F16B8C"/>
    <w:rsid w:val="29362F86"/>
    <w:rsid w:val="294640EF"/>
    <w:rsid w:val="296970B4"/>
    <w:rsid w:val="296F6FD1"/>
    <w:rsid w:val="297E291D"/>
    <w:rsid w:val="297F2B8F"/>
    <w:rsid w:val="29D735AC"/>
    <w:rsid w:val="29DF65CD"/>
    <w:rsid w:val="2A23727D"/>
    <w:rsid w:val="2A302808"/>
    <w:rsid w:val="2A6A43BB"/>
    <w:rsid w:val="2AC05D36"/>
    <w:rsid w:val="2AF305AC"/>
    <w:rsid w:val="2AF96FA6"/>
    <w:rsid w:val="2B125E66"/>
    <w:rsid w:val="2B367DA6"/>
    <w:rsid w:val="2B5C5333"/>
    <w:rsid w:val="2B62002F"/>
    <w:rsid w:val="2BA469B4"/>
    <w:rsid w:val="2C0F23A5"/>
    <w:rsid w:val="2C11436F"/>
    <w:rsid w:val="2C1D4E6C"/>
    <w:rsid w:val="2C4016BA"/>
    <w:rsid w:val="2C4C0D6A"/>
    <w:rsid w:val="2C546920"/>
    <w:rsid w:val="2C596B02"/>
    <w:rsid w:val="2C6710BB"/>
    <w:rsid w:val="2C8C39F6"/>
    <w:rsid w:val="2C9E3E55"/>
    <w:rsid w:val="2CAB0320"/>
    <w:rsid w:val="2CD8378E"/>
    <w:rsid w:val="2CF67110"/>
    <w:rsid w:val="2CF82668"/>
    <w:rsid w:val="2D0A522F"/>
    <w:rsid w:val="2D312F83"/>
    <w:rsid w:val="2D4A5C64"/>
    <w:rsid w:val="2D7822FD"/>
    <w:rsid w:val="2DAA0AE3"/>
    <w:rsid w:val="2DB14B16"/>
    <w:rsid w:val="2DE3464D"/>
    <w:rsid w:val="2DE955A4"/>
    <w:rsid w:val="2E4418F4"/>
    <w:rsid w:val="2E4A4A48"/>
    <w:rsid w:val="2E574658"/>
    <w:rsid w:val="2E8850EF"/>
    <w:rsid w:val="2E944D6F"/>
    <w:rsid w:val="2E9E2416"/>
    <w:rsid w:val="2F3547AB"/>
    <w:rsid w:val="2F50619A"/>
    <w:rsid w:val="2F555E00"/>
    <w:rsid w:val="2F8B0851"/>
    <w:rsid w:val="2FD60E9E"/>
    <w:rsid w:val="30654F90"/>
    <w:rsid w:val="30860F27"/>
    <w:rsid w:val="31445BE6"/>
    <w:rsid w:val="31A57A34"/>
    <w:rsid w:val="31BA2CDF"/>
    <w:rsid w:val="31DE2CAD"/>
    <w:rsid w:val="31E85B0F"/>
    <w:rsid w:val="31EE7FAA"/>
    <w:rsid w:val="320846B6"/>
    <w:rsid w:val="32883C32"/>
    <w:rsid w:val="32A72C61"/>
    <w:rsid w:val="32AE36C9"/>
    <w:rsid w:val="32B048E2"/>
    <w:rsid w:val="337A66A2"/>
    <w:rsid w:val="34014CFA"/>
    <w:rsid w:val="34237336"/>
    <w:rsid w:val="34252DDB"/>
    <w:rsid w:val="34B8000E"/>
    <w:rsid w:val="353271C8"/>
    <w:rsid w:val="353725BB"/>
    <w:rsid w:val="35591701"/>
    <w:rsid w:val="3588593F"/>
    <w:rsid w:val="35F82812"/>
    <w:rsid w:val="362C39B2"/>
    <w:rsid w:val="37486F1C"/>
    <w:rsid w:val="375E6623"/>
    <w:rsid w:val="37B63D9B"/>
    <w:rsid w:val="37C85FF7"/>
    <w:rsid w:val="37F9363E"/>
    <w:rsid w:val="37FF3F7C"/>
    <w:rsid w:val="381709EA"/>
    <w:rsid w:val="385555E4"/>
    <w:rsid w:val="386812B7"/>
    <w:rsid w:val="38AC78FA"/>
    <w:rsid w:val="391A3A8C"/>
    <w:rsid w:val="395A55A8"/>
    <w:rsid w:val="39842625"/>
    <w:rsid w:val="398D703A"/>
    <w:rsid w:val="39BC7FB4"/>
    <w:rsid w:val="3A08060C"/>
    <w:rsid w:val="3A5C3116"/>
    <w:rsid w:val="3AAF4EC5"/>
    <w:rsid w:val="3AC609ED"/>
    <w:rsid w:val="3AD43138"/>
    <w:rsid w:val="3B390E5C"/>
    <w:rsid w:val="3B7566C9"/>
    <w:rsid w:val="3B8B4C6A"/>
    <w:rsid w:val="3BB645EB"/>
    <w:rsid w:val="3BD93295"/>
    <w:rsid w:val="3C687FDC"/>
    <w:rsid w:val="3C9963E7"/>
    <w:rsid w:val="3CBF558C"/>
    <w:rsid w:val="3CED04E1"/>
    <w:rsid w:val="3D3B6DEA"/>
    <w:rsid w:val="3D807426"/>
    <w:rsid w:val="3DB918E8"/>
    <w:rsid w:val="3DF013CD"/>
    <w:rsid w:val="3ED657B5"/>
    <w:rsid w:val="3EE12F99"/>
    <w:rsid w:val="3F41032E"/>
    <w:rsid w:val="3F5A4156"/>
    <w:rsid w:val="3FA26E4D"/>
    <w:rsid w:val="40110F35"/>
    <w:rsid w:val="404B7AD8"/>
    <w:rsid w:val="40762ABD"/>
    <w:rsid w:val="40812151"/>
    <w:rsid w:val="40A87283"/>
    <w:rsid w:val="40BC6B48"/>
    <w:rsid w:val="40CB42F5"/>
    <w:rsid w:val="40F57964"/>
    <w:rsid w:val="41026DD9"/>
    <w:rsid w:val="41294845"/>
    <w:rsid w:val="412F10C8"/>
    <w:rsid w:val="414779F7"/>
    <w:rsid w:val="415835B4"/>
    <w:rsid w:val="41860C38"/>
    <w:rsid w:val="41A12760"/>
    <w:rsid w:val="41A43131"/>
    <w:rsid w:val="41B20F4B"/>
    <w:rsid w:val="41D53177"/>
    <w:rsid w:val="421F36AF"/>
    <w:rsid w:val="423050F8"/>
    <w:rsid w:val="4286740D"/>
    <w:rsid w:val="42882328"/>
    <w:rsid w:val="42896C0B"/>
    <w:rsid w:val="42A14BDF"/>
    <w:rsid w:val="43207507"/>
    <w:rsid w:val="4364433D"/>
    <w:rsid w:val="436A51DA"/>
    <w:rsid w:val="437400BA"/>
    <w:rsid w:val="437A3B68"/>
    <w:rsid w:val="439711A6"/>
    <w:rsid w:val="43BE20C5"/>
    <w:rsid w:val="43D941C3"/>
    <w:rsid w:val="43F32881"/>
    <w:rsid w:val="44011C2D"/>
    <w:rsid w:val="4412096A"/>
    <w:rsid w:val="44D51F86"/>
    <w:rsid w:val="44E5395C"/>
    <w:rsid w:val="453B48F9"/>
    <w:rsid w:val="45407CA5"/>
    <w:rsid w:val="454E3F0A"/>
    <w:rsid w:val="456B1CC4"/>
    <w:rsid w:val="45892246"/>
    <w:rsid w:val="45947D5B"/>
    <w:rsid w:val="46230960"/>
    <w:rsid w:val="46404F54"/>
    <w:rsid w:val="465B093C"/>
    <w:rsid w:val="4695351C"/>
    <w:rsid w:val="469745E4"/>
    <w:rsid w:val="469750EF"/>
    <w:rsid w:val="46D33DC6"/>
    <w:rsid w:val="46D651B3"/>
    <w:rsid w:val="46DD20EA"/>
    <w:rsid w:val="46F33E69"/>
    <w:rsid w:val="474F720D"/>
    <w:rsid w:val="476A7BFA"/>
    <w:rsid w:val="477566A4"/>
    <w:rsid w:val="477A6F54"/>
    <w:rsid w:val="479539D4"/>
    <w:rsid w:val="47AB54FA"/>
    <w:rsid w:val="47E0660A"/>
    <w:rsid w:val="48021352"/>
    <w:rsid w:val="480A2692"/>
    <w:rsid w:val="481A666F"/>
    <w:rsid w:val="4883391C"/>
    <w:rsid w:val="490A4796"/>
    <w:rsid w:val="495B43A7"/>
    <w:rsid w:val="495C6361"/>
    <w:rsid w:val="497B39EA"/>
    <w:rsid w:val="49941E2F"/>
    <w:rsid w:val="4A4215A5"/>
    <w:rsid w:val="4A7A1352"/>
    <w:rsid w:val="4A7A7E0A"/>
    <w:rsid w:val="4A810B41"/>
    <w:rsid w:val="4AC91857"/>
    <w:rsid w:val="4AC92FA7"/>
    <w:rsid w:val="4AFE29E5"/>
    <w:rsid w:val="4B141867"/>
    <w:rsid w:val="4B3D4425"/>
    <w:rsid w:val="4B4E2A92"/>
    <w:rsid w:val="4B5333AE"/>
    <w:rsid w:val="4B6C333C"/>
    <w:rsid w:val="4BD56D10"/>
    <w:rsid w:val="4BF40E3E"/>
    <w:rsid w:val="4C191E51"/>
    <w:rsid w:val="4C1E305B"/>
    <w:rsid w:val="4C39311D"/>
    <w:rsid w:val="4CAA6BB8"/>
    <w:rsid w:val="4CC814AE"/>
    <w:rsid w:val="4D4569D0"/>
    <w:rsid w:val="4D62111E"/>
    <w:rsid w:val="4D697D65"/>
    <w:rsid w:val="4D7B33A4"/>
    <w:rsid w:val="4D9A6AF7"/>
    <w:rsid w:val="4DA33313"/>
    <w:rsid w:val="4DAE7CEA"/>
    <w:rsid w:val="4DD70B1D"/>
    <w:rsid w:val="4E065B01"/>
    <w:rsid w:val="4E3D66C3"/>
    <w:rsid w:val="4E504734"/>
    <w:rsid w:val="4E71109E"/>
    <w:rsid w:val="4E8D3B81"/>
    <w:rsid w:val="4EAC3D58"/>
    <w:rsid w:val="4ECC64F1"/>
    <w:rsid w:val="4EF32435"/>
    <w:rsid w:val="4F4122A3"/>
    <w:rsid w:val="4F50502B"/>
    <w:rsid w:val="4F912F4E"/>
    <w:rsid w:val="4FA15F89"/>
    <w:rsid w:val="4FB3211C"/>
    <w:rsid w:val="4FB40A26"/>
    <w:rsid w:val="4FCC21D8"/>
    <w:rsid w:val="50085EFE"/>
    <w:rsid w:val="501F0559"/>
    <w:rsid w:val="503D798F"/>
    <w:rsid w:val="504B134F"/>
    <w:rsid w:val="50545D49"/>
    <w:rsid w:val="50566012"/>
    <w:rsid w:val="50B11AF9"/>
    <w:rsid w:val="51074484"/>
    <w:rsid w:val="511D2CEB"/>
    <w:rsid w:val="51874DAF"/>
    <w:rsid w:val="51907B37"/>
    <w:rsid w:val="51A97CDA"/>
    <w:rsid w:val="51CE7817"/>
    <w:rsid w:val="52225B87"/>
    <w:rsid w:val="522307D5"/>
    <w:rsid w:val="5250430D"/>
    <w:rsid w:val="527077C5"/>
    <w:rsid w:val="527904B0"/>
    <w:rsid w:val="527B01B0"/>
    <w:rsid w:val="52A511EA"/>
    <w:rsid w:val="52CA29FF"/>
    <w:rsid w:val="52F7761E"/>
    <w:rsid w:val="5310474C"/>
    <w:rsid w:val="531E1297"/>
    <w:rsid w:val="5359231A"/>
    <w:rsid w:val="53DA1367"/>
    <w:rsid w:val="53EC5377"/>
    <w:rsid w:val="540D249E"/>
    <w:rsid w:val="542F58CA"/>
    <w:rsid w:val="54393681"/>
    <w:rsid w:val="54415B3F"/>
    <w:rsid w:val="54851C81"/>
    <w:rsid w:val="548E7A76"/>
    <w:rsid w:val="54B70C4B"/>
    <w:rsid w:val="54F6197A"/>
    <w:rsid w:val="5520724E"/>
    <w:rsid w:val="552E5A45"/>
    <w:rsid w:val="5568601F"/>
    <w:rsid w:val="558C3776"/>
    <w:rsid w:val="55BF3C5C"/>
    <w:rsid w:val="55EC0C4B"/>
    <w:rsid w:val="560F0609"/>
    <w:rsid w:val="562969FC"/>
    <w:rsid w:val="562A7F8C"/>
    <w:rsid w:val="56462975"/>
    <w:rsid w:val="565A420A"/>
    <w:rsid w:val="5689497F"/>
    <w:rsid w:val="569C6DA8"/>
    <w:rsid w:val="56C14289"/>
    <w:rsid w:val="57233025"/>
    <w:rsid w:val="5726041F"/>
    <w:rsid w:val="572B430E"/>
    <w:rsid w:val="572F5217"/>
    <w:rsid w:val="5739015C"/>
    <w:rsid w:val="57882E88"/>
    <w:rsid w:val="5799049A"/>
    <w:rsid w:val="58135565"/>
    <w:rsid w:val="585039A6"/>
    <w:rsid w:val="58552FA4"/>
    <w:rsid w:val="5870229A"/>
    <w:rsid w:val="58782BD5"/>
    <w:rsid w:val="58A72C94"/>
    <w:rsid w:val="58FE78A6"/>
    <w:rsid w:val="58FF717A"/>
    <w:rsid w:val="590E45F0"/>
    <w:rsid w:val="59631F0A"/>
    <w:rsid w:val="5965138D"/>
    <w:rsid w:val="59710010"/>
    <w:rsid w:val="59BB7545"/>
    <w:rsid w:val="5A1D6510"/>
    <w:rsid w:val="5AB04BD0"/>
    <w:rsid w:val="5AC4701D"/>
    <w:rsid w:val="5AC76EF3"/>
    <w:rsid w:val="5AC778C6"/>
    <w:rsid w:val="5B1F58B2"/>
    <w:rsid w:val="5B36565B"/>
    <w:rsid w:val="5B6B4F9B"/>
    <w:rsid w:val="5B935A55"/>
    <w:rsid w:val="5C6519EA"/>
    <w:rsid w:val="5C8C2897"/>
    <w:rsid w:val="5C9122C7"/>
    <w:rsid w:val="5C9E1265"/>
    <w:rsid w:val="5CA27028"/>
    <w:rsid w:val="5CB509FE"/>
    <w:rsid w:val="5D8A5C57"/>
    <w:rsid w:val="5DAD0036"/>
    <w:rsid w:val="5DDE3863"/>
    <w:rsid w:val="5E305A39"/>
    <w:rsid w:val="5E5D6E1D"/>
    <w:rsid w:val="5EC3487F"/>
    <w:rsid w:val="5EE55A30"/>
    <w:rsid w:val="5F0B3163"/>
    <w:rsid w:val="5F150FC9"/>
    <w:rsid w:val="5F2F20B1"/>
    <w:rsid w:val="5F3C2ED6"/>
    <w:rsid w:val="5F5C3B13"/>
    <w:rsid w:val="5F815C47"/>
    <w:rsid w:val="5F8A3AFF"/>
    <w:rsid w:val="5FA5395A"/>
    <w:rsid w:val="5FAD406B"/>
    <w:rsid w:val="5FCA54A8"/>
    <w:rsid w:val="5FDC6F72"/>
    <w:rsid w:val="60210F36"/>
    <w:rsid w:val="605007E5"/>
    <w:rsid w:val="60900E16"/>
    <w:rsid w:val="60A06F3C"/>
    <w:rsid w:val="60CB6DF2"/>
    <w:rsid w:val="610D33D4"/>
    <w:rsid w:val="61133E1C"/>
    <w:rsid w:val="611D0AE5"/>
    <w:rsid w:val="618C6696"/>
    <w:rsid w:val="61AD6F5F"/>
    <w:rsid w:val="61B229C5"/>
    <w:rsid w:val="61CB0541"/>
    <w:rsid w:val="620654F7"/>
    <w:rsid w:val="621771F3"/>
    <w:rsid w:val="62315E81"/>
    <w:rsid w:val="623C31ED"/>
    <w:rsid w:val="623F5A0E"/>
    <w:rsid w:val="625473BB"/>
    <w:rsid w:val="63090C47"/>
    <w:rsid w:val="63257984"/>
    <w:rsid w:val="63373080"/>
    <w:rsid w:val="635F53E5"/>
    <w:rsid w:val="63E95FE4"/>
    <w:rsid w:val="63EC5FEE"/>
    <w:rsid w:val="63F55E58"/>
    <w:rsid w:val="643A340B"/>
    <w:rsid w:val="64430863"/>
    <w:rsid w:val="64507A64"/>
    <w:rsid w:val="64836C73"/>
    <w:rsid w:val="65156747"/>
    <w:rsid w:val="65293A1E"/>
    <w:rsid w:val="65312228"/>
    <w:rsid w:val="65415CDA"/>
    <w:rsid w:val="656A1E1F"/>
    <w:rsid w:val="65713EE3"/>
    <w:rsid w:val="65B82D44"/>
    <w:rsid w:val="66073FA5"/>
    <w:rsid w:val="665A1E94"/>
    <w:rsid w:val="667C1E0A"/>
    <w:rsid w:val="66C23A0D"/>
    <w:rsid w:val="66F91D94"/>
    <w:rsid w:val="672D1422"/>
    <w:rsid w:val="67613F05"/>
    <w:rsid w:val="67672ABA"/>
    <w:rsid w:val="67902011"/>
    <w:rsid w:val="67EE1AA4"/>
    <w:rsid w:val="67F15564"/>
    <w:rsid w:val="68633A22"/>
    <w:rsid w:val="689618A9"/>
    <w:rsid w:val="68B91067"/>
    <w:rsid w:val="68CA296D"/>
    <w:rsid w:val="69201631"/>
    <w:rsid w:val="693115D2"/>
    <w:rsid w:val="69497468"/>
    <w:rsid w:val="69635503"/>
    <w:rsid w:val="69AE2D01"/>
    <w:rsid w:val="69BF0D46"/>
    <w:rsid w:val="69E06B54"/>
    <w:rsid w:val="69FF522C"/>
    <w:rsid w:val="6A192BBD"/>
    <w:rsid w:val="6A2C3B47"/>
    <w:rsid w:val="6A84490C"/>
    <w:rsid w:val="6B44040B"/>
    <w:rsid w:val="6B676E2D"/>
    <w:rsid w:val="6BC61B26"/>
    <w:rsid w:val="6C2E1DF8"/>
    <w:rsid w:val="6C6455FC"/>
    <w:rsid w:val="6C7A5A27"/>
    <w:rsid w:val="6C942977"/>
    <w:rsid w:val="6CDE55CC"/>
    <w:rsid w:val="6CDE7F2B"/>
    <w:rsid w:val="6CFF024E"/>
    <w:rsid w:val="6D25480D"/>
    <w:rsid w:val="6D38300F"/>
    <w:rsid w:val="6D3F3B91"/>
    <w:rsid w:val="6D40407E"/>
    <w:rsid w:val="6D404BA8"/>
    <w:rsid w:val="6D543AE1"/>
    <w:rsid w:val="6D5A1F06"/>
    <w:rsid w:val="6DA70DDE"/>
    <w:rsid w:val="6DFA54F2"/>
    <w:rsid w:val="6E0E1D04"/>
    <w:rsid w:val="6E162CF4"/>
    <w:rsid w:val="6E786D28"/>
    <w:rsid w:val="6EB365E5"/>
    <w:rsid w:val="6ED137D9"/>
    <w:rsid w:val="6EE113A4"/>
    <w:rsid w:val="6F656ED8"/>
    <w:rsid w:val="6F706EB8"/>
    <w:rsid w:val="6F7275A2"/>
    <w:rsid w:val="6F857F81"/>
    <w:rsid w:val="6F8C5177"/>
    <w:rsid w:val="6F9F54A8"/>
    <w:rsid w:val="6FE949B4"/>
    <w:rsid w:val="70264B58"/>
    <w:rsid w:val="70476728"/>
    <w:rsid w:val="705E388D"/>
    <w:rsid w:val="706D4930"/>
    <w:rsid w:val="70955189"/>
    <w:rsid w:val="71557E27"/>
    <w:rsid w:val="716534DB"/>
    <w:rsid w:val="719A4140"/>
    <w:rsid w:val="72055DFE"/>
    <w:rsid w:val="721E117B"/>
    <w:rsid w:val="722C2936"/>
    <w:rsid w:val="728A7852"/>
    <w:rsid w:val="728C7879"/>
    <w:rsid w:val="72E1371D"/>
    <w:rsid w:val="73094156"/>
    <w:rsid w:val="738B796F"/>
    <w:rsid w:val="73A51D13"/>
    <w:rsid w:val="73D809E1"/>
    <w:rsid w:val="73E6120B"/>
    <w:rsid w:val="7410790B"/>
    <w:rsid w:val="74153B95"/>
    <w:rsid w:val="742D50BB"/>
    <w:rsid w:val="7488316A"/>
    <w:rsid w:val="74956EB9"/>
    <w:rsid w:val="75023B78"/>
    <w:rsid w:val="752E0B23"/>
    <w:rsid w:val="753777CB"/>
    <w:rsid w:val="755F25E1"/>
    <w:rsid w:val="7561071A"/>
    <w:rsid w:val="756C40D1"/>
    <w:rsid w:val="757C6CA5"/>
    <w:rsid w:val="758D6003"/>
    <w:rsid w:val="75C64E50"/>
    <w:rsid w:val="75F4354A"/>
    <w:rsid w:val="76260573"/>
    <w:rsid w:val="762A3631"/>
    <w:rsid w:val="76404C02"/>
    <w:rsid w:val="767D4479"/>
    <w:rsid w:val="768D1F2A"/>
    <w:rsid w:val="772A05B7"/>
    <w:rsid w:val="772E4591"/>
    <w:rsid w:val="773F135E"/>
    <w:rsid w:val="775C1833"/>
    <w:rsid w:val="77943A8C"/>
    <w:rsid w:val="779C7CB1"/>
    <w:rsid w:val="77A47ED0"/>
    <w:rsid w:val="77B95D12"/>
    <w:rsid w:val="77C82254"/>
    <w:rsid w:val="780222F2"/>
    <w:rsid w:val="782D126E"/>
    <w:rsid w:val="78337FEA"/>
    <w:rsid w:val="783E034C"/>
    <w:rsid w:val="784C3D32"/>
    <w:rsid w:val="78562DAD"/>
    <w:rsid w:val="786E011D"/>
    <w:rsid w:val="79741FA4"/>
    <w:rsid w:val="799F6CA3"/>
    <w:rsid w:val="7A0702F5"/>
    <w:rsid w:val="7A3B2DFB"/>
    <w:rsid w:val="7ACB0136"/>
    <w:rsid w:val="7AEF46D7"/>
    <w:rsid w:val="7AFC10FC"/>
    <w:rsid w:val="7B0D1441"/>
    <w:rsid w:val="7B424295"/>
    <w:rsid w:val="7B547D85"/>
    <w:rsid w:val="7B9B6EAF"/>
    <w:rsid w:val="7BC166F1"/>
    <w:rsid w:val="7BC21E41"/>
    <w:rsid w:val="7C043DAD"/>
    <w:rsid w:val="7C4104B9"/>
    <w:rsid w:val="7C8415C1"/>
    <w:rsid w:val="7CEA232C"/>
    <w:rsid w:val="7D7B4C19"/>
    <w:rsid w:val="7D9B04C6"/>
    <w:rsid w:val="7DAC6C8A"/>
    <w:rsid w:val="7DB05507"/>
    <w:rsid w:val="7DD07777"/>
    <w:rsid w:val="7DDA1DE0"/>
    <w:rsid w:val="7DE7105B"/>
    <w:rsid w:val="7E135A3E"/>
    <w:rsid w:val="7E3B1D74"/>
    <w:rsid w:val="7E4016A1"/>
    <w:rsid w:val="7E42291F"/>
    <w:rsid w:val="7EA33A11"/>
    <w:rsid w:val="7EA9540C"/>
    <w:rsid w:val="7EBE544B"/>
    <w:rsid w:val="7EBF4B32"/>
    <w:rsid w:val="7ED226A6"/>
    <w:rsid w:val="7ED32EFE"/>
    <w:rsid w:val="7EDA54AB"/>
    <w:rsid w:val="7F032C71"/>
    <w:rsid w:val="7F4272AF"/>
    <w:rsid w:val="7F4A0FC0"/>
    <w:rsid w:val="7F8853F6"/>
    <w:rsid w:val="7F9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7">
    <w:name w:val="table of authorities"/>
    <w:basedOn w:val="1"/>
    <w:next w:val="1"/>
    <w:unhideWhenUsed/>
    <w:qFormat/>
    <w:uiPriority w:val="99"/>
    <w:pPr>
      <w:ind w:left="420" w:leftChars="200"/>
    </w:pPr>
  </w:style>
  <w:style w:type="paragraph" w:styleId="8">
    <w:name w:val="Body Text"/>
    <w:basedOn w:val="1"/>
    <w:next w:val="1"/>
    <w:qFormat/>
    <w:uiPriority w:val="0"/>
    <w:rPr>
      <w:rFonts w:ascii="Arial" w:hAnsi="Arial"/>
      <w:sz w:val="24"/>
    </w:rPr>
  </w:style>
  <w:style w:type="paragraph" w:styleId="9">
    <w:name w:val="Body Text Indent"/>
    <w:basedOn w:val="1"/>
    <w:next w:val="6"/>
    <w:qFormat/>
    <w:uiPriority w:val="0"/>
    <w:pPr>
      <w:ind w:firstLine="480"/>
    </w:pPr>
    <w:rPr>
      <w:rFonts w:ascii="宋体" w:hAnsi="宋体"/>
      <w:sz w:val="24"/>
    </w:rPr>
  </w:style>
  <w:style w:type="paragraph" w:styleId="10">
    <w:name w:val="Plain Text"/>
    <w:basedOn w:val="1"/>
    <w:next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footer"/>
    <w:basedOn w:val="1"/>
    <w:next w:val="1"/>
    <w:qFormat/>
    <w:uiPriority w:val="99"/>
    <w:pPr>
      <w:tabs>
        <w:tab w:val="center" w:pos="4153"/>
        <w:tab w:val="right" w:pos="8306"/>
      </w:tabs>
      <w:snapToGrid w:val="0"/>
      <w:jc w:val="left"/>
    </w:pPr>
    <w:rPr>
      <w:sz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6">
    <w:name w:val="footnote text"/>
    <w:basedOn w:val="1"/>
    <w:qFormat/>
    <w:uiPriority w:val="0"/>
    <w:pPr>
      <w:snapToGrid w:val="0"/>
      <w:jc w:val="left"/>
    </w:pPr>
    <w:rPr>
      <w:sz w:val="18"/>
    </w:rPr>
  </w:style>
  <w:style w:type="paragraph" w:styleId="17">
    <w:name w:val="Normal (Web)"/>
    <w:basedOn w:val="1"/>
    <w:next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Body Text First Indent"/>
    <w:basedOn w:val="8"/>
    <w:qFormat/>
    <w:uiPriority w:val="0"/>
    <w:pPr>
      <w:spacing w:after="120"/>
      <w:ind w:firstLine="420" w:firstLineChars="100"/>
    </w:pPr>
    <w:rPr>
      <w:rFonts w:eastAsia="宋体"/>
    </w:rPr>
  </w:style>
  <w:style w:type="paragraph" w:styleId="19">
    <w:name w:val="Body Text First Indent 2"/>
    <w:basedOn w:val="9"/>
    <w:next w:val="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99"/>
    <w:rPr>
      <w:color w:val="000000"/>
      <w:u w:val="non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_Style 1"/>
    <w:qFormat/>
    <w:uiPriority w:val="0"/>
    <w:pPr>
      <w:widowControl w:val="0"/>
      <w:jc w:val="both"/>
    </w:pPr>
    <w:rPr>
      <w:rFonts w:ascii="Calibri" w:hAnsi="Calibri" w:eastAsia="宋体" w:cs="Times New Roman"/>
      <w:kern w:val="2"/>
      <w:sz w:val="21"/>
      <w:szCs w:val="22"/>
    </w:rPr>
  </w:style>
  <w:style w:type="paragraph" w:customStyle="1" w:styleId="27">
    <w:name w:val="正文首行缩进 21"/>
    <w:basedOn w:val="28"/>
    <w:qFormat/>
    <w:uiPriority w:val="0"/>
    <w:pPr>
      <w:ind w:firstLine="420" w:firstLineChars="200"/>
    </w:pPr>
  </w:style>
  <w:style w:type="paragraph" w:customStyle="1" w:styleId="28">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29">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30">
    <w:name w:val="NormalCharacter"/>
    <w:semiHidden/>
    <w:qFormat/>
    <w:uiPriority w:val="0"/>
  </w:style>
  <w:style w:type="paragraph" w:customStyle="1" w:styleId="31">
    <w:name w:val="1正文"/>
    <w:basedOn w:val="1"/>
    <w:qFormat/>
    <w:uiPriority w:val="0"/>
    <w:pPr>
      <w:ind w:left="-38"/>
      <w:textAlignment w:val="baseline"/>
    </w:pPr>
    <w:rPr>
      <w:rFonts w:ascii="宋体" w:hAnsi="宋体"/>
      <w:kern w:val="0"/>
      <w:sz w:val="24"/>
      <w:szCs w:val="20"/>
    </w:rPr>
  </w:style>
  <w:style w:type="paragraph" w:customStyle="1" w:styleId="32">
    <w:name w:val="列表_0"/>
    <w:basedOn w:val="33"/>
    <w:qFormat/>
    <w:uiPriority w:val="0"/>
    <w:pPr>
      <w:spacing w:afterAutospacing="1" w:line="360" w:lineRule="auto"/>
      <w:jc w:val="center"/>
    </w:pPr>
    <w:rPr>
      <w:rFonts w:ascii="宋体" w:hAnsi="宋体"/>
      <w:b/>
      <w:bCs/>
      <w:sz w:val="28"/>
      <w:szCs w:val="28"/>
    </w:rPr>
  </w:style>
  <w:style w:type="paragraph" w:customStyle="1" w:styleId="33">
    <w:name w:val="正文_15_0"/>
    <w:basedOn w:val="34"/>
    <w:next w:val="32"/>
    <w:qFormat/>
    <w:uiPriority w:val="0"/>
    <w:rPr>
      <w:rFonts w:ascii="Times New Roman" w:hAnsi="Times New Roman"/>
      <w:szCs w:val="21"/>
    </w:rPr>
  </w:style>
  <w:style w:type="paragraph" w:customStyle="1" w:styleId="34">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10_0"/>
    <w:basedOn w:val="22"/>
    <w:qFormat/>
    <w:uiPriority w:val="0"/>
    <w:rPr>
      <w:rFonts w:ascii="Times New Roman" w:hAnsi="Times New Roman" w:eastAsia="宋体" w:cs="Times New Roman"/>
    </w:rPr>
  </w:style>
  <w:style w:type="paragraph" w:customStyle="1" w:styleId="36">
    <w:name w:val="标题 3 + 宋体"/>
    <w:basedOn w:val="4"/>
    <w:qFormat/>
    <w:uiPriority w:val="0"/>
    <w:pPr>
      <w:spacing w:line="415" w:lineRule="auto"/>
      <w:jc w:val="both"/>
    </w:pPr>
    <w:rPr>
      <w:rFonts w:ascii="宋体" w:hAnsi="宋体" w:cs="Arial"/>
      <w:kern w:val="0"/>
      <w:sz w:val="28"/>
    </w:rPr>
  </w:style>
  <w:style w:type="paragraph" w:customStyle="1" w:styleId="37">
    <w:name w:val="Table Paragraph"/>
    <w:basedOn w:val="1"/>
    <w:qFormat/>
    <w:uiPriority w:val="1"/>
    <w:pPr>
      <w:jc w:val="center"/>
    </w:pPr>
    <w:rPr>
      <w:rFonts w:ascii="宋体" w:hAnsi="宋体" w:eastAsia="宋体" w:cs="宋体"/>
      <w:lang w:val="zh-CN" w:eastAsia="zh-CN" w:bidi="zh-CN"/>
    </w:rPr>
  </w:style>
  <w:style w:type="paragraph" w:customStyle="1" w:styleId="3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font01"/>
    <w:basedOn w:val="22"/>
    <w:qFormat/>
    <w:uiPriority w:val="0"/>
    <w:rPr>
      <w:rFonts w:hint="eastAsia" w:ascii="宋体" w:hAnsi="宋体" w:eastAsia="宋体" w:cs="宋体"/>
      <w:color w:val="000000"/>
      <w:sz w:val="22"/>
      <w:szCs w:val="22"/>
      <w:u w:val="none"/>
    </w:rPr>
  </w:style>
  <w:style w:type="character" w:customStyle="1" w:styleId="40">
    <w:name w:val="font41"/>
    <w:basedOn w:val="22"/>
    <w:qFormat/>
    <w:uiPriority w:val="0"/>
    <w:rPr>
      <w:rFonts w:ascii="Tahoma" w:hAnsi="Tahoma" w:eastAsia="Tahoma" w:cs="Tahoma"/>
      <w:color w:val="808080"/>
      <w:sz w:val="24"/>
      <w:szCs w:val="24"/>
      <w:u w:val="none"/>
    </w:rPr>
  </w:style>
  <w:style w:type="character" w:customStyle="1" w:styleId="41">
    <w:name w:val="font21"/>
    <w:basedOn w:val="22"/>
    <w:qFormat/>
    <w:uiPriority w:val="0"/>
    <w:rPr>
      <w:rFonts w:hint="eastAsia" w:ascii="宋体" w:hAnsi="宋体" w:eastAsia="宋体" w:cs="宋体"/>
      <w:color w:val="666666"/>
      <w:sz w:val="24"/>
      <w:szCs w:val="24"/>
      <w:u w:val="none"/>
    </w:rPr>
  </w:style>
  <w:style w:type="character" w:customStyle="1" w:styleId="42">
    <w:name w:val="font51"/>
    <w:basedOn w:val="22"/>
    <w:qFormat/>
    <w:uiPriority w:val="0"/>
    <w:rPr>
      <w:rFonts w:hint="eastAsia" w:ascii="宋体" w:hAnsi="宋体" w:eastAsia="宋体" w:cs="宋体"/>
      <w:color w:val="808080"/>
      <w:sz w:val="24"/>
      <w:szCs w:val="24"/>
      <w:u w:val="none"/>
    </w:rPr>
  </w:style>
  <w:style w:type="paragraph" w:customStyle="1" w:styleId="43">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4">
    <w:name w:val="Other|2"/>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5">
    <w:name w:val="p0"/>
    <w:basedOn w:val="1"/>
    <w:qFormat/>
    <w:uiPriority w:val="0"/>
    <w:pPr>
      <w:widowControl/>
      <w:jc w:val="left"/>
    </w:pPr>
    <w:rPr>
      <w:kern w:val="0"/>
      <w:szCs w:val="21"/>
    </w:rPr>
  </w:style>
  <w:style w:type="character" w:customStyle="1" w:styleId="46">
    <w:name w:val="font91"/>
    <w:basedOn w:val="22"/>
    <w:qFormat/>
    <w:uiPriority w:val="0"/>
    <w:rPr>
      <w:rFonts w:hint="eastAsia" w:ascii="宋体" w:hAnsi="宋体" w:eastAsia="宋体" w:cs="宋体"/>
      <w:color w:val="000000"/>
      <w:sz w:val="20"/>
      <w:szCs w:val="20"/>
      <w:u w:val="none"/>
    </w:rPr>
  </w:style>
  <w:style w:type="character" w:customStyle="1" w:styleId="47">
    <w:name w:val="font61"/>
    <w:basedOn w:val="22"/>
    <w:qFormat/>
    <w:uiPriority w:val="0"/>
    <w:rPr>
      <w:rFonts w:hint="eastAsia" w:ascii="宋体" w:hAnsi="宋体" w:eastAsia="宋体" w:cs="宋体"/>
      <w:color w:val="000000"/>
      <w:sz w:val="20"/>
      <w:szCs w:val="20"/>
      <w:u w:val="none"/>
    </w:rPr>
  </w:style>
  <w:style w:type="paragraph" w:customStyle="1" w:styleId="48">
    <w:name w:val="样式"/>
    <w:next w:val="10"/>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Char Char Char"/>
    <w:basedOn w:val="1"/>
    <w:qFormat/>
    <w:uiPriority w:val="0"/>
    <w:rPr>
      <w:szCs w:val="21"/>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2">
    <w:name w:val="List Paragraph"/>
    <w:basedOn w:val="1"/>
    <w:qFormat/>
    <w:uiPriority w:val="1"/>
    <w:pPr>
      <w:ind w:left="106" w:hanging="301"/>
    </w:pPr>
    <w:rPr>
      <w:rFonts w:ascii="宋体" w:hAnsi="宋体" w:eastAsia="宋体" w:cs="宋体"/>
      <w:lang w:val="zh-CN" w:eastAsia="zh-CN" w:bidi="zh-CN"/>
    </w:rPr>
  </w:style>
  <w:style w:type="paragraph" w:customStyle="1" w:styleId="53">
    <w:name w:val="正文文本_1_0"/>
    <w:basedOn w:val="54"/>
    <w:unhideWhenUsed/>
    <w:qFormat/>
    <w:uiPriority w:val="0"/>
    <w:rPr>
      <w:rFonts w:ascii="Calibri" w:hAnsi="Calibri" w:eastAsia="黑体" w:cs="Times New Roman"/>
      <w:sz w:val="36"/>
    </w:rPr>
  </w:style>
  <w:style w:type="paragraph" w:customStyle="1" w:styleId="54">
    <w:name w:val="正文_2_0"/>
    <w:next w:val="55"/>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5">
    <w:name w:val="表格文字_1_0"/>
    <w:basedOn w:val="54"/>
    <w:qFormat/>
    <w:uiPriority w:val="0"/>
    <w:pPr>
      <w:adjustRightInd w:val="0"/>
      <w:spacing w:line="420" w:lineRule="atLeast"/>
      <w:jc w:val="left"/>
    </w:pPr>
    <w:rPr>
      <w:rFonts w:ascii="Calibri" w:hAnsi="Calibri" w:eastAsia="宋体" w:cs="Times New Roman"/>
      <w:kern w:val="0"/>
      <w:szCs w:val="20"/>
    </w:rPr>
  </w:style>
  <w:style w:type="paragraph" w:customStyle="1" w:styleId="56">
    <w:name w:val="索引 11"/>
    <w:basedOn w:val="1"/>
    <w:next w:val="1"/>
    <w:qFormat/>
    <w:uiPriority w:val="0"/>
    <w:pPr>
      <w:spacing w:line="360" w:lineRule="auto"/>
    </w:pPr>
    <w:rPr>
      <w:rFonts w:ascii="仿宋_GB2312" w:eastAsia="仿宋_GB2312"/>
      <w:sz w:val="24"/>
      <w:szCs w:val="20"/>
    </w:rPr>
  </w:style>
  <w:style w:type="paragraph" w:customStyle="1" w:styleId="57">
    <w:name w:val="纯文本1"/>
    <w:basedOn w:val="1"/>
    <w:qFormat/>
    <w:uiPriority w:val="0"/>
    <w:rPr>
      <w:rFonts w:ascii="宋体" w:hAnsi="Courier New"/>
      <w:kern w:val="0"/>
      <w:sz w:val="20"/>
      <w:szCs w:val="20"/>
    </w:rPr>
  </w:style>
  <w:style w:type="paragraph" w:customStyle="1" w:styleId="5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30634</Words>
  <Characters>32829</Characters>
  <Lines>0</Lines>
  <Paragraphs>0</Paragraphs>
  <TotalTime>1</TotalTime>
  <ScaleCrop>false</ScaleCrop>
  <LinksUpToDate>false</LinksUpToDate>
  <CharactersWithSpaces>37120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呆呆周</cp:lastModifiedBy>
  <dcterms:modified xsi:type="dcterms:W3CDTF">2023-06-01T04:31:44Z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1D8CFE4B5F62494399E0907605F81176_13</vt:lpwstr>
  </property>
</Properties>
</file>