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adjustRightInd w:val="0"/>
        <w:snapToGrid w:val="0"/>
        <w:spacing w:line="360" w:lineRule="auto"/>
        <w:jc w:val="center"/>
        <w:rPr>
          <w:rFonts w:hint="eastAsia" w:ascii="宋体" w:hAnsi="宋体" w:eastAsia="宋体" w:cs="宋体"/>
          <w:sz w:val="24"/>
          <w:szCs w:val="24"/>
          <w:lang w:val="en-US" w:eastAsia="zh-CN"/>
        </w:rPr>
      </w:pPr>
      <w:r>
        <w:rPr>
          <w:rFonts w:hint="eastAsia" w:hAnsi="宋体" w:cs="宋体"/>
          <w:sz w:val="24"/>
          <w:szCs w:val="24"/>
          <w:lang w:val="en-US" w:eastAsia="zh-CN"/>
        </w:rPr>
        <w:t xml:space="preserve"> </w:t>
      </w:r>
    </w:p>
    <w:p>
      <w:pPr>
        <w:pStyle w:val="21"/>
        <w:adjustRightInd w:val="0"/>
        <w:snapToGrid w:val="0"/>
        <w:jc w:val="center"/>
        <w:outlineLvl w:val="0"/>
        <w:rPr>
          <w:rFonts w:hint="eastAsia" w:ascii="宋体" w:hAnsi="宋体" w:eastAsia="宋体" w:cs="宋体"/>
          <w:b/>
          <w:bCs/>
          <w:sz w:val="52"/>
          <w:szCs w:val="52"/>
        </w:rPr>
      </w:pPr>
      <w:bookmarkStart w:id="0" w:name="_Toc6463"/>
      <w:bookmarkStart w:id="1" w:name="_Toc12328"/>
      <w:r>
        <w:rPr>
          <w:rFonts w:hint="eastAsia" w:ascii="宋体" w:hAnsi="宋体" w:eastAsia="宋体" w:cs="宋体"/>
          <w:b/>
          <w:bCs/>
          <w:sz w:val="52"/>
          <w:szCs w:val="52"/>
        </w:rPr>
        <w:t>哈密市交通运输局2023年度服务中心</w:t>
      </w:r>
      <w:bookmarkEnd w:id="0"/>
      <w:bookmarkEnd w:id="1"/>
    </w:p>
    <w:p>
      <w:pPr>
        <w:pStyle w:val="21"/>
        <w:adjustRightInd w:val="0"/>
        <w:snapToGrid w:val="0"/>
        <w:jc w:val="center"/>
        <w:rPr>
          <w:rFonts w:hint="eastAsia" w:ascii="宋体" w:hAnsi="宋体" w:eastAsia="宋体" w:cs="宋体"/>
          <w:b/>
          <w:bCs/>
          <w:sz w:val="52"/>
          <w:szCs w:val="52"/>
        </w:rPr>
      </w:pPr>
      <w:r>
        <w:rPr>
          <w:rFonts w:hint="eastAsia" w:ascii="宋体" w:hAnsi="宋体" w:eastAsia="宋体" w:cs="宋体"/>
          <w:b/>
          <w:bCs/>
          <w:sz w:val="52"/>
          <w:szCs w:val="52"/>
        </w:rPr>
        <w:t>公路工程检测项目</w:t>
      </w:r>
    </w:p>
    <w:p>
      <w:pPr>
        <w:pStyle w:val="21"/>
        <w:adjustRightInd w:val="0"/>
        <w:snapToGrid w:val="0"/>
        <w:spacing w:line="360" w:lineRule="auto"/>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rPr>
          <w:rFonts w:hint="eastAsia" w:ascii="宋体" w:hAnsi="宋体" w:eastAsia="宋体" w:cs="宋体"/>
          <w:b/>
          <w:bCs/>
          <w:sz w:val="24"/>
          <w:szCs w:val="24"/>
        </w:rPr>
      </w:pPr>
    </w:p>
    <w:p>
      <w:pPr>
        <w:pStyle w:val="21"/>
        <w:adjustRightInd w:val="0"/>
        <w:snapToGrid w:val="0"/>
        <w:spacing w:line="360" w:lineRule="auto"/>
        <w:jc w:val="center"/>
        <w:outlineLvl w:val="0"/>
        <w:rPr>
          <w:rFonts w:hint="eastAsia" w:ascii="宋体" w:hAnsi="宋体" w:eastAsia="宋体" w:cs="宋体"/>
          <w:b/>
          <w:bCs/>
          <w:sz w:val="36"/>
          <w:szCs w:val="36"/>
        </w:rPr>
      </w:pPr>
      <w:bookmarkStart w:id="2" w:name="_Toc9446"/>
      <w:bookmarkStart w:id="3" w:name="_Toc7965"/>
      <w:r>
        <w:rPr>
          <w:rFonts w:hint="eastAsia" w:ascii="宋体" w:hAnsi="宋体" w:eastAsia="宋体" w:cs="宋体"/>
          <w:b/>
          <w:bCs/>
          <w:sz w:val="36"/>
          <w:szCs w:val="36"/>
        </w:rPr>
        <w:t>竞争性磋商文件</w:t>
      </w:r>
      <w:bookmarkEnd w:id="2"/>
      <w:bookmarkEnd w:id="3"/>
    </w:p>
    <w:p>
      <w:pPr>
        <w:pStyle w:val="21"/>
        <w:adjustRightInd w:val="0"/>
        <w:snapToGrid w:val="0"/>
        <w:spacing w:line="360" w:lineRule="auto"/>
        <w:jc w:val="center"/>
        <w:outlineLvl w:val="0"/>
        <w:rPr>
          <w:rFonts w:hint="eastAsia" w:ascii="宋体" w:hAnsi="宋体" w:eastAsia="宋体" w:cs="宋体"/>
          <w:b/>
          <w:bCs/>
          <w:sz w:val="22"/>
          <w:szCs w:val="22"/>
        </w:rPr>
      </w:pPr>
      <w:bookmarkStart w:id="4" w:name="_Toc16750"/>
      <w:bookmarkStart w:id="5" w:name="_Toc17454"/>
      <w:r>
        <w:rPr>
          <w:rFonts w:hint="eastAsia" w:ascii="宋体" w:hAnsi="宋体" w:eastAsia="宋体" w:cs="宋体"/>
          <w:b/>
          <w:bCs/>
          <w:sz w:val="36"/>
          <w:szCs w:val="36"/>
        </w:rPr>
        <w:t>项目编号：XJYZB2023-28</w:t>
      </w:r>
      <w:bookmarkEnd w:id="4"/>
      <w:bookmarkEnd w:id="5"/>
    </w:p>
    <w:p>
      <w:pPr>
        <w:pStyle w:val="21"/>
        <w:adjustRightInd w:val="0"/>
        <w:snapToGrid w:val="0"/>
        <w:spacing w:line="360" w:lineRule="auto"/>
        <w:ind w:left="846" w:leftChars="403" w:firstLine="118" w:firstLineChars="49"/>
        <w:rPr>
          <w:rFonts w:hint="eastAsia" w:ascii="宋体" w:hAnsi="宋体" w:eastAsia="宋体" w:cs="宋体"/>
          <w:b/>
          <w:bCs/>
          <w:sz w:val="24"/>
          <w:szCs w:val="24"/>
        </w:rPr>
      </w:pPr>
    </w:p>
    <w:p>
      <w:pPr>
        <w:pStyle w:val="21"/>
        <w:adjustRightInd w:val="0"/>
        <w:snapToGrid w:val="0"/>
        <w:spacing w:line="360" w:lineRule="auto"/>
        <w:ind w:left="846" w:leftChars="403" w:firstLine="118" w:firstLineChars="49"/>
        <w:rPr>
          <w:rFonts w:hint="eastAsia" w:ascii="宋体" w:hAnsi="宋体" w:eastAsia="宋体" w:cs="宋体"/>
          <w:b/>
          <w:bCs/>
          <w:sz w:val="24"/>
          <w:szCs w:val="24"/>
        </w:rPr>
      </w:pPr>
    </w:p>
    <w:p>
      <w:pPr>
        <w:pStyle w:val="21"/>
        <w:adjustRightInd w:val="0"/>
        <w:snapToGrid w:val="0"/>
        <w:spacing w:line="360" w:lineRule="auto"/>
        <w:ind w:left="846" w:leftChars="403" w:firstLine="118" w:firstLineChars="49"/>
        <w:rPr>
          <w:rFonts w:hint="eastAsia" w:ascii="宋体" w:hAnsi="宋体" w:eastAsia="宋体" w:cs="宋体"/>
          <w:b/>
          <w:bCs/>
          <w:sz w:val="24"/>
          <w:szCs w:val="24"/>
        </w:rPr>
      </w:pPr>
    </w:p>
    <w:p>
      <w:pPr>
        <w:pStyle w:val="21"/>
        <w:adjustRightInd w:val="0"/>
        <w:snapToGrid w:val="0"/>
        <w:spacing w:line="360" w:lineRule="auto"/>
        <w:ind w:firstLine="711" w:firstLineChars="295"/>
        <w:rPr>
          <w:rFonts w:hint="eastAsia" w:ascii="宋体" w:hAnsi="宋体" w:eastAsia="宋体" w:cs="宋体"/>
          <w:b/>
          <w:bCs/>
          <w:sz w:val="24"/>
          <w:szCs w:val="24"/>
        </w:rPr>
      </w:pPr>
    </w:p>
    <w:p>
      <w:pPr>
        <w:pStyle w:val="21"/>
        <w:adjustRightInd w:val="0"/>
        <w:snapToGrid w:val="0"/>
        <w:spacing w:line="360" w:lineRule="auto"/>
        <w:ind w:firstLine="711" w:firstLineChars="295"/>
        <w:rPr>
          <w:rFonts w:hint="eastAsia" w:ascii="宋体" w:hAnsi="宋体" w:eastAsia="宋体" w:cs="宋体"/>
          <w:b/>
          <w:bCs/>
          <w:sz w:val="24"/>
          <w:szCs w:val="24"/>
        </w:rPr>
      </w:pPr>
    </w:p>
    <w:p>
      <w:pPr>
        <w:pStyle w:val="21"/>
        <w:adjustRightInd w:val="0"/>
        <w:snapToGrid w:val="0"/>
        <w:spacing w:line="360" w:lineRule="auto"/>
        <w:ind w:firstLine="711" w:firstLineChars="295"/>
        <w:rPr>
          <w:rFonts w:hint="eastAsia" w:ascii="宋体" w:hAnsi="宋体" w:eastAsia="宋体" w:cs="宋体"/>
          <w:b/>
          <w:bCs/>
          <w:sz w:val="24"/>
          <w:szCs w:val="24"/>
        </w:rPr>
      </w:pPr>
    </w:p>
    <w:p>
      <w:pPr>
        <w:pStyle w:val="21"/>
        <w:adjustRightInd w:val="0"/>
        <w:snapToGrid w:val="0"/>
        <w:spacing w:line="360" w:lineRule="auto"/>
        <w:ind w:firstLine="711" w:firstLineChars="295"/>
        <w:rPr>
          <w:rFonts w:hint="eastAsia" w:ascii="宋体" w:hAnsi="宋体" w:eastAsia="宋体" w:cs="宋体"/>
          <w:b/>
          <w:bCs/>
          <w:sz w:val="24"/>
          <w:szCs w:val="24"/>
        </w:rPr>
      </w:pPr>
    </w:p>
    <w:p>
      <w:pPr>
        <w:pStyle w:val="21"/>
        <w:adjustRightInd w:val="0"/>
        <w:snapToGrid w:val="0"/>
        <w:spacing w:line="360" w:lineRule="auto"/>
        <w:ind w:firstLine="711" w:firstLineChars="295"/>
        <w:rPr>
          <w:rFonts w:hint="eastAsia" w:ascii="宋体" w:hAnsi="宋体" w:eastAsia="宋体" w:cs="宋体"/>
          <w:b/>
          <w:bCs/>
          <w:sz w:val="24"/>
          <w:szCs w:val="24"/>
        </w:rPr>
      </w:pPr>
    </w:p>
    <w:p>
      <w:pPr>
        <w:pStyle w:val="21"/>
        <w:adjustRightInd w:val="0"/>
        <w:snapToGrid w:val="0"/>
        <w:spacing w:line="360" w:lineRule="auto"/>
        <w:jc w:val="both"/>
        <w:outlineLvl w:val="0"/>
        <w:rPr>
          <w:rFonts w:hint="eastAsia" w:ascii="宋体" w:hAnsi="宋体" w:eastAsia="宋体" w:cs="宋体"/>
          <w:b/>
          <w:bCs/>
          <w:color w:val="000000"/>
          <w:sz w:val="24"/>
          <w:szCs w:val="24"/>
        </w:rPr>
      </w:pPr>
      <w:bookmarkStart w:id="6" w:name="_Toc15648"/>
      <w:bookmarkStart w:id="7" w:name="_Toc29396"/>
    </w:p>
    <w:p>
      <w:pPr>
        <w:pStyle w:val="21"/>
        <w:adjustRightInd w:val="0"/>
        <w:snapToGrid w:val="0"/>
        <w:spacing w:line="360" w:lineRule="auto"/>
        <w:ind w:firstLine="964" w:firstLineChars="300"/>
        <w:jc w:val="both"/>
        <w:outlineLvl w:val="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购</w:t>
      </w: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人：哈密市交通运输局</w:t>
      </w:r>
      <w:bookmarkEnd w:id="6"/>
      <w:bookmarkEnd w:id="7"/>
    </w:p>
    <w:p>
      <w:pPr>
        <w:pStyle w:val="21"/>
        <w:adjustRightInd w:val="0"/>
        <w:snapToGrid w:val="0"/>
        <w:spacing w:line="360" w:lineRule="auto"/>
        <w:ind w:firstLine="964" w:firstLineChars="3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采购代理机构：新疆新纪元项目管理咨询有限公司</w:t>
      </w:r>
    </w:p>
    <w:p>
      <w:pPr>
        <w:pStyle w:val="21"/>
        <w:adjustRightInd w:val="0"/>
        <w:snapToGrid w:val="0"/>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二〇二三年五月</w:t>
      </w:r>
    </w:p>
    <w:p>
      <w:pPr>
        <w:pStyle w:val="21"/>
        <w:adjustRightInd w:val="0"/>
        <w:snapToGrid w:val="0"/>
        <w:spacing w:line="360" w:lineRule="auto"/>
        <w:jc w:val="center"/>
        <w:rPr>
          <w:rFonts w:hint="eastAsia" w:ascii="宋体" w:hAnsi="宋体" w:eastAsia="宋体" w:cs="宋体"/>
          <w:b/>
          <w:bCs/>
          <w:color w:val="000000"/>
          <w:sz w:val="32"/>
          <w:szCs w:val="32"/>
        </w:rPr>
        <w:sectPr>
          <w:headerReference r:id="rId5" w:type="first"/>
          <w:footerReference r:id="rId7" w:type="first"/>
          <w:headerReference r:id="rId3" w:type="default"/>
          <w:headerReference r:id="rId4" w:type="even"/>
          <w:footerReference r:id="rId6" w:type="even"/>
          <w:pgSz w:w="11906" w:h="16838"/>
          <w:pgMar w:top="1417" w:right="1417" w:bottom="1417" w:left="1417" w:header="851" w:footer="992" w:gutter="0"/>
          <w:pgNumType w:start="1"/>
          <w:cols w:space="720" w:num="1"/>
          <w:titlePg/>
          <w:docGrid w:linePitch="312" w:charSpace="0"/>
        </w:sectPr>
      </w:pPr>
    </w:p>
    <w:sdt>
      <w:sdtPr>
        <w:rPr>
          <w:rFonts w:hint="eastAsia" w:ascii="宋体" w:hAnsi="宋体" w:eastAsia="宋体" w:cs="宋体"/>
          <w:sz w:val="28"/>
          <w:szCs w:val="28"/>
        </w:rPr>
        <w:id w:val="147479199"/>
        <w:docPartObj>
          <w:docPartGallery w:val="Table of Contents"/>
          <w:docPartUnique/>
        </w:docPartObj>
      </w:sdtPr>
      <w:sdtEndPr>
        <w:rPr>
          <w:rFonts w:hint="eastAsia" w:ascii="宋体" w:hAnsi="宋体" w:eastAsia="宋体" w:cs="宋体"/>
          <w:sz w:val="24"/>
          <w:szCs w:val="24"/>
        </w:rPr>
      </w:sdtEndPr>
      <w:sdtContent>
        <w:p>
          <w:pPr>
            <w:jc w:val="center"/>
            <w:rPr>
              <w:rFonts w:hint="eastAsia" w:ascii="宋体" w:hAnsi="宋体" w:eastAsia="宋体" w:cs="宋体"/>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pStyle w:val="190"/>
            <w:tabs>
              <w:tab w:val="right" w:leader="dot" w:pos="9071"/>
            </w:tabs>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"_Toc20873"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第一章 竞争性磋商公告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_Toc20873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"_Toc12157"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_Toc12157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"_Toc25448"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_Toc25448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"_Toc25116"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_Toc25116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"_Toc17021"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_Toc17021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"_Toc4644" </w:instrText>
          </w:r>
          <w:r>
            <w:rPr>
              <w:rFonts w:hint="eastAsia" w:ascii="宋体" w:hAnsi="宋体" w:eastAsia="宋体" w:cs="宋体"/>
              <w:sz w:val="24"/>
              <w:szCs w:val="24"/>
            </w:rPr>
            <w:fldChar w:fldCharType="separate"/>
          </w:r>
          <w:r>
            <w:rPr>
              <w:rFonts w:hint="eastAsia" w:ascii="宋体" w:hAnsi="宋体" w:eastAsia="宋体" w:cs="宋体"/>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_Toc4644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"_Toc23306"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_Toc23306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"_Toc17913" </w:instrText>
          </w:r>
          <w:r>
            <w:rPr>
              <w:rFonts w:hint="eastAsia" w:ascii="宋体" w:hAnsi="宋体" w:eastAsia="宋体" w:cs="宋体"/>
              <w:sz w:val="24"/>
              <w:szCs w:val="24"/>
            </w:rPr>
            <w:fldChar w:fldCharType="separate"/>
          </w:r>
          <w:r>
            <w:rPr>
              <w:rFonts w:hint="eastAsia" w:ascii="宋体" w:hAnsi="宋体" w:eastAsia="宋体" w:cs="宋体"/>
              <w:sz w:val="24"/>
              <w:szCs w:val="24"/>
            </w:rPr>
            <w:t>七、其他补充事宜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_Toc17913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"_Toc11444" </w:instrText>
          </w:r>
          <w:r>
            <w:rPr>
              <w:rFonts w:hint="eastAsia" w:ascii="宋体" w:hAnsi="宋体" w:eastAsia="宋体" w:cs="宋体"/>
              <w:sz w:val="24"/>
              <w:szCs w:val="24"/>
            </w:rPr>
            <w:fldChar w:fldCharType="separate"/>
          </w:r>
          <w:r>
            <w:rPr>
              <w:rFonts w:hint="eastAsia" w:ascii="宋体" w:hAnsi="宋体" w:eastAsia="宋体" w:cs="宋体"/>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_Toc11444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0"/>
            <w:tabs>
              <w:tab w:val="right" w:leader="dot" w:pos="9071"/>
            </w:tabs>
            <w:ind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"_Toc22690" </w:instrText>
          </w:r>
          <w:r>
            <w:rPr>
              <w:rFonts w:hint="eastAsia" w:ascii="宋体" w:hAnsi="宋体" w:eastAsia="宋体" w:cs="宋体"/>
              <w:sz w:val="24"/>
              <w:szCs w:val="24"/>
            </w:rPr>
            <w:fldChar w:fldCharType="separate"/>
          </w:r>
          <w:r>
            <w:rPr>
              <w:rFonts w:hint="eastAsia" w:ascii="宋体" w:hAnsi="宋体" w:eastAsia="宋体" w:cs="宋体"/>
              <w:sz w:val="24"/>
              <w:szCs w:val="24"/>
            </w:rPr>
            <w:t>资格审查条件（关键设备最低要求）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_Toc22690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0"/>
            <w:tabs>
              <w:tab w:val="right" w:leader="dot" w:pos="9071"/>
            </w:tabs>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"_Toc25214"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_Toc25214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"_Toc31592" </w:instrText>
          </w:r>
          <w:r>
            <w:rPr>
              <w:rFonts w:hint="eastAsia" w:ascii="宋体" w:hAnsi="宋体" w:eastAsia="宋体" w:cs="宋体"/>
              <w:sz w:val="24"/>
              <w:szCs w:val="24"/>
            </w:rPr>
            <w:fldChar w:fldCharType="separate"/>
          </w:r>
          <w:r>
            <w:rPr>
              <w:rFonts w:hint="eastAsia" w:ascii="宋体" w:hAnsi="宋体" w:eastAsia="宋体" w:cs="宋体"/>
              <w:sz w:val="24"/>
              <w:szCs w:val="24"/>
            </w:rPr>
            <w:t>磋商须知前附表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_Toc31592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"_Toc20732" </w:instrText>
          </w:r>
          <w:r>
            <w:rPr>
              <w:rFonts w:hint="eastAsia" w:ascii="宋体" w:hAnsi="宋体" w:eastAsia="宋体" w:cs="宋体"/>
              <w:sz w:val="24"/>
              <w:szCs w:val="24"/>
            </w:rPr>
            <w:fldChar w:fldCharType="separate"/>
          </w:r>
          <w:r>
            <w:rPr>
              <w:rFonts w:hint="eastAsia" w:ascii="宋体" w:hAnsi="宋体" w:eastAsia="宋体" w:cs="宋体"/>
              <w:sz w:val="24"/>
              <w:szCs w:val="24"/>
            </w:rPr>
            <w:t>一、说明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_Toc20732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"_Toc59" </w:instrText>
          </w:r>
          <w:r>
            <w:rPr>
              <w:rFonts w:hint="eastAsia" w:ascii="宋体" w:hAnsi="宋体" w:eastAsia="宋体" w:cs="宋体"/>
              <w:sz w:val="24"/>
              <w:szCs w:val="24"/>
            </w:rPr>
            <w:fldChar w:fldCharType="separate"/>
          </w:r>
          <w:r>
            <w:rPr>
              <w:rFonts w:hint="eastAsia" w:ascii="宋体" w:hAnsi="宋体" w:eastAsia="宋体" w:cs="宋体"/>
              <w:sz w:val="24"/>
              <w:szCs w:val="24"/>
            </w:rPr>
            <w:t>二、磋商文件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"_Toc21394" </w:instrText>
          </w:r>
          <w:r>
            <w:rPr>
              <w:rFonts w:hint="eastAsia" w:ascii="宋体" w:hAnsi="宋体" w:eastAsia="宋体" w:cs="宋体"/>
              <w:sz w:val="24"/>
              <w:szCs w:val="24"/>
            </w:rPr>
            <w:fldChar w:fldCharType="separate"/>
          </w:r>
          <w:r>
            <w:rPr>
              <w:rFonts w:hint="eastAsia" w:ascii="宋体" w:hAnsi="宋体" w:eastAsia="宋体" w:cs="宋体"/>
              <w:sz w:val="24"/>
              <w:szCs w:val="24"/>
            </w:rPr>
            <w:t>三、响应文件的编制和数量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_Toc21394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"_Toc15646"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四、响应文件的递交及开启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_Toc15646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"_Toc11244" </w:instrText>
          </w:r>
          <w:r>
            <w:rPr>
              <w:rFonts w:hint="eastAsia" w:ascii="宋体" w:hAnsi="宋体" w:eastAsia="宋体" w:cs="宋体"/>
              <w:sz w:val="24"/>
              <w:szCs w:val="24"/>
            </w:rPr>
            <w:fldChar w:fldCharType="separate"/>
          </w:r>
          <w:r>
            <w:rPr>
              <w:rFonts w:hint="eastAsia" w:ascii="宋体" w:hAnsi="宋体" w:eastAsia="宋体" w:cs="宋体"/>
              <w:sz w:val="24"/>
              <w:szCs w:val="24"/>
            </w:rPr>
            <w:t>五、竞争性磋商程序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_Toc11244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"_Toc28974" </w:instrText>
          </w:r>
          <w:r>
            <w:rPr>
              <w:rFonts w:hint="eastAsia" w:ascii="宋体" w:hAnsi="宋体" w:eastAsia="宋体" w:cs="宋体"/>
              <w:sz w:val="24"/>
              <w:szCs w:val="24"/>
            </w:rPr>
            <w:fldChar w:fldCharType="separate"/>
          </w:r>
          <w:r>
            <w:rPr>
              <w:rFonts w:hint="eastAsia" w:ascii="宋体" w:hAnsi="宋体" w:eastAsia="宋体" w:cs="宋体"/>
              <w:sz w:val="24"/>
              <w:szCs w:val="24"/>
            </w:rPr>
            <w:t>六、授予合同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_Toc28974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"_Toc11123" </w:instrText>
          </w:r>
          <w:r>
            <w:rPr>
              <w:rFonts w:hint="eastAsia" w:ascii="宋体" w:hAnsi="宋体" w:eastAsia="宋体" w:cs="宋体"/>
              <w:sz w:val="24"/>
              <w:szCs w:val="24"/>
            </w:rPr>
            <w:fldChar w:fldCharType="separate"/>
          </w:r>
          <w:r>
            <w:rPr>
              <w:rFonts w:hint="eastAsia" w:ascii="宋体" w:hAnsi="宋体" w:eastAsia="宋体" w:cs="宋体"/>
              <w:sz w:val="24"/>
              <w:szCs w:val="24"/>
            </w:rPr>
            <w:t>七、质疑和投诉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_Toc11123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"_Toc870" </w:instrText>
          </w:r>
          <w:r>
            <w:rPr>
              <w:rFonts w:hint="eastAsia" w:ascii="宋体" w:hAnsi="宋体" w:eastAsia="宋体" w:cs="宋体"/>
              <w:sz w:val="24"/>
              <w:szCs w:val="24"/>
            </w:rPr>
            <w:fldChar w:fldCharType="separate"/>
          </w:r>
          <w:r>
            <w:rPr>
              <w:rFonts w:hint="eastAsia" w:ascii="宋体" w:hAnsi="宋体" w:eastAsia="宋体" w:cs="宋体"/>
              <w:sz w:val="24"/>
              <w:szCs w:val="24"/>
            </w:rPr>
            <w:t>八、项目验收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"_Toc8112" </w:instrText>
          </w:r>
          <w:r>
            <w:rPr>
              <w:rFonts w:hint="eastAsia" w:ascii="宋体" w:hAnsi="宋体" w:eastAsia="宋体" w:cs="宋体"/>
              <w:sz w:val="24"/>
              <w:szCs w:val="24"/>
            </w:rPr>
            <w:fldChar w:fldCharType="separate"/>
          </w:r>
          <w:r>
            <w:rPr>
              <w:rFonts w:hint="eastAsia" w:ascii="宋体" w:hAnsi="宋体" w:eastAsia="宋体" w:cs="宋体"/>
              <w:sz w:val="24"/>
              <w:szCs w:val="24"/>
            </w:rPr>
            <w:t>九、适用法律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_Toc8112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"_Toc19370" </w:instrText>
          </w:r>
          <w:r>
            <w:rPr>
              <w:rFonts w:hint="eastAsia" w:ascii="宋体" w:hAnsi="宋体" w:eastAsia="宋体" w:cs="宋体"/>
              <w:sz w:val="24"/>
              <w:szCs w:val="24"/>
            </w:rPr>
            <w:fldChar w:fldCharType="separate"/>
          </w:r>
          <w:r>
            <w:rPr>
              <w:rFonts w:hint="eastAsia" w:ascii="宋体" w:hAnsi="宋体" w:eastAsia="宋体" w:cs="宋体"/>
              <w:sz w:val="24"/>
              <w:szCs w:val="24"/>
            </w:rPr>
            <w:t>十、磋商文件的解释权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_Toc19370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"_Toc21455" </w:instrText>
          </w:r>
          <w:r>
            <w:rPr>
              <w:rFonts w:hint="eastAsia" w:ascii="宋体" w:hAnsi="宋体" w:eastAsia="宋体" w:cs="宋体"/>
              <w:sz w:val="24"/>
              <w:szCs w:val="24"/>
            </w:rPr>
            <w:fldChar w:fldCharType="separate"/>
          </w:r>
          <w:r>
            <w:rPr>
              <w:rFonts w:hint="eastAsia" w:ascii="宋体" w:hAnsi="宋体" w:eastAsia="宋体" w:cs="宋体"/>
              <w:sz w:val="24"/>
              <w:szCs w:val="24"/>
            </w:rPr>
            <w:t>十一、其他注意事项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_Toc21455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0"/>
            <w:tabs>
              <w:tab w:val="right" w:leader="dot" w:pos="9071"/>
            </w:tabs>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"_Toc18532"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第三章 采购需求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_Toc18532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"_Toc1497" </w:instrText>
          </w:r>
          <w:r>
            <w:rPr>
              <w:rFonts w:hint="eastAsia" w:ascii="宋体" w:hAnsi="宋体" w:eastAsia="宋体" w:cs="宋体"/>
              <w:sz w:val="24"/>
              <w:szCs w:val="24"/>
            </w:rPr>
            <w:fldChar w:fldCharType="separate"/>
          </w:r>
          <w:r>
            <w:rPr>
              <w:rFonts w:hint="eastAsia" w:ascii="宋体" w:hAnsi="宋体" w:eastAsia="宋体" w:cs="宋体"/>
              <w:bCs/>
              <w:sz w:val="24"/>
              <w:szCs w:val="24"/>
            </w:rPr>
            <w:t>一、项目名称：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_Toc1497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"_Toc30797" </w:instrText>
          </w:r>
          <w:r>
            <w:rPr>
              <w:rFonts w:hint="eastAsia" w:ascii="宋体" w:hAnsi="宋体" w:eastAsia="宋体" w:cs="宋体"/>
              <w:sz w:val="24"/>
              <w:szCs w:val="24"/>
            </w:rPr>
            <w:fldChar w:fldCharType="separate"/>
          </w:r>
          <w:r>
            <w:rPr>
              <w:rFonts w:hint="eastAsia" w:ascii="宋体" w:hAnsi="宋体" w:eastAsia="宋体" w:cs="宋体"/>
              <w:bCs/>
              <w:sz w:val="24"/>
              <w:szCs w:val="24"/>
            </w:rPr>
            <w:t>二、采购需求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_Toc30797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0"/>
            <w:tabs>
              <w:tab w:val="right" w:leader="dot" w:pos="9071"/>
            </w:tabs>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"_Toc23073"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第四章 评审方法</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_Toc23073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"_Toc28670" </w:instrText>
          </w:r>
          <w:r>
            <w:rPr>
              <w:rFonts w:hint="eastAsia" w:ascii="宋体" w:hAnsi="宋体" w:eastAsia="宋体" w:cs="宋体"/>
              <w:sz w:val="24"/>
              <w:szCs w:val="24"/>
            </w:rPr>
            <w:fldChar w:fldCharType="separate"/>
          </w:r>
          <w:r>
            <w:rPr>
              <w:rFonts w:hint="eastAsia" w:ascii="宋体" w:hAnsi="宋体" w:eastAsia="宋体" w:cs="宋体"/>
              <w:sz w:val="24"/>
              <w:szCs w:val="24"/>
            </w:rPr>
            <w:t>一、综合评分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_Toc28670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"_Toc681" </w:instrText>
          </w:r>
          <w:r>
            <w:rPr>
              <w:rFonts w:hint="eastAsia" w:ascii="宋体" w:hAnsi="宋体" w:eastAsia="宋体" w:cs="宋体"/>
              <w:sz w:val="24"/>
              <w:szCs w:val="24"/>
            </w:rPr>
            <w:fldChar w:fldCharType="separate"/>
          </w:r>
          <w:r>
            <w:rPr>
              <w:rFonts w:hint="eastAsia" w:ascii="宋体" w:hAnsi="宋体" w:eastAsia="宋体" w:cs="宋体"/>
              <w:sz w:val="24"/>
              <w:szCs w:val="24"/>
            </w:rPr>
            <w:t>二、综合评分细则表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"_Toc32019" </w:instrText>
          </w:r>
          <w:r>
            <w:rPr>
              <w:rFonts w:hint="eastAsia" w:ascii="宋体" w:hAnsi="宋体" w:eastAsia="宋体" w:cs="宋体"/>
              <w:sz w:val="24"/>
              <w:szCs w:val="24"/>
            </w:rPr>
            <w:fldChar w:fldCharType="separate"/>
          </w:r>
          <w:r>
            <w:rPr>
              <w:rFonts w:hint="eastAsia" w:ascii="宋体" w:hAnsi="宋体" w:eastAsia="宋体" w:cs="宋体"/>
              <w:sz w:val="24"/>
              <w:szCs w:val="24"/>
            </w:rPr>
            <w:t>三、推荐成交供应商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_Toc32019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"_Toc10502" </w:instrText>
          </w:r>
          <w:r>
            <w:rPr>
              <w:rFonts w:hint="eastAsia" w:ascii="宋体" w:hAnsi="宋体" w:eastAsia="宋体" w:cs="宋体"/>
              <w:sz w:val="24"/>
              <w:szCs w:val="24"/>
            </w:rPr>
            <w:fldChar w:fldCharType="separate"/>
          </w:r>
          <w:r>
            <w:rPr>
              <w:rFonts w:hint="eastAsia" w:ascii="宋体" w:hAnsi="宋体" w:eastAsia="宋体" w:cs="宋体"/>
              <w:sz w:val="24"/>
              <w:szCs w:val="24"/>
            </w:rPr>
            <w:t>四、确定成交供应商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_Toc10502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0"/>
            <w:tabs>
              <w:tab w:val="right" w:leader="dot" w:pos="9071"/>
            </w:tabs>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"_Toc31814"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第五章 合同格式及合同条款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_Toc31814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0"/>
            <w:tabs>
              <w:tab w:val="right" w:leader="dot" w:pos="9071"/>
            </w:tabs>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"_Toc3898" </w:instrText>
          </w:r>
          <w:r>
            <w:rPr>
              <w:rFonts w:hint="eastAsia" w:ascii="宋体" w:hAnsi="宋体" w:eastAsia="宋体" w:cs="宋体"/>
              <w:sz w:val="24"/>
              <w:szCs w:val="24"/>
            </w:rPr>
            <w:fldChar w:fldCharType="separate"/>
          </w:r>
          <w:r>
            <w:rPr>
              <w:rFonts w:hint="eastAsia" w:ascii="宋体" w:hAnsi="宋体" w:eastAsia="宋体" w:cs="宋体"/>
              <w:b/>
              <w:bCs/>
              <w:sz w:val="24"/>
              <w:szCs w:val="24"/>
            </w:rPr>
            <w:t>第六章 竞争性磋商响应文件格式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_Toc3898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"_Toc22849" </w:instrText>
          </w:r>
          <w:r>
            <w:rPr>
              <w:rFonts w:hint="eastAsia" w:ascii="宋体" w:hAnsi="宋体" w:eastAsia="宋体" w:cs="宋体"/>
              <w:sz w:val="24"/>
              <w:szCs w:val="24"/>
            </w:rPr>
            <w:fldChar w:fldCharType="separate"/>
          </w:r>
          <w:r>
            <w:rPr>
              <w:rFonts w:hint="eastAsia" w:ascii="宋体" w:hAnsi="宋体" w:eastAsia="宋体" w:cs="宋体"/>
              <w:sz w:val="24"/>
              <w:szCs w:val="24"/>
            </w:rPr>
            <w:t>一、资格审查材料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_Toc22849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"_Toc4640" </w:instrText>
          </w:r>
          <w:r>
            <w:rPr>
              <w:rFonts w:hint="eastAsia" w:ascii="宋体" w:hAnsi="宋体" w:eastAsia="宋体" w:cs="宋体"/>
              <w:sz w:val="24"/>
              <w:szCs w:val="24"/>
            </w:rPr>
            <w:fldChar w:fldCharType="separate"/>
          </w:r>
          <w:r>
            <w:rPr>
              <w:rFonts w:hint="eastAsia" w:ascii="宋体" w:hAnsi="宋体" w:eastAsia="宋体" w:cs="宋体"/>
              <w:sz w:val="24"/>
              <w:szCs w:val="24"/>
            </w:rPr>
            <w:t>（一）具有独立承担民事责任的能力；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_Toc4640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"_Toc5148" </w:instrText>
          </w:r>
          <w:r>
            <w:rPr>
              <w:rFonts w:hint="eastAsia" w:ascii="宋体" w:hAnsi="宋体" w:eastAsia="宋体" w:cs="宋体"/>
              <w:sz w:val="24"/>
              <w:szCs w:val="24"/>
            </w:rPr>
            <w:fldChar w:fldCharType="separate"/>
          </w:r>
          <w:r>
            <w:rPr>
              <w:rFonts w:hint="eastAsia" w:ascii="宋体" w:hAnsi="宋体" w:eastAsia="宋体" w:cs="宋体"/>
              <w:sz w:val="24"/>
              <w:szCs w:val="24"/>
            </w:rPr>
            <w:t>（二）具有良好的商业信誉和健全的财务会计制度；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_Toc5148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"_Toc24075" </w:instrText>
          </w:r>
          <w:r>
            <w:rPr>
              <w:rFonts w:hint="eastAsia" w:ascii="宋体" w:hAnsi="宋体" w:eastAsia="宋体" w:cs="宋体"/>
              <w:sz w:val="24"/>
              <w:szCs w:val="24"/>
            </w:rPr>
            <w:fldChar w:fldCharType="separate"/>
          </w:r>
          <w:r>
            <w:rPr>
              <w:rFonts w:hint="eastAsia" w:ascii="宋体" w:hAnsi="宋体" w:eastAsia="宋体" w:cs="宋体"/>
              <w:sz w:val="24"/>
              <w:szCs w:val="24"/>
            </w:rPr>
            <w:t>（三）具有履行合同所必需的设备和专业技术能力；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_Toc24075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"_Toc20359" </w:instrText>
          </w:r>
          <w:r>
            <w:rPr>
              <w:rFonts w:hint="eastAsia" w:ascii="宋体" w:hAnsi="宋体" w:eastAsia="宋体" w:cs="宋体"/>
              <w:sz w:val="24"/>
              <w:szCs w:val="24"/>
            </w:rPr>
            <w:fldChar w:fldCharType="separate"/>
          </w:r>
          <w:r>
            <w:rPr>
              <w:rFonts w:hint="eastAsia" w:ascii="宋体" w:hAnsi="宋体" w:eastAsia="宋体" w:cs="宋体"/>
              <w:sz w:val="24"/>
              <w:szCs w:val="24"/>
            </w:rPr>
            <w:t>（四）有依法缴纳税收和社会保障资金的良好记录；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_Toc20359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"_Toc4205" </w:instrText>
          </w:r>
          <w:r>
            <w:rPr>
              <w:rFonts w:hint="eastAsia" w:ascii="宋体" w:hAnsi="宋体" w:eastAsia="宋体" w:cs="宋体"/>
              <w:sz w:val="24"/>
              <w:szCs w:val="24"/>
            </w:rPr>
            <w:fldChar w:fldCharType="separate"/>
          </w:r>
          <w:r>
            <w:rPr>
              <w:rFonts w:hint="eastAsia" w:ascii="宋体" w:hAnsi="宋体" w:eastAsia="宋体" w:cs="宋体"/>
              <w:sz w:val="24"/>
              <w:szCs w:val="24"/>
            </w:rPr>
            <w:t>（五）参加政府采购活动前三年内，在经营活动中没有重大违法记录；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_Toc4205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"_Toc17436" </w:instrText>
          </w:r>
          <w:r>
            <w:rPr>
              <w:rFonts w:hint="eastAsia" w:ascii="宋体" w:hAnsi="宋体" w:eastAsia="宋体" w:cs="宋体"/>
              <w:sz w:val="24"/>
              <w:szCs w:val="24"/>
            </w:rPr>
            <w:fldChar w:fldCharType="separate"/>
          </w:r>
          <w:r>
            <w:rPr>
              <w:rFonts w:hint="eastAsia" w:ascii="宋体" w:hAnsi="宋体" w:eastAsia="宋体" w:cs="宋体"/>
              <w:sz w:val="24"/>
              <w:szCs w:val="24"/>
            </w:rPr>
            <w:t>（六）特定资格要求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_Toc17436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"_Toc25247" </w:instrText>
          </w:r>
          <w:r>
            <w:rPr>
              <w:rFonts w:hint="eastAsia" w:ascii="宋体" w:hAnsi="宋体" w:eastAsia="宋体" w:cs="宋体"/>
              <w:sz w:val="24"/>
              <w:szCs w:val="24"/>
            </w:rPr>
            <w:fldChar w:fldCharType="separate"/>
          </w:r>
          <w:r>
            <w:rPr>
              <w:rFonts w:hint="eastAsia" w:ascii="宋体" w:hAnsi="宋体" w:eastAsia="宋体" w:cs="宋体"/>
              <w:sz w:val="24"/>
              <w:szCs w:val="24"/>
            </w:rPr>
            <w:t>（七）联合体协议书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_Toc25247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"_Toc17487" </w:instrText>
          </w:r>
          <w:r>
            <w:rPr>
              <w:rFonts w:hint="eastAsia" w:ascii="宋体" w:hAnsi="宋体" w:eastAsia="宋体" w:cs="宋体"/>
              <w:sz w:val="24"/>
              <w:szCs w:val="24"/>
            </w:rPr>
            <w:fldChar w:fldCharType="separate"/>
          </w:r>
          <w:r>
            <w:rPr>
              <w:rFonts w:hint="eastAsia" w:ascii="宋体" w:hAnsi="宋体" w:eastAsia="宋体" w:cs="宋体"/>
              <w:sz w:val="24"/>
              <w:szCs w:val="24"/>
            </w:rPr>
            <w:t>（八）信用记录查询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_Toc17487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"_Toc27071" </w:instrText>
          </w:r>
          <w:r>
            <w:rPr>
              <w:rFonts w:hint="eastAsia" w:ascii="宋体" w:hAnsi="宋体" w:eastAsia="宋体" w:cs="宋体"/>
              <w:sz w:val="24"/>
              <w:szCs w:val="24"/>
            </w:rPr>
            <w:fldChar w:fldCharType="separate"/>
          </w:r>
          <w:r>
            <w:rPr>
              <w:rFonts w:hint="eastAsia" w:ascii="宋体" w:hAnsi="宋体" w:eastAsia="宋体" w:cs="宋体"/>
              <w:sz w:val="24"/>
              <w:szCs w:val="24"/>
            </w:rPr>
            <w:t>（九）磋商保证金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_Toc27071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"_Toc21346" </w:instrText>
          </w:r>
          <w:r>
            <w:rPr>
              <w:rFonts w:hint="eastAsia" w:ascii="宋体" w:hAnsi="宋体" w:eastAsia="宋体" w:cs="宋体"/>
              <w:sz w:val="24"/>
              <w:szCs w:val="24"/>
            </w:rPr>
            <w:fldChar w:fldCharType="separate"/>
          </w:r>
          <w:r>
            <w:rPr>
              <w:rFonts w:hint="eastAsia" w:ascii="宋体" w:hAnsi="宋体" w:eastAsia="宋体" w:cs="宋体"/>
              <w:sz w:val="24"/>
              <w:szCs w:val="24"/>
            </w:rPr>
            <w:t>（十）不参与围标串标承诺书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_Toc21346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"_Toc17025" </w:instrText>
          </w:r>
          <w:r>
            <w:rPr>
              <w:rFonts w:hint="eastAsia" w:ascii="宋体" w:hAnsi="宋体" w:eastAsia="宋体" w:cs="宋体"/>
              <w:sz w:val="24"/>
              <w:szCs w:val="24"/>
            </w:rPr>
            <w:fldChar w:fldCharType="separate"/>
          </w:r>
          <w:r>
            <w:rPr>
              <w:rFonts w:hint="eastAsia" w:ascii="宋体" w:hAnsi="宋体" w:eastAsia="宋体" w:cs="宋体"/>
              <w:sz w:val="24"/>
              <w:szCs w:val="24"/>
            </w:rPr>
            <w:t>（十一）法律、行政法规规定的其他条件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_Toc17025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"_Toc16515" </w:instrText>
          </w:r>
          <w:r>
            <w:rPr>
              <w:rFonts w:hint="eastAsia" w:ascii="宋体" w:hAnsi="宋体" w:eastAsia="宋体" w:cs="宋体"/>
              <w:sz w:val="24"/>
              <w:szCs w:val="24"/>
            </w:rPr>
            <w:fldChar w:fldCharType="separate"/>
          </w:r>
          <w:r>
            <w:rPr>
              <w:rFonts w:hint="eastAsia" w:ascii="宋体" w:hAnsi="宋体" w:eastAsia="宋体" w:cs="宋体"/>
              <w:sz w:val="24"/>
              <w:szCs w:val="24"/>
            </w:rPr>
            <w:t>二、商务文件组成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_Toc16515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"_Toc3070" </w:instrText>
          </w:r>
          <w:r>
            <w:rPr>
              <w:rFonts w:hint="eastAsia" w:ascii="宋体" w:hAnsi="宋体" w:eastAsia="宋体" w:cs="宋体"/>
              <w:sz w:val="24"/>
              <w:szCs w:val="24"/>
            </w:rPr>
            <w:fldChar w:fldCharType="separate"/>
          </w:r>
          <w:r>
            <w:rPr>
              <w:rFonts w:hint="eastAsia" w:ascii="宋体" w:hAnsi="宋体" w:eastAsia="宋体" w:cs="宋体"/>
              <w:sz w:val="24"/>
              <w:szCs w:val="24"/>
            </w:rPr>
            <w:t>（一）竞争性磋商函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_Toc3070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"_Toc25707" </w:instrText>
          </w:r>
          <w:r>
            <w:rPr>
              <w:rFonts w:hint="eastAsia" w:ascii="宋体" w:hAnsi="宋体" w:eastAsia="宋体" w:cs="宋体"/>
              <w:sz w:val="24"/>
              <w:szCs w:val="24"/>
            </w:rPr>
            <w:fldChar w:fldCharType="separate"/>
          </w:r>
          <w:r>
            <w:rPr>
              <w:rFonts w:hint="eastAsia" w:ascii="宋体" w:hAnsi="宋体" w:eastAsia="宋体" w:cs="宋体"/>
              <w:sz w:val="24"/>
              <w:szCs w:val="24"/>
            </w:rPr>
            <w:t>（二）磋商报价一览表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_Toc25707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"_Toc8241" </w:instrText>
          </w:r>
          <w:r>
            <w:rPr>
              <w:rFonts w:hint="eastAsia" w:ascii="宋体" w:hAnsi="宋体" w:eastAsia="宋体" w:cs="宋体"/>
              <w:sz w:val="24"/>
              <w:szCs w:val="24"/>
            </w:rPr>
            <w:fldChar w:fldCharType="separate"/>
          </w:r>
          <w:r>
            <w:rPr>
              <w:rFonts w:hint="eastAsia" w:ascii="宋体" w:hAnsi="宋体" w:eastAsia="宋体" w:cs="宋体"/>
              <w:sz w:val="24"/>
              <w:szCs w:val="24"/>
            </w:rPr>
            <w:t>（三）竞争性磋商报价明细表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_Toc8241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"_Toc31009" </w:instrText>
          </w:r>
          <w:r>
            <w:rPr>
              <w:rFonts w:hint="eastAsia" w:ascii="宋体" w:hAnsi="宋体" w:eastAsia="宋体" w:cs="宋体"/>
              <w:sz w:val="24"/>
              <w:szCs w:val="24"/>
            </w:rPr>
            <w:fldChar w:fldCharType="separate"/>
          </w:r>
          <w:r>
            <w:rPr>
              <w:rFonts w:hint="eastAsia" w:ascii="宋体" w:hAnsi="宋体" w:eastAsia="宋体" w:cs="宋体"/>
              <w:sz w:val="24"/>
              <w:szCs w:val="24"/>
            </w:rPr>
            <w:t>（四）商务响应、偏离说明表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_Toc31009 \h </w:instrText>
          </w:r>
          <w:r>
            <w:rPr>
              <w:rFonts w:hint="eastAsia" w:ascii="宋体" w:hAnsi="宋体" w:eastAsia="宋体" w:cs="宋体"/>
              <w:sz w:val="24"/>
              <w:szCs w:val="24"/>
            </w:rPr>
            <w:fldChar w:fldCharType="separate"/>
          </w:r>
          <w:r>
            <w:rPr>
              <w:rFonts w:hint="eastAsia" w:ascii="宋体" w:hAnsi="宋体" w:eastAsia="宋体" w:cs="宋体"/>
              <w:sz w:val="24"/>
              <w:szCs w:val="24"/>
            </w:rPr>
            <w:t>74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"_Toc10170" </w:instrText>
          </w:r>
          <w:r>
            <w:rPr>
              <w:rFonts w:hint="eastAsia" w:ascii="宋体" w:hAnsi="宋体" w:eastAsia="宋体" w:cs="宋体"/>
              <w:sz w:val="24"/>
              <w:szCs w:val="24"/>
            </w:rPr>
            <w:fldChar w:fldCharType="separate"/>
          </w:r>
          <w:r>
            <w:rPr>
              <w:rFonts w:hint="eastAsia" w:ascii="宋体" w:hAnsi="宋体" w:eastAsia="宋体" w:cs="宋体"/>
              <w:sz w:val="24"/>
              <w:szCs w:val="24"/>
            </w:rPr>
            <w:t>（五）供应商项目业绩表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_Toc10170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"_Toc5409" </w:instrText>
          </w:r>
          <w:r>
            <w:rPr>
              <w:rFonts w:hint="eastAsia" w:ascii="宋体" w:hAnsi="宋体" w:eastAsia="宋体" w:cs="宋体"/>
              <w:sz w:val="24"/>
              <w:szCs w:val="24"/>
            </w:rPr>
            <w:fldChar w:fldCharType="separate"/>
          </w:r>
          <w:r>
            <w:rPr>
              <w:rFonts w:hint="eastAsia" w:ascii="宋体" w:hAnsi="宋体" w:eastAsia="宋体" w:cs="宋体"/>
              <w:sz w:val="24"/>
              <w:szCs w:val="24"/>
            </w:rPr>
            <w:t>（六）组织服务能力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_Toc5409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"_Toc12555" </w:instrText>
          </w:r>
          <w:r>
            <w:rPr>
              <w:rFonts w:hint="eastAsia" w:ascii="宋体" w:hAnsi="宋体" w:eastAsia="宋体" w:cs="宋体"/>
              <w:sz w:val="24"/>
              <w:szCs w:val="24"/>
            </w:rPr>
            <w:fldChar w:fldCharType="separate"/>
          </w:r>
          <w:r>
            <w:rPr>
              <w:rFonts w:hint="eastAsia" w:ascii="宋体" w:hAnsi="宋体" w:eastAsia="宋体" w:cs="宋体"/>
              <w:sz w:val="24"/>
              <w:szCs w:val="24"/>
            </w:rPr>
            <w:t>（七）中小企业声明函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_Toc12555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"_Toc478" </w:instrText>
          </w:r>
          <w:r>
            <w:rPr>
              <w:rFonts w:hint="eastAsia" w:ascii="宋体" w:hAnsi="宋体" w:eastAsia="宋体" w:cs="宋体"/>
              <w:sz w:val="24"/>
              <w:szCs w:val="24"/>
            </w:rPr>
            <w:fldChar w:fldCharType="separate"/>
          </w:r>
          <w:r>
            <w:rPr>
              <w:rFonts w:hint="eastAsia" w:ascii="宋体" w:hAnsi="宋体" w:eastAsia="宋体" w:cs="宋体"/>
              <w:sz w:val="24"/>
              <w:szCs w:val="24"/>
            </w:rPr>
            <w:t>（八）供应商认为需要提交的其他材料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_Toc478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1"/>
            <w:tabs>
              <w:tab w:val="right" w:leader="dot" w:pos="9071"/>
            </w:tabs>
            <w:ind w:left="42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"_Toc25051" </w:instrText>
          </w:r>
          <w:r>
            <w:rPr>
              <w:rFonts w:hint="eastAsia" w:ascii="宋体" w:hAnsi="宋体" w:eastAsia="宋体" w:cs="宋体"/>
              <w:sz w:val="24"/>
              <w:szCs w:val="24"/>
            </w:rPr>
            <w:fldChar w:fldCharType="separate"/>
          </w:r>
          <w:r>
            <w:rPr>
              <w:rFonts w:hint="eastAsia" w:ascii="宋体" w:hAnsi="宋体" w:eastAsia="宋体" w:cs="宋体"/>
              <w:sz w:val="24"/>
              <w:szCs w:val="24"/>
            </w:rPr>
            <w:t>三、技术文件组成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_Toc25051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"_Toc4510" </w:instrText>
          </w:r>
          <w:r>
            <w:rPr>
              <w:rFonts w:hint="eastAsia" w:ascii="宋体" w:hAnsi="宋体" w:eastAsia="宋体" w:cs="宋体"/>
              <w:sz w:val="24"/>
              <w:szCs w:val="24"/>
            </w:rPr>
            <w:fldChar w:fldCharType="separate"/>
          </w:r>
          <w:r>
            <w:rPr>
              <w:rFonts w:hint="eastAsia" w:ascii="宋体" w:hAnsi="宋体" w:eastAsia="宋体" w:cs="宋体"/>
              <w:sz w:val="24"/>
              <w:szCs w:val="24"/>
            </w:rPr>
            <w:t>（一）技术响应、偏离说明表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_Toc4510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"_Toc1059" </w:instrText>
          </w:r>
          <w:r>
            <w:rPr>
              <w:rFonts w:hint="eastAsia" w:ascii="宋体" w:hAnsi="宋体" w:eastAsia="宋体" w:cs="宋体"/>
              <w:sz w:val="24"/>
              <w:szCs w:val="24"/>
            </w:rPr>
            <w:fldChar w:fldCharType="separate"/>
          </w:r>
          <w:r>
            <w:rPr>
              <w:rFonts w:hint="eastAsia" w:ascii="宋体" w:hAnsi="宋体" w:eastAsia="宋体" w:cs="宋体"/>
              <w:sz w:val="24"/>
              <w:szCs w:val="24"/>
            </w:rPr>
            <w:t>（二）技术方案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_Toc1059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2"/>
            <w:tabs>
              <w:tab w:val="right" w:leader="dot" w:pos="9071"/>
            </w:tabs>
            <w:ind w:left="84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"_Toc4955" </w:instrText>
          </w:r>
          <w:r>
            <w:rPr>
              <w:rFonts w:hint="eastAsia" w:ascii="宋体" w:hAnsi="宋体" w:eastAsia="宋体" w:cs="宋体"/>
              <w:sz w:val="24"/>
              <w:szCs w:val="24"/>
            </w:rPr>
            <w:fldChar w:fldCharType="separate"/>
          </w:r>
          <w:r>
            <w:rPr>
              <w:rFonts w:hint="eastAsia" w:ascii="宋体" w:hAnsi="宋体" w:eastAsia="宋体" w:cs="宋体"/>
              <w:sz w:val="24"/>
              <w:szCs w:val="24"/>
            </w:rPr>
            <w:t>（三）供应商认为需要说明的其他技术方案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_Toc4955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90"/>
            <w:tabs>
              <w:tab w:val="right" w:leader="dot" w:pos="9071"/>
            </w:tabs>
            <w:ind w:firstLine="960" w:firstLineChars="4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"_Toc11467" </w:instrText>
          </w:r>
          <w:r>
            <w:rPr>
              <w:rFonts w:hint="eastAsia" w:ascii="宋体" w:hAnsi="宋体" w:eastAsia="宋体" w:cs="宋体"/>
              <w:sz w:val="24"/>
              <w:szCs w:val="24"/>
            </w:rPr>
            <w:fldChar w:fldCharType="separate"/>
          </w:r>
          <w:r>
            <w:rPr>
              <w:rFonts w:hint="eastAsia" w:ascii="宋体" w:hAnsi="宋体" w:eastAsia="宋体" w:cs="宋体"/>
              <w:sz w:val="24"/>
              <w:szCs w:val="24"/>
            </w:rPr>
            <w:t>供应商认为需要提交的其他说明格式自拟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_Toc11467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rPr>
              <w:rFonts w:hint="eastAsia" w:ascii="宋体" w:hAnsi="宋体" w:eastAsia="宋体" w:cs="宋体"/>
              <w:sz w:val="24"/>
              <w:szCs w:val="24"/>
            </w:rPr>
          </w:pPr>
          <w:r>
            <w:rPr>
              <w:rFonts w:hint="eastAsia" w:ascii="宋体" w:hAnsi="宋体" w:eastAsia="宋体" w:cs="宋体"/>
              <w:sz w:val="24"/>
              <w:szCs w:val="24"/>
            </w:rPr>
            <w:fldChar w:fldCharType="end"/>
          </w:r>
        </w:p>
      </w:sdtContent>
    </w:sdt>
    <w:p>
      <w:pPr>
        <w:pStyle w:val="20"/>
        <w:tabs>
          <w:tab w:val="right" w:leader="dot" w:pos="8302"/>
        </w:tabs>
        <w:snapToGrid w:val="0"/>
        <w:ind w:left="0"/>
        <w:rPr>
          <w:rFonts w:hint="eastAsia" w:ascii="宋体" w:hAnsi="宋体" w:eastAsia="宋体" w:cs="宋体"/>
          <w:i w:val="0"/>
          <w:iCs w:val="0"/>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TOC \o "1-3" \h \z \u </w:instrText>
      </w:r>
      <w:r>
        <w:rPr>
          <w:rFonts w:hint="eastAsia" w:ascii="宋体" w:hAnsi="宋体" w:eastAsia="宋体" w:cs="宋体"/>
          <w:color w:val="000000"/>
          <w:sz w:val="24"/>
          <w:szCs w:val="24"/>
        </w:rPr>
        <w:fldChar w:fldCharType="separate"/>
      </w:r>
    </w:p>
    <w:p>
      <w:pPr>
        <w:tabs>
          <w:tab w:val="right" w:leader="dot" w:pos="8222"/>
        </w:tabs>
        <w:snapToGrid w:val="0"/>
        <w:spacing w:line="276" w:lineRule="auto"/>
        <w:ind w:right="-50" w:rightChars="-24"/>
        <w:rPr>
          <w:rFonts w:hint="eastAsia" w:ascii="宋体" w:hAnsi="宋体" w:eastAsia="宋体" w:cs="宋体"/>
          <w:sz w:val="24"/>
          <w:szCs w:val="24"/>
          <w:lang w:val="zh-CN"/>
        </w:rPr>
      </w:pPr>
      <w:r>
        <w:rPr>
          <w:rFonts w:hint="eastAsia" w:ascii="宋体" w:hAnsi="宋体" w:eastAsia="宋体" w:cs="宋体"/>
          <w:caps/>
          <w:color w:val="000000"/>
          <w:sz w:val="24"/>
          <w:szCs w:val="24"/>
        </w:rPr>
        <w:fldChar w:fldCharType="end"/>
      </w:r>
    </w:p>
    <w:p>
      <w:pPr>
        <w:pStyle w:val="4"/>
        <w:snapToGrid w:val="0"/>
        <w:spacing w:before="0" w:after="0" w:line="240" w:lineRule="auto"/>
        <w:jc w:val="center"/>
        <w:rPr>
          <w:rFonts w:hint="eastAsia" w:ascii="宋体" w:hAnsi="宋体" w:eastAsia="宋体" w:cs="宋体"/>
          <w:b/>
          <w:bCs w:val="0"/>
          <w:color w:val="000000"/>
          <w:sz w:val="24"/>
          <w:szCs w:val="24"/>
        </w:rPr>
        <w:sectPr>
          <w:pgSz w:w="11906" w:h="16838"/>
          <w:pgMar w:top="1304" w:right="1304" w:bottom="1304" w:left="1531" w:header="851" w:footer="850" w:gutter="0"/>
          <w:cols w:space="0" w:num="1"/>
          <w:docGrid w:type="lines" w:linePitch="339" w:charSpace="0"/>
        </w:sectPr>
      </w:pPr>
      <w:bookmarkStart w:id="8" w:name="_Toc532543563"/>
      <w:bookmarkStart w:id="9" w:name="_Toc106383952"/>
    </w:p>
    <w:p>
      <w:pPr>
        <w:pStyle w:val="4"/>
        <w:snapToGrid w:val="0"/>
        <w:spacing w:before="0" w:after="0" w:line="240" w:lineRule="auto"/>
        <w:jc w:val="center"/>
        <w:rPr>
          <w:rFonts w:hint="eastAsia" w:ascii="宋体" w:hAnsi="宋体" w:eastAsia="宋体" w:cs="宋体"/>
          <w:b/>
          <w:bCs w:val="0"/>
          <w:color w:val="000000"/>
          <w:sz w:val="32"/>
          <w:szCs w:val="32"/>
        </w:rPr>
      </w:pPr>
      <w:bookmarkStart w:id="10" w:name="_Toc20873"/>
      <w:r>
        <w:rPr>
          <w:rFonts w:hint="eastAsia" w:ascii="宋体" w:hAnsi="宋体" w:eastAsia="宋体" w:cs="宋体"/>
          <w:b/>
          <w:bCs w:val="0"/>
          <w:color w:val="000000"/>
          <w:sz w:val="32"/>
          <w:szCs w:val="32"/>
        </w:rPr>
        <w:t>第一章 竞争性磋商</w:t>
      </w:r>
      <w:bookmarkEnd w:id="8"/>
      <w:r>
        <w:rPr>
          <w:rFonts w:hint="eastAsia" w:ascii="宋体" w:hAnsi="宋体" w:eastAsia="宋体" w:cs="宋体"/>
          <w:b/>
          <w:bCs w:val="0"/>
          <w:color w:val="000000"/>
          <w:sz w:val="32"/>
          <w:szCs w:val="32"/>
        </w:rPr>
        <w:t>公告</w:t>
      </w:r>
      <w:bookmarkEnd w:id="9"/>
      <w:bookmarkEnd w:id="10"/>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eastAsia="宋体" w:cs="宋体"/>
          <w:sz w:val="24"/>
          <w:szCs w:val="24"/>
        </w:rPr>
      </w:pPr>
      <w:bookmarkStart w:id="11" w:name="EBc884e50b9a914054b9124fad1c99d853"/>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哈密市交通运输局2023年度服务中心公路工程检测项目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政采云系统平台（https://www.zcygov.cn/）线上获取采购文件</w:t>
      </w:r>
      <w:r>
        <w:rPr>
          <w:rFonts w:hint="eastAsia" w:ascii="宋体" w:hAnsi="宋体" w:eastAsia="宋体" w:cs="宋体"/>
          <w:sz w:val="24"/>
          <w:szCs w:val="24"/>
        </w:rPr>
        <w:t>，并于</w:t>
      </w:r>
      <w:r>
        <w:rPr>
          <w:rFonts w:hint="eastAsia" w:ascii="宋体" w:hAnsi="宋体" w:eastAsia="宋体" w:cs="宋体"/>
          <w:sz w:val="24"/>
          <w:szCs w:val="24"/>
          <w:u w:val="single"/>
        </w:rPr>
        <w:t>2023年</w:t>
      </w:r>
      <w:r>
        <w:rPr>
          <w:rFonts w:hint="eastAsia" w:ascii="宋体" w:hAnsi="宋体" w:eastAsia="宋体" w:cs="宋体"/>
          <w:sz w:val="24"/>
          <w:szCs w:val="24"/>
          <w:highlight w:val="none"/>
          <w:u w:val="single"/>
        </w:rPr>
        <w:t>06月</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日16点00分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snapToGrid w:val="0"/>
        <w:spacing w:line="360" w:lineRule="auto"/>
        <w:outlineLvl w:val="1"/>
        <w:rPr>
          <w:rFonts w:hint="eastAsia" w:ascii="宋体" w:hAnsi="宋体" w:eastAsia="宋体" w:cs="宋体"/>
          <w:b/>
          <w:sz w:val="24"/>
          <w:szCs w:val="24"/>
        </w:rPr>
      </w:pPr>
      <w:bookmarkStart w:id="12" w:name="_Toc28359089"/>
      <w:bookmarkStart w:id="13" w:name="_Toc12157"/>
      <w:bookmarkStart w:id="14" w:name="_Toc28359012"/>
      <w:bookmarkStart w:id="15" w:name="_Toc35393798"/>
      <w:bookmarkStart w:id="16" w:name="_Toc21165"/>
      <w:bookmarkStart w:id="17" w:name="_Toc35393629"/>
      <w:r>
        <w:rPr>
          <w:rFonts w:hint="eastAsia" w:ascii="宋体" w:hAnsi="宋体" w:eastAsia="宋体" w:cs="宋体"/>
          <w:b/>
          <w:sz w:val="24"/>
          <w:szCs w:val="24"/>
        </w:rPr>
        <w:t>一、项目基本情况</w:t>
      </w:r>
      <w:bookmarkEnd w:id="12"/>
      <w:bookmarkEnd w:id="13"/>
      <w:bookmarkEnd w:id="14"/>
      <w:bookmarkEnd w:id="15"/>
      <w:bookmarkEnd w:id="16"/>
      <w:bookmarkEnd w:id="17"/>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项目编号：XJYZB2023-28</w:t>
      </w:r>
    </w:p>
    <w:p>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项目名称：哈密市交通运输局2023年度服务中心公路工程检测项目</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采购方式：竞争性磋商</w:t>
      </w:r>
    </w:p>
    <w:p>
      <w:pPr>
        <w:snapToGrid w:val="0"/>
        <w:spacing w:line="360" w:lineRule="auto"/>
        <w:ind w:firstLine="480" w:firstLineChars="200"/>
        <w:outlineLvl w:val="2"/>
        <w:rPr>
          <w:rFonts w:hint="eastAsia" w:ascii="宋体" w:hAnsi="宋体" w:eastAsia="宋体" w:cs="宋体"/>
          <w:sz w:val="24"/>
          <w:szCs w:val="24"/>
        </w:rPr>
      </w:pPr>
      <w:bookmarkStart w:id="18" w:name="_Toc28423"/>
      <w:r>
        <w:rPr>
          <w:rFonts w:hint="eastAsia" w:ascii="宋体" w:hAnsi="宋体" w:eastAsia="宋体" w:cs="宋体"/>
          <w:sz w:val="24"/>
          <w:szCs w:val="24"/>
        </w:rPr>
        <w:t>预算金额：863310.00元</w:t>
      </w:r>
      <w:bookmarkEnd w:id="18"/>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根据自治区《公路工程质量监督条例》以及交通运输部《公路水运工程质量监督管理办法》的有关规定，通过年初开工复工前质量监督检查、年中专项监督检查、年终综合监督检查以及随机的检查、技术指导服务、实验专项抽检和不定期的监督检查工作，确保哈密市重点及农村公路在建公路工程质量合格率100%，当年建成农村公路工程项目能当年投入使用。本次检测工作涉及路基工程、路面工程、桥梁工程、原材料检测、交通安全设施工程、现场工程实体检测及资料查验，各分部工程所涉及的抽检频率及检测项目详见磋商文件采购需求。</w:t>
      </w:r>
    </w:p>
    <w:p>
      <w:pPr>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合同履行期限：自合同签订日期至2023年12月31日。</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本项目不接受联合体。</w:t>
      </w:r>
    </w:p>
    <w:p>
      <w:pPr>
        <w:snapToGrid w:val="0"/>
        <w:spacing w:line="360" w:lineRule="auto"/>
        <w:outlineLvl w:val="1"/>
        <w:rPr>
          <w:rFonts w:hint="eastAsia" w:ascii="宋体" w:hAnsi="宋体" w:eastAsia="宋体" w:cs="宋体"/>
          <w:b/>
          <w:sz w:val="24"/>
          <w:szCs w:val="24"/>
        </w:rPr>
      </w:pPr>
      <w:bookmarkStart w:id="19" w:name="_Toc28359013"/>
      <w:bookmarkStart w:id="20" w:name="_Toc35393630"/>
      <w:bookmarkStart w:id="21" w:name="_Toc20110"/>
      <w:bookmarkStart w:id="22" w:name="_Toc35393799"/>
      <w:bookmarkStart w:id="23" w:name="_Toc25448"/>
      <w:bookmarkStart w:id="24" w:name="_Toc28359090"/>
      <w:r>
        <w:rPr>
          <w:rFonts w:hint="eastAsia" w:ascii="宋体" w:hAnsi="宋体" w:eastAsia="宋体" w:cs="宋体"/>
          <w:b/>
          <w:sz w:val="24"/>
          <w:szCs w:val="24"/>
        </w:rPr>
        <w:t>二、申请人的资格要求：</w:t>
      </w:r>
      <w:bookmarkEnd w:id="19"/>
      <w:bookmarkEnd w:id="20"/>
      <w:bookmarkEnd w:id="21"/>
      <w:bookmarkEnd w:id="22"/>
      <w:bookmarkEnd w:id="23"/>
      <w:bookmarkEnd w:id="24"/>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（2）具有健全的财务会计制度；</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snapToGrid w:val="0"/>
        <w:spacing w:line="360" w:lineRule="auto"/>
        <w:ind w:firstLine="480" w:firstLineChars="200"/>
        <w:outlineLvl w:val="2"/>
        <w:rPr>
          <w:rFonts w:hint="eastAsia" w:ascii="宋体" w:hAnsi="宋体" w:eastAsia="宋体" w:cs="宋体"/>
          <w:sz w:val="24"/>
          <w:szCs w:val="24"/>
        </w:rPr>
      </w:pPr>
      <w:bookmarkStart w:id="25" w:name="_Toc28603"/>
      <w:r>
        <w:rPr>
          <w:rFonts w:hint="eastAsia" w:ascii="宋体" w:hAnsi="宋体" w:eastAsia="宋体" w:cs="宋体"/>
          <w:sz w:val="24"/>
          <w:szCs w:val="24"/>
        </w:rPr>
        <w:t>（6）法律、行政法规规定的其他条件。</w:t>
      </w:r>
      <w:bookmarkEnd w:id="25"/>
    </w:p>
    <w:p>
      <w:pPr>
        <w:snapToGrid w:val="0"/>
        <w:spacing w:line="360" w:lineRule="auto"/>
        <w:ind w:firstLine="480" w:firstLineChars="200"/>
        <w:rPr>
          <w:rFonts w:hint="eastAsia" w:ascii="宋体" w:hAnsi="宋体" w:eastAsia="宋体" w:cs="宋体"/>
          <w:sz w:val="24"/>
          <w:szCs w:val="24"/>
          <w:highlight w:val="none"/>
        </w:rPr>
      </w:pPr>
      <w:bookmarkStart w:id="26" w:name="_Toc28359091"/>
      <w:bookmarkStart w:id="27" w:name="_Toc28359014"/>
      <w:r>
        <w:rPr>
          <w:rFonts w:hint="eastAsia" w:ascii="宋体" w:hAnsi="宋体" w:eastAsia="宋体" w:cs="宋体"/>
          <w:sz w:val="24"/>
          <w:szCs w:val="24"/>
          <w:highlight w:val="none"/>
        </w:rPr>
        <w:t>2.落实政府采购政策需满足的资格要求：</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（1）须具有交通运输部工程质量监督机构颁发的公路工程试验检测机构综合乙级及以上资质证书，同时具有质量技术监督部门颁发的有效计量认证证书（CMA）。</w:t>
      </w:r>
    </w:p>
    <w:p>
      <w:pPr>
        <w:snapToGrid w:val="0"/>
        <w:spacing w:line="360" w:lineRule="auto"/>
        <w:ind w:firstLine="480" w:firstLineChars="200"/>
        <w:outlineLvl w:val="2"/>
        <w:rPr>
          <w:rFonts w:hint="eastAsia" w:ascii="宋体" w:hAnsi="宋体" w:eastAsia="宋体" w:cs="宋体"/>
          <w:sz w:val="24"/>
          <w:szCs w:val="24"/>
          <w:highlight w:val="none"/>
        </w:rPr>
      </w:pPr>
      <w:bookmarkStart w:id="28" w:name="_Toc18191"/>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）关键设备最低要求：详见公告附件。</w:t>
      </w:r>
      <w:bookmarkEnd w:id="28"/>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）与采购人存在利害关系且可能影响磋商公正性的单位，单位负责人为同一人或者存在控股、管理关系的不同单位，不得参加磋商。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）与施工标段承包人和监理人有投资参股的关联关系或直接管理和被管理关系的检测机构不得参与本标段的投标。</w:t>
      </w:r>
    </w:p>
    <w:p>
      <w:pPr>
        <w:snapToGrid w:val="0"/>
        <w:spacing w:line="360" w:lineRule="auto"/>
        <w:outlineLvl w:val="1"/>
        <w:rPr>
          <w:rFonts w:hint="eastAsia" w:ascii="宋体" w:hAnsi="宋体" w:eastAsia="宋体" w:cs="宋体"/>
          <w:b/>
          <w:sz w:val="24"/>
          <w:szCs w:val="24"/>
        </w:rPr>
      </w:pPr>
      <w:bookmarkStart w:id="29" w:name="_Toc35393800"/>
      <w:bookmarkStart w:id="30" w:name="_Toc25116"/>
      <w:bookmarkStart w:id="31" w:name="_Toc35393631"/>
      <w:bookmarkStart w:id="32" w:name="_Toc6094"/>
      <w:r>
        <w:rPr>
          <w:rFonts w:hint="eastAsia" w:ascii="宋体" w:hAnsi="宋体" w:eastAsia="宋体" w:cs="宋体"/>
          <w:b/>
          <w:sz w:val="24"/>
          <w:szCs w:val="24"/>
        </w:rPr>
        <w:t>三、获取采购文件</w:t>
      </w:r>
      <w:bookmarkEnd w:id="26"/>
      <w:bookmarkEnd w:id="27"/>
      <w:bookmarkEnd w:id="29"/>
      <w:bookmarkEnd w:id="30"/>
      <w:bookmarkEnd w:id="31"/>
      <w:bookmarkEnd w:id="32"/>
    </w:p>
    <w:p>
      <w:pPr>
        <w:snapToGrid w:val="0"/>
        <w:spacing w:line="360" w:lineRule="auto"/>
        <w:ind w:firstLine="54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highlight w:val="none"/>
          <w:u w:val="single"/>
        </w:rPr>
        <w:t>2023年0</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02</w:t>
      </w:r>
      <w:r>
        <w:rPr>
          <w:rFonts w:hint="eastAsia" w:ascii="宋体" w:hAnsi="宋体" w:eastAsia="宋体" w:cs="宋体"/>
          <w:sz w:val="24"/>
          <w:szCs w:val="24"/>
          <w:highlight w:val="none"/>
          <w:u w:val="single"/>
        </w:rPr>
        <w:t>日至2023年06月</w:t>
      </w:r>
      <w:r>
        <w:rPr>
          <w:rFonts w:hint="eastAsia" w:ascii="宋体" w:hAnsi="宋体" w:cs="宋体"/>
          <w:sz w:val="24"/>
          <w:szCs w:val="24"/>
          <w:highlight w:val="none"/>
          <w:u w:val="single"/>
          <w:lang w:val="en-US" w:eastAsia="zh-CN"/>
        </w:rPr>
        <w:t>11</w:t>
      </w:r>
      <w:r>
        <w:rPr>
          <w:rFonts w:hint="eastAsia" w:ascii="宋体" w:hAnsi="宋体" w:eastAsia="宋体" w:cs="宋体"/>
          <w:sz w:val="24"/>
          <w:szCs w:val="24"/>
          <w:highlight w:val="none"/>
          <w:u w:val="single"/>
        </w:rPr>
        <w:t>日（</w:t>
      </w:r>
      <w:r>
        <w:rPr>
          <w:rFonts w:hint="eastAsia" w:ascii="宋体" w:hAnsi="宋体" w:eastAsia="宋体" w:cs="宋体"/>
          <w:sz w:val="24"/>
          <w:szCs w:val="24"/>
          <w:u w:val="single"/>
        </w:rPr>
        <w:t>节假日除外），上午：00:00-12:00（北京时间），下午：12:00-23:59（北京时间）</w:t>
      </w:r>
    </w:p>
    <w:p>
      <w:pPr>
        <w:snapToGrid w:val="0"/>
        <w:spacing w:line="360" w:lineRule="auto"/>
        <w:ind w:firstLine="540"/>
        <w:outlineLvl w:val="2"/>
        <w:rPr>
          <w:rFonts w:hint="eastAsia" w:ascii="宋体" w:hAnsi="宋体" w:eastAsia="宋体" w:cs="宋体"/>
          <w:sz w:val="24"/>
          <w:szCs w:val="24"/>
          <w:u w:val="single"/>
        </w:rPr>
      </w:pPr>
      <w:bookmarkStart w:id="33" w:name="_Toc11272"/>
      <w:r>
        <w:rPr>
          <w:rFonts w:hint="eastAsia" w:ascii="宋体" w:hAnsi="宋体" w:eastAsia="宋体" w:cs="宋体"/>
          <w:sz w:val="24"/>
          <w:szCs w:val="24"/>
        </w:rPr>
        <w:t>地点：登录政采云系统平台线上获取采购文件</w:t>
      </w:r>
      <w:bookmarkEnd w:id="33"/>
    </w:p>
    <w:p>
      <w:pPr>
        <w:snapToGrid w:val="0"/>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24"/>
        </w:rPr>
        <w:t>方式：供应商登录政采云平台https://www.zcygov.cn/在线申请获取采购文件（进入“项目采购”应用，在获取采购文件菜单中选择项目，申请获取采购文件）。</w:t>
      </w:r>
    </w:p>
    <w:p>
      <w:pPr>
        <w:snapToGrid w:val="0"/>
        <w:spacing w:line="360" w:lineRule="auto"/>
        <w:ind w:firstLine="540"/>
        <w:rPr>
          <w:rFonts w:hint="eastAsia" w:ascii="宋体" w:hAnsi="宋体" w:eastAsia="宋体" w:cs="宋体"/>
          <w:sz w:val="24"/>
          <w:szCs w:val="24"/>
        </w:rPr>
      </w:pPr>
      <w:r>
        <w:rPr>
          <w:rFonts w:hint="eastAsia" w:ascii="宋体" w:hAnsi="宋体" w:eastAsia="宋体" w:cs="宋体"/>
          <w:sz w:val="24"/>
          <w:szCs w:val="24"/>
        </w:rPr>
        <w:t>售价：0元</w:t>
      </w:r>
    </w:p>
    <w:p>
      <w:pPr>
        <w:snapToGrid w:val="0"/>
        <w:spacing w:line="360" w:lineRule="auto"/>
        <w:outlineLvl w:val="1"/>
        <w:rPr>
          <w:rFonts w:hint="eastAsia" w:ascii="宋体" w:hAnsi="宋体" w:eastAsia="宋体" w:cs="宋体"/>
          <w:b/>
          <w:sz w:val="24"/>
          <w:szCs w:val="24"/>
        </w:rPr>
      </w:pPr>
      <w:bookmarkStart w:id="34" w:name="_Toc35393801"/>
      <w:bookmarkStart w:id="35" w:name="_Toc35393632"/>
      <w:bookmarkStart w:id="36" w:name="_Toc20180"/>
      <w:bookmarkStart w:id="37" w:name="_Toc17021"/>
      <w:bookmarkStart w:id="38" w:name="_Toc28359092"/>
      <w:bookmarkStart w:id="39" w:name="_Toc28359015"/>
      <w:r>
        <w:rPr>
          <w:rFonts w:hint="eastAsia" w:ascii="宋体" w:hAnsi="宋体" w:eastAsia="宋体" w:cs="宋体"/>
          <w:b/>
          <w:sz w:val="24"/>
          <w:szCs w:val="24"/>
        </w:rPr>
        <w:t>四、响应文件提交</w:t>
      </w:r>
      <w:bookmarkEnd w:id="34"/>
      <w:bookmarkEnd w:id="35"/>
      <w:bookmarkEnd w:id="36"/>
      <w:bookmarkEnd w:id="37"/>
      <w:bookmarkEnd w:id="38"/>
      <w:bookmarkEnd w:id="39"/>
    </w:p>
    <w:p>
      <w:pPr>
        <w:snapToGrid w:val="0"/>
        <w:spacing w:line="360" w:lineRule="auto"/>
        <w:ind w:firstLine="480" w:firstLineChars="200"/>
        <w:rPr>
          <w:rFonts w:hint="eastAsia" w:ascii="宋体" w:hAnsi="宋体" w:eastAsia="宋体" w:cs="宋体"/>
          <w:bCs/>
          <w:sz w:val="24"/>
          <w:szCs w:val="24"/>
          <w:u w:val="single"/>
        </w:rPr>
      </w:pPr>
      <w:bookmarkStart w:id="40" w:name="OLE_LINK2"/>
      <w:bookmarkStart w:id="41" w:name="OLE_LINK1"/>
      <w:r>
        <w:rPr>
          <w:rFonts w:hint="eastAsia" w:ascii="宋体" w:hAnsi="宋体" w:eastAsia="宋体" w:cs="宋体"/>
          <w:sz w:val="24"/>
          <w:szCs w:val="24"/>
        </w:rPr>
        <w:t>截止时间：</w:t>
      </w:r>
      <w:bookmarkStart w:id="42" w:name="_Hlk43290170"/>
      <w:r>
        <w:rPr>
          <w:rFonts w:hint="eastAsia" w:ascii="宋体" w:hAnsi="宋体" w:eastAsia="宋体" w:cs="宋体"/>
          <w:sz w:val="24"/>
          <w:szCs w:val="24"/>
          <w:highlight w:val="none"/>
          <w:u w:val="single"/>
        </w:rPr>
        <w:t>2023年06月</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日16点00分</w:t>
      </w:r>
      <w:r>
        <w:rPr>
          <w:rFonts w:hint="eastAsia" w:ascii="宋体" w:hAnsi="宋体" w:eastAsia="宋体" w:cs="宋体"/>
          <w:bCs/>
          <w:sz w:val="24"/>
          <w:szCs w:val="24"/>
        </w:rPr>
        <w:t>（北京时间）</w:t>
      </w:r>
      <w:bookmarkEnd w:id="40"/>
      <w:bookmarkEnd w:id="41"/>
      <w:bookmarkEnd w:id="42"/>
    </w:p>
    <w:p>
      <w:pPr>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地点：政采云系统平台（https://www.zcygov.cn/）</w:t>
      </w:r>
    </w:p>
    <w:p>
      <w:pPr>
        <w:snapToGrid w:val="0"/>
        <w:spacing w:line="360" w:lineRule="auto"/>
        <w:outlineLvl w:val="1"/>
        <w:rPr>
          <w:rFonts w:hint="eastAsia" w:ascii="宋体" w:hAnsi="宋体" w:eastAsia="宋体" w:cs="宋体"/>
          <w:b/>
          <w:sz w:val="24"/>
          <w:szCs w:val="24"/>
        </w:rPr>
      </w:pPr>
      <w:bookmarkStart w:id="43" w:name="_Toc35393802"/>
      <w:bookmarkStart w:id="44" w:name="_Toc28359016"/>
      <w:bookmarkStart w:id="45" w:name="_Toc4644"/>
      <w:bookmarkStart w:id="46" w:name="_Toc35393633"/>
      <w:bookmarkStart w:id="47" w:name="_Toc28359093"/>
      <w:bookmarkStart w:id="48" w:name="_Toc21794"/>
      <w:r>
        <w:rPr>
          <w:rFonts w:hint="eastAsia" w:ascii="宋体" w:hAnsi="宋体" w:eastAsia="宋体" w:cs="宋体"/>
          <w:b/>
          <w:sz w:val="24"/>
          <w:szCs w:val="24"/>
        </w:rPr>
        <w:t>五、开启</w:t>
      </w:r>
      <w:bookmarkEnd w:id="43"/>
      <w:bookmarkEnd w:id="44"/>
      <w:bookmarkEnd w:id="45"/>
      <w:bookmarkEnd w:id="46"/>
      <w:bookmarkEnd w:id="47"/>
      <w:bookmarkEnd w:id="48"/>
    </w:p>
    <w:p>
      <w:pPr>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2023年06月</w:t>
      </w:r>
      <w:r>
        <w:rPr>
          <w:rFonts w:hint="eastAsia" w:ascii="宋体" w:hAnsi="宋体" w:cs="宋体"/>
          <w:sz w:val="24"/>
          <w:szCs w:val="24"/>
          <w:highlight w:val="none"/>
          <w:u w:val="single"/>
          <w:lang w:val="en-US" w:eastAsia="zh-CN"/>
        </w:rPr>
        <w:t>12</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点00分（</w:t>
      </w:r>
      <w:r>
        <w:rPr>
          <w:rFonts w:hint="eastAsia" w:ascii="宋体" w:hAnsi="宋体" w:eastAsia="宋体" w:cs="宋体"/>
          <w:sz w:val="24"/>
          <w:szCs w:val="24"/>
          <w:u w:val="single"/>
        </w:rPr>
        <w:t>北京时间）</w:t>
      </w:r>
    </w:p>
    <w:p>
      <w:pPr>
        <w:snapToGrid w:val="0"/>
        <w:spacing w:line="360" w:lineRule="auto"/>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地点：政采云系统平台（https://www.zcygov.cn/）不见面开标大厅</w:t>
      </w:r>
    </w:p>
    <w:p>
      <w:pPr>
        <w:snapToGrid w:val="0"/>
        <w:spacing w:line="360" w:lineRule="auto"/>
        <w:outlineLvl w:val="1"/>
        <w:rPr>
          <w:rFonts w:hint="eastAsia" w:ascii="宋体" w:hAnsi="宋体" w:eastAsia="宋体" w:cs="宋体"/>
          <w:b/>
          <w:sz w:val="24"/>
          <w:szCs w:val="24"/>
        </w:rPr>
      </w:pPr>
      <w:bookmarkStart w:id="49" w:name="_Toc35393634"/>
      <w:bookmarkStart w:id="50" w:name="_Toc23306"/>
      <w:bookmarkStart w:id="51" w:name="_Toc28359017"/>
      <w:bookmarkStart w:id="52" w:name="_Toc21766"/>
      <w:bookmarkStart w:id="53" w:name="_Toc35393803"/>
      <w:bookmarkStart w:id="54" w:name="_Toc28359094"/>
      <w:r>
        <w:rPr>
          <w:rFonts w:hint="eastAsia" w:ascii="宋体" w:hAnsi="宋体" w:eastAsia="宋体" w:cs="宋体"/>
          <w:b/>
          <w:sz w:val="24"/>
          <w:szCs w:val="24"/>
        </w:rPr>
        <w:t>六、公告期限</w:t>
      </w:r>
      <w:bookmarkEnd w:id="49"/>
      <w:bookmarkEnd w:id="50"/>
      <w:bookmarkEnd w:id="51"/>
      <w:bookmarkEnd w:id="52"/>
      <w:bookmarkEnd w:id="53"/>
      <w:bookmarkEnd w:id="54"/>
    </w:p>
    <w:p>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snapToGrid w:val="0"/>
        <w:spacing w:line="360" w:lineRule="auto"/>
        <w:outlineLvl w:val="1"/>
        <w:rPr>
          <w:rFonts w:hint="eastAsia" w:ascii="宋体" w:hAnsi="宋体" w:eastAsia="宋体" w:cs="宋体"/>
          <w:b/>
          <w:sz w:val="24"/>
          <w:szCs w:val="24"/>
        </w:rPr>
      </w:pPr>
      <w:bookmarkStart w:id="55" w:name="_Toc17913"/>
      <w:bookmarkStart w:id="56" w:name="_Toc7712"/>
      <w:bookmarkStart w:id="57" w:name="_Toc35393635"/>
      <w:bookmarkStart w:id="58" w:name="_Toc35393804"/>
      <w:r>
        <w:rPr>
          <w:rFonts w:hint="eastAsia" w:ascii="宋体" w:hAnsi="宋体" w:eastAsia="宋体" w:cs="宋体"/>
          <w:b/>
          <w:sz w:val="24"/>
          <w:szCs w:val="24"/>
        </w:rPr>
        <w:t>七、其他补充事宜</w:t>
      </w:r>
      <w:bookmarkEnd w:id="55"/>
      <w:bookmarkEnd w:id="56"/>
      <w:bookmarkEnd w:id="57"/>
      <w:bookmarkEnd w:id="58"/>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1.本项目需要落实的政府采购政策：《政府采购促进中小企业发展管理办法》（财库〔2020〕46号）、《财政部、司法部关于政府采购支持监狱企业发展有关问题的通知》（财库〔2014〕68号）、《财政部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次采购采用电子交易方式，电子交易平台为“政府采购云平台（www.zcygov.cn）”。供应商参与本项目电子交易活动前，应注册成为政府采购云平台供应商。编制电子响应文件前还需申领CA证书并绑定账号。供应商应充分考虑完成平台注册、申领CA证书等所需的时间。因未注册入库、未办理CA数字证书等原因造成无法投标或投标失败等后果由供应商自行承担。</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4、加密的电子响应文件（.jmbs格式）应在响应文件递交截止时间前通过政采云平台上传完成。</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6、逾期上传或者未上传指定地点的响应文件，采购人不予受理。</w:t>
      </w:r>
    </w:p>
    <w:p>
      <w:pPr>
        <w:snapToGrid w:val="0"/>
        <w:spacing w:line="440" w:lineRule="exact"/>
        <w:outlineLvl w:val="1"/>
        <w:rPr>
          <w:rFonts w:hint="eastAsia" w:ascii="宋体" w:hAnsi="宋体" w:eastAsia="宋体" w:cs="宋体"/>
          <w:bCs/>
          <w:sz w:val="24"/>
          <w:szCs w:val="24"/>
        </w:rPr>
      </w:pPr>
      <w:bookmarkStart w:id="59" w:name="_Toc9460"/>
      <w:bookmarkStart w:id="60" w:name="_Toc35393636"/>
      <w:bookmarkStart w:id="61" w:name="_Toc35393805"/>
      <w:bookmarkStart w:id="62" w:name="_Toc28359095"/>
      <w:bookmarkStart w:id="63" w:name="_Toc11444"/>
      <w:bookmarkStart w:id="64" w:name="_Toc28359018"/>
      <w:r>
        <w:rPr>
          <w:rFonts w:hint="eastAsia" w:ascii="宋体" w:hAnsi="宋体" w:eastAsia="宋体" w:cs="宋体"/>
          <w:b/>
          <w:sz w:val="24"/>
          <w:szCs w:val="24"/>
        </w:rPr>
        <w:t>八、凡对本次采购提出询问，请按以下方式联系。</w:t>
      </w:r>
      <w:bookmarkEnd w:id="59"/>
      <w:bookmarkEnd w:id="60"/>
      <w:bookmarkEnd w:id="61"/>
      <w:bookmarkEnd w:id="62"/>
      <w:bookmarkEnd w:id="63"/>
      <w:bookmarkEnd w:id="64"/>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采购人名称：哈密市交通运输局</w:t>
      </w:r>
    </w:p>
    <w:p>
      <w:pPr>
        <w:snapToGrid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采购项目联系人：</w:t>
      </w:r>
      <w:r>
        <w:rPr>
          <w:rFonts w:hint="eastAsia" w:ascii="宋体" w:hAnsi="宋体" w:cs="宋体"/>
          <w:sz w:val="24"/>
          <w:szCs w:val="24"/>
          <w:lang w:eastAsia="zh-CN"/>
        </w:rPr>
        <w:t>阿布来提·热西提</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联系电话：17799351125</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采购代理机构名称：新疆新纪元项目管理咨询有限公司</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联系人：夏雨婷</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联系电话：13899926797</w:t>
      </w:r>
    </w:p>
    <w:p>
      <w:pPr>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地址：乌鲁木齐市沙依巴克区扬子江路西后巷14号新纪元大厦402室</w:t>
      </w:r>
    </w:p>
    <w:p>
      <w:pPr>
        <w:widowControl/>
        <w:snapToGrid w:val="0"/>
        <w:jc w:val="left"/>
        <w:rPr>
          <w:rFonts w:hint="eastAsia" w:ascii="宋体" w:hAnsi="宋体" w:eastAsia="宋体" w:cs="宋体"/>
          <w:sz w:val="24"/>
          <w:szCs w:val="24"/>
        </w:rPr>
      </w:pPr>
    </w:p>
    <w:p>
      <w:pPr>
        <w:pStyle w:val="4"/>
        <w:rPr>
          <w:rFonts w:hint="eastAsia" w:ascii="宋体" w:hAnsi="宋体" w:eastAsia="宋体" w:cs="宋体"/>
          <w:sz w:val="24"/>
          <w:szCs w:val="24"/>
        </w:rPr>
      </w:pPr>
    </w:p>
    <w:p>
      <w:pPr>
        <w:rPr>
          <w:rFonts w:hint="eastAsia" w:ascii="宋体" w:hAnsi="宋体" w:eastAsia="宋体" w:cs="宋体"/>
          <w:sz w:val="24"/>
          <w:szCs w:val="24"/>
        </w:rPr>
        <w:sectPr>
          <w:footerReference r:id="rId8" w:type="default"/>
          <w:pgSz w:w="11906" w:h="16838"/>
          <w:pgMar w:top="1304" w:right="1304" w:bottom="1304" w:left="1531" w:header="851" w:footer="850" w:gutter="0"/>
          <w:pgNumType w:start="1"/>
          <w:cols w:space="0" w:num="1"/>
          <w:docGrid w:type="lines" w:linePitch="339" w:charSpace="0"/>
        </w:sectPr>
      </w:pPr>
    </w:p>
    <w:p>
      <w:pPr>
        <w:snapToGrid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哈密市交通运输局2023年度服务中心公路工程检测项目招标公告附件</w:t>
      </w:r>
    </w:p>
    <w:p>
      <w:pPr>
        <w:snapToGrid w:val="0"/>
        <w:spacing w:line="400" w:lineRule="exact"/>
        <w:jc w:val="center"/>
        <w:outlineLvl w:val="0"/>
        <w:rPr>
          <w:rFonts w:hint="eastAsia" w:ascii="宋体" w:hAnsi="宋体" w:eastAsia="宋体" w:cs="宋体"/>
          <w:b/>
          <w:sz w:val="24"/>
          <w:szCs w:val="24"/>
        </w:rPr>
      </w:pPr>
      <w:bookmarkStart w:id="65" w:name="_Toc29888"/>
      <w:bookmarkStart w:id="66" w:name="_Toc22690"/>
      <w:r>
        <w:rPr>
          <w:rFonts w:hint="eastAsia" w:ascii="宋体" w:hAnsi="宋体" w:eastAsia="宋体" w:cs="宋体"/>
          <w:b/>
          <w:sz w:val="24"/>
          <w:szCs w:val="24"/>
        </w:rPr>
        <w:t>资格审查条件（关键设备最低要求）</w:t>
      </w:r>
      <w:bookmarkEnd w:id="65"/>
      <w:bookmarkEnd w:id="66"/>
    </w:p>
    <w:tbl>
      <w:tblPr>
        <w:tblStyle w:val="40"/>
        <w:tblW w:w="900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0"/>
        <w:gridCol w:w="4541"/>
        <w:gridCol w:w="1167"/>
        <w:gridCol w:w="262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670" w:type="dxa"/>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4541" w:type="dxa"/>
            <w:tcBorders>
              <w:right w:val="single" w:color="auto" w:sz="4" w:space="0"/>
            </w:tcBorders>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设备名称</w:t>
            </w:r>
          </w:p>
        </w:tc>
        <w:tc>
          <w:tcPr>
            <w:tcW w:w="1167" w:type="dxa"/>
            <w:tcBorders>
              <w:left w:val="single" w:color="auto" w:sz="4" w:space="0"/>
            </w:tcBorders>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2625" w:type="dxa"/>
            <w:tcBorders>
              <w:left w:val="single" w:color="auto" w:sz="4" w:space="0"/>
            </w:tcBorders>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回弹仪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平整度仪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标志逆反射系数测试仪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标线逆反射系数测试仪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标线厚度测定仪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压碎指标测定仪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水准仪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游标卡尺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碳化深度仪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摆式摩擦仪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涂层厚度测定仪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灌砂筒</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钢尺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电子天平</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电子秤30Kg</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砼钻孔取芯机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color w:val="000000"/>
                <w:sz w:val="24"/>
                <w:szCs w:val="24"/>
              </w:rPr>
              <w:t>平整度尺（含塞尺）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路面渗水仪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落锤式弯沉仪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万能材料试验机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压力机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水泥抗折抗压试验机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全自动比表面积测定仪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标准恒温恒湿养护设备</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烘箱</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沥青延度仪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沥青针入度仪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沥青软化点仪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29</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钢筋保护层测定仪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液塑限测定仪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bl>
    <w:p>
      <w:pPr>
        <w:snapToGrid w:val="0"/>
        <w:spacing w:line="360" w:lineRule="exact"/>
        <w:ind w:firstLine="240" w:firstLineChars="100"/>
        <w:rPr>
          <w:rFonts w:hint="eastAsia" w:ascii="宋体" w:hAnsi="宋体" w:eastAsia="宋体" w:cs="宋体"/>
          <w:color w:val="000000"/>
          <w:sz w:val="24"/>
          <w:szCs w:val="24"/>
        </w:rPr>
      </w:pPr>
      <w:r>
        <w:rPr>
          <w:rFonts w:hint="eastAsia" w:ascii="宋体" w:hAnsi="宋体" w:eastAsia="宋体" w:cs="宋体"/>
          <w:color w:val="000000"/>
          <w:sz w:val="24"/>
          <w:szCs w:val="24"/>
        </w:rPr>
        <w:t>注：1、以上为完成本项目所需设备最低限度要求，同时发包人有权根据现场检测工作中需要要求检测机构增加设备，检测机构应无条件执行要求。</w:t>
      </w:r>
    </w:p>
    <w:p>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2、所投入的仪器设备必须通过检定或比对校验。</w:t>
      </w:r>
    </w:p>
    <w:p>
      <w:pPr>
        <w:snapToGri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3、符合仪器设备规范要求。</w:t>
      </w:r>
    </w:p>
    <w:bookmarkEnd w:id="11"/>
    <w:p>
      <w:pPr>
        <w:pStyle w:val="4"/>
        <w:snapToGrid w:val="0"/>
        <w:spacing w:before="0" w:after="0" w:line="360" w:lineRule="exact"/>
        <w:ind w:firstLine="720" w:firstLineChars="300"/>
        <w:rPr>
          <w:rFonts w:hint="eastAsia" w:ascii="宋体" w:hAnsi="宋体" w:eastAsia="宋体" w:cs="宋体"/>
          <w:sz w:val="24"/>
          <w:szCs w:val="24"/>
        </w:rPr>
      </w:pPr>
      <w:bookmarkStart w:id="67" w:name="_Toc30837"/>
      <w:bookmarkStart w:id="68" w:name="_Toc28780"/>
      <w:bookmarkStart w:id="69" w:name="_Toc10571"/>
      <w:bookmarkStart w:id="70" w:name="_Toc531075008"/>
      <w:bookmarkStart w:id="71" w:name="_Toc106383953"/>
      <w:bookmarkStart w:id="72" w:name="_Toc25214"/>
      <w:bookmarkStart w:id="73" w:name="_Toc532543564"/>
      <w:r>
        <w:rPr>
          <w:rFonts w:hint="eastAsia" w:ascii="宋体" w:hAnsi="宋体" w:eastAsia="宋体" w:cs="宋体"/>
          <w:color w:val="000000"/>
          <w:sz w:val="24"/>
          <w:szCs w:val="24"/>
        </w:rPr>
        <w:t>4、投标人需在投标文件中提供拟投入关键设备的购买发票或租赁合同或租赁意向合同的复印件。</w:t>
      </w:r>
      <w:bookmarkEnd w:id="67"/>
      <w:bookmarkEnd w:id="68"/>
    </w:p>
    <w:p>
      <w:pPr>
        <w:pStyle w:val="4"/>
        <w:snapToGrid w:val="0"/>
        <w:spacing w:before="0" w:after="0" w:line="240" w:lineRule="auto"/>
        <w:jc w:val="center"/>
        <w:rPr>
          <w:rFonts w:hint="eastAsia" w:ascii="宋体" w:hAnsi="宋体" w:eastAsia="宋体" w:cs="宋体"/>
          <w:b/>
          <w:bCs w:val="0"/>
          <w:color w:val="000000"/>
          <w:sz w:val="24"/>
          <w:szCs w:val="24"/>
        </w:rPr>
      </w:pPr>
    </w:p>
    <w:p>
      <w:pPr>
        <w:pStyle w:val="4"/>
        <w:snapToGrid w:val="0"/>
        <w:spacing w:before="0" w:after="0" w:line="240" w:lineRule="auto"/>
        <w:jc w:val="center"/>
        <w:rPr>
          <w:rFonts w:hint="eastAsia" w:ascii="宋体" w:hAnsi="宋体" w:eastAsia="宋体" w:cs="宋体"/>
          <w:b/>
          <w:bCs w:val="0"/>
          <w:color w:val="000000"/>
          <w:sz w:val="24"/>
          <w:szCs w:val="24"/>
        </w:rPr>
      </w:pPr>
    </w:p>
    <w:p>
      <w:pPr>
        <w:pStyle w:val="4"/>
        <w:snapToGrid w:val="0"/>
        <w:spacing w:before="0" w:after="0" w:line="240" w:lineRule="auto"/>
        <w:jc w:val="center"/>
        <w:rPr>
          <w:rFonts w:hint="eastAsia" w:ascii="宋体" w:hAnsi="宋体" w:eastAsia="宋体" w:cs="宋体"/>
          <w:b/>
          <w:bCs w:val="0"/>
          <w:color w:val="000000"/>
          <w:sz w:val="24"/>
          <w:szCs w:val="24"/>
        </w:rPr>
      </w:pPr>
    </w:p>
    <w:p>
      <w:pPr>
        <w:pStyle w:val="4"/>
        <w:snapToGrid w:val="0"/>
        <w:spacing w:before="0" w:after="0" w:line="240" w:lineRule="auto"/>
        <w:jc w:val="center"/>
        <w:rPr>
          <w:rFonts w:hint="eastAsia" w:ascii="宋体" w:hAnsi="宋体" w:eastAsia="宋体" w:cs="宋体"/>
          <w:b/>
          <w:bCs w:val="0"/>
          <w:color w:val="000000"/>
          <w:sz w:val="24"/>
          <w:szCs w:val="24"/>
        </w:rPr>
      </w:pPr>
    </w:p>
    <w:p>
      <w:pPr>
        <w:pStyle w:val="4"/>
        <w:snapToGrid w:val="0"/>
        <w:spacing w:before="0" w:after="0" w:line="240" w:lineRule="auto"/>
        <w:jc w:val="center"/>
        <w:rPr>
          <w:rFonts w:hint="eastAsia" w:ascii="宋体" w:hAnsi="宋体" w:eastAsia="宋体" w:cs="宋体"/>
          <w:b/>
          <w:bCs w:val="0"/>
          <w:color w:val="000000"/>
          <w:sz w:val="24"/>
          <w:szCs w:val="24"/>
        </w:rPr>
      </w:pPr>
    </w:p>
    <w:p>
      <w:pPr>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4"/>
        <w:snapToGrid w:val="0"/>
        <w:spacing w:before="0" w:after="0" w:line="240" w:lineRule="auto"/>
        <w:jc w:val="center"/>
        <w:rPr>
          <w:rFonts w:hint="eastAsia" w:ascii="宋体" w:hAnsi="宋体" w:eastAsia="宋体" w:cs="宋体"/>
          <w:b/>
          <w:bCs w:val="0"/>
          <w:color w:val="000000"/>
          <w:sz w:val="32"/>
          <w:szCs w:val="32"/>
        </w:rPr>
      </w:pPr>
    </w:p>
    <w:p>
      <w:pPr>
        <w:pStyle w:val="4"/>
        <w:snapToGrid w:val="0"/>
        <w:spacing w:before="0" w:after="0" w:line="240" w:lineRule="auto"/>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第二章 供应商须知</w:t>
      </w:r>
      <w:bookmarkEnd w:id="69"/>
      <w:bookmarkEnd w:id="70"/>
      <w:bookmarkEnd w:id="71"/>
      <w:bookmarkEnd w:id="72"/>
      <w:bookmarkEnd w:id="73"/>
    </w:p>
    <w:p>
      <w:pPr>
        <w:pStyle w:val="5"/>
        <w:snapToGrid w:val="0"/>
        <w:spacing w:before="0" w:after="0"/>
        <w:jc w:val="center"/>
        <w:rPr>
          <w:rFonts w:hint="eastAsia" w:ascii="宋体" w:hAnsi="宋体" w:eastAsia="宋体" w:cs="宋体"/>
          <w:sz w:val="28"/>
          <w:szCs w:val="28"/>
        </w:rPr>
      </w:pPr>
      <w:bookmarkStart w:id="74" w:name="_Toc531624142"/>
      <w:bookmarkStart w:id="75" w:name="_Toc31592"/>
      <w:bookmarkStart w:id="76" w:name="_Toc106383954"/>
      <w:bookmarkStart w:id="77" w:name="_Toc21720"/>
      <w:bookmarkStart w:id="78" w:name="EB99f3ffc62d4744a9abed5da111a780a5"/>
      <w:r>
        <w:rPr>
          <w:rFonts w:hint="eastAsia" w:ascii="宋体" w:hAnsi="宋体" w:eastAsia="宋体" w:cs="宋体"/>
          <w:sz w:val="28"/>
          <w:szCs w:val="28"/>
        </w:rPr>
        <w:t>磋商须知前附表</w:t>
      </w:r>
      <w:bookmarkEnd w:id="74"/>
      <w:bookmarkEnd w:id="75"/>
      <w:bookmarkEnd w:id="76"/>
    </w:p>
    <w:tbl>
      <w:tblPr>
        <w:tblStyle w:val="40"/>
        <w:tblW w:w="10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740"/>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77" w:type="dxa"/>
            <w:vAlign w:val="center"/>
          </w:tcPr>
          <w:p>
            <w:pPr>
              <w:pStyle w:val="68"/>
              <w:adjustRightInd w:val="0"/>
              <w:snapToGrid w:val="0"/>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序列号</w:t>
            </w:r>
          </w:p>
        </w:tc>
        <w:tc>
          <w:tcPr>
            <w:tcW w:w="1740" w:type="dxa"/>
            <w:vAlign w:val="center"/>
          </w:tcPr>
          <w:p>
            <w:pPr>
              <w:pStyle w:val="68"/>
              <w:adjustRightInd w:val="0"/>
              <w:snapToGrid w:val="0"/>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7497" w:type="dxa"/>
            <w:vAlign w:val="center"/>
          </w:tcPr>
          <w:p>
            <w:pPr>
              <w:pStyle w:val="68"/>
              <w:adjustRightInd w:val="0"/>
              <w:snapToGrid w:val="0"/>
              <w:spacing w:line="4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tc>
        <w:tc>
          <w:tcPr>
            <w:tcW w:w="7497" w:type="dxa"/>
            <w:vAlign w:val="center"/>
          </w:tcPr>
          <w:p>
            <w:pPr>
              <w:pStyle w:val="68"/>
              <w:adjustRightInd w:val="0"/>
              <w:snapToGrid w:val="0"/>
              <w:spacing w:line="400" w:lineRule="exact"/>
              <w:jc w:val="left"/>
              <w:rPr>
                <w:rFonts w:hint="eastAsia" w:ascii="宋体" w:hAnsi="宋体" w:eastAsia="宋体" w:cs="宋体"/>
                <w:color w:val="000000"/>
                <w:sz w:val="24"/>
                <w:szCs w:val="24"/>
              </w:rPr>
            </w:pPr>
            <w:r>
              <w:rPr>
                <w:rFonts w:hint="eastAsia" w:ascii="宋体" w:hAnsi="宋体" w:eastAsia="宋体" w:cs="宋体"/>
                <w:sz w:val="24"/>
                <w:szCs w:val="24"/>
              </w:rPr>
              <w:t>哈密市交通运输局2023年度服务中心公路工程检测项目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采购人</w:t>
            </w:r>
          </w:p>
        </w:tc>
        <w:tc>
          <w:tcPr>
            <w:tcW w:w="7497" w:type="dxa"/>
            <w:vAlign w:val="center"/>
          </w:tcPr>
          <w:p>
            <w:pPr>
              <w:snapToGrid w:val="0"/>
              <w:spacing w:line="400" w:lineRule="exact"/>
              <w:ind w:left="34" w:hanging="34"/>
              <w:jc w:val="left"/>
              <w:rPr>
                <w:rFonts w:hint="eastAsia"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sz w:val="24"/>
                <w:szCs w:val="24"/>
              </w:rPr>
              <w:t>哈密市交通运输局</w:t>
            </w:r>
          </w:p>
          <w:p>
            <w:pPr>
              <w:snapToGrid w:val="0"/>
              <w:spacing w:line="400" w:lineRule="exact"/>
              <w:ind w:left="34" w:hanging="34"/>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采购项目联系人：</w:t>
            </w:r>
            <w:r>
              <w:rPr>
                <w:rFonts w:hint="eastAsia" w:ascii="宋体" w:hAnsi="宋体" w:cs="宋体"/>
                <w:color w:val="000000"/>
                <w:sz w:val="24"/>
                <w:szCs w:val="24"/>
                <w:lang w:eastAsia="zh-CN"/>
              </w:rPr>
              <w:t>阿布来提·热西提</w:t>
            </w:r>
          </w:p>
          <w:p>
            <w:pPr>
              <w:snapToGrid w:val="0"/>
              <w:spacing w:line="400" w:lineRule="exact"/>
              <w:ind w:left="34" w:hanging="34"/>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联系电话：17799351125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采购代理机构</w:t>
            </w:r>
          </w:p>
        </w:tc>
        <w:tc>
          <w:tcPr>
            <w:tcW w:w="7497" w:type="dxa"/>
            <w:vAlign w:val="center"/>
          </w:tcPr>
          <w:p>
            <w:pPr>
              <w:snapToGrid w:val="0"/>
              <w:spacing w:line="400" w:lineRule="exact"/>
              <w:ind w:left="420" w:hanging="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名称：新疆新纪元项目管理咨询有限公司</w:t>
            </w:r>
          </w:p>
          <w:p>
            <w:pPr>
              <w:snapToGrid w:val="0"/>
              <w:spacing w:line="400" w:lineRule="exact"/>
              <w:ind w:left="34" w:hanging="34"/>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联系人：夏雨婷</w:t>
            </w:r>
          </w:p>
          <w:p>
            <w:pPr>
              <w:snapToGrid w:val="0"/>
              <w:spacing w:line="400" w:lineRule="exact"/>
              <w:ind w:left="34" w:hanging="34"/>
              <w:jc w:val="left"/>
              <w:rPr>
                <w:rFonts w:hint="eastAsia" w:ascii="宋体" w:hAnsi="宋体" w:eastAsia="宋体" w:cs="宋体"/>
                <w:color w:val="000000"/>
                <w:sz w:val="24"/>
                <w:szCs w:val="24"/>
              </w:rPr>
            </w:pPr>
            <w:r>
              <w:rPr>
                <w:rFonts w:hint="eastAsia" w:ascii="宋体" w:hAnsi="宋体" w:eastAsia="宋体" w:cs="宋体"/>
                <w:color w:val="000000"/>
                <w:sz w:val="24"/>
                <w:szCs w:val="24"/>
              </w:rPr>
              <w:t>联系电话：13899926797</w:t>
            </w:r>
          </w:p>
          <w:p>
            <w:pPr>
              <w:snapToGrid w:val="0"/>
              <w:spacing w:line="400" w:lineRule="exact"/>
              <w:ind w:left="420" w:hanging="420"/>
              <w:jc w:val="left"/>
              <w:rPr>
                <w:rFonts w:hint="eastAsia" w:ascii="宋体" w:hAnsi="宋体" w:eastAsia="宋体" w:cs="宋体"/>
                <w:color w:val="000000"/>
                <w:sz w:val="24"/>
                <w:szCs w:val="24"/>
              </w:rPr>
            </w:pPr>
            <w:r>
              <w:rPr>
                <w:rFonts w:hint="eastAsia" w:ascii="宋体" w:hAnsi="宋体" w:eastAsia="宋体" w:cs="宋体"/>
                <w:color w:val="000000"/>
                <w:sz w:val="24"/>
                <w:szCs w:val="24"/>
              </w:rPr>
              <w:t>地址：乌鲁木齐市沙依巴克区扬子江路西后巷14号新纪元大厦402室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4</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项目预算</w:t>
            </w:r>
          </w:p>
        </w:tc>
        <w:tc>
          <w:tcPr>
            <w:tcW w:w="7497" w:type="dxa"/>
            <w:vAlign w:val="center"/>
          </w:tcPr>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rPr>
              <w:t>863310.00</w:t>
            </w:r>
            <w:r>
              <w:rPr>
                <w:rFonts w:hint="eastAsia" w:ascii="宋体" w:hAnsi="宋体" w:eastAsia="宋体" w:cs="宋体"/>
                <w:sz w:val="24"/>
                <w:szCs w:val="24"/>
                <w:lang w:val="zh-CN"/>
              </w:rPr>
              <w:t>元（最高限价：</w:t>
            </w:r>
            <w:r>
              <w:rPr>
                <w:rFonts w:hint="eastAsia" w:ascii="宋体" w:hAnsi="宋体" w:eastAsia="宋体" w:cs="宋体"/>
                <w:sz w:val="24"/>
                <w:szCs w:val="24"/>
              </w:rPr>
              <w:t>863310.00</w:t>
            </w:r>
            <w:r>
              <w:rPr>
                <w:rFonts w:hint="eastAsia" w:ascii="宋体" w:hAnsi="宋体" w:eastAsia="宋体" w:cs="宋体"/>
                <w:sz w:val="24"/>
                <w:szCs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cs="宋体"/>
                <w:bCs/>
                <w:color w:val="000000"/>
                <w:sz w:val="24"/>
                <w:szCs w:val="24"/>
                <w:lang w:val="en-US" w:eastAsia="zh-CN"/>
              </w:rPr>
              <w:t>5</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供应商资格</w:t>
            </w:r>
          </w:p>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条件</w:t>
            </w:r>
          </w:p>
        </w:tc>
        <w:tc>
          <w:tcPr>
            <w:tcW w:w="7497" w:type="dxa"/>
            <w:vAlign w:val="center"/>
          </w:tcPr>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1.满足《中华人民共和国政府采购法》第二十二条规定：</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（1）具有独立承担民事责任的能力；</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（2）具有健全的财务会计制度；</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（3）具有履行合同所必需的设备和专业技术能力；</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（4）有依法缴纳税收和社会保障资金的良好记录；</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（5）参加政府采购活动前三年内，在经营活动中没有重大违法记录；</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（6）法律、行政法规规定的其他条件。</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2.落实政府采购政策需满足的资格要求：/；</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3.本项目的特定资格要求：</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（1）须具有交通运输部工程质量监督机构颁发的公路工程试验检测机构综合乙级及以上资质证书，同时具有质量技术监督部门颁发的有效计量认证证书（CMA）。</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（2）关键设备最低要求：详见公告附件。</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（3）信誉要求：在“信用中国”（www.creditchina.gov.cn）和“中国政府采购”（www.ccgp.gov.cn）网站上未被列入失信被执行人、重大税收违法失信主体以及政府采购严重违法失信行为记录名单。</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（4）与采购人存在利害关系且可能影响磋商公正性的单位，单位负责人为同一人或者存在控股、管理关系的不同单位，不得参加磋商。</w:t>
            </w:r>
          </w:p>
          <w:p>
            <w:pPr>
              <w:pStyle w:val="68"/>
              <w:adjustRightInd w:val="0"/>
              <w:snapToGrid w:val="0"/>
              <w:spacing w:line="400" w:lineRule="exact"/>
              <w:jc w:val="left"/>
              <w:rPr>
                <w:rFonts w:hint="eastAsia" w:ascii="宋体" w:hAnsi="宋体" w:eastAsia="宋体" w:cs="宋体"/>
                <w:sz w:val="24"/>
                <w:szCs w:val="24"/>
                <w:lang w:val="zh-CN"/>
              </w:rPr>
            </w:pPr>
            <w:r>
              <w:rPr>
                <w:rFonts w:hint="eastAsia" w:ascii="宋体" w:hAnsi="宋体" w:eastAsia="宋体" w:cs="宋体"/>
                <w:sz w:val="24"/>
                <w:szCs w:val="24"/>
                <w:lang w:val="zh-CN"/>
              </w:rPr>
              <w:t>（5）与施工标段承包人和监理人有投资参股的关联关系或直接管理和被管理关系的检测机构不得参与本标段的投标。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6</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sz w:val="24"/>
                <w:szCs w:val="24"/>
              </w:rPr>
              <w:t>★</w:t>
            </w:r>
            <w:r>
              <w:rPr>
                <w:rFonts w:hint="eastAsia" w:ascii="宋体" w:hAnsi="宋体" w:eastAsia="宋体" w:cs="宋体"/>
                <w:bCs/>
                <w:color w:val="000000"/>
                <w:sz w:val="24"/>
                <w:szCs w:val="24"/>
              </w:rPr>
              <w:t>联合体响应</w:t>
            </w:r>
          </w:p>
        </w:tc>
        <w:tc>
          <w:tcPr>
            <w:tcW w:w="7497" w:type="dxa"/>
            <w:vAlign w:val="center"/>
          </w:tcPr>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 w:val="36"/>
                <w:szCs w:val="24"/>
              </w:rPr>
              <w:instrText xml:space="preserve">□</w:instrText>
            </w:r>
            <w:r>
              <w:rPr>
                <w:rFonts w:hint="eastAsia" w:ascii="宋体" w:hAnsi="宋体" w:eastAsia="宋体" w:cs="宋体"/>
                <w:kern w:val="0"/>
                <w:positio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color w:val="000000"/>
                <w:sz w:val="24"/>
                <w:szCs w:val="24"/>
              </w:rPr>
              <w:t>不接受</w:t>
            </w:r>
          </w:p>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7</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sz w:val="24"/>
                <w:szCs w:val="24"/>
              </w:rPr>
              <w:t>★</w:t>
            </w:r>
            <w:r>
              <w:rPr>
                <w:rFonts w:hint="eastAsia" w:ascii="宋体" w:hAnsi="宋体" w:eastAsia="宋体" w:cs="宋体"/>
                <w:bCs/>
                <w:color w:val="000000"/>
                <w:sz w:val="24"/>
                <w:szCs w:val="24"/>
              </w:rPr>
              <w:t>备选方案</w:t>
            </w:r>
          </w:p>
        </w:tc>
        <w:tc>
          <w:tcPr>
            <w:tcW w:w="7497" w:type="dxa"/>
            <w:vAlign w:val="center"/>
          </w:tcPr>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 w:val="36"/>
                <w:szCs w:val="24"/>
              </w:rPr>
              <w:instrText xml:space="preserve">□</w:instrText>
            </w:r>
            <w:r>
              <w:rPr>
                <w:rFonts w:hint="eastAsia" w:ascii="宋体" w:hAnsi="宋体" w:eastAsia="宋体" w:cs="宋体"/>
                <w:kern w:val="0"/>
                <w:positio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color w:val="000000"/>
                <w:sz w:val="24"/>
                <w:szCs w:val="24"/>
              </w:rPr>
              <w:t xml:space="preserve"> 不接受</w:t>
            </w:r>
          </w:p>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8</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信息公告媒体</w:t>
            </w:r>
          </w:p>
        </w:tc>
        <w:tc>
          <w:tcPr>
            <w:tcW w:w="7497" w:type="dxa"/>
            <w:vAlign w:val="center"/>
          </w:tcPr>
          <w:p>
            <w:pPr>
              <w:pStyle w:val="68"/>
              <w:adjustRightInd w:val="0"/>
              <w:snapToGrid w:val="0"/>
              <w:spacing w:line="400" w:lineRule="exact"/>
              <w:jc w:val="left"/>
              <w:rPr>
                <w:rFonts w:hint="eastAsia" w:ascii="宋体" w:hAnsi="宋体" w:eastAsia="宋体" w:cs="宋体"/>
                <w:color w:val="000000"/>
                <w:sz w:val="24"/>
                <w:szCs w:val="24"/>
              </w:rPr>
            </w:pPr>
            <w:r>
              <w:rPr>
                <w:rFonts w:hint="eastAsia" w:ascii="宋体" w:hAnsi="宋体" w:eastAsia="宋体" w:cs="宋体"/>
                <w:sz w:val="24"/>
                <w:szCs w:val="24"/>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cs="宋体"/>
                <w:bCs/>
                <w:color w:val="000000"/>
                <w:sz w:val="24"/>
                <w:szCs w:val="24"/>
                <w:lang w:val="en-US" w:eastAsia="zh-CN"/>
              </w:rPr>
              <w:t>9</w:t>
            </w:r>
          </w:p>
        </w:tc>
        <w:tc>
          <w:tcPr>
            <w:tcW w:w="1740" w:type="dxa"/>
            <w:vAlign w:val="center"/>
          </w:tcPr>
          <w:p>
            <w:pPr>
              <w:pStyle w:val="68"/>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响应文件递交截止时间</w:t>
            </w:r>
          </w:p>
        </w:tc>
        <w:tc>
          <w:tcPr>
            <w:tcW w:w="7497" w:type="dxa"/>
            <w:shd w:val="clear" w:color="auto" w:fill="auto"/>
            <w:vAlign w:val="center"/>
          </w:tcPr>
          <w:p>
            <w:pPr>
              <w:pStyle w:val="68"/>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2023年06月</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日16点00分（北京时间）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10</w:t>
            </w:r>
          </w:p>
        </w:tc>
        <w:tc>
          <w:tcPr>
            <w:tcW w:w="1740" w:type="dxa"/>
            <w:vAlign w:val="center"/>
          </w:tcPr>
          <w:p>
            <w:pPr>
              <w:pStyle w:val="68"/>
              <w:snapToGrid w:val="0"/>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磋商时间、地点</w:t>
            </w:r>
          </w:p>
        </w:tc>
        <w:tc>
          <w:tcPr>
            <w:tcW w:w="7497" w:type="dxa"/>
            <w:vAlign w:val="center"/>
          </w:tcPr>
          <w:p>
            <w:pPr>
              <w:pStyle w:val="94"/>
              <w:snapToGrid w:val="0"/>
              <w:spacing w:line="400" w:lineRule="exact"/>
              <w:ind w:leftChars="-1" w:hanging="2" w:hangingChars="1"/>
              <w:rPr>
                <w:rFonts w:hint="eastAsia" w:ascii="宋体" w:hAnsi="宋体" w:eastAsia="宋体" w:cs="宋体"/>
                <w:sz w:val="24"/>
                <w:szCs w:val="24"/>
              </w:rPr>
            </w:pPr>
            <w:r>
              <w:rPr>
                <w:rFonts w:hint="eastAsia" w:ascii="宋体" w:hAnsi="宋体" w:eastAsia="宋体" w:cs="宋体"/>
                <w:kern w:val="0"/>
                <w:sz w:val="24"/>
                <w:szCs w:val="24"/>
              </w:rPr>
              <w:t>磋商时间：</w:t>
            </w:r>
            <w:r>
              <w:rPr>
                <w:rFonts w:hint="eastAsia" w:ascii="宋体" w:hAnsi="宋体" w:eastAsia="宋体" w:cs="宋体"/>
                <w:kern w:val="0"/>
                <w:sz w:val="24"/>
                <w:szCs w:val="24"/>
                <w:highlight w:val="none"/>
              </w:rPr>
              <w:t>2023年06月</w:t>
            </w:r>
            <w:r>
              <w:rPr>
                <w:rFonts w:hint="eastAsia" w:ascii="宋体" w:hAnsi="宋体" w:cs="宋体"/>
                <w:kern w:val="0"/>
                <w:sz w:val="24"/>
                <w:szCs w:val="24"/>
                <w:highlight w:val="none"/>
                <w:lang w:val="en-US" w:eastAsia="zh-CN"/>
              </w:rPr>
              <w:t>12</w:t>
            </w:r>
            <w:r>
              <w:rPr>
                <w:rFonts w:hint="eastAsia" w:ascii="宋体" w:hAnsi="宋体" w:eastAsia="宋体" w:cs="宋体"/>
                <w:kern w:val="0"/>
                <w:sz w:val="24"/>
                <w:szCs w:val="24"/>
                <w:highlight w:val="none"/>
              </w:rPr>
              <w:t>日16点00分</w:t>
            </w:r>
            <w:r>
              <w:rPr>
                <w:rFonts w:hint="eastAsia" w:ascii="宋体" w:hAnsi="宋体" w:eastAsia="宋体" w:cs="宋体"/>
                <w:bCs/>
                <w:sz w:val="24"/>
                <w:szCs w:val="24"/>
                <w:highlight w:val="none"/>
              </w:rPr>
              <w:t>(</w:t>
            </w:r>
            <w:r>
              <w:rPr>
                <w:rFonts w:hint="eastAsia" w:ascii="宋体" w:hAnsi="宋体" w:eastAsia="宋体" w:cs="宋体"/>
                <w:bCs/>
                <w:sz w:val="24"/>
                <w:szCs w:val="24"/>
              </w:rPr>
              <w:t>北京时间)</w:t>
            </w:r>
          </w:p>
          <w:p>
            <w:pPr>
              <w:pStyle w:val="94"/>
              <w:snapToGrid w:val="0"/>
              <w:spacing w:line="400" w:lineRule="exact"/>
              <w:jc w:val="left"/>
              <w:rPr>
                <w:rFonts w:hint="eastAsia" w:ascii="宋体" w:hAnsi="宋体" w:eastAsia="宋体" w:cs="宋体"/>
                <w:sz w:val="24"/>
                <w:szCs w:val="24"/>
              </w:rPr>
            </w:pPr>
            <w:r>
              <w:rPr>
                <w:rFonts w:hint="eastAsia" w:ascii="宋体" w:hAnsi="宋体" w:eastAsia="宋体" w:cs="宋体"/>
                <w:kern w:val="0"/>
                <w:sz w:val="24"/>
                <w:szCs w:val="24"/>
                <w:highlight w:val="none"/>
              </w:rPr>
              <w:t>磋商地点：哈密市交通运输局5楼会议室（哈密市伊州区建国北路21号）</w:t>
            </w:r>
            <w:r>
              <w:rPr>
                <w:rFonts w:hint="eastAsia" w:ascii="宋体" w:hAnsi="宋体" w:eastAsia="宋体" w:cs="宋体"/>
                <w:sz w:val="24"/>
                <w:szCs w:val="24"/>
                <w:highlight w:val="none"/>
              </w:rPr>
              <w:t>（政采云（https://www.zcygov.cn/）不见面开标大厅）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1</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磋商小组的组建及评审专家的确定方式</w:t>
            </w:r>
          </w:p>
        </w:tc>
        <w:tc>
          <w:tcPr>
            <w:tcW w:w="7497" w:type="dxa"/>
            <w:vAlign w:val="center"/>
          </w:tcPr>
          <w:p>
            <w:pPr>
              <w:pStyle w:val="68"/>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磋商小组构成：磋商小组由采购人代表</w:t>
            </w:r>
            <w:r>
              <w:rPr>
                <w:rFonts w:hint="eastAsia" w:ascii="宋体" w:hAnsi="宋体" w:eastAsia="宋体" w:cs="宋体"/>
                <w:sz w:val="24"/>
                <w:szCs w:val="24"/>
                <w:u w:val="single"/>
                <w:lang w:val="en-US" w:eastAsia="zh-CN"/>
              </w:rPr>
              <w:t xml:space="preserve"> 1 </w:t>
            </w:r>
            <w:r>
              <w:rPr>
                <w:rFonts w:hint="eastAsia" w:ascii="宋体" w:hAnsi="宋体" w:eastAsia="宋体" w:cs="宋体"/>
                <w:sz w:val="24"/>
                <w:szCs w:val="24"/>
                <w:lang w:val="en-US" w:eastAsia="zh-CN"/>
              </w:rPr>
              <w:t>人</w:t>
            </w:r>
            <w:r>
              <w:rPr>
                <w:rFonts w:hint="eastAsia" w:ascii="宋体" w:hAnsi="宋体" w:eastAsia="宋体" w:cs="宋体"/>
                <w:sz w:val="24"/>
                <w:szCs w:val="24"/>
              </w:rPr>
              <w:t>和评审专家</w:t>
            </w:r>
            <w:r>
              <w:rPr>
                <w:rFonts w:hint="eastAsia" w:ascii="宋体" w:hAnsi="宋体" w:eastAsia="宋体" w:cs="宋体"/>
                <w:sz w:val="24"/>
                <w:szCs w:val="24"/>
                <w:u w:val="single"/>
                <w:lang w:val="en-US" w:eastAsia="zh-CN"/>
              </w:rPr>
              <w:t xml:space="preserve"> 2 </w:t>
            </w:r>
            <w:r>
              <w:rPr>
                <w:rFonts w:hint="eastAsia" w:ascii="宋体" w:hAnsi="宋体" w:eastAsia="宋体" w:cs="宋体"/>
                <w:sz w:val="24"/>
                <w:szCs w:val="24"/>
                <w:lang w:val="en-US" w:eastAsia="zh-CN"/>
              </w:rPr>
              <w:t>人</w:t>
            </w:r>
            <w:r>
              <w:rPr>
                <w:rFonts w:hint="eastAsia" w:ascii="宋体" w:hAnsi="宋体" w:eastAsia="宋体" w:cs="宋体"/>
                <w:sz w:val="24"/>
                <w:szCs w:val="24"/>
              </w:rPr>
              <w:t>共3人以上单数组成，其中评审专家人数不得少于磋商小组成员总数的2/3。</w:t>
            </w:r>
          </w:p>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sz w:val="24"/>
                <w:szCs w:val="24"/>
              </w:rPr>
              <w:t>磋商小组确定方式：专家库随机抽取。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2</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sz w:val="24"/>
                <w:szCs w:val="24"/>
              </w:rPr>
              <w:t>★</w:t>
            </w:r>
            <w:r>
              <w:rPr>
                <w:rFonts w:hint="eastAsia" w:ascii="宋体" w:hAnsi="宋体" w:eastAsia="宋体" w:cs="宋体"/>
                <w:bCs/>
                <w:color w:val="000000"/>
                <w:sz w:val="24"/>
                <w:szCs w:val="24"/>
              </w:rPr>
              <w:t>磋商保证金</w:t>
            </w:r>
          </w:p>
        </w:tc>
        <w:tc>
          <w:tcPr>
            <w:tcW w:w="7497" w:type="dxa"/>
            <w:vAlign w:val="center"/>
          </w:tcPr>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1、磋商保证金数额：15000元(人民币壹万伍仟元整)；</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2、形式：保证金或保函或保单；</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3、递交时间：在磋商截止时间前递交（以到账时间为准）；</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4、供应商递交保证金后，需携带基本账户开户证明材料至招标代理机构处领取磋商保证金收据；</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5、账户信息：</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单位名称：新疆新纪元项目管理咨询有限公司</w:t>
            </w:r>
          </w:p>
          <w:p>
            <w:pPr>
              <w:pStyle w:val="68"/>
              <w:snapToGrid w:val="0"/>
              <w:spacing w:line="400" w:lineRule="exact"/>
              <w:rPr>
                <w:rFonts w:hint="eastAsia" w:ascii="宋体" w:hAnsi="宋体" w:eastAsia="宋体" w:cs="宋体"/>
                <w:b/>
                <w:bCs/>
                <w:color w:val="000000"/>
                <w:sz w:val="24"/>
                <w:szCs w:val="24"/>
              </w:rPr>
            </w:pPr>
            <w:r>
              <w:rPr>
                <w:rFonts w:hint="eastAsia" w:ascii="宋体" w:hAnsi="宋体" w:eastAsia="宋体" w:cs="宋体"/>
                <w:color w:val="000000"/>
                <w:sz w:val="24"/>
                <w:szCs w:val="24"/>
              </w:rPr>
              <w:t>开户银行：乌鲁木齐银行友好南路支行</w:t>
            </w:r>
          </w:p>
          <w:p>
            <w:pPr>
              <w:pStyle w:val="123"/>
              <w:topLinePunct/>
              <w:snapToGrid w:val="0"/>
              <w:spacing w:line="400" w:lineRule="exact"/>
              <w:ind w:firstLine="0" w:firstLineChars="0"/>
              <w:rPr>
                <w:rFonts w:hint="eastAsia" w:ascii="宋体" w:hAnsi="宋体" w:eastAsia="宋体" w:cs="宋体"/>
                <w:bCs/>
                <w:color w:val="000000"/>
                <w:sz w:val="24"/>
                <w:szCs w:val="24"/>
              </w:rPr>
            </w:pPr>
            <w:r>
              <w:rPr>
                <w:rFonts w:hint="eastAsia" w:ascii="宋体" w:hAnsi="宋体" w:eastAsia="宋体" w:cs="宋体"/>
                <w:color w:val="000000"/>
                <w:sz w:val="24"/>
                <w:szCs w:val="24"/>
              </w:rPr>
              <w:t>银行账号：0000020020110055154715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3</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评审办法</w:t>
            </w:r>
          </w:p>
        </w:tc>
        <w:tc>
          <w:tcPr>
            <w:tcW w:w="7497" w:type="dxa"/>
            <w:vAlign w:val="center"/>
          </w:tcPr>
          <w:p>
            <w:pPr>
              <w:pStyle w:val="68"/>
              <w:snapToGrid w:val="0"/>
              <w:spacing w:line="400" w:lineRule="exact"/>
              <w:ind w:left="520" w:leftChars="1" w:hanging="518" w:hangingChars="21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4</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磋商有效期</w:t>
            </w:r>
          </w:p>
        </w:tc>
        <w:tc>
          <w:tcPr>
            <w:tcW w:w="7497" w:type="dxa"/>
            <w:vAlign w:val="center"/>
          </w:tcPr>
          <w:p>
            <w:pPr>
              <w:pStyle w:val="68"/>
              <w:adjustRightInd w:val="0"/>
              <w:snapToGrid w:val="0"/>
              <w:spacing w:line="400" w:lineRule="exact"/>
              <w:rPr>
                <w:rFonts w:hint="eastAsia" w:ascii="宋体" w:hAnsi="宋体" w:eastAsia="宋体" w:cs="宋体"/>
                <w:bCs/>
                <w:color w:val="000000"/>
                <w:sz w:val="24"/>
                <w:szCs w:val="24"/>
              </w:rPr>
            </w:pPr>
            <w:r>
              <w:rPr>
                <w:rFonts w:hint="eastAsia" w:ascii="宋体" w:hAnsi="宋体" w:eastAsia="宋体" w:cs="宋体"/>
                <w:color w:val="000000"/>
                <w:sz w:val="24"/>
                <w:szCs w:val="24"/>
              </w:rPr>
              <w:t>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5</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响应文件份数</w:t>
            </w:r>
          </w:p>
        </w:tc>
        <w:tc>
          <w:tcPr>
            <w:tcW w:w="7497" w:type="dxa"/>
            <w:vAlign w:val="center"/>
          </w:tcPr>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1、本项目采用不见面磋商、供应商需要递交电子响应文件，加密的电子响应文件，在磋商截止时间前上传至</w:t>
            </w:r>
            <w:r>
              <w:rPr>
                <w:rFonts w:hint="eastAsia" w:ascii="宋体" w:hAnsi="宋体" w:eastAsia="宋体" w:cs="宋体"/>
                <w:color w:val="000000"/>
                <w:kern w:val="0"/>
                <w:sz w:val="24"/>
                <w:szCs w:val="24"/>
              </w:rPr>
              <w:t>政府采购网政采云平台</w:t>
            </w:r>
            <w:r>
              <w:rPr>
                <w:rFonts w:hint="eastAsia" w:ascii="宋体" w:hAnsi="宋体" w:eastAsia="宋体" w:cs="宋体"/>
                <w:color w:val="000000"/>
                <w:sz w:val="24"/>
                <w:szCs w:val="24"/>
              </w:rPr>
              <w:t>指定位置，无需磋商现场递交纸质文件。</w:t>
            </w:r>
          </w:p>
          <w:p>
            <w:pPr>
              <w:pStyle w:val="68"/>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响应文件开启当日，供应商无需到达磋商现场，仅需通过政采云平台“不见面”开标大厅完成远程解密、磋商澄清、在线多轮报价、结果公布等交互环节。供应商必须使用能正确解密响应文件的“CA锁”在规定的时间内完成远程解密，因供应商原因未能解密、解密失败或解密超时，视为供应商撤销其响应文件，系统内响应文件将被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6</w:t>
            </w:r>
          </w:p>
        </w:tc>
        <w:tc>
          <w:tcPr>
            <w:tcW w:w="1740" w:type="dxa"/>
            <w:vAlign w:val="center"/>
          </w:tcPr>
          <w:p>
            <w:pPr>
              <w:pStyle w:val="68"/>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踏勘现场</w:t>
            </w:r>
          </w:p>
        </w:tc>
        <w:tc>
          <w:tcPr>
            <w:tcW w:w="7497" w:type="dxa"/>
            <w:vAlign w:val="center"/>
          </w:tcPr>
          <w:p>
            <w:pPr>
              <w:pStyle w:val="68"/>
              <w:autoSpaceDE w:val="0"/>
              <w:autoSpaceDN w:val="0"/>
              <w:adjustRightInd w:val="0"/>
              <w:snapToGrid w:val="0"/>
              <w:spacing w:line="400" w:lineRule="exact"/>
              <w:rPr>
                <w:rFonts w:hint="eastAsia" w:ascii="宋体" w:hAnsi="宋体" w:eastAsia="宋体" w:cs="宋体"/>
                <w:color w:val="000000"/>
                <w:kern w:val="0"/>
                <w:sz w:val="24"/>
                <w:szCs w:val="24"/>
              </w:rPr>
            </w:pP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 w:val="36"/>
                <w:szCs w:val="24"/>
              </w:rPr>
              <w:instrText xml:space="preserve">□</w:instrText>
            </w:r>
            <w:r>
              <w:rPr>
                <w:rFonts w:hint="eastAsia" w:ascii="宋体" w:hAnsi="宋体" w:eastAsia="宋体" w:cs="宋体"/>
                <w:kern w:val="0"/>
                <w:positio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color w:val="000000"/>
                <w:kern w:val="0"/>
                <w:sz w:val="24"/>
                <w:szCs w:val="24"/>
              </w:rPr>
              <w:t>自行踏勘。</w:t>
            </w:r>
          </w:p>
          <w:p>
            <w:pPr>
              <w:pStyle w:val="68"/>
              <w:autoSpaceDE w:val="0"/>
              <w:autoSpaceDN w:val="0"/>
              <w:adjustRightInd w:val="0"/>
              <w:snapToGrid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□统一组织。</w:t>
            </w:r>
          </w:p>
          <w:p>
            <w:pPr>
              <w:pStyle w:val="68"/>
              <w:autoSpaceDE w:val="0"/>
              <w:autoSpaceDN w:val="0"/>
              <w:adjustRightInd w:val="0"/>
              <w:snapToGrid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          联系电话：</w:t>
            </w:r>
          </w:p>
          <w:p>
            <w:pPr>
              <w:pStyle w:val="68"/>
              <w:autoSpaceDE w:val="0"/>
              <w:autoSpaceDN w:val="0"/>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kern w:val="0"/>
                <w:sz w:val="24"/>
                <w:szCs w:val="24"/>
              </w:rPr>
              <w:t>踏勘时间：        踏勘地点：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7</w:t>
            </w:r>
          </w:p>
        </w:tc>
        <w:tc>
          <w:tcPr>
            <w:tcW w:w="1740" w:type="dxa"/>
            <w:vAlign w:val="center"/>
          </w:tcPr>
          <w:p>
            <w:pPr>
              <w:pStyle w:val="68"/>
              <w:snapToGrid w:val="0"/>
              <w:spacing w:line="400" w:lineRule="exact"/>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节能、环保</w:t>
            </w:r>
          </w:p>
          <w:p>
            <w:pPr>
              <w:pStyle w:val="68"/>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kern w:val="0"/>
                <w:sz w:val="24"/>
                <w:szCs w:val="24"/>
              </w:rPr>
              <w:t>要求</w:t>
            </w:r>
          </w:p>
        </w:tc>
        <w:tc>
          <w:tcPr>
            <w:tcW w:w="7497" w:type="dxa"/>
            <w:vAlign w:val="center"/>
          </w:tcPr>
          <w:p>
            <w:pPr>
              <w:pStyle w:val="68"/>
              <w:snapToGrid w:val="0"/>
              <w:spacing w:line="400" w:lineRule="exac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按国家有关节能环保政策执行：</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1、财政部、国家发展改革委、生态环境部、市场监管总局《关于调整优化节能产品、环境标志产品政府采购执行机制的通知》（财库[2019]9号文）；</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2、财政部、生态环境部《关于印发环境标志产品政府采购品目清单的通知》（财库[2019]18号文）；</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3、财政部、发展改革委《关于印发节能产品政府采购品目清单的通知》（财库[2019]19号文）；</w:t>
            </w:r>
          </w:p>
          <w:p>
            <w:pPr>
              <w:pStyle w:val="68"/>
              <w:snapToGrid w:val="0"/>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4、市场监管总局《市场监管总局关于发布参与实施政府采购节能产品、环境标志产品认证机构名录的公告》（2019年第16号）。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1</w:t>
            </w:r>
            <w:r>
              <w:rPr>
                <w:rFonts w:hint="eastAsia" w:ascii="宋体" w:hAnsi="宋体" w:cs="宋体"/>
                <w:bCs/>
                <w:color w:val="000000"/>
                <w:sz w:val="24"/>
                <w:szCs w:val="24"/>
                <w:lang w:val="en-US" w:eastAsia="zh-CN"/>
              </w:rPr>
              <w:t>8</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代理服务费</w:t>
            </w:r>
          </w:p>
        </w:tc>
        <w:tc>
          <w:tcPr>
            <w:tcW w:w="7497" w:type="dxa"/>
            <w:vAlign w:val="center"/>
          </w:tcPr>
          <w:p>
            <w:pPr>
              <w:pStyle w:val="68"/>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成交供应商须按照合同金额向采购代理机构一次性交纳采购代理服务费，参照国家发展计划委员会“计价格（2002）1980号”文件、“发改办价格[2003]857号”文及发改办价格〔2011〕534号文的标准计取。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68"/>
              <w:adjustRightInd w:val="0"/>
              <w:snapToGrid w:val="0"/>
              <w:spacing w:line="400" w:lineRule="exact"/>
              <w:jc w:val="center"/>
              <w:rPr>
                <w:rFonts w:hint="default" w:ascii="宋体" w:hAnsi="宋体" w:eastAsia="宋体" w:cs="宋体"/>
                <w:bCs/>
                <w:sz w:val="24"/>
                <w:szCs w:val="24"/>
                <w:lang w:val="en-US" w:eastAsia="zh-CN"/>
              </w:rPr>
            </w:pPr>
            <w:r>
              <w:rPr>
                <w:rFonts w:hint="eastAsia" w:ascii="宋体" w:hAnsi="宋体" w:cs="宋体"/>
                <w:bCs/>
                <w:sz w:val="24"/>
                <w:szCs w:val="24"/>
                <w:lang w:val="en-US" w:eastAsia="zh-CN"/>
              </w:rPr>
              <w:t>19</w:t>
            </w:r>
          </w:p>
        </w:tc>
        <w:tc>
          <w:tcPr>
            <w:tcW w:w="1740" w:type="dxa"/>
            <w:vAlign w:val="center"/>
          </w:tcPr>
          <w:p>
            <w:pPr>
              <w:pStyle w:val="68"/>
              <w:snapToGrid w:val="0"/>
              <w:spacing w:line="40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中小微型企业</w:t>
            </w:r>
          </w:p>
          <w:p>
            <w:pPr>
              <w:pStyle w:val="68"/>
              <w:adjustRightInd w:val="0"/>
              <w:snapToGrid w:val="0"/>
              <w:spacing w:line="400" w:lineRule="exact"/>
              <w:jc w:val="center"/>
              <w:rPr>
                <w:rFonts w:hint="eastAsia" w:ascii="宋体" w:hAnsi="宋体" w:eastAsia="宋体" w:cs="宋体"/>
                <w:bCs/>
                <w:sz w:val="24"/>
                <w:szCs w:val="24"/>
              </w:rPr>
            </w:pPr>
            <w:r>
              <w:rPr>
                <w:rFonts w:hint="eastAsia" w:ascii="宋体" w:hAnsi="宋体" w:eastAsia="宋体" w:cs="宋体"/>
                <w:bCs/>
                <w:kern w:val="0"/>
                <w:sz w:val="24"/>
                <w:szCs w:val="24"/>
              </w:rPr>
              <w:t>有关政策</w:t>
            </w:r>
          </w:p>
        </w:tc>
        <w:tc>
          <w:tcPr>
            <w:tcW w:w="7497" w:type="dxa"/>
            <w:vAlign w:val="center"/>
          </w:tcPr>
          <w:p>
            <w:pPr>
              <w:adjustRightInd w:val="0"/>
              <w:snapToGrid w:val="0"/>
              <w:spacing w:line="400" w:lineRule="exact"/>
              <w:rPr>
                <w:rFonts w:hint="eastAsia" w:ascii="宋体" w:hAnsi="宋体" w:eastAsia="宋体" w:cs="宋体"/>
                <w:sz w:val="24"/>
                <w:szCs w:val="24"/>
              </w:rPr>
            </w:pPr>
            <w:r>
              <w:rPr>
                <w:rFonts w:hint="eastAsia" w:ascii="宋体" w:hAnsi="宋体" w:eastAsia="宋体" w:cs="宋体"/>
                <w:sz w:val="24"/>
                <w:szCs w:val="24"/>
              </w:rPr>
              <w:t>1、根据《关于印发政府采购促进中小企业发展管理办法的通知》（财库[2020]46号文）、《关于进一步加大政府采购支持中小企业力度的通知》（财库〔2022〕19号）规定要求，给予小型和微型企业产品或服务的价格给予6%-10%的扣除，用扣除后的价格参与评审（监狱企业、残疾人福利性质单位视同为小微企业）。本项目具体扣除优惠为：</w:t>
            </w:r>
            <w:r>
              <w:rPr>
                <w:rFonts w:hint="eastAsia" w:ascii="宋体" w:hAnsi="宋体" w:eastAsia="宋体" w:cs="宋体"/>
                <w:sz w:val="24"/>
                <w:szCs w:val="24"/>
                <w:highlight w:val="none"/>
                <w:u w:val="single"/>
              </w:rPr>
              <w:t>10</w:t>
            </w:r>
            <w:r>
              <w:rPr>
                <w:rFonts w:hint="eastAsia" w:ascii="宋体" w:hAnsi="宋体" w:eastAsia="宋体" w:cs="宋体"/>
                <w:sz w:val="24"/>
                <w:szCs w:val="24"/>
                <w:highlight w:val="none"/>
              </w:rPr>
              <w:t>%。</w:t>
            </w:r>
          </w:p>
          <w:p>
            <w:pPr>
              <w:pStyle w:val="68"/>
              <w:snapToGrid w:val="0"/>
              <w:spacing w:line="400" w:lineRule="exact"/>
              <w:rPr>
                <w:rFonts w:hint="eastAsia" w:ascii="宋体" w:hAnsi="宋体" w:eastAsia="宋体" w:cs="宋体"/>
                <w:sz w:val="24"/>
                <w:szCs w:val="24"/>
              </w:rPr>
            </w:pPr>
            <w:r>
              <w:rPr>
                <w:rFonts w:hint="eastAsia" w:ascii="宋体" w:hAnsi="宋体" w:eastAsia="宋体" w:cs="宋体"/>
                <w:sz w:val="24"/>
                <w:szCs w:val="24"/>
              </w:rPr>
              <w:t>2、根据《关于印发中小企业划型标准规定的通知》(工信部联企业[2011]300号) 文件的规定，本项目所属行业：</w:t>
            </w:r>
            <w:r>
              <w:rPr>
                <w:rFonts w:hint="eastAsia" w:ascii="宋体" w:hAnsi="宋体" w:eastAsia="宋体" w:cs="宋体"/>
                <w:sz w:val="24"/>
                <w:szCs w:val="24"/>
                <w:u w:val="single"/>
              </w:rPr>
              <w:t>其他未列明行业</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7" w:type="dxa"/>
            <w:vAlign w:val="center"/>
          </w:tcPr>
          <w:p>
            <w:pPr>
              <w:pStyle w:val="68"/>
              <w:tabs>
                <w:tab w:val="left" w:pos="265"/>
              </w:tabs>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w:t>
            </w:r>
            <w:r>
              <w:rPr>
                <w:rFonts w:hint="eastAsia" w:ascii="宋体" w:hAnsi="宋体" w:cs="宋体"/>
                <w:bCs/>
                <w:color w:val="000000"/>
                <w:sz w:val="24"/>
                <w:szCs w:val="24"/>
                <w:lang w:val="en-US" w:eastAsia="zh-CN"/>
              </w:rPr>
              <w:t>0</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color w:val="000000"/>
                <w:kern w:val="0"/>
                <w:sz w:val="24"/>
                <w:szCs w:val="24"/>
                <w:highlight w:val="none"/>
              </w:rPr>
              <w:t>履约保证金</w:t>
            </w:r>
          </w:p>
        </w:tc>
        <w:tc>
          <w:tcPr>
            <w:tcW w:w="7497" w:type="dxa"/>
            <w:vAlign w:val="center"/>
          </w:tcPr>
          <w:p>
            <w:pPr>
              <w:pStyle w:val="126"/>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1、履约保证金金额：成交价的10%</w:t>
            </w:r>
          </w:p>
          <w:p>
            <w:pPr>
              <w:pStyle w:val="126"/>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2、履约保证金递交：成交供应商收到成交通知书后签订合同前向采购人缴纳；</w:t>
            </w:r>
          </w:p>
          <w:p>
            <w:pPr>
              <w:pStyle w:val="126"/>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3、履约保证金形式：以支票、汇票、本票等招标人认可的非现金形式递交；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w:t>
            </w:r>
            <w:r>
              <w:rPr>
                <w:rFonts w:hint="eastAsia" w:ascii="宋体" w:hAnsi="宋体" w:cs="宋体"/>
                <w:bCs/>
                <w:color w:val="000000"/>
                <w:sz w:val="24"/>
                <w:szCs w:val="24"/>
                <w:lang w:val="en-US" w:eastAsia="zh-CN"/>
              </w:rPr>
              <w:t>1</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color w:val="000000"/>
                <w:kern w:val="0"/>
                <w:sz w:val="24"/>
                <w:szCs w:val="24"/>
                <w:highlight w:val="none"/>
              </w:rPr>
              <w:t>合同履行</w:t>
            </w:r>
          </w:p>
          <w:p>
            <w:pPr>
              <w:pStyle w:val="68"/>
              <w:adjustRightInd w:val="0"/>
              <w:snapToGrid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kern w:val="0"/>
                <w:sz w:val="24"/>
                <w:szCs w:val="24"/>
                <w:highlight w:val="none"/>
              </w:rPr>
              <w:t>期限</w:t>
            </w:r>
          </w:p>
        </w:tc>
        <w:tc>
          <w:tcPr>
            <w:tcW w:w="7497" w:type="dxa"/>
            <w:vAlign w:val="center"/>
          </w:tcPr>
          <w:p>
            <w:pPr>
              <w:pStyle w:val="68"/>
              <w:snapToGrid w:val="0"/>
              <w:spacing w:line="400" w:lineRule="exac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自合同签订日期至2023年12月31日。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2</w:t>
            </w:r>
            <w:r>
              <w:rPr>
                <w:rFonts w:hint="eastAsia" w:ascii="宋体" w:hAnsi="宋体" w:cs="宋体"/>
                <w:bCs/>
                <w:color w:val="000000"/>
                <w:sz w:val="24"/>
                <w:szCs w:val="24"/>
                <w:lang w:val="en-US" w:eastAsia="zh-CN"/>
              </w:rPr>
              <w:t>2</w:t>
            </w:r>
          </w:p>
        </w:tc>
        <w:tc>
          <w:tcPr>
            <w:tcW w:w="1740" w:type="dxa"/>
            <w:vAlign w:val="center"/>
          </w:tcPr>
          <w:p>
            <w:pPr>
              <w:pStyle w:val="68"/>
              <w:adjustRightInd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7497" w:type="dxa"/>
            <w:vAlign w:val="center"/>
          </w:tcPr>
          <w:p>
            <w:pPr>
              <w:pStyle w:val="68"/>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1.合同签订后</w:t>
            </w:r>
            <w:r>
              <w:rPr>
                <w:rFonts w:hint="eastAsia" w:ascii="宋体" w:hAnsi="宋体" w:eastAsia="宋体" w:cs="宋体"/>
                <w:sz w:val="24"/>
                <w:szCs w:val="24"/>
                <w:highlight w:val="none"/>
                <w:lang w:eastAsia="zh-CN"/>
              </w:rPr>
              <w:t>，第一次检测结束并将</w:t>
            </w:r>
            <w:r>
              <w:rPr>
                <w:rFonts w:hint="eastAsia" w:ascii="宋体" w:hAnsi="宋体" w:eastAsia="宋体" w:cs="宋体"/>
                <w:sz w:val="24"/>
                <w:szCs w:val="24"/>
                <w:highlight w:val="none"/>
              </w:rPr>
              <w:t>检测报告交付甲方通过后</w:t>
            </w:r>
            <w:r>
              <w:rPr>
                <w:rFonts w:hint="eastAsia" w:ascii="宋体" w:hAnsi="宋体" w:eastAsia="宋体" w:cs="宋体"/>
                <w:sz w:val="24"/>
                <w:szCs w:val="24"/>
                <w:highlight w:val="none"/>
                <w:lang w:eastAsia="zh-CN"/>
              </w:rPr>
              <w:t>支付</w:t>
            </w:r>
            <w:r>
              <w:rPr>
                <w:rFonts w:hint="eastAsia" w:ascii="宋体" w:hAnsi="宋体" w:eastAsia="宋体" w:cs="宋体"/>
                <w:sz w:val="24"/>
                <w:szCs w:val="24"/>
                <w:highlight w:val="none"/>
              </w:rPr>
              <w:t>50%；</w:t>
            </w:r>
          </w:p>
          <w:p>
            <w:pPr>
              <w:pStyle w:val="68"/>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年底</w:t>
            </w:r>
            <w:r>
              <w:rPr>
                <w:rFonts w:hint="eastAsia" w:ascii="宋体" w:hAnsi="宋体" w:eastAsia="宋体" w:cs="宋体"/>
                <w:sz w:val="24"/>
                <w:szCs w:val="24"/>
                <w:highlight w:val="none"/>
              </w:rPr>
              <w:t>检测工作完成</w:t>
            </w:r>
            <w:r>
              <w:rPr>
                <w:rFonts w:hint="eastAsia" w:ascii="宋体" w:hAnsi="宋体" w:eastAsia="宋体" w:cs="宋体"/>
                <w:sz w:val="24"/>
                <w:szCs w:val="24"/>
                <w:highlight w:val="none"/>
                <w:lang w:eastAsia="zh-CN"/>
              </w:rPr>
              <w:t>后并将</w:t>
            </w:r>
            <w:r>
              <w:rPr>
                <w:rFonts w:hint="eastAsia" w:ascii="宋体" w:hAnsi="宋体" w:eastAsia="宋体" w:cs="宋体"/>
                <w:sz w:val="24"/>
                <w:szCs w:val="24"/>
                <w:highlight w:val="none"/>
              </w:rPr>
              <w:t>检测报告交付甲方通过后付剩余50%。</w:t>
            </w:r>
          </w:p>
          <w:p>
            <w:pPr>
              <w:pStyle w:val="68"/>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受托人必须向业主出具相应金额发票（发票备注需标注项目名称）。</w:t>
            </w:r>
          </w:p>
          <w:p>
            <w:pPr>
              <w:pStyle w:val="68"/>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若委托方要求受托人提供附加服务，有关事宜双方协商解决。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77" w:type="dxa"/>
            <w:vAlign w:val="center"/>
          </w:tcPr>
          <w:p>
            <w:pPr>
              <w:pStyle w:val="68"/>
              <w:adjustRightInd w:val="0"/>
              <w:snapToGrid w:val="0"/>
              <w:spacing w:line="400" w:lineRule="exact"/>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2</w:t>
            </w:r>
            <w:r>
              <w:rPr>
                <w:rFonts w:hint="eastAsia" w:ascii="宋体" w:hAnsi="宋体" w:cs="宋体"/>
                <w:bCs/>
                <w:color w:val="000000"/>
                <w:sz w:val="24"/>
                <w:szCs w:val="24"/>
                <w:lang w:val="en-US" w:eastAsia="zh-CN"/>
              </w:rPr>
              <w:t>3</w:t>
            </w:r>
          </w:p>
        </w:tc>
        <w:tc>
          <w:tcPr>
            <w:tcW w:w="1740" w:type="dxa"/>
            <w:vAlign w:val="center"/>
          </w:tcPr>
          <w:p>
            <w:pPr>
              <w:pStyle w:val="68"/>
              <w:adjustRightInd w:val="0"/>
              <w:snapToGrid w:val="0"/>
              <w:spacing w:line="40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采购人认为应该补充的其他内容</w:t>
            </w:r>
          </w:p>
        </w:tc>
        <w:tc>
          <w:tcPr>
            <w:tcW w:w="7497" w:type="dxa"/>
            <w:vAlign w:val="center"/>
          </w:tcPr>
          <w:p>
            <w:pPr>
              <w:pStyle w:val="68"/>
              <w:snapToGrid w:val="0"/>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针对同一采购程序环节的质疑次数：</w:t>
            </w:r>
          </w:p>
          <w:p>
            <w:pPr>
              <w:pStyle w:val="68"/>
              <w:snapToGrid w:val="0"/>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1、质疑供应商应按照财政部制定的《政府采购质疑函范本》格式（可从财政部官方网站下载）和《政府采购质疑和投诉办法》的要求，在法定质疑期内以书面形式提出质疑。超出法定质疑期提交的质疑将被拒绝。</w:t>
            </w:r>
          </w:p>
          <w:p>
            <w:pPr>
              <w:pStyle w:val="68"/>
              <w:snapToGrid w:val="0"/>
              <w:spacing w:line="4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2、针对同一采购程序环节的质疑要求一次性提出。重复或分次提出的、内容或形式不符合《政府采购质疑和投诉办法》的，质疑供应商将依法承担不利后果。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pPr>
              <w:pStyle w:val="123"/>
              <w:snapToGrid w:val="0"/>
              <w:spacing w:line="400" w:lineRule="exact"/>
              <w:ind w:left="480" w:hanging="480" w:hangingChars="200"/>
              <w:contextualSpacing/>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注意</w:t>
            </w:r>
          </w:p>
          <w:p>
            <w:pPr>
              <w:pStyle w:val="123"/>
              <w:snapToGrid w:val="0"/>
              <w:spacing w:line="400" w:lineRule="exact"/>
              <w:ind w:left="480" w:hanging="480" w:hangingChars="200"/>
              <w:contextualSpacing/>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事项</w:t>
            </w:r>
          </w:p>
        </w:tc>
        <w:tc>
          <w:tcPr>
            <w:tcW w:w="9237" w:type="dxa"/>
            <w:gridSpan w:val="2"/>
            <w:vAlign w:val="center"/>
          </w:tcPr>
          <w:p>
            <w:pPr>
              <w:pStyle w:val="123"/>
              <w:snapToGrid w:val="0"/>
              <w:spacing w:line="400" w:lineRule="exact"/>
              <w:ind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1、根据《财政部关于在政府采购活动中查询及使用信用记录有关问题的通知》财库〔2016〕125号的规定，各供应商应在本项目采购公告发布之日起到响应文件递交截止时间期间，通过“信用中国”网站（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w:t>
            </w:r>
          </w:p>
          <w:p>
            <w:pPr>
              <w:pStyle w:val="123"/>
              <w:snapToGrid w:val="0"/>
              <w:spacing w:line="400" w:lineRule="exact"/>
              <w:ind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pPr>
              <w:pStyle w:val="123"/>
              <w:snapToGrid w:val="0"/>
              <w:spacing w:line="400" w:lineRule="exact"/>
              <w:ind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2、本次采购采用电子交易方式，电子交易平台为“政府采购云平台（www.zcygov.cn）”。供应商参与本项目电子交易活动前，应注册成为政府采购云平台正式供应商。编制电子投标文件前还需申领CA证书并绑定账号。供应商应充分考虑完成平台注册、申领CA证书等所需的时间。因未注册入库、未办理CA数字证书等原因造成无法投标或投标失败等后果由供应商自行承担。</w:t>
            </w:r>
          </w:p>
          <w:p>
            <w:pPr>
              <w:pStyle w:val="123"/>
              <w:snapToGrid w:val="0"/>
              <w:spacing w:line="400" w:lineRule="exact"/>
              <w:ind w:firstLine="0" w:firstLineChars="0"/>
              <w:contextualSpacing/>
              <w:jc w:val="left"/>
              <w:rPr>
                <w:rFonts w:hint="eastAsia" w:ascii="宋体" w:hAnsi="宋体" w:eastAsia="宋体" w:cs="宋体"/>
                <w:sz w:val="24"/>
                <w:szCs w:val="24"/>
              </w:rPr>
            </w:pPr>
            <w:r>
              <w:rPr>
                <w:rFonts w:hint="eastAsia" w:ascii="宋体" w:hAnsi="宋体" w:eastAsia="宋体" w:cs="宋体"/>
                <w:sz w:val="24"/>
                <w:szCs w:val="24"/>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30分钟，如因供应商自身原因导致无法正常解密，后果由供应商自行承担。</w:t>
            </w:r>
          </w:p>
          <w:p>
            <w:pPr>
              <w:pStyle w:val="123"/>
              <w:snapToGrid w:val="0"/>
              <w:spacing w:line="400" w:lineRule="exact"/>
              <w:ind w:firstLine="0" w:firstLineChars="0"/>
              <w:contextualSpacing/>
              <w:rPr>
                <w:rFonts w:hint="eastAsia" w:ascii="宋体" w:hAnsi="宋体" w:eastAsia="宋体" w:cs="宋体"/>
                <w:color w:val="000000"/>
                <w:sz w:val="24"/>
                <w:szCs w:val="24"/>
              </w:rPr>
            </w:pPr>
            <w:r>
              <w:rPr>
                <w:rFonts w:hint="eastAsia" w:ascii="宋体" w:hAnsi="宋体" w:eastAsia="宋体" w:cs="宋体"/>
                <w:sz w:val="24"/>
                <w:szCs w:val="24"/>
              </w:rPr>
              <w:t>4、各供应商对不见面开评标系统的技术操作咨询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bl>
    <w:p>
      <w:pPr>
        <w:pStyle w:val="68"/>
        <w:snapToGrid w:val="0"/>
        <w:spacing w:line="360" w:lineRule="auto"/>
        <w:rPr>
          <w:rFonts w:hint="eastAsia" w:ascii="宋体" w:hAnsi="宋体" w:eastAsia="宋体" w:cs="宋体"/>
          <w:kern w:val="0"/>
          <w:sz w:val="24"/>
          <w:szCs w:val="24"/>
        </w:rPr>
      </w:pPr>
      <w:r>
        <w:rPr>
          <w:rFonts w:hint="eastAsia" w:ascii="宋体" w:hAnsi="宋体" w:eastAsia="宋体" w:cs="宋体"/>
          <w:b/>
          <w:bCs/>
          <w:kern w:val="0"/>
          <w:sz w:val="24"/>
          <w:szCs w:val="24"/>
        </w:rPr>
        <w:t>注：</w:t>
      </w:r>
      <w:r>
        <w:rPr>
          <w:rFonts w:hint="eastAsia" w:ascii="宋体" w:hAnsi="宋体" w:eastAsia="宋体" w:cs="宋体"/>
          <w:sz w:val="24"/>
          <w:szCs w:val="24"/>
        </w:rPr>
        <w:t>1、本表内容与采购文件其它内容不一致的，应当以本表内容为准。</w:t>
      </w:r>
    </w:p>
    <w:p>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2、本表中“</w:t>
      </w:r>
      <w:r>
        <w:rPr>
          <w:rFonts w:hint="eastAsia" w:ascii="宋体" w:hAnsi="宋体" w:eastAsia="宋体" w:cs="宋体"/>
          <w:kern w:val="0"/>
          <w:sz w:val="24"/>
          <w:szCs w:val="24"/>
        </w:rPr>
        <w:fldChar w:fldCharType="begin"/>
      </w:r>
      <w:r>
        <w:rPr>
          <w:rFonts w:hint="eastAsia" w:ascii="宋体" w:hAnsi="宋体" w:eastAsia="宋体" w:cs="宋体"/>
          <w:kern w:val="0"/>
          <w:sz w:val="24"/>
          <w:szCs w:val="24"/>
        </w:rPr>
        <w:instrText xml:space="preserve"> eq \o\ac(</w:instrText>
      </w:r>
      <w:r>
        <w:rPr>
          <w:rFonts w:hint="eastAsia" w:ascii="宋体" w:hAnsi="宋体" w:eastAsia="宋体" w:cs="宋体"/>
          <w:kern w:val="0"/>
          <w:position w:val="-4"/>
          <w:sz w:val="36"/>
          <w:szCs w:val="24"/>
        </w:rPr>
        <w:instrText xml:space="preserve">□</w:instrText>
      </w:r>
      <w:r>
        <w:rPr>
          <w:rFonts w:hint="eastAsia" w:ascii="宋体" w:hAnsi="宋体" w:eastAsia="宋体" w:cs="宋体"/>
          <w:kern w:val="0"/>
          <w:position w:val="0"/>
          <w:sz w:val="24"/>
          <w:szCs w:val="24"/>
        </w:rPr>
        <w:instrText xml:space="preserve">,√)</w:instrTex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”标示选择使用该项</w:t>
      </w:r>
      <w:bookmarkEnd w:id="77"/>
      <w:bookmarkStart w:id="79" w:name="_Toc120614213"/>
      <w:bookmarkEnd w:id="79"/>
      <w:bookmarkStart w:id="80" w:name="_Toc513029202"/>
      <w:bookmarkEnd w:id="80"/>
      <w:bookmarkStart w:id="81" w:name="_Toc20823274"/>
      <w:bookmarkEnd w:id="81"/>
      <w:bookmarkStart w:id="82" w:name="_Toc16938518"/>
      <w:bookmarkEnd w:id="82"/>
      <w:bookmarkStart w:id="83" w:name="_Toc455227390"/>
      <w:bookmarkEnd w:id="83"/>
      <w:r>
        <w:rPr>
          <w:rFonts w:hint="eastAsia" w:ascii="宋体" w:hAnsi="宋体" w:eastAsia="宋体" w:cs="宋体"/>
          <w:kern w:val="0"/>
          <w:sz w:val="24"/>
          <w:szCs w:val="24"/>
        </w:rPr>
        <w:t>。</w:t>
      </w:r>
    </w:p>
    <w:p>
      <w:pPr>
        <w:widowControl/>
        <w:snapToGrid w:val="0"/>
        <w:jc w:val="left"/>
        <w:rPr>
          <w:rFonts w:hint="eastAsia" w:ascii="宋体" w:hAnsi="宋体" w:eastAsia="宋体" w:cs="宋体"/>
          <w:b/>
          <w:sz w:val="24"/>
          <w:szCs w:val="24"/>
        </w:rPr>
      </w:pPr>
      <w:bookmarkStart w:id="84" w:name="_Toc1621"/>
      <w:bookmarkStart w:id="85" w:name="_Toc20759"/>
      <w:bookmarkStart w:id="86" w:name="_Toc256000002"/>
      <w:r>
        <w:rPr>
          <w:rFonts w:hint="eastAsia" w:ascii="宋体" w:hAnsi="宋体" w:eastAsia="宋体" w:cs="宋体"/>
          <w:sz w:val="24"/>
          <w:szCs w:val="24"/>
        </w:rPr>
        <w:br w:type="page"/>
      </w:r>
    </w:p>
    <w:p>
      <w:pPr>
        <w:pStyle w:val="93"/>
        <w:spacing w:before="0" w:after="0" w:line="360" w:lineRule="auto"/>
        <w:ind w:left="0" w:leftChars="0"/>
        <w:jc w:val="both"/>
        <w:rPr>
          <w:rFonts w:hint="eastAsia" w:ascii="宋体" w:hAnsi="宋体" w:eastAsia="宋体" w:cs="宋体"/>
          <w:sz w:val="24"/>
          <w:szCs w:val="24"/>
        </w:rPr>
      </w:pPr>
      <w:bookmarkStart w:id="87" w:name="_Toc20732"/>
      <w:bookmarkStart w:id="88" w:name="_Toc106383955"/>
      <w:r>
        <w:rPr>
          <w:rFonts w:hint="eastAsia" w:ascii="宋体" w:hAnsi="宋体" w:eastAsia="宋体" w:cs="宋体"/>
          <w:sz w:val="24"/>
          <w:szCs w:val="24"/>
        </w:rPr>
        <w:t>一、说明</w:t>
      </w:r>
      <w:bookmarkEnd w:id="84"/>
      <w:bookmarkEnd w:id="85"/>
      <w:bookmarkEnd w:id="86"/>
      <w:bookmarkEnd w:id="87"/>
      <w:bookmarkEnd w:id="88"/>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89" w:name="_Toc26172"/>
      <w:r>
        <w:rPr>
          <w:rFonts w:hint="eastAsia" w:ascii="宋体" w:hAnsi="宋体" w:eastAsia="宋体" w:cs="宋体"/>
          <w:b/>
          <w:sz w:val="24"/>
          <w:szCs w:val="24"/>
        </w:rPr>
        <w:t>1.1适用范围</w:t>
      </w:r>
      <w:bookmarkEnd w:id="89"/>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1.1 .1本磋商文件仅适用于本磋商邀请函中所述项目的货物及相关服务的采购。</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90" w:name="_Toc16309"/>
      <w:r>
        <w:rPr>
          <w:rFonts w:hint="eastAsia" w:ascii="宋体" w:hAnsi="宋体" w:eastAsia="宋体" w:cs="宋体"/>
          <w:b/>
          <w:sz w:val="24"/>
          <w:szCs w:val="24"/>
        </w:rPr>
        <w:t>1.2定义</w:t>
      </w:r>
      <w:bookmarkEnd w:id="90"/>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1.2.1“采购人”是指：详见供应商须知前附表。</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1.2.2“采购代理机构”是指：详见供应商须知前附表。</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1.2.3“监管部门”是指：详见供应商须知前附表。</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1.2.4“供应商”是指：响应磋商文件要求并且符合磋商文件规定资格条件和参加竞争性磋商的法人、其他组织或者自然人。</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1.2.5“响应文件”是指：根据采购代理机构发出的竞争性磋商文件要求编制并递交的纸质版及电子版投标响应文件。</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1.2.6“成交供应商”是指：是指经磋商小组评审推荐，被采购人认可并授予合同的供应商。</w:t>
      </w:r>
    </w:p>
    <w:p>
      <w:pPr>
        <w:pStyle w:val="123"/>
        <w:snapToGrid w:val="0"/>
        <w:spacing w:line="360" w:lineRule="auto"/>
        <w:ind w:firstLine="480"/>
        <w:jc w:val="left"/>
        <w:outlineLvl w:val="3"/>
        <w:rPr>
          <w:rFonts w:hint="eastAsia" w:ascii="宋体" w:hAnsi="宋体" w:eastAsia="宋体" w:cs="宋体"/>
          <w:sz w:val="24"/>
          <w:szCs w:val="24"/>
        </w:rPr>
      </w:pPr>
      <w:r>
        <w:rPr>
          <w:rFonts w:hint="eastAsia" w:ascii="宋体" w:hAnsi="宋体" w:eastAsia="宋体" w:cs="宋体"/>
          <w:sz w:val="24"/>
          <w:szCs w:val="24"/>
        </w:rPr>
        <w:t>1.2.7采购人和采购代理机构统称为招标采购单位。</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91" w:name="_Toc5647"/>
      <w:r>
        <w:rPr>
          <w:rFonts w:hint="eastAsia" w:ascii="宋体" w:hAnsi="宋体" w:eastAsia="宋体" w:cs="宋体"/>
          <w:b/>
          <w:sz w:val="24"/>
          <w:szCs w:val="24"/>
        </w:rPr>
        <w:t>1.3供应商的资格要求</w:t>
      </w:r>
      <w:bookmarkEnd w:id="91"/>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1.3.1 供应商应当符合磋商须知前附表中规定供应商资格条件。</w:t>
      </w:r>
    </w:p>
    <w:p>
      <w:pPr>
        <w:pStyle w:val="123"/>
        <w:snapToGrid w:val="0"/>
        <w:spacing w:line="360" w:lineRule="auto"/>
        <w:ind w:firstLine="480"/>
        <w:jc w:val="left"/>
        <w:outlineLvl w:val="3"/>
        <w:rPr>
          <w:rFonts w:hint="eastAsia" w:ascii="宋体" w:hAnsi="宋体" w:eastAsia="宋体" w:cs="宋体"/>
          <w:sz w:val="24"/>
          <w:szCs w:val="24"/>
        </w:rPr>
      </w:pPr>
      <w:r>
        <w:rPr>
          <w:rFonts w:hint="eastAsia" w:ascii="宋体" w:hAnsi="宋体" w:eastAsia="宋体" w:cs="宋体"/>
          <w:sz w:val="24"/>
          <w:szCs w:val="24"/>
        </w:rPr>
        <w:t>1.3.2 供应商不得存在下列情形之一：</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（l）与采购人、代理机构存在利害关系。</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（2）单位负责人为同一人或者存在直接控股、管理关系的不同供应商，不得参加同一合同项下的政府采购活动。</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（3）除单一来源采购项目外，为采购项目提供整体设计、规范编制或者项目管理、监理、检测等服务的供应商，不得再参加该采购项目的其他采购活动。</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（4）供应商被列入失信被执行人、重大税收违法案件当事人名单、政府采购严重违法失信行为记录名单（处罚决定规定的时间内）。</w:t>
      </w:r>
    </w:p>
    <w:p>
      <w:pPr>
        <w:pStyle w:val="123"/>
        <w:snapToGrid w:val="0"/>
        <w:spacing w:line="360" w:lineRule="auto"/>
        <w:ind w:firstLine="482"/>
        <w:jc w:val="left"/>
        <w:outlineLvl w:val="2"/>
        <w:rPr>
          <w:rFonts w:hint="eastAsia" w:ascii="宋体" w:hAnsi="宋体" w:eastAsia="宋体" w:cs="宋体"/>
          <w:b/>
          <w:sz w:val="24"/>
          <w:szCs w:val="24"/>
        </w:rPr>
      </w:pPr>
      <w:bookmarkStart w:id="92" w:name="_Toc8033"/>
      <w:r>
        <w:rPr>
          <w:rFonts w:hint="eastAsia" w:ascii="宋体" w:hAnsi="宋体" w:eastAsia="宋体" w:cs="宋体"/>
          <w:b/>
          <w:sz w:val="24"/>
          <w:szCs w:val="24"/>
        </w:rPr>
        <w:t>1.4费用和知识产权</w:t>
      </w:r>
      <w:bookmarkEnd w:id="92"/>
    </w:p>
    <w:p>
      <w:pPr>
        <w:pStyle w:val="123"/>
        <w:snapToGrid w:val="0"/>
        <w:spacing w:line="360" w:lineRule="auto"/>
        <w:ind w:firstLine="480"/>
        <w:jc w:val="left"/>
        <w:rPr>
          <w:rFonts w:hint="eastAsia" w:ascii="宋体" w:hAnsi="宋体" w:eastAsia="宋体" w:cs="宋体"/>
          <w:sz w:val="24"/>
          <w:szCs w:val="24"/>
        </w:rPr>
      </w:pPr>
      <w:bookmarkStart w:id="93" w:name="_Toc293738992"/>
      <w:bookmarkStart w:id="94" w:name="_Toc3092"/>
      <w:bookmarkStart w:id="95" w:name="_Toc446599311"/>
      <w:bookmarkStart w:id="96" w:name="_Toc256000003"/>
      <w:bookmarkStart w:id="97" w:name="_Toc18317"/>
      <w:bookmarkStart w:id="98" w:name="_Toc293736054"/>
      <w:bookmarkStart w:id="99" w:name="_Toc293736011"/>
      <w:r>
        <w:rPr>
          <w:rFonts w:hint="eastAsia" w:ascii="宋体" w:hAnsi="宋体" w:eastAsia="宋体" w:cs="宋体"/>
          <w:sz w:val="24"/>
          <w:szCs w:val="24"/>
        </w:rPr>
        <w:t>1.4.1供应商应承担其参加本采购活动自身所发生的费用。采购文件所提供的资料，是采购人现有的能被供应商利用的资料，采购人对供应商做出的任何推论、理解和结论均不负责任。</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93"/>
        <w:spacing w:before="0" w:after="0" w:line="360" w:lineRule="auto"/>
        <w:jc w:val="both"/>
        <w:rPr>
          <w:rFonts w:hint="eastAsia" w:ascii="宋体" w:hAnsi="宋体" w:eastAsia="宋体" w:cs="宋体"/>
          <w:sz w:val="24"/>
          <w:szCs w:val="24"/>
        </w:rPr>
      </w:pPr>
      <w:bookmarkStart w:id="100" w:name="_Toc59"/>
      <w:bookmarkStart w:id="101" w:name="_Toc106383956"/>
      <w:r>
        <w:rPr>
          <w:rFonts w:hint="eastAsia" w:ascii="宋体" w:hAnsi="宋体" w:eastAsia="宋体" w:cs="宋体"/>
          <w:sz w:val="24"/>
          <w:szCs w:val="24"/>
        </w:rPr>
        <w:t>二、磋商文件</w:t>
      </w:r>
      <w:bookmarkEnd w:id="93"/>
      <w:bookmarkEnd w:id="94"/>
      <w:bookmarkEnd w:id="95"/>
      <w:bookmarkEnd w:id="96"/>
      <w:bookmarkEnd w:id="97"/>
      <w:bookmarkEnd w:id="98"/>
      <w:bookmarkEnd w:id="99"/>
      <w:bookmarkEnd w:id="100"/>
      <w:bookmarkEnd w:id="101"/>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02" w:name="_Toc16748"/>
      <w:r>
        <w:rPr>
          <w:rFonts w:hint="eastAsia" w:ascii="宋体" w:hAnsi="宋体" w:eastAsia="宋体" w:cs="宋体"/>
          <w:b/>
          <w:sz w:val="24"/>
          <w:szCs w:val="24"/>
        </w:rPr>
        <w:t>2.1.磋商文件的构成</w:t>
      </w:r>
      <w:bookmarkEnd w:id="102"/>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(1)磋商邀请函；</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(3)采购需求；</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(4)评审方法、步骤、标准；</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(5)</w:t>
      </w:r>
      <w:bookmarkStart w:id="103" w:name="_Hlk103859850"/>
      <w:r>
        <w:rPr>
          <w:rFonts w:hint="eastAsia" w:ascii="宋体" w:hAnsi="宋体" w:eastAsia="宋体" w:cs="宋体"/>
          <w:sz w:val="24"/>
          <w:szCs w:val="24"/>
        </w:rPr>
        <w:t>合同格式及合同条款</w:t>
      </w:r>
      <w:bookmarkEnd w:id="103"/>
      <w:r>
        <w:rPr>
          <w:rFonts w:hint="eastAsia" w:ascii="宋体" w:hAnsi="宋体" w:eastAsia="宋体" w:cs="宋体"/>
          <w:sz w:val="24"/>
          <w:szCs w:val="24"/>
        </w:rPr>
        <w:t>；</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(7)在磋商过程中由采购单位发出的澄清和补充文件等。</w:t>
      </w:r>
    </w:p>
    <w:p>
      <w:pPr>
        <w:pStyle w:val="123"/>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04" w:name="_Toc1038"/>
      <w:r>
        <w:rPr>
          <w:rFonts w:hint="eastAsia" w:ascii="宋体" w:hAnsi="宋体" w:eastAsia="宋体" w:cs="宋体"/>
          <w:b/>
          <w:sz w:val="24"/>
          <w:szCs w:val="24"/>
        </w:rPr>
        <w:t>2.2.磋商文件的澄清</w:t>
      </w:r>
      <w:bookmarkEnd w:id="104"/>
    </w:p>
    <w:p>
      <w:pPr>
        <w:pStyle w:val="123"/>
        <w:wordWrap w:val="0"/>
        <w:topLinePunct/>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pPr>
        <w:pStyle w:val="123"/>
        <w:wordWrap w:val="0"/>
        <w:topLinePunct/>
        <w:snapToGrid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2.2.2供应商在本项目采购公告期限届满之日起7个工作日内未对磋商文件提出异议的，采购单位将视其为同意。在规定的时间后就磋商文件内容提出的质疑将不予受理。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05" w:name="_Toc21812"/>
      <w:r>
        <w:rPr>
          <w:rFonts w:hint="eastAsia" w:ascii="宋体" w:hAnsi="宋体" w:eastAsia="宋体" w:cs="宋体"/>
          <w:b/>
          <w:sz w:val="24"/>
          <w:szCs w:val="24"/>
        </w:rPr>
        <w:t>2.3.磋商文件的修改</w:t>
      </w:r>
      <w:bookmarkEnd w:id="105"/>
    </w:p>
    <w:p>
      <w:pPr>
        <w:pStyle w:val="123"/>
        <w:topLinePunct/>
        <w:snapToGrid w:val="0"/>
        <w:spacing w:line="360" w:lineRule="auto"/>
        <w:ind w:firstLine="480"/>
        <w:rPr>
          <w:rFonts w:hint="eastAsia" w:ascii="宋体" w:hAnsi="宋体" w:eastAsia="宋体" w:cs="宋体"/>
          <w:sz w:val="24"/>
          <w:szCs w:val="24"/>
        </w:rPr>
      </w:pPr>
      <w:bookmarkStart w:id="106" w:name="_Toc1735"/>
      <w:bookmarkStart w:id="107" w:name="_Toc256000004"/>
      <w:bookmarkStart w:id="108" w:name="_Toc13231"/>
      <w:bookmarkStart w:id="109" w:name="_Toc446599312"/>
      <w:bookmarkStart w:id="110" w:name="_Toc293738993"/>
      <w:bookmarkStart w:id="111" w:name="_Toc293736012"/>
      <w:bookmarkStart w:id="112" w:name="_Toc293736055"/>
      <w:r>
        <w:rPr>
          <w:rFonts w:hint="eastAsia" w:ascii="宋体" w:hAnsi="宋体" w:eastAsia="宋体" w:cs="宋体"/>
          <w:sz w:val="24"/>
          <w:szCs w:val="24"/>
        </w:rPr>
        <w:t>2.3.1采购单位可以对已发出的磋商文件进行必要的澄清或者修改。澄清或者修改的内容可能影响响应文件编制的，采购单位将在响应文件递交截止时间5日前在新疆政府采购网政采云平台发布更正公告。</w:t>
      </w:r>
    </w:p>
    <w:p>
      <w:pPr>
        <w:pStyle w:val="123"/>
        <w:wordWrap w:val="0"/>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2.3.2澄清或者修改的内容是磋商文件的组成部分，将在采云平台向所有供应商公布，并对供应商具有约束力。</w:t>
      </w:r>
    </w:p>
    <w:p>
      <w:pPr>
        <w:pStyle w:val="123"/>
        <w:wordWrap w:val="0"/>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2.3.3为使供应商有充足的时间对磋商文件的修改部分进行研究，距离响应文件递交截止时间不足5日时，采购单位可适当推迟响应文件截止期，并通过在政采云平台上发布公告方式通知所有下载磋商文件的供应商。</w:t>
      </w:r>
    </w:p>
    <w:p>
      <w:pPr>
        <w:pStyle w:val="123"/>
        <w:wordWrap w:val="0"/>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2.3.4供应商应注意及时浏览网上发布的澄清或修改通知并下载，因供应商原因未及时获知澄清、修改或补充内容而导致的任何后果将由供应商自行承担。</w:t>
      </w:r>
    </w:p>
    <w:p>
      <w:pPr>
        <w:pStyle w:val="93"/>
        <w:spacing w:before="0" w:after="0" w:line="360" w:lineRule="auto"/>
        <w:jc w:val="both"/>
        <w:rPr>
          <w:rFonts w:hint="eastAsia" w:ascii="宋体" w:hAnsi="宋体" w:eastAsia="宋体" w:cs="宋体"/>
          <w:sz w:val="24"/>
          <w:szCs w:val="24"/>
        </w:rPr>
      </w:pPr>
      <w:bookmarkStart w:id="113" w:name="_Toc106383957"/>
      <w:bookmarkStart w:id="114" w:name="_Toc21394"/>
      <w:r>
        <w:rPr>
          <w:rFonts w:hint="eastAsia" w:ascii="宋体" w:hAnsi="宋体" w:eastAsia="宋体" w:cs="宋体"/>
          <w:sz w:val="24"/>
          <w:szCs w:val="24"/>
        </w:rPr>
        <w:t>三、响应文件的编制和数量</w:t>
      </w:r>
      <w:bookmarkEnd w:id="106"/>
      <w:bookmarkEnd w:id="107"/>
      <w:bookmarkEnd w:id="108"/>
      <w:bookmarkEnd w:id="109"/>
      <w:bookmarkEnd w:id="110"/>
      <w:bookmarkEnd w:id="111"/>
      <w:bookmarkEnd w:id="112"/>
      <w:bookmarkEnd w:id="113"/>
      <w:bookmarkEnd w:id="114"/>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15" w:name="_Toc3127"/>
      <w:r>
        <w:rPr>
          <w:rFonts w:hint="eastAsia" w:ascii="宋体" w:hAnsi="宋体" w:eastAsia="宋体" w:cs="宋体"/>
          <w:b/>
          <w:sz w:val="24"/>
          <w:szCs w:val="24"/>
        </w:rPr>
        <w:t>3.1．响应文件的语言</w:t>
      </w:r>
      <w:bookmarkEnd w:id="115"/>
    </w:p>
    <w:p>
      <w:pPr>
        <w:pStyle w:val="123"/>
        <w:topLinePunct/>
        <w:snapToGrid w:val="0"/>
        <w:spacing w:line="360" w:lineRule="auto"/>
        <w:ind w:firstLine="456"/>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z w:val="24"/>
          <w:szCs w:val="24"/>
        </w:rPr>
        <w:t>3.1.1供应商提交的响应文件以及供应商与采购单位就有关磋商的所有来往函均应使用中文。供应商提交的支持文件或印刷的文献可以用另一种语言，但相应内容应附有中文翻译本，在解释响应文件的修改内容时以中文翻译本为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16" w:name="_Toc27517"/>
      <w:r>
        <w:rPr>
          <w:rFonts w:hint="eastAsia" w:ascii="宋体" w:hAnsi="宋体" w:eastAsia="宋体" w:cs="宋体"/>
          <w:b/>
          <w:sz w:val="24"/>
          <w:szCs w:val="24"/>
        </w:rPr>
        <w:t>3.2响应文件的构成</w:t>
      </w:r>
      <w:bookmarkEnd w:id="116"/>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3.2.1供应商编制的响应文件应包括但不少于下列内容：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（1)资格审查材料（详见第六章资格审查材料组成）</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（2)商务文件内容（详见第六章商务文件组成）</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（3)技术文件内容（详见第六章技术文件组成）</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17" w:name="_Toc1213"/>
      <w:r>
        <w:rPr>
          <w:rFonts w:hint="eastAsia" w:ascii="宋体" w:hAnsi="宋体" w:eastAsia="宋体" w:cs="宋体"/>
          <w:b/>
          <w:sz w:val="24"/>
          <w:szCs w:val="24"/>
        </w:rPr>
        <w:t>3.3响应文件编制</w:t>
      </w:r>
      <w:bookmarkEnd w:id="117"/>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3.3.1电子响应文件制作时，应按照磋商文件中明确的响应文件目录和采购技术规格、参数及相关要求格式进行编制，保证目录清晰、内容完整。</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3.3.2供应商应按照供应商须知前附表要求的编制响应文件。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3.3.3网上提交的电子响应文件为正本。</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3.3.4供应商因自身原因导致电子响应文件无法导入电子评标系统的，该响应文件视为无效文件。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3.3.5电子响应文件具有法律效力,与其他形式的响应文件在内容和格式上等同，若响应文件与磋商文件要求不一致，其内容影响成交结果时，责任由供应商自行承担。</w:t>
      </w:r>
    </w:p>
    <w:p>
      <w:pPr>
        <w:pStyle w:val="123"/>
        <w:topLinePunct/>
        <w:snapToGrid w:val="0"/>
        <w:spacing w:line="360" w:lineRule="auto"/>
        <w:ind w:firstLine="456"/>
        <w:rPr>
          <w:rFonts w:hint="eastAsia" w:ascii="宋体" w:hAnsi="宋体" w:eastAsia="宋体" w:cs="宋体"/>
          <w:sz w:val="24"/>
          <w:szCs w:val="24"/>
        </w:rPr>
      </w:pPr>
      <w:r>
        <w:rPr>
          <w:rFonts w:hint="eastAsia" w:ascii="宋体" w:hAnsi="宋体" w:eastAsia="宋体" w:cs="宋体"/>
          <w:spacing w:val="-6"/>
          <w:sz w:val="24"/>
          <w:szCs w:val="24"/>
        </w:rPr>
        <w:t>★</w:t>
      </w:r>
      <w:r>
        <w:rPr>
          <w:rFonts w:hint="eastAsia" w:ascii="宋体" w:hAnsi="宋体" w:eastAsia="宋体" w:cs="宋体"/>
          <w:sz w:val="24"/>
          <w:szCs w:val="24"/>
        </w:rPr>
        <w:t>3.3.6为了保证电子标书的合法性、安全性和完整性，电子响应文件转换完成后，应在规定区域加盖单位和法定代表人CA印章。电子响应文件若无CA电子签章，则视为无效文件。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3.3.7供应商应完整地填写磋商文件中提供的《竞争性磋商函》、《竞争性磋商报价一览表》、《竞争性磋商报价明细表》等磋商文件中规定的所有内容。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3.3.8供应商必须保证响应文件所提供的全部资料真实可靠，并接受采购单位对其中任何资料进一步核实的要求。</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★3.3.9响应文件应由供应商的法定代表人或经其正式委托代理人按磋商文件规定在响应文件上签字并加盖单位印章。委托代理人须持有书面的“法定代表人授权委托书”，并将其附在响应文件中。</w:t>
      </w:r>
    </w:p>
    <w:p>
      <w:pPr>
        <w:pStyle w:val="67"/>
        <w:snapToGrid w:val="0"/>
        <w:spacing w:line="360" w:lineRule="auto"/>
        <w:ind w:firstLine="482" w:firstLineChars="201"/>
        <w:contextualSpacing/>
        <w:jc w:val="left"/>
        <w:outlineLvl w:val="3"/>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3.4磋商报价要求</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3.4.1供应商所提供的货物和服务均以人民币报价。</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3.4.2商应按照“第三章 采购需求”规定的货物、服务内容、责任范围以及合同条款进行报价。并按《竞争性磋商报价一览表》和《竞争性磋商报价明细表》确定的格式报出分项价格和总价。</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3.4.3《竞争性磋商报价明细表》填写时应响应下列要求，所有根据合同或其它原因应由供应商支付的税款和其它应交纳的费用都要包括在供应商提交的磋商总价中；</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3.4.5每一种规格的服务只允许有一个报价，否则将被视为无效响应文件。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3.4.6供应商所报的总价在合同执行过程中是固定不变的，不得以任何理由予以变更。</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3.4.7供应商的最后磋商报价超过项目采购预算的为无效报价。</w:t>
      </w:r>
    </w:p>
    <w:p>
      <w:pPr>
        <w:pStyle w:val="67"/>
        <w:snapToGrid w:val="0"/>
        <w:spacing w:line="360" w:lineRule="auto"/>
        <w:ind w:firstLine="484" w:firstLineChars="201"/>
        <w:contextualSpacing/>
        <w:jc w:val="left"/>
        <w:outlineLvl w:val="2"/>
        <w:rPr>
          <w:rFonts w:hint="eastAsia" w:ascii="宋体" w:hAnsi="宋体" w:eastAsia="宋体" w:cs="宋体"/>
          <w:sz w:val="24"/>
          <w:szCs w:val="24"/>
        </w:rPr>
      </w:pPr>
      <w:bookmarkStart w:id="118" w:name="_Toc23481"/>
      <w:r>
        <w:rPr>
          <w:rFonts w:hint="eastAsia" w:ascii="宋体" w:hAnsi="宋体" w:eastAsia="宋体" w:cs="宋体"/>
          <w:b/>
          <w:sz w:val="24"/>
          <w:szCs w:val="24"/>
        </w:rPr>
        <w:t>3.5备选方案</w:t>
      </w:r>
      <w:bookmarkEnd w:id="118"/>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★3.5.1供应商应按照供应商须知前附表要求编制磋商备选方案，否则将被视为无效响应文件。</w:t>
      </w:r>
    </w:p>
    <w:p>
      <w:pPr>
        <w:pStyle w:val="67"/>
        <w:snapToGrid w:val="0"/>
        <w:spacing w:line="360" w:lineRule="auto"/>
        <w:ind w:firstLine="482" w:firstLineChars="201"/>
        <w:contextualSpacing/>
        <w:jc w:val="left"/>
        <w:outlineLvl w:val="3"/>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3.6联合体响应</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3.6.1是否接受联合体详见供应商须知前附表。两个以上供应商可以组成一个联合体，以一个供应商的身份共同参与磋商。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3.6.2采取联合体形式磋商的，联合体各方均应当符合政府采购法第二十二条规定的条件。采购人根据采购项目的特殊要求规定供应商特定条件的，联合体各方中至少有一方符合磋商文件规定的特定条件。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3.6.3联合体各方之间必须签订联合磋商协议，明确约定联合体主体及各方承担的工作和相应的责任，其响应文件中必须提供联合磋商协议。</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3.6.4以联合体形式参加政府采购活动的，联合体各方不得再单独参加或者与其他供应商另外组成联合体参加同一合同项下的政府采购活动。</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3.6.5采取联合体形式响应的，其响应文件必须由联合体所有成员或其各自正式书面授权的代表签署（盖章），以便对所有成员作为整体及作为个体均具有法律约束力。</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3.6.6联合体成交的，联合体各方应当共同与采购人签订采购合同。</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3.6.7联合体中有同类资质的供应商按照联合体分工承担相同工作的，应当按照资质等级较低的供应商确定资质等级。</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19" w:name="_Toc22207"/>
      <w:r>
        <w:rPr>
          <w:rFonts w:hint="eastAsia" w:ascii="宋体" w:hAnsi="宋体" w:eastAsia="宋体" w:cs="宋体"/>
          <w:b/>
          <w:sz w:val="24"/>
          <w:szCs w:val="24"/>
        </w:rPr>
        <w:t>3.7. 供应商资格证明文件</w:t>
      </w:r>
      <w:bookmarkEnd w:id="119"/>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3.7.1供应商应提交证明其有资格参加磋商和成交后有能力履行合同的文件，并作为其响应文件的一部分。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3.7.2资格证明文件必须真实可靠、不得伪造。</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3.7.3供应商相关资格证明文件：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（1）法人或者其他组织的营业执照等证明文件，自然人的身份证明；</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（2）财务状况报告，依法缴纳税收和社会保障资金的相关材料；</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（3）具备履行合同所必需的设备和专业技术能力的证明材料；</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（4）参加政府采购活动前3年内在经营活动中没有重大违法记录的书面声明；</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（5）具备法律、行政法规规定的其他条件的证明材料；</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（6）采购项目有特殊要求的，供应商还应当提供其符合特殊要求的证明材料或者情况说明；</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（7）信用信息查询记录；</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（8）磋商文件要求或供应商认为需提供的其它相关资格证明材料。</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3.7.4 证明响应货物、服务的合格性和符合磋商文件规定的文件。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采取资格预审方式项目的供应商在递交响应文件时，其资格条件与资格预审时发生变化的，提交变化后的资料。</w:t>
      </w:r>
    </w:p>
    <w:p>
      <w:pPr>
        <w:pStyle w:val="67"/>
        <w:snapToGrid w:val="0"/>
        <w:spacing w:line="360" w:lineRule="auto"/>
        <w:ind w:firstLine="482" w:firstLineChars="201"/>
        <w:contextualSpacing/>
        <w:jc w:val="left"/>
        <w:outlineLvl w:val="4"/>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3.8.磋商保证金</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3.8.2联合体投标的，可以由联合体中的一方或者共同提交投标保证金。以一方名义提交投标保证金的，对联合体各方均具有约束力。对于未能按要求提交保证金的将视为未响应磋商文件的要求，其响应文件无效。</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3.8.4成交供应商的磋商保证金,在供应商与采购人签订合同后（将合同提交至采购代理机构）5个工作日内，按照保证金的来款渠道原路退还至供应商缴纳保证金的企业银行账户内。</w:t>
      </w:r>
    </w:p>
    <w:p>
      <w:pPr>
        <w:pStyle w:val="123"/>
        <w:topLinePunct/>
        <w:snapToGrid w:val="0"/>
        <w:spacing w:line="360" w:lineRule="auto"/>
        <w:ind w:firstLine="480"/>
        <w:outlineLvl w:val="4"/>
        <w:rPr>
          <w:rFonts w:hint="eastAsia" w:ascii="宋体" w:hAnsi="宋体" w:eastAsia="宋体" w:cs="宋体"/>
          <w:sz w:val="24"/>
          <w:szCs w:val="24"/>
        </w:rPr>
      </w:pPr>
      <w:r>
        <w:rPr>
          <w:rFonts w:hint="eastAsia" w:ascii="宋体" w:hAnsi="宋体" w:eastAsia="宋体" w:cs="宋体"/>
          <w:sz w:val="24"/>
          <w:szCs w:val="24"/>
        </w:rPr>
        <w:t>3.8.5有下列情形之一的，保证金将不予退还：</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（1）供应商在响应文件中提供虚假资料的；</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（2）除因不可抗力或磋商文件认可的情形以外，成交供应商不与采购人签订合同的；</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（3）供应商与采购人、其他供应商或者采购代理机构恶意串通的；</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（4）磋商文件规定的其他情形。</w:t>
      </w:r>
    </w:p>
    <w:p>
      <w:pPr>
        <w:pStyle w:val="67"/>
        <w:snapToGrid w:val="0"/>
        <w:spacing w:line="360" w:lineRule="auto"/>
        <w:ind w:firstLine="482" w:firstLineChars="201"/>
        <w:contextualSpacing/>
        <w:jc w:val="left"/>
        <w:outlineLvl w:val="1"/>
        <w:rPr>
          <w:rFonts w:hint="eastAsia" w:ascii="宋体" w:hAnsi="宋体" w:eastAsia="宋体" w:cs="宋体"/>
          <w:b/>
          <w:sz w:val="24"/>
          <w:szCs w:val="24"/>
        </w:rPr>
      </w:pPr>
      <w:bookmarkStart w:id="120" w:name="_Toc27946"/>
      <w:r>
        <w:rPr>
          <w:rFonts w:hint="eastAsia" w:ascii="宋体" w:hAnsi="宋体" w:eastAsia="宋体" w:cs="宋体"/>
          <w:sz w:val="24"/>
          <w:szCs w:val="24"/>
        </w:rPr>
        <w:t>★</w:t>
      </w:r>
      <w:r>
        <w:rPr>
          <w:rFonts w:hint="eastAsia" w:ascii="宋体" w:hAnsi="宋体" w:eastAsia="宋体" w:cs="宋体"/>
          <w:b/>
          <w:sz w:val="24"/>
          <w:szCs w:val="24"/>
        </w:rPr>
        <w:t>3.9.磋商的有效期</w:t>
      </w:r>
      <w:bookmarkEnd w:id="120"/>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3.9.1磋商有效期详见供应商须知前附表。供应商响应文件中有效期不足的将被视为无效文件。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3.9.2 有效期内供应商未经采购结果确认谈判达成一致不得改变其磋商最后报价及承诺的全部义务。</w:t>
      </w:r>
    </w:p>
    <w:p>
      <w:pPr>
        <w:pStyle w:val="93"/>
        <w:spacing w:before="0" w:after="0" w:line="360" w:lineRule="auto"/>
        <w:jc w:val="both"/>
        <w:rPr>
          <w:rFonts w:hint="eastAsia" w:ascii="宋体" w:hAnsi="宋体" w:eastAsia="宋体" w:cs="宋体"/>
          <w:sz w:val="24"/>
          <w:szCs w:val="24"/>
        </w:rPr>
      </w:pPr>
      <w:bookmarkStart w:id="121" w:name="_Toc293736013"/>
      <w:bookmarkStart w:id="122" w:name="_Toc293736056"/>
      <w:bookmarkStart w:id="123" w:name="_Toc446599313"/>
      <w:bookmarkStart w:id="124" w:name="_Toc293738994"/>
      <w:bookmarkStart w:id="125" w:name="_Toc106383958"/>
      <w:bookmarkStart w:id="126" w:name="_Toc15646"/>
      <w:r>
        <w:rPr>
          <w:rFonts w:hint="eastAsia" w:ascii="宋体" w:hAnsi="宋体" w:eastAsia="宋体" w:cs="宋体"/>
          <w:sz w:val="24"/>
          <w:szCs w:val="24"/>
        </w:rPr>
        <w:t>四、响应文件的递交</w:t>
      </w:r>
      <w:bookmarkEnd w:id="121"/>
      <w:bookmarkEnd w:id="122"/>
      <w:bookmarkEnd w:id="123"/>
      <w:bookmarkEnd w:id="124"/>
      <w:r>
        <w:rPr>
          <w:rFonts w:hint="eastAsia" w:ascii="宋体" w:hAnsi="宋体" w:eastAsia="宋体" w:cs="宋体"/>
          <w:sz w:val="24"/>
          <w:szCs w:val="24"/>
        </w:rPr>
        <w:t>及开启</w:t>
      </w:r>
      <w:bookmarkEnd w:id="125"/>
      <w:bookmarkEnd w:id="126"/>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27" w:name="_Toc22168"/>
      <w:r>
        <w:rPr>
          <w:rFonts w:hint="eastAsia" w:ascii="宋体" w:hAnsi="宋体" w:eastAsia="宋体" w:cs="宋体"/>
          <w:b/>
          <w:sz w:val="24"/>
          <w:szCs w:val="24"/>
        </w:rPr>
        <w:t>4.1 响应文件的密封和标记</w:t>
      </w:r>
      <w:bookmarkEnd w:id="127"/>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4.1.1响应文件的密封和标记。电子响应文件的内容按要求进行签章。未按要求进行数字证书认证的响应文件，电子评标系统将无法接受,采购单位不予受理。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28" w:name="_Toc25949"/>
      <w:r>
        <w:rPr>
          <w:rFonts w:hint="eastAsia" w:ascii="宋体" w:hAnsi="宋体" w:eastAsia="宋体" w:cs="宋体"/>
          <w:b/>
          <w:sz w:val="24"/>
          <w:szCs w:val="24"/>
        </w:rPr>
        <w:t>4.2</w:t>
      </w:r>
      <w:r>
        <w:rPr>
          <w:rFonts w:hint="eastAsia" w:ascii="宋体" w:hAnsi="宋体" w:eastAsia="宋体" w:cs="宋体"/>
          <w:b/>
          <w:color w:val="000000"/>
          <w:sz w:val="24"/>
          <w:szCs w:val="24"/>
        </w:rPr>
        <w:t>响</w:t>
      </w:r>
      <w:r>
        <w:rPr>
          <w:rFonts w:hint="eastAsia" w:ascii="宋体" w:hAnsi="宋体" w:eastAsia="宋体" w:cs="宋体"/>
          <w:b/>
          <w:sz w:val="24"/>
          <w:szCs w:val="24"/>
        </w:rPr>
        <w:t>应文件</w:t>
      </w:r>
      <w:r>
        <w:rPr>
          <w:rFonts w:hint="eastAsia" w:ascii="宋体" w:hAnsi="宋体" w:eastAsia="宋体" w:cs="宋体"/>
          <w:b/>
          <w:color w:val="000000"/>
          <w:sz w:val="24"/>
          <w:szCs w:val="24"/>
        </w:rPr>
        <w:t>的</w:t>
      </w:r>
      <w:r>
        <w:rPr>
          <w:rFonts w:hint="eastAsia" w:ascii="宋体" w:hAnsi="宋体" w:eastAsia="宋体" w:cs="宋体"/>
          <w:b/>
          <w:sz w:val="24"/>
          <w:szCs w:val="24"/>
        </w:rPr>
        <w:t>递交</w:t>
      </w:r>
      <w:bookmarkEnd w:id="128"/>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4.2.1供应商应在磋商文件规定的响应文件递交截止时间前将电子响应文件上传到指定新疆政府采购网政采云平台。未在响应文件递交截止时间前完成上传的电子响应文件视为逾期送达。逾期上传或未按规定方式上传的电子响应文件，采购单位不予受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4.2.2是否采用不见面开标详见磋商须知前附表。若项目采用不见面开标，只需将电子响应文件在磋商响应文件递交截止时间前通过新疆政府采购网政采云平台上传完成。逾期上传的或者未上传到平台的响应文件，采购人不予受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29" w:name="_Toc481"/>
      <w:r>
        <w:rPr>
          <w:rFonts w:hint="eastAsia" w:ascii="宋体" w:hAnsi="宋体" w:eastAsia="宋体" w:cs="宋体"/>
          <w:b/>
          <w:sz w:val="24"/>
          <w:szCs w:val="24"/>
        </w:rPr>
        <w:t>4.3迟交的响应文件</w:t>
      </w:r>
      <w:bookmarkEnd w:id="129"/>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4.3.1采购单位将拒绝并原封退回在规定的响应文件递交截止期后送达的任何响应文件。由于对网上操作不熟悉或自身电脑、网络的原因导致不能在响应文件递交截止时间之前上传响应文件，新疆政府采购网政采云平台将不负任何责任。</w:t>
      </w:r>
    </w:p>
    <w:p>
      <w:pPr>
        <w:pStyle w:val="123"/>
        <w:topLinePunct/>
        <w:snapToGrid w:val="0"/>
        <w:spacing w:line="360" w:lineRule="auto"/>
        <w:ind w:firstLine="482"/>
        <w:outlineLvl w:val="2"/>
        <w:rPr>
          <w:rFonts w:hint="eastAsia" w:ascii="宋体" w:hAnsi="宋体" w:eastAsia="宋体" w:cs="宋体"/>
          <w:color w:val="000000"/>
          <w:kern w:val="0"/>
          <w:sz w:val="24"/>
          <w:szCs w:val="24"/>
        </w:rPr>
      </w:pPr>
      <w:bookmarkStart w:id="130" w:name="_Toc648"/>
      <w:r>
        <w:rPr>
          <w:rFonts w:hint="eastAsia" w:ascii="宋体" w:hAnsi="宋体" w:eastAsia="宋体" w:cs="宋体"/>
          <w:b/>
          <w:sz w:val="24"/>
          <w:szCs w:val="24"/>
        </w:rPr>
        <w:t>4.4响应文件的修改和撤回</w:t>
      </w:r>
      <w:bookmarkEnd w:id="130"/>
    </w:p>
    <w:p>
      <w:pPr>
        <w:pStyle w:val="123"/>
        <w:topLinePunct/>
        <w:snapToGrid w:val="0"/>
        <w:spacing w:line="360" w:lineRule="auto"/>
        <w:ind w:firstLine="480"/>
        <w:rPr>
          <w:rFonts w:hint="eastAsia" w:ascii="宋体" w:hAnsi="宋体" w:eastAsia="宋体" w:cs="宋体"/>
          <w:sz w:val="24"/>
          <w:szCs w:val="24"/>
        </w:rPr>
      </w:pPr>
      <w:bookmarkStart w:id="131" w:name="_Toc293736057"/>
      <w:bookmarkStart w:id="132" w:name="_Toc293738995"/>
      <w:bookmarkStart w:id="133" w:name="_Toc293736014"/>
      <w:bookmarkStart w:id="134" w:name="_Toc446599314"/>
      <w:bookmarkStart w:id="135" w:name="_Toc256000005"/>
      <w:bookmarkStart w:id="136" w:name="_Toc4087"/>
      <w:bookmarkStart w:id="137" w:name="_Toc9220"/>
      <w:r>
        <w:rPr>
          <w:rFonts w:hint="eastAsia" w:ascii="宋体" w:hAnsi="宋体" w:eastAsia="宋体" w:cs="宋体"/>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4.4.2供应商所提交的响应文件在评审结束后，无论中标与否都不退还。</w:t>
      </w:r>
    </w:p>
    <w:p>
      <w:pPr>
        <w:pStyle w:val="93"/>
        <w:spacing w:before="0" w:after="0" w:line="360" w:lineRule="auto"/>
        <w:jc w:val="both"/>
        <w:rPr>
          <w:rFonts w:hint="eastAsia" w:ascii="宋体" w:hAnsi="宋体" w:eastAsia="宋体" w:cs="宋体"/>
          <w:sz w:val="24"/>
          <w:szCs w:val="24"/>
        </w:rPr>
      </w:pPr>
      <w:bookmarkStart w:id="138" w:name="_Toc106383959"/>
      <w:bookmarkStart w:id="139" w:name="_Toc11244"/>
      <w:r>
        <w:rPr>
          <w:rFonts w:hint="eastAsia" w:ascii="宋体" w:hAnsi="宋体" w:eastAsia="宋体" w:cs="宋体"/>
          <w:sz w:val="24"/>
          <w:szCs w:val="24"/>
        </w:rPr>
        <w:t>五、</w:t>
      </w:r>
      <w:bookmarkEnd w:id="131"/>
      <w:bookmarkEnd w:id="132"/>
      <w:bookmarkEnd w:id="133"/>
      <w:bookmarkEnd w:id="134"/>
      <w:r>
        <w:rPr>
          <w:rFonts w:hint="eastAsia" w:ascii="宋体" w:hAnsi="宋体" w:eastAsia="宋体" w:cs="宋体"/>
          <w:sz w:val="24"/>
          <w:szCs w:val="24"/>
        </w:rPr>
        <w:t>竞争性磋商程序</w:t>
      </w:r>
      <w:bookmarkEnd w:id="135"/>
      <w:bookmarkEnd w:id="136"/>
      <w:bookmarkEnd w:id="137"/>
      <w:bookmarkEnd w:id="138"/>
      <w:bookmarkEnd w:id="139"/>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0" w:name="_Toc25576"/>
      <w:r>
        <w:rPr>
          <w:rFonts w:hint="eastAsia" w:ascii="宋体" w:hAnsi="宋体" w:eastAsia="宋体" w:cs="宋体"/>
          <w:b/>
          <w:sz w:val="24"/>
          <w:szCs w:val="24"/>
        </w:rPr>
        <w:t>5.1磋商小组的组成</w:t>
      </w:r>
      <w:bookmarkEnd w:id="140"/>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"file:/D:/Documents/WeChat%20Files/weidexinshang/WordForm/e944b4b1-01b6-4e42-b170-f783fcf7903a.doc" \l "_评标委员会" </w:instrText>
      </w:r>
      <w:r>
        <w:rPr>
          <w:rFonts w:hint="eastAsia" w:ascii="宋体" w:hAnsi="宋体" w:eastAsia="宋体" w:cs="宋体"/>
          <w:sz w:val="24"/>
          <w:szCs w:val="24"/>
        </w:rPr>
        <w:fldChar w:fldCharType="separate"/>
      </w:r>
      <w:r>
        <w:rPr>
          <w:rFonts w:hint="eastAsia" w:ascii="宋体" w:hAnsi="宋体" w:eastAsia="宋体" w:cs="宋体"/>
          <w:sz w:val="24"/>
          <w:szCs w:val="24"/>
        </w:rPr>
        <w:t>供应商须知前附表</w:t>
      </w:r>
      <w:r>
        <w:rPr>
          <w:rFonts w:hint="eastAsia" w:ascii="宋体" w:hAnsi="宋体" w:eastAsia="宋体" w:cs="宋体"/>
          <w:sz w:val="24"/>
          <w:szCs w:val="24"/>
        </w:rPr>
        <w:fldChar w:fldCharType="end"/>
      </w:r>
      <w:r>
        <w:rPr>
          <w:rFonts w:hint="eastAsia" w:ascii="宋体" w:hAnsi="宋体" w:eastAsia="宋体" w:cs="宋体"/>
          <w:sz w:val="24"/>
          <w:szCs w:val="24"/>
        </w:rPr>
        <w:t>。</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1" w:name="_Toc15595"/>
      <w:r>
        <w:rPr>
          <w:rFonts w:hint="eastAsia" w:ascii="宋体" w:hAnsi="宋体" w:eastAsia="宋体" w:cs="宋体"/>
          <w:b/>
          <w:sz w:val="24"/>
          <w:szCs w:val="24"/>
        </w:rPr>
        <w:t>5.2磋商方法</w:t>
      </w:r>
      <w:bookmarkEnd w:id="141"/>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5.2.1采购人在规定的递交响应文件截止时间（磋商时间）和供应商须知前附表规定的地点进行磋商。供应商的法定代表人或其委托代理人无需到达开标现场，仅需在任意地点通过新疆政府采购网政采云平台，完成远程解密、提疑澄清、磋商、结果公布等交互环节。</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5.2.2磋商小组将按照磋商文件确定的评审方法进行评审。磋商小组对响应文件的评审分为响应文件初审、澄清有关问题、比较与评价响应文件、推荐中标候选人名单。</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5.2.3项目评审方法详见磋商文件“第四章 评审方法”。</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2" w:name="_Toc5806"/>
      <w:r>
        <w:rPr>
          <w:rFonts w:hint="eastAsia" w:ascii="宋体" w:hAnsi="宋体" w:eastAsia="宋体" w:cs="宋体"/>
          <w:b/>
          <w:sz w:val="24"/>
          <w:szCs w:val="24"/>
        </w:rPr>
        <w:t>5.3响应文件的初审</w:t>
      </w:r>
      <w:bookmarkEnd w:id="142"/>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初审分为资格性检查和符合性检查。</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5.3.1资格性检查</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（1）磋商小组根据评审办法前附表规定的评审因素和评审标准，对供应商的响应文件进行资格评审。资格性检查不合格的供应商的响应文件作无效文件处理。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（2）磋商小组在进行资格检查时，不得改变磋商文件中已载明的资格条件、标准和办法。资格性检查不合格的供应商的响应文件作无效文件处理。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（3）供应商在递交响应文件的同时，应逐项对照上述资格性检查要求提交相应的原件扫描件和资格证明文件供磋商小组核查，否则评委将不予采信。</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（4）磋商小组在评审中必要时可按供应商提供的联系方式就有关问题进行查询核实，或要求供应商做出书面澄清，查询及澄清结果将作为审查的依据。</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（5）通过全部资格性检查条件合格的供应商才能通过资格检查，其响应文件方可进入下一个检查阶段（符合性检查）。</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5.3.2符合性检查</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磋商小组根据评审办法前附表规定的评审因素和评审标准，对供应商的响应文件进行符合性检查。符合性检查不合格的供应商的响应文件作无效文件处理。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3" w:name="_Toc25581"/>
      <w:r>
        <w:rPr>
          <w:rFonts w:hint="eastAsia" w:ascii="宋体" w:hAnsi="宋体" w:eastAsia="宋体" w:cs="宋体"/>
          <w:b/>
          <w:sz w:val="24"/>
          <w:szCs w:val="24"/>
        </w:rPr>
        <w:t>5.4违法违规行为</w:t>
      </w:r>
      <w:bookmarkEnd w:id="143"/>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★5.4.1在评审过程中，磋商小组发现供应商有下列情形之一的，作无效文件处理：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（1）属于同一集团、协会、商会等组织成员的供应商按照该组织要求协同投标；</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（2）不同供应商的响应文件由同一单位或者个人编制；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（3）不同供应商委托同一单位或者个人办理投标事宜；</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（4）不同供应商的响应文件载明的项目管理成员为同一人；</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（5）不同供应商的响应文件异常一致或者投标报价呈规律性差异；</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（6）不同供应商的响应文件相互混装；</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（7）不同供应商的保证金从同一单位或者个人的账户转出；</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（8）使用伪造、变造的行政许可证件；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（9）提供虚假的财务状况或者业绩；</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（10）提供虚假的项目负责人或者主要技术人员简历、劳动关系证明；</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（11）提供虚假的信用状况；</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（12）其他弄虚作假的行为。</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4" w:name="_Toc4555"/>
      <w:r>
        <w:rPr>
          <w:rFonts w:hint="eastAsia" w:ascii="宋体" w:hAnsi="宋体" w:eastAsia="宋体" w:cs="宋体"/>
          <w:b/>
          <w:sz w:val="24"/>
          <w:szCs w:val="24"/>
        </w:rPr>
        <w:t>5.5 磋商小组审查响应文件是否完整、有无计算上的错误等。</w:t>
      </w:r>
      <w:bookmarkEnd w:id="144"/>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★5.5.1响应文件的修正及澄清</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（1）磋商小组对确定为实质上响应磋商文件要求的响应文件进行校核，看其是否有计算或表达上的错误，算术错误将按以下方法更正：</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5.5.3实质上没有响应磋商文件要求的响应文件将被视为无效文件。供应商不得通过修正或撤销不合要求的偏离从而使其成为实质上响应的文件。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作出并签字。</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5.5.5供应商的澄清文件是其响应文件的组成部分。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5" w:name="_Toc6101"/>
      <w:r>
        <w:rPr>
          <w:rFonts w:hint="eastAsia" w:ascii="宋体" w:hAnsi="宋体" w:eastAsia="宋体" w:cs="宋体"/>
          <w:b/>
          <w:sz w:val="24"/>
          <w:szCs w:val="24"/>
        </w:rPr>
        <w:t>5.6磋商</w:t>
      </w:r>
      <w:bookmarkEnd w:id="145"/>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5.6.1磋商小组所有成员应当集中与单一供应商分别进行磋商，并给予所有参加磋商的供应商平等的磋商机会。</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5.6.3对磋商文件作出的实质性变动是磋商文件的有效组成部分，磋商小组应当及时以书面形式同时通知所有参加磋商的供应商。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5.6.5磋商文件能够详细列明采购标的的技术、服务要求的，磋商结束后，磋商小组应当要求所有实质性响应的供应商在规定时间内提交最后报价，提交最后报价的供应商不得少于2家。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磋商小组没有对磋商文件作实质性变动采购需求中的技术、服务要求以及合同草案条款时，后一轮报价不得高于前一轮报价。</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5.6.7已提交响应文件的供应商，在提交最后报价之前，可以根据磋商情况退出磋商。其磋商保证金将予以退还。</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5.6.8最后报价是供应商响应文件的有效组成部分。符合《政府采购竞争性磋商采购方式管理暂行办法》（财库〔2014〕214号）第三条第四项情形的，提交最后报价的供应商可以为2家。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5.6.9经磋商确定最终采购需求和提交最后报价的供应商后，由磋商小组采用综合评分法对提交最后报价的供应商的响应文件和最后报价进行综合评分。</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5.6.10采购结果确认</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46" w:name="_Toc9594"/>
      <w:r>
        <w:rPr>
          <w:rFonts w:hint="eastAsia" w:ascii="宋体" w:hAnsi="宋体" w:eastAsia="宋体" w:cs="宋体"/>
          <w:b/>
          <w:sz w:val="24"/>
          <w:szCs w:val="24"/>
        </w:rPr>
        <w:t>5.7公示或公告</w:t>
      </w:r>
      <w:bookmarkEnd w:id="146"/>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5.7.1成交供应商确定后，采购代理机构将发布成交公告，同时向成交供应商发出《成交通知书》。《成交通知书》是合同的组成部分,对成交供应商和采购人具有同等法律效力。</w:t>
      </w:r>
    </w:p>
    <w:p>
      <w:pPr>
        <w:pStyle w:val="93"/>
        <w:spacing w:before="0" w:after="0" w:line="360" w:lineRule="auto"/>
        <w:jc w:val="both"/>
        <w:rPr>
          <w:rFonts w:hint="eastAsia" w:ascii="宋体" w:hAnsi="宋体" w:eastAsia="宋体" w:cs="宋体"/>
          <w:sz w:val="24"/>
          <w:szCs w:val="24"/>
        </w:rPr>
      </w:pPr>
      <w:bookmarkStart w:id="147" w:name="_Toc293738996"/>
      <w:bookmarkStart w:id="148" w:name="_Toc21441"/>
      <w:bookmarkStart w:id="149" w:name="_Toc293736015"/>
      <w:bookmarkStart w:id="150" w:name="_Toc256000006"/>
      <w:bookmarkStart w:id="151" w:name="_Toc28974"/>
      <w:bookmarkStart w:id="152" w:name="_Toc10373"/>
      <w:bookmarkStart w:id="153" w:name="_Toc293736058"/>
      <w:bookmarkStart w:id="154" w:name="_Toc106383960"/>
      <w:bookmarkStart w:id="155" w:name="_Toc446599315"/>
      <w:r>
        <w:rPr>
          <w:rFonts w:hint="eastAsia" w:ascii="宋体" w:hAnsi="宋体" w:eastAsia="宋体" w:cs="宋体"/>
          <w:sz w:val="24"/>
          <w:szCs w:val="24"/>
        </w:rPr>
        <w:t>六、授予合同</w:t>
      </w:r>
      <w:bookmarkEnd w:id="147"/>
      <w:bookmarkEnd w:id="148"/>
      <w:bookmarkEnd w:id="149"/>
      <w:bookmarkEnd w:id="150"/>
      <w:bookmarkEnd w:id="151"/>
      <w:bookmarkEnd w:id="152"/>
      <w:bookmarkEnd w:id="153"/>
      <w:bookmarkEnd w:id="154"/>
      <w:bookmarkEnd w:id="155"/>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56" w:name="_Toc29786"/>
      <w:r>
        <w:rPr>
          <w:rFonts w:hint="eastAsia" w:ascii="宋体" w:hAnsi="宋体" w:eastAsia="宋体" w:cs="宋体"/>
          <w:b/>
          <w:sz w:val="24"/>
          <w:szCs w:val="24"/>
        </w:rPr>
        <w:t>6.1 签订合同</w:t>
      </w:r>
      <w:bookmarkEnd w:id="156"/>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6.1.1采购人应在《中标通知书》发出之日起30天内与成交供应商签订政府采购合同。签订政府采购合同后7个工作日内，采购人应将政府采购合同副本报政府采购监管部门和政府采购代理机构备案。</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6.1.2采购人应按磋商文件要求和成交供应商的响应文件承诺订立书面合同，不得超出磋商文件和成交供应商响应文件的范围，也不得再另行订立背离合同实质性内容的其他协议。</w:t>
      </w:r>
    </w:p>
    <w:p>
      <w:pPr>
        <w:pStyle w:val="93"/>
        <w:spacing w:before="0" w:after="0" w:line="360" w:lineRule="auto"/>
        <w:jc w:val="both"/>
        <w:rPr>
          <w:rFonts w:hint="eastAsia" w:ascii="宋体" w:hAnsi="宋体" w:eastAsia="宋体" w:cs="宋体"/>
          <w:sz w:val="24"/>
          <w:szCs w:val="24"/>
        </w:rPr>
      </w:pPr>
      <w:bookmarkStart w:id="157" w:name="_Toc293736059"/>
      <w:bookmarkStart w:id="158" w:name="_Toc293738997"/>
      <w:bookmarkStart w:id="159" w:name="_Toc293736016"/>
      <w:bookmarkStart w:id="160" w:name="_Toc446599316"/>
      <w:bookmarkStart w:id="161" w:name="_Toc11123"/>
      <w:bookmarkStart w:id="162" w:name="_Toc106383961"/>
      <w:bookmarkStart w:id="163" w:name="_Toc14775"/>
      <w:bookmarkStart w:id="164" w:name="_Toc3715"/>
      <w:bookmarkStart w:id="165" w:name="_Toc256000007"/>
      <w:r>
        <w:rPr>
          <w:rFonts w:hint="eastAsia" w:ascii="宋体" w:hAnsi="宋体" w:eastAsia="宋体" w:cs="宋体"/>
          <w:sz w:val="24"/>
          <w:szCs w:val="24"/>
        </w:rPr>
        <w:t>七、质疑</w:t>
      </w:r>
      <w:bookmarkEnd w:id="157"/>
      <w:bookmarkEnd w:id="158"/>
      <w:bookmarkEnd w:id="159"/>
      <w:bookmarkEnd w:id="160"/>
      <w:r>
        <w:rPr>
          <w:rFonts w:hint="eastAsia" w:ascii="宋体" w:hAnsi="宋体" w:eastAsia="宋体" w:cs="宋体"/>
          <w:sz w:val="24"/>
          <w:szCs w:val="24"/>
        </w:rPr>
        <w:t>和投诉</w:t>
      </w:r>
      <w:bookmarkEnd w:id="161"/>
      <w:bookmarkEnd w:id="162"/>
      <w:bookmarkEnd w:id="163"/>
      <w:bookmarkEnd w:id="164"/>
      <w:bookmarkEnd w:id="165"/>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66" w:name="_Toc10751"/>
      <w:bookmarkStart w:id="167" w:name="_Toc293738998"/>
      <w:bookmarkStart w:id="168" w:name="_Toc293736060"/>
      <w:bookmarkStart w:id="169" w:name="_Toc293736017"/>
      <w:bookmarkStart w:id="170" w:name="_Toc294515577"/>
      <w:bookmarkStart w:id="171" w:name="_Toc446599317"/>
      <w:r>
        <w:rPr>
          <w:rFonts w:hint="eastAsia" w:ascii="宋体" w:hAnsi="宋体" w:eastAsia="宋体" w:cs="宋体"/>
          <w:b/>
          <w:sz w:val="24"/>
          <w:szCs w:val="24"/>
        </w:rPr>
        <w:t>7.1质疑</w:t>
      </w:r>
      <w:bookmarkEnd w:id="166"/>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7.1.1供应商提出质疑应当符合以下条件：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如果供应商对此次采购活动有疑问，可依据《政府采购法》等相关规定，在规定的时间内以书面形式向采购人或代理机构提出质疑。质疑书应当包括下列主要内容：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（1）质疑人的名称、地址、电话等；</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（2）质疑人法人签章和单位公章；</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（3）具体的质疑事项及事实依据；</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（4）明确的请求和必要（合法来源）的证明材料；</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（5）以联合体形式参与资格预审的，则必须联合体各方共同签署、盖章；</w:t>
      </w:r>
    </w:p>
    <w:p>
      <w:pPr>
        <w:pStyle w:val="123"/>
        <w:topLinePunct/>
        <w:snapToGrid w:val="0"/>
        <w:spacing w:line="360" w:lineRule="auto"/>
        <w:ind w:firstLine="480"/>
        <w:outlineLvl w:val="4"/>
        <w:rPr>
          <w:rFonts w:hint="eastAsia" w:ascii="宋体" w:hAnsi="宋体" w:eastAsia="宋体" w:cs="宋体"/>
          <w:sz w:val="24"/>
          <w:szCs w:val="24"/>
        </w:rPr>
      </w:pPr>
      <w:r>
        <w:rPr>
          <w:rFonts w:hint="eastAsia" w:ascii="宋体" w:hAnsi="宋体" w:eastAsia="宋体" w:cs="宋体"/>
          <w:sz w:val="24"/>
          <w:szCs w:val="24"/>
        </w:rPr>
        <w:t>（6）提起质疑的日期。</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特注：未按上述程序规定的必备内容进行质疑的，采购人或代理机构将不予以受理。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7.1.4被质疑人应当在受理质疑后7个工作日内作出答复，并以书面形式通知质疑人和其他有关供应商，答复内容仅限于供应商所质疑的内容，不得涉及国家秘密和商业秘密。</w:t>
      </w:r>
    </w:p>
    <w:p>
      <w:pPr>
        <w:pStyle w:val="67"/>
        <w:snapToGrid w:val="0"/>
        <w:spacing w:line="360" w:lineRule="auto"/>
        <w:ind w:firstLine="484" w:firstLineChars="201"/>
        <w:contextualSpacing/>
        <w:jc w:val="left"/>
        <w:outlineLvl w:val="2"/>
        <w:rPr>
          <w:rFonts w:hint="eastAsia" w:ascii="宋体" w:hAnsi="宋体" w:eastAsia="宋体" w:cs="宋体"/>
          <w:b/>
          <w:sz w:val="24"/>
          <w:szCs w:val="24"/>
        </w:rPr>
      </w:pPr>
      <w:bookmarkStart w:id="172" w:name="_Toc456336161"/>
      <w:bookmarkStart w:id="173" w:name="_Toc20932"/>
      <w:bookmarkStart w:id="174" w:name="_Toc450546725"/>
      <w:bookmarkStart w:id="175" w:name="_Toc9365"/>
      <w:bookmarkStart w:id="176" w:name="_Toc483174929"/>
      <w:r>
        <w:rPr>
          <w:rFonts w:hint="eastAsia" w:ascii="宋体" w:hAnsi="宋体" w:eastAsia="宋体" w:cs="宋体"/>
          <w:b/>
          <w:sz w:val="24"/>
          <w:szCs w:val="24"/>
        </w:rPr>
        <w:t>7.2投诉</w:t>
      </w:r>
      <w:bookmarkEnd w:id="172"/>
      <w:bookmarkEnd w:id="173"/>
      <w:bookmarkEnd w:id="174"/>
      <w:bookmarkEnd w:id="175"/>
      <w:bookmarkEnd w:id="176"/>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pPr>
        <w:pStyle w:val="123"/>
        <w:topLinePunct/>
        <w:snapToGrid w:val="0"/>
        <w:spacing w:line="360" w:lineRule="auto"/>
        <w:ind w:firstLine="480"/>
        <w:outlineLvl w:val="3"/>
        <w:rPr>
          <w:rFonts w:hint="eastAsia" w:ascii="宋体" w:hAnsi="宋体" w:eastAsia="宋体" w:cs="宋体"/>
          <w:sz w:val="24"/>
          <w:szCs w:val="24"/>
        </w:rPr>
      </w:pPr>
      <w:r>
        <w:rPr>
          <w:rFonts w:hint="eastAsia" w:ascii="宋体" w:hAnsi="宋体" w:eastAsia="宋体" w:cs="宋体"/>
          <w:sz w:val="24"/>
          <w:szCs w:val="24"/>
        </w:rPr>
        <w:t>7.2.2投诉人提起投诉应符合以下条件：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(1)投诉人应是参与项目的供应商；</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(2)投诉前已依法进行质疑；</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(3)投诉书内容符合中华人民共和国财政部94号令《政府采购质疑和投诉办法》的规定；</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(4)在投诉有效期内；</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(5)同一投诉事项未经处理的；</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(6)相关法律、法规和省级以上人民政府财政部门规定的其他条件。</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7.2.3供应商投诉时，应当当面提交投诉书，投诉书应当包括下列主要内容：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(1)投诉人的姓名或者名称、住所、联系方式及相关证明；</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(2)被投诉人的名称、住所、联系方式；</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(3)具体的投诉事项、事实根据和法律依据；</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(4)质疑和质疑答复情况及相关证明材料；</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(5)提起投诉的日期。</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投诉人为自然人的，应当由本人签字。投诉人为法人的，应当由其法定代表人签字并加盖单位公章。投诉人为其他组织的，应当由其主要负责人签字盖章并加盖单位公章。</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7.2.4投诉人可以授权代理人办理投诉事务。代理人办理投诉事务时，除提交投诉书外，还应当向监督部门提交投诉人的授权委托书，授权委托书应当载明委托代理的具体权限和事项。</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7.2.5投诉人不符合上述规定提起的投诉，政府采购监督部门不予受理。</w:t>
      </w:r>
    </w:p>
    <w:p>
      <w:pPr>
        <w:pStyle w:val="93"/>
        <w:spacing w:before="0" w:after="0" w:line="360" w:lineRule="auto"/>
        <w:jc w:val="both"/>
        <w:rPr>
          <w:rFonts w:hint="eastAsia" w:ascii="宋体" w:hAnsi="宋体" w:eastAsia="宋体" w:cs="宋体"/>
          <w:kern w:val="0"/>
          <w:sz w:val="24"/>
          <w:szCs w:val="24"/>
        </w:rPr>
      </w:pPr>
      <w:bookmarkStart w:id="177" w:name="_Toc8018"/>
      <w:bookmarkStart w:id="178" w:name="_Toc256000008"/>
      <w:bookmarkStart w:id="179" w:name="_Toc3182"/>
      <w:bookmarkStart w:id="180" w:name="_Toc870"/>
      <w:bookmarkStart w:id="181" w:name="_Toc106383962"/>
      <w:r>
        <w:rPr>
          <w:rFonts w:hint="eastAsia" w:ascii="宋体" w:hAnsi="宋体" w:eastAsia="宋体" w:cs="宋体"/>
          <w:sz w:val="24"/>
          <w:szCs w:val="24"/>
        </w:rPr>
        <w:t>八、项目验收</w:t>
      </w:r>
      <w:bookmarkEnd w:id="167"/>
      <w:bookmarkEnd w:id="168"/>
      <w:bookmarkEnd w:id="169"/>
      <w:bookmarkEnd w:id="170"/>
      <w:bookmarkEnd w:id="171"/>
      <w:bookmarkEnd w:id="177"/>
      <w:bookmarkEnd w:id="178"/>
      <w:bookmarkEnd w:id="179"/>
      <w:bookmarkEnd w:id="180"/>
      <w:bookmarkEnd w:id="181"/>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8.1采购单位按照政府采购合同规定的技术、服务、安全标准对供应商履约情况进行验收，并出具验收书。验收书包括每一项技术、服务、安全标准的履约情况。</w:t>
      </w:r>
    </w:p>
    <w:p>
      <w:pPr>
        <w:pStyle w:val="123"/>
        <w:topLinePunct/>
        <w:snapToGrid w:val="0"/>
        <w:spacing w:line="360" w:lineRule="auto"/>
        <w:ind w:firstLine="480"/>
        <w:outlineLvl w:val="2"/>
        <w:rPr>
          <w:rFonts w:hint="eastAsia" w:ascii="宋体" w:hAnsi="宋体" w:eastAsia="宋体" w:cs="宋体"/>
          <w:sz w:val="24"/>
          <w:szCs w:val="24"/>
        </w:rPr>
      </w:pPr>
      <w:bookmarkStart w:id="182" w:name="_Toc31267"/>
      <w:r>
        <w:rPr>
          <w:rFonts w:hint="eastAsia" w:ascii="宋体" w:hAnsi="宋体" w:eastAsia="宋体" w:cs="宋体"/>
          <w:sz w:val="24"/>
          <w:szCs w:val="24"/>
        </w:rPr>
        <w:t>8.2验收标准：磋商文件、响应文件、政府采购合同规定的标准。</w:t>
      </w:r>
      <w:bookmarkEnd w:id="182"/>
    </w:p>
    <w:p>
      <w:pPr>
        <w:pStyle w:val="93"/>
        <w:spacing w:before="0" w:after="0" w:line="360" w:lineRule="auto"/>
        <w:jc w:val="both"/>
        <w:rPr>
          <w:rFonts w:hint="eastAsia" w:ascii="宋体" w:hAnsi="宋体" w:eastAsia="宋体" w:cs="宋体"/>
          <w:sz w:val="24"/>
          <w:szCs w:val="24"/>
        </w:rPr>
      </w:pPr>
      <w:bookmarkStart w:id="183" w:name="_Toc106383963"/>
      <w:bookmarkStart w:id="184" w:name="_Toc446599318"/>
      <w:bookmarkStart w:id="185" w:name="_Toc256000009"/>
      <w:bookmarkStart w:id="186" w:name="_Toc293736018"/>
      <w:bookmarkStart w:id="187" w:name="_Toc293736061"/>
      <w:bookmarkStart w:id="188" w:name="_Toc28499"/>
      <w:bookmarkStart w:id="189" w:name="_Toc6671"/>
      <w:bookmarkStart w:id="190" w:name="_Toc8112"/>
      <w:bookmarkStart w:id="191" w:name="_Toc293738999"/>
      <w:r>
        <w:rPr>
          <w:rFonts w:hint="eastAsia" w:ascii="宋体" w:hAnsi="宋体" w:eastAsia="宋体" w:cs="宋体"/>
          <w:sz w:val="24"/>
          <w:szCs w:val="24"/>
        </w:rPr>
        <w:t>九、适用法律</w:t>
      </w:r>
      <w:bookmarkEnd w:id="183"/>
      <w:bookmarkEnd w:id="184"/>
      <w:bookmarkEnd w:id="185"/>
      <w:bookmarkEnd w:id="186"/>
      <w:bookmarkEnd w:id="187"/>
      <w:bookmarkEnd w:id="188"/>
      <w:bookmarkEnd w:id="189"/>
      <w:bookmarkEnd w:id="190"/>
      <w:bookmarkEnd w:id="191"/>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9.1招标采购单位和供应商的一切采购活动均适用于《政府采购法》、《政府采购实施条例》、《政府采购竞争性磋商采购方式管理办法》等相关规定。</w:t>
      </w:r>
    </w:p>
    <w:p>
      <w:pPr>
        <w:pStyle w:val="93"/>
        <w:spacing w:before="0" w:after="0" w:line="360" w:lineRule="auto"/>
        <w:jc w:val="both"/>
        <w:rPr>
          <w:rFonts w:hint="eastAsia" w:ascii="宋体" w:hAnsi="宋体" w:eastAsia="宋体" w:cs="宋体"/>
          <w:sz w:val="24"/>
          <w:szCs w:val="24"/>
        </w:rPr>
      </w:pPr>
      <w:bookmarkStart w:id="192" w:name="_Toc26356"/>
      <w:bookmarkStart w:id="193" w:name="_Toc437611460"/>
      <w:bookmarkStart w:id="194" w:name="_Toc278891599"/>
      <w:bookmarkStart w:id="195" w:name="_Toc256000010"/>
      <w:bookmarkStart w:id="196" w:name="_Toc106383964"/>
      <w:bookmarkStart w:id="197" w:name="_Toc21968"/>
      <w:bookmarkStart w:id="198" w:name="_Toc272247702"/>
      <w:bookmarkStart w:id="199" w:name="_Toc446599319"/>
      <w:bookmarkStart w:id="200" w:name="_Toc19370"/>
      <w:r>
        <w:rPr>
          <w:rFonts w:hint="eastAsia" w:ascii="宋体" w:hAnsi="宋体" w:eastAsia="宋体" w:cs="宋体"/>
          <w:sz w:val="24"/>
          <w:szCs w:val="24"/>
        </w:rPr>
        <w:t>十、磋商文件的解释权</w:t>
      </w:r>
      <w:bookmarkEnd w:id="192"/>
      <w:bookmarkEnd w:id="193"/>
      <w:bookmarkEnd w:id="194"/>
      <w:bookmarkEnd w:id="195"/>
      <w:bookmarkEnd w:id="196"/>
      <w:bookmarkEnd w:id="197"/>
      <w:bookmarkEnd w:id="198"/>
      <w:bookmarkEnd w:id="199"/>
      <w:bookmarkEnd w:id="200"/>
    </w:p>
    <w:p>
      <w:pPr>
        <w:pStyle w:val="123"/>
        <w:topLinePunct/>
        <w:snapToGrid w:val="0"/>
        <w:spacing w:line="360" w:lineRule="auto"/>
        <w:ind w:firstLine="480"/>
        <w:outlineLvl w:val="2"/>
        <w:rPr>
          <w:rFonts w:hint="eastAsia" w:ascii="宋体" w:hAnsi="宋体" w:eastAsia="宋体" w:cs="宋体"/>
          <w:sz w:val="24"/>
          <w:szCs w:val="24"/>
        </w:rPr>
      </w:pPr>
      <w:bookmarkStart w:id="201" w:name="_Toc12118"/>
      <w:r>
        <w:rPr>
          <w:rFonts w:hint="eastAsia" w:ascii="宋体" w:hAnsi="宋体" w:eastAsia="宋体" w:cs="宋体"/>
          <w:sz w:val="24"/>
          <w:szCs w:val="24"/>
        </w:rPr>
        <w:t>10.1本项目磋商文件的最终解释权为采购单位所有。</w:t>
      </w:r>
      <w:bookmarkEnd w:id="201"/>
    </w:p>
    <w:p>
      <w:pPr>
        <w:pStyle w:val="93"/>
        <w:spacing w:before="0" w:after="0" w:line="360" w:lineRule="auto"/>
        <w:jc w:val="both"/>
        <w:rPr>
          <w:rFonts w:hint="eastAsia" w:ascii="宋体" w:hAnsi="宋体" w:eastAsia="宋体" w:cs="宋体"/>
          <w:sz w:val="24"/>
          <w:szCs w:val="24"/>
        </w:rPr>
      </w:pPr>
      <w:bookmarkStart w:id="202" w:name="_Toc437611461"/>
      <w:bookmarkStart w:id="203" w:name="_Toc256000011"/>
      <w:bookmarkStart w:id="204" w:name="_Toc446599320"/>
      <w:bookmarkStart w:id="205" w:name="_Toc21207"/>
      <w:bookmarkStart w:id="206" w:name="_Toc21455"/>
      <w:bookmarkStart w:id="207" w:name="_Toc15447"/>
      <w:bookmarkStart w:id="208" w:name="_Toc106383965"/>
      <w:r>
        <w:rPr>
          <w:rFonts w:hint="eastAsia" w:ascii="宋体" w:hAnsi="宋体" w:eastAsia="宋体" w:cs="宋体"/>
          <w:sz w:val="24"/>
          <w:szCs w:val="24"/>
        </w:rPr>
        <w:t>十一、其他注意事项</w:t>
      </w:r>
      <w:bookmarkEnd w:id="202"/>
      <w:bookmarkEnd w:id="203"/>
      <w:bookmarkEnd w:id="204"/>
      <w:bookmarkEnd w:id="205"/>
      <w:bookmarkEnd w:id="206"/>
      <w:bookmarkEnd w:id="207"/>
      <w:bookmarkEnd w:id="208"/>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11.1单位负责人为同一人或者存在直接控股、管理关系的不同供应商，不得参加同一合同项下的政府采购活动。</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11.2供应商为采购项目提供整体设计、规范编制或者项目管理、监理、检测等服务的供应商，不得再参加该采购项目的其他采购活动。</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11.3政府采购法第二十二条第一款第五项所称重大违法记录，是指供应商因违法经营受到刑事处罚或者责令停产停业、吊销许可证或者执照、较大数额罚款等行政处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pPr>
        <w:pStyle w:val="123"/>
        <w:topLinePunct/>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11.5供应商在参加政府采购活动前3年内因违法经营被禁止在一定期限内参加政府采购活动，期限届满的，可以参加政府采购活动。</w:t>
      </w:r>
    </w:p>
    <w:bookmarkEnd w:id="78"/>
    <w:p>
      <w:pPr>
        <w:widowControl/>
        <w:snapToGrid w:val="0"/>
        <w:jc w:val="left"/>
        <w:rPr>
          <w:rFonts w:hint="eastAsia" w:ascii="宋体" w:hAnsi="宋体" w:eastAsia="宋体" w:cs="宋体"/>
          <w:b/>
          <w:color w:val="000000"/>
          <w:kern w:val="44"/>
          <w:sz w:val="24"/>
          <w:szCs w:val="24"/>
        </w:rPr>
      </w:pPr>
      <w:bookmarkStart w:id="209" w:name="_Toc531075009"/>
      <w:bookmarkStart w:id="210" w:name="_Toc532543565"/>
      <w:bookmarkStart w:id="211" w:name="_Toc446599321"/>
      <w:bookmarkStart w:id="212" w:name="_Toc293736062"/>
      <w:bookmarkStart w:id="213" w:name="_Toc293736019"/>
      <w:bookmarkStart w:id="214" w:name="_Toc293739000"/>
      <w:bookmarkStart w:id="215" w:name="_Toc28752"/>
      <w:bookmarkStart w:id="216" w:name="_Toc293736020"/>
      <w:bookmarkStart w:id="217" w:name="_Toc293739001"/>
      <w:bookmarkStart w:id="218" w:name="_Toc293736063"/>
      <w:bookmarkStart w:id="219" w:name="_Toc446599322"/>
      <w:r>
        <w:rPr>
          <w:rFonts w:hint="eastAsia" w:ascii="宋体" w:hAnsi="宋体" w:eastAsia="宋体" w:cs="宋体"/>
          <w:b/>
          <w:bCs/>
          <w:color w:val="000000"/>
          <w:sz w:val="24"/>
          <w:szCs w:val="24"/>
        </w:rPr>
        <w:br w:type="page"/>
      </w:r>
    </w:p>
    <w:p>
      <w:pPr>
        <w:pStyle w:val="4"/>
        <w:snapToGrid w:val="0"/>
        <w:spacing w:before="0" w:after="0" w:line="240" w:lineRule="auto"/>
        <w:jc w:val="center"/>
        <w:rPr>
          <w:rFonts w:hint="eastAsia" w:ascii="宋体" w:hAnsi="宋体" w:eastAsia="宋体" w:cs="宋体"/>
          <w:b/>
          <w:bCs w:val="0"/>
          <w:color w:val="000000"/>
          <w:sz w:val="32"/>
          <w:szCs w:val="32"/>
        </w:rPr>
      </w:pPr>
      <w:bookmarkStart w:id="220" w:name="_Toc18532"/>
      <w:bookmarkStart w:id="221" w:name="_Toc106383966"/>
      <w:r>
        <w:rPr>
          <w:rFonts w:hint="eastAsia" w:ascii="宋体" w:hAnsi="宋体" w:eastAsia="宋体" w:cs="宋体"/>
          <w:b/>
          <w:bCs w:val="0"/>
          <w:color w:val="000000"/>
          <w:sz w:val="32"/>
          <w:szCs w:val="32"/>
        </w:rPr>
        <w:t xml:space="preserve">第三章 </w:t>
      </w:r>
      <w:bookmarkEnd w:id="209"/>
      <w:bookmarkEnd w:id="210"/>
      <w:bookmarkEnd w:id="211"/>
      <w:bookmarkEnd w:id="212"/>
      <w:bookmarkEnd w:id="213"/>
      <w:bookmarkEnd w:id="214"/>
      <w:bookmarkEnd w:id="215"/>
      <w:bookmarkStart w:id="222" w:name="_Toc294515580"/>
      <w:r>
        <w:rPr>
          <w:rFonts w:hint="eastAsia" w:ascii="宋体" w:hAnsi="宋体" w:eastAsia="宋体" w:cs="宋体"/>
          <w:b/>
          <w:bCs w:val="0"/>
          <w:color w:val="000000"/>
          <w:sz w:val="32"/>
          <w:szCs w:val="32"/>
        </w:rPr>
        <w:t>采购需求</w:t>
      </w:r>
      <w:bookmarkEnd w:id="220"/>
      <w:bookmarkEnd w:id="221"/>
    </w:p>
    <w:bookmarkEnd w:id="222"/>
    <w:p>
      <w:pPr>
        <w:snapToGrid w:val="0"/>
        <w:spacing w:line="360" w:lineRule="auto"/>
        <w:outlineLvl w:val="1"/>
        <w:rPr>
          <w:rFonts w:hint="eastAsia" w:ascii="宋体" w:hAnsi="宋体" w:eastAsia="宋体" w:cs="宋体"/>
          <w:b/>
          <w:bCs/>
          <w:sz w:val="24"/>
          <w:szCs w:val="24"/>
        </w:rPr>
      </w:pPr>
      <w:bookmarkStart w:id="223" w:name="_Toc1497"/>
      <w:bookmarkStart w:id="224" w:name="_Toc531075010"/>
      <w:bookmarkStart w:id="225" w:name="_Toc532543566"/>
      <w:bookmarkStart w:id="226" w:name="_Toc76665107"/>
      <w:bookmarkStart w:id="227" w:name="_Toc10724"/>
      <w:r>
        <w:rPr>
          <w:rFonts w:hint="eastAsia" w:ascii="宋体" w:hAnsi="宋体" w:eastAsia="宋体" w:cs="宋体"/>
          <w:b/>
          <w:bCs/>
          <w:sz w:val="24"/>
          <w:szCs w:val="24"/>
        </w:rPr>
        <w:t>一、项目名称：</w:t>
      </w:r>
      <w:bookmarkEnd w:id="223"/>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哈密市交通运输局2023年度服务中心公路工程检测项目</w:t>
      </w:r>
    </w:p>
    <w:p>
      <w:pPr>
        <w:snapToGrid w:val="0"/>
        <w:spacing w:line="360" w:lineRule="auto"/>
        <w:outlineLvl w:val="1"/>
        <w:rPr>
          <w:rFonts w:hint="eastAsia" w:ascii="宋体" w:hAnsi="宋体" w:eastAsia="宋体" w:cs="宋体"/>
          <w:b/>
          <w:bCs/>
          <w:sz w:val="24"/>
          <w:szCs w:val="24"/>
        </w:rPr>
      </w:pPr>
      <w:bookmarkStart w:id="228" w:name="_Toc30797"/>
      <w:r>
        <w:rPr>
          <w:rFonts w:hint="eastAsia" w:ascii="宋体" w:hAnsi="宋体" w:eastAsia="宋体" w:cs="宋体"/>
          <w:b/>
          <w:bCs/>
          <w:sz w:val="24"/>
          <w:szCs w:val="24"/>
        </w:rPr>
        <w:t>二、采购需求</w:t>
      </w:r>
      <w:bookmarkEnd w:id="228"/>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概况：①、S238线红山口-十三间房-S328沙尔湖（二级公路，建设里程98公里）。②、G575线老爷庙口岸-巴里坤公路建设项目（一级收费公路，二期建设里程18公里）。③、大长沟（G331线）经明鑫煤矿至G335线公路项目（二级公路，建设里程115公里）。④、S245线哈密至敦煌公路建设项目（二级公路，建设里程186公里）。⑤、哈密市农村公路建设项目（各区县交通运输局计划建设农村公路244.828公里，危桥一座，安防项目41.77公里）（检测核验）</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检测依据：国家交通运输部颁布的《公路工程竣（交）工验收办法》、新疆交通运输厅《新疆维吾尔自治区公路工程竣（交）工验收实施细则》（新交体法[2016]18号）、新交执法质监发〔2021〕15号文件及哈密市交通运输综合行政执法局综合监督执法检查实施方案的有关规定。</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检测计划：2023年计划对上述项目进行五次抽查及对哈密市农村公路建设项目进行核验，上半年分别进行一次综合性检查和一次专项抽查，下半年分别进行一次日常抽查、一次专项抽查、一次综合检查和对哈密市重点公路及农村公路建设项目核验检测检查。</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4、检测内容：本次检测工作涉及路基工程、路面工程、桥梁工程、原材料检测、交通安全设施工程、现场工程实体检测及资料查验，各分部工程所涉及的抽检频率及检测项目分别见表1、表2。</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5、服务期限</w:t>
      </w:r>
    </w:p>
    <w:p>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自合同签订日期至2023年12月31日。</w:t>
      </w:r>
    </w:p>
    <w:p>
      <w:pPr>
        <w:pStyle w:val="2"/>
        <w:ind w:firstLine="562"/>
        <w:jc w:val="center"/>
        <w:rPr>
          <w:rFonts w:hint="eastAsia" w:ascii="宋体" w:hAnsi="宋体" w:eastAsia="宋体" w:cs="宋体"/>
          <w:b/>
          <w:bCs/>
          <w:sz w:val="24"/>
          <w:szCs w:val="24"/>
        </w:rPr>
      </w:pPr>
      <w:r>
        <w:rPr>
          <w:rFonts w:hint="eastAsia" w:ascii="宋体" w:hAnsi="宋体" w:eastAsia="宋体" w:cs="宋体"/>
          <w:b/>
          <w:bCs/>
          <w:sz w:val="24"/>
          <w:szCs w:val="24"/>
          <w:lang w:val="zh-CN"/>
        </w:rPr>
        <w:t>表</w:t>
      </w:r>
      <w:r>
        <w:rPr>
          <w:rFonts w:hint="eastAsia" w:ascii="宋体" w:hAnsi="宋体" w:eastAsia="宋体" w:cs="宋体"/>
          <w:b/>
          <w:bCs/>
          <w:sz w:val="24"/>
          <w:szCs w:val="24"/>
        </w:rPr>
        <w:t>1单位工程抽检频率表</w:t>
      </w:r>
    </w:p>
    <w:tbl>
      <w:tblPr>
        <w:tblStyle w:val="40"/>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7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4" w:type="dxa"/>
            <w:vAlign w:val="center"/>
          </w:tcPr>
          <w:p>
            <w:pPr>
              <w:pStyle w:val="2"/>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单位工程名称</w:t>
            </w:r>
          </w:p>
        </w:tc>
        <w:tc>
          <w:tcPr>
            <w:tcW w:w="7459" w:type="dxa"/>
            <w:vAlign w:val="center"/>
          </w:tcPr>
          <w:p>
            <w:pPr>
              <w:pStyle w:val="2"/>
              <w:ind w:firstLine="480"/>
              <w:jc w:val="center"/>
              <w:rPr>
                <w:rFonts w:hint="eastAsia" w:ascii="宋体" w:hAnsi="宋体" w:eastAsia="宋体" w:cs="宋体"/>
                <w:sz w:val="24"/>
                <w:szCs w:val="24"/>
                <w:lang w:val="zh-CN"/>
              </w:rPr>
            </w:pPr>
            <w:r>
              <w:rPr>
                <w:rFonts w:hint="eastAsia" w:ascii="宋体" w:hAnsi="宋体" w:eastAsia="宋体" w:cs="宋体"/>
                <w:sz w:val="24"/>
                <w:szCs w:val="24"/>
                <w:lang w:val="zh-CN"/>
              </w:rPr>
              <w:t>抽检评率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114" w:type="dxa"/>
            <w:vAlign w:val="center"/>
          </w:tcPr>
          <w:p>
            <w:pPr>
              <w:pStyle w:val="2"/>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路基工程</w:t>
            </w:r>
          </w:p>
        </w:tc>
        <w:tc>
          <w:tcPr>
            <w:tcW w:w="7459" w:type="dxa"/>
            <w:vAlign w:val="center"/>
          </w:tcPr>
          <w:p>
            <w:pPr>
              <w:pStyle w:val="2"/>
              <w:spacing w:line="360" w:lineRule="exact"/>
              <w:ind w:firstLine="480"/>
              <w:rPr>
                <w:rFonts w:hint="eastAsia" w:ascii="宋体" w:hAnsi="宋体" w:eastAsia="宋体" w:cs="宋体"/>
                <w:sz w:val="24"/>
                <w:szCs w:val="24"/>
                <w:lang w:val="zh-CN"/>
              </w:rPr>
            </w:pPr>
            <w:r>
              <w:rPr>
                <w:rFonts w:hint="eastAsia" w:ascii="宋体" w:hAnsi="宋体" w:eastAsia="宋体" w:cs="宋体"/>
                <w:sz w:val="24"/>
                <w:szCs w:val="24"/>
                <w:lang w:val="zh-CN"/>
              </w:rPr>
              <w:t>路基工程压实度、边坡每公里抽查不少于一处，每个合同段路基压实度检查点数不少于10个。路基弯沉检测，高速、一级公路以每半幅每公里为评定单元，其他等级公路以每公里为评定单元，排水工程的断面尺寸每公里抽查2-3处，铺砌厚度按合同段抽查不少于3处。小桥抽查不少于总数的20%且每种类型抽查不少于1座。涵洞抽查不少于总数的10%且每种类型抽查不少于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114" w:type="dxa"/>
            <w:vAlign w:val="center"/>
          </w:tcPr>
          <w:p>
            <w:pPr>
              <w:pStyle w:val="2"/>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路面工程</w:t>
            </w:r>
          </w:p>
        </w:tc>
        <w:tc>
          <w:tcPr>
            <w:tcW w:w="7459" w:type="dxa"/>
            <w:vAlign w:val="center"/>
          </w:tcPr>
          <w:p>
            <w:pPr>
              <w:pStyle w:val="2"/>
              <w:spacing w:line="360" w:lineRule="exact"/>
              <w:ind w:firstLine="720" w:firstLineChars="300"/>
              <w:jc w:val="left"/>
              <w:rPr>
                <w:rFonts w:hint="eastAsia" w:ascii="宋体" w:hAnsi="宋体" w:eastAsia="宋体" w:cs="宋体"/>
                <w:sz w:val="24"/>
                <w:szCs w:val="24"/>
                <w:lang w:val="zh-CN"/>
              </w:rPr>
            </w:pPr>
            <w:r>
              <w:rPr>
                <w:rFonts w:hint="eastAsia" w:ascii="宋体" w:hAnsi="宋体" w:eastAsia="宋体" w:cs="宋体"/>
                <w:sz w:val="24"/>
                <w:szCs w:val="24"/>
                <w:lang w:val="zh-CN"/>
              </w:rPr>
              <w:t>路面工程逐公里检测。路面工程的弯沉、平整度检测，高速、一级公路以每半幅每公里为评定单元，其他等级公路以每公里为评定单元。其他抽查项目每公里不少于1处。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2114" w:type="dxa"/>
            <w:vAlign w:val="center"/>
          </w:tcPr>
          <w:p>
            <w:pPr>
              <w:pStyle w:val="2"/>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桥梁工程</w:t>
            </w:r>
          </w:p>
        </w:tc>
        <w:tc>
          <w:tcPr>
            <w:tcW w:w="7459" w:type="dxa"/>
            <w:vAlign w:val="center"/>
          </w:tcPr>
          <w:p>
            <w:pPr>
              <w:spacing w:line="360" w:lineRule="exact"/>
              <w:ind w:firstLine="629"/>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特大桥、大桥逐座检查；中桥抽查不少于总数的30%且每种桥型抽查不少于1座。桥梁下部工程抽查不少于墩台总数的20%且不少于5个，墩台数量少于5个时全部检测。每种结构型式抽查不少于1个。桥梁上部工程抽查不少于总孔数的20%且不少于5个，孔数少于5个时全部检测。每种结构型式抽查不少于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4" w:type="dxa"/>
            <w:vAlign w:val="center"/>
          </w:tcPr>
          <w:p>
            <w:pPr>
              <w:pStyle w:val="2"/>
              <w:ind w:firstLine="0" w:firstLineChars="0"/>
              <w:jc w:val="center"/>
              <w:rPr>
                <w:rFonts w:hint="eastAsia" w:ascii="宋体" w:hAnsi="宋体" w:eastAsia="宋体" w:cs="宋体"/>
                <w:sz w:val="24"/>
                <w:szCs w:val="24"/>
                <w:lang w:val="zh-CN"/>
              </w:rPr>
            </w:pPr>
            <w:r>
              <w:rPr>
                <w:rFonts w:hint="eastAsia" w:ascii="宋体" w:hAnsi="宋体" w:eastAsia="宋体" w:cs="宋体"/>
                <w:sz w:val="24"/>
                <w:szCs w:val="24"/>
                <w:lang w:val="zh-CN"/>
              </w:rPr>
              <w:t>原材检测</w:t>
            </w:r>
          </w:p>
        </w:tc>
        <w:tc>
          <w:tcPr>
            <w:tcW w:w="7459" w:type="dxa"/>
            <w:vAlign w:val="center"/>
          </w:tcPr>
          <w:p>
            <w:pPr>
              <w:spacing w:line="360" w:lineRule="exact"/>
              <w:rPr>
                <w:rFonts w:hint="eastAsia" w:ascii="宋体" w:hAnsi="宋体" w:eastAsia="宋体" w:cs="宋体"/>
                <w:sz w:val="24"/>
                <w:szCs w:val="24"/>
                <w:lang w:val="zh-CN"/>
              </w:rPr>
            </w:pPr>
            <w:r>
              <w:rPr>
                <w:rFonts w:hint="eastAsia" w:ascii="宋体" w:hAnsi="宋体" w:eastAsia="宋体" w:cs="宋体"/>
                <w:sz w:val="24"/>
                <w:szCs w:val="24"/>
                <w:lang w:val="zh-CN"/>
              </w:rPr>
              <w:t>各种砂、石、水泥、沥青、钢筋原材抽查每种规格不少于一次。</w:t>
            </w:r>
          </w:p>
        </w:tc>
      </w:tr>
    </w:tbl>
    <w:p>
      <w:pPr>
        <w:autoSpaceDE w:val="0"/>
        <w:autoSpaceDN w:val="0"/>
        <w:adjustRightInd w:val="0"/>
        <w:spacing w:line="579" w:lineRule="exact"/>
        <w:jc w:val="center"/>
        <w:outlineLvl w:val="0"/>
        <w:rPr>
          <w:rFonts w:hint="eastAsia" w:ascii="宋体" w:hAnsi="宋体" w:eastAsia="宋体" w:cs="宋体"/>
          <w:b/>
          <w:bCs/>
          <w:sz w:val="24"/>
          <w:szCs w:val="24"/>
        </w:rPr>
      </w:pPr>
      <w:bookmarkStart w:id="229" w:name="_Toc27432"/>
      <w:bookmarkStart w:id="230" w:name="_Toc12655"/>
      <w:r>
        <w:rPr>
          <w:rFonts w:hint="eastAsia" w:ascii="宋体" w:hAnsi="宋体" w:eastAsia="宋体" w:cs="宋体"/>
          <w:b/>
          <w:bCs/>
          <w:sz w:val="24"/>
          <w:szCs w:val="24"/>
          <w:lang w:val="zh-CN"/>
        </w:rPr>
        <w:t>表</w:t>
      </w:r>
      <w:r>
        <w:rPr>
          <w:rFonts w:hint="eastAsia" w:ascii="宋体" w:hAnsi="宋体" w:eastAsia="宋体" w:cs="宋体"/>
          <w:b/>
          <w:bCs/>
          <w:sz w:val="24"/>
          <w:szCs w:val="24"/>
        </w:rPr>
        <w:t>2 检测项目表</w:t>
      </w:r>
      <w:bookmarkEnd w:id="229"/>
      <w:bookmarkEnd w:id="230"/>
    </w:p>
    <w:tbl>
      <w:tblPr>
        <w:tblStyle w:val="4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59"/>
        <w:gridCol w:w="3559"/>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10" w:type="dxa"/>
            <w:vAlign w:val="center"/>
          </w:tcPr>
          <w:p>
            <w:pPr>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单位工程</w:t>
            </w:r>
          </w:p>
        </w:tc>
        <w:tc>
          <w:tcPr>
            <w:tcW w:w="1159" w:type="dxa"/>
            <w:vAlign w:val="center"/>
          </w:tcPr>
          <w:p>
            <w:pPr>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w:t>
            </w:r>
          </w:p>
          <w:p>
            <w:pPr>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程类别</w:t>
            </w:r>
          </w:p>
        </w:tc>
        <w:tc>
          <w:tcPr>
            <w:tcW w:w="3559" w:type="dxa"/>
            <w:vAlign w:val="center"/>
          </w:tcPr>
          <w:p>
            <w:pPr>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检测项目</w:t>
            </w:r>
          </w:p>
        </w:tc>
        <w:tc>
          <w:tcPr>
            <w:tcW w:w="4004" w:type="dxa"/>
            <w:vAlign w:val="center"/>
          </w:tcPr>
          <w:p>
            <w:pPr>
              <w:adjustRightInd w:val="0"/>
              <w:spacing w:line="3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基</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程</w:t>
            </w: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路基土</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石方</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压实度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每处每车道不少于1点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弯沉</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每评定单元检测不少于40点，</w:t>
            </w:r>
          </w:p>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各车道交替检测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边坡</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每处两侧各测不少于两个坡面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排水</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每处抽不少于两个断面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铺砌厚度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每处开挖检查不少于1个断面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小桥</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每座用回弹仪或超声波测上、下部结构各不少于10个测区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每座抽10~20个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涵洞</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每处用回弹仪或超声波测不少于10个测区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结构尺寸</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每道5~10个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支挡</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每处用回弹仪或超声波测不少于10个测区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extDirection w:val="tbRlV"/>
            <w:vAlign w:val="center"/>
          </w:tcPr>
          <w:p>
            <w:pPr>
              <w:adjustRightInd w:val="0"/>
              <w:spacing w:line="360" w:lineRule="exact"/>
              <w:ind w:left="113" w:right="113"/>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每处开挖检查不少于1个断面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面</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程</w:t>
            </w: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路面</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面层</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沥青路面压实度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沥青路面弯沉*</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每评定单元检测不少于40点，</w:t>
            </w:r>
          </w:p>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各车道交替检测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沥青路面渗水系数</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混凝土路面强度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混凝土路面相邻板高差*</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每处测膨胀缝位置相邻板高差不少于3点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平整度*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高速、一级公路连续检测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抗滑*</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高速、一级公路检测摩擦系数、构造深度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厚度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每处不少于1点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每处1~2个断面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810" w:type="dxa"/>
            <w:vMerge w:val="restart"/>
            <w:textDirection w:val="tbRlV"/>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桥梁（不含小桥）</w:t>
            </w:r>
          </w:p>
        </w:tc>
        <w:tc>
          <w:tcPr>
            <w:tcW w:w="1159" w:type="dxa"/>
            <w:vMerge w:val="restart"/>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下部</w:t>
            </w: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墩台混凝土强度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每墩台用回弹仪或超声波测不少于2个测区，测区总数不少于10个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每个墩台测不少于2点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每墩台测2~4处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10" w:type="dxa"/>
            <w:vMerge w:val="continue"/>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bottom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墩台垂直度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每个墩台测两个方向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10" w:type="dxa"/>
            <w:vMerge w:val="continue"/>
            <w:tcBorders>
              <w:bottom w:val="single" w:color="auto" w:sz="4" w:space="0"/>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restart"/>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上部</w:t>
            </w:r>
          </w:p>
        </w:tc>
        <w:tc>
          <w:tcPr>
            <w:tcW w:w="3559" w:type="dxa"/>
            <w:tcBorders>
              <w:left w:val="nil"/>
              <w:bottom w:val="single" w:color="auto" w:sz="4" w:space="0"/>
            </w:tcBorders>
            <w:vAlign w:val="center"/>
          </w:tcPr>
          <w:p>
            <w:pPr>
              <w:adjustRightInd w:val="0"/>
              <w:spacing w:line="360" w:lineRule="exact"/>
              <w:ind w:firstLine="24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4004" w:type="dxa"/>
            <w:tcBorders>
              <w:bottom w:val="single" w:color="auto" w:sz="4" w:space="0"/>
            </w:tcBorders>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抽查主要承重构件,每孔用回弹仪或超声波测不少于10个测区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cBorders>
              <w:bottom w:val="single" w:color="auto" w:sz="4" w:space="0"/>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bottom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4004" w:type="dxa"/>
            <w:tcBorders>
              <w:bottom w:val="single" w:color="auto" w:sz="4" w:space="0"/>
            </w:tcBorders>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每座桥测10~20点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cBorders>
              <w:bottom w:val="single" w:color="auto" w:sz="4" w:space="0"/>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bottom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4004" w:type="dxa"/>
            <w:tcBorders>
              <w:bottom w:val="single" w:color="auto" w:sz="4" w:space="0"/>
            </w:tcBorders>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每孔测2~4处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restart"/>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桥面系</w:t>
            </w: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桥面铺装平整度*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每联&gt;100m时用连续式平整度仪分车道检测;不足100m时每联用三米直尺测3处，每处3尺，最大间隙h：高速、一级公路允许偏差3mm，其他公路允许偏差5mm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每100m测不少于3个断面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桥面抗滑*</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每200m测不少于3处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restart"/>
            <w:tcBorders>
              <w:righ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交</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通</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安</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全</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w:t>
            </w:r>
          </w:p>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施</w:t>
            </w:r>
          </w:p>
        </w:tc>
        <w:tc>
          <w:tcPr>
            <w:tcW w:w="1159" w:type="dxa"/>
            <w:vMerge w:val="restart"/>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标志</w:t>
            </w: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立柱竖直度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每柱测两个方向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标志板净空</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取不利点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标志板厚度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每块测不少于2点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标线</w:t>
            </w: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标线厚度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每处测不少于5点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restart"/>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防护栏</w:t>
            </w: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波形梁板基底金属厚度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波形梁钢护栏立柱壁厚</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波形梁钢护栏立柱埋入深度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波形梁钢护栏横梁中心高度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砼护栏强度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用回弹仪或超声波每处不少于2个测区，测区总数不少于10个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vMerge w:val="continue"/>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p>
        </w:tc>
        <w:tc>
          <w:tcPr>
            <w:tcW w:w="3559" w:type="dxa"/>
            <w:tcBorders>
              <w:left w:val="nil"/>
            </w:tcBorders>
            <w:vAlign w:val="center"/>
          </w:tcPr>
          <w:p>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砼护栏断面尺寸</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每处不少于5点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restart"/>
            <w:tcBorders>
              <w:righ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原材检测</w:t>
            </w:r>
          </w:p>
        </w:tc>
        <w:tc>
          <w:tcPr>
            <w:tcW w:w="1159" w:type="dxa"/>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粗集料</w:t>
            </w: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筛分、密度、针片状、压碎值、含泥量</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每种规格原材检测不少于1次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细集料</w:t>
            </w: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每种规格原材检测不少于1次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水泥</w:t>
            </w: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标准稠度用水量、凝结时间、安定性、密度、比表面积、强度</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每种规格原材检测不少于1次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w:t>
            </w:r>
          </w:p>
        </w:tc>
        <w:tc>
          <w:tcPr>
            <w:tcW w:w="3559" w:type="dxa"/>
            <w:tcBorders>
              <w:left w:val="nil"/>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针入度、延度、软化点</w:t>
            </w:r>
          </w:p>
        </w:tc>
        <w:tc>
          <w:tcPr>
            <w:tcW w:w="4004" w:type="dxa"/>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每种规格原材检测不少于1次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0" w:type="dxa"/>
            <w:vMerge w:val="continue"/>
            <w:tcBorders>
              <w:bottom w:val="single" w:color="auto" w:sz="4" w:space="0"/>
              <w:right w:val="nil"/>
            </w:tcBorders>
            <w:vAlign w:val="center"/>
          </w:tcPr>
          <w:p>
            <w:pPr>
              <w:adjustRightInd w:val="0"/>
              <w:spacing w:line="360" w:lineRule="exact"/>
              <w:jc w:val="center"/>
              <w:rPr>
                <w:rFonts w:hint="eastAsia" w:ascii="宋体" w:hAnsi="宋体" w:eastAsia="宋体" w:cs="宋体"/>
                <w:color w:val="000000"/>
                <w:sz w:val="24"/>
                <w:szCs w:val="24"/>
              </w:rPr>
            </w:pPr>
          </w:p>
        </w:tc>
        <w:tc>
          <w:tcPr>
            <w:tcW w:w="1159" w:type="dxa"/>
            <w:tcBorders>
              <w:left w:val="single" w:color="auto" w:sz="4" w:space="0"/>
              <w:right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w:t>
            </w:r>
          </w:p>
        </w:tc>
        <w:tc>
          <w:tcPr>
            <w:tcW w:w="3559" w:type="dxa"/>
            <w:tcBorders>
              <w:left w:val="nil"/>
              <w:bottom w:val="single" w:color="auto" w:sz="4" w:space="0"/>
            </w:tcBorders>
            <w:vAlign w:val="center"/>
          </w:tcPr>
          <w:p>
            <w:pPr>
              <w:adjustRightIn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拉伸、弯曲</w:t>
            </w:r>
          </w:p>
        </w:tc>
        <w:tc>
          <w:tcPr>
            <w:tcW w:w="4004" w:type="dxa"/>
            <w:tcBorders>
              <w:bottom w:val="single" w:color="auto" w:sz="4" w:space="0"/>
            </w:tcBorders>
            <w:vAlign w:val="center"/>
          </w:tcPr>
          <w:p>
            <w:pPr>
              <w:adjustRightInd w:val="0"/>
              <w:spacing w:line="3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每种规格原材检测不少于1次</w:t>
            </w:r>
          </w:p>
        </w:tc>
      </w:tr>
    </w:tbl>
    <w:p>
      <w:pPr>
        <w:numPr>
          <w:ilvl w:val="0"/>
          <w:numId w:val="1"/>
        </w:num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检测服务报价清单：按照2023年各建设项目具体情况对所涉及到的检测项目进行统计整理，参照自治区交通厅发布的《新疆公路工程试验检测计费指标》作出检测服务报价清单，具体报价见表3。</w:t>
      </w:r>
    </w:p>
    <w:p>
      <w:pPr>
        <w:snapToGrid w:val="0"/>
        <w:spacing w:line="360" w:lineRule="auto"/>
        <w:jc w:val="center"/>
        <w:rPr>
          <w:rFonts w:hint="eastAsia" w:ascii="宋体" w:hAnsi="宋体" w:eastAsia="宋体" w:cs="宋体"/>
          <w:sz w:val="24"/>
          <w:szCs w:val="24"/>
        </w:rPr>
      </w:pPr>
      <w:r>
        <w:rPr>
          <w:rFonts w:hint="eastAsia" w:ascii="宋体" w:hAnsi="宋体" w:eastAsia="宋体" w:cs="宋体"/>
          <w:b/>
          <w:bCs/>
          <w:sz w:val="24"/>
          <w:szCs w:val="24"/>
          <w:lang w:val="zh-CN"/>
        </w:rPr>
        <w:t>表</w:t>
      </w:r>
      <w:r>
        <w:rPr>
          <w:rFonts w:hint="eastAsia" w:ascii="宋体" w:hAnsi="宋体" w:eastAsia="宋体" w:cs="宋体"/>
          <w:b/>
          <w:bCs/>
          <w:sz w:val="24"/>
          <w:szCs w:val="24"/>
        </w:rPr>
        <w:t>3 公路工程抽查试验检测报价表</w:t>
      </w:r>
    </w:p>
    <w:tbl>
      <w:tblPr>
        <w:tblStyle w:val="40"/>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1725"/>
        <w:gridCol w:w="1838"/>
        <w:gridCol w:w="2557"/>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10"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25" w:type="dxa"/>
            <w:tcBorders>
              <w:bottom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分部工程名称</w:t>
            </w: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分部工程类别</w:t>
            </w:r>
          </w:p>
        </w:tc>
        <w:tc>
          <w:tcPr>
            <w:tcW w:w="2557"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restart"/>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S238线红山口-十三间房-S328沙尔湖（二级公路，建设里程98公里）</w:t>
            </w:r>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路基工程</w:t>
            </w: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路基土</w:t>
            </w:r>
          </w:p>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石方</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排水工程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铺砌厚度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小桥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涵洞</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支挡工程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top w:val="single" w:color="auto" w:sz="4" w:space="0"/>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路面工程</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路面面层</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桥梁</w:t>
            </w:r>
          </w:p>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（不含小桥）</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下部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墩台垂直度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上部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桥面系</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桥面铺装平整度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原材检测</w:t>
            </w: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天然砂砾</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易溶盐</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粗集料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筛分、密度、含泥量、针片状、压碎值</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细集料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筛分、密度、含泥量、空隙率</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沥青</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针入度、延度、软化点</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密度、比表面积、强度、安定性、标准稠度用水量、凝结时间</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钢筋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拉伸、弯曲</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10"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25" w:type="dxa"/>
            <w:tcBorders>
              <w:bottom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分部工程名称</w:t>
            </w: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分部工程类别</w:t>
            </w:r>
          </w:p>
        </w:tc>
        <w:tc>
          <w:tcPr>
            <w:tcW w:w="2557"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restart"/>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G575线老爷庙口岸-巴里坤公路建设项目（一级收费公路，二期建设里程18公里）</w:t>
            </w:r>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路基工程</w:t>
            </w: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路基土石方</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排水工程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铺砌厚度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小桥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涵洞</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支挡工程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top w:val="single" w:color="auto" w:sz="4" w:space="0"/>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路面工程</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路面面层</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沥青路面渗水系数</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桥梁</w:t>
            </w:r>
          </w:p>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（不含小桥）</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下部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墩台垂直度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上部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桥面系</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桥面铺装平整度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原材检测</w:t>
            </w: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天然砂砾</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易溶盐</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粗集料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筛分、密度、含泥量、针片状、压碎值</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细集料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筛分、密度、含泥量、空隙率</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沥青</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针入度、延度、软化点</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密度、比表面积、强度、安定性、标准稠度用水量、凝结时间</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钢筋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拉伸、弯曲</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10"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25" w:type="dxa"/>
            <w:tcBorders>
              <w:bottom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分部工程名称</w:t>
            </w: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分部工程类别</w:t>
            </w:r>
          </w:p>
        </w:tc>
        <w:tc>
          <w:tcPr>
            <w:tcW w:w="2557"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restart"/>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b/>
                <w:sz w:val="24"/>
                <w:szCs w:val="24"/>
              </w:rPr>
            </w:pPr>
            <w:r>
              <w:rPr>
                <w:rStyle w:val="43"/>
                <w:rFonts w:hint="eastAsia" w:ascii="宋体" w:hAnsi="宋体" w:eastAsia="宋体" w:cs="宋体"/>
                <w:sz w:val="24"/>
                <w:szCs w:val="24"/>
              </w:rPr>
              <w:t>大长沟（G331线）经明鑫煤矿至G335线公路项目</w:t>
            </w:r>
            <w:r>
              <w:rPr>
                <w:rFonts w:hint="eastAsia" w:ascii="宋体" w:hAnsi="宋体" w:eastAsia="宋体" w:cs="宋体"/>
                <w:b/>
                <w:sz w:val="24"/>
                <w:szCs w:val="24"/>
              </w:rPr>
              <w:t>（二级公路，建设里程115公里）</w:t>
            </w:r>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路基工程</w:t>
            </w: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路基土石方</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排水工程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铺砌厚度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小桥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涵洞</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支挡工程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restart"/>
            <w:tcBorders>
              <w:top w:val="single" w:color="auto" w:sz="4" w:space="0"/>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路面工程</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路面面层</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沥青路面渗水系数</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桥梁</w:t>
            </w:r>
          </w:p>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（不含小桥）</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下部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墩台垂直度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上部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桥面系</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桥面铺装平整度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原材检测</w:t>
            </w: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天然砂砾</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易溶盐</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粗集料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筛分、密度、含泥量、针片状、压碎值</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细集料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筛分、密度、含泥量、空隙率</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沥青</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针入度、延度、软化点</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密度、比表面积、强度、安定性、标准稠度用水量、凝结时间</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钢筋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拉伸、弯曲</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10"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25" w:type="dxa"/>
            <w:tcBorders>
              <w:bottom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分部工程名称</w:t>
            </w: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分部工程类别</w:t>
            </w:r>
          </w:p>
        </w:tc>
        <w:tc>
          <w:tcPr>
            <w:tcW w:w="2557"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restart"/>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S245线哈密至敦煌公路建设项目（二级公路，建设里程186公里）</w:t>
            </w:r>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路基工程</w:t>
            </w: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路基土石方</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排水工程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铺砌厚度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小桥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涵洞</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支挡工程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top w:val="single" w:color="auto" w:sz="4" w:space="0"/>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路面工程</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路面面层</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桥梁</w:t>
            </w:r>
          </w:p>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（不含小桥）</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下部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墩台垂直度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上部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桥面系</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桥面铺装平整度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原材检测</w:t>
            </w: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天然砂砾</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易溶盐</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粗集料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筛分、密度、含泥量、针片状、压碎值</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细集料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筛分、密度、含泥量、空隙率</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沥青</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针入度、延度、软化点</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密度、比表面积、强度、安定性、标准稠度用水量、凝结时间</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钢筋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拉伸、弯曲</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010"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25" w:type="dxa"/>
            <w:tcBorders>
              <w:bottom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分部工程名称</w:t>
            </w: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分部工程类别</w:t>
            </w:r>
          </w:p>
        </w:tc>
        <w:tc>
          <w:tcPr>
            <w:tcW w:w="2557"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restart"/>
            <w:tcBorders>
              <w:right w:val="single" w:color="auto" w:sz="4" w:space="0"/>
            </w:tcBorders>
            <w:vAlign w:val="center"/>
          </w:tcPr>
          <w:p>
            <w:pPr>
              <w:adjustRightInd w:val="0"/>
              <w:snapToGrid w:val="0"/>
              <w:spacing w:line="360" w:lineRule="exact"/>
              <w:jc w:val="center"/>
              <w:outlineLvl w:val="0"/>
              <w:rPr>
                <w:rFonts w:hint="eastAsia" w:ascii="宋体" w:hAnsi="宋体" w:eastAsia="宋体" w:cs="宋体"/>
                <w:b/>
                <w:sz w:val="24"/>
                <w:szCs w:val="24"/>
              </w:rPr>
            </w:pPr>
            <w:bookmarkStart w:id="231" w:name="_Toc31931"/>
            <w:bookmarkStart w:id="232" w:name="_Toc5091"/>
            <w:r>
              <w:rPr>
                <w:rFonts w:hint="eastAsia" w:ascii="宋体" w:hAnsi="宋体" w:eastAsia="宋体" w:cs="宋体"/>
                <w:b/>
                <w:sz w:val="24"/>
                <w:szCs w:val="24"/>
              </w:rPr>
              <w:t>哈密市农村公路建设项目（市交通运输局计划建设农村公路244.828公里）</w:t>
            </w:r>
            <w:bookmarkEnd w:id="231"/>
            <w:bookmarkEnd w:id="232"/>
          </w:p>
        </w:tc>
        <w:tc>
          <w:tcPr>
            <w:tcW w:w="1725" w:type="dxa"/>
            <w:vMerge w:val="restar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zh-CN"/>
              </w:rPr>
              <w:t>路基工程</w:t>
            </w: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路基土石方</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边坡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排水工程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铺砌厚度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小桥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涵洞</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支挡工程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断面尺寸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top w:val="single" w:color="auto" w:sz="4" w:space="0"/>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路面工程</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路面面层</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沥青路面压实度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沥青路面弯沉*</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桥梁</w:t>
            </w:r>
          </w:p>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（不含小桥）</w:t>
            </w: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下部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墩台垂直度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上部</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混凝土强度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主要结构尺寸</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钢筋保护层厚度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restart"/>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桥面系</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桥面铺装平整度</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横坡</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Merge w:val="continue"/>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桥面抗滑</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restart"/>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原材检测</w:t>
            </w: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天然砂砾</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易溶盐</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粗集料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筛分、密度、含泥量、针片状、压碎值</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48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细集料</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筛分、密度、含泥量、空隙率</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沥青</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针入度、延度、软化点</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水泥</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密度、比表面积、强度、安定性、标准稠度用水量、凝结时间</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10" w:type="dxa"/>
            <w:vMerge w:val="continue"/>
            <w:tcBorders>
              <w:righ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725" w:type="dxa"/>
            <w:vMerge w:val="continue"/>
            <w:tcBorders>
              <w:left w:val="single" w:color="auto" w:sz="4" w:space="0"/>
            </w:tcBorders>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p>
        </w:tc>
        <w:tc>
          <w:tcPr>
            <w:tcW w:w="183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钢筋</w:t>
            </w:r>
          </w:p>
        </w:tc>
        <w:tc>
          <w:tcPr>
            <w:tcW w:w="2557" w:type="dxa"/>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拉伸、弯曲</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3735" w:type="dxa"/>
            <w:gridSpan w:val="2"/>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395" w:type="dxa"/>
            <w:gridSpan w:val="2"/>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检测数量（km）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3735" w:type="dxa"/>
            <w:gridSpan w:val="2"/>
            <w:vAlign w:val="center"/>
          </w:tcPr>
          <w:p>
            <w:pPr>
              <w:adjustRightInd w:val="0"/>
              <w:snapToGrid w:val="0"/>
              <w:spacing w:line="360" w:lineRule="exact"/>
              <w:jc w:val="center"/>
              <w:outlineLvl w:val="0"/>
              <w:rPr>
                <w:rFonts w:hint="eastAsia" w:ascii="宋体" w:hAnsi="宋体" w:eastAsia="宋体" w:cs="宋体"/>
                <w:b/>
                <w:sz w:val="24"/>
                <w:szCs w:val="24"/>
              </w:rPr>
            </w:pPr>
            <w:bookmarkStart w:id="233" w:name="_Toc3457"/>
            <w:bookmarkStart w:id="234" w:name="_Toc13826"/>
            <w:r>
              <w:rPr>
                <w:rFonts w:hint="eastAsia" w:ascii="宋体" w:hAnsi="宋体" w:eastAsia="宋体" w:cs="宋体"/>
                <w:b/>
                <w:sz w:val="24"/>
                <w:szCs w:val="24"/>
              </w:rPr>
              <w:t>哈密市农村公路建设项目（市交通运输局计划建设农村公路50公里）</w:t>
            </w:r>
            <w:bookmarkEnd w:id="233"/>
            <w:bookmarkEnd w:id="234"/>
          </w:p>
        </w:tc>
        <w:tc>
          <w:tcPr>
            <w:tcW w:w="4395" w:type="dxa"/>
            <w:gridSpan w:val="2"/>
            <w:vAlign w:val="center"/>
          </w:tcPr>
          <w:p>
            <w:pPr>
              <w:adjustRightInd w:val="0"/>
              <w:snapToGrid w:val="0"/>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农村公路核验检测</w:t>
            </w:r>
          </w:p>
        </w:tc>
        <w:tc>
          <w:tcPr>
            <w:tcW w:w="1478" w:type="dxa"/>
            <w:vAlign w:val="center"/>
          </w:tcPr>
          <w:p>
            <w:pPr>
              <w:pStyle w:val="2"/>
              <w:adjustRightInd w:val="0"/>
              <w:snapToGrid w:val="0"/>
              <w:spacing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50</w:t>
            </w:r>
          </w:p>
        </w:tc>
      </w:tr>
    </w:tbl>
    <w:p>
      <w:pPr>
        <w:autoSpaceDE w:val="0"/>
        <w:autoSpaceDN w:val="0"/>
        <w:adjustRightInd w:val="0"/>
        <w:spacing w:line="480" w:lineRule="exact"/>
        <w:jc w:val="center"/>
        <w:rPr>
          <w:rFonts w:hint="eastAsia" w:ascii="宋体" w:hAnsi="宋体" w:eastAsia="宋体" w:cs="宋体"/>
          <w:b/>
          <w:bCs/>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bCs/>
          <w:color w:val="000000"/>
          <w:sz w:val="24"/>
          <w:szCs w:val="24"/>
        </w:rPr>
      </w:pPr>
    </w:p>
    <w:p>
      <w:pPr>
        <w:widowControl/>
        <w:snapToGrid w:val="0"/>
        <w:jc w:val="left"/>
        <w:rPr>
          <w:rFonts w:hint="eastAsia" w:ascii="宋体" w:hAnsi="宋体" w:eastAsia="宋体" w:cs="宋体"/>
          <w:b/>
          <w:color w:val="000000"/>
          <w:kern w:val="44"/>
          <w:sz w:val="24"/>
          <w:szCs w:val="24"/>
        </w:rPr>
      </w:pPr>
      <w:r>
        <w:rPr>
          <w:rFonts w:hint="eastAsia" w:ascii="宋体" w:hAnsi="宋体" w:eastAsia="宋体" w:cs="宋体"/>
          <w:b/>
          <w:bCs/>
          <w:color w:val="000000"/>
          <w:sz w:val="24"/>
          <w:szCs w:val="24"/>
        </w:rPr>
        <w:br w:type="page"/>
      </w:r>
    </w:p>
    <w:p>
      <w:pPr>
        <w:pStyle w:val="4"/>
        <w:snapToGrid w:val="0"/>
        <w:spacing w:before="0" w:after="0" w:line="240" w:lineRule="auto"/>
        <w:jc w:val="center"/>
        <w:rPr>
          <w:rFonts w:hint="eastAsia" w:ascii="宋体" w:hAnsi="宋体" w:eastAsia="宋体" w:cs="宋体"/>
          <w:b/>
          <w:bCs w:val="0"/>
          <w:color w:val="000000"/>
          <w:sz w:val="32"/>
          <w:szCs w:val="32"/>
        </w:rPr>
      </w:pPr>
      <w:bookmarkStart w:id="235" w:name="_Toc106383967"/>
      <w:bookmarkStart w:id="236" w:name="_Toc23073"/>
      <w:r>
        <w:rPr>
          <w:rFonts w:hint="eastAsia" w:ascii="宋体" w:hAnsi="宋体" w:eastAsia="宋体" w:cs="宋体"/>
          <w:b/>
          <w:bCs w:val="0"/>
          <w:color w:val="000000"/>
          <w:sz w:val="32"/>
          <w:szCs w:val="32"/>
        </w:rPr>
        <w:t>第四章 评审方法</w:t>
      </w:r>
      <w:bookmarkEnd w:id="216"/>
      <w:bookmarkEnd w:id="217"/>
      <w:bookmarkEnd w:id="218"/>
      <w:bookmarkEnd w:id="219"/>
      <w:bookmarkEnd w:id="224"/>
      <w:bookmarkEnd w:id="225"/>
      <w:bookmarkEnd w:id="226"/>
      <w:bookmarkEnd w:id="227"/>
      <w:bookmarkEnd w:id="235"/>
      <w:bookmarkEnd w:id="236"/>
    </w:p>
    <w:p>
      <w:pPr>
        <w:pStyle w:val="93"/>
        <w:spacing w:before="0" w:after="0" w:line="360" w:lineRule="auto"/>
        <w:jc w:val="left"/>
        <w:rPr>
          <w:rFonts w:hint="eastAsia" w:ascii="宋体" w:hAnsi="宋体" w:eastAsia="宋体" w:cs="宋体"/>
          <w:sz w:val="24"/>
          <w:szCs w:val="24"/>
        </w:rPr>
      </w:pPr>
      <w:bookmarkStart w:id="237" w:name="_Toc28670"/>
      <w:bookmarkStart w:id="238" w:name="_Toc76665108"/>
      <w:bookmarkStart w:id="239" w:name="_Toc106383968"/>
      <w:bookmarkStart w:id="240" w:name="_Toc446599330"/>
      <w:bookmarkStart w:id="241" w:name="_Toc293736067"/>
      <w:bookmarkStart w:id="242" w:name="_Toc293739005"/>
      <w:bookmarkStart w:id="243" w:name="_Toc293736024"/>
      <w:r>
        <w:rPr>
          <w:rFonts w:hint="eastAsia" w:ascii="宋体" w:hAnsi="宋体" w:eastAsia="宋体" w:cs="宋体"/>
          <w:sz w:val="24"/>
          <w:szCs w:val="24"/>
        </w:rPr>
        <w:t>一、综合评分</w:t>
      </w:r>
      <w:bookmarkEnd w:id="237"/>
      <w:bookmarkEnd w:id="238"/>
      <w:bookmarkEnd w:id="239"/>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1.经磋商确定最终采购需求和提交最后报价的供应商后，由磋商小组采用综合评分法对提交最后报价的供应商的响应文件和最后报价进行综合评分。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2.评审时，磋商小组各成员应当独立对每个有效响应的文件进行评价、打分，然后汇总每个供应商每项评分因素的得分。</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17"/>
        <w:snapToGrid w:val="0"/>
        <w:spacing w:after="0"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4.根据《政府采购促进中小企业发展管理办法》（财库[2020]46号）、《关于进一步加大政府采购支持中小企业力度的通知》（财库〔2022〕19号）、《财政部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投标报价扣除</w:t>
      </w:r>
      <w:r>
        <w:rPr>
          <w:rFonts w:hint="eastAsia" w:ascii="宋体" w:hAnsi="宋体" w:eastAsia="宋体" w:cs="宋体"/>
          <w:sz w:val="24"/>
          <w:szCs w:val="24"/>
          <w:highlight w:val="none"/>
        </w:rPr>
        <w:t>10%</w:t>
      </w:r>
      <w:r>
        <w:rPr>
          <w:rFonts w:hint="eastAsia" w:ascii="宋体" w:hAnsi="宋体" w:eastAsia="宋体" w:cs="宋体"/>
          <w:sz w:val="24"/>
          <w:szCs w:val="24"/>
        </w:rPr>
        <w:t>后参与评审。对于同时属于小微企业、监狱企业或残疾人福利性单位的，不重复进行投标报价扣除。</w:t>
      </w:r>
    </w:p>
    <w:p>
      <w:pPr>
        <w:pStyle w:val="93"/>
        <w:spacing w:before="0" w:after="0" w:line="360" w:lineRule="auto"/>
        <w:ind w:left="0" w:leftChars="0"/>
        <w:jc w:val="left"/>
        <w:rPr>
          <w:rFonts w:hint="eastAsia" w:ascii="宋体" w:hAnsi="宋体" w:eastAsia="宋体" w:cs="宋体"/>
          <w:sz w:val="24"/>
          <w:szCs w:val="24"/>
        </w:rPr>
      </w:pPr>
      <w:bookmarkStart w:id="244" w:name="_Toc681"/>
      <w:bookmarkStart w:id="245" w:name="_Toc76665109"/>
      <w:bookmarkStart w:id="246" w:name="_Toc106383969"/>
      <w:r>
        <w:rPr>
          <w:rFonts w:hint="eastAsia" w:ascii="宋体" w:hAnsi="宋体" w:eastAsia="宋体" w:cs="宋体"/>
          <w:sz w:val="24"/>
          <w:szCs w:val="24"/>
        </w:rPr>
        <w:t>二、综合评分细则表</w:t>
      </w:r>
      <w:bookmarkEnd w:id="244"/>
      <w:bookmarkEnd w:id="245"/>
      <w:bookmarkEnd w:id="246"/>
    </w:p>
    <w:p>
      <w:pPr>
        <w:adjustRightInd w:val="0"/>
        <w:snapToGrid w:val="0"/>
        <w:spacing w:line="360" w:lineRule="auto"/>
        <w:ind w:firstLine="482" w:firstLineChars="200"/>
        <w:jc w:val="center"/>
        <w:rPr>
          <w:rFonts w:hint="eastAsia" w:ascii="宋体" w:hAnsi="宋体" w:eastAsia="宋体" w:cs="宋体"/>
          <w:b/>
          <w:bCs/>
          <w:kern w:val="0"/>
          <w:sz w:val="24"/>
          <w:szCs w:val="24"/>
          <w:u w:val="single"/>
        </w:rPr>
      </w:pPr>
      <w:bookmarkStart w:id="247" w:name="_Toc76665110"/>
      <w:r>
        <w:rPr>
          <w:rFonts w:hint="eastAsia" w:ascii="宋体" w:hAnsi="宋体" w:eastAsia="宋体" w:cs="宋体"/>
          <w:b/>
          <w:bCs/>
          <w:sz w:val="24"/>
          <w:szCs w:val="24"/>
        </w:rPr>
        <w:t>初步审查表</w:t>
      </w:r>
    </w:p>
    <w:tbl>
      <w:tblPr>
        <w:tblStyle w:val="4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983"/>
        <w:gridCol w:w="5569"/>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7" w:type="dxa"/>
            <w:vAlign w:val="center"/>
          </w:tcPr>
          <w:p>
            <w:pPr>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项目</w:t>
            </w:r>
          </w:p>
        </w:tc>
        <w:tc>
          <w:tcPr>
            <w:tcW w:w="1983" w:type="dxa"/>
            <w:tcBorders>
              <w:bottom w:val="single" w:color="auto" w:sz="4" w:space="0"/>
              <w:right w:val="single" w:color="auto" w:sz="4" w:space="0"/>
            </w:tcBorders>
            <w:vAlign w:val="center"/>
          </w:tcPr>
          <w:p>
            <w:pPr>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5569" w:type="dxa"/>
            <w:tcBorders>
              <w:left w:val="single" w:color="auto" w:sz="4" w:space="0"/>
              <w:bottom w:val="single" w:color="auto" w:sz="4" w:space="0"/>
              <w:right w:val="single" w:color="auto" w:sz="4" w:space="0"/>
            </w:tcBorders>
            <w:vAlign w:val="center"/>
          </w:tcPr>
          <w:p>
            <w:pPr>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评审标准</w:t>
            </w:r>
          </w:p>
        </w:tc>
        <w:tc>
          <w:tcPr>
            <w:tcW w:w="778" w:type="dxa"/>
            <w:tcBorders>
              <w:left w:val="single" w:color="auto"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27" w:type="dxa"/>
            <w:vMerge w:val="restart"/>
            <w:vAlign w:val="center"/>
          </w:tcPr>
          <w:p>
            <w:pPr>
              <w:snapToGrid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资格性审查</w:t>
            </w:r>
          </w:p>
        </w:tc>
        <w:tc>
          <w:tcPr>
            <w:tcW w:w="1983" w:type="dxa"/>
            <w:tcBorders>
              <w:top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具有独立承担民事责任的能力</w:t>
            </w:r>
          </w:p>
        </w:tc>
        <w:tc>
          <w:tcPr>
            <w:tcW w:w="556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auto"/>
                <w:sz w:val="24"/>
                <w:szCs w:val="24"/>
                <w:highlight w:val="none"/>
              </w:rPr>
            </w:pPr>
            <w:r>
              <w:rPr>
                <w:rFonts w:hint="eastAsia" w:ascii="宋体" w:hAnsi="宋体" w:eastAsia="宋体" w:cs="宋体"/>
                <w:sz w:val="24"/>
                <w:szCs w:val="24"/>
              </w:rPr>
              <w:t>提供有效的营业执照复印件或事业单位法人证书复印件或自然人身份证明</w:t>
            </w:r>
          </w:p>
        </w:tc>
        <w:tc>
          <w:tcPr>
            <w:tcW w:w="778" w:type="dxa"/>
            <w:tcBorders>
              <w:left w:val="single" w:color="auto" w:sz="4" w:space="0"/>
            </w:tcBorders>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tcBorders>
              <w:top w:val="single" w:color="auto"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具有健全的财务会计制度</w:t>
            </w:r>
          </w:p>
        </w:tc>
        <w:tc>
          <w:tcPr>
            <w:tcW w:w="5569" w:type="dxa"/>
            <w:tcBorders>
              <w:top w:val="single" w:color="auto" w:sz="4" w:space="0"/>
            </w:tcBorders>
            <w:vAlign w:val="center"/>
          </w:tcPr>
          <w:p>
            <w:pPr>
              <w:snapToGrid w:val="0"/>
              <w:rPr>
                <w:rFonts w:hint="eastAsia" w:ascii="宋体" w:hAnsi="宋体" w:eastAsia="宋体" w:cs="宋体"/>
                <w:sz w:val="24"/>
                <w:szCs w:val="24"/>
              </w:rPr>
            </w:pPr>
            <w:r>
              <w:rPr>
                <w:rFonts w:hint="eastAsia" w:ascii="宋体" w:hAnsi="宋体" w:eastAsia="宋体" w:cs="宋体"/>
                <w:sz w:val="24"/>
                <w:szCs w:val="24"/>
              </w:rPr>
              <w:t>提供2022年度财务状况报告（表）或其基本开户银行出具的资信证明复印件，本年度新成立或成立不满一年的组织和自然人无法提供财务状况报告（表）的，可提供银行出具的资信证明复印件。</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供应商提供书面声明或相关证明材料</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5569" w:type="dxa"/>
            <w:vAlign w:val="center"/>
          </w:tcPr>
          <w:p>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（1）提供税务登记证复印件或依法缴纳税收证明；</w:t>
            </w:r>
          </w:p>
          <w:p>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（2）提供社会保险登记证或社保机构出具的近三个月社保缴纳证明或社保缴纳凭证</w:t>
            </w:r>
          </w:p>
          <w:p>
            <w:pPr>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（3）供应商是其他组织和自然人的，需要提供近三个月的缴纳税收和社会保险的凭据</w:t>
            </w:r>
          </w:p>
          <w:p>
            <w:pPr>
              <w:snapToGrid w:val="0"/>
              <w:rPr>
                <w:rFonts w:hint="eastAsia" w:ascii="宋体" w:hAnsi="宋体" w:eastAsia="宋体" w:cs="宋体"/>
                <w:sz w:val="24"/>
                <w:szCs w:val="24"/>
              </w:rPr>
            </w:pPr>
            <w:r>
              <w:rPr>
                <w:rFonts w:hint="eastAsia" w:ascii="宋体" w:hAnsi="宋体" w:eastAsia="宋体" w:cs="宋体"/>
                <w:sz w:val="24"/>
                <w:szCs w:val="24"/>
              </w:rPr>
              <w:t>（4）依法免税或不需要缴纳社会保障资金的供应商，应提供相应文件证明其依法免税或不需要缴纳社会保障资金。</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企业资质</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lang w:val="zh-CN"/>
              </w:rPr>
              <w:t>具有交通运输部工程质量监督机构颁发的公路工程试验检测机构综合乙级及以上资质证书，同时具有质量技术监督部门颁发的有效计量认证证书（CMA）</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关键设备</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满足本磋商文件资格要求关键设备最低要求，详见公告附件</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磋商声明按竞争性磋商文件规定格式完整提供</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327" w:type="dxa"/>
            <w:vMerge w:val="continue"/>
            <w:vAlign w:val="center"/>
          </w:tcPr>
          <w:p>
            <w:pPr>
              <w:snapToGrid w:val="0"/>
              <w:spacing w:line="440" w:lineRule="exact"/>
              <w:jc w:val="center"/>
              <w:rPr>
                <w:rFonts w:hint="eastAsia" w:ascii="宋体" w:hAnsi="宋体" w:eastAsia="宋体" w:cs="宋体"/>
                <w:b/>
                <w:bCs/>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企业信用</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未存在单位负责人为同一人或者存在控股、管理关系的不同单位；未存在与施工标段承包人和监理人有投资参股的关联关系或直接管理和被管理关系的检测机构</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restart"/>
            <w:vAlign w:val="center"/>
          </w:tcPr>
          <w:p>
            <w:pPr>
              <w:snapToGrid w:val="0"/>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符合性审查</w:t>
            </w: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响应文件格式</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响应文件字迹清晰可辨。</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napToGrid w:val="0"/>
              <w:spacing w:line="440" w:lineRule="exact"/>
              <w:jc w:val="center"/>
              <w:rPr>
                <w:rFonts w:hint="eastAsia" w:ascii="宋体" w:hAnsi="宋体" w:eastAsia="宋体" w:cs="宋体"/>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磋商授权委托</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响应文件提供法定代表人授权委托书或提供法定代表人身份证明</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napToGrid w:val="0"/>
              <w:spacing w:line="440" w:lineRule="exact"/>
              <w:jc w:val="center"/>
              <w:rPr>
                <w:rFonts w:hint="eastAsia" w:ascii="宋体" w:hAnsi="宋体" w:eastAsia="宋体" w:cs="宋体"/>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签字盖章</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响应文件上法定代表人或其授权代理人的签字、供应商的单位章齐全符合竞争性磋商文件规定</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napToGrid w:val="0"/>
              <w:spacing w:line="440" w:lineRule="exact"/>
              <w:jc w:val="center"/>
              <w:rPr>
                <w:rFonts w:hint="eastAsia" w:ascii="宋体" w:hAnsi="宋体" w:eastAsia="宋体" w:cs="宋体"/>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报价唯一</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报价唯一且不超过控制价</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napToGrid w:val="0"/>
              <w:spacing w:line="440" w:lineRule="exact"/>
              <w:jc w:val="center"/>
              <w:rPr>
                <w:rFonts w:hint="eastAsia" w:ascii="宋体" w:hAnsi="宋体" w:eastAsia="宋体" w:cs="宋体"/>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响应文件有效期</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响应文件有效期满足竞争性磋商文件要求</w:t>
            </w:r>
          </w:p>
        </w:tc>
        <w:tc>
          <w:tcPr>
            <w:tcW w:w="778" w:type="dxa"/>
            <w:vAlign w:val="center"/>
          </w:tcPr>
          <w:p>
            <w:pPr>
              <w:snapToGrid w:val="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vMerge w:val="continue"/>
            <w:vAlign w:val="center"/>
          </w:tcPr>
          <w:p>
            <w:pPr>
              <w:snapToGrid w:val="0"/>
              <w:spacing w:line="440" w:lineRule="exact"/>
              <w:jc w:val="center"/>
              <w:rPr>
                <w:rFonts w:hint="eastAsia" w:ascii="宋体" w:hAnsi="宋体" w:eastAsia="宋体" w:cs="宋体"/>
                <w:sz w:val="24"/>
                <w:szCs w:val="24"/>
              </w:rPr>
            </w:pPr>
          </w:p>
        </w:tc>
        <w:tc>
          <w:tcPr>
            <w:tcW w:w="1983" w:type="dxa"/>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5569" w:type="dxa"/>
            <w:vAlign w:val="center"/>
          </w:tcPr>
          <w:p>
            <w:pPr>
              <w:snapToGrid w:val="0"/>
              <w:rPr>
                <w:rFonts w:hint="eastAsia" w:ascii="宋体" w:hAnsi="宋体" w:eastAsia="宋体" w:cs="宋体"/>
                <w:sz w:val="24"/>
                <w:szCs w:val="24"/>
              </w:rPr>
            </w:pPr>
            <w:r>
              <w:rPr>
                <w:rFonts w:hint="eastAsia" w:ascii="宋体" w:hAnsi="宋体" w:eastAsia="宋体" w:cs="宋体"/>
                <w:sz w:val="24"/>
                <w:szCs w:val="24"/>
              </w:rPr>
              <w:t>按要求递交并在响应文件中附保证金递交证明材料</w:t>
            </w:r>
          </w:p>
        </w:tc>
        <w:tc>
          <w:tcPr>
            <w:tcW w:w="778" w:type="dxa"/>
            <w:vAlign w:val="center"/>
          </w:tcPr>
          <w:p>
            <w:pPr>
              <w:snapToGrid w:val="0"/>
              <w:jc w:val="center"/>
              <w:rPr>
                <w:rFonts w:hint="eastAsia" w:ascii="宋体" w:hAnsi="宋体" w:eastAsia="宋体" w:cs="宋体"/>
                <w:sz w:val="24"/>
                <w:szCs w:val="24"/>
              </w:rPr>
            </w:pPr>
          </w:p>
        </w:tc>
      </w:tr>
    </w:tbl>
    <w:p>
      <w:pPr>
        <w:snapToGrid w:val="0"/>
        <w:rPr>
          <w:rFonts w:hint="eastAsia" w:ascii="宋体" w:hAnsi="宋体" w:eastAsia="宋体" w:cs="宋体"/>
          <w:b/>
          <w:bCs/>
          <w:sz w:val="22"/>
          <w:szCs w:val="22"/>
        </w:rPr>
      </w:pPr>
      <w:r>
        <w:rPr>
          <w:rFonts w:hint="eastAsia" w:ascii="宋体" w:hAnsi="宋体" w:eastAsia="宋体" w:cs="宋体"/>
          <w:b/>
          <w:bCs/>
          <w:sz w:val="22"/>
          <w:szCs w:val="22"/>
        </w:rPr>
        <w:t>（1）“是否通过并进入下一阶段评审”一栏应写“通过”或“不通过”。</w:t>
      </w:r>
    </w:p>
    <w:p>
      <w:pPr>
        <w:snapToGrid w:val="0"/>
        <w:rPr>
          <w:rFonts w:hint="eastAsia" w:ascii="宋体" w:hAnsi="宋体" w:eastAsia="宋体" w:cs="宋体"/>
          <w:b/>
          <w:bCs/>
          <w:sz w:val="22"/>
          <w:szCs w:val="22"/>
        </w:rPr>
      </w:pPr>
      <w:r>
        <w:rPr>
          <w:rFonts w:hint="eastAsia" w:ascii="宋体" w:hAnsi="宋体" w:eastAsia="宋体" w:cs="宋体"/>
          <w:b/>
          <w:bCs/>
          <w:sz w:val="22"/>
          <w:szCs w:val="22"/>
        </w:rPr>
        <w:t>（2）出现一个“×”的结论为“不通过”。表中全部为“√”，同意进入下一阶段评审。</w:t>
      </w:r>
    </w:p>
    <w:p>
      <w:pPr>
        <w:snapToGrid w:val="0"/>
        <w:rPr>
          <w:rFonts w:hint="eastAsia" w:ascii="宋体" w:hAnsi="宋体" w:eastAsia="宋体" w:cs="宋体"/>
          <w:b/>
          <w:bCs/>
          <w:sz w:val="22"/>
          <w:szCs w:val="22"/>
        </w:rPr>
      </w:pPr>
      <w:r>
        <w:rPr>
          <w:rFonts w:hint="eastAsia" w:ascii="宋体" w:hAnsi="宋体" w:eastAsia="宋体" w:cs="宋体"/>
          <w:b/>
          <w:bCs/>
          <w:sz w:val="22"/>
          <w:szCs w:val="22"/>
        </w:rPr>
        <w:t>（3）若专家意见不一致时，则按少数服从多数的原则，由专家投票决定该供应商是否通过审查，进入下一阶段评审。</w:t>
      </w:r>
    </w:p>
    <w:p>
      <w:pPr>
        <w:widowControl/>
        <w:snapToGrid w:val="0"/>
        <w:jc w:val="left"/>
        <w:rPr>
          <w:rFonts w:hint="eastAsia" w:ascii="宋体" w:hAnsi="宋体" w:eastAsia="宋体" w:cs="宋体"/>
          <w:sz w:val="22"/>
          <w:szCs w:val="22"/>
        </w:rPr>
      </w:pPr>
      <w:r>
        <w:rPr>
          <w:rFonts w:hint="eastAsia" w:ascii="宋体" w:hAnsi="宋体" w:eastAsia="宋体" w:cs="宋体"/>
          <w:sz w:val="22"/>
          <w:szCs w:val="22"/>
        </w:rPr>
        <w:br w:type="page"/>
      </w:r>
    </w:p>
    <w:p>
      <w:pPr>
        <w:snapToGrid w:val="0"/>
        <w:jc w:val="center"/>
        <w:rPr>
          <w:rFonts w:hint="eastAsia" w:ascii="宋体" w:hAnsi="宋体" w:eastAsia="宋体" w:cs="宋体"/>
          <w:b/>
          <w:bCs/>
          <w:sz w:val="28"/>
          <w:szCs w:val="28"/>
        </w:rPr>
      </w:pPr>
      <w:r>
        <w:rPr>
          <w:rFonts w:hint="eastAsia" w:ascii="宋体" w:hAnsi="宋体" w:eastAsia="宋体" w:cs="宋体"/>
          <w:b/>
          <w:bCs/>
          <w:sz w:val="28"/>
          <w:szCs w:val="28"/>
        </w:rPr>
        <w:t>详细评审表</w:t>
      </w:r>
    </w:p>
    <w:tbl>
      <w:tblPr>
        <w:tblStyle w:val="40"/>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79"/>
        <w:gridCol w:w="851"/>
        <w:gridCol w:w="1506"/>
        <w:gridCol w:w="5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05" w:firstLineChars="50"/>
              <w:jc w:val="center"/>
              <w:rPr>
                <w:rFonts w:hint="eastAsia" w:ascii="宋体" w:hAnsi="宋体" w:eastAsia="宋体" w:cs="宋体"/>
                <w:b/>
                <w:sz w:val="21"/>
                <w:szCs w:val="21"/>
              </w:rPr>
            </w:pPr>
            <w:r>
              <w:rPr>
                <w:rFonts w:hint="eastAsia" w:ascii="宋体" w:hAnsi="宋体" w:eastAsia="宋体" w:cs="宋体"/>
                <w:b/>
                <w:sz w:val="21"/>
                <w:szCs w:val="21"/>
              </w:rPr>
              <w:t>A</w:t>
            </w:r>
          </w:p>
        </w:tc>
        <w:tc>
          <w:tcPr>
            <w:tcW w:w="11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05" w:firstLineChars="50"/>
              <w:jc w:val="center"/>
              <w:rPr>
                <w:rFonts w:hint="eastAsia" w:ascii="宋体" w:hAnsi="宋体" w:eastAsia="宋体" w:cs="宋体"/>
                <w:b/>
                <w:sz w:val="21"/>
                <w:szCs w:val="21"/>
              </w:rPr>
            </w:pPr>
            <w:r>
              <w:rPr>
                <w:rFonts w:hint="eastAsia" w:ascii="宋体" w:hAnsi="宋体" w:eastAsia="宋体" w:cs="宋体"/>
                <w:b/>
                <w:sz w:val="21"/>
                <w:szCs w:val="21"/>
              </w:rPr>
              <w:t>磋商报价</w:t>
            </w:r>
          </w:p>
        </w:tc>
        <w:tc>
          <w:tcPr>
            <w:tcW w:w="8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20</w:t>
            </w:r>
          </w:p>
        </w:tc>
        <w:tc>
          <w:tcPr>
            <w:tcW w:w="736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磋商报价得分＝（评标基准价/磋商报价）×最高分值</w:t>
            </w:r>
          </w:p>
          <w:p>
            <w:pPr>
              <w:snapToGrid w:val="0"/>
              <w:rPr>
                <w:rFonts w:hint="eastAsia" w:ascii="宋体" w:hAnsi="宋体" w:eastAsia="宋体" w:cs="宋体"/>
                <w:sz w:val="21"/>
                <w:szCs w:val="21"/>
              </w:rPr>
            </w:pPr>
            <w:r>
              <w:rPr>
                <w:rFonts w:hint="eastAsia" w:ascii="宋体" w:hAnsi="宋体" w:eastAsia="宋体" w:cs="宋体"/>
                <w:sz w:val="21"/>
                <w:szCs w:val="21"/>
              </w:rPr>
              <w:t>1.磋商价格评分采用低价优先法计算；</w:t>
            </w:r>
          </w:p>
          <w:p>
            <w:pPr>
              <w:snapToGrid w:val="0"/>
              <w:rPr>
                <w:rFonts w:hint="eastAsia" w:ascii="宋体" w:hAnsi="宋体" w:eastAsia="宋体" w:cs="宋体"/>
                <w:sz w:val="21"/>
                <w:szCs w:val="21"/>
              </w:rPr>
            </w:pPr>
            <w:r>
              <w:rPr>
                <w:rFonts w:hint="eastAsia" w:ascii="宋体" w:hAnsi="宋体" w:eastAsia="宋体" w:cs="宋体"/>
                <w:sz w:val="21"/>
                <w:szCs w:val="21"/>
              </w:rPr>
              <w:t>2.评标基准价：满足竞争性磋商文件要求且经算术修正，依据政府采购政策进行价格扣除后的最低报价为评标基准价；</w:t>
            </w:r>
          </w:p>
          <w:p>
            <w:pPr>
              <w:snapToGrid w:val="0"/>
              <w:rPr>
                <w:rFonts w:hint="eastAsia" w:ascii="宋体" w:hAnsi="宋体" w:eastAsia="宋体" w:cs="宋体"/>
                <w:sz w:val="21"/>
                <w:szCs w:val="21"/>
              </w:rPr>
            </w:pPr>
            <w:r>
              <w:rPr>
                <w:rFonts w:hint="eastAsia" w:ascii="宋体" w:hAnsi="宋体" w:eastAsia="宋体" w:cs="宋体"/>
                <w:sz w:val="21"/>
                <w:szCs w:val="21"/>
              </w:rPr>
              <w:t>3.修正后磋商报价：评标委员会以开标一览表中磋商报价为基础，对其进行算术修正，依据政府采购政策进行价格扣除后，作为磋商报价计算的依据。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84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B</w:t>
            </w:r>
          </w:p>
        </w:tc>
        <w:tc>
          <w:tcPr>
            <w:tcW w:w="1179" w:type="dxa"/>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技术服务方案</w:t>
            </w:r>
          </w:p>
        </w:tc>
        <w:tc>
          <w:tcPr>
            <w:tcW w:w="851"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30</w:t>
            </w:r>
          </w:p>
        </w:tc>
        <w:tc>
          <w:tcPr>
            <w:tcW w:w="1506"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试验工作技术方案（</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tc>
        <w:tc>
          <w:tcPr>
            <w:tcW w:w="5860" w:type="dxa"/>
            <w:tcBorders>
              <w:top w:val="single" w:color="auto" w:sz="4" w:space="0"/>
              <w:left w:val="single" w:color="auto" w:sz="4" w:space="0"/>
              <w:right w:val="single" w:color="auto" w:sz="4" w:space="0"/>
            </w:tcBorders>
            <w:vAlign w:val="center"/>
          </w:tcPr>
          <w:p>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（a）检测方案可靠、有针对性的，检测时间安排充足，有保障，检测方案好，各种试验测试方法根据本项目特点实际操作性强，对项目的特点和检测重点有深入认识，得</w:t>
            </w:r>
            <w:r>
              <w:rPr>
                <w:rFonts w:hint="eastAsia" w:ascii="宋体" w:hAnsi="宋体" w:eastAsia="宋体" w:cs="宋体"/>
                <w:color w:val="000000"/>
                <w:sz w:val="21"/>
                <w:szCs w:val="21"/>
                <w:highlight w:val="none"/>
                <w:lang w:val="en-US" w:eastAsia="zh-CN"/>
              </w:rPr>
              <w:t>11-15</w:t>
            </w:r>
            <w:r>
              <w:rPr>
                <w:rFonts w:hint="eastAsia" w:ascii="宋体" w:hAnsi="宋体" w:eastAsia="宋体" w:cs="宋体"/>
                <w:color w:val="000000"/>
                <w:sz w:val="21"/>
                <w:szCs w:val="21"/>
                <w:highlight w:val="none"/>
              </w:rPr>
              <w:t>分；</w:t>
            </w:r>
          </w:p>
          <w:p>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（b）检测方案的工作内容满足现行相关规范、标准的要求，检测方案较好，具有一定的实际操作性，可以达到检测目的，得</w:t>
            </w:r>
            <w:r>
              <w:rPr>
                <w:rFonts w:hint="eastAsia" w:ascii="宋体" w:hAnsi="宋体" w:eastAsia="宋体" w:cs="宋体"/>
                <w:color w:val="000000"/>
                <w:sz w:val="21"/>
                <w:szCs w:val="21"/>
                <w:highlight w:val="none"/>
                <w:lang w:val="en-US" w:eastAsia="zh-CN"/>
              </w:rPr>
              <w:t>6-10</w:t>
            </w:r>
            <w:r>
              <w:rPr>
                <w:rFonts w:hint="eastAsia" w:ascii="宋体" w:hAnsi="宋体" w:eastAsia="宋体" w:cs="宋体"/>
                <w:color w:val="000000"/>
                <w:sz w:val="21"/>
                <w:szCs w:val="21"/>
                <w:highlight w:val="none"/>
              </w:rPr>
              <w:t>分；</w:t>
            </w:r>
          </w:p>
          <w:p>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（c）检测方案一般的，得</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49"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b/>
                <w:sz w:val="21"/>
                <w:szCs w:val="21"/>
              </w:rPr>
            </w:pPr>
          </w:p>
        </w:tc>
        <w:tc>
          <w:tcPr>
            <w:tcW w:w="1179" w:type="dxa"/>
            <w:vMerge w:val="continue"/>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highlight w:val="none"/>
              </w:rPr>
            </w:pPr>
          </w:p>
        </w:tc>
        <w:tc>
          <w:tcPr>
            <w:tcW w:w="851" w:type="dxa"/>
            <w:vMerge w:val="continue"/>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s="宋体"/>
                <w:b/>
                <w:sz w:val="21"/>
                <w:szCs w:val="21"/>
                <w:highlight w:val="none"/>
              </w:rPr>
            </w:pPr>
          </w:p>
        </w:tc>
        <w:tc>
          <w:tcPr>
            <w:tcW w:w="1506"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检测工作质量控制措施及安全保障方案（</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tc>
        <w:tc>
          <w:tcPr>
            <w:tcW w:w="5860" w:type="dxa"/>
            <w:tcBorders>
              <w:top w:val="single" w:color="auto" w:sz="4" w:space="0"/>
              <w:left w:val="single" w:color="auto" w:sz="4" w:space="0"/>
              <w:right w:val="single" w:color="auto" w:sz="4" w:space="0"/>
            </w:tcBorders>
            <w:vAlign w:val="center"/>
          </w:tcPr>
          <w:p>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（a）质量保证体系健全，检测质量保证措施完整，检测组织严密，检测工作过程控制方案严格，检测工作安全保障方案可靠、有针对性的，相关进度、环保方案科学高效，得分</w:t>
            </w:r>
            <w:r>
              <w:rPr>
                <w:rFonts w:hint="eastAsia" w:ascii="宋体" w:hAnsi="宋体" w:eastAsia="宋体" w:cs="宋体"/>
                <w:color w:val="000000"/>
                <w:sz w:val="21"/>
                <w:szCs w:val="21"/>
                <w:highlight w:val="none"/>
                <w:lang w:val="en-US" w:eastAsia="zh-CN"/>
              </w:rPr>
              <w:t>11-15</w:t>
            </w:r>
            <w:r>
              <w:rPr>
                <w:rFonts w:hint="eastAsia" w:ascii="宋体" w:hAnsi="宋体" w:eastAsia="宋体" w:cs="宋体"/>
                <w:color w:val="000000"/>
                <w:sz w:val="21"/>
                <w:szCs w:val="21"/>
                <w:highlight w:val="none"/>
              </w:rPr>
              <w:t>分；</w:t>
            </w:r>
          </w:p>
          <w:p>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（b）质量保证体系基本健全，检测质量保证措施到位，检测组织较严密，检测工作过程控制方案较完善，检测工作安全保障方案能够确保受托人员、设备安全，相关进度、环保方案科学合理，得</w:t>
            </w:r>
            <w:r>
              <w:rPr>
                <w:rFonts w:hint="eastAsia" w:ascii="宋体" w:hAnsi="宋体" w:eastAsia="宋体" w:cs="宋体"/>
                <w:color w:val="000000"/>
                <w:sz w:val="21"/>
                <w:szCs w:val="21"/>
                <w:highlight w:val="none"/>
                <w:lang w:val="en-US" w:eastAsia="zh-CN"/>
              </w:rPr>
              <w:t>6-10</w:t>
            </w:r>
            <w:r>
              <w:rPr>
                <w:rFonts w:hint="eastAsia" w:ascii="宋体" w:hAnsi="宋体" w:eastAsia="宋体" w:cs="宋体"/>
                <w:color w:val="000000"/>
                <w:sz w:val="21"/>
                <w:szCs w:val="21"/>
                <w:highlight w:val="none"/>
              </w:rPr>
              <w:t>分；</w:t>
            </w:r>
          </w:p>
          <w:p>
            <w:pPr>
              <w:snapToGrid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（c）检测工作质量控制、安全保障、进度、环保方案一般的，得分</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849" w:type="dxa"/>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C</w:t>
            </w:r>
          </w:p>
        </w:tc>
        <w:tc>
          <w:tcPr>
            <w:tcW w:w="1179" w:type="dxa"/>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商务</w:t>
            </w:r>
          </w:p>
        </w:tc>
        <w:tc>
          <w:tcPr>
            <w:tcW w:w="851" w:type="dxa"/>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47</w:t>
            </w: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企业业绩</w:t>
            </w:r>
          </w:p>
          <w:p>
            <w:pPr>
              <w:snapToGrid w:val="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586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近5年内(2018年1月1日至投标截止时间的期间）</w:t>
            </w:r>
            <w:r>
              <w:rPr>
                <w:rFonts w:hint="eastAsia" w:ascii="宋体" w:hAnsi="宋体" w:eastAsia="宋体" w:cs="宋体"/>
                <w:sz w:val="21"/>
                <w:szCs w:val="21"/>
                <w:lang w:eastAsia="zh-CN"/>
              </w:rPr>
              <w:t>，每提供</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个公路工程竣（交）工验收检测项目类似业绩得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r>
              <w:rPr>
                <w:rFonts w:hint="eastAsia" w:ascii="宋体" w:hAnsi="宋体" w:eastAsia="宋体" w:cs="宋体"/>
                <w:sz w:val="21"/>
                <w:szCs w:val="21"/>
              </w:rPr>
              <w:t>（须提供中标通知书或合同协议书复印件，如无法明确反映各评审因素，供应商还须提供委托人（交通主管部门或质监机构或业主）出具的证明材料进行辅助说明。）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849" w:type="dxa"/>
            <w:vMerge w:val="continue"/>
            <w:tcBorders>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1179" w:type="dxa"/>
            <w:vMerge w:val="continue"/>
            <w:tcBorders>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851" w:type="dxa"/>
            <w:vMerge w:val="continue"/>
            <w:tcBorders>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项目负责人业绩（</w:t>
            </w:r>
            <w:r>
              <w:rPr>
                <w:rFonts w:hint="eastAsia" w:ascii="宋体" w:hAnsi="宋体" w:eastAsia="宋体" w:cs="宋体"/>
                <w:sz w:val="21"/>
                <w:szCs w:val="21"/>
                <w:lang w:val="en-US" w:eastAsia="zh-CN"/>
              </w:rPr>
              <w:t>12</w:t>
            </w:r>
            <w:r>
              <w:rPr>
                <w:rFonts w:hint="eastAsia" w:ascii="宋体" w:hAnsi="宋体" w:eastAsia="宋体" w:cs="宋体"/>
                <w:sz w:val="21"/>
                <w:szCs w:val="21"/>
              </w:rPr>
              <w:t>分）</w:t>
            </w:r>
          </w:p>
        </w:tc>
        <w:tc>
          <w:tcPr>
            <w:tcW w:w="586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拟委任项目负责人近5年内(2018年1月1日至投标截止时间的期间）每提供1个公路工程竣（交）工验收检测项目类似业绩得3分，满分1</w:t>
            </w:r>
            <w:r>
              <w:rPr>
                <w:rFonts w:hint="eastAsia" w:ascii="宋体" w:hAnsi="宋体" w:eastAsia="宋体" w:cs="宋体"/>
                <w:sz w:val="21"/>
                <w:szCs w:val="21"/>
                <w:lang w:val="en-US" w:eastAsia="zh-CN"/>
              </w:rPr>
              <w:t>2</w:t>
            </w:r>
            <w:r>
              <w:rPr>
                <w:rFonts w:hint="eastAsia" w:ascii="宋体" w:hAnsi="宋体" w:eastAsia="宋体" w:cs="宋体"/>
                <w:sz w:val="21"/>
                <w:szCs w:val="21"/>
              </w:rPr>
              <w:t>分。（须提供中标通知书或合同协议书或项目质监机构（或业主）出具的业绩证明材料复印件，证明材料中须反映项目负责人名称、公路等级及在该检测项目担任的职务及任职时间等评审因素或指标。）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49" w:type="dxa"/>
            <w:vMerge w:val="continue"/>
            <w:tcBorders>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bookmarkStart w:id="248" w:name="_Toc106383970"/>
          </w:p>
        </w:tc>
        <w:tc>
          <w:tcPr>
            <w:tcW w:w="1179" w:type="dxa"/>
            <w:vMerge w:val="continue"/>
            <w:tcBorders>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851" w:type="dxa"/>
            <w:vMerge w:val="continue"/>
            <w:tcBorders>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1506" w:type="dxa"/>
            <w:vMerge w:val="restart"/>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sz w:val="21"/>
                <w:szCs w:val="21"/>
              </w:rPr>
            </w:pPr>
            <w:r>
              <w:rPr>
                <w:rFonts w:hint="eastAsia" w:ascii="宋体" w:hAnsi="宋体" w:eastAsia="宋体" w:cs="宋体"/>
                <w:sz w:val="21"/>
                <w:szCs w:val="21"/>
              </w:rPr>
              <w:t>检测人员配备</w:t>
            </w:r>
          </w:p>
          <w:p>
            <w:pPr>
              <w:snapToGrid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20分</w:t>
            </w:r>
            <w:r>
              <w:rPr>
                <w:rFonts w:hint="eastAsia" w:ascii="宋体" w:hAnsi="宋体" w:eastAsia="宋体" w:cs="宋体"/>
                <w:sz w:val="21"/>
                <w:szCs w:val="21"/>
                <w:lang w:eastAsia="zh-CN"/>
              </w:rPr>
              <w:t>）</w:t>
            </w:r>
          </w:p>
        </w:tc>
        <w:tc>
          <w:tcPr>
            <w:tcW w:w="586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拟派项目负责人须具备公路工程相关专业中级及以上技术职称，持有试验检测师职业资格证书或交通运输部颁发的试验检测工程师证书</w:t>
            </w:r>
            <w:r>
              <w:rPr>
                <w:rFonts w:hint="eastAsia" w:ascii="宋体" w:hAnsi="宋体" w:eastAsia="宋体" w:cs="宋体"/>
                <w:sz w:val="21"/>
                <w:szCs w:val="21"/>
                <w:lang w:eastAsia="zh-CN"/>
              </w:rPr>
              <w:t>，</w:t>
            </w:r>
            <w:r>
              <w:rPr>
                <w:rFonts w:hint="eastAsia" w:ascii="宋体" w:hAnsi="宋体" w:eastAsia="宋体" w:cs="宋体"/>
                <w:sz w:val="21"/>
                <w:szCs w:val="21"/>
              </w:rPr>
              <w:t>同时需提供项目负责人简介、身份证、学历证书</w:t>
            </w:r>
            <w:r>
              <w:rPr>
                <w:rFonts w:hint="eastAsia" w:ascii="宋体" w:hAnsi="宋体" w:eastAsia="宋体" w:cs="宋体"/>
                <w:sz w:val="21"/>
                <w:szCs w:val="21"/>
                <w:lang w:eastAsia="zh-CN"/>
              </w:rPr>
              <w:t>、</w:t>
            </w:r>
            <w:r>
              <w:rPr>
                <w:rFonts w:hint="eastAsia" w:ascii="宋体" w:hAnsi="宋体" w:eastAsia="宋体" w:cs="宋体"/>
                <w:sz w:val="21"/>
                <w:szCs w:val="21"/>
              </w:rPr>
              <w:t>职称证</w:t>
            </w:r>
            <w:r>
              <w:rPr>
                <w:rFonts w:hint="eastAsia" w:ascii="宋体" w:hAnsi="宋体" w:eastAsia="宋体" w:cs="宋体"/>
                <w:sz w:val="21"/>
                <w:szCs w:val="21"/>
                <w:lang w:eastAsia="zh-CN"/>
              </w:rPr>
              <w:t>、</w:t>
            </w:r>
            <w:r>
              <w:rPr>
                <w:rFonts w:hint="eastAsia" w:ascii="宋体" w:hAnsi="宋体" w:eastAsia="宋体" w:cs="宋体"/>
                <w:sz w:val="21"/>
                <w:szCs w:val="21"/>
              </w:rPr>
              <w:t>试验检测师职业资格证书</w:t>
            </w:r>
            <w:r>
              <w:rPr>
                <w:rFonts w:hint="eastAsia" w:ascii="宋体" w:hAnsi="宋体" w:eastAsia="宋体" w:cs="宋体"/>
                <w:sz w:val="21"/>
                <w:szCs w:val="21"/>
                <w:lang w:eastAsia="zh-CN"/>
              </w:rPr>
              <w:t>或</w:t>
            </w:r>
            <w:r>
              <w:rPr>
                <w:rFonts w:hint="eastAsia" w:ascii="宋体" w:hAnsi="宋体" w:eastAsia="宋体" w:cs="宋体"/>
                <w:sz w:val="21"/>
                <w:szCs w:val="21"/>
              </w:rPr>
              <w:t>试验检测工程师证书原件的彩色扫描件，资料齐全得</w:t>
            </w:r>
            <w:r>
              <w:rPr>
                <w:rFonts w:hint="eastAsia" w:ascii="宋体" w:hAnsi="宋体" w:eastAsia="宋体" w:cs="宋体"/>
                <w:sz w:val="21"/>
                <w:szCs w:val="21"/>
                <w:lang w:val="en-US" w:eastAsia="zh-CN"/>
              </w:rPr>
              <w:t>10</w:t>
            </w:r>
            <w:r>
              <w:rPr>
                <w:rFonts w:hint="eastAsia" w:ascii="宋体" w:hAnsi="宋体" w:eastAsia="宋体" w:cs="宋体"/>
                <w:sz w:val="21"/>
                <w:szCs w:val="21"/>
              </w:rPr>
              <w:t>分，每缺少一项扣2分，扣完为止。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49" w:type="dxa"/>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1179" w:type="dxa"/>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851" w:type="dxa"/>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b/>
                <w:bCs/>
                <w:sz w:val="21"/>
                <w:szCs w:val="21"/>
              </w:rPr>
            </w:pPr>
          </w:p>
        </w:tc>
        <w:tc>
          <w:tcPr>
            <w:tcW w:w="1506" w:type="dxa"/>
            <w:vMerge w:val="continue"/>
            <w:tcBorders>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 w:val="21"/>
                <w:szCs w:val="21"/>
                <w:lang w:eastAsia="zh-CN"/>
              </w:rPr>
            </w:pPr>
          </w:p>
        </w:tc>
        <w:tc>
          <w:tcPr>
            <w:tcW w:w="586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拟派项目团队人员不少于</w:t>
            </w:r>
            <w:r>
              <w:rPr>
                <w:rFonts w:hint="eastAsia" w:ascii="宋体" w:hAnsi="宋体" w:eastAsia="宋体" w:cs="宋体"/>
                <w:sz w:val="21"/>
                <w:szCs w:val="21"/>
                <w:lang w:val="en-US" w:eastAsia="zh-CN"/>
              </w:rPr>
              <w:t>4</w:t>
            </w:r>
            <w:r>
              <w:rPr>
                <w:rFonts w:hint="eastAsia" w:ascii="宋体" w:hAnsi="宋体" w:eastAsia="宋体" w:cs="宋体"/>
                <w:sz w:val="21"/>
                <w:szCs w:val="21"/>
              </w:rPr>
              <w:t>人，</w:t>
            </w:r>
            <w:r>
              <w:rPr>
                <w:rFonts w:hint="eastAsia" w:ascii="宋体" w:hAnsi="宋体" w:eastAsia="宋体" w:cs="宋体"/>
                <w:sz w:val="21"/>
                <w:szCs w:val="21"/>
                <w:lang w:val="en-US" w:eastAsia="zh-CN"/>
              </w:rPr>
              <w:t>4</w:t>
            </w:r>
            <w:r>
              <w:rPr>
                <w:rFonts w:hint="eastAsia" w:ascii="宋体" w:hAnsi="宋体" w:eastAsia="宋体" w:cs="宋体"/>
                <w:sz w:val="21"/>
                <w:szCs w:val="21"/>
              </w:rPr>
              <w:t>人（含）得6分，每增加1人加1分，满分10分。</w:t>
            </w:r>
            <w:r>
              <w:rPr>
                <w:rFonts w:hint="eastAsia" w:ascii="宋体" w:hAnsi="宋体" w:eastAsia="宋体" w:cs="宋体"/>
                <w:sz w:val="21"/>
                <w:szCs w:val="21"/>
                <w:lang w:val="en-US" w:eastAsia="zh-CN"/>
              </w:rPr>
              <w:t>4</w:t>
            </w:r>
            <w:r>
              <w:rPr>
                <w:rFonts w:hint="eastAsia" w:ascii="宋体" w:hAnsi="宋体" w:eastAsia="宋体" w:cs="宋体"/>
                <w:sz w:val="21"/>
                <w:szCs w:val="21"/>
              </w:rPr>
              <w:t>人以下得0分。（拟派项目团队人员需提供身份证、学历证或相关资格证书原件的彩色扫描件）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849" w:type="dxa"/>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D</w:t>
            </w:r>
          </w:p>
        </w:tc>
        <w:tc>
          <w:tcPr>
            <w:tcW w:w="2030" w:type="dxa"/>
            <w:gridSpan w:val="2"/>
            <w:tcBorders>
              <w:top w:val="single" w:color="auto" w:sz="4" w:space="0"/>
              <w:left w:val="single" w:color="auto" w:sz="4" w:space="0"/>
              <w:right w:val="single" w:color="auto" w:sz="4" w:space="0"/>
            </w:tcBorders>
            <w:vAlign w:val="center"/>
          </w:tcPr>
          <w:p>
            <w:pPr>
              <w:snapToGrid w:val="0"/>
              <w:jc w:val="center"/>
              <w:rPr>
                <w:rFonts w:hint="eastAsia" w:ascii="宋体" w:hAnsi="宋体" w:eastAsia="宋体" w:cs="宋体"/>
                <w:b/>
                <w:bCs/>
                <w:sz w:val="21"/>
                <w:szCs w:val="21"/>
              </w:rPr>
            </w:pPr>
            <w:r>
              <w:rPr>
                <w:rFonts w:hint="eastAsia" w:ascii="宋体" w:hAnsi="宋体" w:eastAsia="宋体" w:cs="宋体"/>
                <w:b/>
                <w:bCs/>
                <w:sz w:val="21"/>
                <w:szCs w:val="21"/>
              </w:rPr>
              <w:t>履约信誉</w:t>
            </w:r>
          </w:p>
        </w:tc>
        <w:tc>
          <w:tcPr>
            <w:tcW w:w="150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分</w:t>
            </w:r>
          </w:p>
        </w:tc>
        <w:tc>
          <w:tcPr>
            <w:tcW w:w="5860"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宋体" w:hAnsi="宋体" w:eastAsia="宋体" w:cs="宋体"/>
                <w:sz w:val="21"/>
                <w:szCs w:val="21"/>
              </w:rPr>
            </w:pPr>
            <w:r>
              <w:rPr>
                <w:rFonts w:hint="eastAsia" w:ascii="宋体" w:hAnsi="宋体" w:eastAsia="宋体" w:cs="宋体"/>
                <w:sz w:val="21"/>
                <w:szCs w:val="21"/>
              </w:rPr>
              <w:t>投标人信用评价得分应按照“新疆维吾尔自治区交通运输厅”公布的《新疆维吾尔自治区交通运输厅关于公布2022年度自治区公路建设市场从业企业及人员信用评价结果的通知》和哈密市交通运输局公布的《关于哈密市2022年度农村公路建设项目从业单位信用评价结果的通知》计算得分，当信用评价结果不一致时，以信用评价等级高者计算投标人信用评价得分，即检测机构信用评价结果中的信用等级：AA级为3分，A级为2分，B级不加（减）分，C级减2分。</w:t>
            </w:r>
          </w:p>
          <w:p>
            <w:pPr>
              <w:snapToGrid w:val="0"/>
              <w:rPr>
                <w:rFonts w:hint="eastAsia" w:ascii="宋体" w:hAnsi="宋体" w:eastAsia="宋体" w:cs="宋体"/>
                <w:sz w:val="21"/>
                <w:szCs w:val="21"/>
              </w:rPr>
            </w:pPr>
            <w:r>
              <w:rPr>
                <w:rFonts w:hint="eastAsia" w:ascii="宋体" w:hAnsi="宋体" w:eastAsia="宋体" w:cs="宋体"/>
                <w:sz w:val="21"/>
                <w:szCs w:val="21"/>
              </w:rPr>
              <w:t>对未参与</w:t>
            </w:r>
            <w:r>
              <w:rPr>
                <w:rFonts w:hint="eastAsia" w:ascii="宋体" w:hAnsi="宋体" w:eastAsia="宋体" w:cs="宋体"/>
                <w:sz w:val="21"/>
                <w:szCs w:val="21"/>
                <w:lang w:val="en-US" w:eastAsia="zh-CN"/>
              </w:rPr>
              <w:t>2022</w:t>
            </w:r>
            <w:r>
              <w:rPr>
                <w:rFonts w:hint="eastAsia" w:ascii="宋体" w:hAnsi="宋体" w:eastAsia="宋体" w:cs="宋体"/>
                <w:sz w:val="21"/>
                <w:szCs w:val="21"/>
              </w:rPr>
              <w:t>年度新疆维吾尔自治区交通运输厅公路公路建设市场从业企业及人员信用评价或哈密市</w:t>
            </w:r>
            <w:r>
              <w:rPr>
                <w:rFonts w:hint="eastAsia" w:ascii="宋体" w:hAnsi="宋体" w:eastAsia="宋体" w:cs="宋体"/>
                <w:sz w:val="21"/>
                <w:szCs w:val="21"/>
                <w:lang w:val="en-US" w:eastAsia="zh-CN"/>
              </w:rPr>
              <w:t>2022</w:t>
            </w:r>
            <w:r>
              <w:rPr>
                <w:rFonts w:hint="eastAsia" w:ascii="宋体" w:hAnsi="宋体" w:eastAsia="宋体" w:cs="宋体"/>
                <w:sz w:val="21"/>
                <w:szCs w:val="21"/>
              </w:rPr>
              <w:t>年度农村公路建设项目从业单位信用评价的企业按照B级执行。</w:t>
            </w:r>
          </w:p>
        </w:tc>
      </w:tr>
    </w:tbl>
    <w:p>
      <w:pPr>
        <w:pStyle w:val="93"/>
        <w:spacing w:before="0" w:after="0" w:line="360" w:lineRule="auto"/>
        <w:jc w:val="left"/>
        <w:rPr>
          <w:rFonts w:hint="eastAsia" w:ascii="宋体" w:hAnsi="宋体" w:eastAsia="宋体" w:cs="宋体"/>
          <w:sz w:val="24"/>
          <w:szCs w:val="24"/>
        </w:rPr>
      </w:pPr>
      <w:bookmarkStart w:id="249" w:name="_Toc32019"/>
      <w:r>
        <w:rPr>
          <w:rFonts w:hint="eastAsia" w:ascii="宋体" w:hAnsi="宋体" w:eastAsia="宋体" w:cs="宋体"/>
          <w:sz w:val="24"/>
          <w:szCs w:val="24"/>
        </w:rPr>
        <w:t>三、推荐成交供应商</w:t>
      </w:r>
      <w:bookmarkEnd w:id="247"/>
      <w:bookmarkEnd w:id="248"/>
      <w:bookmarkEnd w:id="249"/>
      <w:bookmarkStart w:id="490" w:name="_GoBack"/>
      <w:bookmarkEnd w:id="490"/>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2、评分计算方法解释</w:t>
      </w:r>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（2）计算过程中，算术平均值保留2位小数（百分比亦取2位小数），第三位小数四舍五入。</w:t>
      </w:r>
    </w:p>
    <w:p>
      <w:pPr>
        <w:pStyle w:val="93"/>
        <w:spacing w:before="0" w:after="0" w:line="360" w:lineRule="auto"/>
        <w:jc w:val="left"/>
        <w:rPr>
          <w:rFonts w:hint="eastAsia" w:ascii="宋体" w:hAnsi="宋体" w:eastAsia="宋体" w:cs="宋体"/>
          <w:sz w:val="24"/>
          <w:szCs w:val="24"/>
        </w:rPr>
      </w:pPr>
      <w:bookmarkStart w:id="250" w:name="_Toc76665111"/>
      <w:bookmarkStart w:id="251" w:name="_Toc106383971"/>
      <w:bookmarkStart w:id="252" w:name="_Toc10502"/>
      <w:r>
        <w:rPr>
          <w:rFonts w:hint="eastAsia" w:ascii="宋体" w:hAnsi="宋体" w:eastAsia="宋体" w:cs="宋体"/>
          <w:sz w:val="24"/>
          <w:szCs w:val="24"/>
        </w:rPr>
        <w:t>四、确定成交供应商</w:t>
      </w:r>
      <w:bookmarkEnd w:id="250"/>
      <w:bookmarkEnd w:id="251"/>
      <w:bookmarkEnd w:id="252"/>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widowControl/>
        <w:snapToGrid w:val="0"/>
        <w:jc w:val="left"/>
        <w:rPr>
          <w:rFonts w:hint="eastAsia" w:ascii="宋体" w:hAnsi="宋体" w:eastAsia="宋体" w:cs="宋体"/>
          <w:b/>
          <w:color w:val="000000"/>
          <w:kern w:val="44"/>
          <w:sz w:val="24"/>
          <w:szCs w:val="24"/>
        </w:rPr>
      </w:pPr>
      <w:bookmarkStart w:id="253" w:name="_Toc532543567"/>
      <w:bookmarkStart w:id="254" w:name="_Toc6170"/>
      <w:bookmarkStart w:id="255" w:name="_Toc531075011"/>
      <w:r>
        <w:rPr>
          <w:rFonts w:hint="eastAsia" w:ascii="宋体" w:hAnsi="宋体" w:eastAsia="宋体" w:cs="宋体"/>
          <w:b/>
          <w:bCs/>
          <w:color w:val="000000"/>
          <w:sz w:val="24"/>
          <w:szCs w:val="24"/>
        </w:rPr>
        <w:br w:type="page"/>
      </w:r>
    </w:p>
    <w:p>
      <w:pPr>
        <w:pStyle w:val="4"/>
        <w:snapToGrid w:val="0"/>
        <w:spacing w:before="0" w:after="0" w:line="240" w:lineRule="auto"/>
        <w:jc w:val="center"/>
        <w:rPr>
          <w:rFonts w:hint="eastAsia" w:ascii="宋体" w:hAnsi="宋体" w:eastAsia="宋体" w:cs="宋体"/>
          <w:b/>
          <w:bCs w:val="0"/>
          <w:color w:val="000000"/>
          <w:sz w:val="32"/>
          <w:szCs w:val="32"/>
        </w:rPr>
      </w:pPr>
      <w:bookmarkStart w:id="256" w:name="_Toc106383972"/>
      <w:bookmarkStart w:id="257" w:name="_Toc31814"/>
      <w:r>
        <w:rPr>
          <w:rFonts w:hint="eastAsia" w:ascii="宋体" w:hAnsi="宋体" w:eastAsia="宋体" w:cs="宋体"/>
          <w:b/>
          <w:bCs w:val="0"/>
          <w:color w:val="000000"/>
          <w:sz w:val="32"/>
          <w:szCs w:val="32"/>
        </w:rPr>
        <w:t xml:space="preserve">第五章 </w:t>
      </w:r>
      <w:bookmarkEnd w:id="240"/>
      <w:bookmarkEnd w:id="241"/>
      <w:bookmarkEnd w:id="242"/>
      <w:bookmarkEnd w:id="243"/>
      <w:bookmarkEnd w:id="253"/>
      <w:bookmarkEnd w:id="254"/>
      <w:bookmarkEnd w:id="255"/>
      <w:r>
        <w:rPr>
          <w:rFonts w:hint="eastAsia" w:ascii="宋体" w:hAnsi="宋体" w:eastAsia="宋体" w:cs="宋体"/>
          <w:b/>
          <w:bCs w:val="0"/>
          <w:color w:val="000000"/>
          <w:sz w:val="32"/>
          <w:szCs w:val="32"/>
        </w:rPr>
        <w:t>合同格式及合同条款</w:t>
      </w:r>
      <w:bookmarkEnd w:id="256"/>
      <w:bookmarkEnd w:id="257"/>
    </w:p>
    <w:p>
      <w:pPr>
        <w:adjustRightInd w:val="0"/>
        <w:snapToGrid w:val="0"/>
        <w:spacing w:line="420" w:lineRule="exact"/>
        <w:jc w:val="center"/>
        <w:rPr>
          <w:rFonts w:hint="eastAsia" w:ascii="宋体" w:hAnsi="宋体" w:eastAsia="宋体" w:cs="宋体"/>
          <w:sz w:val="24"/>
          <w:szCs w:val="24"/>
        </w:rPr>
      </w:pPr>
      <w:r>
        <w:rPr>
          <w:rFonts w:hint="eastAsia" w:ascii="宋体" w:hAnsi="宋体" w:eastAsia="宋体" w:cs="宋体"/>
          <w:b/>
          <w:sz w:val="24"/>
          <w:szCs w:val="24"/>
        </w:rPr>
        <w:t>（实际以合同签订为准）</w:t>
      </w:r>
    </w:p>
    <w:p>
      <w:pPr>
        <w:spacing w:line="400" w:lineRule="exact"/>
        <w:jc w:val="center"/>
        <w:rPr>
          <w:rFonts w:hint="eastAsia" w:ascii="宋体" w:hAnsi="宋体" w:eastAsia="宋体" w:cs="宋体"/>
          <w:b/>
          <w:color w:val="000000"/>
          <w:spacing w:val="30"/>
          <w:sz w:val="24"/>
          <w:szCs w:val="24"/>
        </w:rPr>
      </w:pPr>
      <w:bookmarkStart w:id="258" w:name="_Toc106384003"/>
      <w:bookmarkStart w:id="259" w:name="_Toc534380788"/>
      <w:bookmarkStart w:id="260" w:name="_Toc45381200"/>
      <w:bookmarkStart w:id="261" w:name="EB9d606367ac1f420b9a48beb34cf7bfed"/>
      <w:bookmarkStart w:id="262" w:name="_Toc257633148"/>
    </w:p>
    <w:p>
      <w:pPr>
        <w:spacing w:line="400" w:lineRule="exact"/>
        <w:jc w:val="center"/>
        <w:rPr>
          <w:rFonts w:hint="eastAsia" w:ascii="宋体" w:hAnsi="宋体" w:eastAsia="宋体" w:cs="宋体"/>
          <w:b/>
          <w:color w:val="000000"/>
          <w:spacing w:val="30"/>
          <w:sz w:val="24"/>
          <w:szCs w:val="24"/>
        </w:rPr>
      </w:pPr>
      <w:r>
        <w:rPr>
          <w:rFonts w:hint="eastAsia" w:ascii="宋体" w:hAnsi="宋体" w:eastAsia="宋体" w:cs="宋体"/>
          <w:b/>
          <w:color w:val="000000"/>
          <w:spacing w:val="30"/>
          <w:sz w:val="24"/>
          <w:szCs w:val="24"/>
        </w:rPr>
        <w:t>合同条款</w:t>
      </w:r>
    </w:p>
    <w:p>
      <w:pPr>
        <w:pStyle w:val="194"/>
        <w:jc w:val="center"/>
        <w:rPr>
          <w:rFonts w:hint="eastAsia" w:ascii="宋体" w:hAnsi="宋体" w:eastAsia="宋体" w:cs="宋体"/>
          <w:b w:val="0"/>
          <w:sz w:val="24"/>
          <w:szCs w:val="24"/>
        </w:rPr>
      </w:pPr>
    </w:p>
    <w:p>
      <w:pPr>
        <w:pStyle w:val="194"/>
        <w:jc w:val="center"/>
        <w:rPr>
          <w:rFonts w:hint="eastAsia" w:ascii="宋体" w:hAnsi="宋体" w:eastAsia="宋体" w:cs="宋体"/>
          <w:b w:val="0"/>
          <w:sz w:val="24"/>
          <w:szCs w:val="24"/>
        </w:rPr>
      </w:pPr>
    </w:p>
    <w:p>
      <w:pPr>
        <w:pStyle w:val="194"/>
        <w:jc w:val="center"/>
        <w:rPr>
          <w:rFonts w:hint="eastAsia" w:ascii="宋体" w:hAnsi="宋体" w:eastAsia="宋体" w:cs="宋体"/>
          <w:b w:val="0"/>
          <w:sz w:val="24"/>
          <w:szCs w:val="24"/>
        </w:rPr>
      </w:pPr>
    </w:p>
    <w:p>
      <w:pPr>
        <w:pStyle w:val="194"/>
        <w:jc w:val="center"/>
        <w:rPr>
          <w:rFonts w:hint="eastAsia" w:ascii="宋体" w:hAnsi="宋体" w:eastAsia="宋体" w:cs="宋体"/>
          <w:b w:val="0"/>
          <w:sz w:val="24"/>
          <w:szCs w:val="24"/>
        </w:rPr>
      </w:pPr>
      <w:r>
        <w:rPr>
          <w:rFonts w:hint="eastAsia" w:ascii="宋体" w:hAnsi="宋体" w:eastAsia="宋体" w:cs="宋体"/>
          <w:b w:val="0"/>
          <w:sz w:val="24"/>
          <w:szCs w:val="24"/>
        </w:rPr>
        <w:t>目      录</w:t>
      </w:r>
    </w:p>
    <w:p>
      <w:pPr>
        <w:pStyle w:val="194"/>
        <w:spacing w:line="600" w:lineRule="exact"/>
        <w:ind w:firstLine="2289" w:firstLineChars="950"/>
        <w:rPr>
          <w:rFonts w:hint="eastAsia" w:ascii="宋体" w:hAnsi="宋体" w:eastAsia="宋体" w:cs="宋体"/>
          <w:sz w:val="24"/>
          <w:szCs w:val="24"/>
        </w:rPr>
      </w:pP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定义与解释</w:t>
      </w: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承包人的义务与责任</w:t>
      </w: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发包人的义务与责任</w:t>
      </w: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合同生效、变更与终止</w:t>
      </w: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费用与支付</w:t>
      </w: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违约行为处理</w:t>
      </w:r>
    </w:p>
    <w:p>
      <w:pPr>
        <w:pStyle w:val="194"/>
        <w:spacing w:line="600" w:lineRule="exact"/>
        <w:ind w:firstLine="2289" w:firstLineChars="950"/>
        <w:rPr>
          <w:rFonts w:hint="eastAsia" w:ascii="宋体" w:hAnsi="宋体" w:eastAsia="宋体" w:cs="宋体"/>
          <w:sz w:val="24"/>
          <w:szCs w:val="24"/>
        </w:rPr>
      </w:pPr>
      <w:r>
        <w:rPr>
          <w:rFonts w:hint="eastAsia" w:ascii="宋体" w:hAnsi="宋体" w:eastAsia="宋体" w:cs="宋体"/>
          <w:sz w:val="24"/>
          <w:szCs w:val="24"/>
        </w:rPr>
        <w:t>争议的解决</w:t>
      </w: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p>
    <w:p>
      <w:pPr>
        <w:spacing w:line="400" w:lineRule="atLeast"/>
        <w:rPr>
          <w:rFonts w:hint="eastAsia" w:ascii="宋体" w:hAnsi="宋体" w:eastAsia="宋体" w:cs="宋体"/>
          <w:sz w:val="24"/>
          <w:szCs w:val="24"/>
        </w:rPr>
      </w:pPr>
      <w:r>
        <w:rPr>
          <w:rFonts w:hint="eastAsia" w:ascii="宋体" w:hAnsi="宋体" w:eastAsia="宋体" w:cs="宋体"/>
          <w:sz w:val="24"/>
          <w:szCs w:val="24"/>
        </w:rPr>
        <w:br w:type="page"/>
      </w:r>
    </w:p>
    <w:p>
      <w:pPr>
        <w:spacing w:line="400" w:lineRule="atLeast"/>
        <w:jc w:val="center"/>
        <w:rPr>
          <w:rFonts w:hint="eastAsia" w:ascii="宋体" w:hAnsi="宋体" w:eastAsia="宋体" w:cs="宋体"/>
          <w:b/>
          <w:bCs/>
          <w:sz w:val="24"/>
          <w:szCs w:val="24"/>
        </w:rPr>
      </w:pPr>
      <w:r>
        <w:rPr>
          <w:rFonts w:hint="eastAsia" w:ascii="宋体" w:hAnsi="宋体" w:eastAsia="宋体" w:cs="宋体"/>
          <w:b/>
          <w:bCs/>
          <w:sz w:val="24"/>
          <w:szCs w:val="24"/>
        </w:rPr>
        <w:t>合 同 条 款</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定义与解释</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1.1</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定义</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在本合同中，下列名词或用语，除文中另有要求和说明外，应具有本条所指的含义：</w:t>
      </w:r>
    </w:p>
    <w:p>
      <w:pPr>
        <w:pStyle w:val="37"/>
        <w:snapToGrid w:val="0"/>
        <w:spacing w:before="0" w:after="0" w:line="400" w:lineRule="exact"/>
        <w:jc w:val="both"/>
        <w:rPr>
          <w:rFonts w:hint="eastAsia" w:ascii="宋体" w:hAnsi="宋体" w:eastAsia="宋体" w:cs="宋体"/>
          <w:color w:val="000000"/>
          <w:sz w:val="24"/>
          <w:szCs w:val="24"/>
          <w:lang w:eastAsia="zh-CN"/>
        </w:rPr>
      </w:pPr>
      <w:r>
        <w:rPr>
          <w:rFonts w:hint="eastAsia" w:ascii="宋体" w:hAnsi="宋体" w:eastAsia="宋体" w:cs="宋体"/>
          <w:b w:val="0"/>
          <w:sz w:val="24"/>
          <w:szCs w:val="24"/>
        </w:rPr>
        <w:t xml:space="preserve">    (1) “</w:t>
      </w:r>
      <w:r>
        <w:rPr>
          <w:rFonts w:hint="eastAsia" w:ascii="宋体" w:hAnsi="宋体" w:eastAsia="宋体" w:cs="宋体"/>
          <w:sz w:val="24"/>
          <w:szCs w:val="24"/>
        </w:rPr>
        <w:t>项目</w:t>
      </w:r>
      <w:r>
        <w:rPr>
          <w:rFonts w:hint="eastAsia" w:ascii="宋体" w:hAnsi="宋体" w:eastAsia="宋体" w:cs="宋体"/>
          <w:b w:val="0"/>
          <w:sz w:val="24"/>
          <w:szCs w:val="24"/>
        </w:rPr>
        <w:t>”是指</w:t>
      </w:r>
      <w:r>
        <w:rPr>
          <w:rFonts w:hint="eastAsia" w:ascii="宋体" w:hAnsi="宋体" w:eastAsia="宋体" w:cs="宋体"/>
          <w:sz w:val="24"/>
          <w:szCs w:val="24"/>
          <w:u w:val="single"/>
          <w:lang w:eastAsia="zh-CN"/>
        </w:rPr>
        <w:t>哈密市交通运输局2023年度服务中心公路工程检测项目</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(2) “</w:t>
      </w:r>
      <w:r>
        <w:rPr>
          <w:rFonts w:hint="eastAsia" w:ascii="宋体" w:hAnsi="宋体" w:eastAsia="宋体" w:cs="宋体"/>
          <w:sz w:val="24"/>
          <w:szCs w:val="24"/>
        </w:rPr>
        <w:t>服务</w:t>
      </w:r>
      <w:r>
        <w:rPr>
          <w:rFonts w:hint="eastAsia" w:ascii="宋体" w:hAnsi="宋体" w:eastAsia="宋体" w:cs="宋体"/>
          <w:b w:val="0"/>
          <w:sz w:val="24"/>
          <w:szCs w:val="24"/>
        </w:rPr>
        <w:t>”是指承包人根据试验检测合同所承担的工作，包括正常的服务和附加的服务。</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w:t>
      </w:r>
      <w:r>
        <w:rPr>
          <w:rFonts w:hint="eastAsia" w:ascii="宋体" w:hAnsi="宋体" w:eastAsia="宋体" w:cs="宋体"/>
          <w:sz w:val="24"/>
          <w:szCs w:val="24"/>
        </w:rPr>
        <w:t>正常的服务</w:t>
      </w:r>
      <w:r>
        <w:rPr>
          <w:rFonts w:hint="eastAsia" w:ascii="宋体" w:hAnsi="宋体" w:eastAsia="宋体" w:cs="宋体"/>
          <w:b w:val="0"/>
          <w:sz w:val="24"/>
          <w:szCs w:val="24"/>
        </w:rPr>
        <w:t>”是指本合同条款第2.2条规定的试验检测服务。</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w:t>
      </w:r>
      <w:r>
        <w:rPr>
          <w:rFonts w:hint="eastAsia" w:ascii="宋体" w:hAnsi="宋体" w:eastAsia="宋体" w:cs="宋体"/>
          <w:sz w:val="24"/>
          <w:szCs w:val="24"/>
        </w:rPr>
        <w:t>附加服务</w:t>
      </w:r>
      <w:r>
        <w:rPr>
          <w:rFonts w:hint="eastAsia" w:ascii="宋体" w:hAnsi="宋体" w:eastAsia="宋体" w:cs="宋体"/>
          <w:b w:val="0"/>
          <w:sz w:val="24"/>
          <w:szCs w:val="24"/>
        </w:rPr>
        <w:t>”是通过签订补充协议和根据本合同的规定，在合同规定的正常服务之外增加的试验检测服务。</w:t>
      </w:r>
    </w:p>
    <w:p>
      <w:pPr>
        <w:widowControl/>
        <w:spacing w:line="400" w:lineRule="exact"/>
        <w:rPr>
          <w:rFonts w:hint="eastAsia" w:ascii="宋体" w:hAnsi="宋体" w:eastAsia="宋体" w:cs="宋体"/>
          <w:sz w:val="24"/>
          <w:szCs w:val="24"/>
        </w:rPr>
      </w:pPr>
      <w:r>
        <w:rPr>
          <w:rFonts w:hint="eastAsia" w:ascii="宋体" w:hAnsi="宋体" w:eastAsia="宋体" w:cs="宋体"/>
          <w:sz w:val="24"/>
          <w:szCs w:val="24"/>
        </w:rPr>
        <w:t xml:space="preserve">    (3) “业主”是指本合同条款中指明的执行本建设项目投资计划的单位，或其指定的负责管理建设项目的代表机构，以及取得该当事人资格的合法继承人。本合同的业主为</w:t>
      </w:r>
      <w:r>
        <w:rPr>
          <w:rFonts w:hint="eastAsia" w:ascii="宋体" w:hAnsi="宋体" w:eastAsia="宋体" w:cs="宋体"/>
          <w:b/>
          <w:sz w:val="24"/>
          <w:szCs w:val="24"/>
          <w:u w:val="single"/>
          <w:lang w:eastAsia="zh-CN"/>
        </w:rPr>
        <w:t>哈密市交通运输局</w:t>
      </w:r>
      <w:r>
        <w:rPr>
          <w:rFonts w:hint="eastAsia" w:ascii="宋体" w:hAnsi="宋体" w:eastAsia="宋体" w:cs="宋体"/>
          <w:sz w:val="24"/>
          <w:szCs w:val="24"/>
        </w:rPr>
        <w:t>。</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(4) “承包人”是</w:t>
      </w:r>
      <w:r>
        <w:rPr>
          <w:rFonts w:hint="eastAsia" w:ascii="宋体" w:hAnsi="宋体" w:eastAsia="宋体" w:cs="宋体"/>
          <w:b w:val="0"/>
          <w:bCs/>
          <w:sz w:val="24"/>
          <w:szCs w:val="24"/>
        </w:rPr>
        <w:t>指其投标文件已为业主所接受，并与业主签订了合同协议书承担本标段试验检测服务的当事人，以及取得该当事人资格的合法继承人。本合同的承包人：本合同试验检测单位的中标人。</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(5)“一方”是指业主或承包人。</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bCs/>
          <w:sz w:val="24"/>
          <w:szCs w:val="24"/>
        </w:rPr>
        <w:t xml:space="preserve">    (6) </w:t>
      </w:r>
      <w:r>
        <w:rPr>
          <w:rFonts w:hint="eastAsia" w:ascii="宋体" w:hAnsi="宋体" w:eastAsia="宋体" w:cs="宋体"/>
          <w:b w:val="0"/>
          <w:sz w:val="24"/>
          <w:szCs w:val="24"/>
        </w:rPr>
        <w:t>“</w:t>
      </w:r>
      <w:r>
        <w:rPr>
          <w:rFonts w:hint="eastAsia" w:ascii="宋体" w:hAnsi="宋体" w:eastAsia="宋体" w:cs="宋体"/>
          <w:sz w:val="24"/>
          <w:szCs w:val="24"/>
        </w:rPr>
        <w:t>双方</w:t>
      </w:r>
      <w:r>
        <w:rPr>
          <w:rFonts w:hint="eastAsia" w:ascii="宋体" w:hAnsi="宋体" w:eastAsia="宋体" w:cs="宋体"/>
          <w:b w:val="0"/>
          <w:sz w:val="24"/>
          <w:szCs w:val="24"/>
        </w:rPr>
        <w:t>”是指业主和承包人。</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bCs/>
          <w:sz w:val="24"/>
          <w:szCs w:val="24"/>
        </w:rPr>
        <w:t xml:space="preserve">    (7)</w:t>
      </w:r>
      <w:r>
        <w:rPr>
          <w:rFonts w:hint="eastAsia" w:ascii="宋体" w:hAnsi="宋体" w:eastAsia="宋体" w:cs="宋体"/>
          <w:b w:val="0"/>
          <w:sz w:val="24"/>
          <w:szCs w:val="24"/>
        </w:rPr>
        <w:t>“</w:t>
      </w:r>
      <w:r>
        <w:rPr>
          <w:rFonts w:hint="eastAsia" w:ascii="宋体" w:hAnsi="宋体" w:eastAsia="宋体" w:cs="宋体"/>
          <w:b w:val="0"/>
          <w:bCs/>
          <w:sz w:val="24"/>
          <w:szCs w:val="24"/>
        </w:rPr>
        <w:t xml:space="preserve"> </w:t>
      </w:r>
      <w:r>
        <w:rPr>
          <w:rFonts w:hint="eastAsia" w:ascii="宋体" w:hAnsi="宋体" w:eastAsia="宋体" w:cs="宋体"/>
          <w:sz w:val="24"/>
          <w:szCs w:val="24"/>
        </w:rPr>
        <w:t>第三方</w:t>
      </w:r>
      <w:r>
        <w:rPr>
          <w:rFonts w:hint="eastAsia" w:ascii="宋体" w:hAnsi="宋体" w:eastAsia="宋体" w:cs="宋体"/>
          <w:b w:val="0"/>
          <w:sz w:val="24"/>
          <w:szCs w:val="24"/>
        </w:rPr>
        <w:t xml:space="preserve">”是指与业主签订工程承包合同的当事人。但根据上下文的内容，也可以是与项目实施有关的其他当事人。 </w:t>
      </w:r>
    </w:p>
    <w:p>
      <w:pPr>
        <w:pStyle w:val="37"/>
        <w:snapToGrid w:val="0"/>
        <w:spacing w:before="0" w:after="0" w:line="4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 xml:space="preserve">    (8)“项目负责人”是指承包人书面委任的负责执行本合同试验检测服务的组织管理者。</w:t>
      </w:r>
    </w:p>
    <w:p>
      <w:pPr>
        <w:pStyle w:val="37"/>
        <w:snapToGrid w:val="0"/>
        <w:spacing w:before="0" w:after="0" w:line="4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 xml:space="preserve">    (9)“施工单位”是指与业主签订工程项目施工承包合同的当事人。</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w:t>
      </w:r>
      <w:r>
        <w:rPr>
          <w:rFonts w:hint="eastAsia" w:ascii="宋体" w:hAnsi="宋体" w:eastAsia="宋体" w:cs="宋体"/>
          <w:b w:val="0"/>
          <w:bCs/>
          <w:sz w:val="24"/>
          <w:szCs w:val="24"/>
        </w:rPr>
        <w:t>(10)</w:t>
      </w:r>
      <w:r>
        <w:rPr>
          <w:rFonts w:hint="eastAsia" w:ascii="宋体" w:hAnsi="宋体" w:eastAsia="宋体" w:cs="宋体"/>
          <w:b w:val="0"/>
          <w:sz w:val="24"/>
          <w:szCs w:val="24"/>
        </w:rPr>
        <w:t>“</w:t>
      </w:r>
      <w:r>
        <w:rPr>
          <w:rFonts w:hint="eastAsia" w:ascii="宋体" w:hAnsi="宋体" w:eastAsia="宋体" w:cs="宋体"/>
          <w:sz w:val="24"/>
          <w:szCs w:val="24"/>
        </w:rPr>
        <w:t>合同</w:t>
      </w:r>
      <w:r>
        <w:rPr>
          <w:rFonts w:hint="eastAsia" w:ascii="宋体" w:hAnsi="宋体" w:eastAsia="宋体" w:cs="宋体"/>
          <w:b w:val="0"/>
          <w:sz w:val="24"/>
          <w:szCs w:val="24"/>
        </w:rPr>
        <w:t>”  是指合同协议书及附件、中标通知书、投标函、合同条款、财务建议书、投标文件附表、技术建议书、技术要求、双方签认的补充或修正文件以及双方签认的其他文件或附件。</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bCs/>
          <w:sz w:val="24"/>
          <w:szCs w:val="24"/>
        </w:rPr>
        <w:t>（11）</w:t>
      </w:r>
      <w:r>
        <w:rPr>
          <w:rFonts w:hint="eastAsia" w:ascii="宋体" w:hAnsi="宋体" w:eastAsia="宋体" w:cs="宋体"/>
          <w:b w:val="0"/>
          <w:sz w:val="24"/>
          <w:szCs w:val="24"/>
        </w:rPr>
        <w:t>“天” 是指日历日。</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（12）“现场”是指承包人为完成公路检测试验的场所。</w:t>
      </w:r>
    </w:p>
    <w:p>
      <w:pPr>
        <w:pStyle w:val="37"/>
        <w:tabs>
          <w:tab w:val="center" w:pos="4504"/>
          <w:tab w:val="left" w:pos="6975"/>
        </w:tabs>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承包人的</w:t>
      </w:r>
      <w:r>
        <w:rPr>
          <w:rFonts w:hint="eastAsia" w:ascii="宋体" w:hAnsi="宋体" w:eastAsia="宋体" w:cs="宋体"/>
          <w:sz w:val="24"/>
          <w:szCs w:val="24"/>
        </w:rPr>
        <w:t>义务</w:t>
      </w:r>
      <w:r>
        <w:rPr>
          <w:rFonts w:hint="eastAsia" w:ascii="宋体" w:hAnsi="宋体" w:eastAsia="宋体" w:cs="宋体"/>
          <w:b w:val="0"/>
          <w:sz w:val="24"/>
          <w:szCs w:val="24"/>
        </w:rPr>
        <w:t>与</w:t>
      </w:r>
      <w:r>
        <w:rPr>
          <w:rFonts w:hint="eastAsia" w:ascii="宋体" w:hAnsi="宋体" w:eastAsia="宋体" w:cs="宋体"/>
          <w:sz w:val="24"/>
          <w:szCs w:val="24"/>
        </w:rPr>
        <w:t>责任</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2.1承包人的职责</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(1) 承包人应本着精心组织、热情服务、一丝不苟的原则，根据合同的各项规定，严格执行国家和行业的标准、规范、规程和设计图纸，加强质量控制，履行试验检测服务，包括但不限于下列职责：</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a.根据合同要求按时完成合同规定的工作内容；</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b.客观、公正的开展施工过程中、交（竣）工验收质量检测及鉴定工作，不受任何干扰和影响，保证试验检测数据准确、有效；</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c.建立严密、完善、运行有效的质量保证体系。应按照有关规定对仪器设备进行正常维护，定期检定与校准；</w:t>
      </w:r>
    </w:p>
    <w:p>
      <w:pPr>
        <w:pStyle w:val="37"/>
        <w:snapToGrid w:val="0"/>
        <w:spacing w:before="0" w:after="0" w:line="400" w:lineRule="exact"/>
        <w:ind w:firstLine="480"/>
        <w:jc w:val="both"/>
        <w:rPr>
          <w:rFonts w:hint="eastAsia" w:ascii="宋体" w:hAnsi="宋体" w:eastAsia="宋体" w:cs="宋体"/>
          <w:b w:val="0"/>
          <w:sz w:val="24"/>
          <w:szCs w:val="24"/>
        </w:rPr>
      </w:pPr>
      <w:r>
        <w:rPr>
          <w:rFonts w:hint="eastAsia" w:ascii="宋体" w:hAnsi="宋体" w:eastAsia="宋体" w:cs="宋体"/>
          <w:b w:val="0"/>
          <w:sz w:val="24"/>
          <w:szCs w:val="24"/>
        </w:rPr>
        <w:t>d.重视科技进步，及时更新试验检测仪器设备，不断提高业务水平，建立健全档案制度，保证档案齐备，原始记录和试验报告内容必须清晰、完整、规范。</w:t>
      </w:r>
    </w:p>
    <w:p>
      <w:pPr>
        <w:pStyle w:val="37"/>
        <w:snapToGrid w:val="0"/>
        <w:spacing w:before="0" w:after="0" w:line="400" w:lineRule="exact"/>
        <w:ind w:firstLine="480"/>
        <w:jc w:val="both"/>
        <w:rPr>
          <w:rFonts w:hint="eastAsia" w:ascii="宋体" w:hAnsi="宋体" w:eastAsia="宋体" w:cs="宋体"/>
          <w:sz w:val="24"/>
          <w:szCs w:val="24"/>
        </w:rPr>
      </w:pPr>
      <w:r>
        <w:rPr>
          <w:rFonts w:hint="eastAsia" w:ascii="宋体" w:hAnsi="宋体" w:eastAsia="宋体" w:cs="宋体"/>
          <w:sz w:val="24"/>
          <w:szCs w:val="24"/>
        </w:rPr>
        <w:t>e.如标段内项目变更增加工程内容（如连接线、结构物等），不再单独进行招标，由中标检测单位实施完成变更增加工程的施工过程中、交（竣）工验收质量检测及鉴定工作，费用不再单独支付，已包含在填报的检测项目费用中。</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承包人应紧密结合本标段内工程的实际情况和和根据业主的指示，编制施工过程中、竣（交）工验收质量检测工作计划与实施方案，按委托方审查意见完善检测方案并严格按审查后的方案组织实施试验检测工作。</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（3）在试验检测过程中，承包人应随时分析各种检测数据，如发现异常数据或影响工程结构安全及使用功能的问题，应及时以书面形式向委托方反映，并进行书面记录。</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（4）在试验检测过程中，承包人应采取有效的安全环保措施。</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（5）项目完成后，承包人应按时提交各种检测数据和试验检测报告。</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2.2质量检测的范围</w:t>
      </w:r>
    </w:p>
    <w:p>
      <w:pPr>
        <w:pStyle w:val="194"/>
        <w:tabs>
          <w:tab w:val="left" w:pos="3045"/>
        </w:tabs>
        <w:spacing w:line="400" w:lineRule="exact"/>
        <w:rPr>
          <w:rFonts w:hint="eastAsia" w:ascii="宋体" w:hAnsi="宋体" w:eastAsia="宋体" w:cs="宋体"/>
          <w:b w:val="0"/>
          <w:sz w:val="24"/>
          <w:szCs w:val="24"/>
        </w:rPr>
      </w:pPr>
      <w:r>
        <w:rPr>
          <w:rFonts w:hint="eastAsia" w:ascii="宋体" w:hAnsi="宋体" w:eastAsia="宋体" w:cs="宋体"/>
          <w:b w:val="0"/>
          <w:sz w:val="24"/>
          <w:szCs w:val="24"/>
        </w:rPr>
        <w:t xml:space="preserve">    见招标公告</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2.3服务期：</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自合同签订日期至2023年12月31日。</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2.4试验检测服务的依据</w:t>
      </w:r>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承包人履行试验检测服务应以下列文件为依据：</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(1)合同文件（包括技术要求）；</w:t>
      </w:r>
    </w:p>
    <w:p>
      <w:pPr>
        <w:pStyle w:val="37"/>
        <w:snapToGrid w:val="0"/>
        <w:spacing w:before="0" w:after="0" w:line="400" w:lineRule="exact"/>
        <w:ind w:firstLine="480" w:firstLineChars="200"/>
        <w:jc w:val="both"/>
        <w:rPr>
          <w:rFonts w:hint="eastAsia" w:ascii="宋体" w:hAnsi="宋体" w:eastAsia="宋体" w:cs="宋体"/>
          <w:b w:val="0"/>
          <w:kern w:val="2"/>
          <w:sz w:val="24"/>
          <w:szCs w:val="24"/>
        </w:rPr>
      </w:pPr>
      <w:r>
        <w:rPr>
          <w:rFonts w:hint="eastAsia" w:ascii="宋体" w:hAnsi="宋体" w:eastAsia="宋体" w:cs="宋体"/>
          <w:b w:val="0"/>
          <w:kern w:val="2"/>
          <w:sz w:val="24"/>
          <w:szCs w:val="24"/>
        </w:rPr>
        <w:t>(2)国家及新疆维吾尔自治区有关标准、规范、规程、规定和设计图纸；</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kern w:val="2"/>
          <w:sz w:val="24"/>
          <w:szCs w:val="24"/>
        </w:rPr>
        <w:t>(3)合</w:t>
      </w:r>
      <w:r>
        <w:rPr>
          <w:rFonts w:hint="eastAsia" w:ascii="宋体" w:hAnsi="宋体" w:eastAsia="宋体" w:cs="宋体"/>
          <w:b w:val="0"/>
          <w:sz w:val="24"/>
          <w:szCs w:val="24"/>
        </w:rPr>
        <w:t>同规定的其它技术文件；</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2.5试验检测人员的资质</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承包人派驻到项目所在地履行试验检测服务的人员，应具备良好的素质和技术能力，能够承担本项目的相关工作，其主要人员的资历应得到委托方的认可。</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2.6</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承包人派驻到项目所在地履行试验检测服务的主要人员应与投标文件附表中报送的人员名单相一致。若承包人因工作安排或其它原因，需要更换履行试验检测服务的主要人员时，更换人员的资质不应低于原人员的资质，并应事先得到业主的批准。若未经业主批准，换项目负责人应交纳2万元/人次违约金，更换其余人员应缴纳0.5万元/人次违约金，违约金在履行担保金或试验检测服务费中扣除。</w:t>
      </w:r>
    </w:p>
    <w:p>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    (2)业主有权以书面形式要求承包人更换不能按照合同的规定履行试验检测服务的派驻人员。</w:t>
      </w:r>
    </w:p>
    <w:p>
      <w:pPr>
        <w:spacing w:line="400" w:lineRule="exact"/>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(3) 如果试验检测人员的增加是由于承包人履行附加服务所造成的，经业主确认后，业主将按照合同条款的有关规定给予补偿。</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2.7保险</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承包人应在试验检测服务期内，自费办理派驻到项目所在地人员人身和自备财产的有关保险，保险时间应满足合同规定的服务时间。出险后承包人应自行向保险公司办理索赔。如果承包人不办理上述保险，则应对有关风险及后果自负其责。</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2.8承包人自备的仪器、设备及设施</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承包人应安排合同文件中投标文件附表所列的用于本工程的测试、测量仪器和设备（含计算设备）等按时到达现场，不得拖延、短缺或任意更换。</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2.9保密</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承包人对试验检测成果及各种测试数据负有保密责任，承包人不得将检测数据和实验结果泄露给任何第三方。</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2.10履约担保</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承包人在收到中标通知书后14天内并在签订合同协议书之前，应向业主提交一份履约担保。担保金额为合同价格的</w:t>
      </w:r>
      <w:r>
        <w:rPr>
          <w:rFonts w:hint="eastAsia" w:ascii="宋体" w:hAnsi="宋体" w:eastAsia="宋体" w:cs="宋体"/>
          <w:b w:val="0"/>
          <w:sz w:val="24"/>
          <w:szCs w:val="24"/>
          <w:u w:val="single"/>
        </w:rPr>
        <w:t xml:space="preserve"> / </w:t>
      </w:r>
      <w:r>
        <w:rPr>
          <w:rFonts w:hint="eastAsia" w:ascii="宋体" w:hAnsi="宋体" w:eastAsia="宋体" w:cs="宋体"/>
          <w:b w:val="0"/>
          <w:sz w:val="24"/>
          <w:szCs w:val="24"/>
        </w:rPr>
        <w:t>%。履约担保采用现金担保形式。执行本条各项要求所需的费用由承包人承担。</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在承包人按合同要求完成试验检测服务之前，履约担保一直有效。在承包人向业主提交经审查验收的试验检测报告后30天内，业主将向承包人退还全部的履约担保。如果承包人无正当理由全部或部分不履行本合同时，业主有权根据具体情况没收全部或部分履约担保。</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业主的义务与责任</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3.1业主的保障责任</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业主应按合同有关规定及时支付承包人服务费；</w:t>
      </w:r>
    </w:p>
    <w:p>
      <w:pPr>
        <w:pStyle w:val="37"/>
        <w:snapToGrid w:val="0"/>
        <w:spacing w:before="0" w:after="0" w:line="400" w:lineRule="exact"/>
        <w:jc w:val="both"/>
        <w:rPr>
          <w:rFonts w:hint="eastAsia" w:ascii="宋体" w:hAnsi="宋体" w:eastAsia="宋体" w:cs="宋体"/>
          <w:sz w:val="24"/>
          <w:szCs w:val="24"/>
        </w:rPr>
      </w:pPr>
      <w:r>
        <w:rPr>
          <w:rFonts w:hint="eastAsia" w:ascii="宋体" w:hAnsi="宋体" w:eastAsia="宋体" w:cs="宋体"/>
          <w:sz w:val="24"/>
          <w:szCs w:val="24"/>
        </w:rPr>
        <w:t>合同生效、变更与终止</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4.1合同的生效</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合同生效的时间，以合同协议书上注明的时间为准。</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4.2合同的终止</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合同终止和失效的时间，按合同协议书上注明的方式确定。合同失效后，双方均不再受本合同的约束。</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4.3合同的变更</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(1)任何一方提出申请并经双方书面同意后，可对本合同进行变更。</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业主可书面要求，改变本合同规定的试验检测的形式、范围与内容，但必须在双方协商一致的基础上，按照本合同的规定进行变更。上述变更导致增加或减少的试验检测服务工作量，其有关的费用和服务时间亦应做相应的调整。</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 因业主或与项目实施有关的其他当事人，阻碍或延误了承包人履行试验检测服务，承包人应及时将该情况与其可能产生的影响书面通知业主，如有必要，在双方协商一致的基础上对试验检测合同进行相应的变更。</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费用与支付</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5.1</w:t>
      </w:r>
      <w:r>
        <w:rPr>
          <w:rFonts w:hint="eastAsia" w:ascii="宋体" w:hAnsi="宋体" w:eastAsia="宋体" w:cs="宋体"/>
          <w:b w:val="0"/>
          <w:color w:val="000000"/>
          <w:sz w:val="24"/>
          <w:szCs w:val="24"/>
        </w:rPr>
        <w:t>试验检测服务费用</w:t>
      </w:r>
    </w:p>
    <w:p>
      <w:pPr>
        <w:pStyle w:val="37"/>
        <w:snapToGrid w:val="0"/>
        <w:spacing w:before="0" w:after="0" w:line="400" w:lineRule="exact"/>
        <w:ind w:firstLine="480" w:firstLineChars="200"/>
        <w:jc w:val="both"/>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承包人为完成合同工作所需的全部办公及生活设施费、试验设施费（包括试验加载设备租赁费、租车台班费、运输费、称重费等）、交通费、通讯费、试验成果分析费、人员服务费、供水与供电设施费、搭设工作平台或支架、成果编制费等均由承包人承担，均包含在招标文件所列的检测费用中，业主不另行支付。</w:t>
      </w:r>
    </w:p>
    <w:p>
      <w:pPr>
        <w:pStyle w:val="37"/>
        <w:snapToGrid w:val="0"/>
        <w:spacing w:before="0" w:after="0" w:line="400" w:lineRule="exact"/>
        <w:ind w:firstLine="480" w:firstLineChars="200"/>
        <w:jc w:val="both"/>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承包人因完成本项目需缴纳的一切税费（包括但不限于承包人所在地、项目所在地等收取的各种税费）和各种公司取费（法定提留基金、上级管理费、法定利润等）均由承包人承担，均包含在招标文件所列的检测费用中。</w:t>
      </w:r>
    </w:p>
    <w:p>
      <w:pPr>
        <w:pStyle w:val="37"/>
        <w:snapToGrid w:val="0"/>
        <w:spacing w:before="0" w:after="0" w:line="400" w:lineRule="exact"/>
        <w:ind w:firstLine="480" w:firstLineChars="200"/>
        <w:jc w:val="both"/>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3、承包人编制的试验检测方案应通过专家评审，由此发生的评审费用包含在招标文件所列的检测费用中。</w:t>
      </w:r>
    </w:p>
    <w:p>
      <w:pPr>
        <w:pStyle w:val="37"/>
        <w:snapToGrid w:val="0"/>
        <w:spacing w:before="0" w:after="0" w:line="400" w:lineRule="exact"/>
        <w:ind w:firstLine="480" w:firstLineChars="200"/>
        <w:jc w:val="both"/>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4、本项目试验检测费用采取总价包干方式。在履行合同期间，业主对因物价变动或其它因素而导致的人工、材料及其它费用的增加不予补偿；合同价不随市场因素的变化而进行调整。</w:t>
      </w:r>
    </w:p>
    <w:p>
      <w:pPr>
        <w:pStyle w:val="37"/>
        <w:snapToGrid w:val="0"/>
        <w:spacing w:before="0" w:after="0" w:line="400" w:lineRule="exact"/>
        <w:ind w:firstLine="480" w:firstLineChars="200"/>
        <w:jc w:val="both"/>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5、承包人应根据实际检测项目及数量确定检测费用。</w:t>
      </w:r>
    </w:p>
    <w:p>
      <w:pPr>
        <w:pStyle w:val="37"/>
        <w:snapToGrid w:val="0"/>
        <w:spacing w:before="0" w:after="0" w:line="400" w:lineRule="exact"/>
        <w:ind w:firstLine="480" w:firstLineChars="200"/>
        <w:jc w:val="both"/>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6、由于专家评审或业主提出的额外增加的试验检测项目，费用另行协商确定。</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5.2</w:t>
      </w:r>
      <w:r>
        <w:rPr>
          <w:rFonts w:hint="eastAsia" w:ascii="宋体" w:hAnsi="宋体" w:eastAsia="宋体" w:cs="宋体"/>
          <w:sz w:val="24"/>
          <w:szCs w:val="24"/>
        </w:rPr>
        <w:t>试验检测服务费用的支付</w:t>
      </w:r>
    </w:p>
    <w:p>
      <w:pPr>
        <w:snapToGrid w:val="0"/>
        <w:spacing w:line="38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1、合同签订后，第一次检测结束并将检测报告交付甲方通过后支付50%；</w:t>
      </w:r>
    </w:p>
    <w:p>
      <w:pPr>
        <w:snapToGrid w:val="0"/>
        <w:spacing w:line="38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2、年底检测工作完成后并将检测报告交付甲方通过后付剩余50%。</w:t>
      </w:r>
    </w:p>
    <w:p>
      <w:pPr>
        <w:snapToGrid w:val="0"/>
        <w:spacing w:line="38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3、受托人必须向业主出具相应金额发票（发票备注需标注项目名称）。</w:t>
      </w:r>
    </w:p>
    <w:p>
      <w:pPr>
        <w:snapToGrid w:val="0"/>
        <w:spacing w:line="38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4、若委托方要求受托人提供附加服务，有关事宜双方协商解决。</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违约及处理</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6.1业主的违约</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在本合同履行过程中，业主下述行为属违约：</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（1）未按合同条款第5.2款规定支付试验检测服务费用。</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对上述的违约行为，业主应承担违约责任，具体赔偿办法如下：拖期付款按同期银行贷款利率予以补偿；</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（2）在项目执行过程中，业主无正当理由单方提出终止合同。</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 xml:space="preserve">    对上述的违约行为，业主应承担违约责任，具体赔偿办法如下：乙方可视项目执行情况和投入人力、财力的大小提出索赔。</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6.2承包人的违约</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（1）承包人将合同任务转包或分包的，经业主确认后有权中止合同并没收履约担保；</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（2）承包人的人员、设备未能按合同规定及时到位并开展工作；</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（3）承包人未按照国家或行业现行的标准、规范、规程和设计图纸及业主审批的试验方案进行试验检测；</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（4）试验检测数据不准确，不能有效反映工程质量的实际情况；</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（5）合同执行期间，承包人人员不能胜任本职工作，而承包人又不能按业主要求及时更换；</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（6）承包人具有数据造假行为；</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（7）承包人人员严重失职造成重大工程事故，给业主造成损失；</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（8）承包人未按时完成试验检测服务；</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（9）承包人违反本合同的其他规定。</w:t>
      </w:r>
    </w:p>
    <w:p>
      <w:pPr>
        <w:pStyle w:val="37"/>
        <w:snapToGrid w:val="0"/>
        <w:spacing w:before="0" w:after="0" w:line="40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发现上述违约责任之一，经业主确认后有权拒绝支付检测费用和单方终止合同。</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争议的解决</w:t>
      </w:r>
    </w:p>
    <w:p>
      <w:pPr>
        <w:pStyle w:val="37"/>
        <w:snapToGrid w:val="0"/>
        <w:spacing w:before="0" w:after="0" w:line="400" w:lineRule="exact"/>
        <w:jc w:val="both"/>
        <w:rPr>
          <w:rFonts w:hint="eastAsia" w:ascii="宋体" w:hAnsi="宋体" w:eastAsia="宋体" w:cs="宋体"/>
          <w:b w:val="0"/>
          <w:sz w:val="24"/>
          <w:szCs w:val="24"/>
        </w:rPr>
      </w:pPr>
      <w:r>
        <w:rPr>
          <w:rFonts w:hint="eastAsia" w:ascii="宋体" w:hAnsi="宋体" w:eastAsia="宋体" w:cs="宋体"/>
          <w:b w:val="0"/>
          <w:sz w:val="24"/>
          <w:szCs w:val="24"/>
        </w:rPr>
        <w:t>7.1争议的解决</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发生争议，由当事人双方协商解决，若经过协商或调解仍不能达成一致时，任何一方均可向哈密市仲裁委员会提请仲裁。该裁决具有最终法律效力，对双方均有约束力。仲裁费用应由败诉方承担，或按仲裁机关裁决的比例分担。</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（2）在争议的协商、调解、仲裁或起诉的过程中，双方仍应继续承担合同约定的各自的责任和义务，保证工程建设的正常进行。</w:t>
      </w:r>
    </w:p>
    <w:p>
      <w:pPr>
        <w:spacing w:line="400" w:lineRule="exact"/>
        <w:rPr>
          <w:rFonts w:hint="eastAsia" w:ascii="宋体" w:hAnsi="宋体" w:eastAsia="宋体" w:cs="宋体"/>
          <w:b/>
          <w:sz w:val="24"/>
          <w:szCs w:val="24"/>
        </w:rPr>
      </w:pPr>
    </w:p>
    <w:p>
      <w:pPr>
        <w:spacing w:line="400" w:lineRule="atLeast"/>
        <w:rPr>
          <w:rFonts w:hint="eastAsia" w:ascii="宋体" w:hAnsi="宋体" w:eastAsia="宋体" w:cs="宋体"/>
          <w:sz w:val="24"/>
          <w:szCs w:val="24"/>
        </w:rPr>
      </w:pPr>
    </w:p>
    <w:p>
      <w:pPr>
        <w:spacing w:line="600" w:lineRule="exact"/>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合同协议书格式</w:t>
      </w:r>
    </w:p>
    <w:p>
      <w:pPr>
        <w:spacing w:line="600" w:lineRule="exact"/>
        <w:jc w:val="center"/>
        <w:rPr>
          <w:rFonts w:hint="eastAsia" w:ascii="宋体" w:hAnsi="宋体" w:eastAsia="宋体" w:cs="宋体"/>
          <w:b/>
          <w:sz w:val="24"/>
          <w:szCs w:val="24"/>
        </w:rPr>
      </w:pPr>
      <w:r>
        <w:rPr>
          <w:rFonts w:hint="eastAsia" w:ascii="宋体" w:hAnsi="宋体" w:eastAsia="宋体" w:cs="宋体"/>
          <w:b/>
          <w:sz w:val="24"/>
          <w:szCs w:val="24"/>
        </w:rPr>
        <w:t>技术服务（检测）合同</w:t>
      </w:r>
    </w:p>
    <w:p>
      <w:pPr>
        <w:spacing w:line="400" w:lineRule="atLeast"/>
        <w:rPr>
          <w:rFonts w:hint="eastAsia" w:ascii="宋体" w:hAnsi="宋体" w:eastAsia="宋体" w:cs="宋体"/>
          <w:b/>
          <w:sz w:val="24"/>
          <w:szCs w:val="24"/>
        </w:rPr>
      </w:pPr>
    </w:p>
    <w:p>
      <w:pPr>
        <w:spacing w:line="400" w:lineRule="atLeast"/>
        <w:rPr>
          <w:rFonts w:hint="eastAsia" w:ascii="宋体" w:hAnsi="宋体" w:eastAsia="宋体" w:cs="宋体"/>
          <w:b/>
          <w:sz w:val="24"/>
          <w:szCs w:val="24"/>
        </w:rPr>
      </w:pPr>
    </w:p>
    <w:p>
      <w:pPr>
        <w:spacing w:line="400" w:lineRule="atLeast"/>
        <w:rPr>
          <w:rFonts w:hint="eastAsia" w:ascii="宋体" w:hAnsi="宋体" w:eastAsia="宋体" w:cs="宋体"/>
          <w:b/>
          <w:sz w:val="24"/>
          <w:szCs w:val="24"/>
        </w:rPr>
      </w:pPr>
    </w:p>
    <w:p>
      <w:pPr>
        <w:spacing w:line="400" w:lineRule="atLeast"/>
        <w:rPr>
          <w:rFonts w:hint="eastAsia" w:ascii="宋体" w:hAnsi="宋体" w:eastAsia="宋体" w:cs="宋体"/>
          <w:b/>
          <w:sz w:val="24"/>
          <w:szCs w:val="24"/>
        </w:rPr>
      </w:pPr>
    </w:p>
    <w:p>
      <w:pPr>
        <w:spacing w:line="400" w:lineRule="atLeast"/>
        <w:rPr>
          <w:rFonts w:hint="eastAsia" w:ascii="宋体" w:hAnsi="宋体" w:eastAsia="宋体" w:cs="宋体"/>
          <w:b/>
          <w:sz w:val="24"/>
          <w:szCs w:val="24"/>
        </w:rPr>
      </w:pPr>
    </w:p>
    <w:p>
      <w:pPr>
        <w:spacing w:line="400" w:lineRule="atLeast"/>
        <w:jc w:val="center"/>
        <w:rPr>
          <w:rFonts w:hint="eastAsia" w:ascii="宋体" w:hAnsi="宋体" w:eastAsia="宋体" w:cs="宋体"/>
          <w:color w:val="FFFFFF"/>
          <w:sz w:val="24"/>
          <w:szCs w:val="24"/>
          <w:u w:val="single"/>
        </w:rPr>
      </w:pPr>
      <w:r>
        <w:rPr>
          <w:rFonts w:hint="eastAsia" w:ascii="宋体" w:hAnsi="宋体" w:eastAsia="宋体" w:cs="宋体"/>
          <w:sz w:val="24"/>
          <w:szCs w:val="24"/>
        </w:rPr>
        <w:t>甲  方：</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color w:val="FFFFFF"/>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color w:val="FFFFFF"/>
          <w:sz w:val="24"/>
          <w:szCs w:val="24"/>
          <w:u w:val="single"/>
        </w:rPr>
      </w:pPr>
      <w:r>
        <w:rPr>
          <w:rFonts w:hint="eastAsia" w:ascii="宋体" w:hAnsi="宋体" w:eastAsia="宋体" w:cs="宋体"/>
          <w:sz w:val="24"/>
          <w:szCs w:val="24"/>
        </w:rPr>
        <w:t>住所地：</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jc w:val="center"/>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u w:val="single"/>
        </w:rPr>
        <w:t>及</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为了做好</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；……）共</w:t>
      </w:r>
      <w:r>
        <w:rPr>
          <w:rFonts w:hint="eastAsia" w:ascii="宋体" w:hAnsi="宋体" w:eastAsia="宋体" w:cs="宋体"/>
          <w:sz w:val="24"/>
          <w:szCs w:val="24"/>
          <w:u w:val="single"/>
        </w:rPr>
        <w:t xml:space="preserve">    个</w:t>
      </w:r>
      <w:r>
        <w:rPr>
          <w:rFonts w:hint="eastAsia" w:ascii="宋体" w:hAnsi="宋体" w:eastAsia="宋体" w:cs="宋体"/>
          <w:sz w:val="24"/>
          <w:szCs w:val="24"/>
        </w:rPr>
        <w:t>项目的质量检测工作，根据《公路工程竣（交）工验收办法》（交通部令2004年第3号）、《关于印发公路工程竣（交）工验收办法实施细则的通知》（交公路发[2010]65号）及《公路工程基本建设项目概算预算编制办法》（JTG B06-2007）的要求，甲方通过对</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共</w:t>
      </w:r>
      <w:r>
        <w:rPr>
          <w:rFonts w:hint="eastAsia" w:ascii="宋体" w:hAnsi="宋体" w:eastAsia="宋体" w:cs="宋体"/>
          <w:sz w:val="24"/>
          <w:szCs w:val="24"/>
          <w:u w:val="single"/>
        </w:rPr>
        <w:t xml:space="preserve">    个</w:t>
      </w:r>
      <w:r>
        <w:rPr>
          <w:rFonts w:hint="eastAsia" w:ascii="宋体" w:hAnsi="宋体" w:eastAsia="宋体" w:cs="宋体"/>
          <w:sz w:val="24"/>
          <w:szCs w:val="24"/>
        </w:rPr>
        <w:t>工程的招标，确定了乙方为中标单位，需完成项目施工过程中、竣（交）工前质量检测工作的技术服务工作，甲方根据协议支付相应的技术服务报酬。</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双方经过平等协商，在真实、充分地表达各自意愿的基础上，根据《中华人民共和国合同法》的规定，达成如下协议，并由双方共同恪守。</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第一条  本合同技术服务的要求如下：</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本次施工过程中、交工验收检测工作应根据合同文件、施工图纸、国家相关主管部门现行的技术标准、规范的有关规定履行试验检测服务。</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1.技术服务要求</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按照交通运输部《公路工程质量鉴定办法》（交公路发[2004]446号文）和《公路工程竣（交）工验收办法实施细则》（交公路发[2010]65号）及《公路管理局公路工程交工验收前工程质量审定工作须知》规定的检测频率及抽查项目对</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共</w:t>
      </w:r>
      <w:r>
        <w:rPr>
          <w:rFonts w:hint="eastAsia" w:ascii="宋体" w:hAnsi="宋体" w:eastAsia="宋体" w:cs="宋体"/>
          <w:sz w:val="24"/>
          <w:szCs w:val="24"/>
          <w:u w:val="single"/>
        </w:rPr>
        <w:t xml:space="preserve">    个</w:t>
      </w:r>
      <w:r>
        <w:rPr>
          <w:rFonts w:hint="eastAsia" w:ascii="宋体" w:hAnsi="宋体" w:eastAsia="宋体" w:cs="宋体"/>
          <w:sz w:val="24"/>
          <w:szCs w:val="24"/>
        </w:rPr>
        <w:t>工程进行工程实体检测和外观评述，并保证数据真实可信。</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第二条  乙方应按下列进度完成本项目工作</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1、检测人员于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日开展试验检测外业工作，共计检测时间</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日之前完成所有外业检测工作。</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2、乙方在检测中发生的相关费用（仪器设备使用费、车辆使用费、差旅费、食宿费等）自行承担。</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日前向</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lang w:eastAsia="zh-CN"/>
        </w:rPr>
        <w:t>哈密市交通运输局</w:t>
      </w:r>
      <w:r>
        <w:rPr>
          <w:rFonts w:hint="eastAsia" w:ascii="宋体" w:hAnsi="宋体" w:eastAsia="宋体" w:cs="宋体"/>
          <w:sz w:val="24"/>
          <w:szCs w:val="24"/>
          <w:u w:val="single"/>
        </w:rPr>
        <w:t xml:space="preserve"> </w:t>
      </w:r>
      <w:r>
        <w:rPr>
          <w:rFonts w:hint="eastAsia" w:ascii="宋体" w:hAnsi="宋体" w:eastAsia="宋体" w:cs="宋体"/>
          <w:sz w:val="24"/>
          <w:szCs w:val="24"/>
        </w:rPr>
        <w:t>提交检测资料及经专家评审合格的最终检测报告。</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第三条   甲方应向乙方提供的技术资料及协作事项如下：</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1.甲方在合同签订后5日内应向乙方提供本项目设计、施工、监理、科研等相关技术资料，以利乙方试验检测工作的进行；</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2.其它合作事项：</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①本项目开展过程中需多方密切配合。因此，为确保试验正常、顺利进行，由甲方负责协助各方面的协调工作；</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②甲方协助乙方进行试验检测时临时交通组织等相关事宜；</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③乙方应该注意试验期间的安全问题、发生的安全事故由乙方承担；</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④本合同履行完毕后，上述技术资料由甲方保留。</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第四条   按以下方式支付施工过程中、竣（交）工验收试验检测费：</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（1）以上</w:t>
      </w:r>
      <w:r>
        <w:rPr>
          <w:rFonts w:hint="eastAsia" w:ascii="宋体" w:hAnsi="宋体" w:eastAsia="宋体" w:cs="宋体"/>
          <w:sz w:val="24"/>
          <w:szCs w:val="24"/>
          <w:u w:val="single"/>
        </w:rPr>
        <w:t xml:space="preserve">    </w:t>
      </w:r>
      <w:r>
        <w:rPr>
          <w:rFonts w:hint="eastAsia" w:ascii="宋体" w:hAnsi="宋体" w:eastAsia="宋体" w:cs="宋体"/>
          <w:sz w:val="24"/>
          <w:szCs w:val="24"/>
        </w:rPr>
        <w:t>的施工过程中、交（竣）工验收试验检测费合计金额为</w:t>
      </w:r>
      <w:r>
        <w:rPr>
          <w:rFonts w:hint="eastAsia" w:ascii="宋体" w:hAnsi="宋体" w:eastAsia="宋体" w:cs="宋体"/>
          <w:b/>
          <w:sz w:val="24"/>
          <w:szCs w:val="24"/>
          <w:u w:val="single"/>
        </w:rPr>
        <w:t>￥   元（    ）</w:t>
      </w:r>
      <w:r>
        <w:rPr>
          <w:rFonts w:hint="eastAsia" w:ascii="宋体" w:hAnsi="宋体" w:eastAsia="宋体" w:cs="宋体"/>
          <w:b/>
          <w:sz w:val="24"/>
          <w:szCs w:val="24"/>
        </w:rPr>
        <w:t>，</w:t>
      </w:r>
      <w:r>
        <w:rPr>
          <w:rFonts w:hint="eastAsia" w:ascii="宋体" w:hAnsi="宋体" w:eastAsia="宋体" w:cs="宋体"/>
          <w:sz w:val="24"/>
          <w:szCs w:val="24"/>
        </w:rPr>
        <w:t>乙方完成以上施工过程中、竣（交）工合并进行项目的质量检测并完成施工过程中、竣工验收后，第一次检测结束并将检测报告交付甲方通过后支付50%；年底检测工作完成后并将检测报告交付甲方通过后付剩余50%。</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乙方开户银行名称和账号为：</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单位名称：</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pPr>
        <w:spacing w:line="4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第五条  本合同的变更必须由双方协商一致，并以书面形式确定。但有下列情形之一者，一方可以向另一方提出变更合同权利与义务的请求，另一方应该当在7日予以答复，逾期未予答复的，视为同意。</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第六条   双方确定以下列标准和方式对乙方的技术服务工作成果进行验收：</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1.乙方完成技术服务工作的形式：按合同内容完成该项目的各项工作，并向甲方提供检测报告四份；</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2.技术服务工作成果的验收标准：按国家相关规定执行；</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3.验收的时间和地点：项目所在地。</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第七条  乙方利用研究技术服务经费所购置与技术服务工作有关的设备、器材、材料等财产，归乙方所有。</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第八条  双方确定，在本合同有效期内，甲方利用乙方提交的技术服务工作成果所完成的新的技术成果，归双方所有。</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在本合同有效期内，乙方利用甲方提交的技术资料和工作条件所完成的新的技术成果，归 双方所有。</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第九条   双方确定，在本合同有效期内，甲方指定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为甲方项目联系人，乙方指定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为乙方项目联系人。项目联系人承担以下责任：</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1.负责各方在现场的配合工作；</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2.负责定期向对方沟通试验检测工作的完成进度及有关情况；</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3.负责协调解决试验检测期间出现的相关问题。</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一方变更项目联系人，应当及时以书面形式通知另一方。</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第十条  乙方现场工作安排</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乙方应根据甲方要求，在现场成立质量检测组，并下设路基小组、路面小组、桥涵结构物小组、外观质量检查小组、内业资料审查、数据处理小组和资料整理小组。各小组由具有中级以上技术职称、并取得交通运输部公路检测工程师证书的专业技术人员负责。为保证工期要求，各小组工作应同步进行，并随时接受甲方的监督和指导。</w:t>
      </w:r>
    </w:p>
    <w:p>
      <w:pPr>
        <w:spacing w:line="400" w:lineRule="atLeast"/>
        <w:ind w:firstLine="408"/>
        <w:rPr>
          <w:rFonts w:hint="eastAsia" w:ascii="宋体" w:hAnsi="宋体" w:eastAsia="宋体" w:cs="宋体"/>
          <w:b/>
          <w:sz w:val="24"/>
          <w:szCs w:val="24"/>
        </w:rPr>
      </w:pPr>
      <w:r>
        <w:rPr>
          <w:rFonts w:hint="eastAsia" w:ascii="宋体" w:hAnsi="宋体" w:eastAsia="宋体" w:cs="宋体"/>
          <w:b/>
          <w:sz w:val="24"/>
          <w:szCs w:val="24"/>
        </w:rPr>
        <w:t>2、甲方和乙方在合同签订之前，乙方必须按照甲方要求在哈密设置驻地试验室，如乙方不能满足甲方的要求，甲方应取消其中标资格，驻地试验室的设备不满足现场实际工作需要，乙方应无条件增加相关设备，并自行承担相关费用。</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第十一条   双方确定：任何一方违反本合同约定，造成技术工作停滞、延误或失败的，按以下约定承担违约责任：</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1.因甲方原因致使本合同无法执行，应当支付乙方所完成工作量的费用。</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2.因乙方原因致使本合同无法执行，应当返还甲方已拨付费用，并承担总合同价10%的违约金。</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第十二条   双方因履行本合同而发生的争议，应协商、调解解决。协商、调解不成的，确定按以下第一种方式处理：</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1.提交哈密市仲裁委员会仲裁；</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2.依法向人民法院起诉。</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第十三条   双方确定：本合同及相关附件中所涉及的有关名词和技术术语，其定义和解释如下：</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1.参见相关规范、规程、技术标准。</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第十四条   与履行本合同有关的下列技术文件，经双方以协商方式确认后，为本合同的组成部分：</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1.技术背景资料：</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的设计、施工图纸；</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2.技术标准和规范：国家现行颁布的技术规范、标准。</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第十五条   本合同一式</w:t>
      </w:r>
      <w:r>
        <w:rPr>
          <w:rFonts w:hint="eastAsia" w:ascii="宋体" w:hAnsi="宋体" w:eastAsia="宋体" w:cs="宋体"/>
          <w:sz w:val="24"/>
          <w:szCs w:val="24"/>
          <w:u w:val="single"/>
        </w:rPr>
        <w:t>八</w:t>
      </w:r>
      <w:r>
        <w:rPr>
          <w:rFonts w:hint="eastAsia" w:ascii="宋体" w:hAnsi="宋体" w:eastAsia="宋体" w:cs="宋体"/>
          <w:sz w:val="24"/>
          <w:szCs w:val="24"/>
        </w:rPr>
        <w:t>份，正本</w:t>
      </w:r>
      <w:r>
        <w:rPr>
          <w:rFonts w:hint="eastAsia" w:ascii="宋体" w:hAnsi="宋体" w:eastAsia="宋体" w:cs="宋体"/>
          <w:sz w:val="24"/>
          <w:szCs w:val="24"/>
          <w:u w:val="single"/>
        </w:rPr>
        <w:t>两</w:t>
      </w:r>
      <w:r>
        <w:rPr>
          <w:rFonts w:hint="eastAsia" w:ascii="宋体" w:hAnsi="宋体" w:eastAsia="宋体" w:cs="宋体"/>
          <w:sz w:val="24"/>
          <w:szCs w:val="24"/>
        </w:rPr>
        <w:t>份，双方各执</w:t>
      </w:r>
      <w:r>
        <w:rPr>
          <w:rFonts w:hint="eastAsia" w:ascii="宋体" w:hAnsi="宋体" w:eastAsia="宋体" w:cs="宋体"/>
          <w:sz w:val="24"/>
          <w:szCs w:val="24"/>
          <w:u w:val="single"/>
        </w:rPr>
        <w:t>一</w:t>
      </w:r>
      <w:r>
        <w:rPr>
          <w:rFonts w:hint="eastAsia" w:ascii="宋体" w:hAnsi="宋体" w:eastAsia="宋体" w:cs="宋体"/>
          <w:sz w:val="24"/>
          <w:szCs w:val="24"/>
        </w:rPr>
        <w:t>份，副本</w:t>
      </w:r>
      <w:r>
        <w:rPr>
          <w:rFonts w:hint="eastAsia" w:ascii="宋体" w:hAnsi="宋体" w:eastAsia="宋体" w:cs="宋体"/>
          <w:sz w:val="24"/>
          <w:szCs w:val="24"/>
          <w:u w:val="single"/>
        </w:rPr>
        <w:t>六</w:t>
      </w:r>
      <w:r>
        <w:rPr>
          <w:rFonts w:hint="eastAsia" w:ascii="宋体" w:hAnsi="宋体" w:eastAsia="宋体" w:cs="宋体"/>
          <w:sz w:val="24"/>
          <w:szCs w:val="24"/>
        </w:rPr>
        <w:t>份，其中甲方</w:t>
      </w:r>
      <w:r>
        <w:rPr>
          <w:rFonts w:hint="eastAsia" w:ascii="宋体" w:hAnsi="宋体" w:eastAsia="宋体" w:cs="宋体"/>
          <w:sz w:val="24"/>
          <w:szCs w:val="24"/>
          <w:u w:val="single"/>
        </w:rPr>
        <w:t>四</w:t>
      </w:r>
      <w:r>
        <w:rPr>
          <w:rFonts w:hint="eastAsia" w:ascii="宋体" w:hAnsi="宋体" w:eastAsia="宋体" w:cs="宋体"/>
          <w:sz w:val="24"/>
          <w:szCs w:val="24"/>
        </w:rPr>
        <w:t>份，乙方</w:t>
      </w:r>
      <w:r>
        <w:rPr>
          <w:rFonts w:hint="eastAsia" w:ascii="宋体" w:hAnsi="宋体" w:eastAsia="宋体" w:cs="宋体"/>
          <w:sz w:val="24"/>
          <w:szCs w:val="24"/>
          <w:u w:val="single"/>
        </w:rPr>
        <w:t>两</w:t>
      </w:r>
      <w:r>
        <w:rPr>
          <w:rFonts w:hint="eastAsia" w:ascii="宋体" w:hAnsi="宋体" w:eastAsia="宋体" w:cs="宋体"/>
          <w:sz w:val="24"/>
          <w:szCs w:val="24"/>
        </w:rPr>
        <w:t>份，具有同等法律效力。</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第十六条   本合同经双方签字盖章后生效。</w:t>
      </w:r>
    </w:p>
    <w:p>
      <w:pPr>
        <w:spacing w:line="400" w:lineRule="atLeast"/>
        <w:ind w:firstLine="408"/>
        <w:rPr>
          <w:rFonts w:hint="eastAsia" w:ascii="宋体" w:hAnsi="宋体" w:eastAsia="宋体" w:cs="宋体"/>
          <w:sz w:val="24"/>
          <w:szCs w:val="24"/>
        </w:rPr>
      </w:pPr>
      <w:r>
        <w:rPr>
          <w:rFonts w:hint="eastAsia" w:ascii="宋体" w:hAnsi="宋体" w:eastAsia="宋体" w:cs="宋体"/>
          <w:sz w:val="24"/>
          <w:szCs w:val="24"/>
        </w:rPr>
        <w:t>第十七条   本合同在乙方完成规范的试验检测内容、提交正式报告并通过施工过程中、竣验，甲方支付相关费用后终止。</w:t>
      </w:r>
    </w:p>
    <w:p>
      <w:pPr>
        <w:spacing w:line="400" w:lineRule="atLeast"/>
        <w:ind w:firstLine="408"/>
        <w:rPr>
          <w:rFonts w:hint="eastAsia" w:ascii="宋体" w:hAnsi="宋体" w:eastAsia="宋体" w:cs="宋体"/>
          <w:sz w:val="24"/>
          <w:szCs w:val="24"/>
        </w:rPr>
      </w:pPr>
    </w:p>
    <w:p>
      <w:pPr>
        <w:spacing w:line="400" w:lineRule="atLeast"/>
        <w:ind w:firstLine="408"/>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（盖章）</w:t>
      </w:r>
    </w:p>
    <w:p>
      <w:pPr>
        <w:spacing w:line="400" w:lineRule="atLeast"/>
        <w:ind w:firstLine="408"/>
        <w:rPr>
          <w:rFonts w:hint="eastAsia" w:ascii="宋体" w:hAnsi="宋体" w:eastAsia="宋体" w:cs="宋体"/>
          <w:sz w:val="24"/>
          <w:szCs w:val="24"/>
          <w:u w:val="single"/>
        </w:rPr>
      </w:pPr>
      <w:r>
        <w:rPr>
          <w:rFonts w:hint="eastAsia" w:ascii="宋体" w:hAnsi="宋体" w:eastAsia="宋体" w:cs="宋体"/>
          <w:sz w:val="24"/>
          <w:szCs w:val="24"/>
        </w:rPr>
        <w:t>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spacing w:line="400" w:lineRule="atLeast"/>
        <w:ind w:firstLine="4560" w:firstLineChars="1900"/>
        <w:rPr>
          <w:rFonts w:hint="eastAsia" w:ascii="宋体" w:hAnsi="宋体" w:eastAsia="宋体" w:cs="宋体"/>
          <w:sz w:val="24"/>
          <w:szCs w:val="24"/>
        </w:rPr>
      </w:pPr>
      <w:r>
        <w:rPr>
          <w:rFonts w:hint="eastAsia" w:ascii="宋体" w:hAnsi="宋体" w:eastAsia="宋体" w:cs="宋体"/>
          <w:sz w:val="24"/>
          <w:szCs w:val="24"/>
        </w:rPr>
        <w:t>年    月     日</w:t>
      </w:r>
    </w:p>
    <w:p>
      <w:pPr>
        <w:spacing w:line="400" w:lineRule="atLeast"/>
        <w:ind w:firstLine="408"/>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（盖章）</w:t>
      </w:r>
    </w:p>
    <w:p>
      <w:pPr>
        <w:spacing w:line="400" w:lineRule="atLeast"/>
        <w:ind w:firstLine="408"/>
        <w:rPr>
          <w:rFonts w:hint="eastAsia" w:ascii="宋体" w:hAnsi="宋体" w:eastAsia="宋体" w:cs="宋体"/>
          <w:sz w:val="24"/>
          <w:szCs w:val="24"/>
          <w:u w:val="single"/>
        </w:rPr>
      </w:pPr>
      <w:r>
        <w:rPr>
          <w:rFonts w:hint="eastAsia" w:ascii="宋体" w:hAnsi="宋体" w:eastAsia="宋体" w:cs="宋体"/>
          <w:sz w:val="24"/>
          <w:szCs w:val="24"/>
        </w:rPr>
        <w:t>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spacing w:line="400" w:lineRule="atLeast"/>
        <w:ind w:firstLine="4560" w:firstLineChars="1900"/>
        <w:rPr>
          <w:rFonts w:hint="eastAsia" w:ascii="宋体" w:hAnsi="宋体" w:eastAsia="宋体" w:cs="宋体"/>
          <w:sz w:val="24"/>
          <w:szCs w:val="24"/>
        </w:rPr>
      </w:pPr>
      <w:r>
        <w:rPr>
          <w:rFonts w:hint="eastAsia" w:ascii="宋体" w:hAnsi="宋体" w:eastAsia="宋体" w:cs="宋体"/>
          <w:sz w:val="24"/>
          <w:szCs w:val="24"/>
        </w:rPr>
        <w:t>年    月     日</w:t>
      </w:r>
    </w:p>
    <w:p>
      <w:pPr>
        <w:spacing w:line="400" w:lineRule="atLeast"/>
        <w:ind w:firstLine="4560" w:firstLineChars="1900"/>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附件一</w:t>
      </w:r>
    </w:p>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廉 政 合 同</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为做好交通建设工程项目中的党风廉政工作，保证工程优质、干部廉洁和资金安全，根据中共中央、国务院《关于实行党风廉政建设责任制的规定》、交通运输部《关于在交通基础设施建设中加强廉政建设的若干意见》和《新疆维吾尔自治区交通系统公路基础设施建设廉政规定（试行）》以及有关工程建设、廉政建设等有关规定，</w:t>
      </w:r>
      <w:r>
        <w:rPr>
          <w:rFonts w:hint="eastAsia" w:ascii="宋体" w:hAnsi="宋体" w:eastAsia="宋体" w:cs="宋体"/>
          <w:bCs/>
          <w:sz w:val="24"/>
          <w:szCs w:val="24"/>
          <w:u w:val="single"/>
        </w:rPr>
        <w:t>（项目名称）</w:t>
      </w:r>
      <w:r>
        <w:rPr>
          <w:rFonts w:hint="eastAsia" w:ascii="宋体" w:hAnsi="宋体" w:eastAsia="宋体" w:cs="宋体"/>
          <w:bCs/>
          <w:sz w:val="24"/>
          <w:szCs w:val="24"/>
        </w:rPr>
        <w:t>的项目法人（项目法人名称，以下简称“发包人”）与检测单位（检测单位，以下简称“承包人”），特订立如下合同。</w:t>
      </w:r>
    </w:p>
    <w:p>
      <w:pPr>
        <w:spacing w:line="440" w:lineRule="exact"/>
        <w:outlineLvl w:val="2"/>
        <w:rPr>
          <w:rFonts w:hint="eastAsia" w:ascii="宋体" w:hAnsi="宋体" w:eastAsia="宋体" w:cs="宋体"/>
          <w:bCs/>
          <w:sz w:val="24"/>
          <w:szCs w:val="24"/>
        </w:rPr>
      </w:pPr>
      <w:bookmarkStart w:id="263" w:name="_Toc30130"/>
      <w:r>
        <w:rPr>
          <w:rFonts w:hint="eastAsia" w:ascii="宋体" w:hAnsi="宋体" w:eastAsia="宋体" w:cs="宋体"/>
          <w:b/>
          <w:bCs/>
          <w:sz w:val="24"/>
          <w:szCs w:val="24"/>
        </w:rPr>
        <w:t>第一条</w:t>
      </w:r>
      <w:r>
        <w:rPr>
          <w:rFonts w:hint="eastAsia" w:ascii="宋体" w:hAnsi="宋体" w:eastAsia="宋体" w:cs="宋体"/>
          <w:bCs/>
          <w:sz w:val="24"/>
          <w:szCs w:val="24"/>
        </w:rPr>
        <w:t>　发包人和承包人双方的权利及义务</w:t>
      </w:r>
      <w:bookmarkEnd w:id="263"/>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发包人和承包人双方的权利：</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（一）严格遵守党和国家、自治区有关法律法规及交通运输部、自治区交通运输厅、自治区公路管理局的有关政策规定。</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（二）严格执行（项目名称）的合同文件，自觉按合同办事。</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（三）双方的业务活动坚持公开、公正、诚信、透明的原则（法律认定的商业秘密和合同文件另有规定除外），不得损害国家和单位利益，不得违反工程建设管理规章制度。</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四）建立健全廉政制度，实行责任制。开展廉政宣传教育、廉政文化建设及“阳光工程”活动（项目驻地悬挂“修路修德、立德为民”廉政理念及阳光工程宣传标语、公示牌，张贴廉政漫画，设置学习园地、警示教育栏、阳光工程公开栏等廉政学习宣传工作），设立举报箱、廉政告示牌，公布举报电话，监督并认真查处违法违纪行为。</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（五）发现对方在业务活动中有违反廉政规定的行为，有及时提醒对方纠正的权利和义务。</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（六）发现对方严重违反本合同义务条款的行为，有向其上级有关部门举报及建议给予处理，并要求告知处理结果的权利。</w:t>
      </w:r>
    </w:p>
    <w:p>
      <w:pPr>
        <w:spacing w:line="440" w:lineRule="exact"/>
        <w:outlineLvl w:val="2"/>
        <w:rPr>
          <w:rFonts w:hint="eastAsia" w:ascii="宋体" w:hAnsi="宋体" w:eastAsia="宋体" w:cs="宋体"/>
          <w:bCs/>
          <w:sz w:val="24"/>
          <w:szCs w:val="24"/>
        </w:rPr>
      </w:pPr>
      <w:bookmarkStart w:id="264" w:name="_Toc9137"/>
      <w:r>
        <w:rPr>
          <w:rFonts w:hint="eastAsia" w:ascii="宋体" w:hAnsi="宋体" w:eastAsia="宋体" w:cs="宋体"/>
          <w:b/>
          <w:bCs/>
          <w:sz w:val="24"/>
          <w:szCs w:val="24"/>
        </w:rPr>
        <w:t>第二条</w:t>
      </w:r>
      <w:r>
        <w:rPr>
          <w:rFonts w:hint="eastAsia" w:ascii="宋体" w:hAnsi="宋体" w:eastAsia="宋体" w:cs="宋体"/>
          <w:bCs/>
          <w:sz w:val="24"/>
          <w:szCs w:val="24"/>
        </w:rPr>
        <w:t>　发包人的义务</w:t>
      </w:r>
      <w:bookmarkEnd w:id="264"/>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（一）发包人及其工作人员不得索要或接受承包人及其工作人员的钱物（现金、有价证券、信用卡、礼金、奖金、补贴、物品等），不得让承包人报销任何应由发包人或发包人工作人员个人支付的费用等。</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（二）发包人及其工作人员不得接受承包人安排的可能影响公正工作的住宿、宴请和娱乐活动；不得接受承包人提供的合同规定外的通讯工具、交通工具和高档办公用品等。</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（三）发包人及其工作人员不得要求或者接受承包人为其住房装修、婚丧嫁娶活动、配偶子女的工作安排以及出国出境、旅游等提供方便等。</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（四）发包人工作人员及其配偶、子女不得从事与发包人工程有关的材料设备供应、工程分包、劳务等经济活动。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（五）发包人及其工作人员不得以任何理由向承包人推荐分包单位或推销材料，不得要求承包人购买合同规定外的材料和设备。</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（六）发包人工作人员要秉公办事，不准营私舞弊，不准利用职权从事各种个人有偿中介活动和安排个人施工队伍。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（七）发包人有义务给承包人提供廉政教育、廉政文化及“阳光工程”等廉政工作学习宣传资料。</w:t>
      </w:r>
    </w:p>
    <w:p>
      <w:pPr>
        <w:spacing w:line="440" w:lineRule="exact"/>
        <w:outlineLvl w:val="2"/>
        <w:rPr>
          <w:rFonts w:hint="eastAsia" w:ascii="宋体" w:hAnsi="宋体" w:eastAsia="宋体" w:cs="宋体"/>
          <w:bCs/>
          <w:sz w:val="24"/>
          <w:szCs w:val="24"/>
        </w:rPr>
      </w:pPr>
      <w:bookmarkStart w:id="265" w:name="_Toc6321"/>
      <w:r>
        <w:rPr>
          <w:rFonts w:hint="eastAsia" w:ascii="宋体" w:hAnsi="宋体" w:eastAsia="宋体" w:cs="宋体"/>
          <w:b/>
          <w:bCs/>
          <w:sz w:val="24"/>
          <w:szCs w:val="24"/>
        </w:rPr>
        <w:t>第三条</w:t>
      </w:r>
      <w:r>
        <w:rPr>
          <w:rFonts w:hint="eastAsia" w:ascii="宋体" w:hAnsi="宋体" w:eastAsia="宋体" w:cs="宋体"/>
          <w:bCs/>
          <w:sz w:val="24"/>
          <w:szCs w:val="24"/>
        </w:rPr>
        <w:t>承包人的义务</w:t>
      </w:r>
      <w:bookmarkEnd w:id="265"/>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（一）承包人不得以任何理由向发包人及其工作人员行贿或馈赠钱物（现金、有价证券、信用卡、礼金、奖金、补贴、物品等）。</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（二）承包人不得以任何名义报销应由发包人及其工作人员支付的任何费用。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（三）承包人不得以任何理由安排发包人及其工作人员参加可能影响公正工作的宴请及娱乐活动。</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（四）承包人不得为发包人及其工作人员配置或提供合同规定外的通讯工具、交通工具和高档办公用品等。</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（五）承包人对发包人及其人员提出的合同规定外的要求，有权予以拒绝。</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（六）承包人有义务落实发包人提出的在项目驻地开展廉政教育、廉政文化、廉政理念及“阳光工程”等宣传教育工作。</w:t>
      </w:r>
    </w:p>
    <w:p>
      <w:pPr>
        <w:spacing w:line="440" w:lineRule="exact"/>
        <w:outlineLvl w:val="2"/>
        <w:rPr>
          <w:rFonts w:hint="eastAsia" w:ascii="宋体" w:hAnsi="宋体" w:eastAsia="宋体" w:cs="宋体"/>
          <w:bCs/>
          <w:sz w:val="24"/>
          <w:szCs w:val="24"/>
        </w:rPr>
      </w:pPr>
      <w:bookmarkStart w:id="266" w:name="_Toc6823"/>
      <w:r>
        <w:rPr>
          <w:rFonts w:hint="eastAsia" w:ascii="宋体" w:hAnsi="宋体" w:eastAsia="宋体" w:cs="宋体"/>
          <w:b/>
          <w:bCs/>
          <w:sz w:val="24"/>
          <w:szCs w:val="24"/>
        </w:rPr>
        <w:t>第四条</w:t>
      </w:r>
      <w:r>
        <w:rPr>
          <w:rFonts w:hint="eastAsia" w:ascii="宋体" w:hAnsi="宋体" w:eastAsia="宋体" w:cs="宋体"/>
          <w:bCs/>
          <w:sz w:val="24"/>
          <w:szCs w:val="24"/>
        </w:rPr>
        <w:t>　违约责任</w:t>
      </w:r>
      <w:bookmarkEnd w:id="266"/>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（一）发包人及其工作人员违反本合同第一、二条规定，按管理权限，依据有关规定给予党纪、政纪或组织处理；涉嫌犯罪的，移交司法机关追究刑事责任；给承包人单位造成经济损失的，应予以赔偿。</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承包人及其工作人员违反本合同第一、三条规定，按管理权限，依据有关规定给予相应处理。给发包人单位造成经济损失的，应予以赔偿；情节严重的，发包人建议交通运输行政主管部门给予承包人一至三年内不得进入其主管的公路建设市场的处罚。</w:t>
      </w:r>
    </w:p>
    <w:p>
      <w:pPr>
        <w:spacing w:line="440" w:lineRule="exact"/>
        <w:rPr>
          <w:rFonts w:hint="eastAsia" w:ascii="宋体" w:hAnsi="宋体" w:eastAsia="宋体" w:cs="宋体"/>
          <w:bCs/>
          <w:sz w:val="24"/>
          <w:szCs w:val="24"/>
        </w:rPr>
      </w:pPr>
      <w:r>
        <w:rPr>
          <w:rFonts w:hint="eastAsia" w:ascii="宋体" w:hAnsi="宋体" w:eastAsia="宋体" w:cs="宋体"/>
          <w:b/>
          <w:bCs/>
          <w:sz w:val="24"/>
          <w:szCs w:val="24"/>
        </w:rPr>
        <w:t>第五条</w:t>
      </w:r>
      <w:r>
        <w:rPr>
          <w:rFonts w:hint="eastAsia" w:ascii="宋体" w:hAnsi="宋体" w:eastAsia="宋体" w:cs="宋体"/>
          <w:bCs/>
          <w:sz w:val="24"/>
          <w:szCs w:val="24"/>
        </w:rPr>
        <w:t>双方约定：本合同由双方或双方上级单位的纪检监察部门负责监督执行。</w:t>
      </w:r>
    </w:p>
    <w:p>
      <w:pPr>
        <w:spacing w:line="440" w:lineRule="exact"/>
        <w:rPr>
          <w:rFonts w:hint="eastAsia" w:ascii="宋体" w:hAnsi="宋体" w:eastAsia="宋体" w:cs="宋体"/>
          <w:bCs/>
          <w:sz w:val="24"/>
          <w:szCs w:val="24"/>
        </w:rPr>
      </w:pPr>
      <w:r>
        <w:rPr>
          <w:rFonts w:hint="eastAsia" w:ascii="宋体" w:hAnsi="宋体" w:eastAsia="宋体" w:cs="宋体"/>
          <w:b/>
          <w:bCs/>
          <w:sz w:val="24"/>
          <w:szCs w:val="24"/>
        </w:rPr>
        <w:t>第六条</w:t>
      </w:r>
      <w:r>
        <w:rPr>
          <w:rFonts w:hint="eastAsia" w:ascii="宋体" w:hAnsi="宋体" w:eastAsia="宋体" w:cs="宋体"/>
          <w:bCs/>
          <w:sz w:val="24"/>
          <w:szCs w:val="24"/>
        </w:rPr>
        <w:t>本合同有效期为发包人和承包人签署之日起至该项目验收后止。</w:t>
      </w:r>
    </w:p>
    <w:p>
      <w:pPr>
        <w:spacing w:line="440" w:lineRule="exact"/>
        <w:rPr>
          <w:rFonts w:hint="eastAsia" w:ascii="宋体" w:hAnsi="宋体" w:eastAsia="宋体" w:cs="宋体"/>
          <w:bCs/>
          <w:sz w:val="24"/>
          <w:szCs w:val="24"/>
        </w:rPr>
      </w:pPr>
      <w:r>
        <w:rPr>
          <w:rFonts w:hint="eastAsia" w:ascii="宋体" w:hAnsi="宋体" w:eastAsia="宋体" w:cs="宋体"/>
          <w:b/>
          <w:bCs/>
          <w:sz w:val="24"/>
          <w:szCs w:val="24"/>
        </w:rPr>
        <w:t>第七条</w:t>
      </w:r>
      <w:r>
        <w:rPr>
          <w:rFonts w:hint="eastAsia" w:ascii="宋体" w:hAnsi="宋体" w:eastAsia="宋体" w:cs="宋体"/>
          <w:bCs/>
          <w:sz w:val="24"/>
          <w:szCs w:val="24"/>
        </w:rPr>
        <w:t>本合同作为（项目名称）的附件，经合同双方代表签署立即生效。本合同对双方违反廉政规定行为的处理，不免除该项目合同中双方约定的责任和义务。</w:t>
      </w:r>
    </w:p>
    <w:p>
      <w:pPr>
        <w:spacing w:line="440" w:lineRule="exact"/>
        <w:rPr>
          <w:rFonts w:hint="eastAsia" w:ascii="宋体" w:hAnsi="宋体" w:eastAsia="宋体" w:cs="宋体"/>
          <w:bCs/>
          <w:sz w:val="24"/>
          <w:szCs w:val="24"/>
        </w:rPr>
      </w:pPr>
      <w:r>
        <w:rPr>
          <w:rFonts w:hint="eastAsia" w:ascii="宋体" w:hAnsi="宋体" w:eastAsia="宋体" w:cs="宋体"/>
          <w:b/>
          <w:bCs/>
          <w:sz w:val="24"/>
          <w:szCs w:val="24"/>
        </w:rPr>
        <w:t>第八条</w:t>
      </w:r>
      <w:r>
        <w:rPr>
          <w:rFonts w:hint="eastAsia" w:ascii="宋体" w:hAnsi="宋体" w:eastAsia="宋体" w:cs="宋体"/>
          <w:bCs/>
          <w:sz w:val="24"/>
          <w:szCs w:val="24"/>
        </w:rPr>
        <w:t>本合同一式四份，甲、乙双方各执一份，送交发包人和承包人的监督单位各一份。</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u w:val="single"/>
        </w:rPr>
      </w:pPr>
      <w:r>
        <w:rPr>
          <w:rFonts w:hint="eastAsia" w:ascii="宋体" w:hAnsi="宋体" w:eastAsia="宋体" w:cs="宋体"/>
          <w:bCs/>
          <w:sz w:val="24"/>
          <w:szCs w:val="24"/>
        </w:rPr>
        <w:t>发包人(全称)：</w:t>
      </w:r>
      <w:r>
        <w:rPr>
          <w:rFonts w:hint="eastAsia" w:ascii="宋体" w:hAnsi="宋体" w:eastAsia="宋体" w:cs="宋体"/>
          <w:bCs/>
          <w:sz w:val="24"/>
          <w:szCs w:val="24"/>
          <w:u w:val="single"/>
        </w:rPr>
        <w:t xml:space="preserve">    (盖单位章) </w:t>
      </w:r>
      <w:r>
        <w:rPr>
          <w:rFonts w:hint="eastAsia" w:ascii="宋体" w:hAnsi="宋体" w:eastAsia="宋体" w:cs="宋体"/>
          <w:bCs/>
          <w:sz w:val="24"/>
          <w:szCs w:val="24"/>
        </w:rPr>
        <w:t xml:space="preserve">    承包人(全称)：</w:t>
      </w:r>
      <w:r>
        <w:rPr>
          <w:rFonts w:hint="eastAsia" w:ascii="宋体" w:hAnsi="宋体" w:eastAsia="宋体" w:cs="宋体"/>
          <w:bCs/>
          <w:sz w:val="24"/>
          <w:szCs w:val="24"/>
          <w:u w:val="single"/>
        </w:rPr>
        <w:t xml:space="preserve">        (盖单位章) </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法定代表人:</w:t>
      </w:r>
      <w:r>
        <w:rPr>
          <w:rFonts w:hint="eastAsia" w:ascii="宋体" w:hAnsi="宋体" w:eastAsia="宋体" w:cs="宋体"/>
          <w:bCs/>
          <w:sz w:val="24"/>
          <w:szCs w:val="24"/>
          <w:u w:val="single"/>
        </w:rPr>
        <w:t xml:space="preserve">      (签字)      </w:t>
      </w:r>
      <w:r>
        <w:rPr>
          <w:rFonts w:hint="eastAsia" w:ascii="宋体" w:hAnsi="宋体" w:eastAsia="宋体" w:cs="宋体"/>
          <w:bCs/>
          <w:sz w:val="24"/>
          <w:szCs w:val="24"/>
        </w:rPr>
        <w:t xml:space="preserve">    法定代表人: </w:t>
      </w:r>
      <w:r>
        <w:rPr>
          <w:rFonts w:hint="eastAsia" w:ascii="宋体" w:hAnsi="宋体" w:eastAsia="宋体" w:cs="宋体"/>
          <w:bCs/>
          <w:sz w:val="24"/>
          <w:szCs w:val="24"/>
          <w:u w:val="single"/>
        </w:rPr>
        <w:t xml:space="preserve">      (签字)        </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电话：电话：</w:t>
      </w:r>
    </w:p>
    <w:p>
      <w:pPr>
        <w:spacing w:line="440" w:lineRule="exact"/>
        <w:rPr>
          <w:rFonts w:hint="eastAsia" w:ascii="宋体" w:hAnsi="宋体" w:eastAsia="宋体" w:cs="宋体"/>
          <w:bCs/>
          <w:sz w:val="24"/>
          <w:szCs w:val="24"/>
        </w:rPr>
      </w:pPr>
    </w:p>
    <w:p>
      <w:pPr>
        <w:spacing w:line="440" w:lineRule="exact"/>
        <w:ind w:firstLine="360" w:firstLineChars="150"/>
        <w:rPr>
          <w:rFonts w:hint="eastAsia" w:ascii="宋体" w:hAnsi="宋体" w:eastAsia="宋体" w:cs="宋体"/>
          <w:bCs/>
          <w:sz w:val="24"/>
          <w:szCs w:val="24"/>
        </w:rPr>
      </w:pPr>
      <w:r>
        <w:rPr>
          <w:rFonts w:hint="eastAsia" w:ascii="宋体" w:hAnsi="宋体" w:eastAsia="宋体" w:cs="宋体"/>
          <w:bCs/>
          <w:sz w:val="24"/>
          <w:szCs w:val="24"/>
        </w:rPr>
        <w:t>年  月    日                                  年  月   日</w:t>
      </w:r>
    </w:p>
    <w:p>
      <w:pPr>
        <w:spacing w:line="440" w:lineRule="exact"/>
        <w:rPr>
          <w:rFonts w:hint="eastAsia" w:ascii="宋体" w:hAnsi="宋体" w:eastAsia="宋体" w:cs="宋体"/>
          <w:bCs/>
          <w:sz w:val="24"/>
          <w:szCs w:val="24"/>
        </w:rPr>
      </w:pPr>
    </w:p>
    <w:p>
      <w:pPr>
        <w:spacing w:line="440" w:lineRule="exact"/>
        <w:jc w:val="center"/>
        <w:rPr>
          <w:rFonts w:hint="eastAsia" w:ascii="宋体" w:hAnsi="宋体" w:eastAsia="宋体" w:cs="宋体"/>
          <w:sz w:val="24"/>
          <w:szCs w:val="24"/>
        </w:rPr>
      </w:pPr>
      <w:r>
        <w:rPr>
          <w:rFonts w:hint="eastAsia" w:ascii="宋体" w:hAnsi="宋体" w:eastAsia="宋体" w:cs="宋体"/>
          <w:bCs/>
          <w:sz w:val="24"/>
          <w:szCs w:val="24"/>
        </w:rPr>
        <w:t>发包人监督单位(盖章)                　承包人监督单位(盖章)</w:t>
      </w:r>
    </w:p>
    <w:p>
      <w:pPr>
        <w:spacing w:line="440" w:lineRule="exact"/>
        <w:rPr>
          <w:rFonts w:hint="eastAsia" w:ascii="宋体" w:hAnsi="宋体" w:eastAsia="宋体" w:cs="宋体"/>
          <w:sz w:val="24"/>
          <w:szCs w:val="24"/>
        </w:rPr>
      </w:pPr>
    </w:p>
    <w:p>
      <w:pPr>
        <w:pStyle w:val="189"/>
        <w:spacing w:line="440" w:lineRule="exact"/>
        <w:rPr>
          <w:rFonts w:hint="eastAsia" w:ascii="宋体" w:hAnsi="宋体" w:eastAsia="宋体" w:cs="宋体"/>
          <w:color w:val="auto"/>
          <w:sz w:val="24"/>
          <w:szCs w:val="24"/>
        </w:rPr>
      </w:pPr>
    </w:p>
    <w:p>
      <w:pPr>
        <w:pStyle w:val="189"/>
        <w:spacing w:line="440" w:lineRule="exact"/>
        <w:rPr>
          <w:rFonts w:hint="eastAsia" w:ascii="宋体" w:hAnsi="宋体" w:eastAsia="宋体" w:cs="宋体"/>
          <w:color w:val="auto"/>
          <w:sz w:val="24"/>
          <w:szCs w:val="24"/>
        </w:rPr>
      </w:pPr>
    </w:p>
    <w:p>
      <w:pPr>
        <w:pStyle w:val="189"/>
        <w:spacing w:line="440" w:lineRule="exact"/>
        <w:rPr>
          <w:rFonts w:hint="eastAsia" w:ascii="宋体" w:hAnsi="宋体" w:eastAsia="宋体" w:cs="宋体"/>
          <w:color w:val="auto"/>
          <w:sz w:val="24"/>
          <w:szCs w:val="24"/>
        </w:rPr>
      </w:pPr>
    </w:p>
    <w:p>
      <w:pPr>
        <w:pStyle w:val="189"/>
        <w:spacing w:line="440" w:lineRule="exact"/>
        <w:rPr>
          <w:rFonts w:hint="eastAsia" w:ascii="宋体" w:hAnsi="宋体" w:eastAsia="宋体" w:cs="宋体"/>
          <w:color w:val="auto"/>
          <w:sz w:val="24"/>
          <w:szCs w:val="24"/>
        </w:rPr>
      </w:pPr>
    </w:p>
    <w:p>
      <w:pPr>
        <w:pStyle w:val="189"/>
        <w:spacing w:line="440" w:lineRule="exact"/>
        <w:rPr>
          <w:rFonts w:hint="eastAsia" w:ascii="宋体" w:hAnsi="宋体" w:eastAsia="宋体" w:cs="宋体"/>
          <w:color w:val="auto"/>
          <w:sz w:val="24"/>
          <w:szCs w:val="24"/>
        </w:rPr>
      </w:pPr>
    </w:p>
    <w:p>
      <w:pPr>
        <w:pStyle w:val="189"/>
        <w:spacing w:line="440" w:lineRule="exact"/>
        <w:rPr>
          <w:rFonts w:hint="eastAsia" w:ascii="宋体" w:hAnsi="宋体" w:eastAsia="宋体" w:cs="宋体"/>
          <w:color w:val="auto"/>
          <w:sz w:val="24"/>
          <w:szCs w:val="24"/>
        </w:rPr>
      </w:pPr>
    </w:p>
    <w:p>
      <w:pPr>
        <w:autoSpaceDE w:val="0"/>
        <w:autoSpaceDN w:val="0"/>
        <w:adjustRightInd w:val="0"/>
        <w:rPr>
          <w:rFonts w:hint="eastAsia" w:ascii="宋体" w:hAnsi="宋体" w:eastAsia="宋体" w:cs="宋体"/>
          <w:b/>
          <w:kern w:val="0"/>
          <w:sz w:val="24"/>
          <w:szCs w:val="24"/>
        </w:rPr>
      </w:pPr>
    </w:p>
    <w:p>
      <w:pPr>
        <w:widowControl/>
        <w:jc w:val="left"/>
        <w:rPr>
          <w:rFonts w:hint="eastAsia" w:ascii="宋体" w:hAnsi="宋体" w:eastAsia="宋体" w:cs="宋体"/>
          <w:b/>
          <w:kern w:val="0"/>
          <w:sz w:val="24"/>
          <w:szCs w:val="24"/>
        </w:rPr>
        <w:sectPr>
          <w:pgSz w:w="11906" w:h="16838"/>
          <w:pgMar w:top="1304" w:right="1304" w:bottom="1304" w:left="1531" w:header="851" w:footer="850" w:gutter="0"/>
          <w:cols w:space="0" w:num="1"/>
          <w:docGrid w:type="lines" w:linePitch="339" w:charSpace="0"/>
        </w:sectPr>
      </w:pPr>
      <w:r>
        <w:rPr>
          <w:rFonts w:hint="eastAsia" w:ascii="宋体" w:hAnsi="宋体" w:eastAsia="宋体" w:cs="宋体"/>
          <w:b/>
          <w:kern w:val="0"/>
          <w:sz w:val="24"/>
          <w:szCs w:val="24"/>
        </w:rPr>
        <w:br w:type="page"/>
      </w:r>
    </w:p>
    <w:p>
      <w:pPr>
        <w:autoSpaceDE w:val="0"/>
        <w:autoSpaceDN w:val="0"/>
        <w:adjustRightInd w:val="0"/>
        <w:spacing w:line="440" w:lineRule="exact"/>
        <w:jc w:val="left"/>
        <w:outlineLvl w:val="0"/>
        <w:rPr>
          <w:rFonts w:hint="eastAsia" w:ascii="宋体" w:hAnsi="宋体" w:eastAsia="宋体" w:cs="宋体"/>
          <w:b/>
          <w:bCs/>
          <w:sz w:val="24"/>
          <w:szCs w:val="24"/>
        </w:rPr>
      </w:pPr>
      <w:bookmarkStart w:id="267" w:name="_Toc6169"/>
      <w:r>
        <w:rPr>
          <w:rFonts w:hint="eastAsia" w:ascii="宋体" w:hAnsi="宋体" w:eastAsia="宋体" w:cs="宋体"/>
          <w:b/>
          <w:bCs/>
          <w:sz w:val="24"/>
          <w:szCs w:val="24"/>
        </w:rPr>
        <w:t>附件二 其他主要检测人员最低要求</w:t>
      </w:r>
      <w:bookmarkEnd w:id="267"/>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496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拟担任职务</w:t>
            </w:r>
          </w:p>
        </w:tc>
        <w:tc>
          <w:tcPr>
            <w:tcW w:w="6237" w:type="dxa"/>
            <w:gridSpan w:val="2"/>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最低资格要求</w:t>
            </w:r>
          </w:p>
        </w:tc>
        <w:tc>
          <w:tcPr>
            <w:tcW w:w="851" w:type="dxa"/>
            <w:vMerge w:val="restart"/>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951" w:type="dxa"/>
            <w:vMerge w:val="continue"/>
            <w:noWrap w:val="0"/>
            <w:vAlign w:val="center"/>
          </w:tcPr>
          <w:p>
            <w:pPr>
              <w:spacing w:line="240" w:lineRule="auto"/>
              <w:jc w:val="center"/>
              <w:rPr>
                <w:rFonts w:hint="eastAsia" w:ascii="宋体" w:hAnsi="宋体" w:eastAsia="宋体" w:cs="宋体"/>
                <w:sz w:val="24"/>
                <w:szCs w:val="24"/>
              </w:rPr>
            </w:pPr>
          </w:p>
        </w:tc>
        <w:tc>
          <w:tcPr>
            <w:tcW w:w="1276"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人员数量</w:t>
            </w:r>
          </w:p>
        </w:tc>
        <w:tc>
          <w:tcPr>
            <w:tcW w:w="4961"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从事相应职务工作经验</w:t>
            </w:r>
          </w:p>
        </w:tc>
        <w:tc>
          <w:tcPr>
            <w:tcW w:w="851" w:type="dxa"/>
            <w:vMerge w:val="continue"/>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276"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961" w:type="dxa"/>
            <w:noWrap w:val="0"/>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    具有公路工程相关专业工程师及以上技术职称，</w:t>
            </w:r>
            <w:r>
              <w:rPr>
                <w:rFonts w:hint="eastAsia" w:ascii="宋体" w:hAnsi="宋体" w:eastAsia="宋体" w:cs="宋体"/>
                <w:bCs/>
                <w:sz w:val="24"/>
                <w:szCs w:val="24"/>
              </w:rPr>
              <w:t>从事类似试验检测工作5年以上，</w:t>
            </w:r>
            <w:r>
              <w:rPr>
                <w:rFonts w:hint="eastAsia" w:ascii="宋体" w:hAnsi="宋体" w:eastAsia="宋体" w:cs="宋体"/>
                <w:sz w:val="24"/>
                <w:szCs w:val="24"/>
              </w:rPr>
              <w:t>持有交通运输部颁发的试验检测工程师证书（桥梁专业）。</w:t>
            </w:r>
          </w:p>
        </w:tc>
        <w:tc>
          <w:tcPr>
            <w:tcW w:w="851" w:type="dxa"/>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951"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检测工程师</w:t>
            </w:r>
          </w:p>
        </w:tc>
        <w:tc>
          <w:tcPr>
            <w:tcW w:w="1276"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961" w:type="dxa"/>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具备公路工程相关专业工程师及以上技术职称，从事类似试验检测工作5年以上；具备检测师执业资格证或交通运输部公路工程试验检测工程师资格证书。</w:t>
            </w:r>
          </w:p>
        </w:tc>
        <w:tc>
          <w:tcPr>
            <w:tcW w:w="851" w:type="dxa"/>
            <w:vMerge w:val="restart"/>
            <w:noWrap w:val="0"/>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51"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检测人员</w:t>
            </w:r>
          </w:p>
        </w:tc>
        <w:tc>
          <w:tcPr>
            <w:tcW w:w="1276" w:type="dxa"/>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961" w:type="dxa"/>
            <w:noWrap w:val="0"/>
            <w:vAlign w:val="center"/>
          </w:tcPr>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具备助理检测师或省级公路工程质量监督机构颁发的试验检测员资格证书。</w:t>
            </w:r>
          </w:p>
        </w:tc>
        <w:tc>
          <w:tcPr>
            <w:tcW w:w="851" w:type="dxa"/>
            <w:vMerge w:val="continue"/>
            <w:noWrap w:val="0"/>
            <w:vAlign w:val="center"/>
          </w:tcPr>
          <w:p>
            <w:pPr>
              <w:spacing w:line="240" w:lineRule="auto"/>
              <w:jc w:val="center"/>
              <w:rPr>
                <w:rFonts w:hint="eastAsia" w:ascii="宋体" w:hAnsi="宋体" w:eastAsia="宋体" w:cs="宋体"/>
                <w:sz w:val="24"/>
                <w:szCs w:val="24"/>
              </w:rPr>
            </w:pPr>
          </w:p>
        </w:tc>
      </w:tr>
    </w:tbl>
    <w:p>
      <w:pPr>
        <w:autoSpaceDE w:val="0"/>
        <w:autoSpaceDN w:val="0"/>
        <w:adjustRightInd w:val="0"/>
        <w:spacing w:line="240" w:lineRule="auto"/>
        <w:jc w:val="left"/>
        <w:rPr>
          <w:rFonts w:hint="eastAsia" w:ascii="宋体" w:hAnsi="宋体" w:eastAsia="宋体" w:cs="宋体"/>
          <w:sz w:val="24"/>
          <w:szCs w:val="24"/>
        </w:rPr>
      </w:pPr>
    </w:p>
    <w:p>
      <w:pPr>
        <w:autoSpaceDE w:val="0"/>
        <w:autoSpaceDN w:val="0"/>
        <w:adjustRightIn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注：1.上述人员在响应文件中无需提供，由采购人和成交人在合同签订阶段确定，且经采购人审批后作为派驻本标段的主要试验检测工程师，不允许更换。如成交人拟派驻的人员数量和资格条件不满足本表要求，采购人应取消其中标资格。</w:t>
      </w:r>
    </w:p>
    <w:p>
      <w:pPr>
        <w:pStyle w:val="30"/>
        <w:spacing w:line="440" w:lineRule="exact"/>
        <w:ind w:firstLine="480" w:firstLineChars="200"/>
        <w:jc w:val="left"/>
        <w:rPr>
          <w:rFonts w:hint="eastAsia" w:ascii="宋体" w:hAnsi="宋体" w:eastAsia="宋体" w:cs="宋体"/>
          <w:snapToGrid/>
          <w:kern w:val="2"/>
          <w:sz w:val="24"/>
          <w:szCs w:val="24"/>
        </w:rPr>
      </w:pPr>
      <w:r>
        <w:rPr>
          <w:rFonts w:hint="eastAsia" w:ascii="宋体" w:hAnsi="宋体" w:eastAsia="宋体" w:cs="宋体"/>
          <w:snapToGrid/>
          <w:kern w:val="2"/>
          <w:sz w:val="24"/>
          <w:szCs w:val="24"/>
        </w:rPr>
        <w:t>2.公路工程相关专业检测工程师和检测员的试验检测资格证书检测范围（或检测类别或检测专业）可为“公路专业、材料专业、桥梁专业”或“道路工程、桥梁隧道工程”的单项资格，但总体所覆盖检测范围（或检测类别或检测专业）应涵盖“公路专业、材料专业、桥梁专业”或“道路工程、桥梁隧道工程”。</w:t>
      </w:r>
    </w:p>
    <w:p>
      <w:pPr>
        <w:widowControl/>
        <w:jc w:val="left"/>
        <w:rPr>
          <w:rFonts w:hint="eastAsia" w:ascii="宋体" w:hAnsi="宋体" w:eastAsia="宋体" w:cs="宋体"/>
          <w:sz w:val="24"/>
          <w:szCs w:val="24"/>
        </w:rPr>
      </w:pPr>
    </w:p>
    <w:p>
      <w:pPr>
        <w:autoSpaceDE w:val="0"/>
        <w:autoSpaceDN w:val="0"/>
        <w:adjustRightInd w:val="0"/>
        <w:spacing w:line="440" w:lineRule="exact"/>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rPr>
          <w:rFonts w:hint="eastAsia" w:ascii="宋体" w:hAnsi="宋体" w:eastAsia="宋体" w:cs="宋体"/>
          <w:sz w:val="24"/>
          <w:szCs w:val="24"/>
        </w:rPr>
      </w:pPr>
    </w:p>
    <w:p>
      <w:pPr>
        <w:pStyle w:val="30"/>
        <w:jc w:val="left"/>
        <w:rPr>
          <w:rFonts w:hint="eastAsia" w:ascii="宋体" w:hAnsi="宋体" w:eastAsia="宋体" w:cs="宋体"/>
          <w:b/>
          <w:bCs/>
          <w:snapToGrid/>
          <w:kern w:val="2"/>
          <w:sz w:val="24"/>
          <w:szCs w:val="24"/>
          <w:highlight w:val="none"/>
        </w:rPr>
      </w:pPr>
      <w:r>
        <w:rPr>
          <w:rFonts w:hint="eastAsia" w:ascii="宋体" w:hAnsi="宋体" w:eastAsia="宋体" w:cs="宋体"/>
          <w:b/>
          <w:bCs/>
          <w:snapToGrid/>
          <w:kern w:val="2"/>
          <w:sz w:val="24"/>
          <w:szCs w:val="24"/>
          <w:highlight w:val="none"/>
        </w:rPr>
        <w:t>附件三  检测设备最低要求</w:t>
      </w:r>
    </w:p>
    <w:tbl>
      <w:tblPr>
        <w:tblStyle w:val="40"/>
        <w:tblW w:w="900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0"/>
        <w:gridCol w:w="4541"/>
        <w:gridCol w:w="1167"/>
        <w:gridCol w:w="262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4" w:hRule="atLeast"/>
          <w:jc w:val="center"/>
        </w:trPr>
        <w:tc>
          <w:tcPr>
            <w:tcW w:w="670" w:type="dxa"/>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4541" w:type="dxa"/>
            <w:tcBorders>
              <w:right w:val="single" w:color="auto" w:sz="4" w:space="0"/>
            </w:tcBorders>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设备名称</w:t>
            </w:r>
          </w:p>
        </w:tc>
        <w:tc>
          <w:tcPr>
            <w:tcW w:w="1167" w:type="dxa"/>
            <w:tcBorders>
              <w:left w:val="single" w:color="auto" w:sz="4" w:space="0"/>
            </w:tcBorders>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2625" w:type="dxa"/>
            <w:tcBorders>
              <w:left w:val="single" w:color="auto" w:sz="4" w:space="0"/>
            </w:tcBorders>
            <w:noWrap/>
            <w:vAlign w:val="center"/>
          </w:tcPr>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回弹仪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平整度仪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标志逆反射系数测试仪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标线逆反射系数测试仪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标线厚度测定仪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压碎指标测定仪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水准仪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游标卡尺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碳化深度仪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摆式摩擦仪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涂层厚度测定仪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灌砂筒</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钢尺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电子天平</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15</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电子秤30Kg</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16</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bCs/>
                <w:color w:val="000000"/>
                <w:sz w:val="24"/>
                <w:szCs w:val="24"/>
              </w:rPr>
              <w:t>砼钻孔取芯机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4541" w:type="dxa"/>
            <w:tcBorders>
              <w:right w:val="single" w:color="auto" w:sz="4" w:space="0"/>
            </w:tcBorders>
            <w:noWrap/>
            <w:vAlign w:val="center"/>
          </w:tcPr>
          <w:p>
            <w:pPr>
              <w:spacing w:line="440" w:lineRule="exact"/>
              <w:rPr>
                <w:rFonts w:hint="eastAsia" w:ascii="宋体" w:hAnsi="宋体" w:eastAsia="宋体" w:cs="宋体"/>
                <w:bCs/>
                <w:color w:val="000000"/>
                <w:sz w:val="24"/>
                <w:szCs w:val="24"/>
              </w:rPr>
            </w:pPr>
            <w:r>
              <w:rPr>
                <w:rFonts w:hint="eastAsia" w:ascii="宋体" w:hAnsi="宋体" w:eastAsia="宋体" w:cs="宋体"/>
                <w:color w:val="000000"/>
                <w:sz w:val="24"/>
                <w:szCs w:val="24"/>
              </w:rPr>
              <w:t>平整度尺（含塞尺）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路面渗水仪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19</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落锤式弯沉仪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万能材料试验机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压力机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水泥抗折抗压试验机</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全自动比表面积测定仪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24</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标准恒温恒湿养护设备</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25</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烘箱</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26</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沥青延度仪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27</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沥青针入度仪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28</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沥青软化点仪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29</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钢筋保护层测定仪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670" w:type="dxa"/>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30</w:t>
            </w:r>
          </w:p>
        </w:tc>
        <w:tc>
          <w:tcPr>
            <w:tcW w:w="4541" w:type="dxa"/>
            <w:tcBorders>
              <w:right w:val="single" w:color="auto" w:sz="4" w:space="0"/>
            </w:tcBorders>
            <w:noWrap/>
            <w:vAlign w:val="center"/>
          </w:tcPr>
          <w:p>
            <w:pPr>
              <w:spacing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液塑限测定仪</w:t>
            </w:r>
          </w:p>
        </w:tc>
        <w:tc>
          <w:tcPr>
            <w:tcW w:w="1167"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625" w:type="dxa"/>
            <w:tcBorders>
              <w:left w:val="single" w:color="auto" w:sz="4" w:space="0"/>
            </w:tcBorders>
            <w:noWrap/>
            <w:vAlign w:val="center"/>
          </w:tcPr>
          <w:p>
            <w:pPr>
              <w:spacing w:line="440" w:lineRule="exact"/>
              <w:jc w:val="center"/>
              <w:rPr>
                <w:rFonts w:hint="eastAsia" w:ascii="宋体" w:hAnsi="宋体" w:eastAsia="宋体" w:cs="宋体"/>
                <w:color w:val="000000"/>
                <w:sz w:val="24"/>
                <w:szCs w:val="24"/>
              </w:rPr>
            </w:pPr>
          </w:p>
        </w:tc>
      </w:tr>
    </w:tbl>
    <w:p>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注：1、以上所列设备为完成本项目所需设备最低限度要求,同时委托人有权根据现场检测工作需要要求检测机构增加设备,检测机构应无条件执行要求。</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2、所投入的仪器设备必须通过检定或比对校验。所有设备必须能证明该设备符合检测需求的证明材料，如设备发票、租赁合同、设备型号、精度、检定证书、校准证书、使用说明等。</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3、符合仪器设备规范要求。</w:t>
      </w:r>
    </w:p>
    <w:p>
      <w:pPr>
        <w:spacing w:line="400" w:lineRule="exact"/>
        <w:ind w:firstLine="480" w:firstLineChars="200"/>
        <w:rPr>
          <w:rFonts w:hint="eastAsia" w:ascii="宋体" w:hAnsi="宋体" w:eastAsia="宋体" w:cs="宋体"/>
          <w:sz w:val="24"/>
          <w:szCs w:val="24"/>
        </w:rPr>
      </w:pPr>
      <w:bookmarkStart w:id="268" w:name="_Toc516505132"/>
      <w:bookmarkStart w:id="269" w:name="_Toc516157734"/>
      <w:bookmarkStart w:id="270" w:name="_Toc516505339"/>
      <w:r>
        <w:rPr>
          <w:rFonts w:hint="eastAsia" w:ascii="宋体" w:hAnsi="宋体" w:eastAsia="宋体" w:cs="宋体"/>
          <w:sz w:val="24"/>
          <w:szCs w:val="24"/>
        </w:rPr>
        <w:t>4、拟投入本项目的检测设备须与检测实施过程中的检测设备相符。</w:t>
      </w:r>
      <w:bookmarkEnd w:id="268"/>
      <w:bookmarkEnd w:id="269"/>
      <w:bookmarkEnd w:id="270"/>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pStyle w:val="2"/>
        <w:ind w:firstLine="640"/>
        <w:rPr>
          <w:rFonts w:hint="eastAsia" w:ascii="宋体" w:hAnsi="宋体" w:eastAsia="宋体" w:cs="宋体"/>
          <w:sz w:val="24"/>
          <w:szCs w:val="24"/>
        </w:rPr>
      </w:pPr>
    </w:p>
    <w:p>
      <w:pPr>
        <w:keepNext/>
        <w:keepLines/>
        <w:autoSpaceDE w:val="0"/>
        <w:autoSpaceDN w:val="0"/>
        <w:adjustRightInd w:val="0"/>
        <w:spacing w:line="360" w:lineRule="auto"/>
        <w:jc w:val="left"/>
        <w:textAlignment w:val="baseline"/>
        <w:outlineLvl w:val="2"/>
        <w:rPr>
          <w:rFonts w:hint="eastAsia" w:ascii="宋体" w:hAnsi="宋体" w:eastAsia="宋体" w:cs="宋体"/>
          <w:b/>
          <w:bCs/>
          <w:sz w:val="24"/>
          <w:szCs w:val="24"/>
        </w:rPr>
      </w:pPr>
      <w:bookmarkStart w:id="271" w:name="bookmark166"/>
      <w:bookmarkStart w:id="272" w:name="_Toc25397"/>
      <w:r>
        <w:rPr>
          <w:rFonts w:hint="eastAsia" w:ascii="宋体" w:hAnsi="宋体" w:eastAsia="宋体" w:cs="宋体"/>
          <w:b/>
          <w:bCs/>
          <w:sz w:val="24"/>
          <w:szCs w:val="24"/>
        </w:rPr>
        <w:t>附件四  履约保证金格式</w:t>
      </w:r>
      <w:bookmarkEnd w:id="271"/>
      <w:bookmarkEnd w:id="272"/>
    </w:p>
    <w:p>
      <w:pPr>
        <w:rPr>
          <w:rFonts w:hint="eastAsia" w:ascii="宋体" w:hAnsi="宋体" w:eastAsia="宋体" w:cs="宋体"/>
          <w:sz w:val="24"/>
          <w:szCs w:val="24"/>
        </w:rPr>
      </w:pPr>
      <w:r>
        <w:rPr>
          <w:rFonts w:hint="eastAsia" w:ascii="宋体" w:hAnsi="宋体" w:eastAsia="宋体" w:cs="宋体"/>
          <w:sz w:val="24"/>
          <w:szCs w:val="24"/>
        </w:rPr>
        <w:t>如采用银行保函，格式如下。</w:t>
      </w:r>
    </w:p>
    <w:p>
      <w:pPr>
        <w:jc w:val="center"/>
        <w:rPr>
          <w:rFonts w:hint="eastAsia" w:ascii="宋体" w:hAnsi="宋体" w:eastAsia="宋体" w:cs="宋体"/>
          <w:b/>
          <w:sz w:val="24"/>
          <w:szCs w:val="24"/>
        </w:rPr>
      </w:pPr>
      <w:bookmarkStart w:id="273" w:name="bookmark167"/>
      <w:r>
        <w:rPr>
          <w:rFonts w:hint="eastAsia" w:ascii="宋体" w:hAnsi="宋体" w:eastAsia="宋体" w:cs="宋体"/>
          <w:b/>
          <w:sz w:val="24"/>
          <w:szCs w:val="24"/>
        </w:rPr>
        <w:t>履约保证金</w:t>
      </w:r>
      <w:bookmarkEnd w:id="273"/>
    </w:p>
    <w:p>
      <w:pPr>
        <w:tabs>
          <w:tab w:val="left" w:leader="underscore" w:pos="2222"/>
        </w:tabs>
        <w:spacing w:after="395" w:line="36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(委托人名称)</w:t>
      </w:r>
    </w:p>
    <w:p>
      <w:pPr>
        <w:tabs>
          <w:tab w:val="left" w:leader="underscore" w:pos="2930"/>
          <w:tab w:val="left" w:leader="underscore" w:pos="7515"/>
        </w:tabs>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rPr>
        <w:tab/>
      </w:r>
      <w:r>
        <w:rPr>
          <w:rFonts w:hint="eastAsia" w:ascii="宋体" w:hAnsi="宋体" w:eastAsia="宋体" w:cs="宋体"/>
          <w:sz w:val="24"/>
          <w:szCs w:val="24"/>
        </w:rPr>
        <w:t xml:space="preserve"> (委托人名称，以下简称“委托人”）接受</w:t>
      </w:r>
      <w:r>
        <w:rPr>
          <w:rFonts w:hint="eastAsia" w:ascii="宋体" w:hAnsi="宋体" w:eastAsia="宋体" w:cs="宋体"/>
          <w:sz w:val="24"/>
          <w:szCs w:val="24"/>
        </w:rPr>
        <w:tab/>
      </w:r>
      <w:r>
        <w:rPr>
          <w:rFonts w:hint="eastAsia" w:ascii="宋体" w:hAnsi="宋体" w:eastAsia="宋体" w:cs="宋体"/>
          <w:sz w:val="24"/>
          <w:szCs w:val="24"/>
        </w:rPr>
        <w:t xml:space="preserve"> (承包人名称</w:t>
      </w:r>
      <w:r>
        <w:rPr>
          <w:rFonts w:hint="eastAsia" w:ascii="宋体" w:hAnsi="宋体" w:eastAsia="宋体" w:cs="宋体"/>
          <w:sz w:val="24"/>
          <w:szCs w:val="24"/>
          <w:lang w:bidi="en-US"/>
        </w:rPr>
        <w:t>）（</w:t>
      </w:r>
      <w:r>
        <w:rPr>
          <w:rFonts w:hint="eastAsia" w:ascii="宋体" w:hAnsi="宋体" w:eastAsia="宋体" w:cs="宋体"/>
          <w:sz w:val="24"/>
          <w:szCs w:val="24"/>
        </w:rPr>
        <w:t>以下称“承包人”</w:t>
      </w:r>
      <w:r>
        <w:rPr>
          <w:rFonts w:hint="eastAsia" w:ascii="宋体" w:hAnsi="宋体" w:eastAsia="宋体" w:cs="宋体"/>
          <w:sz w:val="24"/>
          <w:szCs w:val="24"/>
          <w:lang w:bidi="en-US"/>
        </w:rPr>
        <w:t>)</w:t>
      </w:r>
      <w:r>
        <w:rPr>
          <w:rFonts w:hint="eastAsia" w:ascii="宋体" w:hAnsi="宋体" w:eastAsia="宋体" w:cs="宋体"/>
          <w:sz w:val="24"/>
          <w:szCs w:val="24"/>
        </w:rPr>
        <w:t>于年_月_日参加</w:t>
      </w:r>
      <w:r>
        <w:rPr>
          <w:rFonts w:hint="eastAsia" w:ascii="宋体" w:hAnsi="宋体" w:eastAsia="宋体" w:cs="宋体"/>
          <w:sz w:val="24"/>
          <w:szCs w:val="24"/>
        </w:rPr>
        <w:tab/>
      </w:r>
      <w:r>
        <w:rPr>
          <w:rFonts w:hint="eastAsia" w:ascii="宋体" w:hAnsi="宋体" w:eastAsia="宋体" w:cs="宋体"/>
          <w:sz w:val="24"/>
          <w:szCs w:val="24"/>
        </w:rPr>
        <w:t>(项目名称)的投标。我方愿意无条件地、不可撤销地就承包人履行与你方订立的合同，向你方提供担保。</w:t>
      </w:r>
    </w:p>
    <w:p>
      <w:pPr>
        <w:tabs>
          <w:tab w:val="left" w:pos="874"/>
          <w:tab w:val="left" w:leader="underscore" w:pos="5265"/>
          <w:tab w:val="left" w:leader="underscore" w:pos="7654"/>
        </w:tabs>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1.担保金额人民币（大写</w:t>
      </w:r>
      <w:r>
        <w:rPr>
          <w:rFonts w:hint="eastAsia" w:ascii="宋体" w:hAnsi="宋体" w:eastAsia="宋体" w:cs="宋体"/>
          <w:sz w:val="24"/>
          <w:szCs w:val="24"/>
          <w:lang w:bidi="en-US"/>
        </w:rPr>
        <w:t>）</w:t>
      </w:r>
      <w:r>
        <w:rPr>
          <w:rFonts w:hint="eastAsia" w:ascii="宋体" w:hAnsi="宋体" w:eastAsia="宋体" w:cs="宋体"/>
          <w:sz w:val="24"/>
          <w:szCs w:val="24"/>
        </w:rPr>
        <w:tab/>
      </w:r>
      <w:r>
        <w:rPr>
          <w:rFonts w:hint="eastAsia" w:ascii="宋体" w:hAnsi="宋体" w:eastAsia="宋体" w:cs="宋体"/>
          <w:sz w:val="24"/>
          <w:szCs w:val="24"/>
        </w:rPr>
        <w:t>元</w:t>
      </w:r>
      <w:r>
        <w:rPr>
          <w:rFonts w:hint="eastAsia" w:ascii="宋体" w:hAnsi="宋体" w:eastAsia="宋体" w:cs="宋体"/>
          <w:sz w:val="24"/>
          <w:szCs w:val="24"/>
          <w:lang w:bidi="en-US"/>
        </w:rPr>
        <w:t>（¥</w:t>
      </w:r>
      <w:r>
        <w:rPr>
          <w:rFonts w:hint="eastAsia" w:ascii="宋体" w:hAnsi="宋体" w:eastAsia="宋体" w:cs="宋体"/>
          <w:sz w:val="24"/>
          <w:szCs w:val="24"/>
        </w:rPr>
        <w:tab/>
      </w:r>
      <w:r>
        <w:rPr>
          <w:rFonts w:hint="eastAsia" w:ascii="宋体" w:hAnsi="宋体" w:eastAsia="宋体" w:cs="宋体"/>
          <w:sz w:val="24"/>
          <w:szCs w:val="24"/>
        </w:rPr>
        <w:t>)。</w:t>
      </w:r>
    </w:p>
    <w:p>
      <w:pPr>
        <w:tabs>
          <w:tab w:val="left" w:pos="838"/>
        </w:tabs>
        <w:spacing w:line="420" w:lineRule="exact"/>
        <w:ind w:firstLine="480" w:firstLineChars="200"/>
        <w:jc w:val="left"/>
        <w:rPr>
          <w:rFonts w:hint="eastAsia" w:ascii="宋体" w:hAnsi="宋体" w:eastAsia="宋体" w:cs="宋体"/>
          <w:sz w:val="24"/>
          <w:szCs w:val="24"/>
          <w:lang w:bidi="en-US"/>
        </w:rPr>
      </w:pPr>
      <w:r>
        <w:rPr>
          <w:rFonts w:hint="eastAsia" w:ascii="宋体" w:hAnsi="宋体" w:eastAsia="宋体" w:cs="宋体"/>
          <w:sz w:val="24"/>
          <w:szCs w:val="24"/>
        </w:rPr>
        <w:t>2.担保有效期自委托人与承包人签订的合同生效之日起至合同义务履行完毕后保函之日止。</w:t>
      </w:r>
    </w:p>
    <w:p>
      <w:pPr>
        <w:tabs>
          <w:tab w:val="left" w:pos="838"/>
        </w:tabs>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3.在本担保有效期内，因承包人违反合同约定的义务给你方造成经济损失时，我方在收到你方以书面形式提出的在担保金额内的赔偿要求后，在7天内无条件支付，无须你方出具证明或陈述理由。</w:t>
      </w:r>
    </w:p>
    <w:p>
      <w:pPr>
        <w:tabs>
          <w:tab w:val="left" w:pos="838"/>
        </w:tabs>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4.委托人和承包人按合同条款变更合同时，我方承担本担保规定的义务不变。</w:t>
      </w:r>
    </w:p>
    <w:p>
      <w:pPr>
        <w:tabs>
          <w:tab w:val="left" w:pos="838"/>
        </w:tabs>
        <w:spacing w:line="420" w:lineRule="exact"/>
        <w:ind w:firstLine="480" w:firstLineChars="200"/>
        <w:jc w:val="left"/>
        <w:rPr>
          <w:rFonts w:hint="eastAsia" w:ascii="宋体" w:hAnsi="宋体" w:eastAsia="宋体" w:cs="宋体"/>
          <w:sz w:val="24"/>
          <w:szCs w:val="24"/>
        </w:rPr>
      </w:pPr>
    </w:p>
    <w:p>
      <w:pPr>
        <w:tabs>
          <w:tab w:val="left" w:leader="underscore" w:pos="6629"/>
        </w:tabs>
        <w:spacing w:line="500" w:lineRule="exact"/>
        <w:ind w:firstLine="4440" w:firstLineChars="1850"/>
        <w:jc w:val="left"/>
        <w:rPr>
          <w:rFonts w:hint="eastAsia" w:ascii="宋体" w:hAnsi="宋体" w:eastAsia="宋体" w:cs="宋体"/>
          <w:sz w:val="24"/>
          <w:szCs w:val="24"/>
        </w:rPr>
      </w:pPr>
      <w:r>
        <w:rPr>
          <w:rFonts w:hint="eastAsia" w:ascii="宋体" w:hAnsi="宋体" w:eastAsia="宋体" w:cs="宋体"/>
          <w:sz w:val="24"/>
          <w:szCs w:val="24"/>
          <w:lang w:val="zh-TW" w:eastAsia="zh-TW" w:bidi="zh-TW"/>
        </w:rPr>
        <w:t>担保人名称：</w:t>
      </w:r>
      <w:r>
        <w:rPr>
          <w:rFonts w:hint="eastAsia" w:ascii="宋体" w:hAnsi="宋体" w:eastAsia="宋体" w:cs="宋体"/>
          <w:sz w:val="24"/>
          <w:szCs w:val="24"/>
        </w:rPr>
        <w:t>(盖单位章）</w:t>
      </w:r>
    </w:p>
    <w:p>
      <w:pPr>
        <w:spacing w:line="500" w:lineRule="exact"/>
        <w:ind w:firstLine="4440" w:firstLineChars="1850"/>
        <w:jc w:val="left"/>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lang w:bidi="en-US"/>
        </w:rPr>
        <w:t>）</w:t>
      </w:r>
    </w:p>
    <w:p>
      <w:pPr>
        <w:spacing w:line="500" w:lineRule="exact"/>
        <w:ind w:firstLine="4440" w:firstLineChars="1850"/>
        <w:jc w:val="left"/>
        <w:rPr>
          <w:rFonts w:hint="eastAsia" w:ascii="宋体" w:hAnsi="宋体" w:eastAsia="宋体" w:cs="宋体"/>
          <w:sz w:val="24"/>
          <w:szCs w:val="24"/>
        </w:rPr>
      </w:pPr>
      <w:r>
        <w:rPr>
          <w:rFonts w:hint="eastAsia" w:ascii="宋体" w:hAnsi="宋体" w:eastAsia="宋体" w:cs="宋体"/>
          <w:sz w:val="24"/>
          <w:szCs w:val="24"/>
        </w:rPr>
        <w:t>地址：.</w:t>
      </w:r>
    </w:p>
    <w:p>
      <w:pPr>
        <w:spacing w:line="500" w:lineRule="exact"/>
        <w:ind w:firstLine="4440" w:firstLineChars="1850"/>
        <w:jc w:val="left"/>
        <w:rPr>
          <w:rFonts w:hint="eastAsia" w:ascii="宋体" w:hAnsi="宋体" w:eastAsia="宋体" w:cs="宋体"/>
          <w:sz w:val="24"/>
          <w:szCs w:val="24"/>
        </w:rPr>
      </w:pPr>
      <w:r>
        <w:rPr>
          <w:rFonts w:hint="eastAsia" w:ascii="宋体" w:hAnsi="宋体" w:eastAsia="宋体" w:cs="宋体"/>
          <w:sz w:val="24"/>
          <w:szCs w:val="24"/>
        </w:rPr>
        <w:t>邮政编码：.</w:t>
      </w:r>
    </w:p>
    <w:p>
      <w:pPr>
        <w:spacing w:line="500" w:lineRule="exact"/>
        <w:ind w:firstLine="4440" w:firstLineChars="1850"/>
        <w:jc w:val="left"/>
        <w:rPr>
          <w:rFonts w:hint="eastAsia" w:ascii="宋体" w:hAnsi="宋体" w:eastAsia="宋体" w:cs="宋体"/>
          <w:sz w:val="24"/>
          <w:szCs w:val="24"/>
        </w:rPr>
      </w:pPr>
      <w:r>
        <w:rPr>
          <w:rFonts w:hint="eastAsia" w:ascii="宋体" w:hAnsi="宋体" w:eastAsia="宋体" w:cs="宋体"/>
          <w:sz w:val="24"/>
          <w:szCs w:val="24"/>
        </w:rPr>
        <w:t>电话：.</w:t>
      </w:r>
    </w:p>
    <w:p>
      <w:pPr>
        <w:spacing w:line="500" w:lineRule="exact"/>
        <w:ind w:firstLine="4440" w:firstLineChars="1850"/>
        <w:jc w:val="left"/>
        <w:rPr>
          <w:rFonts w:hint="eastAsia" w:ascii="宋体" w:hAnsi="宋体" w:eastAsia="宋体" w:cs="宋体"/>
          <w:sz w:val="24"/>
          <w:szCs w:val="24"/>
        </w:rPr>
      </w:pPr>
      <w:r>
        <w:rPr>
          <w:rFonts w:hint="eastAsia" w:ascii="宋体" w:hAnsi="宋体" w:eastAsia="宋体" w:cs="宋体"/>
          <w:sz w:val="24"/>
          <w:szCs w:val="24"/>
        </w:rPr>
        <w:t>传真：.</w:t>
      </w:r>
    </w:p>
    <w:p>
      <w:pPr>
        <w:spacing w:line="500" w:lineRule="exact"/>
        <w:jc w:val="left"/>
        <w:rPr>
          <w:rFonts w:hint="eastAsia" w:ascii="宋体" w:hAnsi="宋体" w:eastAsia="宋体" w:cs="宋体"/>
          <w:sz w:val="24"/>
          <w:szCs w:val="24"/>
        </w:rPr>
      </w:pPr>
    </w:p>
    <w:p>
      <w:pPr>
        <w:spacing w:line="500" w:lineRule="exact"/>
        <w:ind w:firstLine="5760" w:firstLineChars="2400"/>
        <w:jc w:val="left"/>
        <w:rPr>
          <w:rFonts w:hint="eastAsia" w:ascii="宋体" w:hAnsi="宋体" w:eastAsia="宋体" w:cs="宋体"/>
          <w:sz w:val="24"/>
          <w:szCs w:val="24"/>
        </w:rPr>
      </w:pPr>
      <w:r>
        <w:rPr>
          <w:rFonts w:hint="eastAsia" w:ascii="宋体" w:hAnsi="宋体" w:eastAsia="宋体" w:cs="宋体"/>
          <w:sz w:val="24"/>
          <w:szCs w:val="24"/>
        </w:rPr>
        <w:t>年    月    日</w:t>
      </w:r>
    </w:p>
    <w:p>
      <w:pPr>
        <w:pStyle w:val="30"/>
        <w:jc w:val="left"/>
        <w:rPr>
          <w:rFonts w:hint="eastAsia" w:ascii="宋体" w:hAnsi="宋体" w:eastAsia="宋体" w:cs="宋体"/>
          <w:sz w:val="24"/>
          <w:szCs w:val="24"/>
        </w:rPr>
        <w:sectPr>
          <w:headerReference r:id="rId9" w:type="default"/>
          <w:footnotePr>
            <w:numFmt w:val="decimalEnclosedCircleChinese"/>
            <w:numRestart w:val="eachPage"/>
          </w:footnotePr>
          <w:pgSz w:w="11906" w:h="16838"/>
          <w:pgMar w:top="1304" w:right="1304" w:bottom="1304" w:left="1531" w:header="851" w:footer="850" w:gutter="0"/>
          <w:cols w:space="0" w:num="1"/>
          <w:docGrid w:type="lines" w:linePitch="339" w:charSpace="0"/>
        </w:sectPr>
      </w:pPr>
    </w:p>
    <w:p>
      <w:pPr>
        <w:pStyle w:val="4"/>
        <w:snapToGrid w:val="0"/>
        <w:spacing w:before="0" w:after="0" w:line="240" w:lineRule="auto"/>
        <w:jc w:val="center"/>
        <w:rPr>
          <w:rFonts w:hint="eastAsia" w:ascii="宋体" w:hAnsi="宋体" w:eastAsia="宋体" w:cs="宋体"/>
          <w:b/>
          <w:bCs w:val="0"/>
          <w:color w:val="000000"/>
          <w:sz w:val="32"/>
          <w:szCs w:val="32"/>
        </w:rPr>
      </w:pPr>
      <w:bookmarkStart w:id="274" w:name="_Toc3898"/>
      <w:r>
        <w:rPr>
          <w:rFonts w:hint="eastAsia" w:ascii="宋体" w:hAnsi="宋体" w:eastAsia="宋体" w:cs="宋体"/>
          <w:b/>
          <w:bCs w:val="0"/>
          <w:color w:val="000000"/>
          <w:sz w:val="32"/>
          <w:szCs w:val="32"/>
        </w:rPr>
        <w:t>第六章 竞争性磋商响应文件格式</w:t>
      </w:r>
      <w:bookmarkEnd w:id="258"/>
      <w:bookmarkEnd w:id="259"/>
      <w:bookmarkEnd w:id="260"/>
      <w:bookmarkEnd w:id="274"/>
    </w:p>
    <w:p>
      <w:pPr>
        <w:pStyle w:val="151"/>
        <w:snapToGrid w:val="0"/>
        <w:spacing w:line="360" w:lineRule="auto"/>
        <w:jc w:val="center"/>
        <w:rPr>
          <w:rFonts w:hint="eastAsia" w:ascii="宋体" w:hAnsi="宋体" w:eastAsia="宋体" w:cs="宋体"/>
          <w:sz w:val="24"/>
          <w:szCs w:val="24"/>
        </w:rPr>
      </w:pPr>
    </w:p>
    <w:p>
      <w:pPr>
        <w:pStyle w:val="151"/>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目录</w:t>
      </w:r>
    </w:p>
    <w:p>
      <w:pPr>
        <w:pStyle w:val="84"/>
        <w:snapToGrid w:val="0"/>
        <w:spacing w:line="360" w:lineRule="auto"/>
        <w:outlineLvl w:val="1"/>
        <w:rPr>
          <w:rFonts w:hint="eastAsia" w:ascii="宋体" w:hAnsi="宋体" w:eastAsia="宋体" w:cs="宋体"/>
          <w:kern w:val="0"/>
          <w:sz w:val="24"/>
          <w:szCs w:val="24"/>
        </w:rPr>
      </w:pPr>
      <w:bookmarkStart w:id="275" w:name="_Toc7183"/>
      <w:r>
        <w:rPr>
          <w:rFonts w:hint="eastAsia" w:ascii="宋体" w:hAnsi="宋体" w:eastAsia="宋体" w:cs="宋体"/>
          <w:kern w:val="0"/>
          <w:sz w:val="24"/>
          <w:szCs w:val="24"/>
        </w:rPr>
        <w:t>一、资格审查材料</w:t>
      </w:r>
      <w:bookmarkEnd w:id="275"/>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（一）具有独立承担民事责任的能力</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（二）具有良好的商业信誉和健全的财务会计制度</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（三）具有履行合同所必需的设备和专业技术能力</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（四）有依法缴纳税收和社会保障资金的良好记录</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 xml:space="preserve">（五）参加政府采购活动前三年内，在经营活动中没有重大违法记录 </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（六）特定资格要求</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（七）联合体协议书</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（八）信用记录查询</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（九）投标保证金</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（十）不参与围标串标承诺书</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（十一）法律、行政法规规定的其他条件</w:t>
      </w:r>
    </w:p>
    <w:p>
      <w:pPr>
        <w:pStyle w:val="84"/>
        <w:snapToGrid w:val="0"/>
        <w:spacing w:line="360" w:lineRule="auto"/>
        <w:outlineLvl w:val="1"/>
        <w:rPr>
          <w:rFonts w:hint="eastAsia" w:ascii="宋体" w:hAnsi="宋体" w:eastAsia="宋体" w:cs="宋体"/>
          <w:kern w:val="0"/>
          <w:sz w:val="24"/>
          <w:szCs w:val="24"/>
        </w:rPr>
      </w:pPr>
      <w:bookmarkStart w:id="276" w:name="_Toc22550"/>
      <w:r>
        <w:rPr>
          <w:rFonts w:hint="eastAsia" w:ascii="宋体" w:hAnsi="宋体" w:eastAsia="宋体" w:cs="宋体"/>
          <w:kern w:val="0"/>
          <w:sz w:val="24"/>
          <w:szCs w:val="24"/>
        </w:rPr>
        <w:t>二、商务文件组成</w:t>
      </w:r>
      <w:bookmarkEnd w:id="276"/>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（一）竞争性磋商函</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（二）磋商报价一览表</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（三）竞争性磋商报价明细表</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（四）商务响应、偏离说明表</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（五）供应商项目业绩表</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（六）组织服务能力</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（七）中小企业声明函</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（八）供应商认为需要提交的其他材料</w:t>
      </w:r>
    </w:p>
    <w:p>
      <w:pPr>
        <w:pStyle w:val="84"/>
        <w:snapToGrid w:val="0"/>
        <w:spacing w:line="360" w:lineRule="auto"/>
        <w:ind w:firstLine="240" w:firstLineChars="100"/>
        <w:outlineLvl w:val="1"/>
        <w:rPr>
          <w:rFonts w:hint="eastAsia" w:ascii="宋体" w:hAnsi="宋体" w:eastAsia="宋体" w:cs="宋体"/>
          <w:kern w:val="0"/>
          <w:sz w:val="24"/>
          <w:szCs w:val="24"/>
        </w:rPr>
      </w:pPr>
      <w:bookmarkStart w:id="277" w:name="_Toc31969"/>
      <w:r>
        <w:rPr>
          <w:rFonts w:hint="eastAsia" w:ascii="宋体" w:hAnsi="宋体" w:eastAsia="宋体" w:cs="宋体"/>
          <w:kern w:val="0"/>
          <w:sz w:val="24"/>
          <w:szCs w:val="24"/>
        </w:rPr>
        <w:t>三、技术文件组成</w:t>
      </w:r>
      <w:bookmarkEnd w:id="277"/>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（一）技术响应、偏离说明表</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（二）技术方案</w:t>
      </w:r>
    </w:p>
    <w:p>
      <w:pPr>
        <w:pStyle w:val="84"/>
        <w:snapToGrid w:val="0"/>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（三）供应商认为需要说明的其他技术方案</w:t>
      </w:r>
    </w:p>
    <w:p>
      <w:pPr>
        <w:widowControl/>
        <w:snapToGrid w:val="0"/>
        <w:jc w:val="left"/>
        <w:rPr>
          <w:rFonts w:hint="eastAsia" w:ascii="宋体" w:hAnsi="宋体" w:eastAsia="宋体" w:cs="宋体"/>
          <w:b/>
          <w:sz w:val="24"/>
          <w:szCs w:val="24"/>
        </w:rPr>
      </w:pPr>
      <w:r>
        <w:rPr>
          <w:rFonts w:hint="eastAsia" w:ascii="宋体" w:hAnsi="宋体" w:eastAsia="宋体" w:cs="宋体"/>
          <w:b/>
          <w:sz w:val="24"/>
          <w:szCs w:val="24"/>
        </w:rPr>
        <w:br w:type="page"/>
      </w:r>
    </w:p>
    <w:p>
      <w:pPr>
        <w:pStyle w:val="84"/>
        <w:snapToGrid w:val="0"/>
        <w:spacing w:line="360" w:lineRule="auto"/>
        <w:outlineLvl w:val="2"/>
        <w:rPr>
          <w:rFonts w:hint="eastAsia" w:ascii="宋体" w:hAnsi="宋体" w:eastAsia="宋体" w:cs="宋体"/>
          <w:b/>
          <w:sz w:val="24"/>
          <w:szCs w:val="24"/>
        </w:rPr>
      </w:pPr>
      <w:bookmarkStart w:id="278" w:name="_Toc17040"/>
      <w:r>
        <w:rPr>
          <w:rFonts w:hint="eastAsia" w:ascii="宋体" w:hAnsi="宋体" w:eastAsia="宋体" w:cs="宋体"/>
          <w:b/>
          <w:sz w:val="24"/>
          <w:szCs w:val="24"/>
        </w:rPr>
        <w:t>响应文件封面</w:t>
      </w:r>
      <w:bookmarkEnd w:id="278"/>
    </w:p>
    <w:p>
      <w:pPr>
        <w:pStyle w:val="84"/>
        <w:snapToGrid w:val="0"/>
        <w:spacing w:line="360" w:lineRule="auto"/>
        <w:jc w:val="center"/>
        <w:rPr>
          <w:rFonts w:hint="eastAsia" w:ascii="宋体" w:hAnsi="宋体" w:eastAsia="宋体" w:cs="宋体"/>
          <w:sz w:val="24"/>
          <w:szCs w:val="24"/>
        </w:rPr>
      </w:pPr>
    </w:p>
    <w:p>
      <w:pPr>
        <w:pStyle w:val="84"/>
        <w:snapToGrid w:val="0"/>
        <w:spacing w:line="360" w:lineRule="auto"/>
        <w:jc w:val="center"/>
        <w:rPr>
          <w:rFonts w:hint="eastAsia" w:ascii="宋体" w:hAnsi="宋体" w:eastAsia="宋体" w:cs="宋体"/>
          <w:sz w:val="24"/>
          <w:szCs w:val="24"/>
          <w:u w:val="single"/>
        </w:rPr>
      </w:pPr>
      <w:r>
        <w:rPr>
          <w:rFonts w:hint="eastAsia" w:ascii="宋体" w:hAnsi="宋体" w:eastAsia="宋体" w:cs="宋体"/>
          <w:sz w:val="24"/>
          <w:szCs w:val="24"/>
          <w:u w:val="single"/>
        </w:rPr>
        <w:t>（项目名称）</w:t>
      </w:r>
    </w:p>
    <w:p>
      <w:pPr>
        <w:pStyle w:val="84"/>
        <w:snapToGrid w:val="0"/>
        <w:spacing w:line="360" w:lineRule="auto"/>
        <w:jc w:val="center"/>
        <w:rPr>
          <w:rFonts w:hint="eastAsia" w:ascii="宋体" w:hAnsi="宋体" w:eastAsia="宋体" w:cs="宋体"/>
          <w:sz w:val="24"/>
          <w:szCs w:val="24"/>
        </w:rPr>
      </w:pPr>
    </w:p>
    <w:p>
      <w:pPr>
        <w:pStyle w:val="84"/>
        <w:snapToGrid w:val="0"/>
        <w:spacing w:line="360" w:lineRule="auto"/>
        <w:jc w:val="center"/>
        <w:rPr>
          <w:rFonts w:hint="eastAsia" w:ascii="宋体" w:hAnsi="宋体" w:eastAsia="宋体" w:cs="宋体"/>
          <w:sz w:val="24"/>
          <w:szCs w:val="24"/>
          <w:u w:val="single"/>
        </w:rPr>
      </w:pPr>
      <w:r>
        <w:rPr>
          <w:rFonts w:hint="eastAsia" w:ascii="宋体" w:hAnsi="宋体" w:eastAsia="宋体" w:cs="宋体"/>
          <w:sz w:val="24"/>
          <w:szCs w:val="24"/>
          <w:u w:val="single"/>
        </w:rPr>
        <w:t>（项目编号）</w:t>
      </w:r>
    </w:p>
    <w:p>
      <w:pPr>
        <w:pStyle w:val="84"/>
        <w:snapToGrid w:val="0"/>
        <w:spacing w:line="360" w:lineRule="auto"/>
        <w:jc w:val="center"/>
        <w:rPr>
          <w:rFonts w:hint="eastAsia" w:ascii="宋体" w:hAnsi="宋体" w:eastAsia="宋体" w:cs="宋体"/>
          <w:sz w:val="24"/>
          <w:szCs w:val="24"/>
        </w:rPr>
      </w:pPr>
    </w:p>
    <w:p>
      <w:pPr>
        <w:pStyle w:val="84"/>
        <w:snapToGrid w:val="0"/>
        <w:spacing w:line="360" w:lineRule="auto"/>
        <w:rPr>
          <w:rFonts w:hint="eastAsia" w:ascii="宋体" w:hAnsi="宋体" w:eastAsia="宋体" w:cs="宋体"/>
          <w:sz w:val="24"/>
          <w:szCs w:val="24"/>
        </w:rPr>
      </w:pPr>
    </w:p>
    <w:p>
      <w:pPr>
        <w:pStyle w:val="84"/>
        <w:snapToGrid w:val="0"/>
        <w:spacing w:line="360" w:lineRule="auto"/>
        <w:jc w:val="center"/>
        <w:rPr>
          <w:rFonts w:hint="eastAsia" w:ascii="宋体" w:hAnsi="宋体" w:eastAsia="宋体" w:cs="宋体"/>
          <w:sz w:val="24"/>
          <w:szCs w:val="24"/>
        </w:rPr>
      </w:pPr>
    </w:p>
    <w:p>
      <w:pPr>
        <w:pStyle w:val="84"/>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响应文件</w:t>
      </w:r>
    </w:p>
    <w:p>
      <w:pPr>
        <w:pStyle w:val="84"/>
        <w:snapToGrid w:val="0"/>
        <w:spacing w:line="360" w:lineRule="auto"/>
        <w:jc w:val="center"/>
        <w:rPr>
          <w:rFonts w:hint="eastAsia" w:ascii="宋体" w:hAnsi="宋体" w:eastAsia="宋体" w:cs="宋体"/>
          <w:sz w:val="24"/>
          <w:szCs w:val="24"/>
        </w:rPr>
      </w:pPr>
    </w:p>
    <w:p>
      <w:pPr>
        <w:pStyle w:val="84"/>
        <w:snapToGrid w:val="0"/>
        <w:spacing w:line="360" w:lineRule="auto"/>
        <w:rPr>
          <w:rFonts w:hint="eastAsia" w:ascii="宋体" w:hAnsi="宋体" w:eastAsia="宋体" w:cs="宋体"/>
          <w:sz w:val="24"/>
          <w:szCs w:val="24"/>
        </w:rPr>
      </w:pPr>
    </w:p>
    <w:p>
      <w:pPr>
        <w:pStyle w:val="84"/>
        <w:snapToGrid w:val="0"/>
        <w:spacing w:line="360" w:lineRule="auto"/>
        <w:rPr>
          <w:rFonts w:hint="eastAsia" w:ascii="宋体" w:hAnsi="宋体" w:eastAsia="宋体" w:cs="宋体"/>
          <w:b/>
          <w:sz w:val="24"/>
          <w:szCs w:val="24"/>
        </w:rPr>
      </w:pPr>
    </w:p>
    <w:p>
      <w:pPr>
        <w:pStyle w:val="84"/>
        <w:snapToGrid w:val="0"/>
        <w:spacing w:line="360" w:lineRule="auto"/>
        <w:rPr>
          <w:rFonts w:hint="eastAsia" w:ascii="宋体" w:hAnsi="宋体" w:eastAsia="宋体" w:cs="宋体"/>
          <w:b/>
          <w:sz w:val="24"/>
          <w:szCs w:val="24"/>
        </w:rPr>
      </w:pPr>
    </w:p>
    <w:p>
      <w:pPr>
        <w:pStyle w:val="84"/>
        <w:snapToGrid w:val="0"/>
        <w:spacing w:line="360" w:lineRule="auto"/>
        <w:jc w:val="center"/>
        <w:rPr>
          <w:rFonts w:hint="eastAsia" w:ascii="宋体" w:hAnsi="宋体" w:eastAsia="宋体" w:cs="宋体"/>
          <w:b/>
          <w:sz w:val="24"/>
          <w:szCs w:val="24"/>
        </w:rPr>
      </w:pPr>
    </w:p>
    <w:p>
      <w:pPr>
        <w:pStyle w:val="84"/>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供应商：（盖章）</w:t>
      </w:r>
    </w:p>
    <w:p>
      <w:pPr>
        <w:pStyle w:val="84"/>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法定代表人或其授权委托人：（签字或盖章）</w:t>
      </w:r>
    </w:p>
    <w:p>
      <w:pPr>
        <w:pStyle w:val="84"/>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日期：（年/月/日）</w:t>
      </w:r>
    </w:p>
    <w:p>
      <w:pPr>
        <w:pStyle w:val="99"/>
        <w:snapToGrid w:val="0"/>
        <w:spacing w:line="360" w:lineRule="auto"/>
        <w:jc w:val="center"/>
        <w:outlineLvl w:val="1"/>
        <w:rPr>
          <w:rFonts w:hint="eastAsia" w:ascii="宋体" w:hAnsi="宋体" w:eastAsia="宋体" w:cs="宋体"/>
          <w:sz w:val="24"/>
          <w:szCs w:val="24"/>
        </w:rPr>
      </w:pPr>
      <w:r>
        <w:rPr>
          <w:rFonts w:hint="eastAsia" w:ascii="宋体" w:hAnsi="宋体" w:eastAsia="宋体" w:cs="宋体"/>
          <w:sz w:val="24"/>
          <w:szCs w:val="24"/>
        </w:rPr>
        <w:br w:type="page"/>
      </w:r>
      <w:bookmarkStart w:id="279" w:name="_Toc106384004"/>
      <w:bookmarkStart w:id="280" w:name="_Toc22849"/>
      <w:r>
        <w:rPr>
          <w:rFonts w:hint="eastAsia" w:ascii="宋体" w:hAnsi="宋体" w:eastAsia="宋体" w:cs="宋体"/>
          <w:sz w:val="24"/>
          <w:szCs w:val="24"/>
        </w:rPr>
        <w:t>一、资格审查材料</w:t>
      </w:r>
      <w:bookmarkEnd w:id="279"/>
      <w:bookmarkEnd w:id="280"/>
    </w:p>
    <w:p>
      <w:pPr>
        <w:pStyle w:val="102"/>
        <w:snapToGrid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102"/>
        <w:snapToGrid w:val="0"/>
        <w:spacing w:line="360" w:lineRule="auto"/>
        <w:outlineLvl w:val="2"/>
        <w:rPr>
          <w:rFonts w:hint="eastAsia" w:ascii="宋体" w:hAnsi="宋体" w:eastAsia="宋体" w:cs="宋体"/>
          <w:sz w:val="24"/>
          <w:szCs w:val="24"/>
        </w:rPr>
      </w:pPr>
      <w:bookmarkStart w:id="281" w:name="_Toc97051800"/>
      <w:bookmarkStart w:id="282" w:name="_Toc76479618"/>
      <w:bookmarkStart w:id="283" w:name="_Toc4640"/>
      <w:bookmarkStart w:id="284" w:name="_Toc96426861"/>
      <w:bookmarkStart w:id="285" w:name="_Toc106384005"/>
      <w:bookmarkStart w:id="286" w:name="_Toc98436646"/>
      <w:bookmarkStart w:id="287" w:name="_Toc76680623"/>
      <w:bookmarkStart w:id="288" w:name="_Toc76665144"/>
      <w:r>
        <w:rPr>
          <w:rFonts w:hint="eastAsia" w:ascii="宋体" w:hAnsi="宋体" w:eastAsia="宋体" w:cs="宋体"/>
          <w:sz w:val="24"/>
          <w:szCs w:val="24"/>
        </w:rPr>
        <w:t>（一）具有独立承担民事责任的能力；</w:t>
      </w:r>
      <w:bookmarkEnd w:id="281"/>
      <w:bookmarkEnd w:id="282"/>
      <w:bookmarkEnd w:id="283"/>
      <w:bookmarkEnd w:id="284"/>
      <w:bookmarkEnd w:id="285"/>
      <w:bookmarkEnd w:id="286"/>
      <w:bookmarkEnd w:id="287"/>
      <w:bookmarkEnd w:id="288"/>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法人或者其他组织的营业执照等证明文件，自然人的身份证明；</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供应商是企业（包括合伙企业）的，应提供其在工商部门注册的有效“企业法人营业执照”或“营业执照”的复印件；</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供应商是事业单位的，应提供其有效的“事业单位法人证书”复印件；</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供应商是非企业专业服务机构的，应提供其有效的执业许可证复印件；</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供应商是个体工商户的，应提供其有效的“个体工商户营业执照”复印件；</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供应商是自然人的，应提供其有效的自然人身份证明；</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联合体各方均应提供</w:t>
      </w:r>
    </w:p>
    <w:p>
      <w:pPr>
        <w:pStyle w:val="102"/>
        <w:snapToGrid w:val="0"/>
        <w:spacing w:line="360" w:lineRule="auto"/>
        <w:outlineLvl w:val="2"/>
        <w:rPr>
          <w:rFonts w:hint="eastAsia" w:ascii="宋体" w:hAnsi="宋体" w:eastAsia="宋体" w:cs="宋体"/>
          <w:sz w:val="24"/>
          <w:szCs w:val="24"/>
        </w:rPr>
      </w:pPr>
      <w:bookmarkStart w:id="289" w:name="_Toc76680624"/>
      <w:bookmarkStart w:id="290" w:name="_Toc98436647"/>
      <w:bookmarkStart w:id="291" w:name="_Toc76479619"/>
      <w:bookmarkStart w:id="292" w:name="_Toc76665145"/>
      <w:bookmarkStart w:id="293" w:name="_Toc96426862"/>
      <w:bookmarkStart w:id="294" w:name="_Toc97051801"/>
      <w:bookmarkStart w:id="295" w:name="_Toc106384006"/>
      <w:bookmarkStart w:id="296" w:name="_Toc5148"/>
      <w:r>
        <w:rPr>
          <w:rFonts w:hint="eastAsia" w:ascii="宋体" w:hAnsi="宋体" w:eastAsia="宋体" w:cs="宋体"/>
          <w:sz w:val="24"/>
          <w:szCs w:val="24"/>
        </w:rPr>
        <w:t>（二）具有良好的商业信誉和健全的财务会计制度；</w:t>
      </w:r>
      <w:bookmarkEnd w:id="289"/>
      <w:bookmarkEnd w:id="290"/>
      <w:bookmarkEnd w:id="291"/>
      <w:bookmarkEnd w:id="292"/>
      <w:bookmarkEnd w:id="293"/>
      <w:bookmarkEnd w:id="294"/>
      <w:bookmarkEnd w:id="295"/>
      <w:bookmarkEnd w:id="296"/>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供应商是法人的，应提供本单位2022年度或近期的财务报告（表）复印件，或银行出具的有效的资信证明。</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银行资信证明可提供原件，也可提供银行开具有效期内资信证明的复印件，对于资信证明文件中写明“复印无效”的应提供原件。银行资信证明的抬头可以与采购人或采购代理机构名称不同。</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供应商是其他组织或自然人的，应提供银行出具的资信证明。</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银行资信证明应能说明该供应商与银行之间业务往来正常，无不良记录，企业信誉良好等。银行出具的存款证明不能作为银行资信证明。</w:t>
      </w:r>
    </w:p>
    <w:p>
      <w:pPr>
        <w:widowControl/>
        <w:snapToGrid w:val="0"/>
        <w:jc w:val="left"/>
        <w:rPr>
          <w:rFonts w:hint="eastAsia" w:ascii="宋体" w:hAnsi="宋体" w:eastAsia="宋体" w:cs="宋体"/>
          <w:b/>
          <w:kern w:val="0"/>
          <w:sz w:val="24"/>
          <w:szCs w:val="24"/>
        </w:rPr>
      </w:pPr>
      <w:bookmarkStart w:id="297" w:name="_Toc76479620"/>
      <w:bookmarkStart w:id="298" w:name="_Toc96426863"/>
      <w:bookmarkStart w:id="299" w:name="_Toc98436648"/>
      <w:bookmarkStart w:id="300" w:name="_Toc97051802"/>
      <w:bookmarkStart w:id="301" w:name="_Toc76665146"/>
      <w:bookmarkStart w:id="302" w:name="_Toc76680625"/>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03" w:name="_Toc106384007"/>
      <w:bookmarkStart w:id="304" w:name="_Toc24075"/>
      <w:r>
        <w:rPr>
          <w:rFonts w:hint="eastAsia" w:ascii="宋体" w:hAnsi="宋体" w:eastAsia="宋体" w:cs="宋体"/>
          <w:sz w:val="24"/>
          <w:szCs w:val="24"/>
        </w:rPr>
        <w:t>（三）具有履行合同所必需的设备和专业技术能力；</w:t>
      </w:r>
      <w:bookmarkEnd w:id="297"/>
      <w:bookmarkEnd w:id="298"/>
      <w:bookmarkEnd w:id="299"/>
      <w:bookmarkEnd w:id="300"/>
      <w:bookmarkEnd w:id="301"/>
      <w:bookmarkEnd w:id="302"/>
      <w:bookmarkEnd w:id="303"/>
      <w:bookmarkEnd w:id="304"/>
    </w:p>
    <w:p>
      <w:pPr>
        <w:pStyle w:val="151"/>
        <w:snapToGrid w:val="0"/>
        <w:spacing w:line="360" w:lineRule="auto"/>
        <w:ind w:firstLine="240" w:firstLineChars="100"/>
        <w:rPr>
          <w:rFonts w:hint="eastAsia" w:ascii="宋体" w:hAnsi="宋体" w:eastAsia="宋体" w:cs="宋体"/>
          <w:sz w:val="24"/>
          <w:szCs w:val="24"/>
        </w:rPr>
      </w:pPr>
    </w:p>
    <w:p>
      <w:pPr>
        <w:pStyle w:val="151"/>
        <w:snapToGrid w:val="0"/>
        <w:spacing w:line="36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rPr>
        <w:t>提供承诺书：</w:t>
      </w:r>
    </w:p>
    <w:p>
      <w:pPr>
        <w:adjustRightInd w:val="0"/>
        <w:snapToGrid w:val="0"/>
        <w:spacing w:line="360" w:lineRule="auto"/>
        <w:jc w:val="center"/>
        <w:rPr>
          <w:rFonts w:hint="eastAsia" w:ascii="宋体" w:hAnsi="宋体" w:eastAsia="宋体" w:cs="宋体"/>
          <w:b/>
          <w:sz w:val="24"/>
          <w:szCs w:val="24"/>
        </w:rPr>
      </w:pPr>
    </w:p>
    <w:p>
      <w:pPr>
        <w:adjustRightInd w:val="0"/>
        <w:snapToGrid w:val="0"/>
        <w:spacing w:line="360" w:lineRule="auto"/>
        <w:jc w:val="center"/>
        <w:outlineLvl w:val="3"/>
        <w:rPr>
          <w:rFonts w:hint="eastAsia" w:ascii="宋体" w:hAnsi="宋体" w:eastAsia="宋体" w:cs="宋体"/>
          <w:b/>
          <w:sz w:val="24"/>
          <w:szCs w:val="24"/>
        </w:rPr>
      </w:pPr>
      <w:r>
        <w:rPr>
          <w:rFonts w:hint="eastAsia" w:ascii="宋体" w:hAnsi="宋体" w:eastAsia="宋体" w:cs="宋体"/>
          <w:b/>
          <w:sz w:val="24"/>
          <w:szCs w:val="24"/>
        </w:rPr>
        <w:t>具备履行合同所必需的设备和专业技术能力的承诺</w:t>
      </w:r>
    </w:p>
    <w:p>
      <w:pPr>
        <w:adjustRightInd w:val="0"/>
        <w:snapToGrid w:val="0"/>
        <w:spacing w:line="48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tabs>
          <w:tab w:val="left" w:pos="3060"/>
          <w:tab w:val="left" w:pos="5580"/>
        </w:tabs>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本供应商郑重声明： </w:t>
      </w:r>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本公司（或单位）具备本项目履行合同所必需的设备和专业技术能力，并承诺在项目实施过程中，为保证项目顺利实施及质量，可根据实际需要追加（必要时可进行外购租、外协）专业设备、人员及专业技术能力，此部分费用已包含在报价中。 </w:t>
      </w:r>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snapToGrid w:val="0"/>
        <w:spacing w:line="360" w:lineRule="auto"/>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供应商名称（盖单位章）：</w:t>
      </w:r>
    </w:p>
    <w:p>
      <w:pPr>
        <w:snapToGrid w:val="0"/>
        <w:spacing w:line="360" w:lineRule="auto"/>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法定代表人或期授权委托人（签字或盖章）：</w:t>
      </w:r>
    </w:p>
    <w:p>
      <w:pPr>
        <w:snapToGrid w:val="0"/>
        <w:spacing w:line="360" w:lineRule="auto"/>
        <w:ind w:firstLine="4003" w:firstLineChars="1668"/>
        <w:rPr>
          <w:rFonts w:hint="eastAsia" w:ascii="宋体" w:hAnsi="宋体" w:eastAsia="宋体" w:cs="宋体"/>
          <w:sz w:val="24"/>
          <w:szCs w:val="24"/>
        </w:rPr>
      </w:pPr>
      <w:r>
        <w:rPr>
          <w:rFonts w:hint="eastAsia" w:ascii="宋体" w:hAnsi="宋体" w:eastAsia="宋体" w:cs="宋体"/>
          <w:sz w:val="24"/>
          <w:szCs w:val="24"/>
        </w:rPr>
        <w:t>日    期：          年月日</w:t>
      </w:r>
    </w:p>
    <w:p>
      <w:pPr>
        <w:widowControl/>
        <w:snapToGrid w:val="0"/>
        <w:jc w:val="left"/>
        <w:rPr>
          <w:rFonts w:hint="eastAsia" w:ascii="宋体" w:hAnsi="宋体" w:eastAsia="宋体" w:cs="宋体"/>
          <w:b/>
          <w:kern w:val="0"/>
          <w:sz w:val="24"/>
          <w:szCs w:val="24"/>
        </w:rPr>
      </w:pPr>
      <w:bookmarkStart w:id="305" w:name="_Toc97051803"/>
      <w:bookmarkStart w:id="306" w:name="_Toc96426864"/>
      <w:bookmarkStart w:id="307" w:name="_Toc76680626"/>
      <w:bookmarkStart w:id="308" w:name="_Toc76479621"/>
      <w:bookmarkStart w:id="309" w:name="_Toc98436649"/>
      <w:bookmarkStart w:id="310" w:name="_Toc76665147"/>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11" w:name="_Toc20359"/>
      <w:bookmarkStart w:id="312" w:name="_Toc106384008"/>
      <w:r>
        <w:rPr>
          <w:rFonts w:hint="eastAsia" w:ascii="宋体" w:hAnsi="宋体" w:eastAsia="宋体" w:cs="宋体"/>
          <w:sz w:val="24"/>
          <w:szCs w:val="24"/>
        </w:rPr>
        <w:t>（四）有依法缴纳税收和社会保障资金的良好记录；</w:t>
      </w:r>
      <w:bookmarkEnd w:id="305"/>
      <w:bookmarkEnd w:id="306"/>
      <w:bookmarkEnd w:id="307"/>
      <w:bookmarkEnd w:id="308"/>
      <w:bookmarkEnd w:id="309"/>
      <w:bookmarkEnd w:id="310"/>
      <w:bookmarkEnd w:id="311"/>
      <w:bookmarkEnd w:id="312"/>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缴纳税收的证明材料，应提供磋商响应文件递交截止前三个月依法缴纳社保证明凭据复印件，指供应商缴纳增值税、营业税和企业所得税等缴纳凭据（完税证或缴款书或印花税票或银行代扣（代缴）转账凭证等均可）；</w:t>
      </w:r>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（2）缴纳社会保障资金的证明材料，应提供磋商响应文件递交截止前三月的缴纳社会保险的凭据（专用收据或社会保险缴纳清单）；</w:t>
      </w:r>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供应商是其他组织和自然人的，需要提供磋商响应文件递交截止前三月的缴纳税收和社会保险的凭据（专用收据或社会保险缴纳清单）。</w:t>
      </w:r>
    </w:p>
    <w:p>
      <w:pPr>
        <w:tabs>
          <w:tab w:val="left" w:pos="3060"/>
          <w:tab w:val="left" w:pos="5580"/>
        </w:tabs>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如供应商的社会保险为委托第三方社会中介机构代缴，还需同时提供供应商与第三方服务机构签署的服务合同（合同中应明确写明第三方为供应商代缴其社会保险）。</w:t>
      </w:r>
    </w:p>
    <w:p>
      <w:pPr>
        <w:widowControl/>
        <w:snapToGrid w:val="0"/>
        <w:jc w:val="left"/>
        <w:rPr>
          <w:rFonts w:hint="eastAsia" w:ascii="宋体" w:hAnsi="宋体" w:eastAsia="宋体" w:cs="宋体"/>
          <w:b/>
          <w:kern w:val="0"/>
          <w:sz w:val="24"/>
          <w:szCs w:val="24"/>
        </w:rPr>
      </w:pPr>
      <w:bookmarkStart w:id="313" w:name="_Toc98436650"/>
      <w:bookmarkStart w:id="314" w:name="_Toc76479622"/>
      <w:bookmarkStart w:id="315" w:name="_Toc97051804"/>
      <w:bookmarkStart w:id="316" w:name="_Toc76665148"/>
      <w:bookmarkStart w:id="317" w:name="_Toc96426865"/>
      <w:bookmarkStart w:id="318" w:name="_Toc76680627"/>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19" w:name="_Toc106384009"/>
      <w:bookmarkStart w:id="320" w:name="_Toc4205"/>
      <w:r>
        <w:rPr>
          <w:rFonts w:hint="eastAsia" w:ascii="宋体" w:hAnsi="宋体" w:eastAsia="宋体" w:cs="宋体"/>
          <w:sz w:val="24"/>
          <w:szCs w:val="24"/>
        </w:rPr>
        <w:t>（五）参加政府采购活动前三年内，在经营活动中没有重大违法记录；</w:t>
      </w:r>
      <w:bookmarkEnd w:id="313"/>
      <w:bookmarkEnd w:id="314"/>
      <w:bookmarkEnd w:id="315"/>
      <w:bookmarkEnd w:id="316"/>
      <w:bookmarkEnd w:id="317"/>
      <w:bookmarkEnd w:id="318"/>
      <w:bookmarkEnd w:id="319"/>
      <w:bookmarkEnd w:id="320"/>
    </w:p>
    <w:p>
      <w:pPr>
        <w:widowControl/>
        <w:adjustRightInd w:val="0"/>
        <w:snapToGrid w:val="0"/>
        <w:spacing w:line="360" w:lineRule="auto"/>
        <w:jc w:val="center"/>
        <w:rPr>
          <w:rFonts w:hint="eastAsia" w:ascii="宋体" w:hAnsi="宋体" w:eastAsia="宋体" w:cs="宋体"/>
          <w:b/>
          <w:sz w:val="24"/>
          <w:szCs w:val="24"/>
        </w:rPr>
      </w:pPr>
    </w:p>
    <w:p>
      <w:pPr>
        <w:widowControl/>
        <w:adjustRightInd w:val="0"/>
        <w:snapToGrid w:val="0"/>
        <w:spacing w:line="360" w:lineRule="auto"/>
        <w:jc w:val="center"/>
        <w:outlineLvl w:val="3"/>
        <w:rPr>
          <w:rFonts w:hint="eastAsia" w:ascii="宋体" w:hAnsi="宋体" w:eastAsia="宋体" w:cs="宋体"/>
          <w:b/>
          <w:sz w:val="24"/>
          <w:szCs w:val="24"/>
        </w:rPr>
      </w:pPr>
      <w:r>
        <w:rPr>
          <w:rFonts w:hint="eastAsia" w:ascii="宋体" w:hAnsi="宋体" w:eastAsia="宋体" w:cs="宋体"/>
          <w:b/>
          <w:sz w:val="24"/>
          <w:szCs w:val="24"/>
        </w:rPr>
        <w:t>近三年内在经营活动中没有重大违法记录的书面声明</w:t>
      </w:r>
    </w:p>
    <w:p>
      <w:pPr>
        <w:widowControl/>
        <w:adjustRightInd w:val="0"/>
        <w:snapToGrid w:val="0"/>
        <w:spacing w:line="360" w:lineRule="auto"/>
        <w:jc w:val="center"/>
        <w:rPr>
          <w:rFonts w:hint="eastAsia" w:ascii="宋体" w:hAnsi="宋体" w:eastAsia="宋体" w:cs="宋体"/>
          <w:b/>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（采购人）         </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供应商（盖单位章）：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日期：年月</w:t>
      </w:r>
      <w:r>
        <w:rPr>
          <w:rFonts w:hint="eastAsia" w:ascii="宋体" w:hAnsi="宋体" w:eastAsia="宋体" w:cs="宋体"/>
          <w:bCs/>
          <w:sz w:val="24"/>
          <w:szCs w:val="24"/>
        </w:rPr>
        <w:t>日</w:t>
      </w:r>
    </w:p>
    <w:p>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附注：近三年：成立三年以上的，为提交首次响应文件截止时间前三年内；成立不足三年的，为实际时间。</w:t>
      </w:r>
    </w:p>
    <w:p>
      <w:pPr>
        <w:pStyle w:val="102"/>
        <w:snapToGrid w:val="0"/>
        <w:spacing w:line="360" w:lineRule="auto"/>
        <w:jc w:val="center"/>
        <w:outlineLvl w:val="2"/>
        <w:rPr>
          <w:rFonts w:hint="eastAsia" w:ascii="宋体" w:hAnsi="宋体" w:eastAsia="宋体" w:cs="宋体"/>
          <w:sz w:val="24"/>
          <w:szCs w:val="24"/>
        </w:rPr>
      </w:pPr>
      <w:bookmarkStart w:id="321" w:name="_Toc106384010"/>
      <w:bookmarkStart w:id="322" w:name="_Toc17436"/>
      <w:bookmarkStart w:id="323" w:name="_Toc97051806"/>
      <w:bookmarkStart w:id="324" w:name="_Toc98436652"/>
      <w:bookmarkStart w:id="325" w:name="_Toc76479624"/>
      <w:bookmarkStart w:id="326" w:name="_Toc96426867"/>
      <w:bookmarkStart w:id="327" w:name="_Toc76665150"/>
      <w:bookmarkStart w:id="328" w:name="_Toc76680629"/>
      <w:r>
        <w:rPr>
          <w:rFonts w:hint="eastAsia" w:ascii="宋体" w:hAnsi="宋体" w:eastAsia="宋体" w:cs="宋体"/>
          <w:sz w:val="24"/>
          <w:szCs w:val="24"/>
        </w:rPr>
        <w:t>（六）特定资格要求</w:t>
      </w:r>
      <w:bookmarkEnd w:id="321"/>
      <w:bookmarkEnd w:id="322"/>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具备交通运输部工程质量监督机构颁发的公路工程试验检测机构综合乙级及以上资质证书，同时具有质量技术监督部门颁发的有效计量认证证书（CMA）。相关证书过期的须作出说明。</w:t>
      </w:r>
    </w:p>
    <w:p>
      <w:pPr>
        <w:snapToGrid w:val="0"/>
        <w:spacing w:line="360" w:lineRule="auto"/>
        <w:ind w:firstLine="480" w:firstLineChars="200"/>
        <w:rPr>
          <w:rFonts w:hint="eastAsia" w:ascii="宋体" w:hAnsi="宋体" w:eastAsia="宋体" w:cs="宋体"/>
          <w:sz w:val="24"/>
          <w:szCs w:val="24"/>
        </w:rPr>
      </w:pPr>
    </w:p>
    <w:p>
      <w:pPr>
        <w:widowControl/>
        <w:snapToGrid w:val="0"/>
        <w:jc w:val="left"/>
        <w:rPr>
          <w:rFonts w:hint="eastAsia" w:ascii="宋体" w:hAnsi="宋体" w:eastAsia="宋体" w:cs="宋体"/>
          <w:b/>
          <w:kern w:val="0"/>
          <w:sz w:val="24"/>
          <w:szCs w:val="24"/>
        </w:rPr>
      </w:pPr>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29" w:name="_Toc25247"/>
      <w:bookmarkStart w:id="330" w:name="_Toc106384011"/>
      <w:r>
        <w:rPr>
          <w:rFonts w:hint="eastAsia" w:ascii="宋体" w:hAnsi="宋体" w:eastAsia="宋体" w:cs="宋体"/>
          <w:sz w:val="24"/>
          <w:szCs w:val="24"/>
        </w:rPr>
        <w:t>（七）联合体协议书</w:t>
      </w:r>
      <w:bookmarkEnd w:id="329"/>
      <w:bookmarkEnd w:id="330"/>
    </w:p>
    <w:p>
      <w:pPr>
        <w:pStyle w:val="17"/>
        <w:tabs>
          <w:tab w:val="left" w:pos="0"/>
          <w:tab w:val="left" w:pos="2202"/>
          <w:tab w:val="left" w:pos="6000"/>
        </w:tabs>
        <w:kinsoku w:val="0"/>
        <w:overflowPunct w:val="0"/>
        <w:snapToGrid w:val="0"/>
        <w:spacing w:after="0" w:line="360" w:lineRule="auto"/>
        <w:ind w:right="-57" w:rightChars="-27" w:firstLine="960" w:firstLineChars="400"/>
        <w:rPr>
          <w:rFonts w:hint="eastAsia" w:ascii="宋体" w:hAnsi="宋体" w:eastAsia="宋体" w:cs="宋体"/>
          <w:sz w:val="24"/>
          <w:szCs w:val="24"/>
        </w:rPr>
      </w:pPr>
      <w:r>
        <w:rPr>
          <w:rFonts w:hint="eastAsia" w:ascii="宋体" w:hAnsi="宋体" w:eastAsia="宋体" w:cs="宋体"/>
          <w:sz w:val="24"/>
          <w:szCs w:val="24"/>
        </w:rPr>
        <w:t>（所</w:t>
      </w:r>
      <w:r>
        <w:rPr>
          <w:rFonts w:hint="eastAsia" w:ascii="宋体" w:hAnsi="宋体" w:eastAsia="宋体" w:cs="宋体"/>
          <w:spacing w:val="-3"/>
          <w:sz w:val="24"/>
          <w:szCs w:val="24"/>
        </w:rPr>
        <w:t>有</w:t>
      </w:r>
      <w:r>
        <w:rPr>
          <w:rFonts w:hint="eastAsia" w:ascii="宋体" w:hAnsi="宋体" w:eastAsia="宋体" w:cs="宋体"/>
          <w:sz w:val="24"/>
          <w:szCs w:val="24"/>
        </w:rPr>
        <w:t>成员单位名称）自愿组成（联合体名称）联合体，共同参</w:t>
      </w:r>
      <w:r>
        <w:rPr>
          <w:rFonts w:hint="eastAsia" w:ascii="宋体" w:hAnsi="宋体" w:eastAsia="宋体" w:cs="宋体"/>
          <w:spacing w:val="-1"/>
          <w:sz w:val="24"/>
          <w:szCs w:val="24"/>
        </w:rPr>
        <w:t>加</w:t>
      </w:r>
      <w:r>
        <w:rPr>
          <w:rFonts w:hint="eastAsia" w:ascii="宋体" w:hAnsi="宋体" w:eastAsia="宋体" w:cs="宋体"/>
          <w:sz w:val="24"/>
          <w:szCs w:val="24"/>
          <w:u w:val="single"/>
        </w:rPr>
        <w:t>（</w:t>
      </w:r>
      <w:r>
        <w:rPr>
          <w:rFonts w:hint="eastAsia" w:ascii="宋体" w:hAnsi="宋体" w:eastAsia="宋体" w:cs="宋体"/>
          <w:spacing w:val="-3"/>
          <w:sz w:val="24"/>
          <w:szCs w:val="24"/>
          <w:u w:val="single"/>
        </w:rPr>
        <w:t>项</w:t>
      </w:r>
      <w:r>
        <w:rPr>
          <w:rFonts w:hint="eastAsia" w:ascii="宋体" w:hAnsi="宋体" w:eastAsia="宋体" w:cs="宋体"/>
          <w:sz w:val="24"/>
          <w:szCs w:val="24"/>
        </w:rPr>
        <w:t>目名</w:t>
      </w:r>
      <w:r>
        <w:rPr>
          <w:rFonts w:hint="eastAsia" w:ascii="宋体" w:hAnsi="宋体" w:eastAsia="宋体" w:cs="宋体"/>
          <w:spacing w:val="-3"/>
          <w:sz w:val="24"/>
          <w:szCs w:val="24"/>
        </w:rPr>
        <w:t>称</w:t>
      </w:r>
      <w:r>
        <w:rPr>
          <w:rFonts w:hint="eastAsia" w:ascii="宋体" w:hAnsi="宋体" w:eastAsia="宋体" w:cs="宋体"/>
          <w:spacing w:val="-60"/>
          <w:sz w:val="24"/>
          <w:szCs w:val="24"/>
        </w:rPr>
        <w:t>）</w:t>
      </w:r>
      <w:r>
        <w:rPr>
          <w:rFonts w:hint="eastAsia" w:ascii="宋体" w:hAnsi="宋体" w:eastAsia="宋体" w:cs="宋体"/>
          <w:spacing w:val="-3"/>
          <w:sz w:val="24"/>
          <w:szCs w:val="24"/>
        </w:rPr>
        <w:t>项</w:t>
      </w:r>
      <w:r>
        <w:rPr>
          <w:rFonts w:hint="eastAsia" w:ascii="宋体" w:hAnsi="宋体" w:eastAsia="宋体" w:cs="宋体"/>
          <w:spacing w:val="-1"/>
          <w:sz w:val="24"/>
          <w:szCs w:val="24"/>
        </w:rPr>
        <w:t>目</w:t>
      </w:r>
      <w:r>
        <w:rPr>
          <w:rFonts w:hint="eastAsia" w:ascii="宋体" w:hAnsi="宋体" w:eastAsia="宋体" w:cs="宋体"/>
          <w:sz w:val="24"/>
          <w:szCs w:val="24"/>
        </w:rPr>
        <w:t>磋商</w:t>
      </w:r>
      <w:r>
        <w:rPr>
          <w:rFonts w:hint="eastAsia" w:ascii="宋体" w:hAnsi="宋体" w:eastAsia="宋体" w:cs="宋体"/>
          <w:spacing w:val="-60"/>
          <w:sz w:val="24"/>
          <w:szCs w:val="24"/>
        </w:rPr>
        <w:t>。</w:t>
      </w:r>
      <w:r>
        <w:rPr>
          <w:rFonts w:hint="eastAsia" w:ascii="宋体" w:hAnsi="宋体" w:eastAsia="宋体" w:cs="宋体"/>
          <w:spacing w:val="-3"/>
          <w:sz w:val="24"/>
          <w:szCs w:val="24"/>
        </w:rPr>
        <w:t>现</w:t>
      </w:r>
      <w:r>
        <w:rPr>
          <w:rFonts w:hint="eastAsia" w:ascii="宋体" w:hAnsi="宋体" w:eastAsia="宋体" w:cs="宋体"/>
          <w:sz w:val="24"/>
          <w:szCs w:val="24"/>
        </w:rPr>
        <w:t>就</w:t>
      </w:r>
      <w:r>
        <w:rPr>
          <w:rFonts w:hint="eastAsia" w:ascii="宋体" w:hAnsi="宋体" w:eastAsia="宋体" w:cs="宋体"/>
          <w:spacing w:val="-3"/>
          <w:sz w:val="24"/>
          <w:szCs w:val="24"/>
        </w:rPr>
        <w:t>联</w:t>
      </w:r>
      <w:r>
        <w:rPr>
          <w:rFonts w:hint="eastAsia" w:ascii="宋体" w:hAnsi="宋体" w:eastAsia="宋体" w:cs="宋体"/>
          <w:sz w:val="24"/>
          <w:szCs w:val="24"/>
        </w:rPr>
        <w:t>合</w:t>
      </w:r>
      <w:r>
        <w:rPr>
          <w:rFonts w:hint="eastAsia" w:ascii="宋体" w:hAnsi="宋体" w:eastAsia="宋体" w:cs="宋体"/>
          <w:spacing w:val="-3"/>
          <w:sz w:val="24"/>
          <w:szCs w:val="24"/>
        </w:rPr>
        <w:t>体</w:t>
      </w:r>
      <w:r>
        <w:rPr>
          <w:rFonts w:hint="eastAsia" w:ascii="宋体" w:hAnsi="宋体" w:eastAsia="宋体" w:cs="宋体"/>
          <w:sz w:val="24"/>
          <w:szCs w:val="24"/>
        </w:rPr>
        <w:t>投</w:t>
      </w:r>
      <w:r>
        <w:rPr>
          <w:rFonts w:hint="eastAsia" w:ascii="宋体" w:hAnsi="宋体" w:eastAsia="宋体" w:cs="宋体"/>
          <w:spacing w:val="-3"/>
          <w:sz w:val="24"/>
          <w:szCs w:val="24"/>
        </w:rPr>
        <w:t>标</w:t>
      </w:r>
      <w:r>
        <w:rPr>
          <w:rFonts w:hint="eastAsia" w:ascii="宋体" w:hAnsi="宋体" w:eastAsia="宋体" w:cs="宋体"/>
          <w:sz w:val="24"/>
          <w:szCs w:val="24"/>
        </w:rPr>
        <w:t>事宜</w:t>
      </w:r>
      <w:r>
        <w:rPr>
          <w:rFonts w:hint="eastAsia" w:ascii="宋体" w:hAnsi="宋体" w:eastAsia="宋体" w:cs="宋体"/>
          <w:spacing w:val="-3"/>
          <w:sz w:val="24"/>
          <w:szCs w:val="24"/>
        </w:rPr>
        <w:t>订</w:t>
      </w:r>
      <w:r>
        <w:rPr>
          <w:rFonts w:hint="eastAsia" w:ascii="宋体" w:hAnsi="宋体" w:eastAsia="宋体" w:cs="宋体"/>
          <w:sz w:val="24"/>
          <w:szCs w:val="24"/>
        </w:rPr>
        <w:t>立</w:t>
      </w:r>
      <w:r>
        <w:rPr>
          <w:rFonts w:hint="eastAsia" w:ascii="宋体" w:hAnsi="宋体" w:eastAsia="宋体" w:cs="宋体"/>
          <w:spacing w:val="-3"/>
          <w:sz w:val="24"/>
          <w:szCs w:val="24"/>
        </w:rPr>
        <w:t>如下协议</w:t>
      </w:r>
      <w:r>
        <w:rPr>
          <w:rFonts w:hint="eastAsia" w:ascii="宋体" w:hAnsi="宋体" w:eastAsia="宋体" w:cs="宋体"/>
          <w:sz w:val="24"/>
          <w:szCs w:val="24"/>
        </w:rPr>
        <w:t>。</w:t>
      </w:r>
    </w:p>
    <w:p>
      <w:pPr>
        <w:pStyle w:val="17"/>
        <w:tabs>
          <w:tab w:val="left" w:pos="2673"/>
          <w:tab w:val="left" w:pos="5614"/>
        </w:tabs>
        <w:kinsoku w:val="0"/>
        <w:overflowPunct w:val="0"/>
        <w:snapToGrid w:val="0"/>
        <w:spacing w:after="0" w:line="360" w:lineRule="auto"/>
        <w:ind w:right="-57" w:rightChars="-27"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3"/>
          <w:sz w:val="24"/>
          <w:szCs w:val="24"/>
        </w:rPr>
        <w:t>（</w:t>
      </w:r>
      <w:r>
        <w:rPr>
          <w:rFonts w:hint="eastAsia" w:ascii="宋体" w:hAnsi="宋体" w:eastAsia="宋体" w:cs="宋体"/>
          <w:sz w:val="24"/>
          <w:szCs w:val="24"/>
        </w:rPr>
        <w:t>某成</w:t>
      </w:r>
      <w:r>
        <w:rPr>
          <w:rFonts w:hint="eastAsia" w:ascii="宋体" w:hAnsi="宋体" w:eastAsia="宋体" w:cs="宋体"/>
          <w:spacing w:val="-3"/>
          <w:sz w:val="24"/>
          <w:szCs w:val="24"/>
        </w:rPr>
        <w:t>员</w:t>
      </w:r>
      <w:r>
        <w:rPr>
          <w:rFonts w:hint="eastAsia" w:ascii="宋体" w:hAnsi="宋体" w:eastAsia="宋体" w:cs="宋体"/>
          <w:sz w:val="24"/>
          <w:szCs w:val="24"/>
        </w:rPr>
        <w:t>单</w:t>
      </w:r>
      <w:r>
        <w:rPr>
          <w:rFonts w:hint="eastAsia" w:ascii="宋体" w:hAnsi="宋体" w:eastAsia="宋体" w:cs="宋体"/>
          <w:spacing w:val="-3"/>
          <w:sz w:val="24"/>
          <w:szCs w:val="24"/>
        </w:rPr>
        <w:t>位</w:t>
      </w:r>
      <w:r>
        <w:rPr>
          <w:rFonts w:hint="eastAsia" w:ascii="宋体" w:hAnsi="宋体" w:eastAsia="宋体" w:cs="宋体"/>
          <w:sz w:val="24"/>
          <w:szCs w:val="24"/>
        </w:rPr>
        <w:t>名</w:t>
      </w:r>
      <w:r>
        <w:rPr>
          <w:rFonts w:hint="eastAsia" w:ascii="宋体" w:hAnsi="宋体" w:eastAsia="宋体" w:cs="宋体"/>
          <w:spacing w:val="-3"/>
          <w:sz w:val="24"/>
          <w:szCs w:val="24"/>
        </w:rPr>
        <w:t>称</w:t>
      </w:r>
      <w:r>
        <w:rPr>
          <w:rFonts w:hint="eastAsia" w:ascii="宋体" w:hAnsi="宋体" w:eastAsia="宋体" w:cs="宋体"/>
          <w:sz w:val="24"/>
          <w:szCs w:val="24"/>
        </w:rPr>
        <w:t>）</w:t>
      </w:r>
      <w:r>
        <w:rPr>
          <w:rFonts w:hint="eastAsia" w:ascii="宋体" w:hAnsi="宋体" w:eastAsia="宋体" w:cs="宋体"/>
          <w:spacing w:val="-3"/>
          <w:sz w:val="24"/>
          <w:szCs w:val="24"/>
        </w:rPr>
        <w:t>为（</w:t>
      </w:r>
      <w:r>
        <w:rPr>
          <w:rFonts w:hint="eastAsia" w:ascii="宋体" w:hAnsi="宋体" w:eastAsia="宋体" w:cs="宋体"/>
          <w:sz w:val="24"/>
          <w:szCs w:val="24"/>
        </w:rPr>
        <w:t>联</w:t>
      </w:r>
      <w:r>
        <w:rPr>
          <w:rFonts w:hint="eastAsia" w:ascii="宋体" w:hAnsi="宋体" w:eastAsia="宋体" w:cs="宋体"/>
          <w:spacing w:val="-3"/>
          <w:sz w:val="24"/>
          <w:szCs w:val="24"/>
        </w:rPr>
        <w:t>合</w:t>
      </w:r>
      <w:r>
        <w:rPr>
          <w:rFonts w:hint="eastAsia" w:ascii="宋体" w:hAnsi="宋体" w:eastAsia="宋体" w:cs="宋体"/>
          <w:sz w:val="24"/>
          <w:szCs w:val="24"/>
        </w:rPr>
        <w:t>体</w:t>
      </w:r>
      <w:r>
        <w:rPr>
          <w:rFonts w:hint="eastAsia" w:ascii="宋体" w:hAnsi="宋体" w:eastAsia="宋体" w:cs="宋体"/>
          <w:spacing w:val="-3"/>
          <w:sz w:val="24"/>
          <w:szCs w:val="24"/>
        </w:rPr>
        <w:t>名</w:t>
      </w:r>
      <w:r>
        <w:rPr>
          <w:rFonts w:hint="eastAsia" w:ascii="宋体" w:hAnsi="宋体" w:eastAsia="宋体" w:cs="宋体"/>
          <w:sz w:val="24"/>
          <w:szCs w:val="24"/>
        </w:rPr>
        <w:t>称</w:t>
      </w:r>
      <w:r>
        <w:rPr>
          <w:rFonts w:hint="eastAsia" w:ascii="宋体" w:hAnsi="宋体" w:eastAsia="宋体" w:cs="宋体"/>
          <w:spacing w:val="-3"/>
          <w:sz w:val="24"/>
          <w:szCs w:val="24"/>
        </w:rPr>
        <w:t>）</w:t>
      </w:r>
      <w:r>
        <w:rPr>
          <w:rFonts w:hint="eastAsia" w:ascii="宋体" w:hAnsi="宋体" w:eastAsia="宋体" w:cs="宋体"/>
          <w:sz w:val="24"/>
          <w:szCs w:val="24"/>
        </w:rPr>
        <w:t>牵</w:t>
      </w:r>
      <w:r>
        <w:rPr>
          <w:rFonts w:hint="eastAsia" w:ascii="宋体" w:hAnsi="宋体" w:eastAsia="宋体" w:cs="宋体"/>
          <w:spacing w:val="-3"/>
          <w:sz w:val="24"/>
          <w:szCs w:val="24"/>
        </w:rPr>
        <w:t>头人</w:t>
      </w:r>
      <w:r>
        <w:rPr>
          <w:rFonts w:hint="eastAsia" w:ascii="宋体" w:hAnsi="宋体" w:eastAsia="宋体" w:cs="宋体"/>
          <w:sz w:val="24"/>
          <w:szCs w:val="24"/>
        </w:rPr>
        <w:t>。</w:t>
      </w:r>
    </w:p>
    <w:p>
      <w:pPr>
        <w:pStyle w:val="17"/>
        <w:kinsoku w:val="0"/>
        <w:overflowPunct w:val="0"/>
        <w:snapToGrid w:val="0"/>
        <w:spacing w:after="0" w:line="360" w:lineRule="auto"/>
        <w:ind w:right="-57" w:rightChars="-27"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3"/>
          <w:sz w:val="24"/>
          <w:szCs w:val="24"/>
        </w:rPr>
        <w:t>联</w:t>
      </w:r>
      <w:r>
        <w:rPr>
          <w:rFonts w:hint="eastAsia" w:ascii="宋体" w:hAnsi="宋体" w:eastAsia="宋体" w:cs="宋体"/>
          <w:sz w:val="24"/>
          <w:szCs w:val="24"/>
        </w:rPr>
        <w:t>合</w:t>
      </w:r>
      <w:r>
        <w:rPr>
          <w:rFonts w:hint="eastAsia" w:ascii="宋体" w:hAnsi="宋体" w:eastAsia="宋体" w:cs="宋体"/>
          <w:spacing w:val="-3"/>
          <w:sz w:val="24"/>
          <w:szCs w:val="24"/>
        </w:rPr>
        <w:t>体</w:t>
      </w:r>
      <w:r>
        <w:rPr>
          <w:rFonts w:hint="eastAsia" w:ascii="宋体" w:hAnsi="宋体" w:eastAsia="宋体" w:cs="宋体"/>
          <w:sz w:val="24"/>
          <w:szCs w:val="24"/>
        </w:rPr>
        <w:t>各</w:t>
      </w:r>
      <w:r>
        <w:rPr>
          <w:rFonts w:hint="eastAsia" w:ascii="宋体" w:hAnsi="宋体" w:eastAsia="宋体" w:cs="宋体"/>
          <w:spacing w:val="-3"/>
          <w:sz w:val="24"/>
          <w:szCs w:val="24"/>
        </w:rPr>
        <w:t>成</w:t>
      </w:r>
      <w:r>
        <w:rPr>
          <w:rFonts w:hint="eastAsia" w:ascii="宋体" w:hAnsi="宋体" w:eastAsia="宋体" w:cs="宋体"/>
          <w:sz w:val="24"/>
          <w:szCs w:val="24"/>
        </w:rPr>
        <w:t>员</w:t>
      </w:r>
      <w:r>
        <w:rPr>
          <w:rFonts w:hint="eastAsia" w:ascii="宋体" w:hAnsi="宋体" w:eastAsia="宋体" w:cs="宋体"/>
          <w:spacing w:val="-3"/>
          <w:sz w:val="24"/>
          <w:szCs w:val="24"/>
        </w:rPr>
        <w:t>授</w:t>
      </w:r>
      <w:r>
        <w:rPr>
          <w:rFonts w:hint="eastAsia" w:ascii="宋体" w:hAnsi="宋体" w:eastAsia="宋体" w:cs="宋体"/>
          <w:sz w:val="24"/>
          <w:szCs w:val="24"/>
        </w:rPr>
        <w:t>权</w:t>
      </w:r>
      <w:r>
        <w:rPr>
          <w:rFonts w:hint="eastAsia" w:ascii="宋体" w:hAnsi="宋体" w:eastAsia="宋体" w:cs="宋体"/>
          <w:spacing w:val="-3"/>
          <w:sz w:val="24"/>
          <w:szCs w:val="24"/>
        </w:rPr>
        <w:t>牵头</w:t>
      </w:r>
      <w:r>
        <w:rPr>
          <w:rFonts w:hint="eastAsia" w:ascii="宋体" w:hAnsi="宋体" w:eastAsia="宋体" w:cs="宋体"/>
          <w:sz w:val="24"/>
          <w:szCs w:val="24"/>
        </w:rPr>
        <w:t>人代</w:t>
      </w:r>
      <w:r>
        <w:rPr>
          <w:rFonts w:hint="eastAsia" w:ascii="宋体" w:hAnsi="宋体" w:eastAsia="宋体" w:cs="宋体"/>
          <w:spacing w:val="-3"/>
          <w:sz w:val="24"/>
          <w:szCs w:val="24"/>
        </w:rPr>
        <w:t>表</w:t>
      </w:r>
      <w:r>
        <w:rPr>
          <w:rFonts w:hint="eastAsia" w:ascii="宋体" w:hAnsi="宋体" w:eastAsia="宋体" w:cs="宋体"/>
          <w:sz w:val="24"/>
          <w:szCs w:val="24"/>
        </w:rPr>
        <w:t>联</w:t>
      </w:r>
      <w:r>
        <w:rPr>
          <w:rFonts w:hint="eastAsia" w:ascii="宋体" w:hAnsi="宋体" w:eastAsia="宋体" w:cs="宋体"/>
          <w:spacing w:val="-3"/>
          <w:sz w:val="24"/>
          <w:szCs w:val="24"/>
        </w:rPr>
        <w:t>合</w:t>
      </w:r>
      <w:r>
        <w:rPr>
          <w:rFonts w:hint="eastAsia" w:ascii="宋体" w:hAnsi="宋体" w:eastAsia="宋体" w:cs="宋体"/>
          <w:sz w:val="24"/>
          <w:szCs w:val="24"/>
        </w:rPr>
        <w:t>体</w:t>
      </w:r>
      <w:r>
        <w:rPr>
          <w:rFonts w:hint="eastAsia" w:ascii="宋体" w:hAnsi="宋体" w:eastAsia="宋体" w:cs="宋体"/>
          <w:spacing w:val="-3"/>
          <w:sz w:val="24"/>
          <w:szCs w:val="24"/>
        </w:rPr>
        <w:t>参</w:t>
      </w:r>
      <w:r>
        <w:rPr>
          <w:rFonts w:hint="eastAsia" w:ascii="宋体" w:hAnsi="宋体" w:eastAsia="宋体" w:cs="宋体"/>
          <w:sz w:val="24"/>
          <w:szCs w:val="24"/>
        </w:rPr>
        <w:t>加</w:t>
      </w:r>
      <w:r>
        <w:rPr>
          <w:rFonts w:hint="eastAsia" w:ascii="宋体" w:hAnsi="宋体" w:eastAsia="宋体" w:cs="宋体"/>
          <w:spacing w:val="-3"/>
          <w:sz w:val="24"/>
          <w:szCs w:val="24"/>
        </w:rPr>
        <w:t>采购活</w:t>
      </w:r>
      <w:r>
        <w:rPr>
          <w:rFonts w:hint="eastAsia" w:ascii="宋体" w:hAnsi="宋体" w:eastAsia="宋体" w:cs="宋体"/>
          <w:sz w:val="24"/>
          <w:szCs w:val="24"/>
        </w:rPr>
        <w:t>动</w:t>
      </w:r>
      <w:r>
        <w:rPr>
          <w:rFonts w:hint="eastAsia" w:ascii="宋体" w:hAnsi="宋体" w:eastAsia="宋体" w:cs="宋体"/>
          <w:spacing w:val="-65"/>
          <w:sz w:val="24"/>
          <w:szCs w:val="24"/>
        </w:rPr>
        <w:t>，</w:t>
      </w:r>
      <w:r>
        <w:rPr>
          <w:rFonts w:hint="eastAsia" w:ascii="宋体" w:hAnsi="宋体" w:eastAsia="宋体" w:cs="宋体"/>
          <w:spacing w:val="-3"/>
          <w:sz w:val="24"/>
          <w:szCs w:val="24"/>
        </w:rPr>
        <w:t>签</w:t>
      </w:r>
      <w:r>
        <w:rPr>
          <w:rFonts w:hint="eastAsia" w:ascii="宋体" w:hAnsi="宋体" w:eastAsia="宋体" w:cs="宋体"/>
          <w:sz w:val="24"/>
          <w:szCs w:val="24"/>
        </w:rPr>
        <w:t>署</w:t>
      </w:r>
      <w:r>
        <w:rPr>
          <w:rFonts w:hint="eastAsia" w:ascii="宋体" w:hAnsi="宋体" w:eastAsia="宋体" w:cs="宋体"/>
          <w:spacing w:val="-3"/>
          <w:sz w:val="24"/>
          <w:szCs w:val="24"/>
        </w:rPr>
        <w:t>文</w:t>
      </w:r>
      <w:r>
        <w:rPr>
          <w:rFonts w:hint="eastAsia" w:ascii="宋体" w:hAnsi="宋体" w:eastAsia="宋体" w:cs="宋体"/>
          <w:sz w:val="24"/>
          <w:szCs w:val="24"/>
        </w:rPr>
        <w:t>件</w:t>
      </w:r>
      <w:r>
        <w:rPr>
          <w:rFonts w:hint="eastAsia" w:ascii="宋体" w:hAnsi="宋体" w:eastAsia="宋体" w:cs="宋体"/>
          <w:spacing w:val="-65"/>
          <w:sz w:val="24"/>
          <w:szCs w:val="24"/>
        </w:rPr>
        <w:t>，</w:t>
      </w:r>
      <w:r>
        <w:rPr>
          <w:rFonts w:hint="eastAsia" w:ascii="宋体" w:hAnsi="宋体" w:eastAsia="宋体" w:cs="宋体"/>
          <w:spacing w:val="-3"/>
          <w:sz w:val="24"/>
          <w:szCs w:val="24"/>
        </w:rPr>
        <w:t>提</w:t>
      </w:r>
      <w:r>
        <w:rPr>
          <w:rFonts w:hint="eastAsia" w:ascii="宋体" w:hAnsi="宋体" w:eastAsia="宋体" w:cs="宋体"/>
          <w:sz w:val="24"/>
          <w:szCs w:val="24"/>
        </w:rPr>
        <w:t>交</w:t>
      </w:r>
      <w:r>
        <w:rPr>
          <w:rFonts w:hint="eastAsia" w:ascii="宋体" w:hAnsi="宋体" w:eastAsia="宋体" w:cs="宋体"/>
          <w:spacing w:val="-3"/>
          <w:sz w:val="24"/>
          <w:szCs w:val="24"/>
        </w:rPr>
        <w:t>和</w:t>
      </w:r>
      <w:r>
        <w:rPr>
          <w:rFonts w:hint="eastAsia" w:ascii="宋体" w:hAnsi="宋体" w:eastAsia="宋体" w:cs="宋体"/>
          <w:sz w:val="24"/>
          <w:szCs w:val="24"/>
        </w:rPr>
        <w:t>接</w:t>
      </w:r>
      <w:r>
        <w:rPr>
          <w:rFonts w:hint="eastAsia" w:ascii="宋体" w:hAnsi="宋体" w:eastAsia="宋体" w:cs="宋体"/>
          <w:spacing w:val="-3"/>
          <w:sz w:val="24"/>
          <w:szCs w:val="24"/>
        </w:rPr>
        <w:t>收</w:t>
      </w:r>
      <w:r>
        <w:rPr>
          <w:rFonts w:hint="eastAsia" w:ascii="宋体" w:hAnsi="宋体" w:eastAsia="宋体" w:cs="宋体"/>
          <w:sz w:val="24"/>
          <w:szCs w:val="24"/>
        </w:rPr>
        <w:t>相关</w:t>
      </w:r>
      <w:r>
        <w:rPr>
          <w:rFonts w:hint="eastAsia" w:ascii="宋体" w:hAnsi="宋体" w:eastAsia="宋体" w:cs="宋体"/>
          <w:spacing w:val="-3"/>
          <w:sz w:val="24"/>
          <w:szCs w:val="24"/>
        </w:rPr>
        <w:t>的</w:t>
      </w:r>
      <w:r>
        <w:rPr>
          <w:rFonts w:hint="eastAsia" w:ascii="宋体" w:hAnsi="宋体" w:eastAsia="宋体" w:cs="宋体"/>
          <w:sz w:val="24"/>
          <w:szCs w:val="24"/>
        </w:rPr>
        <w:t>资</w:t>
      </w:r>
      <w:r>
        <w:rPr>
          <w:rFonts w:hint="eastAsia" w:ascii="宋体" w:hAnsi="宋体" w:eastAsia="宋体" w:cs="宋体"/>
          <w:spacing w:val="-3"/>
          <w:sz w:val="24"/>
          <w:szCs w:val="24"/>
        </w:rPr>
        <w:t>料</w:t>
      </w:r>
      <w:r>
        <w:rPr>
          <w:rFonts w:hint="eastAsia" w:ascii="宋体" w:hAnsi="宋体" w:eastAsia="宋体" w:cs="宋体"/>
          <w:sz w:val="24"/>
          <w:szCs w:val="24"/>
        </w:rPr>
        <w:t>、信息及指示，进</w:t>
      </w:r>
      <w:r>
        <w:rPr>
          <w:rFonts w:hint="eastAsia" w:ascii="宋体" w:hAnsi="宋体" w:eastAsia="宋体" w:cs="宋体"/>
          <w:spacing w:val="-3"/>
          <w:sz w:val="24"/>
          <w:szCs w:val="24"/>
        </w:rPr>
        <w:t>行</w:t>
      </w:r>
      <w:r>
        <w:rPr>
          <w:rFonts w:hint="eastAsia" w:ascii="宋体" w:hAnsi="宋体" w:eastAsia="宋体" w:cs="宋体"/>
          <w:sz w:val="24"/>
          <w:szCs w:val="24"/>
        </w:rPr>
        <w:t>合同</w:t>
      </w:r>
      <w:r>
        <w:rPr>
          <w:rFonts w:hint="eastAsia" w:ascii="宋体" w:hAnsi="宋体" w:eastAsia="宋体" w:cs="宋体"/>
          <w:spacing w:val="-3"/>
          <w:sz w:val="24"/>
          <w:szCs w:val="24"/>
        </w:rPr>
        <w:t>谈</w:t>
      </w:r>
      <w:r>
        <w:rPr>
          <w:rFonts w:hint="eastAsia" w:ascii="宋体" w:hAnsi="宋体" w:eastAsia="宋体" w:cs="宋体"/>
          <w:sz w:val="24"/>
          <w:szCs w:val="24"/>
        </w:rPr>
        <w:t>判活动，负责合</w:t>
      </w:r>
      <w:r>
        <w:rPr>
          <w:rFonts w:hint="eastAsia" w:ascii="宋体" w:hAnsi="宋体" w:eastAsia="宋体" w:cs="宋体"/>
          <w:spacing w:val="-3"/>
          <w:sz w:val="24"/>
          <w:szCs w:val="24"/>
        </w:rPr>
        <w:t>同</w:t>
      </w:r>
      <w:r>
        <w:rPr>
          <w:rFonts w:hint="eastAsia" w:ascii="宋体" w:hAnsi="宋体" w:eastAsia="宋体" w:cs="宋体"/>
          <w:sz w:val="24"/>
          <w:szCs w:val="24"/>
        </w:rPr>
        <w:t>实施</w:t>
      </w:r>
      <w:r>
        <w:rPr>
          <w:rFonts w:hint="eastAsia" w:ascii="宋体" w:hAnsi="宋体" w:eastAsia="宋体" w:cs="宋体"/>
          <w:spacing w:val="-3"/>
          <w:sz w:val="24"/>
          <w:szCs w:val="24"/>
        </w:rPr>
        <w:t>阶</w:t>
      </w:r>
      <w:r>
        <w:rPr>
          <w:rFonts w:hint="eastAsia" w:ascii="宋体" w:hAnsi="宋体" w:eastAsia="宋体" w:cs="宋体"/>
          <w:sz w:val="24"/>
          <w:szCs w:val="24"/>
        </w:rPr>
        <w:t>段的组织和协调</w:t>
      </w:r>
      <w:r>
        <w:rPr>
          <w:rFonts w:hint="eastAsia" w:ascii="宋体" w:hAnsi="宋体" w:eastAsia="宋体" w:cs="宋体"/>
          <w:spacing w:val="-3"/>
          <w:sz w:val="24"/>
          <w:szCs w:val="24"/>
        </w:rPr>
        <w:t>工</w:t>
      </w:r>
      <w:r>
        <w:rPr>
          <w:rFonts w:hint="eastAsia" w:ascii="宋体" w:hAnsi="宋体" w:eastAsia="宋体" w:cs="宋体"/>
          <w:sz w:val="24"/>
          <w:szCs w:val="24"/>
        </w:rPr>
        <w:t>作，</w:t>
      </w:r>
      <w:r>
        <w:rPr>
          <w:rFonts w:hint="eastAsia" w:ascii="宋体" w:hAnsi="宋体" w:eastAsia="宋体" w:cs="宋体"/>
          <w:spacing w:val="-3"/>
          <w:sz w:val="24"/>
          <w:szCs w:val="24"/>
        </w:rPr>
        <w:t>以</w:t>
      </w:r>
      <w:r>
        <w:rPr>
          <w:rFonts w:hint="eastAsia" w:ascii="宋体" w:hAnsi="宋体" w:eastAsia="宋体" w:cs="宋体"/>
          <w:sz w:val="24"/>
          <w:szCs w:val="24"/>
        </w:rPr>
        <w:t>及处理与本</w:t>
      </w:r>
      <w:r>
        <w:rPr>
          <w:rFonts w:hint="eastAsia" w:ascii="宋体" w:hAnsi="宋体" w:eastAsia="宋体" w:cs="宋体"/>
          <w:spacing w:val="-3"/>
          <w:sz w:val="24"/>
          <w:szCs w:val="24"/>
        </w:rPr>
        <w:t>采购</w:t>
      </w:r>
      <w:r>
        <w:rPr>
          <w:rFonts w:hint="eastAsia" w:ascii="宋体" w:hAnsi="宋体" w:eastAsia="宋体" w:cs="宋体"/>
          <w:sz w:val="24"/>
          <w:szCs w:val="24"/>
        </w:rPr>
        <w:t>项目有</w:t>
      </w:r>
      <w:r>
        <w:rPr>
          <w:rFonts w:hint="eastAsia" w:ascii="宋体" w:hAnsi="宋体" w:eastAsia="宋体" w:cs="宋体"/>
          <w:spacing w:val="-3"/>
          <w:sz w:val="24"/>
          <w:szCs w:val="24"/>
        </w:rPr>
        <w:t>关</w:t>
      </w:r>
      <w:r>
        <w:rPr>
          <w:rFonts w:hint="eastAsia" w:ascii="宋体" w:hAnsi="宋体" w:eastAsia="宋体" w:cs="宋体"/>
          <w:sz w:val="24"/>
          <w:szCs w:val="24"/>
        </w:rPr>
        <w:t>的</w:t>
      </w:r>
      <w:r>
        <w:rPr>
          <w:rFonts w:hint="eastAsia" w:ascii="宋体" w:hAnsi="宋体" w:eastAsia="宋体" w:cs="宋体"/>
          <w:spacing w:val="-3"/>
          <w:sz w:val="24"/>
          <w:szCs w:val="24"/>
        </w:rPr>
        <w:t>一</w:t>
      </w:r>
      <w:r>
        <w:rPr>
          <w:rFonts w:hint="eastAsia" w:ascii="宋体" w:hAnsi="宋体" w:eastAsia="宋体" w:cs="宋体"/>
          <w:sz w:val="24"/>
          <w:szCs w:val="24"/>
        </w:rPr>
        <w:t>切</w:t>
      </w:r>
      <w:r>
        <w:rPr>
          <w:rFonts w:hint="eastAsia" w:ascii="宋体" w:hAnsi="宋体" w:eastAsia="宋体" w:cs="宋体"/>
          <w:spacing w:val="-3"/>
          <w:sz w:val="24"/>
          <w:szCs w:val="24"/>
        </w:rPr>
        <w:t>事</w:t>
      </w:r>
      <w:r>
        <w:rPr>
          <w:rFonts w:hint="eastAsia" w:ascii="宋体" w:hAnsi="宋体" w:eastAsia="宋体" w:cs="宋体"/>
          <w:sz w:val="24"/>
          <w:szCs w:val="24"/>
        </w:rPr>
        <w:t>宜。</w:t>
      </w:r>
    </w:p>
    <w:p>
      <w:pPr>
        <w:pStyle w:val="17"/>
        <w:kinsoku w:val="0"/>
        <w:overflowPunct w:val="0"/>
        <w:snapToGrid w:val="0"/>
        <w:spacing w:after="0" w:line="360" w:lineRule="auto"/>
        <w:ind w:right="-57" w:rightChars="-27" w:firstLine="41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pacing w:val="-3"/>
          <w:sz w:val="24"/>
          <w:szCs w:val="24"/>
        </w:rPr>
        <w:t>联</w:t>
      </w:r>
      <w:r>
        <w:rPr>
          <w:rFonts w:hint="eastAsia" w:ascii="宋体" w:hAnsi="宋体" w:eastAsia="宋体" w:cs="宋体"/>
          <w:sz w:val="24"/>
          <w:szCs w:val="24"/>
        </w:rPr>
        <w:t>合</w:t>
      </w:r>
      <w:r>
        <w:rPr>
          <w:rFonts w:hint="eastAsia" w:ascii="宋体" w:hAnsi="宋体" w:eastAsia="宋体" w:cs="宋体"/>
          <w:spacing w:val="-3"/>
          <w:sz w:val="24"/>
          <w:szCs w:val="24"/>
        </w:rPr>
        <w:t>体</w:t>
      </w:r>
      <w:r>
        <w:rPr>
          <w:rFonts w:hint="eastAsia" w:ascii="宋体" w:hAnsi="宋体" w:eastAsia="宋体" w:cs="宋体"/>
          <w:sz w:val="24"/>
          <w:szCs w:val="24"/>
        </w:rPr>
        <w:t>牵</w:t>
      </w:r>
      <w:r>
        <w:rPr>
          <w:rFonts w:hint="eastAsia" w:ascii="宋体" w:hAnsi="宋体" w:eastAsia="宋体" w:cs="宋体"/>
          <w:spacing w:val="-3"/>
          <w:sz w:val="24"/>
          <w:szCs w:val="24"/>
        </w:rPr>
        <w:t>头</w:t>
      </w:r>
      <w:r>
        <w:rPr>
          <w:rFonts w:hint="eastAsia" w:ascii="宋体" w:hAnsi="宋体" w:eastAsia="宋体" w:cs="宋体"/>
          <w:sz w:val="24"/>
          <w:szCs w:val="24"/>
        </w:rPr>
        <w:t>人</w:t>
      </w:r>
      <w:r>
        <w:rPr>
          <w:rFonts w:hint="eastAsia" w:ascii="宋体" w:hAnsi="宋体" w:eastAsia="宋体" w:cs="宋体"/>
          <w:spacing w:val="-3"/>
          <w:sz w:val="24"/>
          <w:szCs w:val="24"/>
        </w:rPr>
        <w:t>在</w:t>
      </w:r>
      <w:r>
        <w:rPr>
          <w:rFonts w:hint="eastAsia" w:ascii="宋体" w:hAnsi="宋体" w:eastAsia="宋体" w:cs="宋体"/>
          <w:sz w:val="24"/>
          <w:szCs w:val="24"/>
        </w:rPr>
        <w:t>本</w:t>
      </w:r>
      <w:r>
        <w:rPr>
          <w:rFonts w:hint="eastAsia" w:ascii="宋体" w:hAnsi="宋体" w:eastAsia="宋体" w:cs="宋体"/>
          <w:spacing w:val="-3"/>
          <w:sz w:val="24"/>
          <w:szCs w:val="24"/>
        </w:rPr>
        <w:t>项目</w:t>
      </w:r>
      <w:r>
        <w:rPr>
          <w:rFonts w:hint="eastAsia" w:ascii="宋体" w:hAnsi="宋体" w:eastAsia="宋体" w:cs="宋体"/>
          <w:sz w:val="24"/>
          <w:szCs w:val="24"/>
        </w:rPr>
        <w:t>中签</w:t>
      </w:r>
      <w:r>
        <w:rPr>
          <w:rFonts w:hint="eastAsia" w:ascii="宋体" w:hAnsi="宋体" w:eastAsia="宋体" w:cs="宋体"/>
          <w:spacing w:val="-3"/>
          <w:sz w:val="24"/>
          <w:szCs w:val="24"/>
        </w:rPr>
        <w:t>署</w:t>
      </w:r>
      <w:r>
        <w:rPr>
          <w:rFonts w:hint="eastAsia" w:ascii="宋体" w:hAnsi="宋体" w:eastAsia="宋体" w:cs="宋体"/>
          <w:sz w:val="24"/>
          <w:szCs w:val="24"/>
        </w:rPr>
        <w:t>的</w:t>
      </w:r>
      <w:r>
        <w:rPr>
          <w:rFonts w:hint="eastAsia" w:ascii="宋体" w:hAnsi="宋体" w:eastAsia="宋体" w:cs="宋体"/>
          <w:spacing w:val="-3"/>
          <w:sz w:val="24"/>
          <w:szCs w:val="24"/>
        </w:rPr>
        <w:t>一</w:t>
      </w:r>
      <w:r>
        <w:rPr>
          <w:rFonts w:hint="eastAsia" w:ascii="宋体" w:hAnsi="宋体" w:eastAsia="宋体" w:cs="宋体"/>
          <w:sz w:val="24"/>
          <w:szCs w:val="24"/>
        </w:rPr>
        <w:t>切</w:t>
      </w:r>
      <w:r>
        <w:rPr>
          <w:rFonts w:hint="eastAsia" w:ascii="宋体" w:hAnsi="宋体" w:eastAsia="宋体" w:cs="宋体"/>
          <w:spacing w:val="-3"/>
          <w:sz w:val="24"/>
          <w:szCs w:val="24"/>
        </w:rPr>
        <w:t>文</w:t>
      </w:r>
      <w:r>
        <w:rPr>
          <w:rFonts w:hint="eastAsia" w:ascii="宋体" w:hAnsi="宋体" w:eastAsia="宋体" w:cs="宋体"/>
          <w:sz w:val="24"/>
          <w:szCs w:val="24"/>
        </w:rPr>
        <w:t>件</w:t>
      </w:r>
      <w:r>
        <w:rPr>
          <w:rFonts w:hint="eastAsia" w:ascii="宋体" w:hAnsi="宋体" w:eastAsia="宋体" w:cs="宋体"/>
          <w:spacing w:val="-3"/>
          <w:sz w:val="24"/>
          <w:szCs w:val="24"/>
        </w:rPr>
        <w:t>和</w:t>
      </w:r>
      <w:r>
        <w:rPr>
          <w:rFonts w:hint="eastAsia" w:ascii="宋体" w:hAnsi="宋体" w:eastAsia="宋体" w:cs="宋体"/>
          <w:sz w:val="24"/>
          <w:szCs w:val="24"/>
        </w:rPr>
        <w:t>处</w:t>
      </w:r>
      <w:r>
        <w:rPr>
          <w:rFonts w:hint="eastAsia" w:ascii="宋体" w:hAnsi="宋体" w:eastAsia="宋体" w:cs="宋体"/>
          <w:spacing w:val="-3"/>
          <w:sz w:val="24"/>
          <w:szCs w:val="24"/>
        </w:rPr>
        <w:t>理</w:t>
      </w:r>
      <w:r>
        <w:rPr>
          <w:rFonts w:hint="eastAsia" w:ascii="宋体" w:hAnsi="宋体" w:eastAsia="宋体" w:cs="宋体"/>
          <w:sz w:val="24"/>
          <w:szCs w:val="24"/>
        </w:rPr>
        <w:t>的一</w:t>
      </w:r>
      <w:r>
        <w:rPr>
          <w:rFonts w:hint="eastAsia" w:ascii="宋体" w:hAnsi="宋体" w:eastAsia="宋体" w:cs="宋体"/>
          <w:spacing w:val="-3"/>
          <w:sz w:val="24"/>
          <w:szCs w:val="24"/>
        </w:rPr>
        <w:t>切</w:t>
      </w:r>
      <w:r>
        <w:rPr>
          <w:rFonts w:hint="eastAsia" w:ascii="宋体" w:hAnsi="宋体" w:eastAsia="宋体" w:cs="宋体"/>
          <w:sz w:val="24"/>
          <w:szCs w:val="24"/>
        </w:rPr>
        <w:t>事</w:t>
      </w:r>
      <w:r>
        <w:rPr>
          <w:rFonts w:hint="eastAsia" w:ascii="宋体" w:hAnsi="宋体" w:eastAsia="宋体" w:cs="宋体"/>
          <w:spacing w:val="-3"/>
          <w:sz w:val="24"/>
          <w:szCs w:val="24"/>
        </w:rPr>
        <w:t>宜</w:t>
      </w:r>
      <w:r>
        <w:rPr>
          <w:rFonts w:hint="eastAsia" w:ascii="宋体" w:hAnsi="宋体" w:eastAsia="宋体" w:cs="宋体"/>
          <w:spacing w:val="-25"/>
          <w:sz w:val="24"/>
          <w:szCs w:val="24"/>
        </w:rPr>
        <w:t>，</w:t>
      </w:r>
      <w:r>
        <w:rPr>
          <w:rFonts w:hint="eastAsia" w:ascii="宋体" w:hAnsi="宋体" w:eastAsia="宋体" w:cs="宋体"/>
          <w:sz w:val="24"/>
          <w:szCs w:val="24"/>
        </w:rPr>
        <w:t>联</w:t>
      </w:r>
      <w:r>
        <w:rPr>
          <w:rFonts w:hint="eastAsia" w:ascii="宋体" w:hAnsi="宋体" w:eastAsia="宋体" w:cs="宋体"/>
          <w:spacing w:val="-3"/>
          <w:sz w:val="24"/>
          <w:szCs w:val="24"/>
        </w:rPr>
        <w:t>合</w:t>
      </w:r>
      <w:r>
        <w:rPr>
          <w:rFonts w:hint="eastAsia" w:ascii="宋体" w:hAnsi="宋体" w:eastAsia="宋体" w:cs="宋体"/>
          <w:sz w:val="24"/>
          <w:szCs w:val="24"/>
        </w:rPr>
        <w:t>体</w:t>
      </w:r>
      <w:r>
        <w:rPr>
          <w:rFonts w:hint="eastAsia" w:ascii="宋体" w:hAnsi="宋体" w:eastAsia="宋体" w:cs="宋体"/>
          <w:spacing w:val="-3"/>
          <w:sz w:val="24"/>
          <w:szCs w:val="24"/>
        </w:rPr>
        <w:t>各成</w:t>
      </w:r>
      <w:r>
        <w:rPr>
          <w:rFonts w:hint="eastAsia" w:ascii="宋体" w:hAnsi="宋体" w:eastAsia="宋体" w:cs="宋体"/>
          <w:sz w:val="24"/>
          <w:szCs w:val="24"/>
        </w:rPr>
        <w:t>员均</w:t>
      </w:r>
      <w:r>
        <w:rPr>
          <w:rFonts w:hint="eastAsia" w:ascii="宋体" w:hAnsi="宋体" w:eastAsia="宋体" w:cs="宋体"/>
          <w:spacing w:val="-3"/>
          <w:sz w:val="24"/>
          <w:szCs w:val="24"/>
        </w:rPr>
        <w:t>予</w:t>
      </w:r>
      <w:r>
        <w:rPr>
          <w:rFonts w:hint="eastAsia" w:ascii="宋体" w:hAnsi="宋体" w:eastAsia="宋体" w:cs="宋体"/>
          <w:sz w:val="24"/>
          <w:szCs w:val="24"/>
        </w:rPr>
        <w:t>以</w:t>
      </w:r>
      <w:r>
        <w:rPr>
          <w:rFonts w:hint="eastAsia" w:ascii="宋体" w:hAnsi="宋体" w:eastAsia="宋体" w:cs="宋体"/>
          <w:spacing w:val="-3"/>
          <w:sz w:val="24"/>
          <w:szCs w:val="24"/>
        </w:rPr>
        <w:t>承</w:t>
      </w:r>
      <w:r>
        <w:rPr>
          <w:rFonts w:hint="eastAsia" w:ascii="宋体" w:hAnsi="宋体" w:eastAsia="宋体" w:cs="宋体"/>
          <w:sz w:val="24"/>
          <w:szCs w:val="24"/>
        </w:rPr>
        <w:t>认。联合体各成员将</w:t>
      </w:r>
      <w:r>
        <w:rPr>
          <w:rFonts w:hint="eastAsia" w:ascii="宋体" w:hAnsi="宋体" w:eastAsia="宋体" w:cs="宋体"/>
          <w:spacing w:val="-3"/>
          <w:sz w:val="24"/>
          <w:szCs w:val="24"/>
        </w:rPr>
        <w:t>严</w:t>
      </w:r>
      <w:r>
        <w:rPr>
          <w:rFonts w:hint="eastAsia" w:ascii="宋体" w:hAnsi="宋体" w:eastAsia="宋体" w:cs="宋体"/>
          <w:sz w:val="24"/>
          <w:szCs w:val="24"/>
        </w:rPr>
        <w:t>格按</w:t>
      </w:r>
      <w:r>
        <w:rPr>
          <w:rFonts w:hint="eastAsia" w:ascii="宋体" w:hAnsi="宋体" w:eastAsia="宋体" w:cs="宋体"/>
          <w:spacing w:val="-3"/>
          <w:sz w:val="24"/>
          <w:szCs w:val="24"/>
        </w:rPr>
        <w:t>照</w:t>
      </w:r>
      <w:r>
        <w:rPr>
          <w:rFonts w:hint="eastAsia" w:ascii="宋体" w:hAnsi="宋体" w:eastAsia="宋体" w:cs="宋体"/>
          <w:sz w:val="24"/>
          <w:szCs w:val="24"/>
        </w:rPr>
        <w:t>磋商文件、响应</w:t>
      </w:r>
      <w:r>
        <w:rPr>
          <w:rFonts w:hint="eastAsia" w:ascii="宋体" w:hAnsi="宋体" w:eastAsia="宋体" w:cs="宋体"/>
          <w:spacing w:val="-3"/>
          <w:sz w:val="24"/>
          <w:szCs w:val="24"/>
        </w:rPr>
        <w:t>文</w:t>
      </w:r>
      <w:r>
        <w:rPr>
          <w:rFonts w:hint="eastAsia" w:ascii="宋体" w:hAnsi="宋体" w:eastAsia="宋体" w:cs="宋体"/>
          <w:sz w:val="24"/>
          <w:szCs w:val="24"/>
        </w:rPr>
        <w:t>件和</w:t>
      </w:r>
      <w:r>
        <w:rPr>
          <w:rFonts w:hint="eastAsia" w:ascii="宋体" w:hAnsi="宋体" w:eastAsia="宋体" w:cs="宋体"/>
          <w:spacing w:val="-3"/>
          <w:sz w:val="24"/>
          <w:szCs w:val="24"/>
        </w:rPr>
        <w:t>合</w:t>
      </w:r>
      <w:r>
        <w:rPr>
          <w:rFonts w:hint="eastAsia" w:ascii="宋体" w:hAnsi="宋体" w:eastAsia="宋体" w:cs="宋体"/>
          <w:sz w:val="24"/>
          <w:szCs w:val="24"/>
        </w:rPr>
        <w:t>同的要求全面履</w:t>
      </w:r>
      <w:r>
        <w:rPr>
          <w:rFonts w:hint="eastAsia" w:ascii="宋体" w:hAnsi="宋体" w:eastAsia="宋体" w:cs="宋体"/>
          <w:spacing w:val="-3"/>
          <w:sz w:val="24"/>
          <w:szCs w:val="24"/>
        </w:rPr>
        <w:t>行</w:t>
      </w:r>
      <w:r>
        <w:rPr>
          <w:rFonts w:hint="eastAsia" w:ascii="宋体" w:hAnsi="宋体" w:eastAsia="宋体" w:cs="宋体"/>
          <w:sz w:val="24"/>
          <w:szCs w:val="24"/>
        </w:rPr>
        <w:t>义务</w:t>
      </w:r>
      <w:r>
        <w:rPr>
          <w:rFonts w:hint="eastAsia" w:ascii="宋体" w:hAnsi="宋体" w:eastAsia="宋体" w:cs="宋体"/>
          <w:spacing w:val="-3"/>
          <w:sz w:val="24"/>
          <w:szCs w:val="24"/>
        </w:rPr>
        <w:t>，</w:t>
      </w:r>
      <w:r>
        <w:rPr>
          <w:rFonts w:hint="eastAsia" w:ascii="宋体" w:hAnsi="宋体" w:eastAsia="宋体" w:cs="宋体"/>
          <w:sz w:val="24"/>
          <w:szCs w:val="24"/>
        </w:rPr>
        <w:t>并向采购人承</w:t>
      </w:r>
      <w:r>
        <w:rPr>
          <w:rFonts w:hint="eastAsia" w:ascii="宋体" w:hAnsi="宋体" w:eastAsia="宋体" w:cs="宋体"/>
          <w:spacing w:val="-3"/>
          <w:sz w:val="24"/>
          <w:szCs w:val="24"/>
        </w:rPr>
        <w:t>担</w:t>
      </w:r>
      <w:r>
        <w:rPr>
          <w:rFonts w:hint="eastAsia" w:ascii="宋体" w:hAnsi="宋体" w:eastAsia="宋体" w:cs="宋体"/>
          <w:sz w:val="24"/>
          <w:szCs w:val="24"/>
        </w:rPr>
        <w:t>连带责</w:t>
      </w:r>
      <w:r>
        <w:rPr>
          <w:rFonts w:hint="eastAsia" w:ascii="宋体" w:hAnsi="宋体" w:eastAsia="宋体" w:cs="宋体"/>
          <w:spacing w:val="-3"/>
          <w:sz w:val="24"/>
          <w:szCs w:val="24"/>
        </w:rPr>
        <w:t>任</w:t>
      </w:r>
      <w:r>
        <w:rPr>
          <w:rFonts w:hint="eastAsia" w:ascii="宋体" w:hAnsi="宋体" w:eastAsia="宋体" w:cs="宋体"/>
          <w:sz w:val="24"/>
          <w:szCs w:val="24"/>
        </w:rPr>
        <w:t>。</w:t>
      </w:r>
    </w:p>
    <w:p>
      <w:pPr>
        <w:pStyle w:val="17"/>
        <w:tabs>
          <w:tab w:val="left" w:pos="8364"/>
        </w:tabs>
        <w:kinsoku w:val="0"/>
        <w:overflowPunct w:val="0"/>
        <w:snapToGrid w:val="0"/>
        <w:spacing w:after="0" w:line="360" w:lineRule="auto"/>
        <w:ind w:right="-57" w:rightChars="-27"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3"/>
          <w:sz w:val="24"/>
          <w:szCs w:val="24"/>
        </w:rPr>
        <w:t>联</w:t>
      </w:r>
      <w:r>
        <w:rPr>
          <w:rFonts w:hint="eastAsia" w:ascii="宋体" w:hAnsi="宋体" w:eastAsia="宋体" w:cs="宋体"/>
          <w:sz w:val="24"/>
          <w:szCs w:val="24"/>
        </w:rPr>
        <w:t>合</w:t>
      </w:r>
      <w:r>
        <w:rPr>
          <w:rFonts w:hint="eastAsia" w:ascii="宋体" w:hAnsi="宋体" w:eastAsia="宋体" w:cs="宋体"/>
          <w:spacing w:val="-3"/>
          <w:sz w:val="24"/>
          <w:szCs w:val="24"/>
        </w:rPr>
        <w:t>体</w:t>
      </w:r>
      <w:r>
        <w:rPr>
          <w:rFonts w:hint="eastAsia" w:ascii="宋体" w:hAnsi="宋体" w:eastAsia="宋体" w:cs="宋体"/>
          <w:sz w:val="24"/>
          <w:szCs w:val="24"/>
        </w:rPr>
        <w:t>各</w:t>
      </w:r>
      <w:r>
        <w:rPr>
          <w:rFonts w:hint="eastAsia" w:ascii="宋体" w:hAnsi="宋体" w:eastAsia="宋体" w:cs="宋体"/>
          <w:spacing w:val="-3"/>
          <w:sz w:val="24"/>
          <w:szCs w:val="24"/>
        </w:rPr>
        <w:t>成</w:t>
      </w:r>
      <w:r>
        <w:rPr>
          <w:rFonts w:hint="eastAsia" w:ascii="宋体" w:hAnsi="宋体" w:eastAsia="宋体" w:cs="宋体"/>
          <w:sz w:val="24"/>
          <w:szCs w:val="24"/>
        </w:rPr>
        <w:t>员</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内部</w:t>
      </w:r>
      <w:r>
        <w:rPr>
          <w:rFonts w:hint="eastAsia" w:ascii="宋体" w:hAnsi="宋体" w:eastAsia="宋体" w:cs="宋体"/>
          <w:sz w:val="24"/>
          <w:szCs w:val="24"/>
        </w:rPr>
        <w:t>的职</w:t>
      </w:r>
      <w:r>
        <w:rPr>
          <w:rFonts w:hint="eastAsia" w:ascii="宋体" w:hAnsi="宋体" w:eastAsia="宋体" w:cs="宋体"/>
          <w:spacing w:val="-3"/>
          <w:sz w:val="24"/>
          <w:szCs w:val="24"/>
        </w:rPr>
        <w:t>责</w:t>
      </w:r>
      <w:r>
        <w:rPr>
          <w:rFonts w:hint="eastAsia" w:ascii="宋体" w:hAnsi="宋体" w:eastAsia="宋体" w:cs="宋体"/>
          <w:sz w:val="24"/>
          <w:szCs w:val="24"/>
        </w:rPr>
        <w:t>分</w:t>
      </w:r>
      <w:r>
        <w:rPr>
          <w:rFonts w:hint="eastAsia" w:ascii="宋体" w:hAnsi="宋体" w:eastAsia="宋体" w:cs="宋体"/>
          <w:spacing w:val="-3"/>
          <w:sz w:val="24"/>
          <w:szCs w:val="24"/>
        </w:rPr>
        <w:t>工</w:t>
      </w:r>
      <w:r>
        <w:rPr>
          <w:rFonts w:hint="eastAsia" w:ascii="宋体" w:hAnsi="宋体" w:eastAsia="宋体" w:cs="宋体"/>
          <w:sz w:val="24"/>
          <w:szCs w:val="24"/>
        </w:rPr>
        <w:t>如</w:t>
      </w:r>
      <w:r>
        <w:rPr>
          <w:rFonts w:hint="eastAsia" w:ascii="宋体" w:hAnsi="宋体" w:eastAsia="宋体" w:cs="宋体"/>
          <w:spacing w:val="-3"/>
          <w:sz w:val="24"/>
          <w:szCs w:val="24"/>
        </w:rPr>
        <w:t>下</w:t>
      </w:r>
      <w:r>
        <w:rPr>
          <w:rFonts w:hint="eastAsia" w:ascii="宋体" w:hAnsi="宋体" w:eastAsia="宋体" w:cs="宋体"/>
          <w:spacing w:val="-25"/>
          <w:sz w:val="24"/>
          <w:szCs w:val="24"/>
        </w:rPr>
        <w:t>：</w:t>
      </w:r>
      <w:r>
        <w:rPr>
          <w:rFonts w:hint="eastAsia" w:ascii="宋体" w:hAnsi="宋体" w:eastAsia="宋体" w:cs="宋体"/>
          <w:sz w:val="24"/>
          <w:szCs w:val="24"/>
        </w:rPr>
        <w:t>。</w:t>
      </w:r>
    </w:p>
    <w:p>
      <w:pPr>
        <w:pStyle w:val="17"/>
        <w:tabs>
          <w:tab w:val="left" w:pos="8364"/>
        </w:tabs>
        <w:kinsoku w:val="0"/>
        <w:overflowPunct w:val="0"/>
        <w:snapToGrid w:val="0"/>
        <w:spacing w:after="0" w:line="360" w:lineRule="auto"/>
        <w:ind w:right="-57" w:rightChars="-27" w:firstLine="480" w:firstLineChars="200"/>
        <w:rPr>
          <w:rFonts w:hint="eastAsia" w:ascii="宋体" w:hAnsi="宋体" w:eastAsia="宋体" w:cs="宋体"/>
          <w:sz w:val="24"/>
          <w:szCs w:val="24"/>
        </w:rPr>
      </w:pPr>
      <w:r>
        <w:rPr>
          <w:rFonts w:hint="eastAsia" w:ascii="宋体" w:hAnsi="宋体" w:eastAsia="宋体" w:cs="宋体"/>
          <w:sz w:val="24"/>
          <w:szCs w:val="24"/>
        </w:rPr>
        <w:t>5.大中型企业、其他自然人、法人或者非法人组织与小型、微型企业组成联合体共同参加磋商，小型、微型企业的协议合同金额占到共同磋商协议总金额的比例为：。</w:t>
      </w:r>
    </w:p>
    <w:p>
      <w:pPr>
        <w:pStyle w:val="17"/>
        <w:kinsoku w:val="0"/>
        <w:overflowPunct w:val="0"/>
        <w:snapToGrid w:val="0"/>
        <w:spacing w:after="0" w:line="360" w:lineRule="auto"/>
        <w:ind w:right="-57" w:rightChars="-27"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3"/>
          <w:sz w:val="24"/>
          <w:szCs w:val="24"/>
        </w:rPr>
        <w:t>本</w:t>
      </w:r>
      <w:r>
        <w:rPr>
          <w:rFonts w:hint="eastAsia" w:ascii="宋体" w:hAnsi="宋体" w:eastAsia="宋体" w:cs="宋体"/>
          <w:sz w:val="24"/>
          <w:szCs w:val="24"/>
        </w:rPr>
        <w:t>协</w:t>
      </w:r>
      <w:r>
        <w:rPr>
          <w:rFonts w:hint="eastAsia" w:ascii="宋体" w:hAnsi="宋体" w:eastAsia="宋体" w:cs="宋体"/>
          <w:spacing w:val="-3"/>
          <w:sz w:val="24"/>
          <w:szCs w:val="24"/>
        </w:rPr>
        <w:t>议</w:t>
      </w:r>
      <w:r>
        <w:rPr>
          <w:rFonts w:hint="eastAsia" w:ascii="宋体" w:hAnsi="宋体" w:eastAsia="宋体" w:cs="宋体"/>
          <w:sz w:val="24"/>
          <w:szCs w:val="24"/>
        </w:rPr>
        <w:t>书</w:t>
      </w:r>
      <w:r>
        <w:rPr>
          <w:rFonts w:hint="eastAsia" w:ascii="宋体" w:hAnsi="宋体" w:eastAsia="宋体" w:cs="宋体"/>
          <w:spacing w:val="-3"/>
          <w:sz w:val="24"/>
          <w:szCs w:val="24"/>
        </w:rPr>
        <w:t>自</w:t>
      </w:r>
      <w:r>
        <w:rPr>
          <w:rFonts w:hint="eastAsia" w:ascii="宋体" w:hAnsi="宋体" w:eastAsia="宋体" w:cs="宋体"/>
          <w:sz w:val="24"/>
          <w:szCs w:val="24"/>
        </w:rPr>
        <w:t>所</w:t>
      </w:r>
      <w:r>
        <w:rPr>
          <w:rFonts w:hint="eastAsia" w:ascii="宋体" w:hAnsi="宋体" w:eastAsia="宋体" w:cs="宋体"/>
          <w:spacing w:val="-3"/>
          <w:sz w:val="24"/>
          <w:szCs w:val="24"/>
        </w:rPr>
        <w:t>有</w:t>
      </w:r>
      <w:r>
        <w:rPr>
          <w:rFonts w:hint="eastAsia" w:ascii="宋体" w:hAnsi="宋体" w:eastAsia="宋体" w:cs="宋体"/>
          <w:sz w:val="24"/>
          <w:szCs w:val="24"/>
        </w:rPr>
        <w:t>成</w:t>
      </w:r>
      <w:r>
        <w:rPr>
          <w:rFonts w:hint="eastAsia" w:ascii="宋体" w:hAnsi="宋体" w:eastAsia="宋体" w:cs="宋体"/>
          <w:spacing w:val="-3"/>
          <w:sz w:val="24"/>
          <w:szCs w:val="24"/>
        </w:rPr>
        <w:t>员单</w:t>
      </w:r>
      <w:r>
        <w:rPr>
          <w:rFonts w:hint="eastAsia" w:ascii="宋体" w:hAnsi="宋体" w:eastAsia="宋体" w:cs="宋体"/>
          <w:sz w:val="24"/>
          <w:szCs w:val="24"/>
        </w:rPr>
        <w:t>位法</w:t>
      </w:r>
      <w:r>
        <w:rPr>
          <w:rFonts w:hint="eastAsia" w:ascii="宋体" w:hAnsi="宋体" w:eastAsia="宋体" w:cs="宋体"/>
          <w:spacing w:val="-3"/>
          <w:sz w:val="24"/>
          <w:szCs w:val="24"/>
        </w:rPr>
        <w:t>定</w:t>
      </w:r>
      <w:r>
        <w:rPr>
          <w:rFonts w:hint="eastAsia" w:ascii="宋体" w:hAnsi="宋体" w:eastAsia="宋体" w:cs="宋体"/>
          <w:sz w:val="24"/>
          <w:szCs w:val="24"/>
        </w:rPr>
        <w:t>代</w:t>
      </w:r>
      <w:r>
        <w:rPr>
          <w:rFonts w:hint="eastAsia" w:ascii="宋体" w:hAnsi="宋体" w:eastAsia="宋体" w:cs="宋体"/>
          <w:spacing w:val="-3"/>
          <w:sz w:val="24"/>
          <w:szCs w:val="24"/>
        </w:rPr>
        <w:t>表</w:t>
      </w:r>
      <w:r>
        <w:rPr>
          <w:rFonts w:hint="eastAsia" w:ascii="宋体" w:hAnsi="宋体" w:eastAsia="宋体" w:cs="宋体"/>
          <w:spacing w:val="-13"/>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单</w:t>
      </w:r>
      <w:r>
        <w:rPr>
          <w:rFonts w:hint="eastAsia" w:ascii="宋体" w:hAnsi="宋体" w:eastAsia="宋体" w:cs="宋体"/>
          <w:spacing w:val="-3"/>
          <w:sz w:val="24"/>
          <w:szCs w:val="24"/>
        </w:rPr>
        <w:t>位</w:t>
      </w:r>
      <w:r>
        <w:rPr>
          <w:rFonts w:hint="eastAsia" w:ascii="宋体" w:hAnsi="宋体" w:eastAsia="宋体" w:cs="宋体"/>
          <w:sz w:val="24"/>
          <w:szCs w:val="24"/>
        </w:rPr>
        <w:t>负</w:t>
      </w:r>
      <w:r>
        <w:rPr>
          <w:rFonts w:hint="eastAsia" w:ascii="宋体" w:hAnsi="宋体" w:eastAsia="宋体" w:cs="宋体"/>
          <w:spacing w:val="-3"/>
          <w:sz w:val="24"/>
          <w:szCs w:val="24"/>
        </w:rPr>
        <w:t>责</w:t>
      </w:r>
      <w:r>
        <w:rPr>
          <w:rFonts w:hint="eastAsia" w:ascii="宋体" w:hAnsi="宋体" w:eastAsia="宋体" w:cs="宋体"/>
          <w:sz w:val="24"/>
          <w:szCs w:val="24"/>
        </w:rPr>
        <w:t>人</w:t>
      </w:r>
      <w:r>
        <w:rPr>
          <w:rFonts w:hint="eastAsia" w:ascii="宋体" w:hAnsi="宋体" w:eastAsia="宋体" w:cs="宋体"/>
          <w:spacing w:val="-13"/>
          <w:sz w:val="24"/>
          <w:szCs w:val="24"/>
        </w:rPr>
        <w:t>）</w:t>
      </w:r>
      <w:r>
        <w:rPr>
          <w:rFonts w:hint="eastAsia" w:ascii="宋体" w:hAnsi="宋体" w:eastAsia="宋体" w:cs="宋体"/>
          <w:spacing w:val="-3"/>
          <w:sz w:val="24"/>
          <w:szCs w:val="24"/>
        </w:rPr>
        <w:t>或</w:t>
      </w:r>
      <w:r>
        <w:rPr>
          <w:rFonts w:hint="eastAsia" w:ascii="宋体" w:hAnsi="宋体" w:eastAsia="宋体" w:cs="宋体"/>
          <w:sz w:val="24"/>
          <w:szCs w:val="24"/>
        </w:rPr>
        <w:t>其</w:t>
      </w:r>
      <w:r>
        <w:rPr>
          <w:rFonts w:hint="eastAsia" w:ascii="宋体" w:hAnsi="宋体" w:eastAsia="宋体" w:cs="宋体"/>
          <w:spacing w:val="-3"/>
          <w:sz w:val="24"/>
          <w:szCs w:val="24"/>
        </w:rPr>
        <w:t>委</w:t>
      </w:r>
      <w:r>
        <w:rPr>
          <w:rFonts w:hint="eastAsia" w:ascii="宋体" w:hAnsi="宋体" w:eastAsia="宋体" w:cs="宋体"/>
          <w:sz w:val="24"/>
          <w:szCs w:val="24"/>
        </w:rPr>
        <w:t>托</w:t>
      </w:r>
      <w:r>
        <w:rPr>
          <w:rFonts w:hint="eastAsia" w:ascii="宋体" w:hAnsi="宋体" w:eastAsia="宋体" w:cs="宋体"/>
          <w:spacing w:val="-3"/>
          <w:sz w:val="24"/>
          <w:szCs w:val="24"/>
        </w:rPr>
        <w:t>代</w:t>
      </w:r>
      <w:r>
        <w:rPr>
          <w:rFonts w:hint="eastAsia" w:ascii="宋体" w:hAnsi="宋体" w:eastAsia="宋体" w:cs="宋体"/>
          <w:sz w:val="24"/>
          <w:szCs w:val="24"/>
        </w:rPr>
        <w:t>理</w:t>
      </w:r>
      <w:r>
        <w:rPr>
          <w:rFonts w:hint="eastAsia" w:ascii="宋体" w:hAnsi="宋体" w:eastAsia="宋体" w:cs="宋体"/>
          <w:spacing w:val="-3"/>
          <w:sz w:val="24"/>
          <w:szCs w:val="24"/>
        </w:rPr>
        <w:t>人</w:t>
      </w:r>
      <w:r>
        <w:rPr>
          <w:rFonts w:hint="eastAsia" w:ascii="宋体" w:hAnsi="宋体" w:eastAsia="宋体" w:cs="宋体"/>
          <w:sz w:val="24"/>
          <w:szCs w:val="24"/>
        </w:rPr>
        <w:t>签</w:t>
      </w:r>
      <w:r>
        <w:rPr>
          <w:rFonts w:hint="eastAsia" w:ascii="宋体" w:hAnsi="宋体" w:eastAsia="宋体" w:cs="宋体"/>
          <w:spacing w:val="-3"/>
          <w:sz w:val="24"/>
          <w:szCs w:val="24"/>
        </w:rPr>
        <w:t>字</w:t>
      </w:r>
      <w:r>
        <w:rPr>
          <w:rFonts w:hint="eastAsia" w:ascii="宋体" w:hAnsi="宋体" w:eastAsia="宋体" w:cs="宋体"/>
          <w:sz w:val="24"/>
          <w:szCs w:val="24"/>
        </w:rPr>
        <w:t>或盖</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章</w:t>
      </w:r>
      <w:r>
        <w:rPr>
          <w:rFonts w:hint="eastAsia" w:ascii="宋体" w:hAnsi="宋体" w:eastAsia="宋体" w:cs="宋体"/>
          <w:sz w:val="24"/>
          <w:szCs w:val="24"/>
        </w:rPr>
        <w:t>之日起</w:t>
      </w:r>
      <w:r>
        <w:rPr>
          <w:rFonts w:hint="eastAsia" w:ascii="宋体" w:hAnsi="宋体" w:eastAsia="宋体" w:cs="宋体"/>
          <w:spacing w:val="-3"/>
          <w:sz w:val="24"/>
          <w:szCs w:val="24"/>
        </w:rPr>
        <w:t>生</w:t>
      </w:r>
      <w:r>
        <w:rPr>
          <w:rFonts w:hint="eastAsia" w:ascii="宋体" w:hAnsi="宋体" w:eastAsia="宋体" w:cs="宋体"/>
          <w:sz w:val="24"/>
          <w:szCs w:val="24"/>
        </w:rPr>
        <w:t>效</w:t>
      </w:r>
      <w:r>
        <w:rPr>
          <w:rFonts w:hint="eastAsia" w:ascii="宋体" w:hAnsi="宋体" w:eastAsia="宋体" w:cs="宋体"/>
          <w:spacing w:val="-3"/>
          <w:sz w:val="24"/>
          <w:szCs w:val="24"/>
        </w:rPr>
        <w:t>，</w:t>
      </w:r>
      <w:r>
        <w:rPr>
          <w:rFonts w:hint="eastAsia" w:ascii="宋体" w:hAnsi="宋体" w:eastAsia="宋体" w:cs="宋体"/>
          <w:sz w:val="24"/>
          <w:szCs w:val="24"/>
        </w:rPr>
        <w:t>合</w:t>
      </w:r>
      <w:r>
        <w:rPr>
          <w:rFonts w:hint="eastAsia" w:ascii="宋体" w:hAnsi="宋体" w:eastAsia="宋体" w:cs="宋体"/>
          <w:spacing w:val="-3"/>
          <w:sz w:val="24"/>
          <w:szCs w:val="24"/>
        </w:rPr>
        <w:t>同</w:t>
      </w:r>
      <w:r>
        <w:rPr>
          <w:rFonts w:hint="eastAsia" w:ascii="宋体" w:hAnsi="宋体" w:eastAsia="宋体" w:cs="宋体"/>
          <w:sz w:val="24"/>
          <w:szCs w:val="24"/>
        </w:rPr>
        <w:t>履</w:t>
      </w:r>
      <w:r>
        <w:rPr>
          <w:rFonts w:hint="eastAsia" w:ascii="宋体" w:hAnsi="宋体" w:eastAsia="宋体" w:cs="宋体"/>
          <w:spacing w:val="-3"/>
          <w:sz w:val="24"/>
          <w:szCs w:val="24"/>
        </w:rPr>
        <w:t>行</w:t>
      </w:r>
      <w:r>
        <w:rPr>
          <w:rFonts w:hint="eastAsia" w:ascii="宋体" w:hAnsi="宋体" w:eastAsia="宋体" w:cs="宋体"/>
          <w:sz w:val="24"/>
          <w:szCs w:val="24"/>
        </w:rPr>
        <w:t>完</w:t>
      </w:r>
      <w:r>
        <w:rPr>
          <w:rFonts w:hint="eastAsia" w:ascii="宋体" w:hAnsi="宋体" w:eastAsia="宋体" w:cs="宋体"/>
          <w:spacing w:val="-3"/>
          <w:sz w:val="24"/>
          <w:szCs w:val="24"/>
        </w:rPr>
        <w:t>毕</w:t>
      </w:r>
      <w:r>
        <w:rPr>
          <w:rFonts w:hint="eastAsia" w:ascii="宋体" w:hAnsi="宋体" w:eastAsia="宋体" w:cs="宋体"/>
          <w:sz w:val="24"/>
          <w:szCs w:val="24"/>
        </w:rPr>
        <w:t>后自</w:t>
      </w:r>
      <w:r>
        <w:rPr>
          <w:rFonts w:hint="eastAsia" w:ascii="宋体" w:hAnsi="宋体" w:eastAsia="宋体" w:cs="宋体"/>
          <w:spacing w:val="-3"/>
          <w:sz w:val="24"/>
          <w:szCs w:val="24"/>
        </w:rPr>
        <w:t>动</w:t>
      </w:r>
      <w:r>
        <w:rPr>
          <w:rFonts w:hint="eastAsia" w:ascii="宋体" w:hAnsi="宋体" w:eastAsia="宋体" w:cs="宋体"/>
          <w:sz w:val="24"/>
          <w:szCs w:val="24"/>
        </w:rPr>
        <w:t>失</w:t>
      </w:r>
      <w:r>
        <w:rPr>
          <w:rFonts w:hint="eastAsia" w:ascii="宋体" w:hAnsi="宋体" w:eastAsia="宋体" w:cs="宋体"/>
          <w:spacing w:val="-3"/>
          <w:sz w:val="24"/>
          <w:szCs w:val="24"/>
        </w:rPr>
        <w:t>效</w:t>
      </w:r>
      <w:r>
        <w:rPr>
          <w:rFonts w:hint="eastAsia" w:ascii="宋体" w:hAnsi="宋体" w:eastAsia="宋体" w:cs="宋体"/>
          <w:sz w:val="24"/>
          <w:szCs w:val="24"/>
        </w:rPr>
        <w:t>。</w:t>
      </w:r>
    </w:p>
    <w:p>
      <w:pPr>
        <w:pStyle w:val="17"/>
        <w:tabs>
          <w:tab w:val="left" w:pos="2464"/>
        </w:tabs>
        <w:kinsoku w:val="0"/>
        <w:overflowPunct w:val="0"/>
        <w:snapToGrid w:val="0"/>
        <w:spacing w:after="0" w:line="360" w:lineRule="auto"/>
        <w:ind w:left="520" w:right="-57" w:rightChars="-27"/>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pacing w:val="-3"/>
          <w:sz w:val="24"/>
          <w:szCs w:val="24"/>
        </w:rPr>
        <w:t>本</w:t>
      </w:r>
      <w:r>
        <w:rPr>
          <w:rFonts w:hint="eastAsia" w:ascii="宋体" w:hAnsi="宋体" w:eastAsia="宋体" w:cs="宋体"/>
          <w:sz w:val="24"/>
          <w:szCs w:val="24"/>
        </w:rPr>
        <w:t>协</w:t>
      </w:r>
      <w:r>
        <w:rPr>
          <w:rFonts w:hint="eastAsia" w:ascii="宋体" w:hAnsi="宋体" w:eastAsia="宋体" w:cs="宋体"/>
          <w:spacing w:val="-3"/>
          <w:sz w:val="24"/>
          <w:szCs w:val="24"/>
        </w:rPr>
        <w:t>议</w:t>
      </w:r>
      <w:r>
        <w:rPr>
          <w:rFonts w:hint="eastAsia" w:ascii="宋体" w:hAnsi="宋体" w:eastAsia="宋体" w:cs="宋体"/>
          <w:sz w:val="24"/>
          <w:szCs w:val="24"/>
        </w:rPr>
        <w:t>书</w:t>
      </w:r>
      <w:r>
        <w:rPr>
          <w:rFonts w:hint="eastAsia" w:ascii="宋体" w:hAnsi="宋体" w:eastAsia="宋体" w:cs="宋体"/>
          <w:spacing w:val="-3"/>
          <w:sz w:val="24"/>
          <w:szCs w:val="24"/>
        </w:rPr>
        <w:t>一</w:t>
      </w:r>
      <w:r>
        <w:rPr>
          <w:rFonts w:hint="eastAsia" w:ascii="宋体" w:hAnsi="宋体" w:eastAsia="宋体" w:cs="宋体"/>
          <w:spacing w:val="-1"/>
          <w:sz w:val="24"/>
          <w:szCs w:val="24"/>
        </w:rPr>
        <w:t>式</w:t>
      </w:r>
      <w:r>
        <w:rPr>
          <w:rFonts w:hint="eastAsia" w:ascii="宋体" w:hAnsi="宋体" w:eastAsia="宋体" w:cs="宋体"/>
          <w:spacing w:val="-3"/>
          <w:sz w:val="24"/>
          <w:szCs w:val="24"/>
        </w:rPr>
        <w:t>份，</w:t>
      </w:r>
      <w:r>
        <w:rPr>
          <w:rFonts w:hint="eastAsia" w:ascii="宋体" w:hAnsi="宋体" w:eastAsia="宋体" w:cs="宋体"/>
          <w:sz w:val="24"/>
          <w:szCs w:val="24"/>
        </w:rPr>
        <w:t>联合</w:t>
      </w:r>
      <w:r>
        <w:rPr>
          <w:rFonts w:hint="eastAsia" w:ascii="宋体" w:hAnsi="宋体" w:eastAsia="宋体" w:cs="宋体"/>
          <w:spacing w:val="-3"/>
          <w:sz w:val="24"/>
          <w:szCs w:val="24"/>
        </w:rPr>
        <w:t>体</w:t>
      </w:r>
      <w:r>
        <w:rPr>
          <w:rFonts w:hint="eastAsia" w:ascii="宋体" w:hAnsi="宋体" w:eastAsia="宋体" w:cs="宋体"/>
          <w:sz w:val="24"/>
          <w:szCs w:val="24"/>
        </w:rPr>
        <w:t>成</w:t>
      </w:r>
      <w:r>
        <w:rPr>
          <w:rFonts w:hint="eastAsia" w:ascii="宋体" w:hAnsi="宋体" w:eastAsia="宋体" w:cs="宋体"/>
          <w:spacing w:val="-3"/>
          <w:sz w:val="24"/>
          <w:szCs w:val="24"/>
        </w:rPr>
        <w:t>员</w:t>
      </w:r>
      <w:r>
        <w:rPr>
          <w:rFonts w:hint="eastAsia" w:ascii="宋体" w:hAnsi="宋体" w:eastAsia="宋体" w:cs="宋体"/>
          <w:sz w:val="24"/>
          <w:szCs w:val="24"/>
        </w:rPr>
        <w:t>和</w:t>
      </w:r>
      <w:r>
        <w:rPr>
          <w:rFonts w:hint="eastAsia" w:ascii="宋体" w:hAnsi="宋体" w:eastAsia="宋体" w:cs="宋体"/>
          <w:spacing w:val="-3"/>
          <w:sz w:val="24"/>
          <w:szCs w:val="24"/>
        </w:rPr>
        <w:t>采购人</w:t>
      </w:r>
      <w:r>
        <w:rPr>
          <w:rFonts w:hint="eastAsia" w:ascii="宋体" w:hAnsi="宋体" w:eastAsia="宋体" w:cs="宋体"/>
          <w:sz w:val="24"/>
          <w:szCs w:val="24"/>
        </w:rPr>
        <w:t>各</w:t>
      </w:r>
      <w:r>
        <w:rPr>
          <w:rFonts w:hint="eastAsia" w:ascii="宋体" w:hAnsi="宋体" w:eastAsia="宋体" w:cs="宋体"/>
          <w:spacing w:val="-3"/>
          <w:sz w:val="24"/>
          <w:szCs w:val="24"/>
        </w:rPr>
        <w:t>执</w:t>
      </w:r>
      <w:r>
        <w:rPr>
          <w:rFonts w:hint="eastAsia" w:ascii="宋体" w:hAnsi="宋体" w:eastAsia="宋体" w:cs="宋体"/>
          <w:sz w:val="24"/>
          <w:szCs w:val="24"/>
        </w:rPr>
        <w:t>一份。</w:t>
      </w:r>
    </w:p>
    <w:p>
      <w:pPr>
        <w:pStyle w:val="17"/>
        <w:kinsoku w:val="0"/>
        <w:overflowPunct w:val="0"/>
        <w:snapToGrid w:val="0"/>
        <w:spacing w:after="0" w:line="360" w:lineRule="auto"/>
        <w:ind w:right="-57" w:rightChars="-27"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注：本协议书由法定代表人（单位负责人）签字的，应附法定代表人（单位负责人）身份证明；由委托代理人签字的，应附授权委托书。</w:t>
      </w:r>
    </w:p>
    <w:p>
      <w:pPr>
        <w:pStyle w:val="17"/>
        <w:tabs>
          <w:tab w:val="left" w:pos="6756"/>
        </w:tabs>
        <w:kinsoku w:val="0"/>
        <w:overflowPunct w:val="0"/>
        <w:snapToGrid w:val="0"/>
        <w:spacing w:after="0" w:line="360" w:lineRule="auto"/>
        <w:ind w:right="-57" w:rightChars="-27" w:firstLine="1440" w:firstLineChars="600"/>
        <w:jc w:val="left"/>
        <w:rPr>
          <w:rFonts w:hint="eastAsia" w:ascii="宋体" w:hAnsi="宋体" w:eastAsia="宋体" w:cs="宋体"/>
          <w:sz w:val="24"/>
          <w:szCs w:val="24"/>
        </w:rPr>
      </w:pPr>
      <w:r>
        <w:rPr>
          <w:rFonts w:hint="eastAsia" w:ascii="宋体" w:hAnsi="宋体" w:eastAsia="宋体" w:cs="宋体"/>
          <w:sz w:val="24"/>
          <w:szCs w:val="24"/>
        </w:rPr>
        <w:t>联合</w:t>
      </w:r>
      <w:r>
        <w:rPr>
          <w:rFonts w:hint="eastAsia" w:ascii="宋体" w:hAnsi="宋体" w:eastAsia="宋体" w:cs="宋体"/>
          <w:spacing w:val="-3"/>
          <w:sz w:val="24"/>
          <w:szCs w:val="24"/>
        </w:rPr>
        <w:t>体</w:t>
      </w:r>
      <w:r>
        <w:rPr>
          <w:rFonts w:hint="eastAsia" w:ascii="宋体" w:hAnsi="宋体" w:eastAsia="宋体" w:cs="宋体"/>
          <w:sz w:val="24"/>
          <w:szCs w:val="24"/>
        </w:rPr>
        <w:t>牵</w:t>
      </w:r>
      <w:r>
        <w:rPr>
          <w:rFonts w:hint="eastAsia" w:ascii="宋体" w:hAnsi="宋体" w:eastAsia="宋体" w:cs="宋体"/>
          <w:spacing w:val="-3"/>
          <w:sz w:val="24"/>
          <w:szCs w:val="24"/>
        </w:rPr>
        <w:t>头</w:t>
      </w:r>
      <w:r>
        <w:rPr>
          <w:rFonts w:hint="eastAsia" w:ascii="宋体" w:hAnsi="宋体" w:eastAsia="宋体" w:cs="宋体"/>
          <w:sz w:val="24"/>
          <w:szCs w:val="24"/>
        </w:rPr>
        <w:t>人</w:t>
      </w:r>
      <w:r>
        <w:rPr>
          <w:rFonts w:hint="eastAsia" w:ascii="宋体" w:hAnsi="宋体" w:eastAsia="宋体" w:cs="宋体"/>
          <w:spacing w:val="-3"/>
          <w:sz w:val="24"/>
          <w:szCs w:val="24"/>
        </w:rPr>
        <w:t>名</w:t>
      </w:r>
      <w:r>
        <w:rPr>
          <w:rFonts w:hint="eastAsia" w:ascii="宋体" w:hAnsi="宋体" w:eastAsia="宋体" w:cs="宋体"/>
          <w:sz w:val="24"/>
          <w:szCs w:val="24"/>
        </w:rPr>
        <w:t>称</w:t>
      </w:r>
      <w:r>
        <w:rPr>
          <w:rFonts w:hint="eastAsia" w:ascii="宋体" w:hAnsi="宋体" w:eastAsia="宋体" w:cs="宋体"/>
          <w:spacing w:val="-3"/>
          <w:sz w:val="24"/>
          <w:szCs w:val="24"/>
        </w:rPr>
        <w:t>：</w:t>
      </w:r>
      <w:r>
        <w:rPr>
          <w:rFonts w:hint="eastAsia" w:ascii="宋体" w:hAnsi="宋体" w:eastAsia="宋体" w:cs="宋体"/>
          <w:sz w:val="24"/>
          <w:szCs w:val="24"/>
        </w:rPr>
        <w:t>（盖</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章</w:t>
      </w:r>
      <w:r>
        <w:rPr>
          <w:rFonts w:hint="eastAsia" w:ascii="宋体" w:hAnsi="宋体" w:eastAsia="宋体" w:cs="宋体"/>
          <w:sz w:val="24"/>
          <w:szCs w:val="24"/>
        </w:rPr>
        <w:t>）</w:t>
      </w:r>
    </w:p>
    <w:p>
      <w:pPr>
        <w:pStyle w:val="17"/>
        <w:tabs>
          <w:tab w:val="left" w:pos="7661"/>
        </w:tabs>
        <w:kinsoku w:val="0"/>
        <w:overflowPunct w:val="0"/>
        <w:snapToGrid w:val="0"/>
        <w:spacing w:after="0" w:line="360" w:lineRule="auto"/>
        <w:ind w:right="-57" w:rightChars="-27" w:firstLine="1440" w:firstLineChars="600"/>
        <w:jc w:val="left"/>
        <w:rPr>
          <w:rFonts w:hint="eastAsia" w:ascii="宋体" w:hAnsi="宋体" w:eastAsia="宋体" w:cs="宋体"/>
          <w:sz w:val="24"/>
          <w:szCs w:val="24"/>
        </w:rPr>
      </w:pPr>
      <w:r>
        <w:rPr>
          <w:rFonts w:hint="eastAsia" w:ascii="宋体" w:hAnsi="宋体" w:eastAsia="宋体" w:cs="宋体"/>
          <w:sz w:val="24"/>
          <w:szCs w:val="24"/>
        </w:rPr>
        <w:t>法定</w:t>
      </w:r>
      <w:r>
        <w:rPr>
          <w:rFonts w:hint="eastAsia" w:ascii="宋体" w:hAnsi="宋体" w:eastAsia="宋体" w:cs="宋体"/>
          <w:spacing w:val="-3"/>
          <w:sz w:val="24"/>
          <w:szCs w:val="24"/>
        </w:rPr>
        <w:t>代</w:t>
      </w:r>
      <w:r>
        <w:rPr>
          <w:rFonts w:hint="eastAsia" w:ascii="宋体" w:hAnsi="宋体" w:eastAsia="宋体" w:cs="宋体"/>
          <w:sz w:val="24"/>
          <w:szCs w:val="24"/>
        </w:rPr>
        <w:t>表</w:t>
      </w:r>
      <w:r>
        <w:rPr>
          <w:rFonts w:hint="eastAsia" w:ascii="宋体" w:hAnsi="宋体" w:eastAsia="宋体" w:cs="宋体"/>
          <w:spacing w:val="-3"/>
          <w:sz w:val="24"/>
          <w:szCs w:val="24"/>
        </w:rPr>
        <w:t>人</w:t>
      </w:r>
      <w:r>
        <w:rPr>
          <w:rFonts w:hint="eastAsia" w:ascii="宋体" w:hAnsi="宋体" w:eastAsia="宋体" w:cs="宋体"/>
          <w:sz w:val="24"/>
          <w:szCs w:val="24"/>
        </w:rPr>
        <w:t>（</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负</w:t>
      </w:r>
      <w:r>
        <w:rPr>
          <w:rFonts w:hint="eastAsia" w:ascii="宋体" w:hAnsi="宋体" w:eastAsia="宋体" w:cs="宋体"/>
          <w:sz w:val="24"/>
          <w:szCs w:val="24"/>
        </w:rPr>
        <w:t>责</w:t>
      </w:r>
      <w:r>
        <w:rPr>
          <w:rFonts w:hint="eastAsia" w:ascii="宋体" w:hAnsi="宋体" w:eastAsia="宋体" w:cs="宋体"/>
          <w:spacing w:val="-3"/>
          <w:sz w:val="24"/>
          <w:szCs w:val="24"/>
        </w:rPr>
        <w:t>人</w:t>
      </w:r>
      <w:r>
        <w:rPr>
          <w:rFonts w:hint="eastAsia" w:ascii="宋体" w:hAnsi="宋体" w:eastAsia="宋体" w:cs="宋体"/>
          <w:sz w:val="24"/>
          <w:szCs w:val="24"/>
        </w:rPr>
        <w:t>）或</w:t>
      </w:r>
      <w:r>
        <w:rPr>
          <w:rFonts w:hint="eastAsia" w:ascii="宋体" w:hAnsi="宋体" w:eastAsia="宋体" w:cs="宋体"/>
          <w:spacing w:val="-3"/>
          <w:sz w:val="24"/>
          <w:szCs w:val="24"/>
        </w:rPr>
        <w:t>其</w:t>
      </w:r>
      <w:r>
        <w:rPr>
          <w:rFonts w:hint="eastAsia" w:ascii="宋体" w:hAnsi="宋体" w:eastAsia="宋体" w:cs="宋体"/>
          <w:sz w:val="24"/>
          <w:szCs w:val="24"/>
        </w:rPr>
        <w:t>委</w:t>
      </w:r>
      <w:r>
        <w:rPr>
          <w:rFonts w:hint="eastAsia" w:ascii="宋体" w:hAnsi="宋体" w:eastAsia="宋体" w:cs="宋体"/>
          <w:spacing w:val="-3"/>
          <w:sz w:val="24"/>
          <w:szCs w:val="24"/>
        </w:rPr>
        <w:t>托</w:t>
      </w:r>
      <w:r>
        <w:rPr>
          <w:rFonts w:hint="eastAsia" w:ascii="宋体" w:hAnsi="宋体" w:eastAsia="宋体" w:cs="宋体"/>
          <w:sz w:val="24"/>
          <w:szCs w:val="24"/>
        </w:rPr>
        <w:t>代</w:t>
      </w:r>
      <w:r>
        <w:rPr>
          <w:rFonts w:hint="eastAsia" w:ascii="宋体" w:hAnsi="宋体" w:eastAsia="宋体" w:cs="宋体"/>
          <w:spacing w:val="-3"/>
          <w:sz w:val="24"/>
          <w:szCs w:val="24"/>
        </w:rPr>
        <w:t>理</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（签字或盖章）</w:t>
      </w:r>
    </w:p>
    <w:p>
      <w:pPr>
        <w:pStyle w:val="17"/>
        <w:tabs>
          <w:tab w:val="left" w:pos="7241"/>
        </w:tabs>
        <w:kinsoku w:val="0"/>
        <w:overflowPunct w:val="0"/>
        <w:snapToGrid w:val="0"/>
        <w:spacing w:after="0" w:line="360" w:lineRule="auto"/>
        <w:ind w:right="-57" w:rightChars="-27" w:firstLine="1440" w:firstLineChars="600"/>
        <w:rPr>
          <w:rFonts w:hint="eastAsia" w:ascii="宋体" w:hAnsi="宋体" w:eastAsia="宋体" w:cs="宋体"/>
          <w:sz w:val="24"/>
          <w:szCs w:val="24"/>
        </w:rPr>
      </w:pPr>
      <w:r>
        <w:rPr>
          <w:rFonts w:hint="eastAsia" w:ascii="宋体" w:hAnsi="宋体" w:eastAsia="宋体" w:cs="宋体"/>
          <w:sz w:val="24"/>
          <w:szCs w:val="24"/>
        </w:rPr>
        <w:t>联合</w:t>
      </w:r>
      <w:r>
        <w:rPr>
          <w:rFonts w:hint="eastAsia" w:ascii="宋体" w:hAnsi="宋体" w:eastAsia="宋体" w:cs="宋体"/>
          <w:spacing w:val="-3"/>
          <w:sz w:val="24"/>
          <w:szCs w:val="24"/>
        </w:rPr>
        <w:t>体</w:t>
      </w:r>
      <w:r>
        <w:rPr>
          <w:rFonts w:hint="eastAsia" w:ascii="宋体" w:hAnsi="宋体" w:eastAsia="宋体" w:cs="宋体"/>
          <w:sz w:val="24"/>
          <w:szCs w:val="24"/>
        </w:rPr>
        <w:t>成</w:t>
      </w:r>
      <w:r>
        <w:rPr>
          <w:rFonts w:hint="eastAsia" w:ascii="宋体" w:hAnsi="宋体" w:eastAsia="宋体" w:cs="宋体"/>
          <w:spacing w:val="-3"/>
          <w:sz w:val="24"/>
          <w:szCs w:val="24"/>
        </w:rPr>
        <w:t>员</w:t>
      </w:r>
      <w:r>
        <w:rPr>
          <w:rFonts w:hint="eastAsia" w:ascii="宋体" w:hAnsi="宋体" w:eastAsia="宋体" w:cs="宋体"/>
          <w:sz w:val="24"/>
          <w:szCs w:val="24"/>
        </w:rPr>
        <w:t>名</w:t>
      </w:r>
      <w:r>
        <w:rPr>
          <w:rFonts w:hint="eastAsia" w:ascii="宋体" w:hAnsi="宋体" w:eastAsia="宋体" w:cs="宋体"/>
          <w:spacing w:val="-3"/>
          <w:sz w:val="24"/>
          <w:szCs w:val="24"/>
        </w:rPr>
        <w:t>称</w:t>
      </w:r>
      <w:r>
        <w:rPr>
          <w:rFonts w:hint="eastAsia" w:ascii="宋体" w:hAnsi="宋体" w:eastAsia="宋体" w:cs="宋体"/>
          <w:spacing w:val="-1"/>
          <w:sz w:val="24"/>
          <w:szCs w:val="24"/>
        </w:rPr>
        <w:t>：</w:t>
      </w:r>
      <w:r>
        <w:rPr>
          <w:rFonts w:hint="eastAsia" w:ascii="宋体" w:hAnsi="宋体" w:eastAsia="宋体" w:cs="宋体"/>
          <w:sz w:val="24"/>
          <w:szCs w:val="24"/>
        </w:rPr>
        <w:t>（盖</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章</w:t>
      </w:r>
      <w:r>
        <w:rPr>
          <w:rFonts w:hint="eastAsia" w:ascii="宋体" w:hAnsi="宋体" w:eastAsia="宋体" w:cs="宋体"/>
          <w:sz w:val="24"/>
          <w:szCs w:val="24"/>
        </w:rPr>
        <w:t>）</w:t>
      </w:r>
    </w:p>
    <w:p>
      <w:pPr>
        <w:pStyle w:val="17"/>
        <w:tabs>
          <w:tab w:val="left" w:pos="7658"/>
        </w:tabs>
        <w:kinsoku w:val="0"/>
        <w:overflowPunct w:val="0"/>
        <w:snapToGrid w:val="0"/>
        <w:spacing w:after="0" w:line="360" w:lineRule="auto"/>
        <w:ind w:right="-57" w:rightChars="-27" w:firstLine="1440" w:firstLineChars="600"/>
        <w:rPr>
          <w:rFonts w:hint="eastAsia" w:ascii="宋体" w:hAnsi="宋体" w:eastAsia="宋体" w:cs="宋体"/>
          <w:sz w:val="24"/>
          <w:szCs w:val="24"/>
        </w:rPr>
      </w:pPr>
      <w:r>
        <w:rPr>
          <w:rFonts w:hint="eastAsia" w:ascii="宋体" w:hAnsi="宋体" w:eastAsia="宋体" w:cs="宋体"/>
          <w:sz w:val="24"/>
          <w:szCs w:val="24"/>
        </w:rPr>
        <w:t>法定</w:t>
      </w:r>
      <w:r>
        <w:rPr>
          <w:rFonts w:hint="eastAsia" w:ascii="宋体" w:hAnsi="宋体" w:eastAsia="宋体" w:cs="宋体"/>
          <w:spacing w:val="-3"/>
          <w:sz w:val="24"/>
          <w:szCs w:val="24"/>
        </w:rPr>
        <w:t>代</w:t>
      </w:r>
      <w:r>
        <w:rPr>
          <w:rFonts w:hint="eastAsia" w:ascii="宋体" w:hAnsi="宋体" w:eastAsia="宋体" w:cs="宋体"/>
          <w:sz w:val="24"/>
          <w:szCs w:val="24"/>
        </w:rPr>
        <w:t>表</w:t>
      </w:r>
      <w:r>
        <w:rPr>
          <w:rFonts w:hint="eastAsia" w:ascii="宋体" w:hAnsi="宋体" w:eastAsia="宋体" w:cs="宋体"/>
          <w:spacing w:val="-3"/>
          <w:sz w:val="24"/>
          <w:szCs w:val="24"/>
        </w:rPr>
        <w:t>人</w:t>
      </w:r>
      <w:r>
        <w:rPr>
          <w:rFonts w:hint="eastAsia" w:ascii="宋体" w:hAnsi="宋体" w:eastAsia="宋体" w:cs="宋体"/>
          <w:sz w:val="24"/>
          <w:szCs w:val="24"/>
        </w:rPr>
        <w:t>（</w:t>
      </w:r>
      <w:r>
        <w:rPr>
          <w:rFonts w:hint="eastAsia" w:ascii="宋体" w:hAnsi="宋体" w:eastAsia="宋体" w:cs="宋体"/>
          <w:spacing w:val="-3"/>
          <w:sz w:val="24"/>
          <w:szCs w:val="24"/>
        </w:rPr>
        <w:t>单</w:t>
      </w:r>
      <w:r>
        <w:rPr>
          <w:rFonts w:hint="eastAsia" w:ascii="宋体" w:hAnsi="宋体" w:eastAsia="宋体" w:cs="宋体"/>
          <w:sz w:val="24"/>
          <w:szCs w:val="24"/>
        </w:rPr>
        <w:t>位</w:t>
      </w:r>
      <w:r>
        <w:rPr>
          <w:rFonts w:hint="eastAsia" w:ascii="宋体" w:hAnsi="宋体" w:eastAsia="宋体" w:cs="宋体"/>
          <w:spacing w:val="-3"/>
          <w:sz w:val="24"/>
          <w:szCs w:val="24"/>
        </w:rPr>
        <w:t>负</w:t>
      </w:r>
      <w:r>
        <w:rPr>
          <w:rFonts w:hint="eastAsia" w:ascii="宋体" w:hAnsi="宋体" w:eastAsia="宋体" w:cs="宋体"/>
          <w:sz w:val="24"/>
          <w:szCs w:val="24"/>
        </w:rPr>
        <w:t>责</w:t>
      </w:r>
      <w:r>
        <w:rPr>
          <w:rFonts w:hint="eastAsia" w:ascii="宋体" w:hAnsi="宋体" w:eastAsia="宋体" w:cs="宋体"/>
          <w:spacing w:val="-3"/>
          <w:sz w:val="24"/>
          <w:szCs w:val="24"/>
        </w:rPr>
        <w:t>人</w:t>
      </w:r>
      <w:r>
        <w:rPr>
          <w:rFonts w:hint="eastAsia" w:ascii="宋体" w:hAnsi="宋体" w:eastAsia="宋体" w:cs="宋体"/>
          <w:sz w:val="24"/>
          <w:szCs w:val="24"/>
        </w:rPr>
        <w:t>）或</w:t>
      </w:r>
      <w:r>
        <w:rPr>
          <w:rFonts w:hint="eastAsia" w:ascii="宋体" w:hAnsi="宋体" w:eastAsia="宋体" w:cs="宋体"/>
          <w:spacing w:val="-3"/>
          <w:sz w:val="24"/>
          <w:szCs w:val="24"/>
        </w:rPr>
        <w:t>其</w:t>
      </w:r>
      <w:r>
        <w:rPr>
          <w:rFonts w:hint="eastAsia" w:ascii="宋体" w:hAnsi="宋体" w:eastAsia="宋体" w:cs="宋体"/>
          <w:sz w:val="24"/>
          <w:szCs w:val="24"/>
        </w:rPr>
        <w:t>委</w:t>
      </w:r>
      <w:r>
        <w:rPr>
          <w:rFonts w:hint="eastAsia" w:ascii="宋体" w:hAnsi="宋体" w:eastAsia="宋体" w:cs="宋体"/>
          <w:spacing w:val="-3"/>
          <w:sz w:val="24"/>
          <w:szCs w:val="24"/>
        </w:rPr>
        <w:t>托</w:t>
      </w:r>
      <w:r>
        <w:rPr>
          <w:rFonts w:hint="eastAsia" w:ascii="宋体" w:hAnsi="宋体" w:eastAsia="宋体" w:cs="宋体"/>
          <w:sz w:val="24"/>
          <w:szCs w:val="24"/>
        </w:rPr>
        <w:t>代</w:t>
      </w:r>
      <w:r>
        <w:rPr>
          <w:rFonts w:hint="eastAsia" w:ascii="宋体" w:hAnsi="宋体" w:eastAsia="宋体" w:cs="宋体"/>
          <w:spacing w:val="-3"/>
          <w:sz w:val="24"/>
          <w:szCs w:val="24"/>
        </w:rPr>
        <w:t>理</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签字或盖章）</w:t>
      </w:r>
    </w:p>
    <w:p>
      <w:pPr>
        <w:pStyle w:val="17"/>
        <w:tabs>
          <w:tab w:val="left" w:pos="4538"/>
          <w:tab w:val="left" w:pos="5484"/>
          <w:tab w:val="left" w:pos="6427"/>
        </w:tabs>
        <w:kinsoku w:val="0"/>
        <w:wordWrap w:val="0"/>
        <w:overflowPunct w:val="0"/>
        <w:snapToGrid w:val="0"/>
        <w:spacing w:after="0" w:line="360" w:lineRule="auto"/>
        <w:ind w:right="-57" w:rightChars="-27"/>
        <w:jc w:val="right"/>
        <w:rPr>
          <w:rFonts w:hint="eastAsia" w:ascii="宋体" w:hAnsi="宋体" w:eastAsia="宋体" w:cs="宋体"/>
          <w:sz w:val="24"/>
          <w:szCs w:val="24"/>
        </w:rPr>
      </w:pPr>
      <w:r>
        <w:rPr>
          <w:rFonts w:hint="eastAsia" w:ascii="宋体" w:hAnsi="宋体" w:eastAsia="宋体" w:cs="宋体"/>
          <w:sz w:val="24"/>
          <w:szCs w:val="24"/>
        </w:rPr>
        <w:t>年</w:t>
      </w:r>
      <w:r>
        <w:rPr>
          <w:rFonts w:hint="eastAsia" w:ascii="宋体" w:hAnsi="宋体" w:eastAsia="宋体" w:cs="宋体"/>
          <w:spacing w:val="-3"/>
          <w:sz w:val="24"/>
          <w:szCs w:val="24"/>
        </w:rPr>
        <w:t>月</w:t>
      </w:r>
      <w:r>
        <w:rPr>
          <w:rFonts w:hint="eastAsia" w:ascii="宋体" w:hAnsi="宋体" w:eastAsia="宋体" w:cs="宋体"/>
          <w:sz w:val="24"/>
          <w:szCs w:val="24"/>
        </w:rPr>
        <w:t>日</w:t>
      </w:r>
    </w:p>
    <w:p>
      <w:pPr>
        <w:widowControl/>
        <w:snapToGrid w:val="0"/>
        <w:jc w:val="left"/>
        <w:rPr>
          <w:rFonts w:hint="eastAsia" w:ascii="宋体" w:hAnsi="宋体" w:eastAsia="宋体" w:cs="宋体"/>
          <w:b/>
          <w:kern w:val="0"/>
          <w:sz w:val="24"/>
          <w:szCs w:val="24"/>
        </w:rPr>
      </w:pPr>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31" w:name="_Toc106384012"/>
      <w:bookmarkStart w:id="332" w:name="_Toc17487"/>
      <w:r>
        <w:rPr>
          <w:rFonts w:hint="eastAsia" w:ascii="宋体" w:hAnsi="宋体" w:eastAsia="宋体" w:cs="宋体"/>
          <w:sz w:val="24"/>
          <w:szCs w:val="24"/>
        </w:rPr>
        <w:t>（八）</w:t>
      </w:r>
      <w:bookmarkEnd w:id="323"/>
      <w:bookmarkEnd w:id="324"/>
      <w:bookmarkEnd w:id="325"/>
      <w:bookmarkEnd w:id="326"/>
      <w:bookmarkEnd w:id="327"/>
      <w:bookmarkEnd w:id="328"/>
      <w:r>
        <w:rPr>
          <w:rFonts w:hint="eastAsia" w:ascii="宋体" w:hAnsi="宋体" w:eastAsia="宋体" w:cs="宋体"/>
          <w:sz w:val="24"/>
          <w:szCs w:val="24"/>
        </w:rPr>
        <w:t>信用记录查询</w:t>
      </w:r>
      <w:bookmarkEnd w:id="331"/>
      <w:bookmarkEnd w:id="332"/>
    </w:p>
    <w:p>
      <w:pPr>
        <w:autoSpaceDE w:val="0"/>
        <w:autoSpaceDN w:val="0"/>
        <w:adjustRightInd w:val="0"/>
        <w:snapToGrid w:val="0"/>
        <w:spacing w:line="360" w:lineRule="auto"/>
        <w:jc w:val="center"/>
        <w:rPr>
          <w:rFonts w:hint="eastAsia" w:ascii="宋体" w:hAnsi="宋体" w:eastAsia="宋体" w:cs="宋体"/>
          <w:b/>
          <w:kern w:val="0"/>
          <w:sz w:val="24"/>
          <w:szCs w:val="24"/>
        </w:rPr>
      </w:pPr>
    </w:p>
    <w:p>
      <w:pPr>
        <w:autoSpaceDE w:val="0"/>
        <w:autoSpaceDN w:val="0"/>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信用记录</w:t>
      </w:r>
    </w:p>
    <w:p>
      <w:pPr>
        <w:widowControl/>
        <w:adjustRightInd w:val="0"/>
        <w:snapToGrid w:val="0"/>
        <w:spacing w:line="360" w:lineRule="auto"/>
        <w:jc w:val="center"/>
        <w:outlineLvl w:val="3"/>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（复印件并加盖供应商单位公章）</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供应商须提供本单位近3年（采购文件发出起至递交响应文件截止日前）“信用中国”网站（www.creditchina.gov.cn）及中国政府采购网（www.ccgp.gov.cn）已公布的信用记录查询截图。</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截图含1）被列入失信被执行人</w:t>
      </w:r>
    </w:p>
    <w:p>
      <w:pPr>
        <w:widowControl/>
        <w:adjustRightInd w:val="0"/>
        <w:snapToGrid w:val="0"/>
        <w:spacing w:line="360" w:lineRule="auto"/>
        <w:ind w:firstLine="1260" w:firstLineChars="5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2）重大税收违法案件当事人名单的供应商</w:t>
      </w:r>
    </w:p>
    <w:p>
      <w:pPr>
        <w:widowControl/>
        <w:adjustRightInd w:val="0"/>
        <w:snapToGrid w:val="0"/>
        <w:spacing w:line="360" w:lineRule="auto"/>
        <w:ind w:firstLine="1260" w:firstLineChars="5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3）列入政府采购严重违法失信行为记录名单</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例如：网站搜索页输入供应商名称，提供截图查询结果。</w:t>
      </w:r>
    </w:p>
    <w:p>
      <w:pPr>
        <w:pStyle w:val="151"/>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联合体各方均应提供</w:t>
      </w:r>
    </w:p>
    <w:p>
      <w:pPr>
        <w:widowControl/>
        <w:adjustRightInd w:val="0"/>
        <w:snapToGrid w:val="0"/>
        <w:spacing w:line="360" w:lineRule="auto"/>
        <w:ind w:firstLine="506" w:firstLineChars="200"/>
        <w:jc w:val="left"/>
        <w:rPr>
          <w:rFonts w:hint="eastAsia" w:ascii="宋体" w:hAnsi="宋体" w:eastAsia="宋体" w:cs="宋体"/>
          <w:b/>
          <w:spacing w:val="6"/>
          <w:kern w:val="0"/>
          <w:sz w:val="24"/>
          <w:szCs w:val="24"/>
        </w:rPr>
      </w:pPr>
      <w:r>
        <w:rPr>
          <w:rFonts w:hint="eastAsia" w:ascii="宋体" w:hAnsi="宋体" w:eastAsia="宋体" w:cs="宋体"/>
          <w:b/>
          <w:spacing w:val="6"/>
          <w:kern w:val="0"/>
          <w:sz w:val="24"/>
          <w:szCs w:val="24"/>
        </w:rPr>
        <w:t>说明：供应商提供的截图与采购人或采购代理机构查询截图不一致的，以采购人或采购代理机构查询结果为准。</w:t>
      </w:r>
    </w:p>
    <w:p>
      <w:pPr>
        <w:widowControl/>
        <w:snapToGrid w:val="0"/>
        <w:jc w:val="left"/>
        <w:rPr>
          <w:rFonts w:hint="eastAsia" w:ascii="宋体" w:hAnsi="宋体" w:eastAsia="宋体" w:cs="宋体"/>
          <w:b/>
          <w:kern w:val="0"/>
          <w:sz w:val="24"/>
          <w:szCs w:val="24"/>
        </w:rPr>
      </w:pPr>
      <w:bookmarkStart w:id="333" w:name="_Toc76680631"/>
      <w:bookmarkStart w:id="334" w:name="_Toc89860149"/>
      <w:bookmarkStart w:id="335" w:name="_Toc76665152"/>
      <w:bookmarkStart w:id="336" w:name="_Toc3811"/>
      <w:bookmarkStart w:id="337" w:name="_Toc76479626"/>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38" w:name="_Toc106384013"/>
      <w:bookmarkStart w:id="339" w:name="_Toc27071"/>
      <w:r>
        <w:rPr>
          <w:rFonts w:hint="eastAsia" w:ascii="宋体" w:hAnsi="宋体" w:eastAsia="宋体" w:cs="宋体"/>
          <w:sz w:val="24"/>
          <w:szCs w:val="24"/>
        </w:rPr>
        <w:t>（九）磋商保证金</w:t>
      </w:r>
      <w:bookmarkEnd w:id="333"/>
      <w:bookmarkEnd w:id="334"/>
      <w:bookmarkEnd w:id="335"/>
      <w:bookmarkEnd w:id="336"/>
      <w:bookmarkEnd w:id="337"/>
      <w:bookmarkEnd w:id="338"/>
      <w:bookmarkEnd w:id="339"/>
    </w:p>
    <w:p>
      <w:pPr>
        <w:pStyle w:val="115"/>
        <w:tabs>
          <w:tab w:val="left" w:pos="8786"/>
        </w:tabs>
        <w:snapToGrid w:val="0"/>
        <w:spacing w:after="0" w:line="360" w:lineRule="auto"/>
        <w:jc w:val="center"/>
        <w:rPr>
          <w:rFonts w:hint="eastAsia" w:ascii="宋体" w:hAnsi="宋体" w:eastAsia="宋体" w:cs="宋体"/>
          <w:sz w:val="24"/>
          <w:szCs w:val="24"/>
        </w:rPr>
      </w:pPr>
      <w:r>
        <w:rPr>
          <w:rFonts w:hint="eastAsia" w:ascii="宋体" w:hAnsi="宋体" w:eastAsia="宋体" w:cs="宋体"/>
          <w:sz w:val="24"/>
          <w:szCs w:val="24"/>
        </w:rPr>
        <w:t>说明：此处上传磋商保证金缴纳证明文件</w:t>
      </w:r>
      <w:bookmarkStart w:id="340" w:name="_Toc76680632"/>
      <w:bookmarkStart w:id="341" w:name="_Toc76665153"/>
      <w:bookmarkStart w:id="342" w:name="_Toc96426870"/>
      <w:bookmarkStart w:id="343" w:name="_Toc97051810"/>
      <w:bookmarkStart w:id="344" w:name="_Toc76479627"/>
      <w:bookmarkStart w:id="345" w:name="_Toc98436656"/>
      <w:r>
        <w:rPr>
          <w:rFonts w:hint="eastAsia" w:ascii="宋体" w:hAnsi="宋体" w:eastAsia="宋体" w:cs="宋体"/>
          <w:sz w:val="24"/>
          <w:szCs w:val="24"/>
        </w:rPr>
        <w:t>（转账凭证）</w:t>
      </w:r>
    </w:p>
    <w:p>
      <w:pPr>
        <w:widowControl/>
        <w:snapToGrid w:val="0"/>
        <w:jc w:val="left"/>
        <w:rPr>
          <w:rFonts w:hint="eastAsia" w:ascii="宋体" w:hAnsi="宋体" w:eastAsia="宋体" w:cs="宋体"/>
          <w:b/>
          <w:kern w:val="0"/>
          <w:sz w:val="24"/>
          <w:szCs w:val="24"/>
        </w:rPr>
      </w:pPr>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46" w:name="_Toc106384014"/>
      <w:bookmarkStart w:id="347" w:name="_Toc21346"/>
      <w:r>
        <w:rPr>
          <w:rFonts w:hint="eastAsia" w:ascii="宋体" w:hAnsi="宋体" w:eastAsia="宋体" w:cs="宋体"/>
          <w:sz w:val="24"/>
          <w:szCs w:val="24"/>
        </w:rPr>
        <w:t>（十）不参与围标串标承诺书</w:t>
      </w:r>
      <w:bookmarkEnd w:id="340"/>
      <w:bookmarkEnd w:id="341"/>
      <w:bookmarkEnd w:id="342"/>
      <w:bookmarkEnd w:id="343"/>
      <w:bookmarkEnd w:id="344"/>
      <w:bookmarkEnd w:id="345"/>
      <w:bookmarkEnd w:id="346"/>
      <w:bookmarkEnd w:id="347"/>
    </w:p>
    <w:p>
      <w:pPr>
        <w:snapToGrid w:val="0"/>
        <w:spacing w:line="360" w:lineRule="auto"/>
        <w:jc w:val="center"/>
        <w:outlineLvl w:val="1"/>
        <w:rPr>
          <w:rFonts w:hint="eastAsia" w:ascii="宋体" w:hAnsi="宋体" w:eastAsia="宋体" w:cs="宋体"/>
          <w:b/>
          <w:bCs/>
          <w:sz w:val="24"/>
          <w:szCs w:val="24"/>
        </w:rPr>
      </w:pPr>
      <w:bookmarkStart w:id="348" w:name="_Toc103865076"/>
      <w:bookmarkStart w:id="349" w:name="_Toc88693305"/>
      <w:bookmarkStart w:id="350" w:name="_Toc98436657"/>
      <w:bookmarkStart w:id="351" w:name="_Toc96426871"/>
      <w:bookmarkStart w:id="352" w:name="_Toc76479628"/>
      <w:bookmarkStart w:id="353" w:name="_Toc76665154"/>
      <w:bookmarkStart w:id="354" w:name="_Toc97051811"/>
      <w:bookmarkStart w:id="355" w:name="_Toc76680633"/>
      <w:bookmarkStart w:id="356" w:name="_Toc103865248"/>
      <w:bookmarkStart w:id="357" w:name="_Toc7255"/>
      <w:r>
        <w:rPr>
          <w:rFonts w:hint="eastAsia" w:ascii="宋体" w:hAnsi="宋体" w:eastAsia="宋体" w:cs="宋体"/>
          <w:b/>
          <w:bCs/>
          <w:sz w:val="24"/>
          <w:szCs w:val="24"/>
        </w:rPr>
        <w:t>不参与围标串标承诺书</w:t>
      </w:r>
      <w:bookmarkEnd w:id="348"/>
      <w:bookmarkEnd w:id="349"/>
      <w:bookmarkEnd w:id="350"/>
      <w:bookmarkEnd w:id="351"/>
      <w:bookmarkEnd w:id="352"/>
      <w:bookmarkEnd w:id="353"/>
      <w:bookmarkEnd w:id="354"/>
      <w:bookmarkEnd w:id="355"/>
      <w:bookmarkEnd w:id="356"/>
      <w:bookmarkEnd w:id="357"/>
    </w:p>
    <w:p>
      <w:pPr>
        <w:pStyle w:val="131"/>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本人作为</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的法人，清楚知晓我公司本项目采购活动，对以下事项作出承诺：</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一、我单位遵循公开、公平、公正、诚实守信的原则，依法依规参与本项目竞标。</w:t>
      </w:r>
    </w:p>
    <w:p>
      <w:pPr>
        <w:widowControl/>
        <w:adjustRightInd w:val="0"/>
        <w:snapToGrid w:val="0"/>
        <w:spacing w:line="360" w:lineRule="auto"/>
        <w:ind w:firstLine="504" w:firstLineChars="200"/>
        <w:jc w:val="left"/>
        <w:outlineLvl w:val="1"/>
        <w:rPr>
          <w:rFonts w:hint="eastAsia" w:ascii="宋体" w:hAnsi="宋体" w:eastAsia="宋体" w:cs="宋体"/>
          <w:spacing w:val="6"/>
          <w:kern w:val="0"/>
          <w:sz w:val="24"/>
          <w:szCs w:val="24"/>
        </w:rPr>
      </w:pPr>
      <w:bookmarkStart w:id="358" w:name="_Toc13522"/>
      <w:r>
        <w:rPr>
          <w:rFonts w:hint="eastAsia" w:ascii="宋体" w:hAnsi="宋体" w:eastAsia="宋体" w:cs="宋体"/>
          <w:spacing w:val="6"/>
          <w:kern w:val="0"/>
          <w:sz w:val="24"/>
          <w:szCs w:val="24"/>
        </w:rPr>
        <w:t>二、我单位在本项目采购活动中，未参与围标串标。</w:t>
      </w:r>
      <w:bookmarkEnd w:id="358"/>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三、我单位如被查实在本项目采购活动中存在围标串标的，递交响应文件行为作为实施串通投标违法行为的关键环节，本人承担直接责任人员法律责任，接受相应行政处罚和失信惩戒。</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项目编号：</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供应商单位名称：</w:t>
      </w:r>
    </w:p>
    <w:p>
      <w:pPr>
        <w:pStyle w:val="131"/>
        <w:snapToGrid w:val="0"/>
        <w:spacing w:line="360" w:lineRule="auto"/>
        <w:jc w:val="left"/>
        <w:rPr>
          <w:rFonts w:hint="eastAsia" w:ascii="宋体" w:hAnsi="宋体" w:eastAsia="宋体" w:cs="宋体"/>
          <w:color w:val="000000"/>
          <w:sz w:val="24"/>
          <w:szCs w:val="24"/>
        </w:rPr>
      </w:pPr>
    </w:p>
    <w:p>
      <w:pPr>
        <w:pStyle w:val="131"/>
        <w:snapToGrid w:val="0"/>
        <w:spacing w:line="360" w:lineRule="auto"/>
        <w:jc w:val="left"/>
        <w:rPr>
          <w:rFonts w:hint="eastAsia" w:ascii="宋体" w:hAnsi="宋体" w:eastAsia="宋体" w:cs="宋体"/>
          <w:color w:val="000000"/>
          <w:sz w:val="24"/>
          <w:szCs w:val="24"/>
        </w:rPr>
      </w:pPr>
    </w:p>
    <w:p>
      <w:pPr>
        <w:snapToGrid w:val="0"/>
        <w:spacing w:line="360" w:lineRule="auto"/>
        <w:jc w:val="right"/>
        <w:rPr>
          <w:rFonts w:hint="eastAsia" w:ascii="宋体" w:hAnsi="宋体" w:eastAsia="宋体" w:cs="宋体"/>
          <w:sz w:val="24"/>
          <w:szCs w:val="24"/>
          <w:u w:val="single"/>
        </w:rPr>
      </w:pPr>
      <w:r>
        <w:rPr>
          <w:rFonts w:hint="eastAsia" w:ascii="宋体" w:hAnsi="宋体" w:eastAsia="宋体" w:cs="宋体"/>
          <w:sz w:val="24"/>
          <w:szCs w:val="24"/>
        </w:rPr>
        <w:t>供应商名称（盖单位章）：</w:t>
      </w:r>
    </w:p>
    <w:p>
      <w:pPr>
        <w:snapToGrid w:val="0"/>
        <w:spacing w:line="360" w:lineRule="auto"/>
        <w:jc w:val="right"/>
        <w:rPr>
          <w:rFonts w:hint="eastAsia" w:ascii="宋体" w:hAnsi="宋体" w:eastAsia="宋体" w:cs="宋体"/>
          <w:sz w:val="24"/>
          <w:szCs w:val="24"/>
          <w:u w:val="single"/>
        </w:rPr>
      </w:pPr>
      <w:r>
        <w:rPr>
          <w:rFonts w:hint="eastAsia" w:ascii="宋体" w:hAnsi="宋体" w:eastAsia="宋体" w:cs="宋体"/>
          <w:sz w:val="24"/>
          <w:szCs w:val="24"/>
        </w:rPr>
        <w:t>法定代表人或期授权委托人（签字或盖章）：</w:t>
      </w:r>
    </w:p>
    <w:p>
      <w:pPr>
        <w:snapToGrid w:val="0"/>
        <w:spacing w:line="360" w:lineRule="auto"/>
        <w:ind w:firstLine="4003" w:firstLineChars="1668"/>
        <w:rPr>
          <w:rFonts w:hint="eastAsia" w:ascii="宋体" w:hAnsi="宋体" w:eastAsia="宋体" w:cs="宋体"/>
          <w:sz w:val="24"/>
          <w:szCs w:val="24"/>
        </w:rPr>
      </w:pPr>
      <w:r>
        <w:rPr>
          <w:rFonts w:hint="eastAsia" w:ascii="宋体" w:hAnsi="宋体" w:eastAsia="宋体" w:cs="宋体"/>
          <w:sz w:val="24"/>
          <w:szCs w:val="24"/>
        </w:rPr>
        <w:t>日    期：          年月日</w:t>
      </w:r>
    </w:p>
    <w:p>
      <w:pPr>
        <w:widowControl/>
        <w:snapToGrid w:val="0"/>
        <w:jc w:val="left"/>
        <w:rPr>
          <w:rFonts w:hint="eastAsia" w:ascii="宋体" w:hAnsi="宋体" w:eastAsia="宋体" w:cs="宋体"/>
          <w:b/>
          <w:kern w:val="0"/>
          <w:sz w:val="24"/>
          <w:szCs w:val="24"/>
        </w:rPr>
      </w:pPr>
      <w:bookmarkStart w:id="359" w:name="_Toc13068"/>
      <w:bookmarkStart w:id="360" w:name="_Toc89860147"/>
      <w:r>
        <w:rPr>
          <w:rFonts w:hint="eastAsia" w:ascii="宋体" w:hAnsi="宋体" w:eastAsia="宋体" w:cs="宋体"/>
          <w:sz w:val="24"/>
          <w:szCs w:val="24"/>
        </w:rPr>
        <w:br w:type="page"/>
      </w:r>
    </w:p>
    <w:p>
      <w:pPr>
        <w:pStyle w:val="102"/>
        <w:snapToGrid w:val="0"/>
        <w:spacing w:line="360" w:lineRule="auto"/>
        <w:jc w:val="center"/>
        <w:outlineLvl w:val="2"/>
        <w:rPr>
          <w:rFonts w:hint="eastAsia" w:ascii="宋体" w:hAnsi="宋体" w:eastAsia="宋体" w:cs="宋体"/>
          <w:sz w:val="24"/>
          <w:szCs w:val="24"/>
        </w:rPr>
      </w:pPr>
      <w:bookmarkStart w:id="361" w:name="_Toc106384015"/>
      <w:bookmarkStart w:id="362" w:name="_Toc17025"/>
      <w:r>
        <w:rPr>
          <w:rFonts w:hint="eastAsia" w:ascii="宋体" w:hAnsi="宋体" w:eastAsia="宋体" w:cs="宋体"/>
          <w:sz w:val="24"/>
          <w:szCs w:val="24"/>
        </w:rPr>
        <w:t>（十一）法律、行政法规规定的其他条件</w:t>
      </w:r>
      <w:bookmarkEnd w:id="359"/>
      <w:bookmarkEnd w:id="360"/>
      <w:bookmarkEnd w:id="361"/>
      <w:bookmarkEnd w:id="362"/>
    </w:p>
    <w:p>
      <w:pPr>
        <w:adjustRightInd w:val="0"/>
        <w:snapToGrid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提供法律、行政法规规定的其他条件证明材料</w:t>
      </w:r>
    </w:p>
    <w:p>
      <w:pPr>
        <w:snapToGrid w:val="0"/>
        <w:rPr>
          <w:rFonts w:hint="eastAsia" w:ascii="宋体" w:hAnsi="宋体" w:eastAsia="宋体" w:cs="宋体"/>
          <w:sz w:val="24"/>
          <w:szCs w:val="24"/>
        </w:rPr>
      </w:pPr>
    </w:p>
    <w:p>
      <w:pPr>
        <w:pStyle w:val="99"/>
        <w:snapToGrid w:val="0"/>
        <w:spacing w:line="360" w:lineRule="auto"/>
        <w:jc w:val="center"/>
        <w:outlineLvl w:val="1"/>
        <w:rPr>
          <w:rFonts w:hint="eastAsia" w:ascii="宋体" w:hAnsi="宋体" w:eastAsia="宋体" w:cs="宋体"/>
          <w:sz w:val="24"/>
          <w:szCs w:val="24"/>
        </w:rPr>
      </w:pPr>
      <w:r>
        <w:rPr>
          <w:rFonts w:hint="eastAsia" w:ascii="宋体" w:hAnsi="宋体" w:eastAsia="宋体" w:cs="宋体"/>
          <w:sz w:val="24"/>
          <w:szCs w:val="24"/>
        </w:rPr>
        <w:br w:type="page"/>
      </w:r>
      <w:bookmarkStart w:id="363" w:name="_Toc16515"/>
      <w:bookmarkStart w:id="364" w:name="_Toc106384016"/>
      <w:r>
        <w:rPr>
          <w:rFonts w:hint="eastAsia" w:ascii="宋体" w:hAnsi="宋体" w:eastAsia="宋体" w:cs="宋体"/>
          <w:sz w:val="24"/>
          <w:szCs w:val="24"/>
        </w:rPr>
        <w:t>二、商务文件组成</w:t>
      </w:r>
      <w:bookmarkEnd w:id="363"/>
      <w:bookmarkEnd w:id="364"/>
    </w:p>
    <w:p>
      <w:pPr>
        <w:pStyle w:val="91"/>
        <w:snapToGrid w:val="0"/>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br w:type="page"/>
      </w:r>
      <w:bookmarkStart w:id="365" w:name="_Toc96426873"/>
      <w:bookmarkStart w:id="366" w:name="_Toc76665156"/>
      <w:bookmarkStart w:id="367" w:name="_Toc98436659"/>
      <w:bookmarkStart w:id="368" w:name="_Toc97051813"/>
      <w:bookmarkStart w:id="369" w:name="_Toc76479630"/>
      <w:bookmarkStart w:id="370" w:name="_Toc76680635"/>
      <w:bookmarkStart w:id="371" w:name="_Toc106384017"/>
      <w:bookmarkStart w:id="372" w:name="_Toc3070"/>
      <w:r>
        <w:rPr>
          <w:rFonts w:hint="eastAsia" w:ascii="宋体" w:hAnsi="宋体" w:eastAsia="宋体" w:cs="宋体"/>
          <w:sz w:val="24"/>
          <w:szCs w:val="24"/>
        </w:rPr>
        <w:t>（一）竞争性磋商函</w:t>
      </w:r>
      <w:bookmarkEnd w:id="365"/>
      <w:bookmarkEnd w:id="366"/>
      <w:bookmarkEnd w:id="367"/>
      <w:bookmarkEnd w:id="368"/>
      <w:bookmarkEnd w:id="369"/>
      <w:bookmarkEnd w:id="370"/>
      <w:bookmarkEnd w:id="371"/>
      <w:bookmarkEnd w:id="372"/>
    </w:p>
    <w:p>
      <w:pPr>
        <w:pStyle w:val="132"/>
        <w:adjustRightInd w:val="0"/>
        <w:snapToGrid w:val="0"/>
        <w:spacing w:line="360" w:lineRule="auto"/>
        <w:jc w:val="left"/>
        <w:rPr>
          <w:rFonts w:hint="eastAsia" w:ascii="宋体" w:hAnsi="宋体" w:eastAsia="宋体" w:cs="宋体"/>
          <w:sz w:val="24"/>
          <w:szCs w:val="24"/>
          <w:u w:val="single"/>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致 </w:t>
      </w:r>
      <w:r>
        <w:rPr>
          <w:rFonts w:hint="eastAsia" w:ascii="宋体" w:hAnsi="宋体" w:eastAsia="宋体" w:cs="宋体"/>
          <w:sz w:val="24"/>
          <w:szCs w:val="24"/>
          <w:u w:val="single"/>
        </w:rPr>
        <w:t>(采购人或代理机构)</w:t>
      </w: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我方己仔细研究了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项目名称)的磋商文件（项目编号：）的全部内容，知悉参加磋商的风险，我方承诺接受磋商文件的全部条款且无任何异议。</w:t>
      </w:r>
    </w:p>
    <w:p>
      <w:pPr>
        <w:pStyle w:val="2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一、我方同意在磋商文件中规定的提交响应文件截止时间起90日内(响应文件有效期)遵守本响应文件中的承诺且在此期限期满之前均具有法律约束力。</w:t>
      </w:r>
    </w:p>
    <w:p>
      <w:pPr>
        <w:pStyle w:val="21"/>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二、我方保证递交的响应文件中提供的数据和材料是真实、准确的。否则，愿承担《政府采购法》</w:t>
      </w:r>
      <w:r>
        <w:rPr>
          <w:rFonts w:hint="eastAsia" w:ascii="宋体" w:hAnsi="宋体" w:eastAsia="宋体" w:cs="宋体"/>
          <w:bCs/>
          <w:sz w:val="24"/>
          <w:szCs w:val="24"/>
        </w:rPr>
        <w:t>第七十七条规定的法律责任。</w:t>
      </w:r>
    </w:p>
    <w:p>
      <w:pPr>
        <w:pStyle w:val="2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三、我方愿意向贵方提供任何与本项采购有关的数据、情况和技术资料。若贵方需要，我方愿意提供我方作出的一切承诺的证明材料。</w:t>
      </w:r>
    </w:p>
    <w:p>
      <w:pPr>
        <w:pStyle w:val="2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四、我方接受磋商文件所列须知中关于没收保证金和递交履约保证金的约定，并保证将按磋商文件的约定履行合同责任和义务。</w:t>
      </w:r>
    </w:p>
    <w:p>
      <w:pPr>
        <w:pStyle w:val="2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五、我方同意提供按照贵方可能要求的与其磋商响应有关的一切数据或资料。</w:t>
      </w:r>
    </w:p>
    <w:p>
      <w:pPr>
        <w:pStyle w:val="21"/>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四、我方承诺遵守《政府采购法》的有关规定，保证在获得成交资格后，按照磋商文件确定的事项签订政府采购合同，履行双方所签订的合同，并承担合同规定的责任和义务。</w:t>
      </w:r>
    </w:p>
    <w:p>
      <w:pPr>
        <w:pStyle w:val="21"/>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right="24"/>
        <w:rPr>
          <w:rFonts w:hint="eastAsia" w:ascii="宋体" w:hAnsi="宋体" w:eastAsia="宋体" w:cs="宋体"/>
          <w:bCs/>
          <w:sz w:val="24"/>
          <w:szCs w:val="24"/>
        </w:rPr>
      </w:pPr>
    </w:p>
    <w:p>
      <w:pPr>
        <w:adjustRightInd w:val="0"/>
        <w:snapToGrid w:val="0"/>
        <w:spacing w:line="360" w:lineRule="auto"/>
        <w:ind w:right="24"/>
        <w:rPr>
          <w:rFonts w:hint="eastAsia" w:ascii="宋体" w:hAnsi="宋体" w:eastAsia="宋体" w:cs="宋体"/>
          <w:bCs/>
          <w:sz w:val="24"/>
          <w:szCs w:val="24"/>
        </w:rPr>
      </w:pPr>
    </w:p>
    <w:p>
      <w:pPr>
        <w:adjustRightInd w:val="0"/>
        <w:snapToGrid w:val="0"/>
        <w:spacing w:line="360" w:lineRule="auto"/>
        <w:ind w:right="24"/>
        <w:outlineLvl w:val="1"/>
        <w:rPr>
          <w:rFonts w:hint="eastAsia" w:ascii="宋体" w:hAnsi="宋体" w:eastAsia="宋体" w:cs="宋体"/>
          <w:sz w:val="24"/>
          <w:szCs w:val="24"/>
        </w:rPr>
      </w:pPr>
      <w:bookmarkStart w:id="373" w:name="_Toc26867"/>
      <w:r>
        <w:rPr>
          <w:rFonts w:hint="eastAsia" w:ascii="宋体" w:hAnsi="宋体" w:eastAsia="宋体" w:cs="宋体"/>
          <w:bCs/>
          <w:sz w:val="24"/>
          <w:szCs w:val="24"/>
        </w:rPr>
        <w:t>附件1：</w:t>
      </w:r>
      <w:r>
        <w:rPr>
          <w:rFonts w:hint="eastAsia" w:ascii="宋体" w:hAnsi="宋体" w:eastAsia="宋体" w:cs="宋体"/>
          <w:sz w:val="24"/>
          <w:szCs w:val="24"/>
        </w:rPr>
        <w:t>法定代表人身份证明(法定代表人参加磋商时提供)</w:t>
      </w:r>
      <w:bookmarkEnd w:id="373"/>
    </w:p>
    <w:p>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bCs/>
          <w:sz w:val="24"/>
          <w:szCs w:val="24"/>
        </w:rPr>
        <w:t>附件2</w:t>
      </w:r>
      <w:r>
        <w:rPr>
          <w:rFonts w:hint="eastAsia" w:ascii="宋体" w:hAnsi="宋体" w:eastAsia="宋体" w:cs="宋体"/>
          <w:sz w:val="24"/>
          <w:szCs w:val="24"/>
        </w:rPr>
        <w:t>：法定代表人授权书(委托代理人参加磋商时提供)</w:t>
      </w:r>
    </w:p>
    <w:p>
      <w:pPr>
        <w:pStyle w:val="21"/>
        <w:adjustRightInd w:val="0"/>
        <w:snapToGrid w:val="0"/>
        <w:spacing w:line="360" w:lineRule="auto"/>
        <w:rPr>
          <w:rFonts w:hint="eastAsia" w:ascii="宋体" w:hAnsi="宋体" w:eastAsia="宋体" w:cs="宋体"/>
          <w:sz w:val="24"/>
          <w:szCs w:val="24"/>
        </w:rPr>
      </w:pPr>
    </w:p>
    <w:p>
      <w:pPr>
        <w:pStyle w:val="21"/>
        <w:adjustRightInd w:val="0"/>
        <w:snapToGrid w:val="0"/>
        <w:spacing w:line="360" w:lineRule="auto"/>
        <w:rPr>
          <w:rFonts w:hint="eastAsia" w:ascii="宋体" w:hAnsi="宋体" w:eastAsia="宋体" w:cs="宋体"/>
          <w:sz w:val="24"/>
          <w:szCs w:val="24"/>
        </w:rPr>
      </w:pPr>
    </w:p>
    <w:p>
      <w:pPr>
        <w:pStyle w:val="21"/>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供应商名称(盖单位章)：</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法定代表人或期授权委托人（签字或盖章）：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日期：年月日</w:t>
      </w:r>
    </w:p>
    <w:p>
      <w:pPr>
        <w:pStyle w:val="132"/>
        <w:adjustRightInd w:val="0"/>
        <w:snapToGrid w:val="0"/>
        <w:spacing w:line="360" w:lineRule="auto"/>
        <w:jc w:val="left"/>
        <w:rPr>
          <w:rFonts w:hint="eastAsia" w:ascii="宋体" w:hAnsi="宋体" w:eastAsia="宋体" w:cs="宋体"/>
          <w:sz w:val="24"/>
          <w:szCs w:val="24"/>
          <w:u w:val="single"/>
        </w:rPr>
      </w:pPr>
    </w:p>
    <w:p>
      <w:pPr>
        <w:adjustRightInd w:val="0"/>
        <w:snapToGrid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磋商声明</w:t>
      </w:r>
    </w:p>
    <w:p>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我们，（供应商名称）已认真阅读</w:t>
      </w:r>
      <w:r>
        <w:rPr>
          <w:rFonts w:hint="eastAsia" w:ascii="宋体" w:hAnsi="宋体" w:eastAsia="宋体" w:cs="宋体"/>
          <w:kern w:val="0"/>
          <w:sz w:val="24"/>
          <w:szCs w:val="24"/>
        </w:rPr>
        <w:t>《中华人民共和国政府采购法》、《中华人民共和国政府采购法实施条例》及</w:t>
      </w:r>
      <w:r>
        <w:rPr>
          <w:rFonts w:hint="eastAsia" w:ascii="宋体" w:hAnsi="宋体" w:eastAsia="宋体" w:cs="宋体"/>
          <w:sz w:val="24"/>
          <w:szCs w:val="24"/>
        </w:rPr>
        <w:t>磋商</w:t>
      </w:r>
      <w:r>
        <w:rPr>
          <w:rFonts w:hint="eastAsia" w:ascii="宋体" w:hAnsi="宋体" w:eastAsia="宋体" w:cs="宋体"/>
          <w:kern w:val="0"/>
          <w:sz w:val="24"/>
          <w:szCs w:val="24"/>
        </w:rPr>
        <w:t>文件[项目名称：</w:t>
      </w:r>
      <w:r>
        <w:rPr>
          <w:rFonts w:hint="eastAsia" w:ascii="宋体" w:hAnsi="宋体" w:eastAsia="宋体" w:cs="宋体"/>
          <w:sz w:val="24"/>
          <w:szCs w:val="24"/>
        </w:rPr>
        <w:t xml:space="preserve"> ，项目编号： ]相关内容，知悉供应商参加政府采购活动应当具备的条件。此次按磋商文件要求提交的供应商资格证明材料，已经认真核对和检查，全部内容真实、合法、准确和完整，我们对此负责，并愿承担由此引起的法律责任。</w:t>
      </w:r>
    </w:p>
    <w:p>
      <w:pPr>
        <w:adjustRightInd w:val="0"/>
        <w:snapToGrid w:val="0"/>
        <w:spacing w:line="360" w:lineRule="auto"/>
        <w:ind w:firstLine="480" w:firstLineChars="200"/>
        <w:outlineLvl w:val="1"/>
        <w:rPr>
          <w:rFonts w:hint="eastAsia" w:ascii="宋体" w:hAnsi="宋体" w:eastAsia="宋体" w:cs="宋体"/>
          <w:sz w:val="24"/>
          <w:szCs w:val="24"/>
        </w:rPr>
      </w:pPr>
      <w:bookmarkStart w:id="374" w:name="_Toc9234"/>
      <w:r>
        <w:rPr>
          <w:rFonts w:hint="eastAsia" w:ascii="宋体" w:hAnsi="宋体" w:eastAsia="宋体" w:cs="宋体"/>
          <w:sz w:val="24"/>
          <w:szCs w:val="24"/>
        </w:rPr>
        <w:t>一、我方在此声明：</w:t>
      </w:r>
      <w:bookmarkEnd w:id="374"/>
    </w:p>
    <w:p>
      <w:pPr>
        <w:adjustRightInd w:val="0"/>
        <w:snapToGrid w:val="0"/>
        <w:spacing w:line="360" w:lineRule="auto"/>
        <w:ind w:firstLine="480" w:firstLineChars="200"/>
        <w:outlineLvl w:val="2"/>
        <w:rPr>
          <w:rFonts w:hint="eastAsia" w:ascii="宋体" w:hAnsi="宋体" w:eastAsia="宋体" w:cs="宋体"/>
          <w:sz w:val="24"/>
          <w:szCs w:val="24"/>
        </w:rPr>
      </w:pPr>
      <w:bookmarkStart w:id="375" w:name="_Toc3118"/>
      <w:r>
        <w:rPr>
          <w:rFonts w:hint="eastAsia" w:ascii="宋体" w:hAnsi="宋体" w:eastAsia="宋体" w:cs="宋体"/>
          <w:sz w:val="24"/>
          <w:szCs w:val="24"/>
        </w:rPr>
        <w:t>（一）我方与采购人或代理机构不存在</w:t>
      </w:r>
      <w:r>
        <w:rPr>
          <w:rFonts w:hint="eastAsia" w:ascii="宋体" w:hAnsi="宋体" w:eastAsia="宋体" w:cs="宋体"/>
          <w:bCs/>
          <w:sz w:val="24"/>
          <w:szCs w:val="24"/>
        </w:rPr>
        <w:t>隶属关系或者其他利害关系</w:t>
      </w:r>
      <w:r>
        <w:rPr>
          <w:rFonts w:hint="eastAsia" w:ascii="宋体" w:hAnsi="宋体" w:eastAsia="宋体" w:cs="宋体"/>
          <w:sz w:val="24"/>
          <w:szCs w:val="24"/>
        </w:rPr>
        <w:t>。</w:t>
      </w:r>
      <w:bookmarkEnd w:id="375"/>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（二）我方与参加本项目的其他供应商不存在控股、关联关系，或者与其他供应商法定代表人（或者负责人）为同一人。</w:t>
      </w:r>
    </w:p>
    <w:p>
      <w:pPr>
        <w:adjustRightInd w:val="0"/>
        <w:snapToGrid w:val="0"/>
        <w:spacing w:line="360" w:lineRule="auto"/>
        <w:ind w:firstLine="480" w:firstLineChars="200"/>
        <w:outlineLvl w:val="2"/>
        <w:rPr>
          <w:rFonts w:hint="eastAsia" w:ascii="宋体" w:hAnsi="宋体" w:eastAsia="宋体" w:cs="宋体"/>
          <w:sz w:val="24"/>
          <w:szCs w:val="24"/>
        </w:rPr>
      </w:pPr>
      <w:bookmarkStart w:id="376" w:name="_Toc6431"/>
      <w:r>
        <w:rPr>
          <w:rFonts w:hint="eastAsia" w:ascii="宋体" w:hAnsi="宋体" w:eastAsia="宋体" w:cs="宋体"/>
          <w:sz w:val="24"/>
          <w:szCs w:val="24"/>
        </w:rPr>
        <w:t>（三）我方未为本项目前期准备提供设计或技术服务。</w:t>
      </w:r>
      <w:bookmarkEnd w:id="376"/>
    </w:p>
    <w:p>
      <w:pPr>
        <w:adjustRightInd w:val="0"/>
        <w:snapToGrid w:val="0"/>
        <w:spacing w:line="360" w:lineRule="auto"/>
        <w:ind w:firstLine="480" w:firstLineChars="200"/>
        <w:outlineLvl w:val="1"/>
        <w:rPr>
          <w:rFonts w:hint="eastAsia" w:ascii="宋体" w:hAnsi="宋体" w:eastAsia="宋体" w:cs="宋体"/>
          <w:sz w:val="24"/>
          <w:szCs w:val="24"/>
        </w:rPr>
      </w:pPr>
      <w:bookmarkStart w:id="377" w:name="_Toc11626"/>
      <w:r>
        <w:rPr>
          <w:rFonts w:hint="eastAsia" w:ascii="宋体" w:hAnsi="宋体" w:eastAsia="宋体" w:cs="宋体"/>
          <w:sz w:val="24"/>
          <w:szCs w:val="24"/>
        </w:rPr>
        <w:t>二、我方承诺</w:t>
      </w:r>
      <w:bookmarkEnd w:id="377"/>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参加政府采购近三年内：</w:t>
      </w:r>
    </w:p>
    <w:p>
      <w:pPr>
        <w:adjustRightInd w:val="0"/>
        <w:snapToGrid w:val="0"/>
        <w:spacing w:line="360" w:lineRule="auto"/>
        <w:ind w:left="1" w:firstLine="480" w:firstLineChars="200"/>
        <w:rPr>
          <w:rFonts w:hint="eastAsia" w:ascii="宋体" w:hAnsi="宋体" w:eastAsia="宋体" w:cs="宋体"/>
          <w:sz w:val="24"/>
          <w:szCs w:val="24"/>
        </w:rPr>
      </w:pPr>
      <w:r>
        <w:rPr>
          <w:rFonts w:hint="eastAsia" w:ascii="宋体" w:hAnsi="宋体" w:eastAsia="宋体" w:cs="宋体"/>
          <w:bCs/>
          <w:sz w:val="24"/>
          <w:szCs w:val="24"/>
        </w:rPr>
        <w:t>（一）我方</w:t>
      </w:r>
      <w:r>
        <w:rPr>
          <w:rFonts w:hint="eastAsia" w:ascii="宋体" w:hAnsi="宋体" w:eastAsia="宋体" w:cs="宋体"/>
          <w:sz w:val="24"/>
          <w:szCs w:val="24"/>
        </w:rPr>
        <w:t>依法缴纳了各项税费及各项社会保障资金，没有偷税、漏税及欠缴行为。</w:t>
      </w:r>
    </w:p>
    <w:p>
      <w:pPr>
        <w:adjustRightInd w:val="0"/>
        <w:snapToGrid w:val="0"/>
        <w:spacing w:line="360" w:lineRule="auto"/>
        <w:ind w:firstLine="480" w:firstLineChars="200"/>
        <w:outlineLvl w:val="2"/>
        <w:rPr>
          <w:rFonts w:hint="eastAsia" w:ascii="宋体" w:hAnsi="宋体" w:eastAsia="宋体" w:cs="宋体"/>
          <w:bCs/>
          <w:sz w:val="24"/>
          <w:szCs w:val="24"/>
        </w:rPr>
      </w:pPr>
      <w:bookmarkStart w:id="378" w:name="_Toc24161"/>
      <w:r>
        <w:rPr>
          <w:rFonts w:hint="eastAsia" w:ascii="宋体" w:hAnsi="宋体" w:eastAsia="宋体" w:cs="宋体"/>
          <w:bCs/>
          <w:sz w:val="24"/>
          <w:szCs w:val="24"/>
        </w:rPr>
        <w:t>（二）我方在经营活动中没有存在下列重大违法记录：</w:t>
      </w:r>
      <w:bookmarkEnd w:id="378"/>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1、受到刑事处罚；</w:t>
      </w:r>
    </w:p>
    <w:p>
      <w:pPr>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2、受到200万元以上的罚款、责令停产停业、在一至三年内禁止参加政府采购活动、暂扣或者吊销许可证、暂扣或者吊销执照的行政处罚。</w:t>
      </w:r>
    </w:p>
    <w:p>
      <w:pPr>
        <w:adjustRightInd w:val="0"/>
        <w:snapToGrid w:val="0"/>
        <w:spacing w:line="360" w:lineRule="auto"/>
        <w:ind w:firstLine="480" w:firstLineChars="200"/>
        <w:rPr>
          <w:rFonts w:hint="eastAsia" w:ascii="宋体" w:hAnsi="宋体" w:eastAsia="宋体" w:cs="宋体"/>
          <w:bCs/>
          <w:sz w:val="24"/>
          <w:szCs w:val="24"/>
        </w:rPr>
      </w:pPr>
    </w:p>
    <w:p>
      <w:pPr>
        <w:adjustRightInd w:val="0"/>
        <w:snapToGrid w:val="0"/>
        <w:spacing w:line="360" w:lineRule="auto"/>
        <w:ind w:firstLine="3112" w:firstLineChars="1297"/>
        <w:rPr>
          <w:rFonts w:hint="eastAsia" w:ascii="宋体" w:hAnsi="宋体" w:eastAsia="宋体" w:cs="宋体"/>
          <w:sz w:val="24"/>
          <w:szCs w:val="24"/>
        </w:rPr>
      </w:pPr>
    </w:p>
    <w:p>
      <w:pPr>
        <w:pStyle w:val="21"/>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供应商名称(盖单位章)：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日期：年月日</w:t>
      </w:r>
    </w:p>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p>
    <w:p>
      <w:pPr>
        <w:widowControl/>
        <w:snapToGrid w:val="0"/>
        <w:jc w:val="left"/>
        <w:rPr>
          <w:rFonts w:hint="eastAsia" w:ascii="宋体" w:hAnsi="宋体" w:eastAsia="宋体" w:cs="宋体"/>
          <w:bCs/>
          <w:sz w:val="24"/>
          <w:szCs w:val="24"/>
        </w:rPr>
      </w:pPr>
      <w:r>
        <w:rPr>
          <w:rFonts w:hint="eastAsia" w:ascii="宋体" w:hAnsi="宋体" w:eastAsia="宋体" w:cs="宋体"/>
          <w:bCs/>
          <w:sz w:val="24"/>
          <w:szCs w:val="24"/>
        </w:rPr>
        <w:br w:type="page"/>
      </w:r>
    </w:p>
    <w:p>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附件1:</w:t>
      </w:r>
    </w:p>
    <w:p>
      <w:pPr>
        <w:adjustRightInd w:val="0"/>
        <w:snapToGrid w:val="0"/>
        <w:spacing w:line="360" w:lineRule="auto"/>
        <w:ind w:right="24"/>
        <w:jc w:val="center"/>
        <w:outlineLvl w:val="3"/>
        <w:rPr>
          <w:rFonts w:hint="eastAsia" w:ascii="宋体" w:hAnsi="宋体" w:eastAsia="宋体" w:cs="宋体"/>
          <w:b/>
          <w:sz w:val="24"/>
          <w:szCs w:val="24"/>
        </w:rPr>
      </w:pPr>
      <w:r>
        <w:rPr>
          <w:rFonts w:hint="eastAsia" w:ascii="宋体" w:hAnsi="宋体" w:eastAsia="宋体" w:cs="宋体"/>
          <w:b/>
          <w:sz w:val="24"/>
          <w:szCs w:val="24"/>
        </w:rPr>
        <w:t>法定代表人身份证明(法定代表人参加磋商)</w:t>
      </w:r>
    </w:p>
    <w:p>
      <w:pPr>
        <w:snapToGrid w:val="0"/>
        <w:spacing w:line="480" w:lineRule="auto"/>
        <w:rPr>
          <w:rFonts w:hint="eastAsia" w:ascii="宋体" w:hAnsi="宋体" w:eastAsia="宋体" w:cs="宋体"/>
          <w:sz w:val="24"/>
          <w:szCs w:val="24"/>
        </w:rPr>
      </w:pP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注册号：</w:t>
      </w: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注册地址：</w:t>
      </w: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成立时间： 年 月 日</w:t>
      </w:r>
    </w:p>
    <w:p>
      <w:pPr>
        <w:autoSpaceDE w:val="0"/>
        <w:autoSpaceDN w:val="0"/>
        <w:adjustRightInd w:val="0"/>
        <w:snapToGrid w:val="0"/>
        <w:spacing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经营期限：</w:t>
      </w:r>
    </w:p>
    <w:p>
      <w:pPr>
        <w:autoSpaceDE w:val="0"/>
        <w:autoSpaceDN w:val="0"/>
        <w:adjustRightInd w:val="0"/>
        <w:snapToGrid w:val="0"/>
        <w:spacing w:line="360" w:lineRule="auto"/>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w:t>
      </w: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姓名： 性别： 年龄： 系（</w:t>
      </w:r>
      <w:r>
        <w:rPr>
          <w:rFonts w:hint="eastAsia" w:ascii="宋体" w:hAnsi="宋体" w:eastAsia="宋体" w:cs="宋体"/>
          <w:sz w:val="24"/>
          <w:szCs w:val="24"/>
        </w:rPr>
        <w:t>供应商</w:t>
      </w:r>
      <w:r>
        <w:rPr>
          <w:rFonts w:hint="eastAsia" w:ascii="宋体" w:hAnsi="宋体" w:eastAsia="宋体" w:cs="宋体"/>
          <w:kern w:val="0"/>
          <w:sz w:val="24"/>
          <w:szCs w:val="24"/>
        </w:rPr>
        <w:t>名称）的法定代表人。</w:t>
      </w: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line="360" w:lineRule="auto"/>
        <w:jc w:val="left"/>
        <w:rPr>
          <w:rFonts w:hint="eastAsia" w:ascii="宋体" w:hAnsi="宋体" w:eastAsia="宋体" w:cs="宋体"/>
          <w:sz w:val="24"/>
          <w:szCs w:val="24"/>
        </w:rPr>
      </w:pPr>
    </w:p>
    <w:p>
      <w:pPr>
        <w:autoSpaceDE w:val="0"/>
        <w:autoSpaceDN w:val="0"/>
        <w:adjustRightInd w:val="0"/>
        <w:snapToGri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附：法定代表人身份证（正反面）复印件</w:t>
      </w:r>
    </w:p>
    <w:p>
      <w:pPr>
        <w:snapToGrid w:val="0"/>
        <w:spacing w:line="360" w:lineRule="auto"/>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p>
    <w:p>
      <w:pPr>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供应商名称（盖单位章）：</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法定代表人（签字或盖章）：</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 xml:space="preserve">日期：   年   月   日      </w:t>
      </w:r>
    </w:p>
    <w:p>
      <w:pPr>
        <w:widowControl/>
        <w:snapToGrid w:val="0"/>
        <w:jc w:val="left"/>
        <w:rPr>
          <w:rFonts w:hint="eastAsia" w:ascii="宋体" w:hAnsi="宋体" w:eastAsia="宋体" w:cs="宋体"/>
          <w:bCs/>
          <w:sz w:val="24"/>
          <w:szCs w:val="24"/>
        </w:rPr>
      </w:pPr>
      <w:r>
        <w:rPr>
          <w:rFonts w:hint="eastAsia" w:ascii="宋体" w:hAnsi="宋体" w:eastAsia="宋体" w:cs="宋体"/>
          <w:bCs/>
          <w:sz w:val="24"/>
          <w:szCs w:val="24"/>
        </w:rPr>
        <w:br w:type="page"/>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Cs/>
          <w:sz w:val="24"/>
          <w:szCs w:val="24"/>
        </w:rPr>
        <w:t>附件2:</w:t>
      </w:r>
    </w:p>
    <w:p>
      <w:pPr>
        <w:adjustRightInd w:val="0"/>
        <w:snapToGrid w:val="0"/>
        <w:spacing w:line="360" w:lineRule="auto"/>
        <w:ind w:right="24"/>
        <w:jc w:val="center"/>
        <w:rPr>
          <w:rFonts w:hint="eastAsia" w:ascii="宋体" w:hAnsi="宋体" w:eastAsia="宋体" w:cs="宋体"/>
          <w:b/>
          <w:sz w:val="24"/>
          <w:szCs w:val="24"/>
        </w:rPr>
      </w:pPr>
      <w:r>
        <w:rPr>
          <w:rFonts w:hint="eastAsia" w:ascii="宋体" w:hAnsi="宋体" w:eastAsia="宋体" w:cs="宋体"/>
          <w:b/>
          <w:sz w:val="24"/>
          <w:szCs w:val="24"/>
        </w:rPr>
        <w:t>法定代表人授权书(委托代理人参加磋商)</w:t>
      </w:r>
    </w:p>
    <w:p>
      <w:pPr>
        <w:adjustRightInd w:val="0"/>
        <w:snapToGrid w:val="0"/>
        <w:spacing w:line="360" w:lineRule="auto"/>
        <w:jc w:val="center"/>
        <w:rPr>
          <w:rFonts w:hint="eastAsia" w:ascii="宋体" w:hAnsi="宋体" w:eastAsia="宋体" w:cs="宋体"/>
          <w:b/>
          <w:sz w:val="24"/>
          <w:szCs w:val="24"/>
        </w:rPr>
      </w:pPr>
    </w:p>
    <w:p>
      <w:pPr>
        <w:pStyle w:val="178"/>
        <w:tabs>
          <w:tab w:val="left" w:pos="5580"/>
        </w:tabs>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（供应商住址）</w:t>
      </w:r>
      <w:r>
        <w:rPr>
          <w:rFonts w:hint="eastAsia" w:ascii="宋体" w:hAnsi="宋体" w:eastAsia="宋体" w:cs="宋体"/>
          <w:sz w:val="24"/>
          <w:szCs w:val="24"/>
        </w:rPr>
        <w:t>的</w:t>
      </w:r>
      <w:r>
        <w:rPr>
          <w:rFonts w:hint="eastAsia" w:ascii="宋体" w:hAnsi="宋体" w:eastAsia="宋体" w:cs="宋体"/>
          <w:sz w:val="24"/>
          <w:szCs w:val="24"/>
          <w:u w:val="single"/>
        </w:rPr>
        <w:t>（供应商名称）</w:t>
      </w:r>
      <w:r>
        <w:rPr>
          <w:rFonts w:hint="eastAsia" w:ascii="宋体" w:hAnsi="宋体" w:eastAsia="宋体" w:cs="宋体"/>
          <w:sz w:val="24"/>
          <w:szCs w:val="24"/>
        </w:rPr>
        <w:t>的在下面电子签章的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代表本公司授权</w:t>
      </w:r>
      <w:r>
        <w:rPr>
          <w:rFonts w:hint="eastAsia" w:ascii="宋体" w:hAnsi="宋体" w:eastAsia="宋体" w:cs="宋体"/>
          <w:sz w:val="24"/>
          <w:szCs w:val="24"/>
          <w:u w:val="single"/>
        </w:rPr>
        <w:t>（授权代理人的姓名、职务）</w:t>
      </w:r>
      <w:r>
        <w:rPr>
          <w:rFonts w:hint="eastAsia" w:ascii="宋体" w:hAnsi="宋体" w:eastAsia="宋体" w:cs="宋体"/>
          <w:sz w:val="24"/>
          <w:szCs w:val="24"/>
        </w:rPr>
        <w:t>为本公司的合法代理人，就贵方组织</w:t>
      </w:r>
      <w:r>
        <w:rPr>
          <w:rFonts w:hint="eastAsia" w:ascii="宋体" w:hAnsi="宋体" w:eastAsia="宋体" w:cs="宋体"/>
          <w:sz w:val="24"/>
          <w:szCs w:val="24"/>
          <w:u w:val="single"/>
        </w:rPr>
        <w:t>（项目名称）</w:t>
      </w:r>
      <w:r>
        <w:rPr>
          <w:rFonts w:hint="eastAsia" w:ascii="宋体" w:hAnsi="宋体" w:eastAsia="宋体" w:cs="宋体"/>
          <w:sz w:val="24"/>
          <w:szCs w:val="24"/>
        </w:rPr>
        <w:t>项目（项目编号、包号：），以本公司名义处理一切与之有关的事宜。供应商授权代理人在投标过程中所签署的一切文件和处理与之有关的一切事务，本公司均予以认可并对此承担责任。</w:t>
      </w:r>
    </w:p>
    <w:p>
      <w:pPr>
        <w:pStyle w:val="178"/>
        <w:tabs>
          <w:tab w:val="left" w:pos="5580"/>
        </w:tabs>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供应商授权代理人无转委托权。特此授权。</w:t>
      </w:r>
      <w:r>
        <w:rPr>
          <w:rFonts w:hint="eastAsia" w:ascii="宋体" w:hAnsi="宋体" w:eastAsia="宋体" w:cs="宋体"/>
          <w:sz w:val="24"/>
          <w:szCs w:val="24"/>
        </w:rPr>
        <w:cr/>
      </w:r>
    </w:p>
    <w:p>
      <w:pPr>
        <w:pStyle w:val="178"/>
        <w:tabs>
          <w:tab w:val="left" w:pos="5580"/>
        </w:tabs>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本授权书于__________年_____月______日生效，特此声明。</w:t>
      </w:r>
      <w:r>
        <w:rPr>
          <w:rFonts w:hint="eastAsia" w:ascii="宋体" w:hAnsi="宋体" w:eastAsia="宋体" w:cs="宋体"/>
          <w:sz w:val="24"/>
          <w:szCs w:val="24"/>
        </w:rPr>
        <w:cr/>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附：法定代表人身份证（正反面）复印件</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附：委托代理人身份证（正反面）复印件</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供应商名称(盖单位章)：</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法定代表人（签字或盖章）：</w:t>
      </w:r>
    </w:p>
    <w:p>
      <w:pPr>
        <w:adjustRightInd w:val="0"/>
        <w:snapToGrid w:val="0"/>
        <w:spacing w:line="360" w:lineRule="auto"/>
        <w:ind w:right="420"/>
        <w:rPr>
          <w:rFonts w:hint="eastAsia" w:ascii="宋体" w:hAnsi="宋体" w:eastAsia="宋体" w:cs="宋体"/>
          <w:sz w:val="24"/>
          <w:szCs w:val="24"/>
        </w:rPr>
      </w:pPr>
      <w:r>
        <w:rPr>
          <w:rFonts w:hint="eastAsia" w:ascii="宋体" w:hAnsi="宋体" w:eastAsia="宋体" w:cs="宋体"/>
          <w:sz w:val="24"/>
          <w:szCs w:val="24"/>
        </w:rPr>
        <w:t>委托代理人（签字或盖章）：</w:t>
      </w:r>
    </w:p>
    <w:p>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sz w:val="24"/>
          <w:szCs w:val="24"/>
        </w:rPr>
        <w:t>日期：年月日</w:t>
      </w:r>
    </w:p>
    <w:p>
      <w:pPr>
        <w:snapToGrid w:val="0"/>
        <w:rPr>
          <w:rFonts w:hint="eastAsia" w:ascii="宋体" w:hAnsi="宋体" w:eastAsia="宋体" w:cs="宋体"/>
          <w:sz w:val="24"/>
          <w:szCs w:val="24"/>
        </w:rPr>
      </w:pPr>
    </w:p>
    <w:p>
      <w:pPr>
        <w:pStyle w:val="82"/>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注：1、本项目只允许有唯一的供应商授权代理人，且必须为供应商在职员工。</w:t>
      </w:r>
    </w:p>
    <w:p>
      <w:pPr>
        <w:pStyle w:val="82"/>
        <w:snapToGrid w:val="0"/>
        <w:spacing w:line="360" w:lineRule="auto"/>
        <w:rPr>
          <w:rFonts w:hint="eastAsia" w:ascii="宋体" w:hAnsi="宋体" w:eastAsia="宋体" w:cs="宋体"/>
          <w:sz w:val="24"/>
          <w:szCs w:val="24"/>
        </w:rPr>
      </w:pPr>
      <w:r>
        <w:rPr>
          <w:rFonts w:hint="eastAsia" w:ascii="宋体" w:hAnsi="宋体" w:eastAsia="宋体" w:cs="宋体"/>
          <w:sz w:val="24"/>
          <w:szCs w:val="24"/>
        </w:rPr>
        <w:t>2、供应商法定代表人参加磋商的，可以不提供法定代表人授权委托书，但必须提供上述法定代表人身份证明书，否则将按无效响应处理。</w:t>
      </w:r>
    </w:p>
    <w:p>
      <w:pPr>
        <w:widowControl/>
        <w:snapToGrid w:val="0"/>
        <w:jc w:val="left"/>
        <w:rPr>
          <w:rFonts w:hint="eastAsia" w:ascii="宋体" w:hAnsi="宋体" w:eastAsia="宋体" w:cs="宋体"/>
          <w:b/>
          <w:kern w:val="0"/>
          <w:sz w:val="24"/>
          <w:szCs w:val="24"/>
        </w:rPr>
      </w:pPr>
      <w:bookmarkStart w:id="379" w:name="_Toc97051814"/>
      <w:bookmarkStart w:id="380" w:name="_Toc76479631"/>
      <w:bookmarkStart w:id="381" w:name="_Toc96426874"/>
      <w:bookmarkStart w:id="382" w:name="_Toc76680636"/>
      <w:bookmarkStart w:id="383" w:name="_Toc76665157"/>
      <w:bookmarkStart w:id="384" w:name="_Toc98436660"/>
      <w:r>
        <w:rPr>
          <w:rFonts w:hint="eastAsia" w:ascii="宋体" w:hAnsi="宋体" w:eastAsia="宋体" w:cs="宋体"/>
          <w:sz w:val="24"/>
          <w:szCs w:val="24"/>
        </w:rPr>
        <w:br w:type="page"/>
      </w:r>
    </w:p>
    <w:p>
      <w:pPr>
        <w:pStyle w:val="83"/>
        <w:snapToGrid w:val="0"/>
        <w:spacing w:line="360" w:lineRule="auto"/>
        <w:jc w:val="center"/>
        <w:outlineLvl w:val="2"/>
        <w:rPr>
          <w:rFonts w:hint="eastAsia" w:ascii="宋体" w:hAnsi="宋体" w:eastAsia="宋体" w:cs="宋体"/>
          <w:sz w:val="24"/>
          <w:szCs w:val="24"/>
        </w:rPr>
      </w:pPr>
      <w:bookmarkStart w:id="385" w:name="_Toc25707"/>
      <w:bookmarkStart w:id="386" w:name="_Toc106384018"/>
      <w:r>
        <w:rPr>
          <w:rFonts w:hint="eastAsia" w:ascii="宋体" w:hAnsi="宋体" w:eastAsia="宋体" w:cs="宋体"/>
          <w:sz w:val="24"/>
          <w:szCs w:val="24"/>
        </w:rPr>
        <w:t>（二）磋商报价一览表</w:t>
      </w:r>
      <w:bookmarkEnd w:id="379"/>
      <w:bookmarkEnd w:id="380"/>
      <w:bookmarkEnd w:id="381"/>
      <w:bookmarkEnd w:id="382"/>
      <w:bookmarkEnd w:id="383"/>
      <w:bookmarkEnd w:id="384"/>
      <w:bookmarkEnd w:id="385"/>
      <w:bookmarkEnd w:id="386"/>
    </w:p>
    <w:p>
      <w:pPr>
        <w:pStyle w:val="135"/>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采购项目编号：</w:t>
      </w:r>
    </w:p>
    <w:p>
      <w:pPr>
        <w:pStyle w:val="135"/>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采购项目名称：</w:t>
      </w:r>
    </w:p>
    <w:tbl>
      <w:tblPr>
        <w:tblStyle w:val="4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tcBorders>
              <w:bottom w:val="single" w:color="auto" w:sz="4" w:space="0"/>
            </w:tcBorders>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954" w:type="dxa"/>
            <w:tcBorders>
              <w:bottom w:val="single" w:color="auto" w:sz="4" w:space="0"/>
            </w:tcBorders>
            <w:vAlign w:val="center"/>
          </w:tcPr>
          <w:p>
            <w:pPr>
              <w:pStyle w:val="105"/>
              <w:tabs>
                <w:tab w:val="left" w:pos="1337"/>
              </w:tabs>
              <w:snapToGrid w:val="0"/>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首次磋商报价（元）</w:t>
            </w:r>
          </w:p>
        </w:tc>
        <w:tc>
          <w:tcPr>
            <w:tcW w:w="5954" w:type="dxa"/>
            <w:vAlign w:val="center"/>
          </w:tcPr>
          <w:p>
            <w:pPr>
              <w:pStyle w:val="105"/>
              <w:tabs>
                <w:tab w:val="left" w:pos="1337"/>
              </w:tabs>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小写：                 </w:t>
            </w:r>
          </w:p>
          <w:p>
            <w:pPr>
              <w:pStyle w:val="105"/>
              <w:tabs>
                <w:tab w:val="left" w:pos="1337"/>
              </w:tabs>
              <w:snapToGrid w:val="0"/>
              <w:spacing w:line="400" w:lineRule="exact"/>
              <w:rPr>
                <w:rFonts w:hint="eastAsia" w:ascii="宋体" w:hAnsi="宋体" w:eastAsia="宋体" w:cs="宋体"/>
                <w:sz w:val="24"/>
                <w:szCs w:val="24"/>
              </w:rPr>
            </w:pPr>
            <w:r>
              <w:rPr>
                <w:rFonts w:hint="eastAsia" w:ascii="宋体" w:hAnsi="宋体" w:eastAsia="宋体" w:cs="宋体"/>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2410"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合同履行期限</w:t>
            </w:r>
          </w:p>
        </w:tc>
        <w:tc>
          <w:tcPr>
            <w:tcW w:w="5954" w:type="dxa"/>
            <w:vAlign w:val="center"/>
          </w:tcPr>
          <w:p>
            <w:pPr>
              <w:pStyle w:val="105"/>
              <w:tabs>
                <w:tab w:val="left" w:pos="1337"/>
              </w:tabs>
              <w:snapToGrid w:val="0"/>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364" w:type="dxa"/>
            <w:gridSpan w:val="2"/>
            <w:vAlign w:val="center"/>
          </w:tcPr>
          <w:p>
            <w:pPr>
              <w:pStyle w:val="105"/>
              <w:tabs>
                <w:tab w:val="left" w:pos="1337"/>
              </w:tabs>
              <w:snapToGrid w:val="0"/>
              <w:spacing w:line="400" w:lineRule="exact"/>
              <w:rPr>
                <w:rFonts w:hint="eastAsia" w:ascii="宋体" w:hAnsi="宋体" w:eastAsia="宋体" w:cs="宋体"/>
                <w:sz w:val="24"/>
                <w:szCs w:val="24"/>
              </w:rPr>
            </w:pPr>
            <w:r>
              <w:rPr>
                <w:rFonts w:hint="eastAsia" w:ascii="宋体" w:hAnsi="宋体" w:eastAsia="宋体" w:cs="宋体"/>
                <w:sz w:val="24"/>
                <w:szCs w:val="24"/>
              </w:rPr>
              <w:t>备注：</w:t>
            </w:r>
          </w:p>
        </w:tc>
      </w:tr>
    </w:tbl>
    <w:p>
      <w:pPr>
        <w:pStyle w:val="135"/>
        <w:adjustRightInd w:val="0"/>
        <w:snapToGrid w:val="0"/>
        <w:spacing w:line="360" w:lineRule="auto"/>
        <w:ind w:left="-88" w:leftChars="-42"/>
        <w:rPr>
          <w:rFonts w:hint="eastAsia" w:ascii="宋体" w:hAnsi="宋体" w:eastAsia="宋体" w:cs="宋体"/>
          <w:sz w:val="24"/>
          <w:szCs w:val="24"/>
        </w:rPr>
      </w:pPr>
      <w:r>
        <w:rPr>
          <w:rFonts w:hint="eastAsia" w:ascii="宋体" w:hAnsi="宋体" w:eastAsia="宋体" w:cs="宋体"/>
          <w:sz w:val="24"/>
          <w:szCs w:val="24"/>
        </w:rPr>
        <w:t>说明：1.供应商严格按照规定的格式填写。报价为优惠后报价，并作为评审及定标的依据。</w:t>
      </w:r>
    </w:p>
    <w:p>
      <w:pPr>
        <w:pStyle w:val="135"/>
        <w:adjustRightInd w:val="0"/>
        <w:snapToGrid w:val="0"/>
        <w:spacing w:line="360" w:lineRule="auto"/>
        <w:ind w:left="-88" w:leftChars="-42"/>
        <w:rPr>
          <w:rFonts w:hint="eastAsia" w:ascii="宋体" w:hAnsi="宋体" w:eastAsia="宋体" w:cs="宋体"/>
          <w:sz w:val="24"/>
          <w:szCs w:val="24"/>
        </w:rPr>
      </w:pPr>
      <w:r>
        <w:rPr>
          <w:rFonts w:hint="eastAsia" w:ascii="宋体" w:hAnsi="宋体" w:eastAsia="宋体" w:cs="宋体"/>
          <w:sz w:val="24"/>
          <w:szCs w:val="24"/>
        </w:rPr>
        <w:t xml:space="preserve">      2.任何有选择或有条件的投标报价或表中某一包填写多个报价，均将导致相应被拒绝。</w:t>
      </w: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u w:val="single"/>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供应商名称(盖单位章)：</w:t>
      </w: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日期：年月日</w:t>
      </w:r>
    </w:p>
    <w:p>
      <w:pPr>
        <w:pStyle w:val="105"/>
        <w:snapToGrid w:val="0"/>
        <w:spacing w:line="360" w:lineRule="auto"/>
        <w:rPr>
          <w:rFonts w:hint="eastAsia" w:ascii="宋体" w:hAnsi="宋体" w:eastAsia="宋体" w:cs="宋体"/>
          <w:sz w:val="24"/>
          <w:szCs w:val="24"/>
        </w:rPr>
      </w:pPr>
    </w:p>
    <w:p>
      <w:pPr>
        <w:pStyle w:val="133"/>
        <w:snapToGrid w:val="0"/>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br w:type="page"/>
      </w:r>
      <w:bookmarkStart w:id="387" w:name="_Toc96426875"/>
      <w:bookmarkStart w:id="388" w:name="_Toc76680637"/>
      <w:bookmarkStart w:id="389" w:name="_Toc76479632"/>
      <w:bookmarkStart w:id="390" w:name="_Toc98436661"/>
      <w:bookmarkStart w:id="391" w:name="_Toc97051815"/>
      <w:bookmarkStart w:id="392" w:name="_Toc76665158"/>
      <w:bookmarkStart w:id="393" w:name="_Toc106384019"/>
      <w:bookmarkStart w:id="394" w:name="_Toc8241"/>
      <w:r>
        <w:rPr>
          <w:rFonts w:hint="eastAsia" w:ascii="宋体" w:hAnsi="宋体" w:eastAsia="宋体" w:cs="宋体"/>
          <w:sz w:val="24"/>
          <w:szCs w:val="24"/>
        </w:rPr>
        <w:t>（三）竞争性磋商报价明细表</w:t>
      </w:r>
      <w:bookmarkEnd w:id="387"/>
      <w:bookmarkEnd w:id="388"/>
      <w:bookmarkEnd w:id="389"/>
      <w:bookmarkEnd w:id="390"/>
      <w:bookmarkEnd w:id="391"/>
      <w:bookmarkEnd w:id="392"/>
      <w:bookmarkEnd w:id="393"/>
      <w:bookmarkEnd w:id="394"/>
    </w:p>
    <w:p>
      <w:pPr>
        <w:pStyle w:val="135"/>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采购项目编号：</w:t>
      </w:r>
    </w:p>
    <w:p>
      <w:pPr>
        <w:pStyle w:val="135"/>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采购项目名称：</w:t>
      </w:r>
    </w:p>
    <w:tbl>
      <w:tblPr>
        <w:tblStyle w:val="40"/>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1380"/>
        <w:gridCol w:w="1170"/>
        <w:gridCol w:w="900"/>
        <w:gridCol w:w="900"/>
        <w:gridCol w:w="975"/>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68" w:type="dxa"/>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380" w:type="dxa"/>
            <w:tcBorders>
              <w:bottom w:val="single" w:color="auto" w:sz="4" w:space="0"/>
            </w:tcBorders>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分部工程名称</w:t>
            </w:r>
          </w:p>
        </w:tc>
        <w:tc>
          <w:tcPr>
            <w:tcW w:w="1170" w:type="dxa"/>
            <w:vAlign w:val="center"/>
          </w:tcPr>
          <w:p>
            <w:pPr>
              <w:adjustRightInd w:val="0"/>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分部工程类别</w:t>
            </w: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检测频率</w:t>
            </w: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检测单价（元）</w:t>
            </w:r>
          </w:p>
        </w:tc>
        <w:tc>
          <w:tcPr>
            <w:tcW w:w="1067" w:type="dxa"/>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检测总价（元）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68" w:type="dxa"/>
            <w:tcBorders>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sz w:val="24"/>
                <w:szCs w:val="24"/>
              </w:rPr>
              <w:t>S238线红山口-十三间房-S328沙尔湖（二级公路，建设里程98公里）</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170" w:type="dxa"/>
            <w:tcBorders>
              <w:left w:val="single" w:color="auto" w:sz="4" w:space="0"/>
            </w:tcBorders>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868" w:type="dxa"/>
            <w:tcBorders>
              <w:right w:val="single" w:color="auto" w:sz="4" w:space="0"/>
            </w:tcBorders>
            <w:vAlign w:val="center"/>
          </w:tcPr>
          <w:p>
            <w:pPr>
              <w:pStyle w:val="2"/>
              <w:numPr>
                <w:ilvl w:val="0"/>
                <w:numId w:val="0"/>
              </w:numPr>
              <w:spacing w:before="100" w:beforeAutospacing="1" w:line="240" w:lineRule="auto"/>
              <w:ind w:leftChars="0"/>
              <w:jc w:val="center"/>
              <w:rPr>
                <w:rFonts w:hint="eastAsia" w:ascii="宋体" w:hAnsi="宋体" w:eastAsia="宋体" w:cs="宋体"/>
                <w:b/>
                <w:sz w:val="24"/>
                <w:szCs w:val="24"/>
              </w:rPr>
            </w:pPr>
            <w:r>
              <w:rPr>
                <w:rFonts w:hint="eastAsia" w:ascii="宋体" w:hAnsi="宋体" w:eastAsia="宋体" w:cs="宋体"/>
                <w:b/>
                <w:sz w:val="24"/>
                <w:szCs w:val="24"/>
              </w:rPr>
              <w:t>G575线老爷庙口岸-巴里坤公路建设项目（一级收费公路，二期建设里程18公里）</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170" w:type="dxa"/>
            <w:tcBorders>
              <w:left w:val="single" w:color="auto" w:sz="4" w:space="0"/>
            </w:tcBorders>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68" w:type="dxa"/>
            <w:tcBorders>
              <w:right w:val="single" w:color="auto" w:sz="4" w:space="0"/>
            </w:tcBorders>
            <w:vAlign w:val="center"/>
          </w:tcPr>
          <w:p>
            <w:pPr>
              <w:pStyle w:val="2"/>
              <w:numPr>
                <w:ilvl w:val="0"/>
                <w:numId w:val="0"/>
              </w:numPr>
              <w:spacing w:before="100" w:beforeAutospacing="1" w:line="240" w:lineRule="auto"/>
              <w:ind w:leftChars="0"/>
              <w:jc w:val="center"/>
              <w:rPr>
                <w:rFonts w:hint="eastAsia" w:ascii="宋体" w:hAnsi="宋体" w:eastAsia="宋体" w:cs="宋体"/>
                <w:b w:val="0"/>
                <w:bCs/>
                <w:sz w:val="24"/>
                <w:szCs w:val="24"/>
              </w:rPr>
            </w:pPr>
            <w:r>
              <w:rPr>
                <w:rStyle w:val="43"/>
                <w:rFonts w:hint="eastAsia" w:ascii="宋体" w:hAnsi="宋体" w:eastAsia="宋体" w:cs="宋体"/>
                <w:sz w:val="24"/>
                <w:szCs w:val="24"/>
              </w:rPr>
              <w:t>大长沟（G331线）经明鑫煤矿至G335线公路项目</w:t>
            </w:r>
            <w:r>
              <w:rPr>
                <w:rFonts w:hint="eastAsia" w:ascii="宋体" w:hAnsi="宋体" w:eastAsia="宋体" w:cs="宋体"/>
                <w:b/>
                <w:sz w:val="24"/>
                <w:szCs w:val="24"/>
              </w:rPr>
              <w:t>（二级公路，建设里程115公里）</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b w:val="0"/>
                <w:bCs/>
                <w:sz w:val="24"/>
                <w:szCs w:val="24"/>
              </w:rPr>
            </w:pPr>
          </w:p>
        </w:tc>
        <w:tc>
          <w:tcPr>
            <w:tcW w:w="1170" w:type="dxa"/>
            <w:tcBorders>
              <w:left w:val="single" w:color="auto" w:sz="4" w:space="0"/>
            </w:tcBorders>
            <w:vAlign w:val="center"/>
          </w:tcPr>
          <w:p>
            <w:pPr>
              <w:adjustRightInd w:val="0"/>
              <w:spacing w:line="240" w:lineRule="auto"/>
              <w:jc w:val="center"/>
              <w:rPr>
                <w:rFonts w:hint="eastAsia" w:ascii="宋体" w:hAnsi="宋体" w:eastAsia="宋体" w:cs="宋体"/>
                <w:b w:val="0"/>
                <w:bCs/>
                <w:color w:val="000000"/>
                <w:sz w:val="24"/>
                <w:szCs w:val="24"/>
              </w:rPr>
            </w:pPr>
          </w:p>
        </w:tc>
        <w:tc>
          <w:tcPr>
            <w:tcW w:w="900" w:type="dxa"/>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68" w:type="dxa"/>
            <w:tcBorders>
              <w:right w:val="single" w:color="auto" w:sz="4" w:space="0"/>
            </w:tcBorders>
            <w:vAlign w:val="center"/>
          </w:tcPr>
          <w:p>
            <w:pPr>
              <w:pStyle w:val="2"/>
              <w:numPr>
                <w:ilvl w:val="0"/>
                <w:numId w:val="0"/>
              </w:numPr>
              <w:spacing w:before="100" w:beforeAutospacing="1" w:line="240" w:lineRule="auto"/>
              <w:ind w:leftChars="0"/>
              <w:jc w:val="center"/>
              <w:rPr>
                <w:rStyle w:val="43"/>
                <w:rFonts w:hint="eastAsia" w:ascii="宋体" w:hAnsi="宋体" w:eastAsia="宋体" w:cs="宋体"/>
                <w:sz w:val="24"/>
                <w:szCs w:val="24"/>
              </w:rPr>
            </w:pPr>
            <w:r>
              <w:rPr>
                <w:rFonts w:hint="eastAsia" w:ascii="宋体" w:hAnsi="宋体" w:eastAsia="宋体" w:cs="宋体"/>
                <w:b/>
                <w:sz w:val="24"/>
                <w:szCs w:val="24"/>
              </w:rPr>
              <w:t>S245线哈密至敦煌公路建设项目（二级公路，建设里程186公里）</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b w:val="0"/>
                <w:bCs/>
                <w:sz w:val="24"/>
                <w:szCs w:val="24"/>
              </w:rPr>
            </w:pPr>
          </w:p>
        </w:tc>
        <w:tc>
          <w:tcPr>
            <w:tcW w:w="1170" w:type="dxa"/>
            <w:tcBorders>
              <w:left w:val="single" w:color="auto" w:sz="4" w:space="0"/>
            </w:tcBorders>
            <w:vAlign w:val="center"/>
          </w:tcPr>
          <w:p>
            <w:pPr>
              <w:adjustRightInd w:val="0"/>
              <w:spacing w:line="240" w:lineRule="auto"/>
              <w:jc w:val="center"/>
              <w:rPr>
                <w:rFonts w:hint="eastAsia" w:ascii="宋体" w:hAnsi="宋体" w:eastAsia="宋体" w:cs="宋体"/>
                <w:b w:val="0"/>
                <w:bCs/>
                <w:color w:val="000000"/>
                <w:sz w:val="24"/>
                <w:szCs w:val="24"/>
              </w:rPr>
            </w:pPr>
          </w:p>
        </w:tc>
        <w:tc>
          <w:tcPr>
            <w:tcW w:w="900" w:type="dxa"/>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68" w:type="dxa"/>
            <w:tcBorders>
              <w:right w:val="single" w:color="auto" w:sz="4" w:space="0"/>
            </w:tcBorders>
            <w:vAlign w:val="center"/>
          </w:tcPr>
          <w:p>
            <w:pPr>
              <w:pStyle w:val="2"/>
              <w:numPr>
                <w:ilvl w:val="0"/>
                <w:numId w:val="0"/>
              </w:numPr>
              <w:spacing w:before="100" w:beforeAutospacing="1" w:line="240" w:lineRule="auto"/>
              <w:ind w:leftChars="0"/>
              <w:jc w:val="center"/>
              <w:rPr>
                <w:rFonts w:hint="eastAsia" w:ascii="宋体" w:hAnsi="宋体" w:eastAsia="宋体" w:cs="宋体"/>
                <w:b/>
                <w:sz w:val="24"/>
                <w:szCs w:val="24"/>
              </w:rPr>
            </w:pPr>
            <w:r>
              <w:rPr>
                <w:rFonts w:hint="eastAsia" w:ascii="宋体" w:hAnsi="宋体" w:eastAsia="宋体" w:cs="宋体"/>
                <w:b/>
                <w:sz w:val="24"/>
                <w:szCs w:val="24"/>
              </w:rPr>
              <w:t>哈密市农村公路建设项目（市交通运输局计划建设农村公路244.828公里）</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b w:val="0"/>
                <w:bCs/>
                <w:sz w:val="24"/>
                <w:szCs w:val="24"/>
              </w:rPr>
            </w:pPr>
          </w:p>
        </w:tc>
        <w:tc>
          <w:tcPr>
            <w:tcW w:w="1170" w:type="dxa"/>
            <w:tcBorders>
              <w:left w:val="single" w:color="auto" w:sz="4" w:space="0"/>
            </w:tcBorders>
            <w:vAlign w:val="center"/>
          </w:tcPr>
          <w:p>
            <w:pPr>
              <w:adjustRightInd w:val="0"/>
              <w:spacing w:line="240" w:lineRule="auto"/>
              <w:jc w:val="center"/>
              <w:rPr>
                <w:rFonts w:hint="eastAsia" w:ascii="宋体" w:hAnsi="宋体" w:eastAsia="宋体" w:cs="宋体"/>
                <w:b w:val="0"/>
                <w:bCs/>
                <w:color w:val="000000"/>
                <w:sz w:val="24"/>
                <w:szCs w:val="24"/>
              </w:rPr>
            </w:pPr>
          </w:p>
        </w:tc>
        <w:tc>
          <w:tcPr>
            <w:tcW w:w="900" w:type="dxa"/>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868" w:type="dxa"/>
            <w:tcBorders>
              <w:right w:val="single" w:color="auto" w:sz="4" w:space="0"/>
            </w:tcBorders>
            <w:vAlign w:val="center"/>
          </w:tcPr>
          <w:p>
            <w:pPr>
              <w:pStyle w:val="2"/>
              <w:numPr>
                <w:ilvl w:val="0"/>
                <w:numId w:val="0"/>
              </w:numPr>
              <w:spacing w:before="100" w:beforeAutospacing="1" w:line="240" w:lineRule="auto"/>
              <w:ind w:leftChars="0"/>
              <w:jc w:val="center"/>
              <w:rPr>
                <w:rFonts w:hint="eastAsia" w:ascii="宋体" w:hAnsi="宋体" w:eastAsia="宋体" w:cs="宋体"/>
                <w:b/>
                <w:sz w:val="24"/>
                <w:szCs w:val="24"/>
              </w:rPr>
            </w:pPr>
            <w:r>
              <w:rPr>
                <w:rFonts w:hint="eastAsia" w:ascii="宋体" w:hAnsi="宋体" w:eastAsia="宋体" w:cs="宋体"/>
                <w:b/>
                <w:sz w:val="24"/>
                <w:szCs w:val="24"/>
              </w:rPr>
              <w:t>哈密市农村公路建设项目（市交通运输局计划建设农村公路50公里）</w:t>
            </w:r>
          </w:p>
        </w:tc>
        <w:tc>
          <w:tcPr>
            <w:tcW w:w="138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jc w:val="center"/>
              <w:rPr>
                <w:rFonts w:hint="eastAsia" w:ascii="宋体" w:hAnsi="宋体" w:eastAsia="宋体" w:cs="宋体"/>
                <w:b w:val="0"/>
                <w:bCs/>
                <w:sz w:val="24"/>
                <w:szCs w:val="24"/>
              </w:rPr>
            </w:pPr>
          </w:p>
        </w:tc>
        <w:tc>
          <w:tcPr>
            <w:tcW w:w="1170" w:type="dxa"/>
            <w:tcBorders>
              <w:left w:val="single" w:color="auto" w:sz="4" w:space="0"/>
            </w:tcBorders>
            <w:vAlign w:val="center"/>
          </w:tcPr>
          <w:p>
            <w:pPr>
              <w:adjustRightInd w:val="0"/>
              <w:spacing w:line="240" w:lineRule="auto"/>
              <w:jc w:val="center"/>
              <w:rPr>
                <w:rFonts w:hint="eastAsia" w:ascii="宋体" w:hAnsi="宋体" w:eastAsia="宋体" w:cs="宋体"/>
                <w:b w:val="0"/>
                <w:bCs/>
                <w:color w:val="000000"/>
                <w:sz w:val="24"/>
                <w:szCs w:val="24"/>
              </w:rPr>
            </w:pPr>
          </w:p>
        </w:tc>
        <w:tc>
          <w:tcPr>
            <w:tcW w:w="900" w:type="dxa"/>
            <w:vAlign w:val="center"/>
          </w:tcPr>
          <w:p>
            <w:pPr>
              <w:adjustRightInd w:val="0"/>
              <w:spacing w:line="240" w:lineRule="auto"/>
              <w:jc w:val="center"/>
              <w:rPr>
                <w:rFonts w:hint="eastAsia" w:ascii="宋体" w:hAnsi="宋体" w:eastAsia="宋体" w:cs="宋体"/>
                <w:color w:val="000000"/>
                <w:sz w:val="24"/>
                <w:szCs w:val="24"/>
              </w:rPr>
            </w:pPr>
          </w:p>
        </w:tc>
        <w:tc>
          <w:tcPr>
            <w:tcW w:w="900"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975" w:type="dxa"/>
            <w:vAlign w:val="center"/>
          </w:tcPr>
          <w:p>
            <w:pPr>
              <w:pStyle w:val="2"/>
              <w:spacing w:line="240" w:lineRule="auto"/>
              <w:ind w:left="0" w:leftChars="0" w:firstLine="0" w:firstLineChars="0"/>
              <w:jc w:val="center"/>
              <w:rPr>
                <w:rFonts w:hint="eastAsia" w:ascii="宋体" w:hAnsi="宋体" w:eastAsia="宋体" w:cs="宋体"/>
                <w:sz w:val="24"/>
                <w:szCs w:val="24"/>
              </w:rPr>
            </w:pP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193" w:type="dxa"/>
            <w:gridSpan w:val="6"/>
            <w:vAlign w:val="center"/>
          </w:tcPr>
          <w:p>
            <w:pPr>
              <w:pStyle w:val="2"/>
              <w:spacing w:line="240" w:lineRule="auto"/>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tc>
        <w:tc>
          <w:tcPr>
            <w:tcW w:w="1067" w:type="dxa"/>
            <w:vAlign w:val="center"/>
          </w:tcPr>
          <w:p>
            <w:pPr>
              <w:pStyle w:val="2"/>
              <w:tabs>
                <w:tab w:val="left" w:pos="1277"/>
              </w:tabs>
              <w:spacing w:line="240" w:lineRule="auto"/>
              <w:ind w:left="0" w:leftChars="0" w:firstLine="0" w:firstLineChars="0"/>
              <w:jc w:val="center"/>
              <w:rPr>
                <w:rFonts w:hint="eastAsia" w:ascii="宋体" w:hAnsi="宋体" w:eastAsia="宋体" w:cs="宋体"/>
                <w:sz w:val="24"/>
                <w:szCs w:val="24"/>
              </w:rPr>
            </w:pPr>
          </w:p>
        </w:tc>
      </w:tr>
    </w:tbl>
    <w:p>
      <w:pPr>
        <w:pStyle w:val="135"/>
        <w:adjustRightInd w:val="0"/>
        <w:snapToGrid w:val="0"/>
        <w:spacing w:line="360" w:lineRule="auto"/>
        <w:ind w:left="-88" w:leftChars="-42" w:firstLine="400"/>
        <w:rPr>
          <w:rFonts w:hint="eastAsia" w:ascii="宋体" w:hAnsi="宋体" w:eastAsia="宋体" w:cs="宋体"/>
          <w:sz w:val="24"/>
          <w:szCs w:val="24"/>
        </w:rPr>
      </w:pPr>
      <w:r>
        <w:rPr>
          <w:rFonts w:hint="eastAsia" w:ascii="宋体" w:hAnsi="宋体" w:eastAsia="宋体" w:cs="宋体"/>
          <w:sz w:val="24"/>
          <w:szCs w:val="24"/>
        </w:rPr>
        <w:t>说明：1．所有价格均用人民币表示，单位为元。供应商在填写此表时还可进行详细说明，详细说明后附，具体自行编制。</w:t>
      </w:r>
    </w:p>
    <w:p>
      <w:pPr>
        <w:pStyle w:val="135"/>
        <w:adjustRightInd w:val="0"/>
        <w:snapToGrid w:val="0"/>
        <w:spacing w:line="360" w:lineRule="auto"/>
        <w:ind w:left="-88" w:leftChars="-42" w:firstLine="720" w:firstLineChars="300"/>
        <w:rPr>
          <w:rFonts w:hint="eastAsia" w:ascii="宋体" w:hAnsi="宋体" w:eastAsia="宋体" w:cs="宋体"/>
          <w:sz w:val="24"/>
          <w:szCs w:val="24"/>
        </w:rPr>
      </w:pPr>
      <w:r>
        <w:rPr>
          <w:rFonts w:hint="eastAsia" w:ascii="宋体" w:hAnsi="宋体" w:eastAsia="宋体" w:cs="宋体"/>
          <w:sz w:val="24"/>
          <w:szCs w:val="24"/>
        </w:rPr>
        <w:t>2.此表中总计必须与《磋商报价一览表》中首次磋商报价一致。报价明细名称须与《公路工程抽查试验检测报价表》中服务名称对应一致。</w:t>
      </w:r>
    </w:p>
    <w:p>
      <w:pPr>
        <w:pStyle w:val="135"/>
        <w:adjustRightInd w:val="0"/>
        <w:snapToGrid w:val="0"/>
        <w:spacing w:line="360" w:lineRule="auto"/>
        <w:ind w:left="-88" w:leftChars="-42" w:firstLine="720" w:firstLineChars="300"/>
        <w:rPr>
          <w:rFonts w:hint="eastAsia" w:ascii="宋体" w:hAnsi="宋体" w:eastAsia="宋体" w:cs="宋体"/>
          <w:sz w:val="24"/>
          <w:szCs w:val="24"/>
        </w:rPr>
      </w:pPr>
      <w:r>
        <w:rPr>
          <w:rFonts w:hint="eastAsia" w:ascii="宋体" w:hAnsi="宋体" w:eastAsia="宋体" w:cs="宋体"/>
          <w:sz w:val="24"/>
          <w:szCs w:val="24"/>
        </w:rPr>
        <w:t>3.如果不提供详细的投标分项报价表将被视为没有实质性响应磋商文件。</w:t>
      </w:r>
    </w:p>
    <w:p>
      <w:pPr>
        <w:pStyle w:val="135"/>
        <w:adjustRightInd w:val="0"/>
        <w:snapToGrid w:val="0"/>
        <w:spacing w:line="360" w:lineRule="auto"/>
        <w:ind w:left="-88" w:leftChars="-42" w:firstLine="720" w:firstLineChars="300"/>
        <w:rPr>
          <w:rFonts w:hint="eastAsia" w:ascii="宋体" w:hAnsi="宋体" w:eastAsia="宋体" w:cs="宋体"/>
          <w:sz w:val="24"/>
          <w:szCs w:val="24"/>
        </w:rPr>
      </w:pPr>
      <w:r>
        <w:rPr>
          <w:rFonts w:hint="eastAsia" w:ascii="宋体" w:hAnsi="宋体" w:eastAsia="宋体" w:cs="宋体"/>
          <w:sz w:val="24"/>
          <w:szCs w:val="24"/>
        </w:rPr>
        <w:t>4．供应商必须按此表格式中的对应栏目内容填写，若需增加栏目，请在栏目“其它”中填写，并作详细说明。</w:t>
      </w:r>
    </w:p>
    <w:p>
      <w:pPr>
        <w:pStyle w:val="135"/>
        <w:adjustRightInd w:val="0"/>
        <w:snapToGrid w:val="0"/>
        <w:spacing w:line="360" w:lineRule="auto"/>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供应商名称(盖单位章)：</w:t>
      </w: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日期：年月日</w:t>
      </w:r>
    </w:p>
    <w:p>
      <w:pPr>
        <w:pStyle w:val="85"/>
        <w:snapToGrid w:val="0"/>
        <w:spacing w:line="360" w:lineRule="auto"/>
        <w:jc w:val="center"/>
        <w:outlineLvl w:val="2"/>
        <w:rPr>
          <w:rFonts w:hint="eastAsia" w:ascii="宋体" w:hAnsi="宋体" w:eastAsia="宋体" w:cs="宋体"/>
          <w:sz w:val="24"/>
          <w:szCs w:val="24"/>
        </w:rPr>
      </w:pPr>
      <w:bookmarkStart w:id="395" w:name="_Toc76665159"/>
      <w:bookmarkStart w:id="396" w:name="_Toc76479633"/>
      <w:bookmarkStart w:id="397" w:name="_Toc76680638"/>
      <w:bookmarkStart w:id="398" w:name="_Toc98436662"/>
      <w:bookmarkStart w:id="399" w:name="_Toc97051816"/>
      <w:bookmarkStart w:id="400" w:name="_Toc96426876"/>
      <w:bookmarkStart w:id="401" w:name="_Toc106384020"/>
      <w:bookmarkStart w:id="402" w:name="_Toc31009"/>
      <w:r>
        <w:rPr>
          <w:rFonts w:hint="eastAsia" w:ascii="宋体" w:hAnsi="宋体" w:eastAsia="宋体" w:cs="宋体"/>
          <w:sz w:val="24"/>
          <w:szCs w:val="24"/>
        </w:rPr>
        <w:t>（四）</w:t>
      </w:r>
      <w:bookmarkEnd w:id="395"/>
      <w:bookmarkEnd w:id="396"/>
      <w:bookmarkEnd w:id="397"/>
      <w:bookmarkStart w:id="403" w:name="_Toc76680639"/>
      <w:bookmarkStart w:id="404" w:name="_Toc76665160"/>
      <w:bookmarkStart w:id="405" w:name="_Toc76479634"/>
      <w:r>
        <w:rPr>
          <w:rFonts w:hint="eastAsia" w:ascii="宋体" w:hAnsi="宋体" w:eastAsia="宋体" w:cs="宋体"/>
          <w:sz w:val="24"/>
          <w:szCs w:val="24"/>
        </w:rPr>
        <w:t>商务响应、偏离说明表</w:t>
      </w:r>
      <w:bookmarkEnd w:id="398"/>
      <w:bookmarkEnd w:id="399"/>
      <w:bookmarkEnd w:id="400"/>
      <w:bookmarkEnd w:id="401"/>
      <w:bookmarkEnd w:id="402"/>
      <w:bookmarkEnd w:id="403"/>
      <w:bookmarkEnd w:id="404"/>
      <w:bookmarkEnd w:id="405"/>
    </w:p>
    <w:p>
      <w:pPr>
        <w:pStyle w:val="98"/>
        <w:adjustRightInd w:val="0"/>
        <w:snapToGrid w:val="0"/>
        <w:spacing w:line="360" w:lineRule="auto"/>
        <w:rPr>
          <w:rFonts w:hint="eastAsia" w:ascii="宋体" w:hAnsi="宋体" w:eastAsia="宋体" w:cs="宋体"/>
          <w:b/>
          <w:sz w:val="24"/>
          <w:szCs w:val="24"/>
        </w:rPr>
      </w:pPr>
    </w:p>
    <w:p>
      <w:pPr>
        <w:pStyle w:val="9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采购项目编号：</w:t>
      </w:r>
    </w:p>
    <w:p>
      <w:pPr>
        <w:pStyle w:val="98"/>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采购项目名称：</w:t>
      </w:r>
    </w:p>
    <w:tbl>
      <w:tblPr>
        <w:tblStyle w:val="40"/>
        <w:tblW w:w="85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693"/>
        <w:gridCol w:w="1134"/>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磋商文件商务条款内容</w:t>
            </w:r>
          </w:p>
        </w:tc>
        <w:tc>
          <w:tcPr>
            <w:tcW w:w="2693" w:type="dxa"/>
            <w:shd w:val="clear" w:color="auto" w:fill="auto"/>
            <w:vAlign w:val="center"/>
          </w:tcPr>
          <w:p>
            <w:pPr>
              <w:pStyle w:val="105"/>
              <w:tabs>
                <w:tab w:val="left" w:pos="0"/>
              </w:tabs>
              <w:snapToGrid w:val="0"/>
              <w:spacing w:line="400" w:lineRule="exact"/>
              <w:ind w:right="-107" w:rightChars="-51"/>
              <w:jc w:val="center"/>
              <w:rPr>
                <w:rFonts w:hint="eastAsia" w:ascii="宋体" w:hAnsi="宋体" w:eastAsia="宋体" w:cs="宋体"/>
                <w:sz w:val="24"/>
                <w:szCs w:val="24"/>
              </w:rPr>
            </w:pPr>
            <w:r>
              <w:rPr>
                <w:rFonts w:hint="eastAsia" w:ascii="宋体" w:hAnsi="宋体" w:eastAsia="宋体" w:cs="宋体"/>
                <w:sz w:val="24"/>
                <w:szCs w:val="24"/>
              </w:rPr>
              <w:t>响应文件商务条款响应部分</w:t>
            </w: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偏离说明</w:t>
            </w:r>
          </w:p>
        </w:tc>
        <w:tc>
          <w:tcPr>
            <w:tcW w:w="1630" w:type="dxa"/>
            <w:shd w:val="clear" w:color="auto" w:fill="auto"/>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6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63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6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63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6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63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6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63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6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63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09"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41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6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13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63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bl>
    <w:p>
      <w:pPr>
        <w:pStyle w:val="118"/>
        <w:adjustRightInd w:val="0"/>
        <w:snapToGrid w:val="0"/>
        <w:spacing w:line="360" w:lineRule="auto"/>
        <w:ind w:left="139" w:leftChars="62" w:hanging="9" w:hangingChars="4"/>
        <w:rPr>
          <w:rFonts w:hint="eastAsia" w:ascii="宋体" w:hAnsi="宋体" w:eastAsia="宋体" w:cs="宋体"/>
          <w:sz w:val="24"/>
          <w:szCs w:val="24"/>
        </w:rPr>
      </w:pPr>
      <w:r>
        <w:rPr>
          <w:rFonts w:hint="eastAsia" w:ascii="宋体" w:hAnsi="宋体" w:eastAsia="宋体" w:cs="宋体"/>
          <w:sz w:val="24"/>
          <w:szCs w:val="24"/>
        </w:rPr>
        <w:t>注：供应商须对照磋商文件中商务条款及要求进行逐项说明是否满足要求，包括但不限于合同履行期限、付款方式、履约保证金等，如有需要，应附相关证明文件，同时将相关证明文件的相应页码填写到上表“响应文件中对应的页码”中。如不填写此表，视同无偏离。</w:t>
      </w:r>
    </w:p>
    <w:p>
      <w:pPr>
        <w:snapToGrid w:val="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供应商名称(盖单位章)：</w:t>
      </w: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日期：年月日</w:t>
      </w:r>
    </w:p>
    <w:p>
      <w:pPr>
        <w:pStyle w:val="137"/>
        <w:snapToGrid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bookmarkStart w:id="406" w:name="_Toc76479636"/>
      <w:bookmarkStart w:id="407" w:name="_Toc76680641"/>
      <w:bookmarkStart w:id="408" w:name="_Toc76665162"/>
    </w:p>
    <w:p>
      <w:pPr>
        <w:pStyle w:val="138"/>
        <w:snapToGrid w:val="0"/>
        <w:spacing w:line="360" w:lineRule="auto"/>
        <w:jc w:val="center"/>
        <w:outlineLvl w:val="2"/>
        <w:rPr>
          <w:rFonts w:hint="eastAsia" w:ascii="宋体" w:hAnsi="宋体" w:eastAsia="宋体" w:cs="宋体"/>
          <w:sz w:val="24"/>
          <w:szCs w:val="24"/>
        </w:rPr>
      </w:pPr>
      <w:bookmarkStart w:id="409" w:name="_Toc98436663"/>
      <w:bookmarkStart w:id="410" w:name="_Toc106384021"/>
      <w:bookmarkStart w:id="411" w:name="_Toc96426877"/>
      <w:bookmarkStart w:id="412" w:name="_Toc97051817"/>
      <w:bookmarkStart w:id="413" w:name="_Toc10170"/>
      <w:r>
        <w:rPr>
          <w:rFonts w:hint="eastAsia" w:ascii="宋体" w:hAnsi="宋体" w:eastAsia="宋体" w:cs="宋体"/>
          <w:sz w:val="24"/>
          <w:szCs w:val="24"/>
        </w:rPr>
        <w:t>（五）供应商项目业绩表</w:t>
      </w:r>
      <w:bookmarkEnd w:id="406"/>
      <w:bookmarkEnd w:id="407"/>
      <w:bookmarkEnd w:id="408"/>
      <w:bookmarkEnd w:id="409"/>
      <w:bookmarkEnd w:id="410"/>
      <w:bookmarkEnd w:id="411"/>
      <w:bookmarkEnd w:id="412"/>
      <w:bookmarkEnd w:id="413"/>
    </w:p>
    <w:p>
      <w:pPr>
        <w:pStyle w:val="96"/>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采购项目编号：</w:t>
      </w:r>
    </w:p>
    <w:p>
      <w:pPr>
        <w:pStyle w:val="96"/>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采购项目名称：</w:t>
      </w:r>
    </w:p>
    <w:tbl>
      <w:tblPr>
        <w:tblStyle w:val="4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项目单位名称</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项目单位联系人姓名及联系方式</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项目实施时间</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436" w:type="dxa"/>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项目内容说明</w:t>
            </w:r>
          </w:p>
        </w:tc>
        <w:tc>
          <w:tcPr>
            <w:tcW w:w="5928" w:type="dxa"/>
          </w:tcPr>
          <w:p>
            <w:pPr>
              <w:pStyle w:val="105"/>
              <w:tabs>
                <w:tab w:val="left" w:pos="1337"/>
              </w:tabs>
              <w:snapToGrid w:val="0"/>
              <w:spacing w:line="400" w:lineRule="exact"/>
              <w:jc w:val="center"/>
              <w:rPr>
                <w:rFonts w:hint="eastAsia" w:ascii="宋体" w:hAnsi="宋体" w:eastAsia="宋体" w:cs="宋体"/>
                <w:sz w:val="24"/>
                <w:szCs w:val="24"/>
              </w:rPr>
            </w:pPr>
          </w:p>
        </w:tc>
      </w:tr>
    </w:tbl>
    <w:p>
      <w:pPr>
        <w:pStyle w:val="96"/>
        <w:autoSpaceDE w:val="0"/>
        <w:autoSpaceDN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说明：1.每个合同须单独附表，并附上相关证明材料，否则专家在评审时将不予采信；</w:t>
      </w:r>
    </w:p>
    <w:p>
      <w:pPr>
        <w:pStyle w:val="96"/>
        <w:snapToGri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2.项目内容请详细说明所承担的具体工作内容；</w:t>
      </w:r>
    </w:p>
    <w:p>
      <w:pPr>
        <w:pStyle w:val="139"/>
        <w:snapToGrid w:val="0"/>
        <w:spacing w:line="360" w:lineRule="auto"/>
        <w:outlineLvl w:val="2"/>
        <w:rPr>
          <w:rFonts w:hint="eastAsia" w:ascii="宋体" w:hAnsi="宋体" w:eastAsia="宋体" w:cs="宋体"/>
          <w:sz w:val="24"/>
          <w:szCs w:val="24"/>
        </w:rPr>
      </w:pPr>
      <w:r>
        <w:rPr>
          <w:rFonts w:hint="eastAsia" w:ascii="宋体" w:hAnsi="宋体" w:eastAsia="宋体" w:cs="宋体"/>
          <w:sz w:val="24"/>
          <w:szCs w:val="24"/>
        </w:rPr>
        <w:br w:type="page"/>
      </w:r>
      <w:bookmarkStart w:id="414" w:name="_Toc76680642"/>
      <w:bookmarkStart w:id="415" w:name="_Toc96426878"/>
      <w:bookmarkStart w:id="416" w:name="_Toc76479637"/>
      <w:bookmarkStart w:id="417" w:name="_Toc76665163"/>
      <w:bookmarkStart w:id="418" w:name="_Toc97051818"/>
      <w:bookmarkStart w:id="419" w:name="_Toc98436664"/>
      <w:bookmarkStart w:id="420" w:name="_Toc106384022"/>
      <w:bookmarkStart w:id="421" w:name="_Toc5409"/>
      <w:r>
        <w:rPr>
          <w:rFonts w:hint="eastAsia" w:ascii="宋体" w:hAnsi="宋体" w:eastAsia="宋体" w:cs="宋体"/>
          <w:sz w:val="24"/>
          <w:szCs w:val="24"/>
        </w:rPr>
        <w:t>（六）</w:t>
      </w:r>
      <w:bookmarkEnd w:id="414"/>
      <w:bookmarkEnd w:id="415"/>
      <w:bookmarkEnd w:id="416"/>
      <w:bookmarkEnd w:id="417"/>
      <w:bookmarkEnd w:id="418"/>
      <w:bookmarkEnd w:id="419"/>
      <w:r>
        <w:rPr>
          <w:rFonts w:hint="eastAsia" w:ascii="宋体" w:hAnsi="宋体" w:eastAsia="宋体" w:cs="宋体"/>
          <w:sz w:val="24"/>
          <w:szCs w:val="24"/>
        </w:rPr>
        <w:t>组织服务能力</w:t>
      </w:r>
      <w:bookmarkEnd w:id="420"/>
      <w:bookmarkEnd w:id="421"/>
    </w:p>
    <w:p>
      <w:pPr>
        <w:snapToGrid w:val="0"/>
        <w:rPr>
          <w:rFonts w:hint="eastAsia" w:ascii="宋体" w:hAnsi="宋体" w:eastAsia="宋体" w:cs="宋体"/>
          <w:sz w:val="24"/>
          <w:szCs w:val="24"/>
        </w:rPr>
      </w:pPr>
      <w:bookmarkStart w:id="422" w:name="_Toc76479639"/>
      <w:r>
        <w:rPr>
          <w:rFonts w:hint="eastAsia" w:ascii="宋体" w:hAnsi="宋体" w:eastAsia="宋体" w:cs="宋体"/>
          <w:sz w:val="24"/>
          <w:szCs w:val="24"/>
        </w:rPr>
        <w:t>1、项目团队人员投入</w:t>
      </w:r>
    </w:p>
    <w:p>
      <w:pPr>
        <w:snapToGrid w:val="0"/>
        <w:spacing w:line="360" w:lineRule="auto"/>
        <w:jc w:val="center"/>
        <w:rPr>
          <w:rFonts w:hint="eastAsia" w:ascii="宋体" w:hAnsi="宋体" w:eastAsia="宋体" w:cs="宋体"/>
          <w:b/>
          <w:bCs/>
          <w:sz w:val="24"/>
          <w:szCs w:val="24"/>
        </w:rPr>
      </w:pPr>
      <w:bookmarkStart w:id="423" w:name="_Toc103865257"/>
      <w:bookmarkStart w:id="424" w:name="_Toc45381214"/>
      <w:bookmarkStart w:id="425" w:name="_Toc103865085"/>
      <w:bookmarkStart w:id="426" w:name="_Toc45381030"/>
      <w:bookmarkStart w:id="427" w:name="_Toc45200331"/>
      <w:bookmarkStart w:id="428" w:name="_Toc45200269"/>
      <w:bookmarkStart w:id="429" w:name="_Toc43311026"/>
      <w:r>
        <w:rPr>
          <w:rFonts w:hint="eastAsia" w:ascii="宋体" w:hAnsi="宋体" w:eastAsia="宋体" w:cs="宋体"/>
          <w:b/>
          <w:bCs/>
          <w:sz w:val="24"/>
          <w:szCs w:val="24"/>
        </w:rPr>
        <w:t>项目人员组成表</w:t>
      </w:r>
      <w:bookmarkEnd w:id="423"/>
      <w:bookmarkEnd w:id="424"/>
      <w:bookmarkEnd w:id="425"/>
      <w:bookmarkEnd w:id="426"/>
      <w:bookmarkEnd w:id="427"/>
      <w:bookmarkEnd w:id="428"/>
      <w:bookmarkEnd w:id="429"/>
    </w:p>
    <w:tbl>
      <w:tblPr>
        <w:tblStyle w:val="40"/>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416"/>
        <w:gridCol w:w="721"/>
        <w:gridCol w:w="719"/>
        <w:gridCol w:w="1080"/>
        <w:gridCol w:w="719"/>
        <w:gridCol w:w="721"/>
        <w:gridCol w:w="719"/>
        <w:gridCol w:w="70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岗位职务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职称</w:t>
            </w:r>
          </w:p>
        </w:tc>
        <w:tc>
          <w:tcPr>
            <w:tcW w:w="3240" w:type="dxa"/>
            <w:gridSpan w:val="4"/>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执业或职业资格证明</w:t>
            </w:r>
          </w:p>
        </w:tc>
        <w:tc>
          <w:tcPr>
            <w:tcW w:w="707" w:type="dxa"/>
            <w:vMerge w:val="restart"/>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投入时间</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sz w:val="24"/>
                <w:szCs w:val="24"/>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sz w:val="24"/>
                <w:szCs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级别</w:t>
            </w: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证号</w:t>
            </w: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专业</w:t>
            </w:r>
          </w:p>
        </w:tc>
        <w:tc>
          <w:tcPr>
            <w:tcW w:w="707"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sz w:val="24"/>
                <w:szCs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技术负责人</w:t>
            </w: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检测工程师</w:t>
            </w: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检测人员</w:t>
            </w: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75"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418"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108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pPr>
              <w:pStyle w:val="84"/>
              <w:adjustRightInd w:val="0"/>
              <w:snapToGrid w:val="0"/>
              <w:spacing w:line="320" w:lineRule="exact"/>
              <w:jc w:val="center"/>
              <w:rPr>
                <w:rFonts w:hint="eastAsia" w:ascii="宋体" w:hAnsi="宋体" w:eastAsia="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707"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c>
          <w:tcPr>
            <w:tcW w:w="850" w:type="dxa"/>
            <w:tcBorders>
              <w:top w:val="single" w:color="auto" w:sz="4" w:space="0"/>
              <w:left w:val="single" w:color="auto" w:sz="4" w:space="0"/>
              <w:bottom w:val="single" w:color="auto" w:sz="4" w:space="0"/>
              <w:right w:val="single" w:color="auto" w:sz="4" w:space="0"/>
            </w:tcBorders>
          </w:tcPr>
          <w:p>
            <w:pPr>
              <w:pStyle w:val="84"/>
              <w:adjustRightInd w:val="0"/>
              <w:snapToGrid w:val="0"/>
              <w:spacing w:line="320" w:lineRule="exact"/>
              <w:jc w:val="center"/>
              <w:rPr>
                <w:rFonts w:hint="eastAsia" w:ascii="宋体" w:hAnsi="宋体" w:eastAsia="宋体" w:cs="宋体"/>
                <w:sz w:val="24"/>
                <w:szCs w:val="24"/>
              </w:rPr>
            </w:pPr>
          </w:p>
        </w:tc>
      </w:tr>
    </w:tbl>
    <w:p>
      <w:pPr>
        <w:pStyle w:val="96"/>
        <w:snapToGrid w:val="0"/>
        <w:spacing w:line="360" w:lineRule="auto"/>
        <w:ind w:firstLine="480" w:firstLineChars="200"/>
        <w:rPr>
          <w:rFonts w:hint="eastAsia" w:ascii="宋体" w:hAnsi="宋体" w:eastAsia="宋体" w:cs="宋体"/>
          <w:sz w:val="24"/>
          <w:szCs w:val="24"/>
        </w:rPr>
      </w:pPr>
    </w:p>
    <w:p>
      <w:pPr>
        <w:pStyle w:val="188"/>
        <w:adjustRightInd w:val="0"/>
        <w:snapToGrid w:val="0"/>
        <w:spacing w:line="360" w:lineRule="auto"/>
        <w:ind w:firstLine="3840" w:firstLineChars="1600"/>
        <w:rPr>
          <w:rFonts w:hint="eastAsia" w:ascii="宋体" w:hAnsi="宋体" w:eastAsia="宋体" w:cs="宋体"/>
          <w:color w:val="000000" w:themeColor="text1"/>
          <w:sz w:val="24"/>
          <w:szCs w:val="24"/>
          <w14:textFill>
            <w14:solidFill>
              <w14:schemeClr w14:val="tx1"/>
            </w14:solidFill>
          </w14:textFill>
        </w:rPr>
      </w:pPr>
    </w:p>
    <w:p>
      <w:pPr>
        <w:pStyle w:val="188"/>
        <w:adjustRightInd w:val="0"/>
        <w:snapToGrid w:val="0"/>
        <w:spacing w:line="360" w:lineRule="auto"/>
        <w:ind w:firstLine="3840" w:firstLineChars="1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供应商：（盖单位章）</w:t>
      </w:r>
    </w:p>
    <w:p>
      <w:pPr>
        <w:pStyle w:val="188"/>
        <w:adjustRightInd w:val="0"/>
        <w:snapToGrid w:val="0"/>
        <w:spacing w:line="360" w:lineRule="auto"/>
        <w:ind w:firstLine="3840" w:firstLineChars="1600"/>
        <w:outlineLvl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法定代表人或其委托代理人：（</w:t>
      </w:r>
      <w:r>
        <w:rPr>
          <w:rFonts w:hint="eastAsia" w:ascii="宋体" w:hAnsi="宋体" w:eastAsia="宋体" w:cs="宋体"/>
          <w:sz w:val="24"/>
          <w:szCs w:val="24"/>
        </w:rPr>
        <w:t>签字或盖章</w:t>
      </w:r>
      <w:r>
        <w:rPr>
          <w:rFonts w:hint="eastAsia" w:ascii="宋体" w:hAnsi="宋体" w:eastAsia="宋体" w:cs="宋体"/>
          <w:color w:val="000000" w:themeColor="text1"/>
          <w:sz w:val="24"/>
          <w:szCs w:val="24"/>
          <w14:textFill>
            <w14:solidFill>
              <w14:schemeClr w14:val="tx1"/>
            </w14:solidFill>
          </w14:textFill>
        </w:rPr>
        <w:t>）</w:t>
      </w:r>
    </w:p>
    <w:p>
      <w:pPr>
        <w:pStyle w:val="188"/>
        <w:adjustRightInd w:val="0"/>
        <w:snapToGrid w:val="0"/>
        <w:spacing w:line="360" w:lineRule="auto"/>
        <w:ind w:firstLine="3840" w:firstLineChars="16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月  </w:t>
      </w:r>
      <w:r>
        <w:rPr>
          <w:rFonts w:hint="eastAsia" w:ascii="宋体" w:hAnsi="宋体" w:eastAsia="宋体" w:cs="宋体"/>
          <w:bCs/>
          <w:color w:val="000000" w:themeColor="text1"/>
          <w:sz w:val="24"/>
          <w:szCs w:val="24"/>
          <w14:textFill>
            <w14:solidFill>
              <w14:schemeClr w14:val="tx1"/>
            </w14:solidFill>
          </w14:textFill>
        </w:rPr>
        <w:t>日</w:t>
      </w:r>
    </w:p>
    <w:p>
      <w:pPr>
        <w:widowControl/>
        <w:snapToGrid w:val="0"/>
        <w:jc w:val="left"/>
        <w:rPr>
          <w:rFonts w:hint="eastAsia" w:ascii="宋体" w:hAnsi="宋体" w:eastAsia="宋体" w:cs="宋体"/>
          <w:b/>
          <w:kern w:val="0"/>
          <w:sz w:val="24"/>
          <w:szCs w:val="24"/>
        </w:rPr>
      </w:pPr>
      <w:bookmarkStart w:id="430" w:name="_Toc43311028"/>
      <w:bookmarkStart w:id="431" w:name="_Toc45200270"/>
      <w:bookmarkStart w:id="432" w:name="_Toc45381215"/>
      <w:bookmarkStart w:id="433" w:name="_Toc103865258"/>
      <w:bookmarkStart w:id="434" w:name="_Toc45381031"/>
      <w:bookmarkStart w:id="435" w:name="_Toc45200332"/>
      <w:bookmarkStart w:id="436" w:name="_Toc103865086"/>
      <w:r>
        <w:rPr>
          <w:rFonts w:hint="eastAsia" w:ascii="宋体" w:hAnsi="宋体" w:eastAsia="宋体" w:cs="宋体"/>
          <w:sz w:val="24"/>
          <w:szCs w:val="24"/>
        </w:rPr>
        <w:br w:type="page"/>
      </w:r>
    </w:p>
    <w:bookmarkEnd w:id="430"/>
    <w:bookmarkEnd w:id="431"/>
    <w:bookmarkEnd w:id="432"/>
    <w:bookmarkEnd w:id="433"/>
    <w:bookmarkEnd w:id="434"/>
    <w:bookmarkEnd w:id="435"/>
    <w:bookmarkEnd w:id="436"/>
    <w:p>
      <w:pPr>
        <w:adjustRightInd w:val="0"/>
        <w:snapToGrid w:val="0"/>
        <w:ind w:left="-88" w:leftChars="-42"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拟投入本项目的项目负责人简历表</w:t>
      </w:r>
    </w:p>
    <w:p>
      <w:pPr>
        <w:snapToGrid w:val="0"/>
        <w:rPr>
          <w:rFonts w:hint="eastAsia" w:ascii="宋体" w:hAnsi="宋体" w:eastAsia="宋体" w:cs="宋体"/>
          <w:b/>
          <w:sz w:val="24"/>
          <w:szCs w:val="24"/>
        </w:rPr>
      </w:pPr>
    </w:p>
    <w:tbl>
      <w:tblPr>
        <w:tblStyle w:val="4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性别</w:t>
            </w: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年龄</w:t>
            </w:r>
          </w:p>
        </w:tc>
        <w:tc>
          <w:tcPr>
            <w:tcW w:w="875"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职务</w:t>
            </w: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职称</w:t>
            </w: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学历</w:t>
            </w:r>
          </w:p>
        </w:tc>
        <w:tc>
          <w:tcPr>
            <w:tcW w:w="875"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从事项目</w:t>
            </w:r>
          </w:p>
          <w:p>
            <w:pPr>
              <w:snapToGrid w:val="0"/>
              <w:jc w:val="center"/>
              <w:rPr>
                <w:rFonts w:hint="eastAsia" w:ascii="宋体" w:hAnsi="宋体" w:eastAsia="宋体" w:cs="宋体"/>
                <w:sz w:val="24"/>
                <w:szCs w:val="24"/>
              </w:rPr>
            </w:pPr>
            <w:r>
              <w:rPr>
                <w:rFonts w:hint="eastAsia" w:ascii="宋体" w:hAnsi="宋体" w:eastAsia="宋体" w:cs="宋体"/>
                <w:sz w:val="24"/>
                <w:szCs w:val="24"/>
              </w:rPr>
              <w:t>负责年限</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已完项目情况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建设规模</w:t>
            </w: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服务期限</w:t>
            </w: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目前正在服务项目情况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snapToGrid w:val="0"/>
              <w:ind w:firstLine="480" w:firstLineChars="200"/>
              <w:jc w:val="center"/>
              <w:rPr>
                <w:rFonts w:hint="eastAsia" w:ascii="宋体" w:hAnsi="宋体" w:eastAsia="宋体" w:cs="宋体"/>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80" w:firstLineChars="200"/>
              <w:jc w:val="center"/>
              <w:rPr>
                <w:rFonts w:hint="eastAsia" w:ascii="宋体" w:hAnsi="宋体" w:eastAsia="宋体" w:cs="宋体"/>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80" w:firstLineChars="200"/>
              <w:jc w:val="center"/>
              <w:rPr>
                <w:rFonts w:hint="eastAsia" w:ascii="宋体" w:hAnsi="宋体" w:eastAsia="宋体" w:cs="宋体"/>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firstLine="480" w:firstLineChars="200"/>
              <w:jc w:val="center"/>
              <w:rPr>
                <w:rFonts w:hint="eastAsia" w:ascii="宋体" w:hAnsi="宋体" w:eastAsia="宋体" w:cs="宋体"/>
                <w:sz w:val="24"/>
                <w:szCs w:val="24"/>
              </w:rPr>
            </w:pPr>
          </w:p>
        </w:tc>
      </w:tr>
    </w:tbl>
    <w:p>
      <w:pPr>
        <w:snapToGrid w:val="0"/>
        <w:rPr>
          <w:rFonts w:hint="eastAsia" w:ascii="宋体" w:hAnsi="宋体" w:eastAsia="宋体" w:cs="宋体"/>
          <w:b/>
          <w:sz w:val="24"/>
          <w:szCs w:val="24"/>
        </w:rPr>
      </w:pPr>
    </w:p>
    <w:p>
      <w:pPr>
        <w:widowControl/>
        <w:snapToGrid w:val="0"/>
        <w:jc w:val="left"/>
        <w:rPr>
          <w:rFonts w:hint="eastAsia" w:ascii="宋体" w:hAnsi="宋体" w:eastAsia="宋体" w:cs="宋体"/>
          <w:sz w:val="24"/>
          <w:szCs w:val="24"/>
        </w:rPr>
      </w:pPr>
      <w:r>
        <w:rPr>
          <w:rFonts w:hint="eastAsia" w:ascii="宋体" w:hAnsi="宋体" w:eastAsia="宋体" w:cs="宋体"/>
          <w:sz w:val="24"/>
          <w:szCs w:val="24"/>
        </w:rPr>
        <w:br w:type="page"/>
      </w:r>
    </w:p>
    <w:p>
      <w:pPr>
        <w:adjustRightInd w:val="0"/>
        <w:snapToGrid w:val="0"/>
        <w:ind w:left="-88" w:leftChars="-42" w:firstLine="241" w:firstLineChars="100"/>
        <w:jc w:val="center"/>
        <w:rPr>
          <w:rFonts w:hint="eastAsia" w:ascii="宋体" w:hAnsi="宋体" w:eastAsia="宋体" w:cs="宋体"/>
          <w:b/>
          <w:sz w:val="24"/>
          <w:szCs w:val="24"/>
        </w:rPr>
      </w:pPr>
      <w:r>
        <w:rPr>
          <w:rFonts w:hint="eastAsia" w:ascii="宋体" w:hAnsi="宋体" w:eastAsia="宋体" w:cs="宋体"/>
          <w:b/>
          <w:sz w:val="24"/>
          <w:szCs w:val="24"/>
        </w:rPr>
        <w:t>拟投入本项目的设备表</w:t>
      </w:r>
    </w:p>
    <w:p>
      <w:pPr>
        <w:autoSpaceDE w:val="0"/>
        <w:autoSpaceDN w:val="0"/>
        <w:adjustRightInd w:val="0"/>
        <w:snapToGrid w:val="0"/>
        <w:jc w:val="center"/>
        <w:rPr>
          <w:rFonts w:hint="eastAsia" w:ascii="宋体" w:hAnsi="宋体" w:eastAsia="宋体" w:cs="宋体"/>
          <w:b/>
          <w:sz w:val="24"/>
          <w:szCs w:val="24"/>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664"/>
        <w:gridCol w:w="1320"/>
        <w:gridCol w:w="1052"/>
        <w:gridCol w:w="1043"/>
        <w:gridCol w:w="821"/>
        <w:gridCol w:w="768"/>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序号</w:t>
            </w: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设备、软件名称</w:t>
            </w: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规格型号</w:t>
            </w: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主要功能</w:t>
            </w: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使用年限</w:t>
            </w: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单位</w:t>
            </w: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数量</w:t>
            </w: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r>
              <w:rPr>
                <w:rFonts w:hint="eastAsia" w:ascii="宋体" w:hAnsi="宋体" w:eastAsia="宋体" w:cs="宋体"/>
                <w:sz w:val="24"/>
                <w:szCs w:val="24"/>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8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664"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320"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52"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1043"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21"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768"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c>
          <w:tcPr>
            <w:tcW w:w="877" w:type="dxa"/>
            <w:vAlign w:val="center"/>
          </w:tcPr>
          <w:p>
            <w:pPr>
              <w:autoSpaceDE w:val="0"/>
              <w:autoSpaceDN w:val="0"/>
              <w:adjustRightInd w:val="0"/>
              <w:snapToGrid w:val="0"/>
              <w:spacing w:line="400" w:lineRule="exact"/>
              <w:jc w:val="center"/>
              <w:rPr>
                <w:rFonts w:hint="eastAsia" w:ascii="宋体" w:hAnsi="宋体" w:eastAsia="宋体" w:cs="宋体"/>
                <w:sz w:val="24"/>
                <w:szCs w:val="24"/>
                <w:lang w:val="en-GB"/>
              </w:rPr>
            </w:pPr>
          </w:p>
        </w:tc>
      </w:tr>
    </w:tbl>
    <w:p>
      <w:pPr>
        <w:autoSpaceDE w:val="0"/>
        <w:autoSpaceDN w:val="0"/>
        <w:adjustRightInd w:val="0"/>
        <w:snapToGrid w:val="0"/>
        <w:jc w:val="center"/>
        <w:rPr>
          <w:rFonts w:hint="eastAsia" w:ascii="宋体" w:hAnsi="宋体" w:eastAsia="宋体" w:cs="宋体"/>
          <w:b/>
          <w:sz w:val="24"/>
          <w:szCs w:val="24"/>
          <w:lang w:val="en-GB"/>
        </w:rPr>
      </w:pPr>
    </w:p>
    <w:p>
      <w:pPr>
        <w:pStyle w:val="188"/>
        <w:adjustRightInd w:val="0"/>
        <w:snapToGrid w:val="0"/>
        <w:spacing w:line="360" w:lineRule="auto"/>
        <w:ind w:firstLine="3840" w:firstLineChars="1600"/>
        <w:rPr>
          <w:rFonts w:hint="eastAsia" w:ascii="宋体" w:hAnsi="宋体" w:eastAsia="宋体" w:cs="宋体"/>
          <w:color w:val="000000" w:themeColor="text1"/>
          <w:sz w:val="24"/>
          <w:szCs w:val="24"/>
          <w14:textFill>
            <w14:solidFill>
              <w14:schemeClr w14:val="tx1"/>
            </w14:solidFill>
          </w14:textFill>
        </w:rPr>
      </w:pPr>
    </w:p>
    <w:p>
      <w:pPr>
        <w:pStyle w:val="188"/>
        <w:adjustRightInd w:val="0"/>
        <w:snapToGrid w:val="0"/>
        <w:spacing w:line="360" w:lineRule="auto"/>
        <w:ind w:firstLine="3840" w:firstLineChars="1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供应商：（盖单位章）</w:t>
      </w:r>
    </w:p>
    <w:p>
      <w:pPr>
        <w:pStyle w:val="188"/>
        <w:adjustRightInd w:val="0"/>
        <w:snapToGrid w:val="0"/>
        <w:spacing w:line="360" w:lineRule="auto"/>
        <w:ind w:firstLine="3840" w:firstLineChars="1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法定代表人或其委托代理人：（</w:t>
      </w:r>
      <w:r>
        <w:rPr>
          <w:rFonts w:hint="eastAsia" w:ascii="宋体" w:hAnsi="宋体" w:eastAsia="宋体" w:cs="宋体"/>
          <w:sz w:val="24"/>
          <w:szCs w:val="24"/>
        </w:rPr>
        <w:t>签字或盖章</w:t>
      </w:r>
      <w:r>
        <w:rPr>
          <w:rFonts w:hint="eastAsia" w:ascii="宋体" w:hAnsi="宋体" w:eastAsia="宋体" w:cs="宋体"/>
          <w:color w:val="000000" w:themeColor="text1"/>
          <w:sz w:val="24"/>
          <w:szCs w:val="24"/>
          <w14:textFill>
            <w14:solidFill>
              <w14:schemeClr w14:val="tx1"/>
            </w14:solidFill>
          </w14:textFill>
        </w:rPr>
        <w:t>）</w:t>
      </w:r>
    </w:p>
    <w:p>
      <w:pPr>
        <w:pStyle w:val="188"/>
        <w:adjustRightInd w:val="0"/>
        <w:snapToGrid w:val="0"/>
        <w:spacing w:line="360" w:lineRule="auto"/>
        <w:ind w:firstLine="3840" w:firstLineChars="16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年  月  </w:t>
      </w:r>
      <w:r>
        <w:rPr>
          <w:rFonts w:hint="eastAsia" w:ascii="宋体" w:hAnsi="宋体" w:eastAsia="宋体" w:cs="宋体"/>
          <w:bCs/>
          <w:color w:val="000000" w:themeColor="text1"/>
          <w:sz w:val="24"/>
          <w:szCs w:val="24"/>
          <w14:textFill>
            <w14:solidFill>
              <w14:schemeClr w14:val="tx1"/>
            </w14:solidFill>
          </w14:textFill>
        </w:rPr>
        <w:t>日</w:t>
      </w:r>
    </w:p>
    <w:p>
      <w:pPr>
        <w:widowControl/>
        <w:snapToGrid w:val="0"/>
        <w:jc w:val="left"/>
        <w:rPr>
          <w:rFonts w:hint="eastAsia" w:ascii="宋体" w:hAnsi="宋体" w:eastAsia="宋体" w:cs="宋体"/>
          <w:b/>
          <w:kern w:val="0"/>
          <w:sz w:val="24"/>
          <w:szCs w:val="24"/>
        </w:rPr>
      </w:pPr>
      <w:bookmarkStart w:id="437" w:name="_Toc76680644"/>
      <w:bookmarkStart w:id="438" w:name="_Toc76665165"/>
      <w:bookmarkStart w:id="439" w:name="_Toc96426880"/>
      <w:bookmarkStart w:id="440" w:name="_Toc97051820"/>
      <w:bookmarkStart w:id="441" w:name="_Toc98436666"/>
      <w:r>
        <w:rPr>
          <w:rFonts w:hint="eastAsia" w:ascii="宋体" w:hAnsi="宋体" w:eastAsia="宋体" w:cs="宋体"/>
          <w:sz w:val="24"/>
          <w:szCs w:val="24"/>
        </w:rPr>
        <w:br w:type="page"/>
      </w:r>
    </w:p>
    <w:p>
      <w:pPr>
        <w:pStyle w:val="109"/>
        <w:snapToGrid w:val="0"/>
        <w:spacing w:line="360" w:lineRule="auto"/>
        <w:outlineLvl w:val="2"/>
        <w:rPr>
          <w:rFonts w:hint="eastAsia" w:ascii="宋体" w:hAnsi="宋体" w:eastAsia="宋体" w:cs="宋体"/>
          <w:sz w:val="24"/>
          <w:szCs w:val="24"/>
        </w:rPr>
      </w:pPr>
      <w:bookmarkStart w:id="442" w:name="_Toc106384023"/>
      <w:bookmarkStart w:id="443" w:name="_Toc12555"/>
      <w:r>
        <w:rPr>
          <w:rFonts w:hint="eastAsia" w:ascii="宋体" w:hAnsi="宋体" w:eastAsia="宋体" w:cs="宋体"/>
          <w:sz w:val="24"/>
          <w:szCs w:val="24"/>
        </w:rPr>
        <w:t>（七）</w:t>
      </w:r>
      <w:bookmarkEnd w:id="422"/>
      <w:bookmarkEnd w:id="437"/>
      <w:bookmarkEnd w:id="438"/>
      <w:r>
        <w:rPr>
          <w:rFonts w:hint="eastAsia" w:ascii="宋体" w:hAnsi="宋体" w:eastAsia="宋体" w:cs="宋体"/>
          <w:sz w:val="24"/>
          <w:szCs w:val="24"/>
        </w:rPr>
        <w:t>中小企业声明函</w:t>
      </w:r>
      <w:bookmarkEnd w:id="439"/>
      <w:bookmarkEnd w:id="440"/>
      <w:bookmarkEnd w:id="441"/>
      <w:bookmarkEnd w:id="442"/>
      <w:bookmarkEnd w:id="443"/>
    </w:p>
    <w:p>
      <w:pPr>
        <w:tabs>
          <w:tab w:val="left" w:pos="0"/>
        </w:tabs>
        <w:adjustRightInd w:val="0"/>
        <w:snapToGrid w:val="0"/>
        <w:jc w:val="center"/>
        <w:rPr>
          <w:rFonts w:hint="eastAsia" w:ascii="宋体" w:hAnsi="宋体" w:eastAsia="宋体" w:cs="宋体"/>
          <w:b/>
          <w:kern w:val="0"/>
          <w:sz w:val="24"/>
          <w:szCs w:val="24"/>
        </w:rPr>
      </w:pPr>
      <w:r>
        <w:rPr>
          <w:rFonts w:hint="eastAsia" w:ascii="宋体" w:hAnsi="宋体" w:eastAsia="宋体" w:cs="宋体"/>
          <w:b/>
          <w:bCs/>
          <w:spacing w:val="6"/>
          <w:kern w:val="0"/>
          <w:sz w:val="24"/>
          <w:szCs w:val="24"/>
        </w:rPr>
        <w:t>中小企业声明函</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rPr>
        <w:t xml:space="preserve"> （单位名称）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，属于（采购文件中明确的所属行业）；承建（承接）企业为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，上年度从业人员人，上年度营业收入为万元，上年度资产总额为万元，属于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，属于（采购文件中明确的所属行业）；承建（承接）企业为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，上年度从业人员人，上年度营业收入为万元，上年度资产总额为万元，属于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snapToGrid w:val="0"/>
        <w:spacing w:line="360" w:lineRule="auto"/>
        <w:ind w:firstLine="3120" w:firstLineChars="1300"/>
        <w:jc w:val="left"/>
        <w:rPr>
          <w:rFonts w:hint="eastAsia" w:ascii="宋体" w:hAnsi="宋体" w:eastAsia="宋体" w:cs="宋体"/>
          <w:sz w:val="24"/>
          <w:szCs w:val="24"/>
        </w:rPr>
      </w:pPr>
    </w:p>
    <w:p>
      <w:pPr>
        <w:snapToGrid w:val="0"/>
        <w:spacing w:line="360" w:lineRule="auto"/>
        <w:ind w:firstLine="3120" w:firstLineChars="1300"/>
        <w:jc w:val="left"/>
        <w:rPr>
          <w:rFonts w:hint="eastAsia" w:ascii="宋体" w:hAnsi="宋体" w:eastAsia="宋体" w:cs="宋体"/>
          <w:sz w:val="24"/>
          <w:szCs w:val="24"/>
        </w:rPr>
      </w:pPr>
      <w:r>
        <w:rPr>
          <w:rFonts w:hint="eastAsia" w:ascii="宋体" w:hAnsi="宋体" w:eastAsia="宋体" w:cs="宋体"/>
          <w:sz w:val="24"/>
          <w:szCs w:val="24"/>
        </w:rPr>
        <w:t>企业名称（盖章）：</w:t>
      </w:r>
    </w:p>
    <w:p>
      <w:pPr>
        <w:widowControl/>
        <w:adjustRightInd w:val="0"/>
        <w:snapToGrid w:val="0"/>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日期：</w:t>
      </w:r>
    </w:p>
    <w:p>
      <w:pPr>
        <w:adjustRightInd w:val="0"/>
        <w:snapToGrid w:val="0"/>
        <w:spacing w:line="360" w:lineRule="auto"/>
        <w:ind w:right="24" w:firstLine="960" w:firstLineChars="400"/>
        <w:rPr>
          <w:rFonts w:hint="eastAsia" w:ascii="宋体" w:hAnsi="宋体" w:eastAsia="宋体" w:cs="宋体"/>
          <w:sz w:val="24"/>
          <w:szCs w:val="24"/>
        </w:rPr>
      </w:pPr>
    </w:p>
    <w:p>
      <w:pPr>
        <w:adjustRightInd w:val="0"/>
        <w:snapToGrid w:val="0"/>
        <w:spacing w:line="360" w:lineRule="auto"/>
        <w:ind w:right="24"/>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pPr>
        <w:adjustRightInd w:val="0"/>
        <w:snapToGrid w:val="0"/>
        <w:spacing w:line="360" w:lineRule="auto"/>
        <w:ind w:right="24"/>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2、中小微企业认定以中小企业声明函为准。</w:t>
      </w:r>
    </w:p>
    <w:p>
      <w:pPr>
        <w:adjustRightInd w:val="0"/>
        <w:snapToGrid w:val="0"/>
        <w:spacing w:line="360" w:lineRule="auto"/>
        <w:ind w:right="24"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、如未按上述要求提供、填写，评审时造成的资格审查不通过或价格评审时的价格扣除不予认定等后果，由供应商自行承担。</w:t>
      </w:r>
    </w:p>
    <w:p>
      <w:pPr>
        <w:adjustRightInd w:val="0"/>
        <w:snapToGrid w:val="0"/>
        <w:spacing w:line="360" w:lineRule="auto"/>
        <w:ind w:right="24" w:firstLine="480" w:firstLineChars="200"/>
        <w:rPr>
          <w:rFonts w:hint="eastAsia" w:ascii="宋体" w:hAnsi="宋体" w:eastAsia="宋体" w:cs="宋体"/>
          <w:sz w:val="24"/>
          <w:szCs w:val="24"/>
        </w:rPr>
      </w:pPr>
    </w:p>
    <w:p>
      <w:pPr>
        <w:adjustRightInd w:val="0"/>
        <w:snapToGrid w:val="0"/>
        <w:spacing w:line="360" w:lineRule="auto"/>
        <w:ind w:right="24" w:firstLine="480" w:firstLineChars="200"/>
        <w:rPr>
          <w:rFonts w:hint="eastAsia" w:ascii="宋体" w:hAnsi="宋体" w:eastAsia="宋体" w:cs="宋体"/>
          <w:sz w:val="24"/>
          <w:szCs w:val="24"/>
        </w:rPr>
      </w:pPr>
    </w:p>
    <w:p>
      <w:pPr>
        <w:adjustRightInd w:val="0"/>
        <w:snapToGrid w:val="0"/>
        <w:spacing w:line="360" w:lineRule="auto"/>
        <w:ind w:right="24"/>
        <w:rPr>
          <w:rFonts w:hint="eastAsia" w:ascii="宋体" w:hAnsi="宋体" w:eastAsia="宋体" w:cs="宋体"/>
          <w:spacing w:val="6"/>
          <w:kern w:val="0"/>
          <w:sz w:val="24"/>
          <w:szCs w:val="24"/>
        </w:rPr>
      </w:pPr>
      <w:r>
        <w:rPr>
          <w:rFonts w:hint="eastAsia" w:ascii="宋体" w:hAnsi="宋体" w:eastAsia="宋体" w:cs="宋体"/>
          <w:sz w:val="24"/>
          <w:szCs w:val="24"/>
        </w:rPr>
        <w:br w:type="page"/>
      </w:r>
    </w:p>
    <w:p>
      <w:pPr>
        <w:tabs>
          <w:tab w:val="left" w:pos="3600"/>
        </w:tabs>
        <w:adjustRightInd w:val="0"/>
        <w:snapToGrid w:val="0"/>
        <w:jc w:val="center"/>
        <w:outlineLvl w:val="3"/>
        <w:rPr>
          <w:rFonts w:hint="eastAsia" w:ascii="宋体" w:hAnsi="宋体" w:eastAsia="宋体" w:cs="宋体"/>
          <w:b/>
          <w:bCs/>
          <w:spacing w:val="6"/>
          <w:kern w:val="0"/>
          <w:sz w:val="24"/>
          <w:szCs w:val="24"/>
        </w:rPr>
      </w:pPr>
      <w:bookmarkStart w:id="444" w:name="OLE_LINK13"/>
      <w:bookmarkStart w:id="445" w:name="OLE_LINK14"/>
      <w:r>
        <w:rPr>
          <w:rFonts w:hint="eastAsia" w:ascii="宋体" w:hAnsi="宋体" w:eastAsia="宋体" w:cs="宋体"/>
          <w:b/>
          <w:bCs/>
          <w:spacing w:val="6"/>
          <w:kern w:val="0"/>
          <w:sz w:val="24"/>
          <w:szCs w:val="24"/>
        </w:rPr>
        <w:t>残疾人福利性单位声明函</w:t>
      </w:r>
      <w:bookmarkEnd w:id="444"/>
      <w:bookmarkEnd w:id="445"/>
      <w:r>
        <w:rPr>
          <w:rFonts w:hint="eastAsia" w:ascii="宋体" w:hAnsi="宋体" w:eastAsia="宋体" w:cs="宋体"/>
          <w:b/>
          <w:bCs/>
          <w:spacing w:val="6"/>
          <w:kern w:val="0"/>
          <w:sz w:val="24"/>
          <w:szCs w:val="24"/>
        </w:rPr>
        <w:t>（残疾人福利性单位提供）</w:t>
      </w:r>
    </w:p>
    <w:p>
      <w:pPr>
        <w:snapToGrid w:val="0"/>
        <w:spacing w:line="360" w:lineRule="auto"/>
        <w:rPr>
          <w:rFonts w:hint="eastAsia" w:ascii="宋体" w:hAnsi="宋体" w:eastAsia="宋体" w:cs="宋体"/>
          <w:b/>
          <w:bCs/>
          <w:spacing w:val="6"/>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本单位对上述声明的真实性负责。如有虚假，将依法承担相应责任。</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单位名称（盖章）：</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日期：</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说明：按照《关于促进残疾人就业政府采购政策的通知》（财库〔2017〕141号）的规定，残疾人福利性单位仅需提供声明函，不需提供其他证明材料。非残疾人福利性单位，本表可不提供。</w:t>
      </w:r>
    </w:p>
    <w:p>
      <w:pPr>
        <w:snapToGrid w:val="0"/>
        <w:spacing w:line="440" w:lineRule="exact"/>
        <w:ind w:firstLine="420"/>
        <w:jc w:val="left"/>
        <w:rPr>
          <w:rFonts w:hint="eastAsia" w:ascii="宋体" w:hAnsi="宋体" w:eastAsia="宋体" w:cs="宋体"/>
          <w:b/>
          <w:sz w:val="24"/>
          <w:szCs w:val="24"/>
        </w:rPr>
      </w:pPr>
      <w:r>
        <w:rPr>
          <w:rFonts w:hint="eastAsia" w:ascii="宋体" w:hAnsi="宋体" w:eastAsia="宋体" w:cs="宋体"/>
          <w:b/>
          <w:spacing w:val="6"/>
          <w:kern w:val="0"/>
          <w:sz w:val="24"/>
          <w:szCs w:val="24"/>
        </w:rPr>
        <w:br w:type="page"/>
      </w:r>
    </w:p>
    <w:p>
      <w:pPr>
        <w:tabs>
          <w:tab w:val="left" w:pos="3600"/>
        </w:tabs>
        <w:adjustRightInd w:val="0"/>
        <w:snapToGrid w:val="0"/>
        <w:jc w:val="center"/>
        <w:rPr>
          <w:rFonts w:hint="eastAsia" w:ascii="宋体" w:hAnsi="宋体" w:eastAsia="宋体" w:cs="宋体"/>
          <w:b/>
          <w:bCs/>
          <w:spacing w:val="6"/>
          <w:kern w:val="0"/>
          <w:sz w:val="24"/>
          <w:szCs w:val="24"/>
        </w:rPr>
      </w:pPr>
      <w:bookmarkStart w:id="446" w:name="_Toc98436667"/>
      <w:bookmarkStart w:id="447" w:name="_Toc71282104"/>
      <w:bookmarkStart w:id="448" w:name="_Toc103865262"/>
      <w:bookmarkStart w:id="449" w:name="_Toc88693315"/>
      <w:bookmarkStart w:id="450" w:name="_Toc103865090"/>
      <w:bookmarkStart w:id="451" w:name="_Toc96426881"/>
      <w:bookmarkStart w:id="452" w:name="_Toc82097413"/>
      <w:bookmarkStart w:id="453" w:name="_Toc81990493"/>
      <w:bookmarkStart w:id="454" w:name="_Toc97051821"/>
      <w:r>
        <w:rPr>
          <w:rFonts w:hint="eastAsia" w:ascii="宋体" w:hAnsi="宋体" w:eastAsia="宋体" w:cs="宋体"/>
          <w:b/>
          <w:bCs/>
          <w:spacing w:val="6"/>
          <w:kern w:val="0"/>
          <w:sz w:val="24"/>
          <w:szCs w:val="24"/>
        </w:rPr>
        <w:t>监狱企业声明函</w:t>
      </w:r>
      <w:bookmarkEnd w:id="446"/>
      <w:bookmarkEnd w:id="447"/>
      <w:bookmarkEnd w:id="448"/>
      <w:bookmarkEnd w:id="449"/>
      <w:bookmarkEnd w:id="450"/>
      <w:bookmarkEnd w:id="451"/>
      <w:bookmarkEnd w:id="452"/>
      <w:bookmarkEnd w:id="453"/>
      <w:bookmarkEnd w:id="454"/>
    </w:p>
    <w:p>
      <w:pPr>
        <w:tabs>
          <w:tab w:val="left" w:pos="3600"/>
        </w:tabs>
        <w:adjustRightInd w:val="0"/>
        <w:snapToGrid w:val="0"/>
        <w:jc w:val="center"/>
        <w:rPr>
          <w:rFonts w:hint="eastAsia" w:ascii="宋体" w:hAnsi="宋体" w:eastAsia="宋体" w:cs="宋体"/>
          <w:b/>
          <w:sz w:val="24"/>
          <w:szCs w:val="24"/>
        </w:rPr>
      </w:pPr>
    </w:p>
    <w:p>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本企业（单位）郑重声明下列事项（按照实际情况填空）：</w:t>
      </w:r>
    </w:p>
    <w:p>
      <w:pPr>
        <w:widowControl/>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本企业（单位）为直接供应商，提供本企业（单位）服务。</w:t>
      </w:r>
    </w:p>
    <w:p>
      <w:pPr>
        <w:widowControl/>
        <w:snapToGrid w:val="0"/>
        <w:spacing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（1）本企业（单位）（请填写：是、不是）监狱企业。后附省级以上监狱管理局、戒毒管理局（含新疆生产建设兵团）出具的属于监狱企业的证明文件。</w:t>
      </w:r>
    </w:p>
    <w:p>
      <w:pPr>
        <w:widowControl/>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（2）本企业（单位）（请填写：是、不是）为联合体一方，提供本企业（单位）的服务。本企业（单位）提供协议合同金额占到共同投标协议合同总金额的比例为。</w:t>
      </w:r>
    </w:p>
    <w:p>
      <w:pPr>
        <w:widowControl/>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pPr>
        <w:widowControl/>
        <w:snapToGrid w:val="0"/>
        <w:spacing w:line="360" w:lineRule="auto"/>
        <w:ind w:firstLine="408"/>
        <w:jc w:val="left"/>
        <w:rPr>
          <w:rFonts w:hint="eastAsia" w:ascii="宋体" w:hAnsi="宋体" w:eastAsia="宋体" w:cs="宋体"/>
          <w:kern w:val="0"/>
          <w:sz w:val="24"/>
          <w:szCs w:val="24"/>
        </w:rPr>
      </w:pPr>
    </w:p>
    <w:p>
      <w:pPr>
        <w:widowControl/>
        <w:snapToGrid w:val="0"/>
        <w:spacing w:line="360" w:lineRule="auto"/>
        <w:ind w:firstLine="3960" w:firstLineChars="1650"/>
        <w:jc w:val="left"/>
        <w:rPr>
          <w:rFonts w:hint="eastAsia" w:ascii="宋体" w:hAnsi="宋体" w:eastAsia="宋体" w:cs="宋体"/>
          <w:kern w:val="0"/>
          <w:sz w:val="24"/>
          <w:szCs w:val="24"/>
        </w:rPr>
      </w:pPr>
      <w:r>
        <w:rPr>
          <w:rFonts w:hint="eastAsia" w:ascii="宋体" w:hAnsi="宋体" w:eastAsia="宋体" w:cs="宋体"/>
          <w:kern w:val="0"/>
          <w:sz w:val="24"/>
          <w:szCs w:val="24"/>
        </w:rPr>
        <w:t>供应商名称（盖公章）：</w:t>
      </w:r>
    </w:p>
    <w:p>
      <w:pPr>
        <w:widowControl/>
        <w:snapToGrid w:val="0"/>
        <w:spacing w:line="360" w:lineRule="auto"/>
        <w:ind w:right="210" w:firstLine="3960" w:firstLineChars="1650"/>
        <w:jc w:val="left"/>
        <w:rPr>
          <w:rFonts w:hint="eastAsia" w:ascii="宋体" w:hAnsi="宋体" w:eastAsia="宋体" w:cs="宋体"/>
          <w:kern w:val="0"/>
          <w:sz w:val="24"/>
          <w:szCs w:val="24"/>
        </w:rPr>
      </w:pPr>
      <w:r>
        <w:rPr>
          <w:rFonts w:hint="eastAsia" w:ascii="宋体" w:hAnsi="宋体" w:eastAsia="宋体" w:cs="宋体"/>
          <w:kern w:val="0"/>
          <w:sz w:val="24"/>
          <w:szCs w:val="24"/>
        </w:rPr>
        <w:t>日 期：</w:t>
      </w:r>
    </w:p>
    <w:p>
      <w:pPr>
        <w:widowControl/>
        <w:adjustRightInd w:val="0"/>
        <w:snapToGrid w:val="0"/>
        <w:spacing w:line="360" w:lineRule="auto"/>
        <w:ind w:firstLine="504" w:firstLineChars="200"/>
        <w:jc w:val="left"/>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说明：非监狱企业，本表可不提供。</w:t>
      </w:r>
    </w:p>
    <w:p>
      <w:pPr>
        <w:widowControl/>
        <w:snapToGrid w:val="0"/>
        <w:jc w:val="left"/>
        <w:rPr>
          <w:rFonts w:hint="eastAsia" w:ascii="宋体" w:hAnsi="宋体" w:eastAsia="宋体" w:cs="宋体"/>
          <w:b/>
          <w:kern w:val="0"/>
          <w:sz w:val="24"/>
          <w:szCs w:val="24"/>
        </w:rPr>
      </w:pPr>
      <w:r>
        <w:rPr>
          <w:rFonts w:hint="eastAsia" w:ascii="宋体" w:hAnsi="宋体" w:eastAsia="宋体" w:cs="宋体"/>
          <w:sz w:val="24"/>
          <w:szCs w:val="24"/>
        </w:rPr>
        <w:br w:type="page"/>
      </w:r>
    </w:p>
    <w:p>
      <w:pPr>
        <w:pStyle w:val="109"/>
        <w:snapToGrid w:val="0"/>
        <w:spacing w:line="360" w:lineRule="auto"/>
        <w:outlineLvl w:val="2"/>
        <w:rPr>
          <w:rFonts w:hint="eastAsia" w:ascii="宋体" w:hAnsi="宋体" w:eastAsia="宋体" w:cs="宋体"/>
          <w:sz w:val="24"/>
          <w:szCs w:val="24"/>
        </w:rPr>
      </w:pPr>
      <w:bookmarkStart w:id="455" w:name="_Toc434812540"/>
      <w:bookmarkStart w:id="456" w:name="_Toc431686097"/>
      <w:bookmarkStart w:id="457" w:name="_Toc96426882"/>
      <w:bookmarkStart w:id="458" w:name="_Toc106384024"/>
      <w:bookmarkStart w:id="459" w:name="_Toc98436668"/>
      <w:bookmarkStart w:id="460" w:name="_Toc97051822"/>
      <w:bookmarkStart w:id="461" w:name="_Toc478"/>
      <w:r>
        <w:rPr>
          <w:rFonts w:hint="eastAsia" w:ascii="宋体" w:hAnsi="宋体" w:eastAsia="宋体" w:cs="宋体"/>
          <w:sz w:val="24"/>
          <w:szCs w:val="24"/>
        </w:rPr>
        <w:t>（1）信用评价结果说明（参考格式）</w:t>
      </w:r>
      <w:bookmarkEnd w:id="455"/>
      <w:bookmarkEnd w:id="456"/>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（招标人全称）：</w:t>
      </w:r>
    </w:p>
    <w:p>
      <w:pPr>
        <w:spacing w:line="400" w:lineRule="exact"/>
        <w:ind w:firstLine="600" w:firstLineChars="250"/>
        <w:jc w:val="left"/>
        <w:outlineLvl w:val="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bCs/>
          <w:sz w:val="24"/>
          <w:szCs w:val="24"/>
        </w:rPr>
        <w:t>实验检测企业信用评价结果</w:t>
      </w:r>
      <w:r>
        <w:rPr>
          <w:rFonts w:hint="eastAsia" w:ascii="宋体" w:hAnsi="宋体" w:eastAsia="宋体" w:cs="宋体"/>
          <w:sz w:val="24"/>
          <w:szCs w:val="24"/>
        </w:rPr>
        <w:t>如下：</w:t>
      </w:r>
    </w:p>
    <w:p>
      <w:pPr>
        <w:spacing w:line="4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（1）“新疆维吾尔自治区交通运输厅”公布的《新疆维吾尔自治区交通运输厅关于公布2022年度自治区公路建设市场从业企业及人员信用评价结果的通知》信用评价等级为____。</w:t>
      </w:r>
    </w:p>
    <w:p>
      <w:pPr>
        <w:spacing w:line="400" w:lineRule="exact"/>
        <w:ind w:firstLine="480" w:firstLineChars="200"/>
        <w:jc w:val="left"/>
        <w:outlineLvl w:val="2"/>
        <w:rPr>
          <w:rFonts w:hint="eastAsia" w:ascii="宋体" w:hAnsi="宋体" w:eastAsia="宋体" w:cs="宋体"/>
          <w:sz w:val="24"/>
          <w:szCs w:val="24"/>
        </w:rPr>
      </w:pPr>
      <w:r>
        <w:rPr>
          <w:rFonts w:hint="eastAsia" w:ascii="宋体" w:hAnsi="宋体" w:eastAsia="宋体" w:cs="宋体"/>
          <w:sz w:val="24"/>
          <w:szCs w:val="24"/>
        </w:rPr>
        <w:t>（2）《关于哈密市2022年度农村公路建设项目从业单位信用评价结果的通知》信用评价等级为____。</w:t>
      </w:r>
    </w:p>
    <w:p>
      <w:pPr>
        <w:spacing w:line="400" w:lineRule="exact"/>
        <w:ind w:firstLine="480" w:firstLineChars="200"/>
        <w:rPr>
          <w:rFonts w:hint="eastAsia" w:ascii="宋体" w:hAnsi="宋体" w:eastAsia="宋体" w:cs="宋体"/>
          <w:bCs/>
          <w:sz w:val="24"/>
          <w:szCs w:val="24"/>
        </w:rPr>
      </w:pP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说明：该文中表述的单位名称为____________，与我单位现在的企业名称</w:t>
      </w:r>
      <w:r>
        <w:rPr>
          <w:rFonts w:hint="eastAsia" w:ascii="宋体" w:hAnsi="宋体" w:eastAsia="宋体" w:cs="宋体"/>
          <w:b/>
          <w:color w:val="000000"/>
          <w:sz w:val="24"/>
          <w:szCs w:val="24"/>
        </w:rPr>
        <w:t>不一致</w:t>
      </w:r>
      <w:r>
        <w:rPr>
          <w:rFonts w:hint="eastAsia" w:ascii="宋体" w:hAnsi="宋体" w:eastAsia="宋体" w:cs="宋体"/>
          <w:color w:val="000000"/>
          <w:sz w:val="24"/>
          <w:szCs w:val="24"/>
        </w:rPr>
        <w:t>/一致。</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p>
    <w:p>
      <w:pPr>
        <w:spacing w:line="400" w:lineRule="exact"/>
        <w:ind w:firstLine="3433" w:firstLineChars="1425"/>
        <w:rPr>
          <w:rFonts w:hint="eastAsia" w:ascii="宋体" w:hAnsi="宋体" w:eastAsia="宋体" w:cs="宋体"/>
          <w:color w:val="000000"/>
          <w:sz w:val="24"/>
          <w:szCs w:val="24"/>
        </w:rPr>
      </w:pPr>
      <w:r>
        <w:rPr>
          <w:rFonts w:hint="eastAsia" w:ascii="宋体" w:hAnsi="宋体" w:eastAsia="宋体" w:cs="宋体"/>
          <w:b/>
          <w:color w:val="000000"/>
          <w:sz w:val="24"/>
          <w:szCs w:val="24"/>
        </w:rPr>
        <w:t>投  标  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pPr>
        <w:spacing w:line="400" w:lineRule="exact"/>
        <w:ind w:firstLine="3433" w:firstLineChars="1425"/>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color w:val="000000"/>
          <w:sz w:val="24"/>
          <w:szCs w:val="24"/>
        </w:rPr>
        <w:t>或</w:t>
      </w:r>
    </w:p>
    <w:p>
      <w:pPr>
        <w:spacing w:line="400" w:lineRule="exact"/>
        <w:ind w:firstLine="3433" w:firstLineChars="1425"/>
        <w:rPr>
          <w:rFonts w:hint="eastAsia" w:ascii="宋体" w:hAnsi="宋体" w:eastAsia="宋体" w:cs="宋体"/>
          <w:color w:val="000000"/>
          <w:sz w:val="24"/>
          <w:szCs w:val="24"/>
        </w:rPr>
      </w:pPr>
      <w:r>
        <w:rPr>
          <w:rFonts w:hint="eastAsia" w:ascii="宋体" w:hAnsi="宋体" w:eastAsia="宋体" w:cs="宋体"/>
          <w:b/>
          <w:color w:val="000000"/>
          <w:sz w:val="24"/>
          <w:szCs w:val="24"/>
        </w:rPr>
        <w:t>其委托代理人</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spacing w:line="400" w:lineRule="exact"/>
        <w:ind w:firstLine="5462" w:firstLineChars="2276"/>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p>
    <w:p>
      <w:pPr>
        <w:pStyle w:val="111"/>
        <w:spacing w:line="400" w:lineRule="atLeas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000000"/>
          <w:sz w:val="24"/>
          <w:szCs w:val="24"/>
        </w:rPr>
        <w:t>注：如果信用评价结果文中的从业单位名称与投标人现在的企业名称不一致，应说明原因并提交必要的证明材料复印件。由于单位名称不一致且投标人未提交有效证明材料而可能导致的不利后果由投标人承担</w:t>
      </w: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p>
    <w:p>
      <w:pPr>
        <w:pStyle w:val="109"/>
        <w:snapToGrid w:val="0"/>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t>（八）供应商认为需要提交的其他材料</w:t>
      </w:r>
      <w:bookmarkEnd w:id="457"/>
      <w:bookmarkEnd w:id="458"/>
      <w:bookmarkEnd w:id="459"/>
      <w:bookmarkEnd w:id="460"/>
      <w:bookmarkEnd w:id="461"/>
    </w:p>
    <w:p>
      <w:pPr>
        <w:pStyle w:val="111"/>
        <w:snapToGrid w:val="0"/>
        <w:spacing w:line="360" w:lineRule="auto"/>
        <w:jc w:val="center"/>
        <w:outlineLvl w:val="1"/>
        <w:rPr>
          <w:rFonts w:hint="eastAsia" w:ascii="宋体" w:hAnsi="宋体" w:eastAsia="宋体" w:cs="宋体"/>
          <w:sz w:val="24"/>
          <w:szCs w:val="24"/>
        </w:rPr>
      </w:pPr>
      <w:bookmarkStart w:id="462" w:name="_Toc28383"/>
      <w:r>
        <w:rPr>
          <w:rFonts w:hint="eastAsia" w:ascii="宋体" w:hAnsi="宋体" w:eastAsia="宋体" w:cs="宋体"/>
          <w:sz w:val="24"/>
          <w:szCs w:val="24"/>
        </w:rPr>
        <w:t>供应商认为需要提交的其他材料格式自拟</w:t>
      </w:r>
      <w:bookmarkEnd w:id="462"/>
    </w:p>
    <w:p>
      <w:pPr>
        <w:pStyle w:val="134"/>
        <w:snapToGrid w:val="0"/>
        <w:spacing w:line="360" w:lineRule="auto"/>
        <w:jc w:val="center"/>
        <w:outlineLvl w:val="1"/>
        <w:rPr>
          <w:rFonts w:hint="eastAsia" w:ascii="宋体" w:hAnsi="宋体" w:eastAsia="宋体" w:cs="宋体"/>
          <w:sz w:val="24"/>
          <w:szCs w:val="24"/>
        </w:rPr>
      </w:pPr>
      <w:r>
        <w:rPr>
          <w:rFonts w:hint="eastAsia" w:ascii="宋体" w:hAnsi="宋体" w:eastAsia="宋体" w:cs="宋体"/>
          <w:sz w:val="24"/>
          <w:szCs w:val="24"/>
        </w:rPr>
        <w:br w:type="page"/>
      </w:r>
      <w:bookmarkStart w:id="463" w:name="_Toc106384025"/>
      <w:bookmarkStart w:id="464" w:name="_Toc25051"/>
      <w:r>
        <w:rPr>
          <w:rFonts w:hint="eastAsia" w:ascii="宋体" w:hAnsi="宋体" w:eastAsia="宋体" w:cs="宋体"/>
          <w:sz w:val="24"/>
          <w:szCs w:val="24"/>
        </w:rPr>
        <w:t>三、技术文件组成</w:t>
      </w:r>
      <w:bookmarkEnd w:id="463"/>
      <w:bookmarkEnd w:id="464"/>
    </w:p>
    <w:p>
      <w:pPr>
        <w:pStyle w:val="141"/>
        <w:snapToGrid w:val="0"/>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br w:type="page"/>
      </w:r>
      <w:bookmarkStart w:id="465" w:name="_Toc96426884"/>
      <w:bookmarkStart w:id="466" w:name="_Toc106384026"/>
      <w:bookmarkStart w:id="467" w:name="_Toc76680646"/>
      <w:bookmarkStart w:id="468" w:name="_Toc76479641"/>
      <w:bookmarkStart w:id="469" w:name="_Toc76665167"/>
      <w:bookmarkStart w:id="470" w:name="_Toc97051824"/>
      <w:bookmarkStart w:id="471" w:name="_Toc98436670"/>
      <w:bookmarkStart w:id="472" w:name="_Toc4510"/>
      <w:r>
        <w:rPr>
          <w:rFonts w:hint="eastAsia" w:ascii="宋体" w:hAnsi="宋体" w:eastAsia="宋体" w:cs="宋体"/>
          <w:sz w:val="24"/>
          <w:szCs w:val="24"/>
        </w:rPr>
        <w:t>（一）技术响应、偏离说明表</w:t>
      </w:r>
      <w:bookmarkEnd w:id="465"/>
      <w:bookmarkEnd w:id="466"/>
      <w:bookmarkEnd w:id="467"/>
      <w:bookmarkEnd w:id="468"/>
      <w:bookmarkEnd w:id="469"/>
      <w:bookmarkEnd w:id="470"/>
      <w:bookmarkEnd w:id="471"/>
      <w:bookmarkEnd w:id="472"/>
    </w:p>
    <w:p>
      <w:pPr>
        <w:pStyle w:val="142"/>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采购项目编号：</w:t>
      </w:r>
    </w:p>
    <w:p>
      <w:pPr>
        <w:pStyle w:val="142"/>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采购项目名称：</w:t>
      </w:r>
    </w:p>
    <w:tbl>
      <w:tblPr>
        <w:tblStyle w:val="40"/>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38"/>
        <w:gridCol w:w="2224"/>
        <w:gridCol w:w="132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磋商文件中条款内容</w:t>
            </w: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响应文件条款部分</w:t>
            </w: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偏离说明</w:t>
            </w:r>
          </w:p>
        </w:tc>
        <w:tc>
          <w:tcPr>
            <w:tcW w:w="1418" w:type="dxa"/>
            <w:shd w:val="clear" w:color="auto" w:fill="auto"/>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41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41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41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41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41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993"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73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2224"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320"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c>
          <w:tcPr>
            <w:tcW w:w="1418" w:type="dxa"/>
            <w:shd w:val="clear" w:color="auto" w:fill="auto"/>
            <w:vAlign w:val="center"/>
          </w:tcPr>
          <w:p>
            <w:pPr>
              <w:pStyle w:val="105"/>
              <w:tabs>
                <w:tab w:val="left" w:pos="1337"/>
              </w:tabs>
              <w:snapToGrid w:val="0"/>
              <w:spacing w:line="400" w:lineRule="exact"/>
              <w:jc w:val="center"/>
              <w:rPr>
                <w:rFonts w:hint="eastAsia" w:ascii="宋体" w:hAnsi="宋体" w:eastAsia="宋体" w:cs="宋体"/>
                <w:sz w:val="24"/>
                <w:szCs w:val="24"/>
              </w:rPr>
            </w:pPr>
          </w:p>
        </w:tc>
      </w:tr>
    </w:tbl>
    <w:p>
      <w:pPr>
        <w:pStyle w:val="142"/>
        <w:adjustRightInd w:val="0"/>
        <w:snapToGrid w:val="0"/>
        <w:spacing w:line="360" w:lineRule="auto"/>
        <w:ind w:left="2" w:leftChars="1" w:firstLine="120" w:firstLineChars="50"/>
        <w:rPr>
          <w:rFonts w:hint="eastAsia" w:ascii="宋体" w:hAnsi="宋体" w:eastAsia="宋体" w:cs="宋体"/>
          <w:sz w:val="24"/>
          <w:szCs w:val="24"/>
        </w:rPr>
      </w:pPr>
      <w:r>
        <w:rPr>
          <w:rFonts w:hint="eastAsia" w:ascii="宋体" w:hAnsi="宋体" w:eastAsia="宋体" w:cs="宋体"/>
          <w:sz w:val="24"/>
          <w:szCs w:val="24"/>
        </w:rPr>
        <w:t>说明：供应商应对照磋商文件中技术要求（特别是第三章采购项目技术规格、参数及相关服务要求），逐条说明所提供货物和服务已对磋商文件的技术规格做出了实质性的响应，并申明与技术规格条文的偏离和例外。</w:t>
      </w: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供应商名称(盖单位章)：</w:t>
      </w:r>
    </w:p>
    <w:p>
      <w:pPr>
        <w:pStyle w:val="105"/>
        <w:snapToGrid w:val="0"/>
        <w:spacing w:line="360" w:lineRule="auto"/>
        <w:ind w:firstLine="480" w:firstLineChars="200"/>
        <w:rPr>
          <w:rFonts w:hint="eastAsia" w:ascii="宋体" w:hAnsi="宋体" w:eastAsia="宋体" w:cs="宋体"/>
          <w:sz w:val="24"/>
          <w:szCs w:val="24"/>
        </w:rPr>
      </w:pPr>
    </w:p>
    <w:p>
      <w:pPr>
        <w:pStyle w:val="10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日期：年月日</w:t>
      </w:r>
    </w:p>
    <w:p>
      <w:pPr>
        <w:pStyle w:val="143"/>
        <w:snapToGrid w:val="0"/>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br w:type="page"/>
      </w:r>
      <w:bookmarkStart w:id="473" w:name="_Toc76479642"/>
      <w:bookmarkStart w:id="474" w:name="_Toc76680647"/>
      <w:bookmarkStart w:id="475" w:name="_Toc97051825"/>
      <w:bookmarkStart w:id="476" w:name="_Toc98436671"/>
      <w:bookmarkStart w:id="477" w:name="_Toc106384027"/>
      <w:bookmarkStart w:id="478" w:name="_Toc96426885"/>
      <w:bookmarkStart w:id="479" w:name="_Toc76665168"/>
      <w:bookmarkStart w:id="480" w:name="_Toc1059"/>
      <w:r>
        <w:rPr>
          <w:rFonts w:hint="eastAsia" w:ascii="宋体" w:hAnsi="宋体" w:eastAsia="宋体" w:cs="宋体"/>
          <w:sz w:val="24"/>
          <w:szCs w:val="24"/>
        </w:rPr>
        <w:t>（二）技术</w:t>
      </w:r>
      <w:bookmarkEnd w:id="473"/>
      <w:r>
        <w:rPr>
          <w:rFonts w:hint="eastAsia" w:ascii="宋体" w:hAnsi="宋体" w:eastAsia="宋体" w:cs="宋体"/>
          <w:sz w:val="24"/>
          <w:szCs w:val="24"/>
        </w:rPr>
        <w:t>方案</w:t>
      </w:r>
      <w:bookmarkEnd w:id="474"/>
      <w:bookmarkEnd w:id="475"/>
      <w:bookmarkEnd w:id="476"/>
      <w:bookmarkEnd w:id="477"/>
      <w:bookmarkEnd w:id="478"/>
      <w:bookmarkEnd w:id="479"/>
      <w:bookmarkEnd w:id="480"/>
    </w:p>
    <w:p>
      <w:pPr>
        <w:pStyle w:val="144"/>
        <w:adjustRightInd w:val="0"/>
        <w:snapToGrid w:val="0"/>
        <w:spacing w:line="360" w:lineRule="auto"/>
        <w:rPr>
          <w:rFonts w:hint="eastAsia" w:ascii="宋体" w:hAnsi="宋体" w:eastAsia="宋体" w:cs="宋体"/>
          <w:sz w:val="24"/>
          <w:szCs w:val="24"/>
        </w:rPr>
      </w:pPr>
    </w:p>
    <w:p>
      <w:pPr>
        <w:pStyle w:val="119"/>
        <w:snapToGrid w:val="0"/>
        <w:spacing w:line="360" w:lineRule="auto"/>
        <w:rPr>
          <w:rFonts w:hint="eastAsia" w:ascii="宋体" w:hAnsi="宋体" w:eastAsia="宋体" w:cs="宋体"/>
          <w:sz w:val="24"/>
          <w:szCs w:val="24"/>
        </w:rPr>
      </w:pPr>
      <w:r>
        <w:rPr>
          <w:rFonts w:hint="eastAsia" w:ascii="宋体" w:hAnsi="宋体" w:eastAsia="宋体" w:cs="宋体"/>
          <w:sz w:val="24"/>
          <w:szCs w:val="24"/>
        </w:rPr>
        <w:t>包括但不限于：</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（1）针对本项目的综合说明（含服务理念、工作目标、整体设想和策划）</w:t>
      </w:r>
    </w:p>
    <w:p>
      <w:pPr>
        <w:snapToGrid w:val="0"/>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（2）</w:t>
      </w:r>
      <w:r>
        <w:rPr>
          <w:rFonts w:hint="eastAsia" w:ascii="宋体" w:hAnsi="宋体" w:eastAsia="宋体" w:cs="宋体"/>
          <w:sz w:val="24"/>
          <w:szCs w:val="24"/>
        </w:rPr>
        <w:t>简单方案说明或总体方案设计；</w:t>
      </w:r>
    </w:p>
    <w:p>
      <w:pPr>
        <w:tabs>
          <w:tab w:val="left" w:pos="776"/>
        </w:tabs>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（3）项目组织和管理</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（4）拟安排参加本项目的人员责任分工情况</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（5）质量、进度、安全相关保障措施</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（6）项目实施过程中突发事件处理机制与预案</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（7）项目管理机构：要求提供项目管理机构框图、人员配备方案及岗位职责和职业资格（含管理层的设置，主要技术人员的人数和职责，各部门的设置、职责和拟安排的人数）；</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（8）本地服务能力及响应时间方案，沟通协调能力、综合配套服务和支持</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（9）售后服务承诺、后续跟踪服务承诺</w:t>
      </w:r>
    </w:p>
    <w:p>
      <w:pPr>
        <w:snapToGrid w:val="0"/>
        <w:spacing w:line="420" w:lineRule="exact"/>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（10）违约责任</w:t>
      </w:r>
    </w:p>
    <w:p>
      <w:pPr>
        <w:snapToGrid w:val="0"/>
        <w:spacing w:line="420" w:lineRule="exact"/>
        <w:ind w:firstLine="480" w:firstLineChars="200"/>
        <w:rPr>
          <w:rFonts w:hint="eastAsia" w:ascii="宋体" w:hAnsi="宋体" w:eastAsia="宋体" w:cs="宋体"/>
          <w:b/>
          <w:sz w:val="24"/>
          <w:szCs w:val="24"/>
          <w:lang w:val="en-GB"/>
        </w:rPr>
      </w:pPr>
      <w:r>
        <w:rPr>
          <w:rFonts w:hint="eastAsia" w:ascii="宋体" w:hAnsi="宋体" w:eastAsia="宋体" w:cs="宋体"/>
          <w:sz w:val="24"/>
          <w:szCs w:val="24"/>
          <w:lang w:val="en-GB"/>
        </w:rPr>
        <w:t>（11）其他（结合评审办法自行编制）</w:t>
      </w:r>
    </w:p>
    <w:p>
      <w:pPr>
        <w:pStyle w:val="14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14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144"/>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说明：供应商在编制本部分内容时，须根据本磋商文件要求并自行完善。</w:t>
      </w:r>
    </w:p>
    <w:p>
      <w:pPr>
        <w:pStyle w:val="144"/>
        <w:adjustRightInd w:val="0"/>
        <w:snapToGrid w:val="0"/>
        <w:spacing w:line="360" w:lineRule="auto"/>
        <w:jc w:val="center"/>
        <w:outlineLvl w:val="2"/>
        <w:rPr>
          <w:rFonts w:hint="eastAsia" w:ascii="宋体" w:hAnsi="宋体" w:eastAsia="宋体" w:cs="宋体"/>
          <w:sz w:val="24"/>
          <w:szCs w:val="24"/>
        </w:rPr>
      </w:pPr>
      <w:r>
        <w:rPr>
          <w:rFonts w:hint="eastAsia" w:ascii="宋体" w:hAnsi="宋体" w:eastAsia="宋体" w:cs="宋体"/>
          <w:sz w:val="24"/>
          <w:szCs w:val="24"/>
        </w:rPr>
        <w:br w:type="page"/>
      </w:r>
      <w:bookmarkStart w:id="481" w:name="_Toc76479643"/>
      <w:bookmarkStart w:id="482" w:name="_Toc76680648"/>
      <w:bookmarkStart w:id="483" w:name="_Toc76665169"/>
      <w:bookmarkStart w:id="484" w:name="_Toc96426886"/>
      <w:bookmarkStart w:id="485" w:name="_Toc106384028"/>
      <w:bookmarkStart w:id="486" w:name="_Toc97051826"/>
      <w:bookmarkStart w:id="487" w:name="_Toc4955"/>
      <w:r>
        <w:rPr>
          <w:rFonts w:hint="eastAsia" w:ascii="宋体" w:hAnsi="宋体" w:eastAsia="宋体" w:cs="宋体"/>
          <w:b/>
          <w:kern w:val="0"/>
          <w:sz w:val="24"/>
          <w:szCs w:val="24"/>
        </w:rPr>
        <w:t>（三）</w:t>
      </w:r>
      <w:bookmarkEnd w:id="481"/>
      <w:bookmarkStart w:id="488" w:name="_Toc76479644"/>
      <w:r>
        <w:rPr>
          <w:rFonts w:hint="eastAsia" w:ascii="宋体" w:hAnsi="宋体" w:eastAsia="宋体" w:cs="宋体"/>
          <w:b/>
          <w:kern w:val="0"/>
          <w:sz w:val="24"/>
          <w:szCs w:val="24"/>
        </w:rPr>
        <w:t>供应商认为需要</w:t>
      </w:r>
      <w:bookmarkEnd w:id="488"/>
      <w:r>
        <w:rPr>
          <w:rFonts w:hint="eastAsia" w:ascii="宋体" w:hAnsi="宋体" w:eastAsia="宋体" w:cs="宋体"/>
          <w:b/>
          <w:kern w:val="0"/>
          <w:sz w:val="24"/>
          <w:szCs w:val="24"/>
        </w:rPr>
        <w:t>说明的其他技术方案</w:t>
      </w:r>
      <w:bookmarkEnd w:id="482"/>
      <w:bookmarkEnd w:id="483"/>
      <w:bookmarkEnd w:id="484"/>
      <w:bookmarkEnd w:id="485"/>
      <w:bookmarkEnd w:id="486"/>
      <w:bookmarkEnd w:id="487"/>
    </w:p>
    <w:p>
      <w:pPr>
        <w:pStyle w:val="150"/>
        <w:snapToGrid w:val="0"/>
        <w:spacing w:line="360" w:lineRule="auto"/>
        <w:rPr>
          <w:rFonts w:hint="eastAsia" w:ascii="宋体" w:hAnsi="宋体" w:eastAsia="宋体" w:cs="宋体"/>
          <w:sz w:val="24"/>
          <w:szCs w:val="24"/>
        </w:rPr>
      </w:pPr>
    </w:p>
    <w:p>
      <w:pPr>
        <w:pStyle w:val="150"/>
        <w:snapToGrid w:val="0"/>
        <w:spacing w:line="360" w:lineRule="auto"/>
        <w:jc w:val="center"/>
        <w:outlineLvl w:val="0"/>
        <w:rPr>
          <w:rFonts w:hint="eastAsia" w:ascii="宋体" w:hAnsi="宋体" w:eastAsia="宋体" w:cs="宋体"/>
          <w:sz w:val="24"/>
          <w:szCs w:val="24"/>
        </w:rPr>
      </w:pPr>
      <w:bookmarkStart w:id="489" w:name="_Toc11467"/>
      <w:r>
        <w:rPr>
          <w:rFonts w:hint="eastAsia" w:ascii="宋体" w:hAnsi="宋体" w:eastAsia="宋体" w:cs="宋体"/>
          <w:sz w:val="24"/>
          <w:szCs w:val="24"/>
        </w:rPr>
        <w:t>供应商认为需要提交的其他说明格式自拟</w:t>
      </w:r>
      <w:bookmarkEnd w:id="261"/>
      <w:bookmarkEnd w:id="489"/>
    </w:p>
    <w:bookmarkEnd w:id="262"/>
    <w:p>
      <w:pPr>
        <w:snapToGrid w:val="0"/>
        <w:spacing w:line="360" w:lineRule="auto"/>
        <w:rPr>
          <w:rFonts w:hint="eastAsia" w:ascii="宋体" w:hAnsi="宋体" w:eastAsia="宋体" w:cs="宋体"/>
          <w:sz w:val="24"/>
          <w:szCs w:val="24"/>
        </w:rPr>
      </w:pPr>
    </w:p>
    <w:sectPr>
      <w:headerReference r:id="rId10" w:type="default"/>
      <w:footerReference r:id="rId11"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550AA"/>
    <w:multiLevelType w:val="singleLevel"/>
    <w:tmpl w:val="A9F550A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2M2ZDk4MzcyZDc5ZTAwOWVlOWI5YzQ1NDE0ZWEifQ=="/>
  </w:docVars>
  <w:rsids>
    <w:rsidRoot w:val="00A53F79"/>
    <w:rsid w:val="00000211"/>
    <w:rsid w:val="00007884"/>
    <w:rsid w:val="00011EC0"/>
    <w:rsid w:val="0001553C"/>
    <w:rsid w:val="00016432"/>
    <w:rsid w:val="000166B7"/>
    <w:rsid w:val="00016D22"/>
    <w:rsid w:val="000235CC"/>
    <w:rsid w:val="000242A7"/>
    <w:rsid w:val="0002435D"/>
    <w:rsid w:val="00024D15"/>
    <w:rsid w:val="00025A78"/>
    <w:rsid w:val="00025BA3"/>
    <w:rsid w:val="00025CF3"/>
    <w:rsid w:val="00025D46"/>
    <w:rsid w:val="00027113"/>
    <w:rsid w:val="000332AF"/>
    <w:rsid w:val="00037ADB"/>
    <w:rsid w:val="00041D90"/>
    <w:rsid w:val="00042BB1"/>
    <w:rsid w:val="00061AC6"/>
    <w:rsid w:val="00070546"/>
    <w:rsid w:val="00071369"/>
    <w:rsid w:val="000822E7"/>
    <w:rsid w:val="0008244D"/>
    <w:rsid w:val="00087C91"/>
    <w:rsid w:val="00091377"/>
    <w:rsid w:val="00092188"/>
    <w:rsid w:val="000927E3"/>
    <w:rsid w:val="00097F36"/>
    <w:rsid w:val="000A0B77"/>
    <w:rsid w:val="000A1307"/>
    <w:rsid w:val="000A24EB"/>
    <w:rsid w:val="000A6243"/>
    <w:rsid w:val="000A7B70"/>
    <w:rsid w:val="000B15F2"/>
    <w:rsid w:val="000B3B2A"/>
    <w:rsid w:val="000C53D0"/>
    <w:rsid w:val="000C561B"/>
    <w:rsid w:val="000C65E6"/>
    <w:rsid w:val="000D0B5B"/>
    <w:rsid w:val="000D194A"/>
    <w:rsid w:val="000D1DD8"/>
    <w:rsid w:val="000D6B72"/>
    <w:rsid w:val="000D7755"/>
    <w:rsid w:val="000E2140"/>
    <w:rsid w:val="000E341B"/>
    <w:rsid w:val="000E3CBD"/>
    <w:rsid w:val="000E3D78"/>
    <w:rsid w:val="000F19A0"/>
    <w:rsid w:val="000F300A"/>
    <w:rsid w:val="000F7A31"/>
    <w:rsid w:val="0010008B"/>
    <w:rsid w:val="001021FB"/>
    <w:rsid w:val="00103996"/>
    <w:rsid w:val="00110885"/>
    <w:rsid w:val="001126B0"/>
    <w:rsid w:val="00112A74"/>
    <w:rsid w:val="0011337D"/>
    <w:rsid w:val="00121C08"/>
    <w:rsid w:val="00122F4F"/>
    <w:rsid w:val="00137AF4"/>
    <w:rsid w:val="00140D4B"/>
    <w:rsid w:val="00141513"/>
    <w:rsid w:val="00145D54"/>
    <w:rsid w:val="0015725E"/>
    <w:rsid w:val="00160288"/>
    <w:rsid w:val="00160E32"/>
    <w:rsid w:val="00162E25"/>
    <w:rsid w:val="00164561"/>
    <w:rsid w:val="00173CE6"/>
    <w:rsid w:val="00173CF2"/>
    <w:rsid w:val="001778F5"/>
    <w:rsid w:val="0018141A"/>
    <w:rsid w:val="00183971"/>
    <w:rsid w:val="001859C9"/>
    <w:rsid w:val="001866F6"/>
    <w:rsid w:val="00187DDA"/>
    <w:rsid w:val="00187FE0"/>
    <w:rsid w:val="00192CC8"/>
    <w:rsid w:val="00194D1B"/>
    <w:rsid w:val="001A07B4"/>
    <w:rsid w:val="001A6766"/>
    <w:rsid w:val="001B5EF7"/>
    <w:rsid w:val="001B6097"/>
    <w:rsid w:val="001B6FE5"/>
    <w:rsid w:val="001C2656"/>
    <w:rsid w:val="001C3B55"/>
    <w:rsid w:val="001C4840"/>
    <w:rsid w:val="001C7D68"/>
    <w:rsid w:val="001D1A7E"/>
    <w:rsid w:val="001D1E15"/>
    <w:rsid w:val="001D1E77"/>
    <w:rsid w:val="001D2DD5"/>
    <w:rsid w:val="001D3E8C"/>
    <w:rsid w:val="001D481A"/>
    <w:rsid w:val="001D5FEE"/>
    <w:rsid w:val="001D7B63"/>
    <w:rsid w:val="001E07D9"/>
    <w:rsid w:val="001E233E"/>
    <w:rsid w:val="001E3C61"/>
    <w:rsid w:val="001E5C0A"/>
    <w:rsid w:val="001E68D4"/>
    <w:rsid w:val="001E7AF5"/>
    <w:rsid w:val="001F4853"/>
    <w:rsid w:val="001F4A45"/>
    <w:rsid w:val="001F6710"/>
    <w:rsid w:val="001F788C"/>
    <w:rsid w:val="00200767"/>
    <w:rsid w:val="00202667"/>
    <w:rsid w:val="0020530B"/>
    <w:rsid w:val="00205369"/>
    <w:rsid w:val="0021480A"/>
    <w:rsid w:val="00221606"/>
    <w:rsid w:val="0022594D"/>
    <w:rsid w:val="002271BE"/>
    <w:rsid w:val="00237492"/>
    <w:rsid w:val="0024019B"/>
    <w:rsid w:val="00244731"/>
    <w:rsid w:val="00245277"/>
    <w:rsid w:val="00246885"/>
    <w:rsid w:val="00254AE9"/>
    <w:rsid w:val="0025566F"/>
    <w:rsid w:val="00261A4B"/>
    <w:rsid w:val="0026331A"/>
    <w:rsid w:val="002708D2"/>
    <w:rsid w:val="00271EE5"/>
    <w:rsid w:val="00272A36"/>
    <w:rsid w:val="002758EA"/>
    <w:rsid w:val="00275C07"/>
    <w:rsid w:val="00276690"/>
    <w:rsid w:val="00281462"/>
    <w:rsid w:val="0028248F"/>
    <w:rsid w:val="00284343"/>
    <w:rsid w:val="002A20D8"/>
    <w:rsid w:val="002B0430"/>
    <w:rsid w:val="002B1FC0"/>
    <w:rsid w:val="002B391A"/>
    <w:rsid w:val="002B53D1"/>
    <w:rsid w:val="002B55D2"/>
    <w:rsid w:val="002C537A"/>
    <w:rsid w:val="002C7D9B"/>
    <w:rsid w:val="002C7DE5"/>
    <w:rsid w:val="002D03FD"/>
    <w:rsid w:val="002D42B7"/>
    <w:rsid w:val="002E30B6"/>
    <w:rsid w:val="002E4677"/>
    <w:rsid w:val="002E5787"/>
    <w:rsid w:val="002F1940"/>
    <w:rsid w:val="002F4631"/>
    <w:rsid w:val="002F4F7C"/>
    <w:rsid w:val="002F5314"/>
    <w:rsid w:val="00306F63"/>
    <w:rsid w:val="003072C7"/>
    <w:rsid w:val="003125FA"/>
    <w:rsid w:val="00314D28"/>
    <w:rsid w:val="0032480D"/>
    <w:rsid w:val="00325973"/>
    <w:rsid w:val="00325993"/>
    <w:rsid w:val="00326529"/>
    <w:rsid w:val="00331A13"/>
    <w:rsid w:val="00340E58"/>
    <w:rsid w:val="0035314F"/>
    <w:rsid w:val="0035464C"/>
    <w:rsid w:val="003557AA"/>
    <w:rsid w:val="00366591"/>
    <w:rsid w:val="00367E37"/>
    <w:rsid w:val="00370604"/>
    <w:rsid w:val="00370A4C"/>
    <w:rsid w:val="003748EE"/>
    <w:rsid w:val="0039383F"/>
    <w:rsid w:val="00393E88"/>
    <w:rsid w:val="003B1051"/>
    <w:rsid w:val="003C33D1"/>
    <w:rsid w:val="003C4087"/>
    <w:rsid w:val="003D2534"/>
    <w:rsid w:val="003D5254"/>
    <w:rsid w:val="003D7753"/>
    <w:rsid w:val="003E085D"/>
    <w:rsid w:val="003E4DD1"/>
    <w:rsid w:val="003E57E0"/>
    <w:rsid w:val="003E6DF8"/>
    <w:rsid w:val="003F2423"/>
    <w:rsid w:val="003F4931"/>
    <w:rsid w:val="003F7D56"/>
    <w:rsid w:val="00401ED9"/>
    <w:rsid w:val="004024CA"/>
    <w:rsid w:val="00403D6E"/>
    <w:rsid w:val="004042DC"/>
    <w:rsid w:val="00404EA8"/>
    <w:rsid w:val="00412A98"/>
    <w:rsid w:val="00414BF0"/>
    <w:rsid w:val="004156FB"/>
    <w:rsid w:val="00423CB6"/>
    <w:rsid w:val="00425F50"/>
    <w:rsid w:val="0042659A"/>
    <w:rsid w:val="0043370C"/>
    <w:rsid w:val="004345D5"/>
    <w:rsid w:val="00434870"/>
    <w:rsid w:val="00435343"/>
    <w:rsid w:val="0043589D"/>
    <w:rsid w:val="004371A1"/>
    <w:rsid w:val="0044209C"/>
    <w:rsid w:val="00452011"/>
    <w:rsid w:val="00453207"/>
    <w:rsid w:val="0045516B"/>
    <w:rsid w:val="00456E38"/>
    <w:rsid w:val="004572B2"/>
    <w:rsid w:val="00457B1F"/>
    <w:rsid w:val="004602B1"/>
    <w:rsid w:val="00462F82"/>
    <w:rsid w:val="0047335B"/>
    <w:rsid w:val="00475A1C"/>
    <w:rsid w:val="004801B2"/>
    <w:rsid w:val="00480458"/>
    <w:rsid w:val="004933C7"/>
    <w:rsid w:val="00494CA3"/>
    <w:rsid w:val="0049710A"/>
    <w:rsid w:val="004A45FA"/>
    <w:rsid w:val="004A7138"/>
    <w:rsid w:val="004C0C71"/>
    <w:rsid w:val="004C5F11"/>
    <w:rsid w:val="004D1627"/>
    <w:rsid w:val="004D2DAF"/>
    <w:rsid w:val="004D5401"/>
    <w:rsid w:val="004D74B4"/>
    <w:rsid w:val="004D7C30"/>
    <w:rsid w:val="004E0A41"/>
    <w:rsid w:val="004E23D8"/>
    <w:rsid w:val="004E35A5"/>
    <w:rsid w:val="004E387B"/>
    <w:rsid w:val="004E62EA"/>
    <w:rsid w:val="004F47F3"/>
    <w:rsid w:val="00514CD2"/>
    <w:rsid w:val="0051576B"/>
    <w:rsid w:val="00521B9D"/>
    <w:rsid w:val="00522B24"/>
    <w:rsid w:val="00523B7A"/>
    <w:rsid w:val="005302CB"/>
    <w:rsid w:val="00532A07"/>
    <w:rsid w:val="00537D3F"/>
    <w:rsid w:val="00547E26"/>
    <w:rsid w:val="00553BC3"/>
    <w:rsid w:val="00554D4F"/>
    <w:rsid w:val="005625B7"/>
    <w:rsid w:val="005705C8"/>
    <w:rsid w:val="0057143D"/>
    <w:rsid w:val="00574AA8"/>
    <w:rsid w:val="00576FC4"/>
    <w:rsid w:val="00593429"/>
    <w:rsid w:val="005A17A7"/>
    <w:rsid w:val="005B7B6D"/>
    <w:rsid w:val="005D2CEA"/>
    <w:rsid w:val="005D6AB5"/>
    <w:rsid w:val="005E0324"/>
    <w:rsid w:val="005E1FA8"/>
    <w:rsid w:val="005E42B5"/>
    <w:rsid w:val="005E6230"/>
    <w:rsid w:val="005E73F8"/>
    <w:rsid w:val="005F3FD2"/>
    <w:rsid w:val="005F61E7"/>
    <w:rsid w:val="0060499E"/>
    <w:rsid w:val="00606880"/>
    <w:rsid w:val="00606B1D"/>
    <w:rsid w:val="00611252"/>
    <w:rsid w:val="006177A1"/>
    <w:rsid w:val="00620E96"/>
    <w:rsid w:val="00625728"/>
    <w:rsid w:val="0062580E"/>
    <w:rsid w:val="0062734D"/>
    <w:rsid w:val="006300BF"/>
    <w:rsid w:val="00632300"/>
    <w:rsid w:val="00632CF6"/>
    <w:rsid w:val="00635524"/>
    <w:rsid w:val="00640530"/>
    <w:rsid w:val="00647610"/>
    <w:rsid w:val="00651E14"/>
    <w:rsid w:val="00651F0B"/>
    <w:rsid w:val="00664DCB"/>
    <w:rsid w:val="00664E85"/>
    <w:rsid w:val="00670585"/>
    <w:rsid w:val="006707DD"/>
    <w:rsid w:val="00671E09"/>
    <w:rsid w:val="00672E1F"/>
    <w:rsid w:val="00673FD3"/>
    <w:rsid w:val="00680497"/>
    <w:rsid w:val="00681EF3"/>
    <w:rsid w:val="0068447E"/>
    <w:rsid w:val="00686F30"/>
    <w:rsid w:val="00691BBF"/>
    <w:rsid w:val="0069343C"/>
    <w:rsid w:val="006943F8"/>
    <w:rsid w:val="00695DB6"/>
    <w:rsid w:val="006A373E"/>
    <w:rsid w:val="006A60D4"/>
    <w:rsid w:val="006B047C"/>
    <w:rsid w:val="006B7492"/>
    <w:rsid w:val="006C032B"/>
    <w:rsid w:val="006C2C78"/>
    <w:rsid w:val="006C2E42"/>
    <w:rsid w:val="006C2ED9"/>
    <w:rsid w:val="006C483A"/>
    <w:rsid w:val="006C5586"/>
    <w:rsid w:val="006D19E3"/>
    <w:rsid w:val="006D3FD5"/>
    <w:rsid w:val="006D565D"/>
    <w:rsid w:val="006D6826"/>
    <w:rsid w:val="006E280B"/>
    <w:rsid w:val="006E7E49"/>
    <w:rsid w:val="006F051B"/>
    <w:rsid w:val="006F14AB"/>
    <w:rsid w:val="006F43C4"/>
    <w:rsid w:val="006F4561"/>
    <w:rsid w:val="006F7078"/>
    <w:rsid w:val="00702016"/>
    <w:rsid w:val="00702AFB"/>
    <w:rsid w:val="0071251D"/>
    <w:rsid w:val="007131BE"/>
    <w:rsid w:val="00715926"/>
    <w:rsid w:val="00715CBC"/>
    <w:rsid w:val="00716206"/>
    <w:rsid w:val="00723905"/>
    <w:rsid w:val="00731FD4"/>
    <w:rsid w:val="00737BAE"/>
    <w:rsid w:val="00745BBB"/>
    <w:rsid w:val="00746343"/>
    <w:rsid w:val="00747A7A"/>
    <w:rsid w:val="007508D5"/>
    <w:rsid w:val="00751514"/>
    <w:rsid w:val="007577A0"/>
    <w:rsid w:val="00761B12"/>
    <w:rsid w:val="00761E72"/>
    <w:rsid w:val="007668A9"/>
    <w:rsid w:val="00772A69"/>
    <w:rsid w:val="007737B7"/>
    <w:rsid w:val="00786E43"/>
    <w:rsid w:val="0079247E"/>
    <w:rsid w:val="00792932"/>
    <w:rsid w:val="007B0985"/>
    <w:rsid w:val="007C6D2F"/>
    <w:rsid w:val="007D2F8C"/>
    <w:rsid w:val="007D6E44"/>
    <w:rsid w:val="007D6E66"/>
    <w:rsid w:val="007E0C93"/>
    <w:rsid w:val="007E1DD4"/>
    <w:rsid w:val="007E3ED4"/>
    <w:rsid w:val="007E6A61"/>
    <w:rsid w:val="007F06C5"/>
    <w:rsid w:val="007F0C53"/>
    <w:rsid w:val="007F0C6D"/>
    <w:rsid w:val="007F0ED4"/>
    <w:rsid w:val="007F29B9"/>
    <w:rsid w:val="007F5D61"/>
    <w:rsid w:val="007F744D"/>
    <w:rsid w:val="0080015D"/>
    <w:rsid w:val="00803C74"/>
    <w:rsid w:val="00811FAD"/>
    <w:rsid w:val="00813D32"/>
    <w:rsid w:val="00815CE5"/>
    <w:rsid w:val="008250C5"/>
    <w:rsid w:val="00826A7E"/>
    <w:rsid w:val="00827836"/>
    <w:rsid w:val="00830ECA"/>
    <w:rsid w:val="00835B4C"/>
    <w:rsid w:val="00835FF1"/>
    <w:rsid w:val="00843F53"/>
    <w:rsid w:val="00847E5E"/>
    <w:rsid w:val="00851FFE"/>
    <w:rsid w:val="00862108"/>
    <w:rsid w:val="00862293"/>
    <w:rsid w:val="0086311A"/>
    <w:rsid w:val="00866BA1"/>
    <w:rsid w:val="008673F4"/>
    <w:rsid w:val="0087152F"/>
    <w:rsid w:val="008732A7"/>
    <w:rsid w:val="0087687D"/>
    <w:rsid w:val="00876DB7"/>
    <w:rsid w:val="00884994"/>
    <w:rsid w:val="00892072"/>
    <w:rsid w:val="0089753A"/>
    <w:rsid w:val="008A313C"/>
    <w:rsid w:val="008A5BDD"/>
    <w:rsid w:val="008B231E"/>
    <w:rsid w:val="008B6C77"/>
    <w:rsid w:val="008C2F83"/>
    <w:rsid w:val="008D13D0"/>
    <w:rsid w:val="008D1D85"/>
    <w:rsid w:val="008D28D5"/>
    <w:rsid w:val="008D2D9B"/>
    <w:rsid w:val="008D5171"/>
    <w:rsid w:val="008E5632"/>
    <w:rsid w:val="008F3133"/>
    <w:rsid w:val="008F5580"/>
    <w:rsid w:val="008F5843"/>
    <w:rsid w:val="00902C3C"/>
    <w:rsid w:val="00904AF3"/>
    <w:rsid w:val="009115E1"/>
    <w:rsid w:val="00912420"/>
    <w:rsid w:val="009146CC"/>
    <w:rsid w:val="00925B83"/>
    <w:rsid w:val="009349E1"/>
    <w:rsid w:val="00937B29"/>
    <w:rsid w:val="009415D2"/>
    <w:rsid w:val="009510FE"/>
    <w:rsid w:val="009513A9"/>
    <w:rsid w:val="009525B1"/>
    <w:rsid w:val="0095345D"/>
    <w:rsid w:val="009535AB"/>
    <w:rsid w:val="00955035"/>
    <w:rsid w:val="009551E7"/>
    <w:rsid w:val="00955D0D"/>
    <w:rsid w:val="00955E7F"/>
    <w:rsid w:val="00955FB4"/>
    <w:rsid w:val="00960821"/>
    <w:rsid w:val="00964884"/>
    <w:rsid w:val="009672EF"/>
    <w:rsid w:val="0096773B"/>
    <w:rsid w:val="0097443B"/>
    <w:rsid w:val="00974C89"/>
    <w:rsid w:val="009804F2"/>
    <w:rsid w:val="00981554"/>
    <w:rsid w:val="009820E4"/>
    <w:rsid w:val="00985946"/>
    <w:rsid w:val="00996403"/>
    <w:rsid w:val="00997130"/>
    <w:rsid w:val="009A273E"/>
    <w:rsid w:val="009A5F00"/>
    <w:rsid w:val="009B1B54"/>
    <w:rsid w:val="009B4C55"/>
    <w:rsid w:val="009B51BF"/>
    <w:rsid w:val="009B63D9"/>
    <w:rsid w:val="009B7936"/>
    <w:rsid w:val="009C274B"/>
    <w:rsid w:val="009C4278"/>
    <w:rsid w:val="009C4374"/>
    <w:rsid w:val="009C6FF1"/>
    <w:rsid w:val="009D14CD"/>
    <w:rsid w:val="009D3D1F"/>
    <w:rsid w:val="009D6A7F"/>
    <w:rsid w:val="009D7D5E"/>
    <w:rsid w:val="009E0267"/>
    <w:rsid w:val="009E2CD2"/>
    <w:rsid w:val="009E7037"/>
    <w:rsid w:val="009F1B3D"/>
    <w:rsid w:val="009F5FAB"/>
    <w:rsid w:val="009F7DD7"/>
    <w:rsid w:val="009F7DE0"/>
    <w:rsid w:val="00A07AF1"/>
    <w:rsid w:val="00A12DDC"/>
    <w:rsid w:val="00A15188"/>
    <w:rsid w:val="00A16C3B"/>
    <w:rsid w:val="00A177EB"/>
    <w:rsid w:val="00A25157"/>
    <w:rsid w:val="00A34AA3"/>
    <w:rsid w:val="00A4040D"/>
    <w:rsid w:val="00A42DF4"/>
    <w:rsid w:val="00A47D5C"/>
    <w:rsid w:val="00A53F79"/>
    <w:rsid w:val="00A54405"/>
    <w:rsid w:val="00A57164"/>
    <w:rsid w:val="00A60FAF"/>
    <w:rsid w:val="00A75B21"/>
    <w:rsid w:val="00A77B49"/>
    <w:rsid w:val="00A80F90"/>
    <w:rsid w:val="00A845F0"/>
    <w:rsid w:val="00A85181"/>
    <w:rsid w:val="00A91EBC"/>
    <w:rsid w:val="00A91F79"/>
    <w:rsid w:val="00A93D25"/>
    <w:rsid w:val="00A94FA7"/>
    <w:rsid w:val="00AA2EA9"/>
    <w:rsid w:val="00AA4465"/>
    <w:rsid w:val="00AC1413"/>
    <w:rsid w:val="00AC3DB0"/>
    <w:rsid w:val="00AC4BCE"/>
    <w:rsid w:val="00AC5980"/>
    <w:rsid w:val="00AD4DE0"/>
    <w:rsid w:val="00AD537D"/>
    <w:rsid w:val="00AD605F"/>
    <w:rsid w:val="00AD747B"/>
    <w:rsid w:val="00AE1A64"/>
    <w:rsid w:val="00AE5A09"/>
    <w:rsid w:val="00AE6275"/>
    <w:rsid w:val="00AE78B9"/>
    <w:rsid w:val="00AF3788"/>
    <w:rsid w:val="00AF4ADB"/>
    <w:rsid w:val="00AF5F85"/>
    <w:rsid w:val="00B046A1"/>
    <w:rsid w:val="00B10F2C"/>
    <w:rsid w:val="00B12CEB"/>
    <w:rsid w:val="00B1333B"/>
    <w:rsid w:val="00B169EE"/>
    <w:rsid w:val="00B215ED"/>
    <w:rsid w:val="00B22A38"/>
    <w:rsid w:val="00B24F6B"/>
    <w:rsid w:val="00B30C0D"/>
    <w:rsid w:val="00B30E91"/>
    <w:rsid w:val="00B31C11"/>
    <w:rsid w:val="00B3271F"/>
    <w:rsid w:val="00B349BB"/>
    <w:rsid w:val="00B34E04"/>
    <w:rsid w:val="00B37938"/>
    <w:rsid w:val="00B436F9"/>
    <w:rsid w:val="00B543EB"/>
    <w:rsid w:val="00B550CB"/>
    <w:rsid w:val="00B60984"/>
    <w:rsid w:val="00B63B0B"/>
    <w:rsid w:val="00B72F61"/>
    <w:rsid w:val="00B82DD0"/>
    <w:rsid w:val="00B92C2D"/>
    <w:rsid w:val="00B9435E"/>
    <w:rsid w:val="00B9759C"/>
    <w:rsid w:val="00B976AE"/>
    <w:rsid w:val="00B97BD2"/>
    <w:rsid w:val="00BA36BB"/>
    <w:rsid w:val="00BA3BBA"/>
    <w:rsid w:val="00BB3B02"/>
    <w:rsid w:val="00BB56F9"/>
    <w:rsid w:val="00BB7E4B"/>
    <w:rsid w:val="00BC0EC0"/>
    <w:rsid w:val="00BC14AB"/>
    <w:rsid w:val="00BC27C8"/>
    <w:rsid w:val="00BD032B"/>
    <w:rsid w:val="00BD2D39"/>
    <w:rsid w:val="00BD318C"/>
    <w:rsid w:val="00BE07CE"/>
    <w:rsid w:val="00BE0D6D"/>
    <w:rsid w:val="00BE1064"/>
    <w:rsid w:val="00BE5DDB"/>
    <w:rsid w:val="00BE6343"/>
    <w:rsid w:val="00BF38A3"/>
    <w:rsid w:val="00BF6163"/>
    <w:rsid w:val="00BF6245"/>
    <w:rsid w:val="00BF673D"/>
    <w:rsid w:val="00BF6EED"/>
    <w:rsid w:val="00C02D40"/>
    <w:rsid w:val="00C033FE"/>
    <w:rsid w:val="00C15E8E"/>
    <w:rsid w:val="00C210A4"/>
    <w:rsid w:val="00C210E7"/>
    <w:rsid w:val="00C25A52"/>
    <w:rsid w:val="00C3536C"/>
    <w:rsid w:val="00C35803"/>
    <w:rsid w:val="00C40A70"/>
    <w:rsid w:val="00C41A95"/>
    <w:rsid w:val="00C4635A"/>
    <w:rsid w:val="00C5021C"/>
    <w:rsid w:val="00C51EFA"/>
    <w:rsid w:val="00C53852"/>
    <w:rsid w:val="00C63FE9"/>
    <w:rsid w:val="00C6505B"/>
    <w:rsid w:val="00C707A7"/>
    <w:rsid w:val="00C72F4D"/>
    <w:rsid w:val="00C7372C"/>
    <w:rsid w:val="00C762D6"/>
    <w:rsid w:val="00C93707"/>
    <w:rsid w:val="00C97EEA"/>
    <w:rsid w:val="00CA251E"/>
    <w:rsid w:val="00CA52BF"/>
    <w:rsid w:val="00CB1C1D"/>
    <w:rsid w:val="00CC6150"/>
    <w:rsid w:val="00CD0CA3"/>
    <w:rsid w:val="00CE3CCE"/>
    <w:rsid w:val="00CE41C3"/>
    <w:rsid w:val="00CE64AE"/>
    <w:rsid w:val="00CF25FB"/>
    <w:rsid w:val="00CF2B84"/>
    <w:rsid w:val="00D00631"/>
    <w:rsid w:val="00D010C5"/>
    <w:rsid w:val="00D016FF"/>
    <w:rsid w:val="00D03344"/>
    <w:rsid w:val="00D03E0D"/>
    <w:rsid w:val="00D12F26"/>
    <w:rsid w:val="00D14BF7"/>
    <w:rsid w:val="00D1533E"/>
    <w:rsid w:val="00D17F8D"/>
    <w:rsid w:val="00D32D23"/>
    <w:rsid w:val="00D3333E"/>
    <w:rsid w:val="00D33AEC"/>
    <w:rsid w:val="00D344D7"/>
    <w:rsid w:val="00D428C7"/>
    <w:rsid w:val="00D4334D"/>
    <w:rsid w:val="00D43974"/>
    <w:rsid w:val="00D44826"/>
    <w:rsid w:val="00D47DEE"/>
    <w:rsid w:val="00D52C30"/>
    <w:rsid w:val="00D5551B"/>
    <w:rsid w:val="00D56ABA"/>
    <w:rsid w:val="00D62562"/>
    <w:rsid w:val="00D63D9F"/>
    <w:rsid w:val="00D73E26"/>
    <w:rsid w:val="00D75729"/>
    <w:rsid w:val="00D77B5F"/>
    <w:rsid w:val="00D80DDF"/>
    <w:rsid w:val="00D830DF"/>
    <w:rsid w:val="00D846CA"/>
    <w:rsid w:val="00D87F87"/>
    <w:rsid w:val="00D87F94"/>
    <w:rsid w:val="00D94FEE"/>
    <w:rsid w:val="00DA014A"/>
    <w:rsid w:val="00DA6B96"/>
    <w:rsid w:val="00DB0A31"/>
    <w:rsid w:val="00DB2A72"/>
    <w:rsid w:val="00DB3E89"/>
    <w:rsid w:val="00DB47BA"/>
    <w:rsid w:val="00DC5CB2"/>
    <w:rsid w:val="00DC7A8A"/>
    <w:rsid w:val="00DD0C8B"/>
    <w:rsid w:val="00DD334E"/>
    <w:rsid w:val="00DD4D6F"/>
    <w:rsid w:val="00DE168C"/>
    <w:rsid w:val="00DE1BE7"/>
    <w:rsid w:val="00DE348B"/>
    <w:rsid w:val="00E001EA"/>
    <w:rsid w:val="00E034B1"/>
    <w:rsid w:val="00E053D3"/>
    <w:rsid w:val="00E075E5"/>
    <w:rsid w:val="00E14686"/>
    <w:rsid w:val="00E27751"/>
    <w:rsid w:val="00E27940"/>
    <w:rsid w:val="00E30BBE"/>
    <w:rsid w:val="00E323E1"/>
    <w:rsid w:val="00E329DD"/>
    <w:rsid w:val="00E346C4"/>
    <w:rsid w:val="00E440E3"/>
    <w:rsid w:val="00E469DF"/>
    <w:rsid w:val="00E50A67"/>
    <w:rsid w:val="00E53C0B"/>
    <w:rsid w:val="00E634D9"/>
    <w:rsid w:val="00E664E3"/>
    <w:rsid w:val="00E6664A"/>
    <w:rsid w:val="00E70483"/>
    <w:rsid w:val="00E7176A"/>
    <w:rsid w:val="00E76BEC"/>
    <w:rsid w:val="00E76FB1"/>
    <w:rsid w:val="00E77984"/>
    <w:rsid w:val="00E83271"/>
    <w:rsid w:val="00E96A7D"/>
    <w:rsid w:val="00EA1E5D"/>
    <w:rsid w:val="00EA395A"/>
    <w:rsid w:val="00EA55C6"/>
    <w:rsid w:val="00EB400C"/>
    <w:rsid w:val="00EB5788"/>
    <w:rsid w:val="00EC2968"/>
    <w:rsid w:val="00EC300E"/>
    <w:rsid w:val="00EC60F0"/>
    <w:rsid w:val="00EC6E43"/>
    <w:rsid w:val="00ED2A43"/>
    <w:rsid w:val="00ED4F4A"/>
    <w:rsid w:val="00ED5027"/>
    <w:rsid w:val="00EE1B9B"/>
    <w:rsid w:val="00EE392D"/>
    <w:rsid w:val="00EE6D2B"/>
    <w:rsid w:val="00F02C35"/>
    <w:rsid w:val="00F03794"/>
    <w:rsid w:val="00F051DC"/>
    <w:rsid w:val="00F21447"/>
    <w:rsid w:val="00F22C5B"/>
    <w:rsid w:val="00F23AB3"/>
    <w:rsid w:val="00F26307"/>
    <w:rsid w:val="00F31DDF"/>
    <w:rsid w:val="00F33BEA"/>
    <w:rsid w:val="00F34390"/>
    <w:rsid w:val="00F366C5"/>
    <w:rsid w:val="00F37358"/>
    <w:rsid w:val="00F40AED"/>
    <w:rsid w:val="00F4502C"/>
    <w:rsid w:val="00F45B65"/>
    <w:rsid w:val="00F5112D"/>
    <w:rsid w:val="00F53187"/>
    <w:rsid w:val="00F55CC4"/>
    <w:rsid w:val="00F579B8"/>
    <w:rsid w:val="00F57CEE"/>
    <w:rsid w:val="00F62B34"/>
    <w:rsid w:val="00F657C6"/>
    <w:rsid w:val="00F81C05"/>
    <w:rsid w:val="00F87F3F"/>
    <w:rsid w:val="00F905B0"/>
    <w:rsid w:val="00FA09D8"/>
    <w:rsid w:val="00FA42CE"/>
    <w:rsid w:val="00FA6427"/>
    <w:rsid w:val="00FA670B"/>
    <w:rsid w:val="00FA6791"/>
    <w:rsid w:val="00FB441F"/>
    <w:rsid w:val="00FB6FC2"/>
    <w:rsid w:val="00FC0653"/>
    <w:rsid w:val="00FC2FA6"/>
    <w:rsid w:val="00FC50A8"/>
    <w:rsid w:val="00FC56E8"/>
    <w:rsid w:val="00FC59BD"/>
    <w:rsid w:val="00FC7604"/>
    <w:rsid w:val="00FD01F8"/>
    <w:rsid w:val="00FD07FE"/>
    <w:rsid w:val="00FD08A3"/>
    <w:rsid w:val="00FD08F5"/>
    <w:rsid w:val="00FD2D7A"/>
    <w:rsid w:val="00FD42C2"/>
    <w:rsid w:val="00FE05F8"/>
    <w:rsid w:val="00FE2C06"/>
    <w:rsid w:val="00FE3D29"/>
    <w:rsid w:val="00FE3D8E"/>
    <w:rsid w:val="00FE51F5"/>
    <w:rsid w:val="00FE70FD"/>
    <w:rsid w:val="00FF62DA"/>
    <w:rsid w:val="01995B0E"/>
    <w:rsid w:val="02261AE8"/>
    <w:rsid w:val="02A3497F"/>
    <w:rsid w:val="02EB2654"/>
    <w:rsid w:val="02ED7EC0"/>
    <w:rsid w:val="02FF5E45"/>
    <w:rsid w:val="03190CB5"/>
    <w:rsid w:val="033755DF"/>
    <w:rsid w:val="034A5312"/>
    <w:rsid w:val="0413049A"/>
    <w:rsid w:val="04D550AF"/>
    <w:rsid w:val="068D252B"/>
    <w:rsid w:val="07D258D6"/>
    <w:rsid w:val="08914953"/>
    <w:rsid w:val="09A72E3C"/>
    <w:rsid w:val="09C0632E"/>
    <w:rsid w:val="09F57C5D"/>
    <w:rsid w:val="0A0F2E11"/>
    <w:rsid w:val="0A583533"/>
    <w:rsid w:val="0AA30A0F"/>
    <w:rsid w:val="0B252643"/>
    <w:rsid w:val="0B5906BF"/>
    <w:rsid w:val="0BB23B12"/>
    <w:rsid w:val="0D350DE1"/>
    <w:rsid w:val="0DB75979"/>
    <w:rsid w:val="0DE769C2"/>
    <w:rsid w:val="0E820056"/>
    <w:rsid w:val="0FF56606"/>
    <w:rsid w:val="10287273"/>
    <w:rsid w:val="10961B97"/>
    <w:rsid w:val="111D4636"/>
    <w:rsid w:val="132316DC"/>
    <w:rsid w:val="136441CE"/>
    <w:rsid w:val="13B011C1"/>
    <w:rsid w:val="14056A38"/>
    <w:rsid w:val="14264FE0"/>
    <w:rsid w:val="143D47BD"/>
    <w:rsid w:val="14657703"/>
    <w:rsid w:val="14A8633C"/>
    <w:rsid w:val="14AD5701"/>
    <w:rsid w:val="159E3436"/>
    <w:rsid w:val="15A20FDE"/>
    <w:rsid w:val="15CE1DD3"/>
    <w:rsid w:val="16E66CA8"/>
    <w:rsid w:val="1740460A"/>
    <w:rsid w:val="176E561B"/>
    <w:rsid w:val="17AC7EF2"/>
    <w:rsid w:val="17C22F1C"/>
    <w:rsid w:val="17CA7496"/>
    <w:rsid w:val="17D31922"/>
    <w:rsid w:val="18297794"/>
    <w:rsid w:val="184E0FA9"/>
    <w:rsid w:val="199B6470"/>
    <w:rsid w:val="1AAA0FE7"/>
    <w:rsid w:val="1AE96D67"/>
    <w:rsid w:val="1B514770"/>
    <w:rsid w:val="1BB12B9F"/>
    <w:rsid w:val="1CB3762C"/>
    <w:rsid w:val="1D300C7D"/>
    <w:rsid w:val="1D917260"/>
    <w:rsid w:val="1E020ED1"/>
    <w:rsid w:val="1E642BFF"/>
    <w:rsid w:val="1E982F7E"/>
    <w:rsid w:val="1EFC7478"/>
    <w:rsid w:val="20623843"/>
    <w:rsid w:val="20C05B9C"/>
    <w:rsid w:val="212149F5"/>
    <w:rsid w:val="212B2081"/>
    <w:rsid w:val="214A5F8F"/>
    <w:rsid w:val="21E40288"/>
    <w:rsid w:val="223B259E"/>
    <w:rsid w:val="23503E27"/>
    <w:rsid w:val="23887A65"/>
    <w:rsid w:val="25DA0320"/>
    <w:rsid w:val="263B7010"/>
    <w:rsid w:val="263E265D"/>
    <w:rsid w:val="26F60FF6"/>
    <w:rsid w:val="27297DD8"/>
    <w:rsid w:val="273659B5"/>
    <w:rsid w:val="28924EE2"/>
    <w:rsid w:val="291B4ED7"/>
    <w:rsid w:val="292540B4"/>
    <w:rsid w:val="296028EA"/>
    <w:rsid w:val="29985C84"/>
    <w:rsid w:val="2AE04491"/>
    <w:rsid w:val="2B634913"/>
    <w:rsid w:val="2B8D135F"/>
    <w:rsid w:val="2E4E18AB"/>
    <w:rsid w:val="2E8B21B7"/>
    <w:rsid w:val="2E9C2616"/>
    <w:rsid w:val="2EAD6658"/>
    <w:rsid w:val="2F6173BC"/>
    <w:rsid w:val="2F6A5FB0"/>
    <w:rsid w:val="303625F7"/>
    <w:rsid w:val="3251196A"/>
    <w:rsid w:val="3287538B"/>
    <w:rsid w:val="345B6BCD"/>
    <w:rsid w:val="34AD7A7E"/>
    <w:rsid w:val="35E5374D"/>
    <w:rsid w:val="36D73248"/>
    <w:rsid w:val="37920A5A"/>
    <w:rsid w:val="37FA03AE"/>
    <w:rsid w:val="385B0E4C"/>
    <w:rsid w:val="38682AFC"/>
    <w:rsid w:val="38F54FFF"/>
    <w:rsid w:val="393F635E"/>
    <w:rsid w:val="397F6DBC"/>
    <w:rsid w:val="39C173D5"/>
    <w:rsid w:val="3ADD6D7A"/>
    <w:rsid w:val="3B023089"/>
    <w:rsid w:val="3BA66882"/>
    <w:rsid w:val="3BD20421"/>
    <w:rsid w:val="3D097450"/>
    <w:rsid w:val="3DD11BB1"/>
    <w:rsid w:val="3DE25B6C"/>
    <w:rsid w:val="3E247F32"/>
    <w:rsid w:val="3E2A40FF"/>
    <w:rsid w:val="3EB5502E"/>
    <w:rsid w:val="3EC86B10"/>
    <w:rsid w:val="3F394BCD"/>
    <w:rsid w:val="3F9D5DF7"/>
    <w:rsid w:val="3FF925B4"/>
    <w:rsid w:val="40CD2B03"/>
    <w:rsid w:val="41D8023A"/>
    <w:rsid w:val="42043C88"/>
    <w:rsid w:val="42C868DE"/>
    <w:rsid w:val="43B07722"/>
    <w:rsid w:val="43C9396D"/>
    <w:rsid w:val="44A71D4A"/>
    <w:rsid w:val="454E6F30"/>
    <w:rsid w:val="45DC10F2"/>
    <w:rsid w:val="46004DE1"/>
    <w:rsid w:val="46DE7234"/>
    <w:rsid w:val="47336277"/>
    <w:rsid w:val="4803505C"/>
    <w:rsid w:val="488315CD"/>
    <w:rsid w:val="49267254"/>
    <w:rsid w:val="49D379D5"/>
    <w:rsid w:val="4A86704D"/>
    <w:rsid w:val="4BB5666E"/>
    <w:rsid w:val="4BBA1ED6"/>
    <w:rsid w:val="4C003D8D"/>
    <w:rsid w:val="4C2C4828"/>
    <w:rsid w:val="4C812CA7"/>
    <w:rsid w:val="4DF96CE5"/>
    <w:rsid w:val="4EB21418"/>
    <w:rsid w:val="4F4A531F"/>
    <w:rsid w:val="504D156B"/>
    <w:rsid w:val="508A631B"/>
    <w:rsid w:val="50B06974"/>
    <w:rsid w:val="50BB64D4"/>
    <w:rsid w:val="511107EA"/>
    <w:rsid w:val="516923D4"/>
    <w:rsid w:val="51FA3026"/>
    <w:rsid w:val="52195BA8"/>
    <w:rsid w:val="533407C0"/>
    <w:rsid w:val="5410444A"/>
    <w:rsid w:val="54926930"/>
    <w:rsid w:val="55342CF9"/>
    <w:rsid w:val="554841AE"/>
    <w:rsid w:val="56333146"/>
    <w:rsid w:val="573E1C0D"/>
    <w:rsid w:val="57805D82"/>
    <w:rsid w:val="57B378DE"/>
    <w:rsid w:val="57FD4AA3"/>
    <w:rsid w:val="59981AA8"/>
    <w:rsid w:val="5B280C0A"/>
    <w:rsid w:val="5BD743DE"/>
    <w:rsid w:val="5BEF70B5"/>
    <w:rsid w:val="5EFD0600"/>
    <w:rsid w:val="5FB707AE"/>
    <w:rsid w:val="60201890"/>
    <w:rsid w:val="60477D84"/>
    <w:rsid w:val="61135EB8"/>
    <w:rsid w:val="61A905CB"/>
    <w:rsid w:val="622A1D28"/>
    <w:rsid w:val="62764951"/>
    <w:rsid w:val="63332842"/>
    <w:rsid w:val="63E94CAF"/>
    <w:rsid w:val="63F162BD"/>
    <w:rsid w:val="63FA5FBC"/>
    <w:rsid w:val="644545DB"/>
    <w:rsid w:val="664B33D1"/>
    <w:rsid w:val="66C65B51"/>
    <w:rsid w:val="678B71D5"/>
    <w:rsid w:val="67F17AF5"/>
    <w:rsid w:val="68150768"/>
    <w:rsid w:val="683A5306"/>
    <w:rsid w:val="688F051A"/>
    <w:rsid w:val="68C3453A"/>
    <w:rsid w:val="6A0171F6"/>
    <w:rsid w:val="6A8120E5"/>
    <w:rsid w:val="6AEC4FDC"/>
    <w:rsid w:val="6B5557DF"/>
    <w:rsid w:val="6B560B2A"/>
    <w:rsid w:val="6BFA214F"/>
    <w:rsid w:val="6D512242"/>
    <w:rsid w:val="6DD860AA"/>
    <w:rsid w:val="6E001A51"/>
    <w:rsid w:val="6ED36C87"/>
    <w:rsid w:val="71C1397E"/>
    <w:rsid w:val="71FC85AC"/>
    <w:rsid w:val="73351CBE"/>
    <w:rsid w:val="73412411"/>
    <w:rsid w:val="73487933"/>
    <w:rsid w:val="73666F0F"/>
    <w:rsid w:val="74242633"/>
    <w:rsid w:val="7571553D"/>
    <w:rsid w:val="75905540"/>
    <w:rsid w:val="75A72C10"/>
    <w:rsid w:val="762F6E99"/>
    <w:rsid w:val="763D1CD4"/>
    <w:rsid w:val="76650B0D"/>
    <w:rsid w:val="77AB80AA"/>
    <w:rsid w:val="7869138C"/>
    <w:rsid w:val="7A6142FA"/>
    <w:rsid w:val="7A6704D2"/>
    <w:rsid w:val="7A992B33"/>
    <w:rsid w:val="7AB0113D"/>
    <w:rsid w:val="7BD05EC4"/>
    <w:rsid w:val="7BE7DAB5"/>
    <w:rsid w:val="7CA270D6"/>
    <w:rsid w:val="7D6B6A41"/>
    <w:rsid w:val="7DB9F001"/>
    <w:rsid w:val="7DFD5580"/>
    <w:rsid w:val="7E1F3C97"/>
    <w:rsid w:val="7E59B9FB"/>
    <w:rsid w:val="7F42515F"/>
    <w:rsid w:val="7FA904F0"/>
    <w:rsid w:val="7FBFBAB6"/>
    <w:rsid w:val="7FD60AB5"/>
    <w:rsid w:val="7FECB96D"/>
    <w:rsid w:val="9F7FF9DB"/>
    <w:rsid w:val="BAFF7B4C"/>
    <w:rsid w:val="BDFE5820"/>
    <w:rsid w:val="BDFF37B9"/>
    <w:rsid w:val="DFE77A66"/>
    <w:rsid w:val="EAFD15C6"/>
    <w:rsid w:val="EBFFBADF"/>
    <w:rsid w:val="F9550DC9"/>
    <w:rsid w:val="F9DB87F6"/>
    <w:rsid w:val="FDFF35F9"/>
    <w:rsid w:val="FFFB41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0"/>
    <w:qFormat/>
    <w:uiPriority w:val="9"/>
    <w:pPr>
      <w:spacing w:before="340" w:after="330" w:line="578" w:lineRule="auto"/>
      <w:outlineLvl w:val="0"/>
    </w:pPr>
    <w:rPr>
      <w:bCs/>
      <w:kern w:val="44"/>
      <w:sz w:val="44"/>
      <w:szCs w:val="44"/>
    </w:rPr>
  </w:style>
  <w:style w:type="paragraph" w:styleId="5">
    <w:name w:val="heading 2"/>
    <w:basedOn w:val="1"/>
    <w:next w:val="6"/>
    <w:link w:val="49"/>
    <w:qFormat/>
    <w:uiPriority w:val="0"/>
    <w:pPr>
      <w:keepNext/>
      <w:keepLines/>
      <w:spacing w:before="260" w:after="260"/>
      <w:contextualSpacing/>
      <w:outlineLvl w:val="1"/>
    </w:pPr>
    <w:rPr>
      <w:rFonts w:ascii="宋体"/>
      <w:szCs w:val="28"/>
    </w:rPr>
  </w:style>
  <w:style w:type="paragraph" w:styleId="7">
    <w:name w:val="heading 3"/>
    <w:basedOn w:val="1"/>
    <w:next w:val="1"/>
    <w:link w:val="48"/>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8">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52"/>
    <w:qFormat/>
    <w:uiPriority w:val="0"/>
    <w:pPr>
      <w:keepNext/>
      <w:keepLines/>
      <w:spacing w:before="280" w:after="290" w:line="376" w:lineRule="auto"/>
      <w:outlineLvl w:val="4"/>
    </w:pPr>
    <w:rPr>
      <w:b/>
      <w:bCs/>
      <w:sz w:val="28"/>
      <w:szCs w:val="28"/>
    </w:rPr>
  </w:style>
  <w:style w:type="paragraph" w:styleId="10">
    <w:name w:val="heading 6"/>
    <w:basedOn w:val="9"/>
    <w:next w:val="1"/>
    <w:link w:val="53"/>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54"/>
    <w:qFormat/>
    <w:uiPriority w:val="0"/>
    <w:pPr>
      <w:tabs>
        <w:tab w:val="clear" w:pos="1440"/>
      </w:tabs>
      <w:ind w:left="1276" w:hanging="1276"/>
      <w:outlineLvl w:val="6"/>
    </w:pPr>
  </w:style>
  <w:style w:type="paragraph" w:styleId="12">
    <w:name w:val="heading 8"/>
    <w:basedOn w:val="11"/>
    <w:next w:val="1"/>
    <w:link w:val="55"/>
    <w:qFormat/>
    <w:uiPriority w:val="0"/>
    <w:pPr>
      <w:ind w:left="1418" w:hanging="1418"/>
      <w:outlineLvl w:val="7"/>
    </w:pPr>
  </w:style>
  <w:style w:type="paragraph" w:styleId="13">
    <w:name w:val="heading 9"/>
    <w:basedOn w:val="12"/>
    <w:next w:val="1"/>
    <w:link w:val="56"/>
    <w:qFormat/>
    <w:uiPriority w:val="0"/>
    <w:pPr>
      <w:ind w:left="1559" w:hanging="1559"/>
      <w:outlineLvl w:val="8"/>
    </w:p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Times New Roman" w:hAnsi="Times New Roman" w:eastAsia="宋体"/>
      <w:szCs w:val="24"/>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Normal Indent"/>
    <w:basedOn w:val="1"/>
    <w:next w:val="1"/>
    <w:link w:val="57"/>
    <w:qFormat/>
    <w:uiPriority w:val="0"/>
    <w:pPr>
      <w:ind w:firstLine="420" w:firstLineChars="200"/>
    </w:pPr>
  </w:style>
  <w:style w:type="paragraph" w:styleId="14">
    <w:name w:val="toc 7"/>
    <w:basedOn w:val="1"/>
    <w:next w:val="1"/>
    <w:unhideWhenUsed/>
    <w:qFormat/>
    <w:uiPriority w:val="0"/>
    <w:pPr>
      <w:ind w:left="1260"/>
      <w:jc w:val="left"/>
    </w:pPr>
    <w:rPr>
      <w:rFonts w:asciiTheme="minorHAnsi" w:hAnsiTheme="minorHAnsi" w:cstheme="minorHAnsi"/>
      <w:sz w:val="18"/>
      <w:szCs w:val="18"/>
    </w:rPr>
  </w:style>
  <w:style w:type="paragraph" w:styleId="15">
    <w:name w:val="Document Map"/>
    <w:basedOn w:val="1"/>
    <w:link w:val="58"/>
    <w:qFormat/>
    <w:uiPriority w:val="0"/>
    <w:rPr>
      <w:rFonts w:ascii="宋体"/>
      <w:sz w:val="18"/>
      <w:szCs w:val="18"/>
    </w:rPr>
  </w:style>
  <w:style w:type="paragraph" w:styleId="16">
    <w:name w:val="annotation text"/>
    <w:basedOn w:val="1"/>
    <w:link w:val="59"/>
    <w:qFormat/>
    <w:uiPriority w:val="0"/>
    <w:pPr>
      <w:jc w:val="left"/>
    </w:pPr>
  </w:style>
  <w:style w:type="paragraph" w:styleId="17">
    <w:name w:val="Body Text"/>
    <w:basedOn w:val="1"/>
    <w:link w:val="60"/>
    <w:qFormat/>
    <w:uiPriority w:val="0"/>
    <w:pPr>
      <w:spacing w:after="120"/>
    </w:p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5"/>
    <w:basedOn w:val="1"/>
    <w:next w:val="1"/>
    <w:unhideWhenUsed/>
    <w:qFormat/>
    <w:uiPriority w:val="0"/>
    <w:pPr>
      <w:ind w:left="840"/>
      <w:jc w:val="left"/>
    </w:pPr>
    <w:rPr>
      <w:rFonts w:asciiTheme="minorHAnsi" w:hAnsiTheme="minorHAnsi" w:cstheme="minorHAnsi"/>
      <w:sz w:val="18"/>
      <w:szCs w:val="18"/>
    </w:rPr>
  </w:style>
  <w:style w:type="paragraph" w:styleId="20">
    <w:name w:val="toc 3"/>
    <w:basedOn w:val="1"/>
    <w:next w:val="1"/>
    <w:qFormat/>
    <w:uiPriority w:val="39"/>
    <w:pPr>
      <w:ind w:left="420"/>
      <w:jc w:val="left"/>
    </w:pPr>
    <w:rPr>
      <w:rFonts w:asciiTheme="minorHAnsi" w:hAnsiTheme="minorHAnsi" w:cstheme="minorHAnsi"/>
      <w:i/>
      <w:iCs/>
      <w:sz w:val="20"/>
      <w:szCs w:val="20"/>
    </w:rPr>
  </w:style>
  <w:style w:type="paragraph" w:styleId="21">
    <w:name w:val="Plain Text"/>
    <w:basedOn w:val="1"/>
    <w:link w:val="61"/>
    <w:qFormat/>
    <w:uiPriority w:val="0"/>
    <w:rPr>
      <w:rFonts w:ascii="宋体" w:hAnsi="Courier New"/>
      <w:szCs w:val="21"/>
    </w:rPr>
  </w:style>
  <w:style w:type="paragraph" w:styleId="22">
    <w:name w:val="toc 8"/>
    <w:basedOn w:val="1"/>
    <w:next w:val="1"/>
    <w:unhideWhenUsed/>
    <w:qFormat/>
    <w:uiPriority w:val="0"/>
    <w:pPr>
      <w:ind w:left="1470"/>
      <w:jc w:val="left"/>
    </w:pPr>
    <w:rPr>
      <w:rFonts w:asciiTheme="minorHAnsi" w:hAnsiTheme="minorHAnsi" w:cstheme="minorHAnsi"/>
      <w:sz w:val="18"/>
      <w:szCs w:val="18"/>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alloon Text"/>
    <w:basedOn w:val="1"/>
    <w:qFormat/>
    <w:uiPriority w:val="0"/>
    <w:rPr>
      <w:sz w:val="18"/>
      <w:szCs w:val="18"/>
    </w:rPr>
  </w:style>
  <w:style w:type="paragraph" w:styleId="25">
    <w:name w:val="footer"/>
    <w:basedOn w:val="1"/>
    <w:link w:val="62"/>
    <w:qFormat/>
    <w:uiPriority w:val="99"/>
    <w:pPr>
      <w:tabs>
        <w:tab w:val="center" w:pos="4153"/>
        <w:tab w:val="right" w:pos="8306"/>
      </w:tabs>
      <w:snapToGrid w:val="0"/>
      <w:jc w:val="left"/>
    </w:pPr>
    <w:rPr>
      <w:sz w:val="18"/>
      <w:szCs w:val="18"/>
    </w:rPr>
  </w:style>
  <w:style w:type="paragraph" w:styleId="26">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8">
    <w:name w:val="toc 4"/>
    <w:basedOn w:val="1"/>
    <w:next w:val="1"/>
    <w:unhideWhenUsed/>
    <w:qFormat/>
    <w:uiPriority w:val="0"/>
    <w:pPr>
      <w:ind w:left="630"/>
      <w:jc w:val="left"/>
    </w:pPr>
    <w:rPr>
      <w:rFonts w:asciiTheme="minorHAnsi" w:hAnsiTheme="minorHAnsi" w:cstheme="minorHAnsi"/>
      <w:sz w:val="18"/>
      <w:szCs w:val="18"/>
    </w:rPr>
  </w:style>
  <w:style w:type="paragraph" w:styleId="29">
    <w:name w:val="Subtitle"/>
    <w:basedOn w:val="1"/>
    <w:next w:val="1"/>
    <w:link w:val="181"/>
    <w:qFormat/>
    <w:uiPriority w:val="0"/>
    <w:pPr>
      <w:spacing w:before="240" w:after="60" w:line="312" w:lineRule="auto"/>
      <w:outlineLvl w:val="1"/>
    </w:pPr>
    <w:rPr>
      <w:rFonts w:ascii="Cambria" w:hAnsi="Cambria" w:eastAsia="楷体_GB2312"/>
      <w:b/>
      <w:bCs/>
      <w:kern w:val="28"/>
      <w:sz w:val="32"/>
      <w:szCs w:val="32"/>
    </w:rPr>
  </w:style>
  <w:style w:type="paragraph" w:styleId="30">
    <w:name w:val="List"/>
    <w:basedOn w:val="1"/>
    <w:qFormat/>
    <w:uiPriority w:val="0"/>
    <w:pPr>
      <w:adjustRightInd w:val="0"/>
      <w:snapToGrid w:val="0"/>
      <w:spacing w:line="20" w:lineRule="atLeast"/>
      <w:jc w:val="center"/>
      <w:textAlignment w:val="baseline"/>
    </w:pPr>
    <w:rPr>
      <w:rFonts w:eastAsia="幼圆"/>
      <w:snapToGrid w:val="0"/>
      <w:kern w:val="0"/>
      <w:sz w:val="18"/>
      <w:szCs w:val="20"/>
    </w:rPr>
  </w:style>
  <w:style w:type="paragraph" w:styleId="31">
    <w:name w:val="footnote text"/>
    <w:basedOn w:val="1"/>
    <w:qFormat/>
    <w:uiPriority w:val="0"/>
    <w:pPr>
      <w:adjustRightInd w:val="0"/>
      <w:snapToGrid w:val="0"/>
      <w:spacing w:line="420" w:lineRule="atLeast"/>
      <w:ind w:firstLine="454"/>
      <w:jc w:val="left"/>
      <w:textAlignment w:val="baseline"/>
    </w:pPr>
    <w:rPr>
      <w:kern w:val="0"/>
      <w:sz w:val="18"/>
      <w:szCs w:val="20"/>
    </w:rPr>
  </w:style>
  <w:style w:type="paragraph" w:styleId="32">
    <w:name w:val="toc 6"/>
    <w:basedOn w:val="1"/>
    <w:next w:val="1"/>
    <w:unhideWhenUsed/>
    <w:qFormat/>
    <w:uiPriority w:val="0"/>
    <w:pPr>
      <w:ind w:left="1050"/>
      <w:jc w:val="left"/>
    </w:pPr>
    <w:rPr>
      <w:rFonts w:asciiTheme="minorHAnsi" w:hAnsiTheme="minorHAnsi" w:cstheme="minorHAnsi"/>
      <w:sz w:val="18"/>
      <w:szCs w:val="18"/>
    </w:rPr>
  </w:style>
  <w:style w:type="paragraph" w:styleId="33">
    <w:name w:val="Body Text Indent 3"/>
    <w:basedOn w:val="1"/>
    <w:link w:val="64"/>
    <w:qFormat/>
    <w:uiPriority w:val="0"/>
    <w:pPr>
      <w:spacing w:after="120"/>
      <w:ind w:left="420" w:leftChars="200"/>
    </w:pPr>
    <w:rPr>
      <w:sz w:val="16"/>
      <w:szCs w:val="16"/>
    </w:rPr>
  </w:style>
  <w:style w:type="paragraph" w:styleId="34">
    <w:name w:val="toc 2"/>
    <w:basedOn w:val="1"/>
    <w:next w:val="1"/>
    <w:qFormat/>
    <w:uiPriority w:val="39"/>
    <w:pPr>
      <w:ind w:left="210"/>
      <w:jc w:val="left"/>
    </w:pPr>
    <w:rPr>
      <w:rFonts w:asciiTheme="minorHAnsi" w:hAnsiTheme="minorHAnsi" w:cstheme="minorHAnsi"/>
      <w:smallCaps/>
      <w:sz w:val="20"/>
      <w:szCs w:val="20"/>
    </w:rPr>
  </w:style>
  <w:style w:type="paragraph" w:styleId="35">
    <w:name w:val="toc 9"/>
    <w:basedOn w:val="1"/>
    <w:next w:val="1"/>
    <w:unhideWhenUsed/>
    <w:qFormat/>
    <w:uiPriority w:val="0"/>
    <w:pPr>
      <w:ind w:left="1680"/>
      <w:jc w:val="left"/>
    </w:pPr>
    <w:rPr>
      <w:rFonts w:asciiTheme="minorHAnsi" w:hAnsiTheme="minorHAnsi" w:cstheme="minorHAnsi"/>
      <w:sz w:val="18"/>
      <w:szCs w:val="18"/>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Title"/>
    <w:basedOn w:val="1"/>
    <w:next w:val="1"/>
    <w:link w:val="65"/>
    <w:qFormat/>
    <w:uiPriority w:val="0"/>
    <w:rPr>
      <w:sz w:val="44"/>
    </w:rPr>
  </w:style>
  <w:style w:type="paragraph" w:styleId="38">
    <w:name w:val="annotation subject"/>
    <w:basedOn w:val="16"/>
    <w:next w:val="16"/>
    <w:link w:val="66"/>
    <w:qFormat/>
    <w:uiPriority w:val="99"/>
    <w:rPr>
      <w:rFonts w:ascii="Times New Roman" w:hAnsi="Times New Roman"/>
      <w:b/>
      <w:sz w:val="28"/>
      <w:szCs w:val="20"/>
    </w:rPr>
  </w:style>
  <w:style w:type="paragraph" w:styleId="39">
    <w:name w:val="Body Text First Indent"/>
    <w:basedOn w:val="17"/>
    <w:link w:val="159"/>
    <w:qFormat/>
    <w:uiPriority w:val="99"/>
    <w:pPr>
      <w:ind w:firstLine="420" w:firstLineChars="100"/>
    </w:pPr>
  </w:style>
  <w:style w:type="table" w:styleId="41">
    <w:name w:val="Table Grid"/>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Emphasis"/>
    <w:basedOn w:val="42"/>
    <w:qFormat/>
    <w:uiPriority w:val="20"/>
    <w:rPr>
      <w:i/>
      <w:iCs/>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customStyle="1" w:styleId="48">
    <w:name w:val="标题 3 Char"/>
    <w:link w:val="7"/>
    <w:qFormat/>
    <w:uiPriority w:val="0"/>
    <w:rPr>
      <w:rFonts w:ascii="仿宋_GB2312" w:hAnsi="宋体" w:eastAsia="宋体"/>
      <w:b/>
      <w:kern w:val="2"/>
      <w:sz w:val="32"/>
      <w:szCs w:val="32"/>
    </w:rPr>
  </w:style>
  <w:style w:type="character" w:customStyle="1" w:styleId="49">
    <w:name w:val="标题 2 Char"/>
    <w:link w:val="5"/>
    <w:qFormat/>
    <w:uiPriority w:val="0"/>
    <w:rPr>
      <w:rFonts w:ascii="宋体" w:hAnsi="宋体" w:eastAsia="宋体"/>
      <w:b/>
      <w:kern w:val="2"/>
      <w:sz w:val="32"/>
      <w:szCs w:val="28"/>
    </w:rPr>
  </w:style>
  <w:style w:type="character" w:customStyle="1" w:styleId="50">
    <w:name w:val="标题 1 Char"/>
    <w:link w:val="4"/>
    <w:qFormat/>
    <w:uiPriority w:val="9"/>
    <w:rPr>
      <w:rFonts w:ascii="Calibri" w:hAnsi="Calibri"/>
      <w:b/>
      <w:bCs/>
      <w:kern w:val="44"/>
      <w:sz w:val="44"/>
      <w:szCs w:val="44"/>
    </w:rPr>
  </w:style>
  <w:style w:type="character" w:customStyle="1" w:styleId="51">
    <w:name w:val="标题 4 Char"/>
    <w:link w:val="8"/>
    <w:qFormat/>
    <w:uiPriority w:val="0"/>
    <w:rPr>
      <w:rFonts w:ascii="Arial" w:hAnsi="Arial" w:eastAsia="黑体"/>
      <w:b/>
      <w:bCs/>
      <w:kern w:val="2"/>
      <w:sz w:val="28"/>
      <w:szCs w:val="28"/>
    </w:rPr>
  </w:style>
  <w:style w:type="character" w:customStyle="1" w:styleId="52">
    <w:name w:val="标题 5 Char"/>
    <w:link w:val="9"/>
    <w:qFormat/>
    <w:uiPriority w:val="0"/>
    <w:rPr>
      <w:rFonts w:ascii="Calibri" w:hAnsi="Calibri"/>
      <w:b/>
      <w:bCs/>
      <w:kern w:val="2"/>
      <w:sz w:val="28"/>
      <w:szCs w:val="28"/>
    </w:rPr>
  </w:style>
  <w:style w:type="character" w:customStyle="1" w:styleId="53">
    <w:name w:val="标题 6 Char"/>
    <w:link w:val="10"/>
    <w:qFormat/>
    <w:uiPriority w:val="0"/>
    <w:rPr>
      <w:b/>
      <w:bCs/>
      <w:kern w:val="2"/>
      <w:sz w:val="30"/>
      <w:szCs w:val="18"/>
    </w:rPr>
  </w:style>
  <w:style w:type="character" w:customStyle="1" w:styleId="54">
    <w:name w:val="标题 7 Char"/>
    <w:link w:val="11"/>
    <w:qFormat/>
    <w:uiPriority w:val="0"/>
    <w:rPr>
      <w:b/>
      <w:bCs/>
      <w:kern w:val="2"/>
      <w:sz w:val="30"/>
      <w:szCs w:val="18"/>
    </w:rPr>
  </w:style>
  <w:style w:type="character" w:customStyle="1" w:styleId="55">
    <w:name w:val="标题 8 Char"/>
    <w:link w:val="12"/>
    <w:qFormat/>
    <w:uiPriority w:val="0"/>
    <w:rPr>
      <w:b/>
      <w:bCs/>
      <w:kern w:val="2"/>
      <w:sz w:val="30"/>
      <w:szCs w:val="18"/>
    </w:rPr>
  </w:style>
  <w:style w:type="character" w:customStyle="1" w:styleId="56">
    <w:name w:val="标题 9 Char"/>
    <w:link w:val="13"/>
    <w:qFormat/>
    <w:uiPriority w:val="0"/>
    <w:rPr>
      <w:b/>
      <w:bCs/>
      <w:kern w:val="2"/>
      <w:sz w:val="30"/>
      <w:szCs w:val="18"/>
    </w:rPr>
  </w:style>
  <w:style w:type="character" w:customStyle="1" w:styleId="57">
    <w:name w:val="正文缩进 Char"/>
    <w:link w:val="6"/>
    <w:qFormat/>
    <w:uiPriority w:val="0"/>
    <w:rPr>
      <w:rFonts w:ascii="Calibri" w:hAnsi="Calibri" w:eastAsia="宋体"/>
      <w:kern w:val="2"/>
      <w:sz w:val="21"/>
      <w:szCs w:val="22"/>
      <w:lang w:val="en-US" w:eastAsia="zh-CN" w:bidi="ar-SA"/>
    </w:rPr>
  </w:style>
  <w:style w:type="character" w:customStyle="1" w:styleId="58">
    <w:name w:val="文档结构图 Char"/>
    <w:link w:val="15"/>
    <w:qFormat/>
    <w:uiPriority w:val="0"/>
    <w:rPr>
      <w:rFonts w:ascii="宋体" w:hAnsi="Calibri"/>
      <w:kern w:val="2"/>
      <w:sz w:val="18"/>
      <w:szCs w:val="18"/>
    </w:rPr>
  </w:style>
  <w:style w:type="character" w:customStyle="1" w:styleId="59">
    <w:name w:val="批注文字 Char"/>
    <w:link w:val="16"/>
    <w:qFormat/>
    <w:uiPriority w:val="0"/>
    <w:rPr>
      <w:rFonts w:ascii="Calibri" w:hAnsi="Calibri"/>
      <w:kern w:val="2"/>
      <w:sz w:val="21"/>
      <w:szCs w:val="22"/>
    </w:rPr>
  </w:style>
  <w:style w:type="character" w:customStyle="1" w:styleId="60">
    <w:name w:val="正文文本 Char1"/>
    <w:basedOn w:val="42"/>
    <w:link w:val="17"/>
    <w:qFormat/>
    <w:uiPriority w:val="0"/>
    <w:rPr>
      <w:rFonts w:ascii="Calibri" w:hAnsi="Calibri"/>
      <w:kern w:val="2"/>
      <w:sz w:val="21"/>
      <w:szCs w:val="22"/>
    </w:rPr>
  </w:style>
  <w:style w:type="character" w:customStyle="1" w:styleId="61">
    <w:name w:val="纯文本 Char"/>
    <w:link w:val="21"/>
    <w:qFormat/>
    <w:uiPriority w:val="0"/>
    <w:rPr>
      <w:rFonts w:ascii="宋体" w:hAnsi="Courier New" w:eastAsia="宋体" w:cs="Courier New"/>
      <w:kern w:val="2"/>
      <w:sz w:val="21"/>
      <w:szCs w:val="21"/>
    </w:rPr>
  </w:style>
  <w:style w:type="character" w:customStyle="1" w:styleId="62">
    <w:name w:val="页脚 Char"/>
    <w:link w:val="25"/>
    <w:qFormat/>
    <w:uiPriority w:val="99"/>
    <w:rPr>
      <w:rFonts w:ascii="Calibri" w:hAnsi="Calibri"/>
      <w:kern w:val="2"/>
      <w:sz w:val="18"/>
      <w:szCs w:val="18"/>
    </w:rPr>
  </w:style>
  <w:style w:type="character" w:customStyle="1" w:styleId="63">
    <w:name w:val="页眉 Char1"/>
    <w:link w:val="26"/>
    <w:qFormat/>
    <w:uiPriority w:val="0"/>
    <w:rPr>
      <w:rFonts w:ascii="Calibri" w:hAnsi="Calibri" w:eastAsia="宋体" w:cs="Times New Roman"/>
      <w:kern w:val="2"/>
      <w:sz w:val="18"/>
      <w:szCs w:val="18"/>
    </w:rPr>
  </w:style>
  <w:style w:type="character" w:customStyle="1" w:styleId="64">
    <w:name w:val="正文文本缩进 3 Char"/>
    <w:link w:val="33"/>
    <w:qFormat/>
    <w:uiPriority w:val="0"/>
    <w:rPr>
      <w:rFonts w:ascii="Calibri" w:hAnsi="Calibri"/>
      <w:kern w:val="2"/>
      <w:sz w:val="16"/>
      <w:szCs w:val="16"/>
    </w:rPr>
  </w:style>
  <w:style w:type="character" w:customStyle="1" w:styleId="65">
    <w:name w:val="标题 Char"/>
    <w:link w:val="37"/>
    <w:qFormat/>
    <w:uiPriority w:val="0"/>
    <w:rPr>
      <w:rFonts w:ascii="宋体" w:hAnsi="宋体" w:eastAsia="宋体"/>
      <w:b/>
      <w:kern w:val="2"/>
      <w:sz w:val="44"/>
      <w:szCs w:val="28"/>
    </w:rPr>
  </w:style>
  <w:style w:type="character" w:customStyle="1" w:styleId="66">
    <w:name w:val="批注主题 Char"/>
    <w:link w:val="38"/>
    <w:qFormat/>
    <w:uiPriority w:val="99"/>
    <w:rPr>
      <w:b/>
      <w:kern w:val="2"/>
      <w:sz w:val="28"/>
    </w:rPr>
  </w:style>
  <w:style w:type="paragraph" w:customStyle="1" w:styleId="67">
    <w:name w:val="纯文本_0"/>
    <w:basedOn w:val="68"/>
    <w:link w:val="69"/>
    <w:qFormat/>
    <w:uiPriority w:val="0"/>
    <w:rPr>
      <w:rFonts w:ascii="宋体" w:hAnsi="Courier New"/>
      <w:szCs w:val="21"/>
    </w:rPr>
  </w:style>
  <w:style w:type="paragraph" w:customStyle="1" w:styleId="68">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69">
    <w:name w:val="纯文本 Char_0"/>
    <w:link w:val="67"/>
    <w:qFormat/>
    <w:uiPriority w:val="0"/>
    <w:rPr>
      <w:rFonts w:ascii="宋体" w:hAnsi="Courier New"/>
      <w:kern w:val="2"/>
      <w:sz w:val="21"/>
      <w:szCs w:val="21"/>
    </w:rPr>
  </w:style>
  <w:style w:type="paragraph" w:customStyle="1" w:styleId="7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73">
    <w:name w:val="Normal_4"/>
    <w:qFormat/>
    <w:uiPriority w:val="0"/>
    <w:rPr>
      <w:rFonts w:ascii="黑体" w:hAnsi="黑体" w:eastAsia="黑体" w:cs="Times New Roman"/>
      <w:b/>
      <w:sz w:val="32"/>
      <w:szCs w:val="24"/>
      <w:lang w:val="en-US" w:eastAsia="zh-CN" w:bidi="ar-SA"/>
    </w:rPr>
  </w:style>
  <w:style w:type="paragraph" w:customStyle="1" w:styleId="74">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1"/>
    <w:qFormat/>
    <w:uiPriority w:val="0"/>
    <w:rPr>
      <w:rFonts w:ascii="Times New Roman" w:hAnsi="Times New Roman" w:eastAsia="Times New Roman" w:cs="Times New Roman"/>
      <w:sz w:val="24"/>
      <w:szCs w:val="24"/>
      <w:lang w:val="en-US" w:eastAsia="zh-CN" w:bidi="ar-SA"/>
    </w:rPr>
  </w:style>
  <w:style w:type="paragraph" w:customStyle="1" w:styleId="76">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7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列出段落1"/>
    <w:basedOn w:val="1"/>
    <w:qFormat/>
    <w:uiPriority w:val="34"/>
    <w:pPr>
      <w:ind w:firstLine="420" w:firstLineChars="200"/>
    </w:pPr>
  </w:style>
  <w:style w:type="paragraph" w:customStyle="1" w:styleId="79">
    <w:name w:val="正文_1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0">
    <w:name w:val="列表段落1"/>
    <w:basedOn w:val="1"/>
    <w:link w:val="81"/>
    <w:qFormat/>
    <w:uiPriority w:val="34"/>
    <w:pPr>
      <w:ind w:firstLine="420" w:firstLineChars="200"/>
    </w:pPr>
  </w:style>
  <w:style w:type="character" w:customStyle="1" w:styleId="81">
    <w:name w:val="列表段落 字符"/>
    <w:link w:val="80"/>
    <w:qFormat/>
    <w:uiPriority w:val="34"/>
    <w:rPr>
      <w:rFonts w:ascii="Calibri" w:hAnsi="Calibri"/>
      <w:kern w:val="2"/>
      <w:sz w:val="21"/>
      <w:szCs w:val="22"/>
    </w:rPr>
  </w:style>
  <w:style w:type="paragraph" w:customStyle="1" w:styleId="8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9"/>
    <w:qFormat/>
    <w:uiPriority w:val="0"/>
    <w:rPr>
      <w:rFonts w:ascii="黑体" w:hAnsi="黑体" w:eastAsia="黑体" w:cs="Times New Roman"/>
      <w:b/>
      <w:sz w:val="32"/>
      <w:szCs w:val="24"/>
      <w:lang w:val="en-US" w:eastAsia="zh-CN" w:bidi="ar-SA"/>
    </w:rPr>
  </w:style>
  <w:style w:type="paragraph" w:customStyle="1" w:styleId="8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Normal_11"/>
    <w:qFormat/>
    <w:uiPriority w:val="0"/>
    <w:rPr>
      <w:rFonts w:ascii="黑体" w:hAnsi="黑体" w:eastAsia="黑体" w:cs="Times New Roman"/>
      <w:b/>
      <w:sz w:val="32"/>
      <w:szCs w:val="24"/>
      <w:lang w:val="en-US" w:eastAsia="zh-CN" w:bidi="ar-SA"/>
    </w:rPr>
  </w:style>
  <w:style w:type="paragraph" w:customStyle="1" w:styleId="8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无间隔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89">
    <w:name w:val="Normal_5"/>
    <w:qFormat/>
    <w:uiPriority w:val="0"/>
    <w:rPr>
      <w:rFonts w:ascii="黑体" w:hAnsi="黑体" w:eastAsia="黑体" w:cs="Times New Roman"/>
      <w:b/>
      <w:sz w:val="32"/>
      <w:szCs w:val="24"/>
      <w:lang w:val="en-US" w:eastAsia="zh-CN" w:bidi="ar-SA"/>
    </w:rPr>
  </w:style>
  <w:style w:type="paragraph" w:customStyle="1" w:styleId="90">
    <w:name w:val="TOC 标题2"/>
    <w:basedOn w:val="4"/>
    <w:next w:val="1"/>
    <w:qFormat/>
    <w:uiPriority w:val="39"/>
    <w:pPr>
      <w:widowControl/>
      <w:spacing w:before="240" w:after="0" w:line="259" w:lineRule="auto"/>
      <w:jc w:val="left"/>
      <w:outlineLvl w:val="9"/>
    </w:pPr>
    <w:rPr>
      <w:rFonts w:ascii="Cambria" w:hAnsi="Cambria"/>
      <w:bCs w:val="0"/>
      <w:color w:val="365F91"/>
      <w:kern w:val="0"/>
      <w:sz w:val="32"/>
      <w:szCs w:val="32"/>
    </w:rPr>
  </w:style>
  <w:style w:type="paragraph" w:customStyle="1" w:styleId="91">
    <w:name w:val="Normal_8"/>
    <w:qFormat/>
    <w:uiPriority w:val="0"/>
    <w:rPr>
      <w:rFonts w:ascii="黑体" w:hAnsi="黑体" w:eastAsia="黑体" w:cs="Times New Roman"/>
      <w:b/>
      <w:sz w:val="32"/>
      <w:szCs w:val="24"/>
      <w:lang w:val="en-US" w:eastAsia="zh-CN" w:bidi="ar-SA"/>
    </w:rPr>
  </w:style>
  <w:style w:type="paragraph" w:customStyle="1" w:styleId="92">
    <w:name w:val="Normal_0"/>
    <w:qFormat/>
    <w:uiPriority w:val="0"/>
    <w:rPr>
      <w:rFonts w:ascii="黑体" w:hAnsi="黑体" w:eastAsia="黑体" w:cs="Times New Roman"/>
      <w:b/>
      <w:sz w:val="32"/>
      <w:szCs w:val="24"/>
      <w:lang w:val="en-US" w:eastAsia="zh-CN" w:bidi="ar-SA"/>
    </w:rPr>
  </w:style>
  <w:style w:type="paragraph" w:customStyle="1" w:styleId="93">
    <w:name w:val="标题 2_0"/>
    <w:basedOn w:val="94"/>
    <w:next w:val="68"/>
    <w:link w:val="95"/>
    <w:qFormat/>
    <w:uiPriority w:val="0"/>
    <w:pPr>
      <w:keepNext/>
      <w:keepLines/>
      <w:adjustRightInd w:val="0"/>
      <w:snapToGrid w:val="0"/>
      <w:spacing w:before="260" w:after="260" w:line="500" w:lineRule="exact"/>
      <w:ind w:left="-88" w:leftChars="-42"/>
      <w:contextualSpacing/>
      <w:jc w:val="center"/>
      <w:outlineLvl w:val="1"/>
    </w:pPr>
    <w:rPr>
      <w:rFonts w:ascii="宋体" w:hAnsi="宋体"/>
      <w:b/>
      <w:sz w:val="32"/>
      <w:szCs w:val="28"/>
    </w:rPr>
  </w:style>
  <w:style w:type="paragraph" w:customStyle="1" w:styleId="94">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95">
    <w:name w:val="标题 2 Char_0"/>
    <w:link w:val="93"/>
    <w:qFormat/>
    <w:uiPriority w:val="0"/>
    <w:rPr>
      <w:rFonts w:ascii="宋体" w:hAnsi="宋体"/>
      <w:b/>
      <w:kern w:val="2"/>
      <w:sz w:val="32"/>
      <w:szCs w:val="28"/>
    </w:rPr>
  </w:style>
  <w:style w:type="paragraph" w:customStyle="1" w:styleId="96">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Normal_7"/>
    <w:qFormat/>
    <w:uiPriority w:val="0"/>
    <w:rPr>
      <w:rFonts w:ascii="黑体" w:hAnsi="黑体" w:eastAsia="黑体" w:cs="Times New Roman"/>
      <w:b/>
      <w:sz w:val="32"/>
      <w:szCs w:val="24"/>
      <w:lang w:val="en-US" w:eastAsia="zh-CN" w:bidi="ar-SA"/>
    </w:rPr>
  </w:style>
  <w:style w:type="paragraph" w:customStyle="1" w:styleId="9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Normal_1"/>
    <w:qFormat/>
    <w:uiPriority w:val="0"/>
    <w:rPr>
      <w:rFonts w:ascii="黑体" w:hAnsi="黑体" w:eastAsia="黑体" w:cs="Times New Roman"/>
      <w:b/>
      <w:sz w:val="32"/>
      <w:szCs w:val="24"/>
      <w:lang w:val="en-US" w:eastAsia="zh-CN" w:bidi="ar-SA"/>
    </w:rPr>
  </w:style>
  <w:style w:type="paragraph" w:customStyle="1" w:styleId="100">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1">
    <w:name w:val="_Style 8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2">
    <w:name w:val="Normal_2"/>
    <w:qFormat/>
    <w:uiPriority w:val="0"/>
    <w:rPr>
      <w:rFonts w:ascii="黑体" w:hAnsi="黑体" w:eastAsia="黑体" w:cs="Times New Roman"/>
      <w:b/>
      <w:sz w:val="32"/>
      <w:szCs w:val="24"/>
      <w:lang w:val="en-US" w:eastAsia="zh-CN" w:bidi="ar-SA"/>
    </w:rPr>
  </w:style>
  <w:style w:type="paragraph" w:customStyle="1" w:styleId="103">
    <w:name w:val="2册标题2"/>
    <w:basedOn w:val="1"/>
    <w:next w:val="1"/>
    <w:link w:val="104"/>
    <w:qFormat/>
    <w:uiPriority w:val="0"/>
    <w:pPr>
      <w:spacing w:beforeLines="50" w:afterLines="50" w:line="300" w:lineRule="auto"/>
      <w:outlineLvl w:val="1"/>
    </w:pPr>
    <w:rPr>
      <w:rFonts w:ascii="Arial" w:hAnsi="Arial" w:eastAsia="黑体"/>
      <w:sz w:val="30"/>
      <w:szCs w:val="20"/>
    </w:rPr>
  </w:style>
  <w:style w:type="character" w:customStyle="1" w:styleId="104">
    <w:name w:val="2册标题2 Char"/>
    <w:link w:val="103"/>
    <w:qFormat/>
    <w:uiPriority w:val="0"/>
    <w:rPr>
      <w:rFonts w:ascii="Arial" w:hAnsi="Arial" w:eastAsia="黑体"/>
      <w:kern w:val="2"/>
      <w:sz w:val="30"/>
    </w:rPr>
  </w:style>
  <w:style w:type="paragraph" w:customStyle="1" w:styleId="105">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缩进_1"/>
    <w:basedOn w:val="70"/>
    <w:link w:val="107"/>
    <w:qFormat/>
    <w:uiPriority w:val="0"/>
    <w:pPr>
      <w:ind w:firstLine="420" w:firstLineChars="200"/>
    </w:pPr>
    <w:rPr>
      <w:kern w:val="0"/>
      <w:sz w:val="20"/>
      <w:szCs w:val="20"/>
    </w:rPr>
  </w:style>
  <w:style w:type="character" w:customStyle="1" w:styleId="107">
    <w:name w:val="正文缩进 Char_1"/>
    <w:link w:val="106"/>
    <w:qFormat/>
    <w:uiPriority w:val="0"/>
    <w:rPr>
      <w:rFonts w:ascii="Calibri" w:hAnsi="Calibri" w:eastAsia="宋体" w:cs="Times New Roman"/>
    </w:rPr>
  </w:style>
  <w:style w:type="paragraph" w:customStyle="1" w:styleId="108">
    <w:name w:val="正文文本_0"/>
    <w:basedOn w:val="68"/>
    <w:qFormat/>
    <w:uiPriority w:val="0"/>
    <w:pPr>
      <w:spacing w:after="120"/>
    </w:pPr>
  </w:style>
  <w:style w:type="paragraph" w:customStyle="1" w:styleId="109">
    <w:name w:val="Normal_16"/>
    <w:qFormat/>
    <w:uiPriority w:val="0"/>
    <w:rPr>
      <w:rFonts w:ascii="黑体" w:hAnsi="黑体" w:eastAsia="黑体" w:cs="Times New Roman"/>
      <w:b/>
      <w:sz w:val="32"/>
      <w:szCs w:val="24"/>
      <w:lang w:val="en-US" w:eastAsia="zh-CN" w:bidi="ar-SA"/>
    </w:rPr>
  </w:style>
  <w:style w:type="paragraph" w:customStyle="1" w:styleId="11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Normal_12"/>
    <w:qFormat/>
    <w:uiPriority w:val="0"/>
    <w:rPr>
      <w:rFonts w:ascii="黑体" w:hAnsi="黑体" w:eastAsia="黑体" w:cs="Times New Roman"/>
      <w:b/>
      <w:sz w:val="32"/>
      <w:szCs w:val="24"/>
      <w:lang w:val="en-US" w:eastAsia="zh-CN" w:bidi="ar-SA"/>
    </w:rPr>
  </w:style>
  <w:style w:type="paragraph" w:customStyle="1" w:styleId="113">
    <w:name w:val="需求样式"/>
    <w:basedOn w:val="4"/>
    <w:link w:val="114"/>
    <w:qFormat/>
    <w:uiPriority w:val="0"/>
    <w:pPr>
      <w:spacing w:before="120" w:after="120" w:line="360" w:lineRule="auto"/>
      <w:ind w:left="425" w:hanging="425"/>
    </w:pPr>
    <w:rPr>
      <w:rFonts w:ascii="Times New Roman" w:hAnsi="Times New Roman"/>
      <w:sz w:val="32"/>
      <w:szCs w:val="28"/>
    </w:rPr>
  </w:style>
  <w:style w:type="character" w:customStyle="1" w:styleId="114">
    <w:name w:val="需求样式 Char"/>
    <w:link w:val="113"/>
    <w:qFormat/>
    <w:uiPriority w:val="0"/>
    <w:rPr>
      <w:b/>
      <w:bCs/>
      <w:kern w:val="44"/>
      <w:sz w:val="32"/>
      <w:szCs w:val="28"/>
    </w:rPr>
  </w:style>
  <w:style w:type="paragraph" w:customStyle="1" w:styleId="115">
    <w:name w:val="正文文本_1"/>
    <w:basedOn w:val="116"/>
    <w:link w:val="117"/>
    <w:qFormat/>
    <w:uiPriority w:val="0"/>
    <w:pPr>
      <w:spacing w:after="120"/>
    </w:pPr>
    <w:rPr>
      <w:kern w:val="0"/>
      <w:sz w:val="20"/>
      <w:szCs w:val="20"/>
    </w:rPr>
  </w:style>
  <w:style w:type="paragraph" w:customStyle="1" w:styleId="116">
    <w:name w:val="正文_1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7">
    <w:name w:val="正文文本 Char"/>
    <w:link w:val="115"/>
    <w:qFormat/>
    <w:uiPriority w:val="0"/>
    <w:rPr>
      <w:rFonts w:ascii="Calibri" w:hAnsi="Calibri" w:eastAsia="宋体" w:cs="Times New Roman"/>
    </w:rPr>
  </w:style>
  <w:style w:type="paragraph" w:customStyle="1" w:styleId="11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修订1"/>
    <w:qFormat/>
    <w:uiPriority w:val="99"/>
    <w:rPr>
      <w:rFonts w:ascii="Calibri" w:hAnsi="Calibri" w:eastAsia="宋体" w:cs="Times New Roman"/>
      <w:kern w:val="2"/>
      <w:sz w:val="21"/>
      <w:szCs w:val="22"/>
      <w:lang w:val="en-US" w:eastAsia="zh-CN" w:bidi="ar-SA"/>
    </w:rPr>
  </w:style>
  <w:style w:type="paragraph" w:customStyle="1" w:styleId="1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23">
    <w:name w:val="正文缩进_0"/>
    <w:basedOn w:val="68"/>
    <w:link w:val="124"/>
    <w:qFormat/>
    <w:uiPriority w:val="0"/>
    <w:pPr>
      <w:ind w:firstLine="420" w:firstLineChars="200"/>
    </w:pPr>
    <w:rPr>
      <w:rFonts w:ascii="Times New Roman" w:hAnsi="Times New Roman"/>
    </w:rPr>
  </w:style>
  <w:style w:type="character" w:customStyle="1" w:styleId="124">
    <w:name w:val="正文缩进 Char_0"/>
    <w:link w:val="123"/>
    <w:qFormat/>
    <w:uiPriority w:val="0"/>
    <w:rPr>
      <w:kern w:val="2"/>
      <w:sz w:val="21"/>
      <w:szCs w:val="22"/>
    </w:rPr>
  </w:style>
  <w:style w:type="paragraph" w:customStyle="1" w:styleId="1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7"/>
    <w:qFormat/>
    <w:uiPriority w:val="0"/>
    <w:rPr>
      <w:rFonts w:ascii="黑体" w:hAnsi="黑体" w:eastAsia="黑体" w:cs="Times New Roman"/>
      <w:b/>
      <w:sz w:val="32"/>
      <w:szCs w:val="24"/>
      <w:lang w:val="en-US" w:eastAsia="zh-CN" w:bidi="ar-SA"/>
    </w:rPr>
  </w:style>
  <w:style w:type="paragraph" w:customStyle="1" w:styleId="128">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29">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paragraph" w:customStyle="1" w:styleId="130">
    <w:name w:val="Normal_3"/>
    <w:qFormat/>
    <w:uiPriority w:val="0"/>
    <w:rPr>
      <w:rFonts w:ascii="黑体" w:hAnsi="黑体" w:eastAsia="黑体" w:cs="Times New Roman"/>
      <w:b/>
      <w:sz w:val="32"/>
      <w:szCs w:val="24"/>
      <w:lang w:val="en-US" w:eastAsia="zh-CN" w:bidi="ar-SA"/>
    </w:rPr>
  </w:style>
  <w:style w:type="paragraph" w:customStyle="1" w:styleId="131">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Normal_10"/>
    <w:qFormat/>
    <w:uiPriority w:val="0"/>
    <w:rPr>
      <w:rFonts w:ascii="黑体" w:hAnsi="黑体" w:eastAsia="黑体" w:cs="Times New Roman"/>
      <w:b/>
      <w:sz w:val="32"/>
      <w:szCs w:val="24"/>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Normal_13"/>
    <w:qFormat/>
    <w:uiPriority w:val="0"/>
    <w:rPr>
      <w:rFonts w:ascii="黑体" w:hAnsi="黑体" w:eastAsia="黑体" w:cs="Times New Roman"/>
      <w:b/>
      <w:sz w:val="32"/>
      <w:szCs w:val="24"/>
      <w:lang w:val="en-US" w:eastAsia="zh-CN" w:bidi="ar-SA"/>
    </w:rPr>
  </w:style>
  <w:style w:type="paragraph" w:customStyle="1" w:styleId="138">
    <w:name w:val="Normal_14"/>
    <w:qFormat/>
    <w:uiPriority w:val="0"/>
    <w:rPr>
      <w:rFonts w:ascii="黑体" w:hAnsi="黑体" w:eastAsia="黑体" w:cs="Times New Roman"/>
      <w:b/>
      <w:sz w:val="32"/>
      <w:szCs w:val="24"/>
      <w:lang w:val="en-US" w:eastAsia="zh-CN" w:bidi="ar-SA"/>
    </w:rPr>
  </w:style>
  <w:style w:type="paragraph" w:customStyle="1" w:styleId="139">
    <w:name w:val="Normal_15"/>
    <w:qFormat/>
    <w:uiPriority w:val="0"/>
    <w:rPr>
      <w:rFonts w:ascii="黑体" w:hAnsi="黑体" w:eastAsia="黑体" w:cs="Times New Roman"/>
      <w:b/>
      <w:sz w:val="32"/>
      <w:szCs w:val="24"/>
      <w:lang w:val="en-US" w:eastAsia="zh-CN" w:bidi="ar-SA"/>
    </w:rPr>
  </w:style>
  <w:style w:type="paragraph" w:customStyle="1" w:styleId="140">
    <w:name w:val="Normal_18"/>
    <w:qFormat/>
    <w:uiPriority w:val="0"/>
    <w:rPr>
      <w:rFonts w:ascii="黑体" w:hAnsi="黑体" w:eastAsia="黑体" w:cs="Times New Roman"/>
      <w:b/>
      <w:sz w:val="32"/>
      <w:szCs w:val="24"/>
      <w:lang w:val="en-US" w:eastAsia="zh-CN" w:bidi="ar-SA"/>
    </w:rPr>
  </w:style>
  <w:style w:type="paragraph" w:customStyle="1" w:styleId="141">
    <w:name w:val="Normal_20"/>
    <w:qFormat/>
    <w:uiPriority w:val="0"/>
    <w:rPr>
      <w:rFonts w:ascii="黑体" w:hAnsi="黑体" w:eastAsia="黑体" w:cs="Times New Roman"/>
      <w:b/>
      <w:sz w:val="32"/>
      <w:szCs w:val="24"/>
      <w:lang w:val="en-US" w:eastAsia="zh-CN" w:bidi="ar-SA"/>
    </w:rPr>
  </w:style>
  <w:style w:type="paragraph" w:customStyle="1" w:styleId="142">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21"/>
    <w:qFormat/>
    <w:uiPriority w:val="0"/>
    <w:rPr>
      <w:rFonts w:ascii="黑体" w:hAnsi="黑体" w:eastAsia="黑体" w:cs="Times New Roman"/>
      <w:b/>
      <w:sz w:val="32"/>
      <w:szCs w:val="24"/>
      <w:lang w:val="en-US" w:eastAsia="zh-CN" w:bidi="ar-SA"/>
    </w:rPr>
  </w:style>
  <w:style w:type="paragraph" w:customStyle="1" w:styleId="144">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正文缩进_2"/>
    <w:basedOn w:val="144"/>
    <w:link w:val="146"/>
    <w:qFormat/>
    <w:uiPriority w:val="0"/>
    <w:pPr>
      <w:ind w:firstLine="420" w:firstLineChars="200"/>
    </w:pPr>
    <w:rPr>
      <w:kern w:val="0"/>
      <w:sz w:val="20"/>
      <w:szCs w:val="20"/>
    </w:rPr>
  </w:style>
  <w:style w:type="character" w:customStyle="1" w:styleId="146">
    <w:name w:val="正文缩进 Char_2"/>
    <w:link w:val="145"/>
    <w:qFormat/>
    <w:uiPriority w:val="0"/>
    <w:rPr>
      <w:rFonts w:ascii="Calibri" w:hAnsi="Calibri" w:eastAsia="宋体" w:cs="Times New Roman"/>
    </w:rPr>
  </w:style>
  <w:style w:type="paragraph" w:customStyle="1" w:styleId="147">
    <w:name w:val="Normal_22"/>
    <w:qFormat/>
    <w:uiPriority w:val="0"/>
    <w:rPr>
      <w:rFonts w:ascii="黑体" w:hAnsi="黑体" w:eastAsia="黑体" w:cs="Times New Roman"/>
      <w:b/>
      <w:sz w:val="32"/>
      <w:szCs w:val="24"/>
      <w:lang w:val="en-US" w:eastAsia="zh-CN" w:bidi="ar-SA"/>
    </w:rPr>
  </w:style>
  <w:style w:type="paragraph" w:customStyle="1" w:styleId="14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Normal_23"/>
    <w:qFormat/>
    <w:uiPriority w:val="0"/>
    <w:rPr>
      <w:rFonts w:ascii="黑体" w:hAnsi="黑体" w:eastAsia="黑体" w:cs="Times New Roman"/>
      <w:b/>
      <w:sz w:val="32"/>
      <w:szCs w:val="24"/>
      <w:lang w:val="en-US" w:eastAsia="zh-CN" w:bidi="ar-SA"/>
    </w:rPr>
  </w:style>
  <w:style w:type="paragraph" w:customStyle="1" w:styleId="150">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1">
    <w:name w:val="Normal_24"/>
    <w:qFormat/>
    <w:uiPriority w:val="0"/>
    <w:rPr>
      <w:rFonts w:ascii="Times New Roman" w:hAnsi="Times New Roman" w:eastAsia="Times New Roman" w:cs="Times New Roman"/>
      <w:sz w:val="24"/>
      <w:szCs w:val="24"/>
      <w:lang w:val="en-US" w:eastAsia="zh-CN" w:bidi="ar-SA"/>
    </w:rPr>
  </w:style>
  <w:style w:type="character" w:customStyle="1" w:styleId="152">
    <w:name w:val="case31"/>
    <w:qFormat/>
    <w:uiPriority w:val="0"/>
    <w:rPr>
      <w:rFonts w:hint="default"/>
      <w:spacing w:val="390"/>
      <w:sz w:val="21"/>
      <w:szCs w:val="21"/>
    </w:rPr>
  </w:style>
  <w:style w:type="character" w:customStyle="1" w:styleId="153">
    <w:name w:val="普通文字 Char Char2"/>
    <w:qFormat/>
    <w:uiPriority w:val="0"/>
    <w:rPr>
      <w:rFonts w:ascii="宋体" w:hAnsi="Courier New" w:cs="Courier New"/>
      <w:kern w:val="2"/>
      <w:sz w:val="21"/>
      <w:szCs w:val="21"/>
    </w:rPr>
  </w:style>
  <w:style w:type="character" w:customStyle="1" w:styleId="154">
    <w:name w:val="批注主题 Char1"/>
    <w:qFormat/>
    <w:uiPriority w:val="0"/>
    <w:rPr>
      <w:rFonts w:ascii="Calibri" w:hAnsi="Calibri"/>
      <w:b/>
      <w:bCs/>
      <w:kern w:val="2"/>
      <w:sz w:val="21"/>
      <w:szCs w:val="22"/>
    </w:rPr>
  </w:style>
  <w:style w:type="character" w:customStyle="1" w:styleId="155">
    <w:name w:val="超链接_0"/>
    <w:qFormat/>
    <w:uiPriority w:val="99"/>
    <w:rPr>
      <w:rFonts w:ascii="Calibri" w:hAnsi="Calibri"/>
      <w:color w:val="0000FF"/>
      <w:u w:val="single"/>
    </w:rPr>
  </w:style>
  <w:style w:type="paragraph" w:customStyle="1" w:styleId="156">
    <w:name w:val="正文2"/>
    <w:qFormat/>
    <w:uiPriority w:val="0"/>
    <w:rPr>
      <w:rFonts w:ascii="Times New Roman" w:hAnsi="Times New Roman" w:eastAsia="Times New Roman" w:cs="Times New Roman"/>
      <w:sz w:val="24"/>
      <w:szCs w:val="24"/>
      <w:lang w:val="en-US" w:eastAsia="zh-CN" w:bidi="ar-SA"/>
    </w:rPr>
  </w:style>
  <w:style w:type="character" w:customStyle="1" w:styleId="157">
    <w:name w:val="正文缩进 Char1"/>
    <w:link w:val="158"/>
    <w:qFormat/>
    <w:uiPriority w:val="0"/>
    <w:rPr>
      <w:rFonts w:ascii="宋体"/>
      <w:sz w:val="24"/>
    </w:rPr>
  </w:style>
  <w:style w:type="paragraph" w:customStyle="1" w:styleId="158">
    <w:name w:val="正文缩进1"/>
    <w:basedOn w:val="1"/>
    <w:link w:val="157"/>
    <w:qFormat/>
    <w:uiPriority w:val="0"/>
    <w:pPr>
      <w:autoSpaceDE w:val="0"/>
      <w:autoSpaceDN w:val="0"/>
      <w:adjustRightInd w:val="0"/>
      <w:ind w:firstLine="420"/>
      <w:jc w:val="left"/>
    </w:pPr>
    <w:rPr>
      <w:rFonts w:ascii="宋体" w:hAnsi="Times New Roman"/>
      <w:kern w:val="0"/>
      <w:sz w:val="24"/>
      <w:szCs w:val="20"/>
    </w:rPr>
  </w:style>
  <w:style w:type="character" w:customStyle="1" w:styleId="159">
    <w:name w:val="正文首行缩进 Char1"/>
    <w:link w:val="39"/>
    <w:qFormat/>
    <w:uiPriority w:val="99"/>
    <w:rPr>
      <w:rFonts w:ascii="Calibri" w:hAnsi="Calibri"/>
      <w:kern w:val="2"/>
      <w:sz w:val="21"/>
      <w:szCs w:val="22"/>
    </w:rPr>
  </w:style>
  <w:style w:type="character" w:customStyle="1" w:styleId="160">
    <w:name w:val="纯文本 Char1"/>
    <w:link w:val="161"/>
    <w:qFormat/>
    <w:uiPriority w:val="0"/>
    <w:rPr>
      <w:rFonts w:ascii="宋体" w:hAnsi="Courier New"/>
    </w:rPr>
  </w:style>
  <w:style w:type="paragraph" w:customStyle="1" w:styleId="161">
    <w:name w:val="纯文本1"/>
    <w:basedOn w:val="1"/>
    <w:link w:val="160"/>
    <w:qFormat/>
    <w:uiPriority w:val="0"/>
    <w:rPr>
      <w:rFonts w:ascii="宋体" w:hAnsi="Courier New"/>
      <w:kern w:val="0"/>
      <w:sz w:val="20"/>
      <w:szCs w:val="20"/>
    </w:rPr>
  </w:style>
  <w:style w:type="character" w:customStyle="1" w:styleId="162">
    <w:name w:val="*正文 Char Char"/>
    <w:link w:val="163"/>
    <w:qFormat/>
    <w:uiPriority w:val="0"/>
    <w:rPr>
      <w:rFonts w:ascii="宋体" w:hAnsi="宋体"/>
      <w:kern w:val="2"/>
      <w:sz w:val="24"/>
      <w:szCs w:val="24"/>
      <w:lang w:val="zh-CN"/>
    </w:rPr>
  </w:style>
  <w:style w:type="paragraph" w:customStyle="1" w:styleId="163">
    <w:name w:val="*正文"/>
    <w:basedOn w:val="1"/>
    <w:link w:val="162"/>
    <w:qFormat/>
    <w:uiPriority w:val="0"/>
    <w:pPr>
      <w:widowControl/>
      <w:wordWrap w:val="0"/>
      <w:snapToGrid w:val="0"/>
      <w:spacing w:line="360" w:lineRule="auto"/>
      <w:ind w:firstLine="200" w:firstLineChars="200"/>
      <w:contextualSpacing/>
      <w:jc w:val="left"/>
    </w:pPr>
    <w:rPr>
      <w:rFonts w:ascii="宋体" w:hAnsi="宋体"/>
      <w:sz w:val="24"/>
      <w:szCs w:val="24"/>
      <w:lang w:val="zh-CN"/>
    </w:rPr>
  </w:style>
  <w:style w:type="character" w:customStyle="1" w:styleId="164">
    <w:name w:val="正文首行缩进 Char"/>
    <w:basedOn w:val="60"/>
    <w:qFormat/>
    <w:uiPriority w:val="0"/>
    <w:rPr>
      <w:rFonts w:ascii="Calibri" w:hAnsi="Calibri"/>
      <w:kern w:val="2"/>
      <w:sz w:val="21"/>
      <w:szCs w:val="22"/>
    </w:rPr>
  </w:style>
  <w:style w:type="paragraph" w:customStyle="1" w:styleId="165">
    <w:name w:val="索引 11"/>
    <w:basedOn w:val="1"/>
    <w:next w:val="1"/>
    <w:qFormat/>
    <w:uiPriority w:val="0"/>
    <w:pPr>
      <w:spacing w:line="360" w:lineRule="auto"/>
    </w:pPr>
    <w:rPr>
      <w:rFonts w:ascii="仿宋_GB2312" w:hAnsi="Times New Roman" w:eastAsia="仿宋_GB2312"/>
      <w:sz w:val="24"/>
      <w:szCs w:val="20"/>
    </w:rPr>
  </w:style>
  <w:style w:type="character" w:customStyle="1" w:styleId="166">
    <w:name w:val="正文正文 Char"/>
    <w:link w:val="167"/>
    <w:qFormat/>
    <w:uiPriority w:val="0"/>
    <w:rPr>
      <w:rFonts w:ascii="宋体" w:hAnsi="宋体"/>
      <w:color w:val="000000"/>
      <w:sz w:val="28"/>
      <w:szCs w:val="21"/>
    </w:rPr>
  </w:style>
  <w:style w:type="paragraph" w:customStyle="1" w:styleId="167">
    <w:name w:val="正文正文"/>
    <w:basedOn w:val="1"/>
    <w:link w:val="166"/>
    <w:qFormat/>
    <w:uiPriority w:val="0"/>
    <w:pPr>
      <w:spacing w:afterLines="50" w:line="360" w:lineRule="auto"/>
      <w:ind w:firstLine="200"/>
    </w:pPr>
    <w:rPr>
      <w:rFonts w:ascii="宋体" w:hAnsi="宋体"/>
      <w:color w:val="000000"/>
      <w:kern w:val="0"/>
      <w:sz w:val="28"/>
      <w:szCs w:val="21"/>
    </w:rPr>
  </w:style>
  <w:style w:type="character" w:customStyle="1" w:styleId="168">
    <w:name w:val="纯文本 Char1_0"/>
    <w:qFormat/>
    <w:uiPriority w:val="0"/>
    <w:rPr>
      <w:rFonts w:ascii="宋体" w:hAnsi="Courier New" w:eastAsia="宋体" w:cs="Times New Roman"/>
      <w:lang w:val="en-US" w:eastAsia="zh-CN"/>
    </w:rPr>
  </w:style>
  <w:style w:type="paragraph" w:customStyle="1" w:styleId="169">
    <w:name w:val="Normal_26_0"/>
    <w:qFormat/>
    <w:uiPriority w:val="0"/>
    <w:pPr>
      <w:widowControl w:val="0"/>
      <w:jc w:val="both"/>
    </w:pPr>
    <w:rPr>
      <w:rFonts w:ascii="Calibri" w:hAnsi="Calibri" w:eastAsia="宋体" w:cs="Times New Roman"/>
      <w:szCs w:val="24"/>
      <w:lang w:val="en-US" w:eastAsia="zh-CN" w:bidi="ar-SA"/>
    </w:rPr>
  </w:style>
  <w:style w:type="paragraph" w:customStyle="1" w:styleId="170">
    <w:name w:val="Normal_27_0"/>
    <w:qFormat/>
    <w:uiPriority w:val="0"/>
    <w:rPr>
      <w:rFonts w:ascii="Calibri" w:hAnsi="Calibri" w:eastAsia="Times New Roman" w:cs="Times New Roman"/>
      <w:sz w:val="24"/>
      <w:szCs w:val="24"/>
      <w:lang w:val="en-US" w:eastAsia="zh-CN" w:bidi="ar-SA"/>
    </w:rPr>
  </w:style>
  <w:style w:type="character" w:customStyle="1" w:styleId="171">
    <w:name w:val="Font Style115"/>
    <w:qFormat/>
    <w:uiPriority w:val="0"/>
    <w:rPr>
      <w:rFonts w:hint="eastAsia" w:ascii="Times New Roman" w:hAnsi="Times New Roman" w:eastAsia="Times New Roman" w:cs="Times New Roman"/>
      <w:sz w:val="16"/>
    </w:rPr>
  </w:style>
  <w:style w:type="character" w:customStyle="1" w:styleId="172">
    <w:name w:val="sidecatalog-index1"/>
    <w:qFormat/>
    <w:uiPriority w:val="0"/>
    <w:rPr>
      <w:rFonts w:ascii="Arial" w:hAnsi="Arial" w:eastAsia="宋体" w:cs="Arial"/>
      <w:b/>
      <w:color w:val="999999"/>
      <w:sz w:val="21"/>
      <w:szCs w:val="21"/>
    </w:rPr>
  </w:style>
  <w:style w:type="paragraph" w:customStyle="1" w:styleId="173">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正文_0_1_0"/>
    <w:basedOn w:val="86"/>
    <w:qFormat/>
    <w:uiPriority w:val="0"/>
    <w:rPr>
      <w:rFonts w:ascii="Times New Roman" w:hAnsi="Times New Roman"/>
      <w:szCs w:val="24"/>
    </w:rPr>
  </w:style>
  <w:style w:type="paragraph" w:customStyle="1" w:styleId="175">
    <w:name w:val="正文_2_3"/>
    <w:basedOn w:val="86"/>
    <w:qFormat/>
    <w:uiPriority w:val="0"/>
    <w:rPr>
      <w:rFonts w:ascii="Times New Roman" w:hAnsi="Times New Roman"/>
    </w:rPr>
  </w:style>
  <w:style w:type="character" w:customStyle="1" w:styleId="176">
    <w:name w:val="楷体 (中文) 楷体"/>
    <w:qFormat/>
    <w:uiPriority w:val="0"/>
    <w:rPr>
      <w:rFonts w:ascii="楷体" w:hAnsi="楷体" w:eastAsia="楷体"/>
      <w:kern w:val="1"/>
      <w:sz w:val="28"/>
    </w:rPr>
  </w:style>
  <w:style w:type="paragraph" w:customStyle="1" w:styleId="177">
    <w:name w:val="修订2"/>
    <w:qFormat/>
    <w:uiPriority w:val="99"/>
    <w:rPr>
      <w:rFonts w:ascii="Calibri" w:hAnsi="Calibri" w:eastAsia="宋体" w:cs="Times New Roman"/>
      <w:kern w:val="2"/>
      <w:sz w:val="21"/>
      <w:szCs w:val="22"/>
      <w:lang w:val="en-US" w:eastAsia="zh-CN" w:bidi="ar-SA"/>
    </w:rPr>
  </w:style>
  <w:style w:type="paragraph" w:customStyle="1" w:styleId="178">
    <w:name w:val="纯文本_1"/>
    <w:basedOn w:val="111"/>
    <w:link w:val="179"/>
    <w:qFormat/>
    <w:uiPriority w:val="0"/>
    <w:rPr>
      <w:rFonts w:ascii="宋体" w:hAnsi="Courier New"/>
      <w:szCs w:val="21"/>
    </w:rPr>
  </w:style>
  <w:style w:type="character" w:customStyle="1" w:styleId="179">
    <w:name w:val="纯文本 Char_1"/>
    <w:link w:val="178"/>
    <w:qFormat/>
    <w:uiPriority w:val="0"/>
    <w:rPr>
      <w:rFonts w:ascii="宋体" w:hAnsi="Courier New"/>
      <w:kern w:val="2"/>
      <w:sz w:val="21"/>
      <w:szCs w:val="21"/>
    </w:rPr>
  </w:style>
  <w:style w:type="character" w:customStyle="1" w:styleId="180">
    <w:name w:val="副标题 Char"/>
    <w:basedOn w:val="42"/>
    <w:qFormat/>
    <w:uiPriority w:val="0"/>
    <w:rPr>
      <w:rFonts w:ascii="Cambria" w:hAnsi="Cambria" w:cs="宋体"/>
      <w:b/>
      <w:bCs/>
      <w:kern w:val="28"/>
      <w:sz w:val="32"/>
      <w:szCs w:val="32"/>
    </w:rPr>
  </w:style>
  <w:style w:type="character" w:customStyle="1" w:styleId="181">
    <w:name w:val="副标题 Char1"/>
    <w:basedOn w:val="42"/>
    <w:link w:val="29"/>
    <w:qFormat/>
    <w:uiPriority w:val="0"/>
    <w:rPr>
      <w:rFonts w:ascii="Cambria" w:hAnsi="Cambria" w:eastAsia="楷体_GB2312"/>
      <w:b/>
      <w:bCs/>
      <w:kern w:val="28"/>
      <w:sz w:val="32"/>
      <w:szCs w:val="32"/>
    </w:rPr>
  </w:style>
  <w:style w:type="paragraph" w:customStyle="1" w:styleId="182">
    <w:name w:val="正文文本_1_0"/>
    <w:basedOn w:val="116"/>
    <w:link w:val="183"/>
    <w:qFormat/>
    <w:uiPriority w:val="0"/>
    <w:pPr>
      <w:spacing w:after="120"/>
    </w:pPr>
    <w:rPr>
      <w:rFonts w:ascii="Times New Roman" w:hAnsi="Times New Roman"/>
      <w:kern w:val="0"/>
      <w:sz w:val="20"/>
      <w:szCs w:val="24"/>
    </w:rPr>
  </w:style>
  <w:style w:type="character" w:customStyle="1" w:styleId="183">
    <w:name w:val="正文文本 Char1_1_0"/>
    <w:link w:val="182"/>
    <w:qFormat/>
    <w:uiPriority w:val="0"/>
    <w:rPr>
      <w:szCs w:val="24"/>
    </w:rPr>
  </w:style>
  <w:style w:type="character" w:customStyle="1" w:styleId="184">
    <w:name w:val="font11"/>
    <w:basedOn w:val="42"/>
    <w:qFormat/>
    <w:uiPriority w:val="0"/>
    <w:rPr>
      <w:rFonts w:hint="default" w:ascii="Times New Roman" w:hAnsi="Times New Roman" w:cs="Times New Roman"/>
      <w:color w:val="000000"/>
      <w:sz w:val="22"/>
      <w:szCs w:val="22"/>
      <w:u w:val="none"/>
    </w:rPr>
  </w:style>
  <w:style w:type="character" w:customStyle="1" w:styleId="185">
    <w:name w:val="font21"/>
    <w:basedOn w:val="42"/>
    <w:qFormat/>
    <w:uiPriority w:val="0"/>
    <w:rPr>
      <w:rFonts w:hint="eastAsia" w:ascii="仿宋" w:hAnsi="仿宋" w:eastAsia="仿宋" w:cs="仿宋"/>
      <w:color w:val="000000"/>
      <w:sz w:val="22"/>
      <w:szCs w:val="22"/>
      <w:u w:val="none"/>
    </w:rPr>
  </w:style>
  <w:style w:type="character" w:customStyle="1" w:styleId="186">
    <w:name w:val="页眉 Char"/>
    <w:qFormat/>
    <w:uiPriority w:val="99"/>
    <w:rPr>
      <w:kern w:val="2"/>
      <w:sz w:val="18"/>
      <w:szCs w:val="18"/>
    </w:rPr>
  </w:style>
  <w:style w:type="character" w:customStyle="1" w:styleId="187">
    <w:name w:val="正文文本 Char_0"/>
    <w:qFormat/>
    <w:uiPriority w:val="0"/>
    <w:rPr>
      <w:rFonts w:ascii="Calibri" w:hAnsi="Calibri" w:eastAsia="宋体" w:cs="Times New Roman"/>
    </w:rPr>
  </w:style>
  <w:style w:type="paragraph" w:customStyle="1" w:styleId="18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0">
    <w:name w:val="WPSOffice手动目录 1"/>
    <w:qFormat/>
    <w:uiPriority w:val="0"/>
    <w:rPr>
      <w:rFonts w:ascii="Times New Roman" w:hAnsi="Times New Roman" w:eastAsia="宋体" w:cs="Times New Roman"/>
      <w:lang w:val="en-US" w:eastAsia="zh-CN" w:bidi="ar-SA"/>
    </w:rPr>
  </w:style>
  <w:style w:type="paragraph" w:customStyle="1" w:styleId="19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92">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193">
    <w:name w:val="网格型2"/>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4">
    <w:name w:val="目录1"/>
    <w:basedOn w:val="1"/>
    <w:qFormat/>
    <w:uiPriority w:val="0"/>
    <w:pPr>
      <w:adjustRightInd w:val="0"/>
      <w:spacing w:line="420" w:lineRule="atLeast"/>
    </w:pPr>
    <w:rPr>
      <w:rFonts w:eastAsia="黑体"/>
      <w:b/>
      <w:kern w:val="0"/>
      <w:szCs w:val="20"/>
    </w:rPr>
  </w:style>
  <w:style w:type="paragraph" w:customStyle="1" w:styleId="195">
    <w:name w:val="正文_14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67800-960E-46A3-AD02-80486AC0EA2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40159</Words>
  <Characters>42212</Characters>
  <Lines>334</Lines>
  <Paragraphs>94</Paragraphs>
  <TotalTime>2</TotalTime>
  <ScaleCrop>false</ScaleCrop>
  <LinksUpToDate>false</LinksUpToDate>
  <CharactersWithSpaces>43739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2022-05-10T07:26:00Z</dcterms:created>
  <dc:creator>微软用户</dc:creator>
  <cp:lastModifiedBy>WPS_1545706820</cp:lastModifiedBy>
  <cp:lastPrinted>2023-05-23T04:25:00Z</cp:lastPrinted>
  <dcterms:modified xsi:type="dcterms:W3CDTF">2023-06-01T10:54:12Z</dcterms:modified>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36C2DFD40CC24D7787169869D6E08CFA_13</vt:lpwstr>
  </property>
</Properties>
</file>