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 xml:space="preserve">                                                                              </w:t>
      </w:r>
    </w:p>
    <w:p>
      <w:pPr>
        <w:spacing w:line="240" w:lineRule="atLeas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塔什库尔干县教育局各乡镇小学学生用床及其他配套生活设施采购项目</w:t>
      </w:r>
    </w:p>
    <w:p>
      <w:pPr>
        <w:pStyle w:val="8"/>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spacing w:line="240" w:lineRule="atLeast"/>
        <w:ind w:left="1080" w:leftChars="257" w:hanging="540"/>
        <w:jc w:val="center"/>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eastAsia="zh-CN"/>
        </w:rPr>
        <w:t>竞争性磋商文件</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pStyle w:val="6"/>
        <w:rPr>
          <w:rFonts w:hint="eastAsia" w:ascii="仿宋" w:hAnsi="仿宋" w:eastAsia="仿宋" w:cs="仿宋"/>
          <w:color w:val="auto"/>
          <w:highlight w:val="none"/>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KSTX(CS)2023-06</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jc w:val="both"/>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pStyle w:val="6"/>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eastAsia="宋体" w:cs="Times New Roman"/>
          <w:b/>
          <w:bCs/>
          <w:color w:val="000000"/>
          <w:sz w:val="30"/>
          <w:highlight w:val="none"/>
        </w:rPr>
      </w:pPr>
      <w:r>
        <w:rPr>
          <w:rFonts w:hint="eastAsia" w:ascii="宋体" w:hAnsi="宋体" w:eastAsia="宋体" w:cs="Times New Roman"/>
          <w:b/>
          <w:bCs/>
          <w:color w:val="000000"/>
          <w:sz w:val="30"/>
          <w:highlight w:val="none"/>
          <w:lang w:eastAsia="zh-CN"/>
        </w:rPr>
        <w:t>采</w:t>
      </w:r>
      <w:r>
        <w:rPr>
          <w:rFonts w:hint="eastAsia" w:ascii="宋体" w:hAnsi="宋体" w:eastAsia="宋体" w:cs="Times New Roman"/>
          <w:b/>
          <w:bCs/>
          <w:color w:val="000000"/>
          <w:sz w:val="30"/>
          <w:highlight w:val="none"/>
        </w:rPr>
        <w:t xml:space="preserve">   </w:t>
      </w:r>
      <w:r>
        <w:rPr>
          <w:rFonts w:hint="eastAsia" w:ascii="宋体" w:hAnsi="宋体" w:eastAsia="宋体" w:cs="Times New Roman"/>
          <w:b/>
          <w:bCs/>
          <w:color w:val="000000"/>
          <w:sz w:val="30"/>
          <w:highlight w:val="none"/>
          <w:lang w:eastAsia="zh-CN"/>
        </w:rPr>
        <w:t>购</w:t>
      </w:r>
      <w:r>
        <w:rPr>
          <w:rFonts w:hint="eastAsia" w:ascii="宋体" w:hAnsi="宋体" w:eastAsia="宋体" w:cs="Times New Roman"/>
          <w:b/>
          <w:bCs/>
          <w:color w:val="000000"/>
          <w:sz w:val="30"/>
          <w:highlight w:val="none"/>
        </w:rPr>
        <w:t xml:space="preserve">   人：</w:t>
      </w:r>
      <w:r>
        <w:rPr>
          <w:rFonts w:hint="eastAsia" w:ascii="宋体" w:hAnsi="宋体" w:eastAsia="宋体" w:cs="Times New Roman"/>
          <w:b/>
          <w:bCs/>
          <w:color w:val="000000"/>
          <w:sz w:val="30"/>
          <w:highlight w:val="none"/>
          <w:lang w:eastAsia="zh-CN"/>
        </w:rPr>
        <w:t>塔什库尔干塔吉克自治县教育和科学技术局</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default" w:ascii="宋体" w:hAnsi="宋体" w:eastAsia="宋体" w:cs="Times New Roman"/>
          <w:b/>
          <w:bCs/>
          <w:color w:val="000000"/>
          <w:sz w:val="30"/>
          <w:highlight w:val="none"/>
          <w:lang w:val="en-US" w:eastAsia="zh-CN"/>
        </w:rPr>
      </w:pPr>
      <w:r>
        <w:rPr>
          <w:rFonts w:hint="eastAsia" w:ascii="宋体" w:hAnsi="宋体" w:eastAsia="宋体" w:cs="Times New Roman"/>
          <w:b/>
          <w:bCs/>
          <w:color w:val="000000"/>
          <w:sz w:val="30"/>
          <w:highlight w:val="none"/>
        </w:rPr>
        <w:t>联</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rPr>
        <w:t>系</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rPr>
        <w:t>人：</w:t>
      </w:r>
      <w:r>
        <w:rPr>
          <w:rFonts w:hint="eastAsia" w:ascii="宋体" w:hAnsi="宋体" w:eastAsia="宋体" w:cs="Times New Roman"/>
          <w:b/>
          <w:bCs/>
          <w:color w:val="000000"/>
          <w:sz w:val="30"/>
          <w:highlight w:val="none"/>
          <w:lang w:val="en-US" w:eastAsia="zh-CN"/>
        </w:rPr>
        <w:t>卡拉米丁·阿曼比克</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eastAsia="宋体" w:cs="Times New Roman"/>
          <w:b/>
          <w:bCs/>
          <w:color w:val="000000"/>
          <w:sz w:val="30"/>
          <w:highlight w:val="none"/>
          <w:lang w:eastAsia="zh-CN"/>
        </w:rPr>
      </w:pPr>
      <w:r>
        <w:rPr>
          <w:rFonts w:hint="eastAsia" w:ascii="宋体" w:hAnsi="宋体" w:eastAsia="宋体" w:cs="Times New Roman"/>
          <w:b/>
          <w:bCs/>
          <w:color w:val="000000"/>
          <w:sz w:val="30"/>
          <w:highlight w:val="none"/>
          <w:lang w:eastAsia="zh-CN"/>
        </w:rPr>
        <w:t>联</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lang w:eastAsia="zh-CN"/>
        </w:rPr>
        <w:t>系</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lang w:eastAsia="zh-CN"/>
        </w:rPr>
        <w:t>电</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lang w:eastAsia="zh-CN"/>
        </w:rPr>
        <w:t>话：13999649790</w:t>
      </w:r>
    </w:p>
    <w:p>
      <w:pPr>
        <w:pStyle w:val="17"/>
        <w:rPr>
          <w:rFonts w:hint="eastAsia"/>
          <w:lang w:eastAsia="zh-CN"/>
        </w:rPr>
      </w:pP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b/>
          <w:bCs/>
          <w:color w:val="000000"/>
          <w:sz w:val="30"/>
          <w:highlight w:val="none"/>
        </w:rPr>
      </w:pPr>
      <w:r>
        <w:rPr>
          <w:rFonts w:hint="eastAsia" w:ascii="宋体" w:hAnsi="宋体"/>
          <w:b/>
          <w:bCs/>
          <w:color w:val="000000"/>
          <w:sz w:val="30"/>
          <w:highlight w:val="none"/>
        </w:rPr>
        <w:t>采购代理机构：</w:t>
      </w:r>
      <w:r>
        <w:rPr>
          <w:rFonts w:hint="eastAsia" w:ascii="宋体" w:hAnsi="宋体"/>
          <w:b/>
          <w:bCs/>
          <w:color w:val="000000"/>
          <w:sz w:val="30"/>
          <w:highlight w:val="none"/>
          <w:lang w:eastAsia="zh-CN"/>
        </w:rPr>
        <w:t>塔什库尔干县政府采购中心</w:t>
      </w:r>
      <w:r>
        <w:rPr>
          <w:rFonts w:hint="eastAsia" w:ascii="宋体" w:hAnsi="宋体"/>
          <w:b/>
          <w:bCs/>
          <w:color w:val="000000"/>
          <w:sz w:val="30"/>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left="0" w:hanging="2108" w:hangingChars="700"/>
        <w:jc w:val="left"/>
        <w:textAlignment w:val="auto"/>
        <w:rPr>
          <w:rFonts w:hint="eastAsia" w:ascii="宋体" w:hAnsi="宋体" w:eastAsia="宋体"/>
          <w:b/>
          <w:bCs/>
          <w:color w:val="000000"/>
          <w:sz w:val="30"/>
          <w:highlight w:val="none"/>
          <w:lang w:eastAsia="zh-CN"/>
        </w:rPr>
      </w:pPr>
      <w:r>
        <w:rPr>
          <w:rFonts w:hint="eastAsia" w:ascii="宋体" w:hAnsi="宋体"/>
          <w:b/>
          <w:bCs/>
          <w:color w:val="000000"/>
          <w:sz w:val="30"/>
          <w:highlight w:val="none"/>
        </w:rPr>
        <w:t>代理机构地址：</w:t>
      </w:r>
      <w:r>
        <w:rPr>
          <w:rFonts w:hint="eastAsia" w:ascii="宋体" w:hAnsi="宋体"/>
          <w:b/>
          <w:bCs/>
          <w:color w:val="000000"/>
          <w:sz w:val="30"/>
          <w:highlight w:val="none"/>
          <w:lang w:eastAsia="zh-CN"/>
        </w:rPr>
        <w:t>塔什库尔干县审批局</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eastAsia="宋体"/>
          <w:b/>
          <w:bCs/>
          <w:color w:val="000000"/>
          <w:sz w:val="30"/>
          <w:szCs w:val="30"/>
          <w:highlight w:val="none"/>
          <w:lang w:eastAsia="zh-CN"/>
        </w:rPr>
      </w:pPr>
      <w:r>
        <w:rPr>
          <w:rFonts w:hint="eastAsia" w:ascii="宋体" w:hAnsi="宋体"/>
          <w:b/>
          <w:bCs/>
          <w:color w:val="000000"/>
          <w:sz w:val="30"/>
          <w:szCs w:val="30"/>
          <w:highlight w:val="none"/>
        </w:rPr>
        <w:t>联   系   人：</w:t>
      </w:r>
      <w:r>
        <w:rPr>
          <w:rFonts w:hint="eastAsia" w:ascii="宋体" w:hAnsi="宋体"/>
          <w:b/>
          <w:bCs/>
          <w:color w:val="000000"/>
          <w:sz w:val="30"/>
          <w:szCs w:val="30"/>
          <w:highlight w:val="none"/>
          <w:lang w:eastAsia="zh-CN"/>
        </w:rPr>
        <w:t>尼加提</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仿宋" w:hAnsi="仿宋" w:eastAsia="仿宋" w:cs="仿宋"/>
          <w:b/>
          <w:bCs/>
          <w:color w:val="auto"/>
          <w:sz w:val="32"/>
          <w:szCs w:val="32"/>
          <w:highlight w:val="none"/>
        </w:rPr>
      </w:pPr>
      <w:r>
        <w:rPr>
          <w:rFonts w:hint="eastAsia" w:ascii="宋体" w:hAnsi="宋体"/>
          <w:b/>
          <w:bCs/>
          <w:color w:val="000000"/>
          <w:sz w:val="30"/>
          <w:szCs w:val="30"/>
          <w:highlight w:val="none"/>
        </w:rPr>
        <w:t>联  系 电</w:t>
      </w:r>
      <w:r>
        <w:rPr>
          <w:rFonts w:hint="eastAsia" w:ascii="宋体" w:hAnsi="宋体"/>
          <w:b/>
          <w:bCs/>
          <w:color w:val="000000"/>
          <w:sz w:val="30"/>
          <w:highlight w:val="none"/>
        </w:rPr>
        <w:t xml:space="preserve"> 话：</w:t>
      </w:r>
      <w:r>
        <w:rPr>
          <w:rFonts w:hint="eastAsia" w:ascii="宋体" w:hAnsi="宋体"/>
          <w:b/>
          <w:bCs/>
          <w:color w:val="000000"/>
          <w:sz w:val="30"/>
          <w:highlight w:val="none"/>
          <w:lang w:eastAsia="zh-CN"/>
        </w:rPr>
        <w:t>13899135173</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发出日期：</w:t>
      </w:r>
      <w:r>
        <w:rPr>
          <w:rFonts w:hint="eastAsia" w:ascii="仿宋" w:hAnsi="仿宋" w:eastAsia="仿宋" w:cs="仿宋"/>
          <w:b/>
          <w:bCs/>
          <w:color w:val="auto"/>
          <w:sz w:val="32"/>
          <w:szCs w:val="32"/>
          <w:highlight w:val="none"/>
          <w:u w:val="single"/>
        </w:rPr>
        <w:t>20</w:t>
      </w:r>
      <w:r>
        <w:rPr>
          <w:rFonts w:hint="eastAsia" w:ascii="仿宋" w:hAnsi="仿宋" w:eastAsia="仿宋" w:cs="仿宋"/>
          <w:b/>
          <w:bCs/>
          <w:color w:val="auto"/>
          <w:sz w:val="32"/>
          <w:szCs w:val="32"/>
          <w:highlight w:val="none"/>
          <w:u w:val="single"/>
          <w:lang w:val="en-US" w:eastAsia="zh-CN"/>
        </w:rPr>
        <w:t>23</w:t>
      </w:r>
      <w:r>
        <w:rPr>
          <w:rFonts w:hint="eastAsia" w:ascii="仿宋" w:hAnsi="仿宋" w:eastAsia="仿宋" w:cs="仿宋"/>
          <w:b/>
          <w:bCs/>
          <w:color w:val="auto"/>
          <w:sz w:val="32"/>
          <w:szCs w:val="32"/>
          <w:highlight w:val="none"/>
          <w:u w:val="single"/>
        </w:rPr>
        <w:t>年</w:t>
      </w:r>
      <w:r>
        <w:rPr>
          <w:rFonts w:hint="eastAsia" w:ascii="仿宋" w:hAnsi="仿宋" w:eastAsia="仿宋" w:cs="仿宋"/>
          <w:b/>
          <w:bCs/>
          <w:color w:val="auto"/>
          <w:sz w:val="32"/>
          <w:szCs w:val="32"/>
          <w:highlight w:val="none"/>
          <w:u w:val="single"/>
          <w:lang w:val="en-US" w:eastAsia="zh-CN"/>
        </w:rPr>
        <w:t>5</w:t>
      </w:r>
      <w:r>
        <w:rPr>
          <w:rFonts w:hint="eastAsia" w:ascii="仿宋" w:hAnsi="仿宋" w:eastAsia="仿宋" w:cs="仿宋"/>
          <w:b/>
          <w:bCs/>
          <w:color w:val="auto"/>
          <w:sz w:val="32"/>
          <w:szCs w:val="32"/>
          <w:highlight w:val="none"/>
          <w:u w:val="single"/>
        </w:rPr>
        <w:t>月</w:t>
      </w:r>
    </w:p>
    <w:p>
      <w:pPr>
        <w:spacing w:line="240" w:lineRule="atLeas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br w:type="page"/>
      </w:r>
      <w:r>
        <w:rPr>
          <w:rFonts w:hint="eastAsia" w:ascii="仿宋" w:hAnsi="仿宋" w:eastAsia="仿宋" w:cs="仿宋"/>
          <w:b/>
          <w:bCs/>
          <w:color w:val="auto"/>
          <w:sz w:val="44"/>
          <w:szCs w:val="44"/>
          <w:highlight w:val="none"/>
          <w:lang w:eastAsia="zh-CN"/>
        </w:rPr>
        <w:t>塔什库尔干县教育局各乡镇小学学生用床及其他配套生活设施备采购项目</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default" w:ascii="仿宋" w:hAnsi="仿宋" w:eastAsia="仿宋" w:cs="仿宋"/>
          <w:b/>
          <w:bCs/>
          <w:color w:val="auto"/>
          <w:sz w:val="44"/>
          <w:szCs w:val="44"/>
          <w:highlight w:val="none"/>
          <w:lang w:val="en-US" w:eastAsia="zh-CN"/>
        </w:rPr>
      </w:pPr>
    </w:p>
    <w:p>
      <w:pPr>
        <w:pStyle w:val="4"/>
        <w:rPr>
          <w:rFonts w:hint="eastAsia" w:ascii="仿宋" w:hAnsi="仿宋" w:eastAsia="仿宋" w:cs="仿宋"/>
          <w:b/>
          <w:bCs/>
          <w:color w:val="auto"/>
          <w:kern w:val="2"/>
          <w:sz w:val="44"/>
          <w:szCs w:val="44"/>
          <w:highlight w:val="none"/>
          <w:lang w:val="en-US" w:eastAsia="zh-CN" w:bidi="ar-SA"/>
        </w:rPr>
      </w:pPr>
    </w:p>
    <w:p>
      <w:pPr>
        <w:rPr>
          <w:rFonts w:hint="eastAsia"/>
          <w:lang w:val="en-US" w:eastAsia="zh-CN"/>
        </w:rPr>
      </w:pPr>
    </w:p>
    <w:p>
      <w:pPr>
        <w:spacing w:line="240" w:lineRule="atLeast"/>
        <w:jc w:val="center"/>
        <w:rPr>
          <w:rFonts w:hint="eastAsia" w:ascii="仿宋" w:hAnsi="仿宋" w:eastAsia="仿宋" w:cs="仿宋"/>
          <w:b/>
          <w:bCs/>
          <w:color w:val="auto"/>
          <w:sz w:val="44"/>
          <w:szCs w:val="44"/>
          <w:highlight w:val="none"/>
          <w:lang w:eastAsia="zh-CN"/>
        </w:rPr>
      </w:pPr>
    </w:p>
    <w:p>
      <w:pPr>
        <w:pStyle w:val="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竞争性磋商文件</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pStyle w:val="6"/>
        <w:rPr>
          <w:rFonts w:hint="eastAsia" w:ascii="仿宋" w:hAnsi="仿宋" w:eastAsia="仿宋" w:cs="仿宋"/>
          <w:color w:val="auto"/>
          <w:highlight w:val="none"/>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KSTX(CS)2023-06</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0000FF"/>
          <w:sz w:val="40"/>
          <w:szCs w:val="40"/>
          <w:highlight w:val="none"/>
        </w:rPr>
      </w:pPr>
    </w:p>
    <w:p>
      <w:pPr>
        <w:spacing w:line="240" w:lineRule="atLeast"/>
        <w:ind w:left="1080" w:leftChars="257" w:hanging="540"/>
        <w:jc w:val="both"/>
        <w:rPr>
          <w:rFonts w:hint="eastAsia" w:ascii="仿宋" w:hAnsi="仿宋" w:eastAsia="仿宋" w:cs="仿宋"/>
          <w:b/>
          <w:bCs/>
          <w:color w:val="auto"/>
          <w:sz w:val="40"/>
          <w:szCs w:val="40"/>
          <w:highlight w:val="none"/>
        </w:rPr>
      </w:pPr>
    </w:p>
    <w:p>
      <w:pPr>
        <w:spacing w:line="240" w:lineRule="atLeast"/>
        <w:ind w:left="1080" w:leftChars="257" w:hanging="540"/>
        <w:jc w:val="center"/>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 xml:space="preserve"> </w:t>
      </w: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第一册</w:t>
      </w: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rPr>
          <w:rFonts w:hint="eastAsia" w:ascii="仿宋" w:hAnsi="仿宋" w:eastAsia="仿宋" w:cs="仿宋"/>
          <w:b/>
          <w:color w:val="auto"/>
          <w:szCs w:val="21"/>
          <w:highlight w:val="none"/>
        </w:rPr>
      </w:pPr>
    </w:p>
    <w:p>
      <w:pPr>
        <w:spacing w:line="240" w:lineRule="atLeast"/>
        <w:ind w:left="1080" w:leftChars="257" w:hanging="540"/>
        <w:jc w:val="center"/>
        <w:rPr>
          <w:rFonts w:hint="eastAsia" w:ascii="仿宋" w:hAnsi="仿宋" w:eastAsia="仿宋" w:cs="仿宋"/>
          <w:b/>
          <w:color w:val="auto"/>
          <w:sz w:val="32"/>
          <w:highlight w:val="none"/>
        </w:rPr>
        <w:sectPr>
          <w:headerReference r:id="rId3" w:type="default"/>
          <w:footerReference r:id="rId4" w:type="default"/>
          <w:pgSz w:w="11906" w:h="16838"/>
          <w:pgMar w:top="1440" w:right="1797" w:bottom="1440" w:left="1797" w:header="283" w:footer="992" w:gutter="0"/>
          <w:pgNumType w:fmt="decimal"/>
          <w:cols w:space="720" w:num="1"/>
          <w:docGrid w:linePitch="312" w:charSpace="0"/>
        </w:sectPr>
      </w:pPr>
    </w:p>
    <w:p>
      <w:pPr>
        <w:spacing w:line="240" w:lineRule="atLeast"/>
        <w:ind w:left="1080" w:leftChars="257" w:hanging="54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目  录</w:t>
      </w:r>
    </w:p>
    <w:p>
      <w:pPr>
        <w:spacing w:line="240" w:lineRule="atLeast"/>
        <w:ind w:left="1080" w:leftChars="257" w:hanging="540"/>
        <w:jc w:val="center"/>
        <w:rPr>
          <w:rFonts w:hint="eastAsia" w:ascii="仿宋" w:hAnsi="仿宋" w:eastAsia="仿宋" w:cs="仿宋"/>
          <w:b/>
          <w:color w:val="auto"/>
          <w:sz w:val="32"/>
          <w:highlight w:val="none"/>
        </w:rPr>
      </w:pP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TOC \o "1-3" \h \z \u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_Toc17722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第1章</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_Toc17722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_Toc10803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一   总  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_Toc10803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_Toc13595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1.采购人、采购代理机构及</w:t>
      </w:r>
      <w:r>
        <w:rPr>
          <w:rFonts w:hint="eastAsia" w:ascii="仿宋" w:hAnsi="仿宋" w:eastAsia="仿宋" w:cs="仿宋"/>
          <w:color w:val="auto"/>
          <w:sz w:val="24"/>
          <w:szCs w:val="24"/>
          <w:highlight w:val="none"/>
          <w:lang w:eastAsia="zh-CN"/>
        </w:rPr>
        <w:t>投标人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_Toc13595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_Toc2008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2.资金来源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_Toc2008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keepNext w:val="0"/>
        <w:keepLines w:val="0"/>
        <w:pageBreakBefore w:val="0"/>
        <w:widowControl w:val="0"/>
        <w:tabs>
          <w:tab w:val="right" w:leader="dot" w:pos="8312"/>
          <w:tab w:val="clear" w:pos="1260"/>
          <w:tab w:val="clear" w:pos="8630"/>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_Toc4722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3.投标费用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_Toc4722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_Toc4773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4.适用法律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_Toc4773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_Toc30903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 xml:space="preserve">二   </w:t>
      </w:r>
      <w:r>
        <w:rPr>
          <w:rFonts w:hint="eastAsia" w:ascii="仿宋" w:hAnsi="仿宋" w:eastAsia="仿宋" w:cs="仿宋"/>
          <w:color w:val="auto"/>
          <w:sz w:val="24"/>
          <w:szCs w:val="24"/>
          <w:highlight w:val="none"/>
          <w:lang w:eastAsia="zh-CN"/>
        </w:rPr>
        <w:t>磋商文件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_Toc30903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_Toc32371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构成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_Toc32371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_Toc16795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的澄清与修改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_Toc16795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_Toc18045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7.投标截止时间的顺延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_Toc18045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_Toc10869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 xml:space="preserve">三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的编制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_Toc10869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pos="3600"/>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_Toc19878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投标范围及</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中标准和计量单位的使用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_Toc19878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_Toc16888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构成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_Toc16888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pos="3600"/>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_Toc10692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证明投标标的的合格性和符合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规定的响应文件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_Toc10692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_Toc18634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11.投标报价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_Toc18634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_Toc14951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eastAsia="zh-CN"/>
        </w:rPr>
        <w:t>磋商保证金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_Toc14951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_Toc17337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13.投标有效期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_Toc17337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_Toc28340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的签署及规定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_Toc28340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_Toc31570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 xml:space="preserve">四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_Toc31570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_Toc22296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的密封和标记</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_Toc22296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_Toc2167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16.投标截止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_Toc2167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_Toc26870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的接收、修改与撤回</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_Toc26870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_Toc24979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五   开标及评标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_Toc24979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_Toc417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18.开标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_Toc417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_Toc15154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19.资格审查及组建</w:t>
      </w:r>
      <w:r>
        <w:rPr>
          <w:rFonts w:hint="eastAsia" w:ascii="仿宋" w:hAnsi="仿宋" w:eastAsia="仿宋" w:cs="仿宋"/>
          <w:color w:val="auto"/>
          <w:sz w:val="24"/>
          <w:szCs w:val="24"/>
          <w:highlight w:val="none"/>
          <w:lang w:eastAsia="zh-CN"/>
        </w:rPr>
        <w:t>磋商小组</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_Toc15154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_Toc2311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的符合性审查与澄清</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_Toc2311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_Toc15825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21.投标偏离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_Toc15825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_Toc27970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22.投标无效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_Toc27970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_Toc5678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23.比较与评价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_Toc5678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_Toc21406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24.废标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_Toc21406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_Toc6371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25.保密原则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_Toc6371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_Toc7622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六   确定中标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_Toc7622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_Toc26808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26.中标候选人的确定原则及标准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_Toc26808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_Toc13316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27.确定中标候选人和中标人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_Toc13316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_Toc25319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28.采购任务取消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_Toc25319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_Toc9309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29.中标通知书和</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rPr>
        <w:t>标结果通知书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_Toc9309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_Toc13387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30.签订合同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_Toc13387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_Toc2944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31.履约保证金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_Toc2944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_Toc9492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32.中标服务费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_Toc9492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_Toc7729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33.政府采购信用担保</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_Toc7729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_Toc14079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34.廉洁自律规定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_Toc14079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_Toc7964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35.人员回避</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_Toc7964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_Toc21087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36.质疑与接收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_Toc21087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_Toc11316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附件1：履约保证金保函（格式）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_Toc11316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_Toc24712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附件2：履约担保函格式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_Toc24712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_Toc26630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（采用政府采购信用担保形式时使用）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_Toc26630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_Toc26189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 xml:space="preserve">第2章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_Toc26189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_Toc26281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第一部分 开标一览表及资格证明文件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_Toc26281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_Toc10727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第二部分  商务及技术文件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_Toc10727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_Toc5125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第3章 竞争性磋商公告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_Toc5125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_Toc17489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第4章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须知资料表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_Toc17489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_Toc12237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第5章</w:t>
      </w:r>
      <w:r>
        <w:rPr>
          <w:rFonts w:hint="eastAsia" w:ascii="仿宋" w:hAnsi="仿宋" w:eastAsia="仿宋" w:cs="仿宋"/>
          <w:color w:val="auto"/>
          <w:sz w:val="24"/>
          <w:szCs w:val="24"/>
          <w:highlight w:val="none"/>
        </w:rPr>
        <w:t>服务需求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_Toc12237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_Toc998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第6章</w:t>
      </w:r>
      <w:r>
        <w:rPr>
          <w:rFonts w:hint="eastAsia" w:ascii="仿宋" w:hAnsi="仿宋" w:eastAsia="仿宋" w:cs="仿宋"/>
          <w:color w:val="auto"/>
          <w:sz w:val="24"/>
          <w:szCs w:val="24"/>
          <w:highlight w:val="none"/>
        </w:rPr>
        <w:t>评标方法和标准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_Toc998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_Toc11722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第7章</w:t>
      </w:r>
      <w:r>
        <w:rPr>
          <w:rFonts w:hint="eastAsia" w:ascii="仿宋" w:hAnsi="仿宋" w:eastAsia="仿宋" w:cs="仿宋"/>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_Toc11722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3"/>
        <w:pageBreakBefore w:val="0"/>
        <w:widowControl w:val="0"/>
        <w:numPr>
          <w:ilvl w:val="0"/>
          <w:numId w:val="0"/>
        </w:numPr>
        <w:tabs>
          <w:tab w:val="left" w:pos="0"/>
        </w:tabs>
        <w:kinsoku/>
        <w:wordWrap/>
        <w:overflowPunct/>
        <w:topLinePunct w:val="0"/>
        <w:bidi w:val="0"/>
        <w:snapToGrid/>
        <w:spacing w:before="0" w:after="0" w:line="360" w:lineRule="exact"/>
        <w:ind w:left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end"/>
      </w:r>
      <w:bookmarkStart w:id="0" w:name="_Toc216582804"/>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rPr>
          <w:rFonts w:hint="eastAsia" w:ascii="仿宋" w:hAnsi="仿宋" w:eastAsia="仿宋" w:cs="仿宋"/>
          <w:color w:val="auto"/>
          <w:kern w:val="0"/>
          <w:szCs w:val="21"/>
          <w:highlight w:val="none"/>
        </w:rPr>
      </w:pPr>
    </w:p>
    <w:p>
      <w:pPr>
        <w:pStyle w:val="4"/>
        <w:rPr>
          <w:rFonts w:hint="eastAsia" w:ascii="仿宋" w:hAnsi="仿宋" w:eastAsia="仿宋" w:cs="仿宋"/>
          <w:color w:val="auto"/>
          <w:kern w:val="0"/>
          <w:szCs w:val="21"/>
          <w:highlight w:val="none"/>
        </w:rPr>
      </w:pPr>
    </w:p>
    <w:p>
      <w:pPr>
        <w:rPr>
          <w:rFonts w:hint="eastAsia" w:ascii="仿宋" w:hAnsi="仿宋" w:eastAsia="仿宋" w:cs="仿宋"/>
          <w:color w:val="auto"/>
          <w:kern w:val="0"/>
          <w:szCs w:val="21"/>
          <w:highlight w:val="none"/>
        </w:rPr>
      </w:pPr>
    </w:p>
    <w:p>
      <w:pPr>
        <w:pStyle w:val="3"/>
        <w:pageBreakBefore w:val="0"/>
        <w:widowControl w:val="0"/>
        <w:numPr>
          <w:ilvl w:val="0"/>
          <w:numId w:val="0"/>
        </w:numPr>
        <w:tabs>
          <w:tab w:val="left" w:pos="0"/>
        </w:tabs>
        <w:kinsoku/>
        <w:wordWrap/>
        <w:overflowPunct/>
        <w:topLinePunct w:val="0"/>
        <w:bidi w:val="0"/>
        <w:snapToGrid/>
        <w:spacing w:before="0" w:after="0" w:line="360" w:lineRule="auto"/>
        <w:ind w:leftChars="0"/>
        <w:jc w:val="center"/>
        <w:textAlignment w:val="auto"/>
        <w:rPr>
          <w:rFonts w:hint="eastAsia" w:ascii="仿宋" w:hAnsi="仿宋" w:eastAsia="仿宋" w:cs="仿宋"/>
          <w:color w:val="auto"/>
          <w:highlight w:val="none"/>
        </w:rPr>
      </w:pPr>
      <w:bookmarkStart w:id="1" w:name="_Toc17722"/>
      <w:r>
        <w:rPr>
          <w:rFonts w:hint="eastAsia" w:ascii="仿宋" w:hAnsi="仿宋" w:eastAsia="仿宋" w:cs="仿宋"/>
          <w:b/>
          <w:color w:val="auto"/>
          <w:highlight w:val="none"/>
          <w:lang w:val="en-US" w:eastAsia="zh-CN"/>
        </w:rPr>
        <w:br w:type="page"/>
      </w:r>
      <w:r>
        <w:rPr>
          <w:rFonts w:hint="eastAsia" w:ascii="仿宋" w:hAnsi="仿宋" w:eastAsia="仿宋" w:cs="仿宋"/>
          <w:b/>
          <w:color w:val="auto"/>
          <w:highlight w:val="none"/>
          <w:lang w:val="en-US" w:eastAsia="zh-CN"/>
        </w:rPr>
        <w:t>第1章</w:t>
      </w:r>
      <w:r>
        <w:rPr>
          <w:rFonts w:hint="eastAsia" w:ascii="仿宋" w:hAnsi="仿宋" w:eastAsia="仿宋" w:cs="仿宋"/>
          <w:b/>
          <w:color w:val="auto"/>
          <w:highlight w:val="none"/>
          <w:lang w:eastAsia="zh-CN"/>
        </w:rPr>
        <w:t xml:space="preserve"> </w:t>
      </w:r>
      <w:r>
        <w:rPr>
          <w:rFonts w:hint="eastAsia" w:ascii="仿宋" w:hAnsi="仿宋" w:eastAsia="仿宋" w:cs="仿宋"/>
          <w:color w:val="auto"/>
          <w:highlight w:val="none"/>
        </w:rPr>
        <w:t xml:space="preserve"> </w:t>
      </w:r>
      <w:bookmarkStart w:id="2" w:name="_Toc518923059"/>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须知</w:t>
      </w:r>
      <w:bookmarkEnd w:id="0"/>
      <w:bookmarkEnd w:id="1"/>
      <w:bookmarkEnd w:id="2"/>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highlight w:val="none"/>
        </w:rPr>
      </w:pPr>
      <w:bookmarkStart w:id="3" w:name="_Toc520356143"/>
      <w:bookmarkStart w:id="4" w:name="_Toc216582805"/>
      <w:bookmarkStart w:id="5" w:name="_Toc518923060"/>
      <w:bookmarkStart w:id="6" w:name="_Toc10803"/>
      <w:r>
        <w:rPr>
          <w:rFonts w:hint="eastAsia" w:ascii="仿宋" w:hAnsi="仿宋" w:eastAsia="仿宋" w:cs="仿宋"/>
          <w:color w:val="auto"/>
          <w:sz w:val="28"/>
          <w:highlight w:val="none"/>
        </w:rPr>
        <w:t xml:space="preserve">一   </w:t>
      </w:r>
      <w:bookmarkEnd w:id="3"/>
      <w:bookmarkEnd w:id="4"/>
      <w:r>
        <w:rPr>
          <w:rFonts w:hint="eastAsia" w:ascii="仿宋" w:hAnsi="仿宋" w:eastAsia="仿宋" w:cs="仿宋"/>
          <w:color w:val="auto"/>
          <w:sz w:val="28"/>
          <w:highlight w:val="none"/>
        </w:rPr>
        <w:t>总  则</w:t>
      </w:r>
      <w:bookmarkEnd w:id="5"/>
      <w:bookmarkEnd w:id="6"/>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lang w:eastAsia="zh-CN"/>
        </w:rPr>
      </w:pPr>
      <w:bookmarkStart w:id="7" w:name="_Toc520356144"/>
      <w:bookmarkStart w:id="8" w:name="_Toc13595"/>
      <w:bookmarkStart w:id="9" w:name="_Toc518923061"/>
      <w:r>
        <w:rPr>
          <w:rFonts w:hint="eastAsia" w:ascii="仿宋" w:hAnsi="仿宋" w:eastAsia="仿宋" w:cs="仿宋"/>
          <w:color w:val="auto"/>
          <w:highlight w:val="none"/>
          <w:u w:val="none"/>
        </w:rPr>
        <w:t>1.采购人、采购代理机构及</w:t>
      </w:r>
      <w:bookmarkEnd w:id="7"/>
      <w:bookmarkEnd w:id="8"/>
      <w:bookmarkEnd w:id="9"/>
      <w:r>
        <w:rPr>
          <w:rFonts w:hint="eastAsia" w:ascii="仿宋" w:hAnsi="仿宋" w:eastAsia="仿宋" w:cs="仿宋"/>
          <w:color w:val="auto"/>
          <w:highlight w:val="none"/>
          <w:u w:val="none"/>
          <w:lang w:eastAsia="zh-CN"/>
        </w:rPr>
        <w:t>投标人</w:t>
      </w:r>
    </w:p>
    <w:p>
      <w:pPr>
        <w:pageBreakBefore w:val="0"/>
        <w:widowControl w:val="0"/>
        <w:numPr>
          <w:ilvl w:val="1"/>
          <w:numId w:val="1"/>
        </w:numPr>
        <w:tabs>
          <w:tab w:val="left" w:pos="0"/>
          <w:tab w:val="clear" w:pos="900"/>
        </w:tabs>
        <w:kinsoku/>
        <w:wordWrap/>
        <w:overflowPunct/>
        <w:topLinePunct w:val="0"/>
        <w:bidi w:val="0"/>
        <w:snapToGrid/>
        <w:spacing w:line="360" w:lineRule="auto"/>
        <w:ind w:hanging="89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采购人：是指依法开展政府采购活动的国家机关、事业单位、团体组织。</w:t>
      </w:r>
    </w:p>
    <w:p>
      <w:pPr>
        <w:pageBreakBefore w:val="0"/>
        <w:widowControl w:val="0"/>
        <w:tabs>
          <w:tab w:val="left" w:pos="0"/>
        </w:tabs>
        <w:kinsoku/>
        <w:wordWrap/>
        <w:overflowPunct/>
        <w:topLinePunct w:val="0"/>
        <w:bidi w:val="0"/>
        <w:snapToGrid/>
        <w:spacing w:line="360" w:lineRule="auto"/>
        <w:ind w:left="9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numPr>
          <w:ilvl w:val="1"/>
          <w:numId w:val="1"/>
        </w:numPr>
        <w:tabs>
          <w:tab w:val="left" w:pos="0"/>
          <w:tab w:val="clear" w:pos="900"/>
        </w:tabs>
        <w:kinsoku/>
        <w:wordWrap/>
        <w:overflowPunct/>
        <w:topLinePunct w:val="0"/>
        <w:bidi w:val="0"/>
        <w:snapToGrid/>
        <w:spacing w:line="360" w:lineRule="auto"/>
        <w:ind w:hanging="89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采购代理机构：是指集中采购机构或从事采购代理业务的社会中介机构。本项目的采购代理机构见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numPr>
          <w:ilvl w:val="1"/>
          <w:numId w:val="1"/>
        </w:numPr>
        <w:kinsoku/>
        <w:wordWrap/>
        <w:overflowPunct/>
        <w:topLinePunct w:val="0"/>
        <w:bidi w:val="0"/>
        <w:snapToGrid/>
        <w:spacing w:line="360" w:lineRule="auto"/>
        <w:ind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：是指向采购人提供货物、工程或者服务的法人、非法人组织或者自然人。本项目的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须满足以下条件：</w:t>
      </w:r>
    </w:p>
    <w:p>
      <w:pPr>
        <w:pageBreakBefore w:val="0"/>
        <w:widowControl w:val="0"/>
        <w:kinsoku/>
        <w:wordWrap/>
        <w:overflowPunct/>
        <w:topLinePunct w:val="0"/>
        <w:bidi w:val="0"/>
        <w:snapToGrid/>
        <w:spacing w:line="360" w:lineRule="auto"/>
        <w:ind w:left="850" w:hanging="849" w:hangingChars="354"/>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条件的规定，遵守本项目采购人本级和上级财政部门政府采购的有关规定。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中规定的其他要求。</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中写明专门面向中小企业采购的，如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为非中小企业，其投标将被认定为投标无效。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中允许联合体投标，对联合体规定如下：</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   两个以上</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可以组成一个投标联合体，以一个</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的身份投标。</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的特殊要求，联合体中至少应当有一方符合相关规定。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一并提交招标采购单位。</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1.4.6  联合体中有同类资质的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按照联合体分工承担相同工作的，按照资质等级较低的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确定资质等级。</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1.4.7  以联合体形式参加政府采购活动的，联合体各方不得再单独参加或者与其他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另外组成联合体参加本项目投标，否则相关投标将被认定为投标无效。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，其相关投标将被认定为投标无效。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，不得再参加本项目上述服务以外的其他采购活动。否则其投标将被认定为投标无效。</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在投标过程中不得向采购人提供或给予影响其正常决策行为的任何有价值物品或服务。一经发现，其投标将被认定为投标无效。</w:t>
      </w:r>
    </w:p>
    <w:p>
      <w:pPr>
        <w:pStyle w:val="5"/>
        <w:spacing w:before="0" w:after="0" w:line="240" w:lineRule="atLeast"/>
        <w:rPr>
          <w:rFonts w:hint="eastAsia" w:ascii="仿宋" w:hAnsi="仿宋" w:eastAsia="仿宋" w:cs="仿宋"/>
          <w:color w:val="auto"/>
          <w:highlight w:val="none"/>
          <w:u w:val="none"/>
        </w:rPr>
      </w:pPr>
      <w:bookmarkStart w:id="10" w:name="_Toc518923062"/>
      <w:bookmarkStart w:id="11" w:name="_Toc2008"/>
      <w:r>
        <w:rPr>
          <w:rFonts w:hint="eastAsia" w:ascii="仿宋" w:hAnsi="仿宋" w:eastAsia="仿宋" w:cs="仿宋"/>
          <w:color w:val="auto"/>
          <w:highlight w:val="none"/>
          <w:u w:val="none"/>
        </w:rPr>
        <w:t>2.资金来源</w:t>
      </w:r>
      <w:bookmarkEnd w:id="10"/>
      <w:bookmarkEnd w:id="11"/>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    项目预算金额和分项或分包最高限价</w:t>
      </w:r>
      <w:r>
        <w:rPr>
          <w:rFonts w:hint="eastAsia" w:ascii="仿宋" w:hAnsi="仿宋" w:eastAsia="仿宋" w:cs="仿宋"/>
          <w:color w:val="auto"/>
          <w:sz w:val="24"/>
          <w:highlight w:val="none"/>
          <w:u w:val="single"/>
        </w:rPr>
        <w:t>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报价超过</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规定的预算金额或者分项、分包最高限价的，其投标将被认定为投标无效。</w:t>
      </w:r>
    </w:p>
    <w:p>
      <w:pPr>
        <w:pStyle w:val="5"/>
        <w:spacing w:before="0" w:after="0" w:line="240" w:lineRule="atLeast"/>
        <w:rPr>
          <w:rFonts w:hint="eastAsia" w:ascii="仿宋" w:hAnsi="仿宋" w:eastAsia="仿宋" w:cs="仿宋"/>
          <w:color w:val="auto"/>
          <w:highlight w:val="none"/>
          <w:u w:val="none"/>
        </w:rPr>
      </w:pPr>
      <w:bookmarkStart w:id="12" w:name="_Toc518923063"/>
      <w:bookmarkStart w:id="13" w:name="_Toc520356145"/>
      <w:bookmarkStart w:id="14" w:name="_Toc4722"/>
      <w:r>
        <w:rPr>
          <w:rFonts w:hint="eastAsia" w:ascii="仿宋" w:hAnsi="仿宋" w:eastAsia="仿宋" w:cs="仿宋"/>
          <w:color w:val="auto"/>
          <w:highlight w:val="none"/>
          <w:u w:val="none"/>
        </w:rPr>
        <w:t>3.投标费用</w:t>
      </w:r>
      <w:bookmarkEnd w:id="12"/>
      <w:bookmarkEnd w:id="13"/>
      <w:bookmarkEnd w:id="14"/>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应承担所有与准备和参加投标有关的费用。</w:t>
      </w:r>
    </w:p>
    <w:p>
      <w:pPr>
        <w:pStyle w:val="5"/>
        <w:spacing w:before="0" w:after="0" w:line="240" w:lineRule="atLeast"/>
        <w:rPr>
          <w:rFonts w:hint="eastAsia" w:ascii="仿宋" w:hAnsi="仿宋" w:eastAsia="仿宋" w:cs="仿宋"/>
          <w:color w:val="auto"/>
          <w:highlight w:val="none"/>
          <w:u w:val="none"/>
        </w:rPr>
      </w:pPr>
      <w:bookmarkStart w:id="15" w:name="_Toc4773"/>
      <w:bookmarkStart w:id="16" w:name="_Toc518923064"/>
      <w:r>
        <w:rPr>
          <w:rFonts w:hint="eastAsia" w:ascii="仿宋" w:hAnsi="仿宋" w:eastAsia="仿宋" w:cs="仿宋"/>
          <w:color w:val="auto"/>
          <w:highlight w:val="none"/>
          <w:u w:val="none"/>
        </w:rPr>
        <w:t>4.适用法律</w:t>
      </w:r>
      <w:bookmarkEnd w:id="15"/>
      <w:bookmarkEnd w:id="16"/>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本项目采购人、采购代理机构、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的相关行为均受《中华人民共和国政府采购法》、《中华人民共和国政府采购法实施条例》及本项目本级和上级财政部门政府采购有关规定的约束，其权利受到上述法律法规的保护。</w:t>
      </w:r>
    </w:p>
    <w:p>
      <w:pPr>
        <w:pStyle w:val="4"/>
        <w:spacing w:before="0" w:line="240" w:lineRule="atLeast"/>
        <w:ind w:left="1080" w:leftChars="257" w:hanging="540"/>
        <w:rPr>
          <w:rFonts w:hint="eastAsia" w:ascii="仿宋" w:hAnsi="仿宋" w:eastAsia="仿宋" w:cs="仿宋"/>
          <w:color w:val="auto"/>
          <w:sz w:val="28"/>
          <w:highlight w:val="none"/>
          <w:lang w:eastAsia="zh-CN"/>
        </w:rPr>
      </w:pPr>
      <w:bookmarkStart w:id="17" w:name="_Toc518923065"/>
      <w:bookmarkStart w:id="18" w:name="_Toc520356146"/>
      <w:bookmarkStart w:id="19" w:name="_Toc216582806"/>
      <w:bookmarkStart w:id="20" w:name="_Toc30903"/>
      <w:r>
        <w:rPr>
          <w:rFonts w:hint="eastAsia" w:ascii="仿宋" w:hAnsi="仿宋" w:eastAsia="仿宋" w:cs="仿宋"/>
          <w:color w:val="auto"/>
          <w:sz w:val="28"/>
          <w:highlight w:val="none"/>
        </w:rPr>
        <w:t xml:space="preserve">二   </w:t>
      </w:r>
      <w:bookmarkEnd w:id="17"/>
      <w:bookmarkEnd w:id="18"/>
      <w:bookmarkEnd w:id="19"/>
      <w:r>
        <w:rPr>
          <w:rFonts w:hint="eastAsia" w:ascii="仿宋" w:hAnsi="仿宋" w:eastAsia="仿宋" w:cs="仿宋"/>
          <w:color w:val="auto"/>
          <w:sz w:val="28"/>
          <w:highlight w:val="none"/>
          <w:lang w:eastAsia="zh-CN"/>
        </w:rPr>
        <w:t>磋商文件</w:t>
      </w:r>
      <w:bookmarkEnd w:id="20"/>
    </w:p>
    <w:p>
      <w:pPr>
        <w:pStyle w:val="6"/>
        <w:rPr>
          <w:rFonts w:hint="eastAsia" w:ascii="仿宋" w:hAnsi="仿宋" w:eastAsia="仿宋" w:cs="仿宋"/>
          <w:color w:val="auto"/>
          <w:highlight w:val="none"/>
        </w:rPr>
      </w:pP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21" w:name="_Toc518923066"/>
      <w:bookmarkStart w:id="22" w:name="_Toc520356147"/>
      <w:bookmarkStart w:id="23" w:name="_Toc32371"/>
      <w:r>
        <w:rPr>
          <w:rFonts w:hint="eastAsia" w:ascii="仿宋" w:hAnsi="仿宋" w:eastAsia="仿宋" w:cs="仿宋"/>
          <w:color w:val="auto"/>
          <w:highlight w:val="none"/>
          <w:u w:val="none"/>
        </w:rPr>
        <w:t>5.</w:t>
      </w:r>
      <w:r>
        <w:rPr>
          <w:rFonts w:hint="eastAsia" w:ascii="仿宋" w:hAnsi="仿宋" w:eastAsia="仿宋" w:cs="仿宋"/>
          <w:color w:val="auto"/>
          <w:highlight w:val="none"/>
          <w:u w:val="none"/>
          <w:lang w:eastAsia="zh-CN"/>
        </w:rPr>
        <w:t>磋商文件</w:t>
      </w:r>
      <w:r>
        <w:rPr>
          <w:rFonts w:hint="eastAsia" w:ascii="仿宋" w:hAnsi="仿宋" w:eastAsia="仿宋" w:cs="仿宋"/>
          <w:color w:val="auto"/>
          <w:highlight w:val="none"/>
          <w:u w:val="none"/>
        </w:rPr>
        <w:t>构成</w:t>
      </w:r>
      <w:bookmarkEnd w:id="21"/>
      <w:bookmarkEnd w:id="22"/>
      <w:bookmarkEnd w:id="23"/>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分为三册共7章，内容如下：</w:t>
      </w:r>
    </w:p>
    <w:p>
      <w:pPr>
        <w:pageBreakBefore w:val="0"/>
        <w:widowControl w:val="0"/>
        <w:kinsoku/>
        <w:wordWrap/>
        <w:overflowPunct/>
        <w:topLinePunct w:val="0"/>
        <w:bidi w:val="0"/>
        <w:snapToGrid/>
        <w:spacing w:line="360" w:lineRule="auto"/>
        <w:ind w:left="1079" w:leftChars="428" w:hanging="180" w:hangingChars="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第一册</w:t>
      </w:r>
    </w:p>
    <w:p>
      <w:pPr>
        <w:pageBreakBefore w:val="0"/>
        <w:widowControl w:val="0"/>
        <w:numPr>
          <w:ilvl w:val="0"/>
          <w:numId w:val="2"/>
        </w:numPr>
        <w:tabs>
          <w:tab w:val="left" w:pos="0"/>
          <w:tab w:val="clear" w:pos="1680"/>
        </w:tabs>
        <w:kinsoku/>
        <w:wordWrap/>
        <w:overflowPunct/>
        <w:topLinePunct w:val="0"/>
        <w:bidi w:val="0"/>
        <w:snapToGrid/>
        <w:spacing w:line="360" w:lineRule="auto"/>
        <w:ind w:left="84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w:t>
      </w:r>
    </w:p>
    <w:p>
      <w:pPr>
        <w:pageBreakBefore w:val="0"/>
        <w:widowControl w:val="0"/>
        <w:numPr>
          <w:ilvl w:val="0"/>
          <w:numId w:val="2"/>
        </w:numPr>
        <w:kinsoku/>
        <w:wordWrap/>
        <w:overflowPunct/>
        <w:topLinePunct w:val="0"/>
        <w:bidi w:val="0"/>
        <w:snapToGrid/>
        <w:spacing w:line="360" w:lineRule="auto"/>
        <w:ind w:left="1081" w:leftChars="429" w:hanging="1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w:t>
      </w:r>
    </w:p>
    <w:p>
      <w:pPr>
        <w:pageBreakBefore w:val="0"/>
        <w:widowControl w:val="0"/>
        <w:kinsoku/>
        <w:wordWrap/>
        <w:overflowPunct/>
        <w:topLinePunct w:val="0"/>
        <w:bidi w:val="0"/>
        <w:snapToGrid/>
        <w:spacing w:line="360" w:lineRule="auto"/>
        <w:ind w:left="1081" w:leftChars="429" w:hanging="1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第二册</w:t>
      </w:r>
    </w:p>
    <w:p>
      <w:pPr>
        <w:pageBreakBefore w:val="0"/>
        <w:widowControl w:val="0"/>
        <w:numPr>
          <w:ilvl w:val="0"/>
          <w:numId w:val="2"/>
        </w:numPr>
        <w:kinsoku/>
        <w:wordWrap/>
        <w:overflowPunct/>
        <w:topLinePunct w:val="0"/>
        <w:bidi w:val="0"/>
        <w:snapToGrid/>
        <w:spacing w:line="360" w:lineRule="auto"/>
        <w:ind w:left="1081" w:leftChars="429" w:hanging="1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须知资料表</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服务需求</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第三册</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政府采购合同格式</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5.3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应认真阅读</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所有的事项、格式、条款和技术规范等。如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没有按照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要求提交全部资料，或者</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没有对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在各方面都做出实质性响应，可能导致其投标被认定为投标无效。</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val="0"/>
          <w:color w:val="auto"/>
          <w:highlight w:val="none"/>
          <w:u w:val="none"/>
        </w:rPr>
      </w:pPr>
      <w:bookmarkStart w:id="24" w:name="_Toc520356148"/>
      <w:bookmarkStart w:id="25" w:name="_Toc518923067"/>
      <w:bookmarkStart w:id="26" w:name="_Toc16795"/>
      <w:r>
        <w:rPr>
          <w:rFonts w:hint="eastAsia" w:ascii="仿宋" w:hAnsi="仿宋" w:eastAsia="仿宋" w:cs="仿宋"/>
          <w:color w:val="auto"/>
          <w:highlight w:val="none"/>
          <w:u w:val="none"/>
        </w:rPr>
        <w:t>6.</w:t>
      </w:r>
      <w:r>
        <w:rPr>
          <w:rFonts w:hint="eastAsia" w:ascii="仿宋" w:hAnsi="仿宋" w:eastAsia="仿宋" w:cs="仿宋"/>
          <w:color w:val="auto"/>
          <w:highlight w:val="none"/>
          <w:u w:val="none"/>
          <w:lang w:eastAsia="zh-CN"/>
        </w:rPr>
        <w:t>磋商文件</w:t>
      </w:r>
      <w:r>
        <w:rPr>
          <w:rFonts w:hint="eastAsia" w:ascii="仿宋" w:hAnsi="仿宋" w:eastAsia="仿宋" w:cs="仿宋"/>
          <w:color w:val="auto"/>
          <w:highlight w:val="none"/>
          <w:u w:val="none"/>
        </w:rPr>
        <w:t>的澄清</w:t>
      </w:r>
      <w:bookmarkEnd w:id="24"/>
      <w:r>
        <w:rPr>
          <w:rFonts w:hint="eastAsia" w:ascii="仿宋" w:hAnsi="仿宋" w:eastAsia="仿宋" w:cs="仿宋"/>
          <w:color w:val="auto"/>
          <w:highlight w:val="none"/>
          <w:u w:val="none"/>
        </w:rPr>
        <w:t>与修改</w:t>
      </w:r>
      <w:bookmarkEnd w:id="25"/>
      <w:bookmarkEnd w:id="26"/>
    </w:p>
    <w:p>
      <w:pPr>
        <w:pStyle w:val="6"/>
        <w:pageBreakBefore w:val="0"/>
        <w:widowControl w:val="0"/>
        <w:kinsoku/>
        <w:wordWrap/>
        <w:overflowPunct/>
        <w:topLinePunct w:val="0"/>
        <w:bidi w:val="0"/>
        <w:snapToGrid/>
        <w:spacing w:line="360" w:lineRule="auto"/>
        <w:ind w:left="840" w:hanging="840" w:hanging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为了保证对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的澄清和修改满足法律的时限要求，任何要求对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进行澄清的</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，均应在投标截止期五日前，以书面形式将澄清要求通知采购人或采购代理机构。</w:t>
      </w:r>
    </w:p>
    <w:p>
      <w:pPr>
        <w:pStyle w:val="6"/>
        <w:pageBreakBefore w:val="0"/>
        <w:widowControl w:val="0"/>
        <w:kinsoku/>
        <w:wordWrap/>
        <w:overflowPunct/>
        <w:topLinePunct w:val="0"/>
        <w:bidi w:val="0"/>
        <w:snapToGrid/>
        <w:spacing w:line="360" w:lineRule="auto"/>
        <w:ind w:left="840" w:hanging="840" w:hangingChars="350"/>
        <w:textAlignment w:val="auto"/>
        <w:rPr>
          <w:rFonts w:hint="eastAsia" w:ascii="仿宋" w:hAnsi="仿宋" w:eastAsia="仿宋" w:cs="仿宋"/>
          <w:color w:val="auto"/>
          <w:szCs w:val="24"/>
          <w:highlight w:val="none"/>
        </w:rPr>
      </w:pPr>
      <w:bookmarkStart w:id="27" w:name="_Ref467378678"/>
      <w:bookmarkStart w:id="28" w:name="_Toc520356149"/>
      <w:r>
        <w:rPr>
          <w:rFonts w:hint="eastAsia" w:ascii="仿宋" w:hAnsi="仿宋" w:eastAsia="仿宋" w:cs="仿宋"/>
          <w:color w:val="auto"/>
          <w:szCs w:val="24"/>
          <w:highlight w:val="none"/>
        </w:rPr>
        <w:t>6.2</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采购人可主动地或在解答</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提出的澄清问题时对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澄清或修改。采购代理机构将以发布澄清（更正）公告的方式，澄清或修改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，澄清或修改内容作为</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的组成部分。</w:t>
      </w:r>
    </w:p>
    <w:p>
      <w:pPr>
        <w:pStyle w:val="6"/>
        <w:pageBreakBefore w:val="0"/>
        <w:widowControl w:val="0"/>
        <w:kinsoku/>
        <w:wordWrap/>
        <w:overflowPunct/>
        <w:topLinePunct w:val="0"/>
        <w:bidi w:val="0"/>
        <w:snapToGrid/>
        <w:spacing w:line="360" w:lineRule="auto"/>
        <w:ind w:left="840" w:hanging="840" w:hanging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澄清或者修改的内容可能影响</w:t>
      </w:r>
      <w:r>
        <w:rPr>
          <w:rFonts w:hint="eastAsia" w:ascii="仿宋" w:hAnsi="仿宋" w:eastAsia="仿宋" w:cs="仿宋"/>
          <w:color w:val="auto"/>
          <w:szCs w:val="24"/>
          <w:highlight w:val="none"/>
          <w:lang w:eastAsia="zh-CN"/>
        </w:rPr>
        <w:t>响应文件</w:t>
      </w:r>
      <w:r>
        <w:rPr>
          <w:rFonts w:hint="eastAsia" w:ascii="仿宋" w:hAnsi="仿宋" w:eastAsia="仿宋" w:cs="仿宋"/>
          <w:color w:val="auto"/>
          <w:szCs w:val="24"/>
          <w:highlight w:val="none"/>
        </w:rPr>
        <w:t>编制的，采购代理机构将以书面形式通知所有购买</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的潜在</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，并对其具有约束力。</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在收到上述通知后，应及时向采购代理机构回函确认。</w:t>
      </w:r>
    </w:p>
    <w:p>
      <w:pPr>
        <w:pStyle w:val="5"/>
        <w:pageBreakBefore w:val="0"/>
        <w:widowControl w:val="0"/>
        <w:tabs>
          <w:tab w:val="left" w:pos="900"/>
        </w:tabs>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29" w:name="_Toc518923068"/>
      <w:bookmarkStart w:id="30" w:name="_Toc18045"/>
      <w:r>
        <w:rPr>
          <w:rFonts w:hint="eastAsia" w:ascii="仿宋" w:hAnsi="仿宋" w:eastAsia="仿宋" w:cs="仿宋"/>
          <w:color w:val="auto"/>
          <w:highlight w:val="none"/>
          <w:u w:val="none"/>
        </w:rPr>
        <w:t>7</w:t>
      </w:r>
      <w:bookmarkEnd w:id="27"/>
      <w:bookmarkEnd w:id="28"/>
      <w:r>
        <w:rPr>
          <w:rFonts w:hint="eastAsia" w:ascii="仿宋" w:hAnsi="仿宋" w:eastAsia="仿宋" w:cs="仿宋"/>
          <w:color w:val="auto"/>
          <w:highlight w:val="none"/>
          <w:u w:val="none"/>
        </w:rPr>
        <w:t>.投标截止时间的顺延</w:t>
      </w:r>
      <w:bookmarkEnd w:id="29"/>
      <w:bookmarkEnd w:id="30"/>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准备投标时有足够的时间对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的澄清或者修改部分进行研究，采购人将依法决定是否顺延投标截止时间。</w:t>
      </w:r>
    </w:p>
    <w:p>
      <w:pPr>
        <w:pStyle w:val="4"/>
        <w:tabs>
          <w:tab w:val="left" w:pos="900"/>
        </w:tabs>
        <w:spacing w:before="0" w:line="240" w:lineRule="atLeast"/>
        <w:ind w:left="1080" w:leftChars="257" w:hanging="540"/>
        <w:rPr>
          <w:rFonts w:hint="eastAsia" w:ascii="仿宋" w:hAnsi="仿宋" w:eastAsia="仿宋" w:cs="仿宋"/>
          <w:color w:val="auto"/>
          <w:sz w:val="28"/>
          <w:highlight w:val="none"/>
        </w:rPr>
      </w:pPr>
      <w:bookmarkStart w:id="31" w:name="_Toc516367020"/>
      <w:bookmarkStart w:id="32" w:name="_Toc10869"/>
      <w:bookmarkStart w:id="33" w:name="_Toc520356150"/>
      <w:bookmarkStart w:id="34" w:name="_Toc518923069"/>
      <w:bookmarkStart w:id="35" w:name="_Toc216582807"/>
      <w:r>
        <w:rPr>
          <w:rFonts w:hint="eastAsia" w:ascii="仿宋" w:hAnsi="仿宋" w:eastAsia="仿宋" w:cs="仿宋"/>
          <w:color w:val="auto"/>
          <w:sz w:val="28"/>
          <w:highlight w:val="none"/>
        </w:rPr>
        <w:t xml:space="preserve">三   </w:t>
      </w:r>
      <w:bookmarkEnd w:id="31"/>
      <w:r>
        <w:rPr>
          <w:rFonts w:hint="eastAsia" w:ascii="仿宋" w:hAnsi="仿宋" w:eastAsia="仿宋" w:cs="仿宋"/>
          <w:color w:val="auto"/>
          <w:sz w:val="28"/>
          <w:highlight w:val="none"/>
          <w:lang w:eastAsia="zh-CN"/>
        </w:rPr>
        <w:t>响应文件</w:t>
      </w:r>
      <w:r>
        <w:rPr>
          <w:rFonts w:hint="eastAsia" w:ascii="仿宋" w:hAnsi="仿宋" w:eastAsia="仿宋" w:cs="仿宋"/>
          <w:color w:val="auto"/>
          <w:sz w:val="28"/>
          <w:highlight w:val="none"/>
        </w:rPr>
        <w:t>的编制</w:t>
      </w:r>
      <w:bookmarkEnd w:id="32"/>
      <w:bookmarkEnd w:id="33"/>
      <w:bookmarkEnd w:id="34"/>
      <w:bookmarkEnd w:id="35"/>
    </w:p>
    <w:p>
      <w:pPr>
        <w:pStyle w:val="6"/>
        <w:rPr>
          <w:rFonts w:hint="eastAsia" w:ascii="仿宋" w:hAnsi="仿宋" w:eastAsia="仿宋" w:cs="仿宋"/>
          <w:color w:val="auto"/>
          <w:highlight w:val="none"/>
        </w:rPr>
      </w:pPr>
    </w:p>
    <w:p>
      <w:pPr>
        <w:pStyle w:val="5"/>
        <w:pageBreakBefore w:val="0"/>
        <w:widowControl w:val="0"/>
        <w:tabs>
          <w:tab w:val="left" w:pos="900"/>
        </w:tabs>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36" w:name="_Toc516367021"/>
      <w:bookmarkStart w:id="37" w:name="_Toc518923070"/>
      <w:bookmarkStart w:id="38" w:name="_Toc19878"/>
      <w:bookmarkStart w:id="39" w:name="_Toc520356151"/>
      <w:r>
        <w:rPr>
          <w:rFonts w:hint="eastAsia" w:ascii="仿宋" w:hAnsi="仿宋" w:eastAsia="仿宋" w:cs="仿宋"/>
          <w:color w:val="auto"/>
          <w:highlight w:val="none"/>
          <w:u w:val="none"/>
        </w:rPr>
        <w:t>8.</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投标范围及</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中标准和计量单位的使用</w:t>
      </w:r>
      <w:bookmarkEnd w:id="36"/>
      <w:bookmarkEnd w:id="37"/>
      <w:bookmarkEnd w:id="38"/>
      <w:bookmarkEnd w:id="39"/>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其中一个或几个分包进行投标，除非在</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中另有规定。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8.2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应当对所投分包</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中“服务需求”所列的所有服务内容进行投标，如仅响应分包中的部分内容，其投标将被认定为投标无效。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第5章服务需求中是否要求，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所投服务均应符合国家强制性标准。</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8.4     除</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中有特殊要求外，</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中所使用的计量单位，应采用中华人民共和国法定计量单位。</w:t>
      </w:r>
    </w:p>
    <w:p>
      <w:pPr>
        <w:pStyle w:val="5"/>
        <w:pageBreakBefore w:val="0"/>
        <w:widowControl w:val="0"/>
        <w:tabs>
          <w:tab w:val="left" w:pos="900"/>
        </w:tabs>
        <w:kinsoku/>
        <w:wordWrap/>
        <w:overflowPunct/>
        <w:topLinePunct w:val="0"/>
        <w:bidi w:val="0"/>
        <w:spacing w:before="0" w:after="0" w:line="360" w:lineRule="auto"/>
        <w:textAlignment w:val="auto"/>
        <w:rPr>
          <w:rFonts w:hint="eastAsia" w:ascii="仿宋" w:hAnsi="仿宋" w:eastAsia="仿宋" w:cs="仿宋"/>
          <w:color w:val="auto"/>
          <w:highlight w:val="none"/>
          <w:u w:val="none"/>
        </w:rPr>
      </w:pPr>
      <w:bookmarkStart w:id="40" w:name="_Ref467306676"/>
      <w:bookmarkStart w:id="41" w:name="_Ref467306195"/>
      <w:bookmarkStart w:id="42" w:name="_Toc516367022"/>
      <w:bookmarkStart w:id="43" w:name="_Toc520356152"/>
      <w:bookmarkStart w:id="44" w:name="_Toc16888"/>
      <w:bookmarkStart w:id="45" w:name="_Toc518923071"/>
      <w:r>
        <w:rPr>
          <w:rFonts w:hint="eastAsia" w:ascii="仿宋" w:hAnsi="仿宋" w:eastAsia="仿宋" w:cs="仿宋"/>
          <w:color w:val="auto"/>
          <w:highlight w:val="none"/>
          <w:u w:val="none"/>
        </w:rPr>
        <w:t>9.</w:t>
      </w:r>
      <w:bookmarkEnd w:id="40"/>
      <w:bookmarkEnd w:id="41"/>
      <w:bookmarkEnd w:id="42"/>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构成</w:t>
      </w:r>
      <w:bookmarkEnd w:id="43"/>
      <w:bookmarkEnd w:id="44"/>
      <w:bookmarkEnd w:id="45"/>
    </w:p>
    <w:p>
      <w:pPr>
        <w:pageBreakBefore w:val="0"/>
        <w:widowControl w:val="0"/>
        <w:tabs>
          <w:tab w:val="left" w:pos="900"/>
          <w:tab w:val="left" w:pos="5580"/>
        </w:tabs>
        <w:kinsoku/>
        <w:wordWrap/>
        <w:overflowPunct/>
        <w:topLinePunct w:val="0"/>
        <w:bidi w:val="0"/>
        <w:spacing w:line="360" w:lineRule="auto"/>
        <w:ind w:left="960" w:hanging="960" w:hangingChars="400"/>
        <w:jc w:val="left"/>
        <w:textAlignment w:val="auto"/>
        <w:rPr>
          <w:rFonts w:hint="eastAsia" w:ascii="仿宋" w:hAnsi="仿宋" w:eastAsia="仿宋" w:cs="仿宋"/>
          <w:b/>
          <w:bCs/>
          <w:color w:val="auto"/>
          <w:sz w:val="24"/>
          <w:highlight w:val="none"/>
          <w:u w:val="single"/>
          <w:lang w:eastAsia="zh-CN"/>
        </w:rPr>
      </w:pPr>
      <w:bookmarkStart w:id="46" w:name="_Ref467052588"/>
      <w:r>
        <w:rPr>
          <w:rFonts w:hint="eastAsia" w:ascii="仿宋" w:hAnsi="仿宋" w:eastAsia="仿宋" w:cs="仿宋"/>
          <w:color w:val="auto"/>
          <w:sz w:val="24"/>
          <w:highlight w:val="none"/>
        </w:rPr>
        <w:t xml:space="preserve">9.1    </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应完整地按</w:t>
      </w:r>
      <w:r>
        <w:rPr>
          <w:rFonts w:hint="eastAsia" w:ascii="仿宋" w:hAnsi="仿宋" w:eastAsia="仿宋" w:cs="仿宋"/>
          <w:b/>
          <w:bCs/>
          <w:color w:val="auto"/>
          <w:sz w:val="24"/>
          <w:highlight w:val="none"/>
          <w:u w:val="single"/>
          <w:lang w:eastAsia="zh-CN"/>
        </w:rPr>
        <w:t>磋商文件</w:t>
      </w:r>
      <w:r>
        <w:rPr>
          <w:rFonts w:hint="eastAsia" w:ascii="仿宋" w:hAnsi="仿宋" w:eastAsia="仿宋" w:cs="仿宋"/>
          <w:b/>
          <w:bCs/>
          <w:color w:val="auto"/>
          <w:sz w:val="24"/>
          <w:highlight w:val="none"/>
          <w:u w:val="single"/>
        </w:rPr>
        <w:t>提供的</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rPr>
        <w:t>格式及要求编写</w:t>
      </w:r>
      <w:r>
        <w:rPr>
          <w:rFonts w:hint="eastAsia" w:ascii="仿宋" w:hAnsi="仿宋" w:eastAsia="仿宋" w:cs="仿宋"/>
          <w:b/>
          <w:bCs/>
          <w:color w:val="auto"/>
          <w:sz w:val="24"/>
          <w:highlight w:val="none"/>
          <w:u w:val="single"/>
          <w:lang w:eastAsia="zh-CN"/>
        </w:rPr>
        <w:t>响应文件，</w:t>
      </w:r>
      <w:bookmarkEnd w:id="46"/>
      <w:r>
        <w:rPr>
          <w:rFonts w:hint="eastAsia" w:ascii="仿宋" w:hAnsi="仿宋" w:eastAsia="仿宋" w:cs="仿宋"/>
          <w:b/>
          <w:bCs/>
          <w:color w:val="auto"/>
          <w:sz w:val="24"/>
          <w:highlight w:val="none"/>
          <w:u w:val="single"/>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w:t>
      </w:r>
    </w:p>
    <w:p>
      <w:pPr>
        <w:pStyle w:val="5"/>
        <w:pageBreakBefore w:val="0"/>
        <w:widowControl w:val="0"/>
        <w:tabs>
          <w:tab w:val="left" w:pos="900"/>
        </w:tabs>
        <w:kinsoku/>
        <w:wordWrap/>
        <w:overflowPunct/>
        <w:topLinePunct w:val="0"/>
        <w:bidi w:val="0"/>
        <w:spacing w:before="0" w:after="0" w:line="360" w:lineRule="auto"/>
        <w:textAlignment w:val="auto"/>
        <w:rPr>
          <w:rFonts w:hint="eastAsia" w:ascii="仿宋" w:hAnsi="仿宋" w:eastAsia="仿宋" w:cs="仿宋"/>
          <w:color w:val="auto"/>
          <w:highlight w:val="none"/>
          <w:u w:val="none"/>
        </w:rPr>
      </w:pPr>
      <w:bookmarkStart w:id="47" w:name="_Toc10692"/>
      <w:bookmarkStart w:id="48" w:name="_Toc508185920"/>
      <w:bookmarkStart w:id="49" w:name="_Toc520356153"/>
      <w:bookmarkStart w:id="50" w:name="_Toc516367023"/>
      <w:bookmarkStart w:id="51" w:name="_Toc518923072"/>
      <w:bookmarkStart w:id="52" w:name="_Toc520356155"/>
      <w:r>
        <w:rPr>
          <w:rFonts w:hint="eastAsia" w:ascii="仿宋" w:hAnsi="仿宋" w:eastAsia="仿宋" w:cs="仿宋"/>
          <w:color w:val="auto"/>
          <w:highlight w:val="none"/>
          <w:u w:val="none"/>
        </w:rPr>
        <w:t>10.</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证明投标标的的合格性和符合</w:t>
      </w:r>
      <w:r>
        <w:rPr>
          <w:rFonts w:hint="eastAsia" w:ascii="仿宋" w:hAnsi="仿宋" w:eastAsia="仿宋" w:cs="仿宋"/>
          <w:color w:val="auto"/>
          <w:highlight w:val="none"/>
          <w:u w:val="none"/>
          <w:lang w:eastAsia="zh-CN"/>
        </w:rPr>
        <w:t>磋商文件</w:t>
      </w:r>
      <w:r>
        <w:rPr>
          <w:rFonts w:hint="eastAsia" w:ascii="仿宋" w:hAnsi="仿宋" w:eastAsia="仿宋" w:cs="仿宋"/>
          <w:color w:val="auto"/>
          <w:highlight w:val="none"/>
          <w:u w:val="none"/>
        </w:rPr>
        <w:t>规定的响应文件</w:t>
      </w:r>
      <w:bookmarkEnd w:id="47"/>
      <w:bookmarkEnd w:id="48"/>
      <w:bookmarkEnd w:id="49"/>
      <w:bookmarkEnd w:id="50"/>
      <w:bookmarkEnd w:id="51"/>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应提交证明文件，证明其投标内容符合</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规定。该证明文件是</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的一部分。</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bookmarkStart w:id="53"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53"/>
      <w:r>
        <w:rPr>
          <w:rFonts w:hint="eastAsia" w:ascii="仿宋" w:hAnsi="仿宋" w:eastAsia="仿宋" w:cs="仿宋"/>
          <w:color w:val="auto"/>
          <w:sz w:val="24"/>
          <w:highlight w:val="none"/>
        </w:rPr>
        <w:t>。</w:t>
      </w:r>
    </w:p>
    <w:p>
      <w:pPr>
        <w:pStyle w:val="5"/>
        <w:pageBreakBefore w:val="0"/>
        <w:widowControl w:val="0"/>
        <w:kinsoku/>
        <w:wordWrap/>
        <w:overflowPunct/>
        <w:topLinePunct w:val="0"/>
        <w:bidi w:val="0"/>
        <w:spacing w:before="0" w:after="0" w:line="360" w:lineRule="auto"/>
        <w:textAlignment w:val="auto"/>
        <w:rPr>
          <w:rFonts w:hint="eastAsia" w:ascii="仿宋" w:hAnsi="仿宋" w:eastAsia="仿宋" w:cs="仿宋"/>
          <w:color w:val="auto"/>
          <w:highlight w:val="none"/>
          <w:u w:val="none"/>
        </w:rPr>
      </w:pPr>
      <w:bookmarkStart w:id="54" w:name="_Toc18634"/>
      <w:bookmarkStart w:id="55" w:name="_Toc518923073"/>
      <w:r>
        <w:rPr>
          <w:rFonts w:hint="eastAsia" w:ascii="仿宋" w:hAnsi="仿宋" w:eastAsia="仿宋" w:cs="仿宋"/>
          <w:color w:val="auto"/>
          <w:highlight w:val="none"/>
          <w:u w:val="none"/>
        </w:rPr>
        <w:t>11.投标报价</w:t>
      </w:r>
      <w:bookmarkEnd w:id="52"/>
      <w:bookmarkEnd w:id="54"/>
      <w:bookmarkEnd w:id="55"/>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的投标报价应遵守《中华人民共和国价格法》。同时，根据《中华人民共和国政府采购法》第二条的规定，为保证公平竞争，如有主体投标标的的赠与行为，其投标将被认定为投标无效。</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应在投标分项报价表上标明分项服务的价格（如适用）和总价，并由法定代表人或其委托代理人签署。</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采购人不接受具有附加条件的报价。</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所报的各分项投标报价在合同履行过程中是固定不变的，不得以任何理由予以变更。任何包含价格调整要求的投标，将被认定为投标无效。</w:t>
      </w:r>
    </w:p>
    <w:p>
      <w:pPr>
        <w:pStyle w:val="8"/>
        <w:pageBreakBefore w:val="0"/>
        <w:widowControl w:val="0"/>
        <w:kinsoku/>
        <w:wordWrap/>
        <w:overflowPunct/>
        <w:topLinePunct w:val="0"/>
        <w:bidi w:val="0"/>
        <w:spacing w:line="360" w:lineRule="auto"/>
        <w:textAlignment w:val="auto"/>
        <w:rPr>
          <w:rFonts w:hint="eastAsia" w:ascii="仿宋" w:hAnsi="仿宋" w:eastAsia="仿宋" w:cs="仿宋"/>
          <w:b/>
          <w:bCs/>
          <w:iCs/>
          <w:color w:val="auto"/>
          <w:highlight w:val="none"/>
          <w:u w:val="single"/>
        </w:rPr>
      </w:pPr>
      <w:r>
        <w:rPr>
          <w:rFonts w:hint="eastAsia" w:ascii="仿宋" w:hAnsi="仿宋" w:eastAsia="仿宋" w:cs="仿宋"/>
          <w:color w:val="auto"/>
          <w:highlight w:val="none"/>
        </w:rPr>
        <w:t xml:space="preserve">11.5 </w:t>
      </w:r>
      <w:r>
        <w:rPr>
          <w:rFonts w:hint="eastAsia" w:ascii="仿宋" w:hAnsi="仿宋" w:eastAsia="仿宋" w:cs="仿宋"/>
          <w:color w:val="FF0000"/>
          <w:highlight w:val="none"/>
        </w:rPr>
        <w:t xml:space="preserve"> </w:t>
      </w:r>
      <w:r>
        <w:rPr>
          <w:rFonts w:hint="eastAsia" w:ascii="仿宋" w:hAnsi="仿宋" w:eastAsia="仿宋" w:cs="仿宋"/>
          <w:b/>
          <w:bCs/>
          <w:iCs/>
          <w:color w:val="FF0000"/>
          <w:highlight w:val="none"/>
        </w:rPr>
        <w:t xml:space="preserve">  </w:t>
      </w:r>
      <w:r>
        <w:rPr>
          <w:rFonts w:hint="eastAsia" w:ascii="仿宋" w:hAnsi="仿宋" w:eastAsia="仿宋" w:cs="仿宋"/>
          <w:b/>
          <w:bCs/>
          <w:iCs/>
          <w:color w:val="auto"/>
          <w:highlight w:val="none"/>
          <w:u w:val="single"/>
        </w:rPr>
        <w:t>竞争性磋商采用两次报价的方式。</w:t>
      </w:r>
    </w:p>
    <w:p>
      <w:pPr>
        <w:pStyle w:val="17"/>
        <w:pageBreakBefore w:val="0"/>
        <w:widowControl w:val="0"/>
        <w:kinsoku/>
        <w:wordWrap/>
        <w:overflowPunct/>
        <w:topLinePunct w:val="0"/>
        <w:bidi w:val="0"/>
        <w:spacing w:line="360" w:lineRule="auto"/>
        <w:ind w:left="958" w:leftChars="456"/>
        <w:textAlignment w:val="auto"/>
        <w:rPr>
          <w:rFonts w:hint="eastAsia" w:ascii="仿宋" w:hAnsi="仿宋" w:eastAsia="仿宋" w:cs="仿宋"/>
          <w:b/>
          <w:bCs/>
          <w:iCs/>
          <w:color w:val="FF0000"/>
          <w:sz w:val="24"/>
          <w:highlight w:val="none"/>
          <w:u w:val="single"/>
        </w:rPr>
      </w:pPr>
      <w:r>
        <w:rPr>
          <w:rFonts w:hint="eastAsia" w:ascii="仿宋" w:hAnsi="仿宋" w:eastAsia="仿宋" w:cs="仿宋"/>
          <w:b/>
          <w:bCs/>
          <w:iCs/>
          <w:color w:val="auto"/>
          <w:sz w:val="24"/>
          <w:highlight w:val="none"/>
          <w:u w:val="single"/>
        </w:rPr>
        <w:t>二次报价为最终报价，磋商小组所有成员集中与单一</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分别或对本项目存在的共性问题共同进行磋商，并给予所有参加磋商的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平等的磋商机会， 磋商小组要求所有实质性响应的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在规定时间内提交最后报价，最后报价是</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响应文件的有效组成部分，经磋商确定最终采购需求和提交最后报价的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后，由磋商小组采用综合评分法对提交最后报价的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的响应文件和最后报价进行综合评分。磋商小组应当从服务质量和合同履约能力均能满足采购文件实质性响应要求的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中，按照综合评分由</w:t>
      </w:r>
      <w:r>
        <w:rPr>
          <w:rFonts w:hint="eastAsia" w:ascii="仿宋" w:hAnsi="仿宋" w:eastAsia="仿宋" w:cs="仿宋"/>
          <w:b/>
          <w:bCs/>
          <w:iCs/>
          <w:color w:val="auto"/>
          <w:sz w:val="24"/>
          <w:highlight w:val="none"/>
          <w:u w:val="single"/>
          <w:lang w:eastAsia="zh-CN"/>
        </w:rPr>
        <w:t>高</w:t>
      </w:r>
      <w:r>
        <w:rPr>
          <w:rFonts w:hint="eastAsia" w:ascii="仿宋" w:hAnsi="仿宋" w:eastAsia="仿宋" w:cs="仿宋"/>
          <w:b/>
          <w:bCs/>
          <w:iCs/>
          <w:color w:val="auto"/>
          <w:sz w:val="24"/>
          <w:highlight w:val="none"/>
          <w:u w:val="single"/>
        </w:rPr>
        <w:t>到</w:t>
      </w:r>
      <w:r>
        <w:rPr>
          <w:rFonts w:hint="eastAsia" w:ascii="仿宋" w:hAnsi="仿宋" w:eastAsia="仿宋" w:cs="仿宋"/>
          <w:b/>
          <w:bCs/>
          <w:iCs/>
          <w:color w:val="auto"/>
          <w:sz w:val="24"/>
          <w:highlight w:val="none"/>
          <w:u w:val="single"/>
          <w:lang w:eastAsia="zh-CN"/>
        </w:rPr>
        <w:t>低</w:t>
      </w:r>
      <w:r>
        <w:rPr>
          <w:rFonts w:hint="eastAsia" w:ascii="仿宋" w:hAnsi="仿宋" w:eastAsia="仿宋" w:cs="仿宋"/>
          <w:b/>
          <w:bCs/>
          <w:iCs/>
          <w:color w:val="auto"/>
          <w:sz w:val="24"/>
          <w:highlight w:val="none"/>
          <w:u w:val="single"/>
        </w:rPr>
        <w:t>的顺序提出成交候选人，并编写评审报告，将结果通知所有参加磋商的未成交的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w:t>
      </w:r>
    </w:p>
    <w:p>
      <w:pPr>
        <w:pStyle w:val="5"/>
        <w:pageBreakBefore w:val="0"/>
        <w:widowControl w:val="0"/>
        <w:kinsoku/>
        <w:wordWrap/>
        <w:overflowPunct/>
        <w:topLinePunct w:val="0"/>
        <w:bidi w:val="0"/>
        <w:spacing w:before="0" w:after="0" w:line="360" w:lineRule="auto"/>
        <w:textAlignment w:val="auto"/>
        <w:rPr>
          <w:rFonts w:hint="eastAsia" w:ascii="仿宋" w:hAnsi="仿宋" w:eastAsia="仿宋" w:cs="仿宋"/>
          <w:color w:val="auto"/>
          <w:highlight w:val="none"/>
          <w:u w:val="none"/>
          <w:lang w:eastAsia="zh-CN"/>
        </w:rPr>
      </w:pPr>
      <w:bookmarkStart w:id="56" w:name="_Toc520356156"/>
      <w:bookmarkStart w:id="57" w:name="_Ref467306513"/>
      <w:bookmarkStart w:id="58" w:name="_Toc518923074"/>
      <w:bookmarkStart w:id="59" w:name="_Toc14951"/>
      <w:r>
        <w:rPr>
          <w:rFonts w:hint="eastAsia" w:ascii="仿宋" w:hAnsi="仿宋" w:eastAsia="仿宋" w:cs="仿宋"/>
          <w:color w:val="auto"/>
          <w:highlight w:val="none"/>
          <w:u w:val="none"/>
        </w:rPr>
        <w:t>12.</w:t>
      </w:r>
      <w:bookmarkEnd w:id="56"/>
      <w:bookmarkEnd w:id="57"/>
      <w:bookmarkEnd w:id="58"/>
      <w:r>
        <w:rPr>
          <w:rFonts w:hint="eastAsia" w:ascii="仿宋" w:hAnsi="仿宋" w:eastAsia="仿宋" w:cs="仿宋"/>
          <w:color w:val="auto"/>
          <w:highlight w:val="none"/>
          <w:u w:val="none"/>
          <w:lang w:eastAsia="zh-CN"/>
        </w:rPr>
        <w:t>磋商保证金</w:t>
      </w:r>
      <w:bookmarkEnd w:id="59"/>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bookmarkStart w:id="60"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应提交</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中规定的</w:t>
      </w:r>
      <w:bookmarkEnd w:id="60"/>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，并作为其投标的一部分。</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存在下列情形的，</w:t>
      </w:r>
      <w:r>
        <w:rPr>
          <w:rFonts w:hint="eastAsia" w:ascii="仿宋" w:hAnsi="仿宋" w:eastAsia="仿宋" w:cs="仿宋"/>
          <w:b/>
          <w:bCs/>
          <w:color w:val="auto"/>
          <w:sz w:val="24"/>
          <w:highlight w:val="none"/>
          <w:lang w:eastAsia="zh-CN"/>
        </w:rPr>
        <w:t>磋商保证金</w:t>
      </w:r>
      <w:r>
        <w:rPr>
          <w:rFonts w:hint="eastAsia" w:ascii="仿宋" w:hAnsi="仿宋" w:eastAsia="仿宋" w:cs="仿宋"/>
          <w:b/>
          <w:bCs/>
          <w:color w:val="auto"/>
          <w:sz w:val="24"/>
          <w:highlight w:val="none"/>
        </w:rPr>
        <w:t>不予退还：</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（1）在投标有效期内，撤销投标的；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（2）中标后不按本须知第30条的规定与采购人签订合同的；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（3）中标后不按本须知第31条的规定提交履约保证金的；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（4）中标后不按本须知第32条的规定缴纳中标服务费的；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bookmarkStart w:id="61"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61"/>
      <w:r>
        <w:rPr>
          <w:rFonts w:hint="eastAsia" w:ascii="仿宋" w:hAnsi="仿宋" w:eastAsia="仿宋" w:cs="仿宋"/>
          <w:color w:val="auto"/>
          <w:sz w:val="24"/>
          <w:highlight w:val="none"/>
        </w:rPr>
        <w:t>政府采购信用担保试点范围内的项目，接受符合财政部门规定的政府采购投标担保函原件。</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未按本须知第12.1和12.3条规定提交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pPr>
        <w:keepNext w:val="0"/>
        <w:keepLines w:val="0"/>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12.4.2  采用支票形式的，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则应充分考虑支票入账时间，以确保</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能按时进入指定账户。根据银行信息交换和付款时间，支票从递交至实际入账一般需要4-5个工作日。如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未及时提交支票或支票不符合银行委托收款要求（如污损、折叠、胶装等），导致</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不能按时进入指定账户的，将按照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的第22.2条相关规定处理。</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。以一方名义提交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的，对联合体各方均具有约束力。</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lang w:eastAsia="zh-CN"/>
        </w:rPr>
        <w:t>磋商保证金</w:t>
      </w:r>
      <w:r>
        <w:rPr>
          <w:rFonts w:hint="eastAsia" w:ascii="仿宋" w:hAnsi="仿宋" w:eastAsia="仿宋" w:cs="仿宋"/>
          <w:b/>
          <w:color w:val="auto"/>
          <w:sz w:val="24"/>
          <w:highlight w:val="none"/>
        </w:rPr>
        <w:t>的退还</w:t>
      </w:r>
    </w:p>
    <w:p>
      <w:pPr>
        <w:keepNext w:val="0"/>
        <w:keepLines w:val="0"/>
        <w:pageBreakBefore w:val="0"/>
        <w:widowControl w:val="0"/>
        <w:kinsoku/>
        <w:wordWrap/>
        <w:overflowPunct/>
        <w:topLinePunct w:val="0"/>
        <w:autoSpaceDE/>
        <w:autoSpaceDN/>
        <w:bidi w:val="0"/>
        <w:adjustRightInd/>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12.6.1  中标人应在与采购人签订合同之日起5个工作日内，及时联系保证金收受机构办理</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无息退还手续。</w:t>
      </w:r>
    </w:p>
    <w:p>
      <w:pPr>
        <w:keepNext w:val="0"/>
        <w:keepLines w:val="0"/>
        <w:pageBreakBefore w:val="0"/>
        <w:widowControl w:val="0"/>
        <w:kinsoku/>
        <w:wordWrap/>
        <w:overflowPunct/>
        <w:topLinePunct w:val="0"/>
        <w:autoSpaceDE/>
        <w:autoSpaceDN/>
        <w:bidi w:val="0"/>
        <w:adjustRightInd/>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12.6.2  未中标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将在中标通知书发出之日暨中标结果公告公布之日起5个工作日内无息退还。</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及时联系保证金收受机构办理退还</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手续。</w:t>
      </w:r>
      <w:bookmarkStart w:id="62" w:name="_Toc518923075"/>
    </w:p>
    <w:p>
      <w:pPr>
        <w:keepNext w:val="0"/>
        <w:keepLines w:val="0"/>
        <w:pageBreakBefore w:val="0"/>
        <w:widowControl w:val="0"/>
        <w:kinsoku/>
        <w:wordWrap/>
        <w:overflowPunct/>
        <w:topLinePunct w:val="0"/>
        <w:autoSpaceDE/>
        <w:autoSpaceDN/>
        <w:bidi w:val="0"/>
        <w:adjustRightInd/>
        <w:snapToGrid/>
        <w:spacing w:line="360" w:lineRule="auto"/>
        <w:ind w:left="1020" w:hanging="1020" w:hangingChars="425"/>
        <w:textAlignment w:val="auto"/>
        <w:rPr>
          <w:rFonts w:hint="eastAsia" w:ascii="仿宋" w:hAnsi="仿宋" w:eastAsia="仿宋" w:cs="仿宋"/>
          <w:bCs/>
          <w:color w:val="auto"/>
          <w:sz w:val="24"/>
          <w:szCs w:val="32"/>
          <w:highlight w:val="none"/>
        </w:rPr>
      </w:pPr>
      <w:r>
        <w:rPr>
          <w:rFonts w:hint="eastAsia" w:ascii="仿宋" w:hAnsi="仿宋" w:eastAsia="仿宋" w:cs="仿宋"/>
          <w:bCs/>
          <w:color w:val="auto"/>
          <w:sz w:val="24"/>
          <w:szCs w:val="32"/>
          <w:highlight w:val="none"/>
        </w:rPr>
        <w:t>12.6.3  政府采购投标担保函不予退回。</w:t>
      </w:r>
      <w:bookmarkEnd w:id="62"/>
    </w:p>
    <w:p>
      <w:pPr>
        <w:keepNext w:val="0"/>
        <w:keepLines w:val="0"/>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12.7    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自身原因导致无法及时退还的，采购人或采购代理机构将不承担相应责任。</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63" w:name="_Toc17337"/>
      <w:bookmarkStart w:id="64" w:name="_Toc518923076"/>
      <w:bookmarkStart w:id="65" w:name="_Toc520356157"/>
      <w:r>
        <w:rPr>
          <w:rFonts w:hint="eastAsia" w:ascii="仿宋" w:hAnsi="仿宋" w:eastAsia="仿宋" w:cs="仿宋"/>
          <w:color w:val="auto"/>
          <w:highlight w:val="none"/>
          <w:u w:val="none"/>
        </w:rPr>
        <w:t>13.投标有效期</w:t>
      </w:r>
      <w:bookmarkEnd w:id="63"/>
      <w:bookmarkEnd w:id="64"/>
      <w:bookmarkEnd w:id="6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为保证有充分时间签订合同，采购人或采购代理机构可根据实际情况，在原投标有效期截止之前，要求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延长</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的有效期。接受该要求的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将不会被要求和允许修正其投标，且本须知中有关</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的要求须在延长的有效期内继续有效。</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可以拒绝延长投标有效期的要求，其</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将及时按规定无息退还。上述要求和答复都应以书面形式提交。</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66" w:name="_Toc520356158"/>
      <w:bookmarkStart w:id="67" w:name="_Toc518923077"/>
      <w:bookmarkStart w:id="68" w:name="_Toc28340"/>
      <w:r>
        <w:rPr>
          <w:rFonts w:hint="eastAsia" w:ascii="仿宋" w:hAnsi="仿宋" w:eastAsia="仿宋" w:cs="仿宋"/>
          <w:color w:val="auto"/>
          <w:highlight w:val="none"/>
          <w:u w:val="none"/>
        </w:rPr>
        <w:t>14.</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的签署</w:t>
      </w:r>
      <w:bookmarkEnd w:id="66"/>
      <w:r>
        <w:rPr>
          <w:rFonts w:hint="eastAsia" w:ascii="仿宋" w:hAnsi="仿宋" w:eastAsia="仿宋" w:cs="仿宋"/>
          <w:color w:val="auto"/>
          <w:highlight w:val="none"/>
          <w:u w:val="none"/>
        </w:rPr>
        <w:t>及规定</w:t>
      </w:r>
      <w:bookmarkEnd w:id="67"/>
      <w:bookmarkEnd w:id="68"/>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中的规定，准备和递交</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加密上传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所有</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应按照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w:t>
      </w:r>
      <w:r>
        <w:rPr>
          <w:rFonts w:hint="eastAsia" w:ascii="仿宋" w:hAnsi="仿宋" w:eastAsia="仿宋" w:cs="仿宋"/>
          <w:color w:val="auto"/>
          <w:sz w:val="24"/>
          <w:highlight w:val="none"/>
          <w:lang w:eastAsia="zh-CN"/>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因字迹潦草、表达不清或</w:t>
      </w:r>
      <w:r>
        <w:rPr>
          <w:rFonts w:hint="eastAsia" w:ascii="仿宋" w:hAnsi="仿宋" w:eastAsia="仿宋" w:cs="仿宋"/>
          <w:color w:val="auto"/>
          <w:sz w:val="24"/>
          <w:highlight w:val="none"/>
          <w:lang w:val="en-US" w:eastAsia="zh-CN"/>
        </w:rPr>
        <w:t>未按照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规定的格式填写、签署和盖章所引起的后果由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负责。</w:t>
      </w:r>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sz w:val="28"/>
          <w:szCs w:val="21"/>
          <w:highlight w:val="none"/>
        </w:rPr>
      </w:pPr>
      <w:bookmarkStart w:id="69" w:name="_Toc518923078"/>
      <w:bookmarkStart w:id="70" w:name="_Toc216582808"/>
      <w:bookmarkStart w:id="71" w:name="_Toc31570"/>
      <w:bookmarkStart w:id="72" w:name="_Toc520356159"/>
      <w:r>
        <w:rPr>
          <w:rFonts w:hint="eastAsia" w:ascii="仿宋" w:hAnsi="仿宋" w:eastAsia="仿宋" w:cs="仿宋"/>
          <w:color w:val="auto"/>
          <w:sz w:val="28"/>
          <w:szCs w:val="21"/>
          <w:highlight w:val="none"/>
        </w:rPr>
        <w:t xml:space="preserve">四   </w:t>
      </w:r>
      <w:r>
        <w:rPr>
          <w:rFonts w:hint="eastAsia" w:ascii="仿宋" w:hAnsi="仿宋" w:eastAsia="仿宋" w:cs="仿宋"/>
          <w:color w:val="auto"/>
          <w:sz w:val="28"/>
          <w:szCs w:val="21"/>
          <w:highlight w:val="none"/>
          <w:lang w:eastAsia="zh-CN"/>
        </w:rPr>
        <w:t>响应文件</w:t>
      </w:r>
      <w:r>
        <w:rPr>
          <w:rFonts w:hint="eastAsia" w:ascii="仿宋" w:hAnsi="仿宋" w:eastAsia="仿宋" w:cs="仿宋"/>
          <w:color w:val="auto"/>
          <w:sz w:val="28"/>
          <w:szCs w:val="21"/>
          <w:highlight w:val="none"/>
        </w:rPr>
        <w:t>的递交</w:t>
      </w:r>
      <w:bookmarkEnd w:id="69"/>
      <w:bookmarkEnd w:id="70"/>
      <w:bookmarkEnd w:id="71"/>
      <w:bookmarkEnd w:id="72"/>
    </w:p>
    <w:p>
      <w:pPr>
        <w:pStyle w:val="6"/>
        <w:pageBreakBefore w:val="0"/>
        <w:widowControl w:val="0"/>
        <w:kinsoku/>
        <w:wordWrap/>
        <w:overflowPunct/>
        <w:topLinePunct w:val="0"/>
        <w:bidi w:val="0"/>
        <w:snapToGrid/>
        <w:spacing w:line="360" w:lineRule="auto"/>
        <w:textAlignment w:val="auto"/>
        <w:rPr>
          <w:rFonts w:hint="eastAsia" w:ascii="仿宋" w:hAnsi="仿宋" w:eastAsia="仿宋" w:cs="仿宋"/>
          <w:color w:val="auto"/>
          <w:highlight w:val="none"/>
        </w:rPr>
      </w:pP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73" w:name="_Toc520356160"/>
      <w:bookmarkStart w:id="74" w:name="_Toc22296"/>
      <w:bookmarkStart w:id="75" w:name="_Toc518923079"/>
      <w:r>
        <w:rPr>
          <w:rFonts w:hint="eastAsia" w:ascii="仿宋" w:hAnsi="仿宋" w:eastAsia="仿宋" w:cs="仿宋"/>
          <w:color w:val="auto"/>
          <w:highlight w:val="none"/>
          <w:u w:val="none"/>
        </w:rPr>
        <w:t>15.</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的密封和标记</w:t>
      </w:r>
      <w:bookmarkEnd w:id="73"/>
      <w:bookmarkEnd w:id="74"/>
      <w:bookmarkEnd w:id="7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color w:val="auto"/>
          <w:sz w:val="24"/>
          <w:highlight w:val="none"/>
          <w:u w:val="single"/>
        </w:rPr>
        <w:t>为方便</w:t>
      </w:r>
      <w:r>
        <w:rPr>
          <w:rFonts w:hint="eastAsia" w:ascii="仿宋" w:hAnsi="仿宋" w:eastAsia="仿宋" w:cs="仿宋"/>
          <w:b/>
          <w:bCs/>
          <w:color w:val="auto"/>
          <w:sz w:val="24"/>
          <w:highlight w:val="none"/>
          <w:u w:val="single"/>
          <w:lang w:val="en-US" w:eastAsia="zh-CN"/>
        </w:rPr>
        <w:t>评审</w:t>
      </w:r>
      <w:r>
        <w:rPr>
          <w:rFonts w:hint="eastAsia" w:ascii="仿宋" w:hAnsi="仿宋" w:eastAsia="仿宋" w:cs="仿宋"/>
          <w:b/>
          <w:bCs/>
          <w:color w:val="auto"/>
          <w:sz w:val="24"/>
          <w:highlight w:val="none"/>
          <w:u w:val="single"/>
        </w:rPr>
        <w:t>及进行资格审查，</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应完整地按</w:t>
      </w:r>
      <w:r>
        <w:rPr>
          <w:rFonts w:hint="eastAsia" w:ascii="仿宋" w:hAnsi="仿宋" w:eastAsia="仿宋" w:cs="仿宋"/>
          <w:b/>
          <w:bCs/>
          <w:color w:val="auto"/>
          <w:sz w:val="24"/>
          <w:highlight w:val="none"/>
          <w:u w:val="single"/>
          <w:lang w:eastAsia="zh-CN"/>
        </w:rPr>
        <w:t>磋商文件</w:t>
      </w:r>
      <w:r>
        <w:rPr>
          <w:rFonts w:hint="eastAsia" w:ascii="仿宋" w:hAnsi="仿宋" w:eastAsia="仿宋" w:cs="仿宋"/>
          <w:b/>
          <w:bCs/>
          <w:color w:val="auto"/>
          <w:sz w:val="24"/>
          <w:highlight w:val="none"/>
          <w:u w:val="single"/>
        </w:rPr>
        <w:t>提供的</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rPr>
        <w:t>格式及要求编写</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76" w:name="_Toc518923080"/>
      <w:bookmarkStart w:id="77" w:name="_Toc2167"/>
      <w:bookmarkStart w:id="78" w:name="_Toc520356161"/>
      <w:r>
        <w:rPr>
          <w:rFonts w:hint="eastAsia" w:ascii="仿宋" w:hAnsi="仿宋" w:eastAsia="仿宋" w:cs="仿宋"/>
          <w:color w:val="auto"/>
          <w:highlight w:val="none"/>
          <w:u w:val="none"/>
        </w:rPr>
        <w:t>16.投标截止</w:t>
      </w:r>
      <w:bookmarkEnd w:id="76"/>
      <w:bookmarkEnd w:id="77"/>
      <w:bookmarkEnd w:id="78"/>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应在投标邀请书中规定的截止时间前，将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递交到投标邀请书中规定的地点。</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采购人和采购代理机构有权按本须知的规定，延迟投标截止时间。在此情况下，采购人、采购代理机构和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受投标截止时间制约的所有权利和义务均应延长至新的截止时间。</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79" w:name="_Toc520356162"/>
      <w:bookmarkStart w:id="80" w:name="_Toc26870"/>
      <w:bookmarkStart w:id="81" w:name="_Toc518923081"/>
      <w:r>
        <w:rPr>
          <w:rFonts w:hint="eastAsia" w:ascii="仿宋" w:hAnsi="仿宋" w:eastAsia="仿宋" w:cs="仿宋"/>
          <w:color w:val="auto"/>
          <w:highlight w:val="none"/>
          <w:u w:val="none"/>
        </w:rPr>
        <w:t>17.</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的接收、修改与撤回</w:t>
      </w:r>
      <w:bookmarkEnd w:id="79"/>
      <w:bookmarkEnd w:id="80"/>
      <w:bookmarkEnd w:id="81"/>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b/>
          <w:color w:val="auto"/>
          <w:highlight w:val="none"/>
        </w:rPr>
      </w:pPr>
      <w:r>
        <w:rPr>
          <w:rFonts w:hint="eastAsia" w:ascii="仿宋" w:hAnsi="仿宋" w:eastAsia="仿宋" w:cs="仿宋"/>
          <w:color w:val="auto"/>
          <w:sz w:val="24"/>
          <w:highlight w:val="none"/>
        </w:rPr>
        <w:t>17.1   在投标截止时间后送达</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的，采购人和采购代理机构将拒绝接收。</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采购人或者采购代理机构收到</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后，应当如实记载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的送达时间和密封情况，并向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出具以下签收回执。</w:t>
      </w:r>
    </w:p>
    <w:p>
      <w:pPr>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highlight w:val="none"/>
        </w:rPr>
      </w:pP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   递交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以后，如果</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要进行修改或撤回投标，须提出书面申请并在投标截止时间前送达开标地点，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的修改或撤回通知应按本须知规定编制、密封、标记。</w:t>
      </w:r>
    </w:p>
    <w:p>
      <w:pPr>
        <w:pageBreakBefore w:val="0"/>
        <w:widowControl w:val="0"/>
        <w:kinsoku/>
        <w:wordWrap/>
        <w:overflowPunct/>
        <w:topLinePunct w:val="0"/>
        <w:bidi w:val="0"/>
        <w:snapToGrid/>
        <w:spacing w:line="360" w:lineRule="auto"/>
        <w:ind w:left="735" w:leftChars="350" w:firstLine="120" w:firstLineChars="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采购人和采购代理机构将予以接收，并视为</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的组成部分。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在投标截止期之后，采购人和采购代理机构不接受</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主动对其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做任何修改。</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概不退回。</w:t>
      </w:r>
      <w:bookmarkStart w:id="82" w:name="_Toc24979"/>
      <w:bookmarkStart w:id="83" w:name="_Toc518923082"/>
      <w:bookmarkStart w:id="84" w:name="_Toc520356163"/>
      <w:bookmarkStart w:id="85" w:name="_Toc216582809"/>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五   开标及评标</w:t>
      </w:r>
      <w:bookmarkEnd w:id="82"/>
      <w:bookmarkEnd w:id="83"/>
      <w:bookmarkEnd w:id="84"/>
      <w:bookmarkEnd w:id="85"/>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86" w:name="_Toc520356164"/>
      <w:bookmarkStart w:id="87" w:name="_Toc518923083"/>
      <w:bookmarkStart w:id="88" w:name="_Toc417"/>
      <w:r>
        <w:rPr>
          <w:rFonts w:hint="eastAsia" w:ascii="仿宋" w:hAnsi="仿宋" w:eastAsia="仿宋" w:cs="仿宋"/>
          <w:color w:val="auto"/>
          <w:highlight w:val="none"/>
          <w:u w:val="none"/>
        </w:rPr>
        <w:t>18.开标</w:t>
      </w:r>
      <w:bookmarkEnd w:id="86"/>
      <w:bookmarkEnd w:id="87"/>
      <w:bookmarkEnd w:id="88"/>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中规定的开标时间和地点组织</w:t>
      </w:r>
      <w:r>
        <w:rPr>
          <w:rFonts w:hint="eastAsia" w:ascii="仿宋" w:hAnsi="仿宋" w:eastAsia="仿宋" w:cs="仿宋"/>
          <w:color w:val="auto"/>
          <w:sz w:val="24"/>
          <w:highlight w:val="none"/>
          <w:lang w:val="en-US" w:eastAsia="zh-CN"/>
        </w:rPr>
        <w:t>采购活动</w:t>
      </w:r>
      <w:r>
        <w:rPr>
          <w:rFonts w:hint="eastAsia" w:ascii="仿宋" w:hAnsi="仿宋" w:eastAsia="仿宋" w:cs="仿宋"/>
          <w:color w:val="auto"/>
          <w:sz w:val="24"/>
          <w:highlight w:val="none"/>
        </w:rPr>
        <w:t>并邀请所有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w:t>
      </w:r>
      <w:r>
        <w:rPr>
          <w:rFonts w:hint="eastAsia" w:ascii="仿宋" w:hAnsi="仿宋" w:eastAsia="仿宋" w:cs="仿宋"/>
          <w:color w:val="auto"/>
          <w:sz w:val="24"/>
          <w:highlight w:val="none"/>
          <w:lang w:val="en-US" w:eastAsia="zh-CN"/>
        </w:rPr>
        <w:t>线上</w:t>
      </w:r>
      <w:r>
        <w:rPr>
          <w:rFonts w:hint="eastAsia" w:ascii="仿宋" w:hAnsi="仿宋" w:eastAsia="仿宋" w:cs="仿宋"/>
          <w:color w:val="auto"/>
          <w:sz w:val="24"/>
          <w:highlight w:val="none"/>
        </w:rPr>
        <w:t xml:space="preserve">参加。  </w:t>
      </w:r>
    </w:p>
    <w:p>
      <w:pPr>
        <w:pageBreakBefore w:val="0"/>
        <w:widowControl w:val="0"/>
        <w:kinsoku/>
        <w:wordWrap/>
        <w:overflowPunct/>
        <w:topLinePunct w:val="0"/>
        <w:bidi w:val="0"/>
        <w:snapToGrid/>
        <w:spacing w:line="360" w:lineRule="auto"/>
        <w:ind w:firstLine="960" w:firstLine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不足3家的，不得开标。</w:t>
      </w:r>
    </w:p>
    <w:p>
      <w:pPr>
        <w:pStyle w:val="6"/>
        <w:pageBreakBefore w:val="0"/>
        <w:widowControl w:val="0"/>
        <w:kinsoku/>
        <w:wordWrap/>
        <w:overflowPunct/>
        <w:topLinePunct w:val="0"/>
        <w:bidi w:val="0"/>
        <w:snapToGrid/>
        <w:spacing w:line="360" w:lineRule="auto"/>
        <w:ind w:left="720" w:leftChars="0" w:hanging="720" w:hangingChars="300"/>
        <w:textAlignment w:val="auto"/>
        <w:rPr>
          <w:rFonts w:hint="default" w:ascii="仿宋" w:hAnsi="仿宋" w:eastAsia="仿宋" w:cs="仿宋"/>
          <w:color w:val="auto"/>
          <w:kern w:val="2"/>
          <w:sz w:val="24"/>
          <w:szCs w:val="24"/>
          <w:highlight w:val="none"/>
          <w:lang w:val="en-US" w:eastAsia="zh-CN" w:bidi="ar-SA"/>
        </w:rPr>
      </w:pPr>
      <w:bookmarkStart w:id="89" w:name="_Toc26459"/>
      <w:r>
        <w:rPr>
          <w:rFonts w:hint="eastAsia" w:ascii="仿宋" w:hAnsi="仿宋" w:eastAsia="仿宋" w:cs="仿宋"/>
          <w:b w:val="0"/>
          <w:bCs/>
          <w:color w:val="auto"/>
          <w:sz w:val="24"/>
          <w:szCs w:val="24"/>
          <w:u w:val="none"/>
        </w:rPr>
        <w:t xml:space="preserve">18.2 </w:t>
      </w:r>
      <w:bookmarkEnd w:id="89"/>
      <w:r>
        <w:rPr>
          <w:rFonts w:hint="eastAsia" w:ascii="仿宋" w:hAnsi="仿宋" w:eastAsia="仿宋" w:cs="仿宋"/>
          <w:color w:val="auto"/>
          <w:kern w:val="2"/>
          <w:sz w:val="24"/>
          <w:szCs w:val="24"/>
          <w:highlight w:val="none"/>
          <w:lang w:val="en-US" w:eastAsia="zh-CN" w:bidi="ar-SA"/>
        </w:rPr>
        <w:t>投标人应当按照本采购文件载明的时间和模式等要求参加开标。开标时，投标人应当使用上传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不见面电子开标，各投标人在参加开标以前须自行对使用电脑的网络环境、驱动安装、客户端安装以及数字证书的有效性等进行检测，确保可以正常使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采购人或采购代理机构将对开标过程进行记录</w:t>
      </w:r>
      <w:bookmarkStart w:id="90" w:name="_Toc520356165"/>
      <w:r>
        <w:rPr>
          <w:rFonts w:hint="eastAsia" w:ascii="仿宋" w:hAnsi="仿宋" w:eastAsia="仿宋" w:cs="仿宋"/>
          <w:color w:val="auto"/>
          <w:sz w:val="24"/>
          <w:highlight w:val="none"/>
        </w:rPr>
        <w:t>，由参加开标的各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代表和相关工作人员签字确认，并存档备查。</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代表对开标过程和开标记录有疑义，以及认为采购人、采购代理机构相关工作人员有需要回避的情形的，应当场提出询问或者回避申请。</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lang w:eastAsia="zh-CN"/>
        </w:rPr>
      </w:pPr>
      <w:bookmarkStart w:id="91" w:name="_Toc518923084"/>
      <w:bookmarkStart w:id="92" w:name="_Toc15154"/>
      <w:r>
        <w:rPr>
          <w:rFonts w:hint="eastAsia" w:ascii="仿宋" w:hAnsi="仿宋" w:eastAsia="仿宋" w:cs="仿宋"/>
          <w:color w:val="auto"/>
          <w:highlight w:val="none"/>
          <w:u w:val="none"/>
        </w:rPr>
        <w:t>19</w:t>
      </w:r>
      <w:bookmarkEnd w:id="90"/>
      <w:r>
        <w:rPr>
          <w:rFonts w:hint="eastAsia" w:ascii="仿宋" w:hAnsi="仿宋" w:eastAsia="仿宋" w:cs="仿宋"/>
          <w:color w:val="auto"/>
          <w:highlight w:val="none"/>
          <w:u w:val="none"/>
        </w:rPr>
        <w:t>.资格审查及组建</w:t>
      </w:r>
      <w:bookmarkEnd w:id="91"/>
      <w:r>
        <w:rPr>
          <w:rFonts w:hint="eastAsia" w:ascii="仿宋" w:hAnsi="仿宋" w:eastAsia="仿宋" w:cs="仿宋"/>
          <w:color w:val="auto"/>
          <w:highlight w:val="none"/>
          <w:u w:val="none"/>
          <w:lang w:eastAsia="zh-CN"/>
        </w:rPr>
        <w:t>磋商小组</w:t>
      </w:r>
      <w:bookmarkEnd w:id="92"/>
    </w:p>
    <w:p>
      <w:pPr>
        <w:pageBreakBefore w:val="0"/>
        <w:widowControl w:val="0"/>
        <w:kinsoku/>
        <w:wordWrap/>
        <w:overflowPunct/>
        <w:topLinePunct w:val="0"/>
        <w:bidi w:val="0"/>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19.1    </w:t>
      </w:r>
      <w:r>
        <w:rPr>
          <w:rFonts w:hint="eastAsia" w:ascii="仿宋" w:hAnsi="仿宋" w:eastAsia="仿宋" w:cs="仿宋"/>
          <w:b w:val="0"/>
          <w:bCs/>
          <w:color w:val="auto"/>
          <w:kern w:val="0"/>
          <w:sz w:val="24"/>
          <w:szCs w:val="24"/>
          <w:u w:val="none"/>
          <w:lang w:val="en-US" w:eastAsia="zh-CN" w:bidi="ar-SA"/>
        </w:rPr>
        <w:t>资格审查小组</w:t>
      </w:r>
      <w:r>
        <w:rPr>
          <w:rFonts w:hint="eastAsia" w:ascii="仿宋" w:hAnsi="仿宋" w:eastAsia="仿宋" w:cs="仿宋"/>
          <w:color w:val="auto"/>
          <w:sz w:val="24"/>
          <w:highlight w:val="none"/>
        </w:rPr>
        <w:t>依据法律法规和</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中规定的内容，对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的资格进行审查。未通过资格审查的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不进入评标；进入评标的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不足3家的，不得评标。</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   采购人或采购代理机构将在开标后1小时的期间内查询</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的信用记录。</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存在不良信用记录的，其投标将被认定为</w:t>
      </w:r>
      <w:r>
        <w:rPr>
          <w:rFonts w:hint="eastAsia" w:ascii="仿宋" w:hAnsi="仿宋" w:eastAsia="仿宋" w:cs="仿宋"/>
          <w:b/>
          <w:bCs/>
          <w:color w:val="auto"/>
          <w:sz w:val="24"/>
          <w:highlight w:val="none"/>
          <w:u w:val="none"/>
        </w:rPr>
        <w:t>投标无效</w:t>
      </w:r>
      <w:r>
        <w:rPr>
          <w:rFonts w:hint="eastAsia" w:ascii="仿宋" w:hAnsi="仿宋" w:eastAsia="仿宋" w:cs="仿宋"/>
          <w:color w:val="auto"/>
          <w:sz w:val="24"/>
          <w:highlight w:val="none"/>
          <w:u w:val="none"/>
        </w:rPr>
        <w:t>。</w:t>
      </w:r>
    </w:p>
    <w:p>
      <w:pPr>
        <w:pageBreakBefore w:val="0"/>
        <w:widowControl w:val="0"/>
        <w:kinsoku/>
        <w:wordWrap/>
        <w:overflowPunct/>
        <w:topLinePunct w:val="0"/>
        <w:bidi w:val="0"/>
        <w:snapToGrid/>
        <w:spacing w:line="360" w:lineRule="auto"/>
        <w:ind w:left="857" w:leftChars="2" w:hanging="853"/>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19.2.1 不良信用记录指：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以联合体形式参加投标的，联合体任何成员存在以上不良信用记录的，联合体投标将被认定为投标无效。</w:t>
      </w:r>
    </w:p>
    <w:p>
      <w:pPr>
        <w:pStyle w:val="6"/>
        <w:pageBreakBefore w:val="0"/>
        <w:widowControl w:val="0"/>
        <w:kinsoku/>
        <w:wordWrap/>
        <w:overflowPunct/>
        <w:topLinePunct w:val="0"/>
        <w:bidi w:val="0"/>
        <w:snapToGrid/>
        <w:spacing w:line="360" w:lineRule="auto"/>
        <w:ind w:left="850" w:hanging="849" w:hangingChars="354"/>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19.2.2 查询及记录方式：采购人或采购代理机构经办人将查询网页</w:t>
      </w:r>
      <w:r>
        <w:rPr>
          <w:rFonts w:hint="eastAsia" w:ascii="仿宋" w:hAnsi="仿宋" w:eastAsia="仿宋" w:cs="仿宋"/>
          <w:color w:val="auto"/>
          <w:highlight w:val="none"/>
          <w:lang w:val="en-US" w:eastAsia="zh-CN"/>
        </w:rPr>
        <w:t>截图通过开标系统上传至政采云平台</w:t>
      </w:r>
      <w:r>
        <w:rPr>
          <w:rFonts w:hint="eastAsia" w:ascii="仿宋" w:hAnsi="仿宋" w:eastAsia="仿宋" w:cs="仿宋"/>
          <w:color w:val="auto"/>
          <w:highlight w:val="none"/>
        </w:rPr>
        <w:t>并存档备查。</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不良信用记录以采购人或采购代理机构查询结果为准。</w:t>
      </w:r>
    </w:p>
    <w:p>
      <w:pPr>
        <w:pStyle w:val="6"/>
        <w:pageBreakBefore w:val="0"/>
        <w:widowControl w:val="0"/>
        <w:kinsoku/>
        <w:wordWrap/>
        <w:overflowPunct/>
        <w:topLinePunct w:val="0"/>
        <w:bidi w:val="0"/>
        <w:snapToGrid/>
        <w:spacing w:line="360" w:lineRule="auto"/>
        <w:ind w:left="850" w:leftChars="405" w:firstLine="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在本</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规定的查询时间之后，网站信息发生的任何变更均不再作为评标依据。</w:t>
      </w:r>
    </w:p>
    <w:p>
      <w:pPr>
        <w:pStyle w:val="6"/>
        <w:pageBreakBefore w:val="0"/>
        <w:widowControl w:val="0"/>
        <w:kinsoku/>
        <w:wordWrap/>
        <w:overflowPunct/>
        <w:topLinePunct w:val="0"/>
        <w:bidi w:val="0"/>
        <w:snapToGrid/>
        <w:spacing w:line="360" w:lineRule="auto"/>
        <w:ind w:left="850" w:leftChars="405" w:firstLine="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自行提供的与网站信息不一致的其他证明材料亦不作为资格审查的依据。</w:t>
      </w:r>
      <w:bookmarkStart w:id="93" w:name="_Toc520356166"/>
      <w:bookmarkStart w:id="94" w:name="_Toc2311"/>
      <w:bookmarkStart w:id="95" w:name="_Toc518923085"/>
    </w:p>
    <w:p>
      <w:pPr>
        <w:pageBreakBefore w:val="0"/>
        <w:widowControl w:val="0"/>
        <w:kinsoku/>
        <w:wordWrap/>
        <w:overflowPunct/>
        <w:topLinePunct w:val="0"/>
        <w:bidi w:val="0"/>
        <w:snapToGrid/>
        <w:spacing w:line="360" w:lineRule="auto"/>
        <w:ind w:left="0" w:leftChars="0" w:firstLine="480" w:firstLineChars="200"/>
        <w:textAlignment w:val="auto"/>
        <w:rPr>
          <w:rFonts w:hint="eastAsia"/>
        </w:rPr>
      </w:pPr>
      <w:r>
        <w:rPr>
          <w:rFonts w:hint="eastAsia" w:ascii="仿宋" w:hAnsi="仿宋" w:eastAsia="仿宋" w:cs="仿宋"/>
          <w:color w:val="auto"/>
          <w:sz w:val="24"/>
          <w:szCs w:val="24"/>
        </w:rPr>
        <w:t>19.3按照《中华人民共和国政府采购法》、《中华人民共和国政府采购法实施条例》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本项目本级和上级财政部门的有关规定依法组建的评标委员会，负责评标工作。</w:t>
      </w:r>
      <w:r>
        <w:rPr>
          <w:rFonts w:hint="eastAsia" w:ascii="仿宋" w:hAnsi="仿宋" w:eastAsia="仿宋" w:cs="仿宋"/>
          <w:b/>
          <w:bCs/>
          <w:color w:val="auto"/>
          <w:sz w:val="24"/>
          <w:szCs w:val="24"/>
          <w:u w:val="single"/>
        </w:rPr>
        <w:t>本项目评标委员会由</w:t>
      </w:r>
      <w:r>
        <w:rPr>
          <w:rFonts w:hint="eastAsia" w:ascii="仿宋" w:hAnsi="仿宋" w:eastAsia="仿宋" w:cs="仿宋"/>
          <w:b/>
          <w:bCs/>
          <w:color w:val="auto"/>
          <w:sz w:val="24"/>
          <w:szCs w:val="24"/>
          <w:u w:val="single"/>
          <w:lang w:val="en-US" w:eastAsia="zh-CN"/>
        </w:rPr>
        <w:t>3</w:t>
      </w:r>
      <w:r>
        <w:rPr>
          <w:rFonts w:hint="eastAsia" w:ascii="仿宋" w:hAnsi="仿宋" w:eastAsia="仿宋" w:cs="仿宋"/>
          <w:b/>
          <w:bCs/>
          <w:color w:val="auto"/>
          <w:sz w:val="24"/>
          <w:szCs w:val="24"/>
          <w:u w:val="single"/>
        </w:rPr>
        <w:t>人组成（</w:t>
      </w:r>
      <w:r>
        <w:rPr>
          <w:rFonts w:hint="eastAsia" w:ascii="仿宋" w:hAnsi="仿宋" w:eastAsia="仿宋" w:cs="仿宋"/>
          <w:b/>
          <w:bCs/>
          <w:color w:val="auto"/>
          <w:sz w:val="24"/>
          <w:szCs w:val="24"/>
          <w:u w:val="single"/>
          <w:lang w:eastAsia="zh-CN"/>
        </w:rPr>
        <w:t>政采云专家库</w:t>
      </w:r>
      <w:r>
        <w:rPr>
          <w:rFonts w:hint="eastAsia" w:ascii="仿宋" w:hAnsi="仿宋" w:eastAsia="仿宋" w:cs="仿宋"/>
          <w:b/>
          <w:bCs/>
          <w:color w:val="auto"/>
          <w:sz w:val="24"/>
          <w:szCs w:val="24"/>
          <w:u w:val="single"/>
        </w:rPr>
        <w:t>随机抽取专家</w:t>
      </w:r>
      <w:r>
        <w:rPr>
          <w:rFonts w:hint="eastAsia" w:ascii="仿宋" w:hAnsi="仿宋" w:eastAsia="仿宋" w:cs="仿宋"/>
          <w:b/>
          <w:bCs/>
          <w:color w:val="auto"/>
          <w:sz w:val="24"/>
          <w:szCs w:val="24"/>
          <w:u w:val="single"/>
          <w:lang w:val="en-US" w:eastAsia="zh-CN"/>
        </w:rPr>
        <w:t>3人</w:t>
      </w:r>
      <w:r>
        <w:rPr>
          <w:rFonts w:hint="eastAsia" w:ascii="仿宋" w:hAnsi="仿宋" w:eastAsia="仿宋" w:cs="仿宋"/>
          <w:b/>
          <w:bCs/>
          <w:color w:val="auto"/>
          <w:sz w:val="24"/>
          <w:szCs w:val="24"/>
          <w:u w:val="single"/>
        </w:rPr>
        <w:t>）。</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val="0"/>
          <w:bCs/>
          <w:color w:val="auto"/>
          <w:highlight w:val="none"/>
          <w:bdr w:val="single" w:color="auto" w:sz="4" w:space="0"/>
        </w:rPr>
      </w:pPr>
      <w:r>
        <w:rPr>
          <w:rFonts w:hint="eastAsia" w:ascii="仿宋" w:hAnsi="仿宋" w:eastAsia="仿宋" w:cs="仿宋"/>
          <w:color w:val="auto"/>
          <w:highlight w:val="none"/>
          <w:u w:val="none"/>
        </w:rPr>
        <w:t>20.</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w:t>
      </w:r>
      <w:bookmarkEnd w:id="93"/>
      <w:r>
        <w:rPr>
          <w:rFonts w:hint="eastAsia" w:ascii="仿宋" w:hAnsi="仿宋" w:eastAsia="仿宋" w:cs="仿宋"/>
          <w:color w:val="auto"/>
          <w:highlight w:val="none"/>
          <w:u w:val="none"/>
        </w:rPr>
        <w:t>符合性审查与澄清</w:t>
      </w:r>
      <w:bookmarkEnd w:id="94"/>
      <w:bookmarkEnd w:id="9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20.1   符合性审查是指依据</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的规定，从</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的有效性和完整性对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的响应程度进行审查，以确定是否对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的实质性要求做出响应。</w:t>
      </w:r>
      <w:bookmarkStart w:id="96" w:name="_Hlt522424701"/>
      <w:bookmarkEnd w:id="96"/>
      <w:bookmarkStart w:id="97" w:name="_Toc52035616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的澄清</w:t>
      </w:r>
    </w:p>
    <w:p>
      <w:pPr>
        <w:keepNext w:val="0"/>
        <w:keepLines w:val="0"/>
        <w:pageBreakBefore w:val="0"/>
        <w:widowControl w:val="0"/>
        <w:kinsoku/>
        <w:wordWrap/>
        <w:overflowPunct/>
        <w:topLinePunct w:val="0"/>
        <w:autoSpaceDE/>
        <w:autoSpaceDN/>
        <w:bidi w:val="0"/>
        <w:adjustRightInd/>
        <w:snapToGrid/>
        <w:spacing w:line="360" w:lineRule="auto"/>
        <w:ind w:left="900" w:leftChars="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将以书面方式要求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对其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中含义不明确、对同类问题表述不一致或者有明显文字和计算错误的内容，以及</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认为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的报价明显低于其他通过符合性检查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的报价，有可能影响履约的情况作必要的澄清、说明或补正。</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澄清、说明或补正。应在</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规定的时间内以书面方式进行，并不得超出</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范围或者改变</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的实质性内容。</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20.2.2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的澄清、说明或补正将作为</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的一部分。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报价出现前后不一致的，按照下列规定修正：</w:t>
      </w:r>
    </w:p>
    <w:p>
      <w:pPr>
        <w:pageBreakBefore w:val="0"/>
        <w:widowControl w:val="0"/>
        <w:kinsoku/>
        <w:wordWrap/>
        <w:overflowPunct/>
        <w:topLinePunct w:val="0"/>
        <w:bidi w:val="0"/>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（一）</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中开标一览表（报价表）内容与</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中相应内容不一致的，以开标一览表（报价表）为准；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pPr>
        <w:pageBreakBefore w:val="0"/>
        <w:widowControl w:val="0"/>
        <w:kinsoku/>
        <w:wordWrap/>
        <w:overflowPunct/>
        <w:topLinePunct w:val="0"/>
        <w:bidi w:val="0"/>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确认后产生约束力，</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不确认的，将被认定为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735" w:leftChars="350" w:firstLine="120" w:firstLineChars="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的解释发生异议的，以中文文本为准。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20.4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98" w:name="_Toc15825"/>
      <w:bookmarkStart w:id="99" w:name="_Toc518923086"/>
      <w:r>
        <w:rPr>
          <w:rFonts w:hint="eastAsia" w:ascii="仿宋" w:hAnsi="仿宋" w:eastAsia="仿宋" w:cs="仿宋"/>
          <w:color w:val="auto"/>
          <w:highlight w:val="none"/>
          <w:u w:val="none"/>
        </w:rPr>
        <w:t>21.投标偏离</w:t>
      </w:r>
      <w:bookmarkEnd w:id="98"/>
      <w:bookmarkEnd w:id="99"/>
    </w:p>
    <w:p>
      <w:pPr>
        <w:pageBreakBefore w:val="0"/>
        <w:widowControl w:val="0"/>
        <w:kinsoku/>
        <w:wordWrap/>
        <w:overflowPunct/>
        <w:topLinePunct w:val="0"/>
        <w:bidi w:val="0"/>
        <w:snapToGrid/>
        <w:spacing w:line="360" w:lineRule="auto"/>
        <w:ind w:left="848" w:leftChars="99" w:hanging="640" w:hanging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可以接受</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中不构成实质性偏离的不正规或不一致。</w:t>
      </w:r>
      <w:bookmarkStart w:id="100" w:name="_Toc518923087"/>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color w:val="auto"/>
          <w:highlight w:val="none"/>
          <w:u w:val="none"/>
        </w:rPr>
      </w:pPr>
      <w:bookmarkStart w:id="101" w:name="_Toc27970"/>
      <w:r>
        <w:rPr>
          <w:rFonts w:hint="eastAsia" w:ascii="仿宋" w:hAnsi="仿宋" w:eastAsia="仿宋" w:cs="仿宋"/>
          <w:b/>
          <w:color w:val="auto"/>
          <w:highlight w:val="none"/>
          <w:u w:val="none"/>
        </w:rPr>
        <w:t>22.投标无效</w:t>
      </w:r>
      <w:bookmarkEnd w:id="100"/>
      <w:bookmarkEnd w:id="101"/>
    </w:p>
    <w:p>
      <w:pPr>
        <w:pageBreakBefore w:val="0"/>
        <w:widowControl w:val="0"/>
        <w:kinsoku/>
        <w:wordWrap/>
        <w:overflowPunct/>
        <w:topLinePunct w:val="0"/>
        <w:bidi w:val="0"/>
        <w:snapToGrid/>
        <w:spacing w:line="360" w:lineRule="auto"/>
        <w:ind w:left="852" w:leftChars="-23"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要审查每份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是否实质上响应了</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的要求。实质上响应的投标应该是与</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要求的全部条款、条件和规格相符，没有重大偏离的投标。对关键条款的偏离，将被认定为投标无效。</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不得通过修正或撤销不符合要求的偏离从而使其投标成为实质上响应的投标。</w:t>
      </w:r>
    </w:p>
    <w:p>
      <w:pPr>
        <w:pageBreakBefore w:val="0"/>
        <w:widowControl w:val="0"/>
        <w:kinsoku/>
        <w:wordWrap/>
        <w:overflowPunct/>
        <w:topLinePunct w:val="0"/>
        <w:bidi w:val="0"/>
        <w:snapToGrid/>
        <w:spacing w:line="360" w:lineRule="auto"/>
        <w:ind w:left="792" w:leftChars="37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决定投标的响应性只根据</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内容及财政主管部门指定相关信息发布媒体。</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如发现下列情况之一的，其投标将被认定为投标无效：（</w:t>
      </w:r>
      <w:r>
        <w:rPr>
          <w:rFonts w:hint="eastAsia" w:ascii="仿宋" w:hAnsi="仿宋" w:eastAsia="仿宋" w:cs="仿宋"/>
          <w:b/>
          <w:color w:val="auto"/>
          <w:sz w:val="24"/>
          <w:highlight w:val="none"/>
        </w:rPr>
        <w:t>以下情形应当在</w:t>
      </w:r>
      <w:r>
        <w:rPr>
          <w:rFonts w:hint="eastAsia" w:ascii="仿宋" w:hAnsi="仿宋" w:eastAsia="仿宋" w:cs="仿宋"/>
          <w:b/>
          <w:color w:val="auto"/>
          <w:sz w:val="24"/>
          <w:highlight w:val="none"/>
          <w:lang w:eastAsia="zh-CN"/>
        </w:rPr>
        <w:t>磋商文件</w:t>
      </w:r>
      <w:r>
        <w:rPr>
          <w:rFonts w:hint="eastAsia" w:ascii="仿宋" w:hAnsi="仿宋" w:eastAsia="仿宋" w:cs="仿宋"/>
          <w:b/>
          <w:color w:val="auto"/>
          <w:sz w:val="24"/>
          <w:highlight w:val="none"/>
        </w:rPr>
        <w:t>中规定，并以醒目的方式标明</w:t>
      </w:r>
      <w:r>
        <w:rPr>
          <w:rFonts w:hint="eastAsia" w:ascii="仿宋" w:hAnsi="仿宋" w:eastAsia="仿宋" w:cs="仿宋"/>
          <w:color w:val="auto"/>
          <w:sz w:val="24"/>
          <w:highlight w:val="none"/>
        </w:rPr>
        <w:t>）</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规定的形式和金额提交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规定要求签署、盖章的；</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未满足</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中技术条款的实质性要求；</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串通投标，或者与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串通投标；</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规定的其他投标无效情形；</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认为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的报价明显低于其他通过符合性检查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的报价，有可能影响履约的，且</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未按照规定证明其报价合理性的；</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含有采购人不能接受的附加条件的；</w:t>
      </w:r>
    </w:p>
    <w:p>
      <w:pPr>
        <w:pageBreakBefore w:val="0"/>
        <w:widowControl w:val="0"/>
        <w:numPr>
          <w:ilvl w:val="0"/>
          <w:numId w:val="3"/>
        </w:numPr>
        <w:tabs>
          <w:tab w:val="left" w:pos="0"/>
        </w:tabs>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不符合法规和</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中规定的其他实质性要求的。</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color w:val="auto"/>
          <w:highlight w:val="none"/>
          <w:u w:val="none"/>
        </w:rPr>
      </w:pPr>
      <w:bookmarkStart w:id="102" w:name="_Toc5678"/>
      <w:bookmarkStart w:id="103" w:name="_Toc518923088"/>
      <w:r>
        <w:rPr>
          <w:rFonts w:hint="eastAsia" w:ascii="仿宋" w:hAnsi="仿宋" w:eastAsia="仿宋" w:cs="仿宋"/>
          <w:b/>
          <w:color w:val="auto"/>
          <w:highlight w:val="none"/>
          <w:u w:val="none"/>
        </w:rPr>
        <w:t>23</w:t>
      </w:r>
      <w:bookmarkEnd w:id="97"/>
      <w:r>
        <w:rPr>
          <w:rFonts w:hint="eastAsia" w:ascii="仿宋" w:hAnsi="仿宋" w:eastAsia="仿宋" w:cs="仿宋"/>
          <w:b/>
          <w:color w:val="auto"/>
          <w:highlight w:val="none"/>
          <w:u w:val="none"/>
        </w:rPr>
        <w:t>.比较与评价</w:t>
      </w:r>
      <w:bookmarkEnd w:id="102"/>
      <w:bookmarkEnd w:id="103"/>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将根据</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确定的评标方法和标准，对其技术部分和商务部分作进一步的比较和评价。</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的要求和条件进行。根据实际情况，在</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中规定采用下列一种评标方法，详细评标标准见</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第六章：</w:t>
      </w:r>
    </w:p>
    <w:p>
      <w:pPr>
        <w:pStyle w:val="11"/>
        <w:pageBreakBefore w:val="0"/>
        <w:widowControl w:val="0"/>
        <w:kinsoku/>
        <w:wordWrap/>
        <w:overflowPunct/>
        <w:topLinePunct w:val="0"/>
        <w:bidi w:val="0"/>
        <w:snapToGrid/>
        <w:spacing w:line="360" w:lineRule="auto"/>
        <w:ind w:left="899" w:leftChars="342" w:hanging="18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最低评标价法，是指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全部实质性要求，且投标报价最低的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为中标候选人的评标方法。</w:t>
      </w:r>
    </w:p>
    <w:p>
      <w:pPr>
        <w:pStyle w:val="11"/>
        <w:pageBreakBefore w:val="0"/>
        <w:widowControl w:val="0"/>
        <w:kinsoku/>
        <w:wordWrap/>
        <w:overflowPunct/>
        <w:topLinePunct w:val="0"/>
        <w:bidi w:val="0"/>
        <w:snapToGrid/>
        <w:spacing w:line="360" w:lineRule="auto"/>
        <w:ind w:left="898" w:leftChars="342" w:hanging="1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综合评分法，是指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全部实质性要求，且按照评审因素的量化指标评审得分最高的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为中标候选人的评标方法。</w:t>
      </w:r>
    </w:p>
    <w:p>
      <w:pPr>
        <w:pStyle w:val="11"/>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根据《政府采购促进中小企业发展暂行办法》（财库[20</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rPr>
        <w:t>号）、《财政部 司法部关于政府采购支持监狱企业发展有关问题的通知》（财库〔2014〕68号）和《三部门联合发布关于促进残疾人就业政府采购政策的通知》（</w:t>
      </w:r>
      <w:bookmarkStart w:id="104" w:name="sendNo"/>
      <w:r>
        <w:rPr>
          <w:rFonts w:hint="eastAsia" w:ascii="仿宋" w:hAnsi="仿宋" w:eastAsia="仿宋" w:cs="仿宋"/>
          <w:bCs/>
          <w:color w:val="auto"/>
          <w:sz w:val="24"/>
          <w:szCs w:val="24"/>
          <w:highlight w:val="none"/>
        </w:rPr>
        <w:t>财库〔</w:t>
      </w:r>
      <w:bookmarkEnd w:id="104"/>
      <w:r>
        <w:rPr>
          <w:rFonts w:hint="eastAsia" w:ascii="仿宋" w:hAnsi="仿宋" w:eastAsia="仿宋" w:cs="仿宋"/>
          <w:bCs/>
          <w:color w:val="auto"/>
          <w:sz w:val="24"/>
          <w:szCs w:val="24"/>
          <w:highlight w:val="none"/>
        </w:rPr>
        <w:t>2017〕141号</w:t>
      </w:r>
      <w:r>
        <w:rPr>
          <w:rFonts w:hint="eastAsia" w:ascii="仿宋" w:hAnsi="仿宋" w:eastAsia="仿宋" w:cs="仿宋"/>
          <w:color w:val="auto"/>
          <w:sz w:val="24"/>
          <w:szCs w:val="24"/>
          <w:highlight w:val="none"/>
        </w:rPr>
        <w:t>）的规定，对满足价格扣除条件且在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中提交了《</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企业类型声明函》或省级以上监狱管理局、戒毒管理局（含新疆生产建设兵团）出具的属于监狱企业的证明文件的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，具体办法详见</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第6章。</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05" w:name="_Toc520356168"/>
      <w:bookmarkStart w:id="106" w:name="_Toc518923089"/>
      <w:bookmarkStart w:id="107" w:name="_Toc21406"/>
      <w:r>
        <w:rPr>
          <w:rFonts w:hint="eastAsia" w:ascii="仿宋" w:hAnsi="仿宋" w:eastAsia="仿宋" w:cs="仿宋"/>
          <w:color w:val="auto"/>
          <w:highlight w:val="none"/>
          <w:u w:val="none"/>
        </w:rPr>
        <w:t>24</w:t>
      </w:r>
      <w:bookmarkEnd w:id="105"/>
      <w:r>
        <w:rPr>
          <w:rFonts w:hint="eastAsia" w:ascii="仿宋" w:hAnsi="仿宋" w:eastAsia="仿宋" w:cs="仿宋"/>
          <w:color w:val="auto"/>
          <w:highlight w:val="none"/>
          <w:u w:val="none"/>
        </w:rPr>
        <w:t>.废标</w:t>
      </w:r>
      <w:bookmarkEnd w:id="106"/>
      <w:bookmarkEnd w:id="107"/>
    </w:p>
    <w:p>
      <w:pPr>
        <w:pageBreakBefore w:val="0"/>
        <w:widowControl w:val="0"/>
        <w:kinsoku/>
        <w:wordWrap/>
        <w:overflowPunct/>
        <w:topLinePunct w:val="0"/>
        <w:bidi w:val="0"/>
        <w:snapToGrid/>
        <w:spacing w:line="360" w:lineRule="auto"/>
        <w:ind w:left="898" w:leftChars="399" w:hanging="60" w:hangingChars="25"/>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出现下列情形之一，将导致项目废标： </w:t>
      </w:r>
    </w:p>
    <w:p>
      <w:pPr>
        <w:pageBreakBefore w:val="0"/>
        <w:widowControl w:val="0"/>
        <w:kinsoku/>
        <w:wordWrap/>
        <w:overflowPunct/>
        <w:topLinePunct w:val="0"/>
        <w:bidi w:val="0"/>
        <w:snapToGrid/>
        <w:spacing w:line="360" w:lineRule="auto"/>
        <w:ind w:left="900" w:hanging="904" w:hangingChars="375"/>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（1）符合专业条件的</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或者对</w:t>
      </w:r>
      <w:r>
        <w:rPr>
          <w:rFonts w:hint="eastAsia" w:ascii="仿宋" w:hAnsi="仿宋" w:eastAsia="仿宋" w:cs="仿宋"/>
          <w:b/>
          <w:bCs/>
          <w:color w:val="auto"/>
          <w:sz w:val="24"/>
          <w:highlight w:val="none"/>
          <w:lang w:eastAsia="zh-CN"/>
        </w:rPr>
        <w:t>磋商文件</w:t>
      </w:r>
      <w:r>
        <w:rPr>
          <w:rFonts w:hint="eastAsia" w:ascii="仿宋" w:hAnsi="仿宋" w:eastAsia="仿宋" w:cs="仿宋"/>
          <w:b/>
          <w:bCs/>
          <w:color w:val="auto"/>
          <w:sz w:val="24"/>
          <w:highlight w:val="none"/>
        </w:rPr>
        <w:t>做实质性响应的</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不足三家；</w:t>
      </w:r>
    </w:p>
    <w:p>
      <w:pPr>
        <w:pageBreakBefore w:val="0"/>
        <w:widowControl w:val="0"/>
        <w:kinsoku/>
        <w:wordWrap/>
        <w:overflowPunct/>
        <w:topLinePunct w:val="0"/>
        <w:bidi w:val="0"/>
        <w:snapToGrid/>
        <w:spacing w:line="360" w:lineRule="auto"/>
        <w:ind w:left="900" w:hanging="904" w:hangingChars="375"/>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pPr>
        <w:pageBreakBefore w:val="0"/>
        <w:widowControl w:val="0"/>
        <w:kinsoku/>
        <w:wordWrap/>
        <w:overflowPunct/>
        <w:topLinePunct w:val="0"/>
        <w:bidi w:val="0"/>
        <w:snapToGrid/>
        <w:spacing w:line="360" w:lineRule="auto"/>
        <w:ind w:firstLine="843" w:firstLineChars="35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的报价均超过了采购预算，采购人不能支付的；</w:t>
      </w:r>
    </w:p>
    <w:p>
      <w:pPr>
        <w:pageBreakBefore w:val="0"/>
        <w:widowControl w:val="0"/>
        <w:kinsoku/>
        <w:wordWrap/>
        <w:overflowPunct/>
        <w:topLinePunct w:val="0"/>
        <w:bidi w:val="0"/>
        <w:snapToGrid/>
        <w:spacing w:line="360" w:lineRule="auto"/>
        <w:ind w:firstLine="843" w:firstLineChars="35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（4）因重大变故，采购任务取消的。   </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08" w:name="_Toc6371"/>
      <w:bookmarkStart w:id="109" w:name="_Toc518923090"/>
      <w:bookmarkStart w:id="110" w:name="_Toc520356169"/>
      <w:r>
        <w:rPr>
          <w:rFonts w:hint="eastAsia" w:ascii="仿宋" w:hAnsi="仿宋" w:eastAsia="仿宋" w:cs="仿宋"/>
          <w:color w:val="auto"/>
          <w:highlight w:val="none"/>
          <w:u w:val="none"/>
        </w:rPr>
        <w:t>25.保密原则</w:t>
      </w:r>
      <w:bookmarkEnd w:id="108"/>
      <w:bookmarkEnd w:id="109"/>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政府采购评审专家应当遵守评审工作纪律，不得泄露评审文件、评审情况和评审中获悉的商业秘密。</w:t>
      </w:r>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sz w:val="28"/>
          <w:szCs w:val="28"/>
          <w:highlight w:val="none"/>
        </w:rPr>
      </w:pPr>
      <w:bookmarkStart w:id="111" w:name="_Toc7622"/>
      <w:bookmarkStart w:id="112" w:name="_Toc216582810"/>
      <w:bookmarkStart w:id="113" w:name="_Toc518923091"/>
      <w:r>
        <w:rPr>
          <w:rFonts w:hint="eastAsia" w:ascii="仿宋" w:hAnsi="仿宋" w:eastAsia="仿宋" w:cs="仿宋"/>
          <w:color w:val="auto"/>
          <w:sz w:val="28"/>
          <w:szCs w:val="28"/>
          <w:highlight w:val="none"/>
        </w:rPr>
        <w:t xml:space="preserve">六   </w:t>
      </w:r>
      <w:bookmarkEnd w:id="110"/>
      <w:r>
        <w:rPr>
          <w:rFonts w:hint="eastAsia" w:ascii="仿宋" w:hAnsi="仿宋" w:eastAsia="仿宋" w:cs="仿宋"/>
          <w:color w:val="auto"/>
          <w:sz w:val="28"/>
          <w:szCs w:val="28"/>
          <w:highlight w:val="none"/>
        </w:rPr>
        <w:t>确定中标</w:t>
      </w:r>
      <w:bookmarkEnd w:id="111"/>
      <w:bookmarkEnd w:id="112"/>
      <w:bookmarkEnd w:id="113"/>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14" w:name="_Toc518923092"/>
      <w:bookmarkStart w:id="115" w:name="_Ref467307010"/>
      <w:bookmarkStart w:id="116" w:name="_Toc520356170"/>
      <w:bookmarkStart w:id="117" w:name="_Toc26808"/>
      <w:r>
        <w:rPr>
          <w:rFonts w:hint="eastAsia" w:ascii="仿宋" w:hAnsi="仿宋" w:eastAsia="仿宋" w:cs="仿宋"/>
          <w:color w:val="auto"/>
          <w:highlight w:val="none"/>
          <w:u w:val="none"/>
        </w:rPr>
        <w:t>26.中标候选人的确定原则及标准</w:t>
      </w:r>
      <w:bookmarkEnd w:id="114"/>
      <w:bookmarkEnd w:id="115"/>
      <w:bookmarkEnd w:id="116"/>
      <w:bookmarkEnd w:id="11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按下列方法进行排序，确定中标候选人：</w:t>
      </w:r>
    </w:p>
    <w:p>
      <w:pPr>
        <w:pageBreakBefore w:val="0"/>
        <w:widowControl w:val="0"/>
        <w:kinsoku/>
        <w:wordWrap/>
        <w:overflowPunct/>
        <w:topLinePunct w:val="0"/>
        <w:bidi w:val="0"/>
        <w:snapToGrid/>
        <w:spacing w:line="360" w:lineRule="auto"/>
        <w:ind w:left="901"/>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（1）采用最低评标价法的，除了算术修正和落实政府采购政策需进行的价格扣除外，不对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的投标价格进行任何调整。评标结果按修正和扣除后的投标报价由低到高顺序排列。报价相同的处理方式详见</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第6章。</w:t>
      </w:r>
    </w:p>
    <w:p>
      <w:pPr>
        <w:pageBreakBefore w:val="0"/>
        <w:widowControl w:val="0"/>
        <w:kinsoku/>
        <w:wordWrap/>
        <w:overflowPunct/>
        <w:topLinePunct w:val="0"/>
        <w:bidi w:val="0"/>
        <w:snapToGrid/>
        <w:spacing w:line="360" w:lineRule="auto"/>
        <w:ind w:left="901"/>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（2）采用综合评分法的，评标结果按评审后得分由高到低顺序排列。得分相同的，按修正和扣除后的投标报价由低到高顺序排列。得分与投标报价均相同的处理方式详见</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第6章。</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18" w:name="_Toc520356171"/>
      <w:bookmarkStart w:id="119" w:name="_Toc518923093"/>
      <w:bookmarkStart w:id="120" w:name="_Toc13316"/>
      <w:r>
        <w:rPr>
          <w:rFonts w:hint="eastAsia" w:ascii="仿宋" w:hAnsi="仿宋" w:eastAsia="仿宋" w:cs="仿宋"/>
          <w:color w:val="auto"/>
          <w:highlight w:val="none"/>
          <w:u w:val="none"/>
        </w:rPr>
        <w:t>27</w:t>
      </w:r>
      <w:bookmarkEnd w:id="118"/>
      <w:r>
        <w:rPr>
          <w:rFonts w:hint="eastAsia" w:ascii="仿宋" w:hAnsi="仿宋" w:eastAsia="仿宋" w:cs="仿宋"/>
          <w:color w:val="auto"/>
          <w:highlight w:val="none"/>
          <w:u w:val="none"/>
        </w:rPr>
        <w:t>.确定中标候选人和中标人</w:t>
      </w:r>
      <w:bookmarkEnd w:id="119"/>
      <w:bookmarkEnd w:id="120"/>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将根据评标标准，按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须知资料表中</w:t>
      </w:r>
      <w:r>
        <w:rPr>
          <w:rFonts w:hint="eastAsia" w:ascii="仿宋" w:hAnsi="仿宋" w:eastAsia="仿宋" w:cs="仿宋"/>
          <w:color w:val="auto"/>
          <w:sz w:val="24"/>
          <w:highlight w:val="none"/>
        </w:rPr>
        <w:t>规定数量推荐中标候选人；或根据采购人的委托，直接确定中标人。</w:t>
      </w:r>
    </w:p>
    <w:p>
      <w:pPr>
        <w:pStyle w:val="5"/>
        <w:pageBreakBefore w:val="0"/>
        <w:widowControl w:val="0"/>
        <w:tabs>
          <w:tab w:val="left" w:pos="900"/>
        </w:tabs>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21" w:name="_Ref467306874"/>
      <w:bookmarkStart w:id="122" w:name="_Toc520356173"/>
      <w:bookmarkStart w:id="123" w:name="_Toc518923094"/>
      <w:bookmarkStart w:id="124" w:name="_Toc25319"/>
      <w:r>
        <w:rPr>
          <w:rFonts w:hint="eastAsia" w:ascii="仿宋" w:hAnsi="仿宋" w:eastAsia="仿宋" w:cs="仿宋"/>
          <w:color w:val="auto"/>
          <w:highlight w:val="none"/>
          <w:u w:val="none"/>
        </w:rPr>
        <w:t>28</w:t>
      </w:r>
      <w:bookmarkEnd w:id="121"/>
      <w:bookmarkEnd w:id="122"/>
      <w:r>
        <w:rPr>
          <w:rFonts w:hint="eastAsia" w:ascii="仿宋" w:hAnsi="仿宋" w:eastAsia="仿宋" w:cs="仿宋"/>
          <w:color w:val="auto"/>
          <w:highlight w:val="none"/>
          <w:u w:val="none"/>
        </w:rPr>
        <w:t>.采购任务取消</w:t>
      </w:r>
      <w:bookmarkEnd w:id="123"/>
      <w:bookmarkEnd w:id="124"/>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中标，且对受影响的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不承担任何责任。</w:t>
      </w:r>
      <w:bookmarkStart w:id="125" w:name="_Toc520356174"/>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26" w:name="_Toc518923095"/>
      <w:bookmarkStart w:id="127" w:name="_Toc9309"/>
      <w:r>
        <w:rPr>
          <w:rFonts w:hint="eastAsia" w:ascii="仿宋" w:hAnsi="仿宋" w:eastAsia="仿宋" w:cs="仿宋"/>
          <w:color w:val="auto"/>
          <w:highlight w:val="none"/>
          <w:u w:val="none"/>
        </w:rPr>
        <w:t>29.中标通知书</w:t>
      </w:r>
      <w:bookmarkEnd w:id="125"/>
      <w:r>
        <w:rPr>
          <w:rFonts w:hint="eastAsia" w:ascii="仿宋" w:hAnsi="仿宋" w:eastAsia="仿宋" w:cs="仿宋"/>
          <w:color w:val="auto"/>
          <w:highlight w:val="none"/>
          <w:u w:val="none"/>
        </w:rPr>
        <w:t>和</w:t>
      </w:r>
      <w:r>
        <w:rPr>
          <w:rFonts w:hint="eastAsia" w:ascii="仿宋" w:hAnsi="仿宋" w:eastAsia="仿宋" w:cs="仿宋"/>
          <w:color w:val="auto"/>
          <w:highlight w:val="none"/>
          <w:u w:val="none"/>
          <w:lang w:val="en-US" w:eastAsia="zh-CN"/>
        </w:rPr>
        <w:t>中</w:t>
      </w:r>
      <w:r>
        <w:rPr>
          <w:rFonts w:hint="eastAsia" w:ascii="仿宋" w:hAnsi="仿宋" w:eastAsia="仿宋" w:cs="仿宋"/>
          <w:color w:val="auto"/>
          <w:highlight w:val="none"/>
          <w:u w:val="none"/>
        </w:rPr>
        <w:t>标结果通知书</w:t>
      </w:r>
      <w:bookmarkEnd w:id="126"/>
      <w:bookmarkEnd w:id="12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中标通知书是合同的组成部分；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29.3    </w:t>
      </w:r>
      <w:r>
        <w:rPr>
          <w:rFonts w:hint="eastAsia" w:ascii="仿宋" w:hAnsi="仿宋" w:eastAsia="仿宋" w:cs="仿宋"/>
          <w:color w:val="auto"/>
          <w:sz w:val="24"/>
          <w:highlight w:val="none"/>
          <w:lang w:val="en-US" w:eastAsia="zh-CN"/>
        </w:rPr>
        <w:t>中</w:t>
      </w:r>
      <w:r>
        <w:rPr>
          <w:rFonts w:hint="eastAsia" w:ascii="仿宋" w:hAnsi="仿宋" w:eastAsia="仿宋" w:cs="仿宋"/>
          <w:color w:val="auto"/>
          <w:sz w:val="24"/>
          <w:highlight w:val="none"/>
        </w:rPr>
        <w:t>标结果通知书和中标通知书同时发出。</w:t>
      </w:r>
      <w:r>
        <w:rPr>
          <w:rFonts w:hint="eastAsia" w:ascii="仿宋" w:hAnsi="仿宋" w:eastAsia="仿宋" w:cs="仿宋"/>
          <w:color w:val="auto"/>
          <w:sz w:val="24"/>
          <w:highlight w:val="none"/>
          <w:lang w:val="en-US" w:eastAsia="zh-CN"/>
        </w:rPr>
        <w:t>中</w:t>
      </w:r>
      <w:r>
        <w:rPr>
          <w:rFonts w:hint="eastAsia" w:ascii="仿宋" w:hAnsi="仿宋" w:eastAsia="仿宋" w:cs="仿宋"/>
          <w:color w:val="auto"/>
          <w:sz w:val="24"/>
          <w:highlight w:val="none"/>
        </w:rPr>
        <w:t>标结果通知书中将告知未通过资格审查的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未通过的原因；采用综合评分法评审的，还将告知未中标人本人的评审得分和排序。</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28" w:name="_Ref467307062"/>
      <w:bookmarkStart w:id="129" w:name="_Toc518923096"/>
      <w:bookmarkStart w:id="130" w:name="_Ref467306978"/>
      <w:bookmarkStart w:id="131" w:name="_Ref467307204"/>
      <w:bookmarkStart w:id="132" w:name="_Ref467306377"/>
      <w:bookmarkStart w:id="133" w:name="_Toc13387"/>
      <w:bookmarkStart w:id="134" w:name="_Toc520356175"/>
      <w:r>
        <w:rPr>
          <w:rFonts w:hint="eastAsia" w:ascii="仿宋" w:hAnsi="仿宋" w:eastAsia="仿宋" w:cs="仿宋"/>
          <w:color w:val="auto"/>
          <w:highlight w:val="none"/>
          <w:u w:val="none"/>
        </w:rPr>
        <w:t>30.签订合同</w:t>
      </w:r>
      <w:bookmarkEnd w:id="128"/>
      <w:bookmarkEnd w:id="129"/>
      <w:bookmarkEnd w:id="130"/>
      <w:bookmarkEnd w:id="131"/>
      <w:bookmarkEnd w:id="132"/>
      <w:bookmarkEnd w:id="133"/>
      <w:bookmarkEnd w:id="134"/>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中标人应当自发出中标通知书之日起30日内，与采购人签订合同。</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135" w:name="_Toc520356176"/>
      <w:bookmarkStart w:id="136" w:name="_Ref467307090"/>
      <w:bookmarkStart w:id="137" w:name="_Ref467306425"/>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、中标人的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及其澄清文件等，均为签订合同的依据。</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中标无效或中标结果无效</w:t>
      </w:r>
      <w:r>
        <w:rPr>
          <w:rFonts w:hint="eastAsia" w:ascii="仿宋" w:hAnsi="仿宋" w:eastAsia="仿宋" w:cs="仿宋"/>
          <w:color w:val="auto"/>
          <w:sz w:val="24"/>
          <w:highlight w:val="none"/>
        </w:rPr>
        <w:t>情形时，采购人可与排名下一位的中标候选人另行签订合同，或依法重新开展采购活动。</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38" w:name="_Toc2944"/>
      <w:bookmarkStart w:id="139" w:name="_Toc518923097"/>
      <w:r>
        <w:rPr>
          <w:rFonts w:hint="eastAsia" w:ascii="仿宋" w:hAnsi="仿宋" w:eastAsia="仿宋" w:cs="仿宋"/>
          <w:color w:val="auto"/>
          <w:highlight w:val="none"/>
          <w:u w:val="none"/>
        </w:rPr>
        <w:t>31.履约保证金</w:t>
      </w:r>
      <w:bookmarkEnd w:id="135"/>
      <w:bookmarkEnd w:id="136"/>
      <w:bookmarkEnd w:id="137"/>
      <w:bookmarkEnd w:id="138"/>
      <w:bookmarkEnd w:id="139"/>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中标人应按照</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规定向采购人缴纳履约保证金（如采用保函形式，格式见本章附件1）。</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政府采购利用担保试点范围内的项目，除31.1规定的情形外，中标人也可以按照财政部门的规定，向采购人提供合格的履约担保函（格式见本章附件2）。</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31.3   如果中标人没有按照上述履约保证金的规定执行，将视为放弃中标资格，中标人的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将不予退还。在此情况下，采购人可确定下一候选人为中标人，也可以重新开展采购活动。</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0" w:name="_Toc9492"/>
      <w:bookmarkStart w:id="141" w:name="_Toc518923098"/>
      <w:r>
        <w:rPr>
          <w:rFonts w:hint="eastAsia" w:ascii="仿宋" w:hAnsi="仿宋" w:eastAsia="仿宋" w:cs="仿宋"/>
          <w:color w:val="auto"/>
          <w:highlight w:val="none"/>
          <w:u w:val="none"/>
        </w:rPr>
        <w:t>32.中标服务费</w:t>
      </w:r>
      <w:bookmarkEnd w:id="140"/>
      <w:bookmarkEnd w:id="141"/>
    </w:p>
    <w:p>
      <w:pPr>
        <w:pageBreakBefore w:val="0"/>
        <w:widowControl w:val="0"/>
        <w:kinsoku/>
        <w:wordWrap/>
        <w:overflowPunct/>
        <w:topLinePunct w:val="0"/>
        <w:bidi w:val="0"/>
        <w:snapToGrid/>
        <w:spacing w:line="360" w:lineRule="auto"/>
        <w:ind w:left="840" w:leftChars="200" w:hanging="420" w:hangingChars="1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中标人须按照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规定，向采购代理机构支付中标服务费。</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2" w:name="_Toc518923099"/>
      <w:bookmarkStart w:id="143" w:name="_Toc7729"/>
      <w:r>
        <w:rPr>
          <w:rFonts w:hint="eastAsia" w:ascii="仿宋" w:hAnsi="仿宋" w:eastAsia="仿宋" w:cs="仿宋"/>
          <w:color w:val="auto"/>
          <w:highlight w:val="none"/>
          <w:u w:val="none"/>
        </w:rPr>
        <w:t>33.政府采购信用担保</w:t>
      </w:r>
      <w:bookmarkEnd w:id="142"/>
      <w:bookmarkEnd w:id="143"/>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850" w:hanging="849" w:hangingChars="354"/>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可以自由按照财政部门的规定，采用投标担保、履约担保和融资担保。</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33.2.1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递交的投标担保函和履约担保函应符合本</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33.2.2 中标人可以采取融资担保的形式为政府采购项目履约进行融资。</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4" w:name="_Toc14079"/>
      <w:bookmarkStart w:id="145" w:name="_Toc518923100"/>
      <w:r>
        <w:rPr>
          <w:rFonts w:hint="eastAsia" w:ascii="仿宋" w:hAnsi="仿宋" w:eastAsia="仿宋" w:cs="仿宋"/>
          <w:color w:val="auto"/>
          <w:highlight w:val="none"/>
          <w:u w:val="none"/>
        </w:rPr>
        <w:t>34.廉洁自律规定</w:t>
      </w:r>
      <w:bookmarkEnd w:id="144"/>
      <w:bookmarkEnd w:id="14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恶意串通操纵政府采购活动。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组织的宴请、旅游、娱乐，不得收受礼品、现金、有价证券等，不得向采购人或者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报销应当由个人承担的费用。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须知资料表中的</w:t>
      </w:r>
      <w:r>
        <w:rPr>
          <w:rFonts w:hint="eastAsia" w:ascii="仿宋" w:hAnsi="仿宋" w:eastAsia="仿宋" w:cs="仿宋"/>
          <w:color w:val="auto"/>
          <w:sz w:val="24"/>
          <w:highlight w:val="none"/>
        </w:rPr>
        <w:t>监督电话和信箱，反映采购代理机构的廉洁自律等问题。</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6" w:name="_Toc518923101"/>
      <w:bookmarkStart w:id="147" w:name="_Toc7964"/>
      <w:r>
        <w:rPr>
          <w:rFonts w:hint="eastAsia" w:ascii="仿宋" w:hAnsi="仿宋" w:eastAsia="仿宋" w:cs="仿宋"/>
          <w:color w:val="auto"/>
          <w:highlight w:val="none"/>
          <w:u w:val="none"/>
        </w:rPr>
        <w:t>35.人员回避</w:t>
      </w:r>
      <w:bookmarkEnd w:id="146"/>
      <w:bookmarkEnd w:id="14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认为采购人员及其相关人员有法律法规所列与其他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有利害关系的，可以向采购人或采购代理机构书面提出回避申请，并说明理由。</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8" w:name="_Toc21087"/>
      <w:bookmarkStart w:id="149" w:name="_Toc518923102"/>
      <w:r>
        <w:rPr>
          <w:rFonts w:hint="eastAsia" w:ascii="仿宋" w:hAnsi="仿宋" w:eastAsia="仿宋" w:cs="仿宋"/>
          <w:color w:val="auto"/>
          <w:highlight w:val="none"/>
          <w:u w:val="none"/>
        </w:rPr>
        <w:t>36.质疑与接收</w:t>
      </w:r>
      <w:bookmarkEnd w:id="148"/>
      <w:bookmarkEnd w:id="149"/>
    </w:p>
    <w:p>
      <w:pPr>
        <w:pageBreakBefore w:val="0"/>
        <w:widowControl w:val="0"/>
        <w:kinsoku/>
        <w:wordWrap/>
        <w:overflowPunct/>
        <w:topLinePunct w:val="0"/>
        <w:bidi w:val="0"/>
        <w:snapToGrid/>
        <w:spacing w:line="360" w:lineRule="auto"/>
        <w:ind w:left="851" w:leftChars="68" w:hanging="708" w:hangingChars="29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36.1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认为</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widowControl w:val="0"/>
        <w:kinsoku/>
        <w:wordWrap/>
        <w:overflowPunct/>
        <w:topLinePunct w:val="0"/>
        <w:bidi w:val="0"/>
        <w:snapToGrid/>
        <w:spacing w:line="360" w:lineRule="auto"/>
        <w:ind w:left="851" w:leftChars="68" w:hanging="708" w:hangingChars="29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36.2  质疑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将依法承担不利后果。</w:t>
      </w:r>
    </w:p>
    <w:p>
      <w:pPr>
        <w:pageBreakBefore w:val="0"/>
        <w:widowControl w:val="0"/>
        <w:kinsoku/>
        <w:wordWrap/>
        <w:overflowPunct/>
        <w:topLinePunct w:val="0"/>
        <w:bidi w:val="0"/>
        <w:snapToGrid/>
        <w:spacing w:line="360" w:lineRule="auto"/>
        <w:ind w:left="851" w:leftChars="68" w:hanging="708" w:hangingChars="29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36.3  采购代理机构质疑函接收部门、联系电话和通讯地址, 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36.4质疑的提出</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36.5 本采购文件中所称质疑及答复，是指参加本次采购活动的</w:t>
      </w:r>
      <w:r>
        <w:rPr>
          <w:rFonts w:hint="eastAsia" w:ascii="仿宋" w:hAnsi="仿宋" w:eastAsia="仿宋" w:cs="仿宋"/>
          <w:sz w:val="24"/>
          <w:szCs w:val="24"/>
          <w:lang w:eastAsia="zh-CN"/>
        </w:rPr>
        <w:t>投标人</w:t>
      </w:r>
      <w:r>
        <w:rPr>
          <w:rFonts w:hint="eastAsia" w:ascii="仿宋" w:hAnsi="仿宋" w:eastAsia="仿宋" w:cs="仿宋"/>
          <w:sz w:val="24"/>
          <w:szCs w:val="24"/>
        </w:rPr>
        <w:t>对政府采购活动中的采购文件、采购过程和成交结果向采购方提出质疑，采购方答复质疑的行为。</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36.6 </w:t>
      </w:r>
      <w:r>
        <w:rPr>
          <w:rFonts w:hint="eastAsia" w:ascii="仿宋" w:hAnsi="仿宋" w:eastAsia="仿宋" w:cs="仿宋"/>
          <w:sz w:val="24"/>
          <w:szCs w:val="24"/>
          <w:lang w:eastAsia="zh-CN"/>
        </w:rPr>
        <w:t>投标人</w:t>
      </w:r>
      <w:r>
        <w:rPr>
          <w:rFonts w:hint="eastAsia" w:ascii="仿宋" w:hAnsi="仿宋" w:eastAsia="仿宋" w:cs="仿宋"/>
          <w:sz w:val="24"/>
          <w:szCs w:val="24"/>
        </w:rPr>
        <w:t>认为采购文件、采购过程和成交结果使自己的权益受到损害的，可以在知道或者应知其权益受到损害之日起7个工作日内，以书面形式向采购方提出质疑。</w:t>
      </w:r>
      <w:r>
        <w:rPr>
          <w:rFonts w:hint="eastAsia" w:ascii="仿宋" w:hAnsi="仿宋" w:eastAsia="仿宋" w:cs="仿宋"/>
          <w:sz w:val="24"/>
          <w:szCs w:val="24"/>
          <w:lang w:eastAsia="zh-CN"/>
        </w:rPr>
        <w:t>投标人</w:t>
      </w:r>
      <w:r>
        <w:rPr>
          <w:rFonts w:hint="eastAsia" w:ascii="仿宋" w:hAnsi="仿宋" w:eastAsia="仿宋" w:cs="仿宋"/>
          <w:sz w:val="24"/>
          <w:szCs w:val="24"/>
        </w:rPr>
        <w:t>应知其权益受到损害之日，是指：</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（一）对可以质疑的采购文件提出质疑的，为收到采购文件之日或者采购文件公告期限届满之日；</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（二）对采购过程提出质疑的，为各采购程序环节结束之日；</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（三）对成交结果提出质疑的，为成交结果公告期限届满之日。</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36.7对可以质疑的采购文件提出质疑的，质疑人为参与本项目的报价方或潜在报价方。可质疑的文件为采购公告以及采购文件（包括属于其组成部分的澄清、修改、补充文件和评审标准、合同文本等）。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36.8对采购过程和成交结果提出质疑的，质疑人为直接参与本项目的报价方。采购过程,即从采购项目信息公告发布起到成交结果公告止，包括采购文件的发出、提交</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开启、评审等各个采购程序环节。</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36.9 提出质疑应当符合下列条件：</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（一）质疑主体应当符合有关规定；</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（二）在质疑法定期限内提出；</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（三）属于可以提出质疑的政府采购事项受理范围和本项目采购人的管辖权范围；</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（四）政府采购法律、法规、规章规定的其他条件。</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40.1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40.2 质疑人提出质疑时应当提交质疑函。质疑函包括下列内容：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（一）提出质疑的质疑人的名称、地址、邮编、联系人及联系电话等；</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（二）质疑项目的名称、编号；</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（三）质疑事项；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（四）事实依据和证明材料；</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（五）法律依据；</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（六）提出质疑的日期。</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40.3 质疑人可以委托代理人进行质疑。代理人应当提交授权委托书。授权委托书应当载明委托代理的具体权限、期限和相关事项。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40.4、质疑的审查和受理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采购方在收到质疑函后应当及时审查是否符合质疑受理条件，对符合质疑受理条件的，及时予以受理。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40.5 对不符合质疑受理条件的，分别按照下列不同情形予以处理：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（二）质疑主体不符合有关规定的，告知质疑人不予受理；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（三）超过质疑法定期限提出质疑的，告知质疑人不予受理；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（四）对不属于可以提出质疑的政府采购事项提出质疑的，告知质疑人不予受理；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（五）质疑不属于本项目采购方管辖的，告知质疑人向有管辖权的采购人提出质疑；</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（六）质疑不符合其他条件的，告知质疑人不予受理。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40.6、质疑的处理和答复</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40.7 采购方受理质疑后，将及时把质疑函发送给被质疑人，并要求其在一定限期人提交书面答复，同时提供有关证据、依据和相关材料。</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40.8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40.9 对评审过程、成交结果提出质疑的，采购方可以组织原评审委员会协助答复质疑。</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41.质疑处理过程中，质疑人书面申请撤回质疑的，将终止质疑处理程序。</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41.1质疑人拒绝配合采购方依法对质疑进行调查处理的，采购方将按质疑人自动撤回质疑处理；被质疑人拒绝配合采购方依法对质疑进行调查处理的，采购方将视同其认可质疑事项。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41.2采购方将在正式受理质疑后7个工作日内作出答复，但处理质疑需要进行调查取证、组织专家评审、质疑人及被质疑人提交或补正材料等所需时间，不计算在质疑处理期限内。</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41.3 采购方经调查、论证、核实，认定质疑不能成立的，继续开展采购活动；认定质疑成立的，按照以下情况处理：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41.4 采购方将书面答复质疑，质疑答复包括下列内容：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（一）质疑人名称；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（二）收到质疑函的日期、质疑项目名称及编号;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三</w:t>
      </w:r>
      <w:r>
        <w:rPr>
          <w:rFonts w:hint="eastAsia" w:ascii="仿宋" w:hAnsi="仿宋" w:eastAsia="仿宋" w:cs="仿宋"/>
          <w:sz w:val="24"/>
          <w:szCs w:val="24"/>
          <w:lang w:eastAsia="zh-CN"/>
        </w:rPr>
        <w:t>）</w:t>
      </w:r>
      <w:r>
        <w:rPr>
          <w:rFonts w:hint="eastAsia" w:ascii="仿宋" w:hAnsi="仿宋" w:eastAsia="仿宋" w:cs="仿宋"/>
          <w:sz w:val="24"/>
          <w:szCs w:val="24"/>
        </w:rPr>
        <w:t>质疑事项、质疑答复的具体内容、事实依据和法律依据；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（四）告知质疑人依法投诉的权利；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（五）质疑答复日期。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41.5 质疑人有下列行为之一的，属于虚假、恶意质疑，将由采购方建议财政部门将其列入不良行为记录名单，禁止其1至3年内参加政府采购活动：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（一）捏造事实；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（二）提供虚假材料；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（三）以非法手段取得证明材料或者无法提供证据的合法来源；</w:t>
      </w:r>
    </w:p>
    <w:p>
      <w:pPr>
        <w:pStyle w:val="4"/>
        <w:spacing w:before="0" w:line="240" w:lineRule="atLeast"/>
        <w:ind w:firstLine="480" w:firstLineChars="200"/>
        <w:jc w:val="both"/>
        <w:rPr>
          <w:rFonts w:hint="eastAsia" w:ascii="仿宋" w:hAnsi="仿宋" w:eastAsia="仿宋" w:cs="仿宋"/>
          <w:color w:val="auto"/>
          <w:szCs w:val="24"/>
          <w:highlight w:val="none"/>
        </w:rPr>
      </w:pPr>
      <w:r>
        <w:rPr>
          <w:rFonts w:hint="eastAsia" w:ascii="仿宋" w:hAnsi="仿宋" w:eastAsia="仿宋" w:cs="仿宋"/>
          <w:b w:val="0"/>
          <w:bCs/>
          <w:sz w:val="24"/>
          <w:szCs w:val="24"/>
        </w:rPr>
        <w:t>（四）法律法规规定的其他违法情形。</w:t>
      </w:r>
      <w:r>
        <w:rPr>
          <w:rFonts w:hint="eastAsia" w:ascii="仿宋" w:hAnsi="仿宋" w:eastAsia="仿宋" w:cs="仿宋"/>
          <w:color w:val="auto"/>
          <w:highlight w:val="none"/>
        </w:rPr>
        <w:br w:type="page"/>
      </w:r>
      <w:bookmarkStart w:id="150" w:name="_Toc11316"/>
      <w:bookmarkStart w:id="151" w:name="_Toc518923103"/>
      <w:r>
        <w:rPr>
          <w:rFonts w:hint="eastAsia" w:ascii="仿宋" w:hAnsi="仿宋" w:eastAsia="仿宋" w:cs="仿宋"/>
          <w:color w:val="auto"/>
          <w:szCs w:val="24"/>
          <w:highlight w:val="none"/>
        </w:rPr>
        <w:t>附件1：履约保证金保函（格式）</w:t>
      </w:r>
      <w:bookmarkEnd w:id="150"/>
      <w:bookmarkEnd w:id="151"/>
    </w:p>
    <w:p>
      <w:pPr>
        <w:pStyle w:val="11"/>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（中标后开具）</w:t>
      </w:r>
    </w:p>
    <w:p>
      <w:pPr>
        <w:pStyle w:val="11"/>
        <w:spacing w:line="240" w:lineRule="atLeast"/>
        <w:ind w:left="1080" w:leftChars="257" w:hanging="540"/>
        <w:rPr>
          <w:rFonts w:hint="eastAsia" w:ascii="仿宋" w:hAnsi="仿宋" w:eastAsia="仿宋" w:cs="仿宋"/>
          <w:b/>
          <w:color w:val="auto"/>
          <w:sz w:val="24"/>
          <w:highlight w:val="none"/>
        </w:rPr>
      </w:pPr>
    </w:p>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 (</w:t>
      </w:r>
      <w:r>
        <w:rPr>
          <w:rFonts w:hint="eastAsia" w:ascii="仿宋" w:hAnsi="仿宋" w:eastAsia="仿宋" w:cs="仿宋"/>
          <w:i/>
          <w:color w:val="auto"/>
          <w:sz w:val="24"/>
          <w:highlight w:val="none"/>
          <w:u w:val="single"/>
        </w:rPr>
        <w:t>买方名称</w:t>
      </w:r>
      <w:r>
        <w:rPr>
          <w:rFonts w:hint="eastAsia" w:ascii="仿宋" w:hAnsi="仿宋" w:eastAsia="仿宋" w:cs="仿宋"/>
          <w:color w:val="auto"/>
          <w:sz w:val="24"/>
          <w:highlight w:val="none"/>
        </w:rPr>
        <w:t>)</w:t>
      </w:r>
    </w:p>
    <w:p>
      <w:pPr>
        <w:pStyle w:val="11"/>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pPr>
        <w:pStyle w:val="11"/>
        <w:spacing w:line="240" w:lineRule="atLeast"/>
        <w:ind w:left="1080" w:leftChars="257" w:hanging="540"/>
        <w:jc w:val="center"/>
        <w:rPr>
          <w:rFonts w:hint="eastAsia" w:ascii="仿宋" w:hAnsi="仿宋" w:eastAsia="仿宋" w:cs="仿宋"/>
          <w:color w:val="auto"/>
          <w:sz w:val="24"/>
          <w:highlight w:val="none"/>
        </w:rPr>
      </w:pPr>
    </w:p>
    <w:p>
      <w:pPr>
        <w:pStyle w:val="11"/>
        <w:spacing w:line="240" w:lineRule="atLeas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本保函作为贵方与(</w:t>
      </w:r>
      <w:r>
        <w:rPr>
          <w:rFonts w:hint="eastAsia" w:ascii="仿宋" w:hAnsi="仿宋" w:eastAsia="仿宋" w:cs="仿宋"/>
          <w:i/>
          <w:color w:val="auto"/>
          <w:sz w:val="24"/>
          <w:highlight w:val="none"/>
          <w:u w:val="single"/>
        </w:rPr>
        <w:t>卖方名称</w:t>
      </w:r>
      <w:r>
        <w:rPr>
          <w:rFonts w:hint="eastAsia" w:ascii="仿宋" w:hAnsi="仿宋" w:eastAsia="仿宋" w:cs="仿宋"/>
          <w:color w:val="auto"/>
          <w:sz w:val="24"/>
          <w:highlight w:val="none"/>
        </w:rPr>
        <w:t>)(以下简称卖方)于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项目(以下简称项目)项下提供(</w:t>
      </w:r>
      <w:r>
        <w:rPr>
          <w:rFonts w:hint="eastAsia" w:ascii="仿宋" w:hAnsi="仿宋" w:eastAsia="仿宋" w:cs="仿宋"/>
          <w:i/>
          <w:color w:val="auto"/>
          <w:sz w:val="24"/>
          <w:highlight w:val="none"/>
          <w:u w:val="single"/>
        </w:rPr>
        <w:t>服务名称</w:t>
      </w:r>
      <w:r>
        <w:rPr>
          <w:rFonts w:hint="eastAsia" w:ascii="仿宋" w:hAnsi="仿宋" w:eastAsia="仿宋" w:cs="仿宋"/>
          <w:color w:val="auto"/>
          <w:sz w:val="24"/>
          <w:highlight w:val="none"/>
        </w:rPr>
        <w:t>)(以下简称服务)签订的(</w:t>
      </w:r>
      <w:r>
        <w:rPr>
          <w:rFonts w:hint="eastAsia" w:ascii="仿宋" w:hAnsi="仿宋" w:eastAsia="仿宋" w:cs="仿宋"/>
          <w:i/>
          <w:color w:val="auto"/>
          <w:sz w:val="24"/>
          <w:highlight w:val="none"/>
          <w:u w:val="single"/>
        </w:rPr>
        <w:t>合同号</w:t>
      </w:r>
      <w:r>
        <w:rPr>
          <w:rFonts w:hint="eastAsia" w:ascii="仿宋" w:hAnsi="仿宋" w:eastAsia="仿宋" w:cs="仿宋"/>
          <w:color w:val="auto"/>
          <w:sz w:val="24"/>
          <w:highlight w:val="none"/>
        </w:rPr>
        <w:t>)号合同的履约保函。</w:t>
      </w:r>
    </w:p>
    <w:p>
      <w:pPr>
        <w:pStyle w:val="11"/>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w:t>
      </w:r>
      <w:r>
        <w:rPr>
          <w:rFonts w:hint="eastAsia" w:ascii="仿宋" w:hAnsi="仿宋" w:eastAsia="仿宋" w:cs="仿宋"/>
          <w:i/>
          <w:color w:val="auto"/>
          <w:sz w:val="24"/>
          <w:highlight w:val="none"/>
          <w:u w:val="single"/>
        </w:rPr>
        <w:t>货币名称</w:t>
      </w:r>
      <w:r>
        <w:rPr>
          <w:rFonts w:hint="eastAsia" w:ascii="仿宋" w:hAnsi="仿宋" w:eastAsia="仿宋" w:cs="仿宋"/>
          <w:color w:val="auto"/>
          <w:sz w:val="24"/>
          <w:highlight w:val="none"/>
        </w:rPr>
        <w:t>)支付总额不超过(</w:t>
      </w:r>
      <w:r>
        <w:rPr>
          <w:rFonts w:hint="eastAsia" w:ascii="仿宋" w:hAnsi="仿宋" w:eastAsia="仿宋" w:cs="仿宋"/>
          <w:i/>
          <w:color w:val="auto"/>
          <w:sz w:val="24"/>
          <w:highlight w:val="none"/>
          <w:u w:val="single"/>
        </w:rPr>
        <w:t>货币数量</w:t>
      </w:r>
      <w:r>
        <w:rPr>
          <w:rFonts w:hint="eastAsia" w:ascii="仿宋" w:hAnsi="仿宋" w:eastAsia="仿宋" w:cs="仿宋"/>
          <w:color w:val="auto"/>
          <w:sz w:val="24"/>
          <w:highlight w:val="none"/>
        </w:rPr>
        <w:t>),即相当于合同价格的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%,并以此约定如下:</w:t>
      </w:r>
    </w:p>
    <w:p>
      <w:pPr>
        <w:pStyle w:val="11"/>
        <w:spacing w:line="240" w:lineRule="atLeast"/>
        <w:ind w:left="540" w:lef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1"/>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1"/>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谨启</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pPr>
        <w:pStyle w:val="4"/>
        <w:spacing w:before="0" w:line="240" w:lineRule="atLeast"/>
        <w:ind w:left="1080" w:leftChars="257" w:hanging="540"/>
        <w:rPr>
          <w:rFonts w:hint="eastAsia" w:ascii="仿宋" w:hAnsi="仿宋" w:eastAsia="仿宋" w:cs="仿宋"/>
          <w:color w:val="auto"/>
          <w:szCs w:val="24"/>
          <w:highlight w:val="none"/>
        </w:rPr>
      </w:pPr>
      <w:r>
        <w:rPr>
          <w:rFonts w:hint="eastAsia" w:ascii="仿宋" w:hAnsi="仿宋" w:eastAsia="仿宋" w:cs="仿宋"/>
          <w:color w:val="auto"/>
          <w:highlight w:val="none"/>
        </w:rPr>
        <w:br w:type="page"/>
      </w:r>
      <w:bookmarkStart w:id="152" w:name="_Toc24712"/>
      <w:bookmarkStart w:id="153" w:name="_Toc518923104"/>
      <w:r>
        <w:rPr>
          <w:rFonts w:hint="eastAsia" w:ascii="仿宋" w:hAnsi="仿宋" w:eastAsia="仿宋" w:cs="仿宋"/>
          <w:color w:val="auto"/>
          <w:szCs w:val="24"/>
          <w:highlight w:val="none"/>
        </w:rPr>
        <w:t>附件2：履约担保函格式</w:t>
      </w:r>
      <w:bookmarkEnd w:id="152"/>
      <w:bookmarkEnd w:id="153"/>
    </w:p>
    <w:p>
      <w:pPr>
        <w:pStyle w:val="4"/>
        <w:spacing w:before="0" w:line="240" w:lineRule="atLeast"/>
        <w:ind w:left="1080" w:leftChars="257" w:hanging="540"/>
        <w:rPr>
          <w:rFonts w:hint="eastAsia" w:ascii="仿宋" w:hAnsi="仿宋" w:eastAsia="仿宋" w:cs="仿宋"/>
          <w:b w:val="0"/>
          <w:color w:val="auto"/>
          <w:highlight w:val="none"/>
        </w:rPr>
      </w:pPr>
      <w:bookmarkStart w:id="154" w:name="_Toc518923105"/>
      <w:bookmarkStart w:id="155" w:name="_Toc515904842"/>
      <w:bookmarkStart w:id="156" w:name="_Toc26630"/>
      <w:r>
        <w:rPr>
          <w:rFonts w:hint="eastAsia" w:ascii="仿宋" w:hAnsi="仿宋" w:eastAsia="仿宋" w:cs="仿宋"/>
          <w:color w:val="auto"/>
          <w:szCs w:val="24"/>
          <w:highlight w:val="none"/>
        </w:rPr>
        <w:t>（采用政府采购信用担保形式时使用）</w:t>
      </w:r>
      <w:bookmarkEnd w:id="154"/>
      <w:bookmarkEnd w:id="155"/>
      <w:bookmarkEnd w:id="156"/>
    </w:p>
    <w:p>
      <w:pPr>
        <w:spacing w:line="240" w:lineRule="atLeast"/>
        <w:ind w:left="1080" w:leftChars="257" w:hanging="540"/>
        <w:rPr>
          <w:rFonts w:hint="eastAsia" w:ascii="仿宋" w:hAnsi="仿宋" w:eastAsia="仿宋" w:cs="仿宋"/>
          <w:b/>
          <w:color w:val="auto"/>
          <w:kern w:val="0"/>
          <w:sz w:val="24"/>
          <w:szCs w:val="20"/>
          <w:highlight w:val="none"/>
        </w:rPr>
      </w:pP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pPr>
        <w:rPr>
          <w:rFonts w:hint="eastAsia" w:ascii="仿宋" w:hAnsi="仿宋" w:eastAsia="仿宋" w:cs="仿宋"/>
          <w:color w:val="auto"/>
          <w:sz w:val="24"/>
          <w:highlight w:val="none"/>
        </w:rPr>
      </w:pP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的申请，我方以保证的方式向你方提供如下履约保证金担保：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出现下列情形之一时，我方承担保证责任：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1．将中标项目转让给他人，或者在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中未说明，且未经采购招标机构人同意，将中标项目分包给他人的；</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未按主合同约定向贵方供应货物/提供服务/完成工程的，由我方在保证金额内向你方支付上述款项。</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违约事实的证明材料。</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因货物质量问题产生争议，你方还需同时提供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修改主合同，加重我方保证责任的，我方对加重部分不承担保证责任，但该等修改事先经我方书面同意的除外；你方与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修改主合同履行期限，我方保证期间仍依修改前的履行期限计算，但该等修改事先经我方书面同意的除外。</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不能履行义务的，我方不承担保证责任。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的另行约定，全部或者部分免除</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应缴纳的保证金义务的，我方亦免除相应的保证责任。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不能履行供货义务的，我方不承担保证责任。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ind w:firstLine="5400" w:firstLineChars="225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保证人：（公章）</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Style w:val="6"/>
        <w:spacing w:line="240" w:lineRule="atLeast"/>
        <w:ind w:firstLine="0"/>
        <w:rPr>
          <w:rFonts w:hint="eastAsia" w:ascii="仿宋" w:hAnsi="仿宋" w:eastAsia="仿宋" w:cs="仿宋"/>
          <w:color w:val="auto"/>
          <w:kern w:val="2"/>
          <w:szCs w:val="24"/>
          <w:highlight w:val="none"/>
        </w:rPr>
      </w:pPr>
      <w:r>
        <w:rPr>
          <w:rFonts w:hint="eastAsia" w:ascii="仿宋" w:hAnsi="仿宋" w:eastAsia="仿宋" w:cs="仿宋"/>
          <w:b/>
          <w:color w:val="auto"/>
          <w:highlight w:val="none"/>
        </w:rPr>
        <w:br w:type="page"/>
      </w:r>
    </w:p>
    <w:p>
      <w:pPr>
        <w:pStyle w:val="3"/>
        <w:numPr>
          <w:ilvl w:val="0"/>
          <w:numId w:val="0"/>
        </w:numPr>
        <w:spacing w:before="0" w:after="0" w:line="240" w:lineRule="atLeast"/>
        <w:ind w:left="1844" w:leftChars="0" w:firstLine="643" w:firstLineChars="200"/>
        <w:jc w:val="both"/>
        <w:rPr>
          <w:rFonts w:hint="eastAsia" w:ascii="仿宋" w:hAnsi="仿宋" w:eastAsia="仿宋" w:cs="仿宋"/>
          <w:color w:val="auto"/>
          <w:highlight w:val="none"/>
        </w:rPr>
      </w:pPr>
      <w:bookmarkStart w:id="157" w:name="_Toc26189"/>
      <w:bookmarkStart w:id="158" w:name="_Toc216582812"/>
      <w:r>
        <w:rPr>
          <w:rFonts w:hint="eastAsia" w:ascii="仿宋" w:hAnsi="仿宋" w:eastAsia="仿宋" w:cs="仿宋"/>
          <w:b/>
          <w:color w:val="auto"/>
          <w:highlight w:val="none"/>
          <w:lang w:val="en-US" w:eastAsia="zh-CN"/>
        </w:rPr>
        <w:t>第2章</w:t>
      </w:r>
      <w:bookmarkStart w:id="159" w:name="_Toc518923106"/>
      <w:r>
        <w:rPr>
          <w:rFonts w:hint="eastAsia" w:ascii="仿宋" w:hAnsi="仿宋" w:eastAsia="仿宋" w:cs="仿宋"/>
          <w:b/>
          <w:color w:val="auto"/>
          <w:highlight w:val="none"/>
          <w:lang w:val="en-US" w:eastAsia="zh-CN"/>
        </w:rPr>
        <w:t xml:space="preserve"> </w:t>
      </w:r>
      <w:r>
        <w:rPr>
          <w:rFonts w:hint="eastAsia" w:ascii="仿宋" w:hAnsi="仿宋" w:eastAsia="仿宋" w:cs="仿宋"/>
          <w:b/>
          <w:color w:val="auto"/>
          <w:highlight w:val="none"/>
          <w:lang w:eastAsia="zh-CN"/>
        </w:rPr>
        <w:t>响</w:t>
      </w:r>
      <w:r>
        <w:rPr>
          <w:rFonts w:hint="eastAsia" w:ascii="仿宋" w:hAnsi="仿宋" w:eastAsia="仿宋" w:cs="仿宋"/>
          <w:color w:val="auto"/>
          <w:highlight w:val="none"/>
          <w:lang w:eastAsia="zh-CN"/>
        </w:rPr>
        <w:t>应文件</w:t>
      </w:r>
      <w:r>
        <w:rPr>
          <w:rFonts w:hint="eastAsia" w:ascii="仿宋" w:hAnsi="仿宋" w:eastAsia="仿宋" w:cs="仿宋"/>
          <w:color w:val="auto"/>
          <w:highlight w:val="none"/>
        </w:rPr>
        <w:t>格式</w:t>
      </w:r>
      <w:bookmarkEnd w:id="157"/>
      <w:bookmarkEnd w:id="158"/>
      <w:bookmarkEnd w:id="159"/>
    </w:p>
    <w:p>
      <w:pPr>
        <w:spacing w:line="240" w:lineRule="atLeast"/>
        <w:ind w:left="735" w:leftChars="350" w:firstLine="120" w:firstLineChars="50"/>
        <w:rPr>
          <w:rFonts w:hint="eastAsia" w:ascii="仿宋" w:hAnsi="仿宋" w:eastAsia="仿宋" w:cs="仿宋"/>
          <w:color w:val="auto"/>
          <w:sz w:val="24"/>
          <w:highlight w:val="none"/>
        </w:rPr>
      </w:pPr>
    </w:p>
    <w:p>
      <w:pPr>
        <w:pStyle w:val="4"/>
        <w:spacing w:before="0" w:line="240" w:lineRule="atLeast"/>
        <w:ind w:left="1080" w:leftChars="257" w:hanging="540"/>
        <w:rPr>
          <w:rFonts w:hint="eastAsia" w:ascii="仿宋" w:hAnsi="仿宋" w:eastAsia="仿宋" w:cs="仿宋"/>
          <w:color w:val="auto"/>
          <w:sz w:val="24"/>
          <w:highlight w:val="none"/>
        </w:rPr>
      </w:pPr>
      <w:bookmarkStart w:id="160" w:name="_Toc518923107"/>
      <w:bookmarkStart w:id="161" w:name="_Toc26281"/>
      <w:r>
        <w:rPr>
          <w:rFonts w:hint="eastAsia" w:ascii="仿宋" w:hAnsi="仿宋" w:eastAsia="仿宋" w:cs="仿宋"/>
          <w:color w:val="auto"/>
          <w:sz w:val="24"/>
          <w:highlight w:val="none"/>
        </w:rPr>
        <w:t>第一部分 开标一览表及资格证明文件</w:t>
      </w:r>
      <w:bookmarkEnd w:id="160"/>
      <w:bookmarkEnd w:id="161"/>
    </w:p>
    <w:p>
      <w:pPr>
        <w:spacing w:line="240" w:lineRule="atLeast"/>
        <w:ind w:left="708" w:hanging="708" w:hangingChars="295"/>
        <w:jc w:val="center"/>
        <w:rPr>
          <w:rFonts w:hint="eastAsia" w:ascii="仿宋" w:hAnsi="仿宋" w:eastAsia="仿宋" w:cs="仿宋"/>
          <w:color w:val="auto"/>
          <w:sz w:val="24"/>
          <w:highlight w:val="none"/>
        </w:rPr>
      </w:pP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开标一览表；</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（2）具有合法有效的营业执照；</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（3）2021年度或2022年度的财务审计报告（新成立未满一年的公司需提供有效的银行资信证明）；</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（4）法定代表人授权书及被委托人身份证（法定代表人投标提供法定代表人身份证明及身份证）； </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（5）参加采购活动前三年内，在经营活动中无重大违法声明(受行政主管部门的处罚不能参加投标)；提供针对本次项目《反商业贿赂承诺书》；</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（6）提供税务部门出具的近六个月中任意一个月的完税证明，依法免税的应提供相应文件证明（完税证明或税务部门出具的其他证明，非社会保险类）及</w:t>
      </w:r>
      <w:r>
        <w:rPr>
          <w:rFonts w:hint="eastAsia" w:ascii="仿宋_GB2312" w:hAnsi="Calibri" w:eastAsia="仿宋_GB2312" w:cs="Times New Roman"/>
          <w:color w:val="auto"/>
          <w:kern w:val="2"/>
          <w:sz w:val="24"/>
          <w:szCs w:val="22"/>
          <w:highlight w:val="none"/>
          <w:lang w:val="en-US" w:eastAsia="zh-CN" w:bidi="ar-SA"/>
        </w:rPr>
        <w:t>近六个月内任意1个月缴纳社会保障金的证明；</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（7）磋商保证金缴纳凭证；</w:t>
      </w:r>
    </w:p>
    <w:p>
      <w:pPr>
        <w:keepNext w:val="0"/>
        <w:keepLines w:val="0"/>
        <w:pageBreakBefore w:val="0"/>
        <w:widowControl w:val="0"/>
        <w:tabs>
          <w:tab w:val="left" w:pos="5580"/>
        </w:tabs>
        <w:kinsoku/>
        <w:wordWrap/>
        <w:overflowPunct/>
        <w:topLinePunct w:val="0"/>
        <w:bidi w:val="0"/>
        <w:snapToGrid/>
        <w:spacing w:line="360" w:lineRule="auto"/>
        <w:ind w:firstLine="720" w:firstLine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须知资料表要求的其他资格证明文件;</w:t>
      </w: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spacing w:before="0" w:line="240" w:lineRule="atLeast"/>
        <w:ind w:left="1080" w:leftChars="257" w:hanging="540"/>
        <w:jc w:val="center"/>
        <w:outlineLvl w:val="9"/>
        <w:rPr>
          <w:rFonts w:hint="eastAsia" w:ascii="仿宋" w:hAnsi="仿宋" w:eastAsia="仿宋" w:cs="仿宋"/>
          <w:color w:val="auto"/>
          <w:sz w:val="28"/>
          <w:szCs w:val="28"/>
          <w:highlight w:val="none"/>
        </w:rPr>
      </w:pPr>
      <w:bookmarkStart w:id="162" w:name="_Toc518923108"/>
      <w:bookmarkStart w:id="163" w:name="_Toc480942349"/>
      <w:bookmarkStart w:id="164" w:name="_Ref467988698"/>
      <w:bookmarkStart w:id="165" w:name="_Toc216582813"/>
      <w:bookmarkStart w:id="166" w:name="_Toc520356217"/>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开标一览表</w:t>
      </w:r>
      <w:bookmarkEnd w:id="162"/>
    </w:p>
    <w:p>
      <w:pPr>
        <w:pStyle w:val="11"/>
        <w:tabs>
          <w:tab w:val="left" w:pos="5580"/>
        </w:tabs>
        <w:spacing w:line="240" w:lineRule="atLeast"/>
        <w:ind w:left="269" w:leftChars="128"/>
        <w:rPr>
          <w:rFonts w:hint="eastAsia" w:ascii="仿宋" w:hAnsi="仿宋" w:eastAsia="仿宋" w:cs="仿宋"/>
          <w:color w:val="auto"/>
          <w:sz w:val="24"/>
          <w:highlight w:val="none"/>
        </w:rPr>
      </w:pPr>
    </w:p>
    <w:p>
      <w:pPr>
        <w:pStyle w:val="11"/>
        <w:tabs>
          <w:tab w:val="left" w:pos="5580"/>
        </w:tabs>
        <w:spacing w:line="240" w:lineRule="atLeast"/>
        <w:ind w:left="269" w:leftChars="128"/>
        <w:rPr>
          <w:rFonts w:hint="eastAsia" w:ascii="仿宋" w:hAnsi="仿宋" w:eastAsia="仿宋" w:cs="仿宋"/>
          <w:color w:val="auto"/>
          <w:sz w:val="24"/>
          <w:szCs w:val="24"/>
          <w:highlight w:val="none"/>
        </w:rPr>
      </w:pPr>
    </w:p>
    <w:p>
      <w:pPr>
        <w:pStyle w:val="6"/>
        <w:tabs>
          <w:tab w:val="left" w:pos="5580"/>
        </w:tabs>
        <w:spacing w:line="240" w:lineRule="atLeast"/>
        <w:ind w:left="1080" w:leftChars="257" w:hanging="540"/>
        <w:jc w:val="center"/>
        <w:rPr>
          <w:rFonts w:hint="eastAsia" w:ascii="仿宋" w:hAnsi="仿宋" w:eastAsia="仿宋" w:cs="仿宋"/>
          <w:b/>
          <w:color w:val="auto"/>
          <w:highlight w:val="none"/>
        </w:rPr>
      </w:pPr>
      <w:bookmarkStart w:id="167" w:name="_Hlt520356241"/>
      <w:bookmarkEnd w:id="167"/>
      <w:bookmarkStart w:id="168" w:name="_Toc494296984"/>
      <w:r>
        <w:rPr>
          <w:rFonts w:hint="eastAsia" w:ascii="仿宋" w:hAnsi="仿宋" w:eastAsia="仿宋" w:cs="仿宋"/>
          <w:b/>
          <w:color w:val="auto"/>
          <w:highlight w:val="none"/>
        </w:rPr>
        <w:t>开标一览表</w:t>
      </w:r>
      <w:bookmarkEnd w:id="168"/>
      <w:r>
        <w:rPr>
          <w:rFonts w:hint="eastAsia" w:ascii="仿宋" w:hAnsi="仿宋" w:eastAsia="仿宋" w:cs="仿宋"/>
          <w:b/>
          <w:color w:val="auto"/>
          <w:highlight w:val="none"/>
        </w:rPr>
        <w:cr/>
      </w:r>
    </w:p>
    <w:p>
      <w:pPr>
        <w:pStyle w:val="6"/>
        <w:tabs>
          <w:tab w:val="left" w:pos="5580"/>
        </w:tabs>
        <w:spacing w:line="240" w:lineRule="atLeast"/>
        <w:ind w:left="1080" w:leftChars="257" w:hanging="540"/>
        <w:rPr>
          <w:rFonts w:hint="eastAsia" w:ascii="仿宋" w:hAnsi="仿宋" w:eastAsia="仿宋" w:cs="仿宋"/>
          <w:color w:val="auto"/>
          <w:highlight w:val="none"/>
        </w:rPr>
      </w:pPr>
    </w:p>
    <w:p>
      <w:pPr>
        <w:tabs>
          <w:tab w:val="left" w:pos="5580"/>
        </w:tabs>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项目名称：                                       招标编号：    </w:t>
      </w:r>
    </w:p>
    <w:p>
      <w:pPr>
        <w:tabs>
          <w:tab w:val="left" w:pos="5580"/>
        </w:tabs>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报价单位：人民币：元</w:t>
      </w:r>
    </w:p>
    <w:tbl>
      <w:tblPr>
        <w:tblStyle w:val="24"/>
        <w:tblW w:w="9155" w:type="dxa"/>
        <w:tblInd w:w="-61" w:type="dxa"/>
        <w:tblLayout w:type="fixed"/>
        <w:tblCellMar>
          <w:top w:w="0" w:type="dxa"/>
          <w:left w:w="0" w:type="dxa"/>
          <w:bottom w:w="0" w:type="dxa"/>
          <w:right w:w="0" w:type="dxa"/>
        </w:tblCellMar>
      </w:tblPr>
      <w:tblGrid>
        <w:gridCol w:w="1420"/>
        <w:gridCol w:w="2340"/>
        <w:gridCol w:w="1805"/>
        <w:gridCol w:w="1445"/>
        <w:gridCol w:w="1250"/>
        <w:gridCol w:w="895"/>
      </w:tblGrid>
      <w:tr>
        <w:tblPrEx>
          <w:tblLayout w:type="fixed"/>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交货期</w:t>
            </w:r>
          </w:p>
        </w:tc>
        <w:tc>
          <w:tcPr>
            <w:tcW w:w="125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交货</w:t>
            </w:r>
            <w:r>
              <w:rPr>
                <w:rFonts w:hint="eastAsia" w:ascii="仿宋" w:hAnsi="仿宋" w:eastAsia="仿宋" w:cs="仿宋"/>
                <w:color w:val="auto"/>
                <w:sz w:val="24"/>
                <w:highlight w:val="none"/>
              </w:rPr>
              <w:t>地点</w:t>
            </w:r>
          </w:p>
        </w:tc>
        <w:tc>
          <w:tcPr>
            <w:tcW w:w="89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Layout w:type="fixed"/>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1250"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895"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r>
    </w:tbl>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u w:val="single"/>
        </w:rPr>
      </w:pPr>
    </w:p>
    <w:p>
      <w:pPr>
        <w:pStyle w:val="11"/>
        <w:tabs>
          <w:tab w:val="left" w:pos="5580"/>
        </w:tabs>
        <w:spacing w:line="240" w:lineRule="atLeast"/>
        <w:ind w:left="1080" w:leftChars="257" w:hanging="540"/>
        <w:rPr>
          <w:rFonts w:hint="eastAsia" w:ascii="仿宋" w:hAnsi="仿宋" w:eastAsia="仿宋" w:cs="仿宋"/>
          <w:color w:val="auto"/>
          <w:sz w:val="24"/>
          <w:highlight w:val="none"/>
          <w:u w:val="single"/>
        </w:rPr>
      </w:pPr>
    </w:p>
    <w:p>
      <w:pPr>
        <w:pStyle w:val="11"/>
        <w:tabs>
          <w:tab w:val="left" w:pos="558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kern w:val="2"/>
          <w:sz w:val="24"/>
          <w:szCs w:val="24"/>
          <w:highlight w:val="none"/>
          <w:lang w:val="en-US" w:eastAsia="zh-CN" w:bidi="ar-SA"/>
        </w:rPr>
        <w:t>投标人名称（单位章）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2"/>
        <w:rPr>
          <w:rFonts w:hint="eastAsia" w:ascii="仿宋" w:hAnsi="仿宋" w:eastAsia="仿宋" w:cs="仿宋"/>
          <w:color w:val="auto"/>
          <w:highlight w:val="none"/>
        </w:rPr>
      </w:pPr>
    </w:p>
    <w:p>
      <w:pPr>
        <w:pStyle w:val="11"/>
        <w:tabs>
          <w:tab w:val="left" w:pos="558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kern w:val="2"/>
          <w:sz w:val="24"/>
          <w:szCs w:val="24"/>
          <w:highlight w:val="none"/>
          <w:lang w:val="en-US" w:eastAsia="zh-CN" w:bidi="ar-SA"/>
        </w:rPr>
        <w:t>法定代表人或其委托代理人(签章)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keepNext w:val="0"/>
        <w:keepLines w:val="0"/>
        <w:pageBreakBefore w:val="0"/>
        <w:widowControl w:val="0"/>
        <w:tabs>
          <w:tab w:val="left" w:pos="5580"/>
        </w:tabs>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240" w:lineRule="auto"/>
        <w:ind w:left="0" w:leftChars="0" w:firstLine="960" w:firstLineChars="4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、此表中，每包的投标总价应和投标分项报价表的总价相一致。</w:t>
      </w:r>
    </w:p>
    <w:p>
      <w:pPr>
        <w:pStyle w:val="11"/>
        <w:keepNext w:val="0"/>
        <w:keepLines w:val="0"/>
        <w:pageBreakBefore w:val="0"/>
        <w:widowControl w:val="0"/>
        <w:tabs>
          <w:tab w:val="left" w:pos="5580"/>
        </w:tabs>
        <w:kinsoku/>
        <w:wordWrap/>
        <w:overflowPunct/>
        <w:topLinePunct w:val="0"/>
        <w:autoSpaceDE/>
        <w:autoSpaceDN/>
        <w:bidi w:val="0"/>
        <w:adjustRightInd/>
        <w:snapToGrid/>
        <w:spacing w:line="240" w:lineRule="auto"/>
        <w:ind w:left="0" w:leftChars="0" w:firstLine="960" w:firstLineChars="400"/>
        <w:textAlignment w:val="auto"/>
        <w:rPr>
          <w:rFonts w:hint="eastAsia" w:ascii="仿宋" w:hAnsi="仿宋" w:eastAsia="仿宋" w:cs="仿宋"/>
          <w:b/>
          <w:bCs/>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val="0"/>
          <w:bCs w:val="0"/>
          <w:sz w:val="24"/>
          <w:szCs w:val="24"/>
        </w:rPr>
        <w:t>此报价</w:t>
      </w:r>
      <w:r>
        <w:rPr>
          <w:rFonts w:hint="eastAsia" w:ascii="仿宋" w:hAnsi="仿宋" w:eastAsia="仿宋" w:cs="仿宋"/>
          <w:b w:val="0"/>
          <w:bCs w:val="0"/>
          <w:sz w:val="24"/>
          <w:szCs w:val="24"/>
          <w:lang w:eastAsia="zh-CN"/>
        </w:rPr>
        <w:t>包括</w:t>
      </w:r>
      <w:r>
        <w:rPr>
          <w:rFonts w:hint="eastAsia" w:ascii="仿宋" w:hAnsi="仿宋" w:eastAsia="仿宋" w:cs="仿宋"/>
          <w:b w:val="0"/>
          <w:bCs w:val="0"/>
          <w:sz w:val="24"/>
          <w:szCs w:val="24"/>
          <w:lang w:val="en-US" w:eastAsia="zh-CN"/>
        </w:rPr>
        <w:t>安装、调试、运输等采购内容的全部费用</w:t>
      </w:r>
      <w:r>
        <w:rPr>
          <w:rFonts w:hint="eastAsia" w:ascii="仿宋" w:hAnsi="仿宋" w:eastAsia="仿宋" w:cs="仿宋"/>
          <w:b w:val="0"/>
          <w:bCs w:val="0"/>
          <w:sz w:val="24"/>
          <w:szCs w:val="24"/>
        </w:rPr>
        <w:t>。</w:t>
      </w:r>
    </w:p>
    <w:p>
      <w:pPr>
        <w:spacing w:before="0" w:line="240" w:lineRule="atLeast"/>
        <w:ind w:left="1080" w:leftChars="257" w:hanging="540"/>
        <w:jc w:val="both"/>
        <w:outlineLvl w:val="9"/>
        <w:rPr>
          <w:rFonts w:hint="eastAsia" w:ascii="仿宋" w:hAnsi="仿宋" w:eastAsia="仿宋" w:cs="仿宋"/>
          <w:b/>
          <w:bCs/>
          <w:color w:val="FF0000"/>
          <w:sz w:val="28"/>
          <w:szCs w:val="28"/>
          <w:highlight w:val="none"/>
          <w:lang w:val="zh-CN" w:eastAsia="zh-CN"/>
        </w:rPr>
      </w:pPr>
      <w:r>
        <w:rPr>
          <w:rFonts w:hint="eastAsia" w:ascii="仿宋" w:hAnsi="仿宋" w:eastAsia="仿宋" w:cs="仿宋"/>
          <w:color w:val="auto"/>
          <w:kern w:val="2"/>
          <w:sz w:val="24"/>
          <w:szCs w:val="24"/>
          <w:highlight w:val="none"/>
          <w:lang w:val="en-US" w:eastAsia="zh-CN" w:bidi="ar-SA"/>
        </w:rPr>
        <w:br w:type="page"/>
      </w:r>
      <w:bookmarkStart w:id="169" w:name="_Toc223"/>
      <w:bookmarkStart w:id="170" w:name="_Toc518923109"/>
      <w:r>
        <w:rPr>
          <w:rFonts w:hint="eastAsia" w:ascii="仿宋" w:hAnsi="仿宋" w:eastAsia="仿宋" w:cs="仿宋"/>
          <w:b/>
          <w:bCs/>
          <w:color w:val="auto"/>
          <w:sz w:val="28"/>
          <w:szCs w:val="28"/>
          <w:highlight w:val="none"/>
        </w:rPr>
        <w:t>2</w:t>
      </w:r>
      <w:bookmarkEnd w:id="169"/>
      <w:bookmarkEnd w:id="170"/>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zh-CN" w:eastAsia="zh-CN"/>
        </w:rPr>
        <w:t>具有合法有效的营业执照</w:t>
      </w:r>
    </w:p>
    <w:p>
      <w:pPr>
        <w:spacing w:before="0" w:line="240" w:lineRule="atLeast"/>
        <w:jc w:val="both"/>
        <w:outlineLvl w:val="9"/>
        <w:rPr>
          <w:rFonts w:hint="eastAsia" w:ascii="仿宋" w:hAnsi="仿宋" w:eastAsia="仿宋" w:cs="仿宋"/>
          <w:b/>
          <w:bCs/>
          <w:color w:val="auto"/>
          <w:sz w:val="24"/>
          <w:highlight w:val="none"/>
          <w:lang w:val="en-US" w:eastAsia="zh-CN"/>
        </w:rPr>
      </w:pPr>
    </w:p>
    <w:p>
      <w:pPr>
        <w:pStyle w:val="11"/>
        <w:tabs>
          <w:tab w:val="left" w:pos="5580"/>
        </w:tabs>
        <w:spacing w:line="240" w:lineRule="atLeast"/>
        <w:ind w:left="1080" w:leftChars="257" w:hanging="540"/>
        <w:jc w:val="center"/>
        <w:rPr>
          <w:rFonts w:hint="eastAsia" w:ascii="仿宋" w:hAnsi="仿宋" w:eastAsia="仿宋" w:cs="仿宋"/>
          <w:b/>
          <w:color w:val="auto"/>
          <w:sz w:val="24"/>
          <w:highlight w:val="none"/>
        </w:rPr>
      </w:pPr>
    </w:p>
    <w:p>
      <w:pPr>
        <w:pStyle w:val="11"/>
        <w:tabs>
          <w:tab w:val="left" w:pos="5580"/>
        </w:tabs>
        <w:spacing w:line="240" w:lineRule="atLeast"/>
        <w:ind w:left="1080" w:leftChars="257" w:hanging="540"/>
        <w:rPr>
          <w:rFonts w:hint="eastAsia" w:ascii="仿宋" w:hAnsi="仿宋" w:eastAsia="仿宋" w:cs="仿宋"/>
          <w:b/>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说明：1.企业法人或事业法人或其他组织或自然人资格证明文件复印件，复印件上应加盖本单位章。</w:t>
      </w:r>
    </w:p>
    <w:p>
      <w:pPr>
        <w:pStyle w:val="11"/>
        <w:tabs>
          <w:tab w:val="left" w:pos="5580"/>
        </w:tabs>
        <w:spacing w:line="240" w:lineRule="atLeast"/>
        <w:ind w:left="1080" w:leftChars="257" w:hanging="54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2.投标人为自然人的，应提供身份证明的复印件。</w:t>
      </w:r>
    </w:p>
    <w:p>
      <w:pPr>
        <w:pStyle w:val="11"/>
        <w:tabs>
          <w:tab w:val="left" w:pos="5580"/>
        </w:tabs>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color w:val="auto"/>
          <w:kern w:val="2"/>
          <w:sz w:val="24"/>
          <w:szCs w:val="20"/>
          <w:highlight w:val="none"/>
          <w:lang w:val="en-US" w:eastAsia="zh-CN" w:bidi="ar-SA"/>
        </w:rPr>
        <w:t xml:space="preserve">      3.联合体投标应提供联合体各方满足以上要求的证明文件。</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1"/>
          <w:highlight w:val="none"/>
          <w:lang w:val="en-US" w:eastAsia="zh-CN"/>
        </w:rPr>
        <w:t>3、2021年度或2022年度</w:t>
      </w:r>
      <w:r>
        <w:rPr>
          <w:rFonts w:hint="eastAsia" w:ascii="仿宋" w:hAnsi="仿宋" w:eastAsia="仿宋" w:cs="仿宋"/>
          <w:b/>
          <w:bCs/>
          <w:color w:val="auto"/>
          <w:sz w:val="28"/>
          <w:szCs w:val="21"/>
          <w:highlight w:val="none"/>
          <w:lang w:val="zh-CN" w:eastAsia="zh-CN"/>
        </w:rPr>
        <w:t>的财务审计报告（新成立未满一年的公司需提供有效的银行资信证明）；</w:t>
      </w:r>
      <w:r>
        <w:rPr>
          <w:rFonts w:hint="eastAsia" w:ascii="仿宋" w:hAnsi="仿宋" w:eastAsia="仿宋" w:cs="仿宋"/>
          <w:color w:val="auto"/>
          <w:sz w:val="24"/>
          <w:highlight w:val="none"/>
        </w:rPr>
        <w:br w:type="page"/>
      </w:r>
    </w:p>
    <w:p>
      <w:pPr>
        <w:pStyle w:val="11"/>
        <w:tabs>
          <w:tab w:val="left" w:pos="5580"/>
        </w:tabs>
        <w:spacing w:line="240" w:lineRule="atLeast"/>
        <w:ind w:left="1082" w:leftChars="114" w:hanging="843" w:hangingChars="300"/>
        <w:jc w:val="center"/>
        <w:rPr>
          <w:rFonts w:hint="eastAsia" w:ascii="仿宋" w:hAnsi="仿宋" w:eastAsia="仿宋" w:cs="仿宋"/>
          <w:b/>
          <w:bCs/>
          <w:color w:val="auto"/>
          <w:sz w:val="28"/>
          <w:szCs w:val="28"/>
          <w:highlight w:val="none"/>
        </w:rPr>
      </w:pPr>
      <w:bookmarkStart w:id="171" w:name="_Toc518923110"/>
      <w:r>
        <w:rPr>
          <w:rFonts w:hint="eastAsia" w:ascii="仿宋" w:hAnsi="仿宋" w:eastAsia="仿宋" w:cs="仿宋"/>
          <w:b/>
          <w:bCs/>
          <w:color w:val="auto"/>
          <w:sz w:val="28"/>
          <w:szCs w:val="21"/>
          <w:highlight w:val="none"/>
          <w:lang w:val="en-US" w:eastAsia="zh-CN"/>
        </w:rPr>
        <w:t>4</w:t>
      </w:r>
      <w:bookmarkEnd w:id="171"/>
      <w:r>
        <w:rPr>
          <w:rFonts w:hint="eastAsia" w:ascii="仿宋" w:hAnsi="仿宋" w:eastAsia="仿宋" w:cs="仿宋"/>
          <w:color w:val="auto"/>
          <w:sz w:val="28"/>
          <w:szCs w:val="21"/>
          <w:highlight w:val="none"/>
          <w:lang w:eastAsia="zh-CN"/>
        </w:rPr>
        <w:t>、</w:t>
      </w:r>
      <w:r>
        <w:rPr>
          <w:rFonts w:hint="eastAsia" w:ascii="仿宋" w:hAnsi="仿宋" w:eastAsia="仿宋" w:cs="仿宋"/>
          <w:b/>
          <w:bCs/>
          <w:color w:val="auto"/>
          <w:sz w:val="28"/>
          <w:szCs w:val="21"/>
          <w:highlight w:val="none"/>
          <w:lang w:val="en-US" w:eastAsia="zh-CN"/>
        </w:rPr>
        <w:t>法定代表人授权书及被委托人身份证（法定代表人投标提供法定代表人身份证明及身份证）</w:t>
      </w:r>
      <w:r>
        <w:rPr>
          <w:rFonts w:hint="eastAsia" w:ascii="仿宋" w:hAnsi="仿宋" w:eastAsia="仿宋" w:cs="仿宋"/>
          <w:b/>
          <w:bCs/>
          <w:color w:val="auto"/>
          <w:kern w:val="0"/>
          <w:sz w:val="28"/>
          <w:szCs w:val="28"/>
          <w:highlight w:val="none"/>
          <w:u w:val="none"/>
          <w:lang w:val="en-US" w:eastAsia="zh-CN" w:bidi="ar-SA"/>
        </w:rPr>
        <w:t>；</w:t>
      </w:r>
    </w:p>
    <w:p>
      <w:pPr>
        <w:pStyle w:val="4"/>
        <w:spacing w:before="0" w:line="240" w:lineRule="atLeast"/>
        <w:ind w:left="1080" w:leftChars="257" w:hanging="540"/>
        <w:rPr>
          <w:rFonts w:hint="eastAsia" w:ascii="仿宋" w:hAnsi="仿宋" w:eastAsia="仿宋" w:cs="仿宋"/>
          <w:color w:val="auto"/>
          <w:sz w:val="24"/>
          <w:highlight w:val="none"/>
        </w:rPr>
      </w:pPr>
      <w:bookmarkStart w:id="172" w:name="_Toc31942"/>
      <w:bookmarkStart w:id="173" w:name="_Toc5570"/>
      <w:bookmarkStart w:id="174" w:name="_Toc22472"/>
      <w:bookmarkStart w:id="175" w:name="_Toc21571"/>
      <w:bookmarkStart w:id="176" w:name="_Toc515647807"/>
      <w:bookmarkStart w:id="177" w:name="_Toc25640"/>
      <w:bookmarkStart w:id="178" w:name="_Toc18201"/>
      <w:bookmarkStart w:id="179" w:name="_Toc9627"/>
      <w:bookmarkStart w:id="180" w:name="_Toc8101"/>
      <w:bookmarkStart w:id="181" w:name="_Toc1083"/>
      <w:bookmarkStart w:id="182" w:name="_Toc21648"/>
    </w:p>
    <w:p>
      <w:pPr>
        <w:spacing w:before="0" w:line="240" w:lineRule="atLeast"/>
        <w:ind w:left="1080" w:leftChars="257" w:hanging="540"/>
        <w:jc w:val="center"/>
        <w:outlineLvl w:val="9"/>
        <w:rPr>
          <w:rFonts w:hint="eastAsia" w:ascii="仿宋" w:hAnsi="仿宋" w:eastAsia="仿宋" w:cs="仿宋"/>
          <w:b/>
          <w:bCs/>
          <w:color w:val="auto"/>
          <w:sz w:val="24"/>
          <w:highlight w:val="none"/>
          <w:u w:val="single"/>
        </w:rPr>
      </w:pPr>
      <w:bookmarkStart w:id="183" w:name="_Toc29511"/>
      <w:r>
        <w:rPr>
          <w:rFonts w:hint="eastAsia" w:ascii="仿宋" w:hAnsi="仿宋" w:eastAsia="仿宋" w:cs="仿宋"/>
          <w:b/>
          <w:bCs/>
          <w:color w:val="auto"/>
          <w:sz w:val="24"/>
          <w:highlight w:val="none"/>
          <w:lang w:val="en-US" w:eastAsia="zh-CN"/>
        </w:rPr>
        <w:t xml:space="preserve">4.1 </w:t>
      </w:r>
      <w:r>
        <w:rPr>
          <w:rFonts w:hint="eastAsia" w:ascii="仿宋" w:hAnsi="仿宋" w:eastAsia="仿宋" w:cs="仿宋"/>
          <w:b/>
          <w:bCs/>
          <w:color w:val="auto"/>
          <w:sz w:val="24"/>
          <w:highlight w:val="none"/>
        </w:rPr>
        <w:t>法定代表人授权委托书</w:t>
      </w:r>
      <w:bookmarkEnd w:id="172"/>
      <w:bookmarkEnd w:id="173"/>
      <w:bookmarkEnd w:id="174"/>
      <w:bookmarkEnd w:id="175"/>
      <w:bookmarkEnd w:id="176"/>
      <w:bookmarkEnd w:id="177"/>
      <w:bookmarkEnd w:id="178"/>
      <w:bookmarkEnd w:id="179"/>
      <w:bookmarkEnd w:id="180"/>
      <w:bookmarkEnd w:id="181"/>
      <w:bookmarkEnd w:id="182"/>
      <w:bookmarkEnd w:id="183"/>
    </w:p>
    <w:p>
      <w:pPr>
        <w:pStyle w:val="11"/>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xml:space="preserve">    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lang w:eastAsia="zh-CN"/>
        </w:rPr>
        <w:t>投标人</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法人代表姓名、职务</w:t>
      </w:r>
      <w:r>
        <w:rPr>
          <w:rFonts w:hint="eastAsia" w:ascii="仿宋" w:hAnsi="仿宋" w:eastAsia="仿宋" w:cs="仿宋"/>
          <w:color w:val="auto"/>
          <w:sz w:val="24"/>
          <w:highlight w:val="none"/>
        </w:rPr>
        <w:t>）代表我单位授权（</w:t>
      </w:r>
      <w:r>
        <w:rPr>
          <w:rFonts w:hint="eastAsia" w:ascii="仿宋" w:hAnsi="仿宋" w:eastAsia="仿宋" w:cs="仿宋"/>
          <w:i/>
          <w:color w:val="auto"/>
          <w:sz w:val="24"/>
          <w:highlight w:val="none"/>
          <w:u w:val="single"/>
        </w:rPr>
        <w:t>单位名称</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被授权人的姓名、职务</w:t>
      </w:r>
      <w:r>
        <w:rPr>
          <w:rFonts w:hint="eastAsia" w:ascii="仿宋" w:hAnsi="仿宋" w:eastAsia="仿宋" w:cs="仿宋"/>
          <w:color w:val="auto"/>
          <w:sz w:val="24"/>
          <w:highlight w:val="none"/>
        </w:rPr>
        <w:t>）为我单位的合法代理人，就（</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合同名称</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w: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184785</wp:posOffset>
                </wp:positionV>
                <wp:extent cx="2745740" cy="1230630"/>
                <wp:effectExtent l="7620" t="7620" r="8890" b="19050"/>
                <wp:wrapNone/>
                <wp:docPr id="5" name="圆角矩形 5"/>
                <wp:cNvGraphicFramePr/>
                <a:graphic xmlns:a="http://schemas.openxmlformats.org/drawingml/2006/main">
                  <a:graphicData uri="http://schemas.microsoft.com/office/word/2010/wordprocessingShape">
                    <wps:wsp>
                      <wps:cNvSpPr/>
                      <wps:spPr>
                        <a:xfrm>
                          <a:off x="0" y="0"/>
                          <a:ext cx="2745740" cy="123063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szCs w:val="21"/>
                                <w:lang w:val="en-US" w:eastAsia="zh-CN"/>
                              </w:rPr>
                            </w:pPr>
                            <w:r>
                              <w:rPr>
                                <w:rFonts w:hint="eastAsia" w:hAnsi="宋体"/>
                                <w:szCs w:val="21"/>
                              </w:rPr>
                              <w:t>法定代表人身份证复印件</w:t>
                            </w:r>
                          </w:p>
                          <w:p/>
                        </w:txbxContent>
                      </wps:txbx>
                      <wps:bodyPr upright="1"/>
                    </wps:wsp>
                  </a:graphicData>
                </a:graphic>
              </wp:anchor>
            </w:drawing>
          </mc:Choice>
          <mc:Fallback>
            <w:pict>
              <v:roundrect id="_x0000_s1026" o:spid="_x0000_s1026" o:spt="2" style="position:absolute;left:0pt;margin-left:-4.9pt;margin-top:14.55pt;height:96.9pt;width:216.2pt;z-index:251659264;mso-width-relative:page;mso-height-relative:page;" fillcolor="#FFFFFF" filled="t" stroked="t" coordsize="21600,21600" arcsize="0.166666666666667" o:gfxdata="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jfGUNoAAAAJAQAADwAAAAAAAAABACAA&#10;AAAiAAAAZHJzL2Rvd25yZXYueG1sUEsBAhQAFAAAAAgAh07iQLof4/gLAgAACgQAAA4AAAAAAAAA&#10;AQAgAAAAKQEAAGRycy9lMm9Eb2MueG1sUEsFBgAAAAAGAAYAWQEAAKY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szCs w:val="21"/>
                          <w:lang w:val="en-US" w:eastAsia="zh-CN"/>
                        </w:rPr>
                      </w:pPr>
                      <w:r>
                        <w:rPr>
                          <w:rFonts w:hint="eastAsia" w:hAnsi="宋体"/>
                          <w:szCs w:val="21"/>
                        </w:rPr>
                        <w:t>法定代表人身份证复印件</w:t>
                      </w:r>
                    </w:p>
                    <w:p/>
                  </w:txbxContent>
                </v:textbox>
              </v:roundrect>
            </w:pict>
          </mc:Fallback>
        </mc:AlternateConten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58240" behindDoc="0" locked="0" layoutInCell="1" allowOverlap="1">
                <wp:simplePos x="0" y="0"/>
                <wp:positionH relativeFrom="column">
                  <wp:posOffset>2930525</wp:posOffset>
                </wp:positionH>
                <wp:positionV relativeFrom="paragraph">
                  <wp:posOffset>24765</wp:posOffset>
                </wp:positionV>
                <wp:extent cx="2702560" cy="1219200"/>
                <wp:effectExtent l="7620" t="7620" r="13970" b="11430"/>
                <wp:wrapNone/>
                <wp:docPr id="6" name="圆角矩形 6"/>
                <wp:cNvGraphicFramePr/>
                <a:graphic xmlns:a="http://schemas.openxmlformats.org/drawingml/2006/main">
                  <a:graphicData uri="http://schemas.microsoft.com/office/word/2010/wordprocessingShape">
                    <wps:wsp>
                      <wps:cNvSpPr/>
                      <wps:spPr>
                        <a:xfrm>
                          <a:off x="0" y="0"/>
                          <a:ext cx="2702560" cy="12192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default" w:eastAsia="宋体"/>
                                <w:szCs w:val="21"/>
                                <w:lang w:val="en-US" w:eastAsia="zh-CN"/>
                              </w:rPr>
                            </w:pPr>
                            <w:r>
                              <w:rPr>
                                <w:rFonts w:hint="eastAsia" w:hAnsi="宋体"/>
                                <w:szCs w:val="21"/>
                              </w:rPr>
                              <w:t>法定代表人身份证复印件</w:t>
                            </w:r>
                          </w:p>
                          <w:p/>
                        </w:txbxContent>
                      </wps:txbx>
                      <wps:bodyPr upright="1"/>
                    </wps:wsp>
                  </a:graphicData>
                </a:graphic>
              </wp:anchor>
            </w:drawing>
          </mc:Choice>
          <mc:Fallback>
            <w:pict>
              <v:roundrect id="_x0000_s1026" o:spid="_x0000_s1026" o:spt="2" style="position:absolute;left:0pt;margin-left:230.75pt;margin-top:1.95pt;height:96pt;width:212.8pt;z-index:251658240;mso-width-relative:page;mso-height-relative:page;" fillcolor="#FFFFFF" filled="t" stroked="t" coordsize="21600,21600" arcsize="0.166666666666667" o:gfxdata="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07TbAAAACQEAAA8AAAAAAAAAAQAgAAAA&#10;IgAAAGRycy9kb3ducmV2LnhtbFBLAQIUABQAAAAIAIdO4kDmy2KtCAIAAAoEAAAOAAAAAAAAAAEA&#10;IAAAACoBAABkcnMvZTJvRG9jLnhtbFBLBQYAAAAABgAGAFkBAACk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default" w:eastAsia="宋体"/>
                          <w:szCs w:val="21"/>
                          <w:lang w:val="en-US" w:eastAsia="zh-CN"/>
                        </w:rPr>
                      </w:pPr>
                      <w:r>
                        <w:rPr>
                          <w:rFonts w:hint="eastAsia" w:hAnsi="宋体"/>
                          <w:szCs w:val="21"/>
                        </w:rPr>
                        <w:t>法定代表人身份证复印件</w:t>
                      </w:r>
                    </w:p>
                    <w:p/>
                  </w:txbxContent>
                </v:textbox>
              </v:roundrect>
            </w:pict>
          </mc:Fallback>
        </mc:AlternateConten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102870</wp:posOffset>
                </wp:positionH>
                <wp:positionV relativeFrom="paragraph">
                  <wp:posOffset>167640</wp:posOffset>
                </wp:positionV>
                <wp:extent cx="2789555" cy="1270000"/>
                <wp:effectExtent l="7620" t="7620" r="22225" b="17780"/>
                <wp:wrapNone/>
                <wp:docPr id="7" name="圆角矩形 7"/>
                <wp:cNvGraphicFramePr/>
                <a:graphic xmlns:a="http://schemas.openxmlformats.org/drawingml/2006/main">
                  <a:graphicData uri="http://schemas.microsoft.com/office/word/2010/wordprocessingShape">
                    <wps:wsp>
                      <wps:cNvSpPr/>
                      <wps:spPr>
                        <a:xfrm>
                          <a:off x="0" y="0"/>
                          <a:ext cx="2789555" cy="12700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rPr>
                            </w:pPr>
                          </w:p>
                          <w:p>
                            <w:pPr>
                              <w:rPr>
                                <w:rFonts w:hint="eastAsia" w:hAnsi="宋体"/>
                              </w:rPr>
                            </w:pPr>
                          </w:p>
                          <w:p>
                            <w:pPr>
                              <w:rPr>
                                <w:rFonts w:hint="eastAsia" w:hAnsi="宋体"/>
                              </w:rPr>
                            </w:pPr>
                          </w:p>
                          <w:p>
                            <w:pPr>
                              <w:jc w:val="center"/>
                              <w:rPr>
                                <w:rFonts w:hint="default" w:eastAsia="宋体"/>
                                <w:lang w:val="en-US" w:eastAsia="zh-CN"/>
                              </w:rPr>
                            </w:pPr>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8.1pt;margin-top:13.2pt;height:100pt;width:219.65pt;z-index:251661312;mso-width-relative:page;mso-height-relative:page;" fillcolor="#FFFFFF" filled="t" stroked="t" coordsize="21600,21600" arcsize="0.166666666666667" o:gfxdata="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5rgu3YAAAACQEAAA8AAAAAAAAAAQAgAAAAIgAA&#10;AGRycy9kb3ducmV2LnhtbFBLAQIUABQAAAAIAIdO4kAhRaqgCAIAAAoEAAAOAAAAAAAAAAEAIAAA&#10;ACcBAABkcnMvZTJvRG9jLnhtbFBLBQYAAAAABgAGAFkBAACh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pPr>
                        <w:jc w:val="center"/>
                        <w:rPr>
                          <w:rFonts w:hint="default" w:eastAsia="宋体"/>
                          <w:lang w:val="en-US" w:eastAsia="zh-CN"/>
                        </w:rPr>
                      </w:pPr>
                      <w:r>
                        <w:rPr>
                          <w:rFonts w:hint="eastAsia" w:hAnsi="宋体"/>
                        </w:rPr>
                        <w:t>授权委托人身份证复印件</w:t>
                      </w:r>
                    </w:p>
                    <w:p/>
                  </w:txbxContent>
                </v:textbox>
              </v:roundrect>
            </w:pict>
          </mc:Fallback>
        </mc:AlternateContent>
      </w: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60288" behindDoc="1" locked="0" layoutInCell="1" allowOverlap="1">
                <wp:simplePos x="0" y="0"/>
                <wp:positionH relativeFrom="column">
                  <wp:posOffset>-93345</wp:posOffset>
                </wp:positionH>
                <wp:positionV relativeFrom="paragraph">
                  <wp:posOffset>196850</wp:posOffset>
                </wp:positionV>
                <wp:extent cx="2819400" cy="1242060"/>
                <wp:effectExtent l="4445" t="4445" r="14605" b="10795"/>
                <wp:wrapThrough wrapText="bothSides">
                  <wp:wrapPolygon>
                    <wp:start x="550" y="-77"/>
                    <wp:lineTo x="-34" y="1248"/>
                    <wp:lineTo x="-34" y="19800"/>
                    <wp:lineTo x="258" y="21125"/>
                    <wp:lineTo x="550" y="21456"/>
                    <wp:lineTo x="20836" y="21456"/>
                    <wp:lineTo x="21566" y="19800"/>
                    <wp:lineTo x="21566" y="1248"/>
                    <wp:lineTo x="20982" y="-77"/>
                    <wp:lineTo x="550" y="-77"/>
                  </wp:wrapPolygon>
                </wp:wrapThrough>
                <wp:docPr id="8" name="流程图: 可选过程 8"/>
                <wp:cNvGraphicFramePr/>
                <a:graphic xmlns:a="http://schemas.openxmlformats.org/drawingml/2006/main">
                  <a:graphicData uri="http://schemas.microsoft.com/office/word/2010/wordprocessingShape">
                    <wps:wsp>
                      <wps:cNvSpPr/>
                      <wps:spPr>
                        <a:xfrm>
                          <a:off x="0" y="0"/>
                          <a:ext cx="2819400" cy="12420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lang w:val="en-US" w:eastAsia="zh-CN"/>
                              </w:rP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7.35pt;margin-top:15.5pt;height:97.8pt;width:222pt;mso-wrap-distance-left:9pt;mso-wrap-distance-right:9pt;z-index:-251656192;mso-width-relative:page;mso-height-relative:page;" fillcolor="#FFFFFF" filled="t" stroked="t" coordsize="21600,21600" wrapcoords="550 -77 -34 1248 -34 19800 258 21125 550 21456 20836 21456 21566 19800 21566 1248 20982 -77 550 -77" o:gfxdata="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o2u2dkAAAAKAQAADwAAAAAAAAAB&#10;ACAAAAAiAAAAZHJzL2Rvd25yZXYueG1sUEsBAhQAFAAAAAgAh07iQEnV1ZoPAgAAAgQAAA4AAAAA&#10;AAAAAQAgAAAAKAEAAGRycy9lMm9Eb2MueG1sUEsFBgAAAAAGAAYAWQEAAKk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lang w:val="en-US" w:eastAsia="zh-CN"/>
                        </w:rPr>
                      </w:pPr>
                      <w:r>
                        <w:rPr>
                          <w:rFonts w:hint="eastAsia" w:hAnsi="宋体"/>
                        </w:rPr>
                        <w:t>授权委托人身份证复印件</w:t>
                      </w:r>
                    </w:p>
                  </w:txbxContent>
                </v:textbox>
                <w10:wrap type="through"/>
              </v:shape>
            </w:pict>
          </mc:Fallback>
        </mc:AlternateConten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rPr>
      </w:pPr>
    </w:p>
    <w:p>
      <w:pPr>
        <w:pStyle w:val="11"/>
        <w:tabs>
          <w:tab w:val="left" w:pos="5580"/>
        </w:tabs>
        <w:spacing w:line="240" w:lineRule="atLeast"/>
        <w:ind w:left="-540" w:leftChars="-257" w:firstLine="900" w:firstLineChars="375"/>
        <w:rPr>
          <w:rFonts w:hint="eastAsia" w:ascii="仿宋" w:hAnsi="仿宋" w:eastAsia="仿宋" w:cs="仿宋"/>
          <w:color w:val="auto"/>
          <w:sz w:val="24"/>
          <w:highlight w:val="non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color="FFFFFF"/>
          <w:lang w:eastAsia="zh-CN"/>
        </w:rPr>
        <w:t>投标人</w:t>
      </w:r>
      <w:r>
        <w:rPr>
          <w:rFonts w:hint="eastAsia" w:ascii="仿宋" w:hAnsi="仿宋" w:eastAsia="仿宋" w:cs="仿宋"/>
          <w:color w:val="auto"/>
          <w:sz w:val="24"/>
          <w:highlight w:val="none"/>
          <w:u w:val="none"/>
        </w:rPr>
        <w:t>（盖单位章）;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法定代表人（签字或签章）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color="EEECE1"/>
        </w:rPr>
        <w:t>身份证号</w:t>
      </w:r>
      <w:r>
        <w:rPr>
          <w:rFonts w:hint="eastAsia" w:ascii="仿宋" w:hAnsi="仿宋" w:eastAsia="仿宋" w:cs="仿宋"/>
          <w:color w:val="auto"/>
          <w:sz w:val="24"/>
          <w:highlight w:val="none"/>
          <w:u w:val="none" w:color="auto"/>
        </w:rPr>
        <w:t>码：</w:t>
      </w:r>
      <w:r>
        <w:rPr>
          <w:rFonts w:hint="eastAsia" w:ascii="仿宋" w:hAnsi="仿宋" w:eastAsia="仿宋" w:cs="仿宋"/>
          <w:color w:val="auto"/>
          <w:sz w:val="24"/>
          <w:highlight w:val="none"/>
          <w:u w:val="single"/>
        </w:rPr>
        <w:t xml:space="preserve">__________________________________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none"/>
        </w:rPr>
        <w:t>委托代理人：</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none"/>
        </w:rPr>
        <w:t>身份证号码：</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详细通讯地址</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 xml:space="preserve">邮 政 编 码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传　　　　真</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color="FFFFFF"/>
        </w:rPr>
        <w:t>电　　　　话</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rPr>
          <w:rFonts w:hint="eastAsia" w:ascii="仿宋" w:hAnsi="仿宋" w:eastAsia="仿宋" w:cs="仿宋"/>
          <w:color w:val="auto"/>
          <w:sz w:val="24"/>
          <w:highlight w:val="none"/>
          <w:u w:val="single"/>
        </w:rPr>
      </w:pPr>
    </w:p>
    <w:p>
      <w:pPr>
        <w:spacing w:before="0" w:line="440" w:lineRule="exact"/>
        <w:jc w:val="center"/>
        <w:outlineLvl w:val="9"/>
        <w:rPr>
          <w:rFonts w:hint="eastAsia" w:ascii="仿宋" w:hAnsi="仿宋" w:eastAsia="仿宋" w:cs="仿宋"/>
          <w:b/>
          <w:bCs/>
          <w:color w:val="auto"/>
          <w:sz w:val="28"/>
          <w:szCs w:val="28"/>
          <w:highlight w:val="none"/>
          <w:lang w:eastAsia="zh-CN"/>
        </w:rPr>
      </w:pPr>
      <w:bookmarkStart w:id="184" w:name="_Toc8895"/>
      <w:bookmarkStart w:id="185" w:name="_Toc13996"/>
      <w:bookmarkStart w:id="186" w:name="_Toc23635"/>
      <w:bookmarkStart w:id="187" w:name="_Toc21910"/>
      <w:bookmarkStart w:id="188" w:name="_Toc2262"/>
      <w:bookmarkStart w:id="189" w:name="_Toc20323"/>
      <w:bookmarkStart w:id="190" w:name="_Toc5526"/>
      <w:bookmarkStart w:id="191" w:name="_Toc22222"/>
      <w:bookmarkStart w:id="192" w:name="_Toc15498"/>
      <w:r>
        <w:rPr>
          <w:rFonts w:hint="eastAsia" w:ascii="仿宋" w:hAnsi="仿宋" w:eastAsia="仿宋" w:cs="仿宋"/>
          <w:b/>
          <w:bCs/>
          <w:color w:val="auto"/>
          <w:kern w:val="2"/>
          <w:sz w:val="28"/>
          <w:szCs w:val="21"/>
          <w:highlight w:val="none"/>
          <w:lang w:val="en-US" w:eastAsia="zh-CN" w:bidi="ar-SA"/>
        </w:rPr>
        <w:t>4.2 法定代表人身份证明（法人投标用）</w:t>
      </w:r>
      <w:bookmarkEnd w:id="184"/>
      <w:bookmarkEnd w:id="185"/>
      <w:bookmarkEnd w:id="186"/>
      <w:bookmarkEnd w:id="187"/>
      <w:bookmarkEnd w:id="188"/>
      <w:bookmarkEnd w:id="189"/>
      <w:bookmarkEnd w:id="190"/>
      <w:bookmarkEnd w:id="191"/>
      <w:bookmarkEnd w:id="192"/>
    </w:p>
    <w:p>
      <w:pPr>
        <w:rPr>
          <w:rFonts w:hint="eastAsia" w:ascii="仿宋" w:hAnsi="仿宋" w:eastAsia="仿宋" w:cs="仿宋"/>
          <w:color w:val="auto"/>
          <w:highlight w:val="none"/>
        </w:rPr>
      </w:pP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sz w:val="24"/>
          <w:highlight w:val="none"/>
        </w:rPr>
        <w:t xml:space="preserve"> </w:t>
      </w:r>
      <w:r>
        <w:rPr>
          <w:rFonts w:hint="eastAsia" w:ascii="仿宋" w:hAnsi="仿宋" w:eastAsia="仿宋" w:cs="仿宋"/>
          <w:color w:val="auto"/>
          <w:kern w:val="2"/>
          <w:sz w:val="24"/>
          <w:szCs w:val="20"/>
          <w:highlight w:val="non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同志，现任我单位</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职务，为法定代表人，特此证明。</w:t>
      </w:r>
    </w:p>
    <w:p>
      <w:pPr>
        <w:spacing w:line="360" w:lineRule="auto"/>
        <w:ind w:firstLine="240" w:firstLineChars="100"/>
        <w:rPr>
          <w:rFonts w:hint="eastAsia" w:ascii="仿宋" w:hAnsi="仿宋" w:eastAsia="仿宋" w:cs="仿宋"/>
          <w:color w:val="auto"/>
          <w:kern w:val="2"/>
          <w:sz w:val="24"/>
          <w:szCs w:val="20"/>
          <w:highlight w:val="none"/>
          <w:u w:val="single"/>
          <w:lang w:val="en-US" w:eastAsia="zh-CN" w:bidi="ar-SA"/>
        </w:rPr>
      </w:pPr>
      <w:r>
        <w:rPr>
          <w:rFonts w:hint="eastAsia" w:ascii="仿宋" w:hAnsi="仿宋" w:eastAsia="仿宋" w:cs="仿宋"/>
          <w:color w:val="auto"/>
          <w:kern w:val="2"/>
          <w:sz w:val="24"/>
          <w:szCs w:val="20"/>
          <w:highlight w:val="none"/>
          <w:lang w:val="en-US" w:eastAsia="zh-CN" w:bidi="ar-SA"/>
        </w:rPr>
        <w:t>签发日期：</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单位：</w:t>
      </w:r>
      <w:r>
        <w:rPr>
          <w:rFonts w:hint="eastAsia" w:ascii="仿宋" w:hAnsi="仿宋" w:eastAsia="仿宋" w:cs="仿宋"/>
          <w:color w:val="auto"/>
          <w:kern w:val="2"/>
          <w:sz w:val="24"/>
          <w:szCs w:val="20"/>
          <w:highlight w:val="none"/>
          <w:u w:val="single"/>
          <w:lang w:val="en-US" w:eastAsia="zh-CN" w:bidi="ar-SA"/>
        </w:rPr>
        <w:t xml:space="preserve">                                </w:t>
      </w:r>
    </w:p>
    <w:p>
      <w:pPr>
        <w:spacing w:line="360" w:lineRule="auto"/>
        <w:ind w:firstLine="240" w:firstLineChars="100"/>
        <w:rPr>
          <w:rFonts w:hint="eastAsia" w:ascii="仿宋" w:hAnsi="仿宋" w:eastAsia="仿宋" w:cs="仿宋"/>
          <w:color w:val="auto"/>
          <w:kern w:val="2"/>
          <w:sz w:val="24"/>
          <w:szCs w:val="20"/>
          <w:highlight w:val="none"/>
          <w:u w:val="single"/>
          <w:lang w:val="en-US" w:eastAsia="zh-CN" w:bidi="ar-SA"/>
        </w:rPr>
      </w:pPr>
      <w:r>
        <w:rPr>
          <w:rFonts w:hint="eastAsia" w:ascii="仿宋" w:hAnsi="仿宋" w:eastAsia="仿宋" w:cs="仿宋"/>
          <w:color w:val="auto"/>
          <w:kern w:val="2"/>
          <w:sz w:val="24"/>
          <w:szCs w:val="20"/>
          <w:highlight w:val="none"/>
          <w:lang w:val="en-US" w:eastAsia="zh-CN" w:bidi="ar-SA"/>
        </w:rPr>
        <w:t>附：代表人性别：</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年龄：</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身份证号码：</w:t>
      </w:r>
      <w:r>
        <w:rPr>
          <w:rFonts w:hint="eastAsia" w:ascii="仿宋" w:hAnsi="仿宋" w:eastAsia="仿宋" w:cs="仿宋"/>
          <w:color w:val="auto"/>
          <w:kern w:val="2"/>
          <w:sz w:val="24"/>
          <w:szCs w:val="20"/>
          <w:highlight w:val="none"/>
          <w:u w:val="single"/>
          <w:lang w:val="en-US" w:eastAsia="zh-CN" w:bidi="ar-SA"/>
        </w:rPr>
        <w:t xml:space="preserve">               </w:t>
      </w:r>
    </w:p>
    <w:p>
      <w:pPr>
        <w:spacing w:line="360" w:lineRule="auto"/>
        <w:ind w:firstLine="240" w:firstLineChars="100"/>
        <w:rPr>
          <w:rFonts w:hint="eastAsia" w:ascii="仿宋" w:hAnsi="仿宋" w:eastAsia="仿宋" w:cs="仿宋"/>
          <w:color w:val="auto"/>
          <w:kern w:val="2"/>
          <w:sz w:val="24"/>
          <w:szCs w:val="20"/>
          <w:highlight w:val="none"/>
          <w:u w:val="single"/>
          <w:lang w:val="en-US" w:eastAsia="zh-CN" w:bidi="ar-SA"/>
        </w:rPr>
      </w:pPr>
      <w:r>
        <w:rPr>
          <w:rFonts w:hint="eastAsia" w:ascii="仿宋" w:hAnsi="仿宋" w:eastAsia="仿宋" w:cs="仿宋"/>
          <w:color w:val="auto"/>
          <w:kern w:val="2"/>
          <w:sz w:val="24"/>
          <w:szCs w:val="20"/>
          <w:highlight w:val="none"/>
          <w:lang w:val="en-US" w:eastAsia="zh-CN" w:bidi="ar-SA"/>
        </w:rPr>
        <w:t>联系电话：</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营业执照号码</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经济性质：</w:t>
      </w:r>
      <w:r>
        <w:rPr>
          <w:rFonts w:hint="eastAsia" w:ascii="仿宋" w:hAnsi="仿宋" w:eastAsia="仿宋" w:cs="仿宋"/>
          <w:color w:val="auto"/>
          <w:kern w:val="2"/>
          <w:sz w:val="24"/>
          <w:szCs w:val="20"/>
          <w:highlight w:val="none"/>
          <w:u w:val="single"/>
          <w:lang w:val="en-US" w:eastAsia="zh-CN" w:bidi="ar-SA"/>
        </w:rPr>
        <w:t xml:space="preserve">       </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说明：</w:t>
      </w:r>
    </w:p>
    <w:p>
      <w:pPr>
        <w:spacing w:line="360" w:lineRule="auto"/>
        <w:ind w:firstLine="240" w:firstLineChars="1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1、法定代表人为企业事业单位、国家机关、社会团体的主要行政负责人。</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2、内容必须填写真实、清楚、涂改无效，不得转让。</w:t>
      </w:r>
    </w:p>
    <w:p>
      <w:pPr>
        <w:spacing w:line="360" w:lineRule="auto"/>
        <w:ind w:firstLine="240" w:firstLineChars="1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3、将此证明书原件提交采购代理机构作为响应文件附件。</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(为避免废标，请投标人务必提供本附件)</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154305</wp:posOffset>
                </wp:positionH>
                <wp:positionV relativeFrom="paragraph">
                  <wp:posOffset>10795</wp:posOffset>
                </wp:positionV>
                <wp:extent cx="2333625" cy="1584325"/>
                <wp:effectExtent l="5080" t="4445" r="4445"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宋体"/>
                                <w:szCs w:val="21"/>
                                <w:lang w:val="en-US" w:eastAsia="zh-CN"/>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2336;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宋体"/>
                          <w:szCs w:val="21"/>
                          <w:lang w:val="en-US" w:eastAsia="zh-CN"/>
                        </w:rPr>
                      </w:pPr>
                      <w:r>
                        <w:rPr>
                          <w:rFonts w:hint="eastAsia" w:hAnsi="宋体"/>
                          <w:szCs w:val="21"/>
                        </w:rPr>
                        <w:t>法定代表人身份证复印件</w:t>
                      </w:r>
                    </w:p>
                  </w:txbxContent>
                </v:textbox>
              </v:shape>
            </w:pict>
          </mc:Fallback>
        </mc:AlternateContent>
      </w:r>
      <w:r>
        <w:rPr>
          <w:rFonts w:hint="eastAsia" w:ascii="仿宋" w:hAnsi="仿宋" w:eastAsia="仿宋" w:cs="仿宋"/>
          <w:color w:val="auto"/>
          <w:kern w:val="2"/>
          <w:sz w:val="24"/>
          <w:szCs w:val="20"/>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default" w:eastAsia="宋体"/>
                                <w:szCs w:val="21"/>
                                <w:lang w:val="en-US" w:eastAsia="zh-CN"/>
                              </w:rPr>
                            </w:pPr>
                            <w:r>
                              <w:rPr>
                                <w:rFonts w:hint="eastAsia" w:hAnsi="宋体"/>
                                <w:szCs w:val="21"/>
                              </w:rPr>
                              <w:t>法定代表人身份证复印件</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3360;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default" w:eastAsia="宋体"/>
                          <w:szCs w:val="21"/>
                          <w:lang w:val="en-US" w:eastAsia="zh-CN"/>
                        </w:rPr>
                      </w:pPr>
                      <w:r>
                        <w:rPr>
                          <w:rFonts w:hint="eastAsia" w:hAnsi="宋体"/>
                          <w:szCs w:val="21"/>
                        </w:rPr>
                        <w:t>法定代表人身份证复印件</w:t>
                      </w:r>
                    </w:p>
                    <w:p/>
                    <w:p>
                      <w:pPr>
                        <w:pStyle w:val="6"/>
                      </w:pPr>
                    </w:p>
                    <w:p>
                      <w:pPr>
                        <w:pStyle w:val="6"/>
                      </w:pPr>
                    </w:p>
                    <w:p>
                      <w:pPr>
                        <w:pStyle w:val="6"/>
                      </w:pPr>
                    </w:p>
                    <w:p>
                      <w:pPr>
                        <w:pStyle w:val="6"/>
                      </w:pPr>
                    </w:p>
                  </w:txbxContent>
                </v:textbox>
              </v:roundrect>
            </w:pict>
          </mc:Fallback>
        </mc:AlternateContent>
      </w:r>
    </w:p>
    <w:p>
      <w:pPr>
        <w:spacing w:line="360" w:lineRule="auto"/>
        <w:rPr>
          <w:rFonts w:hint="eastAsia" w:ascii="仿宋" w:hAnsi="仿宋" w:eastAsia="仿宋" w:cs="仿宋"/>
          <w:color w:val="auto"/>
          <w:sz w:val="24"/>
          <w:szCs w:val="20"/>
          <w:highlight w:val="none"/>
        </w:rPr>
      </w:pPr>
    </w:p>
    <w:p>
      <w:pPr>
        <w:spacing w:line="360" w:lineRule="auto"/>
        <w:rPr>
          <w:rFonts w:hint="eastAsia" w:ascii="仿宋" w:hAnsi="仿宋" w:eastAsia="仿宋" w:cs="仿宋"/>
          <w:color w:val="auto"/>
          <w:sz w:val="24"/>
          <w:szCs w:val="20"/>
          <w:highlight w:val="none"/>
        </w:rPr>
      </w:pPr>
    </w:p>
    <w:p>
      <w:pPr>
        <w:autoSpaceDE w:val="0"/>
        <w:autoSpaceDN w:val="0"/>
        <w:adjustRightInd w:val="0"/>
        <w:spacing w:line="360" w:lineRule="auto"/>
        <w:ind w:right="246"/>
        <w:rPr>
          <w:rFonts w:hint="eastAsia" w:ascii="仿宋" w:hAnsi="仿宋" w:eastAsia="仿宋" w:cs="仿宋"/>
          <w:color w:val="auto"/>
          <w:sz w:val="24"/>
          <w:szCs w:val="20"/>
          <w:highlight w:val="none"/>
        </w:rPr>
      </w:pPr>
    </w:p>
    <w:p>
      <w:pPr>
        <w:autoSpaceDE w:val="0"/>
        <w:autoSpaceDN w:val="0"/>
        <w:adjustRightInd w:val="0"/>
        <w:spacing w:line="360" w:lineRule="auto"/>
        <w:ind w:right="246" w:firstLine="784" w:firstLineChars="327"/>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投标人</w:t>
      </w:r>
      <w:r>
        <w:rPr>
          <w:rFonts w:hint="eastAsia" w:ascii="仿宋" w:hAnsi="仿宋" w:eastAsia="仿宋" w:cs="仿宋"/>
          <w:color w:val="auto"/>
          <w:sz w:val="24"/>
          <w:szCs w:val="20"/>
          <w:highlight w:val="none"/>
        </w:rPr>
        <w:t xml:space="preserve">（盖章）：                              </w:t>
      </w:r>
    </w:p>
    <w:p>
      <w:pPr>
        <w:adjustRightInd w:val="0"/>
        <w:snapToGrid w:val="0"/>
        <w:spacing w:line="360" w:lineRule="auto"/>
        <w:ind w:firstLine="784" w:firstLineChars="327"/>
        <w:rPr>
          <w:rFonts w:hint="eastAsia" w:ascii="仿宋" w:hAnsi="仿宋" w:eastAsia="仿宋" w:cs="仿宋"/>
          <w:color w:val="auto"/>
          <w:sz w:val="24"/>
          <w:szCs w:val="20"/>
          <w:highlight w:val="none"/>
        </w:rPr>
      </w:pPr>
    </w:p>
    <w:p>
      <w:pPr>
        <w:adjustRightInd w:val="0"/>
        <w:snapToGrid w:val="0"/>
        <w:spacing w:line="360" w:lineRule="auto"/>
        <w:ind w:firstLine="784" w:firstLineChars="327"/>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投标人（盖单位章）;                           </w:t>
      </w:r>
    </w:p>
    <w:p>
      <w:pPr>
        <w:adjustRightInd w:val="0"/>
        <w:snapToGrid w:val="0"/>
        <w:spacing w:line="360" w:lineRule="auto"/>
        <w:ind w:firstLine="784" w:firstLineChars="327"/>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法定代表人（签字或签章）：                     </w:t>
      </w:r>
    </w:p>
    <w:p>
      <w:pPr>
        <w:adjustRightInd w:val="0"/>
        <w:snapToGrid w:val="0"/>
        <w:spacing w:line="360" w:lineRule="auto"/>
        <w:ind w:firstLine="784" w:firstLineChars="327"/>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日期：  年   月   日                                       </w:t>
      </w:r>
    </w:p>
    <w:p>
      <w:pPr>
        <w:pStyle w:val="11"/>
        <w:tabs>
          <w:tab w:val="left" w:pos="5580"/>
        </w:tabs>
        <w:spacing w:line="240" w:lineRule="atLeast"/>
        <w:ind w:firstLine="360" w:firstLineChars="150"/>
        <w:rPr>
          <w:rFonts w:hint="eastAsia" w:ascii="仿宋" w:hAnsi="仿宋" w:eastAsia="仿宋" w:cs="仿宋"/>
          <w:color w:val="auto"/>
          <w:kern w:val="2"/>
          <w:sz w:val="24"/>
          <w:szCs w:val="20"/>
          <w:highlight w:val="none"/>
          <w:lang w:val="en-US" w:eastAsia="zh-CN" w:bidi="ar-SA"/>
        </w:rPr>
      </w:pPr>
    </w:p>
    <w:p>
      <w:pPr>
        <w:spacing w:line="360" w:lineRule="auto"/>
        <w:ind w:firstLine="570"/>
        <w:rPr>
          <w:rFonts w:hint="eastAsia" w:ascii="仿宋" w:hAnsi="仿宋" w:eastAsia="仿宋" w:cs="仿宋"/>
          <w:color w:val="auto"/>
          <w:sz w:val="24"/>
          <w:highlight w:val="none"/>
        </w:rPr>
      </w:pPr>
    </w:p>
    <w:p>
      <w:pPr>
        <w:pStyle w:val="11"/>
        <w:tabs>
          <w:tab w:val="left" w:pos="5580"/>
        </w:tabs>
        <w:spacing w:line="240" w:lineRule="atLeast"/>
        <w:ind w:left="1260" w:leftChars="344" w:hanging="538"/>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pPr>
        <w:pStyle w:val="11"/>
        <w:tabs>
          <w:tab w:val="left" w:pos="5580"/>
        </w:tabs>
        <w:spacing w:line="240" w:lineRule="atLeast"/>
        <w:ind w:left="1260" w:leftChars="344" w:hanging="538"/>
        <w:rPr>
          <w:rFonts w:hint="eastAsia" w:ascii="仿宋" w:hAnsi="仿宋" w:eastAsia="仿宋" w:cs="仿宋"/>
          <w:b/>
          <w:color w:val="auto"/>
          <w:kern w:val="0"/>
          <w:sz w:val="24"/>
          <w:highlight w:val="none"/>
        </w:rPr>
      </w:pPr>
    </w:p>
    <w:p>
      <w:pPr>
        <w:pStyle w:val="11"/>
        <w:tabs>
          <w:tab w:val="left" w:pos="5580"/>
        </w:tabs>
        <w:spacing w:line="240" w:lineRule="atLeast"/>
        <w:ind w:firstLine="843" w:firstLineChars="300"/>
        <w:rPr>
          <w:rFonts w:hint="eastAsia" w:ascii="仿宋" w:hAnsi="仿宋" w:eastAsia="仿宋" w:cs="仿宋"/>
          <w:b/>
          <w:bCs/>
          <w:color w:val="auto"/>
          <w:sz w:val="24"/>
          <w:highlight w:val="none"/>
          <w:lang w:val="en-US" w:eastAsia="zh-CN"/>
        </w:rPr>
      </w:pPr>
      <w:r>
        <w:rPr>
          <w:rFonts w:hint="eastAsia" w:ascii="仿宋" w:hAnsi="仿宋" w:eastAsia="仿宋" w:cs="仿宋"/>
          <w:b/>
          <w:color w:val="auto"/>
          <w:kern w:val="0"/>
          <w:sz w:val="28"/>
          <w:szCs w:val="21"/>
          <w:highlight w:val="none"/>
          <w:lang w:val="en-US" w:eastAsia="zh-CN"/>
        </w:rPr>
        <w:t>5</w:t>
      </w:r>
      <w:r>
        <w:rPr>
          <w:rFonts w:hint="eastAsia" w:ascii="仿宋" w:hAnsi="仿宋" w:eastAsia="仿宋" w:cs="仿宋"/>
          <w:b/>
          <w:bCs/>
          <w:color w:val="auto"/>
          <w:sz w:val="28"/>
          <w:szCs w:val="21"/>
          <w:highlight w:val="none"/>
          <w:lang w:val="en-US" w:eastAsia="zh-CN"/>
        </w:rPr>
        <w:t>、参加采购活动前三年内，在经营活动中无重大违法声明；提供针对本次项目《反商业贿赂承诺书》；</w:t>
      </w:r>
    </w:p>
    <w:p>
      <w:pPr>
        <w:pStyle w:val="11"/>
        <w:tabs>
          <w:tab w:val="left" w:pos="5580"/>
        </w:tabs>
        <w:spacing w:line="240" w:lineRule="atLeast"/>
        <w:ind w:firstLine="723" w:firstLineChars="300"/>
        <w:rPr>
          <w:rFonts w:hint="eastAsia" w:ascii="仿宋" w:hAnsi="仿宋" w:eastAsia="仿宋" w:cs="仿宋"/>
          <w:b/>
          <w:bCs/>
          <w:color w:val="auto"/>
          <w:sz w:val="24"/>
          <w:highlight w:val="none"/>
          <w:lang w:val="en-US" w:eastAsia="zh-CN"/>
        </w:rPr>
      </w:pPr>
    </w:p>
    <w:p>
      <w:pPr>
        <w:pStyle w:val="11"/>
        <w:keepNext w:val="0"/>
        <w:keepLines w:val="0"/>
        <w:pageBreakBefore w:val="0"/>
        <w:widowControl w:val="0"/>
        <w:tabs>
          <w:tab w:val="left" w:pos="5580"/>
        </w:tabs>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11"/>
        <w:keepNext w:val="0"/>
        <w:keepLines w:val="0"/>
        <w:pageBreakBefore w:val="0"/>
        <w:widowControl w:val="0"/>
        <w:tabs>
          <w:tab w:val="left" w:pos="5580"/>
        </w:tabs>
        <w:kinsoku/>
        <w:wordWrap/>
        <w:overflowPunct/>
        <w:topLinePunct w:val="0"/>
        <w:bidi w:val="0"/>
        <w:snapToGrid/>
        <w:spacing w:line="360" w:lineRule="auto"/>
        <w:ind w:firstLine="720" w:firstLineChars="300"/>
        <w:jc w:val="both"/>
        <w:textAlignment w:val="auto"/>
        <w:rPr>
          <w:rFonts w:hint="eastAsia" w:ascii="仿宋" w:hAnsi="仿宋" w:eastAsia="仿宋" w:cs="仿宋"/>
          <w:sz w:val="24"/>
          <w:szCs w:val="24"/>
        </w:rPr>
      </w:pPr>
      <w:r>
        <w:rPr>
          <w:rFonts w:hint="eastAsia" w:ascii="仿宋" w:hAnsi="仿宋" w:eastAsia="仿宋" w:cs="仿宋"/>
          <w:sz w:val="24"/>
          <w:szCs w:val="24"/>
        </w:rPr>
        <w:t>1.投标人应按照相关法规规定如实作出说明。</w:t>
      </w:r>
    </w:p>
    <w:p>
      <w:pPr>
        <w:pStyle w:val="11"/>
        <w:tabs>
          <w:tab w:val="left" w:pos="5580"/>
        </w:tabs>
        <w:spacing w:line="240" w:lineRule="atLeast"/>
        <w:ind w:firstLine="720" w:firstLineChars="3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按照</w:t>
      </w:r>
      <w:r>
        <w:rPr>
          <w:rFonts w:hint="eastAsia" w:ascii="仿宋" w:hAnsi="仿宋" w:eastAsia="仿宋" w:cs="仿宋"/>
          <w:sz w:val="24"/>
          <w:szCs w:val="24"/>
          <w:lang w:eastAsia="zh-CN"/>
        </w:rPr>
        <w:t>磋商文件</w:t>
      </w:r>
      <w:r>
        <w:rPr>
          <w:rFonts w:hint="eastAsia" w:ascii="仿宋" w:hAnsi="仿宋" w:eastAsia="仿宋" w:cs="仿宋"/>
          <w:sz w:val="24"/>
          <w:szCs w:val="24"/>
        </w:rPr>
        <w:t>的规定加盖单位章。</w:t>
      </w:r>
    </w:p>
    <w:p>
      <w:pPr>
        <w:rPr>
          <w:rFonts w:hint="eastAsia" w:ascii="仿宋" w:hAnsi="仿宋" w:eastAsia="仿宋" w:cs="仿宋"/>
          <w:b/>
          <w:bCs/>
          <w:color w:val="auto"/>
          <w:sz w:val="24"/>
          <w:highlight w:val="none"/>
          <w:lang w:val="en-US" w:eastAsia="zh-CN"/>
        </w:rPr>
      </w:pPr>
    </w:p>
    <w:p>
      <w:pPr>
        <w:pStyle w:val="6"/>
        <w:rPr>
          <w:rFonts w:hint="eastAsia" w:ascii="仿宋" w:hAnsi="仿宋" w:eastAsia="仿宋" w:cs="仿宋"/>
          <w:b/>
          <w:bCs/>
          <w:color w:val="auto"/>
          <w:sz w:val="24"/>
          <w:highlight w:val="none"/>
          <w:lang w:val="en-US" w:eastAsia="zh-CN"/>
        </w:rPr>
      </w:pPr>
    </w:p>
    <w:p>
      <w:pPr>
        <w:rPr>
          <w:rFonts w:hint="eastAsia"/>
          <w:lang w:val="en-US" w:eastAsia="zh-CN"/>
        </w:rPr>
      </w:pP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6、提供税务部门出具的近六个月中任意一个月的完税证明，依法免税的应提供相应文件证明（完税证明或税务部门出具的其他证明，非社会保险类）及近六个月内任意1个月缴纳社会保障金的证明；</w:t>
      </w: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p>
    <w:p>
      <w:pPr>
        <w:pStyle w:val="11"/>
        <w:tabs>
          <w:tab w:val="left" w:pos="5580"/>
        </w:tabs>
        <w:spacing w:line="240" w:lineRule="atLeast"/>
        <w:ind w:firstLine="723" w:firstLineChars="3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br w:type="page"/>
      </w:r>
    </w:p>
    <w:p>
      <w:pPr>
        <w:pStyle w:val="11"/>
        <w:tabs>
          <w:tab w:val="left" w:pos="5580"/>
        </w:tabs>
        <w:spacing w:line="240" w:lineRule="atLeast"/>
        <w:ind w:firstLine="843" w:firstLineChars="3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8"/>
          <w:szCs w:val="21"/>
          <w:highlight w:val="none"/>
          <w:lang w:val="en-US" w:eastAsia="zh-CN"/>
        </w:rPr>
        <w:t>7、磋商保证金缴纳凭证</w:t>
      </w:r>
    </w:p>
    <w:p>
      <w:pPr>
        <w:pStyle w:val="11"/>
        <w:numPr>
          <w:ilvl w:val="0"/>
          <w:numId w:val="0"/>
        </w:numPr>
        <w:tabs>
          <w:tab w:val="left" w:pos="5580"/>
        </w:tabs>
        <w:spacing w:line="240" w:lineRule="atLeast"/>
        <w:rPr>
          <w:rFonts w:hint="eastAsia" w:ascii="仿宋" w:hAnsi="仿宋" w:eastAsia="仿宋" w:cs="仿宋"/>
          <w:b/>
          <w:color w:val="auto"/>
          <w:kern w:val="0"/>
          <w:sz w:val="24"/>
          <w:highlight w:val="none"/>
          <w:lang w:val="en-US" w:eastAsia="zh-CN"/>
        </w:rPr>
      </w:pPr>
    </w:p>
    <w:p>
      <w:pPr>
        <w:pStyle w:val="11"/>
        <w:numPr>
          <w:ilvl w:val="0"/>
          <w:numId w:val="0"/>
        </w:numPr>
        <w:tabs>
          <w:tab w:val="left" w:pos="5580"/>
        </w:tabs>
        <w:spacing w:line="240" w:lineRule="atLeast"/>
        <w:ind w:leftChars="344"/>
        <w:rPr>
          <w:rFonts w:hint="eastAsia" w:ascii="仿宋" w:hAnsi="仿宋" w:eastAsia="仿宋" w:cs="仿宋"/>
          <w:b/>
          <w:color w:val="auto"/>
          <w:kern w:val="0"/>
          <w:sz w:val="24"/>
          <w:highlight w:val="none"/>
          <w:lang w:val="en-US" w:eastAsia="zh-CN"/>
        </w:rPr>
      </w:pPr>
    </w:p>
    <w:p>
      <w:pPr>
        <w:rPr>
          <w:rFonts w:hint="eastAsia" w:ascii="仿宋" w:hAnsi="仿宋" w:eastAsia="仿宋" w:cs="仿宋"/>
          <w:b/>
          <w:color w:val="auto"/>
          <w:kern w:val="0"/>
          <w:sz w:val="24"/>
          <w:highlight w:val="none"/>
          <w:lang w:val="en-US" w:eastAsia="zh-CN"/>
        </w:rPr>
      </w:pPr>
    </w:p>
    <w:p>
      <w:pPr>
        <w:pStyle w:val="6"/>
        <w:rPr>
          <w:rFonts w:hint="eastAsia" w:ascii="仿宋" w:hAnsi="仿宋" w:eastAsia="仿宋" w:cs="仿宋"/>
          <w:b/>
          <w:color w:val="auto"/>
          <w:kern w:val="0"/>
          <w:sz w:val="24"/>
          <w:highlight w:val="none"/>
          <w:lang w:val="en-US" w:eastAsia="zh-CN"/>
        </w:rPr>
      </w:pPr>
    </w:p>
    <w:p>
      <w:pPr>
        <w:rPr>
          <w:rFonts w:hint="eastAsia" w:ascii="仿宋" w:hAnsi="仿宋" w:eastAsia="仿宋" w:cs="仿宋"/>
          <w:b/>
          <w:color w:val="auto"/>
          <w:kern w:val="0"/>
          <w:sz w:val="24"/>
          <w:highlight w:val="none"/>
          <w:lang w:val="en-US" w:eastAsia="zh-CN"/>
        </w:rPr>
      </w:pPr>
    </w:p>
    <w:p>
      <w:pPr>
        <w:pStyle w:val="6"/>
        <w:rPr>
          <w:rFonts w:hint="eastAsia" w:ascii="仿宋" w:hAnsi="仿宋" w:eastAsia="仿宋" w:cs="仿宋"/>
          <w:b/>
          <w:color w:val="auto"/>
          <w:kern w:val="0"/>
          <w:sz w:val="24"/>
          <w:highlight w:val="none"/>
          <w:lang w:val="en-US" w:eastAsia="zh-CN"/>
        </w:rPr>
      </w:pPr>
    </w:p>
    <w:p>
      <w:pPr>
        <w:rPr>
          <w:rFonts w:hint="eastAsia" w:ascii="仿宋" w:hAnsi="仿宋" w:eastAsia="仿宋" w:cs="仿宋"/>
          <w:b/>
          <w:color w:val="auto"/>
          <w:kern w:val="0"/>
          <w:sz w:val="24"/>
          <w:highlight w:val="none"/>
          <w:lang w:val="en-US" w:eastAsia="zh-CN"/>
        </w:rPr>
      </w:pPr>
    </w:p>
    <w:p>
      <w:pPr>
        <w:pStyle w:val="6"/>
        <w:rPr>
          <w:rFonts w:hint="eastAsia"/>
          <w:lang w:val="en-US" w:eastAsia="zh-CN"/>
        </w:rPr>
      </w:pPr>
    </w:p>
    <w:p>
      <w:pPr>
        <w:rPr>
          <w:rFonts w:hint="eastAsia" w:ascii="仿宋" w:hAnsi="仿宋" w:eastAsia="仿宋" w:cs="仿宋"/>
          <w:b/>
          <w:color w:val="auto"/>
          <w:kern w:val="0"/>
          <w:sz w:val="24"/>
          <w:highlight w:val="none"/>
          <w:lang w:val="en-US" w:eastAsia="zh-CN"/>
        </w:rPr>
      </w:pPr>
    </w:p>
    <w:p>
      <w:pPr>
        <w:pStyle w:val="11"/>
        <w:tabs>
          <w:tab w:val="left" w:pos="5580"/>
        </w:tabs>
        <w:spacing w:line="240" w:lineRule="atLeast"/>
        <w:rPr>
          <w:rFonts w:hint="eastAsia" w:ascii="仿宋" w:hAnsi="仿宋" w:eastAsia="仿宋" w:cs="仿宋"/>
          <w:b/>
          <w:bCs/>
          <w:color w:val="auto"/>
          <w:sz w:val="24"/>
          <w:highlight w:val="none"/>
          <w:lang w:val="en-US" w:eastAsia="zh-CN"/>
        </w:rPr>
      </w:pPr>
      <w:bookmarkStart w:id="193" w:name="_Toc518923114"/>
      <w:r>
        <w:rPr>
          <w:rFonts w:hint="eastAsia" w:ascii="仿宋" w:hAnsi="仿宋" w:eastAsia="仿宋" w:cs="仿宋"/>
          <w:b/>
          <w:bCs/>
          <w:color w:val="auto"/>
          <w:sz w:val="28"/>
          <w:szCs w:val="21"/>
          <w:highlight w:val="none"/>
          <w:lang w:val="en-US" w:eastAsia="zh-CN"/>
        </w:rPr>
        <w:br w:type="page"/>
      </w:r>
      <w:r>
        <w:rPr>
          <w:rFonts w:hint="eastAsia" w:ascii="仿宋" w:hAnsi="仿宋" w:eastAsia="仿宋" w:cs="仿宋"/>
          <w:b/>
          <w:bCs/>
          <w:color w:val="auto"/>
          <w:sz w:val="28"/>
          <w:szCs w:val="21"/>
          <w:highlight w:val="none"/>
          <w:lang w:val="en-US" w:eastAsia="zh-CN"/>
        </w:rPr>
        <w:t>8、投标人须知资料表要求的其他资格证明文件</w:t>
      </w:r>
      <w:bookmarkEnd w:id="193"/>
    </w:p>
    <w:p>
      <w:pPr>
        <w:spacing w:line="240" w:lineRule="atLeast"/>
        <w:ind w:left="1080" w:leftChars="257" w:hanging="540"/>
        <w:jc w:val="center"/>
        <w:rPr>
          <w:rFonts w:hint="eastAsia" w:ascii="仿宋" w:hAnsi="仿宋" w:eastAsia="仿宋" w:cs="仿宋"/>
          <w:b/>
          <w:bCs/>
          <w:color w:val="auto"/>
          <w:sz w:val="24"/>
          <w:highlight w:val="none"/>
        </w:rPr>
      </w:pPr>
    </w:p>
    <w:p>
      <w:pPr>
        <w:pStyle w:val="11"/>
        <w:tabs>
          <w:tab w:val="left" w:pos="5580"/>
        </w:tabs>
        <w:spacing w:line="240" w:lineRule="atLeast"/>
        <w:rPr>
          <w:rFonts w:hint="eastAsia" w:ascii="仿宋" w:hAnsi="仿宋" w:eastAsia="仿宋" w:cs="仿宋"/>
          <w:sz w:val="24"/>
          <w:szCs w:val="24"/>
        </w:rPr>
      </w:pPr>
      <w:r>
        <w:rPr>
          <w:rFonts w:hint="eastAsia" w:ascii="仿宋" w:hAnsi="仿宋" w:eastAsia="仿宋" w:cs="仿宋"/>
          <w:sz w:val="24"/>
          <w:szCs w:val="24"/>
        </w:rPr>
        <w:t>说明：</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exact"/>
        <w:ind w:left="0" w:leftChars="0"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1.应提供</w:t>
      </w:r>
      <w:r>
        <w:rPr>
          <w:rFonts w:hint="eastAsia" w:ascii="仿宋" w:hAnsi="仿宋" w:eastAsia="仿宋" w:cs="仿宋"/>
          <w:sz w:val="24"/>
          <w:szCs w:val="24"/>
          <w:u w:val="single"/>
        </w:rPr>
        <w:t>投标人须知资料表</w:t>
      </w:r>
      <w:r>
        <w:rPr>
          <w:rFonts w:hint="eastAsia" w:ascii="仿宋" w:hAnsi="仿宋" w:eastAsia="仿宋" w:cs="仿宋"/>
          <w:sz w:val="24"/>
          <w:szCs w:val="24"/>
        </w:rPr>
        <w:t>要求的其他资格证明文件。</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exact"/>
        <w:ind w:left="0" w:leftChars="0" w:hanging="54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2.复印件上应加盖本单位章。</w:t>
      </w:r>
    </w:p>
    <w:p>
      <w:pPr>
        <w:pStyle w:val="11"/>
        <w:ind w:left="1080" w:leftChars="257" w:hanging="540"/>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注：为了便于查找，请按上述顺序编制投标文件内容，并在目录中标明每项内容的起始页码。</w:t>
      </w:r>
    </w:p>
    <w:p>
      <w:pPr>
        <w:pStyle w:val="11"/>
        <w:tabs>
          <w:tab w:val="left" w:pos="5580"/>
        </w:tabs>
        <w:spacing w:line="240" w:lineRule="atLeast"/>
        <w:ind w:left="1260" w:leftChars="344" w:hanging="53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4"/>
        <w:spacing w:before="0" w:line="240" w:lineRule="atLeast"/>
        <w:ind w:left="1080" w:leftChars="257" w:hanging="540"/>
        <w:rPr>
          <w:rFonts w:hint="eastAsia" w:ascii="仿宋" w:hAnsi="仿宋" w:eastAsia="仿宋" w:cs="仿宋"/>
          <w:color w:val="auto"/>
          <w:sz w:val="24"/>
          <w:highlight w:val="none"/>
        </w:rPr>
      </w:pPr>
      <w:bookmarkStart w:id="194" w:name="_Toc518923115"/>
      <w:bookmarkStart w:id="195" w:name="_Toc10727"/>
      <w:r>
        <w:rPr>
          <w:rFonts w:hint="eastAsia" w:ascii="仿宋" w:hAnsi="仿宋" w:eastAsia="仿宋" w:cs="仿宋"/>
          <w:color w:val="auto"/>
          <w:sz w:val="24"/>
          <w:highlight w:val="none"/>
        </w:rPr>
        <w:br w:type="page"/>
      </w:r>
      <w:r>
        <w:rPr>
          <w:rFonts w:hint="eastAsia" w:ascii="仿宋" w:hAnsi="仿宋" w:eastAsia="仿宋" w:cs="仿宋"/>
          <w:color w:val="auto"/>
          <w:sz w:val="28"/>
          <w:szCs w:val="21"/>
          <w:highlight w:val="none"/>
          <w:lang w:val="en-US" w:eastAsia="zh-CN"/>
        </w:rPr>
        <w:t xml:space="preserve"> </w:t>
      </w:r>
      <w:r>
        <w:rPr>
          <w:rFonts w:hint="eastAsia" w:ascii="仿宋" w:hAnsi="仿宋" w:eastAsia="仿宋" w:cs="仿宋"/>
          <w:color w:val="auto"/>
          <w:sz w:val="28"/>
          <w:szCs w:val="21"/>
          <w:highlight w:val="none"/>
        </w:rPr>
        <w:t>第二部分  商务及技术文件</w:t>
      </w:r>
      <w:bookmarkEnd w:id="194"/>
      <w:bookmarkEnd w:id="195"/>
    </w:p>
    <w:p>
      <w:pPr>
        <w:pStyle w:val="11"/>
        <w:ind w:left="1080" w:leftChars="257" w:hanging="540"/>
        <w:rPr>
          <w:rFonts w:hint="eastAsia" w:ascii="仿宋" w:hAnsi="仿宋" w:eastAsia="仿宋" w:cs="仿宋"/>
          <w:color w:val="auto"/>
          <w:sz w:val="24"/>
          <w:highlight w:val="none"/>
        </w:rPr>
      </w:pP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1、投标书</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缴纳凭证复印件或政府采购投标担保函</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3、投标分项报价表</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4、商务条款偏离表</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5、符合《政府采购促进中小企业发展暂行办法》、《关于政府采购支持监狱企业发展有关问题的通知》和《三部门联合发布关于促进残疾人就业政府采购政策的通知》价格扣减条件的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须提交）</w:t>
      </w:r>
    </w:p>
    <w:p>
      <w:pPr>
        <w:pStyle w:val="11"/>
        <w:keepNext w:val="0"/>
        <w:keepLines w:val="0"/>
        <w:pageBreakBefore w:val="0"/>
        <w:widowControl w:val="0"/>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中小企业声明函</w:t>
      </w:r>
      <w:r>
        <w:rPr>
          <w:rFonts w:hint="eastAsia" w:ascii="仿宋" w:hAnsi="仿宋" w:eastAsia="仿宋" w:cs="仿宋"/>
          <w:color w:val="auto"/>
          <w:sz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关联单位的说明（格式自拟）</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还应包括</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须知第10条的所有技术文件</w:t>
      </w:r>
    </w:p>
    <w:p>
      <w:pPr>
        <w:pStyle w:val="11"/>
        <w:keepNext w:val="0"/>
        <w:keepLines w:val="0"/>
        <w:pageBreakBefore w:val="0"/>
        <w:widowControl w:val="0"/>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项目配备人员情况一览表 </w:t>
      </w:r>
    </w:p>
    <w:p>
      <w:pPr>
        <w:pStyle w:val="11"/>
        <w:keepNext w:val="0"/>
        <w:keepLines w:val="0"/>
        <w:pageBreakBefore w:val="0"/>
        <w:widowControl w:val="0"/>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类似业绩</w:t>
      </w:r>
      <w:r>
        <w:rPr>
          <w:rFonts w:hint="eastAsia" w:ascii="仿宋" w:hAnsi="仿宋" w:eastAsia="仿宋" w:cs="仿宋"/>
          <w:color w:val="auto"/>
          <w:sz w:val="24"/>
          <w:highlight w:val="none"/>
        </w:rPr>
        <w:t>一览表 </w:t>
      </w:r>
    </w:p>
    <w:p>
      <w:pPr>
        <w:pStyle w:val="12"/>
        <w:rPr>
          <w:rFonts w:hint="eastAsia" w:ascii="仿宋" w:hAnsi="仿宋" w:eastAsia="仿宋" w:cs="仿宋"/>
          <w:color w:val="auto"/>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before="0" w:line="240" w:lineRule="atLeast"/>
        <w:ind w:left="1080" w:leftChars="257" w:hanging="540"/>
        <w:jc w:val="center"/>
        <w:outlineLvl w:val="9"/>
        <w:rPr>
          <w:rFonts w:hint="eastAsia" w:ascii="仿宋" w:hAnsi="仿宋" w:eastAsia="仿宋" w:cs="仿宋"/>
          <w:color w:val="auto"/>
          <w:sz w:val="28"/>
          <w:szCs w:val="28"/>
          <w:highlight w:val="none"/>
        </w:rPr>
      </w:pPr>
      <w:bookmarkStart w:id="196" w:name="_Toc518923116"/>
      <w:r>
        <w:rPr>
          <w:rFonts w:hint="eastAsia" w:ascii="仿宋" w:hAnsi="仿宋" w:eastAsia="仿宋" w:cs="仿宋"/>
          <w:b/>
          <w:bCs/>
          <w:color w:val="auto"/>
          <w:sz w:val="28"/>
          <w:szCs w:val="28"/>
          <w:highlight w:val="none"/>
        </w:rPr>
        <w:t xml:space="preserve">1   </w:t>
      </w:r>
      <w:bookmarkStart w:id="197" w:name="_Hlt520355504"/>
      <w:bookmarkEnd w:id="197"/>
      <w:r>
        <w:rPr>
          <w:rFonts w:hint="eastAsia" w:ascii="仿宋" w:hAnsi="仿宋" w:eastAsia="仿宋" w:cs="仿宋"/>
          <w:b/>
          <w:bCs/>
          <w:color w:val="auto"/>
          <w:sz w:val="28"/>
          <w:szCs w:val="28"/>
          <w:highlight w:val="none"/>
        </w:rPr>
        <w:t>投标</w:t>
      </w:r>
      <w:bookmarkEnd w:id="163"/>
      <w:bookmarkEnd w:id="164"/>
      <w:r>
        <w:rPr>
          <w:rFonts w:hint="eastAsia" w:ascii="仿宋" w:hAnsi="仿宋" w:eastAsia="仿宋" w:cs="仿宋"/>
          <w:b/>
          <w:bCs/>
          <w:color w:val="auto"/>
          <w:sz w:val="28"/>
          <w:szCs w:val="28"/>
          <w:highlight w:val="none"/>
        </w:rPr>
        <w:t>书</w:t>
      </w:r>
      <w:bookmarkEnd w:id="165"/>
      <w:bookmarkEnd w:id="166"/>
      <w:bookmarkEnd w:id="196"/>
    </w:p>
    <w:p>
      <w:pPr>
        <w:tabs>
          <w:tab w:val="left" w:pos="5580"/>
        </w:tabs>
        <w:spacing w:line="240" w:lineRule="atLeast"/>
        <w:ind w:left="1080" w:leftChars="257" w:hanging="540"/>
        <w:rPr>
          <w:rFonts w:hint="eastAsia" w:ascii="仿宋" w:hAnsi="仿宋" w:eastAsia="仿宋" w:cs="仿宋"/>
          <w:color w:val="auto"/>
          <w:sz w:val="24"/>
          <w:highlight w:val="none"/>
        </w:rPr>
      </w:pPr>
    </w:p>
    <w:p>
      <w:pPr>
        <w:tabs>
          <w:tab w:val="left" w:pos="5580"/>
        </w:tabs>
        <w:spacing w:line="240" w:lineRule="atLeast"/>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2"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)项目的投标邀请(</w:t>
      </w:r>
      <w:r>
        <w:rPr>
          <w:rFonts w:hint="eastAsia" w:ascii="仿宋" w:hAnsi="仿宋" w:eastAsia="仿宋" w:cs="仿宋"/>
          <w:i/>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i/>
          <w:color w:val="auto"/>
          <w:sz w:val="24"/>
          <w:highlight w:val="none"/>
          <w:u w:val="single"/>
        </w:rPr>
        <w:t>姓名、职务</w:t>
      </w:r>
      <w:r>
        <w:rPr>
          <w:rFonts w:hint="eastAsia" w:ascii="仿宋" w:hAnsi="仿宋" w:eastAsia="仿宋" w:cs="仿宋"/>
          <w:color w:val="auto"/>
          <w:sz w:val="24"/>
          <w:highlight w:val="none"/>
        </w:rPr>
        <w:t>)经正式授权并代表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名称、地址</w:t>
      </w:r>
      <w:r>
        <w:rPr>
          <w:rFonts w:hint="eastAsia" w:ascii="仿宋" w:hAnsi="仿宋" w:eastAsia="仿宋" w:cs="仿宋"/>
          <w:color w:val="auto"/>
          <w:sz w:val="24"/>
          <w:highlight w:val="none"/>
        </w:rPr>
        <w:t>）提交下述文件</w:t>
      </w:r>
      <w:r>
        <w:rPr>
          <w:rFonts w:hint="eastAsia" w:ascii="仿宋" w:hAnsi="仿宋" w:eastAsia="仿宋" w:cs="仿宋"/>
          <w:color w:val="auto"/>
          <w:sz w:val="24"/>
          <w:highlight w:val="none"/>
          <w:lang w:val="en-US" w:eastAsia="zh-CN"/>
        </w:rPr>
        <w:t>电子加密文件</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并以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形式出具的金额为人民币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据此，签字代表宣布同意如下：</w:t>
      </w:r>
    </w:p>
    <w:p>
      <w:pPr>
        <w:pStyle w:val="11"/>
        <w:tabs>
          <w:tab w:val="left" w:pos="720"/>
          <w:tab w:val="left" w:pos="900"/>
        </w:tabs>
        <w:spacing w:line="240" w:lineRule="atLeast"/>
        <w:ind w:left="769"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（1）附投标价格表中规定的应提供</w:t>
      </w: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的投标总价详见开标一览表，</w:t>
      </w:r>
      <w:r>
        <w:rPr>
          <w:rFonts w:hint="eastAsia" w:ascii="仿宋" w:hAnsi="仿宋" w:eastAsia="仿宋" w:cs="仿宋"/>
          <w:color w:val="auto"/>
          <w:sz w:val="24"/>
          <w:highlight w:val="none"/>
          <w:u w:val="single"/>
        </w:rPr>
        <w:t>其中</w:t>
      </w:r>
      <w:r>
        <w:rPr>
          <w:rFonts w:hint="eastAsia" w:ascii="仿宋" w:hAnsi="仿宋" w:eastAsia="仿宋" w:cs="仿宋"/>
          <w:color w:val="auto"/>
          <w:sz w:val="24"/>
          <w:highlight w:val="none"/>
          <w:u w:val="single"/>
          <w:lang w:val="en-US" w:eastAsia="zh-CN"/>
        </w:rPr>
        <w:t>货物</w:t>
      </w:r>
      <w:r>
        <w:rPr>
          <w:rFonts w:hint="eastAsia" w:ascii="仿宋" w:hAnsi="仿宋" w:eastAsia="仿宋" w:cs="仿宋"/>
          <w:color w:val="auto"/>
          <w:sz w:val="24"/>
          <w:highlight w:val="none"/>
          <w:u w:val="single"/>
          <w:lang w:eastAsia="zh-CN"/>
        </w:rPr>
        <w:t>全部由符合政策要求的中小企业承接</w:t>
      </w:r>
      <w:r>
        <w:rPr>
          <w:rFonts w:hint="eastAsia" w:ascii="仿宋" w:hAnsi="仿宋" w:eastAsia="仿宋" w:cs="仿宋"/>
          <w:color w:val="auto"/>
          <w:sz w:val="24"/>
          <w:highlight w:val="none"/>
        </w:rPr>
        <w:t>价格为</w:t>
      </w:r>
      <w:r>
        <w:rPr>
          <w:rFonts w:hint="eastAsia" w:ascii="仿宋" w:hAnsi="仿宋" w:eastAsia="仿宋" w:cs="仿宋"/>
          <w:color w:val="auto"/>
          <w:sz w:val="24"/>
          <w:highlight w:val="none"/>
          <w:u w:val="single"/>
        </w:rPr>
        <w:t>　　  （用文字和数字表示），占投标总价   %</w:t>
      </w:r>
      <w:r>
        <w:rPr>
          <w:rFonts w:hint="eastAsia" w:ascii="仿宋" w:hAnsi="仿宋" w:eastAsia="仿宋" w:cs="仿宋"/>
          <w:color w:val="auto"/>
          <w:sz w:val="24"/>
          <w:highlight w:val="none"/>
        </w:rPr>
        <w:t>。</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（2）本投标有效期为自投标截止之日起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（3）联合体中的大中型企业和其他自然人、法人或者非法人组织，与联合体中的小型、微型企业之间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存在、不存在）投资关系（如果联合体的话）。</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，包括所有补充通知（如果有的话），完全理解并同意放弃对这方面有不明、误解和质疑的权力。</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中有关保证金的规定。</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须知第1条规定，我方不是为本项目提供整体设计、规范编制或者项目管理、监理、检测等服务的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，我方不是采购代理机构的附属机构。</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规定的形式，向贵方一次性支付中标服务费。</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的规定履行合同责任和义务。</w:t>
      </w:r>
    </w:p>
    <w:p>
      <w:pPr>
        <w:pStyle w:val="11"/>
        <w:tabs>
          <w:tab w:val="left" w:pos="5580"/>
        </w:tabs>
        <w:spacing w:line="240" w:lineRule="atLeast"/>
        <w:ind w:left="359" w:leftChars="68" w:hanging="216" w:hangingChars="9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1"/>
        <w:tabs>
          <w:tab w:val="left" w:pos="5580"/>
        </w:tabs>
        <w:spacing w:line="240" w:lineRule="atLeast"/>
        <w:ind w:left="359" w:leftChars="68" w:hanging="216" w:hangingChars="90"/>
        <w:rPr>
          <w:rFonts w:hint="eastAsia" w:ascii="仿宋" w:hAnsi="仿宋" w:eastAsia="仿宋" w:cs="仿宋"/>
          <w:color w:val="auto"/>
          <w:sz w:val="24"/>
          <w:highlight w:val="none"/>
        </w:rPr>
      </w:pPr>
      <w:r>
        <w:rPr>
          <w:rFonts w:hint="eastAsia" w:ascii="仿宋" w:hAnsi="仿宋" w:eastAsia="仿宋" w:cs="仿宋"/>
          <w:color w:val="auto"/>
          <w:sz w:val="24"/>
          <w:highlight w:val="none"/>
        </w:rPr>
        <w:t>与本投标有关的一切正式往来信函请寄：</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开户银行（全称）：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银行帐号：</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单位章：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spacing w:before="0" w:line="240" w:lineRule="atLeast"/>
        <w:ind w:left="1080" w:leftChars="257" w:hanging="540"/>
        <w:jc w:val="center"/>
        <w:outlineLvl w:val="9"/>
        <w:rPr>
          <w:rFonts w:hint="eastAsia" w:ascii="仿宋" w:hAnsi="仿宋" w:eastAsia="仿宋" w:cs="仿宋"/>
          <w:b/>
          <w:bCs/>
          <w:color w:val="auto"/>
          <w:sz w:val="24"/>
          <w:highlight w:val="none"/>
        </w:rPr>
      </w:pPr>
      <w:bookmarkStart w:id="198" w:name="_Hlt520355938"/>
      <w:bookmarkEnd w:id="198"/>
      <w:bookmarkStart w:id="199" w:name="_Hlt520356243"/>
      <w:bookmarkEnd w:id="199"/>
      <w:bookmarkStart w:id="200" w:name="_Toc216582815"/>
      <w:r>
        <w:rPr>
          <w:rFonts w:hint="eastAsia" w:ascii="仿宋" w:hAnsi="仿宋" w:eastAsia="仿宋" w:cs="仿宋"/>
          <w:color w:val="auto"/>
          <w:sz w:val="24"/>
          <w:highlight w:val="none"/>
        </w:rPr>
        <w:br w:type="page"/>
      </w:r>
      <w:bookmarkStart w:id="201" w:name="_Toc518923118"/>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 xml:space="preserve">   投标分项报价表</w:t>
      </w:r>
      <w:bookmarkEnd w:id="200"/>
      <w:bookmarkEnd w:id="201"/>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41" w:leftChars="-67"/>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分包号: 　        　</w:t>
      </w:r>
    </w:p>
    <w:p>
      <w:pPr>
        <w:pStyle w:val="11"/>
        <w:spacing w:line="240" w:lineRule="atLeast"/>
        <w:ind w:left="-141" w:leftChars="-67" w:firstLine="6120" w:firstLineChars="255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报价单位：人民币元</w:t>
      </w:r>
    </w:p>
    <w:tbl>
      <w:tblPr>
        <w:tblStyle w:val="24"/>
        <w:tblW w:w="8523"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626"/>
        <w:gridCol w:w="1280"/>
        <w:gridCol w:w="908"/>
        <w:gridCol w:w="775"/>
        <w:gridCol w:w="732"/>
        <w:gridCol w:w="753"/>
        <w:gridCol w:w="1105"/>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626"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280" w:type="dxa"/>
            <w:vAlign w:val="center"/>
          </w:tcPr>
          <w:p>
            <w:pPr>
              <w:pStyle w:val="11"/>
              <w:spacing w:line="240" w:lineRule="atLeast"/>
              <w:ind w:left="-141" w:leftChars="-67"/>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eastAsia="zh-CN"/>
              </w:rPr>
              <w:t>参数</w:t>
            </w:r>
          </w:p>
        </w:tc>
        <w:tc>
          <w:tcPr>
            <w:tcW w:w="908"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775"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原产地</w:t>
            </w:r>
          </w:p>
        </w:tc>
        <w:tc>
          <w:tcPr>
            <w:tcW w:w="732"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制造商名称</w:t>
            </w:r>
          </w:p>
        </w:tc>
        <w:tc>
          <w:tcPr>
            <w:tcW w:w="753"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105"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619"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26" w:type="dxa"/>
            <w:vAlign w:val="center"/>
          </w:tcPr>
          <w:p>
            <w:pPr>
              <w:pStyle w:val="11"/>
              <w:keepNext w:val="0"/>
              <w:keepLines w:val="0"/>
              <w:suppressLineNumbers w:val="0"/>
              <w:spacing w:beforeAutospacing="0" w:afterAutospacing="0" w:line="240" w:lineRule="atLeast"/>
              <w:jc w:val="center"/>
              <w:rPr>
                <w:rFonts w:hint="eastAsia" w:ascii="宋体" w:hAnsi="宋体" w:eastAsia="宋体" w:cs="宋体"/>
                <w:color w:val="000000"/>
                <w:sz w:val="24"/>
                <w:szCs w:val="24"/>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26" w:type="dxa"/>
            <w:vAlign w:val="center"/>
          </w:tcPr>
          <w:p>
            <w:pPr>
              <w:pStyle w:val="11"/>
              <w:keepNext w:val="0"/>
              <w:keepLines w:val="0"/>
              <w:suppressLineNumbers w:val="0"/>
              <w:spacing w:beforeAutospacing="0" w:afterAutospacing="0" w:line="240" w:lineRule="atLeast"/>
              <w:jc w:val="center"/>
              <w:rPr>
                <w:rFonts w:hint="eastAsia" w:ascii="宋体" w:hAnsi="宋体" w:eastAsia="宋体" w:cs="宋体"/>
                <w:color w:val="000000"/>
                <w:sz w:val="24"/>
                <w:szCs w:val="24"/>
                <w:lang w:val="en-US" w:eastAsia="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6799" w:type="dxa"/>
            <w:gridSpan w:val="7"/>
            <w:vAlign w:val="center"/>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r>
              <w:rPr>
                <w:rFonts w:hint="eastAsia" w:ascii="宋体" w:hAnsi="宋体" w:eastAsia="宋体" w:cs="宋体"/>
                <w:color w:val="000000"/>
                <w:sz w:val="24"/>
                <w:szCs w:val="24"/>
              </w:rPr>
              <w:t>总价：</w:t>
            </w:r>
          </w:p>
        </w:tc>
        <w:tc>
          <w:tcPr>
            <w:tcW w:w="1724" w:type="dxa"/>
            <w:gridSpan w:val="2"/>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bl>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79" w:leftChars="428" w:hanging="180" w:hangingChars="75"/>
        <w:rPr>
          <w:rFonts w:hint="eastAsia" w:ascii="仿宋" w:hAnsi="仿宋" w:eastAsia="仿宋" w:cs="仿宋"/>
          <w:sz w:val="24"/>
          <w:szCs w:val="24"/>
        </w:rPr>
      </w:pPr>
      <w:r>
        <w:rPr>
          <w:rFonts w:hint="eastAsia" w:ascii="仿宋" w:hAnsi="仿宋" w:eastAsia="仿宋" w:cs="仿宋"/>
          <w:sz w:val="24"/>
          <w:szCs w:val="24"/>
        </w:rPr>
        <w:t>注:1.如果按单价计算的结果与总价不一致,以单价为准修正总价。</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w:t>
      </w:r>
      <w:r>
        <w:rPr>
          <w:rFonts w:hint="eastAsia" w:ascii="仿宋" w:hAnsi="仿宋" w:eastAsia="仿宋" w:cs="仿宋"/>
          <w:sz w:val="24"/>
          <w:szCs w:val="24"/>
        </w:rPr>
        <w:t>.如果不提供详细分项报价将视为没有实质性响应</w:t>
      </w:r>
      <w:r>
        <w:rPr>
          <w:rFonts w:hint="eastAsia" w:ascii="仿宋" w:hAnsi="仿宋" w:eastAsia="仿宋" w:cs="仿宋"/>
          <w:sz w:val="24"/>
          <w:szCs w:val="24"/>
          <w:lang w:eastAsia="zh-CN"/>
        </w:rPr>
        <w:t>磋商文件</w:t>
      </w:r>
      <w:r>
        <w:rPr>
          <w:rFonts w:hint="eastAsia" w:ascii="仿宋" w:hAnsi="仿宋" w:eastAsia="仿宋" w:cs="仿宋"/>
          <w:sz w:val="24"/>
          <w:szCs w:val="24"/>
        </w:rPr>
        <w:t>。</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3</w:t>
      </w:r>
      <w:r>
        <w:rPr>
          <w:rFonts w:hint="eastAsia" w:ascii="仿宋" w:hAnsi="仿宋" w:eastAsia="仿宋" w:cs="仿宋"/>
          <w:sz w:val="24"/>
          <w:szCs w:val="24"/>
        </w:rPr>
        <w:t>.上述各项的详细分项报价，应另页描述。</w:t>
      </w:r>
    </w:p>
    <w:p>
      <w:pPr>
        <w:pStyle w:val="11"/>
        <w:spacing w:line="240" w:lineRule="atLeast"/>
        <w:ind w:left="1080" w:leftChars="257" w:hanging="540"/>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4</w:t>
      </w:r>
      <w:r>
        <w:rPr>
          <w:rFonts w:hint="eastAsia" w:ascii="仿宋" w:hAnsi="仿宋" w:eastAsia="仿宋" w:cs="仿宋"/>
          <w:sz w:val="24"/>
          <w:szCs w:val="24"/>
        </w:rPr>
        <w:t>.如果开标一览表（报价表）内容与</w:t>
      </w:r>
      <w:r>
        <w:rPr>
          <w:rFonts w:hint="eastAsia" w:ascii="仿宋" w:hAnsi="仿宋" w:eastAsia="仿宋" w:cs="仿宋"/>
          <w:sz w:val="24"/>
          <w:szCs w:val="24"/>
          <w:lang w:eastAsia="zh-CN"/>
        </w:rPr>
        <w:t>响应文件</w:t>
      </w:r>
      <w:r>
        <w:rPr>
          <w:rFonts w:hint="eastAsia" w:ascii="仿宋" w:hAnsi="仿宋" w:eastAsia="仿宋" w:cs="仿宋"/>
          <w:sz w:val="24"/>
          <w:szCs w:val="24"/>
        </w:rPr>
        <w:t>中明细表内容不一致的，以开标一览表（报价表）内容为准</w:t>
      </w:r>
      <w:r>
        <w:rPr>
          <w:rFonts w:hint="eastAsia" w:ascii="仿宋" w:hAnsi="仿宋" w:eastAsia="仿宋" w:cs="仿宋"/>
          <w:sz w:val="24"/>
          <w:szCs w:val="24"/>
          <w:lang w:eastAsia="zh-CN"/>
        </w:rPr>
        <w:t>。</w:t>
      </w:r>
    </w:p>
    <w:p>
      <w:pPr>
        <w:pStyle w:val="4"/>
        <w:spacing w:before="0" w:line="240" w:lineRule="atLeast"/>
        <w:ind w:left="1080" w:leftChars="257" w:hanging="540"/>
        <w:rPr>
          <w:rFonts w:hint="eastAsia" w:ascii="宋体" w:hAnsi="宋体" w:eastAsia="宋体" w:cs="宋体"/>
          <w:b/>
          <w:bCs/>
          <w:color w:val="000000"/>
          <w:sz w:val="28"/>
          <w:szCs w:val="21"/>
        </w:rPr>
      </w:pPr>
      <w:r>
        <w:rPr>
          <w:rFonts w:hint="eastAsia" w:ascii="仿宋" w:hAnsi="仿宋" w:eastAsia="仿宋" w:cs="仿宋"/>
          <w:sz w:val="24"/>
          <w:szCs w:val="24"/>
          <w:lang w:eastAsia="zh-CN"/>
        </w:rPr>
        <w:br w:type="page"/>
      </w:r>
      <w:bookmarkStart w:id="202" w:name="_Toc11800"/>
      <w:r>
        <w:rPr>
          <w:rFonts w:hint="eastAsia" w:ascii="宋体" w:hAnsi="宋体" w:eastAsia="宋体" w:cs="宋体"/>
          <w:b/>
          <w:bCs/>
          <w:color w:val="000000"/>
          <w:sz w:val="28"/>
          <w:szCs w:val="21"/>
        </w:rPr>
        <w:t>3  货物说明一览表</w:t>
      </w:r>
      <w:bookmarkEnd w:id="202"/>
    </w:p>
    <w:p>
      <w:pPr>
        <w:pStyle w:val="11"/>
        <w:spacing w:line="240" w:lineRule="atLeast"/>
        <w:ind w:left="1080" w:leftChars="257" w:hanging="540"/>
        <w:rPr>
          <w:rFonts w:hint="eastAsia" w:ascii="仿宋" w:hAnsi="仿宋" w:eastAsia="仿宋" w:cs="仿宋"/>
          <w:sz w:val="24"/>
          <w:szCs w:val="24"/>
        </w:rPr>
      </w:pP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项目名称:                          </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lang w:eastAsia="zh-CN"/>
        </w:rPr>
        <w:t>项目编号</w:t>
      </w:r>
      <w:r>
        <w:rPr>
          <w:rFonts w:hint="eastAsia" w:ascii="仿宋" w:hAnsi="仿宋" w:eastAsia="仿宋" w:cs="仿宋"/>
          <w:sz w:val="24"/>
          <w:szCs w:val="24"/>
        </w:rPr>
        <w:t xml:space="preserve">:                                           </w:t>
      </w:r>
    </w:p>
    <w:tbl>
      <w:tblPr>
        <w:tblStyle w:val="24"/>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307"/>
        <w:gridCol w:w="1219"/>
        <w:gridCol w:w="1096"/>
        <w:gridCol w:w="1340"/>
        <w:gridCol w:w="1461"/>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617" w:type="dxa"/>
            <w:vAlign w:val="center"/>
          </w:tcPr>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序号</w:t>
            </w:r>
          </w:p>
        </w:tc>
        <w:tc>
          <w:tcPr>
            <w:tcW w:w="1307"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货物名称</w:t>
            </w:r>
          </w:p>
        </w:tc>
        <w:tc>
          <w:tcPr>
            <w:tcW w:w="1219" w:type="dxa"/>
            <w:vAlign w:val="center"/>
          </w:tcPr>
          <w:p>
            <w:pPr>
              <w:pStyle w:val="11"/>
              <w:spacing w:line="240" w:lineRule="atLeast"/>
              <w:jc w:val="left"/>
              <w:rPr>
                <w:rFonts w:hint="eastAsia" w:ascii="仿宋" w:hAnsi="仿宋" w:eastAsia="仿宋" w:cs="仿宋"/>
                <w:sz w:val="24"/>
                <w:szCs w:val="24"/>
                <w:lang w:eastAsia="zh-CN"/>
              </w:rPr>
            </w:pPr>
            <w:r>
              <w:rPr>
                <w:rFonts w:hint="eastAsia" w:ascii="仿宋" w:hAnsi="仿宋" w:eastAsia="仿宋" w:cs="仿宋"/>
                <w:sz w:val="24"/>
                <w:szCs w:val="24"/>
              </w:rPr>
              <w:t>规格</w:t>
            </w:r>
            <w:r>
              <w:rPr>
                <w:rFonts w:hint="eastAsia" w:ascii="仿宋" w:hAnsi="仿宋" w:eastAsia="仿宋" w:cs="仿宋"/>
                <w:sz w:val="24"/>
                <w:szCs w:val="24"/>
                <w:lang w:eastAsia="zh-CN"/>
              </w:rPr>
              <w:t>参数</w:t>
            </w:r>
          </w:p>
        </w:tc>
        <w:tc>
          <w:tcPr>
            <w:tcW w:w="1096"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数量</w:t>
            </w:r>
          </w:p>
        </w:tc>
        <w:tc>
          <w:tcPr>
            <w:tcW w:w="1340"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交货期</w:t>
            </w:r>
          </w:p>
        </w:tc>
        <w:tc>
          <w:tcPr>
            <w:tcW w:w="1461"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1340" w:type="dxa"/>
            <w:vAlign w:val="center"/>
          </w:tcPr>
          <w:p>
            <w:pPr>
              <w:pStyle w:val="11"/>
              <w:spacing w:line="240" w:lineRule="atLeast"/>
              <w:ind w:left="1080" w:leftChars="257" w:hanging="540"/>
              <w:jc w:val="left"/>
              <w:rPr>
                <w:rFonts w:hint="eastAsia" w:ascii="仿宋" w:hAnsi="仿宋" w:eastAsia="仿宋" w:cs="仿宋"/>
                <w:sz w:val="24"/>
                <w:szCs w:val="24"/>
              </w:rPr>
            </w:pPr>
            <w:r>
              <w:rPr>
                <w:rFonts w:hint="eastAsia" w:ascii="仿宋" w:hAnsi="仿宋" w:eastAsia="仿宋" w:cs="仿宋"/>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bl>
    <w:p>
      <w:pPr>
        <w:pStyle w:val="11"/>
        <w:spacing w:line="240" w:lineRule="atLeast"/>
        <w:ind w:left="1080" w:leftChars="257" w:hanging="540"/>
        <w:rPr>
          <w:rFonts w:hint="eastAsia" w:ascii="仿宋" w:hAnsi="仿宋" w:eastAsia="仿宋" w:cs="仿宋"/>
          <w:sz w:val="24"/>
          <w:szCs w:val="24"/>
        </w:rPr>
      </w:pP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法定代表人或其委托代理人签字（或盖章）: </w:t>
      </w:r>
      <w:r>
        <w:rPr>
          <w:rFonts w:hint="eastAsia" w:ascii="仿宋" w:hAnsi="仿宋" w:eastAsia="仿宋" w:cs="仿宋"/>
          <w:sz w:val="24"/>
          <w:szCs w:val="24"/>
        </w:rPr>
        <w:tab/>
      </w:r>
      <w:r>
        <w:rPr>
          <w:rFonts w:hint="eastAsia" w:ascii="仿宋" w:hAnsi="仿宋" w:eastAsia="仿宋" w:cs="仿宋"/>
          <w:sz w:val="24"/>
          <w:szCs w:val="24"/>
        </w:rPr>
        <w:t xml:space="preserve">                 </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(盖单位章):</w:t>
      </w:r>
      <w:r>
        <w:rPr>
          <w:rFonts w:hint="eastAsia" w:ascii="仿宋" w:hAnsi="仿宋" w:eastAsia="仿宋" w:cs="仿宋"/>
          <w:sz w:val="24"/>
          <w:szCs w:val="24"/>
        </w:rPr>
        <w:tab/>
      </w:r>
    </w:p>
    <w:p>
      <w:pPr>
        <w:pStyle w:val="11"/>
        <w:spacing w:line="240" w:lineRule="atLeast"/>
        <w:ind w:left="1080" w:leftChars="257" w:hanging="540"/>
        <w:rPr>
          <w:rFonts w:hint="eastAsia" w:ascii="仿宋" w:hAnsi="仿宋" w:eastAsia="仿宋" w:cs="仿宋"/>
          <w:sz w:val="24"/>
          <w:szCs w:val="24"/>
        </w:rPr>
      </w:pP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注: 各项货物详细技术性能</w:t>
      </w:r>
      <w:r>
        <w:rPr>
          <w:rFonts w:hint="eastAsia" w:ascii="仿宋" w:hAnsi="仿宋" w:eastAsia="仿宋" w:cs="仿宋"/>
          <w:sz w:val="24"/>
          <w:szCs w:val="24"/>
          <w:lang w:val="en-US" w:eastAsia="zh-CN"/>
        </w:rPr>
        <w:t>可</w:t>
      </w:r>
      <w:r>
        <w:rPr>
          <w:rFonts w:hint="eastAsia" w:ascii="仿宋" w:hAnsi="仿宋" w:eastAsia="仿宋" w:cs="仿宋"/>
          <w:sz w:val="24"/>
          <w:szCs w:val="24"/>
        </w:rPr>
        <w:t>另页描述。</w:t>
      </w:r>
    </w:p>
    <w:p>
      <w:pPr>
        <w:pStyle w:val="11"/>
        <w:spacing w:line="240" w:lineRule="atLeast"/>
        <w:ind w:left="1080" w:leftChars="257" w:hanging="540"/>
        <w:rPr>
          <w:rFonts w:hint="eastAsia" w:ascii="仿宋" w:hAnsi="仿宋" w:eastAsia="仿宋" w:cs="仿宋"/>
          <w:sz w:val="24"/>
          <w:szCs w:val="24"/>
          <w:lang w:eastAsia="zh-CN"/>
        </w:rPr>
        <w:sectPr>
          <w:footerReference r:id="rId5" w:type="default"/>
          <w:pgSz w:w="11906" w:h="16838"/>
          <w:pgMar w:top="1440" w:right="1797" w:bottom="1440" w:left="1797" w:header="283" w:footer="992" w:gutter="0"/>
          <w:pgNumType w:fmt="decimal" w:start="1"/>
          <w:cols w:space="720" w:num="1"/>
          <w:docGrid w:linePitch="312" w:charSpace="0"/>
        </w:sectPr>
      </w:pPr>
    </w:p>
    <w:p>
      <w:pPr>
        <w:pStyle w:val="11"/>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b/>
          <w:bCs/>
          <w:color w:val="auto"/>
          <w:sz w:val="28"/>
          <w:szCs w:val="21"/>
          <w:highlight w:val="none"/>
          <w:lang w:val="en-US" w:eastAsia="zh-CN"/>
        </w:rPr>
        <w:t>4、</w:t>
      </w:r>
      <w:r>
        <w:rPr>
          <w:rFonts w:hint="eastAsia" w:ascii="仿宋" w:hAnsi="仿宋" w:eastAsia="仿宋" w:cs="仿宋"/>
          <w:b/>
          <w:bCs/>
          <w:color w:val="auto"/>
          <w:sz w:val="28"/>
          <w:szCs w:val="21"/>
          <w:highlight w:val="none"/>
        </w:rPr>
        <w:t>技术</w:t>
      </w:r>
      <w:r>
        <w:rPr>
          <w:rFonts w:hint="eastAsia" w:ascii="仿宋" w:hAnsi="仿宋" w:eastAsia="仿宋" w:cs="仿宋"/>
          <w:b/>
          <w:bCs/>
          <w:color w:val="auto"/>
          <w:sz w:val="28"/>
          <w:szCs w:val="21"/>
          <w:highlight w:val="none"/>
          <w:lang w:val="en-US" w:eastAsia="zh-CN"/>
        </w:rPr>
        <w:t>规格</w:t>
      </w:r>
      <w:r>
        <w:rPr>
          <w:rFonts w:hint="eastAsia" w:ascii="仿宋" w:hAnsi="仿宋" w:eastAsia="仿宋" w:cs="仿宋"/>
          <w:b/>
          <w:bCs/>
          <w:color w:val="auto"/>
          <w:sz w:val="28"/>
          <w:szCs w:val="21"/>
          <w:highlight w:val="none"/>
        </w:rPr>
        <w:t>偏离表</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 xml:space="preserve">:                 </w:t>
      </w:r>
    </w:p>
    <w:tbl>
      <w:tblPr>
        <w:tblStyle w:val="24"/>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6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234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lang w:eastAsia="zh-CN"/>
              </w:rPr>
              <w:t>文件</w:t>
            </w:r>
            <w:r>
              <w:rPr>
                <w:rFonts w:hint="eastAsia" w:ascii="仿宋" w:hAnsi="仿宋" w:eastAsia="仿宋" w:cs="仿宋"/>
                <w:color w:val="auto"/>
                <w:sz w:val="24"/>
                <w:highlight w:val="none"/>
              </w:rPr>
              <w:t>条款号</w:t>
            </w:r>
          </w:p>
        </w:tc>
        <w:tc>
          <w:tcPr>
            <w:tcW w:w="126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招标规格</w:t>
            </w:r>
          </w:p>
        </w:tc>
        <w:tc>
          <w:tcPr>
            <w:tcW w:w="126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900" w:type="dxa"/>
            <w:vAlign w:val="center"/>
          </w:tcPr>
          <w:p>
            <w:pPr>
              <w:pStyle w:val="11"/>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偏离</w:t>
            </w:r>
          </w:p>
        </w:tc>
        <w:tc>
          <w:tcPr>
            <w:tcW w:w="900" w:type="dxa"/>
            <w:vAlign w:val="center"/>
          </w:tcPr>
          <w:p>
            <w:pPr>
              <w:pStyle w:val="11"/>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bl>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应对照技术条款要求，对竞争性磋商采购文件的技术要求做出实质性的响应，并申明与技术条款要求的偏差和例外。特别对有具体技术要求的指标，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必须提供所投标项目的具体参数值。</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所提供项目和服务已对竞争性磋商采购文件要求的招标项目规模、技术要求和服务条件的偏离只能优于竞争性磋商采购文件，否则评标委员会有权按竞争性磋商采购文件中相应规定作否决投标处理。</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3、没有说明的其他条款将被认为完全满足本招标项目技术条款要求。</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4、各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按此表格式自行填写，表格不够时可自行添加。</w:t>
      </w:r>
    </w:p>
    <w:p>
      <w:pPr>
        <w:pStyle w:val="11"/>
        <w:spacing w:line="240" w:lineRule="atLeast"/>
        <w:ind w:left="1080" w:leftChars="257" w:hanging="540"/>
        <w:jc w:val="right"/>
        <w:rPr>
          <w:rFonts w:hint="eastAsia" w:ascii="仿宋" w:hAnsi="仿宋" w:eastAsia="仿宋" w:cs="仿宋"/>
          <w:color w:val="auto"/>
          <w:sz w:val="24"/>
          <w:highlight w:val="none"/>
          <w:lang w:eastAsia="zh-CN"/>
        </w:rPr>
      </w:pPr>
    </w:p>
    <w:p>
      <w:pPr>
        <w:pStyle w:val="11"/>
        <w:spacing w:line="240" w:lineRule="atLeast"/>
        <w:ind w:left="1080" w:leftChars="257" w:hanging="54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 （盖章）：</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before="0" w:line="240" w:lineRule="atLeast"/>
        <w:ind w:left="1080" w:leftChars="257" w:hanging="540"/>
        <w:jc w:val="center"/>
        <w:outlineLvl w:val="9"/>
        <w:rPr>
          <w:rFonts w:hint="eastAsia" w:ascii="仿宋" w:hAnsi="仿宋" w:eastAsia="仿宋" w:cs="仿宋"/>
          <w:b/>
          <w:bCs/>
          <w:color w:val="auto"/>
          <w:sz w:val="28"/>
          <w:szCs w:val="28"/>
          <w:highlight w:val="none"/>
        </w:rPr>
      </w:pPr>
      <w:bookmarkStart w:id="203" w:name="_Toc216582818"/>
      <w:bookmarkStart w:id="204" w:name="_Toc518923119"/>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 xml:space="preserve">   商务条款偏离表</w:t>
      </w:r>
      <w:bookmarkEnd w:id="203"/>
      <w:bookmarkEnd w:id="204"/>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分包号:</w:t>
      </w:r>
    </w:p>
    <w:p>
      <w:pPr>
        <w:pStyle w:val="11"/>
        <w:spacing w:line="240" w:lineRule="atLeast"/>
        <w:ind w:left="1080" w:leftChars="257" w:hanging="540"/>
        <w:rPr>
          <w:rFonts w:hint="eastAsia" w:ascii="仿宋" w:hAnsi="仿宋" w:eastAsia="仿宋" w:cs="仿宋"/>
          <w:color w:val="auto"/>
          <w:sz w:val="24"/>
          <w:highlight w:val="none"/>
        </w:rPr>
      </w:pPr>
    </w:p>
    <w:tbl>
      <w:tblPr>
        <w:tblStyle w:val="24"/>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4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条款号</w:t>
            </w:r>
          </w:p>
        </w:tc>
        <w:tc>
          <w:tcPr>
            <w:tcW w:w="252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的商务条款</w:t>
            </w:r>
          </w:p>
        </w:tc>
        <w:tc>
          <w:tcPr>
            <w:tcW w:w="252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的商务条款</w:t>
            </w:r>
          </w:p>
        </w:tc>
        <w:tc>
          <w:tcPr>
            <w:tcW w:w="90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jc w:val="center"/>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jc w:val="center"/>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bl>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1"/>
        <w:spacing w:line="240" w:lineRule="atLeast"/>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u w:val="single"/>
        </w:rPr>
        <w:br w:type="page"/>
      </w:r>
      <w:bookmarkStart w:id="205" w:name="_Hlt520343000"/>
      <w:bookmarkEnd w:id="205"/>
      <w:bookmarkStart w:id="206" w:name="_Hlt520273711"/>
      <w:bookmarkEnd w:id="206"/>
      <w:bookmarkStart w:id="207" w:name="_Hlt520343392"/>
      <w:bookmarkEnd w:id="207"/>
      <w:bookmarkStart w:id="208" w:name="_Hlt520274407"/>
      <w:bookmarkEnd w:id="208"/>
      <w:bookmarkStart w:id="209" w:name="_Hlt520274065"/>
      <w:bookmarkEnd w:id="209"/>
      <w:bookmarkStart w:id="210" w:name="_Hlt520350918"/>
      <w:bookmarkEnd w:id="210"/>
      <w:bookmarkStart w:id="211" w:name="_Hlt520274911"/>
      <w:bookmarkEnd w:id="211"/>
      <w:bookmarkStart w:id="212" w:name="_Hlt520271212"/>
      <w:bookmarkEnd w:id="212"/>
      <w:bookmarkStart w:id="213" w:name="_Hlt520350957"/>
      <w:bookmarkEnd w:id="213"/>
      <w:bookmarkStart w:id="214" w:name="_Hlt520273973"/>
      <w:bookmarkEnd w:id="214"/>
      <w:bookmarkStart w:id="215" w:name="_Hlt520274393"/>
      <w:bookmarkEnd w:id="215"/>
      <w:bookmarkStart w:id="216" w:name="_Toc518923120"/>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 xml:space="preserve">-1  </w:t>
      </w:r>
      <w:r>
        <w:rPr>
          <w:rFonts w:hint="eastAsia" w:ascii="仿宋" w:hAnsi="仿宋" w:eastAsia="仿宋" w:cs="仿宋"/>
          <w:b/>
          <w:bCs/>
          <w:color w:val="auto"/>
          <w:kern w:val="0"/>
          <w:sz w:val="28"/>
          <w:szCs w:val="28"/>
          <w:highlight w:val="none"/>
        </w:rPr>
        <w:t>中小企业声明函</w:t>
      </w:r>
      <w:bookmarkEnd w:id="216"/>
    </w:p>
    <w:p>
      <w:pPr>
        <w:spacing w:line="240" w:lineRule="atLeast"/>
        <w:ind w:left="1080" w:leftChars="257" w:hanging="540"/>
        <w:jc w:val="center"/>
        <w:rPr>
          <w:rFonts w:hint="eastAsia" w:ascii="仿宋" w:hAnsi="仿宋" w:eastAsia="仿宋" w:cs="仿宋"/>
          <w:b/>
          <w:color w:val="auto"/>
          <w:kern w:val="0"/>
          <w:sz w:val="24"/>
          <w:szCs w:val="20"/>
          <w:highlight w:val="none"/>
        </w:rPr>
      </w:pPr>
    </w:p>
    <w:p>
      <w:pPr>
        <w:tabs>
          <w:tab w:val="left" w:pos="940"/>
        </w:tabs>
        <w:bidi w:val="0"/>
        <w:jc w:val="center"/>
        <w:rPr>
          <w:rFonts w:hint="eastAsia" w:ascii="仿宋" w:hAnsi="仿宋" w:eastAsia="仿宋" w:cs="仿宋"/>
          <w:sz w:val="24"/>
          <w:szCs w:val="32"/>
          <w:lang w:eastAsia="zh-CN"/>
        </w:rPr>
      </w:pPr>
      <w:r>
        <w:rPr>
          <w:rFonts w:hint="eastAsia" w:ascii="仿宋" w:hAnsi="仿宋" w:eastAsia="仿宋" w:cs="仿宋"/>
          <w:b/>
          <w:bCs/>
          <w:sz w:val="24"/>
          <w:szCs w:val="32"/>
          <w:lang w:eastAsia="zh-CN"/>
        </w:rPr>
        <w:t>中小企业声明函（货物）</w:t>
      </w:r>
    </w:p>
    <w:p>
      <w:pPr>
        <w:tabs>
          <w:tab w:val="left" w:pos="940"/>
        </w:tabs>
        <w:bidi w:val="0"/>
        <w:jc w:val="left"/>
        <w:rPr>
          <w:rFonts w:hint="eastAsia" w:ascii="仿宋" w:hAnsi="仿宋" w:eastAsia="仿宋" w:cs="仿宋"/>
          <w:lang w:eastAsia="zh-CN"/>
        </w:rPr>
      </w:pPr>
      <w:r>
        <w:rPr>
          <w:rFonts w:hint="eastAsia" w:ascii="仿宋" w:hAnsi="仿宋" w:eastAsia="仿宋" w:cs="仿宋"/>
          <w:lang w:eastAsia="zh-CN"/>
        </w:rPr>
        <w:t> </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1.（标的名称），属于（采购文件中明确的所属行业）；制造商为（企业名称），从业人员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2. （标的名称），属于（采购文件中明确的所属行业）；制造商为（企业名称），从业人员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以上企业，不属于大企业的分支机构，不存在控股股东为大企业的情形，也不存在与大企业的负责人为同一人的情形。</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本企业对上述声明内容的真实性负责。如有虚假，将依法承担相应责任。</w:t>
      </w:r>
    </w:p>
    <w:p>
      <w:pPr>
        <w:tabs>
          <w:tab w:val="left" w:pos="940"/>
        </w:tabs>
        <w:bidi w:val="0"/>
        <w:jc w:val="left"/>
        <w:rPr>
          <w:rFonts w:hint="eastAsia" w:ascii="仿宋" w:hAnsi="仿宋" w:eastAsia="仿宋" w:cs="仿宋"/>
          <w:sz w:val="24"/>
          <w:szCs w:val="32"/>
          <w:lang w:eastAsia="zh-CN"/>
        </w:rPr>
      </w:pPr>
      <w:r>
        <w:rPr>
          <w:rFonts w:hint="eastAsia" w:ascii="仿宋" w:hAnsi="仿宋" w:eastAsia="仿宋" w:cs="仿宋"/>
          <w:sz w:val="24"/>
          <w:szCs w:val="32"/>
          <w:lang w:eastAsia="zh-CN"/>
        </w:rPr>
        <w:t> </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企业名称（盖章）：</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日期：                    </w:t>
      </w:r>
    </w:p>
    <w:p>
      <w:pPr>
        <w:tabs>
          <w:tab w:val="left" w:pos="940"/>
        </w:tabs>
        <w:bidi w:val="0"/>
        <w:jc w:val="center"/>
        <w:rPr>
          <w:rFonts w:hint="eastAsia" w:ascii="仿宋" w:hAnsi="仿宋" w:eastAsia="仿宋" w:cs="仿宋"/>
          <w:lang w:eastAsia="zh-CN"/>
        </w:rPr>
      </w:pPr>
      <w:r>
        <w:rPr>
          <w:rFonts w:hint="eastAsia" w:ascii="仿宋" w:hAnsi="仿宋" w:eastAsia="仿宋" w:cs="仿宋"/>
          <w:lang w:eastAsia="zh-CN"/>
        </w:rPr>
        <w:br w:type="page"/>
      </w:r>
      <w:r>
        <w:rPr>
          <w:rFonts w:hint="eastAsia" w:ascii="仿宋" w:hAnsi="仿宋" w:eastAsia="仿宋" w:cs="仿宋"/>
          <w:b/>
          <w:bCs/>
          <w:sz w:val="24"/>
          <w:szCs w:val="32"/>
          <w:lang w:eastAsia="zh-CN"/>
        </w:rPr>
        <w:t>中小企业声明函（工程、服务)</w:t>
      </w:r>
    </w:p>
    <w:p>
      <w:pPr>
        <w:tabs>
          <w:tab w:val="left" w:pos="940"/>
        </w:tabs>
        <w:bidi w:val="0"/>
        <w:jc w:val="left"/>
        <w:rPr>
          <w:rFonts w:hint="eastAsia" w:ascii="仿宋" w:hAnsi="仿宋" w:eastAsia="仿宋" w:cs="仿宋"/>
          <w:lang w:eastAsia="zh-CN"/>
        </w:rPr>
      </w:pPr>
      <w:r>
        <w:rPr>
          <w:rFonts w:hint="eastAsia" w:ascii="仿宋" w:hAnsi="仿宋" w:eastAsia="仿宋" w:cs="仿宋"/>
          <w:lang w:eastAsia="zh-CN"/>
        </w:rPr>
        <w:t> </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1.（标的名称），属于（采购文件中明确的所属行业）；承建（承接）企业为（企业名称），从业人员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2. （标的名称），属于（采购文件中明确的所属行业）；承建（承接）企业为（企业名称），从业人员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以上企业，不属于大企业的分支机构，不存在控股股东为大企业的情形，也不存在与大企业的负责人为同一人的情形。</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本企业对上述声明内容的真实性负责。如有虚假，将依法承担相应责任。</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企业名称（盖章）：</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日期：                    </w:t>
      </w: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p>
    <w:p>
      <w:pPr>
        <w:widowControl/>
        <w:spacing w:before="100" w:beforeAutospacing="1" w:after="100" w:afterAutospacing="1" w:line="330" w:lineRule="atLeast"/>
        <w:jc w:val="left"/>
        <w:rPr>
          <w:rFonts w:hint="eastAsia" w:ascii="仿宋" w:hAnsi="仿宋" w:eastAsia="仿宋" w:cs="仿宋"/>
          <w:color w:val="auto"/>
          <w:highlight w:val="none"/>
        </w:rPr>
      </w:pPr>
    </w:p>
    <w:p>
      <w:pPr>
        <w:pStyle w:val="6"/>
        <w:ind w:left="0" w:leftChars="0" w:firstLine="0" w:firstLineChars="0"/>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spacing w:before="0" w:line="240" w:lineRule="atLeast"/>
        <w:ind w:left="1080" w:leftChars="257" w:hanging="540"/>
        <w:jc w:val="center"/>
        <w:outlineLvl w:val="9"/>
        <w:rPr>
          <w:rFonts w:hint="eastAsia" w:ascii="仿宋" w:hAnsi="仿宋" w:eastAsia="仿宋" w:cs="仿宋"/>
          <w:b/>
          <w:bCs/>
          <w:color w:val="auto"/>
          <w:sz w:val="24"/>
          <w:highlight w:val="none"/>
        </w:rPr>
      </w:pPr>
      <w:bookmarkStart w:id="217" w:name="_Toc518923122"/>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关联单位的说明</w:t>
      </w:r>
      <w:bookmarkEnd w:id="217"/>
    </w:p>
    <w:p>
      <w:pPr>
        <w:pStyle w:val="6"/>
        <w:ind w:firstLine="480" w:firstLineChars="200"/>
        <w:rPr>
          <w:rFonts w:hint="eastAsia" w:ascii="仿宋" w:hAnsi="仿宋" w:eastAsia="仿宋" w:cs="仿宋"/>
          <w:color w:val="auto"/>
          <w:highlight w:val="none"/>
        </w:rPr>
      </w:pPr>
    </w:p>
    <w:p>
      <w:pPr>
        <w:pStyle w:val="6"/>
        <w:ind w:firstLine="480" w:firstLineChars="200"/>
        <w:rPr>
          <w:rFonts w:hint="eastAsia" w:ascii="仿宋" w:hAnsi="仿宋" w:eastAsia="仿宋" w:cs="仿宋"/>
          <w:color w:val="auto"/>
          <w:highlight w:val="none"/>
        </w:rPr>
      </w:pPr>
    </w:p>
    <w:p>
      <w:pPr>
        <w:pStyle w:val="6"/>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说明：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应当如实披露与本单位存在下列关联关系的单位名称：</w:t>
      </w:r>
    </w:p>
    <w:p>
      <w:pPr>
        <w:pStyle w:val="6"/>
        <w:numPr>
          <w:ilvl w:val="0"/>
          <w:numId w:val="4"/>
        </w:num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单位负责人为同一人的其他单位；</w:t>
      </w:r>
    </w:p>
    <w:p>
      <w:pPr>
        <w:pStyle w:val="6"/>
        <w:numPr>
          <w:ilvl w:val="0"/>
          <w:numId w:val="4"/>
        </w:num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存在直接控股、管理关系的其他单位。</w:t>
      </w:r>
    </w:p>
    <w:p>
      <w:pPr>
        <w:widowControl w:val="0"/>
        <w:numPr>
          <w:ilvl w:val="0"/>
          <w:numId w:val="0"/>
        </w:numPr>
        <w:jc w:val="both"/>
        <w:rPr>
          <w:rFonts w:hint="eastAsia" w:ascii="仿宋" w:hAnsi="仿宋" w:eastAsia="仿宋" w:cs="仿宋"/>
          <w:color w:val="auto"/>
          <w:highlight w:val="none"/>
        </w:rPr>
      </w:pPr>
    </w:p>
    <w:p>
      <w:pPr>
        <w:pStyle w:val="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rPr>
          <w:rFonts w:hint="eastAsia"/>
        </w:rPr>
      </w:pPr>
    </w:p>
    <w:p>
      <w:pPr>
        <w:pStyle w:val="6"/>
        <w:jc w:val="center"/>
        <w:rPr>
          <w:rFonts w:hint="eastAsia" w:ascii="仿宋" w:hAnsi="仿宋" w:eastAsia="仿宋" w:cs="仿宋"/>
          <w:color w:val="auto"/>
          <w:highlight w:val="none"/>
        </w:rPr>
      </w:pPr>
    </w:p>
    <w:p>
      <w:pPr>
        <w:pStyle w:val="6"/>
        <w:ind w:left="0" w:leftChars="0" w:firstLine="0" w:firstLineChars="0"/>
        <w:jc w:val="center"/>
        <w:rPr>
          <w:rFonts w:hint="eastAsia" w:ascii="仿宋" w:hAnsi="仿宋" w:eastAsia="仿宋" w:cs="仿宋"/>
          <w:b/>
          <w:bCs/>
          <w:color w:val="auto"/>
          <w:sz w:val="24"/>
          <w:highlight w:val="none"/>
          <w:lang w:val="en-US" w:eastAsia="zh-CN"/>
        </w:rPr>
      </w:pPr>
      <w:bookmarkStart w:id="218" w:name="_Toc518923123"/>
    </w:p>
    <w:p>
      <w:pPr>
        <w:pStyle w:val="6"/>
        <w:ind w:left="0" w:leftChars="0" w:firstLine="0" w:firstLineChars="0"/>
        <w:jc w:val="center"/>
        <w:rPr>
          <w:rFonts w:hint="eastAsia" w:ascii="仿宋" w:hAnsi="仿宋" w:eastAsia="仿宋" w:cs="仿宋"/>
          <w:b/>
          <w:bCs/>
          <w:color w:val="auto"/>
          <w:sz w:val="24"/>
          <w:highlight w:val="none"/>
          <w:lang w:val="en-US" w:eastAsia="zh-CN"/>
        </w:rPr>
      </w:pPr>
    </w:p>
    <w:p>
      <w:pPr>
        <w:pStyle w:val="6"/>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b/>
          <w:bCs/>
          <w:color w:val="auto"/>
          <w:sz w:val="28"/>
          <w:szCs w:val="21"/>
          <w:highlight w:val="none"/>
          <w:lang w:val="en-US" w:eastAsia="zh-CN"/>
        </w:rPr>
        <w:t>8</w:t>
      </w:r>
      <w:r>
        <w:rPr>
          <w:rFonts w:hint="eastAsia" w:ascii="仿宋" w:hAnsi="仿宋" w:eastAsia="仿宋" w:cs="仿宋"/>
          <w:b/>
          <w:bCs/>
          <w:color w:val="auto"/>
          <w:sz w:val="28"/>
          <w:szCs w:val="21"/>
          <w:highlight w:val="none"/>
        </w:rPr>
        <w:t xml:space="preserve">  </w:t>
      </w:r>
      <w:r>
        <w:rPr>
          <w:rFonts w:hint="eastAsia" w:ascii="仿宋" w:hAnsi="仿宋" w:eastAsia="仿宋" w:cs="仿宋"/>
          <w:b/>
          <w:bCs/>
          <w:color w:val="auto"/>
          <w:sz w:val="28"/>
          <w:szCs w:val="21"/>
          <w:highlight w:val="none"/>
          <w:lang w:eastAsia="zh-CN"/>
        </w:rPr>
        <w:t>响应文件</w:t>
      </w:r>
      <w:r>
        <w:rPr>
          <w:rFonts w:hint="eastAsia" w:ascii="仿宋" w:hAnsi="仿宋" w:eastAsia="仿宋" w:cs="仿宋"/>
          <w:b/>
          <w:bCs/>
          <w:color w:val="auto"/>
          <w:sz w:val="28"/>
          <w:szCs w:val="21"/>
          <w:highlight w:val="none"/>
        </w:rPr>
        <w:t>还应包括</w:t>
      </w:r>
      <w:r>
        <w:rPr>
          <w:rFonts w:hint="eastAsia" w:ascii="仿宋" w:hAnsi="仿宋" w:eastAsia="仿宋" w:cs="仿宋"/>
          <w:b/>
          <w:bCs/>
          <w:color w:val="auto"/>
          <w:sz w:val="28"/>
          <w:szCs w:val="21"/>
          <w:highlight w:val="none"/>
          <w:lang w:eastAsia="zh-CN"/>
        </w:rPr>
        <w:t>投标人</w:t>
      </w:r>
      <w:r>
        <w:rPr>
          <w:rFonts w:hint="eastAsia" w:ascii="仿宋" w:hAnsi="仿宋" w:eastAsia="仿宋" w:cs="仿宋"/>
          <w:b/>
          <w:bCs/>
          <w:color w:val="auto"/>
          <w:sz w:val="28"/>
          <w:szCs w:val="21"/>
          <w:highlight w:val="none"/>
        </w:rPr>
        <w:t>须知第10条的所有响应文件</w:t>
      </w:r>
      <w:bookmarkEnd w:id="218"/>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6"/>
        <w:ind w:firstLine="480" w:firstLineChars="200"/>
        <w:rPr>
          <w:rFonts w:hint="eastAsia" w:ascii="仿宋" w:hAnsi="仿宋" w:eastAsia="仿宋" w:cs="仿宋"/>
          <w:sz w:val="24"/>
          <w:szCs w:val="24"/>
        </w:rPr>
      </w:pPr>
      <w:r>
        <w:rPr>
          <w:rFonts w:hint="eastAsia" w:ascii="仿宋" w:hAnsi="仿宋" w:eastAsia="仿宋" w:cs="仿宋"/>
          <w:sz w:val="24"/>
          <w:szCs w:val="24"/>
        </w:rPr>
        <w:t>注：参照“第六章评分方法和标准”，提供有力于投标人的其他证明文件或服务方案、</w:t>
      </w:r>
      <w:r>
        <w:rPr>
          <w:rFonts w:hint="eastAsia" w:ascii="仿宋" w:hAnsi="仿宋" w:eastAsia="仿宋" w:cs="仿宋"/>
          <w:sz w:val="24"/>
          <w:szCs w:val="24"/>
          <w:lang w:eastAsia="zh-CN"/>
        </w:rPr>
        <w:t>实施方案</w:t>
      </w:r>
      <w:r>
        <w:rPr>
          <w:rFonts w:hint="eastAsia" w:ascii="仿宋" w:hAnsi="仿宋" w:eastAsia="仿宋" w:cs="仿宋"/>
          <w:sz w:val="24"/>
          <w:szCs w:val="24"/>
        </w:rPr>
        <w:t>等。</w:t>
      </w:r>
    </w:p>
    <w:p>
      <w:pPr>
        <w:pStyle w:val="26"/>
        <w:rPr>
          <w:rFonts w:hint="eastAsia" w:ascii="仿宋" w:hAnsi="仿宋" w:eastAsia="仿宋" w:cs="仿宋"/>
          <w:color w:val="auto"/>
          <w:highlight w:val="none"/>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21" w:firstLineChars="43"/>
        <w:jc w:val="center"/>
        <w:outlineLvl w:val="9"/>
        <w:rPr>
          <w:rFonts w:hint="eastAsia" w:ascii="仿宋" w:hAnsi="仿宋" w:eastAsia="仿宋" w:cs="仿宋"/>
          <w:b/>
          <w:color w:val="auto"/>
          <w:kern w:val="0"/>
          <w:sz w:val="28"/>
          <w:szCs w:val="21"/>
          <w:highlight w:val="none"/>
          <w:lang w:val="en-US" w:eastAsia="zh-CN" w:bidi="ar-SA"/>
        </w:rPr>
      </w:pPr>
      <w:r>
        <w:rPr>
          <w:rFonts w:hint="eastAsia" w:ascii="仿宋" w:hAnsi="仿宋" w:eastAsia="仿宋" w:cs="仿宋"/>
          <w:b/>
          <w:color w:val="auto"/>
          <w:kern w:val="0"/>
          <w:sz w:val="28"/>
          <w:szCs w:val="21"/>
          <w:highlight w:val="none"/>
          <w:lang w:val="en-US" w:eastAsia="zh-CN" w:bidi="ar-SA"/>
        </w:rPr>
        <w:t>9  项目配备人员情况一览表</w:t>
      </w:r>
    </w:p>
    <w:p>
      <w:pPr>
        <w:pStyle w:val="26"/>
        <w:rPr>
          <w:rFonts w:hint="eastAsia" w:ascii="仿宋" w:hAnsi="仿宋" w:eastAsia="仿宋" w:cs="仿宋"/>
          <w:color w:val="auto"/>
          <w:highlight w:val="none"/>
        </w:rPr>
      </w:pPr>
    </w:p>
    <w:p>
      <w:pPr>
        <w:pStyle w:val="6"/>
        <w:ind w:firstLine="0"/>
        <w:rPr>
          <w:rFonts w:hint="eastAsia" w:ascii="仿宋" w:hAnsi="仿宋" w:eastAsia="仿宋" w:cs="仿宋"/>
          <w:color w:val="auto"/>
          <w:highlight w:val="none"/>
        </w:rPr>
      </w:pPr>
      <w:r>
        <w:rPr>
          <w:rFonts w:hint="eastAsia" w:ascii="仿宋" w:hAnsi="仿宋" w:eastAsia="仿宋" w:cs="仿宋"/>
          <w:color w:val="auto"/>
          <w:highlight w:val="none"/>
        </w:rPr>
        <w:t xml:space="preserve">项目名称:                      项目编号:         </w:t>
      </w:r>
    </w:p>
    <w:tbl>
      <w:tblPr>
        <w:tblStyle w:val="24"/>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37"/>
        <w:gridCol w:w="853"/>
        <w:gridCol w:w="1283"/>
        <w:gridCol w:w="695"/>
        <w:gridCol w:w="1032"/>
        <w:gridCol w:w="736"/>
        <w:gridCol w:w="1651"/>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Merge w:val="restart"/>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837" w:type="dxa"/>
            <w:vMerge w:val="restart"/>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853" w:type="dxa"/>
            <w:vMerge w:val="restart"/>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w:t>
            </w:r>
          </w:p>
        </w:tc>
        <w:tc>
          <w:tcPr>
            <w:tcW w:w="5397" w:type="dxa"/>
            <w:gridSpan w:val="5"/>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执业或职业资格证明</w:t>
            </w:r>
          </w:p>
        </w:tc>
        <w:tc>
          <w:tcPr>
            <w:tcW w:w="681"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Merge w:val="continue"/>
            <w:vAlign w:val="center"/>
          </w:tcPr>
          <w:p>
            <w:pPr>
              <w:spacing w:line="440" w:lineRule="exact"/>
              <w:jc w:val="center"/>
              <w:rPr>
                <w:rFonts w:hint="eastAsia" w:ascii="仿宋" w:hAnsi="仿宋" w:eastAsia="仿宋" w:cs="仿宋"/>
                <w:color w:val="auto"/>
                <w:szCs w:val="21"/>
                <w:highlight w:val="none"/>
              </w:rPr>
            </w:pPr>
          </w:p>
        </w:tc>
        <w:tc>
          <w:tcPr>
            <w:tcW w:w="837" w:type="dxa"/>
            <w:vMerge w:val="continue"/>
            <w:vAlign w:val="center"/>
          </w:tcPr>
          <w:p>
            <w:pPr>
              <w:spacing w:line="440" w:lineRule="exact"/>
              <w:jc w:val="center"/>
              <w:rPr>
                <w:rFonts w:hint="eastAsia" w:ascii="仿宋" w:hAnsi="仿宋" w:eastAsia="仿宋" w:cs="仿宋"/>
                <w:color w:val="auto"/>
                <w:szCs w:val="21"/>
                <w:highlight w:val="none"/>
              </w:rPr>
            </w:pPr>
          </w:p>
        </w:tc>
        <w:tc>
          <w:tcPr>
            <w:tcW w:w="853" w:type="dxa"/>
            <w:vMerge w:val="continue"/>
            <w:vAlign w:val="center"/>
          </w:tcPr>
          <w:p>
            <w:pPr>
              <w:spacing w:line="440" w:lineRule="exact"/>
              <w:jc w:val="center"/>
              <w:rPr>
                <w:rFonts w:hint="eastAsia" w:ascii="仿宋" w:hAnsi="仿宋" w:eastAsia="仿宋" w:cs="仿宋"/>
                <w:color w:val="auto"/>
                <w:szCs w:val="21"/>
                <w:highlight w:val="none"/>
              </w:rPr>
            </w:pPr>
          </w:p>
        </w:tc>
        <w:tc>
          <w:tcPr>
            <w:tcW w:w="1283"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证书名称</w:t>
            </w:r>
          </w:p>
        </w:tc>
        <w:tc>
          <w:tcPr>
            <w:tcW w:w="695"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级别</w:t>
            </w:r>
          </w:p>
        </w:tc>
        <w:tc>
          <w:tcPr>
            <w:tcW w:w="1032"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证号</w:t>
            </w:r>
          </w:p>
        </w:tc>
        <w:tc>
          <w:tcPr>
            <w:tcW w:w="736"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专业</w:t>
            </w:r>
          </w:p>
        </w:tc>
        <w:tc>
          <w:tcPr>
            <w:tcW w:w="1651"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社保</w:t>
            </w:r>
          </w:p>
        </w:tc>
        <w:tc>
          <w:tcPr>
            <w:tcW w:w="681" w:type="dxa"/>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spacing w:line="440" w:lineRule="exact"/>
              <w:jc w:val="center"/>
              <w:rPr>
                <w:rFonts w:hint="eastAsia" w:ascii="仿宋" w:hAnsi="仿宋" w:eastAsia="仿宋" w:cs="仿宋"/>
                <w:color w:val="auto"/>
                <w:szCs w:val="21"/>
                <w:highlight w:val="none"/>
              </w:rPr>
            </w:pPr>
          </w:p>
        </w:tc>
        <w:tc>
          <w:tcPr>
            <w:tcW w:w="837" w:type="dxa"/>
            <w:vAlign w:val="center"/>
          </w:tcPr>
          <w:p>
            <w:pPr>
              <w:spacing w:line="440" w:lineRule="exact"/>
              <w:jc w:val="center"/>
              <w:rPr>
                <w:rFonts w:hint="eastAsia" w:ascii="仿宋" w:hAnsi="仿宋" w:eastAsia="仿宋" w:cs="仿宋"/>
                <w:color w:val="auto"/>
                <w:szCs w:val="21"/>
                <w:highlight w:val="none"/>
              </w:rPr>
            </w:pPr>
          </w:p>
        </w:tc>
        <w:tc>
          <w:tcPr>
            <w:tcW w:w="853" w:type="dxa"/>
            <w:vAlign w:val="center"/>
          </w:tcPr>
          <w:p>
            <w:pPr>
              <w:spacing w:line="440" w:lineRule="exact"/>
              <w:jc w:val="center"/>
              <w:rPr>
                <w:rFonts w:hint="eastAsia" w:ascii="仿宋" w:hAnsi="仿宋" w:eastAsia="仿宋" w:cs="仿宋"/>
                <w:color w:val="auto"/>
                <w:szCs w:val="21"/>
                <w:highlight w:val="none"/>
              </w:rPr>
            </w:pPr>
          </w:p>
        </w:tc>
        <w:tc>
          <w:tcPr>
            <w:tcW w:w="1283" w:type="dxa"/>
            <w:vAlign w:val="center"/>
          </w:tcPr>
          <w:p>
            <w:pPr>
              <w:spacing w:line="440" w:lineRule="exact"/>
              <w:jc w:val="center"/>
              <w:rPr>
                <w:rFonts w:hint="eastAsia" w:ascii="仿宋" w:hAnsi="仿宋" w:eastAsia="仿宋" w:cs="仿宋"/>
                <w:color w:val="auto"/>
                <w:szCs w:val="21"/>
                <w:highlight w:val="none"/>
              </w:rPr>
            </w:pPr>
          </w:p>
        </w:tc>
        <w:tc>
          <w:tcPr>
            <w:tcW w:w="695" w:type="dxa"/>
            <w:vAlign w:val="center"/>
          </w:tcPr>
          <w:p>
            <w:pPr>
              <w:spacing w:line="440" w:lineRule="exact"/>
              <w:jc w:val="center"/>
              <w:rPr>
                <w:rFonts w:hint="eastAsia" w:ascii="仿宋" w:hAnsi="仿宋" w:eastAsia="仿宋" w:cs="仿宋"/>
                <w:color w:val="auto"/>
                <w:szCs w:val="21"/>
                <w:highlight w:val="none"/>
              </w:rPr>
            </w:pPr>
          </w:p>
        </w:tc>
        <w:tc>
          <w:tcPr>
            <w:tcW w:w="1032" w:type="dxa"/>
            <w:vAlign w:val="center"/>
          </w:tcPr>
          <w:p>
            <w:pPr>
              <w:spacing w:line="440" w:lineRule="exact"/>
              <w:jc w:val="center"/>
              <w:rPr>
                <w:rFonts w:hint="eastAsia" w:ascii="仿宋" w:hAnsi="仿宋" w:eastAsia="仿宋" w:cs="仿宋"/>
                <w:color w:val="auto"/>
                <w:szCs w:val="21"/>
                <w:highlight w:val="none"/>
              </w:rPr>
            </w:pPr>
          </w:p>
        </w:tc>
        <w:tc>
          <w:tcPr>
            <w:tcW w:w="736" w:type="dxa"/>
            <w:vAlign w:val="center"/>
          </w:tcPr>
          <w:p>
            <w:pPr>
              <w:spacing w:line="440" w:lineRule="exact"/>
              <w:jc w:val="center"/>
              <w:rPr>
                <w:rFonts w:hint="eastAsia" w:ascii="仿宋" w:hAnsi="仿宋" w:eastAsia="仿宋" w:cs="仿宋"/>
                <w:color w:val="auto"/>
                <w:szCs w:val="21"/>
                <w:highlight w:val="none"/>
              </w:rPr>
            </w:pPr>
          </w:p>
        </w:tc>
        <w:tc>
          <w:tcPr>
            <w:tcW w:w="1651" w:type="dxa"/>
            <w:vAlign w:val="center"/>
          </w:tcPr>
          <w:p>
            <w:pPr>
              <w:spacing w:line="440" w:lineRule="exact"/>
              <w:jc w:val="center"/>
              <w:rPr>
                <w:rFonts w:hint="eastAsia" w:ascii="仿宋" w:hAnsi="仿宋" w:eastAsia="仿宋" w:cs="仿宋"/>
                <w:color w:val="auto"/>
                <w:szCs w:val="21"/>
                <w:highlight w:val="none"/>
              </w:rPr>
            </w:pPr>
          </w:p>
        </w:tc>
        <w:tc>
          <w:tcPr>
            <w:tcW w:w="681" w:type="dxa"/>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top"/>
          </w:tcPr>
          <w:p>
            <w:pPr>
              <w:spacing w:line="440" w:lineRule="exact"/>
              <w:jc w:val="center"/>
              <w:rPr>
                <w:rFonts w:hint="eastAsia" w:ascii="仿宋" w:hAnsi="仿宋" w:eastAsia="仿宋" w:cs="仿宋"/>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top"/>
          </w:tcPr>
          <w:p>
            <w:pPr>
              <w:spacing w:line="440" w:lineRule="exact"/>
              <w:jc w:val="center"/>
              <w:rPr>
                <w:rFonts w:hint="eastAsia" w:ascii="仿宋" w:hAnsi="仿宋" w:eastAsia="仿宋" w:cs="仿宋"/>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569" w:type="dxa"/>
            <w:vAlign w:val="top"/>
          </w:tcPr>
          <w:p>
            <w:pPr>
              <w:spacing w:line="440" w:lineRule="exact"/>
              <w:jc w:val="center"/>
              <w:rPr>
                <w:rFonts w:hint="eastAsia" w:ascii="仿宋" w:hAnsi="仿宋" w:eastAsia="仿宋" w:cs="仿宋"/>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bl>
    <w:p>
      <w:pPr>
        <w:pStyle w:val="17"/>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2"/>
        <w:rPr>
          <w:rFonts w:hint="eastAsia" w:ascii="仿宋" w:hAnsi="仿宋" w:eastAsia="仿宋" w:cs="仿宋"/>
          <w:color w:val="auto"/>
          <w:highlight w:val="none"/>
        </w:rPr>
      </w:pP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注：一览表中所提供项目人员需附人员简历表</w:t>
      </w:r>
      <w:r>
        <w:rPr>
          <w:rFonts w:hint="eastAsia" w:ascii="仿宋" w:hAnsi="仿宋" w:eastAsia="仿宋" w:cs="仿宋"/>
          <w:color w:val="auto"/>
          <w:sz w:val="24"/>
          <w:highlight w:val="none"/>
          <w:lang w:val="en-US" w:eastAsia="zh-CN"/>
        </w:rPr>
        <w:t>及相关证件、证书、社保复印件</w:t>
      </w:r>
    </w:p>
    <w:p>
      <w:pPr>
        <w:spacing w:before="0" w:line="240" w:lineRule="atLeast"/>
        <w:ind w:firstLine="480" w:firstLineChars="200"/>
        <w:jc w:val="both"/>
        <w:outlineLvl w:val="9"/>
        <w:rPr>
          <w:rFonts w:hint="eastAsia" w:ascii="仿宋" w:hAnsi="仿宋" w:eastAsia="仿宋" w:cs="仿宋"/>
          <w:b/>
          <w:color w:val="auto"/>
          <w:kern w:val="0"/>
          <w:sz w:val="24"/>
          <w:szCs w:val="20"/>
          <w:highlight w:val="none"/>
          <w:lang w:val="en-US" w:eastAsia="zh-CN" w:bidi="ar-SA"/>
        </w:rPr>
      </w:pPr>
      <w:r>
        <w:rPr>
          <w:rFonts w:hint="eastAsia" w:ascii="仿宋" w:hAnsi="仿宋" w:eastAsia="仿宋" w:cs="仿宋"/>
          <w:color w:val="auto"/>
          <w:sz w:val="24"/>
          <w:highlight w:val="none"/>
        </w:rPr>
        <w:br w:type="page"/>
      </w:r>
      <w:r>
        <w:rPr>
          <w:rFonts w:hint="eastAsia" w:ascii="仿宋" w:hAnsi="仿宋" w:eastAsia="仿宋" w:cs="仿宋"/>
          <w:b/>
          <w:color w:val="auto"/>
          <w:kern w:val="0"/>
          <w:sz w:val="24"/>
          <w:szCs w:val="20"/>
          <w:highlight w:val="none"/>
          <w:lang w:val="en-US" w:eastAsia="zh-CN" w:bidi="ar-SA"/>
        </w:rPr>
        <w:t>10  类似业绩一览表</w:t>
      </w:r>
    </w:p>
    <w:p>
      <w:pPr>
        <w:spacing w:line="240" w:lineRule="atLeast"/>
        <w:ind w:left="1080" w:leftChars="257" w:hanging="540"/>
        <w:jc w:val="center"/>
        <w:rPr>
          <w:rFonts w:hint="eastAsia" w:ascii="仿宋" w:hAnsi="仿宋" w:eastAsia="仿宋" w:cs="仿宋"/>
          <w:b/>
          <w:bCs/>
          <w:color w:val="auto"/>
          <w:sz w:val="24"/>
          <w:highlight w:val="none"/>
        </w:rPr>
      </w:pPr>
    </w:p>
    <w:p>
      <w:pPr>
        <w:pStyle w:val="6"/>
        <w:rPr>
          <w:rFonts w:hint="eastAsia" w:ascii="仿宋" w:hAnsi="仿宋" w:eastAsia="仿宋" w:cs="仿宋"/>
          <w:color w:val="auto"/>
          <w:highlight w:val="none"/>
        </w:rPr>
      </w:pPr>
    </w:p>
    <w:tbl>
      <w:tblPr>
        <w:tblStyle w:val="24"/>
        <w:tblW w:w="8789" w:type="dxa"/>
        <w:tblInd w:w="108" w:type="dxa"/>
        <w:tblLayout w:type="fixed"/>
        <w:tblCellMar>
          <w:top w:w="0" w:type="dxa"/>
          <w:left w:w="108" w:type="dxa"/>
          <w:bottom w:w="0" w:type="dxa"/>
          <w:right w:w="108" w:type="dxa"/>
        </w:tblCellMar>
      </w:tblPr>
      <w:tblGrid>
        <w:gridCol w:w="2127"/>
        <w:gridCol w:w="3260"/>
        <w:gridCol w:w="1843"/>
        <w:gridCol w:w="1559"/>
      </w:tblGrid>
      <w:tr>
        <w:tblPrEx>
          <w:tblLayout w:type="fixed"/>
          <w:tblCellMar>
            <w:top w:w="0" w:type="dxa"/>
            <w:left w:w="108" w:type="dxa"/>
            <w:bottom w:w="0" w:type="dxa"/>
            <w:right w:w="108" w:type="dxa"/>
          </w:tblCellMar>
        </w:tblPrEx>
        <w:trPr>
          <w:trHeight w:val="510" w:hRule="atLeast"/>
        </w:trPr>
        <w:tc>
          <w:tcPr>
            <w:tcW w:w="2127"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项目名称</w:t>
            </w:r>
          </w:p>
        </w:tc>
        <w:tc>
          <w:tcPr>
            <w:tcW w:w="3260"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简要描述</w:t>
            </w:r>
          </w:p>
        </w:tc>
        <w:tc>
          <w:tcPr>
            <w:tcW w:w="1843"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项目周期</w:t>
            </w:r>
          </w:p>
        </w:tc>
        <w:tc>
          <w:tcPr>
            <w:tcW w:w="1559"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备注</w:t>
            </w:r>
          </w:p>
        </w:tc>
      </w:tr>
      <w:tr>
        <w:tblPrEx>
          <w:tblLayout w:type="fixed"/>
          <w:tblCellMar>
            <w:top w:w="0" w:type="dxa"/>
            <w:left w:w="108" w:type="dxa"/>
            <w:bottom w:w="0" w:type="dxa"/>
            <w:right w:w="108" w:type="dxa"/>
          </w:tblCellMar>
        </w:tblPrEx>
        <w:trPr>
          <w:trHeight w:val="594"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6"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bl>
    <w:p>
      <w:pPr>
        <w:pStyle w:val="11"/>
        <w:spacing w:line="240" w:lineRule="atLeast"/>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2"/>
        <w:rPr>
          <w:rFonts w:hint="eastAsia" w:ascii="仿宋" w:hAnsi="仿宋" w:eastAsia="仿宋" w:cs="仿宋"/>
          <w:color w:val="auto"/>
          <w:highlight w:val="none"/>
        </w:rPr>
      </w:pP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spacing w:line="240" w:lineRule="atLeast"/>
        <w:ind w:left="1080" w:leftChars="257" w:hanging="540"/>
        <w:jc w:val="center"/>
        <w:rPr>
          <w:rFonts w:hint="eastAsia" w:ascii="仿宋" w:hAnsi="仿宋" w:eastAsia="仿宋" w:cs="仿宋"/>
          <w:color w:val="auto"/>
          <w:sz w:val="24"/>
          <w:highlight w:val="none"/>
        </w:rPr>
      </w:pPr>
    </w:p>
    <w:p>
      <w:pPr>
        <w:spacing w:line="240" w:lineRule="atLeast"/>
        <w:ind w:left="1080" w:leftChars="257" w:hanging="540"/>
        <w:jc w:val="center"/>
        <w:rPr>
          <w:rFonts w:hint="eastAsia" w:ascii="仿宋" w:hAnsi="仿宋" w:eastAsia="仿宋" w:cs="仿宋"/>
          <w:color w:val="auto"/>
          <w:sz w:val="24"/>
          <w:highlight w:val="none"/>
        </w:rPr>
      </w:pPr>
    </w:p>
    <w:p>
      <w:pPr>
        <w:spacing w:line="240" w:lineRule="atLeast"/>
        <w:ind w:left="1080" w:leftChars="257" w:hanging="54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注：</w:t>
      </w:r>
      <w:r>
        <w:rPr>
          <w:rFonts w:hint="eastAsia" w:ascii="仿宋" w:hAnsi="仿宋" w:eastAsia="仿宋" w:cs="仿宋"/>
          <w:color w:val="auto"/>
          <w:sz w:val="24"/>
          <w:highlight w:val="none"/>
        </w:rPr>
        <w:t>填报与本采购项目类似的业绩并附合同</w:t>
      </w:r>
      <w:r>
        <w:rPr>
          <w:rFonts w:hint="eastAsia" w:ascii="仿宋" w:hAnsi="仿宋" w:eastAsia="仿宋" w:cs="仿宋"/>
          <w:color w:val="auto"/>
          <w:sz w:val="24"/>
          <w:highlight w:val="none"/>
          <w:lang w:val="en-US" w:eastAsia="zh-CN"/>
        </w:rPr>
        <w:t>协议书</w:t>
      </w:r>
      <w:r>
        <w:rPr>
          <w:rFonts w:hint="eastAsia" w:ascii="仿宋" w:hAnsi="仿宋" w:eastAsia="仿宋" w:cs="仿宋"/>
          <w:color w:val="auto"/>
          <w:sz w:val="24"/>
          <w:highlight w:val="none"/>
        </w:rPr>
        <w:t>或成交（中标）通知书或客户评价等证明材料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br w:type="page"/>
      </w:r>
    </w:p>
    <w:p>
      <w:pPr>
        <w:spacing w:line="240" w:lineRule="atLeast"/>
        <w:ind w:left="1080" w:leftChars="257" w:hanging="540"/>
        <w:jc w:val="center"/>
        <w:rPr>
          <w:rFonts w:hint="eastAsia" w:ascii="仿宋" w:hAnsi="仿宋" w:eastAsia="仿宋" w:cs="仿宋"/>
          <w:b/>
          <w:color w:val="auto"/>
          <w:sz w:val="30"/>
          <w:szCs w:val="30"/>
          <w:highlight w:val="none"/>
        </w:rPr>
      </w:pPr>
    </w:p>
    <w:p>
      <w:pPr>
        <w:spacing w:line="240" w:lineRule="atLeas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塔什库尔干县教育局各乡镇小学学生用床及其他配套生活设施设备采购项目</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pStyle w:val="2"/>
        <w:rPr>
          <w:rFonts w:hint="eastAsia" w:ascii="仿宋" w:hAnsi="仿宋" w:eastAsia="仿宋" w:cs="仿宋"/>
          <w:b/>
          <w:bCs/>
          <w:color w:val="auto"/>
          <w:sz w:val="44"/>
          <w:szCs w:val="44"/>
          <w:highlight w:val="none"/>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竞争性磋商文件</w:t>
      </w:r>
    </w:p>
    <w:p>
      <w:pPr>
        <w:pStyle w:val="2"/>
        <w:rPr>
          <w:rFonts w:hint="eastAsia" w:ascii="仿宋" w:hAnsi="仿宋" w:eastAsia="仿宋" w:cs="仿宋"/>
          <w:b/>
          <w:bCs/>
          <w:color w:val="auto"/>
          <w:sz w:val="44"/>
          <w:szCs w:val="44"/>
          <w:highlight w:val="none"/>
          <w:lang w:eastAsia="zh-CN"/>
        </w:rPr>
      </w:pPr>
    </w:p>
    <w:p>
      <w:pPr>
        <w:rPr>
          <w:rFonts w:hint="eastAsia" w:ascii="仿宋" w:hAnsi="仿宋" w:eastAsia="仿宋" w:cs="仿宋"/>
          <w:b/>
          <w:bCs/>
          <w:color w:val="auto"/>
          <w:sz w:val="44"/>
          <w:szCs w:val="44"/>
          <w:highlight w:val="none"/>
          <w:lang w:eastAsia="zh-CN"/>
        </w:rPr>
      </w:pPr>
    </w:p>
    <w:p>
      <w:pPr>
        <w:pStyle w:val="2"/>
        <w:rPr>
          <w:rFonts w:hint="eastAsia"/>
          <w:lang w:eastAsia="zh-CN"/>
        </w:rPr>
      </w:pPr>
    </w:p>
    <w:p>
      <w:pPr>
        <w:pStyle w:val="2"/>
        <w:rPr>
          <w:rFonts w:hint="eastAsia"/>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KSTX(CS)2023-06</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FF0000"/>
          <w:sz w:val="40"/>
          <w:szCs w:val="40"/>
          <w:highlight w:val="none"/>
        </w:rPr>
      </w:pPr>
    </w:p>
    <w:p>
      <w:pPr>
        <w:spacing w:line="240" w:lineRule="atLeast"/>
        <w:ind w:left="1080" w:leftChars="257" w:hanging="540"/>
        <w:jc w:val="center"/>
        <w:rPr>
          <w:rFonts w:hint="eastAsia" w:ascii="仿宋" w:hAnsi="仿宋" w:eastAsia="仿宋" w:cs="仿宋"/>
          <w:b/>
          <w:bCs/>
          <w:color w:val="auto"/>
          <w:sz w:val="40"/>
          <w:szCs w:val="40"/>
          <w:highlight w:val="none"/>
        </w:rPr>
      </w:pPr>
    </w:p>
    <w:p>
      <w:pPr>
        <w:pStyle w:val="6"/>
        <w:rPr>
          <w:rFonts w:hint="eastAsia"/>
          <w:lang w:eastAsia="zh-CN"/>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val="en-US" w:eastAsia="zh-CN"/>
        </w:rPr>
        <w:t>二</w:t>
      </w:r>
      <w:r>
        <w:rPr>
          <w:rFonts w:hint="eastAsia" w:ascii="仿宋" w:hAnsi="仿宋" w:eastAsia="仿宋" w:cs="仿宋"/>
          <w:b/>
          <w:color w:val="auto"/>
          <w:sz w:val="48"/>
          <w:szCs w:val="48"/>
          <w:highlight w:val="none"/>
        </w:rPr>
        <w:t>册</w:t>
      </w: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jc w:val="both"/>
        <w:rPr>
          <w:rFonts w:hint="eastAsia" w:ascii="仿宋" w:hAnsi="仿宋" w:eastAsia="仿宋" w:cs="仿宋"/>
          <w:b/>
          <w:color w:val="auto"/>
          <w:sz w:val="52"/>
          <w:highlight w:val="none"/>
        </w:rPr>
      </w:pPr>
    </w:p>
    <w:p>
      <w:pPr>
        <w:pStyle w:val="3"/>
        <w:pageBreakBefore w:val="0"/>
        <w:numPr>
          <w:ilvl w:val="0"/>
          <w:numId w:val="0"/>
        </w:numPr>
        <w:tabs>
          <w:tab w:val="left" w:pos="0"/>
        </w:tabs>
        <w:kinsoku/>
        <w:wordWrap/>
        <w:overflowPunct/>
        <w:topLinePunct w:val="0"/>
        <w:bidi w:val="0"/>
        <w:snapToGrid/>
        <w:spacing w:before="0" w:after="0" w:line="380" w:lineRule="exact"/>
        <w:ind w:leftChars="0"/>
        <w:jc w:val="center"/>
        <w:textAlignment w:val="auto"/>
        <w:rPr>
          <w:rFonts w:hint="eastAsia" w:ascii="仿宋" w:hAnsi="仿宋" w:eastAsia="仿宋" w:cs="仿宋"/>
          <w:color w:val="auto"/>
          <w:highlight w:val="none"/>
        </w:rPr>
      </w:pPr>
      <w:bookmarkStart w:id="219" w:name="_Toc26628"/>
      <w:bookmarkStart w:id="220" w:name="_Toc5125"/>
      <w:r>
        <w:rPr>
          <w:rFonts w:hint="eastAsia" w:ascii="仿宋" w:hAnsi="仿宋" w:eastAsia="仿宋" w:cs="仿宋"/>
          <w:b/>
          <w:color w:val="auto"/>
          <w:highlight w:val="none"/>
          <w:lang w:val="en-US" w:eastAsia="zh-CN"/>
        </w:rPr>
        <w:t xml:space="preserve">第3章 </w:t>
      </w:r>
      <w:bookmarkEnd w:id="219"/>
      <w:bookmarkEnd w:id="220"/>
      <w:r>
        <w:rPr>
          <w:rFonts w:hint="eastAsia" w:ascii="仿宋" w:hAnsi="仿宋" w:eastAsia="仿宋" w:cs="仿宋"/>
          <w:lang w:val="en-US" w:eastAsia="zh-CN"/>
        </w:rPr>
        <w:t>投标邀请</w:t>
      </w:r>
      <w:bookmarkStart w:id="221" w:name="_Toc518923125"/>
      <w:bookmarkStart w:id="222" w:name="_Toc507399903"/>
      <w:bookmarkStart w:id="223" w:name="_Toc216582823"/>
      <w:bookmarkStart w:id="224" w:name="_Toc17489"/>
      <w:bookmarkStart w:id="225" w:name="_Toc512937850"/>
    </w:p>
    <w:p>
      <w:pPr>
        <w:pStyle w:val="3"/>
        <w:tabs>
          <w:tab w:val="left" w:pos="0"/>
        </w:tabs>
        <w:spacing w:before="0" w:after="0" w:line="380" w:lineRule="exact"/>
        <w:rPr>
          <w:rFonts w:hint="eastAsia" w:ascii="仿宋" w:hAnsi="仿宋" w:eastAsia="仿宋" w:cs="仿宋"/>
        </w:rPr>
      </w:pPr>
      <w:r>
        <w:rPr>
          <w:rFonts w:hint="eastAsia" w:ascii="仿宋" w:hAnsi="仿宋" w:eastAsia="仿宋" w:cs="仿宋"/>
          <w:lang w:eastAsia="zh-CN"/>
        </w:rPr>
        <w:t>塔什库尔干县教育局各乡镇小学学生用床及其他配套生活设施设备采购项目</w:t>
      </w:r>
      <w:r>
        <w:rPr>
          <w:rFonts w:hint="eastAsia" w:ascii="仿宋" w:hAnsi="仿宋" w:eastAsia="仿宋" w:cs="仿宋"/>
        </w:rPr>
        <w:t>竞争性磋商公告</w:t>
      </w:r>
    </w:p>
    <w:p>
      <w:pPr>
        <w:rPr>
          <w:rFonts w:hint="eastAsia" w:ascii="仿宋" w:hAnsi="仿宋" w:eastAsia="仿宋" w:cs="仿宋"/>
        </w:rPr>
      </w:pPr>
    </w:p>
    <w:p>
      <w:pPr>
        <w:pStyle w:val="2"/>
      </w:pPr>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8" w:type="dxa"/>
            <w:vAlign w:val="top"/>
          </w:tcPr>
          <w:p>
            <w:pPr>
              <w:spacing w:line="380" w:lineRule="exact"/>
              <w:rPr>
                <w:rFonts w:ascii="仿宋" w:hAnsi="仿宋" w:eastAsia="仿宋" w:cs="仿宋"/>
                <w:color w:val="auto"/>
                <w:sz w:val="24"/>
              </w:rPr>
            </w:pPr>
            <w:r>
              <w:rPr>
                <w:rFonts w:hint="eastAsia" w:ascii="仿宋" w:hAnsi="仿宋" w:eastAsia="仿宋" w:cs="仿宋"/>
                <w:color w:val="auto"/>
                <w:sz w:val="24"/>
              </w:rPr>
              <w:t>项目概况</w:t>
            </w:r>
          </w:p>
          <w:p>
            <w:pPr>
              <w:spacing w:line="380" w:lineRule="exact"/>
              <w:ind w:firstLine="480" w:firstLineChars="200"/>
              <w:jc w:val="left"/>
              <w:rPr>
                <w:rFonts w:ascii="仿宋" w:hAnsi="仿宋" w:eastAsia="仿宋" w:cs="仿宋"/>
                <w:color w:val="auto"/>
                <w:sz w:val="24"/>
                <w:u w:val="single"/>
              </w:rPr>
            </w:pPr>
            <w:r>
              <w:rPr>
                <w:rFonts w:hint="eastAsia" w:ascii="仿宋" w:hAnsi="仿宋" w:eastAsia="仿宋" w:cs="仿宋"/>
                <w:color w:val="auto"/>
                <w:sz w:val="24"/>
                <w:u w:val="single"/>
                <w:lang w:eastAsia="zh-CN"/>
              </w:rPr>
              <w:t>塔什库尔干县教育局各乡镇小学学生用床及其他配套生活设施设备采购项目</w:t>
            </w:r>
            <w:r>
              <w:rPr>
                <w:rFonts w:hint="eastAsia" w:ascii="仿宋" w:hAnsi="仿宋" w:eastAsia="仿宋" w:cs="仿宋"/>
                <w:color w:val="auto"/>
                <w:sz w:val="24"/>
              </w:rPr>
              <w:t>招标项目的潜在供应商应在政采云平台自行获取磋商文件，并于</w:t>
            </w:r>
            <w:r>
              <w:rPr>
                <w:rFonts w:hint="eastAsia" w:ascii="仿宋" w:hAnsi="仿宋" w:eastAsia="仿宋" w:cs="仿宋"/>
                <w:color w:val="auto"/>
                <w:sz w:val="24"/>
                <w:u w:val="single"/>
                <w:lang w:eastAsia="zh-CN"/>
              </w:rPr>
              <w:t>2023年</w:t>
            </w:r>
            <w:r>
              <w:rPr>
                <w:rFonts w:hint="eastAsia" w:ascii="仿宋" w:hAnsi="仿宋" w:eastAsia="仿宋" w:cs="仿宋"/>
                <w:color w:val="auto"/>
                <w:sz w:val="24"/>
                <w:u w:val="single"/>
                <w:lang w:val="en-US" w:eastAsia="zh-CN"/>
              </w:rPr>
              <w:t>06</w:t>
            </w:r>
            <w:r>
              <w:rPr>
                <w:rFonts w:hint="eastAsia" w:ascii="仿宋" w:hAnsi="仿宋" w:eastAsia="仿宋" w:cs="仿宋"/>
                <w:color w:val="auto"/>
                <w:sz w:val="24"/>
                <w:u w:val="single"/>
                <w:lang w:eastAsia="zh-CN"/>
              </w:rPr>
              <w:t>月</w:t>
            </w:r>
            <w:r>
              <w:rPr>
                <w:rFonts w:hint="eastAsia" w:ascii="仿宋" w:hAnsi="仿宋" w:eastAsia="仿宋" w:cs="仿宋"/>
                <w:color w:val="auto"/>
                <w:sz w:val="24"/>
                <w:u w:val="single"/>
                <w:lang w:val="en-US" w:eastAsia="zh-CN"/>
              </w:rPr>
              <w:t>14</w:t>
            </w:r>
            <w:r>
              <w:rPr>
                <w:rFonts w:hint="eastAsia" w:ascii="仿宋" w:hAnsi="仿宋" w:eastAsia="仿宋" w:cs="仿宋"/>
                <w:color w:val="auto"/>
                <w:sz w:val="24"/>
                <w:u w:val="single"/>
                <w:lang w:eastAsia="zh-CN"/>
              </w:rPr>
              <w:t>日 11:00（北京时间）</w:t>
            </w:r>
            <w:r>
              <w:rPr>
                <w:rFonts w:hint="eastAsia" w:ascii="仿宋" w:hAnsi="仿宋" w:eastAsia="仿宋" w:cs="仿宋"/>
                <w:color w:val="auto"/>
                <w:sz w:val="24"/>
              </w:rPr>
              <w:t>前递交响应文件。</w:t>
            </w:r>
          </w:p>
        </w:tc>
      </w:tr>
    </w:tbl>
    <w:p>
      <w:pPr>
        <w:spacing w:line="380" w:lineRule="exact"/>
        <w:rPr>
          <w:rFonts w:ascii="仿宋" w:hAnsi="仿宋" w:eastAsia="仿宋" w:cs="仿宋"/>
          <w:color w:val="auto"/>
          <w:sz w:val="24"/>
        </w:rPr>
      </w:pPr>
      <w:bookmarkStart w:id="226" w:name="_Toc35393621"/>
      <w:bookmarkStart w:id="227" w:name="_Toc28359002"/>
      <w:bookmarkStart w:id="228" w:name="_Toc28359079"/>
      <w:bookmarkStart w:id="229" w:name="_Toc35393790"/>
      <w:bookmarkStart w:id="230" w:name="_Hlk24379207"/>
      <w:r>
        <w:rPr>
          <w:rFonts w:hint="eastAsia" w:ascii="仿宋" w:hAnsi="仿宋" w:eastAsia="仿宋" w:cs="仿宋"/>
          <w:b/>
          <w:bCs/>
          <w:color w:val="auto"/>
          <w:sz w:val="24"/>
        </w:rPr>
        <w:t>一、项目基本情况</w:t>
      </w:r>
      <w:bookmarkEnd w:id="226"/>
      <w:bookmarkEnd w:id="227"/>
      <w:bookmarkEnd w:id="228"/>
      <w:bookmarkEnd w:id="229"/>
      <w:r>
        <w:rPr>
          <w:rFonts w:hint="eastAsia" w:ascii="仿宋" w:hAnsi="仿宋" w:eastAsia="仿宋" w:cs="仿宋"/>
          <w:color w:val="auto"/>
          <w:sz w:val="24"/>
        </w:rPr>
        <w:tab/>
      </w:r>
      <w:r>
        <w:rPr>
          <w:rFonts w:hint="eastAsia" w:ascii="仿宋" w:hAnsi="仿宋" w:eastAsia="仿宋" w:cs="仿宋"/>
          <w:color w:val="auto"/>
          <w:sz w:val="24"/>
        </w:rPr>
        <w:tab/>
      </w:r>
    </w:p>
    <w:p>
      <w:pPr>
        <w:spacing w:line="38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项目编号：</w:t>
      </w:r>
      <w:r>
        <w:rPr>
          <w:rFonts w:hint="eastAsia" w:ascii="仿宋" w:hAnsi="仿宋" w:eastAsia="仿宋" w:cs="仿宋"/>
          <w:color w:val="auto"/>
          <w:sz w:val="24"/>
          <w:lang w:val="en-US" w:eastAsia="zh-CN"/>
        </w:rPr>
        <w:t>KSTX(CS)2023-06</w:t>
      </w:r>
    </w:p>
    <w:p>
      <w:pPr>
        <w:spacing w:line="38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项目名称：</w:t>
      </w:r>
      <w:bookmarkEnd w:id="230"/>
      <w:r>
        <w:rPr>
          <w:rFonts w:hint="eastAsia" w:ascii="仿宋" w:hAnsi="仿宋" w:eastAsia="仿宋" w:cs="仿宋"/>
          <w:color w:val="auto"/>
          <w:sz w:val="24"/>
          <w:lang w:eastAsia="zh-CN"/>
        </w:rPr>
        <w:t>塔什库尔干县教育局各乡镇小学学生用床及其他配套生活设施设备采购项目</w:t>
      </w:r>
    </w:p>
    <w:p>
      <w:pPr>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采购方式：□竞争性谈判 ☑竞争性磋商 □询价</w:t>
      </w:r>
    </w:p>
    <w:p>
      <w:pPr>
        <w:spacing w:line="38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预算</w:t>
      </w:r>
      <w:r>
        <w:rPr>
          <w:rFonts w:hint="eastAsia" w:ascii="仿宋" w:hAnsi="仿宋" w:eastAsia="仿宋" w:cs="仿宋"/>
          <w:color w:val="auto"/>
          <w:sz w:val="24"/>
          <w:lang w:val="en-US" w:eastAsia="zh-CN"/>
        </w:rPr>
        <w:t>金额：162万元</w:t>
      </w:r>
    </w:p>
    <w:p>
      <w:pPr>
        <w:spacing w:line="38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最高限价：133.099</w:t>
      </w:r>
      <w:r>
        <w:rPr>
          <w:rFonts w:hint="eastAsia" w:ascii="仿宋" w:hAnsi="仿宋" w:eastAsia="仿宋" w:cs="仿宋"/>
          <w:color w:val="auto"/>
          <w:sz w:val="24"/>
          <w:lang w:eastAsia="zh-CN"/>
        </w:rPr>
        <w:t>万元</w:t>
      </w:r>
    </w:p>
    <w:p>
      <w:pPr>
        <w:spacing w:line="38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   标项名称:</w:t>
      </w:r>
      <w:r>
        <w:rPr>
          <w:rFonts w:hint="eastAsia" w:ascii="仿宋" w:hAnsi="仿宋" w:eastAsia="仿宋" w:cs="仿宋"/>
          <w:color w:val="auto"/>
          <w:sz w:val="24"/>
          <w:lang w:eastAsia="zh-CN"/>
        </w:rPr>
        <w:t>塔什库尔干县教育局各乡镇小学学生用床及其他配套生活设施设备采购项目</w:t>
      </w:r>
      <w:r>
        <w:rPr>
          <w:rFonts w:hint="eastAsia" w:ascii="仿宋" w:hAnsi="仿宋" w:eastAsia="仿宋" w:cs="仿宋"/>
          <w:color w:val="auto"/>
          <w:sz w:val="24"/>
          <w:lang w:val="en-US" w:eastAsia="zh-CN"/>
        </w:rPr>
        <w:t>一包</w:t>
      </w:r>
    </w:p>
    <w:p>
      <w:pPr>
        <w:spacing w:line="38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简要规格描述或项目基本概况介绍、用途：</w:t>
      </w:r>
      <w:r>
        <w:rPr>
          <w:rFonts w:hint="eastAsia" w:ascii="仿宋" w:hAnsi="仿宋" w:eastAsia="仿宋" w:cs="仿宋"/>
          <w:color w:val="auto"/>
          <w:sz w:val="24"/>
          <w:lang w:val="en-US" w:eastAsia="zh-CN"/>
        </w:rPr>
        <w:t>床</w:t>
      </w:r>
      <w:r>
        <w:rPr>
          <w:rFonts w:hint="eastAsia" w:ascii="仿宋" w:hAnsi="仿宋" w:eastAsia="仿宋" w:cs="仿宋"/>
          <w:color w:val="auto"/>
          <w:sz w:val="24"/>
        </w:rPr>
        <w:t>（详见</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w:t>
      </w:r>
    </w:p>
    <w:p>
      <w:pPr>
        <w:spacing w:line="3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备注：</w:t>
      </w:r>
    </w:p>
    <w:p>
      <w:pPr>
        <w:spacing w:line="380" w:lineRule="exact"/>
        <w:ind w:firstLine="480" w:firstLineChars="200"/>
        <w:rPr>
          <w:rFonts w:hint="eastAsia" w:ascii="仿宋" w:hAnsi="仿宋" w:eastAsia="仿宋" w:cs="仿宋"/>
          <w:color w:val="auto"/>
          <w:sz w:val="24"/>
        </w:rPr>
      </w:pPr>
      <w:bookmarkStart w:id="231" w:name="_Toc35393622"/>
      <w:bookmarkStart w:id="232" w:name="_Toc28359080"/>
      <w:bookmarkStart w:id="233" w:name="_Toc28359003"/>
      <w:bookmarkStart w:id="234" w:name="_Toc35393791"/>
      <w:r>
        <w:rPr>
          <w:rFonts w:hint="eastAsia" w:ascii="仿宋" w:hAnsi="仿宋" w:eastAsia="仿宋" w:cs="仿宋"/>
          <w:color w:val="auto"/>
          <w:sz w:val="24"/>
        </w:rPr>
        <w:t>合同履约期限：详见招标文件。</w:t>
      </w:r>
    </w:p>
    <w:p>
      <w:pPr>
        <w:spacing w:line="380" w:lineRule="exact"/>
        <w:rPr>
          <w:rFonts w:ascii="仿宋" w:hAnsi="仿宋" w:eastAsia="仿宋" w:cs="仿宋"/>
          <w:b/>
          <w:bCs/>
          <w:color w:val="auto"/>
          <w:sz w:val="24"/>
        </w:rPr>
      </w:pPr>
      <w:r>
        <w:rPr>
          <w:rFonts w:hint="eastAsia" w:ascii="仿宋" w:hAnsi="仿宋" w:eastAsia="仿宋" w:cs="仿宋"/>
          <w:b/>
          <w:bCs/>
          <w:color w:val="auto"/>
          <w:sz w:val="24"/>
        </w:rPr>
        <w:t>二、申请人的资格要求：</w:t>
      </w:r>
      <w:bookmarkEnd w:id="231"/>
      <w:bookmarkEnd w:id="232"/>
      <w:bookmarkEnd w:id="233"/>
      <w:bookmarkEnd w:id="234"/>
    </w:p>
    <w:p>
      <w:pPr>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pStyle w:val="26"/>
        <w:spacing w:line="380" w:lineRule="exact"/>
        <w:ind w:firstLine="480"/>
        <w:rPr>
          <w:rFonts w:hint="default" w:ascii="仿宋" w:hAnsi="仿宋" w:eastAsia="仿宋" w:cs="仿宋"/>
          <w:color w:val="auto"/>
          <w:szCs w:val="24"/>
          <w:lang w:val="en-US" w:eastAsia="zh-CN"/>
        </w:rPr>
      </w:pPr>
      <w:bookmarkStart w:id="235" w:name="_Toc28359081"/>
      <w:bookmarkStart w:id="236" w:name="_Toc28359004"/>
      <w:r>
        <w:rPr>
          <w:rFonts w:hint="eastAsia" w:ascii="仿宋" w:hAnsi="仿宋" w:eastAsia="仿宋" w:cs="仿宋"/>
          <w:color w:val="auto"/>
          <w:szCs w:val="24"/>
        </w:rPr>
        <w:t>2.落实政府采购政策需满足的资格要求：供应商为中小微企业;</w:t>
      </w:r>
    </w:p>
    <w:p>
      <w:pPr>
        <w:spacing w:line="240" w:lineRule="atLeast"/>
        <w:rPr>
          <w:rFonts w:ascii="仿宋" w:hAnsi="仿宋" w:eastAsia="仿宋" w:cs="仿宋"/>
          <w:color w:val="auto"/>
          <w:sz w:val="24"/>
          <w:lang w:val="zh-CN"/>
        </w:rPr>
      </w:pPr>
      <w:r>
        <w:rPr>
          <w:rFonts w:hint="eastAsia" w:ascii="仿宋" w:hAnsi="仿宋" w:eastAsia="仿宋" w:cs="仿宋"/>
          <w:color w:val="auto"/>
          <w:sz w:val="24"/>
          <w:lang w:val="zh-CN"/>
        </w:rPr>
        <w:t>（1）具有合法有效的营业执照；</w:t>
      </w:r>
    </w:p>
    <w:p>
      <w:pPr>
        <w:pStyle w:val="14"/>
        <w:ind w:firstLine="0" w:firstLineChars="0"/>
        <w:rPr>
          <w:color w:val="auto"/>
          <w:lang w:val="zh-CN"/>
        </w:rPr>
      </w:pPr>
      <w:r>
        <w:rPr>
          <w:rFonts w:hint="eastAsia" w:ascii="仿宋" w:hAnsi="仿宋" w:eastAsia="仿宋" w:cs="仿宋"/>
          <w:color w:val="auto"/>
          <w:kern w:val="2"/>
          <w:sz w:val="24"/>
          <w:lang w:val="zh-CN"/>
        </w:rPr>
        <w:t>（</w:t>
      </w:r>
      <w:r>
        <w:rPr>
          <w:rFonts w:hint="eastAsia" w:ascii="仿宋" w:hAnsi="仿宋" w:eastAsia="仿宋" w:cs="仿宋"/>
          <w:color w:val="auto"/>
          <w:kern w:val="2"/>
          <w:sz w:val="24"/>
        </w:rPr>
        <w:t>2</w:t>
      </w:r>
      <w:r>
        <w:rPr>
          <w:rFonts w:hint="eastAsia" w:ascii="仿宋" w:hAnsi="仿宋" w:eastAsia="仿宋" w:cs="仿宋"/>
          <w:color w:val="auto"/>
          <w:kern w:val="2"/>
          <w:sz w:val="24"/>
          <w:lang w:val="zh-CN"/>
        </w:rPr>
        <w:t>）</w:t>
      </w:r>
      <w:r>
        <w:rPr>
          <w:rFonts w:hint="eastAsia" w:ascii="仿宋" w:hAnsi="仿宋" w:eastAsia="仿宋" w:cs="仿宋"/>
          <w:color w:val="auto"/>
          <w:kern w:val="2"/>
          <w:sz w:val="24"/>
          <w:lang w:val="zh-CN" w:eastAsia="zh-CN"/>
        </w:rPr>
        <w:t>2021年度或2022年度</w:t>
      </w:r>
      <w:r>
        <w:rPr>
          <w:rFonts w:hint="eastAsia" w:ascii="仿宋" w:hAnsi="仿宋" w:eastAsia="仿宋" w:cs="仿宋"/>
          <w:color w:val="auto"/>
          <w:kern w:val="2"/>
          <w:sz w:val="24"/>
          <w:lang w:val="zh-CN"/>
        </w:rPr>
        <w:t>的财务审计报告（新成立未满一年的公司需提供有效的银行资信证明）；</w:t>
      </w:r>
    </w:p>
    <w:p>
      <w:pPr>
        <w:spacing w:line="240" w:lineRule="atLeast"/>
        <w:jc w:val="left"/>
        <w:rPr>
          <w:rFonts w:ascii="仿宋" w:hAnsi="仿宋" w:eastAsia="仿宋" w:cs="仿宋"/>
          <w:color w:val="auto"/>
          <w:sz w:val="24"/>
          <w:lang w:val="zh-CN"/>
        </w:rPr>
      </w:pPr>
      <w:r>
        <w:rPr>
          <w:rFonts w:hint="eastAsia" w:ascii="仿宋" w:hAnsi="仿宋" w:eastAsia="仿宋" w:cs="仿宋"/>
          <w:color w:val="auto"/>
          <w:sz w:val="24"/>
          <w:lang w:val="zh-CN"/>
        </w:rPr>
        <w:t>（</w:t>
      </w:r>
      <w:r>
        <w:rPr>
          <w:rFonts w:hint="eastAsia" w:ascii="仿宋" w:hAnsi="仿宋" w:eastAsia="仿宋" w:cs="仿宋"/>
          <w:color w:val="auto"/>
          <w:sz w:val="24"/>
        </w:rPr>
        <w:t>3</w:t>
      </w:r>
      <w:r>
        <w:rPr>
          <w:rFonts w:hint="eastAsia" w:ascii="仿宋" w:hAnsi="仿宋" w:eastAsia="仿宋" w:cs="仿宋"/>
          <w:color w:val="auto"/>
          <w:sz w:val="24"/>
          <w:lang w:val="zh-CN"/>
        </w:rPr>
        <w:t xml:space="preserve">）法定代表人授权书及被委托人身份证（法定代表人投标提供法定代表人身份证明及身份证）； </w:t>
      </w:r>
    </w:p>
    <w:p>
      <w:pPr>
        <w:pStyle w:val="19"/>
        <w:widowControl/>
        <w:spacing w:before="75" w:beforeAutospacing="0" w:after="75" w:afterAutospacing="0" w:line="420" w:lineRule="exact"/>
        <w:rPr>
          <w:rFonts w:ascii="仿宋" w:hAnsi="仿宋" w:eastAsia="仿宋" w:cs="仿宋"/>
          <w:color w:val="auto"/>
          <w:kern w:val="2"/>
          <w:lang w:val="zh-CN"/>
        </w:rPr>
      </w:pPr>
      <w:r>
        <w:rPr>
          <w:rFonts w:hint="eastAsia" w:ascii="仿宋" w:hAnsi="仿宋" w:eastAsia="仿宋" w:cs="仿宋"/>
          <w:color w:val="auto"/>
          <w:kern w:val="2"/>
          <w:lang w:val="zh-CN"/>
        </w:rPr>
        <w:t>（</w:t>
      </w:r>
      <w:r>
        <w:rPr>
          <w:rFonts w:hint="eastAsia" w:ascii="仿宋" w:hAnsi="仿宋" w:eastAsia="仿宋" w:cs="仿宋"/>
          <w:color w:val="auto"/>
          <w:kern w:val="2"/>
        </w:rPr>
        <w:t>4</w:t>
      </w:r>
      <w:r>
        <w:rPr>
          <w:rFonts w:hint="eastAsia" w:ascii="仿宋" w:hAnsi="仿宋" w:eastAsia="仿宋" w:cs="仿宋"/>
          <w:color w:val="auto"/>
          <w:kern w:val="2"/>
          <w:lang w:val="zh-CN"/>
        </w:rPr>
        <w:t>）参加采购活动前三年内，在经营活动中无重大违法声明；</w:t>
      </w:r>
      <w:r>
        <w:rPr>
          <w:rFonts w:hint="eastAsia" w:ascii="仿宋" w:hAnsi="仿宋" w:eastAsia="仿宋" w:cs="仿宋"/>
          <w:color w:val="auto"/>
          <w:kern w:val="2"/>
        </w:rPr>
        <w:t>提供针对本次项目《反商业贿赂承诺书》；</w:t>
      </w:r>
    </w:p>
    <w:p>
      <w:pPr>
        <w:keepNext w:val="0"/>
        <w:keepLines w:val="0"/>
        <w:pageBreakBefore w:val="0"/>
        <w:widowControl w:val="0"/>
        <w:tabs>
          <w:tab w:val="left" w:pos="5580"/>
        </w:tabs>
        <w:kinsoku/>
        <w:wordWrap/>
        <w:overflowPunct/>
        <w:topLinePunct w:val="0"/>
        <w:bidi w:val="0"/>
        <w:snapToGrid/>
        <w:spacing w:line="360" w:lineRule="auto"/>
        <w:textAlignment w:val="auto"/>
        <w:rPr>
          <w:rFonts w:hint="eastAsia" w:ascii="仿宋" w:hAnsi="仿宋" w:eastAsia="仿宋" w:cs="仿宋"/>
          <w:color w:val="auto"/>
          <w:kern w:val="2"/>
          <w:sz w:val="24"/>
          <w:szCs w:val="24"/>
          <w:lang w:val="zh-CN" w:eastAsia="zh-CN" w:bidi="ar"/>
        </w:rPr>
      </w:pPr>
      <w:r>
        <w:rPr>
          <w:rFonts w:hint="eastAsia" w:ascii="仿宋" w:hAnsi="仿宋" w:eastAsia="仿宋" w:cs="仿宋"/>
          <w:color w:val="auto"/>
          <w:kern w:val="2"/>
          <w:sz w:val="24"/>
          <w:szCs w:val="24"/>
          <w:lang w:val="zh-CN" w:eastAsia="zh-CN" w:bidi="ar"/>
        </w:rPr>
        <w:t>（5）</w:t>
      </w:r>
      <w:r>
        <w:rPr>
          <w:rFonts w:hint="eastAsia" w:ascii="仿宋" w:hAnsi="仿宋" w:eastAsia="仿宋" w:cs="仿宋"/>
          <w:color w:val="auto"/>
          <w:sz w:val="24"/>
          <w:highlight w:val="none"/>
          <w:lang w:val="en-US" w:eastAsia="zh-CN"/>
        </w:rPr>
        <w:t>提供税务部门出具的近六个月中任意一个月的完税证明，依法免税的应提供相应文件证明（完税证明或税务部门出具的其他证明，非社会保险类）及</w:t>
      </w:r>
      <w:r>
        <w:rPr>
          <w:rFonts w:hint="eastAsia" w:ascii="仿宋_GB2312" w:hAnsi="Calibri" w:eastAsia="仿宋_GB2312" w:cs="Times New Roman"/>
          <w:color w:val="auto"/>
          <w:kern w:val="2"/>
          <w:sz w:val="24"/>
          <w:szCs w:val="22"/>
          <w:highlight w:val="none"/>
          <w:lang w:val="en-US" w:eastAsia="zh-CN" w:bidi="ar-SA"/>
        </w:rPr>
        <w:t>近六个月内任意1个月缴纳社会保障金的证明；</w:t>
      </w:r>
    </w:p>
    <w:p>
      <w:pPr>
        <w:spacing w:line="240" w:lineRule="atLeast"/>
        <w:rPr>
          <w:rFonts w:ascii="仿宋" w:hAnsi="仿宋" w:eastAsia="仿宋" w:cs="仿宋"/>
          <w:b/>
          <w:bCs/>
          <w:color w:val="auto"/>
          <w:sz w:val="24"/>
          <w:lang w:val="zh-CN"/>
        </w:rPr>
      </w:pPr>
      <w:r>
        <w:rPr>
          <w:rFonts w:hint="eastAsia" w:ascii="仿宋" w:hAnsi="仿宋" w:eastAsia="仿宋" w:cs="仿宋"/>
          <w:color w:val="auto"/>
          <w:sz w:val="24"/>
          <w:lang w:val="zh-CN"/>
        </w:rPr>
        <w:t>（</w:t>
      </w:r>
      <w:r>
        <w:rPr>
          <w:rFonts w:hint="eastAsia" w:ascii="仿宋" w:hAnsi="仿宋" w:eastAsia="仿宋" w:cs="仿宋"/>
          <w:color w:val="auto"/>
          <w:sz w:val="24"/>
        </w:rPr>
        <w:t>6</w:t>
      </w:r>
      <w:r>
        <w:rPr>
          <w:rFonts w:hint="eastAsia" w:ascii="仿宋" w:hAnsi="仿宋" w:eastAsia="仿宋" w:cs="仿宋"/>
          <w:color w:val="auto"/>
          <w:sz w:val="24"/>
          <w:lang w:val="zh-CN"/>
        </w:rPr>
        <w:t>）供应商在“信用中国”（www.creditchina.gov.cn）和中国政府采购网（www.ccgp.gov.cn）网站上未列入失信被执行人、重大税收违法案件当事人名单、政府采购严重违法失信行为记录名单（财库[2016]125号）</w:t>
      </w:r>
      <w:r>
        <w:rPr>
          <w:rFonts w:hint="eastAsia" w:ascii="仿宋" w:hAnsi="仿宋" w:eastAsia="仿宋" w:cs="仿宋"/>
          <w:b/>
          <w:bCs/>
          <w:color w:val="auto"/>
          <w:sz w:val="24"/>
          <w:lang w:val="zh-CN"/>
        </w:rPr>
        <w:t>（</w:t>
      </w:r>
      <w:r>
        <w:rPr>
          <w:rFonts w:hint="eastAsia" w:ascii="仿宋" w:hAnsi="仿宋" w:eastAsia="仿宋" w:cs="仿宋"/>
          <w:b/>
          <w:bCs/>
          <w:color w:val="auto"/>
          <w:kern w:val="2"/>
          <w:sz w:val="24"/>
          <w:szCs w:val="24"/>
          <w:lang w:val="en-US" w:eastAsia="zh-CN" w:bidi="ar-SA"/>
        </w:rPr>
        <w:t>以开标现场招标代理或采购人查询为准）</w:t>
      </w:r>
      <w:r>
        <w:rPr>
          <w:rFonts w:hint="eastAsia" w:ascii="仿宋" w:hAnsi="仿宋" w:eastAsia="仿宋" w:cs="仿宋"/>
          <w:b/>
          <w:bCs/>
          <w:color w:val="auto"/>
          <w:sz w:val="24"/>
          <w:lang w:val="zh-CN"/>
        </w:rPr>
        <w:t>；</w:t>
      </w:r>
    </w:p>
    <w:p>
      <w:pPr>
        <w:spacing w:line="240" w:lineRule="atLeast"/>
        <w:ind w:firstLine="241" w:firstLineChars="100"/>
        <w:rPr>
          <w:rFonts w:hint="eastAsia" w:ascii="仿宋" w:hAnsi="仿宋" w:eastAsia="仿宋" w:cs="仿宋"/>
          <w:b/>
          <w:bCs/>
          <w:color w:val="auto"/>
          <w:sz w:val="24"/>
          <w:lang w:val="zh-CN"/>
        </w:rPr>
      </w:pPr>
      <w:r>
        <w:rPr>
          <w:rFonts w:hint="eastAsia" w:ascii="仿宋" w:hAnsi="仿宋" w:eastAsia="仿宋" w:cs="仿宋"/>
          <w:b/>
          <w:bCs/>
          <w:color w:val="auto"/>
          <w:sz w:val="24"/>
          <w:lang w:val="zh-CN"/>
        </w:rPr>
        <w:t>本项目</w:t>
      </w:r>
      <w:r>
        <w:rPr>
          <w:rFonts w:hint="eastAsia" w:ascii="仿宋" w:hAnsi="仿宋" w:eastAsia="仿宋" w:cs="仿宋"/>
          <w:b/>
          <w:bCs/>
          <w:color w:val="auto"/>
          <w:sz w:val="24"/>
          <w:lang w:val="en-US" w:eastAsia="zh-CN"/>
        </w:rPr>
        <w:t>不</w:t>
      </w:r>
      <w:r>
        <w:rPr>
          <w:rFonts w:hint="eastAsia" w:ascii="仿宋" w:hAnsi="仿宋" w:eastAsia="仿宋" w:cs="仿宋"/>
          <w:b/>
          <w:bCs/>
          <w:color w:val="auto"/>
          <w:sz w:val="24"/>
          <w:lang w:val="zh-CN"/>
        </w:rPr>
        <w:t>接受联合体投标。</w:t>
      </w:r>
    </w:p>
    <w:p>
      <w:pPr>
        <w:spacing w:line="380" w:lineRule="exact"/>
        <w:rPr>
          <w:rFonts w:ascii="仿宋" w:hAnsi="仿宋" w:eastAsia="仿宋" w:cs="仿宋"/>
          <w:b/>
          <w:bCs/>
          <w:color w:val="auto"/>
          <w:sz w:val="24"/>
        </w:rPr>
      </w:pPr>
      <w:bookmarkStart w:id="237" w:name="_Toc35393792"/>
      <w:bookmarkStart w:id="238" w:name="_Toc35393623"/>
      <w:r>
        <w:rPr>
          <w:rFonts w:hint="eastAsia" w:ascii="仿宋" w:hAnsi="仿宋" w:eastAsia="仿宋" w:cs="仿宋"/>
          <w:b/>
          <w:bCs/>
          <w:color w:val="auto"/>
          <w:sz w:val="24"/>
        </w:rPr>
        <w:t>三、获取</w:t>
      </w:r>
      <w:bookmarkEnd w:id="235"/>
      <w:bookmarkEnd w:id="236"/>
      <w:bookmarkEnd w:id="237"/>
      <w:bookmarkEnd w:id="238"/>
      <w:r>
        <w:rPr>
          <w:rFonts w:hint="eastAsia" w:ascii="仿宋" w:hAnsi="仿宋" w:eastAsia="仿宋" w:cs="仿宋"/>
          <w:b/>
          <w:bCs/>
          <w:color w:val="auto"/>
          <w:sz w:val="24"/>
        </w:rPr>
        <w:t>磋商文件</w:t>
      </w:r>
    </w:p>
    <w:p>
      <w:pPr>
        <w:spacing w:line="380" w:lineRule="exact"/>
        <w:ind w:firstLine="539"/>
        <w:rPr>
          <w:rFonts w:ascii="仿宋" w:hAnsi="仿宋" w:eastAsia="仿宋" w:cs="仿宋"/>
          <w:color w:val="auto"/>
          <w:sz w:val="24"/>
        </w:rPr>
      </w:pPr>
      <w:r>
        <w:rPr>
          <w:rFonts w:hint="eastAsia" w:ascii="仿宋" w:hAnsi="仿宋" w:eastAsia="仿宋" w:cs="仿宋"/>
          <w:color w:val="auto"/>
          <w:sz w:val="24"/>
        </w:rPr>
        <w:t>时间：</w:t>
      </w:r>
      <w:r>
        <w:rPr>
          <w:rFonts w:hint="eastAsia" w:ascii="仿宋" w:hAnsi="仿宋" w:eastAsia="仿宋" w:cs="仿宋"/>
          <w:color w:val="auto"/>
          <w:sz w:val="24"/>
          <w:u w:val="single"/>
        </w:rPr>
        <w:t>202</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u w:val="single"/>
        </w:rPr>
        <w:t>年</w:t>
      </w:r>
      <w:r>
        <w:rPr>
          <w:rFonts w:hint="eastAsia" w:ascii="仿宋" w:hAnsi="仿宋" w:eastAsia="仿宋" w:cs="仿宋"/>
          <w:color w:val="auto"/>
          <w:sz w:val="24"/>
          <w:u w:val="single"/>
          <w:lang w:val="en-US" w:eastAsia="zh-CN"/>
        </w:rPr>
        <w:t>06</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日</w:t>
      </w:r>
      <w:r>
        <w:rPr>
          <w:rFonts w:hint="eastAsia" w:ascii="仿宋" w:hAnsi="仿宋" w:eastAsia="仿宋" w:cs="仿宋"/>
          <w:color w:val="auto"/>
          <w:sz w:val="24"/>
          <w:u w:val="single"/>
          <w:lang w:val="en-US" w:eastAsia="zh-CN"/>
        </w:rPr>
        <w:t>00</w:t>
      </w:r>
      <w:r>
        <w:rPr>
          <w:rFonts w:hint="eastAsia" w:ascii="仿宋" w:hAnsi="仿宋" w:eastAsia="仿宋" w:cs="仿宋"/>
          <w:color w:val="auto"/>
          <w:sz w:val="24"/>
          <w:u w:val="single"/>
        </w:rPr>
        <w:t>时00分</w:t>
      </w:r>
      <w:r>
        <w:rPr>
          <w:rFonts w:hint="eastAsia" w:ascii="仿宋" w:hAnsi="仿宋" w:eastAsia="仿宋" w:cs="仿宋"/>
          <w:color w:val="auto"/>
          <w:sz w:val="24"/>
        </w:rPr>
        <w:t>至</w:t>
      </w:r>
      <w:r>
        <w:rPr>
          <w:rFonts w:hint="eastAsia" w:ascii="仿宋" w:hAnsi="仿宋" w:eastAsia="仿宋" w:cs="仿宋"/>
          <w:color w:val="auto"/>
          <w:sz w:val="24"/>
          <w:u w:val="single"/>
        </w:rPr>
        <w:t>202</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u w:val="single"/>
        </w:rPr>
        <w:t>年</w:t>
      </w:r>
      <w:r>
        <w:rPr>
          <w:rFonts w:hint="eastAsia" w:ascii="仿宋" w:hAnsi="仿宋" w:eastAsia="仿宋" w:cs="仿宋"/>
          <w:color w:val="auto"/>
          <w:sz w:val="24"/>
          <w:u w:val="single"/>
          <w:lang w:val="en-US" w:eastAsia="zh-CN"/>
        </w:rPr>
        <w:t>06</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09</w:t>
      </w:r>
      <w:r>
        <w:rPr>
          <w:rFonts w:hint="eastAsia" w:ascii="仿宋" w:hAnsi="仿宋" w:eastAsia="仿宋" w:cs="仿宋"/>
          <w:color w:val="auto"/>
          <w:sz w:val="24"/>
          <w:u w:val="single"/>
        </w:rPr>
        <w:t>日</w:t>
      </w:r>
      <w:r>
        <w:rPr>
          <w:rFonts w:hint="eastAsia" w:ascii="仿宋" w:hAnsi="仿宋" w:eastAsia="仿宋" w:cs="仿宋"/>
          <w:color w:val="auto"/>
          <w:sz w:val="24"/>
          <w:u w:val="single"/>
          <w:lang w:val="en-US" w:eastAsia="zh-CN"/>
        </w:rPr>
        <w:t>23</w:t>
      </w:r>
      <w:r>
        <w:rPr>
          <w:rFonts w:hint="eastAsia" w:ascii="仿宋" w:hAnsi="仿宋" w:eastAsia="仿宋" w:cs="仿宋"/>
          <w:color w:val="auto"/>
          <w:sz w:val="24"/>
          <w:u w:val="single"/>
        </w:rPr>
        <w:t>时</w:t>
      </w:r>
      <w:r>
        <w:rPr>
          <w:rFonts w:hint="eastAsia" w:ascii="仿宋" w:hAnsi="仿宋" w:eastAsia="仿宋" w:cs="仿宋"/>
          <w:color w:val="auto"/>
          <w:sz w:val="24"/>
          <w:u w:val="single"/>
          <w:lang w:val="en-US" w:eastAsia="zh-CN"/>
        </w:rPr>
        <w:t>59</w:t>
      </w:r>
      <w:r>
        <w:rPr>
          <w:rFonts w:hint="eastAsia" w:ascii="仿宋" w:hAnsi="仿宋" w:eastAsia="仿宋" w:cs="仿宋"/>
          <w:color w:val="auto"/>
          <w:sz w:val="24"/>
          <w:u w:val="single"/>
        </w:rPr>
        <w:t>分</w:t>
      </w:r>
      <w:r>
        <w:rPr>
          <w:rFonts w:hint="eastAsia" w:ascii="仿宋" w:hAnsi="仿宋" w:eastAsia="仿宋" w:cs="仿宋"/>
          <w:color w:val="auto"/>
          <w:sz w:val="24"/>
        </w:rPr>
        <w:t>，（北京时间，法定节假日除外）</w:t>
      </w:r>
    </w:p>
    <w:p>
      <w:pPr>
        <w:pStyle w:val="8"/>
        <w:spacing w:before="5" w:line="242" w:lineRule="auto"/>
        <w:ind w:left="255" w:right="151" w:firstLine="240" w:firstLineChars="100"/>
        <w:rPr>
          <w:rFonts w:ascii="仿宋" w:hAnsi="仿宋" w:eastAsia="仿宋" w:cs="仿宋"/>
          <w:color w:val="auto"/>
        </w:rPr>
      </w:pPr>
      <w:r>
        <w:rPr>
          <w:rFonts w:hint="eastAsia" w:ascii="仿宋" w:hAnsi="仿宋" w:eastAsia="仿宋" w:cs="仿宋"/>
          <w:color w:val="auto"/>
        </w:rPr>
        <w:t>地点：供应商登陆政采云平台http://www.zcygov.cn/，在线申请获取采购文件（登录政府采购云平台 → 项目采购 → 获取 采购文件→ 申请，审核通过后可下载采购文件，如有操作性问题，可与政采云在线客服进行咨询，咨询电话：400-881-7190）。</w:t>
      </w:r>
    </w:p>
    <w:p>
      <w:pPr>
        <w:pStyle w:val="8"/>
        <w:spacing w:before="5" w:line="242" w:lineRule="auto"/>
        <w:ind w:left="255" w:right="151" w:firstLine="240" w:firstLineChars="100"/>
        <w:rPr>
          <w:rFonts w:ascii="仿宋" w:hAnsi="仿宋" w:eastAsia="仿宋" w:cs="仿宋"/>
          <w:color w:val="auto"/>
        </w:rPr>
      </w:pPr>
      <w:r>
        <w:rPr>
          <w:rFonts w:hint="eastAsia" w:ascii="仿宋" w:hAnsi="仿宋" w:eastAsia="仿宋" w:cs="仿宋"/>
          <w:color w:val="auto"/>
        </w:rPr>
        <w:t>方式：（1）线上获取（登录政府采购云平台 → 项目采购 → 获取采购文件 → 申请，审核通过后可下载采购文件）。</w:t>
      </w:r>
    </w:p>
    <w:p>
      <w:pPr>
        <w:pStyle w:val="8"/>
        <w:spacing w:before="5" w:line="242" w:lineRule="auto"/>
        <w:ind w:left="255" w:right="151"/>
        <w:rPr>
          <w:rFonts w:ascii="仿宋" w:hAnsi="仿宋" w:eastAsia="仿宋" w:cs="仿宋"/>
          <w:color w:val="auto"/>
        </w:rPr>
      </w:pPr>
      <w:r>
        <w:rPr>
          <w:rFonts w:hint="eastAsia" w:ascii="仿宋" w:hAnsi="仿宋" w:eastAsia="仿宋" w:cs="仿宋"/>
          <w:color w:val="auto"/>
        </w:rPr>
        <w:t>（2）供应商获取采购文件前应注册成为政府采购云平台正式供应商。</w:t>
      </w:r>
    </w:p>
    <w:p>
      <w:pPr>
        <w:pStyle w:val="8"/>
        <w:spacing w:before="5" w:line="242" w:lineRule="auto"/>
        <w:ind w:right="151" w:firstLine="240" w:firstLineChars="100"/>
        <w:rPr>
          <w:rFonts w:ascii="仿宋" w:hAnsi="仿宋" w:eastAsia="仿宋" w:cs="仿宋"/>
          <w:color w:val="auto"/>
        </w:rPr>
      </w:pPr>
      <w:r>
        <w:rPr>
          <w:rFonts w:hint="eastAsia" w:ascii="仿宋" w:hAnsi="仿宋" w:eastAsia="仿宋" w:cs="仿宋"/>
          <w:color w:val="auto"/>
        </w:rPr>
        <w:t>售价（元）：0</w:t>
      </w:r>
    </w:p>
    <w:p>
      <w:pPr>
        <w:spacing w:line="380" w:lineRule="exact"/>
        <w:rPr>
          <w:rFonts w:ascii="仿宋" w:hAnsi="仿宋" w:eastAsia="仿宋" w:cs="仿宋"/>
          <w:color w:val="FF0000"/>
          <w:sz w:val="24"/>
        </w:rPr>
      </w:pPr>
      <w:bookmarkStart w:id="239" w:name="_Toc35393793"/>
      <w:bookmarkStart w:id="240" w:name="_Toc28359005"/>
      <w:bookmarkStart w:id="241" w:name="_Toc35393624"/>
      <w:bookmarkStart w:id="242" w:name="_Toc28359082"/>
      <w:r>
        <w:rPr>
          <w:rFonts w:hint="eastAsia" w:ascii="仿宋" w:hAnsi="仿宋" w:eastAsia="仿宋" w:cs="仿宋"/>
          <w:color w:val="auto"/>
          <w:sz w:val="24"/>
        </w:rPr>
        <w:t>四、</w:t>
      </w:r>
      <w:bookmarkEnd w:id="239"/>
      <w:bookmarkEnd w:id="240"/>
      <w:bookmarkEnd w:id="241"/>
      <w:bookmarkEnd w:id="242"/>
      <w:r>
        <w:rPr>
          <w:rFonts w:hint="eastAsia" w:ascii="仿宋" w:hAnsi="仿宋" w:eastAsia="仿宋" w:cs="仿宋"/>
          <w:color w:val="auto"/>
          <w:sz w:val="24"/>
        </w:rPr>
        <w:t>响应文件提交</w:t>
      </w:r>
    </w:p>
    <w:p>
      <w:pPr>
        <w:spacing w:line="380" w:lineRule="exact"/>
        <w:ind w:firstLine="540"/>
        <w:rPr>
          <w:rFonts w:ascii="仿宋" w:hAnsi="仿宋" w:eastAsia="仿宋" w:cs="仿宋"/>
          <w:color w:val="auto"/>
          <w:sz w:val="24"/>
        </w:rPr>
      </w:pPr>
      <w:r>
        <w:rPr>
          <w:rFonts w:hint="eastAsia" w:ascii="仿宋" w:hAnsi="仿宋" w:eastAsia="仿宋" w:cs="仿宋"/>
          <w:color w:val="auto"/>
          <w:sz w:val="24"/>
        </w:rPr>
        <w:t>截止时间：</w:t>
      </w:r>
      <w:r>
        <w:rPr>
          <w:rFonts w:hint="eastAsia" w:ascii="仿宋" w:hAnsi="仿宋" w:eastAsia="仿宋" w:cs="仿宋"/>
          <w:color w:val="auto"/>
          <w:sz w:val="24"/>
          <w:lang w:eastAsia="zh-CN"/>
        </w:rPr>
        <w:t>2023年0</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14</w:t>
      </w:r>
      <w:r>
        <w:rPr>
          <w:rFonts w:hint="eastAsia" w:ascii="仿宋" w:hAnsi="仿宋" w:eastAsia="仿宋" w:cs="仿宋"/>
          <w:color w:val="auto"/>
          <w:sz w:val="24"/>
          <w:lang w:eastAsia="zh-CN"/>
        </w:rPr>
        <w:t>日 11:00（北京时间）</w:t>
      </w:r>
    </w:p>
    <w:p>
      <w:pPr>
        <w:spacing w:line="380" w:lineRule="exact"/>
        <w:ind w:firstLine="540"/>
        <w:rPr>
          <w:rFonts w:ascii="仿宋" w:hAnsi="仿宋" w:eastAsia="仿宋" w:cs="仿宋"/>
          <w:color w:val="auto"/>
          <w:sz w:val="24"/>
        </w:rPr>
      </w:pPr>
      <w:r>
        <w:rPr>
          <w:rFonts w:hint="eastAsia" w:ascii="仿宋" w:hAnsi="仿宋" w:eastAsia="仿宋" w:cs="仿宋"/>
          <w:color w:val="auto"/>
          <w:sz w:val="24"/>
        </w:rPr>
        <w:t>地    点：新疆政采云平台https://www.zcygov.cn</w:t>
      </w:r>
    </w:p>
    <w:p>
      <w:pPr>
        <w:spacing w:line="380" w:lineRule="exact"/>
        <w:rPr>
          <w:rFonts w:ascii="仿宋" w:hAnsi="仿宋" w:eastAsia="仿宋" w:cs="仿宋"/>
          <w:color w:val="auto"/>
          <w:sz w:val="24"/>
        </w:rPr>
      </w:pPr>
      <w:r>
        <w:rPr>
          <w:rFonts w:hint="eastAsia" w:ascii="仿宋" w:hAnsi="仿宋" w:eastAsia="仿宋" w:cs="仿宋"/>
          <w:color w:val="auto"/>
          <w:sz w:val="24"/>
        </w:rPr>
        <w:t>五、响应文件开启</w:t>
      </w:r>
    </w:p>
    <w:p>
      <w:pPr>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开启时间：</w:t>
      </w:r>
      <w:r>
        <w:rPr>
          <w:rFonts w:hint="eastAsia" w:ascii="仿宋" w:hAnsi="仿宋" w:eastAsia="仿宋" w:cs="仿宋"/>
          <w:color w:val="auto"/>
          <w:sz w:val="24"/>
          <w:lang w:eastAsia="zh-CN"/>
        </w:rPr>
        <w:t>2023年0</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14</w:t>
      </w:r>
      <w:r>
        <w:rPr>
          <w:rFonts w:hint="eastAsia" w:ascii="仿宋" w:hAnsi="仿宋" w:eastAsia="仿宋" w:cs="仿宋"/>
          <w:color w:val="auto"/>
          <w:sz w:val="24"/>
          <w:lang w:eastAsia="zh-CN"/>
        </w:rPr>
        <w:t>日 11:00（北京时间）</w:t>
      </w:r>
    </w:p>
    <w:p>
      <w:pPr>
        <w:spacing w:line="380" w:lineRule="exact"/>
        <w:ind w:firstLine="480" w:firstLineChars="200"/>
        <w:rPr>
          <w:rFonts w:hint="default" w:ascii="仿宋" w:hAnsi="仿宋" w:eastAsia="仿宋" w:cs="仿宋"/>
          <w:color w:val="FF0000"/>
          <w:sz w:val="24"/>
          <w:lang w:val="en-US" w:eastAsia="zh-CN"/>
        </w:rPr>
      </w:pPr>
      <w:r>
        <w:rPr>
          <w:rFonts w:hint="eastAsia" w:ascii="仿宋" w:hAnsi="仿宋" w:eastAsia="仿宋" w:cs="仿宋"/>
          <w:color w:val="auto"/>
          <w:sz w:val="24"/>
        </w:rPr>
        <w:t>地    点：新疆天智达项目管理咨询有限公司（新疆喀什地区喀什市库木德尔瓦扎街道玉吉米力克社区5组20号）</w:t>
      </w:r>
    </w:p>
    <w:p>
      <w:pPr>
        <w:pStyle w:val="19"/>
        <w:widowControl/>
        <w:spacing w:before="170" w:beforeAutospacing="0" w:after="170" w:afterAutospacing="0" w:line="380" w:lineRule="exact"/>
        <w:jc w:val="both"/>
        <w:rPr>
          <w:rFonts w:ascii="仿宋" w:hAnsi="仿宋" w:eastAsia="仿宋" w:cs="仿宋"/>
          <w:kern w:val="2"/>
        </w:rPr>
      </w:pPr>
      <w:r>
        <w:rPr>
          <w:rFonts w:hint="eastAsia" w:ascii="仿宋" w:hAnsi="仿宋" w:eastAsia="仿宋" w:cs="仿宋"/>
          <w:color w:val="auto"/>
          <w:kern w:val="2"/>
        </w:rPr>
        <w:t>六、公告期限 </w:t>
      </w:r>
    </w:p>
    <w:p>
      <w:pPr>
        <w:pStyle w:val="19"/>
        <w:widowControl/>
        <w:spacing w:before="50" w:beforeAutospacing="0" w:after="50" w:afterAutospacing="0" w:line="380" w:lineRule="exact"/>
        <w:rPr>
          <w:rFonts w:ascii="仿宋" w:hAnsi="仿宋" w:eastAsia="仿宋" w:cs="仿宋"/>
          <w:kern w:val="2"/>
        </w:rPr>
      </w:pPr>
      <w:r>
        <w:rPr>
          <w:rFonts w:hint="eastAsia" w:ascii="仿宋" w:hAnsi="仿宋" w:eastAsia="仿宋" w:cs="仿宋"/>
          <w:kern w:val="2"/>
        </w:rPr>
        <w:t>    自本公告发布之日起5个工作日。</w:t>
      </w:r>
    </w:p>
    <w:p>
      <w:pPr>
        <w:pStyle w:val="19"/>
        <w:widowControl/>
        <w:numPr>
          <w:ilvl w:val="0"/>
          <w:numId w:val="5"/>
        </w:numPr>
        <w:spacing w:before="170" w:beforeAutospacing="0" w:after="170" w:afterAutospacing="0" w:line="380" w:lineRule="exact"/>
        <w:jc w:val="both"/>
        <w:rPr>
          <w:rFonts w:hint="eastAsia" w:ascii="仿宋" w:hAnsi="仿宋" w:eastAsia="仿宋" w:cs="仿宋"/>
          <w:b/>
          <w:bCs/>
          <w:sz w:val="22"/>
          <w:szCs w:val="22"/>
        </w:rPr>
      </w:pPr>
      <w:r>
        <w:rPr>
          <w:rFonts w:hint="eastAsia" w:ascii="仿宋" w:hAnsi="仿宋" w:eastAsia="仿宋" w:cs="仿宋"/>
          <w:kern w:val="2"/>
        </w:rPr>
        <w:t>其他补充事宜</w:t>
      </w:r>
      <w:bookmarkStart w:id="243" w:name="_Toc35393796"/>
      <w:bookmarkStart w:id="244" w:name="_Toc35393627"/>
      <w:bookmarkStart w:id="245" w:name="_Toc28359085"/>
      <w:bookmarkStart w:id="246" w:name="_Toc28359008"/>
      <w:r>
        <w:rPr>
          <w:rFonts w:hint="eastAsia" w:ascii="仿宋" w:hAnsi="仿宋" w:eastAsia="仿宋" w:cs="仿宋"/>
          <w:b/>
          <w:bCs/>
          <w:sz w:val="22"/>
          <w:szCs w:val="22"/>
        </w:rPr>
        <w:br w:type="textWrapping"/>
      </w:r>
      <w:r>
        <w:rPr>
          <w:rFonts w:hint="eastAsia" w:ascii="仿宋" w:hAnsi="仿宋" w:eastAsia="仿宋" w:cs="仿宋"/>
          <w:b/>
          <w:bCs/>
          <w:sz w:val="22"/>
          <w:szCs w:val="22"/>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 2.本项目实行网上投标，采用电子投标文件(供应商须使用CA加密设备通过政采云电子投标客户端制作投标文件)。若供应商参与投标，自行承担投标一切费用。 3.各供应商应在开标前应确保成为新疆政府采购网正式注册入库供应商，并完成CA数字证书申领。因未注册入库、未办理CA数字证书等原因造成无法投标或投标失败等后果由供应商自行承担。 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 5.供应商在开标时须使用制作加密电子投标文件所使用的CA锁及电脑，电脑须提前配置好浏览器（建议使用360浏览器或谷歌浏览器），以便开标时解锁。 6.投标保证金缴纳及确认时间：凡拟参加本次招标项目的供应商，必须在开标前将投标保证金汇入指定账户。否则，届时其投标将被拒绝。 7.供应商对不见面开评标系统的技术操作咨询，可通过https://edu.zcygov.cn/luban/xinjiang-e-biding自助查询，也可在政采云帮助中心常见问题解答和操作流程讲解视频中自助查询，网址为：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b/>
          <w:bCs/>
          <w:sz w:val="22"/>
          <w:szCs w:val="22"/>
        </w:rPr>
        <w:fldChar w:fldCharType="separate"/>
      </w:r>
      <w:r>
        <w:rPr>
          <w:rStyle w:val="23"/>
          <w:rFonts w:hint="eastAsia" w:ascii="仿宋" w:hAnsi="仿宋" w:eastAsia="仿宋" w:cs="仿宋"/>
          <w:b/>
          <w:bCs/>
          <w:sz w:val="22"/>
          <w:szCs w:val="22"/>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b/>
          <w:bCs/>
          <w:sz w:val="22"/>
          <w:szCs w:val="22"/>
        </w:rPr>
        <w:fldChar w:fldCharType="end"/>
      </w:r>
    </w:p>
    <w:p>
      <w:pPr>
        <w:pStyle w:val="19"/>
        <w:widowControl/>
        <w:numPr>
          <w:ilvl w:val="0"/>
          <w:numId w:val="0"/>
        </w:numPr>
        <w:spacing w:before="170" w:beforeAutospacing="0" w:after="170" w:afterAutospacing="0" w:line="380" w:lineRule="exact"/>
        <w:ind w:right="0" w:rightChars="0"/>
        <w:jc w:val="both"/>
        <w:rPr>
          <w:rFonts w:ascii="仿宋" w:hAnsi="仿宋" w:eastAsia="仿宋" w:cs="仿宋"/>
          <w:b/>
          <w:bCs/>
          <w:sz w:val="22"/>
          <w:szCs w:val="22"/>
        </w:rPr>
      </w:pPr>
      <w:r>
        <w:rPr>
          <w:rFonts w:hint="eastAsia" w:ascii="仿宋" w:hAnsi="仿宋" w:eastAsia="仿宋" w:cs="仿宋"/>
          <w:b/>
          <w:bCs/>
          <w:sz w:val="22"/>
          <w:szCs w:val="22"/>
        </w:rPr>
        <w:t>特别提示：</w:t>
      </w:r>
    </w:p>
    <w:p>
      <w:pPr>
        <w:spacing w:line="380" w:lineRule="exact"/>
        <w:rPr>
          <w:rFonts w:ascii="仿宋" w:hAnsi="仿宋" w:eastAsia="仿宋" w:cs="仿宋"/>
          <w:b/>
          <w:bCs/>
          <w:sz w:val="22"/>
          <w:szCs w:val="22"/>
        </w:rPr>
      </w:pPr>
      <w:r>
        <w:rPr>
          <w:rFonts w:hint="eastAsia" w:ascii="仿宋" w:hAnsi="仿宋" w:eastAsia="仿宋" w:cs="仿宋"/>
          <w:b/>
          <w:bCs/>
          <w:sz w:val="22"/>
          <w:szCs w:val="22"/>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80" w:lineRule="exact"/>
        <w:rPr>
          <w:rFonts w:ascii="仿宋" w:hAnsi="仿宋" w:eastAsia="仿宋" w:cs="仿宋"/>
          <w:b/>
          <w:bCs/>
          <w:sz w:val="22"/>
          <w:szCs w:val="22"/>
        </w:rPr>
      </w:pPr>
      <w:r>
        <w:rPr>
          <w:rFonts w:hint="eastAsia" w:ascii="仿宋" w:hAnsi="仿宋" w:eastAsia="仿宋" w:cs="仿宋"/>
          <w:b/>
          <w:bCs/>
          <w:sz w:val="22"/>
          <w:szCs w:val="22"/>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80" w:lineRule="exact"/>
        <w:rPr>
          <w:rFonts w:ascii="仿宋" w:hAnsi="仿宋" w:eastAsia="仿宋" w:cs="仿宋"/>
          <w:b/>
          <w:bCs/>
          <w:sz w:val="22"/>
          <w:szCs w:val="22"/>
        </w:rPr>
      </w:pPr>
      <w:r>
        <w:rPr>
          <w:rFonts w:hint="eastAsia" w:ascii="仿宋" w:hAnsi="仿宋" w:eastAsia="仿宋" w:cs="仿宋"/>
          <w:b/>
          <w:bCs/>
          <w:sz w:val="22"/>
          <w:szCs w:val="2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80" w:lineRule="exact"/>
        <w:rPr>
          <w:rFonts w:ascii="仿宋" w:hAnsi="仿宋" w:eastAsia="仿宋" w:cs="仿宋"/>
          <w:b/>
          <w:bCs/>
          <w:sz w:val="24"/>
        </w:rPr>
      </w:pPr>
      <w:r>
        <w:rPr>
          <w:rFonts w:hint="eastAsia" w:ascii="仿宋" w:hAnsi="仿宋" w:eastAsia="仿宋" w:cs="仿宋"/>
          <w:sz w:val="24"/>
        </w:rPr>
        <w:t>八、对本次招标提出询问，请按以下方式联系。</w:t>
      </w:r>
      <w:bookmarkEnd w:id="243"/>
      <w:bookmarkEnd w:id="244"/>
      <w:bookmarkEnd w:id="245"/>
      <w:bookmarkEnd w:id="246"/>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1.采购人信息</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名 称：塔什库尔干塔吉克自治县教育和科学技术局</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地 址：塔什库尔干塔吉克自治县</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联系方式：13999649790</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2.采购代理机构信息</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名 称：</w:t>
      </w:r>
      <w:r>
        <w:rPr>
          <w:rFonts w:hint="eastAsia" w:ascii="仿宋" w:hAnsi="仿宋" w:eastAsia="仿宋" w:cs="仿宋"/>
          <w:sz w:val="24"/>
          <w:lang w:val="en-US" w:eastAsia="zh-CN"/>
        </w:rPr>
        <w:t>塔什库尔干县政府采购中心</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地 址：</w:t>
      </w:r>
      <w:r>
        <w:rPr>
          <w:rFonts w:hint="eastAsia" w:ascii="仿宋" w:hAnsi="仿宋" w:eastAsia="仿宋" w:cs="仿宋"/>
          <w:sz w:val="24"/>
          <w:lang w:val="en-US" w:eastAsia="zh-CN"/>
        </w:rPr>
        <w:t>塔什库尔干县审批局二楼</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联系方式：</w:t>
      </w:r>
      <w:r>
        <w:rPr>
          <w:rFonts w:hint="eastAsia" w:ascii="仿宋" w:hAnsi="仿宋" w:eastAsia="仿宋" w:cs="仿宋"/>
          <w:sz w:val="24"/>
          <w:lang w:val="en-US" w:eastAsia="zh-CN"/>
        </w:rPr>
        <w:t>13899135173</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3.项目联系方式</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项目联系人：</w:t>
      </w:r>
      <w:r>
        <w:rPr>
          <w:rFonts w:hint="eastAsia" w:ascii="仿宋" w:hAnsi="仿宋" w:eastAsia="仿宋" w:cs="仿宋"/>
          <w:sz w:val="24"/>
          <w:lang w:val="en-US" w:eastAsia="zh-CN"/>
        </w:rPr>
        <w:t>尼加提</w:t>
      </w:r>
      <w:r>
        <w:rPr>
          <w:rFonts w:hint="default" w:ascii="仿宋" w:hAnsi="仿宋" w:eastAsia="仿宋" w:cs="仿宋"/>
          <w:sz w:val="24"/>
          <w:lang w:val="en-US" w:eastAsia="zh-CN"/>
        </w:rPr>
        <w:t xml:space="preserve">   电 话：</w:t>
      </w:r>
      <w:r>
        <w:rPr>
          <w:rFonts w:hint="eastAsia" w:ascii="仿宋" w:hAnsi="仿宋" w:eastAsia="仿宋" w:cs="仿宋"/>
          <w:sz w:val="24"/>
          <w:lang w:val="en-US" w:eastAsia="zh-CN"/>
        </w:rPr>
        <w:t>13899135173</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color w:val="auto"/>
          <w:highlight w:val="none"/>
          <w:u w:val="single"/>
          <w:lang w:val="en-US" w:eastAsia="zh-CN"/>
        </w:rPr>
      </w:pPr>
      <w:r>
        <w:rPr>
          <w:rFonts w:hint="default" w:ascii="仿宋" w:hAnsi="仿宋" w:eastAsia="仿宋" w:cs="仿宋"/>
          <w:color w:val="auto"/>
          <w:highlight w:val="none"/>
          <w:u w:val="single"/>
          <w:lang w:val="en-US" w:eastAsia="zh-CN"/>
        </w:rPr>
        <w:br w:type="page"/>
      </w:r>
    </w:p>
    <w:p>
      <w:pPr>
        <w:pStyle w:val="3"/>
        <w:pageBreakBefore w:val="0"/>
        <w:widowControl w:val="0"/>
        <w:numPr>
          <w:ilvl w:val="0"/>
          <w:numId w:val="0"/>
        </w:numPr>
        <w:tabs>
          <w:tab w:val="left" w:pos="0"/>
        </w:tabs>
        <w:kinsoku/>
        <w:wordWrap/>
        <w:overflowPunct/>
        <w:topLinePunct w:val="0"/>
        <w:bidi w:val="0"/>
        <w:snapToGrid/>
        <w:spacing w:before="0" w:after="0" w:line="360" w:lineRule="auto"/>
        <w:ind w:leftChars="0"/>
        <w:jc w:val="center"/>
        <w:textAlignment w:val="auto"/>
        <w:rPr>
          <w:rFonts w:hint="eastAsia" w:ascii="仿宋" w:hAnsi="仿宋" w:eastAsia="仿宋" w:cs="仿宋"/>
          <w:b w:val="0"/>
          <w:color w:val="auto"/>
          <w:szCs w:val="32"/>
          <w:highlight w:val="none"/>
        </w:rPr>
      </w:pPr>
      <w:r>
        <w:rPr>
          <w:rFonts w:hint="eastAsia" w:ascii="仿宋" w:hAnsi="仿宋" w:eastAsia="仿宋" w:cs="仿宋"/>
          <w:b/>
          <w:color w:val="auto"/>
          <w:highlight w:val="none"/>
          <w:lang w:val="en-US" w:eastAsia="zh-CN"/>
        </w:rPr>
        <w:t>第4章</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须知资料表</w:t>
      </w:r>
      <w:bookmarkEnd w:id="221"/>
      <w:bookmarkEnd w:id="222"/>
      <w:bookmarkEnd w:id="223"/>
      <w:bookmarkEnd w:id="224"/>
    </w:p>
    <w:bookmarkEnd w:id="225"/>
    <w:p>
      <w:pPr>
        <w:pageBreakBefore w:val="0"/>
        <w:widowControl w:val="0"/>
        <w:kinsoku/>
        <w:wordWrap/>
        <w:overflowPunct/>
        <w:topLinePunct w:val="0"/>
        <w:bidi w:val="0"/>
        <w:snapToGrid/>
        <w:spacing w:line="360" w:lineRule="auto"/>
        <w:ind w:firstLine="360" w:firstLineChars="1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本表是本招标项目的具体资料，是对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须知的具体补充和修改，如有矛盾，应</w:t>
      </w:r>
      <w:r>
        <w:rPr>
          <w:rFonts w:hint="eastAsia" w:ascii="仿宋" w:hAnsi="仿宋" w:eastAsia="仿宋" w:cs="仿宋"/>
          <w:b/>
          <w:color w:val="auto"/>
          <w:sz w:val="24"/>
          <w:highlight w:val="none"/>
        </w:rPr>
        <w:t>以本资料表为准</w:t>
      </w:r>
      <w:r>
        <w:rPr>
          <w:rFonts w:hint="eastAsia" w:ascii="仿宋" w:hAnsi="仿宋" w:eastAsia="仿宋" w:cs="仿宋"/>
          <w:color w:val="auto"/>
          <w:sz w:val="24"/>
          <w:highlight w:val="none"/>
        </w:rPr>
        <w:t>。</w:t>
      </w:r>
    </w:p>
    <w:tbl>
      <w:tblPr>
        <w:tblStyle w:val="24"/>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73"/>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6" w:hRule="atLeast"/>
          <w:jc w:val="center"/>
        </w:trPr>
        <w:tc>
          <w:tcPr>
            <w:tcW w:w="1473" w:type="dxa"/>
            <w:shd w:val="clear" w:color="auto" w:fill="FEFEFE"/>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条款号</w:t>
            </w:r>
          </w:p>
        </w:tc>
        <w:tc>
          <w:tcPr>
            <w:tcW w:w="7486" w:type="dxa"/>
            <w:shd w:val="clear" w:color="auto" w:fill="FEFEFE"/>
            <w:vAlign w:val="center"/>
          </w:tcPr>
          <w:p>
            <w:pPr>
              <w:spacing w:line="240" w:lineRule="atLeast"/>
              <w:jc w:val="center"/>
              <w:rPr>
                <w:rFonts w:hint="eastAsia" w:ascii="仿宋" w:hAnsi="仿宋" w:eastAsia="仿宋" w:cs="仿宋"/>
                <w:b/>
                <w:color w:val="000000"/>
                <w:sz w:val="24"/>
                <w:highlight w:val="none"/>
                <w:shd w:val="clear" w:color="auto" w:fill="auto"/>
              </w:rPr>
            </w:pPr>
            <w:r>
              <w:rPr>
                <w:rFonts w:hint="eastAsia" w:ascii="仿宋" w:hAnsi="仿宋" w:eastAsia="仿宋" w:cs="仿宋"/>
                <w:b/>
                <w:color w:val="000000"/>
                <w:sz w:val="24"/>
                <w:highlight w:val="none"/>
                <w:shd w:val="clear" w:color="auto" w:fill="auto"/>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41"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w:t>
            </w:r>
          </w:p>
        </w:tc>
        <w:tc>
          <w:tcPr>
            <w:tcW w:w="7486" w:type="dxa"/>
            <w:shd w:val="clear" w:color="auto" w:fill="EBEBEB"/>
            <w:vAlign w:val="center"/>
          </w:tcPr>
          <w:p>
            <w:pPr>
              <w:pStyle w:val="14"/>
              <w:spacing w:line="360" w:lineRule="auto"/>
              <w:ind w:left="0" w:leftChars="0" w:firstLine="0" w:firstLineChars="0"/>
              <w:rPr>
                <w:rFonts w:hint="default" w:ascii="仿宋" w:hAnsi="仿宋" w:eastAsia="仿宋" w:cs="仿宋"/>
                <w:color w:val="000000"/>
                <w:sz w:val="24"/>
                <w:highlight w:val="none"/>
                <w:shd w:val="clear" w:color="auto" w:fill="auto"/>
                <w:lang w:val="en-US" w:eastAsia="zh-CN"/>
              </w:rPr>
            </w:pPr>
            <w:r>
              <w:rPr>
                <w:rFonts w:hint="default" w:ascii="仿宋" w:hAnsi="仿宋" w:eastAsia="仿宋" w:cs="仿宋"/>
                <w:color w:val="000000"/>
                <w:sz w:val="24"/>
                <w:highlight w:val="none"/>
                <w:shd w:val="clear" w:color="auto" w:fill="auto"/>
                <w:lang w:val="en-US"/>
              </w:rPr>
              <w:t>采 购 人：</w:t>
            </w:r>
            <w:r>
              <w:rPr>
                <w:rFonts w:hint="default" w:ascii="仿宋" w:hAnsi="仿宋" w:eastAsia="仿宋" w:cs="仿宋"/>
                <w:color w:val="000000"/>
                <w:sz w:val="24"/>
                <w:highlight w:val="none"/>
                <w:shd w:val="clear" w:color="auto" w:fill="auto"/>
                <w:lang w:val="en-US" w:eastAsia="zh-CN"/>
              </w:rPr>
              <w:t>塔什库尔干塔吉克自治县教育和科学技术局</w:t>
            </w:r>
          </w:p>
          <w:p>
            <w:pPr>
              <w:pStyle w:val="14"/>
              <w:spacing w:line="360" w:lineRule="auto"/>
              <w:ind w:left="0" w:leftChars="0" w:firstLine="0" w:firstLineChars="0"/>
              <w:rPr>
                <w:rFonts w:hint="default" w:ascii="仿宋" w:hAnsi="仿宋" w:eastAsia="仿宋" w:cs="仿宋"/>
                <w:color w:val="000000"/>
                <w:sz w:val="24"/>
                <w:highlight w:val="none"/>
                <w:shd w:val="clear" w:color="auto" w:fill="auto"/>
                <w:lang w:val="en-US" w:eastAsia="zh-CN"/>
              </w:rPr>
            </w:pPr>
            <w:r>
              <w:rPr>
                <w:rFonts w:hint="default" w:ascii="仿宋" w:hAnsi="仿宋" w:eastAsia="仿宋" w:cs="仿宋"/>
                <w:color w:val="000000"/>
                <w:sz w:val="24"/>
                <w:highlight w:val="none"/>
                <w:shd w:val="clear" w:color="auto" w:fill="auto"/>
                <w:lang w:val="en-US"/>
              </w:rPr>
              <w:t>联 系 人：</w:t>
            </w:r>
            <w:r>
              <w:rPr>
                <w:rFonts w:hint="default" w:ascii="仿宋" w:hAnsi="仿宋" w:eastAsia="仿宋" w:cs="仿宋"/>
                <w:color w:val="000000"/>
                <w:sz w:val="24"/>
                <w:highlight w:val="none"/>
                <w:shd w:val="clear" w:color="auto" w:fill="auto"/>
                <w:lang w:val="en-US" w:eastAsia="zh-CN"/>
              </w:rPr>
              <w:t>卡拉米丁·阿曼比克</w:t>
            </w:r>
          </w:p>
          <w:p>
            <w:pPr>
              <w:pStyle w:val="14"/>
              <w:spacing w:line="360" w:lineRule="auto"/>
              <w:ind w:left="0" w:leftChars="0" w:firstLine="0" w:firstLineChars="0"/>
              <w:rPr>
                <w:rFonts w:hint="default" w:ascii="仿宋" w:hAnsi="仿宋" w:eastAsia="仿宋" w:cs="仿宋"/>
                <w:color w:val="000000"/>
                <w:sz w:val="24"/>
                <w:highlight w:val="none"/>
                <w:shd w:val="clear" w:color="auto" w:fill="auto"/>
                <w:lang w:val="en-US"/>
              </w:rPr>
            </w:pPr>
            <w:r>
              <w:rPr>
                <w:rFonts w:hint="default" w:ascii="仿宋" w:hAnsi="仿宋" w:eastAsia="仿宋" w:cs="仿宋"/>
                <w:color w:val="000000"/>
                <w:sz w:val="24"/>
                <w:highlight w:val="none"/>
                <w:shd w:val="clear" w:color="auto" w:fill="auto"/>
                <w:lang w:val="en-US"/>
              </w:rPr>
              <w:t>联系方式：</w:t>
            </w:r>
            <w:r>
              <w:rPr>
                <w:rFonts w:hint="default" w:ascii="仿宋" w:hAnsi="仿宋" w:eastAsia="仿宋" w:cs="仿宋"/>
                <w:color w:val="000000"/>
                <w:sz w:val="24"/>
                <w:highlight w:val="none"/>
                <w:shd w:val="clear" w:color="auto" w:fill="auto"/>
                <w:lang w:val="en-US" w:eastAsia="zh-CN"/>
              </w:rPr>
              <w:t>13999649790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1" w:hRule="atLeast"/>
          <w:jc w:val="center"/>
        </w:trPr>
        <w:tc>
          <w:tcPr>
            <w:tcW w:w="1473" w:type="dxa"/>
            <w:shd w:val="clear" w:color="auto" w:fill="E0E0E0"/>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2</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采购代理机构：</w:t>
            </w:r>
            <w:r>
              <w:rPr>
                <w:rFonts w:hint="eastAsia" w:ascii="仿宋" w:hAnsi="仿宋" w:eastAsia="仿宋" w:cs="仿宋"/>
                <w:color w:val="000000"/>
                <w:sz w:val="24"/>
                <w:highlight w:val="none"/>
                <w:shd w:val="clear" w:color="auto" w:fill="auto"/>
                <w:lang w:val="en-US" w:eastAsia="zh-CN"/>
              </w:rPr>
              <w:t>塔什库尔干县政府采购中心</w:t>
            </w:r>
          </w:p>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rPr>
              <w:t>联系人：</w:t>
            </w:r>
            <w:r>
              <w:rPr>
                <w:rFonts w:hint="eastAsia" w:ascii="仿宋" w:hAnsi="仿宋" w:eastAsia="仿宋" w:cs="仿宋"/>
                <w:color w:val="000000"/>
                <w:sz w:val="24"/>
                <w:highlight w:val="none"/>
                <w:shd w:val="clear" w:color="auto" w:fill="auto"/>
                <w:lang w:val="en-US" w:eastAsia="zh-CN"/>
              </w:rPr>
              <w:t>尼加提</w:t>
            </w:r>
          </w:p>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电话：</w:t>
            </w:r>
            <w:r>
              <w:rPr>
                <w:rFonts w:hint="eastAsia" w:ascii="仿宋" w:hAnsi="仿宋" w:eastAsia="仿宋" w:cs="仿宋"/>
                <w:color w:val="000000"/>
                <w:sz w:val="24"/>
                <w:highlight w:val="none"/>
                <w:shd w:val="clear" w:color="auto" w:fill="auto"/>
                <w:lang w:val="en-US" w:eastAsia="zh-CN"/>
              </w:rPr>
              <w:t>13899135173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3</w:t>
            </w:r>
          </w:p>
        </w:tc>
        <w:tc>
          <w:tcPr>
            <w:tcW w:w="7486" w:type="dxa"/>
            <w:shd w:val="clear" w:color="auto" w:fill="EBEBEB"/>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1.满足《中华人民共和国政府采购法》第二十二条规定；</w:t>
            </w:r>
          </w:p>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2.落实政府采购政策需满足的资格要求：供应商为中小微企业;</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（1）具有合法有效的营业执照；</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2</w:t>
            </w: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2021年度或2022年度</w:t>
            </w:r>
            <w:r>
              <w:rPr>
                <w:rFonts w:hint="eastAsia" w:ascii="仿宋" w:hAnsi="仿宋" w:eastAsia="仿宋" w:cs="仿宋"/>
                <w:color w:val="000000"/>
                <w:sz w:val="24"/>
                <w:highlight w:val="none"/>
                <w:shd w:val="clear" w:color="auto" w:fill="auto"/>
                <w:lang w:val="zh-CN" w:eastAsia="zh-CN"/>
              </w:rPr>
              <w:t>的财务审计报告（新成立未满一年的公司需提供有效的银行资信证明）；</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3</w:t>
            </w:r>
            <w:r>
              <w:rPr>
                <w:rFonts w:hint="eastAsia" w:ascii="仿宋" w:hAnsi="仿宋" w:eastAsia="仿宋" w:cs="仿宋"/>
                <w:color w:val="000000"/>
                <w:sz w:val="24"/>
                <w:highlight w:val="none"/>
                <w:shd w:val="clear" w:color="auto" w:fill="auto"/>
                <w:lang w:val="zh-CN" w:eastAsia="zh-CN"/>
              </w:rPr>
              <w:t xml:space="preserve">）法定代表人授权书及被委托人身份证（法定代表人投标提供法定代表人身份证明及身份证）； </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4</w:t>
            </w:r>
            <w:r>
              <w:rPr>
                <w:rFonts w:hint="eastAsia" w:ascii="仿宋" w:hAnsi="仿宋" w:eastAsia="仿宋" w:cs="仿宋"/>
                <w:color w:val="000000"/>
                <w:sz w:val="24"/>
                <w:highlight w:val="none"/>
                <w:shd w:val="clear" w:color="auto" w:fill="auto"/>
                <w:lang w:val="zh-CN" w:eastAsia="zh-CN"/>
              </w:rPr>
              <w:t>）参加采购活动前三年内，在经营活动中无重大违法声明；</w:t>
            </w:r>
            <w:r>
              <w:rPr>
                <w:rFonts w:hint="eastAsia" w:ascii="仿宋" w:hAnsi="仿宋" w:eastAsia="仿宋" w:cs="仿宋"/>
                <w:color w:val="000000"/>
                <w:sz w:val="24"/>
                <w:highlight w:val="none"/>
                <w:shd w:val="clear" w:color="auto" w:fill="auto"/>
                <w:lang w:val="en-US" w:eastAsia="zh-CN"/>
              </w:rPr>
              <w:t>提供针对本次项目《反商业贿赂承诺书》；</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en-US" w:eastAsia="zh-CN"/>
              </w:rPr>
              <w:t>（5）提供税务部门出具的近六个月任意一个月的税收证明（完税证明或税务部门出具的其他证明，非社会保险类）及近六个月内任意1个月缴纳社会保障金的证明；</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6</w:t>
            </w:r>
            <w:r>
              <w:rPr>
                <w:rFonts w:hint="eastAsia" w:ascii="仿宋" w:hAnsi="仿宋" w:eastAsia="仿宋" w:cs="仿宋"/>
                <w:color w:val="000000"/>
                <w:sz w:val="24"/>
                <w:highlight w:val="none"/>
                <w:shd w:val="clear" w:color="auto" w:fill="auto"/>
                <w:lang w:val="zh-CN" w:eastAsia="zh-CN"/>
              </w:rPr>
              <w:t>）投标人在“信用中国”（www.creditchina.gov.cn）和中国政府采购网（www.ccgp.gov.cn）网站上未列入失信被执行人、重大税收违法案件当事人名单、政府采购严重违法失信行为记录名单（财库[2016]125号）（以开标现场招标代理或采购人查询为准）；</w:t>
            </w:r>
          </w:p>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7</w:t>
            </w: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磋商保证金缴纳凭证；</w:t>
            </w:r>
          </w:p>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b/>
                <w:bCs/>
                <w:color w:val="000000"/>
                <w:sz w:val="24"/>
                <w:highlight w:val="none"/>
                <w:shd w:val="clear" w:color="auto" w:fill="auto"/>
                <w:lang w:val="zh-CN" w:eastAsia="zh-CN"/>
              </w:rPr>
              <w:t>本项目</w:t>
            </w:r>
            <w:r>
              <w:rPr>
                <w:rFonts w:hint="eastAsia" w:ascii="仿宋" w:hAnsi="仿宋" w:eastAsia="仿宋" w:cs="仿宋"/>
                <w:b/>
                <w:bCs/>
                <w:color w:val="000000"/>
                <w:sz w:val="24"/>
                <w:highlight w:val="none"/>
                <w:shd w:val="clear" w:color="auto" w:fill="auto"/>
                <w:lang w:val="en-US" w:eastAsia="zh-CN"/>
              </w:rPr>
              <w:t>不</w:t>
            </w:r>
            <w:r>
              <w:rPr>
                <w:rFonts w:hint="eastAsia" w:ascii="仿宋" w:hAnsi="仿宋" w:eastAsia="仿宋" w:cs="仿宋"/>
                <w:b/>
                <w:bCs/>
                <w:color w:val="000000"/>
                <w:sz w:val="24"/>
                <w:highlight w:val="none"/>
                <w:shd w:val="clear" w:color="auto" w:fill="auto"/>
                <w:lang w:val="zh-CN" w:eastAsia="zh-CN"/>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7" w:hRule="atLeast"/>
          <w:jc w:val="center"/>
        </w:trPr>
        <w:tc>
          <w:tcPr>
            <w:tcW w:w="1473" w:type="dxa"/>
            <w:shd w:val="clear" w:color="auto" w:fill="E0E0E0"/>
            <w:vAlign w:val="center"/>
          </w:tcPr>
          <w:p>
            <w:pPr>
              <w:spacing w:line="240" w:lineRule="atLeast"/>
              <w:ind w:left="1080" w:leftChars="257" w:hanging="540"/>
              <w:rPr>
                <w:rFonts w:hint="eastAsia" w:ascii="仿宋" w:hAnsi="仿宋" w:eastAsia="仿宋" w:cs="仿宋"/>
                <w:b w:val="0"/>
                <w:bCs w:val="0"/>
                <w:color w:val="000000"/>
                <w:sz w:val="24"/>
                <w:highlight w:val="none"/>
                <w:shd w:val="clear" w:color="auto" w:fill="auto"/>
                <w:lang w:eastAsia="zh-CN"/>
              </w:rPr>
            </w:pPr>
            <w:r>
              <w:rPr>
                <w:rFonts w:hint="eastAsia" w:ascii="仿宋" w:hAnsi="仿宋" w:eastAsia="仿宋" w:cs="仿宋"/>
                <w:b w:val="0"/>
                <w:bCs w:val="0"/>
                <w:color w:val="000000"/>
                <w:sz w:val="24"/>
                <w:highlight w:val="none"/>
                <w:shd w:val="clear" w:color="auto" w:fill="auto"/>
                <w:lang w:val="en-US" w:eastAsia="zh-CN"/>
              </w:rPr>
              <w:t>4</w:t>
            </w:r>
          </w:p>
        </w:tc>
        <w:tc>
          <w:tcPr>
            <w:tcW w:w="7486" w:type="dxa"/>
            <w:shd w:val="clear" w:color="auto" w:fill="E0E0E0"/>
            <w:vAlign w:val="center"/>
          </w:tcPr>
          <w:p>
            <w:pPr>
              <w:pStyle w:val="26"/>
              <w:spacing w:line="380" w:lineRule="exact"/>
              <w:ind w:left="0" w:leftChars="0" w:firstLine="0" w:firstLineChars="0"/>
              <w:rPr>
                <w:rFonts w:hint="eastAsia" w:ascii="仿宋" w:hAnsi="仿宋" w:eastAsia="仿宋" w:cs="仿宋"/>
                <w:b w:val="0"/>
                <w:bCs w:val="0"/>
                <w:color w:val="000000"/>
                <w:sz w:val="24"/>
                <w:szCs w:val="32"/>
                <w:highlight w:val="none"/>
                <w:shd w:val="clear" w:color="auto" w:fill="auto"/>
                <w:lang w:eastAsia="zh-CN"/>
              </w:rPr>
            </w:pPr>
            <w:r>
              <w:rPr>
                <w:rFonts w:hint="eastAsia" w:ascii="仿宋" w:hAnsi="仿宋" w:eastAsia="仿宋" w:cs="仿宋"/>
                <w:b w:val="0"/>
                <w:bCs w:val="0"/>
                <w:color w:val="000000"/>
                <w:sz w:val="24"/>
                <w:szCs w:val="32"/>
                <w:highlight w:val="none"/>
                <w:shd w:val="clear" w:color="auto" w:fill="auto"/>
              </w:rPr>
              <w:t>是否为专门面向中小企业采购：</w:t>
            </w:r>
            <w:r>
              <w:rPr>
                <w:rFonts w:hint="eastAsia" w:ascii="仿宋" w:hAnsi="仿宋" w:eastAsia="仿宋" w:cs="仿宋"/>
                <w:b w:val="0"/>
                <w:bCs w:val="0"/>
                <w:color w:val="000000"/>
                <w:sz w:val="24"/>
                <w:szCs w:val="32"/>
                <w:highlight w:val="none"/>
                <w:shd w:val="clear" w:color="auto" w:fill="auto"/>
                <w:lang w:eastAsia="zh-CN"/>
              </w:rPr>
              <w:t>是</w:t>
            </w:r>
          </w:p>
          <w:p>
            <w:pPr>
              <w:pStyle w:val="26"/>
              <w:spacing w:line="380" w:lineRule="exact"/>
              <w:ind w:left="0" w:leftChars="0" w:firstLine="0" w:firstLineChars="0"/>
              <w:rPr>
                <w:rFonts w:hint="eastAsia"/>
                <w:b w:val="0"/>
                <w:bCs w:val="0"/>
                <w:color w:val="00000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8"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b w:val="0"/>
                <w:bCs w:val="0"/>
                <w:color w:val="000000"/>
                <w:sz w:val="24"/>
                <w:highlight w:val="none"/>
                <w:shd w:val="clear" w:color="auto" w:fill="auto"/>
                <w:lang w:eastAsia="zh-CN"/>
              </w:rPr>
            </w:pPr>
            <w:r>
              <w:rPr>
                <w:rFonts w:hint="eastAsia" w:ascii="仿宋" w:hAnsi="仿宋" w:eastAsia="仿宋" w:cs="仿宋"/>
                <w:b w:val="0"/>
                <w:bCs w:val="0"/>
                <w:color w:val="000000"/>
                <w:sz w:val="24"/>
                <w:highlight w:val="none"/>
                <w:shd w:val="clear" w:color="auto" w:fill="auto"/>
                <w:lang w:val="en-US" w:eastAsia="zh-CN"/>
              </w:rPr>
              <w:t>5</w:t>
            </w:r>
          </w:p>
        </w:tc>
        <w:tc>
          <w:tcPr>
            <w:tcW w:w="7486" w:type="dxa"/>
            <w:shd w:val="clear" w:color="auto" w:fill="EBEBEB"/>
            <w:vAlign w:val="center"/>
          </w:tcPr>
          <w:p>
            <w:pPr>
              <w:spacing w:line="360" w:lineRule="auto"/>
              <w:rPr>
                <w:rFonts w:hint="eastAsia" w:ascii="仿宋" w:hAnsi="仿宋" w:eastAsia="仿宋" w:cs="仿宋"/>
                <w:b w:val="0"/>
                <w:bCs w:val="0"/>
                <w:color w:val="000000"/>
                <w:sz w:val="24"/>
                <w:highlight w:val="none"/>
                <w:shd w:val="clear" w:color="auto" w:fill="auto"/>
              </w:rPr>
            </w:pPr>
            <w:r>
              <w:rPr>
                <w:rFonts w:hint="eastAsia" w:ascii="仿宋" w:hAnsi="仿宋" w:eastAsia="仿宋" w:cs="仿宋"/>
                <w:b w:val="0"/>
                <w:bCs w:val="0"/>
                <w:i w:val="0"/>
                <w:iCs w:val="0"/>
                <w:color w:val="000000"/>
                <w:sz w:val="24"/>
                <w:highlight w:val="none"/>
                <w:shd w:val="clear" w:color="auto" w:fill="auto"/>
              </w:rPr>
              <w:t>是否允许联合体投标：</w:t>
            </w:r>
            <w:r>
              <w:rPr>
                <w:rFonts w:hint="eastAsia" w:ascii="仿宋" w:hAnsi="仿宋" w:eastAsia="仿宋" w:cs="仿宋"/>
                <w:b w:val="0"/>
                <w:bCs w:val="0"/>
                <w:i w:val="0"/>
                <w:iCs w:val="0"/>
                <w:color w:val="000000"/>
                <w:sz w:val="24"/>
                <w:highlight w:val="none"/>
                <w:u w:val="single"/>
                <w:shd w:val="clear" w:color="auto" w:fill="auto"/>
              </w:rPr>
              <w:t xml:space="preserve"> </w:t>
            </w:r>
            <w:r>
              <w:rPr>
                <w:rFonts w:hint="eastAsia" w:ascii="仿宋" w:hAnsi="仿宋" w:eastAsia="仿宋" w:cs="仿宋"/>
                <w:b w:val="0"/>
                <w:bCs w:val="0"/>
                <w:i w:val="0"/>
                <w:iCs w:val="0"/>
                <w:color w:val="000000"/>
                <w:sz w:val="24"/>
                <w:highlight w:val="none"/>
                <w:u w:val="single"/>
                <w:shd w:val="clear" w:color="auto" w:fill="auto"/>
                <w:lang w:val="en-US" w:eastAsia="zh-CN"/>
              </w:rPr>
              <w:t>否</w:t>
            </w:r>
            <w:r>
              <w:rPr>
                <w:rFonts w:hint="eastAsia" w:ascii="仿宋" w:hAnsi="仿宋" w:eastAsia="仿宋" w:cs="仿宋"/>
                <w:b w:val="0"/>
                <w:bCs w:val="0"/>
                <w:i w:val="0"/>
                <w:iCs w:val="0"/>
                <w:color w:val="000000"/>
                <w:sz w:val="24"/>
                <w:highlight w:val="none"/>
                <w:u w:val="single"/>
                <w:shd w:val="clear" w:color="auto" w:fill="auto"/>
              </w:rPr>
              <w:t xml:space="preserve"> </w:t>
            </w:r>
            <w:r>
              <w:rPr>
                <w:rFonts w:hint="eastAsia" w:ascii="仿宋" w:hAnsi="仿宋" w:eastAsia="仿宋" w:cs="仿宋"/>
                <w:b w:val="0"/>
                <w:bCs w:val="0"/>
                <w:i w:val="0"/>
                <w:iCs w:val="0"/>
                <w:color w:val="000000"/>
                <w:sz w:val="24"/>
                <w:highlight w:val="none"/>
                <w:shd w:val="clear" w:color="auto" w:fil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eastAsia" w:ascii="仿宋" w:hAnsi="仿宋" w:eastAsia="仿宋" w:cs="仿宋"/>
                <w:b w:val="0"/>
                <w:bCs w:val="0"/>
                <w:color w:val="000000"/>
                <w:sz w:val="24"/>
                <w:highlight w:val="none"/>
                <w:shd w:val="clear" w:color="auto" w:fill="auto"/>
                <w:lang w:eastAsia="zh-CN"/>
              </w:rPr>
            </w:pPr>
            <w:r>
              <w:rPr>
                <w:rFonts w:hint="eastAsia" w:ascii="仿宋" w:hAnsi="仿宋" w:eastAsia="仿宋" w:cs="仿宋"/>
                <w:b w:val="0"/>
                <w:bCs w:val="0"/>
                <w:color w:val="000000"/>
                <w:sz w:val="24"/>
                <w:highlight w:val="none"/>
                <w:shd w:val="clear" w:color="auto" w:fill="auto"/>
                <w:lang w:val="en-US" w:eastAsia="zh-CN"/>
              </w:rPr>
              <w:t>6</w:t>
            </w:r>
          </w:p>
        </w:tc>
        <w:tc>
          <w:tcPr>
            <w:tcW w:w="7486" w:type="dxa"/>
            <w:shd w:val="clear" w:color="auto" w:fill="E0E0E0"/>
            <w:vAlign w:val="center"/>
          </w:tcPr>
          <w:p>
            <w:pPr>
              <w:spacing w:line="360" w:lineRule="auto"/>
              <w:rPr>
                <w:rFonts w:hint="eastAsia" w:ascii="仿宋" w:hAnsi="仿宋" w:eastAsia="仿宋" w:cs="仿宋"/>
                <w:b w:val="0"/>
                <w:bCs w:val="0"/>
                <w:color w:val="000000"/>
                <w:sz w:val="24"/>
                <w:highlight w:val="none"/>
                <w:shd w:val="clear" w:color="auto" w:fill="auto"/>
                <w:lang w:val="en-US" w:eastAsia="zh-CN"/>
              </w:rPr>
            </w:pPr>
            <w:r>
              <w:rPr>
                <w:rFonts w:hint="eastAsia" w:ascii="仿宋" w:hAnsi="仿宋" w:eastAsia="仿宋" w:cs="仿宋"/>
                <w:b w:val="0"/>
                <w:bCs w:val="0"/>
                <w:color w:val="000000"/>
                <w:sz w:val="24"/>
                <w:highlight w:val="none"/>
                <w:shd w:val="clear" w:color="auto" w:fill="auto"/>
              </w:rPr>
              <w:t>联合体的其他资格要求：</w:t>
            </w:r>
            <w:r>
              <w:rPr>
                <w:rFonts w:hint="eastAsia" w:ascii="仿宋" w:hAnsi="仿宋" w:eastAsia="仿宋" w:cs="仿宋"/>
                <w:b w:val="0"/>
                <w:bCs w:val="0"/>
                <w:color w:val="000000"/>
                <w:sz w:val="24"/>
                <w:highlight w:val="none"/>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45"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lang w:val="en-US" w:eastAsia="zh-CN"/>
              </w:rPr>
              <w:t>7</w:t>
            </w:r>
          </w:p>
        </w:tc>
        <w:tc>
          <w:tcPr>
            <w:tcW w:w="7486" w:type="dxa"/>
            <w:shd w:val="clear" w:color="auto" w:fill="EBEBEB"/>
            <w:vAlign w:val="center"/>
          </w:tcPr>
          <w:p>
            <w:pPr>
              <w:spacing w:line="360" w:lineRule="auto"/>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本项目最高限价：1330990.00元</w:t>
            </w:r>
          </w:p>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注：各投标人投标报价高于最高限价的做无效投标处理。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8</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如投标商对多个分包进行投标，可以中标</w:t>
            </w:r>
            <w:r>
              <w:rPr>
                <w:rFonts w:hint="eastAsia" w:ascii="仿宋" w:hAnsi="仿宋" w:eastAsia="仿宋" w:cs="仿宋"/>
                <w:color w:val="000000"/>
                <w:sz w:val="24"/>
                <w:highlight w:val="none"/>
                <w:u w:val="single"/>
                <w:shd w:val="clear" w:color="auto" w:fill="auto"/>
              </w:rPr>
              <w:t xml:space="preserve">  </w:t>
            </w:r>
            <w:r>
              <w:rPr>
                <w:rFonts w:hint="eastAsia" w:ascii="仿宋" w:hAnsi="仿宋" w:eastAsia="仿宋" w:cs="仿宋"/>
                <w:color w:val="000000"/>
                <w:sz w:val="24"/>
                <w:highlight w:val="none"/>
                <w:u w:val="single"/>
                <w:shd w:val="clear" w:color="auto" w:fill="auto"/>
                <w:lang w:val="en-US" w:eastAsia="zh-CN"/>
              </w:rPr>
              <w:t>/</w:t>
            </w:r>
            <w:r>
              <w:rPr>
                <w:rFonts w:hint="eastAsia" w:ascii="仿宋" w:hAnsi="仿宋" w:eastAsia="仿宋" w:cs="仿宋"/>
                <w:color w:val="000000"/>
                <w:sz w:val="24"/>
                <w:highlight w:val="none"/>
                <w:u w:val="single"/>
                <w:shd w:val="clear" w:color="auto" w:fill="auto"/>
              </w:rPr>
              <w:t xml:space="preserve"> </w:t>
            </w:r>
            <w:r>
              <w:rPr>
                <w:rFonts w:hint="eastAsia" w:ascii="仿宋" w:hAnsi="仿宋" w:eastAsia="仿宋" w:cs="仿宋"/>
                <w:color w:val="000000"/>
                <w:sz w:val="24"/>
                <w:highlight w:val="none"/>
                <w:shd w:val="clear" w:color="auto" w:fill="auto"/>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28"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lang w:val="en-US" w:eastAsia="zh-CN"/>
              </w:rPr>
              <w:t>9</w:t>
            </w:r>
          </w:p>
        </w:tc>
        <w:tc>
          <w:tcPr>
            <w:tcW w:w="7486" w:type="dxa"/>
            <w:shd w:val="clear" w:color="auto" w:fill="EBEBEB"/>
            <w:vAlign w:val="center"/>
          </w:tcPr>
          <w:p>
            <w:pPr>
              <w:pStyle w:val="27"/>
              <w:tabs>
                <w:tab w:val="left" w:pos="2435"/>
                <w:tab w:val="left" w:pos="3395"/>
              </w:tabs>
              <w:spacing w:before="3" w:line="360" w:lineRule="auto"/>
              <w:ind w:left="35"/>
              <w:rPr>
                <w:rFonts w:hint="eastAsia" w:ascii="仿宋" w:hAnsi="仿宋" w:eastAsia="仿宋"/>
                <w:color w:val="000000"/>
                <w:sz w:val="24"/>
                <w:highlight w:val="none"/>
                <w:shd w:val="clear" w:color="auto" w:fill="auto"/>
              </w:rPr>
            </w:pPr>
            <w:r>
              <w:rPr>
                <w:rFonts w:hint="eastAsia" w:ascii="仿宋" w:hAnsi="仿宋" w:eastAsia="仿宋"/>
                <w:color w:val="000000"/>
                <w:sz w:val="24"/>
                <w:highlight w:val="none"/>
                <w:shd w:val="clear" w:color="auto" w:fill="auto"/>
              </w:rPr>
              <w:t>保证金形式：</w:t>
            </w:r>
            <w:r>
              <w:rPr>
                <w:rFonts w:hint="eastAsia" w:ascii="MS UI Gothic" w:hAnsi="MS UI Gothic"/>
                <w:color w:val="000000"/>
                <w:sz w:val="24"/>
                <w:highlight w:val="none"/>
                <w:shd w:val="clear" w:color="auto" w:fill="auto"/>
                <w:lang w:eastAsia="zh-CN"/>
              </w:rPr>
              <w:t>☑</w:t>
            </w:r>
            <w:r>
              <w:rPr>
                <w:rFonts w:hint="eastAsia" w:ascii="仿宋" w:hAnsi="仿宋" w:eastAsia="仿宋" w:cs="Times New Roman"/>
                <w:color w:val="000000"/>
                <w:sz w:val="24"/>
                <w:highlight w:val="none"/>
                <w:shd w:val="clear" w:color="auto" w:fill="auto"/>
                <w:lang w:val="en-US" w:eastAsia="zh-CN"/>
              </w:rPr>
              <w:t>电子</w:t>
            </w:r>
            <w:r>
              <w:rPr>
                <w:rFonts w:hint="eastAsia" w:ascii="仿宋" w:hAnsi="仿宋" w:eastAsia="仿宋" w:cs="Times New Roman"/>
                <w:color w:val="000000"/>
                <w:sz w:val="24"/>
                <w:highlight w:val="none"/>
                <w:shd w:val="clear" w:color="auto" w:fill="auto"/>
              </w:rPr>
              <w:t>保</w:t>
            </w:r>
            <w:r>
              <w:rPr>
                <w:rFonts w:hint="eastAsia" w:ascii="仿宋" w:hAnsi="仿宋" w:eastAsia="仿宋"/>
                <w:color w:val="000000"/>
                <w:sz w:val="24"/>
                <w:highlight w:val="none"/>
                <w:shd w:val="clear" w:color="auto" w:fill="auto"/>
              </w:rPr>
              <w:t>函</w:t>
            </w:r>
            <w:r>
              <w:rPr>
                <w:rFonts w:hint="eastAsia" w:ascii="MS UI Gothic" w:hAnsi="MS UI Gothic" w:eastAsia="MS UI Gothic"/>
                <w:color w:val="000000"/>
                <w:sz w:val="24"/>
                <w:highlight w:val="none"/>
                <w:shd w:val="clear" w:color="auto" w:fill="auto"/>
              </w:rPr>
              <w:t>☑</w:t>
            </w:r>
            <w:r>
              <w:rPr>
                <w:rFonts w:hint="eastAsia" w:ascii="仿宋" w:hAnsi="仿宋" w:eastAsia="仿宋"/>
                <w:color w:val="000000"/>
                <w:sz w:val="24"/>
                <w:highlight w:val="none"/>
                <w:shd w:val="clear" w:color="auto" w:fill="auto"/>
              </w:rPr>
              <w:t>电汇</w:t>
            </w:r>
            <w:r>
              <w:rPr>
                <w:rFonts w:hint="eastAsia" w:ascii="MS UI Gothic" w:hAnsi="MS UI Gothic"/>
                <w:color w:val="000000"/>
                <w:sz w:val="24"/>
                <w:highlight w:val="none"/>
                <w:shd w:val="clear" w:color="auto" w:fill="auto"/>
                <w:lang w:eastAsia="zh-CN"/>
              </w:rPr>
              <w:t>☑</w:t>
            </w:r>
            <w:r>
              <w:rPr>
                <w:rFonts w:hint="eastAsia" w:ascii="仿宋" w:hAnsi="仿宋" w:eastAsia="仿宋"/>
                <w:color w:val="000000"/>
                <w:sz w:val="24"/>
                <w:highlight w:val="none"/>
                <w:u w:val="none"/>
                <w:shd w:val="clear" w:color="auto" w:fill="auto"/>
              </w:rPr>
              <w:t>网银</w:t>
            </w:r>
            <w:r>
              <w:rPr>
                <w:rFonts w:hint="eastAsia" w:ascii="仿宋" w:hAnsi="仿宋" w:eastAsia="仿宋"/>
                <w:color w:val="000000"/>
                <w:sz w:val="24"/>
                <w:highlight w:val="none"/>
                <w:shd w:val="clear" w:color="auto" w:fill="auto"/>
              </w:rPr>
              <w:t xml:space="preserve">（本项目允许的其他形式） </w:t>
            </w:r>
          </w:p>
          <w:p>
            <w:pPr>
              <w:spacing w:line="360" w:lineRule="auto"/>
              <w:rPr>
                <w:rFonts w:hint="default" w:ascii="仿宋" w:hAnsi="仿宋" w:eastAsia="仿宋" w:cs="仿宋"/>
                <w:color w:val="000000"/>
                <w:sz w:val="24"/>
                <w:highlight w:val="none"/>
                <w:shd w:val="clear" w:color="auto" w:fill="auto"/>
                <w:lang w:val="en-US" w:eastAsia="zh-CN"/>
              </w:rPr>
            </w:pPr>
            <w:r>
              <w:rPr>
                <w:rFonts w:hint="eastAsia" w:ascii="仿宋" w:hAnsi="仿宋" w:eastAsia="仿宋"/>
                <w:color w:val="000000"/>
                <w:sz w:val="24"/>
                <w:highlight w:val="none"/>
                <w:shd w:val="clear" w:color="auto" w:fill="auto"/>
              </w:rPr>
              <w:t>保证金数额：</w:t>
            </w:r>
            <w:r>
              <w:rPr>
                <w:rFonts w:hint="eastAsia" w:ascii="仿宋" w:hAnsi="仿宋" w:eastAsia="仿宋" w:cs="仿宋"/>
                <w:color w:val="000000"/>
                <w:sz w:val="24"/>
                <w:highlight w:val="none"/>
                <w:shd w:val="clear" w:color="auto" w:fill="auto"/>
                <w:lang w:val="en-US" w:eastAsia="zh-CN"/>
              </w:rPr>
              <w:t>26000.00元</w:t>
            </w:r>
          </w:p>
          <w:p>
            <w:pPr>
              <w:pStyle w:val="27"/>
              <w:tabs>
                <w:tab w:val="left" w:pos="2435"/>
                <w:tab w:val="left" w:pos="3395"/>
              </w:tabs>
              <w:spacing w:before="3" w:line="360" w:lineRule="auto"/>
              <w:ind w:left="35"/>
              <w:rPr>
                <w:rFonts w:hint="eastAsia" w:ascii="仿宋" w:eastAsia="仿宋"/>
                <w:color w:val="000000"/>
                <w:sz w:val="24"/>
                <w:highlight w:val="none"/>
                <w:shd w:val="clear" w:color="auto" w:fill="auto"/>
              </w:rPr>
            </w:pPr>
            <w:r>
              <w:rPr>
                <w:rFonts w:hint="eastAsia" w:ascii="仿宋" w:eastAsia="仿宋"/>
                <w:color w:val="000000"/>
                <w:sz w:val="24"/>
                <w:highlight w:val="none"/>
                <w:shd w:val="clear" w:color="auto" w:fill="auto"/>
              </w:rPr>
              <w:t>（按照</w:t>
            </w:r>
            <w:r>
              <w:rPr>
                <w:rFonts w:hint="eastAsia" w:ascii="仿宋" w:eastAsia="仿宋"/>
                <w:color w:val="000000"/>
                <w:sz w:val="24"/>
                <w:highlight w:val="none"/>
                <w:shd w:val="clear" w:color="auto" w:fill="auto"/>
                <w:lang w:val="en-US" w:eastAsia="zh-CN"/>
              </w:rPr>
              <w:t>最高限价</w:t>
            </w:r>
            <w:r>
              <w:rPr>
                <w:rFonts w:hint="eastAsia" w:ascii="仿宋" w:eastAsia="仿宋"/>
                <w:color w:val="000000"/>
                <w:sz w:val="24"/>
                <w:highlight w:val="none"/>
                <w:shd w:val="clear" w:color="auto" w:fill="auto"/>
              </w:rPr>
              <w:t xml:space="preserve">控制金额2%以内的整数计算） </w:t>
            </w:r>
          </w:p>
          <w:p>
            <w:pPr>
              <w:pStyle w:val="27"/>
              <w:spacing w:line="360" w:lineRule="auto"/>
              <w:rPr>
                <w:rFonts w:hint="eastAsia" w:ascii="仿宋" w:hAnsi="Times New Roman" w:eastAsia="仿宋" w:cs="Times New Roman"/>
                <w:color w:val="000000"/>
                <w:sz w:val="24"/>
                <w:highlight w:val="none"/>
                <w:shd w:val="clear" w:color="auto" w:fill="auto"/>
              </w:rPr>
            </w:pPr>
            <w:r>
              <w:rPr>
                <w:rFonts w:hint="eastAsia" w:ascii="仿宋" w:eastAsia="仿宋"/>
                <w:b/>
                <w:color w:val="000000"/>
                <w:sz w:val="24"/>
                <w:highlight w:val="none"/>
                <w:shd w:val="clear" w:color="auto" w:fill="auto"/>
              </w:rPr>
              <w:t>投标保证金账户：</w:t>
            </w:r>
          </w:p>
          <w:p>
            <w:pPr>
              <w:pStyle w:val="27"/>
              <w:spacing w:line="360" w:lineRule="auto"/>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 xml:space="preserve">账户：塔什库尔干塔吉克自治县教育和科学技术局 </w:t>
            </w:r>
          </w:p>
          <w:p>
            <w:pPr>
              <w:pStyle w:val="2"/>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 xml:space="preserve">账户号码：30579901040000416 </w:t>
            </w:r>
          </w:p>
          <w:p>
            <w:pPr>
              <w:pStyle w:val="27"/>
              <w:spacing w:line="360" w:lineRule="auto"/>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开户行行号：103895357998</w:t>
            </w:r>
          </w:p>
          <w:p>
            <w:pPr>
              <w:pStyle w:val="27"/>
              <w:spacing w:line="360" w:lineRule="auto"/>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 xml:space="preserve">开户银行：农行塔什库尔干县支行 </w:t>
            </w:r>
          </w:p>
          <w:p>
            <w:pPr>
              <w:pStyle w:val="27"/>
              <w:spacing w:line="360" w:lineRule="auto"/>
              <w:rPr>
                <w:rFonts w:hint="eastAsia" w:ascii="仿宋" w:eastAsia="仿宋"/>
                <w:color w:val="000000"/>
                <w:sz w:val="24"/>
                <w:highlight w:val="none"/>
                <w:shd w:val="clear" w:color="auto" w:fill="auto"/>
              </w:rPr>
            </w:pPr>
            <w:r>
              <w:rPr>
                <w:rFonts w:hint="eastAsia" w:ascii="仿宋" w:eastAsia="仿宋"/>
                <w:color w:val="000000"/>
                <w:sz w:val="24"/>
                <w:highlight w:val="none"/>
                <w:shd w:val="clear" w:color="auto" w:fill="auto"/>
                <w:lang w:val="en-US" w:eastAsia="zh-CN"/>
              </w:rPr>
              <w:t>磋商</w:t>
            </w:r>
            <w:r>
              <w:rPr>
                <w:rFonts w:hint="eastAsia" w:ascii="仿宋" w:eastAsia="仿宋"/>
                <w:color w:val="000000"/>
                <w:sz w:val="24"/>
                <w:highlight w:val="none"/>
                <w:shd w:val="clear" w:color="auto" w:fill="auto"/>
              </w:rPr>
              <w:t>保证金截止时间：</w:t>
            </w:r>
            <w:r>
              <w:rPr>
                <w:rFonts w:hint="eastAsia" w:ascii="仿宋" w:eastAsia="仿宋"/>
                <w:color w:val="000000"/>
                <w:sz w:val="24"/>
                <w:highlight w:val="none"/>
                <w:shd w:val="clear" w:color="auto" w:fill="auto"/>
                <w:lang w:eastAsia="zh-CN"/>
              </w:rPr>
              <w:t>202</w:t>
            </w:r>
            <w:r>
              <w:rPr>
                <w:rFonts w:hint="eastAsia" w:ascii="仿宋" w:eastAsia="仿宋"/>
                <w:color w:val="000000"/>
                <w:sz w:val="24"/>
                <w:highlight w:val="none"/>
                <w:shd w:val="clear" w:color="auto" w:fill="auto"/>
                <w:lang w:val="en-US" w:eastAsia="zh-CN"/>
              </w:rPr>
              <w:t>3</w:t>
            </w:r>
            <w:r>
              <w:rPr>
                <w:rFonts w:hint="eastAsia" w:ascii="仿宋" w:eastAsia="仿宋"/>
                <w:color w:val="000000"/>
                <w:sz w:val="24"/>
                <w:highlight w:val="none"/>
                <w:shd w:val="clear" w:color="auto" w:fill="auto"/>
                <w:lang w:eastAsia="zh-CN"/>
              </w:rPr>
              <w:t>年</w:t>
            </w:r>
            <w:r>
              <w:rPr>
                <w:rFonts w:hint="eastAsia" w:ascii="仿宋" w:eastAsia="仿宋"/>
                <w:color w:val="000000"/>
                <w:sz w:val="24"/>
                <w:highlight w:val="none"/>
                <w:shd w:val="clear" w:color="auto" w:fill="auto"/>
                <w:lang w:val="en-US" w:eastAsia="zh-CN"/>
              </w:rPr>
              <w:t>06</w:t>
            </w:r>
            <w:r>
              <w:rPr>
                <w:rFonts w:hint="eastAsia" w:ascii="仿宋" w:eastAsia="仿宋"/>
                <w:color w:val="000000"/>
                <w:sz w:val="24"/>
                <w:highlight w:val="none"/>
                <w:shd w:val="clear" w:color="auto" w:fill="auto"/>
                <w:lang w:eastAsia="zh-CN"/>
              </w:rPr>
              <w:t>月</w:t>
            </w:r>
            <w:r>
              <w:rPr>
                <w:rFonts w:hint="eastAsia" w:ascii="仿宋" w:eastAsia="仿宋"/>
                <w:color w:val="000000"/>
                <w:sz w:val="24"/>
                <w:highlight w:val="none"/>
                <w:shd w:val="clear" w:color="auto" w:fill="auto"/>
                <w:lang w:val="en-US" w:eastAsia="zh-CN"/>
              </w:rPr>
              <w:t>14</w:t>
            </w:r>
            <w:r>
              <w:rPr>
                <w:rFonts w:hint="eastAsia" w:ascii="仿宋" w:eastAsia="仿宋"/>
                <w:color w:val="000000"/>
                <w:sz w:val="24"/>
                <w:highlight w:val="none"/>
                <w:shd w:val="clear" w:color="auto" w:fill="auto"/>
                <w:lang w:eastAsia="zh-CN"/>
              </w:rPr>
              <w:t>日</w:t>
            </w:r>
            <w:r>
              <w:rPr>
                <w:rFonts w:hint="eastAsia" w:ascii="仿宋" w:eastAsia="仿宋"/>
                <w:color w:val="000000"/>
                <w:sz w:val="24"/>
                <w:highlight w:val="none"/>
                <w:shd w:val="clear" w:color="auto" w:fill="auto"/>
                <w:lang w:val="en-US" w:eastAsia="zh-CN"/>
              </w:rPr>
              <w:t>11:00</w:t>
            </w:r>
            <w:r>
              <w:rPr>
                <w:rFonts w:hint="eastAsia" w:ascii="仿宋" w:eastAsia="仿宋"/>
                <w:color w:val="000000"/>
                <w:sz w:val="24"/>
                <w:highlight w:val="none"/>
                <w:shd w:val="clear" w:color="auto" w:fill="auto"/>
              </w:rPr>
              <w:t>（北京时间）。</w:t>
            </w:r>
            <w:r>
              <w:rPr>
                <w:rFonts w:hint="eastAsia" w:ascii="仿宋" w:eastAsia="仿宋"/>
                <w:b/>
                <w:bCs/>
                <w:color w:val="000000"/>
                <w:sz w:val="24"/>
                <w:highlight w:val="none"/>
                <w:shd w:val="clear" w:color="auto" w:fill="auto"/>
              </w:rPr>
              <w:t>打款时注明投标保证金项目名称</w:t>
            </w:r>
            <w:r>
              <w:rPr>
                <w:rFonts w:hint="eastAsia" w:ascii="仿宋" w:eastAsia="仿宋"/>
                <w:b/>
                <w:bCs/>
                <w:color w:val="000000"/>
                <w:sz w:val="24"/>
                <w:highlight w:val="none"/>
                <w:shd w:val="clear" w:color="auto" w:fill="auto"/>
                <w:lang w:eastAsia="zh-CN"/>
              </w:rPr>
              <w:t>（</w:t>
            </w:r>
            <w:r>
              <w:rPr>
                <w:rFonts w:hint="eastAsia" w:ascii="仿宋" w:eastAsia="仿宋"/>
                <w:b/>
                <w:bCs/>
                <w:color w:val="000000"/>
                <w:sz w:val="24"/>
                <w:highlight w:val="none"/>
                <w:shd w:val="clear" w:color="auto" w:fill="auto"/>
                <w:lang w:val="en-US" w:eastAsia="zh-CN"/>
              </w:rPr>
              <w:t>包号</w:t>
            </w:r>
            <w:r>
              <w:rPr>
                <w:rFonts w:hint="eastAsia" w:ascii="仿宋" w:eastAsia="仿宋"/>
                <w:b/>
                <w:bCs/>
                <w:color w:val="000000"/>
                <w:sz w:val="24"/>
                <w:highlight w:val="none"/>
                <w:shd w:val="clear" w:color="auto" w:fill="auto"/>
                <w:lang w:eastAsia="zh-CN"/>
              </w:rPr>
              <w:t>）</w:t>
            </w:r>
            <w:r>
              <w:rPr>
                <w:rFonts w:hint="eastAsia" w:ascii="仿宋" w:eastAsia="仿宋"/>
                <w:b/>
                <w:bCs/>
                <w:color w:val="000000"/>
                <w:sz w:val="24"/>
                <w:highlight w:val="none"/>
                <w:shd w:val="clear" w:color="auto" w:fill="auto"/>
              </w:rPr>
              <w:t>及项目编号。</w:t>
            </w:r>
          </w:p>
          <w:p>
            <w:pPr>
              <w:pStyle w:val="27"/>
              <w:spacing w:line="360" w:lineRule="auto"/>
              <w:rPr>
                <w:rFonts w:hint="eastAsia" w:ascii="仿宋" w:hAnsi="仿宋" w:eastAsia="仿宋" w:cs="仿宋"/>
                <w:i/>
                <w:color w:val="000000"/>
                <w:sz w:val="24"/>
                <w:highlight w:val="none"/>
                <w:shd w:val="clear" w:color="auto" w:fill="auto"/>
                <w:lang w:eastAsia="zh-CN"/>
              </w:rPr>
            </w:pPr>
            <w:r>
              <w:rPr>
                <w:rFonts w:hint="eastAsia" w:ascii="仿宋" w:eastAsia="仿宋"/>
                <w:color w:val="000000"/>
                <w:sz w:val="24"/>
                <w:highlight w:val="none"/>
                <w:shd w:val="clear" w:color="auto" w:fill="auto"/>
              </w:rPr>
              <w:t>注：汇款时注明投标保证金项目名称及项目编号（如有包段，需注明包段）。</w:t>
            </w:r>
            <w:r>
              <w:rPr>
                <w:rFonts w:hint="eastAsia" w:ascii="仿宋" w:eastAsia="仿宋"/>
                <w:color w:val="000000"/>
                <w:sz w:val="24"/>
                <w:highlight w:val="none"/>
                <w:shd w:val="clear" w:color="auto" w:fill="auto"/>
                <w:lang w:val="en-US" w:eastAsia="zh-CN"/>
              </w:rPr>
              <w:t>磋商</w:t>
            </w:r>
            <w:r>
              <w:rPr>
                <w:rFonts w:hint="eastAsia" w:ascii="仿宋" w:eastAsia="仿宋"/>
                <w:color w:val="000000"/>
                <w:sz w:val="24"/>
                <w:highlight w:val="none"/>
                <w:shd w:val="clear" w:color="auto" w:fill="auto"/>
              </w:rPr>
              <w:t>保证金截止时间</w:t>
            </w:r>
            <w:r>
              <w:rPr>
                <w:rFonts w:hint="eastAsia" w:ascii="仿宋" w:eastAsia="仿宋"/>
                <w:color w:val="000000"/>
                <w:sz w:val="24"/>
                <w:highlight w:val="none"/>
                <w:shd w:val="clear" w:color="auto" w:fill="auto"/>
                <w:lang w:val="en-US" w:eastAsia="zh-CN"/>
              </w:rPr>
              <w:t>前将磋商</w:t>
            </w:r>
            <w:r>
              <w:rPr>
                <w:rFonts w:hint="eastAsia" w:ascii="仿宋" w:eastAsia="仿宋"/>
                <w:color w:val="000000"/>
                <w:sz w:val="24"/>
                <w:highlight w:val="none"/>
                <w:shd w:val="clear" w:color="auto" w:fill="auto"/>
              </w:rPr>
              <w:t>保证金</w:t>
            </w:r>
            <w:r>
              <w:rPr>
                <w:rFonts w:hint="eastAsia" w:ascii="仿宋" w:eastAsia="仿宋"/>
                <w:color w:val="000000"/>
                <w:sz w:val="24"/>
                <w:highlight w:val="none"/>
                <w:shd w:val="clear" w:color="auto" w:fill="auto"/>
                <w:lang w:val="en-US" w:eastAsia="zh-CN"/>
              </w:rPr>
              <w:t>从供应商基本账户</w:t>
            </w:r>
            <w:r>
              <w:rPr>
                <w:rFonts w:hint="eastAsia" w:ascii="仿宋" w:eastAsia="仿宋"/>
                <w:color w:val="000000"/>
                <w:sz w:val="24"/>
                <w:highlight w:val="none"/>
                <w:shd w:val="clear" w:color="auto" w:fill="auto"/>
              </w:rPr>
              <w:t>转入，</w:t>
            </w:r>
            <w:r>
              <w:rPr>
                <w:rFonts w:hint="eastAsia" w:ascii="仿宋" w:eastAsia="仿宋"/>
                <w:color w:val="000000"/>
                <w:sz w:val="24"/>
                <w:highlight w:val="none"/>
                <w:shd w:val="clear" w:color="auto" w:fill="auto"/>
                <w:lang w:val="en-US" w:eastAsia="zh-CN"/>
              </w:rPr>
              <w:t>将磋商保证金银行汇款凭证放入投标文件中</w:t>
            </w:r>
            <w:r>
              <w:rPr>
                <w:rFonts w:hint="eastAsia" w:ascii="仿宋" w:eastAsia="仿宋"/>
                <w:color w:val="000000"/>
                <w:sz w:val="24"/>
                <w:highlight w:val="none"/>
                <w:shd w:val="clear" w:color="auto" w:fill="auto"/>
              </w:rPr>
              <w:t>。（</w:t>
            </w:r>
            <w:r>
              <w:rPr>
                <w:rFonts w:hint="eastAsia" w:ascii="仿宋" w:eastAsia="仿宋"/>
                <w:color w:val="000000"/>
                <w:sz w:val="24"/>
                <w:highlight w:val="none"/>
                <w:shd w:val="clear" w:color="auto" w:fill="auto"/>
                <w:lang w:val="en-US" w:eastAsia="zh-CN"/>
              </w:rPr>
              <w:t>以保证金到账时间为准，供应商应充分考虑到账时间</w:t>
            </w:r>
            <w:r>
              <w:rPr>
                <w:rFonts w:hint="eastAsia" w:ascii="仿宋" w:eastAsia="仿宋"/>
                <w:color w:val="000000"/>
                <w:sz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10</w:t>
            </w:r>
          </w:p>
        </w:tc>
        <w:tc>
          <w:tcPr>
            <w:tcW w:w="7486" w:type="dxa"/>
            <w:shd w:val="clear" w:color="auto" w:fill="E0E0E0"/>
            <w:vAlign w:val="center"/>
          </w:tcPr>
          <w:p>
            <w:pPr>
              <w:spacing w:line="24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color w:val="000000"/>
                <w:sz w:val="24"/>
                <w:highlight w:val="none"/>
                <w:shd w:val="clear" w:color="auto" w:fill="auto"/>
              </w:rPr>
              <w:t>投标有效期：</w:t>
            </w:r>
            <w:r>
              <w:rPr>
                <w:rFonts w:hint="eastAsia" w:ascii="仿宋" w:hAnsi="仿宋" w:eastAsia="仿宋" w:cs="仿宋"/>
                <w:color w:val="000000"/>
                <w:sz w:val="24"/>
                <w:highlight w:val="none"/>
                <w:u w:val="single"/>
                <w:shd w:val="clear" w:color="auto" w:fill="auto"/>
                <w:lang w:val="en-US" w:eastAsia="zh-CN"/>
              </w:rPr>
              <w:t>90</w:t>
            </w:r>
            <w:r>
              <w:rPr>
                <w:rFonts w:hint="eastAsia" w:ascii="仿宋" w:hAnsi="仿宋" w:eastAsia="仿宋" w:cs="仿宋"/>
                <w:color w:val="000000"/>
                <w:sz w:val="24"/>
                <w:highlight w:val="none"/>
                <w:shd w:val="clear" w:color="auto" w:fill="auto"/>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11</w:t>
            </w:r>
          </w:p>
        </w:tc>
        <w:tc>
          <w:tcPr>
            <w:tcW w:w="7486" w:type="dxa"/>
            <w:shd w:val="clear" w:color="auto" w:fill="EBEBEB"/>
            <w:vAlign w:val="center"/>
          </w:tcPr>
          <w:p>
            <w:pPr>
              <w:spacing w:line="360" w:lineRule="auto"/>
              <w:rPr>
                <w:rFonts w:hint="eastAsia" w:ascii="仿宋" w:hAnsi="仿宋" w:eastAsia="仿宋" w:cs="仿宋"/>
                <w:b/>
                <w:bCs/>
                <w:color w:val="000000"/>
                <w:sz w:val="24"/>
                <w:highlight w:val="none"/>
                <w:u w:val="single"/>
                <w:shd w:val="clear" w:color="auto" w:fill="auto"/>
                <w:lang w:val="en-US" w:eastAsia="zh-CN"/>
              </w:rPr>
            </w:pPr>
            <w:r>
              <w:rPr>
                <w:rFonts w:hint="eastAsia" w:ascii="仿宋" w:hAnsi="仿宋" w:eastAsia="仿宋" w:cs="仿宋"/>
                <w:b/>
                <w:bCs/>
                <w:color w:val="000000"/>
                <w:sz w:val="24"/>
                <w:highlight w:val="none"/>
                <w:u w:val="single"/>
                <w:shd w:val="clear" w:color="auto" w:fill="auto"/>
                <w:lang w:eastAsia="zh-CN"/>
              </w:rPr>
              <w:t>投标人</w:t>
            </w:r>
            <w:r>
              <w:rPr>
                <w:rFonts w:hint="eastAsia" w:ascii="仿宋" w:hAnsi="仿宋" w:eastAsia="仿宋" w:cs="仿宋"/>
                <w:b/>
                <w:bCs/>
                <w:color w:val="000000"/>
                <w:sz w:val="24"/>
                <w:highlight w:val="none"/>
                <w:u w:val="single"/>
                <w:shd w:val="clear" w:color="auto" w:fill="auto"/>
              </w:rPr>
              <w:t>应完整地按</w:t>
            </w:r>
            <w:r>
              <w:rPr>
                <w:rFonts w:hint="eastAsia" w:ascii="仿宋" w:hAnsi="仿宋" w:eastAsia="仿宋" w:cs="仿宋"/>
                <w:b/>
                <w:bCs/>
                <w:color w:val="000000"/>
                <w:sz w:val="24"/>
                <w:highlight w:val="none"/>
                <w:u w:val="single"/>
                <w:shd w:val="clear" w:color="auto" w:fill="auto"/>
                <w:lang w:eastAsia="zh-CN"/>
              </w:rPr>
              <w:t>磋商文件</w:t>
            </w:r>
            <w:r>
              <w:rPr>
                <w:rFonts w:hint="eastAsia" w:ascii="仿宋" w:hAnsi="仿宋" w:eastAsia="仿宋" w:cs="仿宋"/>
                <w:b/>
                <w:bCs/>
                <w:color w:val="000000"/>
                <w:sz w:val="24"/>
                <w:highlight w:val="none"/>
                <w:u w:val="single"/>
                <w:shd w:val="clear" w:color="auto" w:fill="auto"/>
              </w:rPr>
              <w:t>提供的</w:t>
            </w:r>
            <w:r>
              <w:rPr>
                <w:rFonts w:hint="eastAsia" w:ascii="仿宋" w:hAnsi="仿宋" w:eastAsia="仿宋" w:cs="仿宋"/>
                <w:b/>
                <w:bCs/>
                <w:color w:val="000000"/>
                <w:sz w:val="24"/>
                <w:highlight w:val="none"/>
                <w:u w:val="single"/>
                <w:shd w:val="clear" w:color="auto" w:fill="auto"/>
                <w:lang w:eastAsia="zh-CN"/>
              </w:rPr>
              <w:t>响应文件</w:t>
            </w:r>
            <w:r>
              <w:rPr>
                <w:rFonts w:hint="eastAsia" w:ascii="仿宋" w:hAnsi="仿宋" w:eastAsia="仿宋" w:cs="仿宋"/>
                <w:b/>
                <w:bCs/>
                <w:color w:val="000000"/>
                <w:sz w:val="24"/>
                <w:highlight w:val="none"/>
                <w:u w:val="single"/>
                <w:shd w:val="clear" w:color="auto" w:fill="auto"/>
              </w:rPr>
              <w:t>格式及要求编写</w:t>
            </w:r>
            <w:r>
              <w:rPr>
                <w:rFonts w:hint="eastAsia" w:ascii="仿宋" w:hAnsi="仿宋" w:eastAsia="仿宋" w:cs="仿宋"/>
                <w:b/>
                <w:bCs/>
                <w:color w:val="000000"/>
                <w:sz w:val="24"/>
                <w:highlight w:val="none"/>
                <w:u w:val="single"/>
                <w:shd w:val="clear" w:color="auto" w:fill="auto"/>
                <w:lang w:eastAsia="zh-CN"/>
              </w:rPr>
              <w:t>响应文件，</w:t>
            </w:r>
            <w:r>
              <w:rPr>
                <w:rFonts w:hint="eastAsia" w:ascii="仿宋" w:hAnsi="仿宋" w:eastAsia="仿宋" w:cs="仿宋"/>
                <w:b/>
                <w:bCs/>
                <w:color w:val="000000"/>
                <w:sz w:val="24"/>
                <w:highlight w:val="none"/>
                <w:u w:val="single"/>
                <w:shd w:val="clear" w:color="auto" w:fill="auto"/>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spacing w:line="36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b/>
                <w:bCs/>
                <w:color w:val="000000"/>
                <w:sz w:val="24"/>
                <w:highlight w:val="none"/>
                <w:u w:val="single"/>
                <w:shd w:val="clear" w:color="auto" w:fill="auto"/>
                <w:lang w:val="en-US" w:eastAsia="zh-CN"/>
              </w:rPr>
              <w:t>代理机构开启第二轮报价环节后，各投标人应尽快在政采云系统提交各自的二轮报价，超过30分钟（自代理机构开启第二轮报价环节起计算）未提交二轮报价的视为放弃投标。敬请注意！！！整个开标环节需要投标人在系统确认的报价等信息最长时限均为30分钟。敬请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59"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12</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投标截止时间：2023年06月14日 11:00（北京时间）</w:t>
            </w:r>
          </w:p>
          <w:p>
            <w:pPr>
              <w:spacing w:line="360" w:lineRule="auto"/>
              <w:rPr>
                <w:rFonts w:hint="eastAsia" w:ascii="仿宋" w:hAnsi="仿宋" w:eastAsia="仿宋" w:cs="仿宋"/>
                <w:color w:val="000000"/>
                <w:highlight w:val="none"/>
                <w:shd w:val="clear" w:color="auto" w:fill="auto"/>
              </w:rPr>
            </w:pPr>
            <w:r>
              <w:rPr>
                <w:rFonts w:hint="eastAsia" w:ascii="仿宋" w:hAnsi="仿宋" w:eastAsia="仿宋" w:cs="仿宋"/>
                <w:color w:val="000000"/>
                <w:sz w:val="24"/>
                <w:highlight w:val="none"/>
                <w:shd w:val="clear" w:color="auto" w:fill="auto"/>
                <w:lang w:val="en-US" w:eastAsia="zh-CN"/>
              </w:rPr>
              <w:t>投标地点：https://www.zcygov.cn在线投标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59"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13</w:t>
            </w:r>
          </w:p>
        </w:tc>
        <w:tc>
          <w:tcPr>
            <w:tcW w:w="7486" w:type="dxa"/>
            <w:shd w:val="clear" w:color="auto" w:fill="EBEBEB"/>
            <w:vAlign w:val="center"/>
          </w:tcPr>
          <w:p>
            <w:pPr>
              <w:spacing w:line="36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color w:val="000000"/>
                <w:sz w:val="24"/>
                <w:highlight w:val="none"/>
                <w:shd w:val="clear" w:color="auto" w:fill="auto"/>
                <w:lang w:val="en-US" w:eastAsia="zh-CN"/>
              </w:rPr>
              <w:t>开标</w:t>
            </w:r>
            <w:r>
              <w:rPr>
                <w:rFonts w:hint="eastAsia" w:ascii="仿宋" w:hAnsi="仿宋" w:eastAsia="仿宋" w:cs="仿宋"/>
                <w:color w:val="000000"/>
                <w:sz w:val="24"/>
                <w:highlight w:val="none"/>
                <w:shd w:val="clear" w:color="auto" w:fill="auto"/>
              </w:rPr>
              <w:t>时间：</w:t>
            </w:r>
            <w:r>
              <w:rPr>
                <w:rFonts w:hint="eastAsia" w:ascii="仿宋" w:hAnsi="仿宋" w:eastAsia="仿宋" w:cs="仿宋"/>
                <w:color w:val="000000"/>
                <w:sz w:val="24"/>
                <w:highlight w:val="none"/>
                <w:shd w:val="clear" w:color="auto" w:fill="auto"/>
                <w:lang w:val="en-US" w:eastAsia="zh-CN"/>
              </w:rPr>
              <w:t>2023年06月14日 11:00（北京时间）</w:t>
            </w:r>
          </w:p>
          <w:p>
            <w:pPr>
              <w:spacing w:line="360" w:lineRule="auto"/>
              <w:rPr>
                <w:rFonts w:hint="default" w:ascii="仿宋" w:hAnsi="仿宋" w:eastAsia="仿宋" w:cs="仿宋"/>
                <w:color w:val="000000"/>
                <w:sz w:val="24"/>
                <w:highlight w:val="none"/>
                <w:shd w:val="clear" w:color="auto" w:fill="auto"/>
                <w:lang w:val="en-US"/>
              </w:rPr>
            </w:pPr>
            <w:r>
              <w:rPr>
                <w:rFonts w:hint="eastAsia" w:ascii="仿宋" w:hAnsi="仿宋" w:eastAsia="仿宋" w:cs="仿宋"/>
                <w:color w:val="000000"/>
                <w:sz w:val="24"/>
                <w:highlight w:val="none"/>
                <w:shd w:val="clear" w:color="auto" w:fill="auto"/>
                <w:lang w:val="en-US" w:eastAsia="zh-CN"/>
              </w:rPr>
              <w:t>开标</w:t>
            </w:r>
            <w:r>
              <w:rPr>
                <w:rFonts w:hint="eastAsia" w:ascii="仿宋" w:hAnsi="仿宋" w:eastAsia="仿宋" w:cs="仿宋"/>
                <w:color w:val="000000"/>
                <w:sz w:val="24"/>
                <w:highlight w:val="none"/>
                <w:shd w:val="clear" w:color="auto" w:fill="auto"/>
              </w:rPr>
              <w:t>地点：</w:t>
            </w:r>
            <w:r>
              <w:rPr>
                <w:rFonts w:hint="eastAsia" w:ascii="仿宋" w:hAnsi="仿宋" w:eastAsia="仿宋" w:cs="仿宋"/>
                <w:color w:val="auto"/>
                <w:sz w:val="24"/>
              </w:rPr>
              <w:t>新疆天智达项目管理咨询有限公司（新疆喀什地区喀什市库木德尔瓦扎街道玉吉米力克社区5组20号）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14</w:t>
            </w:r>
          </w:p>
        </w:tc>
        <w:tc>
          <w:tcPr>
            <w:tcW w:w="7486" w:type="dxa"/>
            <w:shd w:val="clear" w:color="auto" w:fill="E0E0E0"/>
            <w:vAlign w:val="center"/>
          </w:tcPr>
          <w:p>
            <w:pPr>
              <w:spacing w:line="360" w:lineRule="auto"/>
              <w:rPr>
                <w:rFonts w:hint="eastAsia" w:ascii="仿宋" w:hAnsi="仿宋" w:eastAsia="仿宋" w:cs="仿宋"/>
                <w:i/>
                <w:color w:val="000000"/>
                <w:sz w:val="24"/>
                <w:highlight w:val="none"/>
                <w:shd w:val="clear" w:color="auto" w:fill="auto"/>
              </w:rPr>
            </w:pPr>
            <w:r>
              <w:rPr>
                <w:rFonts w:hint="eastAsia" w:ascii="仿宋" w:hAnsi="仿宋" w:eastAsia="仿宋" w:cs="仿宋"/>
                <w:color w:val="000000"/>
                <w:sz w:val="24"/>
                <w:highlight w:val="none"/>
                <w:shd w:val="clear" w:color="auto" w:fill="auto"/>
              </w:rPr>
              <w:t>评标方法：</w:t>
            </w:r>
            <w:r>
              <w:rPr>
                <w:rFonts w:hint="eastAsia" w:ascii="仿宋" w:hAnsi="仿宋" w:eastAsia="仿宋" w:cs="仿宋"/>
                <w:color w:val="000000"/>
                <w:sz w:val="24"/>
                <w:highlight w:val="none"/>
                <w:u w:val="none"/>
                <w:shd w:val="clear" w:color="auto" w:fill="auto"/>
              </w:rPr>
              <w:t>综合评分法　　</w:t>
            </w:r>
            <w:r>
              <w:rPr>
                <w:rFonts w:hint="eastAsia" w:ascii="仿宋" w:hAnsi="仿宋" w:eastAsia="仿宋" w:cs="仿宋"/>
                <w:color w:val="000000"/>
                <w:sz w:val="24"/>
                <w:highlight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15</w:t>
            </w:r>
          </w:p>
        </w:tc>
        <w:tc>
          <w:tcPr>
            <w:tcW w:w="7486" w:type="dxa"/>
            <w:shd w:val="clear" w:color="auto" w:fill="EBEBEB"/>
            <w:vAlign w:val="center"/>
          </w:tcPr>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rPr>
              <w:t>推荐中标候选</w:t>
            </w:r>
            <w:r>
              <w:rPr>
                <w:rFonts w:hint="eastAsia" w:ascii="仿宋" w:hAnsi="仿宋" w:eastAsia="仿宋" w:cs="仿宋"/>
                <w:color w:val="000000"/>
                <w:sz w:val="24"/>
                <w:highlight w:val="none"/>
                <w:shd w:val="clear" w:color="auto" w:fill="auto"/>
                <w:lang w:eastAsia="zh-CN"/>
              </w:rPr>
              <w:t>投标人</w:t>
            </w:r>
            <w:r>
              <w:rPr>
                <w:rFonts w:hint="eastAsia" w:ascii="仿宋" w:hAnsi="仿宋" w:eastAsia="仿宋" w:cs="仿宋"/>
                <w:color w:val="000000"/>
                <w:sz w:val="24"/>
                <w:highlight w:val="none"/>
                <w:shd w:val="clear" w:color="auto" w:fill="auto"/>
              </w:rPr>
              <w:t>的数量：</w:t>
            </w:r>
            <w:r>
              <w:rPr>
                <w:rFonts w:hint="eastAsia" w:ascii="仿宋" w:hAnsi="仿宋" w:eastAsia="仿宋" w:cs="仿宋"/>
                <w:color w:val="000000"/>
                <w:sz w:val="24"/>
                <w:highlight w:val="none"/>
                <w:u w:val="single"/>
                <w:shd w:val="clear" w:color="auto" w:fill="auto"/>
                <w:lang w:val="en-US" w:eastAsia="zh-CN"/>
              </w:rPr>
              <w:t>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16</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lang w:eastAsia="zh-CN"/>
              </w:rPr>
              <w:t>采购人</w:t>
            </w:r>
            <w:r>
              <w:rPr>
                <w:rFonts w:hint="eastAsia" w:ascii="仿宋" w:hAnsi="仿宋" w:eastAsia="仿宋" w:cs="仿宋"/>
                <w:color w:val="000000"/>
                <w:sz w:val="24"/>
                <w:highlight w:val="none"/>
                <w:shd w:val="clear" w:color="auto" w:fill="auto"/>
              </w:rPr>
              <w:t>是否委托</w:t>
            </w:r>
            <w:r>
              <w:rPr>
                <w:rFonts w:hint="eastAsia" w:ascii="仿宋" w:hAnsi="仿宋" w:eastAsia="仿宋" w:cs="仿宋"/>
                <w:color w:val="000000"/>
                <w:sz w:val="24"/>
                <w:highlight w:val="none"/>
                <w:shd w:val="clear" w:color="auto" w:fill="auto"/>
                <w:lang w:eastAsia="zh-CN"/>
              </w:rPr>
              <w:t>磋商小组</w:t>
            </w:r>
            <w:r>
              <w:rPr>
                <w:rFonts w:hint="eastAsia" w:ascii="仿宋" w:hAnsi="仿宋" w:eastAsia="仿宋" w:cs="仿宋"/>
                <w:color w:val="000000"/>
                <w:sz w:val="24"/>
                <w:highlight w:val="none"/>
                <w:shd w:val="clear" w:color="auto" w:fill="auto"/>
              </w:rPr>
              <w:t>直接确定中标人：</w:t>
            </w:r>
            <w:r>
              <w:rPr>
                <w:rFonts w:hint="eastAsia" w:ascii="仿宋" w:hAnsi="仿宋" w:eastAsia="仿宋" w:cs="仿宋"/>
                <w:color w:val="000000"/>
                <w:sz w:val="24"/>
                <w:highlight w:val="none"/>
                <w:u w:val="single"/>
                <w:shd w:val="clear" w:color="auto" w:fill="auto"/>
                <w:lang w:val="en-US" w:eastAsia="zh-CN"/>
              </w:rPr>
              <w:t>否</w:t>
            </w:r>
            <w:r>
              <w:rPr>
                <w:rFonts w:hint="eastAsia" w:ascii="仿宋" w:hAnsi="仿宋" w:eastAsia="仿宋" w:cs="仿宋"/>
                <w:color w:val="000000"/>
                <w:sz w:val="24"/>
                <w:highlight w:val="none"/>
                <w:shd w:val="clear" w:color="auto" w:fill="auto"/>
              </w:rPr>
              <w:t xml:space="preserve"> </w:t>
            </w:r>
            <w:r>
              <w:rPr>
                <w:rFonts w:hint="eastAsia" w:ascii="仿宋" w:hAnsi="仿宋" w:eastAsia="仿宋" w:cs="仿宋"/>
                <w:i/>
                <w:color w:val="000000"/>
                <w:sz w:val="24"/>
                <w:highlight w:val="none"/>
                <w:shd w:val="clear" w:color="auto" w:fil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51"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17</w:t>
            </w:r>
          </w:p>
        </w:tc>
        <w:tc>
          <w:tcPr>
            <w:tcW w:w="7486" w:type="dxa"/>
            <w:shd w:val="clear" w:color="auto" w:fill="EBEBEB"/>
            <w:vAlign w:val="center"/>
          </w:tcPr>
          <w:p>
            <w:pPr>
              <w:spacing w:line="360" w:lineRule="auto"/>
              <w:rPr>
                <w:rFonts w:hint="eastAsia" w:ascii="仿宋" w:hAnsi="仿宋" w:eastAsia="仿宋" w:cs="仿宋"/>
                <w:i w:val="0"/>
                <w:iCs w:val="0"/>
                <w:color w:val="000000"/>
                <w:sz w:val="24"/>
                <w:highlight w:val="none"/>
                <w:shd w:val="clear" w:color="auto" w:fill="auto"/>
                <w:lang w:val="en-US" w:eastAsia="zh-CN"/>
              </w:rPr>
            </w:pPr>
            <w:r>
              <w:rPr>
                <w:rFonts w:hint="eastAsia" w:ascii="仿宋" w:hAnsi="仿宋" w:eastAsia="仿宋" w:cs="仿宋"/>
                <w:i w:val="0"/>
                <w:iCs w:val="0"/>
                <w:color w:val="000000"/>
                <w:sz w:val="24"/>
                <w:highlight w:val="none"/>
                <w:shd w:val="clear" w:color="auto" w:fill="auto"/>
                <w:lang w:val="en-US" w:eastAsia="zh-CN"/>
              </w:rPr>
              <w:t>履约保证金金额：合同总价的</w:t>
            </w:r>
            <w:r>
              <w:rPr>
                <w:rFonts w:hint="eastAsia" w:ascii="仿宋" w:hAnsi="仿宋" w:eastAsia="仿宋" w:cs="仿宋"/>
                <w:b w:val="0"/>
                <w:bCs w:val="0"/>
                <w:i w:val="0"/>
                <w:iCs w:val="0"/>
                <w:color w:val="000000"/>
                <w:sz w:val="24"/>
                <w:highlight w:val="none"/>
                <w:shd w:val="clear" w:color="auto" w:fill="auto"/>
                <w:lang w:val="en-US" w:eastAsia="zh-CN"/>
              </w:rPr>
              <w:t>5%</w:t>
            </w:r>
            <w:r>
              <w:rPr>
                <w:rFonts w:hint="eastAsia" w:ascii="仿宋" w:hAnsi="仿宋" w:eastAsia="仿宋" w:cs="仿宋"/>
                <w:i w:val="0"/>
                <w:iCs w:val="0"/>
                <w:color w:val="000000"/>
                <w:sz w:val="24"/>
                <w:highlight w:val="none"/>
                <w:shd w:val="clear" w:color="auto" w:fill="auto"/>
                <w:lang w:val="en-US" w:eastAsia="zh-CN"/>
              </w:rPr>
              <w:t>（不得超过政府采购合同金额的10%）</w:t>
            </w:r>
          </w:p>
          <w:p>
            <w:pPr>
              <w:spacing w:line="360" w:lineRule="auto"/>
              <w:rPr>
                <w:rFonts w:hint="eastAsia" w:ascii="仿宋" w:hAnsi="仿宋" w:eastAsia="仿宋" w:cs="仿宋"/>
                <w:i w:val="0"/>
                <w:iCs w:val="0"/>
                <w:color w:val="000000"/>
                <w:sz w:val="24"/>
                <w:highlight w:val="none"/>
                <w:shd w:val="clear" w:color="auto" w:fill="auto"/>
                <w:lang w:val="en-US" w:eastAsia="zh-CN"/>
              </w:rPr>
            </w:pPr>
            <w:r>
              <w:rPr>
                <w:rFonts w:hint="eastAsia" w:ascii="仿宋" w:hAnsi="仿宋" w:eastAsia="仿宋" w:cs="仿宋"/>
                <w:i w:val="0"/>
                <w:iCs w:val="0"/>
                <w:color w:val="000000"/>
                <w:sz w:val="24"/>
                <w:highlight w:val="none"/>
                <w:shd w:val="clear" w:color="auto" w:fill="auto"/>
                <w:lang w:val="en-US" w:eastAsia="zh-CN"/>
              </w:rPr>
              <w:t>履约保证金形式：电汇、网银、银行保函</w:t>
            </w:r>
          </w:p>
          <w:p>
            <w:pPr>
              <w:spacing w:line="360" w:lineRule="auto"/>
              <w:rPr>
                <w:rFonts w:hint="eastAsia" w:ascii="仿宋" w:hAnsi="仿宋" w:eastAsia="仿宋" w:cs="仿宋"/>
                <w:i w:val="0"/>
                <w:iCs w:val="0"/>
                <w:color w:val="000000"/>
                <w:sz w:val="24"/>
                <w:highlight w:val="none"/>
                <w:shd w:val="clear" w:color="auto" w:fill="auto"/>
                <w:lang w:val="en-US" w:eastAsia="zh-CN"/>
              </w:rPr>
            </w:pPr>
            <w:r>
              <w:rPr>
                <w:rFonts w:hint="eastAsia" w:ascii="仿宋" w:hAnsi="仿宋" w:eastAsia="仿宋" w:cs="仿宋"/>
                <w:i w:val="0"/>
                <w:iCs w:val="0"/>
                <w:color w:val="000000"/>
                <w:sz w:val="24"/>
                <w:highlight w:val="none"/>
                <w:shd w:val="clear" w:color="auto" w:fill="auto"/>
                <w:lang w:val="en-US" w:eastAsia="zh-CN"/>
              </w:rPr>
              <w:t>提交履约保证金的时间：领取中标通知书 5日内（日历日）</w:t>
            </w:r>
          </w:p>
          <w:p>
            <w:pPr>
              <w:spacing w:line="36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i w:val="0"/>
                <w:iCs w:val="0"/>
                <w:color w:val="000000"/>
                <w:sz w:val="24"/>
                <w:highlight w:val="none"/>
                <w:shd w:val="clear" w:color="auto" w:fill="auto"/>
              </w:rPr>
              <w:t>提交履约保证金</w:t>
            </w:r>
            <w:r>
              <w:rPr>
                <w:rFonts w:hint="eastAsia" w:ascii="仿宋" w:hAnsi="仿宋" w:eastAsia="仿宋" w:cs="仿宋"/>
                <w:i w:val="0"/>
                <w:iCs w:val="0"/>
                <w:color w:val="000000"/>
                <w:sz w:val="24"/>
                <w:highlight w:val="none"/>
                <w:shd w:val="clear" w:color="auto" w:fill="auto"/>
                <w:lang w:val="en-US" w:eastAsia="zh-CN"/>
              </w:rPr>
              <w:t>后2个工作日内双方签订合同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6" w:hRule="atLeast"/>
          <w:jc w:val="center"/>
        </w:trPr>
        <w:tc>
          <w:tcPr>
            <w:tcW w:w="1473" w:type="dxa"/>
            <w:shd w:val="clear" w:color="auto" w:fill="E0E0E0"/>
            <w:vAlign w:val="center"/>
          </w:tcPr>
          <w:p>
            <w:pPr>
              <w:spacing w:line="240" w:lineRule="atLeast"/>
              <w:ind w:left="1080" w:leftChars="257" w:hanging="540" w:firstLineChars="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21</w:t>
            </w:r>
          </w:p>
        </w:tc>
        <w:tc>
          <w:tcPr>
            <w:tcW w:w="7486" w:type="dxa"/>
            <w:shd w:val="clear" w:color="auto" w:fill="E0E0E0"/>
            <w:vAlign w:val="center"/>
          </w:tcPr>
          <w:p>
            <w:pPr>
              <w:spacing w:line="360" w:lineRule="auto"/>
              <w:ind w:left="1188" w:leftChars="-23" w:hanging="1236" w:hangingChars="515"/>
              <w:jc w:val="left"/>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5"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19</w:t>
            </w:r>
          </w:p>
        </w:tc>
        <w:tc>
          <w:tcPr>
            <w:tcW w:w="7486" w:type="dxa"/>
            <w:shd w:val="clear" w:color="auto" w:fill="EBEBEB"/>
            <w:vAlign w:val="center"/>
          </w:tcPr>
          <w:p>
            <w:pPr>
              <w:spacing w:line="24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本项目是否属于信用担保试点范围：</w:t>
            </w:r>
            <w:r>
              <w:rPr>
                <w:rFonts w:hint="eastAsia" w:ascii="仿宋" w:hAnsi="仿宋" w:eastAsia="仿宋" w:cs="仿宋"/>
                <w:color w:val="000000"/>
                <w:sz w:val="24"/>
                <w:highlight w:val="none"/>
                <w:u w:val="single"/>
                <w:shd w:val="clear" w:color="auto" w:fill="auto"/>
                <w:lang w:val="en-US" w:eastAsia="zh-CN"/>
              </w:rPr>
              <w:t>否</w:t>
            </w:r>
            <w:r>
              <w:rPr>
                <w:rFonts w:hint="eastAsia" w:ascii="仿宋" w:hAnsi="仿宋" w:eastAsia="仿宋" w:cs="仿宋"/>
                <w:color w:val="000000"/>
                <w:sz w:val="24"/>
                <w:highlight w:val="none"/>
                <w:shd w:val="clear" w:color="auto" w:fill="auto"/>
              </w:rPr>
              <w:t xml:space="preserve"> </w:t>
            </w:r>
            <w:r>
              <w:rPr>
                <w:rFonts w:hint="eastAsia" w:ascii="仿宋" w:hAnsi="仿宋" w:eastAsia="仿宋" w:cs="仿宋"/>
                <w:i/>
                <w:color w:val="000000"/>
                <w:sz w:val="24"/>
                <w:highlight w:val="none"/>
                <w:shd w:val="clear" w:color="auto" w:fil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20</w:t>
            </w:r>
          </w:p>
        </w:tc>
        <w:tc>
          <w:tcPr>
            <w:tcW w:w="7486" w:type="dxa"/>
            <w:shd w:val="clear" w:color="auto" w:fill="E0E0E0"/>
            <w:vAlign w:val="center"/>
          </w:tcPr>
          <w:p>
            <w:pPr>
              <w:spacing w:line="360" w:lineRule="auto"/>
              <w:ind w:left="710" w:leftChars="-23" w:hanging="758" w:hangingChars="316"/>
              <w:rPr>
                <w:rFonts w:hint="default" w:ascii="仿宋" w:hAnsi="仿宋" w:eastAsia="仿宋" w:cs="仿宋"/>
                <w:color w:val="000000"/>
                <w:sz w:val="24"/>
                <w:highlight w:val="none"/>
                <w:shd w:val="clear" w:color="auto" w:fill="auto"/>
                <w:lang w:val="en-US"/>
              </w:rPr>
            </w:pPr>
            <w:r>
              <w:rPr>
                <w:rFonts w:hint="eastAsia" w:ascii="仿宋" w:hAnsi="仿宋" w:eastAsia="仿宋" w:cs="仿宋"/>
                <w:color w:val="000000"/>
                <w:sz w:val="24"/>
                <w:highlight w:val="none"/>
                <w:shd w:val="clear" w:color="auto" w:fill="auto"/>
              </w:rPr>
              <w:t>反腐倡廉监督电话/邮箱：</w:t>
            </w:r>
            <w:r>
              <w:rPr>
                <w:rFonts w:hint="eastAsia" w:ascii="仿宋" w:hAnsi="仿宋" w:eastAsia="仿宋" w:cs="仿宋"/>
                <w:sz w:val="24"/>
                <w:lang w:val="en-US" w:eastAsia="zh-CN"/>
              </w:rPr>
              <w:t>18299030272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5" w:hRule="atLeast"/>
          <w:jc w:val="center"/>
        </w:trPr>
        <w:tc>
          <w:tcPr>
            <w:tcW w:w="8959" w:type="dxa"/>
            <w:gridSpan w:val="2"/>
            <w:shd w:val="clear" w:color="auto" w:fill="EBEBEB"/>
            <w:vAlign w:val="center"/>
          </w:tcPr>
          <w:p>
            <w:pPr>
              <w:tabs>
                <w:tab w:val="left" w:pos="2075"/>
              </w:tabs>
              <w:spacing w:line="360" w:lineRule="auto"/>
              <w:ind w:left="710" w:leftChars="-23" w:hanging="758" w:hangingChars="316"/>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lang w:eastAsia="zh-CN"/>
              </w:rPr>
              <w:tab/>
            </w:r>
            <w:r>
              <w:rPr>
                <w:rFonts w:hint="eastAsia" w:ascii="仿宋" w:hAnsi="仿宋" w:eastAsia="仿宋" w:cs="仿宋"/>
                <w:color w:val="000000"/>
                <w:sz w:val="24"/>
                <w:highlight w:val="none"/>
                <w:shd w:val="clear" w:color="auto" w:fill="auto"/>
              </w:rPr>
              <w:t>适用于本</w:t>
            </w:r>
            <w:r>
              <w:rPr>
                <w:rFonts w:hint="eastAsia" w:ascii="仿宋" w:hAnsi="仿宋" w:eastAsia="仿宋" w:cs="仿宋"/>
                <w:color w:val="000000"/>
                <w:sz w:val="24"/>
                <w:highlight w:val="none"/>
                <w:shd w:val="clear" w:color="auto" w:fill="auto"/>
                <w:lang w:eastAsia="zh-CN"/>
              </w:rPr>
              <w:t>投标人</w:t>
            </w:r>
            <w:r>
              <w:rPr>
                <w:rFonts w:hint="eastAsia" w:ascii="仿宋" w:hAnsi="仿宋" w:eastAsia="仿宋" w:cs="仿宋"/>
                <w:color w:val="000000"/>
                <w:sz w:val="24"/>
                <w:highlight w:val="none"/>
                <w:shd w:val="clear" w:color="auto" w:fill="auto"/>
              </w:rPr>
              <w:t>须知的额外增加的变动：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firstLineChars="0"/>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rPr>
              <w:t>其他</w:t>
            </w:r>
          </w:p>
        </w:tc>
        <w:tc>
          <w:tcPr>
            <w:tcW w:w="7486" w:type="dxa"/>
            <w:shd w:val="clear" w:color="auto" w:fill="E0E0E0"/>
            <w:vAlign w:val="center"/>
          </w:tcPr>
          <w:p>
            <w:pPr>
              <w:spacing w:line="240" w:lineRule="atLeast"/>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rPr>
              <w:t>不得将中标项目全部或部分转让（转包）给他人；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BEBEB"/>
            <w:vAlign w:val="center"/>
          </w:tcPr>
          <w:p>
            <w:pPr>
              <w:spacing w:line="240" w:lineRule="atLeast"/>
              <w:ind w:left="1080" w:leftChars="257" w:hanging="540" w:firstLineChars="0"/>
              <w:rPr>
                <w:rFonts w:hint="eastAsia" w:ascii="仿宋" w:hAnsi="仿宋" w:eastAsia="仿宋" w:cs="仿宋"/>
                <w:color w:val="000000"/>
                <w:sz w:val="24"/>
                <w:highlight w:val="none"/>
                <w:shd w:val="clear" w:color="auto" w:fill="auto"/>
              </w:rPr>
            </w:pPr>
          </w:p>
        </w:tc>
        <w:tc>
          <w:tcPr>
            <w:tcW w:w="7486" w:type="dxa"/>
            <w:shd w:val="clear" w:color="auto" w:fill="EBEBEB"/>
            <w:vAlign w:val="center"/>
          </w:tcPr>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2.本项目实行网上投标，采用电子投标文件(供应商须使用CA加密设备通过政采云电子投标客户端制作投标文件)。若供应商参与投标，自行承担投标一切费用。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5.供应商在开标时须使用制作加密电子投标文件所使用的CA锁及电脑，电脑须提前配置好浏览器（建议使用谷歌浏览器），以便开标时解锁。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kinsoku/>
              <w:wordWrap/>
              <w:overflowPunct/>
              <w:topLinePunct w:val="0"/>
              <w:bidi w:val="0"/>
              <w:snapToGrid/>
              <w:spacing w:line="380" w:lineRule="exact"/>
              <w:textAlignment w:val="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kern w:val="0"/>
                <w:sz w:val="24"/>
                <w:highlight w:val="none"/>
                <w:shd w:val="clear" w:color="auto" w:fill="auto"/>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240" w:lineRule="atLeast"/>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8各供应商须在投标截止时间前完成在系统上递交电子</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文件。供应商的电子</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w:t>
            </w:r>
          </w:p>
          <w:p>
            <w:pPr>
              <w:spacing w:line="240" w:lineRule="atLeast"/>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9各供应商在投标截止时间前将“</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文件”上传至政采云平台。响应文件包括“报价一览表及资格证明文件”与“商务及技术文件”两部分合并成一册。响应文件应按照</w:t>
            </w:r>
            <w:r>
              <w:rPr>
                <w:rFonts w:hint="eastAsia" w:ascii="仿宋" w:hAnsi="仿宋" w:eastAsia="仿宋" w:cs="仿宋"/>
                <w:color w:val="000000"/>
                <w:sz w:val="24"/>
                <w:highlight w:val="none"/>
                <w:shd w:val="clear" w:color="auto" w:fill="auto"/>
                <w:lang w:val="en-US" w:eastAsia="zh-CN"/>
              </w:rPr>
              <w:t>招标</w:t>
            </w:r>
            <w:r>
              <w:rPr>
                <w:rFonts w:hint="eastAsia" w:ascii="仿宋" w:hAnsi="仿宋" w:eastAsia="仿宋" w:cs="仿宋"/>
                <w:color w:val="000000"/>
                <w:sz w:val="24"/>
                <w:highlight w:val="none"/>
                <w:shd w:val="clear" w:color="auto" w:fill="auto"/>
              </w:rPr>
              <w:t>文件规定的格式填写、签署和盖章，并以.jmbs格式上传至政采云开评标平台（</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文件为正本扫描件）。</w:t>
            </w:r>
          </w:p>
          <w:p>
            <w:pPr>
              <w:spacing w:line="240" w:lineRule="atLeast"/>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w:t>
            </w:r>
            <w:r>
              <w:rPr>
                <w:rFonts w:hint="eastAsia" w:ascii="仿宋" w:hAnsi="仿宋" w:eastAsia="仿宋" w:cs="仿宋"/>
                <w:color w:val="000000"/>
                <w:sz w:val="24"/>
                <w:highlight w:val="none"/>
                <w:shd w:val="clear" w:color="auto" w:fill="auto"/>
                <w:lang w:val="en-US" w:eastAsia="zh-CN"/>
              </w:rPr>
              <w:t>0</w:t>
            </w:r>
            <w:r>
              <w:rPr>
                <w:rFonts w:hint="eastAsia" w:ascii="仿宋" w:hAnsi="仿宋" w:eastAsia="仿宋" w:cs="仿宋"/>
                <w:color w:val="000000"/>
                <w:sz w:val="24"/>
                <w:highlight w:val="none"/>
                <w:shd w:val="clear" w:color="auto" w:fill="auto"/>
              </w:rPr>
              <w:t>解密时长为30分钟。</w:t>
            </w:r>
          </w:p>
          <w:p>
            <w:pPr>
              <w:spacing w:line="24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w:t>
            </w:r>
            <w:r>
              <w:rPr>
                <w:rFonts w:hint="eastAsia" w:ascii="仿宋" w:hAnsi="仿宋" w:eastAsia="仿宋" w:cs="仿宋"/>
                <w:color w:val="000000"/>
                <w:sz w:val="24"/>
                <w:highlight w:val="none"/>
                <w:shd w:val="clear" w:color="auto" w:fill="auto"/>
                <w:lang w:val="en-US" w:eastAsia="zh-CN"/>
              </w:rPr>
              <w:t>1</w:t>
            </w:r>
            <w:r>
              <w:rPr>
                <w:rFonts w:hint="eastAsia" w:ascii="仿宋" w:hAnsi="仿宋" w:eastAsia="仿宋" w:cs="仿宋"/>
                <w:color w:val="000000"/>
                <w:sz w:val="24"/>
                <w:highlight w:val="none"/>
                <w:shd w:val="clear" w:color="auto" w:fill="auto"/>
              </w:rPr>
              <w:t>须供应商提供备份的</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w:t>
            </w:r>
          </w:p>
        </w:tc>
      </w:tr>
    </w:tbl>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b/>
          <w:bCs/>
          <w:color w:val="auto"/>
          <w:sz w:val="28"/>
          <w:szCs w:val="28"/>
          <w:highlight w:val="none"/>
        </w:rPr>
      </w:pPr>
    </w:p>
    <w:p>
      <w:pPr>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rPr>
          <w:rFonts w:hint="eastAsia" w:ascii="仿宋" w:hAnsi="仿宋" w:eastAsia="仿宋" w:cs="仿宋"/>
          <w:b/>
          <w:bCs/>
          <w:color w:val="auto"/>
          <w:sz w:val="28"/>
          <w:szCs w:val="28"/>
          <w:highlight w:val="none"/>
        </w:rPr>
      </w:pPr>
    </w:p>
    <w:p>
      <w:pPr>
        <w:pStyle w:val="2"/>
        <w:rPr>
          <w:rFonts w:hint="eastAsia" w:ascii="仿宋" w:hAnsi="仿宋" w:eastAsia="仿宋" w:cs="仿宋"/>
          <w:b/>
          <w:bCs/>
          <w:color w:val="auto"/>
          <w:sz w:val="28"/>
          <w:szCs w:val="28"/>
          <w:highlight w:val="none"/>
        </w:rPr>
      </w:pPr>
    </w:p>
    <w:p>
      <w:pPr>
        <w:rPr>
          <w:rFonts w:hint="eastAsia" w:ascii="仿宋" w:hAnsi="仿宋" w:eastAsia="仿宋" w:cs="仿宋"/>
          <w:b/>
          <w:bCs/>
          <w:color w:val="auto"/>
          <w:sz w:val="28"/>
          <w:szCs w:val="28"/>
          <w:highlight w:val="none"/>
        </w:rPr>
      </w:pPr>
    </w:p>
    <w:p>
      <w:pPr>
        <w:pStyle w:val="2"/>
        <w:rPr>
          <w:rFonts w:hint="eastAsia"/>
        </w:rPr>
      </w:pPr>
    </w:p>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color w:val="auto"/>
          <w:highlight w:val="none"/>
        </w:rPr>
      </w:pPr>
      <w:r>
        <w:rPr>
          <w:rFonts w:hint="eastAsia" w:ascii="仿宋" w:hAnsi="仿宋" w:eastAsia="仿宋" w:cs="仿宋"/>
          <w:b/>
          <w:bCs/>
          <w:color w:val="auto"/>
          <w:sz w:val="28"/>
          <w:szCs w:val="28"/>
          <w:highlight w:val="none"/>
        </w:rPr>
        <w:t>资格性审查表</w:t>
      </w:r>
    </w:p>
    <w:p>
      <w:pPr>
        <w:rPr>
          <w:rFonts w:hint="eastAsia"/>
        </w:rPr>
      </w:pPr>
    </w:p>
    <w:tbl>
      <w:tblPr>
        <w:tblStyle w:val="24"/>
        <w:tblpPr w:vertAnchor="text" w:tblpXSpec="center" w:tblpY="1"/>
        <w:tblW w:w="9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6706"/>
        <w:gridCol w:w="696"/>
        <w:gridCol w:w="696"/>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exact"/>
          <w:jc w:val="center"/>
        </w:trPr>
        <w:tc>
          <w:tcPr>
            <w:tcW w:w="524" w:type="dxa"/>
            <w:vMerge w:val="restart"/>
            <w:tcBorders>
              <w:tl2br w:val="nil"/>
              <w:tr2bl w:val="nil"/>
            </w:tcBorders>
            <w:vAlign w:val="center"/>
          </w:tcPr>
          <w:p>
            <w:pPr>
              <w:autoSpaceDE/>
              <w:autoSpaceDN/>
              <w:adjustRightInd/>
              <w:spacing w:beforeLines="0" w:afterLines="0" w:line="240" w:lineRule="auto"/>
              <w:ind w:lef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06" w:type="dxa"/>
            <w:vMerge w:val="restart"/>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lang w:val="en-US" w:eastAsia="zh-CN"/>
              </w:rPr>
            </w:pPr>
          </w:p>
          <w:p>
            <w:pPr>
              <w:autoSpaceDE/>
              <w:autoSpaceDN/>
              <w:adjustRightInd/>
              <w:spacing w:beforeLines="0" w:afterLine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审查项</w:t>
            </w:r>
          </w:p>
        </w:tc>
        <w:tc>
          <w:tcPr>
            <w:tcW w:w="2109" w:type="dxa"/>
            <w:gridSpan w:val="3"/>
            <w:tcBorders>
              <w:tl2br w:val="nil"/>
              <w:tr2bl w:val="nil"/>
            </w:tcBorders>
            <w:vAlign w:val="center"/>
          </w:tcPr>
          <w:p>
            <w:pPr>
              <w:autoSpaceDE/>
              <w:autoSpaceDN/>
              <w:adjustRightInd/>
              <w:spacing w:before="40" w:beforeLines="0" w:afterLines="0" w:line="200" w:lineRule="exact"/>
              <w:ind w:firstLine="960" w:firstLineChars="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6" w:hRule="exact"/>
          <w:jc w:val="center"/>
        </w:trPr>
        <w:tc>
          <w:tcPr>
            <w:tcW w:w="524" w:type="dxa"/>
            <w:vMerge w:val="continue"/>
            <w:tcBorders>
              <w:tl2br w:val="nil"/>
              <w:tr2bl w:val="nil"/>
            </w:tcBorders>
            <w:vAlign w:val="center"/>
          </w:tcPr>
          <w:p>
            <w:pPr>
              <w:autoSpaceDE/>
              <w:autoSpaceDN/>
              <w:adjustRightInd/>
              <w:spacing w:beforeLines="0" w:afterLines="0" w:line="200" w:lineRule="exact"/>
              <w:ind w:left="120"/>
              <w:jc w:val="center"/>
              <w:rPr>
                <w:rFonts w:hint="eastAsia" w:ascii="仿宋" w:hAnsi="仿宋" w:eastAsia="仿宋" w:cs="仿宋"/>
                <w:color w:val="auto"/>
                <w:sz w:val="24"/>
                <w:szCs w:val="24"/>
                <w:highlight w:val="none"/>
              </w:rPr>
            </w:pPr>
          </w:p>
        </w:tc>
        <w:tc>
          <w:tcPr>
            <w:tcW w:w="6706" w:type="dxa"/>
            <w:vMerge w:val="continue"/>
            <w:tcBorders>
              <w:tl2br w:val="nil"/>
              <w:tr2bl w:val="nil"/>
            </w:tcBorders>
            <w:vAlign w:val="center"/>
          </w:tcPr>
          <w:p>
            <w:pPr>
              <w:autoSpaceDE/>
              <w:autoSpaceDN/>
              <w:adjustRightInd/>
              <w:spacing w:beforeLines="0" w:afterLines="0" w:line="200" w:lineRule="exact"/>
              <w:ind w:left="31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696"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c>
          <w:tcPr>
            <w:tcW w:w="696"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c>
          <w:tcPr>
            <w:tcW w:w="717"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0" w:hRule="exact"/>
          <w:jc w:val="center"/>
        </w:trPr>
        <w:tc>
          <w:tcPr>
            <w:tcW w:w="524" w:type="dxa"/>
            <w:tcBorders>
              <w:tl2br w:val="nil"/>
              <w:tr2bl w:val="nil"/>
            </w:tcBorders>
            <w:vAlign w:val="center"/>
          </w:tcPr>
          <w:p>
            <w:pPr>
              <w:autoSpaceDE/>
              <w:autoSpaceDN/>
              <w:adjustRightInd/>
              <w:spacing w:before="280" w:beforeLines="0" w:afterLines="0" w:line="2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706" w:type="dxa"/>
            <w:tcBorders>
              <w:tl2br w:val="nil"/>
              <w:tr2bl w:val="nil"/>
            </w:tcBorders>
            <w:vAlign w:val="center"/>
          </w:tcPr>
          <w:p>
            <w:pPr>
              <w:autoSpaceDE/>
              <w:autoSpaceDN/>
              <w:adjustRightInd/>
              <w:spacing w:before="120" w:beforeLines="0" w:afterLines="0"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具有合法有效的营业执照；</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p>
            <w:pPr>
              <w:pStyle w:val="6"/>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exact"/>
          <w:jc w:val="center"/>
        </w:trPr>
        <w:tc>
          <w:tcPr>
            <w:tcW w:w="524" w:type="dxa"/>
            <w:tcBorders>
              <w:tl2br w:val="nil"/>
              <w:tr2bl w:val="nil"/>
            </w:tcBorders>
            <w:vAlign w:val="center"/>
          </w:tcPr>
          <w:p>
            <w:pPr>
              <w:autoSpaceDE/>
              <w:autoSpaceDN/>
              <w:adjustRightInd/>
              <w:spacing w:before="28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706" w:type="dxa"/>
            <w:tcBorders>
              <w:tl2br w:val="nil"/>
              <w:tr2bl w:val="nil"/>
            </w:tcBorders>
            <w:vAlign w:val="center"/>
          </w:tcPr>
          <w:p>
            <w:pPr>
              <w:autoSpaceDE/>
              <w:autoSpaceDN/>
              <w:adjustRightInd/>
              <w:spacing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2021年度或2022年度</w:t>
            </w:r>
            <w:r>
              <w:rPr>
                <w:rFonts w:hint="eastAsia" w:ascii="仿宋" w:hAnsi="仿宋" w:eastAsia="仿宋" w:cs="仿宋"/>
                <w:color w:val="auto"/>
                <w:sz w:val="24"/>
                <w:szCs w:val="24"/>
                <w:highlight w:val="none"/>
                <w:lang w:val="en-US" w:eastAsia="zh-CN"/>
              </w:rPr>
              <w:t>的财务审计报告（新成立未满一年的公司需提供有效的银行资信证明）；</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pStyle w:val="6"/>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4"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法定代表人授权书及被委托人身份证（法定代表人投标提供法定代表人身份证明及身份证）；</w:t>
            </w:r>
          </w:p>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参加采购活动前三年内，在经营活动中无重大违法声明；提供针对本次项目《反商业贿赂承诺书》；</w:t>
            </w:r>
          </w:p>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0"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提供税务部门出具的近六个月中任意一个月的完税证明，依法免税的应提供相应文件证明（完税证明或税务部门出具的其他证明，非社会保险类）及</w:t>
            </w:r>
            <w:r>
              <w:rPr>
                <w:rFonts w:hint="eastAsia" w:ascii="仿宋_GB2312" w:hAnsi="Calibri" w:eastAsia="仿宋_GB2312" w:cs="Times New Roman"/>
                <w:color w:val="auto"/>
                <w:kern w:val="2"/>
                <w:sz w:val="24"/>
                <w:szCs w:val="22"/>
                <w:highlight w:val="none"/>
                <w:lang w:val="en-US" w:eastAsia="zh-CN" w:bidi="ar-SA"/>
              </w:rPr>
              <w:t>近六个月内任意1个月缴纳社会保障金的证明；</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9" w:hRule="exact"/>
          <w:jc w:val="center"/>
        </w:trPr>
        <w:tc>
          <w:tcPr>
            <w:tcW w:w="524" w:type="dxa"/>
            <w:tcBorders>
              <w:tl2br w:val="nil"/>
              <w:tr2bl w:val="nil"/>
            </w:tcBorders>
            <w:vAlign w:val="center"/>
          </w:tcPr>
          <w:p>
            <w:pPr>
              <w:autoSpaceDE/>
              <w:autoSpaceDN/>
              <w:adjustRightInd/>
              <w:spacing w:before="16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706" w:type="dxa"/>
            <w:tcBorders>
              <w:tl2br w:val="nil"/>
              <w:tr2bl w:val="nil"/>
            </w:tcBorders>
            <w:vAlign w:val="center"/>
          </w:tcPr>
          <w:p>
            <w:pPr>
              <w:spacing w:line="240" w:lineRule="atLeas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投标人在“信用中国”（www.creditchina.gov.cn）和中国政府采购网（www.ccgp.gov.cn）网站上未列入失信被执行人、重大税收违法案件当事人名单、政府采购严重违法失信行为记录名单（财库[2016]125号）（以开标现场查询为准）；</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exact"/>
          <w:jc w:val="center"/>
        </w:trPr>
        <w:tc>
          <w:tcPr>
            <w:tcW w:w="524" w:type="dxa"/>
            <w:tcBorders>
              <w:tl2br w:val="nil"/>
              <w:tr2bl w:val="nil"/>
            </w:tcBorders>
            <w:vAlign w:val="center"/>
          </w:tcPr>
          <w:p>
            <w:pPr>
              <w:autoSpaceDE/>
              <w:autoSpaceDN/>
              <w:adjustRightInd/>
              <w:spacing w:before="6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706" w:type="dxa"/>
            <w:tcBorders>
              <w:tl2br w:val="nil"/>
              <w:tr2bl w:val="nil"/>
            </w:tcBorders>
            <w:vAlign w:val="center"/>
          </w:tcPr>
          <w:p>
            <w:pPr>
              <w:autoSpaceDE/>
              <w:autoSpaceDN/>
              <w:adjustRightInd/>
              <w:spacing w:before="60" w:beforeLines="0" w:afterLines="0" w:line="2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磋商保证金缴纳凭证；</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9" w:hRule="exact"/>
          <w:jc w:val="center"/>
        </w:trPr>
        <w:tc>
          <w:tcPr>
            <w:tcW w:w="524" w:type="dxa"/>
            <w:tcBorders>
              <w:tl2br w:val="nil"/>
              <w:tr2bl w:val="nil"/>
            </w:tcBorders>
            <w:vAlign w:val="center"/>
          </w:tcPr>
          <w:p>
            <w:pPr>
              <w:autoSpaceDE/>
              <w:autoSpaceDN/>
              <w:adjustRightInd/>
              <w:spacing w:before="60" w:beforeLines="0" w:afterLines="0" w:line="200" w:lineRule="exact"/>
              <w:ind w:left="100"/>
              <w:jc w:val="center"/>
              <w:rPr>
                <w:rFonts w:hint="eastAsia" w:ascii="仿宋" w:hAnsi="仿宋" w:eastAsia="仿宋" w:cs="仿宋"/>
                <w:color w:val="auto"/>
                <w:sz w:val="24"/>
                <w:szCs w:val="24"/>
                <w:highlight w:val="none"/>
              </w:rPr>
            </w:pPr>
          </w:p>
        </w:tc>
        <w:tc>
          <w:tcPr>
            <w:tcW w:w="6706" w:type="dxa"/>
            <w:tcBorders>
              <w:tl2br w:val="nil"/>
              <w:tr2bl w:val="nil"/>
            </w:tcBorders>
            <w:vAlign w:val="center"/>
          </w:tcPr>
          <w:p>
            <w:pPr>
              <w:autoSpaceDE/>
              <w:autoSpaceDN/>
              <w:adjustRightInd/>
              <w:spacing w:before="60" w:beforeLines="0" w:afterLines="0" w:line="200" w:lineRule="exact"/>
              <w:ind w:left="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通过评审打“√”，未通过评审打“×”</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bl>
    <w:p>
      <w:pPr>
        <w:widowControl/>
        <w:jc w:val="left"/>
        <w:rPr>
          <w:rFonts w:hint="eastAsia" w:ascii="仿宋" w:hAnsi="仿宋" w:eastAsia="仿宋" w:cs="仿宋"/>
          <w:sz w:val="22"/>
          <w:szCs w:val="22"/>
        </w:rPr>
      </w:pPr>
      <w:r>
        <w:rPr>
          <w:rFonts w:hint="eastAsia" w:ascii="仿宋" w:hAnsi="仿宋" w:eastAsia="仿宋" w:cs="仿宋"/>
          <w:sz w:val="24"/>
          <w:szCs w:val="24"/>
        </w:rPr>
        <w:t>说明：</w:t>
      </w:r>
    </w:p>
    <w:p>
      <w:pPr>
        <w:spacing w:line="360" w:lineRule="exact"/>
        <w:rPr>
          <w:rFonts w:hint="eastAsia" w:ascii="仿宋" w:hAnsi="仿宋" w:eastAsia="仿宋" w:cs="仿宋"/>
          <w:sz w:val="22"/>
          <w:szCs w:val="22"/>
        </w:rPr>
      </w:pPr>
      <w:r>
        <w:rPr>
          <w:rFonts w:hint="eastAsia" w:ascii="仿宋" w:hAnsi="仿宋" w:eastAsia="仿宋" w:cs="仿宋"/>
          <w:sz w:val="22"/>
          <w:szCs w:val="22"/>
        </w:rPr>
        <w:t>（1）上述各项中用“√”表示</w:t>
      </w:r>
      <w:r>
        <w:rPr>
          <w:rFonts w:hint="eastAsia" w:ascii="仿宋" w:hAnsi="仿宋" w:eastAsia="仿宋" w:cs="仿宋"/>
          <w:sz w:val="22"/>
          <w:szCs w:val="22"/>
          <w:lang w:eastAsia="zh-CN"/>
        </w:rPr>
        <w:t>是</w:t>
      </w:r>
      <w:r>
        <w:rPr>
          <w:rFonts w:hint="eastAsia" w:ascii="仿宋" w:hAnsi="仿宋" w:eastAsia="仿宋" w:cs="仿宋"/>
          <w:sz w:val="22"/>
          <w:szCs w:val="22"/>
        </w:rPr>
        <w:t>，“×”表示</w:t>
      </w:r>
      <w:r>
        <w:rPr>
          <w:rFonts w:hint="eastAsia" w:ascii="仿宋" w:hAnsi="仿宋" w:eastAsia="仿宋" w:cs="仿宋"/>
          <w:sz w:val="22"/>
          <w:szCs w:val="22"/>
          <w:lang w:eastAsia="zh-CN"/>
        </w:rPr>
        <w:t>否</w:t>
      </w:r>
      <w:r>
        <w:rPr>
          <w:rFonts w:hint="eastAsia" w:ascii="仿宋" w:hAnsi="仿宋" w:eastAsia="仿宋" w:cs="仿宋"/>
          <w:sz w:val="22"/>
          <w:szCs w:val="22"/>
        </w:rPr>
        <w:t>；</w:t>
      </w:r>
    </w:p>
    <w:p>
      <w:pPr>
        <w:spacing w:line="360" w:lineRule="exact"/>
        <w:rPr>
          <w:rFonts w:hint="eastAsia" w:ascii="仿宋" w:hAnsi="仿宋" w:eastAsia="仿宋" w:cs="仿宋"/>
          <w:sz w:val="22"/>
          <w:szCs w:val="22"/>
        </w:rPr>
      </w:pPr>
      <w:r>
        <w:rPr>
          <w:rFonts w:hint="eastAsia" w:ascii="仿宋" w:hAnsi="仿宋" w:eastAsia="仿宋" w:cs="仿宋"/>
          <w:sz w:val="22"/>
          <w:szCs w:val="22"/>
        </w:rPr>
        <w:t>（2）上述各项中如有一项为“×”，则结论为“</w:t>
      </w:r>
      <w:r>
        <w:rPr>
          <w:rFonts w:hint="eastAsia" w:ascii="仿宋" w:hAnsi="仿宋" w:eastAsia="仿宋" w:cs="仿宋"/>
          <w:sz w:val="22"/>
          <w:szCs w:val="22"/>
          <w:lang w:eastAsia="zh-CN"/>
        </w:rPr>
        <w:t>不通过</w:t>
      </w:r>
      <w:r>
        <w:rPr>
          <w:rFonts w:hint="eastAsia" w:ascii="仿宋" w:hAnsi="仿宋" w:eastAsia="仿宋" w:cs="仿宋"/>
          <w:sz w:val="22"/>
          <w:szCs w:val="22"/>
        </w:rPr>
        <w:t>”，表示该响应文件中存在重大偏差，不能通过</w:t>
      </w:r>
      <w:r>
        <w:rPr>
          <w:rFonts w:hint="eastAsia" w:ascii="仿宋" w:hAnsi="仿宋" w:eastAsia="仿宋" w:cs="仿宋"/>
          <w:sz w:val="22"/>
          <w:szCs w:val="22"/>
          <w:lang w:val="en-US" w:eastAsia="zh-CN"/>
        </w:rPr>
        <w:t>资格审查</w:t>
      </w:r>
      <w:r>
        <w:rPr>
          <w:rFonts w:hint="eastAsia" w:ascii="仿宋" w:hAnsi="仿宋" w:eastAsia="仿宋" w:cs="仿宋"/>
          <w:sz w:val="22"/>
          <w:szCs w:val="22"/>
        </w:rPr>
        <w:t>；</w:t>
      </w:r>
    </w:p>
    <w:p>
      <w:pPr>
        <w:spacing w:line="360" w:lineRule="exact"/>
        <w:rPr>
          <w:rFonts w:hint="eastAsia" w:ascii="仿宋" w:hAnsi="仿宋" w:eastAsia="仿宋" w:cs="仿宋"/>
        </w:rPr>
      </w:pPr>
      <w:r>
        <w:rPr>
          <w:rFonts w:hint="eastAsia" w:ascii="仿宋" w:hAnsi="仿宋" w:eastAsia="仿宋" w:cs="仿宋"/>
          <w:b/>
          <w:bCs/>
          <w:sz w:val="22"/>
          <w:szCs w:val="22"/>
        </w:rPr>
        <w:t>备注：如果</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中有一项未通过上述审查标准，</w:t>
      </w:r>
      <w:r>
        <w:rPr>
          <w:rFonts w:hint="eastAsia" w:ascii="仿宋" w:hAnsi="仿宋" w:eastAsia="仿宋" w:cs="仿宋"/>
          <w:b/>
          <w:bCs/>
          <w:sz w:val="22"/>
          <w:szCs w:val="22"/>
          <w:lang w:val="en-US" w:eastAsia="zh-CN"/>
        </w:rPr>
        <w:t>资格审查小组</w:t>
      </w:r>
      <w:r>
        <w:rPr>
          <w:rFonts w:hint="eastAsia" w:ascii="仿宋" w:hAnsi="仿宋" w:eastAsia="仿宋" w:cs="仿宋"/>
          <w:b/>
          <w:bCs/>
          <w:sz w:val="22"/>
          <w:szCs w:val="22"/>
        </w:rPr>
        <w:t>会将认定整个</w:t>
      </w:r>
      <w:r>
        <w:rPr>
          <w:rFonts w:hint="eastAsia" w:ascii="仿宋" w:hAnsi="仿宋" w:eastAsia="仿宋" w:cs="仿宋"/>
          <w:b/>
          <w:bCs/>
          <w:sz w:val="22"/>
          <w:szCs w:val="22"/>
          <w:lang w:eastAsia="zh-CN"/>
        </w:rPr>
        <w:t>响应文件</w:t>
      </w:r>
      <w:r>
        <w:rPr>
          <w:rFonts w:hint="eastAsia" w:ascii="仿宋" w:hAnsi="仿宋" w:eastAsia="仿宋" w:cs="仿宋"/>
          <w:b/>
          <w:bCs/>
          <w:sz w:val="22"/>
          <w:szCs w:val="22"/>
        </w:rPr>
        <w:t>未响应</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而予以无效处理。</w:t>
      </w:r>
    </w:p>
    <w:p>
      <w:pPr>
        <w:spacing w:line="240" w:lineRule="atLeast"/>
        <w:ind w:left="1080" w:leftChars="257" w:hanging="540"/>
        <w:rPr>
          <w:rFonts w:hint="eastAsia" w:ascii="仿宋" w:hAnsi="仿宋" w:eastAsia="仿宋" w:cs="仿宋"/>
          <w:color w:val="auto"/>
          <w:sz w:val="24"/>
          <w:highlight w:val="none"/>
        </w:rPr>
        <w:sectPr>
          <w:headerReference r:id="rId6" w:type="default"/>
          <w:footerReference r:id="rId8" w:type="default"/>
          <w:headerReference r:id="rId7"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highlight w:val="none"/>
        </w:rPr>
      </w:pPr>
      <w:bookmarkStart w:id="247" w:name="_Toc512937852"/>
      <w:r>
        <w:rPr>
          <w:rFonts w:hint="eastAsia" w:ascii="仿宋" w:hAnsi="仿宋" w:eastAsia="仿宋" w:cs="仿宋"/>
          <w:color w:val="auto"/>
          <w:highlight w:val="none"/>
          <w:lang w:val="en-US" w:eastAsia="zh-CN"/>
        </w:rPr>
        <w:t>第5章货物</w:t>
      </w:r>
      <w:r>
        <w:rPr>
          <w:rFonts w:hint="eastAsia" w:ascii="仿宋" w:hAnsi="仿宋" w:eastAsia="仿宋" w:cs="仿宋"/>
          <w:color w:val="auto"/>
          <w:highlight w:val="none"/>
        </w:rPr>
        <w:t>需求</w:t>
      </w:r>
    </w:p>
    <w:p>
      <w:pPr>
        <w:widowControl/>
        <w:autoSpaceDE w:val="0"/>
        <w:autoSpaceDN w:val="0"/>
        <w:spacing w:line="240" w:lineRule="auto"/>
        <w:ind w:firstLine="482" w:firstLineChars="200"/>
        <w:textAlignment w:val="bottom"/>
        <w:rPr>
          <w:rFonts w:hint="eastAsia" w:ascii="仿宋" w:hAnsi="仿宋" w:eastAsia="仿宋" w:cs="仿宋"/>
          <w:b/>
          <w:bCs/>
          <w:sz w:val="24"/>
          <w:szCs w:val="24"/>
          <w:lang w:val="en-US" w:eastAsia="zh-CN"/>
        </w:rPr>
      </w:pPr>
    </w:p>
    <w:p>
      <w:pPr>
        <w:widowControl/>
        <w:autoSpaceDE w:val="0"/>
        <w:autoSpaceDN w:val="0"/>
        <w:spacing w:line="240" w:lineRule="auto"/>
        <w:ind w:firstLine="482" w:firstLineChars="200"/>
        <w:textAlignment w:val="bottom"/>
        <w:rPr>
          <w:rFonts w:hint="eastAsia"/>
          <w:sz w:val="24"/>
          <w:szCs w:val="24"/>
          <w:lang w:val="en-US" w:eastAsia="zh-CN"/>
        </w:rPr>
      </w:pPr>
      <w:r>
        <w:rPr>
          <w:rFonts w:hint="eastAsia" w:ascii="仿宋" w:hAnsi="仿宋" w:eastAsia="仿宋" w:cs="仿宋"/>
          <w:b/>
          <w:bCs/>
          <w:sz w:val="24"/>
          <w:szCs w:val="24"/>
          <w:lang w:val="en-US" w:eastAsia="zh-CN"/>
        </w:rPr>
        <w:t>塔什库尔干县2023年各乡镇小学学生用床及配套设施设备采购</w:t>
      </w:r>
      <w:r>
        <w:rPr>
          <w:rFonts w:hint="eastAsia"/>
          <w:b/>
          <w:bCs/>
          <w:lang w:val="en-US" w:eastAsia="zh-CN"/>
        </w:rPr>
        <w:t>参数</w:t>
      </w:r>
      <w:r>
        <w:rPr>
          <w:rFonts w:hint="eastAsia" w:ascii="仿宋" w:hAnsi="仿宋" w:eastAsia="仿宋" w:cs="仿宋"/>
          <w:b/>
          <w:bCs/>
          <w:sz w:val="24"/>
          <w:szCs w:val="24"/>
          <w:lang w:val="en-US" w:eastAsia="zh-CN"/>
        </w:rPr>
        <w:t>表</w:t>
      </w:r>
    </w:p>
    <w:tbl>
      <w:tblPr>
        <w:tblStyle w:val="24"/>
        <w:tblW w:w="8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9"/>
        <w:gridCol w:w="1907"/>
        <w:gridCol w:w="3004"/>
        <w:gridCol w:w="884"/>
        <w:gridCol w:w="1112"/>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907"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塔县城乡寄宿制小学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学生高低床</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405 </w:t>
            </w:r>
          </w:p>
        </w:tc>
        <w:tc>
          <w:tcPr>
            <w:tcW w:w="1125"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参数详见附件一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床板</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810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不锈钢折叠餐桌</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102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学生床上三件套</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810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907"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达布达尔乡寄宿制小学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学生高低床</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30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床板</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60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学生床上三件套</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60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不锈钢折叠餐桌</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21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907"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科克亚柯尔克孜民族乡寄宿制小学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学生高低床</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6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床板</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12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床垫</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12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学生床上三件套</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12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907"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库科西力克乡寄宿制小学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学生高低床</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46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床板</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91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床垫</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91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学生床上三件套</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91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907"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塔合曼乡寄宿制小学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学生高低床</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75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床板</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148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床垫</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148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学生床上三件套</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148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907"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塔什库尔干乡寄宿制小学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学生高低床</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30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床板</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60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床垫</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60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学生床上三件套</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60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907"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马尔洋乡寄宿制小学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学生高低床</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7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床板</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14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床垫</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14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学生床上三件套</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14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907"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大同乡寄宿制小学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学生高低床</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28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床板</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56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床垫</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56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学生床上三件套</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56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907"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塔吉克阿巴提镇小学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学生高低床</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94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床板</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188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床垫</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188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学生床上三件套</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188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907" w:type="dxa"/>
            <w:vMerge w:val="restart"/>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瓦恰乡寄宿制小学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学生单层床</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90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床板</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90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床垫</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90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学生床上三件套</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90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学生宿舍窗帘</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14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000000"/>
                <w:sz w:val="24"/>
                <w:szCs w:val="24"/>
                <w:u w:val="none"/>
              </w:rPr>
            </w:pPr>
          </w:p>
        </w:tc>
        <w:tc>
          <w:tcPr>
            <w:tcW w:w="1907"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i w:val="0"/>
                <w:color w:val="000000"/>
                <w:sz w:val="24"/>
                <w:szCs w:val="24"/>
                <w:u w:val="none"/>
              </w:rPr>
            </w:pP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学生宿舍衣柜</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6 </w:t>
            </w:r>
          </w:p>
        </w:tc>
        <w:tc>
          <w:tcPr>
            <w:tcW w:w="1125"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4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907"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提孜那甫乡小学</w:t>
            </w:r>
          </w:p>
        </w:tc>
        <w:tc>
          <w:tcPr>
            <w:tcW w:w="30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不锈钢折叠餐桌</w:t>
            </w:r>
          </w:p>
        </w:tc>
        <w:tc>
          <w:tcPr>
            <w:tcW w:w="8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张</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24 </w:t>
            </w:r>
          </w:p>
        </w:tc>
        <w:tc>
          <w:tcPr>
            <w:tcW w:w="1125"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bl>
    <w:p>
      <w:pPr>
        <w:pStyle w:val="6"/>
        <w:rPr>
          <w:rFonts w:hint="default"/>
          <w:sz w:val="24"/>
          <w:szCs w:val="24"/>
          <w:lang w:val="en-US" w:eastAsia="zh-CN"/>
        </w:rPr>
      </w:pPr>
      <w:r>
        <w:rPr>
          <w:rFonts w:hint="eastAsia"/>
          <w:sz w:val="24"/>
          <w:szCs w:val="24"/>
          <w:lang w:val="en-US" w:eastAsia="zh-CN"/>
        </w:rPr>
        <w:t>附件一</w:t>
      </w:r>
    </w:p>
    <w:tbl>
      <w:tblPr>
        <w:tblStyle w:val="24"/>
        <w:tblW w:w="86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984"/>
        <w:gridCol w:w="6287"/>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62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 型号 功能</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8"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学生高低床</w:t>
            </w:r>
          </w:p>
        </w:tc>
        <w:tc>
          <w:tcPr>
            <w:tcW w:w="62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学生组合式带储物柜、鞋架一体上下床（上下床算一套）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床体规格:2000*900*1800mm。2、床立柱：采用50*50*1.5mm厚方管。3、床帮：采用80*40*1.5mm方管。4、床横梁：采用80*40*1.5mm方管5、床护栏：整体采用25*25*1.2方管护栏。6、床挡头：采用25*25*1.2方管。7、床板横撑：采用25*25*1.2方管管材5根。8、床板：龙骨床板为1.0mm冷轧钢板冲压成形，宽为8cm上下铺各由9根钢板组成。9、床梯规格：920*290mm，采用25*25*1.2mm国标管材。10、床梯踏板：260*45*1.2mm带防滑条纹，三层踏板。11、床挂件：采用25*25*1.2方管。（配套双层鞋架，2套储物柜）。12、整床重量为58公斤。</w:t>
            </w:r>
          </w:p>
        </w:tc>
        <w:tc>
          <w:tcPr>
            <w:tcW w:w="88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参数中的规格均为参考数值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学生单层床</w:t>
            </w:r>
          </w:p>
        </w:tc>
        <w:tc>
          <w:tcPr>
            <w:tcW w:w="62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学生组合式带储物柜、鞋架一体单层</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床体规格:长2000*宽900*高810mm。2、床立柱：采用50*50*1.5mm厚方管。3、床帮：采用80*40*1.5mm方管。4、床横梁：采用80*40*1.5mm方管5、床护栏：整体采用25*25*1.2方管护栏。6、床挡头：采用25*25*1.2方管。7、床板横撑：采用25*25*1.2方管管材5根。8、床板：龙骨床板为1.0mm冷轧钢板冲压成形，宽为8cm上下铺各由9根钢板组成。9、床梯规格：920*290mm，采用25*25*1.2mm国标管材。10、床梯踏板：260*45*1.2mm带防滑条纹，三层踏板。11、床挂件：采用25*25*1.2方管。（配套双层鞋架，2套储物柜）。12、整床重量为58公斤。</w:t>
            </w:r>
          </w:p>
        </w:tc>
        <w:tc>
          <w:tcPr>
            <w:tcW w:w="888"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床板</w:t>
            </w:r>
          </w:p>
        </w:tc>
        <w:tc>
          <w:tcPr>
            <w:tcW w:w="62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环保材料 木质厚度11厘米，材质桉木，长1.95*宽1</w:t>
            </w:r>
          </w:p>
        </w:tc>
        <w:tc>
          <w:tcPr>
            <w:tcW w:w="888"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床垫</w:t>
            </w:r>
          </w:p>
        </w:tc>
        <w:tc>
          <w:tcPr>
            <w:tcW w:w="62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3E环保椰丝棕垫，规格：195*85*5；面料：椰棕；经遍布面料；内含0.8海绵；透气。</w:t>
            </w:r>
          </w:p>
        </w:tc>
        <w:tc>
          <w:tcPr>
            <w:tcW w:w="888"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学生床上三件套</w:t>
            </w:r>
          </w:p>
        </w:tc>
        <w:tc>
          <w:tcPr>
            <w:tcW w:w="62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被褥、褥子、枕头、床垫、被套、枕套一套；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纯棉（褥子床单110*210被子被套150*210枕头枕套45*65）</w:t>
            </w:r>
          </w:p>
        </w:tc>
        <w:tc>
          <w:tcPr>
            <w:tcW w:w="888"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学生宿舍窗帘</w:t>
            </w:r>
          </w:p>
        </w:tc>
        <w:tc>
          <w:tcPr>
            <w:tcW w:w="62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无甲醛环保布料、亚克力银色穿管环、罗马杆。宽3*高2.5米（一组两个）供应商负责安装</w:t>
            </w:r>
          </w:p>
        </w:tc>
        <w:tc>
          <w:tcPr>
            <w:tcW w:w="888"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学生宿舍衣柜</w:t>
            </w:r>
          </w:p>
        </w:tc>
        <w:tc>
          <w:tcPr>
            <w:tcW w:w="62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规格：1、八门 2、1800*900*420钢板厚：0.7，3、铁皮、自带锁，双开门</w:t>
            </w:r>
          </w:p>
        </w:tc>
        <w:tc>
          <w:tcPr>
            <w:tcW w:w="888"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不锈钢折叠餐桌</w:t>
            </w:r>
          </w:p>
        </w:tc>
        <w:tc>
          <w:tcPr>
            <w:tcW w:w="62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规格:8人座折叠餐桌; 材质说明:1、1.0mm厚5*5优质钢管主架，优质不锈钢桌面，环保、防水、防火、耐磨、耐高温.桌面尺寸是2200cm*700cm，从地面到桌面总高度为：75cm，总占地面积：2200cm*700cm；4.采用玻璃钢圆形凳(座凳颜色可选);</w:t>
            </w:r>
          </w:p>
        </w:tc>
        <w:tc>
          <w:tcPr>
            <w:tcW w:w="888"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8"/>
        <w:rPr>
          <w:rFonts w:hint="eastAsia" w:eastAsia="宋体" w:cs="Times New Roman"/>
          <w:b/>
          <w:bCs/>
          <w:sz w:val="24"/>
          <w:szCs w:val="24"/>
          <w:lang w:val="en-US" w:eastAsia="zh-CN"/>
        </w:rPr>
      </w:pPr>
    </w:p>
    <w:p>
      <w:pPr>
        <w:pStyle w:val="28"/>
        <w:rPr>
          <w:rFonts w:hint="eastAsia" w:eastAsia="宋体" w:cs="Times New Roman"/>
          <w:b/>
          <w:bCs/>
          <w:sz w:val="24"/>
          <w:szCs w:val="24"/>
          <w:lang w:val="en-US" w:eastAsia="zh-CN"/>
        </w:rPr>
      </w:pPr>
    </w:p>
    <w:p>
      <w:pPr>
        <w:pStyle w:val="28"/>
        <w:rPr>
          <w:rFonts w:hint="eastAsia" w:eastAsia="宋体" w:cs="Times New Roman"/>
          <w:b/>
          <w:bCs/>
          <w:sz w:val="24"/>
          <w:szCs w:val="24"/>
          <w:lang w:val="en-US" w:eastAsia="zh-CN"/>
        </w:rPr>
      </w:pPr>
    </w:p>
    <w:p>
      <w:pPr>
        <w:pStyle w:val="28"/>
        <w:spacing w:line="240" w:lineRule="auto"/>
        <w:ind w:left="0" w:leftChars="0" w:firstLine="0" w:firstLineChars="0"/>
        <w:rPr>
          <w:rFonts w:hint="eastAsia" w:ascii="仿宋" w:hAnsi="仿宋" w:eastAsia="仿宋" w:cs="仿宋"/>
          <w:sz w:val="24"/>
          <w:szCs w:val="24"/>
          <w:lang w:val="en-US" w:eastAsia="zh-CN"/>
        </w:rPr>
      </w:pPr>
    </w:p>
    <w:p>
      <w:pPr>
        <w:pStyle w:val="28"/>
        <w:spacing w:line="240" w:lineRule="auto"/>
        <w:ind w:left="0" w:leftChars="0" w:firstLine="0"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塔什库尔干县教育局各乡镇小学学生用床及其他配套生活设施设备采购项目</w:t>
      </w:r>
    </w:p>
    <w:bookmarkEnd w:id="247"/>
    <w:p>
      <w:pPr>
        <w:pStyle w:val="3"/>
        <w:tabs>
          <w:tab w:val="left" w:pos="0"/>
        </w:tabs>
        <w:spacing w:before="0" w:after="0"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交货期：签订合同60日内</w:t>
      </w:r>
    </w:p>
    <w:p>
      <w:pPr>
        <w:pStyle w:val="3"/>
        <w:tabs>
          <w:tab w:val="left" w:pos="0"/>
        </w:tabs>
        <w:spacing w:before="0" w:after="0"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质保期：一般产品1年</w:t>
      </w:r>
    </w:p>
    <w:p>
      <w:pPr>
        <w:pStyle w:val="3"/>
        <w:tabs>
          <w:tab w:val="left" w:pos="0"/>
        </w:tabs>
        <w:spacing w:before="0" w:after="0"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核心产品：/</w:t>
      </w:r>
    </w:p>
    <w:p>
      <w:pPr>
        <w:spacing w:line="240" w:lineRule="auto"/>
        <w:ind w:firstLine="482" w:firstLineChars="200"/>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交货地点：塔什库尔干县采购人指定地点</w:t>
      </w:r>
    </w:p>
    <w:p>
      <w:pPr>
        <w:pStyle w:val="3"/>
        <w:tabs>
          <w:tab w:val="left" w:pos="0"/>
        </w:tabs>
        <w:spacing w:before="0" w:after="0" w:line="240" w:lineRule="auto"/>
        <w:ind w:firstLine="482" w:firstLineChars="200"/>
        <w:jc w:val="left"/>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SA"/>
        </w:rPr>
        <w:t>付款方式：签订合同后支付合同价30%，项目实施完成并验收合格后支付70%</w:t>
      </w:r>
      <w:r>
        <w:rPr>
          <w:rFonts w:hint="eastAsia" w:ascii="仿宋" w:hAnsi="仿宋" w:eastAsia="仿宋" w:cs="仿宋"/>
          <w:b/>
          <w:bCs/>
          <w:kern w:val="2"/>
          <w:sz w:val="24"/>
          <w:szCs w:val="24"/>
        </w:rPr>
        <w:t>注：</w:t>
      </w:r>
    </w:p>
    <w:p>
      <w:pPr>
        <w:pStyle w:val="3"/>
        <w:tabs>
          <w:tab w:val="left" w:pos="0"/>
        </w:tabs>
        <w:spacing w:before="0" w:after="0" w:line="240" w:lineRule="auto"/>
        <w:ind w:firstLine="482" w:firstLineChars="200"/>
        <w:jc w:val="left"/>
        <w:rPr>
          <w:rFonts w:hint="eastAsia" w:ascii="仿宋" w:hAnsi="仿宋" w:eastAsia="仿宋" w:cs="仿宋"/>
          <w:sz w:val="24"/>
          <w:szCs w:val="24"/>
        </w:rPr>
      </w:pPr>
      <w:r>
        <w:rPr>
          <w:rFonts w:hint="eastAsia" w:ascii="仿宋" w:hAnsi="仿宋" w:eastAsia="仿宋" w:cs="仿宋"/>
          <w:b/>
          <w:bCs/>
          <w:kern w:val="2"/>
          <w:sz w:val="24"/>
          <w:szCs w:val="24"/>
        </w:rPr>
        <w:t>以上技术规格参数表中所要求的技术参数未指向任何品牌、型号、供应商，若有指向只作参考，并无其他限制作用，供应商所投产品可以根据技术参数要求自主选择品牌。参数及要求以签订合同为准</w:t>
      </w:r>
      <w:r>
        <w:rPr>
          <w:rFonts w:hint="eastAsia" w:ascii="仿宋" w:hAnsi="仿宋" w:eastAsia="仿宋" w:cs="仿宋"/>
          <w:b/>
          <w:bCs/>
          <w:kern w:val="2"/>
          <w:sz w:val="24"/>
          <w:szCs w:val="24"/>
          <w:lang w:eastAsia="zh-CN"/>
        </w:rPr>
        <w:t>。</w:t>
      </w:r>
    </w:p>
    <w:p>
      <w:pPr>
        <w:tabs>
          <w:tab w:val="left" w:pos="900"/>
        </w:tabs>
        <w:snapToGrid w:val="0"/>
        <w:spacing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其他</w:t>
      </w:r>
    </w:p>
    <w:p>
      <w:pPr>
        <w:pStyle w:val="6"/>
        <w:numPr>
          <w:ilvl w:val="0"/>
          <w:numId w:val="0"/>
        </w:numPr>
        <w:spacing w:line="240" w:lineRule="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其他未尽事宜由供需双方在采购合同中详细约定。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br w:type="page"/>
      </w:r>
    </w:p>
    <w:p>
      <w:pPr>
        <w:pStyle w:val="3"/>
        <w:numPr>
          <w:ilvl w:val="0"/>
          <w:numId w:val="0"/>
        </w:numPr>
        <w:tabs>
          <w:tab w:val="left" w:pos="0"/>
        </w:tabs>
        <w:spacing w:before="0" w:after="0" w:line="240" w:lineRule="atLeast"/>
        <w:ind w:left="-15" w:leftChars="0"/>
        <w:jc w:val="center"/>
        <w:rPr>
          <w:rFonts w:hint="eastAsia" w:ascii="仿宋" w:hAnsi="仿宋" w:eastAsia="仿宋" w:cs="仿宋"/>
          <w:color w:val="auto"/>
          <w:highlight w:val="none"/>
        </w:rPr>
      </w:pPr>
      <w:bookmarkStart w:id="248" w:name="_Toc218935355"/>
      <w:bookmarkStart w:id="249" w:name="_Toc216582826"/>
      <w:bookmarkStart w:id="250" w:name="_Toc998"/>
      <w:bookmarkStart w:id="251" w:name="_Toc219175639"/>
      <w:r>
        <w:rPr>
          <w:rFonts w:hint="eastAsia" w:ascii="仿宋" w:hAnsi="仿宋" w:eastAsia="仿宋" w:cs="仿宋"/>
          <w:color w:val="auto"/>
          <w:highlight w:val="none"/>
          <w:lang w:val="en-US" w:eastAsia="zh-CN"/>
        </w:rPr>
        <w:t>第6章</w:t>
      </w:r>
      <w:r>
        <w:rPr>
          <w:rFonts w:hint="eastAsia" w:ascii="仿宋" w:hAnsi="仿宋" w:eastAsia="仿宋" w:cs="仿宋"/>
          <w:color w:val="auto"/>
          <w:highlight w:val="none"/>
        </w:rPr>
        <w:t xml:space="preserve">  </w:t>
      </w:r>
      <w:bookmarkStart w:id="252" w:name="_Toc507399907"/>
      <w:bookmarkStart w:id="253" w:name="_Toc518923127"/>
      <w:r>
        <w:rPr>
          <w:rFonts w:hint="eastAsia" w:ascii="仿宋" w:hAnsi="仿宋" w:eastAsia="仿宋" w:cs="仿宋"/>
          <w:color w:val="auto"/>
          <w:highlight w:val="none"/>
        </w:rPr>
        <w:t>评标方法和标准</w:t>
      </w:r>
      <w:bookmarkEnd w:id="248"/>
      <w:bookmarkEnd w:id="249"/>
      <w:bookmarkEnd w:id="250"/>
      <w:bookmarkEnd w:id="251"/>
      <w:bookmarkEnd w:id="252"/>
      <w:bookmarkEnd w:id="253"/>
    </w:p>
    <w:p>
      <w:pPr>
        <w:pStyle w:val="8"/>
        <w:tabs>
          <w:tab w:val="clear" w:pos="567"/>
        </w:tabs>
        <w:spacing w:before="0" w:line="240" w:lineRule="atLeast"/>
        <w:ind w:firstLine="540" w:firstLineChars="225"/>
        <w:rPr>
          <w:rFonts w:hint="eastAsia" w:ascii="仿宋" w:hAnsi="仿宋" w:eastAsia="仿宋" w:cs="仿宋"/>
          <w:color w:val="auto"/>
          <w:highlight w:val="none"/>
        </w:rPr>
      </w:pPr>
    </w:p>
    <w:p>
      <w:pPr>
        <w:pStyle w:val="8"/>
        <w:numPr>
          <w:ilvl w:val="0"/>
          <w:numId w:val="0"/>
        </w:numPr>
        <w:tabs>
          <w:tab w:val="clear" w:pos="567"/>
        </w:tabs>
        <w:spacing w:before="0" w:line="360" w:lineRule="auto"/>
        <w:ind w:firstLine="480" w:firstLineChars="200"/>
        <w:jc w:val="left"/>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本项目将按照磋商文件第一章供应商须知中“五 磋商开启及评审”、“六 确定</w:t>
      </w:r>
      <w:r>
        <w:rPr>
          <w:rFonts w:hint="eastAsia" w:ascii="仿宋" w:hAnsi="仿宋" w:eastAsia="仿宋" w:cs="仿宋"/>
          <w:b w:val="0"/>
          <w:bCs w:val="0"/>
          <w:color w:val="auto"/>
          <w:highlight w:val="none"/>
          <w:lang w:eastAsia="zh-CN"/>
        </w:rPr>
        <w:t>中标</w:t>
      </w:r>
      <w:r>
        <w:rPr>
          <w:rFonts w:hint="eastAsia" w:ascii="仿宋" w:hAnsi="仿宋" w:eastAsia="仿宋" w:cs="仿宋"/>
          <w:b w:val="0"/>
          <w:bCs w:val="0"/>
          <w:color w:val="auto"/>
          <w:highlight w:val="none"/>
        </w:rPr>
        <w:t>”及本章的规定评标。</w:t>
      </w:r>
    </w:p>
    <w:p>
      <w:pPr>
        <w:numPr>
          <w:ilvl w:val="0"/>
          <w:numId w:val="0"/>
        </w:num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w:t>
      </w:r>
      <w:r>
        <w:rPr>
          <w:rFonts w:hint="eastAsia" w:ascii="仿宋" w:hAnsi="仿宋" w:eastAsia="仿宋" w:cs="仿宋"/>
          <w:b/>
          <w:bCs/>
          <w:i w:val="0"/>
          <w:caps w:val="0"/>
          <w:color w:val="auto"/>
          <w:spacing w:val="0"/>
          <w:kern w:val="0"/>
          <w:sz w:val="24"/>
          <w:szCs w:val="24"/>
          <w:lang w:val="en-US" w:eastAsia="zh-CN" w:bidi="ar"/>
        </w:rPr>
        <w:t>项目基本情况</w:t>
      </w:r>
    </w:p>
    <w:p>
      <w:pPr>
        <w:spacing w:line="360" w:lineRule="auto"/>
        <w:rPr>
          <w:rFonts w:hint="eastAsia" w:ascii="仿宋" w:hAnsi="仿宋" w:eastAsia="仿宋" w:cs="仿宋"/>
          <w:color w:val="auto"/>
          <w:sz w:val="24"/>
          <w:lang w:val="en-US" w:eastAsia="zh-CN"/>
        </w:rPr>
      </w:pPr>
      <w:r>
        <w:rPr>
          <w:rFonts w:hint="eastAsia" w:ascii="仿宋" w:hAnsi="仿宋" w:eastAsia="仿宋" w:cs="仿宋"/>
          <w:b w:val="0"/>
          <w:bCs w:val="0"/>
          <w:color w:val="auto"/>
          <w:sz w:val="24"/>
          <w:szCs w:val="24"/>
          <w:lang w:val="en-US" w:eastAsia="zh-CN"/>
        </w:rPr>
        <w:t>项目名称：</w:t>
      </w:r>
      <w:r>
        <w:rPr>
          <w:rFonts w:hint="eastAsia" w:ascii="仿宋" w:hAnsi="仿宋" w:eastAsia="仿宋" w:cs="仿宋"/>
          <w:color w:val="auto"/>
          <w:sz w:val="24"/>
          <w:lang w:eastAsia="zh-CN"/>
        </w:rPr>
        <w:t>塔什库尔干县教育局各乡镇小学学生用床及其他配套生活设施设备采购项目</w:t>
      </w:r>
      <w:r>
        <w:rPr>
          <w:rFonts w:hint="eastAsia" w:ascii="仿宋" w:hAnsi="仿宋" w:eastAsia="仿宋" w:cs="仿宋"/>
          <w:color w:val="auto"/>
          <w:sz w:val="24"/>
          <w:lang w:val="en-US" w:eastAsia="zh-CN"/>
        </w:rPr>
        <w:t xml:space="preserve">    </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地点：</w:t>
      </w:r>
      <w:r>
        <w:rPr>
          <w:rFonts w:hint="eastAsia" w:ascii="仿宋" w:hAnsi="仿宋" w:eastAsia="仿宋" w:cs="仿宋"/>
          <w:color w:val="auto"/>
          <w:sz w:val="24"/>
        </w:rPr>
        <w:t>新疆政采云平台https://www.zcygov.cn</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采购方式：竞争性磋商</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 综合评分法</w:t>
      </w:r>
    </w:p>
    <w:p>
      <w:pPr>
        <w:numPr>
          <w:ilvl w:val="0"/>
          <w:numId w:val="0"/>
        </w:numPr>
        <w:spacing w:line="360" w:lineRule="auto"/>
        <w:ind w:leftChars="0"/>
        <w:rPr>
          <w:rFonts w:hint="eastAsia" w:ascii="仿宋_GB2312" w:eastAsia="仿宋_GB2312"/>
          <w:b w:val="0"/>
          <w:bCs w:val="0"/>
          <w:color w:val="auto"/>
          <w:sz w:val="24"/>
          <w:lang w:eastAsia="zh-CN"/>
        </w:rPr>
      </w:pPr>
      <w:r>
        <w:rPr>
          <w:rFonts w:hint="eastAsia" w:ascii="仿宋_GB2312" w:eastAsia="仿宋_GB2312"/>
          <w:b w:val="0"/>
          <w:bCs w:val="0"/>
          <w:color w:val="auto"/>
          <w:sz w:val="24"/>
          <w:lang w:eastAsia="zh-CN"/>
        </w:rPr>
        <w:t>是指响应文件满足磋商文件全部实质性要求且按评审因素的量化指标评审得分最高的供应商为成交候选供应商的评审方法。</w:t>
      </w:r>
    </w:p>
    <w:p>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拒绝接收响应文件的情形</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在递交</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截止时间后</w:t>
      </w:r>
      <w:r>
        <w:rPr>
          <w:rFonts w:hint="eastAsia" w:ascii="仿宋" w:hAnsi="仿宋" w:eastAsia="仿宋" w:cs="仿宋"/>
          <w:b w:val="0"/>
          <w:bCs w:val="0"/>
          <w:color w:val="auto"/>
          <w:sz w:val="24"/>
          <w:szCs w:val="24"/>
          <w:lang w:val="en-US" w:eastAsia="zh-CN"/>
        </w:rPr>
        <w:t>上传</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w:t>
      </w:r>
    </w:p>
    <w:p>
      <w:pPr>
        <w:pageBreakBefore w:val="0"/>
        <w:numPr>
          <w:ilvl w:val="0"/>
          <w:numId w:val="0"/>
        </w:numPr>
        <w:kinsoku/>
        <w:wordWrap/>
        <w:overflowPunct/>
        <w:topLinePunct w:val="0"/>
        <w:bidi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三、不得开启响应文件的情形</w:t>
      </w:r>
    </w:p>
    <w:p>
      <w:pPr>
        <w:pageBreakBefore w:val="0"/>
        <w:numPr>
          <w:ilvl w:val="0"/>
          <w:numId w:val="0"/>
        </w:numPr>
        <w:kinsoku/>
        <w:wordWrap/>
        <w:overflowPunct/>
        <w:topLinePunct w:val="0"/>
        <w:bidi w:val="0"/>
        <w:spacing w:line="360" w:lineRule="auto"/>
        <w:ind w:firstLine="480" w:firstLineChars="200"/>
        <w:textAlignment w:val="auto"/>
        <w:rPr>
          <w:rFonts w:hint="eastAsia" w:ascii="仿宋" w:hAnsi="仿宋" w:eastAsia="仿宋" w:cs="仿宋"/>
          <w:b w:val="0"/>
          <w:bCs w:val="0"/>
          <w:color w:val="auto"/>
        </w:rPr>
      </w:pPr>
      <w:r>
        <w:rPr>
          <w:rFonts w:hint="eastAsia" w:ascii="仿宋" w:hAnsi="仿宋" w:eastAsia="仿宋" w:cs="仿宋"/>
          <w:b w:val="0"/>
          <w:bCs w:val="0"/>
          <w:color w:val="auto"/>
          <w:sz w:val="24"/>
          <w:szCs w:val="24"/>
          <w:highlight w:val="none"/>
        </w:rPr>
        <w:t>供应商不足3家的，不得开启</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w:t>
      </w:r>
    </w:p>
    <w:p>
      <w:pPr>
        <w:pStyle w:val="8"/>
        <w:tabs>
          <w:tab w:val="clear" w:pos="567"/>
        </w:tabs>
        <w:spacing w:before="0" w:line="360" w:lineRule="auto"/>
        <w:rPr>
          <w:rFonts w:ascii="仿宋" w:hAnsi="仿宋" w:eastAsia="仿宋" w:cs="仿宋"/>
          <w:b/>
          <w:bCs/>
          <w:color w:val="auto"/>
        </w:rPr>
      </w:pPr>
      <w:r>
        <w:rPr>
          <w:rFonts w:hint="eastAsia" w:ascii="仿宋" w:hAnsi="仿宋" w:eastAsia="仿宋" w:cs="仿宋"/>
          <w:b/>
          <w:bCs/>
          <w:color w:val="auto"/>
          <w:lang w:val="en-US" w:eastAsia="zh-CN"/>
        </w:rPr>
        <w:t>四</w:t>
      </w:r>
      <w:r>
        <w:rPr>
          <w:rFonts w:hint="eastAsia" w:ascii="仿宋" w:hAnsi="仿宋" w:eastAsia="仿宋" w:cs="仿宋"/>
          <w:b/>
          <w:bCs/>
          <w:color w:val="auto"/>
        </w:rPr>
        <w:t>.</w:t>
      </w:r>
      <w:r>
        <w:rPr>
          <w:rFonts w:hint="eastAsia" w:ascii="仿宋" w:hAnsi="仿宋" w:eastAsia="仿宋" w:cs="仿宋"/>
          <w:b/>
          <w:bCs/>
          <w:color w:val="auto"/>
          <w:sz w:val="24"/>
          <w:szCs w:val="24"/>
          <w:lang w:val="en-US" w:eastAsia="zh-CN"/>
        </w:rPr>
        <w:t>响应文件</w:t>
      </w:r>
      <w:r>
        <w:rPr>
          <w:rFonts w:hint="eastAsia" w:ascii="仿宋" w:hAnsi="仿宋" w:eastAsia="仿宋" w:cs="仿宋"/>
          <w:b/>
          <w:bCs/>
          <w:color w:val="auto"/>
        </w:rPr>
        <w:t>无效的情形：</w:t>
      </w:r>
    </w:p>
    <w:p>
      <w:pPr>
        <w:keepNext w:val="0"/>
        <w:keepLines w:val="0"/>
        <w:pageBreakBefore w:val="0"/>
        <w:widowControl w:val="0"/>
        <w:numPr>
          <w:ilvl w:val="0"/>
          <w:numId w:val="0"/>
        </w:numPr>
        <w:kinsoku/>
        <w:wordWrap/>
        <w:overflowPunct/>
        <w:topLinePunct w:val="0"/>
        <w:bidi w:val="0"/>
        <w:adjustRightInd/>
        <w:snapToGrid/>
        <w:spacing w:line="360" w:lineRule="auto"/>
        <w:ind w:lef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采购人或采购代理机构将在</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开启前1个工作日至递交响应文件截止</w:t>
      </w:r>
      <w:r>
        <w:rPr>
          <w:rFonts w:hint="eastAsia" w:ascii="仿宋" w:hAnsi="仿宋" w:eastAsia="仿宋" w:cs="仿宋"/>
          <w:b w:val="0"/>
          <w:bCs w:val="0"/>
          <w:color w:val="auto"/>
          <w:sz w:val="24"/>
          <w:szCs w:val="24"/>
          <w:lang w:eastAsia="zh-CN"/>
        </w:rPr>
        <w:t>前</w:t>
      </w:r>
      <w:r>
        <w:rPr>
          <w:rFonts w:hint="eastAsia" w:ascii="仿宋" w:hAnsi="仿宋" w:eastAsia="仿宋" w:cs="仿宋"/>
          <w:b w:val="0"/>
          <w:bCs w:val="0"/>
          <w:color w:val="auto"/>
          <w:sz w:val="24"/>
          <w:szCs w:val="24"/>
        </w:rPr>
        <w:t>查询</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的信用记录。</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存在不良信用记录的，其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资格将被认定为无效。</w:t>
      </w:r>
    </w:p>
    <w:p>
      <w:pPr>
        <w:pStyle w:val="2"/>
        <w:keepNext w:val="0"/>
        <w:keepLines w:val="0"/>
        <w:pageBreakBefore w:val="0"/>
        <w:widowControl w:val="0"/>
        <w:kinsoku/>
        <w:wordWrap/>
        <w:overflowPunct/>
        <w:topLinePunct w:val="0"/>
        <w:bidi w:val="0"/>
        <w:adjustRightInd/>
        <w:snapToGrid/>
        <w:spacing w:line="360" w:lineRule="auto"/>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如采购人所采购产品为政府强制采购的节能产品，供应商所投产品的品牌及型号必须为清单中有效期内产品并提供证明文件，否则其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资格将被认定为无效。</w:t>
      </w:r>
    </w:p>
    <w:p>
      <w:pPr>
        <w:keepNext w:val="0"/>
        <w:keepLines w:val="0"/>
        <w:pageBreakBefore w:val="0"/>
        <w:widowControl w:val="0"/>
        <w:kinsoku/>
        <w:wordWrap/>
        <w:overflowPunct/>
        <w:topLinePunct w:val="0"/>
        <w:bidi w:val="0"/>
        <w:adjustRightInd/>
        <w:snapToGrid/>
        <w:spacing w:line="360" w:lineRule="auto"/>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在比较与评价之前，根据本须知的规定，</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小组要审查每份响应文件是否实质上响应了</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文件的要求。实质上响应的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应该是与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文件要求的全部条款、条件和规格相符，没有重大偏离的响应文件。对关键条款的偏离，将被认定为无效。供应商不得通过修正或撤销不符合要求的偏离，从而使其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成为实质上响应的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未按</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文件规定的形式和金额提交</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保证金的；</w:t>
      </w:r>
    </w:p>
    <w:p>
      <w:pPr>
        <w:pageBreakBefore w:val="0"/>
        <w:tabs>
          <w:tab w:val="left" w:pos="817"/>
        </w:tabs>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未按照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文件规定要求签署、盖章的；</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未满足</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文件中技术条款的实质性要求；</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与其他供应商串通参加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，或者与采购人串通参加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属于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文件规定的其他无效情形；</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小组认为供应商的报价明显低于其他通过符合性检查供应商的报价，有可能影响履约的，且供应商未按照规定证明其报价合理性的；</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响应文件含有采购人不能接受的附加条件的；</w:t>
      </w:r>
    </w:p>
    <w:p>
      <w:pPr>
        <w:pageBreakBefore w:val="0"/>
        <w:tabs>
          <w:tab w:val="left" w:pos="0"/>
        </w:tabs>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rPr>
        <w:t>不符合法规和</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文件中规定的其他实质性要求的。</w:t>
      </w:r>
    </w:p>
    <w:p>
      <w:pPr>
        <w:pStyle w:val="2"/>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五、响应文件的开启</w:t>
      </w:r>
    </w:p>
    <w:p>
      <w:pPr>
        <w:pStyle w:val="8"/>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开标</w:t>
      </w:r>
    </w:p>
    <w:p>
      <w:pPr>
        <w:pStyle w:val="8"/>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开标在磋商文件确定的提交响应文件截止时间后进行。开标由采购代理主持,供采用电子投标的供应商应委派代表参加电子磋商会议。</w:t>
      </w:r>
    </w:p>
    <w:p>
      <w:pPr>
        <w:pStyle w:val="11"/>
        <w:numPr>
          <w:ilvl w:val="0"/>
          <w:numId w:val="0"/>
        </w:numPr>
        <w:snapToGrid w:val="0"/>
        <w:spacing w:line="360" w:lineRule="auto"/>
        <w:ind w:firstLine="466" w:firstLineChars="200"/>
        <w:rPr>
          <w:rFonts w:hint="eastAsia" w:ascii="仿宋" w:hAnsi="仿宋" w:eastAsia="仿宋" w:cs="仿宋"/>
          <w:b/>
          <w:bCs/>
          <w:color w:val="auto"/>
          <w:spacing w:val="-4"/>
          <w:sz w:val="24"/>
          <w:szCs w:val="24"/>
          <w:lang w:val="en-US" w:eastAsia="zh-CN"/>
        </w:rPr>
      </w:pPr>
      <w:r>
        <w:rPr>
          <w:rFonts w:hint="eastAsia" w:ascii="仿宋" w:hAnsi="仿宋" w:eastAsia="仿宋" w:cs="仿宋"/>
          <w:b/>
          <w:bCs/>
          <w:color w:val="auto"/>
          <w:spacing w:val="-4"/>
          <w:sz w:val="24"/>
          <w:szCs w:val="24"/>
          <w:lang w:val="en-US" w:eastAsia="zh-CN"/>
        </w:rPr>
        <w:t>六、项目评审专家：</w:t>
      </w:r>
    </w:p>
    <w:p>
      <w:pPr>
        <w:pStyle w:val="11"/>
        <w:numPr>
          <w:ilvl w:val="0"/>
          <w:numId w:val="0"/>
        </w:numPr>
        <w:snapToGrid w:val="0"/>
        <w:spacing w:line="360" w:lineRule="auto"/>
        <w:ind w:firstLine="464" w:firstLineChars="200"/>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按照《中华人民共和国政府采购法》、《中华人民共和国政府采购法实施条例》、</w:t>
      </w:r>
      <w:r>
        <w:rPr>
          <w:rFonts w:hint="eastAsia" w:ascii="仿宋_GB2312" w:eastAsia="仿宋_GB2312"/>
          <w:color w:val="auto"/>
          <w:sz w:val="24"/>
          <w:lang w:eastAsia="zh-CN"/>
        </w:rPr>
        <w:t>《政府采购竞争性磋商采购方式管理暂行办法》</w:t>
      </w:r>
      <w:r>
        <w:rPr>
          <w:rFonts w:hint="eastAsia" w:ascii="仿宋" w:hAnsi="仿宋" w:eastAsia="仿宋" w:cs="仿宋"/>
          <w:b w:val="0"/>
          <w:bCs w:val="0"/>
          <w:color w:val="auto"/>
          <w:spacing w:val="-4"/>
          <w:sz w:val="24"/>
          <w:szCs w:val="24"/>
          <w:lang w:val="en-US" w:eastAsia="zh-CN"/>
        </w:rPr>
        <w:t>及本项目本级和上级财政部门的有关规定依法组建的评审小组，负责评审工作；本项目评审专家由3人组成。</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评审专家要求：</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1.组织评标委员会推选评标组长，采购人代表不得担任组长；</w:t>
      </w:r>
    </w:p>
    <w:p>
      <w:pPr>
        <w:pStyle w:val="11"/>
        <w:numPr>
          <w:ilvl w:val="0"/>
          <w:numId w:val="0"/>
        </w:numPr>
        <w:snapToGrid w:val="0"/>
        <w:spacing w:line="360" w:lineRule="auto"/>
        <w:rPr>
          <w:rFonts w:hint="eastAsia" w:ascii="黑体" w:hAnsi="黑体" w:eastAsia="黑体" w:cs="黑体"/>
          <w:b w:val="0"/>
          <w:bCs w:val="0"/>
          <w:color w:val="auto"/>
          <w:sz w:val="32"/>
          <w:szCs w:val="32"/>
        </w:rPr>
      </w:pPr>
      <w:r>
        <w:rPr>
          <w:rFonts w:hint="eastAsia" w:ascii="仿宋" w:hAnsi="仿宋" w:eastAsia="仿宋" w:cs="仿宋"/>
          <w:b w:val="0"/>
          <w:bCs w:val="0"/>
          <w:color w:val="auto"/>
          <w:spacing w:val="-4"/>
          <w:sz w:val="24"/>
          <w:szCs w:val="24"/>
          <w:lang w:val="en-US" w:eastAsia="zh-CN"/>
        </w:rPr>
        <w:t>　　2.在评标期间采取必要的通讯管理措施，保证评标活动不受外界干扰，将手机关闭或调成静音交由现场项目监督人员统一保管；</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3.审查、评价响应文件是否符合招标文件的商务、技术等实质性要求；</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4.要求投标人对响应文件有关事项作出澄清或者说明；</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5.对响应文件进行比较和评价；</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6.确定中标候选人名单，以及根据采购人委托直接确定中标人；</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7.向采购人、采购代理机构或者有关部门报告评标中发现的违法行为。</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七、</w:t>
      </w:r>
      <w:r>
        <w:rPr>
          <w:rFonts w:hint="eastAsia" w:ascii="仿宋" w:hAnsi="仿宋" w:eastAsia="仿宋" w:cs="仿宋"/>
          <w:b/>
          <w:bCs/>
          <w:color w:val="auto"/>
        </w:rPr>
        <w:t>评标</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1、评标的依据为磋商文件和响应文件；</w:t>
      </w:r>
    </w:p>
    <w:p>
      <w:pPr>
        <w:pStyle w:val="8"/>
        <w:tabs>
          <w:tab w:val="clear" w:pos="567"/>
        </w:tabs>
        <w:spacing w:before="0" w:line="360" w:lineRule="auto"/>
        <w:ind w:firstLine="480" w:firstLineChars="200"/>
        <w:rPr>
          <w:rFonts w:hint="eastAsia" w:ascii="仿宋" w:hAnsi="仿宋" w:eastAsia="仿宋" w:cs="仿宋"/>
          <w:b/>
          <w:bCs/>
          <w:color w:val="auto"/>
          <w:u w:val="single"/>
          <w:lang w:val="en-US" w:eastAsia="zh-CN"/>
        </w:rPr>
      </w:pPr>
      <w:r>
        <w:rPr>
          <w:rFonts w:hint="eastAsia" w:ascii="仿宋" w:hAnsi="仿宋" w:eastAsia="仿宋" w:cs="仿宋"/>
          <w:b w:val="0"/>
          <w:bCs w:val="0"/>
          <w:color w:val="auto"/>
          <w:lang w:val="en-US" w:eastAsia="zh-CN"/>
        </w:rPr>
        <w:t>2、本项目采用综合评分法：</w:t>
      </w:r>
      <w:r>
        <w:rPr>
          <w:rFonts w:hint="eastAsia" w:ascii="仿宋" w:hAnsi="仿宋" w:eastAsia="仿宋" w:cs="仿宋"/>
          <w:b/>
          <w:bCs/>
          <w:color w:val="auto"/>
          <w:u w:val="single"/>
          <w:lang w:val="en-US" w:eastAsia="zh-CN"/>
        </w:rPr>
        <w:t>总分100分，报价分值30分，商务及技术部分得分70分。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3、磋商小组成员到齐后，推选磋商小组组长。依据招标文件和响应文件进行认真查阅。审查响文件是否完整，是否有计算错误，要求的磋商保证金是否提供，文件是否恰当地签署；</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4、在对响应文件进行详细评估前，依据投标方提供的资格证明文件审查投标方的财务、技术和服务能力。如果确定投标方无资格履行合同，其投标将被拒绝；</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磋商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对响应文件的评估和比较：</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对响应文件的评估和比较分为两步进行，磋商小组首先按照磋商文件要求对响应文件中的投标人资格、投标人资格证明文件、重要技术指标以及技术和商务上要求的其它重要内容进行审核，审核合格后即视为实质性响应的响应文件，除考虑投标价格外，还应考虑以下因素：：响应文件中所报交货期及付款方式；货物的技术水平、性能和供货能力；货物的质量和适用性；配套产品的安全性、先进性；投标方为其所供货物提供零备件及售后服务的可能性；零备件、专用工具及相关服务的费用；磋商文件中所要求的有关服务费用；发货到最终目的地的内陆运输、保险及其他费用；其他特殊要求因素（如节能、安全和环保等）。</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初步评审</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评标委员会应当对投标人提交的响应文件进行初步审查。初审分为资格性检查和符合性检查</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资格性检查。依据法律法规和招标文件的规定，对响应文件中的资格证明进行审查，以确定投标人是否具备投标资格。</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响应文件的符合性审查</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响应文件是否实质性响应磋商文件要求由磋商小组依据磋商文件规定认定。磋商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1.未按规定由投标人的法定代表人或投标投标人代表签字，或未加盖投标投标人公章的，或签字人未经法定代表人有效授权委托的。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2.投标有效期不满足磋商文件要求的；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3.投标人提交的投标报价高于最高投标限价的； </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4.响应文件付款方式不能满足磋商文件要求的；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5.响应文件的关键内容字迹模糊、无法辨认的,或者响应文件中经修正的内容字迹模糊难以辩认或者修改处未按规定签名盖章的；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6.投标有效期、交货期、供货范围等商务条款不能满足磋商文件要求的；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7.未实质性响应或者擅自改变招标文件要求或者响应文件有招标方不能接受的附加条件的。</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详细评审</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经初步评审合格的响应文件，磋商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2、磋商结束后，磋商小组应当要求所有实质性响应的供应商在规定时间内提交最终报价，</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经磋商确定最终采购需求和提交最后报价的供应商后，由磋商小组采用综合评分法对提交最终报价的供应商的响应文件和最终报价进行综合评分。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3、采用综合评分法，即响应文件满足招标文件全部实质性要求，且按照评审因素的量化指标评审得分最高的投标人为成交候选人。</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评标的保密性</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1、开标后，直到授予投标商合同为止，凡属于审查、澄清、评价和比较的有关资料以及授标建议等磋商小组成员或参与评标的有关工作人员均不得向投标商或其他无关人员透露，</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违者给予警告、取消担任磋商小组成员的资格，不得再参加任何项目的评标。</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2、投标商在评标过程中，所进行的力图影响评标结果的不符合《政府采购法》、《政府采购竞争性磋商采购方式管理暂行办法》及本次项目中有关规定的活动，将被取消中标资格。</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八、定标</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1.定标标准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（一）原则：招标人将依据本项目根据磋商小组推荐的成交候选人名单，按顺序确定中标人。</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（二）程序：</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1、采购代理机构在评审结束后2个工作日内将评审报告送采购人确认。</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3、采购单位不退回投标人响应文件和其他资料。</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bCs/>
          <w:color w:val="auto"/>
          <w:lang w:val="en-US" w:eastAsia="zh-CN"/>
        </w:rPr>
        <w:t>成交候选人并列式时的处理方式：</w:t>
      </w:r>
      <w:r>
        <w:rPr>
          <w:rFonts w:hint="eastAsia" w:ascii="仿宋" w:hAnsi="仿宋" w:eastAsia="仿宋" w:cs="仿宋"/>
          <w:b w:val="0"/>
          <w:bCs w:val="0"/>
          <w:color w:val="auto"/>
          <w:lang w:val="en-US" w:eastAsia="zh-CN"/>
        </w:rPr>
        <w:t xml:space="preserve">   </w:t>
      </w:r>
    </w:p>
    <w:p>
      <w:pPr>
        <w:pStyle w:val="8"/>
        <w:tabs>
          <w:tab w:val="clear" w:pos="567"/>
        </w:tabs>
        <w:spacing w:before="0" w:line="360" w:lineRule="auto"/>
        <w:ind w:firstLine="480" w:firstLineChars="200"/>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采用综合评标法，则：</w:t>
      </w:r>
      <w:r>
        <w:rPr>
          <w:rFonts w:hint="eastAsia" w:ascii="仿宋" w:hAnsi="仿宋" w:eastAsia="仿宋" w:cs="仿宋"/>
          <w:b w:val="0"/>
          <w:bCs w:val="0"/>
          <w:color w:val="auto"/>
          <w:u w:val="single"/>
          <w:lang w:val="en-US" w:eastAsia="zh-CN"/>
        </w:rPr>
        <w:t>（1）评标结果按评审后得分由高到低顺序排列。得分相同的，按投标报价由低到高顺序排列。得分且投标报价相同的并列。响应文件满足招标文件全部实质性要求，且按照评审因素的量化指标评审得分最高的供应商为排名第一的中标候选人</w:t>
      </w:r>
      <w:r>
        <w:rPr>
          <w:rFonts w:hint="eastAsia" w:ascii="仿宋" w:hAnsi="仿宋" w:eastAsia="仿宋" w:cs="仿宋"/>
          <w:b w:val="0"/>
          <w:bCs w:val="0"/>
          <w:color w:val="auto"/>
          <w:u w:val="none"/>
          <w:lang w:val="en-US" w:eastAsia="zh-CN"/>
        </w:rPr>
        <w:t xml:space="preserve">。  </w:t>
      </w:r>
    </w:p>
    <w:p>
      <w:pPr>
        <w:pStyle w:val="8"/>
        <w:tabs>
          <w:tab w:val="clear" w:pos="567"/>
        </w:tabs>
        <w:spacing w:before="0" w:line="360" w:lineRule="auto"/>
        <w:ind w:firstLine="480" w:firstLineChars="200"/>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u w:val="single"/>
          <w:lang w:val="en-US" w:eastAsia="zh-CN"/>
        </w:rPr>
        <w:t>评标结果按评审后得分由高到低顺序排列。得分不同的，最高分供应商为排名第一的中标候选人</w:t>
      </w:r>
      <w:r>
        <w:rPr>
          <w:rFonts w:hint="eastAsia" w:ascii="仿宋" w:hAnsi="仿宋" w:eastAsia="仿宋" w:cs="仿宋"/>
          <w:b w:val="0"/>
          <w:bCs w:val="0"/>
          <w:color w:val="auto"/>
          <w:u w:val="none"/>
          <w:lang w:val="en-US" w:eastAsia="zh-CN"/>
        </w:rPr>
        <w:t>。</w:t>
      </w:r>
    </w:p>
    <w:p>
      <w:pPr>
        <w:pStyle w:val="8"/>
        <w:tabs>
          <w:tab w:val="clear" w:pos="567"/>
        </w:tabs>
        <w:spacing w:before="0" w:line="360" w:lineRule="auto"/>
        <w:rPr>
          <w:rFonts w:ascii="仿宋" w:hAnsi="仿宋" w:eastAsia="仿宋" w:cs="仿宋"/>
          <w:b w:val="0"/>
          <w:bCs w:val="0"/>
          <w:color w:val="auto"/>
        </w:rPr>
      </w:pPr>
      <w:r>
        <w:rPr>
          <w:rFonts w:hint="eastAsia" w:ascii="仿宋" w:hAnsi="仿宋" w:eastAsia="仿宋" w:cs="仿宋"/>
          <w:b/>
          <w:bCs/>
          <w:color w:val="auto"/>
        </w:rPr>
        <w:t xml:space="preserve">中标候选人并列式时的处理方式： </w:t>
      </w:r>
      <w:r>
        <w:rPr>
          <w:rFonts w:hint="eastAsia" w:ascii="仿宋" w:hAnsi="仿宋" w:eastAsia="仿宋" w:cs="仿宋"/>
          <w:b w:val="0"/>
          <w:bCs w:val="0"/>
          <w:color w:val="auto"/>
        </w:rPr>
        <w:t xml:space="preserve">  </w:t>
      </w:r>
    </w:p>
    <w:p>
      <w:pPr>
        <w:pStyle w:val="8"/>
        <w:tabs>
          <w:tab w:val="clear" w:pos="567"/>
        </w:tabs>
        <w:spacing w:before="0" w:line="360" w:lineRule="auto"/>
        <w:ind w:firstLine="480" w:firstLineChars="200"/>
        <w:rPr>
          <w:rFonts w:ascii="仿宋" w:hAnsi="仿宋" w:eastAsia="仿宋" w:cs="仿宋"/>
          <w:b w:val="0"/>
          <w:bCs w:val="0"/>
          <w:color w:val="auto"/>
        </w:rPr>
      </w:pPr>
      <w:r>
        <w:rPr>
          <w:rFonts w:hint="eastAsia" w:ascii="仿宋" w:hAnsi="仿宋" w:eastAsia="仿宋" w:cs="仿宋"/>
          <w:b w:val="0"/>
          <w:bCs w:val="0"/>
          <w:color w:val="auto"/>
        </w:rPr>
        <w:t>采用综合评标法，则：</w:t>
      </w:r>
      <w:r>
        <w:rPr>
          <w:rFonts w:hint="eastAsia" w:ascii="仿宋" w:hAnsi="仿宋" w:eastAsia="仿宋" w:cs="仿宋"/>
          <w:b w:val="0"/>
          <w:bCs w:val="0"/>
          <w:color w:val="auto"/>
          <w:u w:val="single"/>
        </w:rPr>
        <w:t>评标结果按评审后得分由高到低顺序排列。得分相同的，按投标报价由低到高顺序排列。得分且投标报价相同的并列。</w:t>
      </w:r>
      <w:r>
        <w:rPr>
          <w:rFonts w:hint="eastAsia" w:ascii="仿宋" w:hAnsi="仿宋" w:eastAsia="仿宋" w:cs="仿宋"/>
          <w:b w:val="0"/>
          <w:bCs w:val="0"/>
          <w:color w:val="auto"/>
          <w:u w:val="single"/>
          <w:lang w:eastAsia="zh-CN"/>
        </w:rPr>
        <w:t>响应文件</w:t>
      </w:r>
      <w:r>
        <w:rPr>
          <w:rFonts w:hint="eastAsia" w:ascii="仿宋" w:hAnsi="仿宋" w:eastAsia="仿宋" w:cs="仿宋"/>
          <w:b w:val="0"/>
          <w:bCs w:val="0"/>
          <w:color w:val="auto"/>
          <w:u w:val="single"/>
        </w:rPr>
        <w:t>满足招标文件全部实质性要求，且按照评审因素的量化指标评审得分最高的供应商为排名第一的中标候选人</w:t>
      </w:r>
      <w:r>
        <w:rPr>
          <w:rFonts w:hint="eastAsia" w:ascii="仿宋" w:hAnsi="仿宋" w:eastAsia="仿宋" w:cs="仿宋"/>
          <w:b w:val="0"/>
          <w:bCs w:val="0"/>
          <w:color w:val="auto"/>
          <w:u w:val="none"/>
        </w:rPr>
        <w:t>。</w:t>
      </w:r>
    </w:p>
    <w:p>
      <w:pPr>
        <w:pStyle w:val="8"/>
        <w:tabs>
          <w:tab w:val="clear" w:pos="567"/>
        </w:tabs>
        <w:spacing w:before="0" w:line="360" w:lineRule="auto"/>
        <w:rPr>
          <w:rFonts w:hint="eastAsia" w:ascii="仿宋" w:hAnsi="仿宋" w:eastAsia="仿宋" w:cs="仿宋"/>
          <w:b/>
          <w:bCs/>
          <w:color w:val="auto"/>
        </w:rPr>
      </w:pPr>
      <w:r>
        <w:rPr>
          <w:rFonts w:hint="eastAsia" w:ascii="仿宋" w:hAnsi="仿宋" w:eastAsia="仿宋" w:cs="仿宋"/>
          <w:b/>
          <w:bCs/>
          <w:color w:val="auto"/>
          <w:sz w:val="24"/>
          <w:szCs w:val="24"/>
          <w:lang w:val="en-US" w:eastAsia="zh-CN"/>
        </w:rPr>
        <w:t>九、中小企业落实政策</w:t>
      </w:r>
    </w:p>
    <w:p>
      <w:pPr>
        <w:pStyle w:val="8"/>
        <w:tabs>
          <w:tab w:val="clear" w:pos="567"/>
        </w:tabs>
        <w:spacing w:before="0" w:line="360" w:lineRule="auto"/>
        <w:ind w:firstLine="482" w:firstLineChars="200"/>
        <w:rPr>
          <w:rFonts w:hint="eastAsia" w:ascii="仿宋" w:hAnsi="仿宋" w:eastAsia="仿宋" w:cs="仿宋"/>
          <w:b w:val="0"/>
          <w:bCs w:val="0"/>
          <w:color w:val="auto"/>
        </w:rPr>
      </w:pPr>
      <w:r>
        <w:rPr>
          <w:rFonts w:hint="eastAsia" w:ascii="仿宋" w:hAnsi="仿宋" w:eastAsia="仿宋" w:cs="仿宋"/>
          <w:b/>
          <w:bCs/>
          <w:color w:val="auto"/>
          <w:kern w:val="2"/>
          <w:sz w:val="24"/>
          <w:szCs w:val="24"/>
          <w:u w:val="none"/>
          <w:lang w:val="en-US" w:eastAsia="zh-CN" w:bidi="ar-SA"/>
        </w:rPr>
        <w:t>本项目为面向中小微企业采购</w:t>
      </w:r>
      <w:r>
        <w:rPr>
          <w:rFonts w:hint="eastAsia" w:ascii="仿宋" w:hAnsi="仿宋" w:eastAsia="仿宋" w:cs="仿宋"/>
          <w:b/>
          <w:bCs/>
          <w:color w:val="auto"/>
          <w:kern w:val="2"/>
          <w:sz w:val="24"/>
          <w:szCs w:val="20"/>
          <w:highlight w:val="none"/>
          <w:lang w:val="en-US" w:eastAsia="zh-CN" w:bidi="ar-SA"/>
        </w:rPr>
        <w:t>。</w:t>
      </w:r>
    </w:p>
    <w:p>
      <w:pPr>
        <w:pStyle w:val="8"/>
        <w:tabs>
          <w:tab w:val="clear" w:pos="567"/>
        </w:tabs>
        <w:spacing w:before="0" w:line="360" w:lineRule="auto"/>
        <w:ind w:firstLine="480" w:firstLineChars="200"/>
        <w:rPr>
          <w:rFonts w:ascii="仿宋" w:hAnsi="仿宋" w:eastAsia="仿宋" w:cs="仿宋"/>
          <w:b w:val="0"/>
          <w:bCs w:val="0"/>
          <w:color w:val="auto"/>
        </w:rPr>
      </w:pPr>
      <w:r>
        <w:rPr>
          <w:rFonts w:hint="eastAsia" w:ascii="仿宋" w:hAnsi="仿宋" w:eastAsia="仿宋" w:cs="仿宋"/>
          <w:b w:val="0"/>
          <w:bCs w:val="0"/>
          <w:color w:val="auto"/>
        </w:rPr>
        <w:t>1.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w:t>
      </w:r>
      <w:r>
        <w:rPr>
          <w:rFonts w:hint="eastAsia" w:ascii="仿宋" w:hAnsi="仿宋" w:eastAsia="仿宋" w:cs="仿宋"/>
          <w:b w:val="0"/>
          <w:bCs w:val="0"/>
          <w:color w:val="auto"/>
          <w:lang w:eastAsia="zh-CN"/>
        </w:rPr>
        <w:t>响应文件</w:t>
      </w:r>
      <w:r>
        <w:rPr>
          <w:rFonts w:hint="eastAsia" w:ascii="仿宋" w:hAnsi="仿宋" w:eastAsia="仿宋" w:cs="仿宋"/>
          <w:b w:val="0"/>
          <w:bCs w:val="0"/>
          <w:color w:val="auto"/>
        </w:rPr>
        <w:t>中提交了《投标人企业类型声明函》、《残疾人福利性单位声明函》或省级以上监狱管理局、戒毒管理局（含新疆生产建设兵团）出具的属于监狱企业，其投标报价扣除</w:t>
      </w:r>
      <w:r>
        <w:rPr>
          <w:rFonts w:hint="eastAsia" w:ascii="仿宋" w:hAnsi="仿宋" w:eastAsia="仿宋" w:cs="仿宋"/>
          <w:b w:val="0"/>
          <w:bCs w:val="0"/>
          <w:color w:val="auto"/>
          <w:u w:val="single"/>
          <w:lang w:val="en-US" w:eastAsia="zh-CN"/>
        </w:rPr>
        <w:t xml:space="preserve">10 </w:t>
      </w:r>
      <w:r>
        <w:rPr>
          <w:rFonts w:hint="eastAsia" w:ascii="仿宋" w:hAnsi="仿宋" w:eastAsia="仿宋" w:cs="仿宋"/>
          <w:b w:val="0"/>
          <w:bCs w:val="0"/>
          <w:color w:val="auto"/>
        </w:rPr>
        <w:t>%后参与评审。对于同时属于小微企业、监狱企业残疾人福利性单位的，不重复进行投标报价扣除。</w:t>
      </w:r>
    </w:p>
    <w:p>
      <w:pPr>
        <w:widowControl/>
        <w:spacing w:line="360" w:lineRule="auto"/>
        <w:ind w:firstLine="480" w:firstLineChars="200"/>
        <w:jc w:val="left"/>
        <w:rPr>
          <w:rFonts w:ascii="仿宋" w:hAnsi="仿宋" w:eastAsia="仿宋" w:cs="仿宋"/>
          <w:b w:val="0"/>
          <w:bCs w:val="0"/>
          <w:color w:val="auto"/>
          <w:sz w:val="24"/>
        </w:rPr>
      </w:pPr>
      <w:r>
        <w:rPr>
          <w:rFonts w:hint="eastAsia" w:ascii="仿宋" w:hAnsi="仿宋" w:eastAsia="仿宋" w:cs="仿宋"/>
          <w:b w:val="0"/>
          <w:bCs w:val="0"/>
          <w:color w:val="auto"/>
          <w:sz w:val="24"/>
        </w:rPr>
        <w:t>2.联合协议中约定，小型、微型企业和监狱企业的协议合同金额占到联合体协议合同总金额30%以上的，可给予联合体</w:t>
      </w:r>
      <w:r>
        <w:rPr>
          <w:rFonts w:hint="eastAsia" w:ascii="仿宋" w:hAnsi="仿宋" w:eastAsia="仿宋" w:cs="仿宋"/>
          <w:b w:val="0"/>
          <w:bCs w:val="0"/>
          <w:color w:val="auto"/>
          <w:sz w:val="24"/>
          <w:u w:val="single"/>
        </w:rPr>
        <w:t xml:space="preserve">  /  </w:t>
      </w:r>
      <w:r>
        <w:rPr>
          <w:rFonts w:hint="eastAsia" w:ascii="仿宋" w:hAnsi="仿宋" w:eastAsia="仿宋" w:cs="仿宋"/>
          <w:b w:val="0"/>
          <w:bCs w:val="0"/>
          <w:color w:val="auto"/>
          <w:sz w:val="24"/>
        </w:rPr>
        <w:t>%的价格扣除。</w:t>
      </w:r>
    </w:p>
    <w:p>
      <w:pPr>
        <w:widowControl/>
        <w:spacing w:line="360" w:lineRule="auto"/>
        <w:jc w:val="left"/>
        <w:rPr>
          <w:rFonts w:ascii="仿宋" w:hAnsi="仿宋" w:eastAsia="仿宋" w:cs="仿宋"/>
          <w:b w:val="0"/>
          <w:bCs w:val="0"/>
          <w:color w:val="auto"/>
          <w:sz w:val="24"/>
        </w:rPr>
      </w:pPr>
      <w:r>
        <w:rPr>
          <w:rFonts w:hint="eastAsia" w:ascii="仿宋" w:hAnsi="仿宋" w:eastAsia="仿宋" w:cs="仿宋"/>
          <w:b w:val="0"/>
          <w:bCs w:val="0"/>
          <w:color w:val="auto"/>
          <w:sz w:val="24"/>
        </w:rPr>
        <w:t>联合体各方均为小型、微型企业和监狱企业的，联合体视同为小型、微型企业和监狱企业。</w:t>
      </w:r>
    </w:p>
    <w:p>
      <w:pPr>
        <w:pStyle w:val="8"/>
        <w:tabs>
          <w:tab w:val="clear" w:pos="567"/>
        </w:tabs>
        <w:spacing w:before="0" w:line="360" w:lineRule="auto"/>
        <w:ind w:firstLine="480" w:firstLineChars="200"/>
        <w:rPr>
          <w:rFonts w:ascii="仿宋" w:hAnsi="仿宋" w:eastAsia="仿宋" w:cs="仿宋"/>
          <w:b w:val="0"/>
          <w:bCs w:val="0"/>
          <w:color w:val="auto"/>
          <w:u w:val="single"/>
        </w:rPr>
      </w:pPr>
      <w:r>
        <w:rPr>
          <w:rFonts w:hint="eastAsia" w:ascii="仿宋" w:hAnsi="仿宋" w:eastAsia="仿宋" w:cs="仿宋"/>
          <w:b w:val="0"/>
          <w:bCs w:val="0"/>
          <w:color w:val="auto"/>
        </w:rPr>
        <w:t>3.投标人所投产品如被列入财政部与国家主管部门颁发的节能产品目录或环境标志产品目录或无线局域网产品目录，应提供相关证明，在评标时予以优先采购，具体优惠措施为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lang w:eastAsia="zh-CN"/>
        </w:rPr>
        <w:t>：</w:t>
      </w:r>
      <w:r>
        <w:rPr>
          <w:rFonts w:hint="eastAsia" w:ascii="仿宋" w:hAnsi="仿宋" w:eastAsia="仿宋" w:cs="仿宋"/>
          <w:b w:val="0"/>
          <w:bCs w:val="0"/>
          <w:color w:val="auto"/>
          <w:u w:val="single"/>
        </w:rPr>
        <w:t xml:space="preserve">   无   </w:t>
      </w:r>
    </w:p>
    <w:p>
      <w:pPr>
        <w:pStyle w:val="8"/>
        <w:tabs>
          <w:tab w:val="clear" w:pos="567"/>
        </w:tabs>
        <w:spacing w:before="0" w:line="360" w:lineRule="auto"/>
        <w:ind w:left="-181" w:leftChars="-86" w:right="218" w:rightChars="104" w:firstLine="660" w:firstLineChars="275"/>
        <w:rPr>
          <w:rFonts w:ascii="仿宋" w:hAnsi="仿宋" w:eastAsia="仿宋" w:cs="仿宋"/>
          <w:b w:val="0"/>
          <w:bCs w:val="0"/>
          <w:color w:val="auto"/>
        </w:rPr>
      </w:pPr>
      <w:r>
        <w:rPr>
          <w:rFonts w:hint="eastAsia" w:ascii="仿宋" w:hAnsi="仿宋" w:eastAsia="仿宋" w:cs="仿宋"/>
          <w:b w:val="0"/>
          <w:bCs w:val="0"/>
          <w:color w:val="auto"/>
        </w:rPr>
        <w:t>4.如采购人所采购产品为政府强制采购的节能产品，投标人所投产品的品牌及型号必须为清单中有效期内产品并提供证明文件，否则其投标将被认定为投标无效。</w:t>
      </w:r>
    </w:p>
    <w:p>
      <w:pPr>
        <w:pStyle w:val="8"/>
        <w:tabs>
          <w:tab w:val="clear" w:pos="567"/>
        </w:tabs>
        <w:spacing w:before="0" w:line="360" w:lineRule="auto"/>
        <w:ind w:left="-181" w:leftChars="-86" w:firstLine="660" w:firstLineChars="275"/>
        <w:rPr>
          <w:rFonts w:ascii="仿宋" w:hAnsi="仿宋" w:eastAsia="仿宋" w:cs="仿宋"/>
          <w:b w:val="0"/>
          <w:bCs w:val="0"/>
          <w:color w:val="auto"/>
        </w:rPr>
      </w:pPr>
      <w:r>
        <w:rPr>
          <w:rFonts w:hint="eastAsia" w:ascii="仿宋" w:hAnsi="仿宋" w:eastAsia="仿宋" w:cs="仿宋"/>
          <w:b w:val="0"/>
          <w:bCs w:val="0"/>
          <w:color w:val="auto"/>
        </w:rPr>
        <w:t>5.对创新产品或创新性企业的优惠措施为</w:t>
      </w:r>
      <w:r>
        <w:rPr>
          <w:rFonts w:hint="eastAsia" w:ascii="仿宋" w:hAnsi="仿宋" w:eastAsia="仿宋" w:cs="仿宋"/>
          <w:b w:val="0"/>
          <w:bCs w:val="0"/>
          <w:color w:val="auto"/>
          <w:u w:val="none"/>
        </w:rPr>
        <w:t>：</w:t>
      </w:r>
      <w:r>
        <w:rPr>
          <w:rFonts w:hint="eastAsia" w:ascii="仿宋" w:hAnsi="仿宋" w:eastAsia="仿宋" w:cs="仿宋"/>
          <w:b w:val="0"/>
          <w:bCs w:val="0"/>
          <w:color w:val="auto"/>
          <w:u w:val="single"/>
        </w:rPr>
        <w:t xml:space="preserve">   无   </w:t>
      </w:r>
    </w:p>
    <w:p>
      <w:pPr>
        <w:pStyle w:val="8"/>
        <w:keepNext w:val="0"/>
        <w:keepLines w:val="0"/>
        <w:pageBreakBefore w:val="0"/>
        <w:tabs>
          <w:tab w:val="clear" w:pos="567"/>
        </w:tabs>
        <w:kinsoku/>
        <w:wordWrap/>
        <w:overflowPunct/>
        <w:topLinePunct w:val="0"/>
        <w:autoSpaceDE/>
        <w:autoSpaceDN/>
        <w:bidi w:val="0"/>
        <w:adjustRightInd/>
        <w:snapToGrid/>
        <w:spacing w:before="0" w:line="550" w:lineRule="exact"/>
        <w:ind w:firstLine="660" w:firstLineChars="275"/>
        <w:textAlignment w:val="auto"/>
        <w:rPr>
          <w:rFonts w:hint="eastAsia" w:ascii="仿宋" w:hAnsi="仿宋" w:eastAsia="仿宋" w:cs="仿宋"/>
          <w:color w:val="auto"/>
          <w:sz w:val="24"/>
          <w:szCs w:val="24"/>
          <w:highlight w:val="none"/>
        </w:rPr>
      </w:pPr>
    </w:p>
    <w:p>
      <w:pPr>
        <w:spacing w:line="360" w:lineRule="exact"/>
        <w:jc w:val="both"/>
        <w:rPr>
          <w:rFonts w:hint="eastAsia" w:ascii="仿宋" w:hAnsi="仿宋" w:eastAsia="仿宋" w:cs="仿宋"/>
          <w:b/>
          <w:bCs/>
          <w:color w:val="auto"/>
          <w:sz w:val="20"/>
          <w:szCs w:val="20"/>
          <w:highlight w:val="none"/>
        </w:rPr>
      </w:pPr>
      <w:r>
        <w:rPr>
          <w:rFonts w:hint="eastAsia" w:ascii="仿宋" w:hAnsi="仿宋" w:eastAsia="仿宋" w:cs="仿宋"/>
          <w:color w:val="auto"/>
          <w:highlight w:val="none"/>
        </w:rPr>
        <w:br w:type="page"/>
      </w:r>
      <w:r>
        <w:rPr>
          <w:rFonts w:hint="eastAsia" w:ascii="仿宋" w:hAnsi="仿宋" w:eastAsia="仿宋" w:cs="仿宋"/>
          <w:b/>
          <w:bCs/>
          <w:color w:val="auto"/>
          <w:kern w:val="2"/>
          <w:sz w:val="28"/>
          <w:szCs w:val="28"/>
          <w:highlight w:val="none"/>
          <w:lang w:val="en-US" w:eastAsia="zh-CN" w:bidi="ar-SA"/>
        </w:rPr>
        <w:t>初步评审—符合性审查表</w:t>
      </w:r>
    </w:p>
    <w:p>
      <w:pPr>
        <w:pStyle w:val="17"/>
        <w:jc w:val="center"/>
        <w:rPr>
          <w:rFonts w:hint="eastAsia" w:ascii="仿宋" w:hAnsi="仿宋" w:eastAsia="仿宋" w:cs="仿宋"/>
          <w:b/>
          <w:bCs/>
          <w:color w:val="auto"/>
          <w:highlight w:val="none"/>
        </w:rPr>
      </w:pPr>
    </w:p>
    <w:tbl>
      <w:tblPr>
        <w:tblStyle w:val="24"/>
        <w:tblpPr w:leftFromText="180" w:rightFromText="180" w:vertAnchor="text" w:horzAnchor="page" w:tblpXSpec="center" w:tblpY="262"/>
        <w:tblOverlap w:val="never"/>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174"/>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8022" w:type="dxa"/>
            <w:gridSpan w:val="2"/>
            <w:vAlign w:val="center"/>
          </w:tcPr>
          <w:p>
            <w:pPr>
              <w:spacing w:line="300" w:lineRule="auto"/>
              <w:jc w:val="center"/>
              <w:rPr>
                <w:rFonts w:hint="eastAsia" w:ascii="仿宋" w:hAnsi="仿宋" w:eastAsia="仿宋" w:cs="仿宋"/>
                <w:b/>
                <w:spacing w:val="-2"/>
                <w:sz w:val="24"/>
              </w:rPr>
            </w:pPr>
            <w:r>
              <w:rPr>
                <w:rFonts w:hint="eastAsia" w:ascii="仿宋" w:hAnsi="仿宋" w:eastAsia="仿宋" w:cs="仿宋"/>
                <w:b/>
                <w:spacing w:val="-2"/>
                <w:sz w:val="24"/>
              </w:rPr>
              <w:t>评审内容</w:t>
            </w:r>
          </w:p>
        </w:tc>
        <w:tc>
          <w:tcPr>
            <w:tcW w:w="1017" w:type="dxa"/>
            <w:vAlign w:val="center"/>
          </w:tcPr>
          <w:p>
            <w:pPr>
              <w:spacing w:line="300" w:lineRule="auto"/>
              <w:jc w:val="center"/>
              <w:rPr>
                <w:rFonts w:hint="eastAsia" w:ascii="仿宋" w:hAnsi="仿宋" w:eastAsia="仿宋" w:cs="仿宋"/>
                <w:spacing w:val="-2"/>
                <w:sz w:val="24"/>
              </w:rPr>
            </w:pPr>
            <w:r>
              <w:rPr>
                <w:rFonts w:hint="eastAsia" w:ascii="仿宋" w:hAnsi="仿宋" w:eastAsia="仿宋" w:cs="仿宋"/>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序号</w:t>
            </w:r>
          </w:p>
        </w:tc>
        <w:tc>
          <w:tcPr>
            <w:tcW w:w="7174" w:type="dxa"/>
            <w:vAlign w:val="center"/>
          </w:tcPr>
          <w:p>
            <w:pPr>
              <w:spacing w:line="300" w:lineRule="auto"/>
              <w:rPr>
                <w:rFonts w:hint="eastAsia" w:ascii="仿宋" w:hAnsi="仿宋" w:eastAsia="仿宋" w:cs="仿宋"/>
                <w:spacing w:val="-2"/>
                <w:sz w:val="24"/>
              </w:rPr>
            </w:pPr>
          </w:p>
        </w:tc>
        <w:tc>
          <w:tcPr>
            <w:tcW w:w="1017" w:type="dxa"/>
            <w:vAlign w:val="center"/>
          </w:tcPr>
          <w:p>
            <w:pPr>
              <w:spacing w:line="300" w:lineRule="auto"/>
              <w:jc w:val="center"/>
              <w:rPr>
                <w:rFonts w:hint="eastAsia" w:ascii="仿宋" w:hAnsi="仿宋" w:eastAsia="仿宋" w:cs="仿宋"/>
                <w:spacing w:val="-2"/>
                <w:sz w:val="24"/>
              </w:rPr>
            </w:pPr>
            <w:r>
              <w:rPr>
                <w:rFonts w:hint="eastAsia" w:ascii="仿宋" w:hAnsi="仿宋" w:eastAsia="仿宋" w:cs="仿宋"/>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1</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投标报价高于</w:t>
            </w:r>
            <w:r>
              <w:rPr>
                <w:rFonts w:hint="eastAsia" w:ascii="仿宋" w:hAnsi="仿宋" w:eastAsia="仿宋" w:cs="仿宋"/>
                <w:kern w:val="0"/>
                <w:sz w:val="24"/>
                <w:lang w:val="en-US" w:eastAsia="zh-CN" w:bidi="ar"/>
              </w:rPr>
              <w:t>最高限价的</w:t>
            </w:r>
            <w:r>
              <w:rPr>
                <w:rFonts w:hint="eastAsia" w:ascii="仿宋" w:hAnsi="仿宋" w:eastAsia="仿宋" w:cs="仿宋"/>
                <w:kern w:val="0"/>
                <w:sz w:val="24"/>
                <w:lang w:bidi="ar"/>
              </w:rPr>
              <w:t>；</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2</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投标人之间或者投标人与采购人串通投标的；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3</w:t>
            </w:r>
          </w:p>
        </w:tc>
        <w:tc>
          <w:tcPr>
            <w:tcW w:w="7174" w:type="dxa"/>
            <w:vAlign w:val="center"/>
          </w:tcPr>
          <w:p>
            <w:pPr>
              <w:widowControl/>
              <w:spacing w:line="300" w:lineRule="auto"/>
              <w:jc w:val="left"/>
              <w:textAlignment w:val="center"/>
              <w:rPr>
                <w:rFonts w:hint="eastAsia" w:ascii="仿宋" w:hAnsi="仿宋" w:eastAsia="仿宋" w:cs="仿宋"/>
                <w:sz w:val="24"/>
              </w:rPr>
            </w:pPr>
            <w:r>
              <w:rPr>
                <w:rFonts w:hint="eastAsia" w:ascii="仿宋" w:hAnsi="仿宋" w:eastAsia="仿宋" w:cs="仿宋"/>
                <w:kern w:val="0"/>
                <w:sz w:val="24"/>
                <w:lang w:bidi="ar"/>
              </w:rPr>
              <w:t>以行贿手段谋取中标或者以其他弄虚作假方式投标的；</w:t>
            </w:r>
          </w:p>
        </w:tc>
        <w:tc>
          <w:tcPr>
            <w:tcW w:w="1017" w:type="dxa"/>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4</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评标委员会共同确定有实质上不响应</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要求的；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5</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没有投标单位法定代表人或其授权代表签字（章）和加盖投标单位公章的；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6</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投标的政府采购项目完成期限超过</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规定期限的；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7</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载明的技术规格、技术标准、检验标准和方法等，不符合</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要求的；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8</w:t>
            </w:r>
          </w:p>
        </w:tc>
        <w:tc>
          <w:tcPr>
            <w:tcW w:w="7174" w:type="dxa"/>
            <w:vAlign w:val="center"/>
          </w:tcPr>
          <w:p>
            <w:pPr>
              <w:widowControl/>
              <w:spacing w:line="300" w:lineRule="auto"/>
              <w:textAlignment w:val="center"/>
              <w:rPr>
                <w:rFonts w:hint="eastAsia" w:ascii="仿宋" w:hAnsi="仿宋" w:eastAsia="仿宋" w:cs="仿宋"/>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附有采购人不能接受条件的；</w:t>
            </w:r>
          </w:p>
        </w:tc>
        <w:tc>
          <w:tcPr>
            <w:tcW w:w="1017" w:type="dxa"/>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9</w:t>
            </w:r>
          </w:p>
        </w:tc>
        <w:tc>
          <w:tcPr>
            <w:tcW w:w="7174" w:type="dxa"/>
            <w:vAlign w:val="center"/>
          </w:tcPr>
          <w:p>
            <w:pPr>
              <w:widowControl/>
              <w:spacing w:line="300" w:lineRule="auto"/>
              <w:jc w:val="left"/>
              <w:textAlignment w:val="center"/>
              <w:rPr>
                <w:rFonts w:hint="eastAsia" w:ascii="仿宋" w:hAnsi="仿宋" w:eastAsia="仿宋" w:cs="仿宋"/>
                <w:spacing w:val="-2"/>
                <w:sz w:val="24"/>
                <w:lang w:eastAsia="zh-CN"/>
              </w:rPr>
            </w:pPr>
            <w:r>
              <w:rPr>
                <w:rFonts w:hint="eastAsia" w:ascii="仿宋" w:hAnsi="仿宋" w:eastAsia="仿宋" w:cs="仿宋"/>
                <w:kern w:val="0"/>
                <w:sz w:val="24"/>
                <w:lang w:bidi="ar"/>
              </w:rPr>
              <w:t>不满足</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实质性要求的其他情形</w:t>
            </w:r>
            <w:r>
              <w:rPr>
                <w:rFonts w:hint="eastAsia" w:ascii="仿宋" w:hAnsi="仿宋" w:eastAsia="仿宋" w:cs="仿宋"/>
                <w:kern w:val="0"/>
                <w:sz w:val="24"/>
                <w:lang w:eastAsia="zh-CN" w:bidi="ar"/>
              </w:rPr>
              <w:t>。</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8022" w:type="dxa"/>
            <w:gridSpan w:val="2"/>
            <w:vAlign w:val="center"/>
          </w:tcPr>
          <w:p>
            <w:pPr>
              <w:spacing w:line="300" w:lineRule="auto"/>
              <w:ind w:firstLine="424" w:firstLineChars="180"/>
              <w:rPr>
                <w:rFonts w:hint="eastAsia" w:ascii="仿宋" w:hAnsi="仿宋" w:eastAsia="仿宋" w:cs="仿宋"/>
                <w:spacing w:val="-2"/>
                <w:sz w:val="24"/>
              </w:rPr>
            </w:pPr>
            <w:r>
              <w:rPr>
                <w:rFonts w:hint="eastAsia" w:ascii="仿宋" w:hAnsi="仿宋" w:eastAsia="仿宋" w:cs="仿宋"/>
                <w:spacing w:val="-2"/>
                <w:sz w:val="24"/>
              </w:rPr>
              <w:t>结论：通过评审打“√”，未通过评审打“×”</w:t>
            </w:r>
          </w:p>
        </w:tc>
        <w:tc>
          <w:tcPr>
            <w:tcW w:w="1017" w:type="dxa"/>
            <w:vAlign w:val="center"/>
          </w:tcPr>
          <w:p>
            <w:pPr>
              <w:spacing w:line="300" w:lineRule="auto"/>
              <w:ind w:firstLine="424" w:firstLineChars="180"/>
              <w:rPr>
                <w:rFonts w:hint="eastAsia" w:ascii="仿宋" w:hAnsi="仿宋" w:eastAsia="仿宋" w:cs="仿宋"/>
                <w:spacing w:val="-2"/>
                <w:sz w:val="24"/>
              </w:rPr>
            </w:pPr>
          </w:p>
        </w:tc>
      </w:tr>
    </w:tbl>
    <w:p>
      <w:pPr>
        <w:pStyle w:val="5"/>
        <w:spacing w:before="0" w:after="0" w:line="240" w:lineRule="atLeast"/>
        <w:jc w:val="center"/>
        <w:rPr>
          <w:rFonts w:hint="eastAsia" w:ascii="仿宋" w:hAnsi="仿宋" w:eastAsia="仿宋" w:cs="仿宋"/>
          <w:color w:val="auto"/>
          <w:highlight w:val="none"/>
          <w:u w:val="none"/>
        </w:rPr>
      </w:pPr>
    </w:p>
    <w:p>
      <w:pPr>
        <w:widowControl/>
        <w:jc w:val="left"/>
        <w:rPr>
          <w:rFonts w:hint="eastAsia" w:ascii="仿宋" w:hAnsi="仿宋" w:eastAsia="仿宋" w:cs="仿宋"/>
          <w:sz w:val="22"/>
          <w:szCs w:val="22"/>
        </w:rPr>
      </w:pPr>
      <w:r>
        <w:rPr>
          <w:rFonts w:hint="eastAsia" w:ascii="仿宋" w:hAnsi="仿宋" w:eastAsia="仿宋" w:cs="仿宋"/>
          <w:sz w:val="24"/>
          <w:szCs w:val="24"/>
        </w:rPr>
        <w:t>说明：</w:t>
      </w:r>
    </w:p>
    <w:p>
      <w:pPr>
        <w:spacing w:line="360" w:lineRule="exact"/>
        <w:rPr>
          <w:rFonts w:hint="eastAsia" w:ascii="仿宋" w:hAnsi="仿宋" w:eastAsia="仿宋" w:cs="仿宋"/>
          <w:sz w:val="22"/>
          <w:szCs w:val="22"/>
        </w:rPr>
      </w:pPr>
      <w:r>
        <w:rPr>
          <w:rFonts w:hint="eastAsia" w:ascii="仿宋" w:hAnsi="仿宋" w:eastAsia="仿宋" w:cs="仿宋"/>
          <w:sz w:val="22"/>
          <w:szCs w:val="22"/>
        </w:rPr>
        <w:t>（1）上述各项中用“√”表示</w:t>
      </w:r>
      <w:r>
        <w:rPr>
          <w:rFonts w:hint="eastAsia" w:ascii="仿宋" w:hAnsi="仿宋" w:eastAsia="仿宋" w:cs="仿宋"/>
          <w:sz w:val="22"/>
          <w:szCs w:val="22"/>
          <w:lang w:eastAsia="zh-CN"/>
        </w:rPr>
        <w:t>是</w:t>
      </w:r>
      <w:r>
        <w:rPr>
          <w:rFonts w:hint="eastAsia" w:ascii="仿宋" w:hAnsi="仿宋" w:eastAsia="仿宋" w:cs="仿宋"/>
          <w:sz w:val="22"/>
          <w:szCs w:val="22"/>
        </w:rPr>
        <w:t>，“×”表示</w:t>
      </w:r>
      <w:r>
        <w:rPr>
          <w:rFonts w:hint="eastAsia" w:ascii="仿宋" w:hAnsi="仿宋" w:eastAsia="仿宋" w:cs="仿宋"/>
          <w:sz w:val="22"/>
          <w:szCs w:val="22"/>
          <w:lang w:eastAsia="zh-CN"/>
        </w:rPr>
        <w:t>否</w:t>
      </w:r>
      <w:r>
        <w:rPr>
          <w:rFonts w:hint="eastAsia" w:ascii="仿宋" w:hAnsi="仿宋" w:eastAsia="仿宋" w:cs="仿宋"/>
          <w:sz w:val="22"/>
          <w:szCs w:val="22"/>
        </w:rPr>
        <w:t>；</w:t>
      </w:r>
    </w:p>
    <w:p>
      <w:pPr>
        <w:spacing w:line="360" w:lineRule="exact"/>
        <w:rPr>
          <w:rFonts w:hint="eastAsia" w:ascii="仿宋" w:hAnsi="仿宋" w:eastAsia="仿宋" w:cs="仿宋"/>
          <w:sz w:val="22"/>
          <w:szCs w:val="22"/>
        </w:rPr>
      </w:pPr>
      <w:r>
        <w:rPr>
          <w:rFonts w:hint="eastAsia" w:ascii="仿宋" w:hAnsi="仿宋" w:eastAsia="仿宋" w:cs="仿宋"/>
          <w:sz w:val="22"/>
          <w:szCs w:val="22"/>
        </w:rPr>
        <w:t>（2）上述各项中如有一项为“×”，则结论为“</w:t>
      </w:r>
      <w:r>
        <w:rPr>
          <w:rFonts w:hint="eastAsia" w:ascii="仿宋" w:hAnsi="仿宋" w:eastAsia="仿宋" w:cs="仿宋"/>
          <w:sz w:val="22"/>
          <w:szCs w:val="22"/>
          <w:lang w:eastAsia="zh-CN"/>
        </w:rPr>
        <w:t>不通过</w:t>
      </w:r>
      <w:r>
        <w:rPr>
          <w:rFonts w:hint="eastAsia" w:ascii="仿宋" w:hAnsi="仿宋" w:eastAsia="仿宋" w:cs="仿宋"/>
          <w:sz w:val="22"/>
          <w:szCs w:val="22"/>
        </w:rPr>
        <w:t>”，表示该响应文件中存在重大偏差，不能通过初步评审；评委对某一分项评审认为不合格时，必须要写明原因。</w:t>
      </w:r>
    </w:p>
    <w:p>
      <w:pPr>
        <w:spacing w:line="360" w:lineRule="exact"/>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sz w:val="22"/>
          <w:szCs w:val="22"/>
          <w:lang w:eastAsia="zh-CN"/>
        </w:rPr>
        <w:t>磋商文件</w:t>
      </w:r>
      <w:r>
        <w:rPr>
          <w:rFonts w:hint="eastAsia" w:ascii="仿宋" w:hAnsi="仿宋" w:eastAsia="仿宋" w:cs="仿宋"/>
          <w:sz w:val="22"/>
          <w:szCs w:val="22"/>
        </w:rPr>
        <w:t>最终合格与否，以所有评委的评审意见中少数服从多数为原则定论。</w:t>
      </w:r>
    </w:p>
    <w:p>
      <w:pPr>
        <w:spacing w:line="360" w:lineRule="exact"/>
        <w:rPr>
          <w:rFonts w:hint="eastAsia" w:ascii="仿宋" w:hAnsi="仿宋" w:eastAsia="仿宋" w:cs="仿宋"/>
        </w:rPr>
      </w:pPr>
      <w:r>
        <w:rPr>
          <w:rFonts w:hint="eastAsia" w:ascii="仿宋" w:hAnsi="仿宋" w:eastAsia="仿宋" w:cs="仿宋"/>
          <w:b/>
          <w:bCs/>
          <w:sz w:val="22"/>
          <w:szCs w:val="22"/>
        </w:rPr>
        <w:t>备注：如果</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中有一项未通过上述审查标准，</w:t>
      </w:r>
      <w:r>
        <w:rPr>
          <w:rFonts w:hint="eastAsia" w:ascii="仿宋" w:hAnsi="仿宋" w:eastAsia="仿宋" w:cs="仿宋"/>
          <w:b/>
          <w:bCs/>
          <w:sz w:val="22"/>
          <w:szCs w:val="22"/>
          <w:lang w:eastAsia="zh-CN"/>
        </w:rPr>
        <w:t>评标委员</w:t>
      </w:r>
      <w:r>
        <w:rPr>
          <w:rFonts w:hint="eastAsia" w:ascii="仿宋" w:hAnsi="仿宋" w:eastAsia="仿宋" w:cs="仿宋"/>
          <w:b/>
          <w:bCs/>
          <w:sz w:val="22"/>
          <w:szCs w:val="22"/>
        </w:rPr>
        <w:t>会将认定整个</w:t>
      </w:r>
      <w:r>
        <w:rPr>
          <w:rFonts w:hint="eastAsia" w:ascii="仿宋" w:hAnsi="仿宋" w:eastAsia="仿宋" w:cs="仿宋"/>
          <w:b/>
          <w:bCs/>
          <w:sz w:val="22"/>
          <w:szCs w:val="22"/>
          <w:lang w:eastAsia="zh-CN"/>
        </w:rPr>
        <w:t>响应文件</w:t>
      </w:r>
      <w:r>
        <w:rPr>
          <w:rFonts w:hint="eastAsia" w:ascii="仿宋" w:hAnsi="仿宋" w:eastAsia="仿宋" w:cs="仿宋"/>
          <w:b/>
          <w:bCs/>
          <w:sz w:val="22"/>
          <w:szCs w:val="22"/>
        </w:rPr>
        <w:t>未响应</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而予以无效处理。</w:t>
      </w:r>
    </w:p>
    <w:p>
      <w:pPr>
        <w:pStyle w:val="8"/>
        <w:tabs>
          <w:tab w:val="clear" w:pos="567"/>
        </w:tabs>
        <w:spacing w:before="0" w:line="240" w:lineRule="atLeast"/>
        <w:ind w:firstLine="472" w:firstLineChars="225"/>
        <w:rPr>
          <w:rFonts w:hint="eastAsia" w:ascii="仿宋" w:hAnsi="仿宋" w:eastAsia="仿宋" w:cs="仿宋"/>
          <w:b w:val="0"/>
          <w:bCs w:val="0"/>
          <w:color w:val="auto"/>
          <w:kern w:val="2"/>
          <w:sz w:val="21"/>
          <w:szCs w:val="21"/>
          <w:highlight w:val="none"/>
          <w:u w:val="none"/>
          <w:lang w:val="en-US" w:eastAsia="zh-CN" w:bidi="ar-SA"/>
        </w:rPr>
      </w:pPr>
    </w:p>
    <w:p>
      <w:pPr>
        <w:pStyle w:val="8"/>
        <w:tabs>
          <w:tab w:val="clear" w:pos="567"/>
        </w:tabs>
        <w:spacing w:before="0" w:line="240" w:lineRule="atLeast"/>
        <w:ind w:firstLine="472" w:firstLineChars="225"/>
        <w:rPr>
          <w:rFonts w:hint="eastAsia" w:ascii="仿宋" w:hAnsi="仿宋" w:eastAsia="仿宋" w:cs="仿宋"/>
          <w:b w:val="0"/>
          <w:bCs w:val="0"/>
          <w:color w:val="auto"/>
          <w:kern w:val="2"/>
          <w:sz w:val="21"/>
          <w:szCs w:val="21"/>
          <w:highlight w:val="none"/>
          <w:u w:val="none"/>
          <w:lang w:val="en-US" w:eastAsia="zh-CN" w:bidi="ar-SA"/>
        </w:rPr>
      </w:pPr>
    </w:p>
    <w:p>
      <w:pPr>
        <w:pStyle w:val="8"/>
        <w:tabs>
          <w:tab w:val="clear" w:pos="567"/>
        </w:tabs>
        <w:spacing w:before="0" w:line="240" w:lineRule="atLeast"/>
        <w:jc w:val="both"/>
        <w:rPr>
          <w:rFonts w:hint="eastAsia" w:ascii="仿宋" w:hAnsi="仿宋" w:eastAsia="仿宋" w:cs="仿宋"/>
          <w:b w:val="0"/>
          <w:bCs w:val="0"/>
          <w:color w:val="auto"/>
          <w:kern w:val="2"/>
          <w:sz w:val="21"/>
          <w:szCs w:val="21"/>
          <w:highlight w:val="none"/>
          <w:u w:val="none"/>
          <w:lang w:val="en-US" w:eastAsia="zh-CN" w:bidi="ar-SA"/>
        </w:rPr>
      </w:pPr>
    </w:p>
    <w:p>
      <w:pPr>
        <w:pStyle w:val="8"/>
        <w:tabs>
          <w:tab w:val="clear" w:pos="567"/>
        </w:tabs>
        <w:spacing w:before="0" w:line="240" w:lineRule="atLeast"/>
        <w:ind w:firstLine="542" w:firstLineChars="225"/>
        <w:jc w:val="center"/>
        <w:rPr>
          <w:rFonts w:hint="eastAsia" w:ascii="仿宋" w:hAnsi="仿宋" w:eastAsia="仿宋" w:cs="仿宋"/>
          <w:b/>
          <w:bCs/>
          <w:color w:val="auto"/>
          <w:kern w:val="2"/>
          <w:sz w:val="24"/>
          <w:szCs w:val="24"/>
          <w:highlight w:val="none"/>
          <w:lang w:val="en-US" w:eastAsia="zh-CN" w:bidi="ar-SA"/>
        </w:rPr>
      </w:pPr>
    </w:p>
    <w:p>
      <w:pPr>
        <w:pStyle w:val="8"/>
        <w:tabs>
          <w:tab w:val="clear" w:pos="567"/>
        </w:tabs>
        <w:spacing w:before="0" w:line="240" w:lineRule="atLeast"/>
        <w:ind w:firstLine="723" w:firstLineChars="225"/>
        <w:jc w:val="center"/>
        <w:rPr>
          <w:rFonts w:hint="eastAsia" w:ascii="仿宋" w:hAnsi="仿宋" w:eastAsia="仿宋" w:cs="仿宋"/>
          <w:b/>
          <w:bCs/>
          <w:color w:val="auto"/>
          <w:kern w:val="2"/>
          <w:sz w:val="32"/>
          <w:szCs w:val="32"/>
          <w:highlight w:val="none"/>
          <w:u w:val="none"/>
          <w:lang w:val="en-US" w:eastAsia="zh-CN" w:bidi="ar-SA"/>
        </w:rPr>
      </w:pPr>
      <w:r>
        <w:rPr>
          <w:rFonts w:hint="eastAsia" w:ascii="仿宋" w:hAnsi="仿宋" w:eastAsia="仿宋" w:cs="仿宋"/>
          <w:b/>
          <w:bCs/>
          <w:color w:val="auto"/>
          <w:kern w:val="2"/>
          <w:sz w:val="32"/>
          <w:szCs w:val="32"/>
          <w:highlight w:val="none"/>
          <w:u w:val="none"/>
          <w:lang w:val="en-US" w:eastAsia="zh-CN" w:bidi="ar-SA"/>
        </w:rPr>
        <w:br w:type="page"/>
      </w:r>
      <w:r>
        <w:rPr>
          <w:rFonts w:hint="eastAsia" w:ascii="仿宋" w:hAnsi="仿宋" w:eastAsia="仿宋" w:cs="仿宋"/>
          <w:b/>
          <w:bCs/>
          <w:color w:val="auto"/>
          <w:kern w:val="2"/>
          <w:sz w:val="28"/>
          <w:szCs w:val="28"/>
          <w:highlight w:val="none"/>
          <w:u w:val="none"/>
          <w:lang w:val="en-US" w:eastAsia="zh-CN" w:bidi="ar-SA"/>
        </w:rPr>
        <w:t>详细评审-评分标准</w:t>
      </w:r>
    </w:p>
    <w:tbl>
      <w:tblPr>
        <w:tblStyle w:val="24"/>
        <w:tblW w:w="9362" w:type="dxa"/>
        <w:tblInd w:w="112" w:type="dxa"/>
        <w:tblLayout w:type="fixed"/>
        <w:tblCellMar>
          <w:top w:w="0" w:type="dxa"/>
          <w:left w:w="108" w:type="dxa"/>
          <w:bottom w:w="0" w:type="dxa"/>
          <w:right w:w="108" w:type="dxa"/>
        </w:tblCellMar>
      </w:tblPr>
      <w:tblGrid>
        <w:gridCol w:w="1162"/>
        <w:gridCol w:w="1225"/>
        <w:gridCol w:w="5963"/>
        <w:gridCol w:w="1012"/>
      </w:tblGrid>
      <w:tr>
        <w:tblPrEx>
          <w:tblLayout w:type="fixed"/>
          <w:tblCellMar>
            <w:top w:w="0" w:type="dxa"/>
            <w:left w:w="108" w:type="dxa"/>
            <w:bottom w:w="0" w:type="dxa"/>
            <w:right w:w="108" w:type="dxa"/>
          </w:tblCellMar>
        </w:tblPrEx>
        <w:trPr>
          <w:trHeight w:val="602" w:hRule="atLeast"/>
        </w:trPr>
        <w:tc>
          <w:tcPr>
            <w:tcW w:w="238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考核项目</w:t>
            </w:r>
          </w:p>
        </w:tc>
        <w:tc>
          <w:tcPr>
            <w:tcW w:w="596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4"/>
              </w:rPr>
            </w:pPr>
          </w:p>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评分标准</w:t>
            </w:r>
          </w:p>
        </w:tc>
        <w:tc>
          <w:tcPr>
            <w:tcW w:w="1012"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投标人　</w:t>
            </w:r>
          </w:p>
        </w:tc>
      </w:tr>
      <w:tr>
        <w:tblPrEx>
          <w:tblLayout w:type="fixed"/>
          <w:tblCellMar>
            <w:top w:w="0" w:type="dxa"/>
            <w:left w:w="108" w:type="dxa"/>
            <w:bottom w:w="0" w:type="dxa"/>
            <w:right w:w="108" w:type="dxa"/>
          </w:tblCellMar>
        </w:tblPrEx>
        <w:trPr>
          <w:trHeight w:val="3525" w:hRule="atLeast"/>
        </w:trPr>
        <w:tc>
          <w:tcPr>
            <w:tcW w:w="116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价格</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部分</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（30分）</w:t>
            </w:r>
          </w:p>
        </w:tc>
        <w:tc>
          <w:tcPr>
            <w:tcW w:w="7188"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sz w:val="24"/>
              </w:rPr>
            </w:pPr>
            <w:r>
              <w:rPr>
                <w:rFonts w:hint="eastAsia" w:ascii="仿宋" w:hAnsi="仿宋" w:eastAsia="仿宋" w:cs="仿宋"/>
                <w:color w:val="000000"/>
                <w:kern w:val="0"/>
                <w:sz w:val="24"/>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由监标人员负责核准每个合格供应商的价格得分。（备注：</w:t>
            </w:r>
            <w:r>
              <w:rPr>
                <w:rFonts w:hint="eastAsia" w:ascii="仿宋" w:hAnsi="仿宋" w:eastAsia="仿宋" w:cs="仿宋"/>
                <w:sz w:val="24"/>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sz w:val="24"/>
                <w:u w:val="single"/>
              </w:rPr>
              <w:t xml:space="preserve">  10 </w:t>
            </w:r>
            <w:r>
              <w:rPr>
                <w:rFonts w:hint="eastAsia" w:ascii="仿宋" w:hAnsi="仿宋" w:eastAsia="仿宋" w:cs="仿宋"/>
                <w:sz w:val="24"/>
              </w:rPr>
              <w:t xml:space="preserve"> %后参与评审。对于同时属于小微企业、监狱企业或残疾人福利性单位的，不重复进行投标报价扣除。）</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2775" w:hRule="atLeast"/>
        </w:trPr>
        <w:tc>
          <w:tcPr>
            <w:tcW w:w="1162"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技术</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部分</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分）</w:t>
            </w: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配置性能指标</w:t>
            </w:r>
          </w:p>
          <w:p>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16</w:t>
            </w:r>
            <w:r>
              <w:rPr>
                <w:rFonts w:hint="eastAsia" w:ascii="仿宋" w:hAnsi="仿宋" w:eastAsia="仿宋" w:cs="仿宋"/>
                <w:color w:val="auto"/>
                <w:kern w:val="0"/>
                <w:sz w:val="24"/>
                <w:highlight w:val="none"/>
              </w:rPr>
              <w:t>分）</w:t>
            </w:r>
          </w:p>
        </w:tc>
        <w:tc>
          <w:tcPr>
            <w:tcW w:w="5963" w:type="dxa"/>
            <w:tcBorders>
              <w:top w:val="nil"/>
              <w:left w:val="nil"/>
              <w:bottom w:val="single" w:color="auto" w:sz="4" w:space="0"/>
              <w:right w:val="single" w:color="auto" w:sz="4" w:space="0"/>
            </w:tcBorders>
            <w:vAlign w:val="center"/>
          </w:tcPr>
          <w:p>
            <w:pPr>
              <w:pStyle w:val="1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配置性能指标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根据所投产品清单的技术参数配置与性能指标的响应程度打分，招标文件中所有技术参数须逐条响应所提供的设备资料应尽可能全面详细。设备清单中要求的技术参数性能指标为最低满足项，不得低于要求的参数，未按要求提供材料视为不响应，评标专家根据所投产品的技术参数配置与性能指标的响应程度打分，全部响应招标文件的得 </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 xml:space="preserve"> 分，每有一项关键指标高于要求的加1分，最多加2分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FF0000"/>
                <w:kern w:val="0"/>
                <w:sz w:val="24"/>
                <w:highlight w:val="yellow"/>
              </w:rPr>
            </w:pPr>
          </w:p>
        </w:tc>
      </w:tr>
      <w:tr>
        <w:tblPrEx>
          <w:tblLayout w:type="fixed"/>
          <w:tblCellMar>
            <w:top w:w="0" w:type="dxa"/>
            <w:left w:w="108" w:type="dxa"/>
            <w:bottom w:w="0" w:type="dxa"/>
            <w:right w:w="108" w:type="dxa"/>
          </w:tblCellMar>
        </w:tblPrEx>
        <w:trPr>
          <w:trHeight w:val="429" w:hRule="atLeast"/>
        </w:trPr>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项目服务实施方案（</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根据项目需求，制定项目实施具体方案，阐述内容须包括但不限于以下内容：具体包括时间计划表、人员配置、工作流程、工序搭配、安装调试服务计划、维保服务方案等内容：</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实施方案内容详尽、合理，具有可行性，针对可能出现的重点、难点的环节提出相应对策、方法及应急预案，可得</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分；</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实施方案内容不是很详尽，但具有可行性，针对可能出现的重点、难点的环节能提出相应对策、方法及应急预案，可得</w:t>
            </w:r>
            <w:r>
              <w:rPr>
                <w:rFonts w:hint="eastAsia" w:ascii="仿宋" w:hAnsi="仿宋" w:eastAsia="仿宋" w:cs="仿宋"/>
                <w:color w:val="auto"/>
                <w:kern w:val="0"/>
                <w:sz w:val="24"/>
                <w:highlight w:val="none"/>
                <w:lang w:val="en-US" w:eastAsia="zh-CN"/>
              </w:rPr>
              <w:t>16</w:t>
            </w:r>
            <w:r>
              <w:rPr>
                <w:rFonts w:hint="eastAsia" w:ascii="仿宋" w:hAnsi="仿宋" w:eastAsia="仿宋" w:cs="仿宋"/>
                <w:color w:val="auto"/>
                <w:kern w:val="0"/>
                <w:sz w:val="24"/>
                <w:highlight w:val="none"/>
              </w:rPr>
              <w:t xml:space="preserve">分； </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实施方案内容不是很详尽，可行性不强，但针对可能出现的重点、难点的环节能提出相应对策、方法及应急预案，可得</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实施方案内容不是很详尽，可行性不强，没有针对可能出现的重点、难点的环节提出相应对策、方法及应急预案，可得</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分；</w:t>
            </w:r>
          </w:p>
          <w:p>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5、未提供实施方案的不得分。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FF0000"/>
                <w:kern w:val="0"/>
                <w:sz w:val="24"/>
                <w:highlight w:val="yellow"/>
              </w:rPr>
            </w:pPr>
          </w:p>
        </w:tc>
      </w:tr>
      <w:tr>
        <w:tblPrEx>
          <w:tblLayout w:type="fixed"/>
          <w:tblCellMar>
            <w:top w:w="0" w:type="dxa"/>
            <w:left w:w="108" w:type="dxa"/>
            <w:bottom w:w="0" w:type="dxa"/>
            <w:right w:w="108" w:type="dxa"/>
          </w:tblCellMar>
        </w:tblPrEx>
        <w:trPr>
          <w:trHeight w:val="3945" w:hRule="atLeast"/>
        </w:trPr>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售后服务保障</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10</w:t>
            </w:r>
            <w:r>
              <w:rPr>
                <w:rFonts w:hint="eastAsia" w:ascii="仿宋" w:hAnsi="仿宋" w:eastAsia="仿宋" w:cs="仿宋"/>
                <w:color w:val="000000"/>
                <w:kern w:val="0"/>
                <w:sz w:val="24"/>
              </w:rPr>
              <w:t>分)</w:t>
            </w:r>
          </w:p>
        </w:tc>
        <w:tc>
          <w:tcPr>
            <w:tcW w:w="5963" w:type="dxa"/>
            <w:tcBorders>
              <w:top w:val="nil"/>
              <w:left w:val="nil"/>
              <w:bottom w:val="single" w:color="auto" w:sz="4" w:space="0"/>
              <w:right w:val="single" w:color="auto" w:sz="4" w:space="0"/>
            </w:tcBorders>
            <w:vAlign w:val="center"/>
          </w:tcPr>
          <w:p>
            <w:pPr>
              <w:pStyle w:val="17"/>
              <w:rPr>
                <w:rFonts w:hint="eastAsia" w:ascii="仿宋" w:hAnsi="仿宋" w:eastAsia="仿宋" w:cs="仿宋"/>
                <w:sz w:val="24"/>
              </w:rPr>
            </w:pPr>
            <w:r>
              <w:rPr>
                <w:rFonts w:hint="eastAsia" w:ascii="仿宋" w:hAnsi="仿宋" w:eastAsia="仿宋" w:cs="仿宋"/>
                <w:sz w:val="24"/>
              </w:rPr>
              <w:t>1、在本县有售后服务点或办公场地，服务方案细致合理、针对性强得</w:t>
            </w:r>
            <w:r>
              <w:rPr>
                <w:rFonts w:hint="eastAsia" w:ascii="仿宋" w:hAnsi="仿宋" w:eastAsia="仿宋" w:cs="仿宋"/>
                <w:sz w:val="24"/>
                <w:lang w:val="en-US" w:eastAsia="zh-CN"/>
              </w:rPr>
              <w:t>8</w:t>
            </w:r>
            <w:r>
              <w:rPr>
                <w:rFonts w:hint="eastAsia" w:ascii="仿宋" w:hAnsi="仿宋" w:eastAsia="仿宋" w:cs="仿宋"/>
                <w:sz w:val="24"/>
              </w:rPr>
              <w:t>分；在本地区有售后服务点或办公场地，服务方案合理、针对性较强，得</w:t>
            </w:r>
            <w:r>
              <w:rPr>
                <w:rFonts w:hint="eastAsia" w:ascii="仿宋" w:hAnsi="仿宋" w:eastAsia="仿宋" w:cs="仿宋"/>
                <w:sz w:val="24"/>
                <w:lang w:val="en-US" w:eastAsia="zh-CN"/>
              </w:rPr>
              <w:t>5</w:t>
            </w:r>
            <w:r>
              <w:rPr>
                <w:rFonts w:hint="eastAsia" w:ascii="仿宋" w:hAnsi="仿宋" w:eastAsia="仿宋" w:cs="仿宋"/>
                <w:sz w:val="24"/>
              </w:rPr>
              <w:t>分；本地区以外有售后服务点或办公场地，售后服务方案粗略、针对性一般，得</w:t>
            </w:r>
            <w:r>
              <w:rPr>
                <w:rFonts w:hint="eastAsia" w:ascii="仿宋" w:hAnsi="仿宋" w:eastAsia="仿宋" w:cs="仿宋"/>
                <w:sz w:val="24"/>
                <w:lang w:val="en-US" w:eastAsia="zh-CN"/>
              </w:rPr>
              <w:t>2</w:t>
            </w:r>
            <w:r>
              <w:rPr>
                <w:rFonts w:hint="eastAsia" w:ascii="仿宋" w:hAnsi="仿宋" w:eastAsia="仿宋" w:cs="仿宋"/>
                <w:sz w:val="24"/>
              </w:rPr>
              <w:t>分；不提供不得分。</w:t>
            </w:r>
          </w:p>
          <w:p>
            <w:pPr>
              <w:pStyle w:val="17"/>
              <w:rPr>
                <w:rFonts w:hint="eastAsia" w:ascii="仿宋" w:hAnsi="仿宋" w:eastAsia="仿宋" w:cs="仿宋"/>
                <w:sz w:val="24"/>
              </w:rPr>
            </w:pPr>
            <w:r>
              <w:rPr>
                <w:rFonts w:hint="eastAsia" w:ascii="仿宋" w:hAnsi="仿宋" w:eastAsia="仿宋" w:cs="仿宋"/>
                <w:sz w:val="24"/>
              </w:rPr>
              <w:t>2、有优质的售后服务措施，免费维</w:t>
            </w:r>
            <w:r>
              <w:rPr>
                <w:rFonts w:hint="eastAsia" w:ascii="仿宋" w:hAnsi="仿宋" w:eastAsia="仿宋" w:cs="仿宋"/>
                <w:sz w:val="24"/>
                <w:lang w:eastAsia="zh-CN"/>
              </w:rPr>
              <w:t>护</w:t>
            </w:r>
            <w:r>
              <w:rPr>
                <w:rFonts w:hint="eastAsia" w:ascii="仿宋" w:hAnsi="仿宋" w:eastAsia="仿宋" w:cs="仿宋"/>
                <w:sz w:val="24"/>
              </w:rPr>
              <w:t>与更换有缺陷的设备或部件的期限为中标单位接到业主正式通知后相关维修人员，相关人员达到指定位置的响应速度，根据投标人提供的售后服务方案、维护人员和机构等情况，质保期限的长短以及服务承诺的可行性、完整性以及服承诺落实的保障措施</w:t>
            </w:r>
            <w:r>
              <w:rPr>
                <w:rFonts w:hint="eastAsia" w:ascii="仿宋" w:hAnsi="仿宋" w:eastAsia="仿宋" w:cs="仿宋"/>
                <w:sz w:val="24"/>
                <w:lang w:eastAsia="zh-CN"/>
              </w:rPr>
              <w:t>。</w:t>
            </w:r>
            <w:r>
              <w:rPr>
                <w:rFonts w:hint="eastAsia" w:ascii="仿宋" w:hAnsi="仿宋" w:eastAsia="仿宋" w:cs="仿宋"/>
                <w:sz w:val="24"/>
              </w:rPr>
              <w:t>分值</w:t>
            </w:r>
            <w:r>
              <w:rPr>
                <w:rFonts w:hint="eastAsia" w:ascii="仿宋" w:hAnsi="仿宋" w:eastAsia="仿宋" w:cs="仿宋"/>
                <w:sz w:val="24"/>
                <w:lang w:val="en-US" w:eastAsia="zh-CN"/>
              </w:rPr>
              <w:t>2</w:t>
            </w:r>
            <w:r>
              <w:rPr>
                <w:rFonts w:hint="eastAsia" w:ascii="仿宋" w:hAnsi="仿宋" w:eastAsia="仿宋" w:cs="仿宋"/>
                <w:sz w:val="24"/>
              </w:rPr>
              <w:t>分，由评委视具体情况进行评分。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2891" w:hRule="atLeast"/>
        </w:trPr>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项目售后服务方案 (10分)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提供针对本项目编制的项目售后服务方案（方案内容包括但不限于服务内容、服务方式、响应时间）：</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项目售后服务方案贴合实际，针对性和可实施性很强，完全满足且优于用户需求的，得10分。</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项目售后服务方案比较贴合实际，针对性和可实施性比较强，完全满足用户需求的，得6分。 </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项目售后服务方案不符合实际，针对性和可实施性较弱，不完全满足用户需求的，得2分。</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未提供方案，得0分。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2303" w:hRule="atLeast"/>
        </w:trPr>
        <w:tc>
          <w:tcPr>
            <w:tcW w:w="1162" w:type="dxa"/>
            <w:vMerge w:val="restart"/>
            <w:tcBorders>
              <w:top w:val="nil"/>
              <w:left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商务</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部分</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12</w:t>
            </w:r>
            <w:r>
              <w:rPr>
                <w:rFonts w:hint="eastAsia" w:ascii="仿宋" w:hAnsi="仿宋" w:eastAsia="仿宋" w:cs="仿宋"/>
                <w:color w:val="000000"/>
                <w:kern w:val="0"/>
                <w:sz w:val="24"/>
              </w:rPr>
              <w:t>分）</w:t>
            </w: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业绩</w:t>
            </w:r>
          </w:p>
          <w:p>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sz w:val="24"/>
                <w:highlight w:val="none"/>
              </w:rPr>
            </w:pPr>
            <w:r>
              <w:rPr>
                <w:rFonts w:hint="eastAsia" w:ascii="仿宋" w:hAnsi="仿宋" w:eastAsia="仿宋" w:cs="仿宋"/>
                <w:color w:val="000000"/>
                <w:sz w:val="24"/>
                <w:highlight w:val="none"/>
              </w:rPr>
              <w:t>供应商具有类似项目业绩（指供应商在2020年1月1日（以合同签订日期为准）至今承接的类似项目），1个得1分，最</w:t>
            </w:r>
            <w:r>
              <w:rPr>
                <w:rFonts w:hint="eastAsia" w:ascii="仿宋" w:hAnsi="仿宋" w:eastAsia="仿宋" w:cs="仿宋"/>
                <w:sz w:val="24"/>
                <w:highlight w:val="none"/>
              </w:rPr>
              <w:t>多</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p>
          <w:p>
            <w:pPr>
              <w:pStyle w:val="17"/>
              <w:rPr>
                <w:rFonts w:hint="eastAsia" w:ascii="仿宋" w:hAnsi="仿宋" w:eastAsia="仿宋" w:cs="仿宋"/>
                <w:sz w:val="24"/>
                <w:highlight w:val="none"/>
              </w:rPr>
            </w:pPr>
            <w:r>
              <w:rPr>
                <w:rFonts w:hint="eastAsia" w:ascii="仿宋" w:hAnsi="仿宋" w:eastAsia="仿宋" w:cs="仿宋"/>
                <w:sz w:val="24"/>
                <w:highlight w:val="none"/>
              </w:rPr>
              <w:t>业绩证明需提供业绩合同</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中标通知书证明材料。提供的业绩材料均不得涂改遮挡，每份合同需提供合同首页、内容页、盖章页等证明材料。（证明材料：中标通知书、合同复印件，并加盖公章，不提供不得分。）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1716" w:hRule="atLeast"/>
        </w:trPr>
        <w:tc>
          <w:tcPr>
            <w:tcW w:w="1162"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highlight w:val="none"/>
              </w:rPr>
            </w:pPr>
            <w:r>
              <w:rPr>
                <w:rFonts w:hint="eastAsia" w:ascii="仿宋" w:hAnsi="仿宋" w:eastAsia="仿宋" w:cs="宋体"/>
                <w:sz w:val="24"/>
                <w:szCs w:val="24"/>
              </w:rPr>
              <w:t>质保期限</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sz w:val="24"/>
                <w:highlight w:val="none"/>
              </w:rPr>
            </w:pPr>
            <w:r>
              <w:rPr>
                <w:rFonts w:hint="eastAsia" w:ascii="仿宋" w:hAnsi="仿宋" w:eastAsia="仿宋" w:cs="宋体"/>
                <w:b w:val="0"/>
                <w:color w:val="auto"/>
                <w:kern w:val="2"/>
                <w:sz w:val="24"/>
                <w:szCs w:val="24"/>
                <w:lang w:val="en-US" w:eastAsia="zh-CN"/>
              </w:rPr>
              <w:t>质保期延长六个月得1分，最多可得5分。不提供相关质保说明材料的不得分。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1390" w:hRule="atLeast"/>
        </w:trPr>
        <w:tc>
          <w:tcPr>
            <w:tcW w:w="1162"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sz w:val="24"/>
                <w:szCs w:val="24"/>
              </w:rPr>
            </w:pPr>
            <w:r>
              <w:rPr>
                <w:rFonts w:hint="eastAsia" w:ascii="仿宋" w:hAnsi="仿宋" w:eastAsia="仿宋" w:cs="宋体"/>
                <w:sz w:val="24"/>
                <w:szCs w:val="24"/>
              </w:rPr>
              <w:t>标函质量</w:t>
            </w:r>
          </w:p>
          <w:p>
            <w:pPr>
              <w:widowControl/>
              <w:jc w:val="center"/>
              <w:rPr>
                <w:rFonts w:hint="eastAsia"/>
              </w:rPr>
            </w:pPr>
            <w:r>
              <w:rPr>
                <w:rFonts w:hint="eastAsia" w:ascii="仿宋" w:hAnsi="仿宋" w:eastAsia="仿宋" w:cs="宋体"/>
                <w:sz w:val="24"/>
                <w:szCs w:val="24"/>
              </w:rPr>
              <w:t>(</w:t>
            </w:r>
            <w:r>
              <w:rPr>
                <w:rFonts w:hint="eastAsia" w:ascii="仿宋" w:hAnsi="仿宋" w:eastAsia="仿宋" w:cs="宋体"/>
                <w:sz w:val="24"/>
                <w:szCs w:val="24"/>
                <w:lang w:val="en-US" w:eastAsia="zh-CN"/>
              </w:rPr>
              <w:t>2</w:t>
            </w:r>
            <w:r>
              <w:rPr>
                <w:rFonts w:hint="eastAsia" w:ascii="仿宋" w:hAnsi="仿宋" w:eastAsia="仿宋" w:cs="宋体"/>
                <w:sz w:val="24"/>
                <w:szCs w:val="24"/>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b w:val="0"/>
                <w:color w:val="FF0000"/>
                <w:kern w:val="2"/>
                <w:sz w:val="24"/>
                <w:szCs w:val="24"/>
                <w:lang w:val="en-US" w:eastAsia="zh-CN"/>
              </w:rPr>
            </w:pPr>
            <w:r>
              <w:rPr>
                <w:rFonts w:hint="eastAsia" w:ascii="仿宋" w:hAnsi="仿宋" w:eastAsia="仿宋" w:cs="宋体"/>
                <w:sz w:val="24"/>
                <w:szCs w:val="24"/>
              </w:rPr>
              <w:t>根据投标文件标函编制内容完整、齐全、叙述严谨；投标文件无涂改、错页、漏页现象；投标文件内容不得重复性、反复性出现资料，具体由评委视具体情况给分，分值</w:t>
            </w:r>
            <w:r>
              <w:rPr>
                <w:rFonts w:hint="eastAsia" w:ascii="仿宋" w:hAnsi="仿宋" w:eastAsia="仿宋" w:cs="宋体"/>
                <w:sz w:val="24"/>
                <w:szCs w:val="24"/>
                <w:lang w:val="en-US" w:eastAsia="zh-CN"/>
              </w:rPr>
              <w:t>2</w:t>
            </w:r>
            <w:r>
              <w:rPr>
                <w:rFonts w:hint="eastAsia" w:ascii="仿宋" w:hAnsi="仿宋" w:eastAsia="仿宋" w:cs="宋体"/>
                <w:sz w:val="24"/>
                <w:szCs w:val="24"/>
              </w:rPr>
              <w:t>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526" w:hRule="atLeast"/>
        </w:trPr>
        <w:tc>
          <w:tcPr>
            <w:tcW w:w="835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最后得分</w:t>
            </w:r>
          </w:p>
        </w:tc>
        <w:tc>
          <w:tcPr>
            <w:tcW w:w="101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bl>
    <w:p>
      <w:pPr>
        <w:ind w:right="-540" w:rightChars="-257"/>
        <w:rPr>
          <w:color w:val="auto"/>
          <w:sz w:val="21"/>
          <w:szCs w:val="21"/>
        </w:rPr>
      </w:pPr>
      <w:r>
        <w:rPr>
          <w:rFonts w:hint="eastAsia" w:ascii="仿宋" w:hAnsi="仿宋" w:eastAsia="仿宋" w:cs="仿宋"/>
          <w:color w:val="auto"/>
          <w:kern w:val="2"/>
          <w:sz w:val="21"/>
          <w:szCs w:val="21"/>
          <w:highlight w:val="none"/>
          <w:lang w:val="en-US" w:eastAsia="zh-CN" w:bidi="ar-SA"/>
        </w:rPr>
        <w:t>说明：各评分因素的计分方法：磋商小组全部成员对各供应商的有效记分的算术平均值为该评分因素的综合得分。计算各评分因素得分时，四舍五入保留二位小数。(价格评分仅限于有效投标人。)</w:t>
      </w:r>
    </w:p>
    <w:p>
      <w:pPr>
        <w:spacing w:after="0" w:line="289" w:lineRule="exact"/>
        <w:rPr>
          <w:sz w:val="24"/>
        </w:rPr>
        <w:sectPr>
          <w:headerReference r:id="rId10" w:type="default"/>
          <w:footerReference r:id="rId11" w:type="default"/>
          <w:pgSz w:w="11910" w:h="16840"/>
          <w:pgMar w:top="1420" w:right="1280" w:bottom="1200" w:left="1120" w:header="891" w:footer="1013" w:gutter="0"/>
          <w:pgNumType w:fmt="decimal"/>
          <w:cols w:space="720" w:num="1"/>
        </w:sectPr>
      </w:pPr>
    </w:p>
    <w:p>
      <w:pPr>
        <w:rPr>
          <w:rFonts w:hint="eastAsia"/>
        </w:rPr>
      </w:pPr>
      <w:bookmarkStart w:id="254" w:name="_Toc507399904"/>
    </w:p>
    <w:p>
      <w:pPr>
        <w:spacing w:line="240" w:lineRule="atLeast"/>
        <w:ind w:left="1080" w:leftChars="257" w:hanging="540"/>
        <w:jc w:val="center"/>
        <w:rPr>
          <w:rFonts w:hint="eastAsia" w:ascii="仿宋" w:hAnsi="仿宋" w:eastAsia="仿宋" w:cs="仿宋"/>
          <w:color w:val="auto"/>
          <w:highlight w:val="none"/>
        </w:rPr>
      </w:pPr>
    </w:p>
    <w:p>
      <w:pPr>
        <w:pStyle w:val="6"/>
        <w:jc w:val="center"/>
        <w:rPr>
          <w:rFonts w:hint="eastAsia" w:ascii="仿宋" w:hAnsi="仿宋" w:eastAsia="仿宋" w:cs="仿宋"/>
          <w:b/>
          <w:bCs/>
          <w:color w:val="FF0000"/>
          <w:sz w:val="48"/>
          <w:szCs w:val="48"/>
          <w:highlight w:val="none"/>
          <w:lang w:eastAsia="zh-CN"/>
        </w:rPr>
      </w:pPr>
      <w:r>
        <w:rPr>
          <w:rFonts w:hint="eastAsia" w:ascii="仿宋" w:hAnsi="仿宋" w:eastAsia="仿宋" w:cs="仿宋"/>
          <w:b/>
          <w:bCs/>
          <w:color w:val="auto"/>
          <w:sz w:val="48"/>
          <w:szCs w:val="48"/>
          <w:highlight w:val="none"/>
          <w:lang w:eastAsia="zh-CN"/>
        </w:rPr>
        <w:t>塔什库尔干县教育局各乡镇小学学生用床及其他配套生活设施设备采购项目</w:t>
      </w:r>
    </w:p>
    <w:p>
      <w:pPr>
        <w:pStyle w:val="6"/>
        <w:rPr>
          <w:rFonts w:hint="eastAsia" w:ascii="仿宋" w:hAnsi="仿宋" w:eastAsia="仿宋" w:cs="仿宋"/>
          <w:b/>
          <w:bCs/>
          <w:color w:val="auto"/>
          <w:sz w:val="44"/>
          <w:szCs w:val="44"/>
          <w:highlight w:val="none"/>
          <w:lang w:eastAsia="zh-CN"/>
        </w:rPr>
      </w:pPr>
    </w:p>
    <w:p>
      <w:pPr>
        <w:rPr>
          <w:rFonts w:hint="eastAsia" w:ascii="仿宋" w:hAnsi="仿宋" w:eastAsia="仿宋" w:cs="仿宋"/>
          <w:b/>
          <w:bCs/>
          <w:color w:val="auto"/>
          <w:sz w:val="44"/>
          <w:szCs w:val="44"/>
          <w:highlight w:val="none"/>
          <w:lang w:eastAsia="zh-CN"/>
        </w:rPr>
      </w:pPr>
    </w:p>
    <w:p>
      <w:pPr>
        <w:pStyle w:val="2"/>
        <w:rPr>
          <w:rFonts w:hint="eastAsia" w:ascii="仿宋" w:hAnsi="仿宋" w:eastAsia="仿宋" w:cs="仿宋"/>
          <w:b/>
          <w:bCs/>
          <w:color w:val="auto"/>
          <w:sz w:val="44"/>
          <w:szCs w:val="44"/>
          <w:highlight w:val="none"/>
          <w:lang w:eastAsia="zh-CN"/>
        </w:rPr>
      </w:pPr>
    </w:p>
    <w:p>
      <w:pPr>
        <w:rPr>
          <w:rFonts w:hint="eastAsia" w:ascii="仿宋" w:hAnsi="仿宋" w:eastAsia="仿宋" w:cs="仿宋"/>
          <w:b/>
          <w:bCs/>
          <w:color w:val="auto"/>
          <w:sz w:val="44"/>
          <w:szCs w:val="44"/>
          <w:highlight w:val="none"/>
          <w:lang w:eastAsia="zh-CN"/>
        </w:rPr>
      </w:pPr>
    </w:p>
    <w:p>
      <w:pPr>
        <w:pStyle w:val="2"/>
        <w:rPr>
          <w:rFonts w:hint="eastAsia"/>
          <w:lang w:eastAsia="zh-CN"/>
        </w:rPr>
      </w:pPr>
    </w:p>
    <w:p>
      <w:pPr>
        <w:rPr>
          <w:rFonts w:hint="default" w:ascii="仿宋" w:hAnsi="仿宋" w:eastAsia="仿宋" w:cs="仿宋"/>
          <w:b/>
          <w:bCs/>
          <w:color w:val="auto"/>
          <w:sz w:val="44"/>
          <w:szCs w:val="44"/>
          <w:highlight w:val="none"/>
          <w:lang w:val="en-US" w:eastAsia="zh-CN"/>
        </w:rPr>
      </w:pPr>
    </w:p>
    <w:p>
      <w:pPr>
        <w:pStyle w:val="6"/>
        <w:rPr>
          <w:rFonts w:hint="eastAsia" w:ascii="仿宋" w:hAnsi="仿宋" w:eastAsia="仿宋" w:cs="仿宋"/>
          <w:color w:val="auto"/>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竞争性磋商文件</w:t>
      </w:r>
    </w:p>
    <w:p>
      <w:pPr>
        <w:pStyle w:val="2"/>
        <w:rPr>
          <w:rFonts w:hint="eastAsia" w:ascii="仿宋" w:hAnsi="仿宋" w:eastAsia="仿宋" w:cs="仿宋"/>
          <w:b/>
          <w:bCs/>
          <w:color w:val="auto"/>
          <w:sz w:val="44"/>
          <w:szCs w:val="44"/>
          <w:highlight w:val="none"/>
          <w:lang w:eastAsia="zh-CN"/>
        </w:rPr>
      </w:pPr>
    </w:p>
    <w:p>
      <w:pPr>
        <w:rPr>
          <w:rFonts w:hint="eastAsia" w:ascii="仿宋" w:hAnsi="仿宋" w:eastAsia="仿宋" w:cs="仿宋"/>
          <w:b/>
          <w:bCs/>
          <w:color w:val="auto"/>
          <w:sz w:val="44"/>
          <w:szCs w:val="44"/>
          <w:highlight w:val="none"/>
          <w:lang w:eastAsia="zh-CN"/>
        </w:rPr>
      </w:pPr>
    </w:p>
    <w:p>
      <w:pPr>
        <w:pStyle w:val="2"/>
        <w:rPr>
          <w:rFonts w:hint="eastAsia" w:ascii="仿宋" w:hAnsi="仿宋" w:eastAsia="仿宋" w:cs="仿宋"/>
          <w:b/>
          <w:bCs/>
          <w:color w:val="auto"/>
          <w:sz w:val="44"/>
          <w:szCs w:val="44"/>
          <w:highlight w:val="none"/>
          <w:lang w:eastAsia="zh-CN"/>
        </w:rPr>
      </w:pPr>
    </w:p>
    <w:p>
      <w:pPr>
        <w:rPr>
          <w:rFonts w:hint="eastAsia" w:ascii="仿宋" w:hAnsi="仿宋" w:eastAsia="仿宋" w:cs="仿宋"/>
          <w:b/>
          <w:bCs/>
          <w:color w:val="auto"/>
          <w:sz w:val="44"/>
          <w:szCs w:val="44"/>
          <w:highlight w:val="none"/>
          <w:lang w:eastAsia="zh-CN"/>
        </w:rPr>
      </w:pPr>
    </w:p>
    <w:p>
      <w:pPr>
        <w:pStyle w:val="2"/>
        <w:rPr>
          <w:rFonts w:hint="eastAsia"/>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KSTX(CS)2023-06</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val="en-US" w:eastAsia="zh-CN"/>
        </w:rPr>
        <w:t>三</w:t>
      </w:r>
      <w:r>
        <w:rPr>
          <w:rFonts w:hint="eastAsia" w:ascii="仿宋" w:hAnsi="仿宋" w:eastAsia="仿宋" w:cs="仿宋"/>
          <w:b/>
          <w:color w:val="auto"/>
          <w:sz w:val="48"/>
          <w:szCs w:val="48"/>
          <w:highlight w:val="none"/>
        </w:rPr>
        <w:t>册</w:t>
      </w: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rPr>
          <w:rFonts w:hint="eastAsia" w:ascii="仿宋" w:hAnsi="仿宋" w:eastAsia="仿宋" w:cs="仿宋"/>
          <w:b/>
          <w:color w:val="auto"/>
          <w:szCs w:val="21"/>
          <w:highlight w:val="none"/>
        </w:rPr>
      </w:pPr>
    </w:p>
    <w:p>
      <w:pPr>
        <w:rPr>
          <w:rFonts w:hint="eastAsia" w:ascii="仿宋" w:hAnsi="仿宋" w:eastAsia="仿宋" w:cs="仿宋"/>
          <w:color w:val="auto"/>
          <w:highlight w:val="none"/>
        </w:rPr>
      </w:pPr>
      <w:r>
        <w:rPr>
          <w:rFonts w:hint="eastAsia" w:ascii="仿宋" w:hAnsi="仿宋" w:eastAsia="仿宋" w:cs="仿宋"/>
          <w:b/>
          <w:color w:val="auto"/>
          <w:sz w:val="52"/>
          <w:highlight w:val="none"/>
        </w:rPr>
        <w:br w:type="page"/>
      </w:r>
    </w:p>
    <w:p>
      <w:pPr>
        <w:pStyle w:val="3"/>
        <w:numPr>
          <w:ilvl w:val="0"/>
          <w:numId w:val="0"/>
        </w:numPr>
        <w:tabs>
          <w:tab w:val="left" w:pos="0"/>
        </w:tabs>
        <w:spacing w:before="0" w:after="0" w:line="240" w:lineRule="atLeast"/>
        <w:ind w:left="-15" w:leftChars="0"/>
        <w:jc w:val="center"/>
        <w:rPr>
          <w:rFonts w:hint="eastAsia" w:ascii="仿宋" w:hAnsi="仿宋" w:eastAsia="仿宋" w:cs="仿宋"/>
          <w:color w:val="auto"/>
          <w:highlight w:val="none"/>
        </w:rPr>
      </w:pPr>
      <w:bookmarkStart w:id="255" w:name="_Toc11722"/>
      <w:bookmarkStart w:id="256" w:name="_Toc518923128"/>
      <w:r>
        <w:rPr>
          <w:rFonts w:hint="eastAsia" w:ascii="仿宋" w:hAnsi="仿宋" w:eastAsia="仿宋" w:cs="仿宋"/>
          <w:color w:val="auto"/>
          <w:highlight w:val="none"/>
          <w:lang w:val="en-US" w:eastAsia="zh-CN"/>
        </w:rPr>
        <w:t>第7章</w:t>
      </w:r>
      <w:r>
        <w:rPr>
          <w:rFonts w:hint="eastAsia" w:ascii="仿宋" w:hAnsi="仿宋" w:eastAsia="仿宋" w:cs="仿宋"/>
          <w:color w:val="auto"/>
          <w:highlight w:val="none"/>
        </w:rPr>
        <w:t>政府采购合同</w:t>
      </w:r>
      <w:bookmarkEnd w:id="254"/>
      <w:bookmarkEnd w:id="255"/>
      <w:bookmarkEnd w:id="256"/>
      <w:bookmarkStart w:id="257" w:name="_Hlt487972895"/>
      <w:bookmarkEnd w:id="257"/>
      <w:bookmarkStart w:id="258" w:name="_Toc216513788"/>
      <w:bookmarkStart w:id="259" w:name="_Toc487900382"/>
    </w:p>
    <w:bookmarkEnd w:id="258"/>
    <w:bookmarkEnd w:id="259"/>
    <w:p>
      <w:pPr>
        <w:pStyle w:val="6"/>
        <w:spacing w:line="240" w:lineRule="atLeast"/>
        <w:ind w:left="1080" w:leftChars="257" w:hanging="540"/>
        <w:rPr>
          <w:rFonts w:hint="eastAsia" w:ascii="仿宋" w:hAnsi="仿宋" w:eastAsia="仿宋" w:cs="仿宋"/>
          <w:color w:val="auto"/>
          <w:sz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请参照服务类政府采购合同参考范本订立采购合同。</w:t>
      </w: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pStyle w:val="2"/>
        <w:rPr>
          <w:rFonts w:hint="eastAsia"/>
        </w:rPr>
      </w:pPr>
      <w:bookmarkStart w:id="420" w:name="_GoBack"/>
      <w:bookmarkEnd w:id="420"/>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jc w:val="both"/>
        <w:rPr>
          <w:rFonts w:hint="eastAsia" w:ascii="仿宋" w:hAnsi="仿宋" w:eastAsia="仿宋" w:cs="仿宋"/>
          <w:color w:val="auto"/>
          <w:kern w:val="44"/>
          <w:sz w:val="28"/>
          <w:szCs w:val="28"/>
          <w:highlight w:val="none"/>
        </w:rPr>
      </w:pPr>
    </w:p>
    <w:p>
      <w:pPr>
        <w:rPr>
          <w:rFonts w:hint="eastAsia" w:ascii="宋体" w:hAnsi="宋体" w:cs="宋体"/>
          <w:color w:val="000000"/>
          <w:sz w:val="24"/>
          <w:highlight w:val="none"/>
          <w:u w:val="single"/>
        </w:rPr>
      </w:pPr>
      <w:r>
        <w:rPr>
          <w:rFonts w:hint="eastAsia" w:ascii="宋体" w:hAnsi="宋体" w:cs="宋体"/>
          <w:color w:val="000000"/>
          <w:sz w:val="24"/>
          <w:highlight w:val="none"/>
        </w:rPr>
        <w:t>合同编号：</w:t>
      </w:r>
      <w:r>
        <w:rPr>
          <w:rFonts w:hint="eastAsia" w:ascii="宋体" w:hAnsi="宋体" w:cs="宋体"/>
          <w:color w:val="000000"/>
          <w:sz w:val="24"/>
          <w:highlight w:val="none"/>
          <w:u w:val="single"/>
        </w:rPr>
        <w:t xml:space="preserve">           </w:t>
      </w: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政府采购合同参考范本</w:t>
      </w:r>
    </w:p>
    <w:p>
      <w:pPr>
        <w:spacing w:line="48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（货物类）</w:t>
      </w:r>
    </w:p>
    <w:p>
      <w:pPr>
        <w:pStyle w:val="31"/>
        <w:ind w:firstLine="0"/>
        <w:rPr>
          <w:rFonts w:hint="eastAsia" w:hAnsi="宋体" w:cs="宋体"/>
          <w:color w:val="000000"/>
          <w:szCs w:val="24"/>
          <w:highlight w:val="none"/>
        </w:rPr>
      </w:pPr>
    </w:p>
    <w:p>
      <w:pPr>
        <w:pStyle w:val="31"/>
        <w:ind w:firstLine="0"/>
        <w:rPr>
          <w:rFonts w:hint="eastAsia" w:hAnsi="宋体" w:cs="宋体"/>
          <w:color w:val="000000"/>
          <w:szCs w:val="24"/>
          <w:highlight w:val="none"/>
        </w:rPr>
      </w:pPr>
    </w:p>
    <w:p>
      <w:pPr>
        <w:pStyle w:val="31"/>
        <w:ind w:firstLine="0"/>
        <w:rPr>
          <w:rFonts w:hint="eastAsia" w:hAnsi="宋体" w:cs="宋体"/>
          <w:color w:val="000000"/>
          <w:szCs w:val="24"/>
          <w:highlight w:val="none"/>
        </w:rPr>
      </w:pPr>
    </w:p>
    <w:p>
      <w:pPr>
        <w:pStyle w:val="31"/>
        <w:ind w:firstLine="0"/>
        <w:jc w:val="center"/>
        <w:rPr>
          <w:rFonts w:hint="eastAsia" w:hAnsi="宋体" w:cs="宋体"/>
          <w:b/>
          <w:color w:val="000000"/>
          <w:szCs w:val="24"/>
          <w:highlight w:val="none"/>
        </w:rPr>
      </w:pPr>
      <w:r>
        <w:rPr>
          <w:rFonts w:hint="eastAsia" w:hAnsi="宋体" w:cs="宋体"/>
          <w:b/>
          <w:color w:val="000000"/>
          <w:szCs w:val="24"/>
          <w:highlight w:val="none"/>
        </w:rPr>
        <w:t>第一部分 合同书</w:t>
      </w:r>
    </w:p>
    <w:p>
      <w:pPr>
        <w:pStyle w:val="31"/>
        <w:ind w:firstLine="0"/>
        <w:rPr>
          <w:rFonts w:hint="eastAsia" w:hAnsi="宋体" w:cs="宋体"/>
          <w:color w:val="000000"/>
          <w:szCs w:val="24"/>
          <w:highlight w:val="none"/>
        </w:rPr>
      </w:pPr>
    </w:p>
    <w:p>
      <w:pPr>
        <w:pStyle w:val="31"/>
        <w:ind w:firstLine="0"/>
        <w:rPr>
          <w:rFonts w:hint="eastAsia" w:hAnsi="宋体" w:cs="宋体"/>
          <w:color w:val="000000"/>
          <w:szCs w:val="24"/>
          <w:highlight w:val="none"/>
        </w:rPr>
      </w:pPr>
    </w:p>
    <w:p>
      <w:pPr>
        <w:spacing w:before="120" w:line="22" w:lineRule="atLeast"/>
        <w:rPr>
          <w:rFonts w:hint="eastAsia" w:ascii="宋体" w:hAnsi="宋体" w:cs="宋体"/>
          <w:color w:val="000000"/>
          <w:sz w:val="24"/>
          <w:highlight w:val="none"/>
        </w:rPr>
      </w:pPr>
    </w:p>
    <w:p>
      <w:pPr>
        <w:spacing w:before="120" w:line="22" w:lineRule="atLeast"/>
        <w:ind w:left="960"/>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p>
    <w:p>
      <w:pPr>
        <w:pStyle w:val="32"/>
        <w:spacing w:before="120" w:line="22" w:lineRule="atLeast"/>
        <w:rPr>
          <w:rFonts w:hint="eastAsia" w:ascii="宋体" w:hAnsi="宋体" w:eastAsia="宋体" w:cs="宋体"/>
          <w:color w:val="000000"/>
          <w:szCs w:val="24"/>
          <w:highlight w:val="none"/>
        </w:rPr>
      </w:pPr>
    </w:p>
    <w:p>
      <w:pPr>
        <w:pStyle w:val="32"/>
        <w:spacing w:before="120" w:line="22" w:lineRule="atLeast"/>
        <w:rPr>
          <w:rFonts w:hint="eastAsia" w:ascii="宋体" w:hAnsi="宋体" w:eastAsia="宋体" w:cs="宋体"/>
          <w:color w:val="000000"/>
          <w:szCs w:val="24"/>
          <w:highlight w:val="none"/>
        </w:rPr>
      </w:pPr>
    </w:p>
    <w:p>
      <w:pPr>
        <w:rPr>
          <w:rFonts w:hint="eastAsia" w:ascii="宋体" w:hAnsi="宋体" w:cs="宋体"/>
          <w:color w:val="000000"/>
          <w:highlight w:val="none"/>
        </w:rPr>
      </w:pPr>
    </w:p>
    <w:p>
      <w:pPr>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甲方：</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乙方：</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签订地：</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autoSpaceDE w:val="0"/>
        <w:autoSpaceDN w:val="0"/>
        <w:adjustRightInd w:val="0"/>
        <w:spacing w:line="600" w:lineRule="exact"/>
        <w:ind w:firstLine="640"/>
        <w:jc w:val="center"/>
        <w:rPr>
          <w:rFonts w:hint="eastAsia" w:ascii="宋体" w:hAnsi="宋体" w:cs="宋体"/>
          <w:color w:val="000000"/>
          <w:sz w:val="24"/>
          <w:highlight w:val="none"/>
        </w:rPr>
        <w:sectPr>
          <w:headerReference r:id="rId14" w:type="first"/>
          <w:footerReference r:id="rId17" w:type="first"/>
          <w:headerReference r:id="rId12" w:type="default"/>
          <w:footerReference r:id="rId15" w:type="default"/>
          <w:headerReference r:id="rId13" w:type="even"/>
          <w:footerReference r:id="rId16" w:type="even"/>
          <w:pgSz w:w="11907" w:h="16840"/>
          <w:pgMar w:top="1474" w:right="1814" w:bottom="1474" w:left="1814" w:header="851" w:footer="851" w:gutter="0"/>
          <w:cols w:space="720" w:num="1"/>
          <w:docGrid w:linePitch="462" w:charSpace="0"/>
        </w:sectPr>
      </w:pP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日</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rPr>
        <w:t>以</w:t>
      </w:r>
      <w:r>
        <w:rPr>
          <w:rFonts w:hint="eastAsia" w:ascii="宋体" w:hAnsi="宋体" w:cs="宋体"/>
          <w:color w:val="000000"/>
          <w:sz w:val="24"/>
          <w:highlight w:val="none"/>
          <w:u w:val="single"/>
        </w:rPr>
        <w:t xml:space="preserve">   （政府采购方式）  </w:t>
      </w:r>
      <w:r>
        <w:rPr>
          <w:rFonts w:hint="eastAsia" w:ascii="宋体" w:hAnsi="宋体" w:cs="宋体"/>
          <w:color w:val="000000"/>
          <w:sz w:val="24"/>
          <w:highlight w:val="none"/>
        </w:rPr>
        <w:t>对</w:t>
      </w:r>
      <w:r>
        <w:rPr>
          <w:rFonts w:hint="eastAsia" w:ascii="宋体" w:hAnsi="宋体" w:cs="宋体"/>
          <w:color w:val="000000"/>
          <w:sz w:val="24"/>
          <w:highlight w:val="none"/>
          <w:u w:val="single"/>
        </w:rPr>
        <w:t xml:space="preserve">   （同前页项目名称）   </w:t>
      </w:r>
      <w:r>
        <w:rPr>
          <w:rFonts w:hint="eastAsia" w:ascii="宋体" w:hAnsi="宋体" w:cs="宋体"/>
          <w:color w:val="000000"/>
          <w:sz w:val="24"/>
          <w:highlight w:val="none"/>
        </w:rPr>
        <w:t>项目进行了采购。经</w:t>
      </w:r>
      <w:r>
        <w:rPr>
          <w:rFonts w:hint="eastAsia" w:ascii="宋体" w:hAnsi="宋体" w:cs="宋体"/>
          <w:color w:val="000000"/>
          <w:sz w:val="24"/>
          <w:highlight w:val="none"/>
          <w:u w:val="single"/>
        </w:rPr>
        <w:t xml:space="preserve">   （相关评定主体名称）   </w:t>
      </w:r>
      <w:r>
        <w:rPr>
          <w:rFonts w:hint="eastAsia" w:ascii="宋体" w:hAnsi="宋体" w:cs="宋体"/>
          <w:color w:val="000000"/>
          <w:sz w:val="24"/>
          <w:highlight w:val="none"/>
        </w:rPr>
        <w:t>评定，</w:t>
      </w:r>
      <w:r>
        <w:rPr>
          <w:rFonts w:hint="eastAsia" w:ascii="宋体" w:hAnsi="宋体" w:cs="宋体"/>
          <w:color w:val="000000"/>
          <w:sz w:val="24"/>
          <w:highlight w:val="none"/>
          <w:u w:val="single"/>
        </w:rPr>
        <w:t xml:space="preserve">   （中标供应商名称）</w:t>
      </w:r>
      <w:r>
        <w:rPr>
          <w:rFonts w:hint="eastAsia" w:ascii="宋体" w:hAnsi="宋体" w:cs="宋体"/>
          <w:color w:val="000000"/>
          <w:sz w:val="24"/>
          <w:highlight w:val="none"/>
        </w:rPr>
        <w:t>为该项目中标供应商。现于</w:t>
      </w:r>
      <w:r>
        <w:rPr>
          <w:rFonts w:hint="eastAsia" w:ascii="宋体" w:hAnsi="宋体" w:cs="宋体"/>
          <w:color w:val="000000"/>
          <w:sz w:val="24"/>
          <w:highlight w:val="none"/>
          <w:lang w:eastAsia="zh-CN"/>
        </w:rPr>
        <w:t>成交通知书</w:t>
      </w:r>
      <w:r>
        <w:rPr>
          <w:rFonts w:hint="eastAsia" w:ascii="宋体" w:hAnsi="宋体" w:cs="宋体"/>
          <w:color w:val="000000"/>
          <w:sz w:val="24"/>
          <w:highlight w:val="none"/>
        </w:rPr>
        <w:t>发出之日起三十日内，按照采购文件确定的事项签订本合同。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lang w:val="zh-CN"/>
        </w:rPr>
        <w:t>(以下简称：甲方)和</w:t>
      </w:r>
      <w:r>
        <w:rPr>
          <w:rFonts w:hint="eastAsia" w:ascii="宋体" w:hAnsi="宋体" w:cs="宋体"/>
          <w:color w:val="000000"/>
          <w:sz w:val="24"/>
          <w:highlight w:val="none"/>
          <w:u w:val="single"/>
        </w:rPr>
        <w:t xml:space="preserve">   （中标供应商名称）   </w:t>
      </w:r>
      <w:r>
        <w:rPr>
          <w:rFonts w:hint="eastAsia" w:ascii="宋体" w:hAnsi="宋体" w:cs="宋体"/>
          <w:color w:val="000000"/>
          <w:sz w:val="24"/>
          <w:highlight w:val="none"/>
          <w:lang w:val="zh-CN"/>
        </w:rPr>
        <w:t>(以下简称：乙方)协商一致，约定以下合同</w:t>
      </w:r>
      <w:r>
        <w:rPr>
          <w:rFonts w:hint="eastAsia" w:ascii="宋体" w:hAnsi="宋体" w:cs="宋体"/>
          <w:color w:val="000000"/>
          <w:sz w:val="24"/>
          <w:highlight w:val="none"/>
        </w:rPr>
        <w:t>条款，以兹共同遵守、全面履行。</w:t>
      </w:r>
    </w:p>
    <w:p>
      <w:pPr>
        <w:spacing w:line="560" w:lineRule="exact"/>
        <w:ind w:firstLine="482" w:firstLineChars="200"/>
        <w:outlineLvl w:val="0"/>
        <w:rPr>
          <w:rFonts w:hint="eastAsia" w:ascii="宋体" w:hAnsi="宋体" w:cs="宋体"/>
          <w:b/>
          <w:color w:val="000000"/>
          <w:sz w:val="24"/>
          <w:highlight w:val="none"/>
        </w:rPr>
      </w:pPr>
      <w:bookmarkStart w:id="260" w:name="_Toc2232"/>
      <w:bookmarkStart w:id="261" w:name="_Toc3029"/>
      <w:bookmarkStart w:id="262" w:name="_Toc24059"/>
      <w:r>
        <w:rPr>
          <w:rFonts w:hint="eastAsia" w:ascii="宋体" w:hAnsi="宋体" w:cs="宋体"/>
          <w:b/>
          <w:color w:val="000000"/>
          <w:sz w:val="24"/>
          <w:highlight w:val="none"/>
        </w:rPr>
        <w:t>1.1 合同组成部分</w:t>
      </w:r>
      <w:bookmarkEnd w:id="260"/>
      <w:bookmarkEnd w:id="261"/>
      <w:bookmarkEnd w:id="262"/>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1.1.1 本合同及其补充合同、变更协议；</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1.1.2 </w:t>
      </w:r>
      <w:r>
        <w:rPr>
          <w:rFonts w:hint="eastAsia" w:ascii="宋体" w:hAnsi="宋体" w:cs="宋体"/>
          <w:color w:val="000000"/>
          <w:sz w:val="24"/>
          <w:highlight w:val="none"/>
          <w:lang w:eastAsia="zh-CN"/>
        </w:rPr>
        <w:t>成交通知书</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1.1.3 </w:t>
      </w:r>
      <w:r>
        <w:rPr>
          <w:rFonts w:hint="eastAsia" w:ascii="宋体" w:hAnsi="宋体" w:cs="宋体"/>
          <w:color w:val="000000"/>
          <w:sz w:val="24"/>
          <w:highlight w:val="none"/>
          <w:lang w:eastAsia="zh-CN"/>
        </w:rPr>
        <w:t>响应文件</w:t>
      </w:r>
      <w:r>
        <w:rPr>
          <w:rFonts w:hint="eastAsia" w:ascii="宋体" w:hAnsi="宋体" w:cs="宋体"/>
          <w:color w:val="000000"/>
          <w:sz w:val="24"/>
          <w:highlight w:val="none"/>
        </w:rPr>
        <w:t>（含澄清或者说明文件）；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1.1.4 </w:t>
      </w:r>
      <w:r>
        <w:rPr>
          <w:rFonts w:hint="eastAsia" w:ascii="宋体" w:hAnsi="宋体" w:cs="宋体"/>
          <w:color w:val="000000"/>
          <w:sz w:val="24"/>
          <w:highlight w:val="none"/>
          <w:lang w:eastAsia="zh-CN"/>
        </w:rPr>
        <w:t>询价文件</w:t>
      </w:r>
      <w:r>
        <w:rPr>
          <w:rFonts w:hint="eastAsia" w:ascii="宋体" w:hAnsi="宋体" w:cs="宋体"/>
          <w:color w:val="000000"/>
          <w:sz w:val="24"/>
          <w:highlight w:val="none"/>
        </w:rPr>
        <w:t>（含澄清或者修改文件）；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1.1.5 其他相关采购文件。</w:t>
      </w:r>
    </w:p>
    <w:p>
      <w:pPr>
        <w:spacing w:line="560" w:lineRule="exact"/>
        <w:ind w:firstLine="482" w:firstLineChars="200"/>
        <w:outlineLvl w:val="0"/>
        <w:rPr>
          <w:rFonts w:hint="eastAsia" w:ascii="宋体" w:hAnsi="宋体" w:cs="宋体"/>
          <w:b/>
          <w:color w:val="000000"/>
          <w:sz w:val="24"/>
          <w:highlight w:val="none"/>
        </w:rPr>
      </w:pPr>
      <w:bookmarkStart w:id="263" w:name="_Toc27126"/>
      <w:bookmarkStart w:id="264" w:name="_Toc21295"/>
      <w:bookmarkStart w:id="265" w:name="_Toc24300"/>
      <w:r>
        <w:rPr>
          <w:rFonts w:hint="eastAsia" w:ascii="宋体" w:hAnsi="宋体" w:cs="宋体"/>
          <w:b/>
          <w:color w:val="000000"/>
          <w:sz w:val="24"/>
          <w:highlight w:val="none"/>
        </w:rPr>
        <w:t>1.2 货物</w:t>
      </w:r>
      <w:bookmarkEnd w:id="263"/>
      <w:bookmarkEnd w:id="264"/>
      <w:bookmarkEnd w:id="265"/>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1.2.1 货物名称：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1.2.2 货物数量：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1.2.3 货物质量：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266" w:name="_Toc21551"/>
      <w:bookmarkStart w:id="267" w:name="_Toc23292"/>
      <w:bookmarkStart w:id="268" w:name="_Toc21631"/>
      <w:r>
        <w:rPr>
          <w:rFonts w:hint="eastAsia" w:ascii="宋体" w:hAnsi="宋体" w:cs="宋体"/>
          <w:b/>
          <w:color w:val="000000"/>
          <w:sz w:val="24"/>
          <w:highlight w:val="none"/>
        </w:rPr>
        <w:t>1.3 价款</w:t>
      </w:r>
      <w:bookmarkEnd w:id="266"/>
      <w:bookmarkEnd w:id="267"/>
      <w:bookmarkEnd w:id="26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本合同总价为：￥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元人民币）。</w:t>
      </w:r>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分项价格：</w:t>
      </w:r>
    </w:p>
    <w:tbl>
      <w:tblPr>
        <w:tblStyle w:val="24"/>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3"/>
              <w:spacing w:line="560" w:lineRule="exact"/>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序号</w:t>
            </w:r>
          </w:p>
        </w:tc>
        <w:tc>
          <w:tcPr>
            <w:tcW w:w="340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分项名称</w:t>
            </w:r>
          </w:p>
        </w:tc>
        <w:tc>
          <w:tcPr>
            <w:tcW w:w="2552" w:type="dxa"/>
            <w:vAlign w:val="center"/>
          </w:tcPr>
          <w:p>
            <w:pPr>
              <w:pStyle w:val="33"/>
              <w:spacing w:line="560" w:lineRule="exact"/>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总价</w:t>
            </w:r>
          </w:p>
        </w:tc>
        <w:tc>
          <w:tcPr>
            <w:tcW w:w="2552" w:type="dxa"/>
            <w:vAlign w:val="center"/>
          </w:tcPr>
          <w:p>
            <w:pPr>
              <w:pStyle w:val="33"/>
              <w:spacing w:line="560" w:lineRule="exact"/>
              <w:ind w:firstLine="200"/>
              <w:jc w:val="center"/>
              <w:rPr>
                <w:rFonts w:hint="eastAsia" w:hAnsi="宋体" w:cs="宋体"/>
                <w:color w:val="000000"/>
                <w:kern w:val="2"/>
                <w:sz w:val="24"/>
                <w:szCs w:val="24"/>
                <w:highlight w:val="none"/>
                <w:lang w:val="en-US" w:eastAsia="zh-CN"/>
              </w:rPr>
            </w:pPr>
          </w:p>
        </w:tc>
      </w:tr>
    </w:tbl>
    <w:p>
      <w:pPr>
        <w:spacing w:line="560" w:lineRule="exact"/>
        <w:ind w:firstLine="482" w:firstLineChars="200"/>
        <w:outlineLvl w:val="0"/>
        <w:rPr>
          <w:rFonts w:hint="eastAsia" w:ascii="宋体" w:hAnsi="宋体" w:cs="宋体"/>
          <w:b/>
          <w:color w:val="000000"/>
          <w:sz w:val="24"/>
          <w:highlight w:val="none"/>
        </w:rPr>
      </w:pPr>
      <w:bookmarkStart w:id="269" w:name="_Toc10340"/>
      <w:bookmarkStart w:id="270" w:name="_Toc22618"/>
      <w:bookmarkStart w:id="271" w:name="_Toc1814"/>
      <w:r>
        <w:rPr>
          <w:rFonts w:hint="eastAsia" w:ascii="宋体" w:hAnsi="宋体" w:cs="宋体"/>
          <w:b/>
          <w:color w:val="000000"/>
          <w:sz w:val="24"/>
          <w:highlight w:val="none"/>
        </w:rPr>
        <w:t>1.4 付款方式和发票开具方式</w:t>
      </w:r>
      <w:bookmarkEnd w:id="269"/>
      <w:bookmarkEnd w:id="270"/>
      <w:bookmarkEnd w:id="27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1.4.1 付款方式：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1.4.2 发票开具方式：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272" w:name="_Toc19304"/>
      <w:bookmarkStart w:id="273" w:name="_Toc2846"/>
      <w:bookmarkStart w:id="274" w:name="_Toc32071"/>
      <w:r>
        <w:rPr>
          <w:rFonts w:hint="eastAsia" w:ascii="宋体" w:hAnsi="宋体" w:cs="宋体"/>
          <w:b/>
          <w:color w:val="000000"/>
          <w:sz w:val="24"/>
          <w:highlight w:val="none"/>
        </w:rPr>
        <w:t>1.5 货物交付期限、地点和方式</w:t>
      </w:r>
      <w:bookmarkEnd w:id="272"/>
      <w:bookmarkEnd w:id="273"/>
      <w:bookmarkEnd w:id="274"/>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1.5.1 交付期限：</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1.5.2 交付地点：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1.5.3 交付方式：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275" w:name="_Toc19554"/>
      <w:bookmarkStart w:id="276" w:name="_Toc21423"/>
      <w:bookmarkStart w:id="277" w:name="_Toc27250"/>
      <w:r>
        <w:rPr>
          <w:rFonts w:hint="eastAsia" w:ascii="宋体" w:hAnsi="宋体" w:cs="宋体"/>
          <w:b/>
          <w:color w:val="000000"/>
          <w:sz w:val="24"/>
          <w:highlight w:val="none"/>
        </w:rPr>
        <w:t>1.6 违约责任</w:t>
      </w:r>
      <w:bookmarkEnd w:id="275"/>
      <w:bookmarkEnd w:id="276"/>
      <w:bookmarkEnd w:id="277"/>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sz w:val="24"/>
          <w:highlight w:val="none"/>
        </w:rPr>
      </w:pPr>
      <w:bookmarkStart w:id="278" w:name="_Toc16021"/>
      <w:bookmarkStart w:id="279" w:name="_Toc28375"/>
      <w:bookmarkStart w:id="280" w:name="_Toc15583"/>
      <w:r>
        <w:rPr>
          <w:rFonts w:hint="eastAsia" w:ascii="宋体" w:hAnsi="宋体" w:cs="宋体"/>
          <w:b/>
          <w:color w:val="000000"/>
          <w:sz w:val="24"/>
          <w:highlight w:val="none"/>
        </w:rPr>
        <w:t>1.7 合同争议的解决</w:t>
      </w:r>
      <w:bookmarkEnd w:id="278"/>
      <w:bookmarkEnd w:id="279"/>
      <w:bookmarkEnd w:id="280"/>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种方式解决：</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1.7.1 将争议提交</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仲裁委员会依申请仲裁时其现行有效的仲裁规则裁决；</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1.7.2 向</w:t>
      </w:r>
      <w:r>
        <w:rPr>
          <w:rFonts w:hint="eastAsia" w:ascii="宋体" w:hAnsi="宋体" w:cs="宋体"/>
          <w:color w:val="000000"/>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000000"/>
          <w:sz w:val="24"/>
          <w:highlight w:val="none"/>
        </w:rPr>
        <w:t>人民法院起诉。</w:t>
      </w:r>
    </w:p>
    <w:p>
      <w:pPr>
        <w:spacing w:line="560" w:lineRule="exact"/>
        <w:ind w:firstLine="482" w:firstLineChars="200"/>
        <w:outlineLvl w:val="0"/>
        <w:rPr>
          <w:rFonts w:hint="eastAsia" w:ascii="宋体" w:hAnsi="宋体" w:cs="宋体"/>
          <w:b/>
          <w:color w:val="000000"/>
          <w:sz w:val="24"/>
          <w:highlight w:val="none"/>
        </w:rPr>
      </w:pPr>
      <w:bookmarkStart w:id="281" w:name="_Toc15322"/>
      <w:bookmarkStart w:id="282" w:name="_Toc11173"/>
      <w:bookmarkStart w:id="283" w:name="_Toc7245"/>
      <w:r>
        <w:rPr>
          <w:rFonts w:hint="eastAsia" w:ascii="宋体" w:hAnsi="宋体" w:cs="宋体"/>
          <w:b/>
          <w:color w:val="000000"/>
          <w:sz w:val="24"/>
          <w:highlight w:val="none"/>
        </w:rPr>
        <w:t>1.8 合同生效</w:t>
      </w:r>
      <w:bookmarkEnd w:id="281"/>
      <w:bookmarkEnd w:id="282"/>
      <w:bookmarkEnd w:id="283"/>
    </w:p>
    <w:p>
      <w:pPr>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本合同自双方当事人盖章或者签字时生效。</w:t>
      </w:r>
    </w:p>
    <w:p>
      <w:pPr>
        <w:autoSpaceDE w:val="0"/>
        <w:autoSpaceDN w:val="0"/>
        <w:adjustRightInd w:val="0"/>
        <w:spacing w:line="560" w:lineRule="exact"/>
        <w:rPr>
          <w:rFonts w:hint="eastAsia" w:ascii="宋体" w:hAnsi="宋体" w:cs="宋体"/>
          <w:color w:val="000000"/>
          <w:sz w:val="24"/>
          <w:highlight w:val="none"/>
          <w:lang w:val="zh-CN"/>
        </w:rPr>
      </w:pP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b/>
          <w:color w:val="000000"/>
          <w:sz w:val="24"/>
          <w:highlight w:val="none"/>
          <w:lang w:val="zh-CN"/>
        </w:rPr>
        <w:t>甲方</w:t>
      </w:r>
      <w:r>
        <w:rPr>
          <w:rFonts w:hint="eastAsia" w:ascii="宋体" w:hAnsi="宋体" w:cs="宋体"/>
          <w:color w:val="000000"/>
          <w:sz w:val="24"/>
          <w:highlight w:val="none"/>
          <w:lang w:val="zh-CN"/>
        </w:rPr>
        <w:t xml:space="preserve">：                             </w:t>
      </w:r>
      <w:r>
        <w:rPr>
          <w:rFonts w:hint="eastAsia" w:ascii="宋体" w:hAnsi="宋体" w:cs="宋体"/>
          <w:b/>
          <w:color w:val="000000"/>
          <w:sz w:val="24"/>
          <w:highlight w:val="none"/>
          <w:lang w:val="zh-CN"/>
        </w:rPr>
        <w:t xml:space="preserve">      乙方</w:t>
      </w:r>
      <w:r>
        <w:rPr>
          <w:rFonts w:hint="eastAsia" w:ascii="宋体" w:hAnsi="宋体" w:cs="宋体"/>
          <w:color w:val="000000"/>
          <w:sz w:val="24"/>
          <w:highlight w:val="none"/>
          <w:lang w:val="zh-CN"/>
        </w:rPr>
        <w:t>：</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cs="宋体"/>
          <w:color w:val="000000"/>
          <w:sz w:val="24"/>
          <w:highlight w:val="none"/>
          <w:lang w:val="zh-CN"/>
        </w:rPr>
      </w:pP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住所：                                   住所：</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法定代表人或                             法定代表人</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授权代表（签字）：                        或授权代表（签字）: </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联系人：                                 联系人：</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约定送达地址：                           约定送达地址：</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邮政编码：                               邮政编码：</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电话:                                    电话: </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传真:                                    传真:</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lang w:val="zh-CN"/>
        </w:rPr>
        <w:t>电子邮箱：                               电子邮箱：</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开户银行：                               开户银行： </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开户名称：                               开户名称： </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开户账号：</w:t>
      </w:r>
      <w:r>
        <w:rPr>
          <w:rFonts w:hint="eastAsia" w:ascii="宋体" w:hAnsi="宋体" w:cs="宋体"/>
          <w:color w:val="000000"/>
          <w:sz w:val="24"/>
          <w:highlight w:val="none"/>
          <w:lang w:val="zh-CN"/>
        </w:rPr>
        <w:t xml:space="preserve">                               </w:t>
      </w:r>
      <w:r>
        <w:rPr>
          <w:rFonts w:hint="eastAsia" w:ascii="宋体" w:hAnsi="宋体" w:cs="宋体"/>
          <w:color w:val="000000"/>
          <w:sz w:val="24"/>
          <w:highlight w:val="none"/>
        </w:rPr>
        <w:t>开户账号：</w:t>
      </w:r>
    </w:p>
    <w:p>
      <w:pPr>
        <w:widowControl/>
        <w:spacing w:line="560" w:lineRule="exact"/>
        <w:jc w:val="left"/>
        <w:rPr>
          <w:rFonts w:hint="eastAsia" w:ascii="宋体" w:hAnsi="宋体" w:cs="宋体"/>
          <w:b/>
          <w:color w:val="000000"/>
          <w:kern w:val="0"/>
          <w:sz w:val="24"/>
          <w:highlight w:val="none"/>
        </w:rPr>
      </w:pPr>
      <w:bookmarkStart w:id="284" w:name="_Toc331685783"/>
    </w:p>
    <w:p>
      <w:pPr>
        <w:pStyle w:val="31"/>
        <w:spacing w:line="560" w:lineRule="exact"/>
        <w:ind w:firstLine="200"/>
        <w:jc w:val="center"/>
        <w:rPr>
          <w:rFonts w:hint="eastAsia" w:hAnsi="宋体" w:cs="宋体"/>
          <w:b/>
          <w:color w:val="000000"/>
          <w:szCs w:val="24"/>
          <w:highlight w:val="none"/>
        </w:rPr>
      </w:pPr>
    </w:p>
    <w:p>
      <w:pPr>
        <w:pStyle w:val="31"/>
        <w:spacing w:line="560" w:lineRule="exact"/>
        <w:ind w:firstLine="200"/>
        <w:jc w:val="center"/>
        <w:rPr>
          <w:rFonts w:hint="eastAsia" w:hAnsi="宋体" w:cs="宋体"/>
          <w:b/>
          <w:color w:val="000000"/>
          <w:szCs w:val="24"/>
          <w:highlight w:val="none"/>
        </w:rPr>
      </w:pPr>
    </w:p>
    <w:p>
      <w:pPr>
        <w:pStyle w:val="31"/>
        <w:spacing w:line="560" w:lineRule="exact"/>
        <w:ind w:firstLine="200"/>
        <w:jc w:val="center"/>
        <w:rPr>
          <w:rFonts w:hint="eastAsia" w:hAnsi="宋体" w:cs="宋体"/>
          <w:b/>
          <w:color w:val="000000"/>
          <w:szCs w:val="24"/>
          <w:highlight w:val="none"/>
        </w:rPr>
      </w:pPr>
      <w:r>
        <w:rPr>
          <w:rFonts w:hint="eastAsia" w:hAnsi="宋体" w:cs="宋体"/>
          <w:b/>
          <w:color w:val="000000"/>
          <w:szCs w:val="24"/>
          <w:highlight w:val="none"/>
        </w:rPr>
        <w:t>第二部分 合同一般条款</w:t>
      </w:r>
      <w:bookmarkEnd w:id="284"/>
    </w:p>
    <w:p>
      <w:pPr>
        <w:spacing w:line="560" w:lineRule="exact"/>
        <w:ind w:firstLine="482" w:firstLineChars="200"/>
        <w:outlineLvl w:val="0"/>
        <w:rPr>
          <w:rFonts w:hint="eastAsia" w:ascii="宋体" w:hAnsi="宋体" w:cs="宋体"/>
          <w:b/>
          <w:color w:val="000000"/>
          <w:sz w:val="24"/>
          <w:highlight w:val="none"/>
        </w:rPr>
      </w:pPr>
      <w:bookmarkStart w:id="285" w:name="_Ref467379205"/>
      <w:bookmarkStart w:id="286" w:name="_Ref467378404"/>
      <w:bookmarkStart w:id="287" w:name="_Ref467378499"/>
      <w:bookmarkStart w:id="288" w:name="_Toc19614"/>
      <w:bookmarkStart w:id="289" w:name="_Toc28763"/>
      <w:bookmarkStart w:id="290" w:name="_Toc487900349"/>
      <w:bookmarkStart w:id="291" w:name="_Ref467379214"/>
      <w:bookmarkStart w:id="292" w:name="_Toc279701240"/>
      <w:bookmarkStart w:id="293" w:name="_Ref467378463"/>
      <w:bookmarkStart w:id="294" w:name="_Ref467379225"/>
      <w:bookmarkStart w:id="295" w:name="_Toc16917"/>
      <w:bookmarkStart w:id="296" w:name="_Ref467379094"/>
      <w:bookmarkStart w:id="297" w:name="_Ref467379101"/>
      <w:bookmarkStart w:id="298" w:name="_Ref467379109"/>
      <w:bookmarkStart w:id="299" w:name="_Ref467379195"/>
      <w:bookmarkStart w:id="300" w:name="_Toc259093669"/>
      <w:r>
        <w:rPr>
          <w:rFonts w:hint="eastAsia" w:ascii="宋体" w:hAnsi="宋体" w:cs="宋体"/>
          <w:b/>
          <w:color w:val="000000"/>
          <w:sz w:val="24"/>
          <w:highlight w:val="none"/>
        </w:rPr>
        <w:t>2.1 定义</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本合同中的下列词语应按以下内容进行解释：</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color w:val="000000"/>
          <w:sz w:val="24"/>
          <w:highlight w:val="none"/>
        </w:rPr>
      </w:pPr>
      <w:bookmarkStart w:id="301" w:name="_Ref467378840"/>
      <w:r>
        <w:rPr>
          <w:rFonts w:hint="eastAsia" w:ascii="宋体" w:hAnsi="宋体" w:cs="宋体"/>
          <w:color w:val="000000"/>
          <w:sz w:val="24"/>
          <w:highlight w:val="none"/>
        </w:rPr>
        <w:t>2.1.4 “甲方”系指与中标供应商签署合同的采购人</w:t>
      </w:r>
      <w:bookmarkEnd w:id="301"/>
      <w:r>
        <w:rPr>
          <w:rFonts w:hint="eastAsia" w:ascii="宋体" w:hAnsi="宋体" w:cs="宋体"/>
          <w:color w:val="000000"/>
          <w:sz w:val="24"/>
          <w:highlight w:val="none"/>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sz w:val="24"/>
          <w:highlight w:val="none"/>
        </w:rPr>
      </w:pPr>
      <w:bookmarkStart w:id="302" w:name="_Ref467379400"/>
      <w:r>
        <w:rPr>
          <w:rFonts w:hint="eastAsia" w:ascii="宋体" w:hAnsi="宋体" w:cs="宋体"/>
          <w:color w:val="000000"/>
          <w:sz w:val="24"/>
          <w:highlight w:val="none"/>
        </w:rPr>
        <w:t>2.1.5 “乙方”系指根据合同约定交付货物的中标供应商</w:t>
      </w:r>
      <w:bookmarkEnd w:id="302"/>
      <w:r>
        <w:rPr>
          <w:rFonts w:hint="eastAsia" w:ascii="宋体" w:hAnsi="宋体" w:cs="宋体"/>
          <w:color w:val="000000"/>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sz w:val="24"/>
          <w:highlight w:val="none"/>
        </w:rPr>
      </w:pPr>
      <w:bookmarkStart w:id="303" w:name="_Ref467379436"/>
      <w:r>
        <w:rPr>
          <w:rFonts w:hint="eastAsia" w:ascii="宋体" w:hAnsi="宋体" w:cs="宋体"/>
          <w:color w:val="000000"/>
          <w:sz w:val="24"/>
          <w:highlight w:val="none"/>
        </w:rPr>
        <w:t>2.1.6 “现场”系指合同约定货物将要运至或者安装的地点。</w:t>
      </w:r>
      <w:bookmarkEnd w:id="303"/>
    </w:p>
    <w:p>
      <w:pPr>
        <w:spacing w:line="560" w:lineRule="exact"/>
        <w:ind w:firstLine="482" w:firstLineChars="200"/>
        <w:outlineLvl w:val="0"/>
        <w:rPr>
          <w:rFonts w:hint="eastAsia" w:ascii="宋体" w:hAnsi="宋体" w:cs="宋体"/>
          <w:b/>
          <w:color w:val="000000"/>
          <w:sz w:val="24"/>
          <w:highlight w:val="none"/>
        </w:rPr>
      </w:pPr>
      <w:bookmarkStart w:id="304" w:name="_Toc279701241"/>
      <w:bookmarkStart w:id="305" w:name="_Toc32504"/>
      <w:bookmarkStart w:id="306" w:name="_Toc259093670"/>
      <w:bookmarkStart w:id="307" w:name="_Toc27635"/>
      <w:bookmarkStart w:id="308" w:name="_Toc13336"/>
      <w:bookmarkStart w:id="309" w:name="_Toc487900350"/>
      <w:r>
        <w:rPr>
          <w:rFonts w:hint="eastAsia" w:ascii="宋体" w:hAnsi="宋体" w:cs="宋体"/>
          <w:b/>
          <w:color w:val="000000"/>
          <w:sz w:val="24"/>
          <w:highlight w:val="none"/>
        </w:rPr>
        <w:t>2.2 技术规范</w:t>
      </w:r>
      <w:bookmarkEnd w:id="304"/>
      <w:bookmarkEnd w:id="305"/>
      <w:bookmarkEnd w:id="306"/>
      <w:bookmarkEnd w:id="307"/>
      <w:bookmarkEnd w:id="308"/>
      <w:bookmarkEnd w:id="30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sz w:val="24"/>
          <w:highlight w:val="none"/>
        </w:rPr>
      </w:pPr>
      <w:bookmarkStart w:id="310" w:name="_Toc31634"/>
      <w:bookmarkStart w:id="311" w:name="_Toc487900351"/>
      <w:bookmarkStart w:id="312" w:name="_Toc279701242"/>
      <w:bookmarkStart w:id="313" w:name="_Toc27853"/>
      <w:bookmarkStart w:id="314" w:name="_Toc259093671"/>
      <w:bookmarkStart w:id="315" w:name="_Toc9829"/>
      <w:r>
        <w:rPr>
          <w:rFonts w:hint="eastAsia" w:ascii="宋体" w:hAnsi="宋体" w:cs="宋体"/>
          <w:b/>
          <w:color w:val="000000"/>
          <w:sz w:val="24"/>
          <w:highlight w:val="none"/>
        </w:rPr>
        <w:t>2.3 知识产权</w:t>
      </w:r>
      <w:bookmarkEnd w:id="310"/>
      <w:bookmarkEnd w:id="311"/>
      <w:bookmarkEnd w:id="312"/>
      <w:bookmarkEnd w:id="313"/>
      <w:bookmarkEnd w:id="314"/>
      <w:bookmarkEnd w:id="31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2.3.2具有知识产权的计算机软件等货物的知识产权归属，详见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16" w:name="_Toc4194"/>
      <w:bookmarkStart w:id="317" w:name="_Toc29149"/>
      <w:bookmarkStart w:id="318" w:name="_Toc11932"/>
      <w:r>
        <w:rPr>
          <w:rFonts w:hint="eastAsia" w:ascii="宋体" w:hAnsi="宋体" w:cs="宋体"/>
          <w:b/>
          <w:color w:val="000000"/>
          <w:sz w:val="24"/>
          <w:highlight w:val="none"/>
        </w:rPr>
        <w:t>2.4 包装和装运</w:t>
      </w:r>
      <w:bookmarkEnd w:id="316"/>
      <w:bookmarkEnd w:id="317"/>
      <w:bookmarkEnd w:id="31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2.4.1除</w:t>
      </w:r>
      <w:r>
        <w:rPr>
          <w:rFonts w:hint="eastAsia" w:ascii="宋体" w:hAnsi="宋体" w:cs="宋体"/>
          <w:b w:val="0"/>
          <w:bCs/>
          <w:i/>
          <w:color w:val="000000"/>
          <w:sz w:val="24"/>
          <w:highlight w:val="none"/>
          <w:u w:val="single"/>
        </w:rPr>
        <w:t>合同专用条款</w:t>
      </w:r>
      <w:r>
        <w:rPr>
          <w:rFonts w:hint="eastAsia" w:ascii="宋体" w:hAnsi="宋体" w:cs="宋体"/>
          <w:color w:val="000000"/>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2.4.2 装运货物的要求和通知，详见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19" w:name="_Ref467378591"/>
      <w:bookmarkStart w:id="320" w:name="_Ref467379527"/>
      <w:bookmarkStart w:id="321" w:name="_Toc487900354"/>
      <w:bookmarkStart w:id="322" w:name="_Ref467379536"/>
      <w:bookmarkStart w:id="323" w:name="_Toc279701245"/>
      <w:bookmarkStart w:id="324" w:name="_Ref467379542"/>
      <w:bookmarkStart w:id="325" w:name="_Toc259093674"/>
      <w:bookmarkStart w:id="326" w:name="_Ref467378541"/>
      <w:bookmarkStart w:id="327" w:name="_Toc19074"/>
      <w:bookmarkStart w:id="328" w:name="_Toc30272"/>
      <w:bookmarkStart w:id="329" w:name="_Toc26182"/>
      <w:r>
        <w:rPr>
          <w:rFonts w:hint="eastAsia" w:ascii="宋体" w:hAnsi="宋体" w:cs="宋体"/>
          <w:b/>
          <w:color w:val="000000"/>
          <w:sz w:val="24"/>
          <w:highlight w:val="none"/>
        </w:rPr>
        <w:t>2.</w:t>
      </w:r>
      <w:bookmarkEnd w:id="319"/>
      <w:bookmarkEnd w:id="320"/>
      <w:bookmarkEnd w:id="321"/>
      <w:bookmarkEnd w:id="322"/>
      <w:bookmarkEnd w:id="323"/>
      <w:bookmarkEnd w:id="324"/>
      <w:bookmarkEnd w:id="325"/>
      <w:bookmarkEnd w:id="326"/>
      <w:r>
        <w:rPr>
          <w:rFonts w:hint="eastAsia" w:ascii="宋体" w:hAnsi="宋体" w:cs="宋体"/>
          <w:b/>
          <w:color w:val="000000"/>
          <w:sz w:val="24"/>
          <w:highlight w:val="none"/>
        </w:rPr>
        <w:t>5 履约检查和问题反馈</w:t>
      </w:r>
      <w:bookmarkEnd w:id="327"/>
      <w:bookmarkEnd w:id="328"/>
      <w:bookmarkEnd w:id="329"/>
    </w:p>
    <w:p>
      <w:pPr>
        <w:spacing w:line="560" w:lineRule="exact"/>
        <w:ind w:firstLine="480" w:firstLineChars="200"/>
        <w:rPr>
          <w:rFonts w:hint="eastAsia" w:ascii="宋体" w:hAnsi="宋体" w:cs="宋体"/>
          <w:color w:val="000000"/>
          <w:sz w:val="24"/>
          <w:highlight w:val="none"/>
        </w:rPr>
      </w:pPr>
      <w:bookmarkStart w:id="330" w:name="_Ref467379657"/>
      <w:r>
        <w:rPr>
          <w:rFonts w:hint="eastAsia" w:ascii="宋体" w:hAnsi="宋体" w:cs="宋体"/>
          <w:color w:val="000000"/>
          <w:sz w:val="24"/>
          <w:highlight w:val="none"/>
        </w:rPr>
        <w:t>2.5.1</w:t>
      </w:r>
      <w:bookmarkEnd w:id="330"/>
      <w:bookmarkStart w:id="331" w:name="_Toc186431854"/>
      <w:bookmarkStart w:id="332" w:name="_Toc259093676"/>
      <w:bookmarkStart w:id="333" w:name="_Toc279701247"/>
      <w:bookmarkStart w:id="334" w:name="_Toc487900357"/>
      <w:bookmarkStart w:id="335" w:name="_Ref467379807"/>
      <w:bookmarkStart w:id="336" w:name="_Ref467379793"/>
      <w:r>
        <w:rPr>
          <w:rFonts w:hint="eastAsia" w:ascii="宋体" w:hAnsi="宋体" w:cs="宋体"/>
          <w:color w:val="000000"/>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2.5.2 合同履行期间，甲方有权将履行过程中出现的问题反馈给乙方，双方当事人应以书面形式约定需要完善和改进的内容</w:t>
      </w:r>
      <w:bookmarkEnd w:id="331"/>
      <w:bookmarkStart w:id="337" w:name="_Toc186431855"/>
      <w:r>
        <w:rPr>
          <w:rFonts w:hint="eastAsia" w:ascii="宋体" w:hAnsi="宋体" w:cs="宋体"/>
          <w:color w:val="000000"/>
          <w:sz w:val="24"/>
          <w:highlight w:val="none"/>
        </w:rPr>
        <w:t>。</w:t>
      </w:r>
    </w:p>
    <w:bookmarkEnd w:id="337"/>
    <w:p>
      <w:pPr>
        <w:spacing w:line="560" w:lineRule="exact"/>
        <w:ind w:firstLine="482" w:firstLineChars="200"/>
        <w:outlineLvl w:val="0"/>
        <w:rPr>
          <w:rFonts w:hint="eastAsia" w:ascii="宋体" w:hAnsi="宋体" w:cs="宋体"/>
          <w:b/>
          <w:color w:val="000000"/>
          <w:sz w:val="24"/>
          <w:highlight w:val="none"/>
        </w:rPr>
      </w:pPr>
      <w:bookmarkStart w:id="338" w:name="_Toc7836"/>
      <w:bookmarkStart w:id="339" w:name="_Toc28451"/>
      <w:bookmarkStart w:id="340" w:name="_Toc19219"/>
      <w:r>
        <w:rPr>
          <w:rFonts w:hint="eastAsia" w:ascii="宋体" w:hAnsi="宋体" w:cs="宋体"/>
          <w:b/>
          <w:color w:val="000000"/>
          <w:sz w:val="24"/>
          <w:highlight w:val="none"/>
        </w:rPr>
        <w:t>2.6 结算方式和付款条件</w:t>
      </w:r>
      <w:bookmarkEnd w:id="332"/>
      <w:bookmarkEnd w:id="333"/>
      <w:bookmarkEnd w:id="334"/>
      <w:bookmarkEnd w:id="335"/>
      <w:bookmarkEnd w:id="336"/>
      <w:bookmarkEnd w:id="338"/>
      <w:bookmarkEnd w:id="339"/>
      <w:bookmarkEnd w:id="340"/>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41" w:name="_Toc487900358"/>
      <w:bookmarkStart w:id="342" w:name="_Ref467379923"/>
      <w:bookmarkStart w:id="343" w:name="_Ref467379863"/>
      <w:bookmarkStart w:id="344" w:name="_Toc279701248"/>
      <w:bookmarkStart w:id="345" w:name="_Toc259093677"/>
      <w:bookmarkStart w:id="346" w:name="_Ref467379852"/>
      <w:bookmarkStart w:id="347" w:name="_Toc3225"/>
      <w:bookmarkStart w:id="348" w:name="_Toc16110"/>
      <w:bookmarkStart w:id="349" w:name="_Toc774"/>
      <w:r>
        <w:rPr>
          <w:rFonts w:hint="eastAsia" w:ascii="宋体" w:hAnsi="宋体" w:cs="宋体"/>
          <w:b/>
          <w:color w:val="000000"/>
          <w:sz w:val="24"/>
          <w:highlight w:val="none"/>
        </w:rPr>
        <w:t>2.7 技术资料</w:t>
      </w:r>
      <w:bookmarkEnd w:id="341"/>
      <w:bookmarkEnd w:id="342"/>
      <w:bookmarkEnd w:id="343"/>
      <w:bookmarkEnd w:id="344"/>
      <w:bookmarkEnd w:id="345"/>
      <w:bookmarkEnd w:id="346"/>
      <w:r>
        <w:rPr>
          <w:rFonts w:hint="eastAsia" w:ascii="宋体" w:hAnsi="宋体" w:cs="宋体"/>
          <w:b/>
          <w:color w:val="000000"/>
          <w:sz w:val="24"/>
          <w:highlight w:val="none"/>
        </w:rPr>
        <w:t>和保密义务</w:t>
      </w:r>
      <w:bookmarkEnd w:id="347"/>
      <w:bookmarkEnd w:id="348"/>
      <w:bookmarkEnd w:id="34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2.7.2 乙方有义务妥善保管和保护由甲方提供的前款信息和资料等；</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sz w:val="24"/>
          <w:highlight w:val="none"/>
        </w:rPr>
      </w:pPr>
      <w:bookmarkStart w:id="350" w:name="_Toc7860"/>
      <w:r>
        <w:rPr>
          <w:rFonts w:hint="eastAsia" w:ascii="宋体" w:hAnsi="宋体" w:cs="宋体"/>
          <w:b/>
          <w:color w:val="000000"/>
          <w:sz w:val="24"/>
          <w:highlight w:val="none"/>
        </w:rPr>
        <w:t>2.8 质量保证</w:t>
      </w:r>
      <w:bookmarkEnd w:id="350"/>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cs="宋体"/>
          <w:b/>
          <w:color w:val="000000"/>
          <w:sz w:val="24"/>
          <w:highlight w:val="none"/>
        </w:rPr>
      </w:pPr>
      <w:bookmarkStart w:id="351" w:name="_Toc17244"/>
      <w:bookmarkStart w:id="352" w:name="_Toc487900362"/>
      <w:bookmarkStart w:id="353" w:name="_Toc279701252"/>
      <w:bookmarkStart w:id="354" w:name="_Toc259093681"/>
      <w:r>
        <w:rPr>
          <w:rFonts w:hint="eastAsia" w:ascii="宋体" w:hAnsi="宋体" w:cs="宋体"/>
          <w:b/>
          <w:color w:val="000000"/>
          <w:sz w:val="24"/>
          <w:highlight w:val="none"/>
        </w:rPr>
        <w:t>2.9 货物的风险负担</w:t>
      </w:r>
      <w:bookmarkEnd w:id="351"/>
    </w:p>
    <w:p>
      <w:pPr>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货物或者在途货物或者交付给第一承运人后的货物毁损、灭失的风险负担详见</w:t>
      </w:r>
      <w:r>
        <w:rPr>
          <w:rFonts w:hint="eastAsia" w:ascii="宋体" w:hAnsi="宋体" w:cs="宋体"/>
          <w:b w:val="0"/>
          <w:bCs/>
          <w:i/>
          <w:color w:val="000000"/>
          <w:sz w:val="24"/>
          <w:highlight w:val="none"/>
          <w:u w:val="single"/>
        </w:rPr>
        <w:t>合同专用条款</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55" w:name="_Toc14055"/>
      <w:r>
        <w:rPr>
          <w:rFonts w:hint="eastAsia" w:ascii="宋体" w:hAnsi="宋体" w:cs="宋体"/>
          <w:b/>
          <w:color w:val="000000"/>
          <w:sz w:val="24"/>
          <w:highlight w:val="none"/>
        </w:rPr>
        <w:t>2.10 延迟交货</w:t>
      </w:r>
      <w:bookmarkEnd w:id="352"/>
      <w:bookmarkEnd w:id="353"/>
      <w:bookmarkEnd w:id="354"/>
      <w:bookmarkEnd w:id="35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sz w:val="24"/>
          <w:highlight w:val="none"/>
        </w:rPr>
      </w:pPr>
      <w:bookmarkStart w:id="356" w:name="_Toc7502"/>
      <w:bookmarkStart w:id="357" w:name="_Toc487900364"/>
      <w:bookmarkStart w:id="358" w:name="_Ref467378121"/>
      <w:bookmarkStart w:id="359" w:name="_Toc259093683"/>
      <w:bookmarkStart w:id="360" w:name="_Toc279701254"/>
      <w:r>
        <w:rPr>
          <w:rFonts w:hint="eastAsia" w:ascii="宋体" w:hAnsi="宋体" w:cs="宋体"/>
          <w:b/>
          <w:color w:val="000000"/>
          <w:sz w:val="24"/>
          <w:highlight w:val="none"/>
        </w:rPr>
        <w:t>2.11 合同变更</w:t>
      </w:r>
      <w:bookmarkEnd w:id="35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2.11.2 合同继续履行将损害国家利益和社会公共利益的，双方当事人应当以书面形式变更合同。有过错的一方应当承担赔偿责任，双方当事人都有过错的，各自承担相应的责任。</w:t>
      </w:r>
      <w:bookmarkStart w:id="361" w:name="_Toc487900369"/>
      <w:bookmarkStart w:id="362" w:name="_Toc279701259"/>
      <w:bookmarkStart w:id="363" w:name="_Toc259093688"/>
    </w:p>
    <w:p>
      <w:pPr>
        <w:spacing w:line="560" w:lineRule="exact"/>
        <w:ind w:firstLine="482" w:firstLineChars="200"/>
        <w:outlineLvl w:val="0"/>
        <w:rPr>
          <w:rFonts w:hint="eastAsia" w:ascii="宋体" w:hAnsi="宋体" w:cs="宋体"/>
          <w:b/>
          <w:color w:val="000000"/>
          <w:sz w:val="24"/>
          <w:highlight w:val="none"/>
        </w:rPr>
      </w:pPr>
      <w:bookmarkStart w:id="364" w:name="_Toc15237"/>
      <w:bookmarkStart w:id="365" w:name="_Toc22955"/>
      <w:bookmarkStart w:id="366" w:name="_Toc10366"/>
      <w:r>
        <w:rPr>
          <w:rFonts w:hint="eastAsia" w:ascii="宋体" w:hAnsi="宋体" w:cs="宋体"/>
          <w:b/>
          <w:color w:val="000000"/>
          <w:sz w:val="24"/>
          <w:highlight w:val="none"/>
        </w:rPr>
        <w:t>2.12 合同转让</w:t>
      </w:r>
      <w:bookmarkEnd w:id="361"/>
      <w:bookmarkEnd w:id="362"/>
      <w:bookmarkEnd w:id="363"/>
      <w:r>
        <w:rPr>
          <w:rFonts w:hint="eastAsia" w:ascii="宋体" w:hAnsi="宋体" w:cs="宋体"/>
          <w:b/>
          <w:color w:val="000000"/>
          <w:sz w:val="24"/>
          <w:highlight w:val="none"/>
        </w:rPr>
        <w:t>和分包</w:t>
      </w:r>
      <w:bookmarkEnd w:id="364"/>
      <w:bookmarkEnd w:id="365"/>
      <w:bookmarkEnd w:id="36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color w:val="000000"/>
          <w:sz w:val="24"/>
          <w:highlight w:val="none"/>
        </w:rPr>
      </w:pPr>
      <w:bookmarkStart w:id="367" w:name="_Toc13566"/>
      <w:bookmarkStart w:id="368" w:name="_Toc14066"/>
      <w:bookmarkStart w:id="369" w:name="_Toc16508"/>
      <w:r>
        <w:rPr>
          <w:rFonts w:hint="eastAsia" w:ascii="宋体" w:hAnsi="宋体" w:cs="宋体"/>
          <w:b/>
          <w:color w:val="000000"/>
          <w:sz w:val="24"/>
          <w:highlight w:val="none"/>
        </w:rPr>
        <w:t>2.13 不可抗力</w:t>
      </w:r>
      <w:bookmarkEnd w:id="367"/>
      <w:bookmarkEnd w:id="368"/>
      <w:bookmarkEnd w:id="36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2.13.2 因不可抗力致使不能实现合同目的的，当事人可以解除合同；</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2.13.3 因不可抗力致使合同有变更必要的，双方当事人应</w:t>
      </w:r>
      <w:r>
        <w:rPr>
          <w:rFonts w:hint="eastAsia" w:ascii="宋体" w:hAnsi="宋体" w:cs="宋体"/>
          <w:b w:val="0"/>
          <w:bCs w:val="0"/>
          <w:color w:val="000000"/>
          <w:sz w:val="24"/>
          <w:highlight w:val="none"/>
        </w:rPr>
        <w:t>在</w:t>
      </w:r>
      <w:r>
        <w:rPr>
          <w:rFonts w:hint="eastAsia" w:ascii="宋体" w:hAnsi="宋体" w:cs="宋体"/>
          <w:b w:val="0"/>
          <w:bCs w:val="0"/>
          <w:i/>
          <w:color w:val="000000"/>
          <w:sz w:val="24"/>
          <w:highlight w:val="none"/>
          <w:u w:val="single"/>
        </w:rPr>
        <w:t>合</w:t>
      </w:r>
      <w:r>
        <w:rPr>
          <w:rFonts w:hint="eastAsia" w:ascii="宋体" w:hAnsi="宋体" w:cs="宋体"/>
          <w:b w:val="0"/>
          <w:bCs/>
          <w:i/>
          <w:color w:val="000000"/>
          <w:sz w:val="24"/>
          <w:highlight w:val="none"/>
          <w:u w:val="single"/>
        </w:rPr>
        <w:t>同专用条款</w:t>
      </w:r>
      <w:r>
        <w:rPr>
          <w:rFonts w:hint="eastAsia" w:ascii="宋体" w:hAnsi="宋体" w:cs="宋体"/>
          <w:b w:val="0"/>
          <w:bCs/>
          <w:color w:val="000000"/>
          <w:sz w:val="24"/>
          <w:highlight w:val="none"/>
        </w:rPr>
        <w:t>约定时间内以书面形式变更合同；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b w:val="0"/>
          <w:bCs/>
          <w:color w:val="000000"/>
          <w:sz w:val="24"/>
          <w:highlight w:val="none"/>
        </w:rPr>
        <w:t>2.13.4受不可抗力影响的一方在不可抗力发生后，应在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约定时间内以书面形式通知对方当事人，并在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约定时间内，将有关部</w:t>
      </w:r>
      <w:r>
        <w:rPr>
          <w:rFonts w:hint="eastAsia" w:ascii="宋体" w:hAnsi="宋体" w:cs="宋体"/>
          <w:color w:val="000000"/>
          <w:sz w:val="24"/>
          <w:highlight w:val="none"/>
        </w:rPr>
        <w:t>门出具的证明文件送达对方当事人。</w:t>
      </w:r>
    </w:p>
    <w:p>
      <w:pPr>
        <w:spacing w:line="560" w:lineRule="exact"/>
        <w:ind w:firstLine="482" w:firstLineChars="200"/>
        <w:outlineLvl w:val="0"/>
        <w:rPr>
          <w:rFonts w:hint="eastAsia" w:ascii="宋体" w:hAnsi="宋体" w:cs="宋体"/>
          <w:b/>
          <w:color w:val="000000"/>
          <w:sz w:val="24"/>
          <w:highlight w:val="none"/>
        </w:rPr>
      </w:pPr>
      <w:bookmarkStart w:id="370" w:name="_Toc487900365"/>
      <w:bookmarkStart w:id="371" w:name="_Toc259093684"/>
      <w:bookmarkStart w:id="372" w:name="_Toc689"/>
      <w:bookmarkStart w:id="373" w:name="_Toc30676"/>
      <w:bookmarkStart w:id="374" w:name="_Toc6969"/>
      <w:bookmarkStart w:id="375" w:name="_Toc279701255"/>
      <w:r>
        <w:rPr>
          <w:rFonts w:hint="eastAsia" w:ascii="宋体" w:hAnsi="宋体" w:cs="宋体"/>
          <w:b/>
          <w:color w:val="000000"/>
          <w:sz w:val="24"/>
          <w:highlight w:val="none"/>
        </w:rPr>
        <w:t>2.14 税费</w:t>
      </w:r>
      <w:bookmarkEnd w:id="370"/>
      <w:bookmarkEnd w:id="371"/>
      <w:bookmarkEnd w:id="372"/>
      <w:bookmarkEnd w:id="373"/>
      <w:bookmarkEnd w:id="374"/>
      <w:bookmarkEnd w:id="37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sz w:val="24"/>
          <w:highlight w:val="none"/>
        </w:rPr>
      </w:pPr>
      <w:bookmarkStart w:id="376" w:name="_Toc8298"/>
      <w:bookmarkStart w:id="377" w:name="_Toc259093687"/>
      <w:bookmarkStart w:id="378" w:name="_Toc487900368"/>
      <w:bookmarkStart w:id="379" w:name="_Toc279701258"/>
      <w:bookmarkStart w:id="380" w:name="_Toc16959"/>
      <w:bookmarkStart w:id="381" w:name="_Toc7102"/>
      <w:r>
        <w:rPr>
          <w:rFonts w:hint="eastAsia" w:ascii="宋体" w:hAnsi="宋体" w:cs="宋体"/>
          <w:b/>
          <w:color w:val="000000"/>
          <w:sz w:val="24"/>
          <w:highlight w:val="none"/>
        </w:rPr>
        <w:t>2.15 乙方破产</w:t>
      </w:r>
      <w:bookmarkEnd w:id="376"/>
      <w:bookmarkEnd w:id="377"/>
      <w:bookmarkEnd w:id="378"/>
      <w:bookmarkEnd w:id="379"/>
      <w:bookmarkEnd w:id="380"/>
      <w:bookmarkEnd w:id="38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sz w:val="24"/>
          <w:highlight w:val="none"/>
        </w:rPr>
      </w:pPr>
      <w:bookmarkStart w:id="382" w:name="_Toc6134"/>
      <w:bookmarkStart w:id="383" w:name="_Toc29333"/>
      <w:bookmarkStart w:id="384" w:name="_Toc15387"/>
      <w:r>
        <w:rPr>
          <w:rFonts w:hint="eastAsia" w:ascii="宋体" w:hAnsi="宋体" w:cs="宋体"/>
          <w:b/>
          <w:color w:val="000000"/>
          <w:sz w:val="24"/>
          <w:highlight w:val="none"/>
        </w:rPr>
        <w:t>2.16 合同中止、终止</w:t>
      </w:r>
      <w:bookmarkEnd w:id="382"/>
      <w:bookmarkEnd w:id="383"/>
      <w:bookmarkEnd w:id="38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2.16.1 双方当事人不得擅自中止或者终止合同；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sz w:val="24"/>
          <w:highlight w:val="none"/>
        </w:rPr>
      </w:pPr>
      <w:bookmarkStart w:id="385" w:name="_Toc1125"/>
      <w:bookmarkStart w:id="386" w:name="_Toc6596"/>
      <w:bookmarkStart w:id="387" w:name="_Toc14563"/>
      <w:r>
        <w:rPr>
          <w:rFonts w:hint="eastAsia" w:ascii="宋体" w:hAnsi="宋体" w:cs="宋体"/>
          <w:b/>
          <w:color w:val="000000"/>
          <w:sz w:val="24"/>
          <w:highlight w:val="none"/>
        </w:rPr>
        <w:t>2.17 检验和验收</w:t>
      </w:r>
      <w:bookmarkEnd w:id="385"/>
      <w:bookmarkEnd w:id="386"/>
      <w:bookmarkEnd w:id="387"/>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b w:val="0"/>
          <w:bCs/>
          <w:color w:val="000000"/>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b w:val="0"/>
          <w:bCs/>
          <w:color w:val="000000"/>
          <w:sz w:val="24"/>
          <w:highlight w:val="none"/>
        </w:rPr>
        <w:t>2.17.3 检验和验收标准、程序等具体内容以及前述验收书的效力详见</w:t>
      </w:r>
      <w:r>
        <w:rPr>
          <w:rFonts w:hint="eastAsia" w:ascii="宋体" w:hAnsi="宋体" w:cs="宋体"/>
          <w:b w:val="0"/>
          <w:bCs/>
          <w:i/>
          <w:color w:val="000000"/>
          <w:sz w:val="24"/>
          <w:highlight w:val="none"/>
          <w:u w:val="single"/>
        </w:rPr>
        <w:t>合同专用条款</w:t>
      </w:r>
      <w:r>
        <w:rPr>
          <w:rFonts w:hint="eastAsia" w:ascii="宋体" w:hAnsi="宋体" w:cs="宋体"/>
          <w:b w:val="0"/>
          <w:bCs/>
          <w:i/>
          <w:color w:val="000000"/>
          <w:sz w:val="24"/>
          <w:highlight w:val="none"/>
        </w:rPr>
        <w:t>。</w:t>
      </w:r>
    </w:p>
    <w:bookmarkEnd w:id="357"/>
    <w:bookmarkEnd w:id="358"/>
    <w:bookmarkEnd w:id="359"/>
    <w:bookmarkEnd w:id="360"/>
    <w:p>
      <w:pPr>
        <w:spacing w:line="560" w:lineRule="exact"/>
        <w:ind w:firstLine="482" w:firstLineChars="200"/>
        <w:outlineLvl w:val="0"/>
        <w:rPr>
          <w:rFonts w:hint="eastAsia" w:ascii="宋体" w:hAnsi="宋体" w:cs="宋体"/>
          <w:b/>
          <w:color w:val="000000"/>
          <w:sz w:val="24"/>
          <w:highlight w:val="none"/>
        </w:rPr>
      </w:pPr>
      <w:bookmarkStart w:id="388" w:name="_Toc279701261"/>
      <w:bookmarkStart w:id="389" w:name="_Toc487900371"/>
      <w:bookmarkStart w:id="390" w:name="_Toc259093690"/>
      <w:bookmarkStart w:id="391" w:name="_Toc19604"/>
      <w:bookmarkStart w:id="392" w:name="_Toc11284"/>
      <w:bookmarkStart w:id="393" w:name="_Toc25182"/>
      <w:r>
        <w:rPr>
          <w:rFonts w:hint="eastAsia" w:ascii="宋体" w:hAnsi="宋体" w:cs="宋体"/>
          <w:b/>
          <w:color w:val="000000"/>
          <w:sz w:val="24"/>
          <w:highlight w:val="none"/>
        </w:rPr>
        <w:t>2.18 通知</w:t>
      </w:r>
      <w:bookmarkEnd w:id="388"/>
      <w:bookmarkEnd w:id="389"/>
      <w:bookmarkEnd w:id="390"/>
      <w:r>
        <w:rPr>
          <w:rFonts w:hint="eastAsia" w:ascii="宋体" w:hAnsi="宋体" w:cs="宋体"/>
          <w:b/>
          <w:color w:val="000000"/>
          <w:sz w:val="24"/>
          <w:highlight w:val="none"/>
        </w:rPr>
        <w:t>和送达</w:t>
      </w:r>
      <w:bookmarkEnd w:id="391"/>
      <w:bookmarkEnd w:id="392"/>
      <w:bookmarkEnd w:id="393"/>
    </w:p>
    <w:p>
      <w:pPr>
        <w:spacing w:line="560" w:lineRule="exact"/>
        <w:ind w:firstLine="480" w:firstLineChars="200"/>
        <w:rPr>
          <w:rFonts w:hint="eastAsia" w:ascii="宋体" w:hAnsi="宋体" w:cs="宋体"/>
          <w:color w:val="000000"/>
          <w:sz w:val="24"/>
          <w:highlight w:val="none"/>
        </w:rPr>
      </w:pPr>
      <w:bookmarkStart w:id="394" w:name="_Toc6698"/>
      <w:bookmarkStart w:id="395" w:name="_Toc3135"/>
      <w:bookmarkStart w:id="396" w:name="_Toc259093691"/>
      <w:bookmarkStart w:id="397" w:name="_Toc279701262"/>
      <w:bookmarkStart w:id="398" w:name="_Toc487900372"/>
      <w:r>
        <w:rPr>
          <w:rFonts w:hint="eastAsia" w:ascii="宋体" w:hAnsi="宋体" w:cs="宋体"/>
          <w:color w:val="000000"/>
          <w:sz w:val="24"/>
          <w:highlight w:val="none"/>
        </w:rPr>
        <w:t>2.18.1 任何一方因履行合同而以合同第一部分尾部所列明的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发出的所有通知、文件、材料，均视为已向对方当事人送达；任何一方变更上述送达方式或者地址的，应于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个工作日内书面通知对方当事人，在对方当事人收到有关变更通知之前，变更前的约定送达方式或者地址仍视为有效。</w:t>
      </w:r>
      <w:bookmarkEnd w:id="394"/>
      <w:bookmarkEnd w:id="395"/>
    </w:p>
    <w:p>
      <w:pPr>
        <w:spacing w:line="560" w:lineRule="exact"/>
        <w:ind w:firstLine="480" w:firstLineChars="200"/>
        <w:rPr>
          <w:rFonts w:hint="eastAsia" w:ascii="宋体" w:hAnsi="宋体" w:cs="宋体"/>
          <w:color w:val="000000"/>
          <w:sz w:val="24"/>
          <w:highlight w:val="none"/>
        </w:rPr>
      </w:pPr>
      <w:bookmarkStart w:id="399" w:name="_Toc23128"/>
      <w:bookmarkStart w:id="400" w:name="_Toc23294"/>
      <w:r>
        <w:rPr>
          <w:rFonts w:hint="eastAsia" w:ascii="宋体" w:hAnsi="宋体" w:cs="宋体"/>
          <w:color w:val="000000"/>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99"/>
      <w:bookmarkEnd w:id="400"/>
    </w:p>
    <w:p>
      <w:pPr>
        <w:spacing w:line="560" w:lineRule="exact"/>
        <w:ind w:firstLine="482" w:firstLineChars="200"/>
        <w:outlineLvl w:val="0"/>
        <w:rPr>
          <w:rFonts w:hint="eastAsia" w:ascii="宋体" w:hAnsi="宋体" w:cs="宋体"/>
          <w:b/>
          <w:color w:val="000000"/>
          <w:sz w:val="24"/>
          <w:highlight w:val="none"/>
        </w:rPr>
      </w:pPr>
      <w:bookmarkStart w:id="401" w:name="_Toc18540"/>
      <w:bookmarkStart w:id="402" w:name="_Toc30599"/>
      <w:bookmarkStart w:id="403" w:name="_Toc4355"/>
      <w:r>
        <w:rPr>
          <w:rFonts w:hint="eastAsia" w:ascii="宋体" w:hAnsi="宋体" w:cs="宋体"/>
          <w:b/>
          <w:color w:val="000000"/>
          <w:sz w:val="24"/>
          <w:highlight w:val="none"/>
        </w:rPr>
        <w:t>2.19 计量单位</w:t>
      </w:r>
      <w:bookmarkEnd w:id="396"/>
      <w:bookmarkEnd w:id="397"/>
      <w:bookmarkEnd w:id="398"/>
      <w:bookmarkEnd w:id="401"/>
      <w:bookmarkEnd w:id="402"/>
      <w:bookmarkEnd w:id="403"/>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sz w:val="24"/>
          <w:highlight w:val="none"/>
        </w:rPr>
      </w:pPr>
      <w:bookmarkStart w:id="404" w:name="_Toc18567"/>
      <w:bookmarkStart w:id="405" w:name="_Toc12773"/>
      <w:bookmarkStart w:id="406" w:name="_Toc259093692"/>
      <w:bookmarkStart w:id="407" w:name="_Toc10330"/>
      <w:bookmarkStart w:id="408" w:name="_Toc487900373"/>
      <w:bookmarkStart w:id="409" w:name="_Toc279701263"/>
      <w:r>
        <w:rPr>
          <w:rFonts w:hint="eastAsia" w:ascii="宋体" w:hAnsi="宋体" w:cs="宋体"/>
          <w:b/>
          <w:color w:val="000000"/>
          <w:sz w:val="24"/>
          <w:highlight w:val="none"/>
        </w:rPr>
        <w:t>2.20 合同使用的文字和适用的法律</w:t>
      </w:r>
      <w:bookmarkEnd w:id="404"/>
      <w:bookmarkEnd w:id="405"/>
      <w:bookmarkEnd w:id="406"/>
      <w:bookmarkEnd w:id="407"/>
      <w:bookmarkEnd w:id="408"/>
      <w:bookmarkEnd w:id="40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2.20.1 合同使用汉语书就、变更和解释；</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2.20.2 合同适用中华人民共和国法律。</w:t>
      </w:r>
    </w:p>
    <w:p>
      <w:pPr>
        <w:spacing w:line="560" w:lineRule="exact"/>
        <w:ind w:firstLine="482" w:firstLineChars="200"/>
        <w:outlineLvl w:val="0"/>
        <w:rPr>
          <w:rFonts w:hint="eastAsia" w:ascii="宋体" w:hAnsi="宋体" w:cs="宋体"/>
          <w:b/>
          <w:color w:val="000000"/>
          <w:sz w:val="24"/>
          <w:highlight w:val="none"/>
        </w:rPr>
      </w:pPr>
      <w:bookmarkStart w:id="410" w:name="_Toc12004"/>
      <w:bookmarkStart w:id="411" w:name="_Toc16673"/>
      <w:bookmarkStart w:id="412" w:name="_Toc279701264"/>
      <w:bookmarkStart w:id="413" w:name="_Toc3148"/>
      <w:bookmarkStart w:id="414" w:name="_Toc259093693"/>
      <w:bookmarkStart w:id="415" w:name="_Toc487900374"/>
      <w:r>
        <w:rPr>
          <w:rFonts w:hint="eastAsia" w:ascii="宋体" w:hAnsi="宋体" w:cs="宋体"/>
          <w:b/>
          <w:color w:val="000000"/>
          <w:sz w:val="24"/>
          <w:highlight w:val="none"/>
        </w:rPr>
        <w:t>2.21 履约保证金</w:t>
      </w:r>
      <w:bookmarkEnd w:id="410"/>
      <w:bookmarkEnd w:id="411"/>
      <w:bookmarkEnd w:id="412"/>
      <w:bookmarkEnd w:id="413"/>
      <w:bookmarkEnd w:id="414"/>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2.21.1 采购文件要求乙方提交履约保证金的，乙方应按</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sz w:val="24"/>
          <w:highlight w:val="none"/>
        </w:rPr>
      </w:pPr>
      <w:r>
        <w:rPr>
          <w:rFonts w:hint="eastAsia" w:ascii="宋体" w:hAnsi="宋体" w:cs="宋体"/>
          <w:b w:val="0"/>
          <w:bCs/>
          <w:color w:val="000000"/>
          <w:sz w:val="24"/>
          <w:highlight w:val="none"/>
        </w:rPr>
        <w:t>2.21.2  履约保证金在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约定期间内或者货物质量保证期内不予退还或者应完全有效，前述约定期间届满或者货物质量保证期届满之日起</w:t>
      </w:r>
      <w:r>
        <w:rPr>
          <w:rFonts w:hint="eastAsia" w:ascii="宋体" w:hAnsi="宋体" w:cs="宋体"/>
          <w:b w:val="0"/>
          <w:bCs/>
          <w:color w:val="000000"/>
          <w:sz w:val="24"/>
          <w:highlight w:val="none"/>
          <w:u w:val="single"/>
        </w:rPr>
        <w:t xml:space="preserve">  </w:t>
      </w:r>
      <w:r>
        <w:rPr>
          <w:rFonts w:hint="eastAsia" w:ascii="宋体" w:hAnsi="宋体" w:cs="宋体"/>
          <w:color w:val="000000"/>
          <w:sz w:val="24"/>
          <w:highlight w:val="none"/>
        </w:rPr>
        <w:t>个工作日内，甲方应将履约保证金退还乙方；</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15"/>
    <w:p>
      <w:pPr>
        <w:spacing w:line="560" w:lineRule="exact"/>
        <w:ind w:firstLine="482" w:firstLineChars="200"/>
        <w:outlineLvl w:val="0"/>
        <w:rPr>
          <w:rFonts w:hint="eastAsia" w:ascii="宋体" w:hAnsi="宋体" w:cs="宋体"/>
          <w:b/>
          <w:color w:val="000000"/>
          <w:sz w:val="24"/>
          <w:highlight w:val="none"/>
        </w:rPr>
      </w:pPr>
      <w:bookmarkStart w:id="416" w:name="_Toc19890"/>
      <w:bookmarkStart w:id="417" w:name="_Toc6885"/>
      <w:bookmarkStart w:id="418" w:name="_Toc14001"/>
      <w:r>
        <w:rPr>
          <w:rFonts w:hint="eastAsia" w:ascii="宋体" w:hAnsi="宋体" w:cs="宋体"/>
          <w:b/>
          <w:color w:val="000000"/>
          <w:sz w:val="24"/>
          <w:highlight w:val="none"/>
        </w:rPr>
        <w:t>2.22 合同份数</w:t>
      </w:r>
      <w:bookmarkEnd w:id="416"/>
      <w:bookmarkEnd w:id="417"/>
      <w:bookmarkEnd w:id="41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合同份数按</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规定</w:t>
      </w:r>
      <w:r>
        <w:rPr>
          <w:rFonts w:hint="eastAsia" w:ascii="宋体" w:hAnsi="宋体" w:cs="宋体"/>
          <w:color w:val="000000"/>
          <w:sz w:val="24"/>
          <w:highlight w:val="none"/>
        </w:rPr>
        <w:t>，每份均具有同等法律效力。</w:t>
      </w:r>
    </w:p>
    <w:p>
      <w:pPr>
        <w:pStyle w:val="31"/>
        <w:spacing w:line="560" w:lineRule="exact"/>
        <w:ind w:firstLine="0"/>
        <w:jc w:val="center"/>
        <w:rPr>
          <w:rFonts w:hint="eastAsia" w:hAnsi="宋体" w:cs="宋体"/>
          <w:b/>
          <w:color w:val="000000"/>
          <w:szCs w:val="24"/>
          <w:highlight w:val="none"/>
        </w:rPr>
      </w:pPr>
      <w:r>
        <w:rPr>
          <w:rFonts w:hint="eastAsia" w:hAnsi="宋体" w:cs="宋体"/>
          <w:color w:val="000000"/>
          <w:szCs w:val="24"/>
          <w:highlight w:val="none"/>
        </w:rPr>
        <w:br w:type="page"/>
      </w:r>
      <w:bookmarkStart w:id="419" w:name="_Toc331685784"/>
      <w:r>
        <w:rPr>
          <w:rFonts w:hint="eastAsia" w:hAnsi="宋体" w:cs="宋体"/>
          <w:b/>
          <w:color w:val="000000"/>
          <w:szCs w:val="24"/>
          <w:highlight w:val="none"/>
        </w:rPr>
        <w:t>第三部分  合同专用条款</w:t>
      </w:r>
      <w:bookmarkEnd w:id="41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条款号</w:t>
            </w:r>
          </w:p>
        </w:tc>
        <w:tc>
          <w:tcPr>
            <w:tcW w:w="7633" w:type="dxa"/>
            <w:vAlign w:val="center"/>
          </w:tcPr>
          <w:p>
            <w:pPr>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bl>
    <w:p>
      <w:pPr>
        <w:pStyle w:val="4"/>
        <w:spacing w:before="0" w:line="240" w:lineRule="atLeast"/>
        <w:ind w:left="1080" w:leftChars="257" w:hanging="540"/>
        <w:rPr>
          <w:rFonts w:hint="eastAsia" w:ascii="仿宋" w:hAnsi="仿宋" w:eastAsia="仿宋" w:cs="仿宋"/>
          <w:color w:val="auto"/>
          <w:sz w:val="24"/>
          <w:highlight w:val="none"/>
        </w:rPr>
      </w:pPr>
    </w:p>
    <w:p/>
    <w:sectPr>
      <w:headerReference r:id="rId18" w:type="default"/>
      <w:footerReference r:id="rId1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w="9525">
                        <a:noFill/>
                      </a:ln>
                    </wps:spPr>
                    <wps:txbx>
                      <w:txbxContent>
                        <w:p>
                          <w:pPr>
                            <w:pStyle w:val="13"/>
                            <w:rPr>
                              <w:rStyle w:val="22"/>
                            </w:rPr>
                          </w:pPr>
                          <w:r>
                            <w:fldChar w:fldCharType="begin"/>
                          </w:r>
                          <w:r>
                            <w:rPr>
                              <w:rStyle w:val="22"/>
                            </w:rPr>
                            <w:instrText xml:space="preserve">PAGE  </w:instrText>
                          </w:r>
                          <w:r>
                            <w:fldChar w:fldCharType="separate"/>
                          </w:r>
                          <w:r>
                            <w:rPr>
                              <w:rStyle w:val="22"/>
                            </w:rP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5824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AugUXRAAAAAwEAAA8AAAAAAAAAAQAgAAAAIgAAAGRycy9kb3ducmV2LnhtbFBLAQIUABQAAAAI&#10;AIdO4kDbVnG2uwEAAFIDAAAOAAAAAAAAAAEAIAAAACABAABkcnMvZTJvRG9jLnhtbFBLBQYAAAAA&#10;BgAGAFkBAABNBQAAAAA=&#10;">
              <v:fill on="f" focussize="0,0"/>
              <v:stroke on="f"/>
              <v:imagedata o:title=""/>
              <o:lock v:ext="edit" aspectratio="f"/>
              <v:textbox inset="0mm,0mm,0mm,0mm" style="mso-fit-shape-to-text:t;">
                <w:txbxContent>
                  <w:p>
                    <w:pPr>
                      <w:pStyle w:val="13"/>
                      <w:rPr>
                        <w:rStyle w:val="22"/>
                      </w:rPr>
                    </w:pPr>
                    <w:r>
                      <w:fldChar w:fldCharType="begin"/>
                    </w:r>
                    <w:r>
                      <w:rPr>
                        <w:rStyle w:val="22"/>
                      </w:rPr>
                      <w:instrText xml:space="preserve">PAGE  </w:instrText>
                    </w:r>
                    <w:r>
                      <w:fldChar w:fldCharType="separate"/>
                    </w:r>
                    <w:r>
                      <w:rPr>
                        <w:rStyle w:val="22"/>
                      </w:rP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9oF30bAgAAIwQAAA4A&#10;AAAAAAAAAQAgAAAAHw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952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ulvw/RAAAAAwEAAA8AAAAAAAAAAQAgAAAAIgAAAGRycy9kb3ducmV2LnhtbFBLAQIUABQAAAAI&#10;AIdO4kD5uZALuwEAAFIDAAAOAAAAAAAAAAEAIAAAACABAABkcnMvZTJvRG9jLnhtbFBLBQYAAAAA&#10;BgAGAFkBAABNBQ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p>
    <w:pPr>
      <w:pStyle w:val="13"/>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w="9525">
                        <a:noFill/>
                      </a:ln>
                    </wps:spPr>
                    <wps:txbx>
                      <w:txbxContent>
                        <w:p>
                          <w:pPr>
                            <w:pStyle w:val="13"/>
                            <w:jc w:val="center"/>
                          </w:pPr>
                          <w:r>
                            <w:fldChar w:fldCharType="begin"/>
                          </w:r>
                          <w:r>
                            <w:instrText xml:space="preserve">PAGE   \* MERGEFORMAT</w:instrText>
                          </w:r>
                          <w:r>
                            <w:fldChar w:fldCharType="separate"/>
                          </w:r>
                          <w:r>
                            <w:rPr>
                              <w:lang w:val="zh-CN"/>
                            </w:rP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LoFF0QAAAAMBAAAPAAAAAAAAAAEAIAAAACIAAABkcnMvZG93bnJldi54bWxQSwECFAAUAAAA&#10;CACHTuJAI0+MabwBAABUAwAADgAAAAAAAAABACAAAAAgAQAAZHJzL2Uyb0RvYy54bWxQSwUGAAAA&#10;AAYABgBZAQAATgU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43</w:t>
                    </w:r>
                    <w:r>
                      <w:fldChar w:fldCharType="end"/>
                    </w:r>
                  </w:p>
                </w:txbxContent>
              </v:textbox>
            </v:shape>
          </w:pict>
        </mc:Fallback>
      </mc:AlternateContent>
    </w:r>
  </w:p>
  <w:p>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u w:val="none"/>
      </w:rPr>
      <w:t xml:space="preserve"> </w:t>
    </w:r>
    <w:r>
      <w:rPr>
        <w:rFonts w:hint="eastAsia" w:ascii="宋体" w:hAnsi="宋体" w:eastAsia="宋体" w:cs="宋体"/>
        <w:b/>
        <w:bCs w:val="0"/>
        <w:sz w:val="21"/>
        <w:szCs w:val="21"/>
        <w:u w:val="none"/>
        <w:lang w:val="en-US" w:eastAsia="zh-CN"/>
      </w:rPr>
      <w:t xml:space="preserve">            </w:t>
    </w:r>
  </w:p>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6E10F"/>
    <w:multiLevelType w:val="singleLevel"/>
    <w:tmpl w:val="AE06E10F"/>
    <w:lvl w:ilvl="0" w:tentative="0">
      <w:start w:val="7"/>
      <w:numFmt w:val="chineseCounting"/>
      <w:suff w:val="nothing"/>
      <w:lvlText w:val="%1、"/>
      <w:lvlJc w:val="left"/>
      <w:rPr>
        <w:rFonts w:hint="eastAsia"/>
      </w:rPr>
    </w:lvl>
  </w:abstractNum>
  <w:abstractNum w:abstractNumId="1">
    <w:nsid w:val="B6E48479"/>
    <w:multiLevelType w:val="singleLevel"/>
    <w:tmpl w:val="B6E48479"/>
    <w:lvl w:ilvl="0" w:tentative="0">
      <w:start w:val="1"/>
      <w:numFmt w:val="decimal"/>
      <w:suff w:val="nothing"/>
      <w:lvlText w:val="（%1）"/>
      <w:lvlJc w:val="left"/>
    </w:lvl>
  </w:abstractNum>
  <w:abstractNum w:abstractNumId="2">
    <w:nsid w:val="C25D2D37"/>
    <w:multiLevelType w:val="singleLevel"/>
    <w:tmpl w:val="C25D2D37"/>
    <w:lvl w:ilvl="0" w:tentative="0">
      <w:start w:val="1"/>
      <w:numFmt w:val="decimal"/>
      <w:suff w:val="nothing"/>
      <w:lvlText w:val="%1、"/>
      <w:lvlJc w:val="left"/>
      <w:pPr>
        <w:ind w:left="90" w:firstLine="0"/>
      </w:pPr>
    </w:lvl>
  </w:abstractNum>
  <w:abstractNum w:abstractNumId="3">
    <w:nsid w:val="E7FE443B"/>
    <w:multiLevelType w:val="singleLevel"/>
    <w:tmpl w:val="E7FE443B"/>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95D03"/>
    <w:rsid w:val="0E2F4D09"/>
    <w:rsid w:val="1D5C54BB"/>
    <w:rsid w:val="22F34F1E"/>
    <w:rsid w:val="39F86AFA"/>
    <w:rsid w:val="3C8712C5"/>
    <w:rsid w:val="468B2405"/>
    <w:rsid w:val="693414B4"/>
    <w:rsid w:val="6946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1">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First Indent"/>
    <w:basedOn w:val="8"/>
    <w:next w:val="1"/>
    <w:unhideWhenUsed/>
    <w:qFormat/>
    <w:uiPriority w:val="99"/>
    <w:pPr>
      <w:tabs>
        <w:tab w:val="left" w:pos="567"/>
      </w:tabs>
      <w:ind w:firstLine="420" w:firstLineChars="100"/>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next w:val="6"/>
    <w:qFormat/>
    <w:uiPriority w:val="0"/>
    <w:pPr>
      <w:spacing w:line="360" w:lineRule="auto"/>
      <w:ind w:firstLine="570"/>
    </w:pPr>
    <w:rPr>
      <w:sz w:val="24"/>
    </w:rPr>
  </w:style>
  <w:style w:type="paragraph" w:styleId="10">
    <w:name w:val="toc 3"/>
    <w:basedOn w:val="1"/>
    <w:next w:val="1"/>
    <w:qFormat/>
    <w:uiPriority w:val="39"/>
    <w:pPr>
      <w:tabs>
        <w:tab w:val="left" w:pos="1260"/>
        <w:tab w:val="right" w:leader="dot" w:pos="8630"/>
      </w:tabs>
      <w:ind w:left="840" w:leftChars="400"/>
    </w:p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Body Text First Indent 2"/>
    <w:basedOn w:val="9"/>
    <w:next w:val="6"/>
    <w:qFormat/>
    <w:uiPriority w:val="0"/>
    <w:pPr>
      <w:ind w:firstLine="420" w:firstLineChars="200"/>
    </w:pPr>
    <w:rPr>
      <w:kern w:val="0"/>
      <w:sz w:val="20"/>
      <w:szCs w:val="24"/>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next w:val="8"/>
    <w:semiHidden/>
    <w:qFormat/>
    <w:uiPriority w:val="99"/>
    <w:pPr>
      <w:snapToGrid w:val="0"/>
      <w:jc w:val="left"/>
    </w:pPr>
    <w:rPr>
      <w:sz w:val="18"/>
      <w:szCs w:val="18"/>
    </w:rPr>
  </w:style>
  <w:style w:type="paragraph" w:styleId="18">
    <w:name w:val="toc 2"/>
    <w:basedOn w:val="1"/>
    <w:next w:val="1"/>
    <w:qFormat/>
    <w:uiPriority w:val="39"/>
    <w:pPr>
      <w:ind w:left="420" w:leftChars="200"/>
    </w:pPr>
  </w:style>
  <w:style w:type="paragraph" w:styleId="19">
    <w:name w:val="Normal (Web)"/>
    <w:basedOn w:val="1"/>
    <w:next w:val="20"/>
    <w:qFormat/>
    <w:uiPriority w:val="0"/>
    <w:pPr>
      <w:spacing w:before="100" w:beforeAutospacing="1" w:after="100" w:afterAutospacing="1"/>
      <w:ind w:left="0" w:right="0"/>
      <w:jc w:val="left"/>
    </w:pPr>
    <w:rPr>
      <w:kern w:val="0"/>
      <w:sz w:val="24"/>
      <w:lang w:val="en-US" w:eastAsia="zh-CN" w:bidi="ar"/>
    </w:rPr>
  </w:style>
  <w:style w:type="paragraph" w:customStyle="1" w:styleId="2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22">
    <w:name w:val="page number"/>
    <w:basedOn w:val="21"/>
    <w:qFormat/>
    <w:uiPriority w:val="0"/>
  </w:style>
  <w:style w:type="character" w:styleId="23">
    <w:name w:val="Hyperlink"/>
    <w:qFormat/>
    <w:uiPriority w:val="99"/>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27">
    <w:name w:val="Table Paragraph"/>
    <w:basedOn w:val="1"/>
    <w:qFormat/>
    <w:uiPriority w:val="0"/>
  </w:style>
  <w:style w:type="paragraph" w:customStyle="1" w:styleId="28">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character" w:customStyle="1" w:styleId="29">
    <w:name w:val="font01"/>
    <w:basedOn w:val="21"/>
    <w:qFormat/>
    <w:uiPriority w:val="0"/>
    <w:rPr>
      <w:rFonts w:hint="eastAsia" w:ascii="宋体" w:hAnsi="宋体" w:eastAsia="宋体" w:cs="宋体"/>
      <w:color w:val="000000"/>
      <w:sz w:val="16"/>
      <w:szCs w:val="16"/>
      <w:u w:val="none"/>
    </w:rPr>
  </w:style>
  <w:style w:type="character" w:customStyle="1" w:styleId="30">
    <w:name w:val="font81"/>
    <w:basedOn w:val="21"/>
    <w:qFormat/>
    <w:uiPriority w:val="0"/>
    <w:rPr>
      <w:rFonts w:hint="eastAsia" w:ascii="宋体" w:hAnsi="宋体" w:eastAsia="宋体" w:cs="宋体"/>
      <w:b/>
      <w:bCs/>
      <w:color w:val="000000"/>
      <w:sz w:val="16"/>
      <w:szCs w:val="16"/>
      <w:u w:val="none"/>
    </w:rPr>
  </w:style>
  <w:style w:type="paragraph" w:customStyle="1" w:styleId="3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2">
    <w:name w:val="索引 11"/>
    <w:basedOn w:val="1"/>
    <w:next w:val="1"/>
    <w:qFormat/>
    <w:uiPriority w:val="0"/>
    <w:pPr>
      <w:spacing w:line="360" w:lineRule="auto"/>
    </w:pPr>
    <w:rPr>
      <w:rFonts w:ascii="仿宋_GB2312" w:eastAsia="仿宋_GB2312"/>
      <w:sz w:val="24"/>
      <w:szCs w:val="20"/>
    </w:rPr>
  </w:style>
  <w:style w:type="paragraph" w:customStyle="1" w:styleId="33">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2023-06-02T04:07:39Z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