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z w:val="36"/>
          <w:szCs w:val="36"/>
          <w:rtl w:val="0"/>
          <w:lang w:val="zh-TW" w:eastAsia="zh-CN"/>
        </w:rPr>
      </w:pPr>
    </w:p>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z w:val="36"/>
          <w:szCs w:val="36"/>
          <w:rtl w:val="0"/>
          <w:lang w:val="zh-TW" w:eastAsia="zh-CN"/>
        </w:rPr>
      </w:pPr>
    </w:p>
    <w:p>
      <w:pPr>
        <w:framePr w:wrap="auto" w:vAnchor="margin" w:hAnchor="text" w:yAlign="inline"/>
        <w:shd w:val="clear" w:color="auto" w:fill="auto"/>
        <w:spacing w:line="360" w:lineRule="auto"/>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乌苏市人民医院卫生保洁服务托管采购项目</w:t>
      </w:r>
    </w:p>
    <w:p>
      <w:pPr>
        <w:framePr w:wrap="auto" w:vAnchor="margin" w:hAnchor="text" w:yAlign="inline"/>
        <w:shd w:val="clear" w:color="auto" w:fill="auto"/>
        <w:spacing w:line="360" w:lineRule="auto"/>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竞争性磋商招标文件</w:t>
      </w:r>
    </w:p>
    <w:p>
      <w:pPr>
        <w:framePr w:wrap="auto" w:vAnchor="margin" w:hAnchor="text" w:yAlign="inline"/>
        <w:spacing w:line="360" w:lineRule="auto"/>
        <w:ind w:firstLine="1320" w:firstLineChars="300"/>
        <w:rPr>
          <w:rFonts w:hint="eastAsia" w:ascii="方正小标宋简体" w:hAnsi="方正小标宋简体" w:eastAsia="方正小标宋简体" w:cs="方正小标宋简体"/>
          <w:color w:val="auto"/>
          <w:sz w:val="44"/>
          <w:szCs w:val="44"/>
        </w:rPr>
      </w:pP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left="479" w:leftChars="228" w:right="0" w:firstLine="84" w:firstLineChars="26"/>
        <w:jc w:val="left"/>
        <w:outlineLvl w:val="9"/>
        <w:rPr>
          <w:rFonts w:hint="eastAsia" w:ascii="仿宋_GB2312" w:hAnsi="仿宋_GB2312" w:eastAsia="仿宋_GB2312" w:cs="仿宋_GB2312"/>
          <w:b/>
          <w:bCs/>
          <w:color w:val="auto"/>
          <w:spacing w:val="0"/>
          <w:w w:val="100"/>
          <w:position w:val="0"/>
          <w:sz w:val="32"/>
          <w:szCs w:val="32"/>
          <w:u w:val="none"/>
          <w:vertAlign w:val="baseline"/>
          <w:rtl w:val="0"/>
          <w:lang w:val="zh-TW"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项目名称：</w:t>
      </w:r>
      <w:r>
        <w:rPr>
          <w:rFonts w:hint="eastAsia" w:ascii="仿宋_GB2312" w:hAnsi="仿宋_GB2312" w:eastAsia="仿宋_GB2312" w:cs="仿宋_GB2312"/>
          <w:b/>
          <w:bCs/>
          <w:color w:val="auto"/>
          <w:spacing w:val="0"/>
          <w:w w:val="100"/>
          <w:position w:val="0"/>
          <w:sz w:val="32"/>
          <w:szCs w:val="32"/>
          <w:u w:val="none"/>
          <w:vertAlign w:val="baseline"/>
          <w:lang w:val="en-US" w:eastAsia="zh-CN" w:bidi="ar-SA"/>
        </w:rPr>
        <w:t>乌苏市人民医院卫生保洁服务托管采购项目</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left="479" w:leftChars="228" w:right="0" w:firstLine="84" w:firstLineChars="26"/>
        <w:jc w:val="left"/>
        <w:outlineLvl w:val="9"/>
        <w:rPr>
          <w:rFonts w:hint="default" w:ascii="仿宋_GB2312" w:hAnsi="仿宋_GB2312" w:eastAsia="仿宋_GB2312" w:cs="仿宋_GB2312"/>
          <w:b/>
          <w:bCs/>
          <w:color w:val="auto"/>
          <w:spacing w:val="0"/>
          <w:w w:val="100"/>
          <w:position w:val="0"/>
          <w:sz w:val="32"/>
          <w:szCs w:val="32"/>
          <w:u w:val="none"/>
          <w:vertAlign w:val="baseline"/>
          <w:rtl w:val="0"/>
          <w:lang w:val="en-US" w:eastAsia="zh-CN" w:bidi="ar-SA"/>
        </w:rPr>
      </w:pPr>
      <w:r>
        <w:rPr>
          <w:rFonts w:hint="eastAsia" w:ascii="仿宋_GB2312" w:hAnsi="仿宋_GB2312" w:eastAsia="仿宋_GB2312" w:cs="仿宋_GB2312"/>
          <w:b/>
          <w:bCs/>
          <w:color w:val="auto"/>
          <w:spacing w:val="0"/>
          <w:w w:val="100"/>
          <w:position w:val="0"/>
          <w:sz w:val="32"/>
          <w:szCs w:val="32"/>
          <w:u w:val="none"/>
          <w:vertAlign w:val="baseline"/>
          <w:lang w:val="zh-CN" w:eastAsia="zh-CN" w:bidi="ar-SA"/>
        </w:rPr>
        <w:t>采购编号：：</w:t>
      </w:r>
      <w:r>
        <w:rPr>
          <w:rFonts w:hint="eastAsia" w:ascii="仿宋_GB2312" w:hAnsi="仿宋_GB2312" w:eastAsia="仿宋_GB2312" w:cs="仿宋_GB2312"/>
          <w:b/>
          <w:bCs/>
          <w:color w:val="auto"/>
          <w:spacing w:val="0"/>
          <w:w w:val="100"/>
          <w:position w:val="0"/>
          <w:sz w:val="32"/>
          <w:szCs w:val="32"/>
          <w:u w:val="none"/>
          <w:vertAlign w:val="baseline"/>
          <w:rtl w:val="0"/>
          <w:lang w:val="zh-CN" w:eastAsia="zh-CN" w:bidi="ar-SA"/>
        </w:rPr>
        <w:t>WSZFCG(CS)202</w:t>
      </w:r>
      <w:r>
        <w:rPr>
          <w:rFonts w:hint="eastAsia" w:ascii="仿宋_GB2312" w:hAnsi="仿宋_GB2312" w:eastAsia="仿宋_GB2312" w:cs="仿宋_GB2312"/>
          <w:b/>
          <w:bCs/>
          <w:color w:val="auto"/>
          <w:spacing w:val="0"/>
          <w:w w:val="100"/>
          <w:position w:val="0"/>
          <w:sz w:val="32"/>
          <w:szCs w:val="32"/>
          <w:u w:val="none"/>
          <w:vertAlign w:val="baseline"/>
          <w:rtl w:val="0"/>
          <w:lang w:val="en-US" w:eastAsia="zh-CN" w:bidi="ar-SA"/>
        </w:rPr>
        <w:t>3</w:t>
      </w:r>
      <w:r>
        <w:rPr>
          <w:rFonts w:hint="eastAsia" w:ascii="仿宋_GB2312" w:hAnsi="仿宋_GB2312" w:eastAsia="仿宋_GB2312" w:cs="仿宋_GB2312"/>
          <w:b/>
          <w:bCs/>
          <w:color w:val="auto"/>
          <w:spacing w:val="0"/>
          <w:w w:val="100"/>
          <w:position w:val="0"/>
          <w:sz w:val="32"/>
          <w:szCs w:val="32"/>
          <w:u w:val="none"/>
          <w:vertAlign w:val="baseline"/>
          <w:rtl w:val="0"/>
          <w:lang w:val="zh-CN" w:eastAsia="zh-CN" w:bidi="ar-SA"/>
        </w:rPr>
        <w:t>-</w:t>
      </w:r>
      <w:r>
        <w:rPr>
          <w:rFonts w:hint="eastAsia" w:ascii="仿宋_GB2312" w:hAnsi="仿宋_GB2312" w:eastAsia="仿宋_GB2312" w:cs="仿宋_GB2312"/>
          <w:b/>
          <w:bCs/>
          <w:color w:val="auto"/>
          <w:spacing w:val="0"/>
          <w:w w:val="100"/>
          <w:position w:val="0"/>
          <w:sz w:val="32"/>
          <w:szCs w:val="32"/>
          <w:u w:val="none"/>
          <w:vertAlign w:val="baseline"/>
          <w:rtl w:val="0"/>
          <w:lang w:val="en-US" w:eastAsia="zh-CN" w:bidi="ar-SA"/>
        </w:rPr>
        <w:t>016</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left="479" w:leftChars="228" w:right="0" w:firstLine="84" w:firstLineChars="26"/>
        <w:jc w:val="left"/>
        <w:outlineLvl w:val="9"/>
        <w:rPr>
          <w:rFonts w:hint="default" w:ascii="仿宋_GB2312" w:hAnsi="仿宋_GB2312" w:eastAsia="仿宋_GB2312" w:cs="仿宋_GB2312"/>
          <w:b/>
          <w:bCs/>
          <w:color w:val="auto"/>
          <w:spacing w:val="0"/>
          <w:w w:val="100"/>
          <w:position w:val="0"/>
          <w:sz w:val="32"/>
          <w:szCs w:val="32"/>
          <w:u w:val="none"/>
          <w:vertAlign w:val="baseline"/>
          <w:lang w:val="en-US"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 xml:space="preserve">采购单位: </w:t>
      </w:r>
      <w:r>
        <w:rPr>
          <w:rFonts w:hint="eastAsia" w:ascii="仿宋_GB2312" w:hAnsi="仿宋_GB2312" w:eastAsia="仿宋_GB2312" w:cs="仿宋_GB2312"/>
          <w:b/>
          <w:bCs/>
          <w:color w:val="auto"/>
          <w:spacing w:val="0"/>
          <w:w w:val="100"/>
          <w:position w:val="0"/>
          <w:sz w:val="32"/>
          <w:szCs w:val="32"/>
          <w:u w:val="none"/>
          <w:vertAlign w:val="baseline"/>
          <w:rtl w:val="0"/>
          <w:lang w:val="zh-TW" w:eastAsia="zh-CN" w:bidi="ar-SA"/>
        </w:rPr>
        <w:t>乌苏市</w:t>
      </w:r>
      <w:r>
        <w:rPr>
          <w:rFonts w:hint="eastAsia" w:ascii="仿宋_GB2312" w:hAnsi="仿宋_GB2312" w:eastAsia="仿宋_GB2312" w:cs="仿宋_GB2312"/>
          <w:b/>
          <w:bCs/>
          <w:color w:val="auto"/>
          <w:spacing w:val="0"/>
          <w:w w:val="100"/>
          <w:position w:val="0"/>
          <w:sz w:val="32"/>
          <w:szCs w:val="32"/>
          <w:u w:val="none"/>
          <w:vertAlign w:val="baseline"/>
          <w:rtl w:val="0"/>
          <w:lang w:val="en-US" w:eastAsia="zh-CN" w:bidi="ar-SA"/>
        </w:rPr>
        <w:t>人民医院</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right="0"/>
        <w:jc w:val="left"/>
        <w:outlineLvl w:val="9"/>
        <w:rPr>
          <w:rFonts w:hint="eastAsia" w:ascii="宋体" w:hAnsi="宋体" w:eastAsia="宋体" w:cs="宋体"/>
          <w:b/>
          <w:bCs/>
          <w:color w:val="auto"/>
          <w:spacing w:val="0"/>
          <w:w w:val="100"/>
          <w:position w:val="0"/>
          <w:sz w:val="24"/>
          <w:szCs w:val="24"/>
          <w:u w:val="none"/>
          <w:vertAlign w:val="baseline"/>
          <w:lang w:val="en-US" w:eastAsia="zh-CN" w:bidi="ar-SA"/>
        </w:rPr>
      </w:pP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left="479" w:leftChars="228" w:right="0" w:firstLine="63" w:firstLineChars="26"/>
        <w:jc w:val="left"/>
        <w:outlineLvl w:val="9"/>
        <w:rPr>
          <w:rFonts w:hint="default" w:ascii="宋体" w:hAnsi="宋体" w:eastAsia="宋体" w:cs="宋体"/>
          <w:b/>
          <w:bCs/>
          <w:color w:val="auto"/>
          <w:spacing w:val="0"/>
          <w:w w:val="100"/>
          <w:position w:val="0"/>
          <w:sz w:val="24"/>
          <w:szCs w:val="24"/>
          <w:u w:val="none"/>
          <w:vertAlign w:val="baseline"/>
          <w:lang w:val="en-US" w:eastAsia="zh-CN" w:bidi="ar-SA"/>
        </w:rPr>
      </w:pPr>
      <w:r>
        <w:rPr>
          <w:rFonts w:hint="eastAsia" w:ascii="宋体" w:hAnsi="宋体" w:eastAsia="宋体" w:cs="宋体"/>
          <w:b/>
          <w:bCs/>
          <w:color w:val="auto"/>
          <w:spacing w:val="0"/>
          <w:w w:val="100"/>
          <w:position w:val="0"/>
          <w:sz w:val="24"/>
          <w:szCs w:val="24"/>
          <w:u w:val="none"/>
          <w:vertAlign w:val="baseline"/>
          <w:lang w:val="en-US" w:eastAsia="zh-CN" w:bidi="ar-SA"/>
        </w:rPr>
        <w:t>----------------------------------------------------------------------</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240" w:lineRule="auto"/>
        <w:ind w:left="0" w:leftChars="0" w:right="0" w:firstLine="0" w:firstLineChars="0"/>
        <w:jc w:val="left"/>
        <w:outlineLvl w:val="9"/>
        <w:rPr>
          <w:rFonts w:hint="default" w:ascii="宋体" w:hAnsi="宋体" w:eastAsia="宋体" w:cs="宋体"/>
          <w:b/>
          <w:bCs/>
          <w:color w:val="auto"/>
          <w:spacing w:val="0"/>
          <w:w w:val="100"/>
          <w:position w:val="0"/>
          <w:sz w:val="24"/>
          <w:szCs w:val="24"/>
          <w:u w:val="none"/>
          <w:vertAlign w:val="baseline"/>
          <w:lang w:val="en-US" w:eastAsia="zh-CN" w:bidi="ar-SA"/>
        </w:rPr>
      </w:pPr>
      <w:r>
        <w:rPr>
          <w:rFonts w:hint="eastAsia" w:ascii="宋体" w:hAnsi="宋体" w:eastAsia="宋体" w:cs="宋体"/>
          <w:b/>
          <w:bCs/>
          <w:color w:val="auto"/>
          <w:spacing w:val="0"/>
          <w:w w:val="100"/>
          <w:position w:val="0"/>
          <w:sz w:val="24"/>
          <w:szCs w:val="24"/>
          <w:u w:val="single"/>
          <w:vertAlign w:val="baseline"/>
          <w:lang w:val="en-US" w:eastAsia="zh-CN" w:bidi="ar-SA"/>
        </w:rPr>
        <w:t xml:space="preserve">                      </w:t>
      </w:r>
      <w:r>
        <w:rPr>
          <w:rFonts w:hint="eastAsia" w:ascii="宋体" w:hAnsi="宋体" w:eastAsia="宋体" w:cs="宋体"/>
          <w:b/>
          <w:bCs/>
          <w:color w:val="auto"/>
          <w:spacing w:val="0"/>
          <w:w w:val="100"/>
          <w:position w:val="0"/>
          <w:sz w:val="24"/>
          <w:szCs w:val="24"/>
          <w:u w:val="none"/>
          <w:vertAlign w:val="baseline"/>
          <w:lang w:val="en-US" w:eastAsia="zh-CN" w:bidi="ar-SA"/>
        </w:rPr>
        <w:t xml:space="preserve">                                                                                                 </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right="0"/>
        <w:jc w:val="left"/>
        <w:outlineLvl w:val="9"/>
        <w:rPr>
          <w:rFonts w:hint="default" w:ascii="宋体" w:hAnsi="宋体" w:eastAsia="宋体" w:cs="宋体"/>
          <w:b/>
          <w:bCs/>
          <w:color w:val="auto"/>
          <w:spacing w:val="0"/>
          <w:w w:val="100"/>
          <w:position w:val="0"/>
          <w:sz w:val="24"/>
          <w:szCs w:val="24"/>
          <w:u w:val="none"/>
          <w:vertAlign w:val="baseline"/>
          <w:lang w:val="en-US" w:eastAsia="zh-CN" w:bidi="ar-SA"/>
        </w:rPr>
      </w:pPr>
      <w:r>
        <w:rPr>
          <w:rFonts w:hint="eastAsia" w:ascii="宋体" w:hAnsi="宋体" w:eastAsia="宋体" w:cs="宋体"/>
          <w:b/>
          <w:bCs/>
          <w:color w:val="auto"/>
          <w:spacing w:val="0"/>
          <w:w w:val="100"/>
          <w:position w:val="0"/>
          <w:sz w:val="24"/>
          <w:szCs w:val="24"/>
          <w:u w:val="none"/>
          <w:vertAlign w:val="baseline"/>
          <w:lang w:val="en-US" w:eastAsia="zh-CN" w:bidi="ar-SA"/>
        </w:rPr>
        <w:t xml:space="preserve">                                                                                                                                                             </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left="479" w:leftChars="228" w:right="0" w:firstLine="84" w:firstLineChars="26"/>
        <w:jc w:val="left"/>
        <w:outlineLvl w:val="9"/>
        <w:rPr>
          <w:rFonts w:hint="eastAsia" w:ascii="仿宋_GB2312" w:hAnsi="仿宋_GB2312" w:eastAsia="仿宋_GB2312" w:cs="仿宋_GB2312"/>
          <w:b/>
          <w:bCs/>
          <w:color w:val="auto"/>
          <w:spacing w:val="0"/>
          <w:w w:val="100"/>
          <w:position w:val="0"/>
          <w:sz w:val="32"/>
          <w:szCs w:val="32"/>
          <w:u w:val="none"/>
          <w:vertAlign w:val="baseline"/>
          <w:lang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代理机构: 乌苏市政务服务中心</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left="479" w:leftChars="228" w:right="0" w:firstLine="84" w:firstLineChars="26"/>
        <w:jc w:val="left"/>
        <w:outlineLvl w:val="9"/>
        <w:rPr>
          <w:rFonts w:hint="eastAsia" w:ascii="仿宋_GB2312" w:hAnsi="仿宋_GB2312" w:eastAsia="仿宋_GB2312" w:cs="仿宋_GB2312"/>
          <w:b/>
          <w:bCs/>
          <w:color w:val="auto"/>
          <w:spacing w:val="0"/>
          <w:w w:val="100"/>
          <w:position w:val="0"/>
          <w:sz w:val="32"/>
          <w:szCs w:val="32"/>
          <w:u w:val="none"/>
          <w:vertAlign w:val="baseline"/>
          <w:lang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代理机构地址:乌苏市温州路248号（乌苏市政务服务中心</w:t>
      </w:r>
      <w:r>
        <w:rPr>
          <w:rFonts w:hint="eastAsia" w:ascii="仿宋_GB2312" w:hAnsi="仿宋_GB2312" w:eastAsia="仿宋_GB2312" w:cs="仿宋_GB2312"/>
          <w:b/>
          <w:bCs/>
          <w:color w:val="auto"/>
          <w:spacing w:val="0"/>
          <w:w w:val="100"/>
          <w:position w:val="0"/>
          <w:sz w:val="32"/>
          <w:szCs w:val="32"/>
          <w:u w:val="none"/>
          <w:vertAlign w:val="baseline"/>
          <w:lang w:val="en-US" w:eastAsia="zh-CN" w:bidi="ar-SA"/>
        </w:rPr>
        <w:t>二</w:t>
      </w:r>
      <w:r>
        <w:rPr>
          <w:rFonts w:hint="eastAsia" w:ascii="仿宋_GB2312" w:hAnsi="仿宋_GB2312" w:eastAsia="仿宋_GB2312" w:cs="仿宋_GB2312"/>
          <w:b/>
          <w:bCs/>
          <w:color w:val="auto"/>
          <w:spacing w:val="0"/>
          <w:w w:val="100"/>
          <w:position w:val="0"/>
          <w:sz w:val="32"/>
          <w:szCs w:val="32"/>
          <w:u w:val="none"/>
          <w:vertAlign w:val="baseline"/>
          <w:lang w:eastAsia="zh-CN" w:bidi="ar-SA"/>
        </w:rPr>
        <w:t>楼）</w:t>
      </w:r>
    </w:p>
    <w:p>
      <w:pPr>
        <w:framePr w:wrap="auto" w:vAnchor="margin" w:hAnchor="text" w:yAlign="inline"/>
        <w:spacing w:line="600" w:lineRule="auto"/>
        <w:ind w:firstLine="643" w:firstLineChars="200"/>
        <w:jc w:val="left"/>
        <w:rPr>
          <w:rFonts w:hint="eastAsia" w:ascii="仿宋_GB2312" w:hAnsi="仿宋_GB2312" w:eastAsia="仿宋_GB2312" w:cs="仿宋_GB2312"/>
          <w:b/>
          <w:bCs/>
          <w:color w:val="auto"/>
          <w:spacing w:val="0"/>
          <w:w w:val="100"/>
          <w:position w:val="0"/>
          <w:sz w:val="32"/>
          <w:szCs w:val="32"/>
          <w:u w:val="none"/>
          <w:vertAlign w:val="baseline"/>
          <w:lang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编制日期：20</w:t>
      </w:r>
      <w:r>
        <w:rPr>
          <w:rFonts w:hint="eastAsia" w:ascii="仿宋_GB2312" w:hAnsi="仿宋_GB2312" w:eastAsia="仿宋_GB2312" w:cs="仿宋_GB2312"/>
          <w:b/>
          <w:bCs/>
          <w:color w:val="auto"/>
          <w:spacing w:val="0"/>
          <w:w w:val="100"/>
          <w:position w:val="0"/>
          <w:sz w:val="32"/>
          <w:szCs w:val="32"/>
          <w:u w:val="none"/>
          <w:vertAlign w:val="baseline"/>
          <w:lang w:val="en-US" w:eastAsia="zh-CN" w:bidi="ar-SA"/>
        </w:rPr>
        <w:t>23</w:t>
      </w:r>
      <w:r>
        <w:rPr>
          <w:rFonts w:hint="eastAsia" w:ascii="仿宋_GB2312" w:hAnsi="仿宋_GB2312" w:eastAsia="仿宋_GB2312" w:cs="仿宋_GB2312"/>
          <w:b/>
          <w:bCs/>
          <w:color w:val="auto"/>
          <w:spacing w:val="0"/>
          <w:w w:val="100"/>
          <w:position w:val="0"/>
          <w:sz w:val="32"/>
          <w:szCs w:val="32"/>
          <w:u w:val="none"/>
          <w:vertAlign w:val="baseline"/>
          <w:lang w:eastAsia="zh-CN" w:bidi="ar-SA"/>
        </w:rPr>
        <w:t>年</w:t>
      </w:r>
      <w:r>
        <w:rPr>
          <w:rFonts w:hint="eastAsia" w:ascii="仿宋_GB2312" w:hAnsi="仿宋_GB2312" w:eastAsia="仿宋_GB2312" w:cs="仿宋_GB2312"/>
          <w:b/>
          <w:bCs/>
          <w:color w:val="auto"/>
          <w:spacing w:val="0"/>
          <w:w w:val="100"/>
          <w:position w:val="0"/>
          <w:sz w:val="32"/>
          <w:szCs w:val="32"/>
          <w:u w:val="none"/>
          <w:vertAlign w:val="baseline"/>
          <w:lang w:val="en-US" w:eastAsia="zh-CN" w:bidi="ar-SA"/>
        </w:rPr>
        <w:t>6</w:t>
      </w:r>
      <w:r>
        <w:rPr>
          <w:rFonts w:hint="eastAsia" w:ascii="仿宋_GB2312" w:hAnsi="仿宋_GB2312" w:eastAsia="仿宋_GB2312" w:cs="仿宋_GB2312"/>
          <w:b/>
          <w:bCs/>
          <w:color w:val="auto"/>
          <w:spacing w:val="0"/>
          <w:w w:val="100"/>
          <w:position w:val="0"/>
          <w:sz w:val="32"/>
          <w:szCs w:val="32"/>
          <w:u w:val="none"/>
          <w:vertAlign w:val="baseline"/>
          <w:lang w:eastAsia="zh-CN" w:bidi="ar-SA"/>
        </w:rPr>
        <w:t>月</w:t>
      </w:r>
    </w:p>
    <w:p>
      <w:pPr>
        <w:framePr w:wrap="auto" w:vAnchor="margin" w:hAnchor="text" w:yAlign="inline"/>
        <w:rPr>
          <w:rFonts w:hint="eastAsia" w:ascii="黑体" w:hAnsi="黑体" w:eastAsia="黑体" w:cs="黑体"/>
          <w:b/>
          <w:bCs/>
          <w:color w:val="auto"/>
          <w:sz w:val="32"/>
          <w:szCs w:val="32"/>
          <w:rtl w:val="0"/>
          <w:lang w:val="zh-TW" w:eastAsia="zh-TW"/>
        </w:rPr>
      </w:pPr>
    </w:p>
    <w:p>
      <w:pPr>
        <w:pStyle w:val="19"/>
        <w:rPr>
          <w:rFonts w:hint="eastAsia"/>
          <w:rtl w:val="0"/>
          <w:lang w:val="zh-TW" w:eastAsia="zh-TW"/>
        </w:rPr>
      </w:pPr>
    </w:p>
    <w:p>
      <w:pPr>
        <w:pStyle w:val="19"/>
        <w:rPr>
          <w:rFonts w:hint="eastAsia"/>
          <w:rtl w:val="0"/>
          <w:lang w:val="zh-TW" w:eastAsia="zh-TW"/>
        </w:rPr>
      </w:pPr>
    </w:p>
    <w:p>
      <w:pPr>
        <w:pStyle w:val="19"/>
        <w:rPr>
          <w:rFonts w:hint="eastAsia"/>
          <w:rtl w:val="0"/>
          <w:lang w:val="zh-TW" w:eastAsia="zh-TW"/>
        </w:rPr>
      </w:pPr>
    </w:p>
    <w:p>
      <w:pPr>
        <w:pStyle w:val="19"/>
        <w:rPr>
          <w:rFonts w:hint="eastAsia"/>
          <w:rtl w:val="0"/>
          <w:lang w:val="zh-TW" w:eastAsia="zh-TW"/>
        </w:rPr>
      </w:pPr>
    </w:p>
    <w:p>
      <w:pPr>
        <w:pStyle w:val="19"/>
        <w:rPr>
          <w:rFonts w:hint="eastAsia"/>
          <w:rtl w:val="0"/>
          <w:lang w:val="zh-TW" w:eastAsia="zh-TW"/>
        </w:rPr>
      </w:pPr>
    </w:p>
    <w:p>
      <w:pPr>
        <w:pStyle w:val="19"/>
        <w:rPr>
          <w:rFonts w:hint="eastAsia"/>
          <w:rtl w:val="0"/>
          <w:lang w:val="zh-TW" w:eastAsia="zh-TW"/>
        </w:rPr>
      </w:pP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tl w:val="0"/>
          <w:lang w:val="zh-TW" w:eastAsia="zh-TW"/>
        </w:rPr>
        <w:t>目</w:t>
      </w:r>
      <w:r>
        <w:rPr>
          <w:rFonts w:hint="eastAsia" w:ascii="仿宋_GB2312" w:hAnsi="仿宋_GB2312" w:eastAsia="仿宋_GB2312" w:cs="仿宋_GB2312"/>
          <w:b/>
          <w:bCs/>
          <w:color w:val="auto"/>
          <w:sz w:val="32"/>
          <w:szCs w:val="32"/>
          <w:lang w:val="en-US"/>
        </w:rPr>
        <w:tab/>
      </w:r>
      <w:r>
        <w:rPr>
          <w:rFonts w:hint="eastAsia" w:ascii="仿宋_GB2312" w:hAnsi="仿宋_GB2312" w:eastAsia="仿宋_GB2312" w:cs="仿宋_GB2312"/>
          <w:b/>
          <w:bCs/>
          <w:color w:val="auto"/>
          <w:sz w:val="32"/>
          <w:szCs w:val="32"/>
          <w:rtl w:val="0"/>
          <w:lang w:val="zh-TW" w:eastAsia="zh-TW"/>
        </w:rPr>
        <w:t>录</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rPr>
      </w:pP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w:t>
      </w:r>
      <w:r>
        <w:rPr>
          <w:rFonts w:hint="eastAsia" w:ascii="仿宋_GB2312" w:hAnsi="仿宋_GB2312" w:eastAsia="仿宋_GB2312" w:cs="仿宋_GB2312"/>
          <w:color w:val="auto"/>
          <w:sz w:val="32"/>
          <w:szCs w:val="32"/>
          <w:rtl w:val="0"/>
          <w:lang w:val="en-US" w:eastAsia="zh-CN"/>
        </w:rPr>
        <w:t>一</w:t>
      </w:r>
      <w:r>
        <w:rPr>
          <w:rFonts w:hint="eastAsia" w:ascii="仿宋_GB2312" w:hAnsi="仿宋_GB2312" w:eastAsia="仿宋_GB2312" w:cs="仿宋_GB2312"/>
          <w:color w:val="auto"/>
          <w:sz w:val="32"/>
          <w:szCs w:val="32"/>
          <w:rtl w:val="0"/>
          <w:lang w:val="zh-TW" w:eastAsia="zh-TW"/>
        </w:rPr>
        <w:t>部分 供应商须知附表</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w:t>
      </w:r>
      <w:r>
        <w:rPr>
          <w:rFonts w:hint="eastAsia" w:ascii="仿宋_GB2312" w:hAnsi="仿宋_GB2312" w:eastAsia="仿宋_GB2312" w:cs="仿宋_GB2312"/>
          <w:color w:val="auto"/>
          <w:sz w:val="32"/>
          <w:szCs w:val="32"/>
          <w:rtl w:val="0"/>
          <w:lang w:val="en-US" w:eastAsia="zh-CN"/>
        </w:rPr>
        <w:t>二</w:t>
      </w:r>
      <w:r>
        <w:rPr>
          <w:rFonts w:hint="eastAsia" w:ascii="仿宋_GB2312" w:hAnsi="仿宋_GB2312" w:eastAsia="仿宋_GB2312" w:cs="仿宋_GB2312"/>
          <w:color w:val="auto"/>
          <w:sz w:val="32"/>
          <w:szCs w:val="32"/>
          <w:rtl w:val="0"/>
          <w:lang w:val="zh-TW" w:eastAsia="zh-TW"/>
        </w:rPr>
        <w:t>部分 供应商须知</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w:t>
      </w:r>
      <w:r>
        <w:rPr>
          <w:rFonts w:hint="eastAsia" w:ascii="仿宋_GB2312" w:hAnsi="仿宋_GB2312" w:eastAsia="仿宋_GB2312" w:cs="仿宋_GB2312"/>
          <w:color w:val="auto"/>
          <w:sz w:val="32"/>
          <w:szCs w:val="32"/>
          <w:rtl w:val="0"/>
          <w:lang w:val="en-US" w:eastAsia="zh-CN"/>
        </w:rPr>
        <w:t>三</w:t>
      </w:r>
      <w:r>
        <w:rPr>
          <w:rFonts w:hint="eastAsia" w:ascii="仿宋_GB2312" w:hAnsi="仿宋_GB2312" w:eastAsia="仿宋_GB2312" w:cs="仿宋_GB2312"/>
          <w:color w:val="auto"/>
          <w:sz w:val="32"/>
          <w:szCs w:val="32"/>
          <w:rtl w:val="0"/>
          <w:lang w:val="zh-TW" w:eastAsia="zh-TW"/>
        </w:rPr>
        <w:t>部分 评审方法和评分细则</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lang w:val="en-US" w:eastAsia="zh-CN"/>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四</w:t>
      </w:r>
      <w:r>
        <w:rPr>
          <w:rFonts w:hint="eastAsia" w:ascii="仿宋_GB2312" w:hAnsi="仿宋_GB2312" w:eastAsia="仿宋_GB2312" w:cs="仿宋_GB2312"/>
          <w:color w:val="auto"/>
          <w:sz w:val="32"/>
          <w:szCs w:val="32"/>
          <w:u w:color="000000"/>
          <w:rtl w:val="0"/>
          <w:lang w:val="zh-TW" w:eastAsia="zh-TW"/>
        </w:rPr>
        <w:t>部分</w:t>
      </w:r>
      <w:r>
        <w:rPr>
          <w:rFonts w:hint="eastAsia" w:ascii="仿宋_GB2312" w:hAnsi="仿宋_GB2312" w:eastAsia="仿宋_GB2312" w:cs="仿宋_GB2312"/>
          <w:color w:val="auto"/>
          <w:sz w:val="32"/>
          <w:szCs w:val="32"/>
          <w:u w:color="000000"/>
          <w:rtl w:val="0"/>
          <w:lang w:val="en-US" w:eastAsia="zh-CN"/>
        </w:rPr>
        <w:t xml:space="preserve"> 技术参数</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lang w:val="en-US" w:eastAsia="zh-CN"/>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五</w:t>
      </w:r>
      <w:r>
        <w:rPr>
          <w:rFonts w:hint="eastAsia" w:ascii="仿宋_GB2312" w:hAnsi="仿宋_GB2312" w:eastAsia="仿宋_GB2312" w:cs="仿宋_GB2312"/>
          <w:color w:val="auto"/>
          <w:sz w:val="32"/>
          <w:szCs w:val="32"/>
          <w:u w:color="000000"/>
          <w:rtl w:val="0"/>
          <w:lang w:val="zh-TW" w:eastAsia="zh-TW"/>
        </w:rPr>
        <w:t xml:space="preserve">部分 </w:t>
      </w:r>
      <w:r>
        <w:rPr>
          <w:rFonts w:hint="eastAsia" w:ascii="仿宋_GB2312" w:hAnsi="仿宋_GB2312" w:eastAsia="仿宋_GB2312" w:cs="仿宋_GB2312"/>
          <w:color w:val="auto"/>
          <w:sz w:val="32"/>
          <w:szCs w:val="32"/>
          <w:u w:color="000000"/>
          <w:rtl w:val="0"/>
          <w:lang w:val="en-US" w:eastAsia="zh-CN"/>
        </w:rPr>
        <w:t>响应文件格式</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rtl w:val="0"/>
          <w:lang w:val="zh-TW" w:eastAsia="zh-TW"/>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六</w:t>
      </w:r>
      <w:r>
        <w:rPr>
          <w:rFonts w:hint="eastAsia" w:ascii="仿宋_GB2312" w:hAnsi="仿宋_GB2312" w:eastAsia="仿宋_GB2312" w:cs="仿宋_GB2312"/>
          <w:color w:val="auto"/>
          <w:sz w:val="32"/>
          <w:szCs w:val="32"/>
          <w:u w:color="000000"/>
          <w:rtl w:val="0"/>
          <w:lang w:val="zh-TW" w:eastAsia="zh-TW"/>
        </w:rPr>
        <w:t xml:space="preserve">部分 附件 </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rtl w:val="0"/>
          <w:lang w:val="zh-TW" w:eastAsia="zh-TW"/>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七</w:t>
      </w:r>
      <w:r>
        <w:rPr>
          <w:rFonts w:hint="eastAsia" w:ascii="仿宋_GB2312" w:hAnsi="仿宋_GB2312" w:eastAsia="仿宋_GB2312" w:cs="仿宋_GB2312"/>
          <w:color w:val="auto"/>
          <w:sz w:val="32"/>
          <w:szCs w:val="32"/>
          <w:u w:color="000000"/>
          <w:rtl w:val="0"/>
          <w:lang w:val="zh-TW" w:eastAsia="zh-TW"/>
        </w:rPr>
        <w:t>部分</w:t>
      </w:r>
      <w:r>
        <w:rPr>
          <w:rFonts w:hint="eastAsia" w:ascii="仿宋_GB2312" w:hAnsi="仿宋_GB2312" w:eastAsia="仿宋_GB2312" w:cs="仿宋_GB2312"/>
          <w:color w:val="auto"/>
          <w:sz w:val="32"/>
          <w:szCs w:val="32"/>
          <w:u w:color="000000"/>
          <w:rtl w:val="0"/>
          <w:lang w:val="en-US" w:eastAsia="zh-CN"/>
        </w:rPr>
        <w:t xml:space="preserve"> </w:t>
      </w:r>
      <w:r>
        <w:rPr>
          <w:rFonts w:hint="eastAsia" w:ascii="仿宋_GB2312" w:hAnsi="仿宋_GB2312" w:eastAsia="仿宋_GB2312" w:cs="仿宋_GB2312"/>
          <w:color w:val="auto"/>
          <w:sz w:val="32"/>
          <w:szCs w:val="32"/>
          <w:u w:color="000000"/>
          <w:rtl w:val="0"/>
          <w:lang w:val="zh-TW" w:eastAsia="zh-TW"/>
        </w:rPr>
        <w:t>服务需求</w:t>
      </w:r>
      <w:r>
        <w:rPr>
          <w:rFonts w:hint="eastAsia" w:ascii="仿宋_GB2312" w:hAnsi="仿宋_GB2312" w:eastAsia="仿宋_GB2312" w:cs="仿宋_GB2312"/>
          <w:color w:val="auto"/>
          <w:sz w:val="32"/>
          <w:szCs w:val="32"/>
          <w:u w:color="000000"/>
          <w:rtl w:val="0"/>
          <w:lang w:val="en-US" w:eastAsia="zh-CN"/>
        </w:rPr>
        <w:t xml:space="preserve"> </w:t>
      </w:r>
      <w:r>
        <w:rPr>
          <w:rFonts w:hint="eastAsia" w:ascii="仿宋_GB2312" w:hAnsi="仿宋_GB2312" w:eastAsia="仿宋_GB2312" w:cs="仿宋_GB2312"/>
          <w:color w:val="auto"/>
          <w:sz w:val="32"/>
          <w:szCs w:val="32"/>
          <w:u w:color="000000"/>
          <w:rtl w:val="0"/>
          <w:lang w:val="zh-TW" w:eastAsia="zh-TW"/>
        </w:rPr>
        <w:t>投标人技术支持和售后服务承诺</w:t>
      </w:r>
    </w:p>
    <w:p>
      <w:pPr>
        <w:framePr w:wrap="auto" w:vAnchor="margin" w:hAnchor="text" w:yAlign="inline"/>
        <w:rPr>
          <w:color w:val="auto"/>
          <w:sz w:val="32"/>
          <w:szCs w:val="32"/>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pStyle w:val="4"/>
        <w:framePr w:wrap="auto" w:vAnchor="margin" w:hAnchor="text" w:yAlign="inline"/>
        <w:rPr>
          <w:color w:val="auto"/>
        </w:rPr>
      </w:pPr>
    </w:p>
    <w:p>
      <w:pPr>
        <w:framePr w:wrap="auto" w:vAnchor="margin" w:hAnchor="text" w:yAlign="inline"/>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tabs>
          <w:tab w:val="left" w:pos="1588"/>
          <w:tab w:val="center" w:pos="4216"/>
        </w:tabs>
        <w:spacing w:line="500" w:lineRule="exact"/>
        <w:jc w:val="both"/>
        <w:rPr>
          <w:rFonts w:hint="eastAsia" w:ascii="宋体" w:hAnsi="宋体" w:eastAsia="宋体" w:cs="宋体"/>
          <w:b/>
          <w:bCs/>
          <w:color w:val="auto"/>
          <w:sz w:val="36"/>
          <w:szCs w:val="36"/>
          <w:rtl w:val="0"/>
          <w:lang w:val="zh-TW" w:eastAsia="zh-TW"/>
        </w:rPr>
      </w:pPr>
    </w:p>
    <w:p>
      <w:pPr>
        <w:framePr w:wrap="auto" w:vAnchor="margin" w:hAnchor="text" w:yAlign="inline"/>
        <w:shd w:val="clear" w:color="auto" w:fill="auto"/>
        <w:spacing w:line="520" w:lineRule="exact"/>
        <w:ind w:firstLine="643" w:firstLineChars="200"/>
        <w:jc w:val="center"/>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b/>
          <w:bCs/>
          <w:color w:val="auto"/>
          <w:sz w:val="32"/>
          <w:szCs w:val="32"/>
          <w:rtl w:val="0"/>
          <w:lang w:val="zh-TW" w:eastAsia="zh-TW"/>
        </w:rPr>
        <w:t>乌苏市</w:t>
      </w:r>
      <w:r>
        <w:rPr>
          <w:rFonts w:hint="eastAsia" w:ascii="仿宋_GB2312" w:hAnsi="仿宋_GB2312" w:eastAsia="仿宋_GB2312" w:cs="仿宋_GB2312"/>
          <w:b/>
          <w:bCs/>
          <w:color w:val="auto"/>
          <w:sz w:val="32"/>
          <w:szCs w:val="32"/>
          <w:rtl w:val="0"/>
          <w:lang w:val="en-US" w:eastAsia="zh-CN"/>
        </w:rPr>
        <w:t>人民医院卫生保洁服务托管采购项目</w:t>
      </w:r>
      <w:r>
        <w:rPr>
          <w:rFonts w:hint="eastAsia" w:ascii="仿宋_GB2312" w:hAnsi="仿宋_GB2312" w:eastAsia="仿宋_GB2312" w:cs="仿宋_GB2312"/>
          <w:b/>
          <w:bCs/>
          <w:color w:val="auto"/>
          <w:sz w:val="32"/>
          <w:szCs w:val="32"/>
          <w:rtl w:val="0"/>
          <w:lang w:val="zh-TW" w:eastAsia="zh-TW"/>
        </w:rPr>
        <w:t>竞争性磋商公告</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乌苏市政务服务中心受乌苏市</w:t>
      </w:r>
      <w:r>
        <w:rPr>
          <w:rFonts w:hint="eastAsia" w:ascii="仿宋_GB2312" w:hAnsi="仿宋_GB2312" w:eastAsia="仿宋_GB2312" w:cs="仿宋_GB2312"/>
          <w:color w:val="auto"/>
          <w:sz w:val="32"/>
          <w:szCs w:val="32"/>
          <w:rtl w:val="0"/>
          <w:lang w:val="en-US" w:eastAsia="zh-CN"/>
        </w:rPr>
        <w:t>人民医院</w:t>
      </w:r>
      <w:r>
        <w:rPr>
          <w:rFonts w:hint="eastAsia" w:ascii="仿宋_GB2312" w:hAnsi="仿宋_GB2312" w:eastAsia="仿宋_GB2312" w:cs="仿宋_GB2312"/>
          <w:color w:val="auto"/>
          <w:sz w:val="32"/>
          <w:szCs w:val="32"/>
          <w:rtl w:val="0"/>
          <w:lang w:val="zh-TW" w:eastAsia="zh-TW"/>
        </w:rPr>
        <w:t>的委托，就乌苏市人民医院卫生保洁服务托管采购项目进行竞争性磋商招标。</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一、</w:t>
      </w:r>
      <w:r>
        <w:rPr>
          <w:rFonts w:hint="eastAsia" w:ascii="仿宋_GB2312" w:hAnsi="仿宋_GB2312" w:eastAsia="仿宋_GB2312" w:cs="仿宋_GB2312"/>
          <w:color w:val="auto"/>
          <w:sz w:val="32"/>
          <w:szCs w:val="32"/>
          <w:rtl w:val="0"/>
          <w:lang w:val="zh-TW" w:eastAsia="zh-TW"/>
        </w:rPr>
        <w:t>采购名称：乌苏市人民医院卫生保洁服务托管采购项目</w:t>
      </w:r>
    </w:p>
    <w:p>
      <w:pPr>
        <w:framePr w:wrap="auto" w:vAnchor="margin" w:hAnchor="text" w:yAlign="inline"/>
        <w:shd w:val="clear" w:color="auto" w:fill="auto"/>
        <w:spacing w:line="520" w:lineRule="exact"/>
        <w:ind w:firstLine="640" w:firstLineChars="200"/>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二、</w:t>
      </w:r>
      <w:r>
        <w:rPr>
          <w:rFonts w:hint="eastAsia" w:ascii="仿宋_GB2312" w:hAnsi="仿宋_GB2312" w:eastAsia="仿宋_GB2312" w:cs="仿宋_GB2312"/>
          <w:color w:val="auto"/>
          <w:sz w:val="32"/>
          <w:szCs w:val="32"/>
          <w:rtl w:val="0"/>
          <w:lang w:val="zh-TW" w:eastAsia="zh-TW"/>
        </w:rPr>
        <w:t>采购项目编号：WSZFCG(CS)202</w:t>
      </w: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-0</w:t>
      </w:r>
      <w:r>
        <w:rPr>
          <w:rFonts w:hint="eastAsia" w:ascii="仿宋_GB2312" w:hAnsi="仿宋_GB2312" w:eastAsia="仿宋_GB2312" w:cs="仿宋_GB2312"/>
          <w:color w:val="auto"/>
          <w:sz w:val="32"/>
          <w:szCs w:val="32"/>
          <w:rtl w:val="0"/>
          <w:lang w:val="en-US" w:eastAsia="zh-CN"/>
        </w:rPr>
        <w:t>16</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三、</w:t>
      </w:r>
      <w:r>
        <w:rPr>
          <w:rFonts w:hint="eastAsia" w:ascii="仿宋_GB2312" w:hAnsi="仿宋_GB2312" w:eastAsia="仿宋_GB2312" w:cs="仿宋_GB2312"/>
          <w:color w:val="auto"/>
          <w:sz w:val="32"/>
          <w:szCs w:val="32"/>
          <w:rtl w:val="0"/>
          <w:lang w:val="zh-TW" w:eastAsia="zh-TW"/>
        </w:rPr>
        <w:t>采购单位：乌苏市</w:t>
      </w:r>
      <w:r>
        <w:rPr>
          <w:rFonts w:hint="eastAsia" w:ascii="仿宋_GB2312" w:hAnsi="仿宋_GB2312" w:eastAsia="仿宋_GB2312" w:cs="仿宋_GB2312"/>
          <w:color w:val="auto"/>
          <w:sz w:val="32"/>
          <w:szCs w:val="32"/>
          <w:rtl w:val="0"/>
          <w:lang w:val="en-US" w:eastAsia="zh-CN"/>
        </w:rPr>
        <w:t>人民医院</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四、</w:t>
      </w:r>
      <w:r>
        <w:rPr>
          <w:rFonts w:hint="eastAsia" w:ascii="仿宋_GB2312" w:hAnsi="仿宋_GB2312" w:eastAsia="仿宋_GB2312" w:cs="仿宋_GB2312"/>
          <w:color w:val="auto"/>
          <w:sz w:val="32"/>
          <w:szCs w:val="32"/>
          <w:rtl w:val="0"/>
          <w:lang w:val="zh-TW" w:eastAsia="zh-TW"/>
        </w:rPr>
        <w:t>本项目最高限价：人民币</w:t>
      </w:r>
      <w:r>
        <w:rPr>
          <w:rFonts w:hint="eastAsia" w:ascii="仿宋_GB2312" w:hAnsi="仿宋_GB2312" w:eastAsia="仿宋_GB2312" w:cs="仿宋_GB2312"/>
          <w:color w:val="auto"/>
          <w:sz w:val="32"/>
          <w:szCs w:val="32"/>
          <w:rtl w:val="0"/>
          <w:lang w:val="en-US" w:eastAsia="zh-CN"/>
        </w:rPr>
        <w:t>1200000</w:t>
      </w:r>
      <w:r>
        <w:rPr>
          <w:rFonts w:hint="eastAsia" w:ascii="仿宋_GB2312" w:hAnsi="仿宋_GB2312" w:eastAsia="仿宋_GB2312" w:cs="仿宋_GB2312"/>
          <w:color w:val="auto"/>
          <w:sz w:val="32"/>
          <w:szCs w:val="32"/>
          <w:rtl w:val="0"/>
          <w:lang w:val="zh-TW" w:eastAsia="zh-TW"/>
        </w:rPr>
        <w:t>元</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五、</w:t>
      </w:r>
      <w:r>
        <w:rPr>
          <w:rFonts w:hint="eastAsia" w:ascii="仿宋_GB2312" w:hAnsi="仿宋_GB2312" w:eastAsia="仿宋_GB2312" w:cs="仿宋_GB2312"/>
          <w:color w:val="auto"/>
          <w:sz w:val="32"/>
          <w:szCs w:val="32"/>
          <w:rtl w:val="0"/>
          <w:lang w:val="zh-TW" w:eastAsia="zh-TW"/>
        </w:rPr>
        <w:t>采购内容：乌苏市</w:t>
      </w:r>
      <w:r>
        <w:rPr>
          <w:rFonts w:hint="eastAsia" w:ascii="仿宋_GB2312" w:hAnsi="仿宋_GB2312" w:eastAsia="仿宋_GB2312" w:cs="仿宋_GB2312"/>
          <w:color w:val="auto"/>
          <w:sz w:val="32"/>
          <w:szCs w:val="32"/>
          <w:rtl w:val="0"/>
          <w:lang w:val="en-US" w:eastAsia="zh-CN"/>
        </w:rPr>
        <w:t>人民医院卫生保洁服务托管</w:t>
      </w:r>
      <w:r>
        <w:rPr>
          <w:rFonts w:hint="eastAsia" w:ascii="仿宋_GB2312" w:hAnsi="仿宋_GB2312" w:eastAsia="仿宋_GB2312" w:cs="仿宋_GB2312"/>
          <w:color w:val="auto"/>
          <w:sz w:val="32"/>
          <w:szCs w:val="32"/>
          <w:rtl w:val="0"/>
          <w:lang w:val="zh-TW" w:eastAsia="zh-TW"/>
        </w:rPr>
        <w:t>采购</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六、投标人资格：</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1、符合《中华人民共和国政府采购法》第22条规定;</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供应商必须是中华人民共和国境内注册的，且为中小企业；</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、有效的营业执照或加盖公章的复印件；</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4</w:t>
      </w:r>
      <w:r>
        <w:rPr>
          <w:rFonts w:hint="eastAsia" w:ascii="仿宋_GB2312" w:hAnsi="仿宋_GB2312" w:eastAsia="仿宋_GB2312" w:cs="仿宋_GB2312"/>
          <w:color w:val="auto"/>
          <w:sz w:val="32"/>
          <w:szCs w:val="32"/>
          <w:rtl w:val="0"/>
          <w:lang w:val="zh-TW" w:eastAsia="zh-TW"/>
        </w:rPr>
        <w:t>、被授权人提供法定代表人授权委托书及被委托人身份证原件及复印件；法定代表人提供法定代表人身份证明书及身份证原件及复印件；</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5、</w:t>
      </w:r>
      <w:r>
        <w:rPr>
          <w:rFonts w:hint="eastAsia" w:ascii="仿宋_GB2312" w:hAnsi="仿宋_GB2312" w:eastAsia="仿宋_GB2312" w:cs="仿宋_GB2312"/>
          <w:color w:val="auto"/>
          <w:sz w:val="32"/>
          <w:szCs w:val="32"/>
          <w:rtl w:val="0"/>
          <w:lang w:val="zh-TW" w:eastAsia="zh-TW"/>
        </w:rPr>
        <w:t>具有独立承担民事责任的能力及具有良好的商业信誉和健全的财务会计制度；</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TW"/>
        </w:rPr>
        <w:t>具有履行合同所必须的设备和专业技术能力及具有依法缴纳税收和社会保障资金的良好记录；</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zh-TW" w:eastAsia="zh-TW"/>
        </w:rPr>
        <w:t>参加本次政府采购活动前三年内，在经营活动中没有重大违法记录及参加本次政府采购活动近三年来，投标人及其法定代表人（主要负责人）无行贿犯罪记录；</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8</w:t>
      </w:r>
      <w:r>
        <w:rPr>
          <w:rFonts w:hint="eastAsia" w:ascii="仿宋_GB2312" w:hAnsi="仿宋_GB2312" w:eastAsia="仿宋_GB2312" w:cs="仿宋_GB2312"/>
          <w:color w:val="auto"/>
          <w:sz w:val="32"/>
          <w:szCs w:val="32"/>
          <w:rtl w:val="0"/>
          <w:lang w:val="zh-TW" w:eastAsia="zh-TW"/>
        </w:rPr>
        <w:t>、不接受任何形式的联合体投标。</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六、获取文件时间：2023年</w:t>
      </w: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TW"/>
        </w:rPr>
        <w:t>月</w:t>
      </w: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日至2023年6月</w:t>
      </w:r>
      <w:r>
        <w:rPr>
          <w:rFonts w:hint="eastAsia" w:ascii="仿宋_GB2312" w:hAnsi="仿宋_GB2312" w:eastAsia="仿宋_GB2312" w:cs="仿宋_GB2312"/>
          <w:color w:val="auto"/>
          <w:sz w:val="32"/>
          <w:szCs w:val="32"/>
          <w:rtl w:val="0"/>
          <w:lang w:val="en-US" w:eastAsia="zh-CN"/>
        </w:rPr>
        <w:t>9</w:t>
      </w:r>
      <w:r>
        <w:rPr>
          <w:rFonts w:hint="eastAsia" w:ascii="仿宋_GB2312" w:hAnsi="仿宋_GB2312" w:eastAsia="仿宋_GB2312" w:cs="仿宋_GB2312"/>
          <w:color w:val="auto"/>
          <w:sz w:val="32"/>
          <w:szCs w:val="32"/>
          <w:rtl w:val="0"/>
          <w:lang w:val="zh-TW" w:eastAsia="zh-TW"/>
        </w:rPr>
        <w:t>日每天00:00-12:00，12:00-23:59（北京时间，法定节假日除外）。</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获取文件地址：政采云平台https://zcygov.cn/</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获取文件方式：供应商登录政采云平台https://zcygov.cn/在线申请获取采购文件（进入“项目采购”应用，在获取采购文件菜单中选择项目，申请获取采购文件）</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七、磋商文件售价：0</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八、响应文件递交截止时间及磋商时间：2023年6月</w:t>
      </w:r>
      <w:r>
        <w:rPr>
          <w:rFonts w:hint="eastAsia" w:ascii="仿宋_GB2312" w:hAnsi="仿宋_GB2312" w:eastAsia="仿宋_GB2312" w:cs="仿宋_GB2312"/>
          <w:color w:val="auto"/>
          <w:sz w:val="32"/>
          <w:szCs w:val="32"/>
          <w:rtl w:val="0"/>
          <w:lang w:val="en-US" w:eastAsia="zh-CN"/>
        </w:rPr>
        <w:t>13</w:t>
      </w:r>
      <w:r>
        <w:rPr>
          <w:rFonts w:hint="eastAsia" w:ascii="仿宋_GB2312" w:hAnsi="仿宋_GB2312" w:eastAsia="仿宋_GB2312" w:cs="仿宋_GB2312"/>
          <w:color w:val="auto"/>
          <w:sz w:val="32"/>
          <w:szCs w:val="32"/>
          <w:rtl w:val="0"/>
          <w:lang w:val="zh-TW" w:eastAsia="zh-TW"/>
        </w:rPr>
        <w:t>日</w:t>
      </w:r>
      <w:r>
        <w:rPr>
          <w:rFonts w:hint="eastAsia" w:ascii="仿宋_GB2312" w:hAnsi="仿宋_GB2312" w:eastAsia="仿宋_GB2312" w:cs="仿宋_GB2312"/>
          <w:color w:val="auto"/>
          <w:sz w:val="32"/>
          <w:szCs w:val="32"/>
          <w:rtl w:val="0"/>
          <w:lang w:val="en-US" w:eastAsia="zh-CN"/>
        </w:rPr>
        <w:t>16:30</w:t>
      </w:r>
      <w:r>
        <w:rPr>
          <w:rFonts w:hint="eastAsia" w:ascii="仿宋_GB2312" w:hAnsi="仿宋_GB2312" w:eastAsia="仿宋_GB2312" w:cs="仿宋_GB2312"/>
          <w:color w:val="auto"/>
          <w:sz w:val="32"/>
          <w:szCs w:val="32"/>
          <w:rtl w:val="0"/>
          <w:lang w:val="zh-TW" w:eastAsia="zh-TW"/>
        </w:rPr>
        <w:t>时00分（北京时间）</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九、磋商地点: 政采云平台https://zcygov.cn/</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CN"/>
        </w:rPr>
      </w:pPr>
      <w:r>
        <w:rPr>
          <w:rFonts w:hint="eastAsia" w:ascii="仿宋_GB2312" w:hAnsi="仿宋_GB2312" w:eastAsia="仿宋_GB2312" w:cs="仿宋_GB2312"/>
          <w:color w:val="auto"/>
          <w:sz w:val="32"/>
          <w:szCs w:val="32"/>
          <w:rtl w:val="0"/>
          <w:lang w:val="zh-TW" w:eastAsia="zh-TW"/>
        </w:rPr>
        <w:t>十、采 购 人：乌苏市</w:t>
      </w:r>
      <w:r>
        <w:rPr>
          <w:rFonts w:hint="eastAsia" w:ascii="仿宋_GB2312" w:hAnsi="仿宋_GB2312" w:eastAsia="仿宋_GB2312" w:cs="仿宋_GB2312"/>
          <w:color w:val="auto"/>
          <w:sz w:val="32"/>
          <w:szCs w:val="32"/>
          <w:rtl w:val="0"/>
          <w:lang w:val="en-US" w:eastAsia="zh-CN"/>
        </w:rPr>
        <w:t>人民医院</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CN"/>
        </w:rPr>
      </w:pPr>
      <w:r>
        <w:rPr>
          <w:rFonts w:hint="eastAsia" w:ascii="仿宋_GB2312" w:hAnsi="仿宋_GB2312" w:eastAsia="仿宋_GB2312" w:cs="仿宋_GB2312"/>
          <w:color w:val="auto"/>
          <w:sz w:val="32"/>
          <w:szCs w:val="32"/>
          <w:rtl w:val="0"/>
          <w:lang w:val="zh-TW" w:eastAsia="zh-TW"/>
        </w:rPr>
        <w:t>联系人：</w:t>
      </w:r>
      <w:r>
        <w:rPr>
          <w:rFonts w:hint="eastAsia" w:ascii="仿宋_GB2312" w:hAnsi="仿宋_GB2312" w:eastAsia="仿宋_GB2312" w:cs="仿宋_GB2312"/>
          <w:color w:val="auto"/>
          <w:sz w:val="32"/>
          <w:szCs w:val="32"/>
          <w:rtl w:val="0"/>
          <w:lang w:val="en-US" w:eastAsia="zh-CN"/>
        </w:rPr>
        <w:t>李明明</w:t>
      </w:r>
    </w:p>
    <w:p>
      <w:pPr>
        <w:framePr w:wrap="auto" w:vAnchor="margin" w:hAnchor="text" w:yAlign="inline"/>
        <w:shd w:val="clear" w:color="auto" w:fill="auto"/>
        <w:spacing w:line="520" w:lineRule="exact"/>
        <w:ind w:firstLine="640" w:firstLineChars="200"/>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TW"/>
        </w:rPr>
        <w:t>联系电话：</w:t>
      </w:r>
      <w:r>
        <w:rPr>
          <w:rFonts w:hint="eastAsia" w:ascii="仿宋_GB2312" w:hAnsi="仿宋_GB2312" w:eastAsia="仿宋_GB2312" w:cs="仿宋_GB2312"/>
          <w:color w:val="auto"/>
          <w:sz w:val="32"/>
          <w:szCs w:val="32"/>
          <w:rtl w:val="0"/>
          <w:lang w:val="en-US" w:eastAsia="zh-CN"/>
        </w:rPr>
        <w:t>15009922811</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TW"/>
        </w:rPr>
        <w:t>采购人地址：乌苏市</w:t>
      </w:r>
      <w:r>
        <w:rPr>
          <w:rFonts w:hint="eastAsia" w:ascii="仿宋_GB2312" w:hAnsi="仿宋_GB2312" w:eastAsia="仿宋_GB2312" w:cs="仿宋_GB2312"/>
          <w:color w:val="auto"/>
          <w:sz w:val="32"/>
          <w:szCs w:val="32"/>
          <w:rtl w:val="0"/>
          <w:lang w:val="en-US" w:eastAsia="zh-CN"/>
        </w:rPr>
        <w:t>人民医院</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十一、采购代理机构：乌苏市政务服务中心</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联 系 人：米格娜依 联系电话：0992-8507872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TW" w:eastAsia="zh-TW"/>
        </w:rPr>
        <w:t xml:space="preserve"> 乌苏市政务服务中心</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2023年</w:t>
      </w: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TW"/>
        </w:rPr>
        <w:t>月</w:t>
      </w: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日</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bookmarkStart w:id="15" w:name="_GoBack"/>
      <w:bookmarkEnd w:id="15"/>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ind w:firstLine="2650" w:firstLineChars="600"/>
        <w:rPr>
          <w:rFonts w:hint="eastAsia" w:ascii="方正小标宋简体" w:hAnsi="方正小标宋简体" w:eastAsia="方正小标宋简体" w:cs="方正小标宋简体"/>
          <w:b/>
          <w:bCs/>
          <w:color w:val="auto"/>
          <w:sz w:val="44"/>
          <w:szCs w:val="44"/>
          <w:rtl w:val="0"/>
          <w:lang w:val="zh-TW" w:eastAsia="zh-TW"/>
        </w:rPr>
      </w:pPr>
    </w:p>
    <w:p>
      <w:pPr>
        <w:framePr w:wrap="auto" w:vAnchor="margin" w:hAnchor="text" w:yAlign="inline"/>
        <w:rPr>
          <w:rFonts w:hint="eastAsia"/>
          <w:rtl w:val="0"/>
          <w:lang w:val="zh-TW" w:eastAsia="zh-TW"/>
        </w:rPr>
      </w:pPr>
    </w:p>
    <w:p>
      <w:pPr>
        <w:pStyle w:val="4"/>
        <w:framePr w:wrap="auto" w:vAnchor="margin" w:hAnchor="text" w:yAlign="inline"/>
        <w:rPr>
          <w:rFonts w:hint="eastAsia"/>
          <w:rtl w:val="0"/>
          <w:lang w:val="zh-TW" w:eastAsia="zh-TW"/>
        </w:rPr>
      </w:pPr>
    </w:p>
    <w:p>
      <w:pPr>
        <w:framePr w:wrap="auto" w:vAnchor="margin" w:hAnchor="text" w:yAlign="inline"/>
        <w:rPr>
          <w:rFonts w:hint="eastAsia"/>
          <w:rtl w:val="0"/>
          <w:lang w:val="zh-TW" w:eastAsia="zh-TW"/>
        </w:rPr>
      </w:pPr>
    </w:p>
    <w:p>
      <w:pPr>
        <w:pStyle w:val="4"/>
        <w:framePr w:wrap="auto" w:vAnchor="margin" w:hAnchor="text" w:yAlign="inline"/>
        <w:rPr>
          <w:rFonts w:hint="eastAsia"/>
          <w:rtl w:val="0"/>
          <w:lang w:val="zh-TW" w:eastAsia="zh-TW"/>
        </w:rPr>
      </w:pPr>
    </w:p>
    <w:p>
      <w:pPr>
        <w:framePr w:wrap="auto" w:vAnchor="margin" w:hAnchor="text" w:yAlign="inline"/>
        <w:spacing w:line="520" w:lineRule="exact"/>
        <w:ind w:firstLine="2168"/>
        <w:rPr>
          <w:rFonts w:hint="eastAsia" w:ascii="黑体" w:hAnsi="黑体" w:eastAsia="黑体" w:cs="黑体"/>
          <w:b/>
          <w:bCs/>
          <w:color w:val="auto"/>
          <w:sz w:val="32"/>
          <w:szCs w:val="32"/>
          <w:rtl w:val="0"/>
          <w:lang w:val="zh-TW" w:eastAsia="zh-TW"/>
        </w:rPr>
      </w:pPr>
      <w:bookmarkStart w:id="0" w:name="packageCount"/>
    </w:p>
    <w:p>
      <w:pPr>
        <w:framePr w:wrap="auto" w:vAnchor="margin" w:hAnchor="text" w:yAlign="inline"/>
        <w:spacing w:line="520" w:lineRule="exact"/>
        <w:ind w:firstLine="2168"/>
        <w:rPr>
          <w:rFonts w:hint="eastAsia" w:ascii="黑体" w:hAnsi="黑体" w:eastAsia="黑体" w:cs="黑体"/>
          <w:b/>
          <w:bCs/>
          <w:color w:val="auto"/>
          <w:sz w:val="32"/>
          <w:szCs w:val="32"/>
        </w:rPr>
      </w:pPr>
      <w:r>
        <w:rPr>
          <w:rFonts w:hint="eastAsia" w:ascii="黑体" w:hAnsi="黑体" w:eastAsia="黑体" w:cs="黑体"/>
          <w:b/>
          <w:bCs/>
          <w:color w:val="auto"/>
          <w:sz w:val="32"/>
          <w:szCs w:val="32"/>
          <w:rtl w:val="0"/>
          <w:lang w:val="zh-TW" w:eastAsia="zh-TW"/>
        </w:rPr>
        <w:t>第</w:t>
      </w:r>
      <w:r>
        <w:rPr>
          <w:rFonts w:hint="eastAsia" w:ascii="黑体" w:hAnsi="黑体" w:eastAsia="黑体" w:cs="黑体"/>
          <w:b/>
          <w:bCs/>
          <w:color w:val="auto"/>
          <w:sz w:val="32"/>
          <w:szCs w:val="32"/>
          <w:rtl w:val="0"/>
          <w:lang w:val="en-US" w:eastAsia="zh-CN"/>
        </w:rPr>
        <w:t>一</w:t>
      </w:r>
      <w:r>
        <w:rPr>
          <w:rFonts w:hint="eastAsia" w:ascii="黑体" w:hAnsi="黑体" w:eastAsia="黑体" w:cs="黑体"/>
          <w:b/>
          <w:bCs/>
          <w:color w:val="auto"/>
          <w:sz w:val="32"/>
          <w:szCs w:val="32"/>
          <w:rtl w:val="0"/>
          <w:lang w:val="zh-TW" w:eastAsia="zh-TW"/>
        </w:rPr>
        <w:t>部分</w:t>
      </w:r>
      <w:r>
        <w:rPr>
          <w:rFonts w:hint="eastAsia" w:ascii="黑体" w:hAnsi="黑体" w:eastAsia="黑体" w:cs="黑体"/>
          <w:b/>
          <w:bCs/>
          <w:color w:val="auto"/>
          <w:sz w:val="32"/>
          <w:szCs w:val="32"/>
          <w:lang w:val="en-US"/>
        </w:rPr>
        <w:tab/>
      </w:r>
      <w:r>
        <w:rPr>
          <w:rFonts w:hint="eastAsia" w:ascii="黑体" w:hAnsi="黑体" w:eastAsia="黑体" w:cs="黑体"/>
          <w:b/>
          <w:bCs/>
          <w:color w:val="auto"/>
          <w:sz w:val="32"/>
          <w:szCs w:val="32"/>
          <w:rtl w:val="0"/>
          <w:lang w:val="zh-TW" w:eastAsia="zh-TW"/>
        </w:rPr>
        <w:t>供应商须知附表</w:t>
      </w:r>
    </w:p>
    <w:p>
      <w:pPr>
        <w:framePr w:wrap="auto" w:vAnchor="margin" w:hAnchor="text" w:yAlign="inline"/>
        <w:ind w:left="108" w:hanging="108"/>
        <w:jc w:val="left"/>
        <w:rPr>
          <w:rFonts w:hint="eastAsia" w:ascii="仿宋_GB2312" w:hAnsi="仿宋_GB2312" w:eastAsia="仿宋_GB2312" w:cs="仿宋_GB2312"/>
          <w:b/>
          <w:bCs/>
          <w:color w:val="auto"/>
          <w:sz w:val="32"/>
          <w:szCs w:val="32"/>
        </w:rPr>
      </w:pPr>
    </w:p>
    <w:tbl>
      <w:tblPr>
        <w:tblStyle w:val="20"/>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43"/>
        <w:gridCol w:w="6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32"/>
                <w:szCs w:val="32"/>
                <w:highlight w:val="none"/>
                <w:u w:val="none"/>
                <w:lang w:val="en-US" w:eastAsia="zh-CN" w:bidi="ar-SA"/>
              </w:rPr>
            </w:pPr>
            <w:r>
              <w:rPr>
                <w:rFonts w:hint="eastAsia" w:ascii="仿宋_GB2312" w:hAnsi="仿宋_GB2312" w:eastAsia="仿宋_GB2312" w:cs="仿宋_GB2312"/>
                <w:b/>
                <w:bCs/>
                <w:color w:val="000000"/>
                <w:kern w:val="2"/>
                <w:sz w:val="32"/>
                <w:szCs w:val="32"/>
                <w:highlight w:val="none"/>
                <w:u w:val="none"/>
                <w:lang w:val="en-US" w:eastAsia="zh-CN" w:bidi="ar-SA"/>
              </w:rPr>
              <w:t>序列号</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32"/>
                <w:szCs w:val="32"/>
                <w:highlight w:val="none"/>
                <w:u w:val="none"/>
                <w:lang w:val="en-US" w:eastAsia="zh-CN" w:bidi="ar-SA"/>
              </w:rPr>
            </w:pPr>
            <w:r>
              <w:rPr>
                <w:rFonts w:hint="eastAsia" w:ascii="仿宋_GB2312" w:hAnsi="仿宋_GB2312" w:eastAsia="仿宋_GB2312" w:cs="仿宋_GB2312"/>
                <w:b/>
                <w:bCs/>
                <w:color w:val="000000"/>
                <w:kern w:val="2"/>
                <w:sz w:val="32"/>
                <w:szCs w:val="32"/>
                <w:highlight w:val="none"/>
                <w:u w:val="none"/>
                <w:lang w:val="en-US" w:eastAsia="zh-CN" w:bidi="ar-SA"/>
              </w:rPr>
              <w:t>条款名称</w:t>
            </w:r>
          </w:p>
        </w:tc>
        <w:tc>
          <w:tcPr>
            <w:tcW w:w="6290"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32"/>
                <w:szCs w:val="32"/>
                <w:highlight w:val="none"/>
                <w:u w:val="none"/>
                <w:lang w:val="en-US" w:eastAsia="zh-CN" w:bidi="ar-SA"/>
              </w:rPr>
            </w:pPr>
            <w:r>
              <w:rPr>
                <w:rFonts w:hint="eastAsia" w:ascii="仿宋_GB2312" w:hAnsi="仿宋_GB2312" w:eastAsia="仿宋_GB2312" w:cs="仿宋_GB2312"/>
                <w:b/>
                <w:bCs/>
                <w:color w:val="000000"/>
                <w:kern w:val="2"/>
                <w:sz w:val="32"/>
                <w:szCs w:val="32"/>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1</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项目名称</w:t>
            </w:r>
          </w:p>
        </w:tc>
        <w:tc>
          <w:tcPr>
            <w:tcW w:w="6290" w:type="dxa"/>
            <w:vAlign w:val="center"/>
          </w:tcPr>
          <w:p>
            <w:pPr>
              <w:pStyle w:val="16"/>
              <w:keepNext w:val="0"/>
              <w:keepLines w:val="0"/>
              <w:pageBreakBefore w:val="0"/>
              <w:framePr w:wrap="auto" w:vAnchor="margin" w:hAnchor="text" w:yAlign="inline"/>
              <w:numPr>
                <w:ilvl w:val="0"/>
                <w:numId w:val="0"/>
              </w:numPr>
              <w:shd w:val="clear" w:color="auto" w:fill="FFFFFF"/>
              <w:kinsoku/>
              <w:wordWrap/>
              <w:overflowPunct/>
              <w:topLinePunct w:val="0"/>
              <w:autoSpaceDE/>
              <w:autoSpaceDN/>
              <w:bidi w:val="0"/>
              <w:spacing w:line="360" w:lineRule="exact"/>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乌苏市人民医院卫生保洁服务托管采购项目</w:t>
            </w:r>
          </w:p>
          <w:p>
            <w:pPr>
              <w:pStyle w:val="16"/>
              <w:keepNext w:val="0"/>
              <w:keepLines w:val="0"/>
              <w:pageBreakBefore w:val="0"/>
              <w:numPr>
                <w:ilvl w:val="0"/>
                <w:numId w:val="0"/>
              </w:numPr>
              <w:shd w:val="clear" w:color="auto" w:fill="FFFFFF"/>
              <w:kinsoku/>
              <w:wordWrap/>
              <w:overflowPunct/>
              <w:topLinePunct w:val="0"/>
              <w:autoSpaceDE/>
              <w:autoSpaceDN/>
              <w:bidi w:val="0"/>
              <w:spacing w:line="360" w:lineRule="exact"/>
              <w:textAlignment w:val="auto"/>
              <w:rPr>
                <w:rFonts w:hint="eastAsia" w:ascii="仿宋_GB2312" w:hAnsi="仿宋_GB2312" w:eastAsia="仿宋_GB2312" w:cs="仿宋_GB2312"/>
                <w:color w:val="000000"/>
                <w:sz w:val="32"/>
                <w:szCs w:val="32"/>
                <w:highlight w:val="none"/>
                <w:u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5" w:hRule="atLeast"/>
        </w:trPr>
        <w:tc>
          <w:tcPr>
            <w:tcW w:w="1117" w:type="dxa"/>
            <w:vAlign w:val="center"/>
          </w:tcPr>
          <w:p>
            <w:pPr>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2</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招标人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lang w:val="en-US" w:eastAsia="zh-CN"/>
              </w:rPr>
              <w:t>名  称：</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color w:val="000000"/>
                <w:sz w:val="32"/>
                <w:szCs w:val="32"/>
                <w:highlight w:val="none"/>
                <w:u w:val="none"/>
                <w:rtl w:val="0"/>
                <w:lang w:val="en-US" w:eastAsia="zh-CN"/>
              </w:rPr>
              <w:t>人民医院</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联系人：</w:t>
            </w:r>
            <w:r>
              <w:rPr>
                <w:rFonts w:hint="eastAsia" w:ascii="仿宋_GB2312" w:hAnsi="仿宋_GB2312" w:eastAsia="仿宋_GB2312" w:cs="仿宋_GB2312"/>
                <w:color w:val="000000"/>
                <w:sz w:val="32"/>
                <w:szCs w:val="32"/>
                <w:highlight w:val="none"/>
                <w:u w:val="none"/>
                <w:rtl w:val="0"/>
                <w:lang w:val="en-US" w:eastAsia="zh-CN"/>
              </w:rPr>
              <w:t>李明明</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lang w:val="en-US" w:eastAsia="zh-CN"/>
              </w:rPr>
              <w:t>联系电话：</w:t>
            </w:r>
            <w:r>
              <w:rPr>
                <w:rFonts w:hint="eastAsia" w:ascii="仿宋_GB2312" w:hAnsi="仿宋_GB2312" w:eastAsia="仿宋_GB2312" w:cs="仿宋_GB2312"/>
                <w:color w:val="000000"/>
                <w:sz w:val="32"/>
                <w:szCs w:val="32"/>
                <w:highlight w:val="none"/>
                <w:u w:val="none"/>
                <w:rtl w:val="0"/>
                <w:lang w:val="en-US" w:eastAsia="zh-CN"/>
              </w:rPr>
              <w:t>15009922811</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000000"/>
                <w:sz w:val="32"/>
                <w:szCs w:val="32"/>
                <w:highlight w:val="none"/>
                <w:u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7" w:hRule="atLeast"/>
        </w:trPr>
        <w:tc>
          <w:tcPr>
            <w:tcW w:w="1117" w:type="dxa"/>
            <w:vAlign w:val="center"/>
          </w:tcPr>
          <w:p>
            <w:pPr>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3</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招标代理机构</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lang w:val="en-US" w:eastAsia="zh-CN"/>
              </w:rPr>
              <w:t>名  称：</w:t>
            </w:r>
            <w:r>
              <w:rPr>
                <w:rFonts w:hint="eastAsia" w:ascii="仿宋_GB2312" w:hAnsi="仿宋_GB2312" w:eastAsia="仿宋_GB2312" w:cs="仿宋_GB2312"/>
                <w:sz w:val="32"/>
                <w:szCs w:val="32"/>
                <w:lang w:val="en-US" w:eastAsia="zh-CN"/>
              </w:rPr>
              <w:t>乌苏市政务服务中心</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地  址：乌苏市温州路248号政务服务中心三楼</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联 系 人：米格娜依</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4</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投标单位资格条件</w:t>
            </w:r>
          </w:p>
        </w:tc>
        <w:tc>
          <w:tcPr>
            <w:tcW w:w="6290" w:type="dxa"/>
            <w:vAlign w:val="center"/>
          </w:tcPr>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1、符合《中华人民共和国政府采购法》第22条规定;</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2、供应商必须是中华人民共和国境内注册的，且为中小企业；</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3、有效的营业执照或加盖公章的复印件；</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4、被授权人提供法定代表人授权委托书及被委托人身份证原件及复印件；法定代表人提供法定代表人身份证明书及身份证原件及复印件；</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5、具有独立承担民事责任的能力及具有良好的商业信誉和健全的财务会计制度；</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6、具有履行合同所必须的设备和专业技术能力及具有依法缴纳税收和社会保障资金的良好记录；</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7、参加本次政府采购活动前三年内，在经营活动中没有重大违法记录及参加本次政府采购活动近三年来，投标人及其法定代表人（主要负责人）无行贿犯罪记录；</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8、不接受任何形式的联合体投标。</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5</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联合体投标</w:t>
            </w:r>
          </w:p>
        </w:tc>
        <w:tc>
          <w:tcPr>
            <w:tcW w:w="6290" w:type="dxa"/>
            <w:vAlign w:val="center"/>
          </w:tcPr>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6</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备选方案</w:t>
            </w:r>
          </w:p>
        </w:tc>
        <w:tc>
          <w:tcPr>
            <w:tcW w:w="6290" w:type="dxa"/>
            <w:vAlign w:val="center"/>
          </w:tcPr>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7</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响应文件递交截止时间</w:t>
            </w:r>
          </w:p>
        </w:tc>
        <w:tc>
          <w:tcPr>
            <w:tcW w:w="6290" w:type="dxa"/>
            <w:vAlign w:val="center"/>
          </w:tcPr>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2023年6月13日16：30（北京时间）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8</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磋商时间、地点</w:t>
            </w:r>
          </w:p>
        </w:tc>
        <w:tc>
          <w:tcPr>
            <w:tcW w:w="6290" w:type="dxa"/>
            <w:vAlign w:val="center"/>
          </w:tcPr>
          <w:p>
            <w:pPr>
              <w:widowControl/>
              <w:spacing w:line="400" w:lineRule="exact"/>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磋商时间：2023年6月13日16：30（北京时间）</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9</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磋商小组的组建及评审专家的确定方式</w:t>
            </w:r>
          </w:p>
        </w:tc>
        <w:tc>
          <w:tcPr>
            <w:tcW w:w="6290" w:type="dxa"/>
            <w:vAlign w:val="center"/>
          </w:tcPr>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招标单位依法组建磋商小组共3人组成。专家评委从专家库内随机抽取。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6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10</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32"/>
                <w:szCs w:val="32"/>
                <w:highlight w:val="white"/>
              </w:rPr>
            </w:pPr>
            <w:r>
              <w:rPr>
                <w:rFonts w:hint="eastAsia" w:ascii="仿宋_GB2312" w:hAnsi="仿宋_GB2312" w:eastAsia="仿宋_GB2312" w:cs="仿宋_GB2312"/>
                <w:b/>
                <w:bCs/>
                <w:color w:val="auto"/>
                <w:sz w:val="32"/>
                <w:szCs w:val="32"/>
                <w:highlight w:val="white"/>
                <w:lang w:eastAsia="zh-CN"/>
              </w:rPr>
              <w:t>磋商</w:t>
            </w:r>
            <w:r>
              <w:rPr>
                <w:rFonts w:hint="eastAsia" w:ascii="仿宋_GB2312" w:hAnsi="仿宋_GB2312" w:eastAsia="仿宋_GB2312" w:cs="仿宋_GB2312"/>
                <w:b/>
                <w:bCs/>
                <w:color w:val="auto"/>
                <w:sz w:val="32"/>
                <w:szCs w:val="32"/>
                <w:highlight w:val="white"/>
              </w:rPr>
              <w:t>保证金</w:t>
            </w:r>
          </w:p>
        </w:tc>
        <w:tc>
          <w:tcPr>
            <w:tcW w:w="6290" w:type="dxa"/>
            <w:vAlign w:val="center"/>
          </w:tcPr>
          <w:p>
            <w:pPr>
              <w:adjustRightInd w:val="0"/>
              <w:snapToGrid w:val="0"/>
              <w:spacing w:before="120" w:beforeLines="50"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金额（小写）：</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p>
          <w:p>
            <w:pPr>
              <w:adjustRightInd w:val="0"/>
              <w:snapToGrid w:val="0"/>
              <w:spacing w:before="120" w:beforeLines="50" w:line="360" w:lineRule="auto"/>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auto"/>
                <w:kern w:val="0"/>
                <w:sz w:val="32"/>
                <w:szCs w:val="32"/>
              </w:rPr>
              <w:t>金额（大写）：</w:t>
            </w:r>
            <w:r>
              <w:rPr>
                <w:rFonts w:hint="eastAsia" w:ascii="仿宋_GB2312" w:hAnsi="仿宋_GB2312" w:eastAsia="仿宋_GB2312" w:cs="仿宋_GB2312"/>
                <w:color w:val="auto"/>
                <w:kern w:val="0"/>
                <w:sz w:val="32"/>
                <w:szCs w:val="32"/>
                <w:lang w:eastAsia="zh-CN"/>
              </w:rPr>
              <w:t>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11</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评审办法</w:t>
            </w:r>
          </w:p>
        </w:tc>
        <w:tc>
          <w:tcPr>
            <w:tcW w:w="6290" w:type="dxa"/>
            <w:vAlign w:val="center"/>
          </w:tcPr>
          <w:p>
            <w:pPr>
              <w:spacing w:line="500" w:lineRule="exact"/>
              <w:ind w:left="693" w:leftChars="1" w:hanging="691" w:hangingChars="21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综合评</w:t>
            </w:r>
            <w:r>
              <w:rPr>
                <w:rFonts w:hint="eastAsia" w:ascii="仿宋_GB2312" w:hAnsi="仿宋_GB2312" w:eastAsia="仿宋_GB2312" w:cs="仿宋_GB2312"/>
                <w:color w:val="000000"/>
                <w:sz w:val="32"/>
                <w:szCs w:val="32"/>
                <w:lang w:val="en-US" w:eastAsia="zh-CN"/>
              </w:rPr>
              <w:t>分</w:t>
            </w:r>
            <w:r>
              <w:rPr>
                <w:rFonts w:hint="eastAsia" w:ascii="仿宋_GB2312" w:hAnsi="仿宋_GB2312" w:eastAsia="仿宋_GB2312" w:cs="仿宋_GB2312"/>
                <w:color w:val="000000"/>
                <w:sz w:val="32"/>
                <w:szCs w:val="32"/>
                <w:lang w:eastAsia="zh-CN"/>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12</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磋商有效期</w:t>
            </w:r>
          </w:p>
        </w:tc>
        <w:tc>
          <w:tcPr>
            <w:tcW w:w="6290" w:type="dxa"/>
            <w:vAlign w:val="center"/>
          </w:tcPr>
          <w:p>
            <w:pPr>
              <w:adjustRightInd w:val="0"/>
              <w:snapToGrid w:val="0"/>
              <w:spacing w:before="120" w:beforeLines="50" w:line="360" w:lineRule="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highlight w:val="white"/>
              </w:rPr>
              <w:t xml:space="preserve"> </w:t>
            </w:r>
            <w:r>
              <w:rPr>
                <w:rFonts w:hint="eastAsia" w:ascii="仿宋_GB2312" w:hAnsi="仿宋_GB2312" w:eastAsia="仿宋_GB2312" w:cs="仿宋_GB2312"/>
                <w:color w:val="000000"/>
                <w:sz w:val="32"/>
                <w:szCs w:val="32"/>
                <w:highlight w:val="white"/>
                <w:u w:val="single"/>
                <w:lang w:val="en-US" w:eastAsia="zh-CN"/>
              </w:rPr>
              <w:t>60</w:t>
            </w:r>
            <w:r>
              <w:rPr>
                <w:rFonts w:hint="eastAsia" w:ascii="仿宋_GB2312" w:hAnsi="仿宋_GB2312" w:eastAsia="仿宋_GB2312" w:cs="仿宋_GB2312"/>
                <w:color w:val="000000"/>
                <w:sz w:val="32"/>
                <w:szCs w:val="32"/>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13</w:t>
            </w:r>
          </w:p>
        </w:tc>
        <w:tc>
          <w:tcPr>
            <w:tcW w:w="1943" w:type="dxa"/>
            <w:vAlign w:val="top"/>
          </w:tcPr>
          <w:p>
            <w:pPr>
              <w:adjustRightInd w:val="0"/>
              <w:snapToGrid w:val="0"/>
              <w:spacing w:before="120"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招标方式</w:t>
            </w:r>
          </w:p>
        </w:tc>
        <w:tc>
          <w:tcPr>
            <w:tcW w:w="6290" w:type="dxa"/>
            <w:vAlign w:val="top"/>
          </w:tcPr>
          <w:p>
            <w:pPr>
              <w:spacing w:line="500" w:lineRule="exact"/>
              <w:ind w:left="693" w:leftChars="1" w:hanging="691" w:hangingChars="216"/>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highlight w:val="white"/>
                <w:lang w:eastAsia="zh-CN"/>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14</w:t>
            </w:r>
          </w:p>
        </w:tc>
        <w:tc>
          <w:tcPr>
            <w:tcW w:w="1943" w:type="dxa"/>
            <w:vAlign w:val="center"/>
          </w:tcPr>
          <w:p>
            <w:pPr>
              <w:spacing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是否允许投报进口产品</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□是               </w:t>
            </w:r>
          </w:p>
          <w:p>
            <w:pPr>
              <w:autoSpaceDE w:val="0"/>
              <w:autoSpaceDN w:val="0"/>
              <w:adjustRightInd w:val="0"/>
              <w:spacing w:line="360" w:lineRule="auto"/>
              <w:rPr>
                <w:rFonts w:hint="eastAsia"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sz w:val="32"/>
                <w:szCs w:val="32"/>
                <w:highlight w:val="white"/>
                <w:lang w:eastAsia="zh-CN"/>
              </w:rPr>
              <w:t>☑</w:t>
            </w:r>
            <w:r>
              <w:rPr>
                <w:rFonts w:hint="eastAsia" w:ascii="仿宋_GB2312" w:hAnsi="仿宋_GB2312" w:eastAsia="仿宋_GB2312" w:cs="仿宋_GB2312"/>
                <w:color w:val="000000"/>
                <w:kern w:val="0"/>
                <w:sz w:val="32"/>
                <w:szCs w:val="32"/>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15</w:t>
            </w:r>
          </w:p>
        </w:tc>
        <w:tc>
          <w:tcPr>
            <w:tcW w:w="1943" w:type="dxa"/>
            <w:vAlign w:val="center"/>
          </w:tcPr>
          <w:p>
            <w:pPr>
              <w:spacing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踏勘现场</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highlight w:val="white"/>
                <w:lang w:eastAsia="zh-CN"/>
              </w:rPr>
              <w:t>☑</w:t>
            </w:r>
            <w:r>
              <w:rPr>
                <w:rFonts w:hint="eastAsia" w:ascii="仿宋_GB2312" w:hAnsi="仿宋_GB2312" w:eastAsia="仿宋_GB2312" w:cs="仿宋_GB2312"/>
                <w:color w:val="000000"/>
                <w:kern w:val="0"/>
                <w:sz w:val="32"/>
                <w:szCs w:val="32"/>
                <w:lang w:eastAsia="zh-CN"/>
              </w:rPr>
              <w:t>不组织</w:t>
            </w:r>
            <w:r>
              <w:rPr>
                <w:rFonts w:hint="eastAsia" w:ascii="仿宋_GB2312" w:hAnsi="仿宋_GB2312" w:eastAsia="仿宋_GB2312" w:cs="仿宋_GB2312"/>
                <w:color w:val="000000"/>
                <w:kern w:val="0"/>
                <w:sz w:val="32"/>
                <w:szCs w:val="32"/>
              </w:rPr>
              <w:t xml:space="preserve"> </w:t>
            </w:r>
          </w:p>
          <w:p>
            <w:pPr>
              <w:autoSpaceDE w:val="0"/>
              <w:autoSpaceDN w:val="0"/>
              <w:adjustRightInd w:val="0"/>
              <w:spacing w:line="360" w:lineRule="auto"/>
              <w:rPr>
                <w:rFonts w:hint="eastAsia" w:ascii="仿宋_GB2312" w:hAnsi="仿宋_GB2312" w:eastAsia="仿宋_GB2312" w:cs="仿宋_GB2312"/>
                <w:color w:val="000000"/>
                <w:sz w:val="32"/>
                <w:szCs w:val="32"/>
                <w:highlight w:val="white"/>
              </w:rPr>
            </w:pPr>
            <w:r>
              <w:rPr>
                <w:rFonts w:hint="eastAsia" w:ascii="仿宋_GB2312" w:hAnsi="仿宋_GB2312" w:eastAsia="仿宋_GB2312" w:cs="仿宋_GB2312"/>
                <w:color w:val="000000"/>
                <w:kern w:val="0"/>
                <w:sz w:val="32"/>
                <w:szCs w:val="32"/>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16</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履约保证金</w:t>
            </w:r>
          </w:p>
        </w:tc>
        <w:tc>
          <w:tcPr>
            <w:tcW w:w="6290" w:type="dxa"/>
            <w:vAlign w:val="center"/>
          </w:tcPr>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000000"/>
                <w:sz w:val="32"/>
                <w:szCs w:val="32"/>
                <w:highlight w:val="white"/>
                <w:lang w:val="en-US" w:eastAsia="zh-CN"/>
              </w:rPr>
            </w:pPr>
            <w:r>
              <w:rPr>
                <w:rFonts w:hint="eastAsia" w:ascii="仿宋_GB2312" w:hAnsi="仿宋_GB2312" w:eastAsia="仿宋_GB2312" w:cs="仿宋_GB2312"/>
                <w:color w:val="000000"/>
                <w:kern w:val="2"/>
                <w:sz w:val="32"/>
                <w:szCs w:val="32"/>
                <w:highlight w:val="white"/>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17</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rPr>
              <w:t>质量</w:t>
            </w:r>
          </w:p>
        </w:tc>
        <w:tc>
          <w:tcPr>
            <w:tcW w:w="6290" w:type="dxa"/>
            <w:vAlign w:val="center"/>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18</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付款方式</w:t>
            </w:r>
          </w:p>
        </w:tc>
        <w:tc>
          <w:tcPr>
            <w:tcW w:w="6290" w:type="dxa"/>
            <w:vAlign w:val="center"/>
          </w:tcPr>
          <w:p>
            <w:pPr>
              <w:numPr>
                <w:ilvl w:val="0"/>
                <w:numId w:val="1"/>
              </w:num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甲方分期按月付款。付款时间为当月25日前划拨当月服务费用，如遇节假日，付款时间顺延，但顺延时间不得超过5天。</w:t>
            </w:r>
          </w:p>
          <w:p>
            <w:pPr>
              <w:numPr>
                <w:ilvl w:val="0"/>
                <w:numId w:val="0"/>
              </w:numPr>
              <w:spacing w:line="440" w:lineRule="exact"/>
              <w:ind w:leftChars="0" w:right="0" w:rightChars="0"/>
              <w:rPr>
                <w:rFonts w:hint="default"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2.付款方式：转账、电汇或网银。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19</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投标文件递交及开标地点</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响应文件提交时间：同投标截止时间</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开标地点：政采云远程不见面开标大厅</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不见面开标默认解密时长：30分钟。</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关于能否延长解密时间的约定：开标现场若发现默认解密时长不足，由采购人决定是否延长解密时长。</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注：供应商可通过账号密码或CA登录政采云客户端进行投标文件的制作，本项目采用电子版投标文件。</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1．本项目采用不见面开标、投标人需要递交电子响应文件，加密的电子响应文件，在投标截止时间前通过政采云平台（https://www.zcygov.cn/）上传到指定位置。无需递交纸质文件。</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3.远程开标前，投标人务必在政采云平台（https://www.zcygov.cn/）响应文件上传模块中使用“模拟解密”功能，验证本机远程自助解密环境</w:t>
            </w:r>
          </w:p>
          <w:p>
            <w:pPr>
              <w:spacing w:line="440" w:lineRule="exac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20</w:t>
            </w:r>
          </w:p>
        </w:tc>
        <w:tc>
          <w:tcPr>
            <w:tcW w:w="1943" w:type="dxa"/>
            <w:vAlign w:val="center"/>
          </w:tcPr>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响应性文件份数</w:t>
            </w:r>
          </w:p>
          <w:p>
            <w:pPr>
              <w:spacing w:line="440" w:lineRule="exact"/>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与密封性</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3.远程开标前，投标人务必在政采云平台（https://www.zcygov.cn/）响应文件上传模块中使用“模拟解密”功能，验证本机远程自助解密环境</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（1）正本一份并标明“正本”字样。</w:t>
            </w:r>
            <w:r>
              <w:rPr>
                <w:rFonts w:hint="eastAsia" w:ascii="仿宋_GB2312" w:hAnsi="仿宋_GB2312" w:eastAsia="仿宋_GB2312" w:cs="仿宋_GB2312"/>
                <w:b/>
                <w:bCs/>
                <w:color w:val="000000"/>
                <w:sz w:val="32"/>
                <w:szCs w:val="32"/>
                <w:u w:val="none"/>
                <w:lang w:val="en-US" w:eastAsia="zh-CN"/>
              </w:rPr>
              <w:br w:type="textWrapping"/>
            </w:r>
            <w:r>
              <w:rPr>
                <w:rFonts w:hint="eastAsia" w:ascii="仿宋_GB2312" w:hAnsi="仿宋_GB2312" w:eastAsia="仿宋_GB2312" w:cs="仿宋_GB2312"/>
                <w:b/>
                <w:bCs/>
                <w:color w:val="000000"/>
                <w:sz w:val="32"/>
                <w:szCs w:val="32"/>
                <w:u w:val="none"/>
                <w:lang w:val="en-US" w:eastAsia="zh-CN"/>
              </w:rPr>
              <w:t>（2）副本二份并标明“副本”字样。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注：前三名需在7天内提供以上文件，邮寄至新疆乌苏市温州路248号乌苏市政务服务中心米格娜依0992-8507872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21</w:t>
            </w:r>
          </w:p>
        </w:tc>
        <w:tc>
          <w:tcPr>
            <w:tcW w:w="1943" w:type="dxa"/>
            <w:vAlign w:val="center"/>
          </w:tcPr>
          <w:p>
            <w:pPr>
              <w:spacing w:line="440" w:lineRule="exact"/>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投标文件签章</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22</w:t>
            </w:r>
          </w:p>
        </w:tc>
        <w:tc>
          <w:tcPr>
            <w:tcW w:w="194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政府采购</w:t>
            </w:r>
          </w:p>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政策功能</w:t>
            </w:r>
          </w:p>
        </w:tc>
        <w:tc>
          <w:tcPr>
            <w:tcW w:w="62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促进中小企业发展政策：根据《政府采购促进中小企业发展管理办法》规定，本项目服务单位全部为符合政策要求的中小企业，将评审报价给予10%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23</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32"/>
                <w:szCs w:val="32"/>
                <w:u w:val="none"/>
                <w:lang w:val="en-US" w:eastAsia="zh-CN"/>
              </w:rPr>
              <w:t>特别提示</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24"/>
                <w:szCs w:val="24"/>
                <w:u w:val="single"/>
                <w:lang w:val="en-US" w:eastAsia="zh-CN"/>
              </w:rPr>
            </w:pPr>
            <w:r>
              <w:rPr>
                <w:rFonts w:hint="eastAsia" w:ascii="仿宋_GB2312" w:hAnsi="仿宋_GB2312" w:eastAsia="仿宋_GB2312" w:cs="仿宋_GB2312"/>
                <w:color w:val="000000"/>
                <w:sz w:val="32"/>
                <w:szCs w:val="32"/>
                <w:u w:val="none"/>
                <w:lang w:val="en-US" w:eastAsia="zh-CN"/>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u w:val="none"/>
                <w:lang w:val="en-US" w:eastAsia="zh-CN"/>
              </w:rPr>
              <w:t>备注</w:t>
            </w:r>
          </w:p>
        </w:tc>
        <w:tc>
          <w:tcPr>
            <w:tcW w:w="8233" w:type="dxa"/>
            <w:gridSpan w:val="2"/>
            <w:vAlign w:val="center"/>
          </w:tcPr>
          <w:p>
            <w:pPr>
              <w:rPr>
                <w:rFonts w:hint="eastAsia" w:ascii="仿宋_GB2312" w:hAnsi="仿宋_GB2312" w:eastAsia="仿宋_GB2312" w:cs="仿宋_GB2312"/>
                <w:color w:val="000000"/>
                <w:sz w:val="24"/>
                <w:szCs w:val="24"/>
                <w:u w:val="single"/>
                <w:lang w:val="en-US" w:eastAsia="zh-CN"/>
              </w:rPr>
            </w:pPr>
          </w:p>
        </w:tc>
      </w:tr>
    </w:tbl>
    <w:p>
      <w:pPr>
        <w:spacing w:line="44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、本表内容与</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其它内容不一致的，应当以本表内容为准。</w:t>
      </w:r>
    </w:p>
    <w:p>
      <w:pPr>
        <w:pStyle w:val="17"/>
        <w:jc w:val="left"/>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kern w:val="0"/>
          <w:sz w:val="24"/>
          <w:szCs w:val="24"/>
        </w:rPr>
        <w:t>本表中“</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eq \o\ac(</w:instrText>
      </w:r>
      <w:r>
        <w:rPr>
          <w:rFonts w:hint="eastAsia" w:ascii="仿宋_GB2312" w:hAnsi="仿宋_GB2312" w:eastAsia="仿宋_GB2312" w:cs="仿宋_GB2312"/>
          <w:kern w:val="0"/>
          <w:position w:val="-4"/>
          <w:sz w:val="36"/>
          <w:szCs w:val="24"/>
        </w:rPr>
        <w:instrText xml:space="preserve">□</w:instrText>
      </w:r>
      <w:r>
        <w:rPr>
          <w:rFonts w:hint="eastAsia" w:ascii="仿宋_GB2312" w:hAnsi="仿宋_GB2312" w:eastAsia="仿宋_GB2312" w:cs="仿宋_GB2312"/>
          <w:kern w:val="0"/>
          <w:position w:val="0"/>
          <w:sz w:val="24"/>
          <w:szCs w:val="24"/>
        </w:rPr>
        <w:instrText xml:space="preserve">,√)</w:instrTex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”标示选择使用该项</w:t>
      </w:r>
    </w:p>
    <w:p>
      <w:pPr>
        <w:pStyle w:val="17"/>
        <w:ind w:firstLine="2209" w:firstLineChars="500"/>
        <w:jc w:val="left"/>
        <w:rPr>
          <w:rFonts w:hint="eastAsia" w:ascii="方正小标宋简体" w:hAnsi="方正小标宋简体" w:eastAsia="方正小标宋简体" w:cs="方正小标宋简体"/>
          <w:color w:val="auto"/>
          <w:sz w:val="44"/>
          <w:szCs w:val="44"/>
          <w:lang w:val="zh-TW" w:eastAsia="zh-TW"/>
        </w:rPr>
      </w:pPr>
      <w:r>
        <w:rPr>
          <w:rFonts w:hint="eastAsia" w:ascii="方正小标宋简体" w:hAnsi="方正小标宋简体" w:eastAsia="方正小标宋简体" w:cs="方正小标宋简体"/>
          <w:b/>
          <w:bCs/>
          <w:color w:val="auto"/>
          <w:sz w:val="44"/>
          <w:szCs w:val="44"/>
          <w:rtl w:val="0"/>
          <w:lang w:val="zh-TW" w:eastAsia="zh-TW"/>
        </w:rPr>
        <w:t>第</w:t>
      </w:r>
      <w:r>
        <w:rPr>
          <w:rFonts w:hint="eastAsia" w:ascii="方正小标宋简体" w:hAnsi="方正小标宋简体" w:eastAsia="方正小标宋简体" w:cs="方正小标宋简体"/>
          <w:b/>
          <w:bCs/>
          <w:color w:val="auto"/>
          <w:sz w:val="44"/>
          <w:szCs w:val="44"/>
          <w:rtl w:val="0"/>
          <w:lang w:val="en-US" w:eastAsia="zh-CN"/>
        </w:rPr>
        <w:t>二</w:t>
      </w:r>
      <w:r>
        <w:rPr>
          <w:rFonts w:hint="eastAsia" w:ascii="方正小标宋简体" w:hAnsi="方正小标宋简体" w:eastAsia="方正小标宋简体" w:cs="方正小标宋简体"/>
          <w:b/>
          <w:bCs/>
          <w:color w:val="auto"/>
          <w:sz w:val="44"/>
          <w:szCs w:val="44"/>
          <w:rtl w:val="0"/>
          <w:lang w:val="zh-TW" w:eastAsia="zh-TW"/>
        </w:rPr>
        <w:t>部分供应商须知</w:t>
      </w:r>
    </w:p>
    <w:p>
      <w:pPr>
        <w:framePr w:wrap="auto" w:vAnchor="margin" w:hAnchor="text" w:yAlign="inline"/>
        <w:spacing w:line="360" w:lineRule="auto"/>
        <w:outlineLvl w:val="1"/>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说明</w:t>
      </w:r>
    </w:p>
    <w:p>
      <w:pPr>
        <w:framePr w:wrap="auto" w:vAnchor="margin" w:hAnchor="text" w:yAlign="inline"/>
        <w:spacing w:line="360" w:lineRule="auto"/>
        <w:ind w:left="454" w:firstLine="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 xml:space="preserve">1.  </w:t>
      </w:r>
      <w:r>
        <w:rPr>
          <w:rFonts w:hint="eastAsia" w:ascii="仿宋_GB2312" w:hAnsi="仿宋_GB2312" w:eastAsia="仿宋_GB2312" w:cs="仿宋_GB2312"/>
          <w:color w:val="auto"/>
          <w:sz w:val="32"/>
          <w:szCs w:val="32"/>
          <w:rtl w:val="0"/>
          <w:lang w:val="zh-TW" w:eastAsia="zh-TW"/>
        </w:rPr>
        <w:t>适用范围</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本竞争性磋商文件仅适用于邀请函中所叙述项目服务的采购。</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定义</w:t>
      </w:r>
    </w:p>
    <w:p>
      <w:pPr>
        <w:framePr w:wrap="auto" w:vAnchor="margin" w:hAnchor="text" w:yAlign="inline"/>
        <w:shd w:val="clear" w:color="auto" w:fill="FFFFFF"/>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采购人</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系指</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en-US" w:eastAsia="zh-TW"/>
        </w:rPr>
        <w:t>乌苏市</w:t>
      </w:r>
      <w:r>
        <w:rPr>
          <w:rFonts w:hint="eastAsia" w:ascii="仿宋_GB2312" w:hAnsi="仿宋_GB2312" w:eastAsia="仿宋_GB2312" w:cs="仿宋_GB2312"/>
          <w:color w:val="auto"/>
          <w:sz w:val="32"/>
          <w:szCs w:val="32"/>
          <w:rtl w:val="0"/>
          <w:lang w:val="en-US" w:eastAsia="zh-CN"/>
        </w:rPr>
        <w:t>人民医院</w:t>
      </w:r>
      <w:r>
        <w:rPr>
          <w:rFonts w:hint="eastAsia" w:ascii="仿宋_GB2312" w:hAnsi="仿宋_GB2312" w:eastAsia="仿宋_GB2312" w:cs="仿宋_GB2312"/>
          <w:color w:val="auto"/>
          <w:sz w:val="32"/>
          <w:szCs w:val="32"/>
          <w:rtl w:val="0"/>
          <w:lang w:val="zh-TW" w:eastAsia="zh-TW"/>
        </w:rPr>
        <w:t>（合同签订人）</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采购代理人</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系指</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乌苏</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中心</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 采购人及采购代理机构统称</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招标采购单位</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en-US"/>
        </w:rPr>
      </w:pP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供应商</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系指符合公告及竞争性磋商文件资格资质要求规定的供应商。</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解释权</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本次采购的最终解释权归为招标采购单位。当对一个问题有多种解释时以招标采购单位解释为准。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本竞争性磋商文件未做须知明示，而又有相关法律、法规规定的，采购人将对此解释为依据有关法律、法规的规定。</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合格的供应商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符合《中华人民共和国</w:t>
      </w:r>
      <w:r>
        <w:rPr>
          <w:rFonts w:hint="eastAsia" w:ascii="仿宋_GB2312" w:hAnsi="仿宋_GB2312" w:eastAsia="仿宋_GB2312" w:cs="仿宋_GB2312"/>
          <w:color w:val="auto"/>
          <w:sz w:val="32"/>
          <w:szCs w:val="32"/>
          <w:rtl w:val="0"/>
          <w:lang w:val="en-US" w:eastAsia="zh-CN"/>
        </w:rPr>
        <w:t>政府采购</w:t>
      </w:r>
      <w:r>
        <w:rPr>
          <w:rFonts w:hint="eastAsia" w:ascii="仿宋_GB2312" w:hAnsi="仿宋_GB2312" w:eastAsia="仿宋_GB2312" w:cs="仿宋_GB2312"/>
          <w:color w:val="auto"/>
          <w:sz w:val="32"/>
          <w:szCs w:val="32"/>
          <w:rtl w:val="0"/>
          <w:lang w:val="zh-TW" w:eastAsia="zh-TW"/>
        </w:rPr>
        <w:t>法》第二十二条供应商参加</w:t>
      </w:r>
      <w:r>
        <w:rPr>
          <w:rFonts w:hint="eastAsia" w:ascii="仿宋_GB2312" w:hAnsi="仿宋_GB2312" w:eastAsia="仿宋_GB2312" w:cs="仿宋_GB2312"/>
          <w:color w:val="auto"/>
          <w:sz w:val="32"/>
          <w:szCs w:val="32"/>
          <w:rtl w:val="0"/>
          <w:lang w:val="en-US" w:eastAsia="zh-CN"/>
        </w:rPr>
        <w:t>货物采购</w:t>
      </w:r>
      <w:r>
        <w:rPr>
          <w:rFonts w:hint="eastAsia" w:ascii="仿宋_GB2312" w:hAnsi="仿宋_GB2312" w:eastAsia="仿宋_GB2312" w:cs="仿宋_GB2312"/>
          <w:color w:val="auto"/>
          <w:sz w:val="32"/>
          <w:szCs w:val="32"/>
          <w:rtl w:val="0"/>
          <w:lang w:val="zh-TW" w:eastAsia="zh-TW"/>
        </w:rPr>
        <w:t>应当具备的条件及其他有关法律、法规关于供应商的有关规定，有能力提供招标采购货物及服务的制造商或供应商。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符合竞争性磋商文件第二部分关于供应商资格资质要求的规定。</w:t>
      </w:r>
    </w:p>
    <w:p>
      <w:pPr>
        <w:framePr w:wrap="auto" w:vAnchor="margin" w:hAnchor="text" w:yAlign="inline"/>
        <w:tabs>
          <w:tab w:val="left" w:pos="454"/>
          <w:tab w:val="left" w:pos="794"/>
        </w:tabs>
        <w:spacing w:line="360" w:lineRule="auto"/>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4.3</w:t>
      </w:r>
      <w:r>
        <w:rPr>
          <w:rFonts w:hint="eastAsia" w:ascii="仿宋_GB2312" w:hAnsi="仿宋_GB2312" w:eastAsia="仿宋_GB2312" w:cs="仿宋_GB2312"/>
          <w:color w:val="auto"/>
          <w:sz w:val="32"/>
          <w:szCs w:val="32"/>
          <w:rtl w:val="0"/>
          <w:lang w:val="zh-TW" w:eastAsia="zh-TW"/>
        </w:rPr>
        <w:t>本项目采购人不接受联合体投标。</w:t>
      </w:r>
    </w:p>
    <w:p>
      <w:pPr>
        <w:framePr w:wrap="auto" w:vAnchor="margin" w:hAnchor="text" w:yAlign="inline"/>
        <w:tabs>
          <w:tab w:val="left" w:pos="454"/>
          <w:tab w:val="left" w:pos="794"/>
        </w:tabs>
        <w:spacing w:line="360" w:lineRule="auto"/>
        <w:ind w:left="210" w:firstLine="1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4.4</w:t>
      </w:r>
      <w:r>
        <w:rPr>
          <w:rFonts w:hint="eastAsia" w:ascii="仿宋_GB2312" w:hAnsi="仿宋_GB2312" w:eastAsia="仿宋_GB2312" w:cs="仿宋_GB2312"/>
          <w:color w:val="auto"/>
          <w:sz w:val="32"/>
          <w:szCs w:val="32"/>
          <w:rtl w:val="0"/>
          <w:lang w:val="zh-TW" w:eastAsia="zh-TW"/>
        </w:rPr>
        <w:t>无论磋商过程中的作法和结果如何，供应商自行承担所有与参加与本次采购有关的全部费用，采购人对此费用概不负责。</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竞争性磋商文件的构成</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竞争性磋商文件用以阐明本次采购内容及服务、程序和合同条款。</w:t>
      </w:r>
    </w:p>
    <w:p>
      <w:pPr>
        <w:framePr w:wrap="auto" w:vAnchor="margin" w:hAnchor="text" w:yAlign="inline"/>
        <w:spacing w:line="360" w:lineRule="auto"/>
        <w:ind w:firstLine="8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竞争性磋商文件由下述部分组成：</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第一部分：商务文件</w:t>
      </w:r>
    </w:p>
    <w:p>
      <w:pPr>
        <w:pStyle w:val="29"/>
        <w:framePr w:wrap="auto" w:vAnchor="margin" w:hAnchor="text" w:yAlign="inline"/>
        <w:spacing w:line="360" w:lineRule="auto"/>
        <w:ind w:left="0" w:leftChars="0" w:firstLine="640" w:firstLineChars="2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第二部分：技术文件</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本竞争性磋商文件以中文编印。</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除非有特殊要求，本竞争性磋商文件不单独提供本项目使用地的自然环境、气候条件、公用设施等情况，供应商被视为熟悉上述与履行合同有关的一切情况。</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竞争性磋商文件的修改</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更正公告将构成竞争性磋商文件的一部分，对供应商有约束力。</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在磋商前，无论出于何种原因，采购代理机构可依据采购人或供应商要求澄清的问题而修改竞争性磋商文件，并以更正公告形式通知供应商，供应商在收到该通知后应立即以书面形式予以确认。</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为使供应商在准备响应文件时有合理的时间考虑竞争性磋商文件的修改，采购人可酌情推迟递交响应文件时间和磋商时间，并在磋商时间前以更正公告形式通知供应商，供应商在收到该通知后应立即以书面形式予以确认。</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竞争性磋商文件的澄清</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供应商对竞争性磋商文件有疑问，可要求澄清，并在收到竞争性磋商文件之日或竞争性磋商文件公告期限届满之日起</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个工作日内按投标邀请函中载明的地址以书面形式（包括信函或传真等）通知到采购代理机构。采购代理机构将视情况确定采用适当方式予以澄清或以书面形式予以答复。</w:t>
      </w:r>
    </w:p>
    <w:p>
      <w:pPr>
        <w:framePr w:wrap="auto" w:vAnchor="margin" w:hAnchor="text" w:yAlign="inline"/>
        <w:spacing w:line="360" w:lineRule="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、响应文件的编写</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投标文件的组成</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投标文件包括以下两个部分：</w:t>
      </w:r>
    </w:p>
    <w:p>
      <w:pPr>
        <w:framePr w:wrap="auto" w:vAnchor="margin" w:hAnchor="text" w:yAlign="inline"/>
        <w:spacing w:line="360" w:lineRule="auto"/>
        <w:ind w:firstLine="2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 xml:space="preserve">  第一部分：商务文件</w:t>
      </w:r>
    </w:p>
    <w:p>
      <w:pPr>
        <w:pStyle w:val="29"/>
        <w:framePr w:wrap="auto" w:vAnchor="margin" w:hAnchor="text" w:yAlign="inline"/>
        <w:spacing w:line="360" w:lineRule="auto"/>
        <w:ind w:left="454" w:firstLine="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第二部分：技术文件</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第一部分：商务部分</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（一）承诺函</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1.</w:t>
      </w:r>
      <w:r>
        <w:rPr>
          <w:rFonts w:hint="eastAsia" w:ascii="仿宋_GB2312" w:hAnsi="仿宋_GB2312" w:eastAsia="仿宋_GB2312" w:cs="仿宋_GB2312"/>
          <w:color w:val="auto"/>
          <w:sz w:val="32"/>
          <w:szCs w:val="32"/>
          <w:rtl w:val="0"/>
          <w:lang w:val="zh-TW" w:eastAsia="zh-TW"/>
        </w:rPr>
        <w:t>法人代表身份证明书</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法定代表人授权委托书</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公司简介</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（二）投标资格证明</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rtl w:val="0"/>
          <w:lang w:val="en-US"/>
        </w:rPr>
        <w:t>1</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b/>
          <w:bCs/>
          <w:color w:val="auto"/>
          <w:sz w:val="32"/>
          <w:szCs w:val="32"/>
          <w:u w:color="000000"/>
          <w:rtl w:val="0"/>
          <w:lang w:val="zh-TW" w:eastAsia="zh-TW"/>
        </w:rPr>
        <w:t>企业营业执照、组织机构代码证、税务登记证</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2.</w:t>
      </w:r>
      <w:r>
        <w:rPr>
          <w:rFonts w:hint="eastAsia" w:ascii="仿宋_GB2312" w:hAnsi="仿宋_GB2312" w:eastAsia="仿宋_GB2312" w:cs="仿宋_GB2312"/>
          <w:b/>
          <w:bCs/>
          <w:color w:val="auto"/>
          <w:sz w:val="32"/>
          <w:szCs w:val="32"/>
          <w:u w:color="000000"/>
          <w:rtl w:val="0"/>
          <w:lang w:val="zh-TW" w:eastAsia="zh-TW"/>
        </w:rPr>
        <w:t>企业资质证书</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3.</w:t>
      </w:r>
      <w:r>
        <w:rPr>
          <w:rFonts w:hint="eastAsia" w:ascii="仿宋_GB2312" w:hAnsi="仿宋_GB2312" w:eastAsia="仿宋_GB2312" w:cs="仿宋_GB2312"/>
          <w:b/>
          <w:bCs/>
          <w:color w:val="auto"/>
          <w:sz w:val="32"/>
          <w:szCs w:val="32"/>
          <w:u w:color="000000"/>
          <w:rtl w:val="0"/>
          <w:lang w:val="zh-TW" w:eastAsia="zh-TW"/>
        </w:rPr>
        <w:t>业绩证明文件</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4.</w:t>
      </w:r>
      <w:r>
        <w:rPr>
          <w:rFonts w:hint="eastAsia" w:ascii="仿宋_GB2312" w:hAnsi="仿宋_GB2312" w:eastAsia="仿宋_GB2312" w:cs="仿宋_GB2312"/>
          <w:b/>
          <w:bCs/>
          <w:color w:val="auto"/>
          <w:sz w:val="32"/>
          <w:szCs w:val="32"/>
          <w:u w:color="000000"/>
          <w:rtl w:val="0"/>
          <w:lang w:val="zh-TW" w:eastAsia="zh-TW"/>
        </w:rPr>
        <w:t>上一年度财务报表（资产负债表、损益表）</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5.</w:t>
      </w:r>
      <w:r>
        <w:rPr>
          <w:rFonts w:hint="eastAsia" w:ascii="仿宋_GB2312" w:hAnsi="仿宋_GB2312" w:eastAsia="仿宋_GB2312" w:cs="仿宋_GB2312"/>
          <w:b/>
          <w:bCs/>
          <w:color w:val="auto"/>
          <w:sz w:val="32"/>
          <w:szCs w:val="32"/>
          <w:u w:color="000000"/>
          <w:rtl w:val="0"/>
          <w:lang w:val="zh-TW" w:eastAsia="zh-TW"/>
        </w:rPr>
        <w:t>其他</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第二部分 技术部分</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1</w:t>
      </w:r>
      <w:r>
        <w:rPr>
          <w:rFonts w:hint="eastAsia" w:ascii="仿宋_GB2312" w:hAnsi="仿宋_GB2312" w:eastAsia="仿宋_GB2312" w:cs="仿宋_GB2312"/>
          <w:color w:val="auto"/>
          <w:sz w:val="32"/>
          <w:szCs w:val="32"/>
          <w:rtl w:val="0"/>
          <w:lang w:val="zh-TW" w:eastAsia="zh-TW"/>
        </w:rPr>
        <w:t xml:space="preserve">）报价一览表； </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 xml:space="preserve">）报价明细表； </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）服务规范偏离表</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4</w:t>
      </w:r>
      <w:r>
        <w:rPr>
          <w:rFonts w:hint="eastAsia" w:ascii="仿宋_GB2312" w:hAnsi="仿宋_GB2312" w:eastAsia="仿宋_GB2312" w:cs="仿宋_GB2312"/>
          <w:color w:val="auto"/>
          <w:sz w:val="32"/>
          <w:szCs w:val="32"/>
          <w:rtl w:val="0"/>
          <w:lang w:val="zh-TW" w:eastAsia="zh-TW"/>
        </w:rPr>
        <w:t>）供应商自行编写的技术文件项目实施方案</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5</w:t>
      </w:r>
      <w:r>
        <w:rPr>
          <w:rFonts w:hint="eastAsia" w:ascii="仿宋_GB2312" w:hAnsi="仿宋_GB2312" w:eastAsia="仿宋_GB2312" w:cs="仿宋_GB2312"/>
          <w:color w:val="auto"/>
          <w:sz w:val="32"/>
          <w:szCs w:val="32"/>
          <w:rtl w:val="0"/>
          <w:lang w:val="zh-TW" w:eastAsia="zh-TW"/>
        </w:rPr>
        <w:t>）供应商认为需要提供的其他技术文件</w:t>
      </w:r>
    </w:p>
    <w:p>
      <w:pPr>
        <w:pStyle w:val="28"/>
        <w:framePr w:wrap="auto" w:vAnchor="margin" w:hAnchor="text" w:yAlign="inline"/>
        <w:spacing w:line="360" w:lineRule="auto"/>
        <w:ind w:firstLine="480"/>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CN"/>
        </w:rPr>
        <w:t>（</w:t>
      </w: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CN"/>
        </w:rPr>
        <w:t>）</w:t>
      </w:r>
      <w:r>
        <w:rPr>
          <w:rFonts w:hint="eastAsia" w:ascii="仿宋_GB2312" w:hAnsi="仿宋_GB2312" w:eastAsia="仿宋_GB2312" w:cs="仿宋_GB2312"/>
          <w:color w:val="auto"/>
          <w:sz w:val="32"/>
          <w:szCs w:val="32"/>
          <w:rtl w:val="0"/>
          <w:lang w:val="en-US" w:eastAsia="zh-CN"/>
        </w:rPr>
        <w:t>企业声明函</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磋商语言及计量单位</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响应文件及供应商和采购人就磋商交换的文件和往来信件，应以中文书写，辅助材料及证明材料以中文说明为准。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除在竞争性磋商文件的技术规格中另有规定外，响应文件所使用的计量单位均使用中华人民共和国法定计量单位。</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响应文件的格式</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供应商应按竞争性磋商文件中提供的响应文件格式完整的填写。</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磋商报价</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b/>
          <w:bCs/>
          <w:color w:val="auto"/>
          <w:sz w:val="32"/>
          <w:szCs w:val="32"/>
          <w:rtl w:val="0"/>
          <w:lang w:val="zh-TW" w:eastAsia="zh-TW"/>
        </w:rPr>
        <w:t>有二次报价，招标采购单位最终以第二次报价为准。</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磋商货币</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响应文件、报价单等各表中的报价仅限用人民币填报。</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供应商资格的证明文件</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供应商必须提交证明其有资格进行磋商和有能力履行合同的文件，作为响应文件的一部分：</w:t>
      </w:r>
    </w:p>
    <w:p>
      <w:pPr>
        <w:framePr w:wrap="auto" w:vAnchor="margin" w:hAnchor="text" w:yAlign="inline"/>
        <w:numPr>
          <w:ilvl w:val="2"/>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竞争性磋商文件第二部分规定的资质资信文件；</w:t>
      </w:r>
    </w:p>
    <w:p>
      <w:pPr>
        <w:framePr w:wrap="auto" w:vAnchor="margin" w:hAnchor="text" w:yAlign="inline"/>
        <w:numPr>
          <w:ilvl w:val="2"/>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国家及行业对投标项目规定的特殊资格证明文件；</w:t>
      </w:r>
    </w:p>
    <w:p>
      <w:pPr>
        <w:framePr w:wrap="auto" w:vAnchor="margin" w:hAnchor="text" w:yAlign="inline"/>
        <w:numPr>
          <w:ilvl w:val="2"/>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法定代表人授权书。</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磋商货物或服务符合竞争性磋商文件规定的技术响应文件</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供应商须提交证明其拟供货物或服务符合竞争性磋商文件规定的技术响应文件，作为响应文件的一部分。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上述文件可以是文字资料、图表和数据，并须逐条对采购人要求的技术规格或服务要求进行评议，指出自己提供货物和服务是否做出实质性的响应并说明与技术规格或服务条文的偏离。</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磋商有效期</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磋商有效期为开标之日起</w:t>
      </w:r>
      <w:r>
        <w:rPr>
          <w:rFonts w:hint="eastAsia" w:ascii="仿宋_GB2312" w:hAnsi="仿宋_GB2312" w:eastAsia="仿宋_GB2312" w:cs="仿宋_GB2312"/>
          <w:color w:val="auto"/>
          <w:sz w:val="32"/>
          <w:szCs w:val="32"/>
          <w:rtl w:val="0"/>
          <w:lang w:val="en-US"/>
        </w:rPr>
        <w:t>60</w:t>
      </w:r>
      <w:r>
        <w:rPr>
          <w:rFonts w:hint="eastAsia" w:ascii="仿宋_GB2312" w:hAnsi="仿宋_GB2312" w:eastAsia="仿宋_GB2312" w:cs="仿宋_GB2312"/>
          <w:color w:val="auto"/>
          <w:sz w:val="32"/>
          <w:szCs w:val="32"/>
          <w:rtl w:val="0"/>
          <w:lang w:val="zh-TW" w:eastAsia="zh-TW"/>
        </w:rPr>
        <w:t>天。响应文件中规定的有效期短于</w:t>
      </w:r>
      <w:r>
        <w:rPr>
          <w:rFonts w:hint="eastAsia" w:ascii="仿宋_GB2312" w:hAnsi="仿宋_GB2312" w:eastAsia="仿宋_GB2312" w:cs="仿宋_GB2312"/>
          <w:color w:val="auto"/>
          <w:sz w:val="32"/>
          <w:szCs w:val="32"/>
          <w:rtl w:val="0"/>
          <w:lang w:val="en-US"/>
        </w:rPr>
        <w:t>60</w:t>
      </w:r>
      <w:r>
        <w:rPr>
          <w:rFonts w:hint="eastAsia" w:ascii="仿宋_GB2312" w:hAnsi="仿宋_GB2312" w:eastAsia="仿宋_GB2312" w:cs="仿宋_GB2312"/>
          <w:color w:val="auto"/>
          <w:sz w:val="32"/>
          <w:szCs w:val="32"/>
          <w:rtl w:val="0"/>
          <w:lang w:val="zh-TW" w:eastAsia="zh-TW"/>
        </w:rPr>
        <w:t>天的，可以视为无效投标。</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特殊情况下，采购人可在磋商有效期满之前，向供应商提出延长磋商有效期的要求。答复应以书面形式进行。供应商可以拒绝上述要求，但不被没收投标履约保证金。对于同意该要求的供应商，既不要求也不允许其修改响应文件。 </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响应文件的签署及规定</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供应商的响应文件应按给定的格式如实编写，未尽事宜可自行补充。</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供应商按照投标须知的要求准备纸质响应文件（分正本和副本），并各自装订胶装成册。在每一份响应文件上要明确注明“正本”或“副本”字样，一旦正本和副本有差异，以正本为准。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响应文件正本和副本须用不退色的黑色墨水书写或打印，并由正式授权的投标代表签字、加盖公章。响应文件的制作双面打印并胶粘。</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除供应商对错处作必要修改外，响应文件中不得行间插字、涂抹或增删。若有修改须由签署响应文件的供应商签字或加盖公章。</w:t>
      </w:r>
    </w:p>
    <w:p>
      <w:pPr>
        <w:framePr w:wrap="auto" w:vAnchor="margin" w:hAnchor="text" w:yAlign="inline"/>
        <w:shd w:val="clear" w:color="auto" w:fill="auto"/>
        <w:spacing w:line="360" w:lineRule="auto"/>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17. </w:t>
      </w:r>
      <w:r>
        <w:rPr>
          <w:rFonts w:hint="eastAsia" w:ascii="仿宋_GB2312" w:hAnsi="仿宋_GB2312" w:eastAsia="仿宋_GB2312" w:cs="仿宋_GB2312"/>
          <w:b/>
          <w:bCs/>
          <w:color w:val="auto"/>
          <w:sz w:val="32"/>
          <w:szCs w:val="32"/>
          <w:rtl w:val="0"/>
          <w:lang w:val="zh-TW" w:eastAsia="zh-TW"/>
        </w:rPr>
        <w:t>响应文件的递交</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framePr w:wrap="auto" w:vAnchor="margin" w:hAnchor="text" w:yAlign="inline"/>
        <w:spacing w:line="360" w:lineRule="auto"/>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投标截止时间以政采云中心交易平台显示的时间为准，逾期系统将自动关闭，未完成上传的响应文件视为逾期送达，将被拒绝。</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17.2如果投标人未按上述要求密封及加写标记，采购代理机构对响应文件的误投和提前启封概不负责。对由此造成提前开封的响应文件，采购代理机构有权予以拒绝，并退回投标人。</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17.3是否采用不见面开标方式详见投标人须知前附表，若本项目采用不见面开标，提供电子响应文件U盘、纸质响应文件详见须知前附表。</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17.4投标人应当在招标文件要求提交响应文件的截止时间前网上投标。</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17.6任何不完整或不满足招标文件要求的响应文件将被拒绝。</w:t>
      </w:r>
    </w:p>
    <w:p>
      <w:pPr>
        <w:framePr w:wrap="auto" w:vAnchor="margin" w:hAnchor="text" w:yAlign="inline"/>
        <w:spacing w:line="360" w:lineRule="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18</w:t>
      </w:r>
      <w:r>
        <w:rPr>
          <w:rFonts w:hint="eastAsia" w:ascii="仿宋_GB2312" w:hAnsi="仿宋_GB2312" w:eastAsia="仿宋_GB2312" w:cs="仿宋_GB2312"/>
          <w:color w:val="auto"/>
          <w:sz w:val="32"/>
          <w:szCs w:val="32"/>
          <w:rtl w:val="0"/>
          <w:lang w:val="zh-TW" w:eastAsia="zh-TW"/>
        </w:rPr>
        <w:t>、 磋商</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资格审查及磋商</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18.1</w:t>
      </w:r>
      <w:r>
        <w:rPr>
          <w:rFonts w:hint="eastAsia" w:ascii="仿宋_GB2312" w:hAnsi="仿宋_GB2312" w:eastAsia="仿宋_GB2312" w:cs="仿宋_GB2312"/>
          <w:color w:val="auto"/>
          <w:sz w:val="32"/>
          <w:szCs w:val="32"/>
          <w:rtl w:val="0"/>
          <w:lang w:val="zh-TW" w:eastAsia="zh-TW"/>
        </w:rPr>
        <w:t>在有供应商代表在场的情况下，公证处的公证员或采购人或社会监督员在竞争性磋商文件或更正公告中规定的时间和地点对供应商进行资格审查，参加磋商的供应商代表应签名报到以证明其出席。</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18.2</w:t>
      </w:r>
      <w:r>
        <w:rPr>
          <w:rFonts w:hint="eastAsia" w:ascii="仿宋_GB2312" w:hAnsi="仿宋_GB2312" w:eastAsia="仿宋_GB2312" w:cs="仿宋_GB2312"/>
          <w:color w:val="auto"/>
          <w:sz w:val="32"/>
          <w:szCs w:val="32"/>
          <w:rtl w:val="0"/>
          <w:lang w:val="zh-TW" w:eastAsia="zh-TW"/>
        </w:rPr>
        <w:t>供应商的法定代表人或代理人未参加磋商会议的视为自动弃权。</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18.3</w:t>
      </w:r>
      <w:r>
        <w:rPr>
          <w:rFonts w:hint="eastAsia" w:ascii="仿宋_GB2312" w:hAnsi="仿宋_GB2312" w:eastAsia="仿宋_GB2312" w:cs="仿宋_GB2312"/>
          <w:color w:val="auto"/>
          <w:sz w:val="32"/>
          <w:szCs w:val="32"/>
          <w:rtl w:val="0"/>
          <w:lang w:val="zh-TW" w:eastAsia="zh-TW"/>
        </w:rPr>
        <w:t>磋商时，公证处的公证员或采购人或社会监督员对各响应文件的密封情况进行查验，确认无误后将密封合格的响应文件当众拆封。</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18.4</w:t>
      </w:r>
      <w:r>
        <w:rPr>
          <w:rFonts w:hint="eastAsia" w:ascii="仿宋_GB2312" w:hAnsi="仿宋_GB2312" w:eastAsia="仿宋_GB2312" w:cs="仿宋_GB2312"/>
          <w:color w:val="auto"/>
          <w:sz w:val="32"/>
          <w:szCs w:val="32"/>
          <w:rtl w:val="0"/>
          <w:lang w:val="zh-TW" w:eastAsia="zh-TW"/>
        </w:rPr>
        <w:t>采购代理机构按规定做磋商记录，存档备查。</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w:t>
      </w:r>
      <w:r>
        <w:rPr>
          <w:rFonts w:hint="eastAsia" w:ascii="仿宋_GB2312" w:hAnsi="仿宋_GB2312" w:eastAsia="仿宋_GB2312" w:cs="仿宋_GB2312"/>
          <w:color w:val="auto"/>
          <w:sz w:val="32"/>
          <w:szCs w:val="32"/>
          <w:rtl w:val="0"/>
          <w:lang w:val="zh-TW" w:eastAsia="zh-TW"/>
        </w:rPr>
        <w:t>磋商小组</w:t>
      </w:r>
    </w:p>
    <w:p>
      <w:pPr>
        <w:framePr w:wrap="auto" w:vAnchor="margin" w:hAnchor="text" w:yAlign="inline"/>
        <w:numPr>
          <w:ilvl w:val="0"/>
          <w:numId w:val="0"/>
        </w:numPr>
        <w:bidi w:val="0"/>
        <w:spacing w:line="360" w:lineRule="auto"/>
        <w:ind w:right="0" w:rightChars="0" w:firstLine="320" w:firstLineChars="1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19.1</w:t>
      </w:r>
      <w:r>
        <w:rPr>
          <w:rFonts w:hint="eastAsia" w:ascii="仿宋_GB2312" w:hAnsi="仿宋_GB2312" w:eastAsia="仿宋_GB2312" w:cs="仿宋_GB2312"/>
          <w:color w:val="auto"/>
          <w:sz w:val="32"/>
          <w:szCs w:val="32"/>
          <w:rtl w:val="0"/>
          <w:lang w:val="zh-TW" w:eastAsia="zh-TW"/>
        </w:rPr>
        <w:t>采购人将根据磋商的特点组建磋商小组，其成员由采购人代表和有关技术、经济等方面的专家组成。</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19.2</w:t>
      </w:r>
      <w:r>
        <w:rPr>
          <w:rFonts w:hint="eastAsia" w:ascii="仿宋_GB2312" w:hAnsi="仿宋_GB2312" w:eastAsia="仿宋_GB2312" w:cs="仿宋_GB2312"/>
          <w:color w:val="auto"/>
          <w:sz w:val="32"/>
          <w:szCs w:val="32"/>
          <w:rtl w:val="0"/>
          <w:lang w:val="zh-TW" w:eastAsia="zh-TW"/>
        </w:rPr>
        <w:t>磋商小组负责审查响应文件是否符合竞争性磋商文件的要求，并进行审查、质疑、评估和比较。磋商小组认为必要时，可向供应商进行质疑。磋商期间，供应商法定代表人或其代理人必须在场参加质询。</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19.3</w:t>
      </w:r>
      <w:r>
        <w:rPr>
          <w:rFonts w:hint="eastAsia" w:ascii="仿宋_GB2312" w:hAnsi="仿宋_GB2312" w:eastAsia="仿宋_GB2312" w:cs="仿宋_GB2312"/>
          <w:color w:val="auto"/>
          <w:sz w:val="32"/>
          <w:szCs w:val="32"/>
          <w:rtl w:val="0"/>
          <w:lang w:val="zh-TW" w:eastAsia="zh-TW"/>
        </w:rPr>
        <w:t>磋商小组负责完成全部评审过程，向采购人提出经所有磋商小组成员签字的书面评标报告。</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w:t>
      </w:r>
      <w:r>
        <w:rPr>
          <w:rFonts w:hint="eastAsia" w:ascii="仿宋_GB2312" w:hAnsi="仿宋_GB2312" w:eastAsia="仿宋_GB2312" w:cs="仿宋_GB2312"/>
          <w:color w:val="auto"/>
          <w:sz w:val="32"/>
          <w:szCs w:val="32"/>
          <w:rtl w:val="0"/>
          <w:lang w:val="zh-TW" w:eastAsia="zh-TW"/>
        </w:rPr>
        <w:t>对响应文件的审查和响应性的确定</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20.1</w:t>
      </w:r>
      <w:r>
        <w:rPr>
          <w:rFonts w:hint="eastAsia" w:ascii="仿宋_GB2312" w:hAnsi="仿宋_GB2312" w:eastAsia="仿宋_GB2312" w:cs="仿宋_GB2312"/>
          <w:color w:val="auto"/>
          <w:sz w:val="32"/>
          <w:szCs w:val="32"/>
          <w:rtl w:val="0"/>
          <w:lang w:val="zh-TW" w:eastAsia="zh-TW"/>
        </w:rPr>
        <w:t>资格性检查。磋商小组依据法律法规和竞争性磋商文件的规定，对响应文件的内容是否完整、要求的保证金是否已提供、文件签署是否正确、响应文件中的资格证明是否齐全等进行审查，以确定供应商是否具备磋商资格。</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20.2</w:t>
      </w:r>
      <w:r>
        <w:rPr>
          <w:rFonts w:hint="eastAsia" w:ascii="仿宋_GB2312" w:hAnsi="仿宋_GB2312" w:eastAsia="仿宋_GB2312" w:cs="仿宋_GB2312"/>
          <w:color w:val="auto"/>
          <w:sz w:val="32"/>
          <w:szCs w:val="32"/>
          <w:rtl w:val="0"/>
          <w:lang w:val="zh-TW" w:eastAsia="zh-TW"/>
        </w:rPr>
        <w:t>符合性检查。在对响应文件进行详细评估之前，磋商小组首先审查每份响应文件是否实质上响应了竞争性磋商文件的要求。实质上响应的响应文件是指经磋商小组认定的无重大偏离或保留的响应文件。</w:t>
      </w:r>
    </w:p>
    <w:p>
      <w:pPr>
        <w:framePr w:wrap="auto" w:vAnchor="margin" w:hAnchor="text" w:yAlign="inline"/>
        <w:spacing w:line="360" w:lineRule="auto"/>
        <w:ind w:firstLine="72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重大偏离是指：</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供应商名称或组织结构与报名投标时不一致的；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响应文件对竞争性磋商文件提出的所有实质性要求和条件未做出响应的；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报价超出项目预算的；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明显不符合技术规范、技术标准的要求的；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拒不按照要求对响应文件进行澄清或者说明的；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响应文件附有采购人不能接受的条件的；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法律、法规、规章规定的其他情形。</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20.3</w:t>
      </w:r>
      <w:r>
        <w:rPr>
          <w:rFonts w:hint="eastAsia" w:ascii="仿宋_GB2312" w:hAnsi="仿宋_GB2312" w:eastAsia="仿宋_GB2312" w:cs="仿宋_GB2312"/>
          <w:color w:val="auto"/>
          <w:sz w:val="32"/>
          <w:szCs w:val="32"/>
          <w:rtl w:val="0"/>
          <w:lang w:val="zh-TW" w:eastAsia="zh-TW"/>
        </w:rPr>
        <w:t>磋商小组判断响应文件的响应性仅基于响应文件本身而不靠外部证据。</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20.4</w:t>
      </w:r>
      <w:r>
        <w:rPr>
          <w:rFonts w:hint="eastAsia" w:ascii="仿宋_GB2312" w:hAnsi="仿宋_GB2312" w:eastAsia="仿宋_GB2312" w:cs="仿宋_GB2312"/>
          <w:color w:val="auto"/>
          <w:sz w:val="32"/>
          <w:szCs w:val="32"/>
          <w:rtl w:val="0"/>
          <w:lang w:val="zh-TW" w:eastAsia="zh-TW"/>
        </w:rPr>
        <w:t>实质上没有响应竞争性磋商文件要求的响应文件，将被拒绝。供应商不得通过修改或撤回不符合要求的重大偏离或保留而使其响应文件成为响应性的响应文件。如出现下列情况之一的，其响应文件将被拒绝或成交无效：</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超出经营范围投标的；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响应文件中资格证明文件（第二部分中规定须提交的资格证明文件）不全或未实质性响应竞争性磋商文件要求的；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无法定代表人（负责人）或其有效委托的授权人的签字，或未按竞争性磋商文件的要求加盖公章的，或供应商委托的代理人没有合法的、有效的委托书（原件）及委托人印章的，或授权期限不符合要求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磋商有效期短于竞争性磋商文件要求的；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响应文件中提供虚假或失实资料的；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响应文件未按照竞争性磋商文件的要求标记、密封的；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响应文件未按规定的格式填写，内容不全或字迹模糊辨认不清，无法进行评标工作的；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投标截止时间以后送达的响应文件；</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附有任何先决条件或保留条件。</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21 </w:t>
      </w:r>
      <w:r>
        <w:rPr>
          <w:rFonts w:hint="eastAsia" w:ascii="仿宋_GB2312" w:hAnsi="仿宋_GB2312" w:eastAsia="仿宋_GB2312" w:cs="仿宋_GB2312"/>
          <w:color w:val="auto"/>
          <w:sz w:val="32"/>
          <w:szCs w:val="32"/>
          <w:rtl w:val="0"/>
          <w:lang w:val="zh-TW" w:eastAsia="zh-TW"/>
        </w:rPr>
        <w:t>响应文件的澄清</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21.1</w:t>
      </w:r>
      <w:r>
        <w:rPr>
          <w:rFonts w:hint="eastAsia" w:ascii="仿宋_GB2312" w:hAnsi="仿宋_GB2312" w:eastAsia="仿宋_GB2312" w:cs="仿宋_GB2312"/>
          <w:color w:val="auto"/>
          <w:sz w:val="32"/>
          <w:szCs w:val="32"/>
          <w:rtl w:val="0"/>
          <w:lang w:val="zh-TW" w:eastAsia="zh-TW"/>
        </w:rPr>
        <w:t>澄清有关问题。对响应文件中含义不明确、同类问题表述不一致或者有明显文字和计算错误的内容，磋商小组可以书面形式（应当由磋商小组专家签字）要求供应商做出必要的澄清、说明或者纠正。供应商的澄清、说明或者补正应当采用书面形式，由其授权的代表签字，并不得超出响应文件的范围或者改变响应文件的实质性内容。</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21.2</w:t>
      </w:r>
      <w:r>
        <w:rPr>
          <w:rFonts w:hint="eastAsia" w:ascii="仿宋_GB2312" w:hAnsi="仿宋_GB2312" w:eastAsia="仿宋_GB2312" w:cs="仿宋_GB2312"/>
          <w:color w:val="auto"/>
          <w:sz w:val="32"/>
          <w:szCs w:val="32"/>
          <w:rtl w:val="0"/>
          <w:lang w:val="zh-TW" w:eastAsia="zh-TW"/>
        </w:rPr>
        <w:t>澄清文件将作为响应文件的一部分，与响应文件具有同等的法律效力。</w:t>
      </w:r>
    </w:p>
    <w:p>
      <w:pPr>
        <w:framePr w:wrap="auto" w:vAnchor="margin" w:hAnchor="text" w:yAlign="inline"/>
        <w:numPr>
          <w:ilvl w:val="0"/>
          <w:numId w:val="6"/>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22.1 </w:t>
      </w:r>
      <w:r>
        <w:rPr>
          <w:rFonts w:hint="eastAsia" w:ascii="仿宋_GB2312" w:hAnsi="仿宋_GB2312" w:eastAsia="仿宋_GB2312" w:cs="仿宋_GB2312"/>
          <w:color w:val="auto"/>
          <w:sz w:val="32"/>
          <w:szCs w:val="32"/>
          <w:rtl w:val="0"/>
          <w:lang w:val="zh-TW" w:eastAsia="zh-TW"/>
        </w:rPr>
        <w:t>磋商小组将根据竞争性磋商文件确定的评标原则和评标方法对确定为实质上响应竞争性磋商文件要求的响应文件进行评估和比较。如果供应商的响应文件实质上不响应竞争性磋商文件的要求，磋商小组将对其响应文件予以拒绝。并且不允许其通过修正或撤销不符合要求的差异部分而使之成为具有响应性。</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23 </w:t>
      </w:r>
      <w:r>
        <w:rPr>
          <w:rFonts w:hint="eastAsia" w:ascii="仿宋_GB2312" w:hAnsi="仿宋_GB2312" w:eastAsia="仿宋_GB2312" w:cs="仿宋_GB2312"/>
          <w:color w:val="auto"/>
          <w:sz w:val="32"/>
          <w:szCs w:val="32"/>
          <w:rtl w:val="0"/>
          <w:lang w:val="zh-TW" w:eastAsia="zh-TW"/>
        </w:rPr>
        <w:t>磋商的原则和方法</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23.1</w:t>
      </w:r>
      <w:r>
        <w:rPr>
          <w:rFonts w:hint="eastAsia" w:ascii="仿宋_GB2312" w:hAnsi="仿宋_GB2312" w:eastAsia="仿宋_GB2312" w:cs="仿宋_GB2312"/>
          <w:color w:val="auto"/>
          <w:sz w:val="32"/>
          <w:szCs w:val="32"/>
          <w:rtl w:val="0"/>
          <w:lang w:val="zh-TW" w:eastAsia="zh-TW"/>
        </w:rPr>
        <w:t>磋商的原则</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w:t>
      </w:r>
      <w:r>
        <w:rPr>
          <w:rFonts w:hint="eastAsia" w:ascii="仿宋_GB2312" w:hAnsi="仿宋_GB2312" w:eastAsia="仿宋_GB2312" w:cs="仿宋_GB2312"/>
          <w:color w:val="auto"/>
          <w:sz w:val="32"/>
          <w:szCs w:val="32"/>
          <w:rtl w:val="0"/>
          <w:lang w:val="zh-TW" w:eastAsia="zh-TW"/>
        </w:rPr>
        <w:t>竞争性磋商文件和响应文件是磋商的依据。</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遵循</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公开、公平、公正、择优</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的原则，维护采购人和供应商的合法、正当的权益。</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本次采购将严格按照竞争性磋商文件的要求和条件进行，对所有供应商的响应文件评估，都采用相同的程序和标准。</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4.</w:t>
      </w:r>
      <w:r>
        <w:rPr>
          <w:rFonts w:hint="eastAsia" w:ascii="仿宋_GB2312" w:hAnsi="仿宋_GB2312" w:eastAsia="仿宋_GB2312" w:cs="仿宋_GB2312"/>
          <w:color w:val="auto"/>
          <w:sz w:val="32"/>
          <w:szCs w:val="32"/>
          <w:rtl w:val="0"/>
          <w:lang w:val="zh-TW" w:eastAsia="zh-TW"/>
        </w:rPr>
        <w:t>采用综合评分法选择成交单位。</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5.</w:t>
      </w:r>
      <w:r>
        <w:rPr>
          <w:rFonts w:hint="eastAsia" w:ascii="仿宋_GB2312" w:hAnsi="仿宋_GB2312" w:eastAsia="仿宋_GB2312" w:cs="仿宋_GB2312"/>
          <w:color w:val="auto"/>
          <w:sz w:val="32"/>
          <w:szCs w:val="32"/>
          <w:rtl w:val="0"/>
          <w:lang w:val="zh-TW" w:eastAsia="zh-TW"/>
        </w:rPr>
        <w:t>可以就技术方案及报价进行磋商；</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TW"/>
        </w:rPr>
        <w:t>采购结果确认磋商工作组按照评审报告推荐的中标候选人排名，依次与中标候选人就特许经营协议中可变的细节问题进行协议签署前的确认磋商，率先达成一致的中标候选人即为预中选社会资本。</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zh-TW" w:eastAsia="zh-TW"/>
        </w:rPr>
        <w:t>磋商小组按照竞争性磋商文件要求，对供应商的响应文件进行评估校核，按合格与不合格两个标准评定，不合格的投标被拒绝。</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8.</w:t>
      </w:r>
      <w:r>
        <w:rPr>
          <w:rFonts w:hint="eastAsia" w:ascii="仿宋_GB2312" w:hAnsi="仿宋_GB2312" w:eastAsia="仿宋_GB2312" w:cs="仿宋_GB2312"/>
          <w:color w:val="auto"/>
          <w:sz w:val="32"/>
          <w:szCs w:val="32"/>
          <w:rtl w:val="0"/>
          <w:lang w:val="zh-TW" w:eastAsia="zh-TW"/>
        </w:rPr>
        <w:t>磋商小组不保证所有投标一定有成交的，如出现磋商后，经审查没有合格标的，将会出现全部落标的可能。</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9.</w:t>
      </w:r>
      <w:r>
        <w:rPr>
          <w:rFonts w:hint="eastAsia" w:ascii="仿宋_GB2312" w:hAnsi="仿宋_GB2312" w:eastAsia="仿宋_GB2312" w:cs="仿宋_GB2312"/>
          <w:color w:val="auto"/>
          <w:sz w:val="32"/>
          <w:szCs w:val="32"/>
          <w:rtl w:val="0"/>
          <w:lang w:val="zh-TW" w:eastAsia="zh-TW"/>
        </w:rPr>
        <w:t>为保护各供应商利益，各供应商的报价不依次唱出。</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10.</w:t>
      </w:r>
      <w:r>
        <w:rPr>
          <w:rFonts w:hint="eastAsia" w:ascii="仿宋_GB2312" w:hAnsi="仿宋_GB2312" w:eastAsia="仿宋_GB2312" w:cs="仿宋_GB2312"/>
          <w:color w:val="auto"/>
          <w:sz w:val="32"/>
          <w:szCs w:val="32"/>
          <w:rtl w:val="0"/>
          <w:lang w:val="zh-TW" w:eastAsia="zh-TW"/>
        </w:rPr>
        <w:t>磋商结果的解释权归属磋商小组。</w:t>
      </w:r>
    </w:p>
    <w:p>
      <w:pPr>
        <w:framePr w:wrap="auto" w:vAnchor="margin" w:hAnchor="text" w:yAlign="inline"/>
        <w:numPr>
          <w:ilvl w:val="0"/>
          <w:numId w:val="0"/>
        </w:numPr>
        <w:tabs>
          <w:tab w:val="left" w:pos="1260"/>
        </w:tabs>
        <w:bidi w:val="0"/>
        <w:spacing w:line="360" w:lineRule="auto"/>
        <w:ind w:left="107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24.</w:t>
      </w:r>
      <w:r>
        <w:rPr>
          <w:rFonts w:hint="eastAsia" w:ascii="仿宋_GB2312" w:hAnsi="仿宋_GB2312" w:eastAsia="仿宋_GB2312" w:cs="仿宋_GB2312"/>
          <w:color w:val="auto"/>
          <w:sz w:val="32"/>
          <w:szCs w:val="32"/>
          <w:rtl w:val="0"/>
          <w:lang w:val="zh-TW" w:eastAsia="zh-TW"/>
        </w:rPr>
        <w:t>磋商的方法：综合评分法</w:t>
      </w:r>
    </w:p>
    <w:p>
      <w:pPr>
        <w:framePr w:wrap="auto" w:vAnchor="margin" w:hAnchor="text" w:yAlign="inline"/>
        <w:numPr>
          <w:ilvl w:val="0"/>
          <w:numId w:val="0"/>
        </w:numPr>
        <w:bidi w:val="0"/>
        <w:spacing w:line="360" w:lineRule="auto"/>
        <w:ind w:left="114" w:leftChars="0" w:right="0" w:rightChars="0" w:firstLine="320" w:firstLineChars="1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综合评分法，是指在最大限度地满足磋商文件实质性要求前提下，按照磋商文件中规定的各项因素进行综合评审后，以评标总得分最高的供应商作为中标后选供应商或者中标供应商的评标方法。</w:t>
      </w:r>
    </w:p>
    <w:p>
      <w:pPr>
        <w:framePr w:wrap="auto" w:vAnchor="margin" w:hAnchor="text" w:yAlign="inline"/>
        <w:tabs>
          <w:tab w:val="left" w:pos="851"/>
        </w:tabs>
        <w:spacing w:line="360" w:lineRule="auto"/>
        <w:ind w:firstLine="320" w:firstLineChars="1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综合评分的主要因素是：价格、技术、财务状况、信誉、业绩、服务、对</w:t>
      </w:r>
      <w:r>
        <w:rPr>
          <w:rFonts w:hint="eastAsia" w:ascii="仿宋_GB2312" w:hAnsi="仿宋_GB2312" w:eastAsia="仿宋_GB2312" w:cs="仿宋_GB2312"/>
          <w:color w:val="auto"/>
          <w:sz w:val="32"/>
          <w:szCs w:val="32"/>
          <w:rtl w:val="0"/>
          <w:lang w:val="en-US" w:eastAsia="zh-CN"/>
        </w:rPr>
        <w:t>应急预案的处理方案</w:t>
      </w:r>
      <w:r>
        <w:rPr>
          <w:rFonts w:hint="eastAsia" w:ascii="仿宋_GB2312" w:hAnsi="仿宋_GB2312" w:eastAsia="仿宋_GB2312" w:cs="仿宋_GB2312"/>
          <w:color w:val="auto"/>
          <w:sz w:val="32"/>
          <w:szCs w:val="32"/>
          <w:rtl w:val="0"/>
          <w:lang w:val="zh-TW" w:eastAsia="zh-TW"/>
        </w:rPr>
        <w:t>，以及相应的比重等。</w:t>
      </w:r>
      <w:bookmarkEnd w:id="0"/>
    </w:p>
    <w:p>
      <w:pPr>
        <w:framePr w:wrap="auto" w:vAnchor="margin" w:hAnchor="text" w:yAlign="inline"/>
        <w:rPr>
          <w:rFonts w:hint="eastAsia" w:ascii="仿宋_GB2312" w:hAnsi="仿宋_GB2312" w:eastAsia="仿宋_GB2312" w:cs="仿宋_GB2312"/>
          <w:b/>
          <w:bCs/>
          <w:color w:val="auto"/>
          <w:sz w:val="32"/>
          <w:szCs w:val="32"/>
        </w:rPr>
      </w:pPr>
      <w:bookmarkStart w:id="1" w:name="severn"/>
    </w:p>
    <w:p>
      <w:pPr>
        <w:framePr w:wrap="auto" w:vAnchor="margin" w:hAnchor="text" w:yAlign="inline"/>
        <w:rPr>
          <w:b/>
          <w:bCs/>
          <w:color w:val="auto"/>
          <w:sz w:val="32"/>
          <w:szCs w:val="32"/>
        </w:rPr>
      </w:pPr>
    </w:p>
    <w:p>
      <w:pPr>
        <w:pStyle w:val="4"/>
        <w:framePr w:wrap="auto" w:vAnchor="margin" w:hAnchor="text" w:yAlign="inline"/>
      </w:pPr>
    </w:p>
    <w:p>
      <w:pPr>
        <w:framePr w:wrap="auto" w:vAnchor="margin" w:hAnchor="text" w:yAlign="inline"/>
        <w:ind w:firstLine="1325" w:firstLineChars="300"/>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tl w:val="0"/>
          <w:lang w:val="zh-TW" w:eastAsia="zh-TW"/>
        </w:rPr>
        <w:t>第</w:t>
      </w:r>
      <w:r>
        <w:rPr>
          <w:rFonts w:hint="eastAsia" w:ascii="方正小标宋简体" w:hAnsi="方正小标宋简体" w:eastAsia="方正小标宋简体" w:cs="方正小标宋简体"/>
          <w:b/>
          <w:bCs/>
          <w:color w:val="auto"/>
          <w:sz w:val="44"/>
          <w:szCs w:val="44"/>
          <w:rtl w:val="0"/>
          <w:lang w:val="en-US" w:eastAsia="zh-CN"/>
        </w:rPr>
        <w:t>三</w:t>
      </w:r>
      <w:r>
        <w:rPr>
          <w:rFonts w:hint="eastAsia" w:ascii="方正小标宋简体" w:hAnsi="方正小标宋简体" w:eastAsia="方正小标宋简体" w:cs="方正小标宋简体"/>
          <w:b/>
          <w:bCs/>
          <w:color w:val="auto"/>
          <w:sz w:val="44"/>
          <w:szCs w:val="44"/>
          <w:rtl w:val="0"/>
          <w:lang w:val="zh-TW" w:eastAsia="zh-TW"/>
        </w:rPr>
        <w:t>部分</w:t>
      </w:r>
      <w:r>
        <w:rPr>
          <w:rFonts w:hint="eastAsia" w:ascii="方正小标宋简体" w:hAnsi="方正小标宋简体" w:eastAsia="方正小标宋简体" w:cs="方正小标宋简体"/>
          <w:b/>
          <w:bCs/>
          <w:color w:val="auto"/>
          <w:sz w:val="44"/>
          <w:szCs w:val="44"/>
          <w:lang w:val="en-US"/>
        </w:rPr>
        <w:tab/>
      </w:r>
      <w:r>
        <w:rPr>
          <w:rFonts w:hint="eastAsia" w:ascii="方正小标宋简体" w:hAnsi="方正小标宋简体" w:eastAsia="方正小标宋简体" w:cs="方正小标宋简体"/>
          <w:b/>
          <w:bCs/>
          <w:color w:val="auto"/>
          <w:sz w:val="44"/>
          <w:szCs w:val="44"/>
          <w:rtl w:val="0"/>
          <w:lang w:val="zh-TW" w:eastAsia="zh-TW"/>
        </w:rPr>
        <w:t>评审方法和评分细则</w:t>
      </w:r>
    </w:p>
    <w:p>
      <w:pPr>
        <w:tabs>
          <w:tab w:val="left" w:pos="420"/>
          <w:tab w:val="left" w:pos="7560"/>
          <w:tab w:val="left" w:pos="7740"/>
          <w:tab w:val="left" w:pos="7920"/>
        </w:tabs>
        <w:adjustRightInd w:val="0"/>
        <w:snapToGrid w:val="0"/>
        <w:spacing w:line="3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highlight w:val="white"/>
          <w:lang w:val="en-US" w:eastAsia="zh-CN"/>
        </w:rPr>
        <w:t>一、</w:t>
      </w:r>
      <w:r>
        <w:rPr>
          <w:rFonts w:hint="eastAsia" w:ascii="仿宋_GB2312" w:hAnsi="仿宋_GB2312" w:eastAsia="仿宋_GB2312" w:cs="仿宋_GB2312"/>
          <w:b/>
          <w:sz w:val="32"/>
          <w:szCs w:val="32"/>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1</w:t>
      </w:r>
      <w:r>
        <w:rPr>
          <w:rFonts w:hint="eastAsia" w:ascii="仿宋_GB2312" w:hAnsi="仿宋_GB2312" w:eastAsia="仿宋_GB2312" w:cs="仿宋_GB2312"/>
          <w:sz w:val="32"/>
          <w:szCs w:val="32"/>
          <w:highlight w:val="white"/>
          <w:lang w:eastAsia="zh-CN"/>
        </w:rPr>
        <w:t>.</w:t>
      </w:r>
      <w:r>
        <w:rPr>
          <w:rFonts w:hint="eastAsia" w:ascii="仿宋_GB2312" w:hAnsi="仿宋_GB2312" w:eastAsia="仿宋_GB2312" w:cs="仿宋_GB2312"/>
          <w:sz w:val="32"/>
          <w:szCs w:val="32"/>
          <w:highlight w:val="white"/>
        </w:rPr>
        <w:t>经磋商确定最终</w:t>
      </w:r>
      <w:r>
        <w:rPr>
          <w:rFonts w:hint="eastAsia" w:ascii="仿宋_GB2312" w:hAnsi="仿宋_GB2312" w:eastAsia="仿宋_GB2312" w:cs="仿宋_GB2312"/>
          <w:sz w:val="32"/>
          <w:szCs w:val="32"/>
          <w:highlight w:val="white"/>
          <w:lang w:eastAsia="zh-CN"/>
        </w:rPr>
        <w:t>招标</w:t>
      </w:r>
      <w:r>
        <w:rPr>
          <w:rFonts w:hint="eastAsia" w:ascii="仿宋_GB2312" w:hAnsi="仿宋_GB2312" w:eastAsia="仿宋_GB2312" w:cs="仿宋_GB2312"/>
          <w:sz w:val="32"/>
          <w:szCs w:val="32"/>
          <w:highlight w:val="white"/>
        </w:rPr>
        <w:t>需求和提交最后报价的</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后，由磋商小组采用</w:t>
      </w:r>
      <w:r>
        <w:rPr>
          <w:rFonts w:hint="eastAsia" w:ascii="仿宋_GB2312" w:hAnsi="仿宋_GB2312" w:eastAsia="仿宋_GB2312" w:cs="仿宋_GB2312"/>
          <w:sz w:val="32"/>
          <w:szCs w:val="32"/>
          <w:highlight w:val="white"/>
          <w:lang w:eastAsia="zh-CN"/>
        </w:rPr>
        <w:t>综合评估法</w:t>
      </w:r>
      <w:r>
        <w:rPr>
          <w:rFonts w:hint="eastAsia" w:ascii="仿宋_GB2312" w:hAnsi="仿宋_GB2312" w:eastAsia="仿宋_GB2312" w:cs="仿宋_GB2312"/>
          <w:sz w:val="32"/>
          <w:szCs w:val="32"/>
          <w:highlight w:val="white"/>
        </w:rPr>
        <w:t>对提交最后报价的</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lang w:eastAsia="zh-CN"/>
        </w:rPr>
        <w:t>综合评估法</w:t>
      </w:r>
      <w:r>
        <w:rPr>
          <w:rFonts w:hint="eastAsia" w:ascii="仿宋_GB2312" w:hAnsi="仿宋_GB2312" w:eastAsia="仿宋_GB2312" w:cs="仿宋_GB2312"/>
          <w:sz w:val="32"/>
          <w:szCs w:val="32"/>
          <w:highlight w:val="white"/>
        </w:rPr>
        <w:t>是指响应文件满足磋商文件全部实质性要求且按评审因素的量化指标评审得分最高的</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为</w:t>
      </w:r>
      <w:r>
        <w:rPr>
          <w:rFonts w:hint="eastAsia" w:ascii="仿宋_GB2312" w:hAnsi="仿宋_GB2312" w:eastAsia="仿宋_GB2312" w:cs="仿宋_GB2312"/>
          <w:sz w:val="32"/>
          <w:szCs w:val="32"/>
          <w:highlight w:val="white"/>
          <w:lang w:eastAsia="zh-CN"/>
        </w:rPr>
        <w:t>中标</w:t>
      </w:r>
      <w:r>
        <w:rPr>
          <w:rFonts w:hint="eastAsia" w:ascii="仿宋_GB2312" w:hAnsi="仿宋_GB2312" w:eastAsia="仿宋_GB2312" w:cs="仿宋_GB2312"/>
          <w:sz w:val="32"/>
          <w:szCs w:val="32"/>
          <w:highlight w:val="white"/>
        </w:rPr>
        <w:t>候选</w:t>
      </w:r>
      <w:r>
        <w:rPr>
          <w:rFonts w:hint="eastAsia" w:ascii="仿宋_GB2312" w:hAnsi="仿宋_GB2312" w:eastAsia="仿宋_GB2312" w:cs="仿宋_GB2312"/>
          <w:sz w:val="32"/>
          <w:szCs w:val="32"/>
          <w:highlight w:val="white"/>
          <w:lang w:eastAsia="zh-CN"/>
        </w:rPr>
        <w:t>人</w:t>
      </w:r>
      <w:r>
        <w:rPr>
          <w:rFonts w:hint="eastAsia" w:ascii="仿宋_GB2312" w:hAnsi="仿宋_GB2312" w:eastAsia="仿宋_GB2312" w:cs="仿宋_GB2312"/>
          <w:sz w:val="32"/>
          <w:szCs w:val="32"/>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2</w:t>
      </w:r>
      <w:r>
        <w:rPr>
          <w:rFonts w:hint="eastAsia" w:ascii="仿宋_GB2312" w:hAnsi="仿宋_GB2312" w:eastAsia="仿宋_GB2312" w:cs="仿宋_GB2312"/>
          <w:sz w:val="32"/>
          <w:szCs w:val="32"/>
          <w:highlight w:val="white"/>
          <w:lang w:eastAsia="zh-CN"/>
        </w:rPr>
        <w:t>.</w:t>
      </w:r>
      <w:r>
        <w:rPr>
          <w:rFonts w:hint="eastAsia" w:ascii="仿宋_GB2312" w:hAnsi="仿宋_GB2312" w:eastAsia="仿宋_GB2312" w:cs="仿宋_GB2312"/>
          <w:sz w:val="32"/>
          <w:szCs w:val="32"/>
          <w:highlight w:val="white"/>
        </w:rPr>
        <w:t>评审时，磋商小组各成员应当独立对每个有效响应的文件进行评价、打分，然后汇总每个</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3</w:t>
      </w:r>
      <w:r>
        <w:rPr>
          <w:rFonts w:hint="eastAsia" w:ascii="仿宋_GB2312" w:hAnsi="仿宋_GB2312" w:eastAsia="仿宋_GB2312" w:cs="仿宋_GB2312"/>
          <w:sz w:val="32"/>
          <w:szCs w:val="32"/>
          <w:highlight w:val="white"/>
          <w:lang w:eastAsia="zh-CN"/>
        </w:rPr>
        <w:t>.</w:t>
      </w:r>
      <w:r>
        <w:rPr>
          <w:rFonts w:hint="eastAsia" w:ascii="仿宋_GB2312" w:hAnsi="仿宋_GB2312" w:eastAsia="仿宋_GB2312" w:cs="仿宋_GB2312"/>
          <w:sz w:val="32"/>
          <w:szCs w:val="32"/>
          <w:highlight w:val="white"/>
        </w:rPr>
        <w:t>符合《政府</w:t>
      </w:r>
      <w:r>
        <w:rPr>
          <w:rFonts w:hint="eastAsia" w:ascii="仿宋_GB2312" w:hAnsi="仿宋_GB2312" w:eastAsia="仿宋_GB2312" w:cs="仿宋_GB2312"/>
          <w:sz w:val="32"/>
          <w:szCs w:val="32"/>
          <w:highlight w:val="white"/>
          <w:lang w:eastAsia="zh-CN"/>
        </w:rPr>
        <w:t>采购</w:t>
      </w:r>
      <w:r>
        <w:rPr>
          <w:rFonts w:hint="eastAsia" w:ascii="仿宋_GB2312" w:hAnsi="仿宋_GB2312" w:eastAsia="仿宋_GB2312" w:cs="仿宋_GB2312"/>
          <w:sz w:val="32"/>
          <w:szCs w:val="32"/>
          <w:highlight w:val="white"/>
        </w:rPr>
        <w:t>竞争性磋商</w:t>
      </w:r>
      <w:r>
        <w:rPr>
          <w:rFonts w:hint="eastAsia" w:ascii="仿宋_GB2312" w:hAnsi="仿宋_GB2312" w:eastAsia="仿宋_GB2312" w:cs="仿宋_GB2312"/>
          <w:sz w:val="32"/>
          <w:szCs w:val="32"/>
          <w:highlight w:val="white"/>
          <w:lang w:eastAsia="zh-CN"/>
        </w:rPr>
        <w:t>招标</w:t>
      </w:r>
      <w:r>
        <w:rPr>
          <w:rFonts w:hint="eastAsia" w:ascii="仿宋_GB2312" w:hAnsi="仿宋_GB2312" w:eastAsia="仿宋_GB2312" w:cs="仿宋_GB2312"/>
          <w:sz w:val="32"/>
          <w:szCs w:val="32"/>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3"/>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_GB2312" w:hAnsi="仿宋_GB2312" w:eastAsia="仿宋_GB2312" w:cs="仿宋_GB2312"/>
          <w:b/>
          <w:bCs/>
          <w:color w:val="000000" w:themeColor="text1"/>
          <w:kern w:val="2"/>
          <w:sz w:val="32"/>
          <w:szCs w:val="32"/>
          <w:lang w:val="zh-CN"/>
          <w14:textFill>
            <w14:solidFill>
              <w14:schemeClr w14:val="tx1"/>
            </w14:solidFill>
          </w14:textFill>
        </w:rPr>
      </w:pPr>
      <w:bookmarkStart w:id="2" w:name="_Toc2938"/>
      <w:bookmarkStart w:id="3" w:name="_Toc26597"/>
      <w:bookmarkStart w:id="4" w:name="_Toc3537"/>
      <w:bookmarkStart w:id="5" w:name="_Toc4618"/>
      <w:bookmarkStart w:id="6" w:name="_Toc8130"/>
      <w:bookmarkStart w:id="7" w:name="_Toc14742"/>
      <w:r>
        <w:rPr>
          <w:rFonts w:hint="eastAsia" w:ascii="仿宋_GB2312" w:hAnsi="仿宋_GB2312" w:eastAsia="仿宋_GB2312" w:cs="仿宋_GB2312"/>
          <w:b/>
          <w:bCs/>
          <w:color w:val="000000" w:themeColor="text1"/>
          <w:kern w:val="2"/>
          <w:sz w:val="32"/>
          <w:szCs w:val="32"/>
          <w:lang w:val="zh-CN"/>
          <w14:textFill>
            <w14:solidFill>
              <w14:schemeClr w14:val="tx1"/>
            </w14:solidFill>
          </w14:textFill>
        </w:rPr>
        <w:t>资格后审评审表</w:t>
      </w:r>
      <w:bookmarkEnd w:id="2"/>
      <w:bookmarkEnd w:id="3"/>
      <w:bookmarkEnd w:id="4"/>
      <w:bookmarkEnd w:id="5"/>
      <w:bookmarkEnd w:id="6"/>
      <w:bookmarkEnd w:id="7"/>
    </w:p>
    <w:tbl>
      <w:tblPr>
        <w:tblStyle w:val="20"/>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361"/>
        <w:gridCol w:w="495"/>
        <w:gridCol w:w="69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仿宋_GB2312" w:hAnsi="仿宋_GB2312" w:eastAsia="仿宋_GB2312" w:cs="仿宋_GB2312"/>
                <w:b/>
                <w:spacing w:val="-2"/>
                <w:sz w:val="32"/>
                <w:szCs w:val="32"/>
              </w:rPr>
            </w:pPr>
            <w:bookmarkStart w:id="8" w:name="_Toc11954"/>
            <w:bookmarkStart w:id="9" w:name="_Toc27601"/>
            <w:bookmarkStart w:id="10" w:name="_Toc29464"/>
            <w:bookmarkStart w:id="11" w:name="_Toc11547"/>
            <w:bookmarkStart w:id="12" w:name="_Toc8406"/>
            <w:bookmarkStart w:id="13" w:name="_Toc30312"/>
            <w:r>
              <w:rPr>
                <w:rFonts w:hint="eastAsia" w:ascii="仿宋_GB2312" w:hAnsi="仿宋_GB2312" w:eastAsia="仿宋_GB2312" w:cs="仿宋_GB2312"/>
                <w:b/>
                <w:spacing w:val="-2"/>
                <w:sz w:val="32"/>
                <w:szCs w:val="32"/>
              </w:rPr>
              <w:t>序号</w:t>
            </w:r>
          </w:p>
        </w:tc>
        <w:tc>
          <w:tcPr>
            <w:tcW w:w="2124" w:type="dxa"/>
            <w:vMerge w:val="restart"/>
            <w:noWrap w:val="0"/>
            <w:vAlign w:val="center"/>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评审内容</w:t>
            </w:r>
          </w:p>
        </w:tc>
        <w:tc>
          <w:tcPr>
            <w:tcW w:w="4361" w:type="dxa"/>
            <w:vMerge w:val="restart"/>
            <w:noWrap w:val="0"/>
            <w:vAlign w:val="center"/>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评审合格标准</w:t>
            </w:r>
          </w:p>
        </w:tc>
        <w:tc>
          <w:tcPr>
            <w:tcW w:w="1884" w:type="dxa"/>
            <w:gridSpan w:val="3"/>
            <w:noWrap w:val="0"/>
            <w:vAlign w:val="bottom"/>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lang w:eastAsia="zh-CN"/>
              </w:rPr>
              <w:t>投标人</w:t>
            </w:r>
            <w:r>
              <w:rPr>
                <w:rFonts w:hint="eastAsia" w:ascii="仿宋_GB2312" w:hAnsi="仿宋_GB2312" w:eastAsia="仿宋_GB2312" w:cs="仿宋_GB2312"/>
                <w:b/>
                <w:spacing w:val="-2"/>
                <w:sz w:val="32"/>
                <w:szCs w:val="3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2124"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4361"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495" w:type="dxa"/>
            <w:noWrap w:val="0"/>
            <w:vAlign w:val="bottom"/>
          </w:tcPr>
          <w:p>
            <w:pPr>
              <w:spacing w:line="360" w:lineRule="auto"/>
              <w:jc w:val="center"/>
              <w:rPr>
                <w:rFonts w:hint="eastAsia" w:ascii="仿宋_GB2312" w:hAnsi="仿宋_GB2312" w:eastAsia="仿宋_GB2312" w:cs="仿宋_GB2312"/>
                <w:b/>
                <w:spacing w:val="-2"/>
                <w:sz w:val="32"/>
                <w:szCs w:val="32"/>
              </w:rPr>
            </w:pPr>
          </w:p>
        </w:tc>
        <w:tc>
          <w:tcPr>
            <w:tcW w:w="690" w:type="dxa"/>
            <w:noWrap w:val="0"/>
            <w:vAlign w:val="top"/>
          </w:tcPr>
          <w:p>
            <w:pPr>
              <w:spacing w:line="360" w:lineRule="auto"/>
              <w:jc w:val="center"/>
              <w:rPr>
                <w:rFonts w:hint="eastAsia" w:ascii="仿宋_GB2312" w:hAnsi="仿宋_GB2312" w:eastAsia="仿宋_GB2312" w:cs="仿宋_GB2312"/>
                <w:b/>
                <w:spacing w:val="-2"/>
                <w:sz w:val="32"/>
                <w:szCs w:val="32"/>
              </w:rPr>
            </w:pPr>
          </w:p>
        </w:tc>
        <w:tc>
          <w:tcPr>
            <w:tcW w:w="699" w:type="dxa"/>
            <w:noWrap w:val="0"/>
            <w:vAlign w:val="top"/>
          </w:tcPr>
          <w:p>
            <w:pPr>
              <w:spacing w:line="360" w:lineRule="auto"/>
              <w:jc w:val="center"/>
              <w:rPr>
                <w:rFonts w:hint="eastAsia" w:ascii="仿宋_GB2312" w:hAnsi="仿宋_GB2312" w:eastAsia="仿宋_GB2312" w:cs="仿宋_GB2312"/>
                <w:b/>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营业执照等证明</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lang w:eastAsia="zh-CN"/>
              </w:rPr>
            </w:pPr>
            <w:r>
              <w:rPr>
                <w:rFonts w:hint="eastAsia" w:ascii="仿宋_GB2312" w:hAnsi="仿宋_GB2312" w:eastAsia="仿宋_GB2312" w:cs="仿宋_GB2312"/>
                <w:sz w:val="32"/>
                <w:szCs w:val="32"/>
                <w:highlight w:val="white"/>
              </w:rPr>
              <w:t>有效的营业执照复印件需加盖供应商单位公章</w:t>
            </w:r>
            <w:r>
              <w:rPr>
                <w:rFonts w:hint="eastAsia" w:ascii="仿宋_GB2312" w:hAnsi="仿宋_GB2312" w:eastAsia="仿宋_GB2312" w:cs="仿宋_GB2312"/>
                <w:sz w:val="32"/>
                <w:szCs w:val="32"/>
                <w:highlight w:val="white"/>
                <w:lang w:eastAsia="zh-CN"/>
              </w:rPr>
              <w:t>；</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eastAsia="zh-CN"/>
              </w:rPr>
              <w:t>法定代表人身份证明书及</w:t>
            </w:r>
            <w:r>
              <w:rPr>
                <w:rFonts w:hint="eastAsia" w:ascii="仿宋_GB2312" w:hAnsi="仿宋_GB2312" w:eastAsia="仿宋_GB2312" w:cs="仿宋_GB2312"/>
                <w:sz w:val="32"/>
                <w:szCs w:val="32"/>
                <w:highlight w:val="white"/>
              </w:rPr>
              <w:t>法定代表人授权书</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(1)</w:t>
            </w:r>
            <w:r>
              <w:rPr>
                <w:rFonts w:hint="eastAsia" w:ascii="仿宋_GB2312" w:hAnsi="仿宋_GB2312" w:eastAsia="仿宋_GB2312" w:cs="仿宋_GB2312"/>
                <w:sz w:val="32"/>
                <w:szCs w:val="32"/>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(2)</w:t>
            </w:r>
            <w:r>
              <w:rPr>
                <w:rFonts w:hint="eastAsia" w:ascii="仿宋_GB2312" w:hAnsi="仿宋_GB2312" w:eastAsia="仿宋_GB2312" w:cs="仿宋_GB2312"/>
                <w:sz w:val="32"/>
                <w:szCs w:val="32"/>
                <w:highlight w:val="white"/>
              </w:rPr>
              <w:t xml:space="preserve"> </w:t>
            </w:r>
            <w:r>
              <w:rPr>
                <w:rFonts w:hint="eastAsia" w:ascii="仿宋_GB2312" w:hAnsi="仿宋_GB2312" w:eastAsia="仿宋_GB2312" w:cs="仿宋_GB2312"/>
                <w:sz w:val="32"/>
                <w:szCs w:val="32"/>
                <w:highlight w:val="white"/>
                <w:lang w:eastAsia="zh-CN"/>
              </w:rPr>
              <w:t>法定代表人身份证明书附完整的</w:t>
            </w:r>
            <w:r>
              <w:rPr>
                <w:rFonts w:hint="eastAsia" w:ascii="仿宋_GB2312" w:hAnsi="仿宋_GB2312" w:eastAsia="仿宋_GB2312" w:cs="仿宋_GB2312"/>
                <w:sz w:val="32"/>
                <w:szCs w:val="32"/>
                <w:highlight w:val="white"/>
              </w:rPr>
              <w:t>法定代表人身份证复印件</w:t>
            </w:r>
            <w:r>
              <w:rPr>
                <w:rFonts w:hint="eastAsia" w:ascii="仿宋_GB2312" w:hAnsi="仿宋_GB2312" w:eastAsia="仿宋_GB2312" w:cs="仿宋_GB2312"/>
                <w:sz w:val="32"/>
                <w:szCs w:val="32"/>
                <w:highlight w:val="white"/>
                <w:lang w:eastAsia="zh-CN"/>
              </w:rPr>
              <w:t>，并</w:t>
            </w:r>
            <w:r>
              <w:rPr>
                <w:rFonts w:hint="eastAsia" w:ascii="仿宋_GB2312" w:hAnsi="仿宋_GB2312" w:eastAsia="仿宋_GB2312" w:cs="仿宋_GB2312"/>
                <w:sz w:val="32"/>
                <w:szCs w:val="32"/>
                <w:highlight w:val="white"/>
              </w:rPr>
              <w:t>加盖公章</w:t>
            </w:r>
            <w:r>
              <w:rPr>
                <w:rFonts w:hint="eastAsia" w:ascii="仿宋_GB2312" w:hAnsi="仿宋_GB2312" w:eastAsia="仿宋_GB2312" w:cs="仿宋_GB2312"/>
                <w:sz w:val="32"/>
                <w:szCs w:val="32"/>
                <w:highlight w:val="whit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w:t>
            </w:r>
            <w:r>
              <w:rPr>
                <w:rFonts w:hint="eastAsia" w:ascii="仿宋_GB2312" w:hAnsi="仿宋_GB2312" w:eastAsia="仿宋_GB2312" w:cs="仿宋_GB2312"/>
                <w:sz w:val="32"/>
                <w:szCs w:val="32"/>
                <w:highlight w:val="white"/>
                <w:lang w:val="en-US" w:eastAsia="zh-CN"/>
              </w:rPr>
              <w:t>3</w:t>
            </w:r>
            <w:r>
              <w:rPr>
                <w:rFonts w:hint="eastAsia" w:ascii="仿宋_GB2312" w:hAnsi="仿宋_GB2312" w:eastAsia="仿宋_GB2312" w:cs="仿宋_GB2312"/>
                <w:sz w:val="32"/>
                <w:szCs w:val="32"/>
                <w:highlight w:val="white"/>
              </w:rPr>
              <w:t>）</w:t>
            </w:r>
            <w:r>
              <w:rPr>
                <w:rFonts w:hint="eastAsia" w:ascii="仿宋_GB2312" w:hAnsi="仿宋_GB2312" w:eastAsia="仿宋_GB2312" w:cs="仿宋_GB2312"/>
                <w:sz w:val="32"/>
                <w:szCs w:val="32"/>
                <w:highlight w:val="white"/>
                <w:lang w:eastAsia="zh-CN"/>
              </w:rPr>
              <w:t>法定代表人授权委托书</w:t>
            </w:r>
            <w:r>
              <w:rPr>
                <w:rFonts w:hint="eastAsia" w:ascii="仿宋_GB2312" w:hAnsi="仿宋_GB2312" w:eastAsia="仿宋_GB2312" w:cs="仿宋_GB2312"/>
                <w:sz w:val="32"/>
                <w:szCs w:val="32"/>
                <w:highlight w:val="white"/>
              </w:rPr>
              <w:t>附完整的法定代表人身份证复印件、被授权人身份证复印件，</w:t>
            </w:r>
            <w:r>
              <w:rPr>
                <w:rFonts w:hint="eastAsia" w:ascii="仿宋_GB2312" w:hAnsi="仿宋_GB2312" w:eastAsia="仿宋_GB2312" w:cs="仿宋_GB2312"/>
                <w:sz w:val="32"/>
                <w:szCs w:val="32"/>
                <w:highlight w:val="white"/>
                <w:lang w:eastAsia="zh-CN"/>
              </w:rPr>
              <w:t>并</w:t>
            </w:r>
            <w:r>
              <w:rPr>
                <w:rFonts w:hint="eastAsia" w:ascii="仿宋_GB2312" w:hAnsi="仿宋_GB2312" w:eastAsia="仿宋_GB2312" w:cs="仿宋_GB2312"/>
                <w:sz w:val="32"/>
                <w:szCs w:val="32"/>
                <w:highlight w:val="white"/>
              </w:rPr>
              <w:t>加盖公章；</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具有良好的商业信誉和健全的财务会计制度</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（1）提供会计师事务所出具的</w:t>
            </w:r>
            <w:r>
              <w:rPr>
                <w:rFonts w:hint="eastAsia" w:ascii="仿宋_GB2312" w:hAnsi="仿宋_GB2312" w:eastAsia="仿宋_GB2312" w:cs="仿宋_GB2312"/>
                <w:sz w:val="32"/>
                <w:szCs w:val="32"/>
                <w:highlight w:val="white"/>
                <w:lang w:val="en-US" w:eastAsia="zh-CN"/>
              </w:rPr>
              <w:t>2021年度或2022年度财务审计报告</w:t>
            </w:r>
            <w:r>
              <w:rPr>
                <w:rFonts w:hint="eastAsia" w:ascii="仿宋_GB2312" w:hAnsi="仿宋_GB2312" w:eastAsia="仿宋_GB2312" w:cs="仿宋_GB2312"/>
                <w:sz w:val="32"/>
                <w:szCs w:val="32"/>
                <w:highlight w:val="white"/>
              </w:rPr>
              <w:t>复印件或银行在开标日前</w:t>
            </w:r>
            <w:r>
              <w:rPr>
                <w:rFonts w:hint="eastAsia" w:ascii="仿宋_GB2312" w:hAnsi="仿宋_GB2312" w:eastAsia="仿宋_GB2312" w:cs="仿宋_GB2312"/>
                <w:sz w:val="32"/>
                <w:szCs w:val="32"/>
                <w:highlight w:val="white"/>
                <w:lang w:val="en-US" w:eastAsia="zh-CN"/>
              </w:rPr>
              <w:t>六</w:t>
            </w:r>
            <w:r>
              <w:rPr>
                <w:rFonts w:hint="eastAsia" w:ascii="仿宋_GB2312" w:hAnsi="仿宋_GB2312" w:eastAsia="仿宋_GB2312" w:cs="仿宋_GB2312"/>
                <w:sz w:val="32"/>
                <w:szCs w:val="32"/>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（2）复印件加盖</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 xml:space="preserve">公章； </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具有履行合同所必需的设备和专业技术能力</w:t>
            </w:r>
          </w:p>
        </w:tc>
        <w:tc>
          <w:tcPr>
            <w:tcW w:w="4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eastAsia="zh-CN"/>
              </w:rPr>
            </w:pPr>
            <w:r>
              <w:rPr>
                <w:rFonts w:hint="eastAsia" w:ascii="仿宋_GB2312" w:hAnsi="仿宋_GB2312" w:eastAsia="仿宋_GB2312" w:cs="仿宋_GB2312"/>
                <w:sz w:val="32"/>
                <w:szCs w:val="32"/>
                <w:highlight w:val="white"/>
              </w:rPr>
              <w:t>提供了可充分满足履行合同所需设备和专业技术能力的承诺</w:t>
            </w:r>
            <w:r>
              <w:rPr>
                <w:rFonts w:hint="eastAsia" w:ascii="仿宋_GB2312" w:hAnsi="仿宋_GB2312" w:eastAsia="仿宋_GB2312" w:cs="仿宋_GB2312"/>
                <w:sz w:val="32"/>
                <w:szCs w:val="32"/>
                <w:highlight w:val="white"/>
                <w:lang w:eastAsia="zh-CN"/>
              </w:rPr>
              <w:t>（格式自拟）</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有依法缴纳税收和社会保障资金的良好记录</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val="en-US" w:eastAsia="zh-CN"/>
              </w:rPr>
            </w:pPr>
            <w:r>
              <w:rPr>
                <w:rFonts w:hint="eastAsia" w:ascii="仿宋_GB2312" w:hAnsi="仿宋_GB2312" w:eastAsia="仿宋_GB2312" w:cs="仿宋_GB2312"/>
                <w:sz w:val="32"/>
                <w:szCs w:val="32"/>
                <w:highlight w:val="white"/>
              </w:rPr>
              <w:t>（1）提供开标</w:t>
            </w:r>
            <w:r>
              <w:rPr>
                <w:rFonts w:hint="eastAsia" w:ascii="仿宋_GB2312" w:hAnsi="仿宋_GB2312" w:eastAsia="仿宋_GB2312" w:cs="仿宋_GB2312"/>
                <w:sz w:val="32"/>
                <w:szCs w:val="32"/>
                <w:highlight w:val="white"/>
                <w:lang w:val="en-US" w:eastAsia="zh-CN"/>
              </w:rPr>
              <w:t>日</w:t>
            </w:r>
            <w:r>
              <w:rPr>
                <w:rFonts w:hint="eastAsia" w:ascii="仿宋_GB2312" w:hAnsi="仿宋_GB2312" w:eastAsia="仿宋_GB2312" w:cs="仿宋_GB2312"/>
                <w:sz w:val="32"/>
                <w:szCs w:val="32"/>
                <w:highlight w:val="white"/>
              </w:rPr>
              <w:t>前</w:t>
            </w:r>
            <w:r>
              <w:rPr>
                <w:rFonts w:hint="eastAsia" w:ascii="仿宋_GB2312" w:hAnsi="仿宋_GB2312" w:eastAsia="仿宋_GB2312" w:cs="仿宋_GB2312"/>
                <w:sz w:val="32"/>
                <w:szCs w:val="32"/>
                <w:highlight w:val="white"/>
                <w:lang w:eastAsia="zh-CN"/>
              </w:rPr>
              <w:t>六个月</w:t>
            </w:r>
            <w:r>
              <w:rPr>
                <w:rFonts w:hint="eastAsia" w:ascii="仿宋_GB2312" w:hAnsi="仿宋_GB2312" w:eastAsia="仿宋_GB2312" w:cs="仿宋_GB2312"/>
                <w:sz w:val="32"/>
                <w:szCs w:val="32"/>
                <w:highlight w:val="white"/>
                <w:lang w:val="en-US" w:eastAsia="zh-CN"/>
              </w:rPr>
              <w:t>任意三</w:t>
            </w:r>
            <w:r>
              <w:rPr>
                <w:rFonts w:hint="eastAsia" w:ascii="仿宋_GB2312" w:hAnsi="仿宋_GB2312" w:eastAsia="仿宋_GB2312" w:cs="仿宋_GB2312"/>
                <w:sz w:val="32"/>
                <w:szCs w:val="32"/>
                <w:highlight w:val="white"/>
              </w:rPr>
              <w:t>个月依法缴纳税收证明，证明材料可以是缴费的银行单据等复印件并加盖公章或免缴纳证明</w:t>
            </w:r>
            <w:r>
              <w:rPr>
                <w:rFonts w:hint="eastAsia" w:ascii="仿宋_GB2312" w:hAnsi="仿宋_GB2312" w:eastAsia="仿宋_GB2312" w:cs="仿宋_GB2312"/>
                <w:sz w:val="32"/>
                <w:szCs w:val="32"/>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val="en-US" w:eastAsia="zh-CN"/>
              </w:rPr>
            </w:pPr>
            <w:r>
              <w:rPr>
                <w:rFonts w:hint="eastAsia" w:ascii="仿宋_GB2312" w:hAnsi="仿宋_GB2312" w:eastAsia="仿宋_GB2312" w:cs="仿宋_GB2312"/>
                <w:sz w:val="32"/>
                <w:szCs w:val="32"/>
                <w:highlight w:val="white"/>
              </w:rPr>
              <w:t>（2）提供开标</w:t>
            </w:r>
            <w:r>
              <w:rPr>
                <w:rFonts w:hint="eastAsia" w:ascii="仿宋_GB2312" w:hAnsi="仿宋_GB2312" w:eastAsia="仿宋_GB2312" w:cs="仿宋_GB2312"/>
                <w:sz w:val="32"/>
                <w:szCs w:val="32"/>
                <w:highlight w:val="white"/>
                <w:lang w:eastAsia="zh-CN"/>
              </w:rPr>
              <w:t>日</w:t>
            </w:r>
            <w:r>
              <w:rPr>
                <w:rFonts w:hint="eastAsia" w:ascii="仿宋_GB2312" w:hAnsi="仿宋_GB2312" w:eastAsia="仿宋_GB2312" w:cs="仿宋_GB2312"/>
                <w:sz w:val="32"/>
                <w:szCs w:val="32"/>
                <w:highlight w:val="white"/>
              </w:rPr>
              <w:t>前</w:t>
            </w:r>
            <w:r>
              <w:rPr>
                <w:rFonts w:hint="eastAsia" w:ascii="仿宋_GB2312" w:hAnsi="仿宋_GB2312" w:eastAsia="仿宋_GB2312" w:cs="仿宋_GB2312"/>
                <w:sz w:val="32"/>
                <w:szCs w:val="32"/>
                <w:highlight w:val="white"/>
                <w:lang w:eastAsia="zh-CN"/>
              </w:rPr>
              <w:t>六个月任意三</w:t>
            </w:r>
            <w:r>
              <w:rPr>
                <w:rFonts w:hint="eastAsia" w:ascii="仿宋_GB2312" w:hAnsi="仿宋_GB2312" w:eastAsia="仿宋_GB2312" w:cs="仿宋_GB2312"/>
                <w:sz w:val="32"/>
                <w:szCs w:val="32"/>
                <w:highlight w:val="white"/>
              </w:rPr>
              <w:t>个月依法缴纳社保证明，证明材料可以是缴费的银行单据或社保机构开具的证明等复印件并加盖公章或免缴纳证明</w:t>
            </w:r>
            <w:r>
              <w:rPr>
                <w:rFonts w:hint="eastAsia" w:ascii="仿宋_GB2312" w:hAnsi="仿宋_GB2312" w:eastAsia="仿宋_GB2312" w:cs="仿宋_GB2312"/>
                <w:sz w:val="32"/>
                <w:szCs w:val="32"/>
                <w:highlight w:val="white"/>
                <w:lang w:eastAsia="zh-CN"/>
              </w:rPr>
              <w:t>。</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投标人声明函</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val="en-US" w:eastAsia="zh-CN"/>
              </w:rPr>
            </w:pPr>
            <w:r>
              <w:rPr>
                <w:rFonts w:hint="eastAsia" w:ascii="仿宋_GB2312" w:hAnsi="仿宋_GB2312" w:eastAsia="仿宋_GB2312" w:cs="仿宋_GB2312"/>
                <w:sz w:val="32"/>
                <w:szCs w:val="32"/>
                <w:highlight w:val="white"/>
              </w:rPr>
              <w:t>提供了参加政府采购活动前三年内，在经营活动中没有重大违法记录的书面声明</w:t>
            </w:r>
            <w:r>
              <w:rPr>
                <w:rFonts w:hint="eastAsia" w:ascii="仿宋_GB2312" w:hAnsi="仿宋_GB2312" w:eastAsia="仿宋_GB2312" w:cs="仿宋_GB2312"/>
                <w:sz w:val="32"/>
                <w:szCs w:val="32"/>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单位负责人为同一人或者存在直接控股、管理关系的不同</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，不得参加同一合同项下的政府采购活动。除单一来源采购项目外，为采购项目提供整体设计、规范编制或者项目管理、监理、检测等服务的</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，不得再参加该采购项目的其他采购活动</w:t>
            </w:r>
            <w:r>
              <w:rPr>
                <w:rFonts w:hint="eastAsia" w:ascii="仿宋_GB2312" w:hAnsi="仿宋_GB2312" w:eastAsia="仿宋_GB2312" w:cs="仿宋_GB2312"/>
                <w:sz w:val="32"/>
                <w:szCs w:val="32"/>
                <w:highlight w:val="white"/>
                <w:lang w:eastAsia="zh-CN"/>
              </w:rPr>
              <w:t>的书面声明。</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信用信息查询</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eastAsia="zh-CN"/>
              </w:rPr>
            </w:pPr>
            <w:r>
              <w:rPr>
                <w:rFonts w:hint="eastAsia" w:ascii="仿宋_GB2312" w:hAnsi="仿宋_GB2312" w:eastAsia="仿宋_GB2312" w:cs="仿宋_GB2312"/>
                <w:sz w:val="32"/>
                <w:szCs w:val="32"/>
                <w:highlight w:val="white"/>
              </w:rPr>
              <w:t>投标人不得为“信用中国网站（www.creditchina.gov.cn）中列入失信被执行人和</w:t>
            </w:r>
            <w:r>
              <w:rPr>
                <w:rFonts w:hint="eastAsia" w:ascii="仿宋_GB2312" w:hAnsi="仿宋_GB2312" w:eastAsia="仿宋_GB2312" w:cs="仿宋_GB2312"/>
                <w:sz w:val="32"/>
                <w:szCs w:val="32"/>
                <w:highlight w:val="white"/>
                <w:lang w:eastAsia="zh-CN"/>
              </w:rPr>
              <w:t>税收违法黑名单</w:t>
            </w:r>
            <w:r>
              <w:rPr>
                <w:rFonts w:hint="eastAsia" w:ascii="仿宋_GB2312" w:hAnsi="仿宋_GB2312" w:eastAsia="仿宋_GB2312" w:cs="仿宋_GB2312"/>
                <w:sz w:val="32"/>
                <w:szCs w:val="32"/>
                <w:highlight w:val="white"/>
              </w:rPr>
              <w:t>的</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，不得为中国政府采购网（www.ccgp.gov.cn）政府采购严重违法失信行为记录名单中被财政部门禁止参加政府采购活动的投标人（以代理机构查询结果为准）</w:t>
            </w:r>
            <w:r>
              <w:rPr>
                <w:rFonts w:hint="eastAsia" w:ascii="仿宋_GB2312" w:hAnsi="仿宋_GB2312" w:eastAsia="仿宋_GB2312" w:cs="仿宋_GB2312"/>
                <w:sz w:val="32"/>
                <w:szCs w:val="32"/>
                <w:highlight w:val="white"/>
                <w:lang w:eastAsia="zh-CN"/>
              </w:rPr>
              <w:t>。</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32"/>
                <w:szCs w:val="32"/>
                <w:lang w:val="en-US" w:eastAsia="zh-CN"/>
              </w:rPr>
            </w:pPr>
            <w:r>
              <w:rPr>
                <w:rFonts w:hint="eastAsia" w:ascii="仿宋_GB2312" w:hAnsi="仿宋_GB2312" w:eastAsia="仿宋_GB2312" w:cs="仿宋_GB2312"/>
                <w:b w:val="0"/>
                <w:bCs w:val="0"/>
                <w:color w:val="auto"/>
                <w:spacing w:val="-2"/>
                <w:sz w:val="32"/>
                <w:szCs w:val="32"/>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eastAsia="zh-CN"/>
              </w:rPr>
              <w:t>落实政策</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本项目为专门面向中小企业，故只接受全部服务由中小企业提供，按要求填写中小企业声明函。</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结论</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spacing w:line="360" w:lineRule="auto"/>
              <w:jc w:val="center"/>
              <w:rPr>
                <w:rFonts w:hint="eastAsia" w:ascii="仿宋_GB2312" w:hAnsi="仿宋_GB2312" w:eastAsia="仿宋_GB2312" w:cs="仿宋_GB2312"/>
                <w:b w:val="0"/>
                <w:bCs w:val="0"/>
                <w:color w:val="FF0000"/>
                <w:spacing w:val="-2"/>
                <w:sz w:val="32"/>
                <w:szCs w:val="32"/>
              </w:rPr>
            </w:pPr>
          </w:p>
        </w:tc>
        <w:tc>
          <w:tcPr>
            <w:tcW w:w="4361" w:type="dxa"/>
            <w:noWrap w:val="0"/>
            <w:vAlign w:val="top"/>
          </w:tcPr>
          <w:p>
            <w:pPr>
              <w:spacing w:line="360" w:lineRule="auto"/>
              <w:jc w:val="left"/>
              <w:rPr>
                <w:rFonts w:hint="eastAsia" w:ascii="仿宋_GB2312" w:hAnsi="仿宋_GB2312" w:eastAsia="仿宋_GB2312" w:cs="仿宋_GB2312"/>
                <w:b w:val="0"/>
                <w:bCs w:val="0"/>
                <w:color w:val="FF0000"/>
                <w:spacing w:val="-2"/>
                <w:sz w:val="32"/>
                <w:szCs w:val="32"/>
              </w:rPr>
            </w:pP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bookmarkEnd w:id="8"/>
      <w:bookmarkEnd w:id="9"/>
      <w:bookmarkEnd w:id="10"/>
      <w:bookmarkEnd w:id="11"/>
      <w:bookmarkEnd w:id="12"/>
      <w:bookmarkEnd w:id="13"/>
    </w:tbl>
    <w:tbl>
      <w:tblPr>
        <w:tblStyle w:val="21"/>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framePr w:wrap="auto" w:vAnchor="margin" w:hAnchor="text" w:yAlign="inline"/>
              <w:rPr>
                <w:rFonts w:hint="eastAsia" w:ascii="仿宋_GB2312" w:hAnsi="仿宋_GB2312" w:eastAsia="仿宋_GB2312" w:cs="仿宋_GB2312"/>
                <w:sz w:val="32"/>
                <w:szCs w:val="32"/>
                <w:highlight w:val="white"/>
                <w:vertAlign w:val="baseline"/>
              </w:rPr>
            </w:pPr>
          </w:p>
        </w:tc>
      </w:tr>
    </w:tbl>
    <w:p>
      <w:pPr>
        <w:rPr>
          <w:rFonts w:hint="eastAsia" w:ascii="仿宋_GB2312" w:hAnsi="仿宋_GB2312" w:eastAsia="仿宋_GB2312" w:cs="仿宋_GB2312"/>
          <w:sz w:val="32"/>
          <w:szCs w:val="32"/>
          <w:highlight w:val="white"/>
        </w:rPr>
      </w:pPr>
    </w:p>
    <w:p>
      <w:pPr>
        <w:spacing w:line="360" w:lineRule="auto"/>
        <w:ind w:firstLine="472"/>
        <w:jc w:val="left"/>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注：符合要求用“√”表示，不符合用“×”表示，结论为“合格”或“不合格”，有任一项不符合要求，结论为不合格。</w:t>
      </w:r>
    </w:p>
    <w:p>
      <w:pPr>
        <w:rPr>
          <w:rFonts w:hint="eastAsia" w:ascii="仿宋_GB2312" w:hAnsi="仿宋_GB2312" w:eastAsia="仿宋_GB2312" w:cs="仿宋_GB2312"/>
          <w:sz w:val="32"/>
          <w:szCs w:val="32"/>
        </w:rPr>
      </w:pPr>
    </w:p>
    <w:p>
      <w:pPr>
        <w:pStyle w:val="2"/>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投标文件符合性审查</w:t>
      </w:r>
    </w:p>
    <w:p>
      <w:pPr>
        <w:rPr>
          <w:rFonts w:hint="eastAsia" w:ascii="仿宋_GB2312" w:hAnsi="仿宋_GB2312" w:eastAsia="仿宋_GB2312" w:cs="仿宋_GB2312"/>
          <w:sz w:val="32"/>
          <w:szCs w:val="32"/>
        </w:rPr>
      </w:pPr>
    </w:p>
    <w:tbl>
      <w:tblPr>
        <w:tblStyle w:val="20"/>
        <w:tblW w:w="9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序号</w:t>
            </w:r>
          </w:p>
        </w:tc>
        <w:tc>
          <w:tcPr>
            <w:tcW w:w="6211" w:type="dxa"/>
            <w:vMerge w:val="restart"/>
            <w:noWrap w:val="0"/>
            <w:vAlign w:val="bottom"/>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评审内容</w:t>
            </w:r>
          </w:p>
        </w:tc>
        <w:tc>
          <w:tcPr>
            <w:tcW w:w="3181" w:type="dxa"/>
            <w:gridSpan w:val="3"/>
            <w:noWrap w:val="0"/>
            <w:vAlign w:val="bottom"/>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lang w:eastAsia="zh-CN"/>
              </w:rPr>
              <w:t>投标人</w:t>
            </w:r>
            <w:r>
              <w:rPr>
                <w:rFonts w:hint="eastAsia" w:ascii="仿宋_GB2312" w:hAnsi="仿宋_GB2312" w:eastAsia="仿宋_GB2312" w:cs="仿宋_GB2312"/>
                <w:b/>
                <w:spacing w:val="-2"/>
                <w:sz w:val="32"/>
                <w:szCs w:val="3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6211"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699" w:type="dxa"/>
            <w:noWrap w:val="0"/>
            <w:vAlign w:val="bottom"/>
          </w:tcPr>
          <w:p>
            <w:pPr>
              <w:spacing w:line="360" w:lineRule="auto"/>
              <w:jc w:val="center"/>
              <w:rPr>
                <w:rFonts w:hint="eastAsia" w:ascii="仿宋_GB2312" w:hAnsi="仿宋_GB2312" w:eastAsia="仿宋_GB2312" w:cs="仿宋_GB2312"/>
                <w:b/>
                <w:spacing w:val="-2"/>
                <w:sz w:val="32"/>
                <w:szCs w:val="32"/>
              </w:rPr>
            </w:pPr>
          </w:p>
        </w:tc>
        <w:tc>
          <w:tcPr>
            <w:tcW w:w="699" w:type="dxa"/>
            <w:noWrap w:val="0"/>
            <w:vAlign w:val="top"/>
          </w:tcPr>
          <w:p>
            <w:pPr>
              <w:spacing w:line="360" w:lineRule="auto"/>
              <w:jc w:val="center"/>
              <w:rPr>
                <w:rFonts w:hint="eastAsia" w:ascii="仿宋_GB2312" w:hAnsi="仿宋_GB2312" w:eastAsia="仿宋_GB2312" w:cs="仿宋_GB2312"/>
                <w:b/>
                <w:spacing w:val="-2"/>
                <w:sz w:val="32"/>
                <w:szCs w:val="32"/>
              </w:rPr>
            </w:pPr>
          </w:p>
        </w:tc>
        <w:tc>
          <w:tcPr>
            <w:tcW w:w="1783" w:type="dxa"/>
            <w:noWrap w:val="0"/>
            <w:vAlign w:val="top"/>
          </w:tcPr>
          <w:p>
            <w:pPr>
              <w:spacing w:line="360" w:lineRule="auto"/>
              <w:jc w:val="center"/>
              <w:rPr>
                <w:rFonts w:hint="eastAsia" w:ascii="仿宋_GB2312" w:hAnsi="仿宋_GB2312" w:eastAsia="仿宋_GB2312" w:cs="仿宋_GB2312"/>
                <w:b/>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6211"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投标文件按招标文件的规定要求签署、盖章的；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按规定的格式填写，没有内容不全的；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投标报价未超过最高限价的；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211"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投标有效期满足招标文件要求；</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211"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符合招标文件中规定的其它实质性要求的；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6211"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投标文件中未附有招标人不能接受的附加条件的；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投标人名称或组织结构与购买招标文件时是否一致且未一致时提供有效证明的；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不属于法律、法规和招标文件中规定的其他无效投标情形的。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7"/>
              <w:spacing w:line="360" w:lineRule="auto"/>
              <w:rPr>
                <w:rFonts w:hint="eastAsia" w:ascii="仿宋_GB2312" w:hAnsi="仿宋_GB2312" w:eastAsia="仿宋_GB2312" w:cs="仿宋_GB2312"/>
                <w:sz w:val="32"/>
                <w:szCs w:val="32"/>
              </w:rPr>
            </w:pPr>
          </w:p>
        </w:tc>
        <w:tc>
          <w:tcPr>
            <w:tcW w:w="6211" w:type="dxa"/>
            <w:noWrap w:val="0"/>
            <w:vAlign w:val="top"/>
          </w:tcPr>
          <w:p>
            <w:pPr>
              <w:pStyle w:val="7"/>
              <w:spacing w:line="360" w:lineRule="auto"/>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结论</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bl>
    <w:p>
      <w:pPr>
        <w:spacing w:line="360" w:lineRule="auto"/>
        <w:ind w:firstLine="472"/>
        <w:jc w:val="left"/>
        <w:rPr>
          <w:rFonts w:hint="eastAsia" w:ascii="仿宋_GB2312" w:hAnsi="仿宋_GB2312" w:eastAsia="仿宋_GB2312" w:cs="仿宋_GB2312"/>
          <w:sz w:val="32"/>
          <w:szCs w:val="32"/>
          <w:highlight w:val="white"/>
        </w:rPr>
      </w:pPr>
      <w:r>
        <w:rPr>
          <w:rFonts w:hint="eastAsia" w:ascii="仿宋_GB2312" w:hAnsi="仿宋_GB2312" w:eastAsia="仿宋_GB2312" w:cs="仿宋_GB2312"/>
          <w:spacing w:val="-2"/>
          <w:sz w:val="32"/>
          <w:szCs w:val="32"/>
        </w:rPr>
        <w:t>注：符合要求用“√”表示，不符合用“×”表示，结论为“合格”或“不合格”，有任一项不符合要求，结论为不合格。</w:t>
      </w:r>
    </w:p>
    <w:p>
      <w:pPr>
        <w:framePr w:wrap="auto" w:vAnchor="margin" w:hAnchor="text" w:yAlign="inline"/>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pPr>
    </w:p>
    <w:p>
      <w:pPr>
        <w:framePr w:wrap="auto" w:vAnchor="margin" w:hAnchor="text" w:yAlign="inline"/>
        <w:shd w:val="clear" w:color="auto" w:fill="auto"/>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t>、评分细则</w:t>
      </w:r>
    </w:p>
    <w:bookmarkEnd w:id="1"/>
    <w:p>
      <w:pPr>
        <w:framePr w:wrap="auto" w:vAnchor="margin" w:hAnchor="text" w:yAlign="inline"/>
        <w:rPr>
          <w:rFonts w:hint="eastAsia" w:ascii="仿宋_GB2312" w:hAnsi="仿宋_GB2312" w:eastAsia="仿宋_GB2312" w:cs="仿宋_GB2312"/>
          <w:color w:val="000000" w:themeColor="text1"/>
          <w:sz w:val="32"/>
          <w:szCs w:val="32"/>
          <w14:textFill>
            <w14:solidFill>
              <w14:schemeClr w14:val="tx1"/>
            </w14:solidFill>
          </w14:textFill>
        </w:rPr>
      </w:pPr>
    </w:p>
    <w:tbl>
      <w:tblPr>
        <w:tblStyle w:val="20"/>
        <w:tblW w:w="99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712"/>
        <w:gridCol w:w="1342"/>
        <w:gridCol w:w="1735"/>
        <w:gridCol w:w="5643"/>
        <w:gridCol w:w="52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0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t>序号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t>评分部分</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t>评分因素</w:t>
            </w:r>
          </w:p>
        </w:tc>
        <w:tc>
          <w:tcPr>
            <w:tcW w:w="5643"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t>评分内容</w:t>
            </w:r>
          </w:p>
        </w:tc>
        <w:tc>
          <w:tcPr>
            <w:tcW w:w="528"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t>满分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0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t>1</w:t>
            </w:r>
          </w:p>
        </w:tc>
        <w:tc>
          <w:tcPr>
            <w:tcW w:w="1342" w:type="dxa"/>
            <w:tcBorders>
              <w:top w:val="single" w:color="000000" w:sz="4" w:space="0"/>
              <w:left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t>商务部分（10分）</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ind w:left="0" w:leftChars="0" w:right="0" w:rightChars="0" w:firstLine="0" w:firstLineChars="0"/>
              <w:jc w:val="cente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经营良好</w:t>
            </w:r>
          </w:p>
        </w:tc>
        <w:tc>
          <w:tcPr>
            <w:tcW w:w="5643"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spacing w:line="360" w:lineRule="auto"/>
              <w:ind w:left="0" w:leftChars="0" w:right="0" w:rightChars="0" w:firstLine="0" w:firstLineChars="0"/>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投标人经营情况良好，得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分（提供相关证明材料</w:t>
            </w:r>
            <w:r>
              <w:rPr>
                <w:rFonts w:hint="eastAsia" w:ascii="仿宋_GB2312" w:hAnsi="仿宋_GB2312" w:eastAsia="仿宋_GB2312" w:cs="仿宋_GB2312"/>
                <w:color w:val="000000" w:themeColor="text1"/>
                <w:sz w:val="32"/>
                <w:szCs w:val="32"/>
                <w:lang w:val="zh-TW"/>
                <w14:textFill>
                  <w14:solidFill>
                    <w14:schemeClr w14:val="tx1"/>
                  </w14:solidFill>
                </w14:textFill>
              </w:rPr>
              <w:t>，财务报表、资产负债表、依法缴纳税收</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社保</w:t>
            </w:r>
            <w:r>
              <w:rPr>
                <w:rFonts w:hint="eastAsia" w:ascii="仿宋_GB2312" w:hAnsi="仿宋_GB2312" w:eastAsia="仿宋_GB2312" w:cs="仿宋_GB2312"/>
                <w:color w:val="000000" w:themeColor="text1"/>
                <w:sz w:val="32"/>
                <w:szCs w:val="32"/>
                <w:lang w:val="zh-TW"/>
                <w14:textFill>
                  <w14:solidFill>
                    <w14:schemeClr w14:val="tx1"/>
                  </w14:solidFill>
                </w14:textFill>
              </w:rPr>
              <w:t>记录等</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tc>
        <w:tc>
          <w:tcPr>
            <w:tcW w:w="528"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ind w:left="0" w:leftChars="0" w:right="0" w:rightChars="0" w:firstLine="0" w:firstLineChars="0"/>
              <w:jc w:val="cente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0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t>2</w:t>
            </w:r>
          </w:p>
        </w:tc>
        <w:tc>
          <w:tcPr>
            <w:tcW w:w="1342" w:type="dxa"/>
            <w:tcBorders>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ind w:left="0" w:leftChars="0" w:right="0" w:rightChars="0" w:firstLine="0" w:firstLineChars="0"/>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业绩</w:t>
            </w:r>
          </w:p>
        </w:tc>
        <w:tc>
          <w:tcPr>
            <w:tcW w:w="5643"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spacing w:line="360" w:lineRule="auto"/>
              <w:ind w:left="0" w:leftChars="0" w:right="0" w:rightChars="0" w:firstLine="0" w:firstLineChars="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提供类似业绩，每提供一份得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分，最高得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分。</w:t>
            </w:r>
          </w:p>
        </w:tc>
        <w:tc>
          <w:tcPr>
            <w:tcW w:w="528"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ind w:left="0" w:leftChars="0" w:right="0" w:rightChars="0" w:firstLine="0" w:firstLineChars="0"/>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0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t>3</w:t>
            </w:r>
          </w:p>
        </w:tc>
        <w:tc>
          <w:tcPr>
            <w:tcW w:w="1342" w:type="dxa"/>
            <w:tcBorders>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spacing w:line="360" w:lineRule="auto"/>
              <w:ind w:left="0" w:leftChars="0" w:right="0" w:righ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保洁工具材料及设备配置情况</w:t>
            </w:r>
          </w:p>
        </w:tc>
        <w:tc>
          <w:tcPr>
            <w:tcW w:w="5643"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spacing w:line="360" w:lineRule="auto"/>
              <w:ind w:left="0" w:leftChars="0" w:right="0" w:rightChars="0" w:firstLine="0" w:firstLineChars="0"/>
              <w:rPr>
                <w:rFonts w:hint="eastAsia" w:ascii="仿宋_GB2312" w:hAnsi="仿宋_GB2312" w:eastAsia="仿宋_GB2312" w:cs="仿宋_GB2312"/>
                <w:color w:val="000000" w:themeColor="text1"/>
                <w:sz w:val="32"/>
                <w:szCs w:val="32"/>
                <w:lang w:val="zh-TW" w:eastAsia="zh-CN"/>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根据项目投入设备及工具、消耗材料配备的合理性、实用性、先进性打分。保洁车、洗地机等设备、工具材料配置齐全、性能先进、能够满足采购需求的得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分；保洁车、洗地机等设备、工具材料配置比较齐全、性能一般、基本能够满足采购需求的得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分；保洁车、洗地机等设备、工具材料配置不齐全、性能落后、不能满足采购需求的得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1分，</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否则酌情扣分。</w:t>
            </w:r>
          </w:p>
        </w:tc>
        <w:tc>
          <w:tcPr>
            <w:tcW w:w="528"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ind w:left="0" w:leftChars="0" w:right="0" w:rightChars="0" w:firstLine="0" w:firstLineChars="0"/>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712"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tl w:val="0"/>
                <w:lang w:val="en-US" w:eastAsia="zh-CN"/>
              </w:rPr>
              <w:t>4</w:t>
            </w:r>
          </w:p>
        </w:tc>
        <w:tc>
          <w:tcPr>
            <w:tcW w:w="1342" w:type="dxa"/>
            <w:vMerge w:val="restart"/>
            <w:tcBorders>
              <w:top w:val="single" w:color="000000" w:sz="4" w:space="0"/>
              <w:left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技术部分（60分）</w:t>
            </w:r>
          </w:p>
        </w:tc>
        <w:tc>
          <w:tcPr>
            <w:tcW w:w="1735"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jc w:val="center"/>
              <w:rPr>
                <w:rFonts w:hint="eastAsia" w:ascii="仿宋_GB2312" w:hAnsi="仿宋_GB2312" w:eastAsia="仿宋_GB2312" w:cs="仿宋_GB2312"/>
                <w:color w:val="auto"/>
                <w:sz w:val="32"/>
                <w:szCs w:val="32"/>
                <w:lang w:val="en-US" w:eastAsia="zh-CN"/>
              </w:rPr>
            </w:pPr>
          </w:p>
          <w:p>
            <w:pPr>
              <w:framePr w:wrap="auto" w:vAnchor="margin" w:hAnchor="text" w:yAlign="inline"/>
              <w:shd w:val="clear" w:color="auto" w:fill="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服务团队及人员配置</w:t>
            </w:r>
          </w:p>
        </w:tc>
        <w:tc>
          <w:tcPr>
            <w:tcW w:w="5643" w:type="dxa"/>
            <w:tcBorders>
              <w:top w:val="single" w:color="000000" w:sz="8"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top"/>
          </w:tcPr>
          <w:p>
            <w:pPr>
              <w:framePr w:wrap="auto" w:vAnchor="margin" w:hAnchor="text" w:yAlign="inline"/>
              <w:shd w:val="clear" w:color="auto" w:fill="auto"/>
              <w:spacing w:line="360" w:lineRule="auto"/>
              <w:rPr>
                <w:rFonts w:hint="eastAsia" w:ascii="仿宋_GB2312" w:hAnsi="仿宋_GB2312" w:eastAsia="仿宋_GB2312" w:cs="仿宋_GB2312"/>
                <w:color w:val="auto"/>
                <w:sz w:val="32"/>
                <w:szCs w:val="32"/>
                <w:rtl w:val="0"/>
                <w:lang w:val="en-US"/>
              </w:rPr>
            </w:pPr>
            <w:r>
              <w:rPr>
                <w:rFonts w:hint="eastAsia" w:ascii="仿宋_GB2312" w:hAnsi="仿宋_GB2312" w:eastAsia="仿宋_GB2312" w:cs="仿宋_GB2312"/>
                <w:color w:val="auto"/>
                <w:sz w:val="32"/>
                <w:szCs w:val="32"/>
                <w:rtl w:val="0"/>
                <w:lang w:val="en-US" w:eastAsia="zh-CN"/>
              </w:rPr>
              <w:t>保洁员具有保洁员证，提供10个以上得12分，提供10个以下得8分，未提供不得分。</w:t>
            </w:r>
          </w:p>
        </w:tc>
        <w:tc>
          <w:tcPr>
            <w:tcW w:w="528" w:type="dxa"/>
            <w:tcBorders>
              <w:top w:val="single" w:color="000000" w:sz="8"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5" w:hRule="atLeast"/>
          <w:jc w:val="center"/>
        </w:trPr>
        <w:tc>
          <w:tcPr>
            <w:tcW w:w="71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p>
        </w:tc>
        <w:tc>
          <w:tcPr>
            <w:tcW w:w="1342" w:type="dxa"/>
            <w:vMerge w:val="continue"/>
            <w:tcBorders>
              <w:left w:val="single" w:color="000000" w:sz="4" w:space="0"/>
              <w:right w:val="single" w:color="000000" w:sz="4" w:space="0"/>
            </w:tcBorders>
            <w:shd w:val="clear" w:color="auto" w:fill="auto"/>
            <w:noWrap w:val="0"/>
            <w:vAlign w:val="center"/>
          </w:tcPr>
          <w:p>
            <w:pPr>
              <w:framePr w:wrap="auto" w:vAnchor="margin" w:hAnchor="text" w:yAlign="inline"/>
              <w:jc w:val="center"/>
              <w:rPr>
                <w:rFonts w:hint="eastAsia" w:ascii="仿宋_GB2312" w:hAnsi="仿宋_GB2312" w:eastAsia="仿宋_GB2312" w:cs="仿宋_GB2312"/>
                <w:color w:val="auto"/>
                <w:sz w:val="32"/>
                <w:szCs w:val="32"/>
                <w:rtl w:val="0"/>
                <w:lang w:val="en-US"/>
              </w:rPr>
            </w:pPr>
          </w:p>
        </w:tc>
        <w:tc>
          <w:tcPr>
            <w:tcW w:w="173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framePr w:wrap="auto" w:vAnchor="margin" w:hAnchor="text" w:yAlign="inline"/>
              <w:shd w:val="clear" w:color="auto" w:fill="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保洁</w:t>
            </w:r>
            <w:r>
              <w:rPr>
                <w:rFonts w:hint="default" w:ascii="仿宋_GB2312" w:hAnsi="仿宋_GB2312" w:eastAsia="仿宋_GB2312" w:cs="仿宋_GB2312"/>
                <w:color w:val="auto"/>
                <w:sz w:val="32"/>
                <w:szCs w:val="32"/>
                <w:lang w:val="en-US" w:eastAsia="zh-CN"/>
              </w:rPr>
              <w:t>方案</w:t>
            </w:r>
          </w:p>
        </w:tc>
        <w:tc>
          <w:tcPr>
            <w:tcW w:w="5643"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jc w:val="left"/>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lang w:val="en-US" w:eastAsia="zh-CN"/>
              </w:rPr>
              <w:t>投标</w:t>
            </w:r>
            <w:r>
              <w:rPr>
                <w:rFonts w:hint="default" w:ascii="仿宋_GB2312" w:hAnsi="仿宋_GB2312" w:eastAsia="仿宋_GB2312" w:cs="仿宋_GB2312"/>
                <w:color w:val="auto"/>
                <w:sz w:val="32"/>
                <w:szCs w:val="32"/>
                <w:lang w:val="en-US" w:eastAsia="zh-CN"/>
              </w:rPr>
              <w:t>供应商在响应文件中</w:t>
            </w:r>
            <w:r>
              <w:rPr>
                <w:rFonts w:hint="eastAsia" w:ascii="仿宋_GB2312" w:hAnsi="仿宋_GB2312" w:eastAsia="仿宋_GB2312" w:cs="仿宋_GB2312"/>
                <w:color w:val="auto"/>
                <w:sz w:val="32"/>
                <w:szCs w:val="32"/>
                <w:lang w:val="en-US" w:eastAsia="zh-CN"/>
              </w:rPr>
              <w:t>外围清洁、室内清洁、特殊区域清洁、保洁作业流程、医废处理、垃圾清运、卫生消杀等详细具体的服务方案。每提供1个方案得3分，</w:t>
            </w:r>
            <w:r>
              <w:rPr>
                <w:rFonts w:hint="default" w:ascii="仿宋_GB2312" w:hAnsi="仿宋_GB2312" w:eastAsia="仿宋_GB2312" w:cs="仿宋_GB2312"/>
                <w:color w:val="auto"/>
                <w:sz w:val="32"/>
                <w:szCs w:val="32"/>
                <w:lang w:val="en-US" w:eastAsia="zh-CN"/>
              </w:rPr>
              <w:t>此项</w:t>
            </w:r>
            <w:r>
              <w:rPr>
                <w:rFonts w:hint="eastAsia" w:ascii="仿宋_GB2312" w:hAnsi="仿宋_GB2312" w:eastAsia="仿宋_GB2312" w:cs="仿宋_GB2312"/>
                <w:color w:val="auto"/>
                <w:sz w:val="32"/>
                <w:szCs w:val="32"/>
                <w:lang w:val="en-US" w:eastAsia="zh-CN"/>
              </w:rPr>
              <w:t>最</w:t>
            </w:r>
            <w:r>
              <w:rPr>
                <w:rFonts w:hint="default" w:ascii="仿宋_GB2312" w:hAnsi="仿宋_GB2312" w:eastAsia="仿宋_GB2312" w:cs="仿宋_GB2312"/>
                <w:color w:val="auto"/>
                <w:sz w:val="32"/>
                <w:szCs w:val="32"/>
                <w:lang w:val="en-US" w:eastAsia="zh-CN"/>
              </w:rPr>
              <w:t>多</w:t>
            </w:r>
            <w:r>
              <w:rPr>
                <w:rFonts w:hint="eastAsia" w:ascii="仿宋_GB2312" w:hAnsi="仿宋_GB2312" w:eastAsia="仿宋_GB2312" w:cs="仿宋_GB2312"/>
                <w:color w:val="auto"/>
                <w:sz w:val="32"/>
                <w:szCs w:val="32"/>
                <w:lang w:val="en-US" w:eastAsia="zh-CN"/>
              </w:rPr>
              <w:t>得15分</w:t>
            </w:r>
            <w:r>
              <w:rPr>
                <w:rFonts w:hint="default" w:ascii="仿宋_GB2312" w:hAnsi="仿宋_GB2312" w:eastAsia="仿宋_GB2312" w:cs="仿宋_GB2312"/>
                <w:color w:val="auto"/>
                <w:sz w:val="32"/>
                <w:szCs w:val="32"/>
                <w:lang w:val="en-US" w:eastAsia="zh-CN"/>
              </w:rPr>
              <w:t>，不提供</w:t>
            </w:r>
            <w:r>
              <w:rPr>
                <w:rFonts w:hint="eastAsia" w:ascii="仿宋_GB2312" w:hAnsi="仿宋_GB2312" w:eastAsia="仿宋_GB2312" w:cs="仿宋_GB2312"/>
                <w:color w:val="auto"/>
                <w:sz w:val="32"/>
                <w:szCs w:val="32"/>
                <w:lang w:val="en-US" w:eastAsia="zh-CN"/>
              </w:rPr>
              <w:t>不得分。</w:t>
            </w:r>
          </w:p>
        </w:tc>
        <w:tc>
          <w:tcPr>
            <w:tcW w:w="528"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09" w:hRule="atLeast"/>
          <w:jc w:val="center"/>
        </w:trPr>
        <w:tc>
          <w:tcPr>
            <w:tcW w:w="71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1342" w:type="dxa"/>
            <w:vMerge w:val="continue"/>
            <w:tcBorders>
              <w:left w:val="single" w:color="000000" w:sz="4" w:space="0"/>
              <w:right w:val="single" w:color="000000" w:sz="4" w:space="0"/>
            </w:tcBorders>
            <w:shd w:val="clear" w:color="auto" w:fill="auto"/>
            <w:noWrap w:val="0"/>
            <w:vAlign w:val="center"/>
          </w:tcPr>
          <w:p>
            <w:pPr>
              <w:framePr w:wrap="auto" w:vAnchor="margin" w:hAnchor="text" w:yAlign="inline"/>
              <w:jc w:val="center"/>
              <w:rPr>
                <w:rFonts w:hint="eastAsia" w:ascii="仿宋_GB2312" w:hAnsi="仿宋_GB2312" w:eastAsia="仿宋_GB2312" w:cs="仿宋_GB2312"/>
                <w:color w:val="auto"/>
                <w:sz w:val="32"/>
                <w:szCs w:val="32"/>
                <w:rtl w:val="0"/>
                <w:lang w:val="en-US"/>
              </w:rPr>
            </w:pPr>
          </w:p>
        </w:tc>
        <w:tc>
          <w:tcPr>
            <w:tcW w:w="173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framePr w:wrap="auto" w:vAnchor="margin" w:hAnchor="text" w:yAlign="inline"/>
              <w:shd w:val="clear" w:color="auto" w:fill="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售后服务</w:t>
            </w:r>
          </w:p>
        </w:tc>
        <w:tc>
          <w:tcPr>
            <w:tcW w:w="5643"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spacing w:line="360" w:lineRule="auto"/>
              <w:rPr>
                <w:rFonts w:hint="default" w:ascii="仿宋_GB2312" w:hAnsi="仿宋_GB2312" w:eastAsia="仿宋_GB2312" w:cs="仿宋_GB2312"/>
                <w:color w:val="auto"/>
                <w:sz w:val="32"/>
                <w:szCs w:val="32"/>
                <w:rtl w:val="0"/>
                <w:lang w:val="en-US"/>
              </w:rPr>
            </w:pPr>
            <w:r>
              <w:rPr>
                <w:rFonts w:hint="default" w:ascii="仿宋_GB2312" w:hAnsi="仿宋_GB2312" w:eastAsia="仿宋_GB2312" w:cs="仿宋_GB2312"/>
                <w:color w:val="auto"/>
                <w:sz w:val="32"/>
                <w:szCs w:val="32"/>
                <w:rtl w:val="0"/>
                <w:lang w:val="en-US"/>
              </w:rPr>
              <w:t>有具体服务承诺和服务方案且内容全面可行的得</w:t>
            </w:r>
            <w:r>
              <w:rPr>
                <w:rFonts w:hint="default" w:ascii="仿宋_GB2312" w:hAnsi="仿宋_GB2312" w:eastAsia="仿宋_GB2312" w:cs="仿宋_GB2312"/>
                <w:color w:val="auto"/>
                <w:sz w:val="32"/>
                <w:szCs w:val="32"/>
                <w:rtl w:val="0"/>
                <w:lang w:val="en-US" w:eastAsia="zh-CN"/>
              </w:rPr>
              <w:t>9</w:t>
            </w:r>
            <w:r>
              <w:rPr>
                <w:rFonts w:hint="default" w:ascii="仿宋_GB2312" w:hAnsi="仿宋_GB2312" w:eastAsia="仿宋_GB2312" w:cs="仿宋_GB2312"/>
                <w:color w:val="auto"/>
                <w:sz w:val="32"/>
                <w:szCs w:val="32"/>
                <w:rtl w:val="0"/>
                <w:lang w:val="en-US"/>
              </w:rPr>
              <w:t>分，有服务承诺和服务方案但内容不够全面可行的得</w:t>
            </w:r>
            <w:r>
              <w:rPr>
                <w:rFonts w:hint="eastAsia" w:ascii="仿宋_GB2312" w:hAnsi="仿宋_GB2312" w:eastAsia="仿宋_GB2312" w:cs="仿宋_GB2312"/>
                <w:color w:val="auto"/>
                <w:sz w:val="32"/>
                <w:szCs w:val="32"/>
                <w:rtl w:val="0"/>
                <w:lang w:val="en-US" w:eastAsia="zh-CN"/>
              </w:rPr>
              <w:t>6</w:t>
            </w:r>
            <w:r>
              <w:rPr>
                <w:rFonts w:hint="default" w:ascii="仿宋_GB2312" w:hAnsi="仿宋_GB2312" w:eastAsia="仿宋_GB2312" w:cs="仿宋_GB2312"/>
                <w:color w:val="auto"/>
                <w:sz w:val="32"/>
                <w:szCs w:val="32"/>
                <w:rtl w:val="0"/>
                <w:lang w:val="en-US"/>
              </w:rPr>
              <w:t>分，没有服务承诺或有负偏离的不得分。</w:t>
            </w:r>
          </w:p>
        </w:tc>
        <w:tc>
          <w:tcPr>
            <w:tcW w:w="528"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09" w:hRule="atLeast"/>
          <w:jc w:val="center"/>
        </w:trPr>
        <w:tc>
          <w:tcPr>
            <w:tcW w:w="71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1342" w:type="dxa"/>
            <w:tcBorders>
              <w:left w:val="single" w:color="000000" w:sz="4" w:space="0"/>
              <w:right w:val="single" w:color="000000" w:sz="4" w:space="0"/>
            </w:tcBorders>
            <w:shd w:val="clear" w:color="auto" w:fill="auto"/>
            <w:noWrap w:val="0"/>
            <w:vAlign w:val="center"/>
          </w:tcPr>
          <w:p>
            <w:pPr>
              <w:framePr w:wrap="auto" w:vAnchor="margin" w:hAnchor="text" w:yAlign="inline"/>
              <w:jc w:val="center"/>
              <w:rPr>
                <w:rFonts w:hint="eastAsia" w:ascii="仿宋_GB2312" w:hAnsi="仿宋_GB2312" w:eastAsia="仿宋_GB2312" w:cs="仿宋_GB2312"/>
                <w:color w:val="auto"/>
                <w:sz w:val="32"/>
                <w:szCs w:val="32"/>
                <w:rtl w:val="0"/>
                <w:lang w:val="en-US"/>
              </w:rPr>
            </w:pPr>
          </w:p>
        </w:tc>
        <w:tc>
          <w:tcPr>
            <w:tcW w:w="173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framePr w:wrap="auto" w:vAnchor="margin" w:hAnchor="text" w:yAlign="inline"/>
              <w:shd w:val="clear" w:color="auto" w:fill="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日常管理</w:t>
            </w:r>
            <w:r>
              <w:rPr>
                <w:rFonts w:hint="default" w:ascii="仿宋_GB2312" w:hAnsi="仿宋_GB2312" w:eastAsia="仿宋_GB2312" w:cs="仿宋_GB2312"/>
                <w:color w:val="auto"/>
                <w:sz w:val="32"/>
                <w:szCs w:val="32"/>
                <w:lang w:val="en-US" w:eastAsia="zh-CN"/>
              </w:rPr>
              <w:t>方案</w:t>
            </w:r>
          </w:p>
        </w:tc>
        <w:tc>
          <w:tcPr>
            <w:tcW w:w="5643"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w:t>
            </w:r>
            <w:r>
              <w:rPr>
                <w:rFonts w:hint="default" w:ascii="仿宋_GB2312" w:hAnsi="仿宋_GB2312" w:eastAsia="仿宋_GB2312" w:cs="仿宋_GB2312"/>
                <w:color w:val="auto"/>
                <w:sz w:val="32"/>
                <w:szCs w:val="32"/>
                <w:lang w:val="en-US" w:eastAsia="zh-CN"/>
              </w:rPr>
              <w:t>供应商在响应文件中</w:t>
            </w:r>
            <w:r>
              <w:rPr>
                <w:rFonts w:hint="eastAsia" w:ascii="仿宋_GB2312" w:hAnsi="仿宋_GB2312" w:eastAsia="仿宋_GB2312" w:cs="仿宋_GB2312"/>
                <w:color w:val="auto"/>
                <w:sz w:val="32"/>
                <w:szCs w:val="32"/>
                <w:lang w:val="en-US" w:eastAsia="zh-CN"/>
              </w:rPr>
              <w:t>提供组织架构</w:t>
            </w:r>
            <w:r>
              <w:rPr>
                <w:rFonts w:hint="default" w:ascii="仿宋_GB2312" w:hAnsi="仿宋_GB2312" w:eastAsia="仿宋_GB2312" w:cs="仿宋_GB2312"/>
                <w:color w:val="auto"/>
                <w:sz w:val="32"/>
                <w:szCs w:val="32"/>
                <w:lang w:val="en-US" w:eastAsia="zh-CN"/>
              </w:rPr>
              <w:t>图</w:t>
            </w:r>
            <w:r>
              <w:rPr>
                <w:rFonts w:hint="eastAsia" w:ascii="仿宋_GB2312" w:hAnsi="仿宋_GB2312" w:eastAsia="仿宋_GB2312" w:cs="仿宋_GB2312"/>
                <w:color w:val="auto"/>
                <w:sz w:val="32"/>
                <w:szCs w:val="32"/>
                <w:lang w:val="en-US" w:eastAsia="zh-CN"/>
              </w:rPr>
              <w:t>、日常运行</w:t>
            </w:r>
            <w:r>
              <w:rPr>
                <w:rFonts w:hint="default" w:ascii="仿宋_GB2312" w:hAnsi="仿宋_GB2312" w:eastAsia="仿宋_GB2312" w:cs="仿宋_GB2312"/>
                <w:color w:val="auto"/>
                <w:sz w:val="32"/>
                <w:szCs w:val="32"/>
                <w:lang w:val="en-US" w:eastAsia="zh-CN"/>
              </w:rPr>
              <w:t>模式图</w:t>
            </w:r>
            <w:r>
              <w:rPr>
                <w:rFonts w:hint="eastAsia" w:ascii="仿宋_GB2312" w:hAnsi="仿宋_GB2312" w:eastAsia="仿宋_GB2312" w:cs="仿宋_GB2312"/>
                <w:color w:val="auto"/>
                <w:sz w:val="32"/>
                <w:szCs w:val="32"/>
                <w:lang w:val="en-US" w:eastAsia="zh-CN"/>
              </w:rPr>
              <w:t>、系统化管理</w:t>
            </w:r>
            <w:r>
              <w:rPr>
                <w:rFonts w:hint="default" w:ascii="仿宋_GB2312" w:hAnsi="仿宋_GB2312" w:eastAsia="仿宋_GB2312" w:cs="仿宋_GB2312"/>
                <w:color w:val="auto"/>
                <w:sz w:val="32"/>
                <w:szCs w:val="32"/>
                <w:lang w:val="en-US" w:eastAsia="zh-CN"/>
              </w:rPr>
              <w:t>制度</w:t>
            </w:r>
            <w:r>
              <w:rPr>
                <w:rFonts w:hint="eastAsia" w:ascii="仿宋_GB2312" w:hAnsi="仿宋_GB2312" w:eastAsia="仿宋_GB2312" w:cs="仿宋_GB2312"/>
                <w:color w:val="auto"/>
                <w:sz w:val="32"/>
                <w:szCs w:val="32"/>
                <w:lang w:val="en-US" w:eastAsia="zh-CN"/>
              </w:rPr>
              <w:t>、监督检查</w:t>
            </w:r>
            <w:r>
              <w:rPr>
                <w:rFonts w:hint="default" w:ascii="仿宋_GB2312" w:hAnsi="仿宋_GB2312" w:eastAsia="仿宋_GB2312" w:cs="仿宋_GB2312"/>
                <w:color w:val="auto"/>
                <w:sz w:val="32"/>
                <w:szCs w:val="32"/>
                <w:lang w:val="en-US" w:eastAsia="zh-CN"/>
              </w:rPr>
              <w:t>制度</w:t>
            </w:r>
            <w:r>
              <w:rPr>
                <w:rFonts w:hint="eastAsia" w:ascii="仿宋_GB2312" w:hAnsi="仿宋_GB2312" w:eastAsia="仿宋_GB2312" w:cs="仿宋_GB2312"/>
                <w:color w:val="auto"/>
                <w:sz w:val="32"/>
                <w:szCs w:val="32"/>
                <w:lang w:val="en-US" w:eastAsia="zh-CN"/>
              </w:rPr>
              <w:t>、人员考核</w:t>
            </w:r>
            <w:r>
              <w:rPr>
                <w:rFonts w:hint="default"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lang w:val="en-US" w:eastAsia="zh-CN"/>
              </w:rPr>
              <w:t>、财务管理</w:t>
            </w:r>
            <w:r>
              <w:rPr>
                <w:rFonts w:hint="default" w:ascii="仿宋_GB2312" w:hAnsi="仿宋_GB2312" w:eastAsia="仿宋_GB2312" w:cs="仿宋_GB2312"/>
                <w:color w:val="auto"/>
                <w:sz w:val="32"/>
                <w:szCs w:val="32"/>
                <w:lang w:val="en-US" w:eastAsia="zh-CN"/>
              </w:rPr>
              <w:t>制度</w:t>
            </w:r>
            <w:r>
              <w:rPr>
                <w:rFonts w:hint="eastAsia" w:ascii="仿宋_GB2312" w:hAnsi="仿宋_GB2312" w:eastAsia="仿宋_GB2312" w:cs="仿宋_GB2312"/>
                <w:color w:val="auto"/>
                <w:sz w:val="32"/>
                <w:szCs w:val="32"/>
                <w:lang w:val="en-US" w:eastAsia="zh-CN"/>
              </w:rPr>
              <w:t>、档案管理</w:t>
            </w:r>
            <w:r>
              <w:rPr>
                <w:rFonts w:hint="default" w:ascii="仿宋_GB2312" w:hAnsi="仿宋_GB2312" w:eastAsia="仿宋_GB2312" w:cs="仿宋_GB2312"/>
                <w:color w:val="auto"/>
                <w:sz w:val="32"/>
                <w:szCs w:val="32"/>
                <w:lang w:val="en-US" w:eastAsia="zh-CN"/>
              </w:rPr>
              <w:t>制度</w:t>
            </w:r>
            <w:r>
              <w:rPr>
                <w:rFonts w:hint="eastAsia" w:ascii="仿宋_GB2312" w:hAnsi="仿宋_GB2312" w:eastAsia="仿宋_GB2312" w:cs="仿宋_GB2312"/>
                <w:color w:val="auto"/>
                <w:sz w:val="32"/>
                <w:szCs w:val="32"/>
                <w:lang w:val="en-US" w:eastAsia="zh-CN"/>
              </w:rPr>
              <w:t>、投诉处理</w:t>
            </w:r>
            <w:r>
              <w:rPr>
                <w:rFonts w:hint="default" w:ascii="仿宋_GB2312" w:hAnsi="仿宋_GB2312" w:eastAsia="仿宋_GB2312" w:cs="仿宋_GB2312"/>
                <w:color w:val="auto"/>
                <w:sz w:val="32"/>
                <w:szCs w:val="32"/>
                <w:lang w:val="en-US" w:eastAsia="zh-CN"/>
              </w:rPr>
              <w:t>制度</w:t>
            </w:r>
            <w:r>
              <w:rPr>
                <w:rFonts w:hint="eastAsia" w:ascii="仿宋_GB2312" w:hAnsi="仿宋_GB2312" w:eastAsia="仿宋_GB2312" w:cs="仿宋_GB2312"/>
                <w:color w:val="auto"/>
                <w:sz w:val="32"/>
                <w:szCs w:val="32"/>
                <w:lang w:val="en-US" w:eastAsia="zh-CN"/>
              </w:rPr>
              <w:t>等制度及方案。</w:t>
            </w:r>
          </w:p>
          <w:p>
            <w:pPr>
              <w:framePr w:wrap="auto" w:vAnchor="margin" w:hAnchor="text" w:yAlign="inline"/>
              <w:shd w:val="clear" w:color="auto" w:fill="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每提供1个制度及方案得3分，</w:t>
            </w:r>
            <w:r>
              <w:rPr>
                <w:rFonts w:hint="default" w:ascii="仿宋_GB2312" w:hAnsi="仿宋_GB2312" w:eastAsia="仿宋_GB2312" w:cs="仿宋_GB2312"/>
                <w:color w:val="auto"/>
                <w:sz w:val="32"/>
                <w:szCs w:val="32"/>
                <w:lang w:val="en-US" w:eastAsia="zh-CN"/>
              </w:rPr>
              <w:t>此项最多</w:t>
            </w:r>
            <w:r>
              <w:rPr>
                <w:rFonts w:hint="eastAsia" w:ascii="仿宋_GB2312" w:hAnsi="仿宋_GB2312" w:eastAsia="仿宋_GB2312" w:cs="仿宋_GB2312"/>
                <w:color w:val="auto"/>
                <w:sz w:val="32"/>
                <w:szCs w:val="32"/>
                <w:lang w:val="en-US" w:eastAsia="zh-CN"/>
              </w:rPr>
              <w:t>得12分</w:t>
            </w:r>
            <w:r>
              <w:rPr>
                <w:rFonts w:hint="default" w:ascii="仿宋_GB2312" w:hAnsi="仿宋_GB2312" w:eastAsia="仿宋_GB2312" w:cs="仿宋_GB2312"/>
                <w:color w:val="auto"/>
                <w:sz w:val="32"/>
                <w:szCs w:val="32"/>
                <w:lang w:val="en-US" w:eastAsia="zh-CN"/>
              </w:rPr>
              <w:t>，不提供</w:t>
            </w:r>
            <w:r>
              <w:rPr>
                <w:rFonts w:hint="eastAsia" w:ascii="仿宋_GB2312" w:hAnsi="仿宋_GB2312" w:eastAsia="仿宋_GB2312" w:cs="仿宋_GB2312"/>
                <w:color w:val="auto"/>
                <w:sz w:val="32"/>
                <w:szCs w:val="32"/>
                <w:lang w:val="en-US" w:eastAsia="zh-CN"/>
              </w:rPr>
              <w:t>不得分。</w:t>
            </w:r>
          </w:p>
        </w:tc>
        <w:tc>
          <w:tcPr>
            <w:tcW w:w="528"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09" w:hRule="atLeast"/>
          <w:jc w:val="center"/>
        </w:trPr>
        <w:tc>
          <w:tcPr>
            <w:tcW w:w="71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p>
        </w:tc>
        <w:tc>
          <w:tcPr>
            <w:tcW w:w="1342" w:type="dxa"/>
            <w:tcBorders>
              <w:left w:val="single" w:color="000000" w:sz="4" w:space="0"/>
              <w:right w:val="single" w:color="000000" w:sz="4" w:space="0"/>
            </w:tcBorders>
            <w:shd w:val="clear" w:color="auto" w:fill="auto"/>
            <w:noWrap w:val="0"/>
            <w:vAlign w:val="center"/>
          </w:tcPr>
          <w:p>
            <w:pPr>
              <w:framePr w:wrap="auto" w:vAnchor="margin" w:hAnchor="text" w:yAlign="inline"/>
              <w:jc w:val="center"/>
              <w:rPr>
                <w:rFonts w:hint="eastAsia" w:ascii="仿宋_GB2312" w:hAnsi="仿宋_GB2312" w:eastAsia="仿宋_GB2312" w:cs="仿宋_GB2312"/>
                <w:color w:val="auto"/>
                <w:sz w:val="32"/>
                <w:szCs w:val="32"/>
                <w:rtl w:val="0"/>
                <w:lang w:val="en-US"/>
              </w:rPr>
            </w:pPr>
          </w:p>
        </w:tc>
        <w:tc>
          <w:tcPr>
            <w:tcW w:w="173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framePr w:wrap="auto" w:vAnchor="margin" w:hAnchor="text" w:yAlign="inline"/>
              <w:shd w:val="clear" w:color="auto" w:fill="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应急预案</w:t>
            </w:r>
          </w:p>
        </w:tc>
        <w:tc>
          <w:tcPr>
            <w:tcW w:w="5643"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w:t>
            </w:r>
            <w:r>
              <w:rPr>
                <w:rFonts w:hint="default" w:ascii="仿宋_GB2312" w:hAnsi="仿宋_GB2312" w:eastAsia="仿宋_GB2312" w:cs="仿宋_GB2312"/>
                <w:color w:val="auto"/>
                <w:sz w:val="32"/>
                <w:szCs w:val="32"/>
                <w:lang w:val="en-US" w:eastAsia="zh-CN"/>
              </w:rPr>
              <w:t>供应商在响应文件中</w:t>
            </w:r>
            <w:r>
              <w:rPr>
                <w:rFonts w:hint="eastAsia" w:ascii="仿宋_GB2312" w:hAnsi="仿宋_GB2312" w:eastAsia="仿宋_GB2312" w:cs="仿宋_GB2312"/>
                <w:color w:val="auto"/>
                <w:sz w:val="32"/>
                <w:szCs w:val="32"/>
                <w:lang w:val="en-US" w:eastAsia="zh-CN"/>
              </w:rPr>
              <w:t>提供公共突发事件、恶劣天气、医疗秩序维护、停水停电、感染防控等详细具体的应急处理预案。</w:t>
            </w:r>
          </w:p>
          <w:p>
            <w:pPr>
              <w:framePr w:wrap="auto" w:vAnchor="margin" w:hAnchor="text" w:yAlign="inline"/>
              <w:shd w:val="clear" w:color="auto" w:fill="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每提供1个预案得3分，</w:t>
            </w:r>
            <w:r>
              <w:rPr>
                <w:rFonts w:hint="default" w:ascii="仿宋_GB2312" w:hAnsi="仿宋_GB2312" w:eastAsia="仿宋_GB2312" w:cs="仿宋_GB2312"/>
                <w:color w:val="auto"/>
                <w:sz w:val="32"/>
                <w:szCs w:val="32"/>
                <w:lang w:val="en-US" w:eastAsia="zh-CN"/>
              </w:rPr>
              <w:t>此项最多</w:t>
            </w:r>
            <w:r>
              <w:rPr>
                <w:rFonts w:hint="eastAsia" w:ascii="仿宋_GB2312" w:hAnsi="仿宋_GB2312" w:eastAsia="仿宋_GB2312" w:cs="仿宋_GB2312"/>
                <w:color w:val="auto"/>
                <w:sz w:val="32"/>
                <w:szCs w:val="32"/>
                <w:lang w:val="en-US" w:eastAsia="zh-CN"/>
              </w:rPr>
              <w:t>得12分</w:t>
            </w:r>
            <w:r>
              <w:rPr>
                <w:rFonts w:hint="default" w:ascii="仿宋_GB2312" w:hAnsi="仿宋_GB2312" w:eastAsia="仿宋_GB2312" w:cs="仿宋_GB2312"/>
                <w:color w:val="auto"/>
                <w:sz w:val="32"/>
                <w:szCs w:val="32"/>
                <w:lang w:val="en-US" w:eastAsia="zh-CN"/>
              </w:rPr>
              <w:t>，不提供</w:t>
            </w:r>
            <w:r>
              <w:rPr>
                <w:rFonts w:hint="eastAsia" w:ascii="仿宋_GB2312" w:hAnsi="仿宋_GB2312" w:eastAsia="仿宋_GB2312" w:cs="仿宋_GB2312"/>
                <w:color w:val="auto"/>
                <w:sz w:val="32"/>
                <w:szCs w:val="32"/>
                <w:lang w:val="en-US" w:eastAsia="zh-CN"/>
              </w:rPr>
              <w:t>不得分。</w:t>
            </w:r>
          </w:p>
        </w:tc>
        <w:tc>
          <w:tcPr>
            <w:tcW w:w="528" w:type="dxa"/>
            <w:tcBorders>
              <w:top w:val="single" w:color="000000" w:sz="4"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15" w:hRule="atLeast"/>
          <w:jc w:val="center"/>
        </w:trPr>
        <w:tc>
          <w:tcPr>
            <w:tcW w:w="712" w:type="dxa"/>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jc w:val="center"/>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w:t>
            </w:r>
          </w:p>
        </w:tc>
        <w:tc>
          <w:tcPr>
            <w:tcW w:w="134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framePr w:wrap="auto" w:vAnchor="margin" w:hAnchor="text" w:yAlign="inline"/>
              <w:jc w:val="center"/>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价格部分</w:t>
            </w:r>
          </w:p>
        </w:tc>
        <w:tc>
          <w:tcPr>
            <w:tcW w:w="173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framePr w:wrap="auto" w:vAnchor="margin" w:hAnchor="text" w:yAlign="inline"/>
              <w:ind w:left="0" w:leftChars="0" w:right="0" w:rightChars="0" w:firstLine="0" w:firstLineChars="0"/>
              <w:jc w:val="center"/>
              <w:rPr>
                <w:rFonts w:hint="eastAsia" w:eastAsia="仿宋_GB2312"/>
                <w:color w:val="auto"/>
                <w:sz w:val="32"/>
                <w:szCs w:val="32"/>
                <w:lang w:val="en-US" w:eastAsia="zh-CN"/>
              </w:rPr>
            </w:pP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TW" w:eastAsia="zh-TW"/>
              </w:rPr>
              <w:t>价格</w:t>
            </w:r>
            <w:r>
              <w:rPr>
                <w:rFonts w:hint="eastAsia" w:ascii="仿宋_GB2312" w:hAnsi="仿宋_GB2312" w:eastAsia="仿宋_GB2312" w:cs="仿宋_GB2312"/>
                <w:color w:val="auto"/>
                <w:sz w:val="32"/>
                <w:szCs w:val="32"/>
                <w:rtl w:val="0"/>
                <w:lang w:val="en-US" w:eastAsia="zh-CN"/>
              </w:rPr>
              <w:t>分数</w:t>
            </w:r>
          </w:p>
        </w:tc>
        <w:tc>
          <w:tcPr>
            <w:tcW w:w="5643" w:type="dxa"/>
            <w:tcBorders>
              <w:top w:val="single" w:color="000000" w:sz="8"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top"/>
          </w:tcPr>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1.</w:t>
            </w:r>
            <w:r>
              <w:rPr>
                <w:rFonts w:hint="eastAsia" w:ascii="仿宋_GB2312" w:hAnsi="仿宋_GB2312" w:eastAsia="仿宋_GB2312" w:cs="仿宋_GB2312"/>
                <w:color w:val="auto"/>
                <w:sz w:val="32"/>
                <w:szCs w:val="32"/>
                <w:rtl w:val="0"/>
                <w:lang w:val="zh-TW" w:eastAsia="zh-TW"/>
              </w:rPr>
              <w:t>基准价为合理低价，即满足招标文件要求且投标价格最低的投标报价为评标基准价，其价格分为满分。其他投标人的价格分统一按照下列公式计算：</w:t>
            </w:r>
            <w:r>
              <w:rPr>
                <w:rFonts w:hint="eastAsia" w:ascii="仿宋_GB2312" w:hAnsi="仿宋_GB2312" w:eastAsia="仿宋_GB2312" w:cs="仿宋_GB2312"/>
                <w:color w:val="auto"/>
                <w:sz w:val="32"/>
                <w:szCs w:val="32"/>
                <w:lang w:val="en-US"/>
              </w:rPr>
              <w:br w:type="textWrapping"/>
            </w:r>
            <w:r>
              <w:rPr>
                <w:rFonts w:hint="eastAsia" w:ascii="仿宋_GB2312" w:hAnsi="仿宋_GB2312" w:eastAsia="仿宋_GB2312" w:cs="仿宋_GB2312"/>
                <w:color w:val="auto"/>
                <w:sz w:val="32"/>
                <w:szCs w:val="32"/>
                <w:rtl w:val="0"/>
                <w:lang w:val="zh-TW" w:eastAsia="zh-TW"/>
              </w:rPr>
              <w:t>投标报价得分</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评标基准价／投标报价</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价格分值</w:t>
            </w:r>
            <w:r>
              <w:rPr>
                <w:rFonts w:hint="eastAsia" w:ascii="仿宋_GB2312" w:hAnsi="仿宋_GB2312" w:eastAsia="仿宋_GB2312" w:cs="仿宋_GB2312"/>
                <w:color w:val="auto"/>
                <w:sz w:val="32"/>
                <w:szCs w:val="32"/>
                <w:rtl w:val="0"/>
                <w:lang w:val="en-US"/>
              </w:rPr>
              <w:t xml:space="preserve">×100% </w:t>
            </w:r>
          </w:p>
          <w:p>
            <w:pPr>
              <w:framePr w:wrap="auto" w:vAnchor="margin" w:hAnchor="text" w:yAlign="inline"/>
              <w:spacing w:line="360" w:lineRule="auto"/>
              <w:ind w:left="0" w:leftChars="0" w:right="0" w:rightChars="0" w:firstLine="0" w:firstLineChars="0"/>
              <w:rPr>
                <w:rFonts w:hint="eastAsia" w:eastAsia="仿宋_GB2312"/>
                <w:color w:val="auto"/>
                <w:sz w:val="32"/>
                <w:szCs w:val="32"/>
                <w:lang w:val="en-US" w:eastAsia="zh-CN"/>
              </w:rPr>
            </w:pPr>
          </w:p>
        </w:tc>
        <w:tc>
          <w:tcPr>
            <w:tcW w:w="528" w:type="dxa"/>
            <w:tcBorders>
              <w:top w:val="single" w:color="000000" w:sz="8"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shd w:val="clear" w:color="auto" w:fill="auto"/>
              <w:jc w:val="center"/>
              <w:rPr>
                <w:rFonts w:hint="eastAsia" w:ascii="仿宋_GB2312" w:hAnsi="仿宋_GB2312" w:eastAsia="仿宋_GB2312" w:cs="仿宋_GB2312"/>
                <w:color w:val="auto"/>
                <w:sz w:val="32"/>
                <w:szCs w:val="32"/>
                <w:lang w:val="en-US" w:eastAsia="zh-CN"/>
              </w:rPr>
            </w:pPr>
          </w:p>
          <w:p>
            <w:pPr>
              <w:framePr w:wrap="auto" w:vAnchor="margin" w:hAnchor="text" w:yAlign="inline"/>
              <w:shd w:val="clear" w:color="auto" w:fill="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tl w:val="0"/>
                <w:lang w:val="en-US" w:eastAsia="zh-CN"/>
              </w:rPr>
              <w:t>30</w:t>
            </w:r>
            <w:r>
              <w:rPr>
                <w:rFonts w:hint="eastAsia" w:ascii="仿宋_GB2312" w:hAnsi="仿宋_GB2312" w:eastAsia="仿宋_GB2312" w:cs="仿宋_GB2312"/>
                <w:color w:val="auto"/>
                <w:sz w:val="32"/>
                <w:szCs w:val="32"/>
                <w:lang w:val="en-US" w:eastAsia="zh-CN"/>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15" w:hRule="atLeast"/>
          <w:jc w:val="center"/>
        </w:trPr>
        <w:tc>
          <w:tcPr>
            <w:tcW w:w="2054" w:type="dxa"/>
            <w:gridSpan w:val="2"/>
            <w:tcBorders>
              <w:top w:val="single" w:color="auto"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ind w:left="0" w:leftChars="0" w:right="0" w:rightChars="0" w:firstLine="0" w:firstLineChars="0"/>
              <w:jc w:val="center"/>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合计</w:t>
            </w:r>
          </w:p>
        </w:tc>
        <w:tc>
          <w:tcPr>
            <w:tcW w:w="7906" w:type="dxa"/>
            <w:gridSpan w:val="3"/>
            <w:tcBorders>
              <w:top w:val="single" w:color="000000" w:sz="8" w:space="0"/>
              <w:left w:val="single" w:color="000000" w:sz="4" w:space="0"/>
              <w:bottom w:val="single" w:color="000000" w:sz="8" w:space="0"/>
              <w:right w:val="single" w:color="000000" w:sz="4" w:space="0"/>
            </w:tcBorders>
            <w:shd w:val="clear" w:color="auto" w:fill="auto"/>
            <w:noWrap w:val="0"/>
            <w:tcMar>
              <w:top w:w="80" w:type="dxa"/>
              <w:left w:w="80" w:type="dxa"/>
              <w:bottom w:w="80" w:type="dxa"/>
              <w:right w:w="80" w:type="dxa"/>
            </w:tcMar>
            <w:vAlign w:val="center"/>
          </w:tcPr>
          <w:p>
            <w:pPr>
              <w:framePr w:wrap="auto" w:vAnchor="margin" w:hAnchor="text" w:yAlign="inline"/>
              <w:ind w:left="0" w:leftChars="0" w:right="0" w:rightChars="0" w:firstLine="0" w:firstLineChars="0"/>
              <w:jc w:val="center"/>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                                                      100</w:t>
            </w:r>
            <w:r>
              <w:rPr>
                <w:rFonts w:hint="eastAsia" w:ascii="仿宋_GB2312" w:hAnsi="仿宋_GB2312" w:eastAsia="仿宋_GB2312" w:cs="仿宋_GB2312"/>
                <w:color w:val="auto"/>
                <w:sz w:val="32"/>
                <w:szCs w:val="32"/>
                <w:lang w:val="en-US" w:eastAsia="zh-CN"/>
              </w:rPr>
              <w:t>分</w:t>
            </w:r>
          </w:p>
        </w:tc>
      </w:tr>
    </w:tbl>
    <w:p>
      <w:pPr>
        <w:framePr w:wrap="auto" w:vAnchor="margin" w:hAnchor="text" w:yAlign="inline"/>
        <w:rPr>
          <w:color w:val="auto"/>
        </w:rPr>
        <w:sectPr>
          <w:headerReference r:id="rId5" w:type="default"/>
          <w:footerReference r:id="rId6" w:type="default"/>
          <w:pgSz w:w="11920" w:h="16840"/>
          <w:pgMar w:top="1500" w:right="780" w:bottom="1160" w:left="1340" w:header="720" w:footer="720" w:gutter="0"/>
          <w:pgBorders>
            <w:top w:val="none" w:sz="0" w:space="0"/>
            <w:left w:val="none" w:sz="0" w:space="0"/>
            <w:bottom w:val="none" w:sz="0" w:space="0"/>
            <w:right w:val="none" w:sz="0" w:space="0"/>
          </w:pgBorders>
          <w:pgNumType w:fmt="decimal"/>
          <w:cols w:space="720" w:num="1"/>
        </w:sectPr>
      </w:pPr>
    </w:p>
    <w:p>
      <w:pPr>
        <w:framePr w:wrap="auto" w:vAnchor="margin" w:hAnchor="text" w:yAlign="inline"/>
        <w:tabs>
          <w:tab w:val="left" w:pos="454"/>
          <w:tab w:val="left" w:pos="1531"/>
        </w:tabs>
        <w:spacing w:line="360" w:lineRule="auto"/>
        <w:rPr>
          <w:rFonts w:hint="eastAsia" w:ascii="仿宋_GB2312" w:hAnsi="仿宋_GB2312" w:eastAsia="仿宋_GB2312" w:cs="仿宋_GB2312"/>
          <w:color w:val="auto"/>
          <w:sz w:val="32"/>
          <w:szCs w:val="32"/>
          <w:rtl w:val="0"/>
          <w:lang w:val="zh-TW" w:eastAsia="zh-TW"/>
        </w:rPr>
      </w:pPr>
    </w:p>
    <w:p>
      <w:pPr>
        <w:framePr w:wrap="auto" w:vAnchor="margin" w:hAnchor="text" w:yAlign="inline"/>
        <w:tabs>
          <w:tab w:val="left" w:pos="454"/>
          <w:tab w:val="left" w:pos="1531"/>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）对响应文件的进行评审：</w:t>
      </w:r>
    </w:p>
    <w:p>
      <w:pPr>
        <w:framePr w:wrap="auto" w:vAnchor="margin" w:hAnchor="text" w:yAlign="inline"/>
        <w:spacing w:line="360" w:lineRule="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磋商小组按照竞争性磋商文件要求，对供应商提交的响应文件的资格性、符合性和投标报价进行检查，不合格的响应文件将被拒绝。</w:t>
      </w:r>
    </w:p>
    <w:p>
      <w:pPr>
        <w:framePr w:wrap="auto" w:vAnchor="margin" w:hAnchor="text" w:yAlign="inline"/>
        <w:spacing w:line="360" w:lineRule="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磋商小组依据评分标准对资格性、符合性和投标报价评审合格的供应商的响应文件进行评分。</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磋商采用一轮终局方式，磋商文件能够详细列明采购标的的技术、服务要求，磋商结束后，磋商小组应当要求所有实质性响应的供应商在规定时间内提交最后报价，提交最后报价的供应商不得少于</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家。磋商文件不能够详细列明采购标的的技术、服务要求，需经磋商由供应商提供最终设计方案或解决方案的，磋商结束后，磋商小组应当按照少数服从多数的原则投票推荐</w:t>
      </w: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家以上供应商，并要求其在规定时间内提交最后报价。若候选供应商最后报价依然相同，则由磋商小组成员投票确定该价格下的最终成交人。</w:t>
      </w:r>
    </w:p>
    <w:p>
      <w:pPr>
        <w:framePr w:wrap="auto" w:vAnchor="margin" w:hAnchor="text" w:yAlign="inline"/>
        <w:numPr>
          <w:ilvl w:val="0"/>
          <w:numId w:val="0"/>
        </w:numPr>
        <w:tabs>
          <w:tab w:val="left" w:pos="1531"/>
        </w:tabs>
        <w:bidi w:val="0"/>
        <w:spacing w:line="360" w:lineRule="auto"/>
        <w:ind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综合得分为每位评委为其所打分值的算术平均值。磋商小组根据供应商的综合得分情况由高到低，排出名次，选定排名第一且符合竞争性磋商文件相关规定并具有履行该项目合同能力的供应商最终确定为成交人并写出评标报告。得分相同时选择除报价得分以外的各评分项综合得分最高者。</w:t>
      </w:r>
    </w:p>
    <w:p>
      <w:pPr>
        <w:framePr w:wrap="auto" w:vAnchor="margin" w:hAnchor="text" w:yAlign="inline"/>
        <w:numPr>
          <w:ilvl w:val="0"/>
          <w:numId w:val="0"/>
        </w:numPr>
        <w:tabs>
          <w:tab w:val="left" w:pos="1531"/>
        </w:tabs>
        <w:bidi w:val="0"/>
        <w:spacing w:line="360" w:lineRule="auto"/>
        <w:ind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请各供应商根据自身情况，遵循市场竞争原则，充分考虑竞争风险，慎重编制响应文件。</w:t>
      </w:r>
    </w:p>
    <w:p>
      <w:pPr>
        <w:framePr w:wrap="auto" w:vAnchor="margin" w:hAnchor="text" w:yAlign="inline"/>
        <w:numPr>
          <w:ilvl w:val="0"/>
          <w:numId w:val="7"/>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保密及其他事项</w:t>
      </w:r>
    </w:p>
    <w:p>
      <w:pPr>
        <w:framePr w:wrap="auto" w:vAnchor="margin" w:hAnchor="text" w:yAlign="inline"/>
        <w:numPr>
          <w:ilvl w:val="1"/>
          <w:numId w:val="7"/>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在磋商期间，供应商不得向磋商小组成员询问评标情况，不得进行旨在影响评标结果的活动，否则将会导致其响应文件将被拒绝。</w:t>
      </w:r>
    </w:p>
    <w:p>
      <w:pPr>
        <w:framePr w:wrap="auto" w:vAnchor="margin" w:hAnchor="text" w:yAlign="inline"/>
        <w:numPr>
          <w:ilvl w:val="1"/>
          <w:numId w:val="7"/>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为保证定标的公正性，在评标过程中，磋商小组成员不得与供应商私下交换意见。在磋商期间及磋商工作结束后，凡与磋商情况有接触的任何人不得也不应将审查、澄清、评价和比较的有关资料以及授标建议等磋商情况向供应商或其它无关的人员透露。</w:t>
      </w:r>
    </w:p>
    <w:p>
      <w:pPr>
        <w:framePr w:wrap="auto" w:vAnchor="margin" w:hAnchor="text" w:yAlign="inline"/>
        <w:numPr>
          <w:ilvl w:val="1"/>
          <w:numId w:val="7"/>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供应商在磋商过程中，如试图向采购代理机构施加任何影响，都将会导致其响应文件被拒绝。</w:t>
      </w:r>
    </w:p>
    <w:p>
      <w:pPr>
        <w:framePr w:wrap="auto" w:vAnchor="margin" w:hAnchor="text" w:yAlign="inline"/>
        <w:numPr>
          <w:ilvl w:val="1"/>
          <w:numId w:val="7"/>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磋商小组不保证所有响应文件一定有成交的，如出现招标后，经审查没有合格标的，将会出现全部落标的可能。</w:t>
      </w:r>
    </w:p>
    <w:p>
      <w:pPr>
        <w:framePr w:wrap="auto" w:vAnchor="margin" w:hAnchor="text" w:yAlign="inline"/>
        <w:spacing w:line="360" w:lineRule="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F</w:t>
      </w:r>
      <w:r>
        <w:rPr>
          <w:rFonts w:hint="eastAsia" w:ascii="仿宋_GB2312" w:hAnsi="仿宋_GB2312" w:eastAsia="仿宋_GB2312" w:cs="仿宋_GB2312"/>
          <w:color w:val="auto"/>
          <w:sz w:val="32"/>
          <w:szCs w:val="32"/>
          <w:rtl w:val="0"/>
          <w:lang w:val="zh-TW" w:eastAsia="zh-TW"/>
        </w:rPr>
        <w:t>、 授予合同</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合同授予标准</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严格按照竞争性磋商文件的要求和条件进行评标，择优定标。</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合同将授予实质性响应竞争性磋商文件要求且按评标办法确定的排名第一的成交候选供应商。</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授予合同时变更数量的权利</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采购人在授予合同时有权对招标要求中规定的货物及服务的采购数量予以增加或减少，但投标单价和其他的条款与条件不得改变。</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成交公告、成交通知</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采购代理机构自评审结束之日起</w:t>
      </w: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个工作日内将评审报告送交采购人。</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采购人自收到评审报告之日起</w:t>
      </w:r>
      <w:r>
        <w:rPr>
          <w:rFonts w:hint="eastAsia" w:ascii="仿宋_GB2312" w:hAnsi="仿宋_GB2312" w:eastAsia="仿宋_GB2312" w:cs="仿宋_GB2312"/>
          <w:color w:val="auto"/>
          <w:sz w:val="32"/>
          <w:szCs w:val="32"/>
          <w:rtl w:val="0"/>
          <w:lang w:val="en-US"/>
        </w:rPr>
        <w:t>5</w:t>
      </w:r>
      <w:r>
        <w:rPr>
          <w:rFonts w:hint="eastAsia" w:ascii="仿宋_GB2312" w:hAnsi="仿宋_GB2312" w:eastAsia="仿宋_GB2312" w:cs="仿宋_GB2312"/>
          <w:color w:val="auto"/>
          <w:sz w:val="32"/>
          <w:szCs w:val="32"/>
          <w:rtl w:val="0"/>
          <w:lang w:val="zh-TW" w:eastAsia="zh-TW"/>
        </w:rPr>
        <w:t>个工作日内在评审报告推荐的中标或者成交候选人中按顺序确定中标或者成交供应商。</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采购代理机构自成交供应商确定之日起</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个工作日内，发出成交通知书，并在</w:t>
      </w:r>
      <w:r>
        <w:rPr>
          <w:rFonts w:hint="eastAsia" w:ascii="仿宋_GB2312" w:hAnsi="仿宋_GB2312" w:eastAsia="仿宋_GB2312" w:cs="仿宋_GB2312"/>
          <w:color w:val="auto"/>
          <w:sz w:val="32"/>
          <w:szCs w:val="32"/>
          <w:rtl w:val="0"/>
          <w:lang w:val="en-US" w:eastAsia="zh-CN"/>
        </w:rPr>
        <w:t>新疆政府采购网</w:t>
      </w:r>
      <w:r>
        <w:rPr>
          <w:rFonts w:hint="eastAsia" w:ascii="仿宋_GB2312" w:hAnsi="仿宋_GB2312" w:eastAsia="仿宋_GB2312" w:cs="仿宋_GB2312"/>
          <w:color w:val="auto"/>
          <w:sz w:val="32"/>
          <w:szCs w:val="32"/>
          <w:rtl w:val="0"/>
          <w:lang w:val="zh-TW" w:eastAsia="zh-TW"/>
        </w:rPr>
        <w:t>上公告中标结果。</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《成交通知书》一经发出即发生法律效力。</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采购人在发出《成交通知书》后，向落标的供应商发出口头通知，并退还其投标保证金。</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《成交通知书》将作为签订合同的依据。</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签订合同</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采购人与成交供应商应当在成交通知书发出之日起三十日内，按照竞争性磋商文件确定的事项签订</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合同。</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合同内容必须严格按照磋商确定的磋商结果签订。</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竞争性磋商文件、成交供应商的响应文件及其澄清文件，均为签订经济合同的依据。</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询问</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供应商有权就招标程序或签订合同的事宜提出询问；供应商对采购事项有疑问的，可以向招标采购单位提出询问。</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质疑</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tl w:val="0"/>
          <w:lang w:val="zh-TW" w:eastAsia="zh-TW"/>
        </w:rPr>
        <w:t>招标程序受《中华人民共和国</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法》和相关法律法规的约束，并受到严格的内部监督检查，以确保授予合同过程的公平公正。若供应商认为竞争性磋商文件、采购过程和中标结果使自己的合法权益受到损害，可以在知道或者应知其权益受到损害之日起</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个工作日内，以书面形式向招标采购单位提出质疑并要求答复。招标采购单位将在收到书面质疑后</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个工作日内审查质疑事项，作出答复，并以书面形式通知质疑供应商和其他有关供应商，但答复的内容不涉及商业秘密。</w:t>
      </w:r>
    </w:p>
    <w:p>
      <w:pPr>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投诉质疑供应商对招标采购单位的答复不满意以及采购人未在规定的时间内做出答复的，可以在答复期满后</w:t>
      </w:r>
      <w:r>
        <w:rPr>
          <w:rFonts w:hint="eastAsia" w:ascii="仿宋_GB2312" w:hAnsi="仿宋_GB2312" w:eastAsia="仿宋_GB2312" w:cs="仿宋_GB2312"/>
          <w:color w:val="auto"/>
          <w:sz w:val="32"/>
          <w:szCs w:val="32"/>
          <w:rtl w:val="0"/>
          <w:lang w:val="en-US"/>
        </w:rPr>
        <w:t>15</w:t>
      </w:r>
      <w:r>
        <w:rPr>
          <w:rFonts w:hint="eastAsia" w:ascii="仿宋_GB2312" w:hAnsi="仿宋_GB2312" w:eastAsia="仿宋_GB2312" w:cs="仿宋_GB2312"/>
          <w:color w:val="auto"/>
          <w:sz w:val="32"/>
          <w:szCs w:val="32"/>
          <w:rtl w:val="0"/>
          <w:lang w:val="zh-TW" w:eastAsia="zh-TW"/>
        </w:rPr>
        <w:t>个工作日内向同级</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监督管理部门投诉。</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纪律和监督</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对采购人纪律要求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采购人不得泄漏招标投标活动中应当保密的情况和资料，不得与供应商串通损害国家利益、社会公共利益或者他人合法权益。</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对供应商的纪律要求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供应商不得相互串通投标或者与采购人串通投标，不得向采购人或者磋商小组成员行贿谋取中标，不得以他人名义投标或者以其他方式弄虚作假骗取中标，供应商不得以任何方式干扰、影响评标工作。</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对磋商小组成员的纪律要求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tl w:val="0"/>
          <w:lang w:val="zh-TW" w:eastAsia="zh-TW"/>
        </w:rPr>
        <w:t>磋商小组成员不得收受他人的财物或者其他好处，不得向他人透漏对投标文件的评审和比较、中标候选人的推荐情况以及评标有关的其他情况。在评标活动中，磋商小组成员不得擅离职守，影响评标程序正常进行，不得使用</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评标办法</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没有规定的评审因素和标准进行评标。</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对与评标活动有关的工作人员的纪律要求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监督</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供应商和其他利害关系人认为本次招标活动违反法律、法规和规章规定的，有权向有关</w:t>
      </w:r>
      <w:r>
        <w:rPr>
          <w:rFonts w:hint="eastAsia" w:ascii="仿宋_GB2312" w:hAnsi="仿宋_GB2312" w:eastAsia="仿宋_GB2312" w:cs="仿宋_GB2312"/>
          <w:color w:val="auto"/>
          <w:sz w:val="32"/>
          <w:szCs w:val="32"/>
          <w:rtl w:val="0"/>
          <w:lang w:val="zh-TW" w:eastAsia="zh-CN"/>
        </w:rPr>
        <w:t>政务</w:t>
      </w:r>
      <w:r>
        <w:rPr>
          <w:rFonts w:hint="eastAsia" w:ascii="仿宋_GB2312" w:hAnsi="仿宋_GB2312" w:eastAsia="仿宋_GB2312" w:cs="仿宋_GB2312"/>
          <w:color w:val="auto"/>
          <w:sz w:val="32"/>
          <w:szCs w:val="32"/>
          <w:rtl w:val="0"/>
          <w:lang w:val="zh-TW" w:eastAsia="zh-TW"/>
        </w:rPr>
        <w:t>监督部门反映（投诉）。</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签订合同</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采购人与成交供应商应当在成交通知书发出之日起三十日内，按照竞争性磋商文件确定的事项签订</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合同。</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合同内容必须严格按照磋商确定的磋商结果签订。</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竞争性磋商文件、成交供应商的响应文件及其澄清文件，均为签订经济合同的依据。</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签订合同后</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个工作日内，成交供应商按竞争性磋商文件的规定提交履约保证金或开具可接受的履约保证金保函，合同生效；否则，视为不具备合同生效条件采购人有权没收其投标保证金并选择其他成交候选人。</w:t>
      </w:r>
    </w:p>
    <w:p>
      <w:pPr>
        <w:framePr w:wrap="auto" w:vAnchor="margin" w:hAnchor="text" w:yAlign="inline"/>
        <w:spacing w:line="360" w:lineRule="auto"/>
        <w:ind w:firstLine="548"/>
        <w:rPr>
          <w:rFonts w:hint="eastAsia" w:ascii="仿宋_GB2312" w:hAnsi="仿宋_GB2312" w:eastAsia="仿宋_GB2312" w:cs="仿宋_GB2312"/>
          <w:color w:val="auto"/>
          <w:sz w:val="32"/>
          <w:szCs w:val="32"/>
        </w:rPr>
        <w:sectPr>
          <w:headerReference r:id="rId7" w:type="default"/>
          <w:footerReference r:id="rId8" w:type="default"/>
          <w:pgSz w:w="11920" w:h="16840"/>
          <w:pgMar w:top="1134" w:right="1134" w:bottom="1134" w:left="1418" w:header="720" w:footer="720" w:gutter="0"/>
          <w:pgBorders>
            <w:top w:val="none" w:sz="0" w:space="0"/>
            <w:left w:val="none" w:sz="0" w:space="0"/>
            <w:bottom w:val="none" w:sz="0" w:space="0"/>
            <w:right w:val="none" w:sz="0" w:space="0"/>
          </w:pgBorders>
          <w:pgNumType w:fmt="decimal"/>
          <w:cols w:space="720" w:num="1"/>
        </w:sectPr>
      </w:pPr>
    </w:p>
    <w:p>
      <w:pPr>
        <w:framePr w:wrap="auto" w:vAnchor="margin" w:hAnchor="text" w:yAlign="inline"/>
        <w:ind w:firstLine="1546" w:firstLineChars="350"/>
        <w:rPr>
          <w:rFonts w:hint="eastAsia" w:ascii="方正小标宋简体" w:hAnsi="方正小标宋简体" w:eastAsia="方正小标宋简体" w:cs="方正小标宋简体"/>
          <w:b/>
          <w:bCs/>
          <w:color w:val="auto"/>
          <w:sz w:val="44"/>
          <w:szCs w:val="44"/>
          <w:rtl w:val="0"/>
          <w:lang w:val="zh-TW" w:eastAsia="zh-TW"/>
        </w:rPr>
      </w:pPr>
      <w:r>
        <w:rPr>
          <w:rFonts w:hint="eastAsia" w:ascii="方正小标宋简体" w:hAnsi="方正小标宋简体" w:eastAsia="方正小标宋简体" w:cs="方正小标宋简体"/>
          <w:b/>
          <w:bCs/>
          <w:color w:val="auto"/>
          <w:sz w:val="44"/>
          <w:szCs w:val="44"/>
          <w:rtl w:val="0"/>
          <w:lang w:val="en-US" w:eastAsia="zh-CN"/>
        </w:rPr>
        <w:t xml:space="preserve">第四部分 </w:t>
      </w:r>
      <w:r>
        <w:rPr>
          <w:rFonts w:hint="eastAsia" w:ascii="方正小标宋简体" w:hAnsi="方正小标宋简体" w:eastAsia="方正小标宋简体" w:cs="方正小标宋简体"/>
          <w:b/>
          <w:bCs/>
          <w:color w:val="auto"/>
          <w:sz w:val="44"/>
          <w:szCs w:val="44"/>
          <w:rtl w:val="0"/>
          <w:lang w:val="zh-TW" w:eastAsia="zh-TW"/>
        </w:rPr>
        <w:t>投标产品技术参数</w:t>
      </w:r>
    </w:p>
    <w:p>
      <w:pPr>
        <w:pBdr>
          <w:top w:val="none" w:color="auto" w:sz="0" w:space="0"/>
          <w:left w:val="none" w:color="auto" w:sz="0" w:space="0"/>
          <w:bottom w:val="none" w:color="auto" w:sz="0" w:space="0"/>
          <w:right w:val="none" w:color="auto" w:sz="0" w:space="0"/>
        </w:pBdr>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托管项目:</w:t>
      </w:r>
      <w:r>
        <w:rPr>
          <w:rFonts w:hint="eastAsia" w:ascii="仿宋_GB2312" w:hAnsi="仿宋_GB2312" w:eastAsia="仿宋_GB2312" w:cs="仿宋_GB2312"/>
          <w:sz w:val="32"/>
          <w:szCs w:val="32"/>
        </w:rPr>
        <w:t xml:space="preserve">(1)医院室内卫生保洁;(2) </w:t>
      </w:r>
      <w:r>
        <w:rPr>
          <w:rFonts w:hint="eastAsia" w:ascii="仿宋_GB2312" w:hAnsi="仿宋_GB2312" w:eastAsia="仿宋_GB2312" w:cs="仿宋_GB2312"/>
          <w:color w:val="000000" w:themeColor="text1"/>
          <w:sz w:val="32"/>
          <w:szCs w:val="32"/>
          <w14:textFill>
            <w14:solidFill>
              <w14:schemeClr w14:val="tx1"/>
            </w14:solidFill>
          </w14:textFill>
        </w:rPr>
        <w:t>室</w:t>
      </w:r>
      <w:r>
        <w:rPr>
          <w:rFonts w:hint="eastAsia" w:ascii="仿宋_GB2312" w:hAnsi="仿宋_GB2312" w:eastAsia="仿宋_GB2312" w:cs="仿宋_GB2312"/>
          <w:sz w:val="32"/>
          <w:szCs w:val="32"/>
        </w:rPr>
        <w:t>外环境卫生;</w:t>
      </w:r>
    </w:p>
    <w:p>
      <w:pPr>
        <w:pBdr>
          <w:top w:val="none" w:color="auto" w:sz="0" w:space="0"/>
          <w:left w:val="none" w:color="auto" w:sz="0" w:space="0"/>
          <w:bottom w:val="none" w:color="auto" w:sz="0" w:space="0"/>
          <w:right w:val="none" w:color="auto" w:sz="0" w:space="0"/>
        </w:pBdr>
        <w:spacing w:line="54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托管范围:</w:t>
      </w:r>
      <w:r>
        <w:rPr>
          <w:rFonts w:hint="eastAsia" w:ascii="仿宋_GB2312" w:hAnsi="仿宋_GB2312" w:eastAsia="仿宋_GB2312" w:cs="仿宋_GB2312"/>
          <w:sz w:val="32"/>
          <w:szCs w:val="32"/>
        </w:rPr>
        <w:t xml:space="preserve">(1)实际托管面积: </w:t>
      </w:r>
      <w:r>
        <w:rPr>
          <w:rFonts w:hint="eastAsia" w:ascii="仿宋_GB2312" w:hAnsi="仿宋_GB2312" w:eastAsia="仿宋_GB2312" w:cs="仿宋_GB2312"/>
          <w:sz w:val="32"/>
          <w:szCs w:val="32"/>
          <w:u w:val="single"/>
        </w:rPr>
        <w:t>24528.7m</w:t>
      </w:r>
      <w:r>
        <w:rPr>
          <w:rFonts w:hint="eastAsia" w:ascii="仿宋_GB2312" w:hAnsi="仿宋_GB2312" w:eastAsia="仿宋_GB2312" w:cs="仿宋_GB2312"/>
          <w:sz w:val="32"/>
          <w:szCs w:val="32"/>
          <w:u w:val="single"/>
          <w:vertAlign w:val="superscript"/>
        </w:rPr>
        <w:t>2</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。(2)医技楼</w:t>
      </w:r>
      <w:r>
        <w:rPr>
          <w:rFonts w:hint="eastAsia" w:ascii="仿宋_GB2312" w:hAnsi="仿宋_GB2312" w:eastAsia="仿宋_GB2312" w:cs="仿宋_GB2312"/>
          <w:sz w:val="32"/>
          <w:szCs w:val="32"/>
          <w:u w:val="single"/>
        </w:rPr>
        <w:t>4287</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、综合楼</w:t>
      </w:r>
      <w:r>
        <w:rPr>
          <w:rFonts w:hint="eastAsia" w:ascii="仿宋_GB2312" w:hAnsi="仿宋_GB2312" w:eastAsia="仿宋_GB2312" w:cs="仿宋_GB2312"/>
          <w:sz w:val="32"/>
          <w:szCs w:val="32"/>
          <w:u w:val="single"/>
        </w:rPr>
        <w:t>19281</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门诊楼</w:t>
      </w:r>
      <w:r>
        <w:rPr>
          <w:rFonts w:hint="eastAsia" w:ascii="仿宋_GB2312" w:hAnsi="仿宋_GB2312" w:eastAsia="仿宋_GB2312" w:cs="仿宋_GB2312"/>
          <w:sz w:val="32"/>
          <w:szCs w:val="32"/>
          <w:u w:val="single"/>
        </w:rPr>
        <w:t>3503</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内科楼、行政楼、综合大厅、室外医院区域。</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具体服务项目：</w:t>
      </w:r>
      <w:r>
        <w:rPr>
          <w:rFonts w:hint="eastAsia" w:ascii="仿宋_GB2312" w:hAnsi="仿宋_GB2312" w:eastAsia="仿宋_GB2312" w:cs="仿宋_GB2312"/>
          <w:sz w:val="32"/>
          <w:szCs w:val="32"/>
        </w:rPr>
        <w:t>乌苏市人民医院综合楼（1--12层）、医技楼（1--4层</w:t>
      </w:r>
      <w:r>
        <w:rPr>
          <w:rFonts w:hint="eastAsia" w:ascii="仿宋_GB2312" w:hAnsi="仿宋_GB2312" w:eastAsia="仿宋_GB2312" w:cs="仿宋_GB2312"/>
          <w:sz w:val="32"/>
          <w:szCs w:val="32"/>
          <w:lang w:eastAsia="zh-CN"/>
        </w:rPr>
        <w:t>加地下室</w:t>
      </w:r>
      <w:r>
        <w:rPr>
          <w:rFonts w:hint="eastAsia" w:ascii="仿宋_GB2312" w:hAnsi="仿宋_GB2312" w:eastAsia="仿宋_GB2312" w:cs="仿宋_GB2312"/>
          <w:sz w:val="32"/>
          <w:szCs w:val="32"/>
        </w:rPr>
        <w:t>）、内科楼（1--4层）、</w:t>
      </w:r>
      <w:r>
        <w:rPr>
          <w:rFonts w:hint="eastAsia" w:ascii="仿宋_GB2312" w:hAnsi="仿宋_GB2312" w:eastAsia="仿宋_GB2312" w:cs="仿宋_GB2312"/>
          <w:sz w:val="32"/>
          <w:szCs w:val="32"/>
          <w:lang w:eastAsia="zh-CN"/>
        </w:rPr>
        <w:t>学术厅、</w:t>
      </w:r>
      <w:r>
        <w:rPr>
          <w:rFonts w:hint="eastAsia" w:ascii="仿宋_GB2312" w:hAnsi="仿宋_GB2312" w:eastAsia="仿宋_GB2312" w:cs="仿宋_GB2312"/>
          <w:sz w:val="32"/>
          <w:szCs w:val="32"/>
        </w:rPr>
        <w:t>医疗辅助区域、行政办公用房等公共区的保洁服务，以上区域外墙玻璃清洁擦拭保证一年一次。医疗垃圾回收及暂存间管理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冬季室外积雪清扫等。</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保洁人员工作标准:</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1)遵纪守法、服从领导；统一着装，仪表整洁；配证上岗，文明用语；行为规范，服务热情。</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2)保持医院区域内的清洁，病室及阳台地面清洁，每天至少全面保洁2次，随脏随洁，确保地面光洁无尘；卫生清洁过程中应避免灰尘飞扬</w:t>
      </w:r>
      <w:r>
        <w:rPr>
          <w:rFonts w:hint="eastAsia" w:ascii="仿宋_GB2312" w:hAnsi="仿宋_GB2312" w:eastAsia="仿宋_GB2312" w:cs="仿宋_GB2312"/>
          <w:sz w:val="32"/>
          <w:szCs w:val="32"/>
          <w:lang w:eastAsia="zh-CN"/>
        </w:rPr>
        <w:t>，保洁员同时兼职控烟监督员，做好病区、走廊、楼梯等区域控烟巡视及宣教工作</w:t>
      </w:r>
      <w:r>
        <w:rPr>
          <w:rFonts w:hint="eastAsia" w:ascii="仿宋_GB2312" w:hAnsi="仿宋_GB2312" w:eastAsia="仿宋_GB2312" w:cs="仿宋_GB2312"/>
          <w:sz w:val="32"/>
          <w:szCs w:val="32"/>
        </w:rPr>
        <w:t>。</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3)门窗玻璃：每周擦拭一次，必须做到洁净、光亮、无灰尘、无蜘蛛网、无污渍。</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4)垃圾袋装化：垃圾袋随满随换，不得散倒垃圾。生活垃圾与医用垃圾分类处理。</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卫生间：每天进行全面保洁，加强巡视，随脏随洁，洗手池、便池、扶手等每周彻底消毒处理1次，符合院方要求。保持卫生间无积水、污渍、杂物、洗手盆池、水龙头干净明亮；便器无水垢、印迹、尿碱、异味；瓷片墙面、沐浴房玻璃干净明亮，垃圾装满及时倾倒并更换垃圾袋。</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6)开水间及污洗间: 加强开水间及污洗间</w:t>
      </w:r>
      <w:r>
        <w:rPr>
          <w:rFonts w:hint="eastAsia" w:ascii="仿宋_GB2312" w:hAnsi="仿宋_GB2312" w:eastAsia="仿宋_GB2312" w:cs="仿宋_GB2312"/>
          <w:sz w:val="32"/>
          <w:szCs w:val="32"/>
          <w:lang w:val="en-US" w:eastAsia="zh-CN"/>
        </w:rPr>
        <w:t>卫生清洁</w:t>
      </w:r>
      <w:r>
        <w:rPr>
          <w:rFonts w:hint="eastAsia" w:ascii="仿宋_GB2312" w:hAnsi="仿宋_GB2312" w:eastAsia="仿宋_GB2312" w:cs="仿宋_GB2312"/>
          <w:sz w:val="32"/>
          <w:szCs w:val="32"/>
        </w:rPr>
        <w:t>，节水节电。</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7)走廊、门厅、楼梯全面保洁每天至少2次，随脏随洁，地面每日消毒2次（与医院实时院感要求随时变更消毒频次）。走廊墙面每日保洁，每周1次全面保洁，包括各种制度牌、门牌、橱窗等。</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8)负责对甲方院内所有的生活垃圾的处理，医用垃圾的回收。</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9)在院方的各种重大活动中，做好各项保洁工作。</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10)冬季清理道路及院内积雪，雪停即扫。保证行人、行车、停车安全，保持院区清洁。</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甲方将每月组织人员依据《保洁工作质量考核标准》对保洁工作质量进行检查评估，对乙方在保洁中出现的问题处罚如下:第一，科内护士长质控存在问题向本科室保洁员发出警告，必要时通知乙方经理要求乙方及时返工，若不能及时返工或返工不达标者科室护士长将扣除相应考核</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10分；第二，甲方保洁主管科室不定期组织人员依据《保洁工作质量考核标准》进行质量检查，对存在问题将扣除相应考核分20分。</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医废收集人员工作标准:</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医废收集人员服从医院管理，严格落实医院医废收集人员职责</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五、岗位设置及作息时间安排</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1.岗位及人员设置：保洁人员</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rPr>
        <w:t>26人，年龄不能超过60周岁。</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2.保洁员上班时间上午 8：00至12:00，下午15：00-19:00，12:00-15:00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19:00-20:00</w:t>
      </w:r>
      <w:r>
        <w:rPr>
          <w:rFonts w:hint="eastAsia" w:ascii="仿宋_GB2312" w:hAnsi="仿宋_GB2312" w:eastAsia="仿宋_GB2312" w:cs="仿宋_GB2312"/>
          <w:sz w:val="32"/>
          <w:szCs w:val="32"/>
        </w:rPr>
        <w:t>各楼层设置巡视保洁员，保证病区坏境干净整洁随脏随洁。</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六、双方的权利和义务</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1、甲方的权利和义务</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1)负责对乙方保洁服务工作的内容、范围和标准，进行全面监督、检查和考核，配合乙方全面做好本合同各项保洁服务工作。</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2)甲方可随时组织人员对乙方保洁服务工作进行抽检及监督。</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3)按时向乙方支付应付服务费用。</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4)向乙方无偿提供保洁用水、用电。</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5)向乙方提供存放物料的地方和办公场所。</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6)有告知本单位规章制度和有关保洁工作的义务。</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7)有对乙方不合格工作人员建议辞退的权利。</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8)甲方没有权利安排乙方工作人员进行合同以外和具有危险性的工作。</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9）医院综合楼、医技楼、老内科楼、医疗辅助区域、行政办公用房等以上区域外墙玻璃清洁擦拭保证一年一次，若乙方不能履行此义务将一次性扣除乙方贰万元整服务费。逐次叠加。</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2、乙方的权利和义务。</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1)负责合同规定工作范围及内容的全面组织实施工作，员工一律统一着装，定岗位，持证上岗。</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2)乙方人员如发现设备故障和可疑人员应及时向甲方管理部门报告。</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3)保证环境卫生质量，提供优质服务。</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4)爱护甲方的设备设施，节约用水、用电。</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5)负责对所属工作人员依法进行管理以及员工的培训，如造成与甲方员工或乙方内部员工之间发生纠纷，给予处理。</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6)按时收取服务费用。</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7)文明礼貌优质服务，乙方工作人员上班时间不能大声喧哗，使用文明用语，严禁乙方工作人员与他人发生口角、打骂、纠纷事件，严禁与患者交流与病情相关的内容。</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8)乙方派往甲方服务人员与甲方没有任何人事关联，其工资待遇、社保金的缴纳等涉及的所有费用属于乙方内部管理范围，与甲方无关。</w:t>
      </w:r>
    </w:p>
    <w:p>
      <w:pPr>
        <w:framePr w:wrap="around"/>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9）乙方工作人员在甲方工作期间若发生工伤或者工亡事件，由乙方按照《工伤保险条例》承担用人工伤保险责任。</w:t>
      </w:r>
    </w:p>
    <w:p>
      <w:pPr>
        <w:pStyle w:val="19"/>
        <w:numPr>
          <w:ilvl w:val="0"/>
          <w:numId w:val="0"/>
        </w:numPr>
        <w:ind w:leftChars="0" w:right="0" w:rightChars="0"/>
        <w:rPr>
          <w:rFonts w:hint="default" w:ascii="方正小标宋简体" w:hAnsi="方正小标宋简体" w:eastAsia="方正小标宋简体" w:cs="方正小标宋简体"/>
          <w:b/>
          <w:bCs/>
          <w:color w:val="auto"/>
          <w:sz w:val="44"/>
          <w:szCs w:val="44"/>
          <w:rtl w:val="0"/>
          <w:lang w:val="en-US" w:eastAsia="zh-CN"/>
        </w:rPr>
      </w:pPr>
    </w:p>
    <w:p>
      <w:pPr>
        <w:rPr>
          <w:rFonts w:hint="default" w:ascii="方正小标宋简体" w:hAnsi="方正小标宋简体" w:eastAsia="方正小标宋简体" w:cs="方正小标宋简体"/>
          <w:b/>
          <w:bCs/>
          <w:color w:val="auto"/>
          <w:sz w:val="44"/>
          <w:szCs w:val="44"/>
          <w:rtl w:val="0"/>
          <w:lang w:val="en-US" w:eastAsia="zh-CN"/>
        </w:rPr>
      </w:pPr>
    </w:p>
    <w:p>
      <w:pPr>
        <w:pStyle w:val="6"/>
        <w:rPr>
          <w:rFonts w:hint="default" w:ascii="方正小标宋简体" w:hAnsi="方正小标宋简体" w:eastAsia="方正小标宋简体" w:cs="方正小标宋简体"/>
          <w:b/>
          <w:bCs/>
          <w:color w:val="auto"/>
          <w:sz w:val="44"/>
          <w:szCs w:val="44"/>
          <w:rtl w:val="0"/>
          <w:lang w:val="en-US" w:eastAsia="zh-CN"/>
        </w:rPr>
      </w:pPr>
    </w:p>
    <w:p>
      <w:pPr>
        <w:rPr>
          <w:rFonts w:hint="default" w:ascii="方正小标宋简体" w:hAnsi="方正小标宋简体" w:eastAsia="方正小标宋简体" w:cs="方正小标宋简体"/>
          <w:b/>
          <w:bCs/>
          <w:color w:val="auto"/>
          <w:sz w:val="44"/>
          <w:szCs w:val="44"/>
          <w:rtl w:val="0"/>
          <w:lang w:val="en-US" w:eastAsia="zh-CN"/>
        </w:rPr>
      </w:pPr>
    </w:p>
    <w:p>
      <w:pPr>
        <w:pStyle w:val="6"/>
        <w:rPr>
          <w:rFonts w:hint="default"/>
          <w:rtl w:val="0"/>
          <w:lang w:val="en-US" w:eastAsia="zh-CN"/>
        </w:rPr>
      </w:pPr>
    </w:p>
    <w:p>
      <w:pPr>
        <w:rPr>
          <w:rFonts w:hint="default"/>
          <w:rtl w:val="0"/>
          <w:lang w:val="en-US" w:eastAsia="zh-CN"/>
        </w:rPr>
      </w:pPr>
    </w:p>
    <w:p>
      <w:pPr>
        <w:pStyle w:val="19"/>
        <w:numPr>
          <w:ilvl w:val="0"/>
          <w:numId w:val="0"/>
        </w:numPr>
        <w:ind w:leftChars="0" w:right="0" w:rightChars="0"/>
        <w:rPr>
          <w:rFonts w:hint="default" w:ascii="方正小标宋简体" w:hAnsi="方正小标宋简体" w:eastAsia="方正小标宋简体" w:cs="方正小标宋简体"/>
          <w:b/>
          <w:bCs/>
          <w:color w:val="auto"/>
          <w:sz w:val="44"/>
          <w:szCs w:val="44"/>
          <w:rtl w:val="0"/>
          <w:lang w:val="en-US" w:eastAsia="zh-CN"/>
        </w:rPr>
      </w:pPr>
    </w:p>
    <w:p>
      <w:pPr>
        <w:framePr w:wrap="auto" w:vAnchor="margin" w:hAnchor="text" w:yAlign="inline"/>
        <w:ind w:firstLine="1104" w:firstLineChars="25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sz w:val="44"/>
          <w:szCs w:val="44"/>
          <w:rtl w:val="0"/>
          <w:lang w:val="zh-TW" w:eastAsia="zh-TW"/>
        </w:rPr>
        <w:t>第</w:t>
      </w:r>
      <w:r>
        <w:rPr>
          <w:rFonts w:hint="eastAsia" w:ascii="方正小标宋简体" w:hAnsi="方正小标宋简体" w:eastAsia="方正小标宋简体" w:cs="方正小标宋简体"/>
          <w:b/>
          <w:bCs/>
          <w:color w:val="auto"/>
          <w:sz w:val="44"/>
          <w:szCs w:val="44"/>
          <w:rtl w:val="0"/>
          <w:lang w:val="en-US" w:eastAsia="zh-CN"/>
        </w:rPr>
        <w:t>五</w:t>
      </w:r>
      <w:r>
        <w:rPr>
          <w:rFonts w:hint="eastAsia" w:ascii="方正小标宋简体" w:hAnsi="方正小标宋简体" w:eastAsia="方正小标宋简体" w:cs="方正小标宋简体"/>
          <w:b/>
          <w:bCs/>
          <w:color w:val="auto"/>
          <w:sz w:val="44"/>
          <w:szCs w:val="44"/>
          <w:rtl w:val="0"/>
          <w:lang w:val="zh-TW" w:eastAsia="zh-TW"/>
        </w:rPr>
        <w:t>部分  附件：响应文件格式</w:t>
      </w:r>
      <w:r>
        <w:rPr>
          <w:rFonts w:hint="eastAsia" w:ascii="方正小标宋简体" w:hAnsi="方正小标宋简体" w:eastAsia="方正小标宋简体" w:cs="方正小标宋简体"/>
          <w:b/>
          <w:bCs/>
          <w:color w:val="auto"/>
          <w:sz w:val="44"/>
          <w:szCs w:val="44"/>
          <w:rtl w:val="0"/>
          <w:lang w:val="en-US"/>
        </w:rPr>
        <w:t xml:space="preserve">  </w:t>
      </w:r>
      <w:r>
        <w:rPr>
          <w:rFonts w:hint="eastAsia" w:ascii="方正小标宋简体" w:hAnsi="方正小标宋简体" w:eastAsia="方正小标宋简体" w:cs="方正小标宋简体"/>
          <w:color w:val="auto"/>
          <w:sz w:val="44"/>
          <w:szCs w:val="44"/>
          <w:rtl w:val="0"/>
          <w:lang w:val="en-US"/>
        </w:rPr>
        <w:t xml:space="preserve">          </w:t>
      </w:r>
    </w:p>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pacing w:val="-16"/>
          <w:sz w:val="44"/>
          <w:szCs w:val="44"/>
          <w:lang w:val="zh-TW" w:eastAsia="zh-TW"/>
        </w:rPr>
      </w:pPr>
      <w:r>
        <w:rPr>
          <w:rFonts w:hint="eastAsia" w:ascii="方正小标宋简体" w:hAnsi="方正小标宋简体" w:eastAsia="方正小标宋简体" w:cs="方正小标宋简体"/>
          <w:color w:val="auto"/>
          <w:sz w:val="44"/>
          <w:szCs w:val="44"/>
          <w:rtl w:val="0"/>
          <w:lang w:val="zh-TW" w:eastAsia="zh-TW"/>
        </w:rPr>
        <w:t>响  应  文  件</w:t>
      </w:r>
    </w:p>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z w:val="44"/>
          <w:szCs w:val="44"/>
        </w:rPr>
      </w:pPr>
    </w:p>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z w:val="44"/>
          <w:szCs w:val="44"/>
          <w:lang w:val="zh-TW" w:eastAsia="zh-TW"/>
        </w:rPr>
      </w:pPr>
      <w:r>
        <w:rPr>
          <w:rFonts w:hint="eastAsia" w:ascii="方正小标宋简体" w:hAnsi="方正小标宋简体" w:eastAsia="方正小标宋简体" w:cs="方正小标宋简体"/>
          <w:b/>
          <w:bCs/>
          <w:color w:val="auto"/>
          <w:sz w:val="44"/>
          <w:szCs w:val="44"/>
          <w:rtl w:val="0"/>
          <w:lang w:val="zh-TW" w:eastAsia="zh-TW"/>
        </w:rPr>
        <w:t>正本（副本）</w:t>
      </w:r>
    </w:p>
    <w:p>
      <w:pPr>
        <w:framePr w:wrap="auto" w:vAnchor="margin" w:hAnchor="text" w:yAlign="inline"/>
        <w:spacing w:line="360" w:lineRule="auto"/>
        <w:ind w:firstLine="2328"/>
        <w:jc w:val="center"/>
        <w:rPr>
          <w:b/>
          <w:bCs/>
          <w:color w:val="auto"/>
          <w:sz w:val="52"/>
          <w:szCs w:val="52"/>
        </w:rPr>
      </w:pPr>
    </w:p>
    <w:p>
      <w:pPr>
        <w:framePr w:wrap="auto" w:vAnchor="margin" w:hAnchor="text" w:yAlign="inline"/>
        <w:spacing w:line="360" w:lineRule="auto"/>
        <w:ind w:firstLine="1075"/>
        <w:jc w:val="center"/>
        <w:rPr>
          <w:b/>
          <w:bCs/>
          <w:color w:val="auto"/>
          <w:sz w:val="24"/>
          <w:szCs w:val="24"/>
        </w:rPr>
      </w:pPr>
    </w:p>
    <w:p>
      <w:pPr>
        <w:framePr w:wrap="auto" w:vAnchor="margin" w:hAnchor="text" w:yAlign="inline"/>
        <w:spacing w:line="360" w:lineRule="auto"/>
        <w:ind w:firstLine="1075"/>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项目名称：</w:t>
      </w:r>
    </w:p>
    <w:p>
      <w:pPr>
        <w:framePr w:wrap="auto" w:vAnchor="margin" w:hAnchor="text" w:yAlign="inline"/>
        <w:spacing w:line="360" w:lineRule="auto"/>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项目编号：</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tl w:val="0"/>
          <w:lang w:val="zh-TW" w:eastAsia="zh-TW"/>
        </w:rPr>
        <w:t>社会资本：</w:t>
      </w:r>
      <w:r>
        <w:rPr>
          <w:rFonts w:hint="eastAsia" w:ascii="仿宋_GB2312" w:hAnsi="仿宋_GB2312" w:eastAsia="仿宋_GB2312" w:cs="仿宋_GB2312"/>
          <w:b/>
          <w:bCs/>
          <w:color w:val="auto"/>
          <w:sz w:val="32"/>
          <w:szCs w:val="32"/>
          <w:rtl w:val="0"/>
          <w:lang w:val="en-US"/>
        </w:rPr>
        <w:t>(</w:t>
      </w:r>
      <w:r>
        <w:rPr>
          <w:rFonts w:hint="eastAsia" w:ascii="仿宋_GB2312" w:hAnsi="仿宋_GB2312" w:eastAsia="仿宋_GB2312" w:cs="仿宋_GB2312"/>
          <w:b/>
          <w:bCs/>
          <w:color w:val="auto"/>
          <w:sz w:val="32"/>
          <w:szCs w:val="32"/>
          <w:rtl w:val="0"/>
          <w:lang w:val="zh-TW" w:eastAsia="zh-TW"/>
        </w:rPr>
        <w:t>公章</w:t>
      </w:r>
      <w:r>
        <w:rPr>
          <w:rFonts w:hint="eastAsia" w:ascii="仿宋_GB2312" w:hAnsi="仿宋_GB2312" w:eastAsia="仿宋_GB2312" w:cs="仿宋_GB2312"/>
          <w:b/>
          <w:bCs/>
          <w:color w:val="auto"/>
          <w:sz w:val="32"/>
          <w:szCs w:val="32"/>
          <w:rtl w:val="0"/>
          <w:lang w:val="en-US"/>
        </w:rPr>
        <w:t>)</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tl w:val="0"/>
          <w:lang w:val="zh-TW" w:eastAsia="zh-TW"/>
        </w:rPr>
        <w:t>法定代表人或其委托代理人：</w:t>
      </w:r>
      <w:r>
        <w:rPr>
          <w:rFonts w:hint="eastAsia" w:ascii="仿宋_GB2312" w:hAnsi="仿宋_GB2312" w:eastAsia="仿宋_GB2312" w:cs="仿宋_GB2312"/>
          <w:b/>
          <w:bCs/>
          <w:color w:val="auto"/>
          <w:sz w:val="32"/>
          <w:szCs w:val="32"/>
          <w:rtl w:val="0"/>
          <w:lang w:val="en-US"/>
        </w:rPr>
        <w:t>(</w:t>
      </w:r>
      <w:r>
        <w:rPr>
          <w:rFonts w:hint="eastAsia" w:ascii="仿宋_GB2312" w:hAnsi="仿宋_GB2312" w:eastAsia="仿宋_GB2312" w:cs="仿宋_GB2312"/>
          <w:b/>
          <w:bCs/>
          <w:color w:val="auto"/>
          <w:sz w:val="32"/>
          <w:szCs w:val="32"/>
          <w:rtl w:val="0"/>
          <w:lang w:val="zh-TW" w:eastAsia="zh-TW"/>
        </w:rPr>
        <w:t>签字或盖章</w:t>
      </w:r>
      <w:r>
        <w:rPr>
          <w:rFonts w:hint="eastAsia" w:ascii="仿宋_GB2312" w:hAnsi="仿宋_GB2312" w:eastAsia="仿宋_GB2312" w:cs="仿宋_GB2312"/>
          <w:b/>
          <w:bCs/>
          <w:color w:val="auto"/>
          <w:sz w:val="32"/>
          <w:szCs w:val="32"/>
          <w:rtl w:val="0"/>
          <w:lang w:val="en-US"/>
        </w:rPr>
        <w:t>)</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pStyle w:val="32"/>
        <w:framePr w:wrap="auto" w:vAnchor="margin" w:hAnchor="text" w:yAlign="inline"/>
        <w:spacing w:line="360" w:lineRule="auto"/>
        <w:rPr>
          <w:rFonts w:hint="eastAsia" w:ascii="仿宋_GB2312" w:hAnsi="仿宋_GB2312" w:eastAsia="仿宋_GB2312" w:cs="仿宋_GB2312"/>
          <w:color w:val="auto"/>
          <w:sz w:val="32"/>
          <w:szCs w:val="32"/>
        </w:rPr>
        <w:sectPr>
          <w:pgSz w:w="11920" w:h="16840"/>
          <w:pgMar w:top="1440" w:right="1797" w:bottom="1440" w:left="1797" w:header="720" w:footer="720"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b/>
          <w:bCs/>
          <w:color w:val="auto"/>
          <w:sz w:val="32"/>
          <w:szCs w:val="32"/>
          <w:rtl w:val="0"/>
          <w:lang w:val="zh-TW" w:eastAsia="zh-TW"/>
        </w:rPr>
        <w:t>日期</w:t>
      </w:r>
      <w:r>
        <w:rPr>
          <w:rFonts w:hint="eastAsia" w:ascii="仿宋_GB2312" w:hAnsi="仿宋_GB2312" w:eastAsia="仿宋_GB2312" w:cs="仿宋_GB2312"/>
          <w:b/>
          <w:bCs/>
          <w:color w:val="auto"/>
          <w:sz w:val="32"/>
          <w:szCs w:val="32"/>
          <w:rtl w:val="0"/>
          <w:lang w:val="en-US"/>
        </w:rPr>
        <w:t>:</w:t>
      </w:r>
      <w:r>
        <w:rPr>
          <w:rFonts w:hint="eastAsia" w:ascii="仿宋_GB2312" w:hAnsi="仿宋_GB2312" w:eastAsia="仿宋_GB2312" w:cs="仿宋_GB2312"/>
          <w:b/>
          <w:bCs/>
          <w:color w:val="auto"/>
          <w:sz w:val="32"/>
          <w:szCs w:val="32"/>
          <w:rtl w:val="0"/>
          <w:lang w:val="zh-TW" w:eastAsia="zh-TW"/>
        </w:rPr>
        <w:t xml:space="preserve">     年   月    日</w:t>
      </w:r>
    </w:p>
    <w:p>
      <w:pPr>
        <w:framePr w:wrap="auto" w:vAnchor="margin" w:hAnchor="text" w:yAlign="inline"/>
        <w:spacing w:line="360" w:lineRule="auto"/>
        <w:ind w:firstLine="3534" w:firstLineChars="800"/>
        <w:jc w:val="both"/>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第</w:t>
      </w:r>
      <w:r>
        <w:rPr>
          <w:rFonts w:hint="eastAsia" w:ascii="方正小标宋简体" w:hAnsi="方正小标宋简体" w:eastAsia="方正小标宋简体" w:cs="方正小标宋简体"/>
          <w:b/>
          <w:color w:val="auto"/>
          <w:sz w:val="44"/>
          <w:szCs w:val="44"/>
          <w:lang w:val="en-US" w:eastAsia="zh-CN"/>
        </w:rPr>
        <w:t>六</w:t>
      </w:r>
      <w:r>
        <w:rPr>
          <w:rFonts w:hint="eastAsia" w:ascii="方正小标宋简体" w:hAnsi="方正小标宋简体" w:eastAsia="方正小标宋简体" w:cs="方正小标宋简体"/>
          <w:b/>
          <w:color w:val="auto"/>
          <w:sz w:val="44"/>
          <w:szCs w:val="44"/>
        </w:rPr>
        <w:t>部分  附 表</w:t>
      </w:r>
    </w:p>
    <w:p>
      <w:pPr>
        <w:framePr w:wrap="auto" w:vAnchor="margin" w:hAnchor="text" w:yAlign="inline"/>
        <w:spacing w:line="360" w:lineRule="auto"/>
        <w:jc w:val="both"/>
        <w:rPr>
          <w:rFonts w:hint="eastAsia" w:ascii="仿宋_GB2312" w:hAnsi="仿宋_GB2312" w:eastAsia="仿宋_GB2312" w:cs="仿宋_GB2312"/>
          <w:b/>
          <w:color w:val="auto"/>
          <w:sz w:val="32"/>
          <w:szCs w:val="32"/>
        </w:rPr>
      </w:pPr>
      <w:r>
        <w:rPr>
          <w:rFonts w:hint="eastAsia"/>
          <w:b/>
          <w:color w:val="auto"/>
          <w:sz w:val="24"/>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0"/>
          <w:szCs w:val="30"/>
        </w:rPr>
        <w:t xml:space="preserve">     </w:t>
      </w:r>
      <w:r>
        <w:rPr>
          <w:rFonts w:hint="eastAsia" w:ascii="仿宋_GB2312" w:hAnsi="仿宋_GB2312" w:eastAsia="仿宋_GB2312" w:cs="仿宋_GB2312"/>
          <w:b/>
          <w:color w:val="auto"/>
          <w:sz w:val="30"/>
          <w:szCs w:val="30"/>
          <w:lang w:val="en-US" w:eastAsia="zh-CN"/>
        </w:rPr>
        <w:t xml:space="preserve">     </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第一卷：商务文件</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附表一 </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承诺函</w:t>
      </w:r>
    </w:p>
    <w:p>
      <w:pPr>
        <w:framePr w:wrap="auto" w:vAnchor="margin" w:hAnchor="text" w:yAlign="inline"/>
        <w:spacing w:line="480" w:lineRule="auto"/>
        <w:ind w:left="-19" w:leftChars="-9" w:firstLine="16" w:firstLineChars="5"/>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乌苏市XXX：</w:t>
      </w:r>
    </w:p>
    <w:p>
      <w:pPr>
        <w:framePr w:wrap="auto" w:vAnchor="margin" w:hAnchor="text" w:yAlign="inline"/>
        <w:shd w:val="solid" w:color="FFFFFF" w:fill="auto"/>
        <w:spacing w:line="36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1、我们收到你们</w:t>
      </w:r>
      <w:r>
        <w:rPr>
          <w:rFonts w:hint="eastAsia" w:ascii="仿宋_GB2312" w:hAnsi="仿宋_GB2312" w:eastAsia="仿宋_GB2312" w:cs="仿宋_GB2312"/>
          <w:color w:val="auto"/>
          <w:sz w:val="32"/>
          <w:szCs w:val="32"/>
          <w:rtl w:val="0"/>
          <w:lang w:val="en-US"/>
        </w:rPr>
        <w:t>WSZFCG(CS)</w:t>
      </w:r>
      <w:r>
        <w:rPr>
          <w:rFonts w:hint="eastAsia" w:ascii="仿宋_GB2312" w:hAnsi="仿宋_GB2312" w:eastAsia="仿宋_GB2312" w:cs="仿宋_GB2312"/>
          <w:color w:val="auto"/>
          <w:sz w:val="32"/>
          <w:szCs w:val="32"/>
          <w:rtl w:val="0"/>
          <w:lang w:val="en-US" w:eastAsia="zh-CN"/>
        </w:rPr>
        <w:t>2023-016</w:t>
      </w:r>
      <w:r>
        <w:rPr>
          <w:rFonts w:hint="eastAsia" w:ascii="仿宋_GB2312" w:hAnsi="仿宋_GB2312" w:eastAsia="仿宋_GB2312" w:cs="仿宋_GB2312"/>
          <w:color w:val="auto"/>
          <w:sz w:val="32"/>
          <w:szCs w:val="32"/>
        </w:rPr>
        <w:t>号招标文件，经仔细阅读和研究，我们决定参加投标。</w:t>
      </w:r>
    </w:p>
    <w:p>
      <w:pPr>
        <w:framePr w:wrap="auto" w:vAnchor="margin" w:hAnchor="text" w:yAlign="inline"/>
        <w:numPr>
          <w:ilvl w:val="0"/>
          <w:numId w:val="9"/>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愿意按照招标文件的一切要求，向采购人提供所需工作内容，商务报价为￥    万元（大写：人民币        ）。价格及明细见《报价表》。</w:t>
      </w:r>
    </w:p>
    <w:p>
      <w:pPr>
        <w:framePr w:wrap="auto" w:vAnchor="margin" w:hAnchor="text" w:yAlign="inline"/>
        <w:numPr>
          <w:ilvl w:val="0"/>
          <w:numId w:val="9"/>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如果我们的投标文件被接受，我们将严格履行招标文件中规定的每一项要求，保证按我方承诺完成所需货物服务及应尽义务。</w:t>
      </w:r>
    </w:p>
    <w:p>
      <w:pPr>
        <w:framePr w:wrap="auto" w:vAnchor="margin" w:hAnchor="text" w:yAlign="inline"/>
        <w:numPr>
          <w:ilvl w:val="0"/>
          <w:numId w:val="9"/>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供应商已详细阅读并理解了招标文件的全部，包括修改文件(如有的话)。我们完全理解并同意放弃对这方面有不明及误解的权利。</w:t>
      </w:r>
    </w:p>
    <w:p>
      <w:pPr>
        <w:framePr w:wrap="auto" w:vAnchor="margin" w:hAnchor="text" w:yAlign="inline"/>
        <w:numPr>
          <w:ilvl w:val="0"/>
          <w:numId w:val="9"/>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我们同意按招标文件中的规定，本投标文件的有效期限为开标后60天。</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6、我们愿意提供采购人在招标文件中要求的所有资料。</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7、我们认为你们有权决定中标供应商。</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8、我方愿意遵守招标文件中所列的收费标准。</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10、我方在投标文件中所作的承诺在开标后保持有效，不作任何更改和变动。</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我方承诺接受招标文件及澄清修改部分（如有）的全部条款（包括投标文件递交截止时间、资格评审条件、中标标准以及采购需求等其他所有条款）且无任何异议，现向贵公司提出承诺报价。</w:t>
      </w:r>
    </w:p>
    <w:p>
      <w:pPr>
        <w:framePr w:wrap="auto" w:vAnchor="margin" w:hAnchor="text" w:yAlign="inline"/>
        <w:spacing w:line="360" w:lineRule="auto"/>
        <w:ind w:left="496" w:leftChars="200" w:hanging="76" w:hangingChars="2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所有有关标书的函电，请按下列地址联系：</w:t>
      </w:r>
    </w:p>
    <w:p>
      <w:pPr>
        <w:framePr w:wrap="auto" w:vAnchor="margin" w:hAnchor="text" w:yAlign="inline"/>
        <w:spacing w:line="360" w:lineRule="auto"/>
        <w:ind w:left="415" w:hanging="553" w:hangingChars="17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  位：                 邮编：             传真：</w:t>
      </w:r>
    </w:p>
    <w:p>
      <w:pPr>
        <w:framePr w:wrap="auto" w:vAnchor="margin" w:hAnchor="text" w:yAlign="inline"/>
        <w:spacing w:line="360" w:lineRule="auto"/>
        <w:ind w:left="415" w:hanging="553" w:hangingChars="17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联系人：                 地址：             电话：</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投标单位(盖章)</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投标单位全权代表（签字或盖章）：                        日期：   年  月   日</w:t>
      </w:r>
    </w:p>
    <w:p>
      <w:pPr>
        <w:framePr w:wrap="auto" w:vAnchor="margin" w:hAnchor="text" w:yAlign="inline"/>
        <w:spacing w:line="360" w:lineRule="auto"/>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framePr w:wrap="auto" w:vAnchor="margin" w:hAnchor="text" w:yAlign="inline"/>
        <w:spacing w:line="360" w:lineRule="auto"/>
        <w:rPr>
          <w:rFonts w:hint="eastAsia" w:ascii="仿宋_GB2312" w:hAnsi="仿宋_GB2312" w:eastAsia="仿宋_GB2312" w:cs="仿宋_GB2312"/>
          <w:b/>
          <w:color w:val="auto"/>
          <w:sz w:val="30"/>
          <w:szCs w:val="30"/>
        </w:rPr>
      </w:pPr>
    </w:p>
    <w:p>
      <w:pPr>
        <w:pStyle w:val="3"/>
        <w:rPr>
          <w:rFonts w:hint="eastAsia" w:ascii="仿宋_GB2312" w:hAnsi="仿宋_GB2312" w:eastAsia="仿宋_GB2312" w:cs="仿宋_GB2312"/>
          <w:color w:val="auto"/>
          <w:sz w:val="30"/>
          <w:szCs w:val="30"/>
          <w:lang w:val="zh-CN"/>
        </w:rPr>
      </w:pPr>
      <w:bookmarkStart w:id="14" w:name="_Toc478726685"/>
    </w:p>
    <w:p>
      <w:pPr>
        <w:pStyle w:val="3"/>
        <w:ind w:left="0" w:leftChars="0" w:firstLine="0" w:firstLineChars="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附件2：法定代表人证明书</w:t>
      </w:r>
      <w:bookmarkEnd w:id="14"/>
    </w:p>
    <w:p>
      <w:pPr>
        <w:framePr w:wrap="auto" w:vAnchor="margin" w:hAnchor="text" w:yAlign="inline"/>
        <w:adjustRightInd w:val="0"/>
        <w:snapToGrid w:val="0"/>
        <w:spacing w:line="360" w:lineRule="auto"/>
        <w:jc w:val="center"/>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zh-CN"/>
        </w:rPr>
        <w:t>法定代表人证明书</w:t>
      </w:r>
    </w:p>
    <w:p>
      <w:pPr>
        <w:framePr w:wrap="auto" w:vAnchor="margin" w:hAnchor="text" w:yAlign="inline"/>
        <w:adjustRightInd w:val="0"/>
        <w:snapToGrid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字第</w:t>
      </w:r>
      <w:r>
        <w:rPr>
          <w:rFonts w:hint="eastAsia" w:ascii="仿宋_GB2312" w:hAnsi="仿宋_GB2312" w:eastAsia="仿宋_GB2312" w:cs="仿宋_GB2312"/>
          <w:color w:val="auto"/>
          <w:sz w:val="32"/>
          <w:szCs w:val="32"/>
          <w:cs/>
          <w:lang w:val="zh-CN"/>
        </w:rPr>
        <w:t>号</w:t>
      </w:r>
    </w:p>
    <w:p>
      <w:pPr>
        <w:framePr w:wrap="auto" w:vAnchor="margin" w:hAnchor="text" w:yAlign="inline"/>
        <w:adjustRightInd w:val="0"/>
        <w:snapToGrid w:val="0"/>
        <w:spacing w:line="360" w:lineRule="auto"/>
        <w:ind w:firstLine="45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同志，</w:t>
      </w:r>
      <w:r>
        <w:rPr>
          <w:rFonts w:hint="eastAsia" w:ascii="仿宋_GB2312" w:hAnsi="仿宋_GB2312" w:eastAsia="仿宋_GB2312" w:cs="仿宋_GB2312"/>
          <w:color w:val="auto"/>
          <w:sz w:val="32"/>
          <w:szCs w:val="32"/>
          <w:cs/>
          <w:lang w:val="zh-CN"/>
        </w:rPr>
        <w:t>现</w:t>
      </w:r>
      <w:r>
        <w:rPr>
          <w:rFonts w:hint="eastAsia" w:ascii="仿宋_GB2312" w:hAnsi="仿宋_GB2312" w:eastAsia="仿宋_GB2312" w:cs="仿宋_GB2312"/>
          <w:color w:val="auto"/>
          <w:sz w:val="32"/>
          <w:szCs w:val="32"/>
          <w:lang w:val="zh-CN"/>
        </w:rPr>
        <w:t>任我</w:t>
      </w:r>
      <w:r>
        <w:rPr>
          <w:rFonts w:hint="eastAsia" w:ascii="仿宋_GB2312" w:hAnsi="仿宋_GB2312" w:eastAsia="仿宋_GB2312" w:cs="仿宋_GB2312"/>
          <w:color w:val="auto"/>
          <w:sz w:val="32"/>
          <w:szCs w:val="32"/>
          <w:cs/>
          <w:lang w:val="zh-CN"/>
        </w:rPr>
        <w:t>单</w:t>
      </w:r>
      <w:r>
        <w:rPr>
          <w:rFonts w:hint="eastAsia" w:ascii="仿宋_GB2312" w:hAnsi="仿宋_GB2312" w:eastAsia="仿宋_GB2312" w:cs="仿宋_GB2312"/>
          <w:color w:val="auto"/>
          <w:sz w:val="32"/>
          <w:szCs w:val="32"/>
          <w:lang w:val="zh-CN"/>
        </w:rPr>
        <w:t xml:space="preserve">位          </w:t>
      </w:r>
      <w:r>
        <w:rPr>
          <w:rFonts w:hint="eastAsia" w:ascii="仿宋_GB2312" w:hAnsi="仿宋_GB2312" w:eastAsia="仿宋_GB2312" w:cs="仿宋_GB2312"/>
          <w:color w:val="auto"/>
          <w:sz w:val="32"/>
          <w:szCs w:val="32"/>
          <w:cs/>
          <w:lang w:val="zh-CN"/>
        </w:rPr>
        <w:t>职务</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cs/>
          <w:lang w:val="zh-CN"/>
        </w:rPr>
        <w:t>为</w:t>
      </w:r>
      <w:r>
        <w:rPr>
          <w:rFonts w:hint="eastAsia" w:ascii="仿宋_GB2312" w:hAnsi="仿宋_GB2312" w:eastAsia="仿宋_GB2312" w:cs="仿宋_GB2312"/>
          <w:color w:val="auto"/>
          <w:sz w:val="32"/>
          <w:szCs w:val="32"/>
          <w:lang w:val="zh-CN"/>
        </w:rPr>
        <w:t>公司法定代表人。特此</w:t>
      </w:r>
      <w:r>
        <w:rPr>
          <w:rFonts w:hint="eastAsia" w:ascii="仿宋_GB2312" w:hAnsi="仿宋_GB2312" w:eastAsia="仿宋_GB2312" w:cs="仿宋_GB2312"/>
          <w:color w:val="auto"/>
          <w:sz w:val="32"/>
          <w:szCs w:val="32"/>
          <w:cs/>
          <w:lang w:val="zh-CN"/>
        </w:rPr>
        <w:t>证</w:t>
      </w:r>
      <w:r>
        <w:rPr>
          <w:rFonts w:hint="eastAsia" w:ascii="仿宋_GB2312" w:hAnsi="仿宋_GB2312" w:eastAsia="仿宋_GB2312" w:cs="仿宋_GB2312"/>
          <w:color w:val="auto"/>
          <w:sz w:val="32"/>
          <w:szCs w:val="32"/>
          <w:lang w:val="zh-CN"/>
        </w:rPr>
        <w:t>明。</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       性</w:t>
      </w:r>
      <w:r>
        <w:rPr>
          <w:rFonts w:hint="eastAsia" w:ascii="仿宋_GB2312" w:hAnsi="仿宋_GB2312" w:eastAsia="仿宋_GB2312" w:cs="仿宋_GB2312"/>
          <w:color w:val="auto"/>
          <w:sz w:val="32"/>
          <w:szCs w:val="32"/>
          <w:cs/>
          <w:lang w:val="zh-CN"/>
        </w:rPr>
        <w:t>别</w:t>
      </w:r>
      <w:r>
        <w:rPr>
          <w:rFonts w:hint="eastAsia" w:ascii="仿宋_GB2312" w:hAnsi="仿宋_GB2312" w:eastAsia="仿宋_GB2312" w:cs="仿宋_GB2312"/>
          <w:color w:val="auto"/>
          <w:sz w:val="32"/>
          <w:szCs w:val="32"/>
          <w:lang w:val="zh-CN"/>
        </w:rPr>
        <w:t>：        年</w:t>
      </w:r>
      <w:r>
        <w:rPr>
          <w:rFonts w:hint="eastAsia" w:ascii="仿宋_GB2312" w:hAnsi="仿宋_GB2312" w:eastAsia="仿宋_GB2312" w:cs="仿宋_GB2312"/>
          <w:color w:val="auto"/>
          <w:sz w:val="32"/>
          <w:szCs w:val="32"/>
          <w:cs/>
          <w:lang w:val="zh-CN"/>
        </w:rPr>
        <w:t>龄</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cs/>
          <w:lang w:val="zh-CN"/>
        </w:rPr>
        <w:t>营业执</w:t>
      </w:r>
      <w:r>
        <w:rPr>
          <w:rFonts w:hint="eastAsia" w:ascii="仿宋_GB2312" w:hAnsi="仿宋_GB2312" w:eastAsia="仿宋_GB2312" w:cs="仿宋_GB2312"/>
          <w:color w:val="auto"/>
          <w:sz w:val="32"/>
          <w:szCs w:val="32"/>
          <w:lang w:val="zh-CN"/>
        </w:rPr>
        <w:t>照</w:t>
      </w:r>
      <w:r>
        <w:rPr>
          <w:rFonts w:hint="eastAsia" w:ascii="仿宋_GB2312" w:hAnsi="仿宋_GB2312" w:eastAsia="仿宋_GB2312" w:cs="仿宋_GB2312"/>
          <w:color w:val="auto"/>
          <w:sz w:val="32"/>
          <w:szCs w:val="32"/>
          <w:cs/>
          <w:lang w:val="zh-CN"/>
        </w:rPr>
        <w:t>号码</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身份</w:t>
      </w:r>
      <w:r>
        <w:rPr>
          <w:rFonts w:hint="eastAsia" w:ascii="仿宋_GB2312" w:hAnsi="仿宋_GB2312" w:eastAsia="仿宋_GB2312" w:cs="仿宋_GB2312"/>
          <w:color w:val="auto"/>
          <w:sz w:val="32"/>
          <w:szCs w:val="32"/>
          <w:cs/>
          <w:lang w:val="zh-CN"/>
        </w:rPr>
        <w:t>证号码</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法定代表人签字或盖章：</w:t>
      </w:r>
    </w:p>
    <w:tbl>
      <w:tblPr>
        <w:tblStyle w:val="20"/>
        <w:tblW w:w="5061" w:type="dxa"/>
        <w:tblInd w:w="180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6" w:hRule="atLeast"/>
        </w:trPr>
        <w:tc>
          <w:tcPr>
            <w:tcW w:w="5061" w:type="dxa"/>
            <w:tcBorders>
              <w:top w:val="single" w:color="auto" w:sz="4" w:space="0"/>
              <w:left w:val="single" w:color="auto" w:sz="4" w:space="0"/>
              <w:bottom w:val="single" w:color="auto" w:sz="4" w:space="0"/>
              <w:right w:val="single" w:color="auto" w:sz="4" w:space="0"/>
            </w:tcBorders>
            <w:vAlign w:val="center"/>
          </w:tcPr>
          <w:p>
            <w:pPr>
              <w:framePr w:wrap="auto" w:vAnchor="margin" w:hAnchor="text" w:yAlign="inline"/>
              <w:adjustRightInd w:val="0"/>
              <w:snapToGrid w:val="0"/>
              <w:spacing w:line="360" w:lineRule="auto"/>
              <w:ind w:firstLine="605"/>
              <w:jc w:val="center"/>
              <w:rPr>
                <w:rFonts w:hint="eastAsia" w:ascii="仿宋_GB2312" w:hAnsi="仿宋_GB2312" w:eastAsia="仿宋_GB2312" w:cs="仿宋_GB2312"/>
                <w:color w:val="auto"/>
                <w:sz w:val="32"/>
                <w:szCs w:val="32"/>
              </w:rPr>
            </w:pPr>
          </w:p>
          <w:p>
            <w:pPr>
              <w:framePr w:wrap="auto" w:vAnchor="margin" w:hAnchor="text" w:yAlign="inline"/>
              <w:adjustRightInd w:val="0"/>
              <w:snapToGrid w:val="0"/>
              <w:spacing w:line="360" w:lineRule="auto"/>
              <w:ind w:firstLine="302"/>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法定代表人身份</w:t>
            </w:r>
            <w:r>
              <w:rPr>
                <w:rFonts w:hint="eastAsia" w:ascii="仿宋_GB2312" w:hAnsi="仿宋_GB2312" w:eastAsia="仿宋_GB2312" w:cs="仿宋_GB2312"/>
                <w:color w:val="auto"/>
                <w:sz w:val="32"/>
                <w:szCs w:val="32"/>
                <w:cs/>
                <w:lang w:val="zh-CN"/>
              </w:rPr>
              <w:t>证</w:t>
            </w:r>
            <w:r>
              <w:rPr>
                <w:rFonts w:hint="eastAsia" w:ascii="仿宋_GB2312" w:hAnsi="仿宋_GB2312" w:eastAsia="仿宋_GB2312" w:cs="仿宋_GB2312"/>
                <w:color w:val="auto"/>
                <w:sz w:val="32"/>
                <w:szCs w:val="32"/>
                <w:lang w:val="zh-CN"/>
              </w:rPr>
              <w:t>复印件（正反面）粘</w:t>
            </w:r>
            <w:r>
              <w:rPr>
                <w:rFonts w:hint="eastAsia" w:ascii="仿宋_GB2312" w:hAnsi="仿宋_GB2312" w:eastAsia="仿宋_GB2312" w:cs="仿宋_GB2312"/>
                <w:color w:val="auto"/>
                <w:sz w:val="32"/>
                <w:szCs w:val="32"/>
                <w:cs/>
                <w:lang w:val="zh-CN"/>
              </w:rPr>
              <w:t>贴处</w:t>
            </w:r>
          </w:p>
          <w:p>
            <w:pPr>
              <w:framePr w:wrap="auto" w:vAnchor="margin" w:hAnchor="text" w:yAlign="inline"/>
              <w:adjustRightInd w:val="0"/>
              <w:snapToGrid w:val="0"/>
              <w:spacing w:line="360" w:lineRule="auto"/>
              <w:ind w:firstLine="1209"/>
              <w:jc w:val="center"/>
              <w:rPr>
                <w:rFonts w:hint="eastAsia" w:ascii="仿宋_GB2312" w:hAnsi="仿宋_GB2312" w:eastAsia="仿宋_GB2312" w:cs="仿宋_GB2312"/>
                <w:color w:val="auto"/>
                <w:sz w:val="32"/>
                <w:szCs w:val="32"/>
              </w:rPr>
            </w:pPr>
          </w:p>
        </w:tc>
      </w:tr>
    </w:tbl>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cs/>
          <w:lang w:val="zh-CN"/>
        </w:rPr>
        <w:t>单</w:t>
      </w:r>
      <w:r>
        <w:rPr>
          <w:rFonts w:hint="eastAsia" w:ascii="仿宋_GB2312" w:hAnsi="仿宋_GB2312" w:eastAsia="仿宋_GB2312" w:cs="仿宋_GB2312"/>
          <w:color w:val="auto"/>
          <w:sz w:val="32"/>
          <w:szCs w:val="32"/>
          <w:lang w:val="zh-CN"/>
        </w:rPr>
        <w:t>位</w:t>
      </w:r>
      <w:r>
        <w:rPr>
          <w:rFonts w:hint="eastAsia" w:ascii="仿宋_GB2312" w:hAnsi="仿宋_GB2312" w:eastAsia="仿宋_GB2312" w:cs="仿宋_GB2312"/>
          <w:color w:val="auto"/>
          <w:sz w:val="32"/>
          <w:szCs w:val="32"/>
          <w:cs/>
          <w:lang w:val="zh-CN"/>
        </w:rPr>
        <w:t>公</w:t>
      </w:r>
      <w:r>
        <w:rPr>
          <w:rFonts w:hint="eastAsia" w:ascii="仿宋_GB2312" w:hAnsi="仿宋_GB2312" w:eastAsia="仿宋_GB2312" w:cs="仿宋_GB2312"/>
          <w:color w:val="auto"/>
          <w:sz w:val="32"/>
          <w:szCs w:val="32"/>
          <w:lang w:val="zh-CN"/>
        </w:rPr>
        <w:t>章：</w:t>
      </w:r>
    </w:p>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left="1207" w:hanging="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cs/>
          <w:lang w:val="zh-CN"/>
        </w:rPr>
        <w:t>说</w:t>
      </w:r>
      <w:r>
        <w:rPr>
          <w:rFonts w:hint="eastAsia" w:ascii="仿宋_GB2312" w:hAnsi="仿宋_GB2312" w:eastAsia="仿宋_GB2312" w:cs="仿宋_GB2312"/>
          <w:color w:val="auto"/>
          <w:sz w:val="32"/>
          <w:szCs w:val="32"/>
          <w:lang w:val="zh-CN"/>
        </w:rPr>
        <w:t>明：</w:t>
      </w:r>
      <w:r>
        <w:rPr>
          <w:rFonts w:hint="eastAsia" w:ascii="仿宋_GB2312" w:hAnsi="仿宋_GB2312" w:eastAsia="仿宋_GB2312" w:cs="仿宋_GB2312"/>
          <w:color w:val="auto"/>
          <w:sz w:val="32"/>
          <w:szCs w:val="32"/>
          <w:lang w:val="zh-CN" w:eastAsia="zh-TW"/>
        </w:rPr>
        <w:t>1.</w:t>
      </w:r>
      <w:r>
        <w:rPr>
          <w:rFonts w:hint="eastAsia" w:ascii="仿宋_GB2312" w:hAnsi="仿宋_GB2312" w:eastAsia="仿宋_GB2312" w:cs="仿宋_GB2312"/>
          <w:color w:val="auto"/>
          <w:sz w:val="32"/>
          <w:szCs w:val="32"/>
          <w:lang w:val="zh-CN"/>
        </w:rPr>
        <w:t>企事</w:t>
      </w:r>
      <w:r>
        <w:rPr>
          <w:rFonts w:hint="eastAsia" w:ascii="仿宋_GB2312" w:hAnsi="仿宋_GB2312" w:eastAsia="仿宋_GB2312" w:cs="仿宋_GB2312"/>
          <w:color w:val="auto"/>
          <w:sz w:val="32"/>
          <w:szCs w:val="32"/>
          <w:cs/>
          <w:lang w:val="zh-CN"/>
        </w:rPr>
        <w:t>业单</w:t>
      </w:r>
      <w:r>
        <w:rPr>
          <w:rFonts w:hint="eastAsia" w:ascii="仿宋_GB2312" w:hAnsi="仿宋_GB2312" w:eastAsia="仿宋_GB2312" w:cs="仿宋_GB2312"/>
          <w:color w:val="auto"/>
          <w:sz w:val="32"/>
          <w:szCs w:val="32"/>
          <w:lang w:val="zh-CN"/>
        </w:rPr>
        <w:t>位、</w:t>
      </w:r>
      <w:r>
        <w:rPr>
          <w:rFonts w:hint="eastAsia" w:ascii="仿宋_GB2312" w:hAnsi="仿宋_GB2312" w:eastAsia="仿宋_GB2312" w:cs="仿宋_GB2312"/>
          <w:color w:val="auto"/>
          <w:sz w:val="32"/>
          <w:szCs w:val="32"/>
          <w:cs/>
          <w:lang w:val="zh-CN"/>
        </w:rPr>
        <w:t>国</w:t>
      </w:r>
      <w:r>
        <w:rPr>
          <w:rFonts w:hint="eastAsia" w:ascii="仿宋_GB2312" w:hAnsi="仿宋_GB2312" w:eastAsia="仿宋_GB2312" w:cs="仿宋_GB2312"/>
          <w:color w:val="auto"/>
          <w:sz w:val="32"/>
          <w:szCs w:val="32"/>
          <w:lang w:val="zh-CN"/>
        </w:rPr>
        <w:t>家机</w:t>
      </w:r>
      <w:r>
        <w:rPr>
          <w:rFonts w:hint="eastAsia" w:ascii="仿宋_GB2312" w:hAnsi="仿宋_GB2312" w:eastAsia="仿宋_GB2312" w:cs="仿宋_GB2312"/>
          <w:color w:val="auto"/>
          <w:sz w:val="32"/>
          <w:szCs w:val="32"/>
          <w:cs/>
          <w:lang w:val="zh-CN"/>
        </w:rPr>
        <w:t>关</w:t>
      </w:r>
      <w:r>
        <w:rPr>
          <w:rFonts w:hint="eastAsia" w:ascii="仿宋_GB2312" w:hAnsi="仿宋_GB2312" w:eastAsia="仿宋_GB2312" w:cs="仿宋_GB2312"/>
          <w:color w:val="auto"/>
          <w:sz w:val="32"/>
          <w:szCs w:val="32"/>
          <w:lang w:val="zh-CN"/>
        </w:rPr>
        <w:t>、社</w:t>
      </w:r>
      <w:r>
        <w:rPr>
          <w:rFonts w:hint="eastAsia" w:ascii="仿宋_GB2312" w:hAnsi="仿宋_GB2312" w:eastAsia="仿宋_GB2312" w:cs="仿宋_GB2312"/>
          <w:color w:val="auto"/>
          <w:sz w:val="32"/>
          <w:szCs w:val="32"/>
          <w:cs/>
          <w:lang w:val="zh-CN"/>
        </w:rPr>
        <w:t>会团</w:t>
      </w:r>
      <w:r>
        <w:rPr>
          <w:rFonts w:hint="eastAsia" w:ascii="仿宋_GB2312" w:hAnsi="仿宋_GB2312" w:eastAsia="仿宋_GB2312" w:cs="仿宋_GB2312"/>
          <w:color w:val="auto"/>
          <w:sz w:val="32"/>
          <w:szCs w:val="32"/>
          <w:lang w:val="zh-CN"/>
        </w:rPr>
        <w:t>体的主要</w:t>
      </w:r>
      <w:r>
        <w:rPr>
          <w:rFonts w:hint="eastAsia" w:ascii="仿宋_GB2312" w:hAnsi="仿宋_GB2312" w:eastAsia="仿宋_GB2312" w:cs="仿宋_GB2312"/>
          <w:color w:val="auto"/>
          <w:sz w:val="32"/>
          <w:szCs w:val="32"/>
          <w:cs/>
          <w:lang w:val="zh-CN"/>
        </w:rPr>
        <w:t>负责</w:t>
      </w:r>
      <w:r>
        <w:rPr>
          <w:rFonts w:hint="eastAsia" w:ascii="仿宋_GB2312" w:hAnsi="仿宋_GB2312" w:eastAsia="仿宋_GB2312" w:cs="仿宋_GB2312"/>
          <w:color w:val="auto"/>
          <w:sz w:val="32"/>
          <w:szCs w:val="32"/>
          <w:lang w:val="zh-CN"/>
        </w:rPr>
        <w:t>人，</w:t>
      </w:r>
      <w:r>
        <w:rPr>
          <w:rFonts w:hint="eastAsia" w:ascii="仿宋_GB2312" w:hAnsi="仿宋_GB2312" w:eastAsia="仿宋_GB2312" w:cs="仿宋_GB2312"/>
          <w:color w:val="auto"/>
          <w:sz w:val="32"/>
          <w:szCs w:val="32"/>
          <w:cs/>
          <w:lang w:val="zh-CN"/>
        </w:rPr>
        <w:t>为</w:t>
      </w:r>
      <w:r>
        <w:rPr>
          <w:rFonts w:hint="eastAsia" w:ascii="仿宋_GB2312" w:hAnsi="仿宋_GB2312" w:eastAsia="仿宋_GB2312" w:cs="仿宋_GB2312"/>
          <w:color w:val="auto"/>
          <w:sz w:val="32"/>
          <w:szCs w:val="32"/>
          <w:lang w:val="zh-CN"/>
        </w:rPr>
        <w:t>法定代表人。</w:t>
      </w:r>
    </w:p>
    <w:p>
      <w:pPr>
        <w:framePr w:wrap="auto" w:vAnchor="margin" w:hAnchor="text" w:yAlign="inline"/>
        <w:adjustRightInd w:val="0"/>
        <w:snapToGrid w:val="0"/>
        <w:spacing w:line="360" w:lineRule="auto"/>
        <w:ind w:firstLine="1760" w:firstLineChars="55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eastAsia="zh-TW"/>
        </w:rPr>
        <w:t>2.</w:t>
      </w:r>
      <w:r>
        <w:rPr>
          <w:rFonts w:hint="eastAsia" w:ascii="仿宋_GB2312" w:hAnsi="仿宋_GB2312" w:eastAsia="仿宋_GB2312" w:cs="仿宋_GB2312"/>
          <w:color w:val="auto"/>
          <w:sz w:val="32"/>
          <w:szCs w:val="32"/>
          <w:cs/>
          <w:lang w:val="zh-CN"/>
        </w:rPr>
        <w:t>内</w:t>
      </w:r>
      <w:r>
        <w:rPr>
          <w:rFonts w:hint="eastAsia" w:ascii="仿宋_GB2312" w:hAnsi="仿宋_GB2312" w:eastAsia="仿宋_GB2312" w:cs="仿宋_GB2312"/>
          <w:color w:val="auto"/>
          <w:sz w:val="32"/>
          <w:szCs w:val="32"/>
          <w:lang w:val="zh-CN"/>
        </w:rPr>
        <w:t>容必</w:t>
      </w:r>
      <w:r>
        <w:rPr>
          <w:rFonts w:hint="eastAsia" w:ascii="仿宋_GB2312" w:hAnsi="仿宋_GB2312" w:eastAsia="仿宋_GB2312" w:cs="仿宋_GB2312"/>
          <w:color w:val="auto"/>
          <w:sz w:val="32"/>
          <w:szCs w:val="32"/>
          <w:cs/>
          <w:lang w:val="zh-CN"/>
        </w:rPr>
        <w:t>须</w:t>
      </w:r>
      <w:r>
        <w:rPr>
          <w:rFonts w:hint="eastAsia" w:ascii="仿宋_GB2312" w:hAnsi="仿宋_GB2312" w:eastAsia="仿宋_GB2312" w:cs="仿宋_GB2312"/>
          <w:color w:val="auto"/>
          <w:sz w:val="32"/>
          <w:szCs w:val="32"/>
          <w:lang w:val="zh-CN"/>
        </w:rPr>
        <w:t>填</w:t>
      </w:r>
      <w:r>
        <w:rPr>
          <w:rFonts w:hint="eastAsia" w:ascii="仿宋_GB2312" w:hAnsi="仿宋_GB2312" w:eastAsia="仿宋_GB2312" w:cs="仿宋_GB2312"/>
          <w:color w:val="auto"/>
          <w:sz w:val="32"/>
          <w:szCs w:val="32"/>
          <w:cs/>
          <w:lang w:val="zh-CN"/>
        </w:rPr>
        <w:t>写</w:t>
      </w:r>
      <w:r>
        <w:rPr>
          <w:rFonts w:hint="eastAsia" w:ascii="仿宋_GB2312" w:hAnsi="仿宋_GB2312" w:eastAsia="仿宋_GB2312" w:cs="仿宋_GB2312"/>
          <w:color w:val="auto"/>
          <w:sz w:val="32"/>
          <w:szCs w:val="32"/>
          <w:lang w:val="zh-CN"/>
        </w:rPr>
        <w:t>真</w:t>
      </w:r>
      <w:r>
        <w:rPr>
          <w:rFonts w:hint="eastAsia" w:ascii="仿宋_GB2312" w:hAnsi="仿宋_GB2312" w:eastAsia="仿宋_GB2312" w:cs="仿宋_GB2312"/>
          <w:color w:val="auto"/>
          <w:sz w:val="32"/>
          <w:szCs w:val="32"/>
          <w:cs/>
          <w:lang w:val="zh-CN"/>
        </w:rPr>
        <w:t>实</w:t>
      </w:r>
      <w:r>
        <w:rPr>
          <w:rFonts w:hint="eastAsia" w:ascii="仿宋_GB2312" w:hAnsi="仿宋_GB2312" w:eastAsia="仿宋_GB2312" w:cs="仿宋_GB2312"/>
          <w:color w:val="auto"/>
          <w:sz w:val="32"/>
          <w:szCs w:val="32"/>
          <w:lang w:val="zh-CN"/>
        </w:rPr>
        <w:t>、清楚，涂改</w:t>
      </w:r>
      <w:r>
        <w:rPr>
          <w:rFonts w:hint="eastAsia" w:ascii="仿宋_GB2312" w:hAnsi="仿宋_GB2312" w:eastAsia="仿宋_GB2312" w:cs="仿宋_GB2312"/>
          <w:color w:val="auto"/>
          <w:sz w:val="32"/>
          <w:szCs w:val="32"/>
          <w:cs/>
          <w:lang w:val="zh-CN"/>
        </w:rPr>
        <w:t>无</w:t>
      </w:r>
      <w:r>
        <w:rPr>
          <w:rFonts w:hint="eastAsia" w:ascii="仿宋_GB2312" w:hAnsi="仿宋_GB2312" w:eastAsia="仿宋_GB2312" w:cs="仿宋_GB2312"/>
          <w:color w:val="auto"/>
          <w:sz w:val="32"/>
          <w:szCs w:val="32"/>
          <w:lang w:val="zh-CN"/>
        </w:rPr>
        <w:t>效，不得</w:t>
      </w:r>
      <w:r>
        <w:rPr>
          <w:rFonts w:hint="eastAsia" w:ascii="仿宋_GB2312" w:hAnsi="仿宋_GB2312" w:eastAsia="仿宋_GB2312" w:cs="仿宋_GB2312"/>
          <w:color w:val="auto"/>
          <w:sz w:val="32"/>
          <w:szCs w:val="32"/>
          <w:cs/>
          <w:lang w:val="zh-CN"/>
        </w:rPr>
        <w:t>转让买卖</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1606" w:firstLineChars="502"/>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eastAsia="zh-TW"/>
        </w:rPr>
        <w:t xml:space="preserve"> 3.</w:t>
      </w:r>
      <w:r>
        <w:rPr>
          <w:rFonts w:hint="eastAsia" w:ascii="仿宋_GB2312" w:hAnsi="仿宋_GB2312" w:eastAsia="仿宋_GB2312" w:cs="仿宋_GB2312"/>
          <w:color w:val="auto"/>
          <w:sz w:val="32"/>
          <w:szCs w:val="32"/>
          <w:lang w:val="zh-CN"/>
        </w:rPr>
        <w:t>合同</w:t>
      </w:r>
      <w:r>
        <w:rPr>
          <w:rFonts w:hint="eastAsia" w:ascii="仿宋_GB2312" w:hAnsi="仿宋_GB2312" w:eastAsia="仿宋_GB2312" w:cs="仿宋_GB2312"/>
          <w:color w:val="auto"/>
          <w:sz w:val="32"/>
          <w:szCs w:val="32"/>
          <w:cs/>
          <w:lang w:val="zh-CN"/>
        </w:rPr>
        <w:t>签订</w:t>
      </w:r>
      <w:r>
        <w:rPr>
          <w:rFonts w:hint="eastAsia" w:ascii="仿宋_GB2312" w:hAnsi="仿宋_GB2312" w:eastAsia="仿宋_GB2312" w:cs="仿宋_GB2312"/>
          <w:color w:val="auto"/>
          <w:sz w:val="32"/>
          <w:szCs w:val="32"/>
          <w:lang w:val="zh-CN"/>
        </w:rPr>
        <w:t>后不得因法定代表人的</w:t>
      </w:r>
      <w:r>
        <w:rPr>
          <w:rFonts w:hint="eastAsia" w:ascii="仿宋_GB2312" w:hAnsi="仿宋_GB2312" w:eastAsia="仿宋_GB2312" w:cs="仿宋_GB2312"/>
          <w:color w:val="auto"/>
          <w:sz w:val="32"/>
          <w:szCs w:val="32"/>
          <w:cs/>
          <w:lang w:val="zh-CN"/>
        </w:rPr>
        <w:t>变动</w:t>
      </w:r>
      <w:r>
        <w:rPr>
          <w:rFonts w:hint="eastAsia" w:ascii="仿宋_GB2312" w:hAnsi="仿宋_GB2312" w:eastAsia="仿宋_GB2312" w:cs="仿宋_GB2312"/>
          <w:color w:val="auto"/>
          <w:sz w:val="32"/>
          <w:szCs w:val="32"/>
          <w:lang w:val="zh-CN"/>
        </w:rPr>
        <w:t>而</w:t>
      </w:r>
      <w:r>
        <w:rPr>
          <w:rFonts w:hint="eastAsia" w:ascii="仿宋_GB2312" w:hAnsi="仿宋_GB2312" w:eastAsia="仿宋_GB2312" w:cs="仿宋_GB2312"/>
          <w:color w:val="auto"/>
          <w:sz w:val="32"/>
          <w:szCs w:val="32"/>
          <w:cs/>
          <w:lang w:val="zh-CN"/>
        </w:rPr>
        <w:t>废</w:t>
      </w:r>
      <w:r>
        <w:rPr>
          <w:rFonts w:hint="eastAsia" w:ascii="仿宋_GB2312" w:hAnsi="仿宋_GB2312" w:eastAsia="仿宋_GB2312" w:cs="仿宋_GB2312"/>
          <w:color w:val="auto"/>
          <w:sz w:val="32"/>
          <w:szCs w:val="32"/>
          <w:lang w:val="zh-CN"/>
        </w:rPr>
        <w:t>止，要由法人</w:t>
      </w:r>
      <w:r>
        <w:rPr>
          <w:rFonts w:hint="eastAsia" w:ascii="仿宋_GB2312" w:hAnsi="仿宋_GB2312" w:eastAsia="仿宋_GB2312" w:cs="仿宋_GB2312"/>
          <w:color w:val="auto"/>
          <w:sz w:val="32"/>
          <w:szCs w:val="32"/>
          <w:cs/>
          <w:lang w:val="zh-CN"/>
        </w:rPr>
        <w:t>单</w:t>
      </w:r>
      <w:r>
        <w:rPr>
          <w:rFonts w:hint="eastAsia" w:ascii="仿宋_GB2312" w:hAnsi="仿宋_GB2312" w:eastAsia="仿宋_GB2312" w:cs="仿宋_GB2312"/>
          <w:color w:val="auto"/>
          <w:sz w:val="32"/>
          <w:szCs w:val="32"/>
          <w:lang w:val="zh-CN"/>
        </w:rPr>
        <w:t>位</w:t>
      </w:r>
    </w:p>
    <w:p>
      <w:pPr>
        <w:framePr w:wrap="auto" w:vAnchor="margin" w:hAnchor="text" w:yAlign="inline"/>
        <w:adjustRightInd w:val="0"/>
        <w:snapToGrid w:val="0"/>
        <w:spacing w:line="360" w:lineRule="auto"/>
        <w:ind w:firstLine="120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全</w:t>
      </w:r>
      <w:r>
        <w:rPr>
          <w:rFonts w:hint="eastAsia" w:ascii="仿宋_GB2312" w:hAnsi="仿宋_GB2312" w:eastAsia="仿宋_GB2312" w:cs="仿宋_GB2312"/>
          <w:color w:val="auto"/>
          <w:sz w:val="32"/>
          <w:szCs w:val="32"/>
          <w:cs/>
          <w:lang w:val="zh-CN"/>
        </w:rPr>
        <w:t>权负责</w:t>
      </w:r>
      <w:r>
        <w:rPr>
          <w:rFonts w:hint="eastAsia" w:ascii="仿宋_GB2312" w:hAnsi="仿宋_GB2312" w:eastAsia="仿宋_GB2312" w:cs="仿宋_GB2312"/>
          <w:color w:val="auto"/>
          <w:sz w:val="32"/>
          <w:szCs w:val="32"/>
          <w:lang w:val="zh-CN"/>
        </w:rPr>
        <w:t>，并</w:t>
      </w:r>
      <w:r>
        <w:rPr>
          <w:rFonts w:hint="eastAsia" w:ascii="仿宋_GB2312" w:hAnsi="仿宋_GB2312" w:eastAsia="仿宋_GB2312" w:cs="仿宋_GB2312"/>
          <w:color w:val="auto"/>
          <w:sz w:val="32"/>
          <w:szCs w:val="32"/>
          <w:cs/>
          <w:lang w:val="zh-CN"/>
        </w:rPr>
        <w:t>将</w:t>
      </w:r>
      <w:r>
        <w:rPr>
          <w:rFonts w:hint="eastAsia" w:ascii="仿宋_GB2312" w:hAnsi="仿宋_GB2312" w:eastAsia="仿宋_GB2312" w:cs="仿宋_GB2312"/>
          <w:color w:val="auto"/>
          <w:sz w:val="32"/>
          <w:szCs w:val="32"/>
          <w:lang w:val="zh-CN"/>
        </w:rPr>
        <w:t>此</w:t>
      </w:r>
      <w:r>
        <w:rPr>
          <w:rFonts w:hint="eastAsia" w:ascii="仿宋_GB2312" w:hAnsi="仿宋_GB2312" w:eastAsia="仿宋_GB2312" w:cs="仿宋_GB2312"/>
          <w:color w:val="auto"/>
          <w:sz w:val="32"/>
          <w:szCs w:val="32"/>
          <w:cs/>
          <w:lang w:val="zh-CN"/>
        </w:rPr>
        <w:t>证</w:t>
      </w:r>
      <w:r>
        <w:rPr>
          <w:rFonts w:hint="eastAsia" w:ascii="仿宋_GB2312" w:hAnsi="仿宋_GB2312" w:eastAsia="仿宋_GB2312" w:cs="仿宋_GB2312"/>
          <w:color w:val="auto"/>
          <w:sz w:val="32"/>
          <w:szCs w:val="32"/>
          <w:lang w:val="zh-CN"/>
        </w:rPr>
        <w:t>明</w:t>
      </w:r>
      <w:r>
        <w:rPr>
          <w:rFonts w:hint="eastAsia" w:ascii="仿宋_GB2312" w:hAnsi="仿宋_GB2312" w:eastAsia="仿宋_GB2312" w:cs="仿宋_GB2312"/>
          <w:color w:val="auto"/>
          <w:sz w:val="32"/>
          <w:szCs w:val="32"/>
          <w:cs/>
          <w:lang w:val="zh-CN"/>
        </w:rPr>
        <w:t>书</w:t>
      </w:r>
      <w:r>
        <w:rPr>
          <w:rFonts w:hint="eastAsia" w:ascii="仿宋_GB2312" w:hAnsi="仿宋_GB2312" w:eastAsia="仿宋_GB2312" w:cs="仿宋_GB2312"/>
          <w:color w:val="auto"/>
          <w:sz w:val="32"/>
          <w:szCs w:val="32"/>
          <w:lang w:val="zh-CN"/>
        </w:rPr>
        <w:t>作</w:t>
      </w:r>
      <w:r>
        <w:rPr>
          <w:rFonts w:hint="eastAsia" w:ascii="仿宋_GB2312" w:hAnsi="仿宋_GB2312" w:eastAsia="仿宋_GB2312" w:cs="仿宋_GB2312"/>
          <w:color w:val="auto"/>
          <w:sz w:val="32"/>
          <w:szCs w:val="32"/>
          <w:cs/>
          <w:lang w:val="zh-CN"/>
        </w:rPr>
        <w:t>为</w:t>
      </w:r>
      <w:r>
        <w:rPr>
          <w:rFonts w:hint="eastAsia" w:ascii="仿宋_GB2312" w:hAnsi="仿宋_GB2312" w:eastAsia="仿宋_GB2312" w:cs="仿宋_GB2312"/>
          <w:color w:val="auto"/>
          <w:sz w:val="32"/>
          <w:szCs w:val="32"/>
          <w:lang w:val="zh-CN"/>
        </w:rPr>
        <w:t>合同附件提交</w:t>
      </w:r>
      <w:r>
        <w:rPr>
          <w:rFonts w:hint="eastAsia" w:ascii="仿宋_GB2312" w:hAnsi="仿宋_GB2312" w:eastAsia="仿宋_GB2312" w:cs="仿宋_GB2312"/>
          <w:color w:val="auto"/>
          <w:sz w:val="32"/>
          <w:szCs w:val="32"/>
          <w:cs/>
          <w:lang w:val="zh-CN"/>
        </w:rPr>
        <w:t>对</w:t>
      </w:r>
      <w:r>
        <w:rPr>
          <w:rFonts w:hint="eastAsia" w:ascii="仿宋_GB2312" w:hAnsi="仿宋_GB2312" w:eastAsia="仿宋_GB2312" w:cs="仿宋_GB2312"/>
          <w:color w:val="auto"/>
          <w:sz w:val="32"/>
          <w:szCs w:val="32"/>
          <w:lang w:val="zh-CN"/>
        </w:rPr>
        <w:t>方。</w:t>
      </w:r>
    </w:p>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zh-CN"/>
        </w:rPr>
        <w:t>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附表三：</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法定代表人授权书格式</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本授权书声明：注册于</w:t>
      </w:r>
      <w:r>
        <w:rPr>
          <w:rFonts w:hint="eastAsia" w:ascii="仿宋_GB2312" w:hAnsi="仿宋_GB2312" w:eastAsia="仿宋_GB2312" w:cs="仿宋_GB2312"/>
          <w:color w:val="auto"/>
          <w:sz w:val="32"/>
          <w:szCs w:val="32"/>
          <w:u w:val="single"/>
        </w:rPr>
        <w:t>（地区的名称）</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（公司名称）</w:t>
      </w:r>
      <w:r>
        <w:rPr>
          <w:rFonts w:hint="eastAsia" w:ascii="仿宋_GB2312" w:hAnsi="仿宋_GB2312" w:eastAsia="仿宋_GB2312" w:cs="仿宋_GB2312"/>
          <w:color w:val="auto"/>
          <w:sz w:val="32"/>
          <w:szCs w:val="32"/>
        </w:rPr>
        <w:t>，在下面签字的法定代表人</w:t>
      </w:r>
      <w:r>
        <w:rPr>
          <w:rFonts w:hint="eastAsia" w:ascii="仿宋_GB2312" w:hAnsi="仿宋_GB2312" w:eastAsia="仿宋_GB2312" w:cs="仿宋_GB2312"/>
          <w:color w:val="auto"/>
          <w:sz w:val="32"/>
          <w:szCs w:val="32"/>
          <w:u w:val="single"/>
        </w:rPr>
        <w:t>（姓名、职务）</w:t>
      </w:r>
      <w:r>
        <w:rPr>
          <w:rFonts w:hint="eastAsia" w:ascii="仿宋_GB2312" w:hAnsi="仿宋_GB2312" w:eastAsia="仿宋_GB2312" w:cs="仿宋_GB2312"/>
          <w:color w:val="auto"/>
          <w:sz w:val="32"/>
          <w:szCs w:val="32"/>
        </w:rPr>
        <w:t>。代表本公司授权在下面签字的</w:t>
      </w:r>
      <w:r>
        <w:rPr>
          <w:rFonts w:hint="eastAsia" w:ascii="仿宋_GB2312" w:hAnsi="仿宋_GB2312" w:eastAsia="仿宋_GB2312" w:cs="仿宋_GB2312"/>
          <w:color w:val="auto"/>
          <w:sz w:val="32"/>
          <w:szCs w:val="32"/>
          <w:u w:val="single"/>
        </w:rPr>
        <w:t>（被授权人的姓名、职务、身份证号）</w:t>
      </w:r>
      <w:r>
        <w:rPr>
          <w:rFonts w:hint="eastAsia" w:ascii="仿宋_GB2312" w:hAnsi="仿宋_GB2312" w:eastAsia="仿宋_GB2312" w:cs="仿宋_GB2312"/>
          <w:color w:val="auto"/>
          <w:sz w:val="32"/>
          <w:szCs w:val="32"/>
        </w:rPr>
        <w:t>为本公司的合法代理人，就</w:t>
      </w:r>
      <w:r>
        <w:rPr>
          <w:rFonts w:hint="eastAsia" w:ascii="仿宋_GB2312" w:hAnsi="仿宋_GB2312" w:eastAsia="仿宋_GB2312" w:cs="仿宋_GB2312"/>
          <w:color w:val="auto"/>
          <w:sz w:val="32"/>
          <w:szCs w:val="32"/>
          <w:u w:val="single"/>
        </w:rPr>
        <w:t>（项目名称/编号）</w:t>
      </w:r>
      <w:r>
        <w:rPr>
          <w:rFonts w:hint="eastAsia" w:ascii="仿宋_GB2312" w:hAnsi="仿宋_GB2312" w:eastAsia="仿宋_GB2312" w:cs="仿宋_GB2312"/>
          <w:color w:val="auto"/>
          <w:sz w:val="32"/>
          <w:szCs w:val="32"/>
        </w:rPr>
        <w:t>的投标，以本公司的名义处理一切与之有关的事务。</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本授权书于</w:t>
      </w:r>
      <w:r>
        <w:rPr>
          <w:rFonts w:hint="eastAsia" w:ascii="仿宋_GB2312" w:hAnsi="仿宋_GB2312" w:eastAsia="仿宋_GB2312" w:cs="仿宋_GB2312"/>
          <w:color w:val="auto"/>
          <w:sz w:val="32"/>
          <w:szCs w:val="32"/>
          <w:u w:val="single"/>
        </w:rPr>
        <w:t xml:space="preserve">   年   月   </w:t>
      </w:r>
      <w:r>
        <w:rPr>
          <w:rFonts w:hint="eastAsia" w:ascii="仿宋_GB2312" w:hAnsi="仿宋_GB2312" w:eastAsia="仿宋_GB2312" w:cs="仿宋_GB2312"/>
          <w:color w:val="auto"/>
          <w:sz w:val="32"/>
          <w:szCs w:val="32"/>
        </w:rPr>
        <w:t>日签字生效，特此声明。</w:t>
      </w:r>
    </w:p>
    <w:p>
      <w:pPr>
        <w:framePr w:wrap="auto" w:vAnchor="margin" w:hAnchor="text" w:yAlign="inline"/>
        <w:spacing w:line="360" w:lineRule="auto"/>
        <w:rPr>
          <w:rFonts w:hint="eastAsia" w:ascii="仿宋_GB2312" w:hAnsi="仿宋_GB2312" w:eastAsia="仿宋_GB2312" w:cs="仿宋_GB2312"/>
          <w:color w:val="auto"/>
          <w:sz w:val="32"/>
          <w:szCs w:val="32"/>
        </w:rPr>
      </w:pP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供应商盖章（公章）：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法定代表人（签字或盖章）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被授权人（签字或盖章）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p>
    <w:tbl>
      <w:tblPr>
        <w:tblStyle w:val="20"/>
        <w:tblW w:w="4961" w:type="dxa"/>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vAlign w:val="center"/>
          </w:tcPr>
          <w:p>
            <w:pPr>
              <w:framePr w:wrap="auto" w:vAnchor="margin" w:hAnchor="text" w:yAlign="inline"/>
              <w:spacing w:line="36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法定代表人身份证正、反面</w:t>
            </w:r>
          </w:p>
        </w:tc>
      </w:tr>
    </w:tbl>
    <w:p>
      <w:pPr>
        <w:framePr w:wrap="auto" w:vAnchor="margin" w:hAnchor="text" w:yAlign="inline"/>
        <w:spacing w:line="360" w:lineRule="auto"/>
        <w:rPr>
          <w:rFonts w:hint="eastAsia" w:ascii="仿宋_GB2312" w:hAnsi="仿宋_GB2312" w:eastAsia="仿宋_GB2312" w:cs="仿宋_GB2312"/>
          <w:color w:val="auto"/>
          <w:sz w:val="32"/>
          <w:szCs w:val="32"/>
        </w:rPr>
      </w:pPr>
    </w:p>
    <w:tbl>
      <w:tblPr>
        <w:tblStyle w:val="20"/>
        <w:tblW w:w="4961" w:type="dxa"/>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vAlign w:val="center"/>
          </w:tcPr>
          <w:p>
            <w:pPr>
              <w:framePr w:wrap="auto" w:vAnchor="margin" w:hAnchor="text" w:yAlign="inline"/>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被授权人身份证正、反面</w:t>
            </w:r>
          </w:p>
        </w:tc>
      </w:tr>
    </w:tbl>
    <w:p>
      <w:pPr>
        <w:framePr w:wrap="auto" w:vAnchor="margin" w:hAnchor="text" w:yAlign="inline"/>
        <w:spacing w:line="360" w:lineRule="auto"/>
        <w:rPr>
          <w:rFonts w:hint="eastAsia" w:ascii="仿宋_GB2312" w:hAnsi="仿宋_GB2312" w:eastAsia="仿宋_GB2312" w:cs="仿宋_GB2312"/>
          <w:color w:val="auto"/>
          <w:sz w:val="32"/>
          <w:szCs w:val="32"/>
        </w:rPr>
      </w:pPr>
    </w:p>
    <w:p>
      <w:pPr>
        <w:framePr w:wrap="auto" w:vAnchor="margin" w:hAnchor="text" w:yAlign="inline"/>
        <w:spacing w:line="360" w:lineRule="auto"/>
        <w:ind w:right="12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注：法定代表人本人作为公司代理人前来参加投标的供应商，可不提供此项证明文件。</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附表四：              </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关于资格的声明函</w:t>
      </w:r>
    </w:p>
    <w:p>
      <w:pPr>
        <w:framePr w:wrap="auto" w:vAnchor="margin" w:hAnchor="text" w:yAlign="inline"/>
        <w:spacing w:line="480" w:lineRule="auto"/>
        <w:ind w:left="-19" w:leftChars="-9" w:firstLine="16" w:firstLineChars="5"/>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致xxxx：</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关于贵方</w:t>
      </w:r>
      <w:r>
        <w:rPr>
          <w:rFonts w:hint="eastAsia" w:ascii="仿宋_GB2312" w:hAnsi="仿宋_GB2312" w:eastAsia="仿宋_GB2312" w:cs="仿宋_GB2312"/>
          <w:color w:val="auto"/>
          <w:sz w:val="32"/>
          <w:szCs w:val="32"/>
          <w:u w:val="single"/>
        </w:rPr>
        <w:t xml:space="preserve">   年   月   日</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u w:val="single"/>
        </w:rPr>
        <w:t>（项目编号）</w:t>
      </w:r>
      <w:r>
        <w:rPr>
          <w:rFonts w:hint="eastAsia" w:ascii="仿宋_GB2312" w:hAnsi="仿宋_GB2312" w:eastAsia="仿宋_GB2312" w:cs="仿宋_GB2312"/>
          <w:color w:val="auto"/>
          <w:sz w:val="32"/>
          <w:szCs w:val="32"/>
        </w:rPr>
        <w:t>招标邀请函“</w:t>
      </w:r>
      <w:r>
        <w:rPr>
          <w:rFonts w:hint="eastAsia" w:ascii="仿宋_GB2312" w:hAnsi="仿宋_GB2312" w:eastAsia="仿宋_GB2312" w:cs="仿宋_GB2312"/>
          <w:color w:val="auto"/>
          <w:sz w:val="32"/>
          <w:szCs w:val="32"/>
          <w:u w:val="single"/>
        </w:rPr>
        <w:t>（项目名称）</w:t>
      </w:r>
      <w:r>
        <w:rPr>
          <w:rFonts w:hint="eastAsia" w:ascii="仿宋_GB2312" w:hAnsi="仿宋_GB2312" w:eastAsia="仿宋_GB2312" w:cs="仿宋_GB2312"/>
          <w:color w:val="auto"/>
          <w:sz w:val="32"/>
          <w:szCs w:val="32"/>
        </w:rPr>
        <w:t>”的项目，本签字人愿意参加投标，并有能力提供</w:t>
      </w:r>
      <w:r>
        <w:rPr>
          <w:rFonts w:hint="eastAsia" w:ascii="仿宋_GB2312" w:hAnsi="仿宋_GB2312" w:eastAsia="仿宋_GB2312" w:cs="仿宋_GB2312"/>
          <w:color w:val="auto"/>
          <w:sz w:val="32"/>
          <w:szCs w:val="32"/>
          <w:u w:val="single"/>
        </w:rPr>
        <w:t>（项目名称）</w:t>
      </w:r>
      <w:r>
        <w:rPr>
          <w:rFonts w:hint="eastAsia" w:ascii="仿宋_GB2312" w:hAnsi="仿宋_GB2312" w:eastAsia="仿宋_GB2312" w:cs="仿宋_GB2312"/>
          <w:color w:val="auto"/>
          <w:sz w:val="32"/>
          <w:szCs w:val="32"/>
        </w:rPr>
        <w:t>项目中的货物，并保证所提交的所有文件和说明是真实和准确的。</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u w:val="single"/>
        </w:rPr>
        <w:t xml:space="preserve">  供应商名称      </w:t>
      </w:r>
      <w:r>
        <w:rPr>
          <w:rFonts w:hint="eastAsia" w:ascii="仿宋_GB2312" w:hAnsi="仿宋_GB2312" w:eastAsia="仿宋_GB2312" w:cs="仿宋_GB2312"/>
          <w:color w:val="auto"/>
          <w:sz w:val="32"/>
          <w:szCs w:val="32"/>
        </w:rPr>
        <w:t xml:space="preserve">       签字人姓名、职务：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授权签署本资格文件人：</w:t>
      </w:r>
      <w:r>
        <w:rPr>
          <w:rFonts w:hint="eastAsia" w:ascii="仿宋_GB2312" w:hAnsi="仿宋_GB2312" w:eastAsia="仿宋_GB2312" w:cs="仿宋_GB2312"/>
          <w:color w:val="auto"/>
          <w:sz w:val="32"/>
          <w:szCs w:val="32"/>
          <w:u w:val="single"/>
        </w:rPr>
        <w:t xml:space="preserve">授权人姓名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传真：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邮编：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ind w:firstLine="5760" w:firstLineChars="18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供应商盖章（公章）：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framePr w:wrap="auto" w:vAnchor="margin" w:hAnchor="text" w:yAlign="inline"/>
        <w:spacing w:line="360" w:lineRule="auto"/>
        <w:jc w:val="right"/>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pStyle w:val="19"/>
        <w:ind w:left="0" w:leftChars="0" w:firstLine="0" w:firstLineChars="0"/>
        <w:rPr>
          <w:rFonts w:hint="eastAsia" w:ascii="仿宋_GB2312" w:hAnsi="仿宋_GB2312" w:eastAsia="仿宋_GB2312" w:cs="仿宋_GB2312"/>
          <w:b/>
          <w:color w:val="auto"/>
          <w:sz w:val="32"/>
          <w:szCs w:val="32"/>
        </w:rPr>
      </w:pPr>
    </w:p>
    <w:p>
      <w:pPr>
        <w:pStyle w:val="19"/>
        <w:ind w:left="0" w:leftChars="0" w:firstLine="0" w:firstLineChars="0"/>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附表五：</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（供应商）《反商业贿赂承诺书》</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我公司承诺在（项目名称、项目编号）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单位盖章：</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公司法定代表人：（盖章或签字）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法定代表人授权代表：（盖章或签字）</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日期：   年   月    日</w:t>
      </w: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ind w:left="0" w:leftChars="0" w:firstLine="0" w:firstLineChars="0"/>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附表六：</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服务承诺(服务目标、拟采取的服务措施作出承诺)</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p>
    <w:p>
      <w:pPr>
        <w:framePr w:wrap="auto" w:vAnchor="margin" w:hAnchor="text" w:yAlign="inline"/>
        <w:spacing w:line="360" w:lineRule="auto"/>
        <w:ind w:firstLine="7040" w:firstLineChars="2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单位盖章：</w:t>
      </w:r>
    </w:p>
    <w:p>
      <w:pPr>
        <w:framePr w:wrap="auto" w:vAnchor="margin" w:hAnchor="text" w:yAlign="inline"/>
        <w:spacing w:line="360" w:lineRule="auto"/>
        <w:ind w:firstLine="640" w:firstLineChars="200"/>
        <w:jc w:val="right"/>
        <w:rPr>
          <w:rFonts w:hint="eastAsia" w:ascii="仿宋_GB2312" w:hAnsi="仿宋_GB2312" w:eastAsia="仿宋_GB2312" w:cs="仿宋_GB2312"/>
          <w:color w:val="auto"/>
          <w:sz w:val="32"/>
          <w:szCs w:val="32"/>
        </w:rPr>
      </w:pPr>
    </w:p>
    <w:p>
      <w:pPr>
        <w:framePr w:wrap="auto" w:vAnchor="margin" w:hAnchor="text" w:yAlign="inline"/>
        <w:spacing w:line="360" w:lineRule="auto"/>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投标单位法定代表人盖章或签字：</w:t>
      </w: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ind w:left="0" w:leftChars="0" w:firstLine="0" w:firstLineChars="0"/>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附表七：</w:t>
      </w:r>
    </w:p>
    <w:p>
      <w:pPr>
        <w:framePr w:wrap="auto" w:vAnchor="margin" w:hAnchor="text" w:yAlign="inline"/>
        <w:spacing w:line="360" w:lineRule="auto"/>
        <w:jc w:val="both"/>
        <w:rPr>
          <w:rFonts w:hint="eastAsia" w:ascii="仿宋_GB2312" w:hAnsi="仿宋_GB2312" w:eastAsia="仿宋_GB2312" w:cs="仿宋_GB2312"/>
          <w:b/>
          <w:color w:val="auto"/>
          <w:sz w:val="32"/>
          <w:szCs w:val="32"/>
        </w:rPr>
      </w:pPr>
    </w:p>
    <w:p>
      <w:pPr>
        <w:framePr w:wrap="auto" w:vAnchor="margin" w:hAnchor="text" w:yAlign="inline"/>
        <w:spacing w:line="340" w:lineRule="exact"/>
        <w:ind w:right="460" w:rightChars="219" w:firstLine="3534" w:firstLineChars="11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业 绩 一 览 表</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p>
    <w:tbl>
      <w:tblPr>
        <w:tblStyle w:val="20"/>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序号</w:t>
            </w:r>
          </w:p>
        </w:tc>
        <w:tc>
          <w:tcPr>
            <w:tcW w:w="2068"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使用单位全称</w:t>
            </w:r>
          </w:p>
        </w:tc>
        <w:tc>
          <w:tcPr>
            <w:tcW w:w="1419"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合同金额</w:t>
            </w:r>
          </w:p>
        </w:tc>
        <w:tc>
          <w:tcPr>
            <w:tcW w:w="1419"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完成时间</w:t>
            </w:r>
          </w:p>
        </w:tc>
        <w:tc>
          <w:tcPr>
            <w:tcW w:w="1369"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联系人</w:t>
            </w:r>
          </w:p>
        </w:tc>
        <w:tc>
          <w:tcPr>
            <w:tcW w:w="2185"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u w:val="single"/>
              </w:rPr>
            </w:pPr>
            <w:r>
              <w:rPr>
                <w:rFonts w:hint="eastAsia" w:ascii="仿宋_GB2312" w:hAnsi="仿宋_GB2312" w:eastAsia="仿宋_GB2312" w:cs="仿宋_GB2312"/>
                <w:b/>
                <w:bCs/>
                <w:color w:val="auto"/>
                <w:sz w:val="32"/>
                <w:szCs w:val="32"/>
              </w:rPr>
              <w:t>…</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bl>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备注：1、投标人应填写与招标项目相一致的销售业绩，填写与本项目不一致或相类似的业绩无效。所有业绩应提供《买卖合同》或中标通知书复印件并附在此业绩表之后。</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2、业绩不实而造成的废标，由投标人自行承担</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3、此表如填写不下，可另附页。</w:t>
      </w:r>
    </w:p>
    <w:p>
      <w:pPr>
        <w:framePr w:wrap="auto" w:vAnchor="margin" w:hAnchor="text" w:yAlign="inline"/>
        <w:spacing w:line="360" w:lineRule="auto"/>
        <w:ind w:firstLine="7360" w:firstLineChars="2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 （签字） </w:t>
      </w:r>
    </w:p>
    <w:p>
      <w:pPr>
        <w:framePr w:wrap="auto" w:vAnchor="margin" w:hAnchor="text" w:yAlign="inline"/>
        <w:spacing w:line="360" w:lineRule="auto"/>
        <w:ind w:firstLine="7360" w:firstLineChars="2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或</w:t>
      </w:r>
    </w:p>
    <w:p>
      <w:pPr>
        <w:framePr w:wrap="auto" w:vAnchor="margin" w:hAnchor="text" w:yAlign="inline"/>
        <w:spacing w:line="360" w:lineRule="auto"/>
        <w:ind w:firstLine="7360" w:firstLineChars="2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全权代理人： （签字）        </w:t>
      </w:r>
    </w:p>
    <w:p>
      <w:pPr>
        <w:framePr w:wrap="auto" w:vAnchor="margin" w:hAnchor="text" w:yAlign="inline"/>
        <w:spacing w:line="360" w:lineRule="auto"/>
        <w:ind w:firstLine="6080" w:firstLineChars="19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签署日期：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pStyle w:val="6"/>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framePr w:wrap="auto" w:vAnchor="margin" w:hAnchor="text" w:yAlign="inline"/>
        <w:rPr>
          <w:rFonts w:hint="eastAsia"/>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附表八：</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投标报价一览表</w:t>
      </w:r>
    </w:p>
    <w:p>
      <w:pPr>
        <w:pStyle w:val="33"/>
        <w:framePr w:wrap="auto" w:vAnchor="margin" w:hAnchor="text" w:yAlign="inline"/>
        <w:ind w:left="343" w:leftChars="-86" w:hanging="524" w:hangingChars="163"/>
        <w:jc w:val="center"/>
        <w:outlineLvl w:val="0"/>
        <w:rPr>
          <w:rFonts w:hint="eastAsia" w:ascii="仿宋_GB2312" w:hAnsi="仿宋_GB2312" w:eastAsia="仿宋_GB2312" w:cs="仿宋_GB2312"/>
          <w:b/>
          <w:color w:val="auto"/>
          <w:kern w:val="2"/>
          <w:sz w:val="32"/>
          <w:szCs w:val="32"/>
        </w:rPr>
      </w:pPr>
      <w:r>
        <w:rPr>
          <w:rFonts w:hint="eastAsia" w:ascii="仿宋_GB2312" w:hAnsi="仿宋_GB2312" w:eastAsia="仿宋_GB2312" w:cs="仿宋_GB2312"/>
          <w:b/>
          <w:color w:val="auto"/>
          <w:kern w:val="2"/>
          <w:sz w:val="32"/>
          <w:szCs w:val="32"/>
        </w:rPr>
        <w:t>开标一览表</w:t>
      </w: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供应商名称：           项目编号：</w:t>
      </w:r>
      <w:r>
        <w:rPr>
          <w:rFonts w:hint="eastAsia" w:ascii="仿宋_GB2312" w:hAnsi="仿宋_GB2312" w:eastAsia="仿宋_GB2312" w:cs="仿宋_GB2312"/>
          <w:color w:val="auto"/>
          <w:kern w:val="2"/>
          <w:sz w:val="32"/>
          <w:szCs w:val="32"/>
          <w:lang w:val="en-US" w:eastAsia="zh-CN"/>
        </w:rPr>
        <w:t xml:space="preserve">           报价单位：人民币/元</w:t>
      </w:r>
    </w:p>
    <w:tbl>
      <w:tblPr>
        <w:tblStyle w:val="21"/>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noWrap w:val="0"/>
            <w:vAlign w:val="center"/>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商品名称</w:t>
            </w:r>
          </w:p>
        </w:tc>
        <w:tc>
          <w:tcPr>
            <w:tcW w:w="7260" w:type="dxa"/>
            <w:noWrap w:val="0"/>
            <w:vAlign w:val="center"/>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vMerge w:val="restart"/>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rPr>
            </w:pPr>
          </w:p>
        </w:tc>
        <w:tc>
          <w:tcPr>
            <w:tcW w:w="7260" w:type="dxa"/>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小写：¥</w:t>
            </w:r>
            <w:r>
              <w:rPr>
                <w:rFonts w:hint="eastAsia" w:ascii="仿宋_GB2312" w:hAnsi="仿宋_GB2312" w:eastAsia="仿宋_GB2312" w:cs="仿宋_GB2312"/>
                <w:color w:val="auto"/>
                <w:sz w:val="32"/>
                <w:szCs w:val="32"/>
                <w:vertAlign w:val="baseli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vMerge w:val="continue"/>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rPr>
            </w:pPr>
          </w:p>
        </w:tc>
        <w:tc>
          <w:tcPr>
            <w:tcW w:w="7260" w:type="dxa"/>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大写：</w:t>
            </w:r>
          </w:p>
        </w:tc>
      </w:tr>
    </w:tbl>
    <w:p>
      <w:pPr>
        <w:pStyle w:val="33"/>
        <w:framePr w:wrap="auto" w:vAnchor="margin" w:hAnchor="text" w:yAlign="inline"/>
        <w:spacing w:line="3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注：投标报价总价已包括与本次所报产品和伴随服务相关的所有税费以及投标商为完成本项目所发生的一切费用。本表中的投标报价总价金额与投标分项报价表中的总价金额一致。</w:t>
      </w:r>
    </w:p>
    <w:p>
      <w:pPr>
        <w:pStyle w:val="33"/>
        <w:framePr w:wrap="auto" w:vAnchor="margin" w:hAnchor="text" w:yAlign="inline"/>
        <w:spacing w:line="380" w:lineRule="exac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投标商名称（加盖公章）</w:t>
      </w:r>
      <w:r>
        <w:rPr>
          <w:rFonts w:hint="eastAsia" w:ascii="仿宋_GB2312" w:hAnsi="仿宋_GB2312" w:eastAsia="仿宋_GB2312" w:cs="仿宋_GB2312"/>
          <w:color w:val="auto"/>
          <w:kern w:val="2"/>
          <w:sz w:val="32"/>
          <w:szCs w:val="32"/>
        </w:rPr>
        <w:t>：</w:t>
      </w:r>
    </w:p>
    <w:p>
      <w:pPr>
        <w:pStyle w:val="33"/>
        <w:framePr w:wrap="auto" w:vAnchor="margin" w:hAnchor="text" w:yAlign="inline"/>
        <w:spacing w:line="380" w:lineRule="exac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投标单位法定代表人盖章或签字：</w:t>
      </w:r>
    </w:p>
    <w:p>
      <w:pPr>
        <w:pStyle w:val="33"/>
        <w:framePr w:wrap="auto" w:vAnchor="margin" w:hAnchor="text" w:yAlign="inline"/>
        <w:spacing w:line="380" w:lineRule="exac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日期：年</w:t>
      </w:r>
      <w:r>
        <w:rPr>
          <w:rFonts w:hint="eastAsia" w:ascii="仿宋_GB2312" w:hAnsi="仿宋_GB2312" w:eastAsia="仿宋_GB2312" w:cs="仿宋_GB2312"/>
          <w:color w:val="auto"/>
          <w:kern w:val="2"/>
          <w:sz w:val="32"/>
          <w:szCs w:val="32"/>
          <w:lang w:val="en-US" w:eastAsia="zh-CN"/>
        </w:rPr>
        <w:t xml:space="preserve"> 月 日</w:t>
      </w:r>
    </w:p>
    <w:p>
      <w:pPr>
        <w:pStyle w:val="33"/>
        <w:framePr w:wrap="auto" w:vAnchor="margin" w:hAnchor="text" w:yAlign="inline"/>
        <w:spacing w:line="400" w:lineRule="exact"/>
        <w:jc w:val="right"/>
        <w:rPr>
          <w:rFonts w:hint="eastAsia" w:ascii="仿宋_GB2312" w:hAnsi="仿宋_GB2312" w:eastAsia="仿宋_GB2312" w:cs="仿宋_GB2312"/>
          <w:b/>
          <w:color w:val="auto"/>
          <w:sz w:val="32"/>
          <w:szCs w:val="32"/>
        </w:rPr>
      </w:pPr>
    </w:p>
    <w:p>
      <w:pPr>
        <w:pStyle w:val="33"/>
        <w:framePr w:wrap="auto" w:vAnchor="margin" w:hAnchor="text" w:yAlign="inline"/>
        <w:spacing w:line="400" w:lineRule="exact"/>
        <w:jc w:val="both"/>
        <w:rPr>
          <w:rFonts w:hint="eastAsia" w:ascii="仿宋_GB2312" w:hAnsi="仿宋_GB2312" w:eastAsia="仿宋_GB2312" w:cs="仿宋_GB2312"/>
          <w:b/>
          <w:color w:val="auto"/>
          <w:sz w:val="32"/>
          <w:szCs w:val="32"/>
        </w:rPr>
      </w:pPr>
    </w:p>
    <w:p>
      <w:pPr>
        <w:framePr w:wrap="auto" w:vAnchor="margin" w:hAnchor="text" w:yAlign="inline"/>
        <w:spacing w:line="340" w:lineRule="exact"/>
        <w:ind w:right="460" w:rightChars="219"/>
        <w:rPr>
          <w:rFonts w:hint="eastAsia" w:ascii="仿宋_GB2312" w:hAnsi="仿宋_GB2312" w:eastAsia="仿宋_GB2312" w:cs="仿宋_GB2312"/>
          <w:b/>
          <w:bCs/>
          <w:color w:val="auto"/>
          <w:sz w:val="32"/>
          <w:szCs w:val="32"/>
        </w:rPr>
      </w:pPr>
    </w:p>
    <w:p>
      <w:pPr>
        <w:framePr w:wrap="auto" w:vAnchor="margin" w:hAnchor="text" w:yAlign="inline"/>
        <w:spacing w:line="340" w:lineRule="exact"/>
        <w:ind w:right="460" w:rightChars="219"/>
        <w:jc w:val="center"/>
        <w:rPr>
          <w:rFonts w:hint="eastAsia" w:ascii="仿宋_GB2312" w:hAnsi="仿宋_GB2312" w:eastAsia="仿宋_GB2312" w:cs="仿宋_GB2312"/>
          <w:b/>
          <w:bCs/>
          <w:color w:val="auto"/>
          <w:sz w:val="32"/>
          <w:szCs w:val="32"/>
        </w:rPr>
      </w:pPr>
    </w:p>
    <w:p>
      <w:pPr>
        <w:framePr w:wrap="auto" w:vAnchor="margin" w:hAnchor="text" w:yAlign="inline"/>
        <w:spacing w:line="340" w:lineRule="exact"/>
        <w:ind w:right="460" w:rightChars="219"/>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分项报价表</w:t>
      </w:r>
    </w:p>
    <w:p>
      <w:pPr>
        <w:framePr w:wrap="auto" w:vAnchor="margin" w:hAnchor="text" w:yAlign="inline"/>
        <w:spacing w:line="340" w:lineRule="exact"/>
        <w:ind w:right="460" w:rightChars="219" w:firstLine="600"/>
        <w:jc w:val="center"/>
        <w:rPr>
          <w:rFonts w:hint="eastAsia" w:ascii="仿宋_GB2312" w:hAnsi="仿宋_GB2312" w:eastAsia="仿宋_GB2312" w:cs="仿宋_GB2312"/>
          <w:b/>
          <w:bCs/>
          <w:color w:val="auto"/>
          <w:sz w:val="32"/>
          <w:szCs w:val="32"/>
        </w:rPr>
      </w:pPr>
    </w:p>
    <w:tbl>
      <w:tblPr>
        <w:tblStyle w:val="20"/>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168"/>
        <w:gridCol w:w="1559"/>
        <w:gridCol w:w="1171"/>
        <w:gridCol w:w="1209"/>
        <w:gridCol w:w="1258"/>
        <w:gridCol w:w="133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产品名称</w:t>
            </w: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品牌型号</w:t>
            </w:r>
          </w:p>
        </w:tc>
        <w:tc>
          <w:tcPr>
            <w:tcW w:w="1171" w:type="dxa"/>
            <w:noWrap w:val="0"/>
            <w:vAlign w:val="center"/>
          </w:tcPr>
          <w:p>
            <w:pPr>
              <w:framePr w:wrap="auto" w:vAnchor="margin" w:hAnchor="text" w:yAlign="inline"/>
              <w:spacing w:line="360" w:lineRule="auto"/>
              <w:ind w:left="35" w:leftChars="-52" w:right="-76" w:rightChars="-36" w:hanging="144" w:hangingChars="45"/>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数量</w:t>
            </w:r>
          </w:p>
        </w:tc>
        <w:tc>
          <w:tcPr>
            <w:tcW w:w="1209"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单价（元）</w:t>
            </w:r>
          </w:p>
        </w:tc>
        <w:tc>
          <w:tcPr>
            <w:tcW w:w="1258"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合价（元）</w:t>
            </w:r>
          </w:p>
        </w:tc>
        <w:tc>
          <w:tcPr>
            <w:tcW w:w="1334"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规格</w:t>
            </w:r>
          </w:p>
        </w:tc>
        <w:tc>
          <w:tcPr>
            <w:tcW w:w="1031"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7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09"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58"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334"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03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7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09"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58"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334"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03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7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09"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58"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334"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03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r>
    </w:tbl>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注：</w:t>
      </w:r>
      <w:r>
        <w:rPr>
          <w:rFonts w:hint="eastAsia" w:ascii="仿宋_GB2312" w:hAnsi="仿宋_GB2312" w:eastAsia="仿宋_GB2312" w:cs="仿宋_GB2312"/>
          <w:color w:val="auto"/>
          <w:kern w:val="2"/>
          <w:sz w:val="32"/>
          <w:szCs w:val="32"/>
          <w:lang w:val="en-US" w:eastAsia="zh-CN"/>
        </w:rPr>
        <w:t>1.各项商品详细内容应详细描述。</w:t>
      </w:r>
    </w:p>
    <w:p>
      <w:pPr>
        <w:pStyle w:val="33"/>
        <w:framePr w:wrap="auto" w:vAnchor="margin" w:hAnchor="text" w:yAlign="inline"/>
        <w:numPr>
          <w:ilvl w:val="0"/>
          <w:numId w:val="0"/>
        </w:numPr>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2.如果按单价计算的结果与总价不一致，以单价为准修正总价。</w:t>
      </w:r>
    </w:p>
    <w:p>
      <w:pPr>
        <w:pStyle w:val="33"/>
        <w:framePr w:wrap="auto" w:vAnchor="margin" w:hAnchor="text" w:yAlign="inline"/>
        <w:numPr>
          <w:ilvl w:val="0"/>
          <w:numId w:val="0"/>
        </w:numPr>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3.如果不提供详细分项报价将视为没有进行实质性响应。</w:t>
      </w:r>
    </w:p>
    <w:p>
      <w:pPr>
        <w:pStyle w:val="33"/>
        <w:framePr w:wrap="auto" w:vAnchor="margin" w:hAnchor="text" w:yAlign="inline"/>
        <w:numPr>
          <w:ilvl w:val="0"/>
          <w:numId w:val="0"/>
        </w:numPr>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4.上述各项的详细分项报价，应另页描述。</w:t>
      </w:r>
    </w:p>
    <w:p>
      <w:pPr>
        <w:framePr w:wrap="auto" w:vAnchor="margin" w:hAnchor="text" w:yAlign="inline"/>
        <w:spacing w:line="380" w:lineRule="exact"/>
        <w:rPr>
          <w:rFonts w:hint="eastAsia" w:ascii="仿宋_GB2312" w:hAnsi="仿宋_GB2312" w:eastAsia="仿宋_GB2312" w:cs="仿宋_GB2312"/>
          <w:color w:val="auto"/>
          <w:sz w:val="32"/>
          <w:szCs w:val="32"/>
        </w:rPr>
      </w:pP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投标商名称（单位公章）</w:t>
      </w:r>
      <w:r>
        <w:rPr>
          <w:rFonts w:hint="eastAsia" w:ascii="仿宋_GB2312" w:hAnsi="仿宋_GB2312" w:eastAsia="仿宋_GB2312" w:cs="仿宋_GB2312"/>
          <w:color w:val="auto"/>
          <w:kern w:val="2"/>
          <w:sz w:val="32"/>
          <w:szCs w:val="32"/>
        </w:rPr>
        <w:t>：</w:t>
      </w: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法定代表人或</w:t>
      </w:r>
      <w:r>
        <w:rPr>
          <w:rFonts w:hint="eastAsia" w:ascii="仿宋_GB2312" w:hAnsi="仿宋_GB2312" w:eastAsia="仿宋_GB2312" w:cs="仿宋_GB2312"/>
          <w:color w:val="auto"/>
          <w:kern w:val="2"/>
          <w:sz w:val="32"/>
          <w:szCs w:val="32"/>
          <w:lang w:eastAsia="zh-CN"/>
        </w:rPr>
        <w:t>委托代理人</w:t>
      </w:r>
      <w:r>
        <w:rPr>
          <w:rFonts w:hint="eastAsia" w:ascii="仿宋_GB2312" w:hAnsi="仿宋_GB2312" w:eastAsia="仿宋_GB2312" w:cs="仿宋_GB2312"/>
          <w:color w:val="auto"/>
          <w:kern w:val="2"/>
          <w:sz w:val="32"/>
          <w:szCs w:val="32"/>
        </w:rPr>
        <w:t>签字：</w:t>
      </w: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日期：年</w:t>
      </w:r>
      <w:r>
        <w:rPr>
          <w:rFonts w:hint="eastAsia" w:ascii="仿宋_GB2312" w:hAnsi="仿宋_GB2312" w:eastAsia="仿宋_GB2312" w:cs="仿宋_GB2312"/>
          <w:color w:val="auto"/>
          <w:kern w:val="2"/>
          <w:sz w:val="32"/>
          <w:szCs w:val="32"/>
          <w:lang w:val="en-US" w:eastAsia="zh-CN"/>
        </w:rPr>
        <w:t xml:space="preserve"> 月 日</w:t>
      </w:r>
    </w:p>
    <w:p>
      <w:pPr>
        <w:framePr w:wrap="auto" w:vAnchor="margin" w:hAnchor="text" w:yAlign="inline"/>
        <w:spacing w:line="360" w:lineRule="auto"/>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附表九：</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p>
    <w:p>
      <w:pPr>
        <w:framePr w:wrap="auto" w:vAnchor="margin" w:hAnchor="text" w:yAlign="inline"/>
        <w:spacing w:line="380" w:lineRule="exact"/>
        <w:jc w:val="center"/>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技术参数、功能偏离</w:t>
      </w:r>
      <w:r>
        <w:rPr>
          <w:rFonts w:hint="eastAsia" w:ascii="仿宋_GB2312" w:hAnsi="仿宋_GB2312" w:eastAsia="仿宋_GB2312" w:cs="仿宋_GB2312"/>
          <w:b/>
          <w:color w:val="auto"/>
          <w:sz w:val="32"/>
          <w:szCs w:val="32"/>
        </w:rPr>
        <w:t>表</w:t>
      </w:r>
    </w:p>
    <w:p>
      <w:pPr>
        <w:framePr w:wrap="auto" w:vAnchor="margin" w:hAnchor="text" w:yAlign="inline"/>
        <w:spacing w:line="380" w:lineRule="exact"/>
        <w:rPr>
          <w:rFonts w:hint="eastAsia" w:ascii="仿宋_GB2312" w:hAnsi="仿宋_GB2312" w:eastAsia="仿宋_GB2312" w:cs="仿宋_GB2312"/>
          <w:color w:val="auto"/>
          <w:sz w:val="32"/>
          <w:szCs w:val="32"/>
          <w:u w:val="single"/>
        </w:rPr>
      </w:pPr>
    </w:p>
    <w:tbl>
      <w:tblPr>
        <w:tblStyle w:val="20"/>
        <w:tblW w:w="831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20"/>
        <w:gridCol w:w="1913"/>
        <w:gridCol w:w="1701"/>
        <w:gridCol w:w="141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620"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投标文件规格条目号</w:t>
            </w:r>
          </w:p>
        </w:tc>
        <w:tc>
          <w:tcPr>
            <w:tcW w:w="1913"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招标规格</w:t>
            </w:r>
          </w:p>
        </w:tc>
        <w:tc>
          <w:tcPr>
            <w:tcW w:w="1701"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投标规格</w:t>
            </w:r>
          </w:p>
        </w:tc>
        <w:tc>
          <w:tcPr>
            <w:tcW w:w="1417"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偏离</w:t>
            </w:r>
          </w:p>
        </w:tc>
        <w:tc>
          <w:tcPr>
            <w:tcW w:w="993"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1620"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91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701"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417"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99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1620"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91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701"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417"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99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1620"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91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701"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417"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99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r>
    </w:tbl>
    <w:p>
      <w:pPr>
        <w:framePr w:wrap="auto" w:vAnchor="margin" w:hAnchor="text" w:yAlign="inline"/>
        <w:spacing w:line="360" w:lineRule="auto"/>
        <w:jc w:val="both"/>
        <w:rPr>
          <w:rFonts w:hint="eastAsia" w:ascii="仿宋_GB2312" w:hAnsi="仿宋_GB2312" w:eastAsia="仿宋_GB2312" w:cs="仿宋_GB2312"/>
          <w:color w:val="auto"/>
          <w:spacing w:val="0"/>
          <w:w w:val="100"/>
          <w:kern w:val="2"/>
          <w:position w:val="0"/>
          <w:sz w:val="32"/>
          <w:szCs w:val="32"/>
          <w:u w:val="single" w:color="auto"/>
          <w:vertAlign w:val="baseline"/>
          <w:lang w:val="en-US" w:eastAsia="zh-CN"/>
        </w:rPr>
      </w:pPr>
    </w:p>
    <w:p>
      <w:pPr>
        <w:numPr>
          <w:ilvl w:val="0"/>
          <w:numId w:val="0"/>
        </w:numPr>
        <w:pBdr>
          <w:top w:val="none" w:color="auto" w:sz="0" w:space="0"/>
          <w:left w:val="none" w:color="auto" w:sz="0" w:space="0"/>
          <w:bottom w:val="none" w:color="auto" w:sz="0" w:space="0"/>
          <w:right w:val="none" w:color="auto" w:sz="0" w:space="0"/>
        </w:pBdr>
        <w:spacing w:line="440" w:lineRule="exact"/>
        <w:ind w:leftChars="0"/>
        <w:jc w:val="both"/>
        <w:outlineLvl w:val="1"/>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附表十：</w:t>
      </w:r>
    </w:p>
    <w:p>
      <w:pPr>
        <w:numPr>
          <w:ilvl w:val="0"/>
          <w:numId w:val="0"/>
        </w:numPr>
        <w:pBdr>
          <w:top w:val="none" w:color="auto" w:sz="0" w:space="0"/>
          <w:left w:val="none" w:color="auto" w:sz="0" w:space="0"/>
          <w:bottom w:val="none" w:color="auto" w:sz="0" w:space="0"/>
          <w:right w:val="none" w:color="auto" w:sz="0" w:space="0"/>
        </w:pBdr>
        <w:spacing w:line="440" w:lineRule="exact"/>
        <w:jc w:val="both"/>
        <w:outlineLvl w:val="1"/>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资格审查资料</w:t>
      </w:r>
    </w:p>
    <w:p>
      <w:pPr>
        <w:framePr w:wrap="around"/>
        <w:spacing w:line="360" w:lineRule="auto"/>
        <w:ind w:firstLine="482"/>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（1）供应商须提供2021年度或2022年度完整的财务审计报告复印件，并加盖供应商公章。如供应商无法年度审计报告，则须提供银行出具的资信证明。</w:t>
      </w:r>
    </w:p>
    <w:p>
      <w:pPr>
        <w:framePr w:wrap="around"/>
        <w:spacing w:line="360" w:lineRule="auto"/>
        <w:ind w:left="1799" w:leftChars="171" w:hanging="1440" w:hangingChars="45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说明：1）供应商须提供银行出具的资信证明原件（成立一年内的公司可提交验资证明复印件并加盖供应商公章）；</w:t>
      </w:r>
    </w:p>
    <w:p>
      <w:pPr>
        <w:framePr w:wrap="around"/>
        <w:spacing w:line="360" w:lineRule="auto"/>
        <w:ind w:firstLine="1280" w:firstLineChars="40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2）银行资信证明应能说明该供应商与银行之间业务往来正常，企业信誉良好等；</w:t>
      </w:r>
    </w:p>
    <w:p>
      <w:pPr>
        <w:framePr w:wrap="around"/>
        <w:spacing w:line="360" w:lineRule="auto"/>
        <w:ind w:firstLine="960" w:firstLineChars="30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3）银行出具的存款证明不能替代银行资信证明，存款证明无效。</w:t>
      </w:r>
    </w:p>
    <w:p>
      <w:pPr>
        <w:framePr w:wrap="around"/>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（2）具备履行合同所必需的设备和专业技术能力证明材料（格式自拟）</w:t>
      </w:r>
    </w:p>
    <w:p>
      <w:pPr>
        <w:framePr w:wrap="around"/>
        <w:spacing w:line="360" w:lineRule="auto"/>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spacing w:line="360" w:lineRule="auto"/>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spacing w:line="360" w:lineRule="auto"/>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（3）有依法缴纳税收和社会保障资金的良好记录</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供应商应提供磋商前三个月任意一个月的缴纳社会保障资金的有效票据凭证；若供应商逐年交纳社会保障资金的，须提供参加本次政府采购活动上年度缴纳社会保障资金的有效票据凭证复印件。（须加盖供应商公章）</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注：依法不需要缴纳社会保障资金的供应商，须提供相应文件证明其依法不需要缴纳社会保障资金。</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供应商应提供磋商前三个月任意一个月依法纳税（法人单位必须为增值税或企业所得税）证明（银行缴费凭证或税务机关开具的证明）复印件（加盖供应商公章）</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注：依法免税或零报税的供应商，须提供相应文件证明其依法免税证明文件或纳税申报表复印件。</w:t>
      </w:r>
    </w:p>
    <w:p>
      <w:pPr>
        <w:pStyle w:val="33"/>
        <w:framePr w:wrap="around"/>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（4）供应商声明函</w:t>
      </w:r>
    </w:p>
    <w:p>
      <w:pPr>
        <w:pStyle w:val="33"/>
        <w:framePr w:wrap="around"/>
        <w:ind w:firstLine="482"/>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（采购人名称）  ：</w:t>
      </w:r>
    </w:p>
    <w:p>
      <w:pPr>
        <w:pStyle w:val="33"/>
        <w:framePr w:wrap="around"/>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在参加本次项目磋商中，我单位承诺：</w:t>
      </w:r>
    </w:p>
    <w:p>
      <w:pPr>
        <w:framePr w:wrap="around"/>
        <w:numPr>
          <w:ilvl w:val="0"/>
          <w:numId w:val="10"/>
        </w:numPr>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2、与我单位存在“单位负责人为同一人或者存在直接控股、管理关系”的其他法人单位信息如下（如有须填写，如没有须填“/”）：</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round"/>
              <w:spacing w:line="360" w:lineRule="auto"/>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序号</w:t>
            </w:r>
          </w:p>
        </w:tc>
        <w:tc>
          <w:tcPr>
            <w:tcW w:w="5386"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单位名称</w:t>
            </w:r>
          </w:p>
        </w:tc>
        <w:tc>
          <w:tcPr>
            <w:tcW w:w="3402"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1</w:t>
            </w:r>
          </w:p>
        </w:tc>
        <w:tc>
          <w:tcPr>
            <w:tcW w:w="5386"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c>
          <w:tcPr>
            <w:tcW w:w="3402"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2</w:t>
            </w:r>
          </w:p>
        </w:tc>
        <w:tc>
          <w:tcPr>
            <w:tcW w:w="5386"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c>
          <w:tcPr>
            <w:tcW w:w="3402"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w:t>
            </w:r>
          </w:p>
        </w:tc>
        <w:tc>
          <w:tcPr>
            <w:tcW w:w="5386"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c>
          <w:tcPr>
            <w:tcW w:w="3402"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r>
    </w:tbl>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 3、我单位不是为采购项目提供整体设计、规范编制或者项目管理、监理、检测等服务的投标人。</w:t>
      </w:r>
    </w:p>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   若采购人或采购代理机构在本项目采购过程中发现我单位存在违反上述承诺的事项，我单位将自动失去关本项目的成交资格，并承担因此引起的一切后果及虚假响应责任。</w:t>
      </w:r>
    </w:p>
    <w:p>
      <w:pPr>
        <w:framePr w:wrap="around"/>
        <w:ind w:firstLine="42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供应商：（加盖公章）   </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供应商授权代表人(签字)：          </w:t>
      </w:r>
    </w:p>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日    期：   年 月 日  </w:t>
      </w:r>
    </w:p>
    <w:p>
      <w:pPr>
        <w:framePr w:wrap="around"/>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numPr>
          <w:ilvl w:val="0"/>
          <w:numId w:val="11"/>
        </w:numPr>
        <w:spacing w:line="360" w:lineRule="auto"/>
        <w:ind w:leftChars="0" w:right="0" w:rightChars="0"/>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 xml:space="preserve">信用信息查询 </w:t>
      </w:r>
    </w:p>
    <w:p>
      <w:pPr>
        <w:framePr w:wrap="around"/>
        <w:numPr>
          <w:ilvl w:val="0"/>
          <w:numId w:val="0"/>
        </w:numPr>
        <w:spacing w:line="360" w:lineRule="auto"/>
        <w:ind w:leftChars="0" w:right="0" w:rightChars="0" w:firstLine="640" w:firstLineChars="20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以代理机构查询结果为准）</w:t>
      </w:r>
    </w:p>
    <w:p>
      <w:pPr>
        <w:framePr w:wrap="around"/>
        <w:numPr>
          <w:ilvl w:val="0"/>
          <w:numId w:val="0"/>
        </w:numPr>
        <w:ind w:leftChars="0" w:right="0" w:rightChars="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(6)落实政策</w:t>
      </w: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   本项目为专门面向中小企业，故只接受全部施工由中小企业提供，按要求填写中小企业声明函。</w:t>
      </w:r>
    </w:p>
    <w:p>
      <w:pPr>
        <w:pStyle w:val="10"/>
        <w:framePr w:wrap="around"/>
        <w:numPr>
          <w:ilvl w:val="0"/>
          <w:numId w:val="0"/>
        </w:numPr>
        <w:ind w:right="864" w:rightChars="0"/>
        <w:jc w:val="both"/>
        <w:rPr>
          <w:rFonts w:hint="default"/>
          <w:lang w:val="en-US" w:eastAsia="zh-CN"/>
        </w:rPr>
      </w:pPr>
    </w:p>
    <w:p>
      <w:pPr>
        <w:pStyle w:val="19"/>
        <w:ind w:left="0" w:leftChars="0" w:firstLine="0" w:firstLineChars="0"/>
        <w:rPr>
          <w:rFonts w:hint="eastAsia" w:ascii="仿宋_GB2312" w:hAnsi="仿宋_GB2312" w:eastAsia="仿宋_GB2312" w:cs="仿宋_GB2312"/>
          <w:b/>
          <w:color w:val="auto"/>
          <w:sz w:val="32"/>
          <w:szCs w:val="32"/>
          <w:lang w:val="en-US" w:eastAsia="zh-CN"/>
        </w:rPr>
      </w:pPr>
    </w:p>
    <w:p>
      <w:pPr>
        <w:pStyle w:val="9"/>
        <w:numPr>
          <w:ilvl w:val="0"/>
          <w:numId w:val="0"/>
        </w:numPr>
        <w:ind w:left="2861" w:leftChars="0"/>
        <w:rPr>
          <w:rFonts w:hint="eastAsia" w:ascii="仿宋_GB2312" w:hAnsi="仿宋_GB2312" w:eastAsia="仿宋_GB2312" w:cs="仿宋_GB2312"/>
          <w:sz w:val="32"/>
          <w:szCs w:val="32"/>
        </w:rPr>
      </w:pPr>
    </w:p>
    <w:p>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lang w:bidi="ar"/>
        </w:rPr>
        <w:t>中小企业声明函（服务）</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color w:val="auto"/>
          <w:kern w:val="2"/>
          <w:sz w:val="32"/>
          <w:szCs w:val="32"/>
          <w:u w:val="single" w:color="auto"/>
          <w:lang w:val="en-US" w:eastAsia="zh-CN"/>
        </w:rPr>
        <w:t xml:space="preserve">       </w:t>
      </w:r>
      <w:r>
        <w:rPr>
          <w:rFonts w:hint="eastAsia" w:ascii="仿宋_GB2312" w:hAnsi="仿宋_GB2312" w:eastAsia="仿宋_GB2312" w:cs="仿宋_GB2312"/>
          <w:color w:val="auto"/>
          <w:kern w:val="2"/>
          <w:sz w:val="32"/>
          <w:szCs w:val="32"/>
          <w:lang w:val="en-US" w:eastAsia="zh-CN"/>
        </w:rPr>
        <w:t>的</w:t>
      </w:r>
      <w:r>
        <w:rPr>
          <w:rFonts w:hint="eastAsia" w:ascii="仿宋_GB2312" w:hAnsi="仿宋_GB2312" w:eastAsia="仿宋_GB2312" w:cs="仿宋_GB2312"/>
          <w:color w:val="auto"/>
          <w:kern w:val="2"/>
          <w:sz w:val="32"/>
          <w:szCs w:val="32"/>
          <w:u w:val="single" w:color="auto"/>
          <w:lang w:val="en-US" w:eastAsia="zh-CN"/>
        </w:rPr>
        <w:t xml:space="preserve">        </w:t>
      </w:r>
      <w:r>
        <w:rPr>
          <w:rFonts w:hint="eastAsia" w:ascii="仿宋_GB2312" w:hAnsi="仿宋_GB2312" w:eastAsia="仿宋_GB2312" w:cs="仿宋_GB2312"/>
          <w:color w:val="auto"/>
          <w:kern w:val="2"/>
          <w:sz w:val="32"/>
          <w:szCs w:val="32"/>
          <w:lang w:val="en-US" w:eastAsia="zh-CN"/>
        </w:rPr>
        <w:t xml:space="preserve">采购活动，服务全部由符合政策要求的中小企业承接。相关企业（含联合体中的中小企业、签订分包意向协议的中小企业）的具体情况如下：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u w:val="single" w:color="auto"/>
          <w:lang w:val="en-US" w:eastAsia="zh-CN"/>
        </w:rPr>
        <w:t>（标的名称）</w:t>
      </w:r>
      <w:r>
        <w:rPr>
          <w:rFonts w:hint="eastAsia" w:ascii="仿宋_GB2312" w:hAnsi="仿宋_GB2312" w:eastAsia="仿宋_GB2312" w:cs="仿宋_GB2312"/>
          <w:color w:val="auto"/>
          <w:kern w:val="2"/>
          <w:sz w:val="32"/>
          <w:szCs w:val="32"/>
          <w:lang w:val="en-US" w:eastAsia="zh-CN"/>
        </w:rPr>
        <w:t xml:space="preserve"> ，属于</w:t>
      </w:r>
      <w:r>
        <w:rPr>
          <w:rFonts w:hint="eastAsia" w:ascii="仿宋_GB2312" w:hAnsi="仿宋_GB2312" w:eastAsia="仿宋_GB2312" w:cs="仿宋_GB2312"/>
          <w:color w:val="auto"/>
          <w:kern w:val="2"/>
          <w:sz w:val="32"/>
          <w:szCs w:val="32"/>
          <w:u w:val="single" w:color="auto"/>
          <w:lang w:val="en-US" w:eastAsia="zh-CN"/>
        </w:rPr>
        <w:t xml:space="preserve"> 农、林、牧、渔业/工业/建筑业/批发业/零售业/交通运输业/仓储业/邮政业/住宿业/餐饮业/信息传输业/软件和信息技术服务业/房地产开发经营/物业管理/租赁和商务服务业/其他未列明行业(选择一项)</w:t>
      </w:r>
      <w:r>
        <w:rPr>
          <w:rFonts w:hint="eastAsia" w:ascii="仿宋_GB2312" w:hAnsi="仿宋_GB2312" w:eastAsia="仿宋_GB2312" w:cs="仿宋_GB2312"/>
          <w:color w:val="auto"/>
          <w:kern w:val="2"/>
          <w:sz w:val="32"/>
          <w:szCs w:val="32"/>
          <w:lang w:val="en-US" w:eastAsia="zh-CN"/>
        </w:rPr>
        <w:t xml:space="preserve">  行业；制造商为</w:t>
      </w:r>
      <w:r>
        <w:rPr>
          <w:rFonts w:hint="eastAsia" w:ascii="仿宋_GB2312" w:hAnsi="仿宋_GB2312" w:eastAsia="仿宋_GB2312" w:cs="仿宋_GB2312"/>
          <w:color w:val="auto"/>
          <w:kern w:val="2"/>
          <w:sz w:val="32"/>
          <w:szCs w:val="32"/>
          <w:u w:val="single" w:color="auto"/>
          <w:lang w:val="en-US" w:eastAsia="zh-CN"/>
        </w:rPr>
        <w:t>（企业名称）</w:t>
      </w:r>
      <w:r>
        <w:rPr>
          <w:rFonts w:hint="eastAsia" w:ascii="仿宋_GB2312" w:hAnsi="仿宋_GB2312" w:eastAsia="仿宋_GB2312" w:cs="仿宋_GB2312"/>
          <w:color w:val="auto"/>
          <w:kern w:val="2"/>
          <w:sz w:val="32"/>
          <w:szCs w:val="32"/>
          <w:lang w:val="en-US" w:eastAsia="zh-CN"/>
        </w:rPr>
        <w:t>，从业人员</w:t>
      </w:r>
      <w:r>
        <w:rPr>
          <w:rFonts w:hint="eastAsia" w:ascii="仿宋_GB2312" w:hAnsi="仿宋_GB2312" w:eastAsia="仿宋_GB2312" w:cs="仿宋_GB2312"/>
          <w:color w:val="auto"/>
          <w:kern w:val="2"/>
          <w:sz w:val="32"/>
          <w:szCs w:val="32"/>
          <w:u w:val="single" w:color="auto"/>
          <w:lang w:val="en-US" w:eastAsia="zh-Hans"/>
        </w:rPr>
        <w:t xml:space="preserve">    </w:t>
      </w:r>
      <w:r>
        <w:rPr>
          <w:rFonts w:hint="eastAsia" w:ascii="仿宋_GB2312" w:hAnsi="仿宋_GB2312" w:eastAsia="仿宋_GB2312" w:cs="仿宋_GB2312"/>
          <w:color w:val="auto"/>
          <w:kern w:val="2"/>
          <w:sz w:val="32"/>
          <w:szCs w:val="32"/>
          <w:lang w:val="en-US" w:eastAsia="zh-CN"/>
        </w:rPr>
        <w:t>人，营业收入为</w:t>
      </w:r>
      <w:r>
        <w:rPr>
          <w:rFonts w:hint="eastAsia" w:ascii="仿宋_GB2312" w:hAnsi="仿宋_GB2312" w:eastAsia="仿宋_GB2312" w:cs="仿宋_GB2312"/>
          <w:color w:val="auto"/>
          <w:kern w:val="2"/>
          <w:sz w:val="32"/>
          <w:szCs w:val="32"/>
          <w:u w:val="single" w:color="auto"/>
          <w:lang w:val="en-US" w:eastAsia="zh-Hans"/>
        </w:rPr>
        <w:t xml:space="preserve">    </w:t>
      </w:r>
      <w:r>
        <w:rPr>
          <w:rFonts w:hint="eastAsia" w:ascii="仿宋_GB2312" w:hAnsi="仿宋_GB2312" w:eastAsia="仿宋_GB2312" w:cs="仿宋_GB2312"/>
          <w:color w:val="auto"/>
          <w:kern w:val="2"/>
          <w:sz w:val="32"/>
          <w:szCs w:val="32"/>
          <w:lang w:val="en-US" w:eastAsia="zh-CN"/>
        </w:rPr>
        <w:t>万元，资产总额为</w:t>
      </w:r>
      <w:r>
        <w:rPr>
          <w:rFonts w:hint="eastAsia" w:ascii="仿宋_GB2312" w:hAnsi="仿宋_GB2312" w:eastAsia="仿宋_GB2312" w:cs="仿宋_GB2312"/>
          <w:color w:val="auto"/>
          <w:kern w:val="2"/>
          <w:sz w:val="32"/>
          <w:szCs w:val="32"/>
          <w:lang w:val="en-US" w:eastAsia="zh-Hans"/>
        </w:rPr>
        <w:t xml:space="preserve">    </w:t>
      </w:r>
      <w:r>
        <w:rPr>
          <w:rFonts w:hint="eastAsia" w:ascii="仿宋_GB2312" w:hAnsi="仿宋_GB2312" w:eastAsia="仿宋_GB2312" w:cs="仿宋_GB2312"/>
          <w:color w:val="auto"/>
          <w:kern w:val="2"/>
          <w:sz w:val="32"/>
          <w:szCs w:val="32"/>
          <w:lang w:val="en-US" w:eastAsia="zh-CN"/>
        </w:rPr>
        <w:t xml:space="preserve">  万元，属于（</w:t>
      </w:r>
      <w:r>
        <w:rPr>
          <w:rFonts w:hint="eastAsia" w:ascii="仿宋_GB2312" w:hAnsi="仿宋_GB2312" w:eastAsia="仿宋_GB2312" w:cs="仿宋_GB2312"/>
          <w:color w:val="auto"/>
          <w:kern w:val="2"/>
          <w:sz w:val="32"/>
          <w:szCs w:val="32"/>
          <w:u w:val="single" w:color="auto"/>
          <w:lang w:val="en-US" w:eastAsia="zh-CN"/>
        </w:rPr>
        <w:t>中型企业、小型企业、微型企业）</w:t>
      </w:r>
      <w:r>
        <w:rPr>
          <w:rFonts w:hint="eastAsia" w:ascii="仿宋_GB2312" w:hAnsi="仿宋_GB2312" w:eastAsia="仿宋_GB2312" w:cs="仿宋_GB2312"/>
          <w:color w:val="auto"/>
          <w:kern w:val="2"/>
          <w:sz w:val="32"/>
          <w:szCs w:val="32"/>
          <w:lang w:val="en-US" w:eastAsia="zh-CN"/>
        </w:rPr>
        <w:t xml:space="preserve">；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以上企业，不属于大企业的分支机构，不存在控股股东为大企业的情形，也不存在与大企业的负责人为同一人的情形。</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本企业对上述声明内容的真实性负责。如有虚假，将依法承担相应责任。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企业名称（盖章）：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日 期：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本公司对上述声明内容的真实性负责，如有虚假，将依法承担责任。</w:t>
      </w:r>
      <w:r>
        <w:rPr>
          <w:rFonts w:hint="eastAsia" w:ascii="仿宋_GB2312" w:hAnsi="仿宋_GB2312" w:eastAsia="仿宋_GB2312" w:cs="仿宋_GB2312"/>
          <w:bCs/>
          <w:sz w:val="32"/>
          <w:szCs w:val="32"/>
        </w:rPr>
        <w:t xml:space="preserve"> </w:t>
      </w:r>
    </w:p>
    <w:p>
      <w:pPr>
        <w:framePr w:wrap="auto" w:vAnchor="margin" w:hAnchor="text" w:yAlign="inline"/>
        <w:spacing w:line="360" w:lineRule="auto"/>
        <w:jc w:val="left"/>
        <w:rPr>
          <w:rFonts w:hint="eastAsia" w:ascii="仿宋_GB2312" w:hAnsi="仿宋_GB2312" w:eastAsia="仿宋_GB2312" w:cs="仿宋_GB2312"/>
          <w:b/>
          <w:sz w:val="32"/>
          <w:szCs w:val="32"/>
          <w:lang w:val="en-US" w:eastAsia="zh-CN"/>
        </w:rPr>
      </w:pPr>
    </w:p>
    <w:p>
      <w:pPr>
        <w:framePr w:wrap="auto" w:vAnchor="margin" w:hAnchor="text" w:yAlign="inline"/>
        <w:spacing w:line="360" w:lineRule="auto"/>
        <w:jc w:val="left"/>
        <w:rPr>
          <w:rFonts w:hint="eastAsia" w:ascii="仿宋_GB2312" w:hAnsi="仿宋_GB2312" w:eastAsia="仿宋_GB2312" w:cs="仿宋_GB2312"/>
          <w:b/>
          <w:sz w:val="32"/>
          <w:szCs w:val="32"/>
          <w:lang w:val="en-US" w:eastAsia="zh-CN"/>
        </w:rPr>
      </w:pPr>
    </w:p>
    <w:p>
      <w:pPr>
        <w:framePr w:wrap="auto" w:vAnchor="margin" w:hAnchor="text" w:yAlign="inline"/>
        <w:spacing w:line="360" w:lineRule="auto"/>
        <w:ind w:firstLine="2570" w:firstLineChars="8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监狱企业声明函（二）</w:t>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本公司郑重声明，根据《关于政府采购支持监狱企业发展有关问题的通知》（财库[2014]68号）的规定，本公司为监狱企业。</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本公司参加______单位的______项目采购活动，采购活动提供本企业（填写制造的货物，由本企业承担工程、提供服务）。</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本条所称货物不包括使用大型企业注册商标的货物和服务。</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本公司对上述声明的真实性负责。如有虚假，将依法承担相应责任。</w:t>
      </w:r>
      <w:r>
        <w:rPr>
          <w:rFonts w:hint="eastAsia" w:ascii="仿宋_GB2312" w:hAnsi="仿宋_GB2312" w:eastAsia="仿宋_GB2312" w:cs="仿宋_GB2312"/>
          <w:bCs/>
          <w:sz w:val="32"/>
          <w:szCs w:val="32"/>
        </w:rPr>
        <w:br w:type="textWrapping"/>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企业名称（盖公章）：</w:t>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法定代表人（负责人）或其授权代表(签字)：</w:t>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日期：</w:t>
      </w:r>
    </w:p>
    <w:p>
      <w:pPr>
        <w:framePr w:wrap="auto" w:vAnchor="margin" w:hAnchor="text" w:yAlign="inline"/>
        <w:spacing w:line="360" w:lineRule="auto"/>
        <w:ind w:firstLine="482"/>
        <w:jc w:val="center"/>
        <w:rPr>
          <w:rFonts w:hint="eastAsia" w:ascii="仿宋_GB2312" w:hAnsi="仿宋_GB2312" w:eastAsia="仿宋_GB2312" w:cs="仿宋_GB2312"/>
          <w:b/>
          <w:sz w:val="32"/>
          <w:szCs w:val="32"/>
        </w:rPr>
      </w:pPr>
    </w:p>
    <w:p>
      <w:pPr>
        <w:framePr w:wrap="auto" w:vAnchor="margin" w:hAnchor="text" w:yAlign="inline"/>
        <w:spacing w:line="360" w:lineRule="auto"/>
        <w:ind w:firstLine="2249" w:firstLineChars="7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残疾人福利性单位声明函（三）</w:t>
      </w:r>
    </w:p>
    <w:p>
      <w:pPr>
        <w:pStyle w:val="16"/>
        <w:shd w:val="clear" w:color="auto" w:fill="FFFFFF"/>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本单位郑重声明，根据《财政部、民政部、中国残疾人联合会关于促进残疾人就业政府采购政策的通知》（财库〔2017〕141号）的规定，本单位为符合条件的残疾人福利性单位。</w:t>
      </w:r>
    </w:p>
    <w:p>
      <w:pPr>
        <w:pStyle w:val="16"/>
        <w:shd w:val="clear" w:color="auto" w:fill="FFFFFF"/>
        <w:spacing w:line="360" w:lineRule="auto"/>
        <w:ind w:firstLine="480"/>
        <w:rPr>
          <w:rFonts w:hint="eastAsia" w:ascii="仿宋_GB2312" w:hAnsi="仿宋_GB2312" w:eastAsia="仿宋_GB2312" w:cs="仿宋_GB2312"/>
          <w:sz w:val="32"/>
          <w:szCs w:val="32"/>
        </w:rPr>
      </w:pPr>
    </w:p>
    <w:p>
      <w:pPr>
        <w:pStyle w:val="16"/>
        <w:shd w:val="clear" w:color="auto" w:fill="FFFFFF"/>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本单位参加</w:t>
      </w:r>
      <w:r>
        <w:rPr>
          <w:rFonts w:hint="eastAsia" w:ascii="仿宋_GB2312" w:hAnsi="仿宋_GB2312" w:eastAsia="仿宋_GB2312" w:cs="仿宋_GB2312"/>
          <w:sz w:val="32"/>
          <w:szCs w:val="32"/>
          <w:u w:val="single"/>
        </w:rPr>
        <w:t>（采购代理机构）</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（项目名称和采购编号）</w:t>
      </w:r>
      <w:r>
        <w:rPr>
          <w:rFonts w:hint="eastAsia" w:ascii="仿宋_GB2312" w:hAnsi="仿宋_GB2312" w:eastAsia="仿宋_GB2312" w:cs="仿宋_GB2312"/>
          <w:sz w:val="32"/>
          <w:szCs w:val="32"/>
        </w:rPr>
        <w:t>采购活动，提供本单位的服务。</w:t>
      </w:r>
    </w:p>
    <w:p>
      <w:pPr>
        <w:pStyle w:val="16"/>
        <w:shd w:val="clear" w:color="auto" w:fill="FFFFFF"/>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framePr w:wrap="auto" w:vAnchor="margin" w:hAnchor="text" w:yAlign="inline"/>
        <w:widowControl/>
        <w:tabs>
          <w:tab w:val="left" w:pos="6831"/>
        </w:tabs>
        <w:spacing w:line="360" w:lineRule="auto"/>
        <w:ind w:firstLine="6560" w:firstLineChars="20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b/>
      </w:r>
    </w:p>
    <w:p>
      <w:pPr>
        <w:framePr w:wrap="auto" w:vAnchor="margin" w:hAnchor="text" w:yAlign="inline"/>
        <w:widowControl/>
        <w:spacing w:line="360" w:lineRule="auto"/>
        <w:ind w:firstLine="6560" w:firstLineChars="20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投标人（盖章）：</w:t>
      </w:r>
    </w:p>
    <w:p>
      <w:pPr>
        <w:framePr w:wrap="auto" w:vAnchor="margin" w:hAnchor="text" w:yAlign="inline"/>
        <w:widowControl/>
        <w:spacing w:line="360" w:lineRule="auto"/>
        <w:ind w:firstLine="6560" w:firstLineChars="20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投标人授权代表（签字）：</w:t>
      </w:r>
    </w:p>
    <w:p>
      <w:pPr>
        <w:pStyle w:val="13"/>
        <w:spacing w:line="360" w:lineRule="auto"/>
        <w:ind w:firstLine="6560" w:firstLineChars="20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　期：</w:t>
      </w:r>
    </w:p>
    <w:p>
      <w:pPr>
        <w:pStyle w:val="13"/>
        <w:spacing w:line="360" w:lineRule="auto"/>
        <w:ind w:firstLine="6560" w:firstLineChars="2050"/>
        <w:rPr>
          <w:rFonts w:hint="eastAsia" w:ascii="仿宋_GB2312" w:hAnsi="仿宋_GB2312" w:eastAsia="仿宋_GB2312" w:cs="仿宋_GB2312"/>
          <w:kern w:val="0"/>
          <w:sz w:val="32"/>
          <w:szCs w:val="32"/>
        </w:rPr>
      </w:pPr>
    </w:p>
    <w:p>
      <w:pPr>
        <w:framePr w:wrap="auto" w:vAnchor="margin" w:hAnchor="text" w:yAlign="inline"/>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注：不符合上述情形的投标人无须提供上述声明函件</w:t>
      </w:r>
    </w:p>
    <w:p>
      <w:pPr>
        <w:pStyle w:val="19"/>
        <w:ind w:left="0" w:leftChars="0" w:firstLine="0" w:firstLineChars="0"/>
        <w:rPr>
          <w:rFonts w:hint="eastAsia" w:ascii="仿宋_GB2312" w:hAnsi="仿宋_GB2312" w:eastAsia="仿宋_GB2312" w:cs="仿宋_GB2312"/>
          <w:b/>
          <w:color w:val="auto"/>
          <w:sz w:val="32"/>
          <w:szCs w:val="32"/>
          <w:lang w:val="en-US" w:eastAsia="zh-CN"/>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framePr w:wrap="auto" w:vAnchor="margin" w:hAnchor="text" w:yAlign="inline"/>
        <w:spacing w:line="360" w:lineRule="auto"/>
        <w:ind w:firstLine="2249" w:firstLineChars="700"/>
        <w:jc w:val="both"/>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第二卷：技术文件</w:t>
      </w:r>
    </w:p>
    <w:p>
      <w:pPr>
        <w:framePr w:wrap="auto" w:vAnchor="margin" w:hAnchor="text" w:yAlign="inline"/>
        <w:tabs>
          <w:tab w:val="left" w:pos="5400"/>
        </w:tabs>
        <w:spacing w:line="600" w:lineRule="exact"/>
        <w:jc w:val="center"/>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按技术评标指标及评标内容进行编制</w:t>
      </w: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pStyle w:val="4"/>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4"/>
        <w:framePr w:wrap="auto" w:vAnchor="margin" w:hAnchor="text" w:yAlign="inline"/>
        <w:rPr>
          <w:rFonts w:hint="eastAsia" w:ascii="仿宋_GB2312" w:hAnsi="仿宋_GB2312" w:eastAsia="仿宋_GB2312" w:cs="仿宋_GB2312"/>
          <w:sz w:val="32"/>
          <w:szCs w:val="32"/>
        </w:rPr>
      </w:pP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framePr w:wrap="auto" w:vAnchor="margin" w:hAnchor="text" w:yAlign="inline"/>
        <w:shd w:val="clear" w:color="auto" w:fill="auto"/>
        <w:spacing w:line="360" w:lineRule="auto"/>
        <w:ind w:firstLine="3534" w:firstLineChars="800"/>
        <w:jc w:val="both"/>
        <w:rPr>
          <w:rFonts w:hint="eastAsia" w:ascii="黑体" w:hAnsi="黑体" w:eastAsia="黑体" w:cs="黑体"/>
          <w:b/>
          <w:bCs w:val="0"/>
          <w:color w:val="auto"/>
          <w:sz w:val="44"/>
          <w:szCs w:val="44"/>
        </w:rPr>
      </w:pPr>
      <w:r>
        <w:rPr>
          <w:rFonts w:hint="eastAsia" w:ascii="黑体" w:hAnsi="黑体" w:eastAsia="黑体" w:cs="黑体"/>
          <w:b/>
          <w:bCs w:val="0"/>
          <w:color w:val="auto"/>
          <w:sz w:val="44"/>
          <w:szCs w:val="44"/>
          <w:lang w:val="en-US" w:eastAsia="zh-CN"/>
        </w:rPr>
        <w:t>第七部分</w:t>
      </w:r>
      <w:r>
        <w:rPr>
          <w:rFonts w:hint="eastAsia" w:ascii="黑体" w:hAnsi="黑体" w:eastAsia="黑体" w:cs="黑体"/>
          <w:b/>
          <w:bCs w:val="0"/>
          <w:color w:val="auto"/>
          <w:sz w:val="44"/>
          <w:szCs w:val="44"/>
        </w:rPr>
        <w:t xml:space="preserve">   服务需求</w:t>
      </w:r>
    </w:p>
    <w:p>
      <w:pPr>
        <w:framePr w:wrap="auto" w:vAnchor="margin" w:hAnchor="text" w:yAlign="inline"/>
        <w:spacing w:line="240" w:lineRule="atLeast"/>
        <w:jc w:val="center"/>
        <w:rPr>
          <w:rFonts w:hint="eastAsia" w:ascii="黑体" w:hAnsi="黑体" w:eastAsia="黑体" w:cs="黑体"/>
          <w:b/>
          <w:bCs w:val="0"/>
          <w:color w:val="auto"/>
          <w:sz w:val="44"/>
          <w:szCs w:val="44"/>
        </w:rPr>
      </w:pPr>
      <w:r>
        <w:rPr>
          <w:rFonts w:hint="eastAsia" w:ascii="黑体" w:hAnsi="黑体" w:eastAsia="黑体" w:cs="黑体"/>
          <w:b/>
          <w:bCs w:val="0"/>
          <w:color w:val="auto"/>
          <w:sz w:val="44"/>
          <w:szCs w:val="44"/>
        </w:rPr>
        <w:t>投标人技术支持和售后服务承诺</w:t>
      </w: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framePr w:wrap="auto" w:vAnchor="margin" w:hAnchor="text" w:yAlign="inline"/>
        <w:tabs>
          <w:tab w:val="left" w:pos="5400"/>
        </w:tabs>
        <w:spacing w:line="600" w:lineRule="exact"/>
        <w:rPr>
          <w:color w:val="auto"/>
        </w:rPr>
      </w:pPr>
    </w:p>
    <w:sectPr>
      <w:pgSz w:w="11920" w:h="16840"/>
      <w:pgMar w:top="720" w:right="720" w:bottom="720" w:left="720" w:header="720" w:footer="72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86"/>
    <w:family w:val="roman"/>
    <w:pitch w:val="default"/>
    <w:sig w:usb0="00000000" w:usb1="00000000" w:usb2="00000000" w:usb3="00000000" w:csb0="2000019F" w:csb1="4F01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53YbZH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3ndhtk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&#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KSHeA0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v:textbox>
            </v:shape>
          </w:pict>
        </mc:Fallback>
      </mc:AlternateContent>
    </w:r>
    <w:r>
      <w:rPr>
        <w:rtl w:val="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Bdr>
        <w:bottom w:val="single" w:color="auto" w:sz="4" w:space="0"/>
      </w:pBdr>
      <w:jc w:val="right"/>
      <w:rPr>
        <w:rFonts w:hint="eastAsia" w:eastAsia="Arial Unicode MS"/>
        <w:sz w:val="21"/>
        <w:szCs w:val="21"/>
        <w:lang w:val="en-US" w:eastAsia="zh-CN"/>
      </w:rPr>
    </w:pPr>
    <w:r>
      <w:rPr>
        <w:rFonts w:hint="eastAsia"/>
        <w:sz w:val="21"/>
        <w:szCs w:val="21"/>
        <w:lang w:val="en-US" w:eastAsia="zh-CN"/>
      </w:rPr>
      <w:t>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9239341B"/>
    <w:multiLevelType w:val="multilevel"/>
    <w:tmpl w:val="9239341B"/>
    <w:lvl w:ilvl="0" w:tentative="0">
      <w:start w:val="1"/>
      <w:numFmt w:val="decimal"/>
      <w:lvlText w:val="%1."/>
      <w:lvlJc w:val="left"/>
      <w:pPr>
        <w:tabs>
          <w:tab w:val="left" w:pos="1485"/>
        </w:tabs>
        <w:ind w:left="1050" w:hanging="82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647"/>
          <w:tab w:val="left" w:pos="1485"/>
        </w:tabs>
        <w:ind w:left="2326" w:hanging="7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647"/>
          <w:tab w:val="left" w:pos="1485"/>
        </w:tabs>
        <w:ind w:left="3466" w:hanging="14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647"/>
          <w:tab w:val="left" w:pos="1485"/>
        </w:tabs>
        <w:ind w:left="3586" w:hanging="114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647"/>
          <w:tab w:val="left" w:pos="1485"/>
        </w:tabs>
        <w:ind w:left="4006" w:hanging="114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647"/>
          <w:tab w:val="left" w:pos="1485"/>
        </w:tabs>
        <w:ind w:left="4426" w:hanging="124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647"/>
          <w:tab w:val="left" w:pos="1485"/>
        </w:tabs>
        <w:ind w:left="4846" w:hanging="114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647"/>
          <w:tab w:val="left" w:pos="1485"/>
        </w:tabs>
        <w:ind w:left="5266" w:hanging="114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647"/>
          <w:tab w:val="left" w:pos="1485"/>
        </w:tabs>
        <w:ind w:left="5686" w:hanging="1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A6E0CE05"/>
    <w:multiLevelType w:val="singleLevel"/>
    <w:tmpl w:val="A6E0CE05"/>
    <w:lvl w:ilvl="0" w:tentative="0">
      <w:start w:val="22"/>
      <w:numFmt w:val="decimal"/>
      <w:suff w:val="space"/>
      <w:lvlText w:val="%1."/>
      <w:lvlJc w:val="left"/>
    </w:lvl>
  </w:abstractNum>
  <w:abstractNum w:abstractNumId="3">
    <w:nsid w:val="E6EB3F62"/>
    <w:multiLevelType w:val="singleLevel"/>
    <w:tmpl w:val="E6EB3F62"/>
    <w:lvl w:ilvl="0" w:tentative="0">
      <w:start w:val="1"/>
      <w:numFmt w:val="decimal"/>
      <w:lvlText w:val="%1."/>
      <w:lvlJc w:val="left"/>
      <w:pPr>
        <w:tabs>
          <w:tab w:val="left" w:pos="312"/>
        </w:tabs>
      </w:pPr>
    </w:lvl>
  </w:abstractNum>
  <w:abstractNum w:abstractNumId="4">
    <w:nsid w:val="F68853E7"/>
    <w:multiLevelType w:val="singleLevel"/>
    <w:tmpl w:val="F68853E7"/>
    <w:lvl w:ilvl="0" w:tentative="0">
      <w:start w:val="5"/>
      <w:numFmt w:val="decimal"/>
      <w:lvlText w:val="(%1)"/>
      <w:lvlJc w:val="left"/>
      <w:pPr>
        <w:tabs>
          <w:tab w:val="left" w:pos="312"/>
        </w:tabs>
      </w:pPr>
    </w:lvl>
  </w:abstractNum>
  <w:abstractNum w:abstractNumId="5">
    <w:nsid w:val="03D62ECE"/>
    <w:multiLevelType w:val="multilevel"/>
    <w:tmpl w:val="03D62ECE"/>
    <w:lvl w:ilvl="0" w:tentative="0">
      <w:start w:val="1"/>
      <w:numFmt w:val="decimal"/>
      <w:lvlText w:val="%1."/>
      <w:lvlJc w:val="left"/>
      <w:pPr>
        <w:ind w:left="519" w:hanging="51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794" w:hanging="56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1163" w:hanging="73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3.%4."/>
      <w:lvlJc w:val="left"/>
      <w:pPr>
        <w:ind w:left="1984" w:hanging="708"/>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3.%4.%5."/>
      <w:lvlJc w:val="left"/>
      <w:pPr>
        <w:ind w:left="2551" w:hanging="85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3.%4.%5.%6."/>
      <w:lvlJc w:val="left"/>
      <w:pPr>
        <w:ind w:left="3260" w:hanging="113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3.%4.%5.%6.%7."/>
      <w:lvlJc w:val="left"/>
      <w:pPr>
        <w:ind w:left="3827" w:hanging="1276"/>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3.%4.%5.%6.%7.%8."/>
      <w:lvlJc w:val="left"/>
      <w:pPr>
        <w:ind w:left="4394" w:hanging="1418"/>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3.%4.%5.%6.%7.%8.%9."/>
      <w:lvlJc w:val="left"/>
      <w:pPr>
        <w:ind w:left="5102" w:hanging="17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9605176"/>
    <w:multiLevelType w:val="singleLevel"/>
    <w:tmpl w:val="59605176"/>
    <w:lvl w:ilvl="0" w:tentative="0">
      <w:start w:val="2"/>
      <w:numFmt w:val="decimal"/>
      <w:suff w:val="nothing"/>
      <w:lvlText w:val="%1、"/>
      <w:lvlJc w:val="left"/>
    </w:lvl>
  </w:abstractNum>
  <w:abstractNum w:abstractNumId="7">
    <w:nsid w:val="72183CF9"/>
    <w:multiLevelType w:val="multilevel"/>
    <w:tmpl w:val="72183CF9"/>
    <w:lvl w:ilvl="0" w:tentative="0">
      <w:start w:val="1"/>
      <w:numFmt w:val="decimal"/>
      <w:lvlText w:val="%1."/>
      <w:lvlJc w:val="left"/>
      <w:pPr>
        <w:tabs>
          <w:tab w:val="left" w:pos="1485"/>
        </w:tabs>
        <w:ind w:left="1050" w:hanging="82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1485"/>
        </w:tabs>
        <w:ind w:left="2326" w:hanging="7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1485"/>
        </w:tabs>
        <w:ind w:left="3466" w:hanging="14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485"/>
        </w:tabs>
        <w:ind w:left="3586" w:hanging="114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485"/>
        </w:tabs>
        <w:ind w:left="4006" w:hanging="114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1485"/>
        </w:tabs>
        <w:ind w:left="4426" w:hanging="124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485"/>
        </w:tabs>
        <w:ind w:left="4846" w:hanging="114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485"/>
        </w:tabs>
        <w:ind w:left="5266" w:hanging="114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1485"/>
        </w:tabs>
        <w:ind w:left="5686" w:hanging="124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5"/>
  </w:num>
  <w:num w:numId="3">
    <w:abstractNumId w:val="5"/>
    <w:lvlOverride w:ilvl="0">
      <w:startOverride w:val="2"/>
      <w:lvl w:ilvl="0" w:tentative="1">
        <w:start w:val="2"/>
        <w:numFmt w:val="decimal"/>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79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1531"/>
            <w:tab w:val="left" w:pos="1628"/>
          </w:tabs>
          <w:ind w:left="1163"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3.%4."/>
        <w:lvlJc w:val="left"/>
        <w:pPr>
          <w:tabs>
            <w:tab w:val="left" w:pos="1628"/>
          </w:tabs>
          <w:ind w:left="1531"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tabs>
            <w:tab w:val="left" w:pos="1531"/>
            <w:tab w:val="left" w:pos="1628"/>
          </w:tabs>
          <w:ind w:left="255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tabs>
            <w:tab w:val="left" w:pos="1531"/>
            <w:tab w:val="left" w:pos="1628"/>
          </w:tabs>
          <w:ind w:left="3260"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tabs>
            <w:tab w:val="left" w:pos="1531"/>
            <w:tab w:val="left" w:pos="1628"/>
          </w:tabs>
          <w:ind w:left="3827"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tabs>
            <w:tab w:val="left" w:pos="1531"/>
            <w:tab w:val="left" w:pos="1628"/>
          </w:tabs>
          <w:ind w:left="4394" w:hanging="1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tabs>
            <w:tab w:val="left" w:pos="1531"/>
            <w:tab w:val="left" w:pos="1628"/>
          </w:tabs>
          <w:ind w:left="5102" w:hanging="17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1"/>
  </w:num>
  <w:num w:numId="6">
    <w:abstractNumId w:val="2"/>
  </w:num>
  <w:num w:numId="7">
    <w:abstractNumId w:val="5"/>
    <w:lvlOverride w:ilvl="0">
      <w:startOverride w:val="25"/>
      <w:lvl w:ilvl="0" w:tentative="1">
        <w:start w:val="25"/>
        <w:numFmt w:val="decimal"/>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794"/>
          </w:tabs>
          <w:ind w:left="369"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suff w:val="nothing"/>
        <w:lvlText w:val="%3.%4."/>
        <w:lvlJc w:val="left"/>
        <w:pPr>
          <w:tabs>
            <w:tab w:val="left" w:pos="794"/>
          </w:tabs>
          <w:ind w:left="737"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tabs>
            <w:tab w:val="left" w:pos="794"/>
          </w:tabs>
          <w:ind w:left="1628" w:hanging="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tabs>
            <w:tab w:val="left" w:pos="794"/>
          </w:tabs>
          <w:ind w:left="246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tabs>
            <w:tab w:val="left" w:pos="794"/>
          </w:tabs>
          <w:ind w:left="3033"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tabs>
            <w:tab w:val="left" w:pos="794"/>
          </w:tabs>
          <w:ind w:left="3600"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tabs>
            <w:tab w:val="left" w:pos="794"/>
          </w:tabs>
          <w:ind w:left="4308" w:hanging="1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lvlOverride w:ilvl="0">
      <w:lvl w:ilvl="0" w:tentative="1">
        <w:start w:val="1"/>
        <w:numFmt w:val="decimal"/>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794"/>
          </w:tabs>
          <w:ind w:left="369"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suff w:val="nothing"/>
        <w:lvlText w:val="%3.%4."/>
        <w:lvlJc w:val="left"/>
        <w:pPr>
          <w:tabs>
            <w:tab w:val="left" w:pos="794"/>
          </w:tabs>
          <w:ind w:left="737"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tabs>
            <w:tab w:val="left" w:pos="794"/>
          </w:tabs>
          <w:ind w:left="1628" w:hanging="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tabs>
            <w:tab w:val="left" w:pos="794"/>
          </w:tabs>
          <w:ind w:left="246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tabs>
            <w:tab w:val="left" w:pos="794"/>
          </w:tabs>
          <w:ind w:left="3033"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tabs>
            <w:tab w:val="left" w:pos="794"/>
          </w:tabs>
          <w:ind w:left="3600"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tabs>
            <w:tab w:val="left" w:pos="794"/>
          </w:tabs>
          <w:ind w:left="4308" w:hanging="1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autoHyphenation/>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ZDk5YjBhY2UwZWVhMGM1YzMxNGYxMjQyNTJlZDlmMDQifQ=="/>
  </w:docVars>
  <w:rsids>
    <w:rsidRoot w:val="00172A27"/>
    <w:rsid w:val="0022181C"/>
    <w:rsid w:val="002D79EB"/>
    <w:rsid w:val="00496DA9"/>
    <w:rsid w:val="004F037B"/>
    <w:rsid w:val="008419E6"/>
    <w:rsid w:val="00DF3269"/>
    <w:rsid w:val="00E865C2"/>
    <w:rsid w:val="010D3F29"/>
    <w:rsid w:val="011B0745"/>
    <w:rsid w:val="01205D5C"/>
    <w:rsid w:val="01246F8E"/>
    <w:rsid w:val="01390BCC"/>
    <w:rsid w:val="015123B9"/>
    <w:rsid w:val="016814B1"/>
    <w:rsid w:val="01B3097E"/>
    <w:rsid w:val="01C81F50"/>
    <w:rsid w:val="01CA216C"/>
    <w:rsid w:val="01F64D0F"/>
    <w:rsid w:val="02021905"/>
    <w:rsid w:val="027E2E67"/>
    <w:rsid w:val="028E0C91"/>
    <w:rsid w:val="02A05554"/>
    <w:rsid w:val="02B31281"/>
    <w:rsid w:val="02BF467B"/>
    <w:rsid w:val="02CF2ACF"/>
    <w:rsid w:val="02E903CF"/>
    <w:rsid w:val="02F254D6"/>
    <w:rsid w:val="0317208C"/>
    <w:rsid w:val="034E63AF"/>
    <w:rsid w:val="03597303"/>
    <w:rsid w:val="03675EC4"/>
    <w:rsid w:val="03771E7F"/>
    <w:rsid w:val="037A77FA"/>
    <w:rsid w:val="03822CFE"/>
    <w:rsid w:val="03836A76"/>
    <w:rsid w:val="039F0538"/>
    <w:rsid w:val="03A50FE5"/>
    <w:rsid w:val="03AB42BC"/>
    <w:rsid w:val="03B44E81"/>
    <w:rsid w:val="03BA37F9"/>
    <w:rsid w:val="03CD23AA"/>
    <w:rsid w:val="03CF3A69"/>
    <w:rsid w:val="03DB41BC"/>
    <w:rsid w:val="03E72B61"/>
    <w:rsid w:val="03FD1F8B"/>
    <w:rsid w:val="04304910"/>
    <w:rsid w:val="044C330C"/>
    <w:rsid w:val="0475708B"/>
    <w:rsid w:val="047C774D"/>
    <w:rsid w:val="04A03966"/>
    <w:rsid w:val="04D4161F"/>
    <w:rsid w:val="04D56C23"/>
    <w:rsid w:val="04E13A54"/>
    <w:rsid w:val="04E70FD9"/>
    <w:rsid w:val="050011E4"/>
    <w:rsid w:val="05031C1C"/>
    <w:rsid w:val="05045994"/>
    <w:rsid w:val="05110760"/>
    <w:rsid w:val="053C512E"/>
    <w:rsid w:val="054B711F"/>
    <w:rsid w:val="057B5C57"/>
    <w:rsid w:val="05921DC1"/>
    <w:rsid w:val="05B253F0"/>
    <w:rsid w:val="05D11D1B"/>
    <w:rsid w:val="05D9472B"/>
    <w:rsid w:val="06020126"/>
    <w:rsid w:val="060F639F"/>
    <w:rsid w:val="06204D41"/>
    <w:rsid w:val="062736E9"/>
    <w:rsid w:val="062A4F87"/>
    <w:rsid w:val="064A387B"/>
    <w:rsid w:val="0664493D"/>
    <w:rsid w:val="06856661"/>
    <w:rsid w:val="069A210C"/>
    <w:rsid w:val="06AD6228"/>
    <w:rsid w:val="06C842C0"/>
    <w:rsid w:val="06CA2B3E"/>
    <w:rsid w:val="06CB49BC"/>
    <w:rsid w:val="06CC597B"/>
    <w:rsid w:val="06E8731C"/>
    <w:rsid w:val="06F86E33"/>
    <w:rsid w:val="0704392D"/>
    <w:rsid w:val="07130434"/>
    <w:rsid w:val="073D27EE"/>
    <w:rsid w:val="077C1812"/>
    <w:rsid w:val="07852DBD"/>
    <w:rsid w:val="07935C2F"/>
    <w:rsid w:val="07941252"/>
    <w:rsid w:val="07961D7F"/>
    <w:rsid w:val="07990616"/>
    <w:rsid w:val="07A70F85"/>
    <w:rsid w:val="07AC2364"/>
    <w:rsid w:val="07B05960"/>
    <w:rsid w:val="07BC5D1D"/>
    <w:rsid w:val="07C5140B"/>
    <w:rsid w:val="07CC279A"/>
    <w:rsid w:val="07D135C2"/>
    <w:rsid w:val="07E31891"/>
    <w:rsid w:val="07E8334B"/>
    <w:rsid w:val="07FD6352"/>
    <w:rsid w:val="08300710"/>
    <w:rsid w:val="08806A5A"/>
    <w:rsid w:val="08A94889"/>
    <w:rsid w:val="08AB6503"/>
    <w:rsid w:val="08B33959"/>
    <w:rsid w:val="08D538D0"/>
    <w:rsid w:val="08F655F4"/>
    <w:rsid w:val="08FB2C0B"/>
    <w:rsid w:val="08FF6EB2"/>
    <w:rsid w:val="09005B8B"/>
    <w:rsid w:val="09016F25"/>
    <w:rsid w:val="09183EFB"/>
    <w:rsid w:val="09771034"/>
    <w:rsid w:val="097F383C"/>
    <w:rsid w:val="09940887"/>
    <w:rsid w:val="09AD65FB"/>
    <w:rsid w:val="09C63218"/>
    <w:rsid w:val="09D0288C"/>
    <w:rsid w:val="09DE67B4"/>
    <w:rsid w:val="09E142D2"/>
    <w:rsid w:val="09F71F65"/>
    <w:rsid w:val="0A0A1357"/>
    <w:rsid w:val="0A107574"/>
    <w:rsid w:val="0A3351A6"/>
    <w:rsid w:val="0A430D0D"/>
    <w:rsid w:val="0A6C2012"/>
    <w:rsid w:val="0A6C21D3"/>
    <w:rsid w:val="0A6C5DB4"/>
    <w:rsid w:val="0A9D041D"/>
    <w:rsid w:val="0A9D11AB"/>
    <w:rsid w:val="0AB855EC"/>
    <w:rsid w:val="0ADE2E5A"/>
    <w:rsid w:val="0AE93662"/>
    <w:rsid w:val="0AF04138"/>
    <w:rsid w:val="0B5605CC"/>
    <w:rsid w:val="0B7A5455"/>
    <w:rsid w:val="0BA2160F"/>
    <w:rsid w:val="0BA31E30"/>
    <w:rsid w:val="0BB27EF8"/>
    <w:rsid w:val="0BB41AD2"/>
    <w:rsid w:val="0BE76017"/>
    <w:rsid w:val="0C00517C"/>
    <w:rsid w:val="0C0447C3"/>
    <w:rsid w:val="0C06427E"/>
    <w:rsid w:val="0C14470F"/>
    <w:rsid w:val="0C19048D"/>
    <w:rsid w:val="0C47411E"/>
    <w:rsid w:val="0C48260B"/>
    <w:rsid w:val="0C6D3A42"/>
    <w:rsid w:val="0C770197"/>
    <w:rsid w:val="0C7E7DDA"/>
    <w:rsid w:val="0CA361D6"/>
    <w:rsid w:val="0CBC08D9"/>
    <w:rsid w:val="0CF4009D"/>
    <w:rsid w:val="0D0A4C50"/>
    <w:rsid w:val="0D116EA1"/>
    <w:rsid w:val="0D12423F"/>
    <w:rsid w:val="0D314E4D"/>
    <w:rsid w:val="0D3D2D3A"/>
    <w:rsid w:val="0D7C07BE"/>
    <w:rsid w:val="0D865199"/>
    <w:rsid w:val="0DC14423"/>
    <w:rsid w:val="0DD04666"/>
    <w:rsid w:val="0DDD0653"/>
    <w:rsid w:val="0DDF4AF7"/>
    <w:rsid w:val="0DF26CD2"/>
    <w:rsid w:val="0DF8302C"/>
    <w:rsid w:val="0E0802A4"/>
    <w:rsid w:val="0E0B53E2"/>
    <w:rsid w:val="0E296AD3"/>
    <w:rsid w:val="0E5E6115"/>
    <w:rsid w:val="0E62676B"/>
    <w:rsid w:val="0E6365CF"/>
    <w:rsid w:val="0E6D6359"/>
    <w:rsid w:val="0E786D61"/>
    <w:rsid w:val="0E813760"/>
    <w:rsid w:val="0E924011"/>
    <w:rsid w:val="0EB6385C"/>
    <w:rsid w:val="0EB67D00"/>
    <w:rsid w:val="0EC00B7E"/>
    <w:rsid w:val="0EC248F6"/>
    <w:rsid w:val="0EC817E1"/>
    <w:rsid w:val="0ECA5559"/>
    <w:rsid w:val="0EEC493A"/>
    <w:rsid w:val="0EEF3211"/>
    <w:rsid w:val="0F067E6B"/>
    <w:rsid w:val="0F492922"/>
    <w:rsid w:val="0F536490"/>
    <w:rsid w:val="0F5F3E1C"/>
    <w:rsid w:val="0F64150A"/>
    <w:rsid w:val="0F697EA6"/>
    <w:rsid w:val="0F904066"/>
    <w:rsid w:val="0F963313"/>
    <w:rsid w:val="0FA20C50"/>
    <w:rsid w:val="0FBA381F"/>
    <w:rsid w:val="0FBC30F4"/>
    <w:rsid w:val="0FC340D0"/>
    <w:rsid w:val="0FC37C6A"/>
    <w:rsid w:val="0FDF6FBD"/>
    <w:rsid w:val="0FE607F4"/>
    <w:rsid w:val="10150F4F"/>
    <w:rsid w:val="101C3B92"/>
    <w:rsid w:val="10262C63"/>
    <w:rsid w:val="102B1128"/>
    <w:rsid w:val="1057106E"/>
    <w:rsid w:val="108654B0"/>
    <w:rsid w:val="10B464C1"/>
    <w:rsid w:val="111243A2"/>
    <w:rsid w:val="11146F5F"/>
    <w:rsid w:val="114F2CFB"/>
    <w:rsid w:val="117479FE"/>
    <w:rsid w:val="11E626AA"/>
    <w:rsid w:val="1206262D"/>
    <w:rsid w:val="12086AC4"/>
    <w:rsid w:val="12301B77"/>
    <w:rsid w:val="12437225"/>
    <w:rsid w:val="124B075F"/>
    <w:rsid w:val="12743636"/>
    <w:rsid w:val="127759F8"/>
    <w:rsid w:val="129245E0"/>
    <w:rsid w:val="12957C2C"/>
    <w:rsid w:val="129C0FBA"/>
    <w:rsid w:val="12A54313"/>
    <w:rsid w:val="12C246D9"/>
    <w:rsid w:val="12C34799"/>
    <w:rsid w:val="12D60970"/>
    <w:rsid w:val="12F42BA4"/>
    <w:rsid w:val="13042C68"/>
    <w:rsid w:val="133D402C"/>
    <w:rsid w:val="136C4E31"/>
    <w:rsid w:val="13763F01"/>
    <w:rsid w:val="13854144"/>
    <w:rsid w:val="139A199E"/>
    <w:rsid w:val="13B011C1"/>
    <w:rsid w:val="13D50C28"/>
    <w:rsid w:val="13DD188A"/>
    <w:rsid w:val="14131750"/>
    <w:rsid w:val="14290F74"/>
    <w:rsid w:val="14465682"/>
    <w:rsid w:val="14522278"/>
    <w:rsid w:val="14651A9B"/>
    <w:rsid w:val="14740441"/>
    <w:rsid w:val="148736C7"/>
    <w:rsid w:val="148C5B51"/>
    <w:rsid w:val="14A5625F"/>
    <w:rsid w:val="14B13F64"/>
    <w:rsid w:val="14CF0E88"/>
    <w:rsid w:val="14E30C13"/>
    <w:rsid w:val="150D619F"/>
    <w:rsid w:val="1518799E"/>
    <w:rsid w:val="1548356B"/>
    <w:rsid w:val="15597692"/>
    <w:rsid w:val="156466C0"/>
    <w:rsid w:val="156A1844"/>
    <w:rsid w:val="157F52EF"/>
    <w:rsid w:val="159468C1"/>
    <w:rsid w:val="15B71C16"/>
    <w:rsid w:val="15BE749A"/>
    <w:rsid w:val="15CD7F7E"/>
    <w:rsid w:val="15DB44F0"/>
    <w:rsid w:val="15DB629E"/>
    <w:rsid w:val="15F35395"/>
    <w:rsid w:val="16585B40"/>
    <w:rsid w:val="16797D54"/>
    <w:rsid w:val="168E4310"/>
    <w:rsid w:val="16946B78"/>
    <w:rsid w:val="16DE6045"/>
    <w:rsid w:val="16E86EC4"/>
    <w:rsid w:val="170610F8"/>
    <w:rsid w:val="17210F62"/>
    <w:rsid w:val="1752433D"/>
    <w:rsid w:val="17795D6E"/>
    <w:rsid w:val="1787048B"/>
    <w:rsid w:val="17AC1CA0"/>
    <w:rsid w:val="17D53E06"/>
    <w:rsid w:val="17EC02EE"/>
    <w:rsid w:val="17FA20B2"/>
    <w:rsid w:val="181066D2"/>
    <w:rsid w:val="1824217E"/>
    <w:rsid w:val="183A374F"/>
    <w:rsid w:val="186B3909"/>
    <w:rsid w:val="18770500"/>
    <w:rsid w:val="187A14C5"/>
    <w:rsid w:val="18AA0263"/>
    <w:rsid w:val="18C9062F"/>
    <w:rsid w:val="18D3325C"/>
    <w:rsid w:val="18DD7BE4"/>
    <w:rsid w:val="18E53256"/>
    <w:rsid w:val="18F25DD8"/>
    <w:rsid w:val="18FF2467"/>
    <w:rsid w:val="19012FA1"/>
    <w:rsid w:val="19017DC9"/>
    <w:rsid w:val="190D2C12"/>
    <w:rsid w:val="191C0A27"/>
    <w:rsid w:val="193C6818"/>
    <w:rsid w:val="1945415A"/>
    <w:rsid w:val="19744A3F"/>
    <w:rsid w:val="198B468B"/>
    <w:rsid w:val="19A239ED"/>
    <w:rsid w:val="19C43271"/>
    <w:rsid w:val="19D96F98"/>
    <w:rsid w:val="19FD2C86"/>
    <w:rsid w:val="19FE6DB7"/>
    <w:rsid w:val="1A020B05"/>
    <w:rsid w:val="1A0F6516"/>
    <w:rsid w:val="1A231FC1"/>
    <w:rsid w:val="1A255C1D"/>
    <w:rsid w:val="1A342832"/>
    <w:rsid w:val="1A445D6D"/>
    <w:rsid w:val="1A5605E9"/>
    <w:rsid w:val="1A58610F"/>
    <w:rsid w:val="1A613215"/>
    <w:rsid w:val="1A66082C"/>
    <w:rsid w:val="1A772A39"/>
    <w:rsid w:val="1A82318C"/>
    <w:rsid w:val="1A8A3B6A"/>
    <w:rsid w:val="1AAB3D38"/>
    <w:rsid w:val="1AB07CF9"/>
    <w:rsid w:val="1AB31597"/>
    <w:rsid w:val="1AC6384D"/>
    <w:rsid w:val="1ACB4B33"/>
    <w:rsid w:val="1ADD03C2"/>
    <w:rsid w:val="1ADF4C48"/>
    <w:rsid w:val="1AE9320B"/>
    <w:rsid w:val="1AF44089"/>
    <w:rsid w:val="1B0342CC"/>
    <w:rsid w:val="1B3D7BBC"/>
    <w:rsid w:val="1B4575BC"/>
    <w:rsid w:val="1B4D6472"/>
    <w:rsid w:val="1B5423C7"/>
    <w:rsid w:val="1B61747D"/>
    <w:rsid w:val="1B7A3E63"/>
    <w:rsid w:val="1BCD48DA"/>
    <w:rsid w:val="1BDE0896"/>
    <w:rsid w:val="1BE85313"/>
    <w:rsid w:val="1C093B64"/>
    <w:rsid w:val="1C1F5136"/>
    <w:rsid w:val="1C202C5C"/>
    <w:rsid w:val="1C3B7A96"/>
    <w:rsid w:val="1C4C1CA3"/>
    <w:rsid w:val="1C705992"/>
    <w:rsid w:val="1CAB69CA"/>
    <w:rsid w:val="1CAC7A47"/>
    <w:rsid w:val="1CBF4223"/>
    <w:rsid w:val="1CEE086C"/>
    <w:rsid w:val="1D33076D"/>
    <w:rsid w:val="1D3C5874"/>
    <w:rsid w:val="1D3E783E"/>
    <w:rsid w:val="1D540E0F"/>
    <w:rsid w:val="1DC835AB"/>
    <w:rsid w:val="1DD3532F"/>
    <w:rsid w:val="1DD72298"/>
    <w:rsid w:val="1DE008F5"/>
    <w:rsid w:val="1DE81558"/>
    <w:rsid w:val="1DFC3603"/>
    <w:rsid w:val="1E366767"/>
    <w:rsid w:val="1E4264DB"/>
    <w:rsid w:val="1E5815DB"/>
    <w:rsid w:val="1E6F3A27"/>
    <w:rsid w:val="1E937715"/>
    <w:rsid w:val="1E9D3BAA"/>
    <w:rsid w:val="1EA16B17"/>
    <w:rsid w:val="1EC41FC5"/>
    <w:rsid w:val="1ECE699F"/>
    <w:rsid w:val="1EDB2E6A"/>
    <w:rsid w:val="1EE50723"/>
    <w:rsid w:val="1EFE60DC"/>
    <w:rsid w:val="1F0517EE"/>
    <w:rsid w:val="1F114ADE"/>
    <w:rsid w:val="1F1F169B"/>
    <w:rsid w:val="1F226CEB"/>
    <w:rsid w:val="1F69491A"/>
    <w:rsid w:val="1F7312F5"/>
    <w:rsid w:val="1F8359DC"/>
    <w:rsid w:val="1F874D48"/>
    <w:rsid w:val="1F933745"/>
    <w:rsid w:val="1FB02549"/>
    <w:rsid w:val="1FB21E1D"/>
    <w:rsid w:val="1FC3227C"/>
    <w:rsid w:val="1FC3643E"/>
    <w:rsid w:val="1FCB7383"/>
    <w:rsid w:val="1FF67308"/>
    <w:rsid w:val="204212DB"/>
    <w:rsid w:val="204F3C3D"/>
    <w:rsid w:val="205127A7"/>
    <w:rsid w:val="20656BE4"/>
    <w:rsid w:val="206F41B2"/>
    <w:rsid w:val="206F7D0E"/>
    <w:rsid w:val="208E288A"/>
    <w:rsid w:val="20B9542D"/>
    <w:rsid w:val="20BD4F1E"/>
    <w:rsid w:val="20E24E4E"/>
    <w:rsid w:val="20EE3329"/>
    <w:rsid w:val="2100305C"/>
    <w:rsid w:val="2101510F"/>
    <w:rsid w:val="210448FA"/>
    <w:rsid w:val="210A5424"/>
    <w:rsid w:val="213024A8"/>
    <w:rsid w:val="213B5E42"/>
    <w:rsid w:val="21570D2F"/>
    <w:rsid w:val="215C6000"/>
    <w:rsid w:val="21B31E7D"/>
    <w:rsid w:val="21B51B29"/>
    <w:rsid w:val="21C61BB0"/>
    <w:rsid w:val="21E93AF0"/>
    <w:rsid w:val="220770D0"/>
    <w:rsid w:val="22437BC1"/>
    <w:rsid w:val="224A005A"/>
    <w:rsid w:val="22521696"/>
    <w:rsid w:val="226433B5"/>
    <w:rsid w:val="22A77C33"/>
    <w:rsid w:val="22CC769A"/>
    <w:rsid w:val="22CD2E1E"/>
    <w:rsid w:val="23250B58"/>
    <w:rsid w:val="23333275"/>
    <w:rsid w:val="23385156"/>
    <w:rsid w:val="2343013F"/>
    <w:rsid w:val="236B6EB3"/>
    <w:rsid w:val="239A7798"/>
    <w:rsid w:val="23C95987"/>
    <w:rsid w:val="23CE7442"/>
    <w:rsid w:val="23D840DC"/>
    <w:rsid w:val="23D902C0"/>
    <w:rsid w:val="23E03462"/>
    <w:rsid w:val="23E46C65"/>
    <w:rsid w:val="23FA3D93"/>
    <w:rsid w:val="23FE7D27"/>
    <w:rsid w:val="242B51D6"/>
    <w:rsid w:val="244533BB"/>
    <w:rsid w:val="2477399E"/>
    <w:rsid w:val="24C90335"/>
    <w:rsid w:val="24D52ACA"/>
    <w:rsid w:val="24DE66FD"/>
    <w:rsid w:val="24E24F53"/>
    <w:rsid w:val="25494F88"/>
    <w:rsid w:val="2562055F"/>
    <w:rsid w:val="2582786B"/>
    <w:rsid w:val="25836130"/>
    <w:rsid w:val="259124D5"/>
    <w:rsid w:val="25916979"/>
    <w:rsid w:val="25AC730F"/>
    <w:rsid w:val="25C66622"/>
    <w:rsid w:val="25C94535"/>
    <w:rsid w:val="25D83412"/>
    <w:rsid w:val="25E2189B"/>
    <w:rsid w:val="25FF38E2"/>
    <w:rsid w:val="26146CC1"/>
    <w:rsid w:val="26200F65"/>
    <w:rsid w:val="26321905"/>
    <w:rsid w:val="26461511"/>
    <w:rsid w:val="26551754"/>
    <w:rsid w:val="265B6B76"/>
    <w:rsid w:val="2661459D"/>
    <w:rsid w:val="268C1C8F"/>
    <w:rsid w:val="269B7AAF"/>
    <w:rsid w:val="26B50445"/>
    <w:rsid w:val="26B97F35"/>
    <w:rsid w:val="26C1503C"/>
    <w:rsid w:val="26C30DB4"/>
    <w:rsid w:val="26CD39E1"/>
    <w:rsid w:val="26D92385"/>
    <w:rsid w:val="2701753B"/>
    <w:rsid w:val="27160EE4"/>
    <w:rsid w:val="27372942"/>
    <w:rsid w:val="27595855"/>
    <w:rsid w:val="27743E5C"/>
    <w:rsid w:val="27916D39"/>
    <w:rsid w:val="281C1896"/>
    <w:rsid w:val="28277120"/>
    <w:rsid w:val="28335AC5"/>
    <w:rsid w:val="285223EF"/>
    <w:rsid w:val="285C6DCA"/>
    <w:rsid w:val="28665E9B"/>
    <w:rsid w:val="292A336C"/>
    <w:rsid w:val="29323FCF"/>
    <w:rsid w:val="293D1533"/>
    <w:rsid w:val="296D5007"/>
    <w:rsid w:val="29820AB2"/>
    <w:rsid w:val="29825151"/>
    <w:rsid w:val="29942CFB"/>
    <w:rsid w:val="29CE3CF8"/>
    <w:rsid w:val="29F319B0"/>
    <w:rsid w:val="2A050C55"/>
    <w:rsid w:val="2A0F7956"/>
    <w:rsid w:val="2A1C0F07"/>
    <w:rsid w:val="2A1C2CB5"/>
    <w:rsid w:val="2A355B25"/>
    <w:rsid w:val="2A4144C9"/>
    <w:rsid w:val="2A440DA7"/>
    <w:rsid w:val="2A9036A3"/>
    <w:rsid w:val="2ABE3D6C"/>
    <w:rsid w:val="2B0E216A"/>
    <w:rsid w:val="2B113E8A"/>
    <w:rsid w:val="2B4C581C"/>
    <w:rsid w:val="2B560448"/>
    <w:rsid w:val="2B6D4A95"/>
    <w:rsid w:val="2B824D8E"/>
    <w:rsid w:val="2B936FA7"/>
    <w:rsid w:val="2BA77B9F"/>
    <w:rsid w:val="2BB77B14"/>
    <w:rsid w:val="2BD17360"/>
    <w:rsid w:val="2BD407D3"/>
    <w:rsid w:val="2BD63337"/>
    <w:rsid w:val="2BE5597A"/>
    <w:rsid w:val="2BF51A0F"/>
    <w:rsid w:val="2C163734"/>
    <w:rsid w:val="2C6170A5"/>
    <w:rsid w:val="2C8B2374"/>
    <w:rsid w:val="2C8D2853"/>
    <w:rsid w:val="2C974E26"/>
    <w:rsid w:val="2C9E20A7"/>
    <w:rsid w:val="2CF00429"/>
    <w:rsid w:val="2CF87DF0"/>
    <w:rsid w:val="2D0F3CDE"/>
    <w:rsid w:val="2D200D0E"/>
    <w:rsid w:val="2D276F12"/>
    <w:rsid w:val="2D4C4B17"/>
    <w:rsid w:val="2D6D3827"/>
    <w:rsid w:val="2D9E7E85"/>
    <w:rsid w:val="2DB01A81"/>
    <w:rsid w:val="2DB11966"/>
    <w:rsid w:val="2DB16913"/>
    <w:rsid w:val="2DB87C21"/>
    <w:rsid w:val="2DDB0890"/>
    <w:rsid w:val="2DE627A4"/>
    <w:rsid w:val="2DEA594F"/>
    <w:rsid w:val="2E0C3040"/>
    <w:rsid w:val="2E187C37"/>
    <w:rsid w:val="2E292649"/>
    <w:rsid w:val="2E2E2FB7"/>
    <w:rsid w:val="2E647959"/>
    <w:rsid w:val="2E6E6F1B"/>
    <w:rsid w:val="2E8B665B"/>
    <w:rsid w:val="2EBE1C1E"/>
    <w:rsid w:val="2ECE7EEB"/>
    <w:rsid w:val="2EF41A6B"/>
    <w:rsid w:val="2F202202"/>
    <w:rsid w:val="2F25085E"/>
    <w:rsid w:val="2F2A7EF0"/>
    <w:rsid w:val="2F2C0968"/>
    <w:rsid w:val="2F2D14C0"/>
    <w:rsid w:val="2F414F6C"/>
    <w:rsid w:val="2F4405B8"/>
    <w:rsid w:val="2F5C167B"/>
    <w:rsid w:val="2F7B222C"/>
    <w:rsid w:val="2F911D08"/>
    <w:rsid w:val="2F972377"/>
    <w:rsid w:val="2FC516F9"/>
    <w:rsid w:val="2FD95AA9"/>
    <w:rsid w:val="2FE04785"/>
    <w:rsid w:val="2FEA5603"/>
    <w:rsid w:val="2FF72146"/>
    <w:rsid w:val="30281C88"/>
    <w:rsid w:val="30442F65"/>
    <w:rsid w:val="30471310"/>
    <w:rsid w:val="3049057C"/>
    <w:rsid w:val="307B625B"/>
    <w:rsid w:val="308E5F8F"/>
    <w:rsid w:val="30CD2F5B"/>
    <w:rsid w:val="30F4641B"/>
    <w:rsid w:val="31232B7B"/>
    <w:rsid w:val="313703D4"/>
    <w:rsid w:val="31573EDF"/>
    <w:rsid w:val="315F792B"/>
    <w:rsid w:val="317A6513"/>
    <w:rsid w:val="317E24A7"/>
    <w:rsid w:val="31B831EF"/>
    <w:rsid w:val="31FE5396"/>
    <w:rsid w:val="32052280"/>
    <w:rsid w:val="325D3E6B"/>
    <w:rsid w:val="3268280F"/>
    <w:rsid w:val="329A50BF"/>
    <w:rsid w:val="32A41A99"/>
    <w:rsid w:val="32A970B0"/>
    <w:rsid w:val="32BC78CA"/>
    <w:rsid w:val="32C472D1"/>
    <w:rsid w:val="32E4633A"/>
    <w:rsid w:val="32F2733C"/>
    <w:rsid w:val="332350B4"/>
    <w:rsid w:val="33274478"/>
    <w:rsid w:val="33281175"/>
    <w:rsid w:val="334868C9"/>
    <w:rsid w:val="335334BF"/>
    <w:rsid w:val="335F3C12"/>
    <w:rsid w:val="336F4FB7"/>
    <w:rsid w:val="337C3CFB"/>
    <w:rsid w:val="33802506"/>
    <w:rsid w:val="3388628A"/>
    <w:rsid w:val="33957634"/>
    <w:rsid w:val="339A68C0"/>
    <w:rsid w:val="33B91574"/>
    <w:rsid w:val="33C85C5B"/>
    <w:rsid w:val="33E800AC"/>
    <w:rsid w:val="34056B22"/>
    <w:rsid w:val="340F5638"/>
    <w:rsid w:val="34272982"/>
    <w:rsid w:val="346416B2"/>
    <w:rsid w:val="34A9783B"/>
    <w:rsid w:val="34B06DA2"/>
    <w:rsid w:val="34E645EB"/>
    <w:rsid w:val="34EA24D1"/>
    <w:rsid w:val="34EC5EE7"/>
    <w:rsid w:val="350C7DCA"/>
    <w:rsid w:val="352944D8"/>
    <w:rsid w:val="35411821"/>
    <w:rsid w:val="35447564"/>
    <w:rsid w:val="355A28E3"/>
    <w:rsid w:val="355E2F6D"/>
    <w:rsid w:val="356308E1"/>
    <w:rsid w:val="35652F94"/>
    <w:rsid w:val="3583008C"/>
    <w:rsid w:val="358F7271"/>
    <w:rsid w:val="35BC70FA"/>
    <w:rsid w:val="36421CF5"/>
    <w:rsid w:val="36422044"/>
    <w:rsid w:val="36631C6B"/>
    <w:rsid w:val="3667350A"/>
    <w:rsid w:val="368D6CE8"/>
    <w:rsid w:val="36963991"/>
    <w:rsid w:val="36AF58BA"/>
    <w:rsid w:val="36E238F2"/>
    <w:rsid w:val="36E64C78"/>
    <w:rsid w:val="37021484"/>
    <w:rsid w:val="37052D23"/>
    <w:rsid w:val="37054AD1"/>
    <w:rsid w:val="371A057C"/>
    <w:rsid w:val="3727713D"/>
    <w:rsid w:val="378D6FA0"/>
    <w:rsid w:val="37953035"/>
    <w:rsid w:val="379E73FF"/>
    <w:rsid w:val="37A95DA4"/>
    <w:rsid w:val="37A9721E"/>
    <w:rsid w:val="37CF6EFA"/>
    <w:rsid w:val="37DE2259"/>
    <w:rsid w:val="37E364F8"/>
    <w:rsid w:val="37E835E6"/>
    <w:rsid w:val="37EF1A09"/>
    <w:rsid w:val="380948A8"/>
    <w:rsid w:val="387D2C34"/>
    <w:rsid w:val="389820A0"/>
    <w:rsid w:val="38A94AC6"/>
    <w:rsid w:val="38CF5396"/>
    <w:rsid w:val="38D17360"/>
    <w:rsid w:val="38ED3A6E"/>
    <w:rsid w:val="38F117B0"/>
    <w:rsid w:val="38FC6341"/>
    <w:rsid w:val="392A2FD6"/>
    <w:rsid w:val="39735E31"/>
    <w:rsid w:val="3984024A"/>
    <w:rsid w:val="398D52E8"/>
    <w:rsid w:val="39A56C9A"/>
    <w:rsid w:val="39DC46AD"/>
    <w:rsid w:val="39DF0647"/>
    <w:rsid w:val="39DF5AAD"/>
    <w:rsid w:val="39E82BB3"/>
    <w:rsid w:val="3A0A28F0"/>
    <w:rsid w:val="3A1E0383"/>
    <w:rsid w:val="3A3A2CE3"/>
    <w:rsid w:val="3A3D1370"/>
    <w:rsid w:val="3A687850"/>
    <w:rsid w:val="3A810912"/>
    <w:rsid w:val="3A916DA7"/>
    <w:rsid w:val="3A9728E5"/>
    <w:rsid w:val="3A9E3272"/>
    <w:rsid w:val="3ABB0B9F"/>
    <w:rsid w:val="3ABE3E17"/>
    <w:rsid w:val="3AC3717D"/>
    <w:rsid w:val="3ACE5550"/>
    <w:rsid w:val="3B181227"/>
    <w:rsid w:val="3B3F4A55"/>
    <w:rsid w:val="3B5D59FC"/>
    <w:rsid w:val="3B783AC3"/>
    <w:rsid w:val="3BA23236"/>
    <w:rsid w:val="3BE03E4B"/>
    <w:rsid w:val="3BF11398"/>
    <w:rsid w:val="3BF82E56"/>
    <w:rsid w:val="3BFE66BE"/>
    <w:rsid w:val="3BFF41E4"/>
    <w:rsid w:val="3C29300F"/>
    <w:rsid w:val="3C4816E7"/>
    <w:rsid w:val="3C485B8B"/>
    <w:rsid w:val="3C7050E2"/>
    <w:rsid w:val="3C722C08"/>
    <w:rsid w:val="3C7D69A0"/>
    <w:rsid w:val="3CA07775"/>
    <w:rsid w:val="3CB95BEC"/>
    <w:rsid w:val="3CD0382F"/>
    <w:rsid w:val="3CD731FA"/>
    <w:rsid w:val="3CE31410"/>
    <w:rsid w:val="3CE75344"/>
    <w:rsid w:val="3CEC13FB"/>
    <w:rsid w:val="3D0F3657"/>
    <w:rsid w:val="3D283E2E"/>
    <w:rsid w:val="3D311C7C"/>
    <w:rsid w:val="3D314F60"/>
    <w:rsid w:val="3D51450F"/>
    <w:rsid w:val="3D7A7FC6"/>
    <w:rsid w:val="3D9A01BF"/>
    <w:rsid w:val="3DC56D68"/>
    <w:rsid w:val="3DE14D86"/>
    <w:rsid w:val="3DEA1C65"/>
    <w:rsid w:val="3DFE6287"/>
    <w:rsid w:val="3E2B12C1"/>
    <w:rsid w:val="3E300685"/>
    <w:rsid w:val="3E334648"/>
    <w:rsid w:val="3E8F2F56"/>
    <w:rsid w:val="3E905FDD"/>
    <w:rsid w:val="3E950E30"/>
    <w:rsid w:val="3EA01CAF"/>
    <w:rsid w:val="3EA3354D"/>
    <w:rsid w:val="3EA6303D"/>
    <w:rsid w:val="3EB23790"/>
    <w:rsid w:val="3EB75E31"/>
    <w:rsid w:val="3F285800"/>
    <w:rsid w:val="3F2D1069"/>
    <w:rsid w:val="3F3142F6"/>
    <w:rsid w:val="3F3D5750"/>
    <w:rsid w:val="3F47306E"/>
    <w:rsid w:val="3F5900B0"/>
    <w:rsid w:val="3F6A7BC7"/>
    <w:rsid w:val="3F84512C"/>
    <w:rsid w:val="3F907AAE"/>
    <w:rsid w:val="3FA535C4"/>
    <w:rsid w:val="3FCDEEBF"/>
    <w:rsid w:val="3FCF2120"/>
    <w:rsid w:val="40224945"/>
    <w:rsid w:val="40490124"/>
    <w:rsid w:val="405C1C05"/>
    <w:rsid w:val="40784565"/>
    <w:rsid w:val="4080090B"/>
    <w:rsid w:val="40F57964"/>
    <w:rsid w:val="411424E0"/>
    <w:rsid w:val="412D5350"/>
    <w:rsid w:val="413C601E"/>
    <w:rsid w:val="41576FCE"/>
    <w:rsid w:val="41652D3C"/>
    <w:rsid w:val="41827025"/>
    <w:rsid w:val="41D103D1"/>
    <w:rsid w:val="41DF489C"/>
    <w:rsid w:val="41E55C2A"/>
    <w:rsid w:val="42072045"/>
    <w:rsid w:val="422A4671"/>
    <w:rsid w:val="42442951"/>
    <w:rsid w:val="4247760D"/>
    <w:rsid w:val="42552DB0"/>
    <w:rsid w:val="427174BE"/>
    <w:rsid w:val="42817701"/>
    <w:rsid w:val="42975177"/>
    <w:rsid w:val="42A669C7"/>
    <w:rsid w:val="42B5709F"/>
    <w:rsid w:val="42D02437"/>
    <w:rsid w:val="42D22076"/>
    <w:rsid w:val="42DC527F"/>
    <w:rsid w:val="42E67EAC"/>
    <w:rsid w:val="42EF6D61"/>
    <w:rsid w:val="430976F7"/>
    <w:rsid w:val="431F335A"/>
    <w:rsid w:val="434626F9"/>
    <w:rsid w:val="43476C06"/>
    <w:rsid w:val="4368266F"/>
    <w:rsid w:val="436A4639"/>
    <w:rsid w:val="43860D47"/>
    <w:rsid w:val="43B104BA"/>
    <w:rsid w:val="43DB1093"/>
    <w:rsid w:val="43F54F5F"/>
    <w:rsid w:val="43FC367F"/>
    <w:rsid w:val="440A0718"/>
    <w:rsid w:val="440A3726"/>
    <w:rsid w:val="443D73B6"/>
    <w:rsid w:val="44450866"/>
    <w:rsid w:val="4456696C"/>
    <w:rsid w:val="445D6B00"/>
    <w:rsid w:val="44812655"/>
    <w:rsid w:val="44923F76"/>
    <w:rsid w:val="449D459A"/>
    <w:rsid w:val="44AE49FA"/>
    <w:rsid w:val="44D73574"/>
    <w:rsid w:val="4530540F"/>
    <w:rsid w:val="457230A7"/>
    <w:rsid w:val="457C0654"/>
    <w:rsid w:val="45876B5F"/>
    <w:rsid w:val="458C75ED"/>
    <w:rsid w:val="45A73923"/>
    <w:rsid w:val="45C049E4"/>
    <w:rsid w:val="45D90A36"/>
    <w:rsid w:val="45F4643C"/>
    <w:rsid w:val="46020B59"/>
    <w:rsid w:val="46317690"/>
    <w:rsid w:val="464473C4"/>
    <w:rsid w:val="464F7B16"/>
    <w:rsid w:val="465F5FAB"/>
    <w:rsid w:val="466C2476"/>
    <w:rsid w:val="467D4684"/>
    <w:rsid w:val="469F2023"/>
    <w:rsid w:val="46A240EA"/>
    <w:rsid w:val="46AB28D0"/>
    <w:rsid w:val="46ED7A5B"/>
    <w:rsid w:val="471A6376"/>
    <w:rsid w:val="471F1BDF"/>
    <w:rsid w:val="472471F5"/>
    <w:rsid w:val="473531B0"/>
    <w:rsid w:val="4799729B"/>
    <w:rsid w:val="47C85507"/>
    <w:rsid w:val="47CD163B"/>
    <w:rsid w:val="47F70466"/>
    <w:rsid w:val="48097EF8"/>
    <w:rsid w:val="481132D5"/>
    <w:rsid w:val="482374AD"/>
    <w:rsid w:val="482D3E87"/>
    <w:rsid w:val="48411962"/>
    <w:rsid w:val="484713ED"/>
    <w:rsid w:val="4856518C"/>
    <w:rsid w:val="485803E8"/>
    <w:rsid w:val="4859664A"/>
    <w:rsid w:val="48C46BDF"/>
    <w:rsid w:val="48C64691"/>
    <w:rsid w:val="48E00EFA"/>
    <w:rsid w:val="48F055E1"/>
    <w:rsid w:val="48FB6052"/>
    <w:rsid w:val="49001FC6"/>
    <w:rsid w:val="49025314"/>
    <w:rsid w:val="491E248E"/>
    <w:rsid w:val="49227764"/>
    <w:rsid w:val="4924400E"/>
    <w:rsid w:val="4961028C"/>
    <w:rsid w:val="4975729C"/>
    <w:rsid w:val="49926698"/>
    <w:rsid w:val="49971F00"/>
    <w:rsid w:val="4998151D"/>
    <w:rsid w:val="49B44860"/>
    <w:rsid w:val="49B455E9"/>
    <w:rsid w:val="49C425C9"/>
    <w:rsid w:val="49E10C6B"/>
    <w:rsid w:val="49F43F85"/>
    <w:rsid w:val="4A0C42CA"/>
    <w:rsid w:val="4A211593"/>
    <w:rsid w:val="4A235542"/>
    <w:rsid w:val="4A3D2AA8"/>
    <w:rsid w:val="4A4200BE"/>
    <w:rsid w:val="4A7E09CA"/>
    <w:rsid w:val="4AB64608"/>
    <w:rsid w:val="4ABB2740"/>
    <w:rsid w:val="4AD024E2"/>
    <w:rsid w:val="4AD55B10"/>
    <w:rsid w:val="4ADA02F6"/>
    <w:rsid w:val="4ADF76BB"/>
    <w:rsid w:val="4B1A6945"/>
    <w:rsid w:val="4B1F21AD"/>
    <w:rsid w:val="4B4D6D1A"/>
    <w:rsid w:val="4B6141D4"/>
    <w:rsid w:val="4B797B0F"/>
    <w:rsid w:val="4BC43AE7"/>
    <w:rsid w:val="4BD44D46"/>
    <w:rsid w:val="4C18061B"/>
    <w:rsid w:val="4C1930A0"/>
    <w:rsid w:val="4C33229E"/>
    <w:rsid w:val="4C5E0AB3"/>
    <w:rsid w:val="4C742085"/>
    <w:rsid w:val="4CA63FAC"/>
    <w:rsid w:val="4CAC5CC3"/>
    <w:rsid w:val="4CCE79E7"/>
    <w:rsid w:val="4CE74F4D"/>
    <w:rsid w:val="4CEA432C"/>
    <w:rsid w:val="4D106251"/>
    <w:rsid w:val="4D275349"/>
    <w:rsid w:val="4D3118D2"/>
    <w:rsid w:val="4D381304"/>
    <w:rsid w:val="4D7BE87F"/>
    <w:rsid w:val="4D8311E5"/>
    <w:rsid w:val="4DBE5CAD"/>
    <w:rsid w:val="4DD51249"/>
    <w:rsid w:val="4DDB5B1A"/>
    <w:rsid w:val="4DFC0584"/>
    <w:rsid w:val="4E261AA5"/>
    <w:rsid w:val="4E2A3A23"/>
    <w:rsid w:val="4E481A1B"/>
    <w:rsid w:val="4E4D784F"/>
    <w:rsid w:val="4E5C54C6"/>
    <w:rsid w:val="4E6D1482"/>
    <w:rsid w:val="4E742810"/>
    <w:rsid w:val="4E915170"/>
    <w:rsid w:val="4ECC75F6"/>
    <w:rsid w:val="4ED95E1D"/>
    <w:rsid w:val="4EEB759A"/>
    <w:rsid w:val="4EEE2FCC"/>
    <w:rsid w:val="4F027E1C"/>
    <w:rsid w:val="4F0D7A56"/>
    <w:rsid w:val="4F2C30EB"/>
    <w:rsid w:val="4F3F2E1E"/>
    <w:rsid w:val="4F6B0EDA"/>
    <w:rsid w:val="4F8C1889"/>
    <w:rsid w:val="4F98252E"/>
    <w:rsid w:val="4F9E68F3"/>
    <w:rsid w:val="4FE97ED7"/>
    <w:rsid w:val="4FF05FA2"/>
    <w:rsid w:val="4FFF733B"/>
    <w:rsid w:val="501A5708"/>
    <w:rsid w:val="50334005"/>
    <w:rsid w:val="50406E4E"/>
    <w:rsid w:val="50447FC0"/>
    <w:rsid w:val="50680152"/>
    <w:rsid w:val="506F14E1"/>
    <w:rsid w:val="50760AC1"/>
    <w:rsid w:val="50812FC2"/>
    <w:rsid w:val="508A00C9"/>
    <w:rsid w:val="508C084B"/>
    <w:rsid w:val="50AF4B87"/>
    <w:rsid w:val="51204CCA"/>
    <w:rsid w:val="51340035"/>
    <w:rsid w:val="5167665C"/>
    <w:rsid w:val="51B254E8"/>
    <w:rsid w:val="51DC2BA6"/>
    <w:rsid w:val="51F06651"/>
    <w:rsid w:val="51FF0643"/>
    <w:rsid w:val="521A547C"/>
    <w:rsid w:val="5244074B"/>
    <w:rsid w:val="52453F12"/>
    <w:rsid w:val="52513C5E"/>
    <w:rsid w:val="527065E1"/>
    <w:rsid w:val="528648C0"/>
    <w:rsid w:val="528B4639"/>
    <w:rsid w:val="52A03BD4"/>
    <w:rsid w:val="52AD62F0"/>
    <w:rsid w:val="52D7336D"/>
    <w:rsid w:val="52F7756C"/>
    <w:rsid w:val="52FE6B4C"/>
    <w:rsid w:val="53073C53"/>
    <w:rsid w:val="53114AD1"/>
    <w:rsid w:val="53191BD8"/>
    <w:rsid w:val="53332C9A"/>
    <w:rsid w:val="53530C46"/>
    <w:rsid w:val="53630A58"/>
    <w:rsid w:val="538E1256"/>
    <w:rsid w:val="53980D4F"/>
    <w:rsid w:val="539E248C"/>
    <w:rsid w:val="53BD2563"/>
    <w:rsid w:val="53C80274"/>
    <w:rsid w:val="53DB079D"/>
    <w:rsid w:val="53DB6FE6"/>
    <w:rsid w:val="53E73033"/>
    <w:rsid w:val="542D76E9"/>
    <w:rsid w:val="54B30CE2"/>
    <w:rsid w:val="54C33BA9"/>
    <w:rsid w:val="54C97EA8"/>
    <w:rsid w:val="54F226E1"/>
    <w:rsid w:val="54F40207"/>
    <w:rsid w:val="54FC14BF"/>
    <w:rsid w:val="550F1C57"/>
    <w:rsid w:val="552B174F"/>
    <w:rsid w:val="55596190"/>
    <w:rsid w:val="555E38D2"/>
    <w:rsid w:val="5563713A"/>
    <w:rsid w:val="556C5957"/>
    <w:rsid w:val="5583158B"/>
    <w:rsid w:val="5588094F"/>
    <w:rsid w:val="55915A56"/>
    <w:rsid w:val="5593041E"/>
    <w:rsid w:val="55AC383B"/>
    <w:rsid w:val="55B150E9"/>
    <w:rsid w:val="55CD51E6"/>
    <w:rsid w:val="55E262B1"/>
    <w:rsid w:val="55F61D5C"/>
    <w:rsid w:val="563E5F8F"/>
    <w:rsid w:val="565F5B54"/>
    <w:rsid w:val="566B44F9"/>
    <w:rsid w:val="566B62A7"/>
    <w:rsid w:val="56A1616C"/>
    <w:rsid w:val="56AD68BF"/>
    <w:rsid w:val="56B0752C"/>
    <w:rsid w:val="56B21B7F"/>
    <w:rsid w:val="56C40D83"/>
    <w:rsid w:val="56F07CCD"/>
    <w:rsid w:val="570407C2"/>
    <w:rsid w:val="5717642E"/>
    <w:rsid w:val="57631674"/>
    <w:rsid w:val="577B07BF"/>
    <w:rsid w:val="577B4C0F"/>
    <w:rsid w:val="578735B4"/>
    <w:rsid w:val="57996E43"/>
    <w:rsid w:val="57A07817"/>
    <w:rsid w:val="57E427B4"/>
    <w:rsid w:val="580F7106"/>
    <w:rsid w:val="584119B5"/>
    <w:rsid w:val="58501BF8"/>
    <w:rsid w:val="5875165E"/>
    <w:rsid w:val="58751A0D"/>
    <w:rsid w:val="587E5B65"/>
    <w:rsid w:val="58906498"/>
    <w:rsid w:val="589F0489"/>
    <w:rsid w:val="58AD0DF8"/>
    <w:rsid w:val="58BE7660"/>
    <w:rsid w:val="58C83E84"/>
    <w:rsid w:val="58D565A1"/>
    <w:rsid w:val="58E57399"/>
    <w:rsid w:val="58EA504B"/>
    <w:rsid w:val="58F81921"/>
    <w:rsid w:val="59416989"/>
    <w:rsid w:val="59643000"/>
    <w:rsid w:val="59B14918"/>
    <w:rsid w:val="5A032C9A"/>
    <w:rsid w:val="5A1956B6"/>
    <w:rsid w:val="5A377623"/>
    <w:rsid w:val="5A3A2B60"/>
    <w:rsid w:val="5A4968FF"/>
    <w:rsid w:val="5A497DF4"/>
    <w:rsid w:val="5A4A2677"/>
    <w:rsid w:val="5A4C14BB"/>
    <w:rsid w:val="5A56101C"/>
    <w:rsid w:val="5A883F4B"/>
    <w:rsid w:val="5A8C2C8F"/>
    <w:rsid w:val="5A955450"/>
    <w:rsid w:val="5AAE4448"/>
    <w:rsid w:val="5AB521E6"/>
    <w:rsid w:val="5AB83A84"/>
    <w:rsid w:val="5ADE798F"/>
    <w:rsid w:val="5B24111A"/>
    <w:rsid w:val="5B555777"/>
    <w:rsid w:val="5B5646CD"/>
    <w:rsid w:val="5B6D5BEC"/>
    <w:rsid w:val="5B7655A5"/>
    <w:rsid w:val="5B7A6569"/>
    <w:rsid w:val="5B7C4AB2"/>
    <w:rsid w:val="5B9067AF"/>
    <w:rsid w:val="5BA26C0E"/>
    <w:rsid w:val="5BD339B3"/>
    <w:rsid w:val="5BD668B8"/>
    <w:rsid w:val="5BFB631F"/>
    <w:rsid w:val="5C2E1196"/>
    <w:rsid w:val="5C563555"/>
    <w:rsid w:val="5C775900"/>
    <w:rsid w:val="5C7F0CFE"/>
    <w:rsid w:val="5C814A76"/>
    <w:rsid w:val="5C89768E"/>
    <w:rsid w:val="5CA26E1A"/>
    <w:rsid w:val="5CA73DB1"/>
    <w:rsid w:val="5CD01559"/>
    <w:rsid w:val="5CFA0384"/>
    <w:rsid w:val="5CFA51F4"/>
    <w:rsid w:val="5D0923C9"/>
    <w:rsid w:val="5D2673CB"/>
    <w:rsid w:val="5D5A7075"/>
    <w:rsid w:val="5D6D6DA8"/>
    <w:rsid w:val="5D733177"/>
    <w:rsid w:val="5DA622BA"/>
    <w:rsid w:val="5DAA405F"/>
    <w:rsid w:val="5DAA6D37"/>
    <w:rsid w:val="5DD60DF1"/>
    <w:rsid w:val="5DE3706A"/>
    <w:rsid w:val="5DFE20F6"/>
    <w:rsid w:val="5E2751A9"/>
    <w:rsid w:val="5E282CCF"/>
    <w:rsid w:val="5E337FF2"/>
    <w:rsid w:val="5E745F14"/>
    <w:rsid w:val="5E8720EC"/>
    <w:rsid w:val="5E8C7702"/>
    <w:rsid w:val="5E8F4BEE"/>
    <w:rsid w:val="5EAA7B88"/>
    <w:rsid w:val="5F24793A"/>
    <w:rsid w:val="5F4E6765"/>
    <w:rsid w:val="5F906D7E"/>
    <w:rsid w:val="5F9B3222"/>
    <w:rsid w:val="5FAED9D5"/>
    <w:rsid w:val="5FB30C50"/>
    <w:rsid w:val="5FC53414"/>
    <w:rsid w:val="5FD7F185"/>
    <w:rsid w:val="60003F04"/>
    <w:rsid w:val="600F05EB"/>
    <w:rsid w:val="601654D5"/>
    <w:rsid w:val="605C4EB2"/>
    <w:rsid w:val="60665184"/>
    <w:rsid w:val="608368E3"/>
    <w:rsid w:val="60940550"/>
    <w:rsid w:val="60964868"/>
    <w:rsid w:val="609E639E"/>
    <w:rsid w:val="60A32AE1"/>
    <w:rsid w:val="60B151FE"/>
    <w:rsid w:val="60C63816"/>
    <w:rsid w:val="60E46E8A"/>
    <w:rsid w:val="60FF065F"/>
    <w:rsid w:val="610572F8"/>
    <w:rsid w:val="611703B9"/>
    <w:rsid w:val="618611B2"/>
    <w:rsid w:val="618F1E12"/>
    <w:rsid w:val="619C7C5C"/>
    <w:rsid w:val="61B431F8"/>
    <w:rsid w:val="61E77B7D"/>
    <w:rsid w:val="61F1723C"/>
    <w:rsid w:val="61F555BE"/>
    <w:rsid w:val="621243C2"/>
    <w:rsid w:val="62353512"/>
    <w:rsid w:val="623A1909"/>
    <w:rsid w:val="623D77F1"/>
    <w:rsid w:val="62747FD0"/>
    <w:rsid w:val="628A3F58"/>
    <w:rsid w:val="629B7F14"/>
    <w:rsid w:val="62AE1CFD"/>
    <w:rsid w:val="62E30E34"/>
    <w:rsid w:val="62E713AB"/>
    <w:rsid w:val="62EF025F"/>
    <w:rsid w:val="62F15D85"/>
    <w:rsid w:val="62F46F20"/>
    <w:rsid w:val="6320666B"/>
    <w:rsid w:val="63520F1A"/>
    <w:rsid w:val="63577C84"/>
    <w:rsid w:val="63691DC0"/>
    <w:rsid w:val="63761223"/>
    <w:rsid w:val="638C50BD"/>
    <w:rsid w:val="63936E3D"/>
    <w:rsid w:val="63A35086"/>
    <w:rsid w:val="63D27965"/>
    <w:rsid w:val="63E35F17"/>
    <w:rsid w:val="63F300EA"/>
    <w:rsid w:val="6449399F"/>
    <w:rsid w:val="644A6160"/>
    <w:rsid w:val="64540922"/>
    <w:rsid w:val="64804FAA"/>
    <w:rsid w:val="64A52CEF"/>
    <w:rsid w:val="64B84CF4"/>
    <w:rsid w:val="64D4748B"/>
    <w:rsid w:val="64D63485"/>
    <w:rsid w:val="64FB2EEB"/>
    <w:rsid w:val="65167D25"/>
    <w:rsid w:val="652B4FE0"/>
    <w:rsid w:val="653710E5"/>
    <w:rsid w:val="65377536"/>
    <w:rsid w:val="654E5711"/>
    <w:rsid w:val="65540DD8"/>
    <w:rsid w:val="65646E05"/>
    <w:rsid w:val="65B51378"/>
    <w:rsid w:val="65B53D84"/>
    <w:rsid w:val="65D35C16"/>
    <w:rsid w:val="65D976D1"/>
    <w:rsid w:val="65EC0A86"/>
    <w:rsid w:val="66083B12"/>
    <w:rsid w:val="660E4EA0"/>
    <w:rsid w:val="6623094C"/>
    <w:rsid w:val="66261E7A"/>
    <w:rsid w:val="662D3578"/>
    <w:rsid w:val="663174A9"/>
    <w:rsid w:val="663F505A"/>
    <w:rsid w:val="66455949"/>
    <w:rsid w:val="66551CC6"/>
    <w:rsid w:val="669B4986"/>
    <w:rsid w:val="669B6734"/>
    <w:rsid w:val="66A253A1"/>
    <w:rsid w:val="66A870A3"/>
    <w:rsid w:val="66B141AA"/>
    <w:rsid w:val="66CB0F2F"/>
    <w:rsid w:val="66CC2D91"/>
    <w:rsid w:val="66E14363"/>
    <w:rsid w:val="66F347C2"/>
    <w:rsid w:val="67065B78"/>
    <w:rsid w:val="67254250"/>
    <w:rsid w:val="673D5A3D"/>
    <w:rsid w:val="674918ED"/>
    <w:rsid w:val="67780823"/>
    <w:rsid w:val="67837977"/>
    <w:rsid w:val="67AA29A7"/>
    <w:rsid w:val="67BF28F6"/>
    <w:rsid w:val="67C12AFD"/>
    <w:rsid w:val="67D13936"/>
    <w:rsid w:val="67DD4B2A"/>
    <w:rsid w:val="67EB4DFC"/>
    <w:rsid w:val="67EE4F89"/>
    <w:rsid w:val="67FD51CC"/>
    <w:rsid w:val="680447AD"/>
    <w:rsid w:val="6847358B"/>
    <w:rsid w:val="685B6EDC"/>
    <w:rsid w:val="68833924"/>
    <w:rsid w:val="68892A1F"/>
    <w:rsid w:val="689E075E"/>
    <w:rsid w:val="68A815DC"/>
    <w:rsid w:val="68F0088D"/>
    <w:rsid w:val="69172B98"/>
    <w:rsid w:val="691C1682"/>
    <w:rsid w:val="6935231A"/>
    <w:rsid w:val="693E3459"/>
    <w:rsid w:val="69531548"/>
    <w:rsid w:val="69674FF3"/>
    <w:rsid w:val="697A0054"/>
    <w:rsid w:val="697A09F1"/>
    <w:rsid w:val="69AE49D0"/>
    <w:rsid w:val="69B428DB"/>
    <w:rsid w:val="69B760D8"/>
    <w:rsid w:val="69B8042E"/>
    <w:rsid w:val="69B85A44"/>
    <w:rsid w:val="69BA15C7"/>
    <w:rsid w:val="69C22A84"/>
    <w:rsid w:val="69DA3A17"/>
    <w:rsid w:val="69DC3B6D"/>
    <w:rsid w:val="69DF4B8A"/>
    <w:rsid w:val="6A0E546F"/>
    <w:rsid w:val="6A8E65B0"/>
    <w:rsid w:val="6AF11ACE"/>
    <w:rsid w:val="6B1E16E2"/>
    <w:rsid w:val="6B80239C"/>
    <w:rsid w:val="6B96571C"/>
    <w:rsid w:val="6B9876E6"/>
    <w:rsid w:val="6BB704C2"/>
    <w:rsid w:val="6BC8789F"/>
    <w:rsid w:val="6BF00987"/>
    <w:rsid w:val="6BFB5EC7"/>
    <w:rsid w:val="6C2E3BA6"/>
    <w:rsid w:val="6C6B4DFB"/>
    <w:rsid w:val="6C6E5E40"/>
    <w:rsid w:val="6C8C6E93"/>
    <w:rsid w:val="6C9F4AA4"/>
    <w:rsid w:val="6CA56B8B"/>
    <w:rsid w:val="6CB31985"/>
    <w:rsid w:val="6CBE317C"/>
    <w:rsid w:val="6CE95D1F"/>
    <w:rsid w:val="6CF52916"/>
    <w:rsid w:val="6D1435F8"/>
    <w:rsid w:val="6D277AC2"/>
    <w:rsid w:val="6D2F5E28"/>
    <w:rsid w:val="6D4F2026"/>
    <w:rsid w:val="6D4F435B"/>
    <w:rsid w:val="6D6261FE"/>
    <w:rsid w:val="6D6E6A9A"/>
    <w:rsid w:val="6D7A6383"/>
    <w:rsid w:val="6DA00222"/>
    <w:rsid w:val="6DBD1686"/>
    <w:rsid w:val="6DC04CD2"/>
    <w:rsid w:val="6DC96001"/>
    <w:rsid w:val="6E0E1EE1"/>
    <w:rsid w:val="6E1111F1"/>
    <w:rsid w:val="6E1D2124"/>
    <w:rsid w:val="6E492F1A"/>
    <w:rsid w:val="6EB04D47"/>
    <w:rsid w:val="6EC66318"/>
    <w:rsid w:val="6EC83B06"/>
    <w:rsid w:val="6ECE3C3B"/>
    <w:rsid w:val="6EE113A4"/>
    <w:rsid w:val="6EE15592"/>
    <w:rsid w:val="6F094B51"/>
    <w:rsid w:val="6F0B0ADE"/>
    <w:rsid w:val="6F3911E0"/>
    <w:rsid w:val="6F3C1EF2"/>
    <w:rsid w:val="6F4D6A39"/>
    <w:rsid w:val="6F633BE3"/>
    <w:rsid w:val="6F6B3D83"/>
    <w:rsid w:val="6F7D3B6D"/>
    <w:rsid w:val="6F800BBD"/>
    <w:rsid w:val="6F853F6C"/>
    <w:rsid w:val="6FA36548"/>
    <w:rsid w:val="6FB64810"/>
    <w:rsid w:val="6FCD1928"/>
    <w:rsid w:val="6FF62C2D"/>
    <w:rsid w:val="6FFBCCAC"/>
    <w:rsid w:val="70030FCD"/>
    <w:rsid w:val="702E0619"/>
    <w:rsid w:val="702F6CF5"/>
    <w:rsid w:val="705D2A94"/>
    <w:rsid w:val="707D6EAA"/>
    <w:rsid w:val="70814BED"/>
    <w:rsid w:val="70B7060E"/>
    <w:rsid w:val="70D720D9"/>
    <w:rsid w:val="71196A08"/>
    <w:rsid w:val="71266A1A"/>
    <w:rsid w:val="7129410E"/>
    <w:rsid w:val="713A2FED"/>
    <w:rsid w:val="71611CBF"/>
    <w:rsid w:val="717E4EDE"/>
    <w:rsid w:val="71880C5D"/>
    <w:rsid w:val="71926986"/>
    <w:rsid w:val="71C50B09"/>
    <w:rsid w:val="71E33685"/>
    <w:rsid w:val="71E96571"/>
    <w:rsid w:val="72022F98"/>
    <w:rsid w:val="724241FE"/>
    <w:rsid w:val="725974A3"/>
    <w:rsid w:val="725D1881"/>
    <w:rsid w:val="72646574"/>
    <w:rsid w:val="72655E48"/>
    <w:rsid w:val="728558E2"/>
    <w:rsid w:val="72897D89"/>
    <w:rsid w:val="72D27981"/>
    <w:rsid w:val="7315161C"/>
    <w:rsid w:val="73155AC0"/>
    <w:rsid w:val="7338355D"/>
    <w:rsid w:val="733C304D"/>
    <w:rsid w:val="73426189"/>
    <w:rsid w:val="7343262D"/>
    <w:rsid w:val="734939BC"/>
    <w:rsid w:val="73532145"/>
    <w:rsid w:val="73C41B17"/>
    <w:rsid w:val="73FF369E"/>
    <w:rsid w:val="741A168C"/>
    <w:rsid w:val="74381A66"/>
    <w:rsid w:val="745148D6"/>
    <w:rsid w:val="74600FBD"/>
    <w:rsid w:val="747B5DF7"/>
    <w:rsid w:val="74826B00"/>
    <w:rsid w:val="74AA2238"/>
    <w:rsid w:val="74BF3F35"/>
    <w:rsid w:val="74CF0027"/>
    <w:rsid w:val="74D4751F"/>
    <w:rsid w:val="74F02341"/>
    <w:rsid w:val="751B4EE4"/>
    <w:rsid w:val="755328D0"/>
    <w:rsid w:val="756D7279"/>
    <w:rsid w:val="757A60AE"/>
    <w:rsid w:val="75882F1D"/>
    <w:rsid w:val="75A153E9"/>
    <w:rsid w:val="75B72E5F"/>
    <w:rsid w:val="75CD2682"/>
    <w:rsid w:val="75CF0CD6"/>
    <w:rsid w:val="75D27C98"/>
    <w:rsid w:val="75F55735"/>
    <w:rsid w:val="75F808A0"/>
    <w:rsid w:val="766D79C1"/>
    <w:rsid w:val="767C6EC3"/>
    <w:rsid w:val="76957FCC"/>
    <w:rsid w:val="76983310"/>
    <w:rsid w:val="76E01F41"/>
    <w:rsid w:val="77242776"/>
    <w:rsid w:val="77264593"/>
    <w:rsid w:val="773B361B"/>
    <w:rsid w:val="773C186D"/>
    <w:rsid w:val="775070C7"/>
    <w:rsid w:val="77554058"/>
    <w:rsid w:val="775D3592"/>
    <w:rsid w:val="77670902"/>
    <w:rsid w:val="777D0D90"/>
    <w:rsid w:val="77DC4DFE"/>
    <w:rsid w:val="77E5075E"/>
    <w:rsid w:val="77E513FC"/>
    <w:rsid w:val="77EB5915"/>
    <w:rsid w:val="77F24622"/>
    <w:rsid w:val="780A2DA9"/>
    <w:rsid w:val="780E44CA"/>
    <w:rsid w:val="782D2DA3"/>
    <w:rsid w:val="783C589D"/>
    <w:rsid w:val="78436C2C"/>
    <w:rsid w:val="78491FD5"/>
    <w:rsid w:val="784D0855"/>
    <w:rsid w:val="78564BB1"/>
    <w:rsid w:val="786D511D"/>
    <w:rsid w:val="7889361F"/>
    <w:rsid w:val="788F4164"/>
    <w:rsid w:val="789B25C4"/>
    <w:rsid w:val="78A81EDC"/>
    <w:rsid w:val="78C0202A"/>
    <w:rsid w:val="78F16688"/>
    <w:rsid w:val="791365FE"/>
    <w:rsid w:val="79296F2F"/>
    <w:rsid w:val="792F0F5E"/>
    <w:rsid w:val="793F73F3"/>
    <w:rsid w:val="795409C4"/>
    <w:rsid w:val="79C913B2"/>
    <w:rsid w:val="79D57013"/>
    <w:rsid w:val="79DF2984"/>
    <w:rsid w:val="79F521A7"/>
    <w:rsid w:val="79FE105C"/>
    <w:rsid w:val="7A0D5743"/>
    <w:rsid w:val="7A2465E9"/>
    <w:rsid w:val="7A266AC5"/>
    <w:rsid w:val="7A4078C7"/>
    <w:rsid w:val="7A9B2D4F"/>
    <w:rsid w:val="7AE77C81"/>
    <w:rsid w:val="7AEA7832"/>
    <w:rsid w:val="7AEE7323"/>
    <w:rsid w:val="7B3A4316"/>
    <w:rsid w:val="7B466C71"/>
    <w:rsid w:val="7B4C666E"/>
    <w:rsid w:val="7B51165F"/>
    <w:rsid w:val="7BA62E36"/>
    <w:rsid w:val="7BB600CC"/>
    <w:rsid w:val="7BE557F5"/>
    <w:rsid w:val="7C3A20F4"/>
    <w:rsid w:val="7C7A1DD4"/>
    <w:rsid w:val="7C811400"/>
    <w:rsid w:val="7CD53232"/>
    <w:rsid w:val="7CD6717F"/>
    <w:rsid w:val="7D2D3A06"/>
    <w:rsid w:val="7D2D74DD"/>
    <w:rsid w:val="7D382AD7"/>
    <w:rsid w:val="7D8770F6"/>
    <w:rsid w:val="7D8C697F"/>
    <w:rsid w:val="7DBD4D8A"/>
    <w:rsid w:val="7E1006C6"/>
    <w:rsid w:val="7E2E2DA3"/>
    <w:rsid w:val="7E432D2C"/>
    <w:rsid w:val="7E927FC5"/>
    <w:rsid w:val="7EAA134C"/>
    <w:rsid w:val="7EAB72D9"/>
    <w:rsid w:val="7EF23159"/>
    <w:rsid w:val="7EFDF221"/>
    <w:rsid w:val="7F0D1E84"/>
    <w:rsid w:val="7F353345"/>
    <w:rsid w:val="7F4D0AA3"/>
    <w:rsid w:val="7F5366E8"/>
    <w:rsid w:val="7F574D5A"/>
    <w:rsid w:val="7F7C0A2C"/>
    <w:rsid w:val="7F7F3E68"/>
    <w:rsid w:val="7F923FF5"/>
    <w:rsid w:val="7FA13962"/>
    <w:rsid w:val="7FAB31E4"/>
    <w:rsid w:val="7FB65F35"/>
    <w:rsid w:val="7FC22B2C"/>
    <w:rsid w:val="7FE3756B"/>
    <w:rsid w:val="7FE92E52"/>
    <w:rsid w:val="7FF8479F"/>
    <w:rsid w:val="A7FAD046"/>
    <w:rsid w:val="BA6D6CAC"/>
    <w:rsid w:val="BFDF82AB"/>
    <w:rsid w:val="DEFD63A3"/>
    <w:rsid w:val="E8F52BA1"/>
    <w:rsid w:val="EF5F619E"/>
    <w:rsid w:val="F9AF310F"/>
    <w:rsid w:val="FA7721AB"/>
    <w:rsid w:val="FBBBF131"/>
    <w:rsid w:val="FC75E7E1"/>
    <w:rsid w:val="FC7F1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styleId="3">
    <w:name w:val="heading 2"/>
    <w:basedOn w:val="1"/>
    <w:next w:val="4"/>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873" w:right="0" w:firstLine="0"/>
      <w:jc w:val="both"/>
      <w:outlineLvl w:val="1"/>
    </w:pPr>
    <w:rPr>
      <w:rFonts w:ascii="Calibri" w:hAnsi="Calibri" w:eastAsia="Calibri" w:cs="Calibri"/>
      <w:b/>
      <w:bCs/>
      <w:color w:val="000000"/>
      <w:spacing w:val="0"/>
      <w:w w:val="100"/>
      <w:kern w:val="2"/>
      <w:position w:val="0"/>
      <w:sz w:val="21"/>
      <w:szCs w:val="21"/>
      <w:u w:val="none" w:color="000000"/>
      <w:vertAlign w:val="baseline"/>
      <w:lang w:val="en-US"/>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300" w:lineRule="auto"/>
      <w:ind w:firstLine="200" w:firstLineChars="200"/>
    </w:pPr>
  </w:style>
  <w:style w:type="paragraph" w:styleId="5">
    <w:name w:val="table of authorities"/>
    <w:basedOn w:val="1"/>
    <w:next w:val="1"/>
    <w:qFormat/>
    <w:uiPriority w:val="0"/>
    <w:pPr>
      <w:ind w:left="420" w:leftChars="200"/>
    </w:pPr>
  </w:style>
  <w:style w:type="paragraph" w:styleId="6">
    <w:name w:val="index 8"/>
    <w:basedOn w:val="1"/>
    <w:next w:val="1"/>
    <w:unhideWhenUsed/>
    <w:qFormat/>
    <w:uiPriority w:val="99"/>
    <w:pPr>
      <w:ind w:left="1400" w:leftChars="1400"/>
    </w:pPr>
  </w:style>
  <w:style w:type="paragraph" w:styleId="7">
    <w:name w:val="toa heading"/>
    <w:basedOn w:val="1"/>
    <w:next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0" w:afterAutospacing="0" w:line="240" w:lineRule="auto"/>
      <w:ind w:left="0" w:right="0" w:firstLine="0"/>
      <w:jc w:val="both"/>
      <w:outlineLvl w:val="9"/>
    </w:pPr>
    <w:rPr>
      <w:rFonts w:ascii="Arial" w:hAnsi="Arial" w:eastAsia="Arial Unicode MS" w:cs="Arial Unicode MS"/>
      <w:color w:val="000000"/>
      <w:spacing w:val="0"/>
      <w:w w:val="100"/>
      <w:kern w:val="2"/>
      <w:position w:val="0"/>
      <w:sz w:val="24"/>
      <w:szCs w:val="24"/>
      <w:u w:val="none" w:color="000000"/>
      <w:vertAlign w:val="baseline"/>
      <w:lang w:val="en-US"/>
    </w:rPr>
  </w:style>
  <w:style w:type="paragraph" w:styleId="8">
    <w:name w:val="annotation text"/>
    <w:basedOn w:val="1"/>
    <w:qFormat/>
    <w:uiPriority w:val="0"/>
    <w:pPr>
      <w:jc w:val="left"/>
    </w:pPr>
  </w:style>
  <w:style w:type="paragraph" w:styleId="9">
    <w:name w:val="Body Text"/>
    <w:basedOn w:val="1"/>
    <w:next w:val="10"/>
    <w:semiHidden/>
    <w:unhideWhenUsed/>
    <w:qFormat/>
    <w:uiPriority w:val="99"/>
    <w:pPr>
      <w:spacing w:after="120"/>
    </w:pPr>
  </w:style>
  <w:style w:type="paragraph" w:styleId="10">
    <w:name w:val="Quote"/>
    <w:basedOn w:val="1"/>
    <w:next w:val="1"/>
    <w:qFormat/>
    <w:uiPriority w:val="0"/>
    <w:pPr>
      <w:wordWrap w:val="0"/>
      <w:spacing w:before="200" w:after="160"/>
      <w:ind w:left="864" w:right="864"/>
      <w:jc w:val="center"/>
    </w:pPr>
    <w:rPr>
      <w:rFonts w:ascii="Calibri" w:hAnsi="Calibri"/>
      <w:i/>
    </w:rPr>
  </w:style>
  <w:style w:type="paragraph" w:styleId="11">
    <w:name w:val="Body Text Indent"/>
    <w:basedOn w:val="1"/>
    <w:next w:val="12"/>
    <w:qFormat/>
    <w:uiPriority w:val="0"/>
    <w:pPr>
      <w:ind w:firstLine="630"/>
    </w:pPr>
    <w:rPr>
      <w:sz w:val="32"/>
      <w:szCs w:val="20"/>
    </w:rPr>
  </w:style>
  <w:style w:type="paragraph" w:styleId="12">
    <w:name w:val="Body Text Indent 2"/>
    <w:basedOn w:val="1"/>
    <w:qFormat/>
    <w:uiPriority w:val="0"/>
    <w:pPr>
      <w:spacing w:after="120" w:afterLines="0" w:line="480" w:lineRule="auto"/>
      <w:ind w:left="200" w:leftChars="200"/>
    </w:pPr>
  </w:style>
  <w:style w:type="paragraph" w:styleId="13">
    <w:name w:val="Plain Text"/>
    <w:basedOn w:val="1"/>
    <w:qFormat/>
    <w:uiPriority w:val="0"/>
    <w:rPr>
      <w:rFonts w:ascii="宋体" w:hAnsi="Courier New"/>
      <w:szCs w:val="21"/>
    </w:rPr>
  </w:style>
  <w:style w:type="paragraph" w:styleId="14">
    <w:name w:val="footer"/>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99"/>
    <w:pPr>
      <w:widowControl/>
      <w:jc w:val="left"/>
    </w:pPr>
    <w:rPr>
      <w:rFonts w:ascii="宋体" w:hAnsi="宋体" w:cs="宋体"/>
      <w:kern w:val="0"/>
      <w:sz w:val="24"/>
      <w:szCs w:val="24"/>
    </w:rPr>
  </w:style>
  <w:style w:type="paragraph" w:styleId="17">
    <w:name w:val="Title"/>
    <w:basedOn w:val="1"/>
    <w:next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40" w:beforeAutospacing="0" w:after="60" w:afterAutospacing="0" w:line="420" w:lineRule="atLeast"/>
      <w:ind w:left="0" w:right="0" w:firstLine="0"/>
      <w:jc w:val="center"/>
      <w:outlineLvl w:val="0"/>
    </w:pPr>
    <w:rPr>
      <w:rFonts w:hint="eastAsia" w:ascii="Arial Unicode MS" w:hAnsi="Arial Unicode MS" w:eastAsia="Arial Unicode MS" w:cs="Arial Unicode MS"/>
      <w:color w:val="000000"/>
      <w:spacing w:val="0"/>
      <w:w w:val="100"/>
      <w:kern w:val="2"/>
      <w:position w:val="0"/>
      <w:sz w:val="32"/>
      <w:szCs w:val="32"/>
      <w:u w:val="none" w:color="000000"/>
      <w:vertAlign w:val="baseline"/>
      <w:lang w:val="en-US"/>
    </w:rPr>
  </w:style>
  <w:style w:type="paragraph" w:styleId="18">
    <w:name w:val="Body Text First Indent"/>
    <w:basedOn w:val="9"/>
    <w:semiHidden/>
    <w:unhideWhenUsed/>
    <w:qFormat/>
    <w:uiPriority w:val="99"/>
    <w:pPr>
      <w:ind w:firstLine="420" w:firstLineChars="100"/>
    </w:pPr>
  </w:style>
  <w:style w:type="paragraph" w:styleId="19">
    <w:name w:val="Body Text First Indent 2"/>
    <w:basedOn w:val="11"/>
    <w:next w:val="1"/>
    <w:qFormat/>
    <w:uiPriority w:val="0"/>
    <w:pPr>
      <w:spacing w:after="120"/>
      <w:ind w:left="420" w:leftChars="200" w:firstLine="420" w:firstLineChars="200"/>
    </w:pPr>
    <w:rPr>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rPr>
      <w:rFonts w:cs="Times New Roman"/>
      <w:lang w:bidi="ar-SA"/>
    </w:rPr>
  </w:style>
  <w:style w:type="character" w:styleId="24">
    <w:name w:val="Hyperlink"/>
    <w:qFormat/>
    <w:uiPriority w:val="0"/>
    <w:rPr>
      <w:u w:val="single"/>
    </w:rPr>
  </w:style>
  <w:style w:type="paragraph" w:customStyle="1" w:styleId="25">
    <w:name w:val="正文1"/>
    <w:basedOn w:val="1"/>
    <w:qFormat/>
    <w:uiPriority w:val="99"/>
    <w:pPr>
      <w:spacing w:line="318" w:lineRule="atLeast"/>
      <w:ind w:left="369" w:firstLine="369"/>
    </w:pPr>
    <w:rPr>
      <w:rFonts w:ascii="宋体"/>
    </w:rPr>
  </w:style>
  <w:style w:type="table" w:customStyle="1" w:styleId="2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7">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000000"/>
      <w:vertAlign w:val="baseline"/>
    </w:rPr>
  </w:style>
  <w:style w:type="paragraph" w:customStyle="1" w:styleId="28">
    <w:name w:val="无间隔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20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paragraph" w:customStyle="1" w:styleId="29">
    <w:name w:val="列出段落3"/>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30">
    <w:name w:val="正文文本 3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ascii="Calibri" w:hAnsi="Calibri" w:eastAsia="Calibri" w:cs="Calibri"/>
      <w:color w:val="000000"/>
      <w:spacing w:val="0"/>
      <w:w w:val="100"/>
      <w:kern w:val="2"/>
      <w:position w:val="0"/>
      <w:sz w:val="16"/>
      <w:szCs w:val="16"/>
      <w:u w:val="none" w:color="000000"/>
      <w:vertAlign w:val="baseline"/>
      <w:lang w:val="en-US"/>
    </w:rPr>
  </w:style>
  <w:style w:type="paragraph" w:customStyle="1" w:styleId="31">
    <w:name w:val="列出段落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32">
    <w:name w:val="样式1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exact"/>
      <w:ind w:left="0" w:right="0" w:firstLine="0"/>
      <w:jc w:val="center"/>
      <w:outlineLvl w:val="9"/>
    </w:pPr>
    <w:rPr>
      <w:rFonts w:hint="eastAsia" w:ascii="Arial Unicode MS" w:hAnsi="Arial Unicode MS" w:eastAsia="Arial Unicode MS" w:cs="Arial Unicode MS"/>
      <w:color w:val="000000"/>
      <w:spacing w:val="6"/>
      <w:w w:val="100"/>
      <w:kern w:val="2"/>
      <w:position w:val="0"/>
      <w:sz w:val="36"/>
      <w:szCs w:val="36"/>
      <w:u w:val="none" w:color="000000"/>
      <w:vertAlign w:val="baseline"/>
      <w:lang w:val="en-US"/>
    </w:rPr>
  </w:style>
  <w:style w:type="paragraph" w:customStyle="1" w:styleId="33">
    <w:name w:val="缺省文本"/>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0"/>
      <w:position w:val="0"/>
      <w:sz w:val="20"/>
      <w:szCs w:val="20"/>
      <w:u w:val="none" w:color="000000"/>
      <w:vertAlign w:val="baseline"/>
      <w:lang w:val="en-US"/>
    </w:rPr>
  </w:style>
  <w:style w:type="character" w:customStyle="1" w:styleId="34">
    <w:name w:val="font31"/>
    <w:basedOn w:val="22"/>
    <w:qFormat/>
    <w:uiPriority w:val="0"/>
    <w:rPr>
      <w:rFonts w:hint="eastAsia" w:ascii="宋体" w:hAnsi="宋体" w:eastAsia="宋体" w:cs="宋体"/>
      <w:color w:val="000000"/>
      <w:sz w:val="20"/>
      <w:szCs w:val="20"/>
      <w:u w:val="none"/>
    </w:rPr>
  </w:style>
  <w:style w:type="character" w:customStyle="1" w:styleId="35">
    <w:name w:val="font21"/>
    <w:basedOn w:val="22"/>
    <w:qFormat/>
    <w:uiPriority w:val="0"/>
    <w:rPr>
      <w:rFonts w:hint="eastAsia" w:ascii="宋体" w:hAnsi="宋体" w:eastAsia="宋体" w:cs="宋体"/>
      <w:b/>
      <w:color w:val="000000"/>
      <w:sz w:val="20"/>
      <w:szCs w:val="20"/>
      <w:u w:val="none"/>
    </w:rPr>
  </w:style>
  <w:style w:type="character" w:customStyle="1" w:styleId="36">
    <w:name w:val="font01"/>
    <w:basedOn w:val="22"/>
    <w:qFormat/>
    <w:uiPriority w:val="0"/>
    <w:rPr>
      <w:rFonts w:hint="eastAsia" w:ascii="宋体" w:hAnsi="宋体" w:eastAsia="宋体" w:cs="宋体"/>
      <w:color w:val="FF0000"/>
      <w:sz w:val="20"/>
      <w:szCs w:val="20"/>
      <w:u w:val="none"/>
    </w:rPr>
  </w:style>
  <w:style w:type="character" w:customStyle="1" w:styleId="37">
    <w:name w:val="font61"/>
    <w:basedOn w:val="22"/>
    <w:qFormat/>
    <w:uiPriority w:val="0"/>
    <w:rPr>
      <w:rFonts w:hint="default" w:ascii="Arial" w:hAnsi="Arial" w:cs="Arial"/>
      <w:b/>
      <w:color w:val="666666"/>
      <w:sz w:val="20"/>
      <w:szCs w:val="20"/>
      <w:u w:val="none"/>
    </w:rPr>
  </w:style>
  <w:style w:type="character" w:customStyle="1" w:styleId="38">
    <w:name w:val="font11"/>
    <w:basedOn w:val="22"/>
    <w:qFormat/>
    <w:uiPriority w:val="0"/>
    <w:rPr>
      <w:rFonts w:hint="eastAsia" w:ascii="宋体" w:hAnsi="宋体" w:eastAsia="宋体" w:cs="宋体"/>
      <w:b/>
      <w:color w:val="666666"/>
      <w:sz w:val="20"/>
      <w:szCs w:val="20"/>
      <w:u w:val="none"/>
    </w:rPr>
  </w:style>
  <w:style w:type="paragraph" w:customStyle="1" w:styleId="39">
    <w:name w:val="样式 首行缩进:  2 字符"/>
    <w:basedOn w:val="1"/>
    <w:qFormat/>
    <w:uiPriority w:val="0"/>
    <w:pPr>
      <w:spacing w:line="360" w:lineRule="auto"/>
      <w:ind w:firstLine="560" w:firstLineChars="200"/>
    </w:pPr>
    <w:rPr>
      <w:rFonts w:ascii="Times New Roman" w:hAnsi="Times New Roman" w:eastAsia="仿宋_GB2312" w:cs="宋体"/>
      <w:sz w:val="30"/>
      <w:szCs w:val="20"/>
    </w:rPr>
  </w:style>
  <w:style w:type="paragraph" w:styleId="40">
    <w:name w:val="List Paragraph"/>
    <w:basedOn w:val="1"/>
    <w:qFormat/>
    <w:uiPriority w:val="34"/>
    <w:pPr>
      <w:ind w:firstLine="420" w:firstLineChars="200"/>
    </w:pPr>
    <w:rPr>
      <w:rFonts w:ascii="Calibri" w:hAnsi="Calibri"/>
      <w:szCs w:val="22"/>
    </w:rPr>
  </w:style>
  <w:style w:type="paragraph" w:customStyle="1" w:styleId="41">
    <w:name w:val="正文格式"/>
    <w:basedOn w:val="1"/>
    <w:qFormat/>
    <w:uiPriority w:val="0"/>
    <w:pPr>
      <w:widowControl/>
      <w:adjustRightInd w:val="0"/>
      <w:snapToGrid w:val="0"/>
      <w:spacing w:line="560" w:lineRule="exact"/>
      <w:ind w:firstLine="200" w:firstLineChars="200"/>
      <w:textAlignment w:val="baseline"/>
    </w:pPr>
    <w:rPr>
      <w:rFonts w:eastAsia="仿宋_GB2312"/>
      <w:kern w:val="0"/>
      <w:sz w:val="28"/>
      <w:szCs w:val="20"/>
    </w:rPr>
  </w:style>
  <w:style w:type="paragraph" w:customStyle="1" w:styleId="42">
    <w:name w:val="正文内容格式"/>
    <w:basedOn w:val="1"/>
    <w:qFormat/>
    <w:uiPriority w:val="0"/>
    <w:pPr>
      <w:widowControl/>
      <w:adjustRightInd w:val="0"/>
      <w:snapToGrid w:val="0"/>
      <w:spacing w:line="400" w:lineRule="atLeast"/>
      <w:ind w:firstLine="482"/>
      <w:textAlignment w:val="baseline"/>
    </w:pPr>
    <w:rPr>
      <w:kern w:val="0"/>
      <w:sz w:val="24"/>
      <w:szCs w:val="20"/>
    </w:rPr>
  </w:style>
  <w:style w:type="paragraph" w:customStyle="1" w:styleId="4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17960</Words>
  <Characters>18786</Characters>
  <TotalTime>83</TotalTime>
  <ScaleCrop>false</ScaleCrop>
  <LinksUpToDate>false</LinksUpToDate>
  <CharactersWithSpaces>20087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2020-04-01T04:25:00Z</dcterms:created>
  <dc:creator>Administrator</dc:creator>
  <cp:lastModifiedBy>admin</cp:lastModifiedBy>
  <cp:lastPrinted>2021-03-11T09:36:00Z</cp:lastPrinted>
  <dcterms:modified xsi:type="dcterms:W3CDTF">2023-06-02T08:58:16Z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ED258662CD6D479FA16E3FB77DBD1B3C_13</vt:lpwstr>
  </property>
</Properties>
</file>