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kern w:val="0"/>
          <w:sz w:val="44"/>
          <w:szCs w:val="48"/>
        </w:rPr>
      </w:pPr>
      <w:r>
        <w:rPr>
          <w:rFonts w:hint="eastAsia" w:ascii="宋体" w:hAnsi="宋体"/>
          <w:b/>
          <w:color w:val="auto"/>
          <w:kern w:val="0"/>
          <w:sz w:val="44"/>
          <w:szCs w:val="48"/>
          <w:highlight w:val="yellow"/>
          <w:lang w:eastAsia="zh-CN"/>
        </w:rPr>
        <w:t>新疆医科大学附属肿瘤医院新建门诊综合楼独立排风及PCR实验室、八楼九楼手术室及次供应室净化区室内装修及消防改造工程项目（二次）</w:t>
      </w:r>
      <w:r>
        <w:rPr>
          <w:rFonts w:hint="eastAsia" w:ascii="宋体" w:hAnsi="宋体" w:eastAsia="宋体"/>
          <w:b/>
          <w:color w:val="auto"/>
          <w:kern w:val="0"/>
          <w:sz w:val="44"/>
          <w:szCs w:val="48"/>
          <w:highlight w:val="yellow"/>
        </w:rPr>
        <w:t>竞争性</w:t>
      </w:r>
      <w:r>
        <w:rPr>
          <w:rFonts w:hint="eastAsia" w:ascii="宋体" w:hAnsi="宋体"/>
          <w:b/>
          <w:color w:val="auto"/>
          <w:kern w:val="0"/>
          <w:sz w:val="44"/>
          <w:szCs w:val="48"/>
          <w:highlight w:val="yellow"/>
        </w:rPr>
        <w:t>磋商采购文件</w:t>
      </w:r>
    </w:p>
    <w:p>
      <w:pPr>
        <w:autoSpaceDE w:val="0"/>
        <w:autoSpaceDN w:val="0"/>
        <w:adjustRightInd w:val="0"/>
        <w:spacing w:line="500" w:lineRule="exact"/>
        <w:jc w:val="center"/>
        <w:rPr>
          <w:rFonts w:ascii="宋体" w:hAnsi="宋体"/>
          <w:b/>
          <w:kern w:val="0"/>
          <w:sz w:val="30"/>
          <w:szCs w:val="30"/>
        </w:rPr>
      </w:pPr>
    </w:p>
    <w:p>
      <w:pPr>
        <w:autoSpaceDE w:val="0"/>
        <w:autoSpaceDN w:val="0"/>
        <w:adjustRightInd w:val="0"/>
        <w:spacing w:line="500" w:lineRule="exact"/>
        <w:jc w:val="center"/>
        <w:rPr>
          <w:rFonts w:ascii="宋体" w:hAnsi="宋体"/>
          <w:b/>
          <w:kern w:val="0"/>
          <w:sz w:val="30"/>
          <w:szCs w:val="30"/>
        </w:rPr>
      </w:pPr>
    </w:p>
    <w:p>
      <w:pPr>
        <w:autoSpaceDE w:val="0"/>
        <w:autoSpaceDN w:val="0"/>
        <w:adjustRightInd w:val="0"/>
        <w:spacing w:line="500" w:lineRule="exact"/>
        <w:jc w:val="both"/>
        <w:rPr>
          <w:b/>
          <w:color w:val="auto"/>
        </w:rPr>
      </w:pPr>
    </w:p>
    <w:p>
      <w:pPr>
        <w:autoSpaceDE w:val="0"/>
        <w:autoSpaceDN w:val="0"/>
        <w:adjustRightInd w:val="0"/>
        <w:spacing w:line="400" w:lineRule="exact"/>
        <w:ind w:firstLine="551" w:firstLineChars="196"/>
        <w:rPr>
          <w:rFonts w:hint="eastAsia" w:ascii="宋体" w:hAnsi="宋体"/>
          <w:b/>
          <w:color w:val="auto"/>
          <w:sz w:val="28"/>
          <w:szCs w:val="28"/>
        </w:rPr>
      </w:pPr>
    </w:p>
    <w:p>
      <w:pPr>
        <w:autoSpaceDE w:val="0"/>
        <w:autoSpaceDN w:val="0"/>
        <w:adjustRightInd w:val="0"/>
        <w:spacing w:line="400" w:lineRule="exact"/>
        <w:ind w:firstLine="551" w:firstLineChars="196"/>
        <w:rPr>
          <w:rFonts w:hint="eastAsia" w:ascii="宋体" w:hAnsi="宋体"/>
          <w:b/>
          <w:color w:val="auto"/>
          <w:sz w:val="28"/>
          <w:szCs w:val="28"/>
        </w:rPr>
      </w:pPr>
    </w:p>
    <w:p>
      <w:pPr>
        <w:autoSpaceDE w:val="0"/>
        <w:autoSpaceDN w:val="0"/>
        <w:adjustRightInd w:val="0"/>
        <w:spacing w:line="400" w:lineRule="exact"/>
        <w:ind w:firstLine="551" w:firstLineChars="196"/>
        <w:rPr>
          <w:rFonts w:hint="default" w:ascii="宋体" w:hAnsi="宋体" w:eastAsia="宋体"/>
          <w:b/>
          <w:color w:val="FF0000"/>
          <w:sz w:val="28"/>
          <w:szCs w:val="28"/>
          <w:lang w:val="en-US" w:eastAsia="zh-CN"/>
        </w:rPr>
      </w:pPr>
      <w:r>
        <w:rPr>
          <w:rFonts w:hint="eastAsia" w:ascii="宋体" w:hAnsi="宋体"/>
          <w:b/>
          <w:color w:val="auto"/>
          <w:sz w:val="28"/>
          <w:szCs w:val="28"/>
        </w:rPr>
        <w:t>项目编号：</w:t>
      </w:r>
      <w:r>
        <w:rPr>
          <w:rFonts w:hint="eastAsia" w:ascii="宋体" w:hAnsi="宋体"/>
          <w:b/>
          <w:color w:val="auto"/>
          <w:sz w:val="28"/>
          <w:szCs w:val="28"/>
          <w:lang w:val="en-US" w:eastAsia="zh-CN"/>
        </w:rPr>
        <w:t>[2023]8468号-02</w:t>
      </w:r>
    </w:p>
    <w:p>
      <w:pPr>
        <w:pStyle w:val="16"/>
        <w:rPr>
          <w:color w:val="auto"/>
        </w:rPr>
      </w:pPr>
    </w:p>
    <w:p>
      <w:pPr>
        <w:autoSpaceDE w:val="0"/>
        <w:autoSpaceDN w:val="0"/>
        <w:adjustRightInd w:val="0"/>
        <w:spacing w:line="400" w:lineRule="exact"/>
        <w:ind w:firstLine="551" w:firstLineChars="196"/>
        <w:rPr>
          <w:rFonts w:ascii="宋体" w:hAnsi="宋体"/>
          <w:b/>
          <w:color w:val="auto"/>
          <w:sz w:val="28"/>
          <w:szCs w:val="28"/>
        </w:rPr>
      </w:pPr>
      <w:r>
        <w:rPr>
          <w:rFonts w:hint="eastAsia" w:ascii="宋体" w:hAnsi="宋体"/>
          <w:b/>
          <w:color w:val="auto"/>
          <w:sz w:val="28"/>
          <w:szCs w:val="28"/>
        </w:rPr>
        <w:t>招 标 人：新疆医科大学</w:t>
      </w:r>
      <w:r>
        <w:rPr>
          <w:rFonts w:hint="eastAsia" w:ascii="宋体" w:hAnsi="宋体"/>
          <w:b/>
          <w:color w:val="auto"/>
          <w:sz w:val="28"/>
          <w:szCs w:val="28"/>
          <w:lang w:eastAsia="zh-CN"/>
        </w:rPr>
        <w:t>附属肿瘤医院</w:t>
      </w:r>
      <w:r>
        <w:rPr>
          <w:rFonts w:hint="eastAsia" w:ascii="宋体" w:hAnsi="宋体"/>
          <w:b/>
          <w:color w:val="auto"/>
          <w:sz w:val="28"/>
          <w:szCs w:val="28"/>
        </w:rPr>
        <w:t xml:space="preserve"> </w:t>
      </w:r>
    </w:p>
    <w:p>
      <w:pPr>
        <w:autoSpaceDE w:val="0"/>
        <w:autoSpaceDN w:val="0"/>
        <w:adjustRightInd w:val="0"/>
        <w:spacing w:line="400" w:lineRule="exact"/>
        <w:ind w:firstLine="551" w:firstLineChars="196"/>
        <w:rPr>
          <w:rFonts w:ascii="宋体" w:hAnsi="宋体"/>
          <w:b/>
          <w:color w:val="auto"/>
          <w:sz w:val="28"/>
          <w:szCs w:val="28"/>
        </w:rPr>
      </w:pP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autoSpaceDE w:val="0"/>
        <w:autoSpaceDN w:val="0"/>
        <w:adjustRightInd w:val="0"/>
        <w:spacing w:line="400" w:lineRule="exact"/>
        <w:ind w:firstLine="551" w:firstLineChars="196"/>
        <w:rPr>
          <w:rFonts w:ascii="宋体" w:hAnsi="宋体"/>
          <w:b/>
          <w:color w:val="auto"/>
          <w:sz w:val="28"/>
          <w:szCs w:val="28"/>
        </w:rPr>
      </w:pPr>
    </w:p>
    <w:p>
      <w:pPr>
        <w:pStyle w:val="19"/>
        <w:rPr>
          <w:rFonts w:ascii="宋体" w:hAnsi="宋体"/>
          <w:b/>
          <w:color w:val="auto"/>
          <w:sz w:val="28"/>
          <w:szCs w:val="28"/>
        </w:rPr>
      </w:pPr>
    </w:p>
    <w:p>
      <w:pPr>
        <w:rPr>
          <w:rFonts w:ascii="宋体" w:hAnsi="宋体"/>
          <w:b/>
          <w:color w:val="auto"/>
          <w:sz w:val="28"/>
          <w:szCs w:val="28"/>
        </w:rPr>
      </w:pPr>
    </w:p>
    <w:p>
      <w:pPr>
        <w:pStyle w:val="19"/>
      </w:pPr>
    </w:p>
    <w:p>
      <w:pPr>
        <w:autoSpaceDE w:val="0"/>
        <w:autoSpaceDN w:val="0"/>
        <w:adjustRightInd w:val="0"/>
        <w:spacing w:line="400" w:lineRule="exact"/>
        <w:ind w:firstLine="551" w:firstLineChars="196"/>
        <w:rPr>
          <w:rFonts w:hint="eastAsia" w:ascii="宋体" w:hAnsi="宋体" w:eastAsia="宋体"/>
          <w:b/>
          <w:color w:val="auto"/>
          <w:sz w:val="28"/>
          <w:szCs w:val="28"/>
          <w:lang w:eastAsia="zh-CN"/>
        </w:rPr>
      </w:pPr>
      <w:r>
        <w:rPr>
          <w:rFonts w:hint="eastAsia" w:ascii="宋体" w:hAnsi="宋体"/>
          <w:b/>
          <w:color w:val="auto"/>
          <w:sz w:val="28"/>
          <w:szCs w:val="28"/>
        </w:rPr>
        <w:t xml:space="preserve">招标代理： </w:t>
      </w:r>
      <w:r>
        <w:rPr>
          <w:rFonts w:hint="eastAsia" w:ascii="宋体" w:hAnsi="宋体"/>
          <w:b/>
          <w:color w:val="auto"/>
          <w:sz w:val="28"/>
          <w:szCs w:val="28"/>
          <w:lang w:eastAsia="zh-CN"/>
        </w:rPr>
        <w:t>华诚博远工程咨询有限公司</w:t>
      </w:r>
    </w:p>
    <w:p>
      <w:pPr>
        <w:autoSpaceDE w:val="0"/>
        <w:autoSpaceDN w:val="0"/>
        <w:adjustRightInd w:val="0"/>
        <w:spacing w:line="400" w:lineRule="exact"/>
        <w:ind w:firstLine="570"/>
        <w:rPr>
          <w:rFonts w:ascii="宋体" w:hAnsi="宋体"/>
          <w:b/>
          <w:color w:val="auto"/>
          <w:sz w:val="28"/>
          <w:szCs w:val="28"/>
        </w:rPr>
      </w:pPr>
    </w:p>
    <w:p>
      <w:pPr>
        <w:autoSpaceDE w:val="0"/>
        <w:autoSpaceDN w:val="0"/>
        <w:adjustRightInd w:val="0"/>
        <w:spacing w:line="400" w:lineRule="exact"/>
        <w:ind w:firstLine="551" w:firstLineChars="196"/>
        <w:rPr>
          <w:rFonts w:hint="eastAsia" w:ascii="宋体" w:hAnsi="宋体" w:eastAsia="宋体"/>
          <w:b/>
          <w:color w:val="auto"/>
          <w:sz w:val="28"/>
          <w:szCs w:val="28"/>
          <w:lang w:val="en-US" w:eastAsia="zh-CN"/>
        </w:rPr>
      </w:pPr>
      <w:r>
        <w:rPr>
          <w:rFonts w:hint="eastAsia" w:ascii="宋体" w:hAnsi="宋体"/>
          <w:b/>
          <w:color w:val="auto"/>
          <w:sz w:val="28"/>
          <w:szCs w:val="28"/>
        </w:rPr>
        <w:t xml:space="preserve">联 系 人： </w:t>
      </w:r>
      <w:r>
        <w:rPr>
          <w:rFonts w:hint="eastAsia" w:ascii="宋体" w:hAnsi="宋体"/>
          <w:b/>
          <w:color w:val="auto"/>
          <w:sz w:val="28"/>
          <w:szCs w:val="28"/>
          <w:lang w:val="en-US" w:eastAsia="zh-CN"/>
        </w:rPr>
        <w:t>刘宁</w:t>
      </w: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autoSpaceDE w:val="0"/>
        <w:autoSpaceDN w:val="0"/>
        <w:adjustRightInd w:val="0"/>
        <w:spacing w:line="400" w:lineRule="exact"/>
        <w:ind w:firstLine="551" w:firstLineChars="196"/>
        <w:rPr>
          <w:rFonts w:hint="default" w:ascii="宋体" w:hAnsi="宋体" w:eastAsia="宋体"/>
          <w:b/>
          <w:color w:val="auto"/>
          <w:sz w:val="28"/>
          <w:szCs w:val="28"/>
          <w:lang w:val="en-US" w:eastAsia="zh-CN"/>
        </w:rPr>
      </w:pPr>
      <w:r>
        <w:rPr>
          <w:rFonts w:hint="eastAsia" w:ascii="宋体" w:hAnsi="宋体"/>
          <w:b/>
          <w:color w:val="auto"/>
          <w:sz w:val="28"/>
          <w:szCs w:val="28"/>
        </w:rPr>
        <w:t xml:space="preserve">联系电话： </w:t>
      </w:r>
      <w:r>
        <w:rPr>
          <w:rFonts w:hint="eastAsia" w:ascii="宋体" w:hAnsi="宋体"/>
          <w:b/>
          <w:color w:val="auto"/>
          <w:sz w:val="28"/>
          <w:szCs w:val="28"/>
          <w:lang w:val="en-US" w:eastAsia="zh-CN"/>
        </w:rPr>
        <w:t>18139610821</w:t>
      </w:r>
    </w:p>
    <w:p>
      <w:pPr>
        <w:autoSpaceDE w:val="0"/>
        <w:autoSpaceDN w:val="0"/>
        <w:adjustRightInd w:val="0"/>
        <w:spacing w:line="400" w:lineRule="exact"/>
        <w:rPr>
          <w:rFonts w:ascii="宋体" w:hAnsi="宋体"/>
          <w:b/>
          <w:color w:val="auto"/>
          <w:sz w:val="28"/>
          <w:szCs w:val="28"/>
        </w:rPr>
      </w:pPr>
      <w:r>
        <w:rPr>
          <w:rFonts w:hint="eastAsia" w:ascii="宋体" w:hAnsi="宋体"/>
          <w:b/>
          <w:color w:val="auto"/>
          <w:sz w:val="28"/>
          <w:szCs w:val="28"/>
        </w:rPr>
        <w:t xml:space="preserve">        </w:t>
      </w:r>
    </w:p>
    <w:p>
      <w:pPr>
        <w:rPr>
          <w:rFonts w:hint="eastAsia" w:ascii="宋体" w:hAnsi="宋体"/>
          <w:b/>
          <w:color w:val="auto"/>
          <w:sz w:val="28"/>
          <w:szCs w:val="28"/>
        </w:rPr>
      </w:pPr>
      <w:r>
        <w:rPr>
          <w:rFonts w:hint="eastAsia" w:ascii="宋体" w:hAnsi="宋体"/>
          <w:b/>
          <w:color w:val="auto"/>
          <w:sz w:val="28"/>
          <w:szCs w:val="28"/>
        </w:rPr>
        <w:t xml:space="preserve">    </w:t>
      </w:r>
    </w:p>
    <w:p>
      <w:pPr>
        <w:pStyle w:val="19"/>
        <w:rPr>
          <w:rFonts w:hint="eastAsia" w:ascii="宋体" w:hAnsi="宋体"/>
          <w:b/>
          <w:color w:val="auto"/>
          <w:sz w:val="28"/>
          <w:szCs w:val="28"/>
        </w:rPr>
      </w:pPr>
    </w:p>
    <w:p>
      <w:pPr>
        <w:jc w:val="center"/>
        <w:rPr>
          <w:rFonts w:hint="eastAsia" w:ascii="宋体" w:hAnsi="宋体"/>
          <w:b/>
          <w:bCs/>
          <w:color w:val="auto"/>
          <w:sz w:val="32"/>
          <w:szCs w:val="32"/>
          <w:lang w:val="en-US" w:eastAsia="zh-CN"/>
        </w:rPr>
      </w:pPr>
    </w:p>
    <w:p>
      <w:pPr>
        <w:jc w:val="center"/>
        <w:rPr>
          <w:rFonts w:hint="default" w:ascii="宋体" w:hAnsi="宋体" w:eastAsia="宋体"/>
          <w:b/>
          <w:bCs/>
          <w:color w:val="FF0000"/>
          <w:sz w:val="32"/>
          <w:szCs w:val="32"/>
          <w:lang w:val="en-US" w:eastAsia="zh-CN"/>
        </w:rPr>
      </w:pPr>
      <w:r>
        <w:rPr>
          <w:rFonts w:hint="eastAsia" w:ascii="宋体" w:hAnsi="宋体"/>
          <w:b/>
          <w:bCs/>
          <w:color w:val="FF0000"/>
          <w:sz w:val="32"/>
          <w:szCs w:val="32"/>
          <w:lang w:val="en-US" w:eastAsia="zh-CN"/>
        </w:rPr>
        <w:t>2023</w:t>
      </w:r>
      <w:r>
        <w:rPr>
          <w:rFonts w:hint="eastAsia" w:ascii="宋体" w:hAnsi="宋体"/>
          <w:b/>
          <w:bCs/>
          <w:color w:val="FF0000"/>
          <w:sz w:val="32"/>
          <w:szCs w:val="32"/>
        </w:rPr>
        <w:t>年</w:t>
      </w:r>
      <w:r>
        <w:rPr>
          <w:rFonts w:hint="eastAsia" w:ascii="宋体" w:hAnsi="宋体"/>
          <w:b/>
          <w:bCs/>
          <w:color w:val="FF0000"/>
          <w:sz w:val="32"/>
          <w:szCs w:val="32"/>
          <w:lang w:val="en-US" w:eastAsia="zh-CN"/>
        </w:rPr>
        <w:t>06</w:t>
      </w:r>
      <w:r>
        <w:rPr>
          <w:rFonts w:hint="eastAsia" w:ascii="宋体" w:hAnsi="宋体"/>
          <w:b/>
          <w:bCs/>
          <w:color w:val="FF0000"/>
          <w:sz w:val="32"/>
          <w:szCs w:val="32"/>
        </w:rPr>
        <w:t>月</w:t>
      </w:r>
      <w:r>
        <w:rPr>
          <w:rFonts w:hint="eastAsia" w:ascii="宋体" w:hAnsi="宋体"/>
          <w:b/>
          <w:bCs/>
          <w:color w:val="FF0000"/>
          <w:sz w:val="32"/>
          <w:szCs w:val="32"/>
          <w:lang w:val="en-US" w:eastAsia="zh-CN"/>
        </w:rPr>
        <w:t>02日</w:t>
      </w:r>
    </w:p>
    <w:p>
      <w:pPr>
        <w:spacing w:line="540" w:lineRule="exact"/>
        <w:ind w:left="2420" w:leftChars="105" w:hanging="2200" w:hangingChars="500"/>
        <w:jc w:val="left"/>
        <w:rPr>
          <w:rFonts w:hint="eastAsia" w:ascii="宋体" w:hAnsi="宋体" w:cs="宋体"/>
          <w:color w:val="auto"/>
          <w:sz w:val="44"/>
          <w:szCs w:val="44"/>
        </w:rPr>
        <w:sectPr>
          <w:headerReference r:id="rId4" w:type="first"/>
          <w:footerReference r:id="rId5" w:type="default"/>
          <w:headerReference r:id="rId3" w:type="even"/>
          <w:footerReference r:id="rId6" w:type="even"/>
          <w:pgSz w:w="11906" w:h="16838"/>
          <w:pgMar w:top="1440" w:right="1800" w:bottom="1440" w:left="1800" w:header="0" w:footer="567" w:gutter="0"/>
          <w:pgNumType w:start="1"/>
          <w:cols w:space="720" w:num="1"/>
          <w:titlePg/>
          <w:docGrid w:type="lines" w:linePitch="312" w:charSpace="0"/>
        </w:sectPr>
      </w:pPr>
    </w:p>
    <w:p>
      <w:pPr>
        <w:pStyle w:val="4"/>
        <w:jc w:val="center"/>
        <w:rPr>
          <w:rFonts w:hint="eastAsia" w:ascii="宋体" w:hAnsi="宋体" w:eastAsia="宋体" w:cs="宋体"/>
          <w:b/>
          <w:bCs/>
          <w:sz w:val="44"/>
          <w:szCs w:val="44"/>
        </w:rPr>
      </w:pPr>
      <w:bookmarkStart w:id="0" w:name="_Toc452033006"/>
      <w:r>
        <w:rPr>
          <w:rFonts w:hint="eastAsia" w:ascii="宋体" w:hAnsi="宋体" w:eastAsia="宋体" w:cs="宋体"/>
          <w:b/>
          <w:bCs/>
          <w:sz w:val="44"/>
          <w:szCs w:val="44"/>
        </w:rPr>
        <w:t>第一章 招标公告</w:t>
      </w:r>
      <w:bookmarkEnd w:id="0"/>
    </w:p>
    <w:p>
      <w:pPr>
        <w:tabs>
          <w:tab w:val="left" w:pos="0"/>
          <w:tab w:val="left" w:pos="900"/>
          <w:tab w:val="left" w:pos="1100"/>
        </w:tabs>
        <w:spacing w:line="300" w:lineRule="auto"/>
        <w:jc w:val="center"/>
        <w:rPr>
          <w:rFonts w:hint="eastAsia" w:ascii="宋体" w:hAnsi="宋体" w:eastAsia="宋体" w:cs="宋体"/>
          <w:sz w:val="22"/>
          <w:szCs w:val="22"/>
          <w:highlight w:val="yellow"/>
        </w:rPr>
      </w:pPr>
      <w:r>
        <w:rPr>
          <w:rFonts w:hint="eastAsia" w:ascii="宋体" w:hAnsi="宋体" w:eastAsia="宋体" w:cs="宋体"/>
          <w:sz w:val="22"/>
          <w:szCs w:val="22"/>
          <w:highlight w:val="yellow"/>
          <w:lang w:eastAsia="zh-CN"/>
        </w:rPr>
        <w:t>新疆医科大学附属肿瘤医院新建门诊综合楼独立排风及PCR实验室、八楼九楼手术室及次供应室净化区室内装修及消防改造工程项目</w:t>
      </w:r>
      <w:r>
        <w:rPr>
          <w:rFonts w:hint="eastAsia" w:ascii="宋体" w:hAnsi="宋体" w:cs="宋体"/>
          <w:sz w:val="22"/>
          <w:szCs w:val="22"/>
          <w:highlight w:val="yellow"/>
          <w:lang w:eastAsia="zh-CN"/>
        </w:rPr>
        <w:t>（二次）</w:t>
      </w:r>
      <w:r>
        <w:rPr>
          <w:rFonts w:hint="eastAsia" w:ascii="宋体" w:hAnsi="宋体" w:eastAsia="宋体" w:cs="宋体"/>
          <w:sz w:val="22"/>
          <w:szCs w:val="22"/>
          <w:highlight w:val="yellow"/>
        </w:rPr>
        <w:t>竞争性磋商招标公告</w:t>
      </w:r>
    </w:p>
    <w:p>
      <w:pPr>
        <w:spacing w:line="440" w:lineRule="exact"/>
        <w:rPr>
          <w:rFonts w:hint="eastAsia" w:ascii="宋体" w:hAnsi="宋体" w:eastAsia="宋体" w:cs="宋体"/>
          <w:sz w:val="22"/>
          <w:szCs w:val="22"/>
          <w:lang w:eastAsia="zh-CN"/>
        </w:rPr>
      </w:pPr>
      <w:r>
        <w:rPr>
          <w:rFonts w:hint="eastAsia" w:ascii="宋体" w:hAnsi="宋体" w:eastAsia="宋体" w:cs="宋体"/>
          <w:b/>
          <w:sz w:val="22"/>
          <w:szCs w:val="22"/>
        </w:rPr>
        <w:t>1. 招标条件</w:t>
      </w:r>
      <w:r>
        <w:rPr>
          <w:rFonts w:hint="eastAsia" w:ascii="宋体" w:hAnsi="宋体" w:eastAsia="宋体" w:cs="宋体"/>
          <w:b/>
          <w:sz w:val="22"/>
          <w:szCs w:val="22"/>
          <w:lang w:eastAsia="zh-CN"/>
        </w:rPr>
        <w:t>：</w:t>
      </w:r>
    </w:p>
    <w:p>
      <w:pPr>
        <w:spacing w:line="460" w:lineRule="exact"/>
        <w:ind w:firstLine="437"/>
        <w:rPr>
          <w:rFonts w:hint="eastAsia" w:ascii="宋体" w:hAnsi="宋体" w:eastAsia="宋体" w:cs="宋体"/>
          <w:sz w:val="22"/>
          <w:szCs w:val="22"/>
        </w:rPr>
      </w:pPr>
      <w:bookmarkStart w:id="1" w:name="_Toc179632529"/>
      <w:bookmarkStart w:id="2" w:name="_Toc152042289"/>
      <w:bookmarkStart w:id="3" w:name="_Toc152045513"/>
      <w:bookmarkStart w:id="4" w:name="_Toc144974481"/>
      <w:r>
        <w:rPr>
          <w:rFonts w:hint="eastAsia" w:ascii="宋体" w:hAnsi="宋体" w:eastAsia="宋体" w:cs="宋体"/>
          <w:sz w:val="22"/>
          <w:szCs w:val="22"/>
        </w:rPr>
        <w:t>本招标项目</w:t>
      </w:r>
      <w:r>
        <w:rPr>
          <w:rFonts w:hint="eastAsia" w:ascii="宋体" w:hAnsi="宋体" w:eastAsia="宋体" w:cs="宋体"/>
          <w:sz w:val="22"/>
          <w:szCs w:val="22"/>
          <w:highlight w:val="yellow"/>
          <w:u w:val="single"/>
          <w:lang w:eastAsia="zh-CN"/>
        </w:rPr>
        <w:t>新疆医科大学附属肿瘤医院新建门诊综合楼独立排风及PCR实验室、八楼九楼手术室及次供应室净化区室内装修及消防改造工程项目</w:t>
      </w:r>
      <w:r>
        <w:rPr>
          <w:rFonts w:hint="eastAsia" w:ascii="宋体" w:hAnsi="宋体" w:cs="宋体"/>
          <w:sz w:val="22"/>
          <w:szCs w:val="22"/>
          <w:highlight w:val="yellow"/>
          <w:u w:val="single"/>
          <w:lang w:eastAsia="zh-CN"/>
        </w:rPr>
        <w:t>（二次）</w:t>
      </w:r>
      <w:r>
        <w:rPr>
          <w:rFonts w:hint="eastAsia" w:ascii="宋体" w:hAnsi="宋体" w:eastAsia="宋体" w:cs="宋体"/>
          <w:sz w:val="22"/>
          <w:szCs w:val="22"/>
        </w:rPr>
        <w:t>，招标人(项目业主)为</w:t>
      </w:r>
      <w:r>
        <w:rPr>
          <w:rFonts w:hint="eastAsia" w:ascii="宋体" w:hAnsi="宋体" w:eastAsia="宋体" w:cs="宋体"/>
          <w:sz w:val="22"/>
          <w:szCs w:val="22"/>
          <w:u w:val="single"/>
          <w:lang w:eastAsia="zh-CN"/>
        </w:rPr>
        <w:t>华诚博远工程咨询有限公司</w:t>
      </w:r>
      <w:r>
        <w:rPr>
          <w:rFonts w:hint="eastAsia" w:ascii="宋体" w:hAnsi="宋体" w:eastAsia="宋体" w:cs="宋体"/>
          <w:sz w:val="22"/>
          <w:szCs w:val="22"/>
          <w:u w:val="single"/>
        </w:rPr>
        <w:t xml:space="preserve"> </w:t>
      </w:r>
      <w:r>
        <w:rPr>
          <w:rFonts w:hint="eastAsia" w:ascii="宋体" w:hAnsi="宋体" w:eastAsia="宋体" w:cs="宋体"/>
          <w:sz w:val="22"/>
          <w:szCs w:val="22"/>
        </w:rPr>
        <w:t>，建设资金来自</w:t>
      </w:r>
      <w:r>
        <w:rPr>
          <w:rFonts w:hint="eastAsia" w:ascii="宋体" w:hAnsi="宋体" w:eastAsia="宋体" w:cs="宋体"/>
          <w:sz w:val="22"/>
          <w:szCs w:val="22"/>
          <w:u w:val="single"/>
        </w:rPr>
        <w:t xml:space="preserve"> </w:t>
      </w:r>
      <w:r>
        <w:rPr>
          <w:rFonts w:hint="eastAsia" w:ascii="宋体" w:hAnsi="宋体" w:eastAsia="宋体" w:cs="宋体"/>
          <w:color w:val="FF0000"/>
          <w:sz w:val="22"/>
          <w:szCs w:val="22"/>
          <w:u w:val="single"/>
        </w:rPr>
        <w:t>自筹资金</w:t>
      </w:r>
      <w:r>
        <w:rPr>
          <w:rFonts w:hint="eastAsia" w:ascii="宋体" w:hAnsi="宋体" w:eastAsia="宋体" w:cs="宋体"/>
          <w:sz w:val="22"/>
          <w:szCs w:val="22"/>
          <w:u w:val="single"/>
        </w:rPr>
        <w:t xml:space="preserve"> </w:t>
      </w:r>
      <w:r>
        <w:rPr>
          <w:rFonts w:hint="eastAsia" w:ascii="宋体" w:hAnsi="宋体" w:eastAsia="宋体" w:cs="宋体"/>
          <w:sz w:val="22"/>
          <w:szCs w:val="22"/>
        </w:rPr>
        <w:t>，项目已具备招标条件，现对该项目的施工进行</w:t>
      </w:r>
      <w:r>
        <w:rPr>
          <w:rFonts w:hint="eastAsia" w:ascii="宋体" w:hAnsi="宋体" w:eastAsia="宋体" w:cs="宋体"/>
          <w:sz w:val="22"/>
          <w:szCs w:val="22"/>
          <w:highlight w:val="yellow"/>
          <w:u w:val="single"/>
          <w:lang w:eastAsia="zh-CN"/>
        </w:rPr>
        <w:t>竞争性磋商</w:t>
      </w:r>
      <w:r>
        <w:rPr>
          <w:rFonts w:hint="eastAsia" w:ascii="宋体" w:hAnsi="宋体" w:eastAsia="宋体" w:cs="宋体"/>
          <w:sz w:val="22"/>
          <w:szCs w:val="22"/>
        </w:rPr>
        <w:t>招标。</w:t>
      </w:r>
    </w:p>
    <w:p>
      <w:pPr>
        <w:spacing w:line="460" w:lineRule="exact"/>
        <w:rPr>
          <w:rFonts w:hint="eastAsia" w:ascii="宋体" w:hAnsi="宋体" w:eastAsia="宋体" w:cs="宋体"/>
          <w:sz w:val="22"/>
          <w:szCs w:val="22"/>
          <w:lang w:eastAsia="zh-CN"/>
        </w:rPr>
      </w:pPr>
      <w:r>
        <w:rPr>
          <w:rFonts w:hint="eastAsia" w:ascii="宋体" w:hAnsi="宋体" w:eastAsia="宋体" w:cs="宋体"/>
          <w:b/>
          <w:sz w:val="22"/>
          <w:szCs w:val="22"/>
        </w:rPr>
        <w:t>2. 项目概况与招标范围</w:t>
      </w:r>
      <w:bookmarkEnd w:id="1"/>
      <w:bookmarkEnd w:id="2"/>
      <w:bookmarkEnd w:id="3"/>
      <w:bookmarkEnd w:id="4"/>
      <w:r>
        <w:rPr>
          <w:rFonts w:hint="eastAsia" w:ascii="宋体" w:hAnsi="宋体" w:eastAsia="宋体" w:cs="宋体"/>
          <w:b/>
          <w:sz w:val="22"/>
          <w:szCs w:val="22"/>
          <w:lang w:eastAsia="zh-CN"/>
        </w:rPr>
        <w:t>：</w:t>
      </w:r>
    </w:p>
    <w:p>
      <w:pPr>
        <w:spacing w:line="400" w:lineRule="exact"/>
        <w:ind w:left="440" w:hanging="440" w:hangingChars="200"/>
        <w:rPr>
          <w:rFonts w:hint="eastAsia" w:ascii="宋体" w:hAnsi="宋体" w:eastAsia="宋体" w:cs="宋体"/>
          <w:sz w:val="22"/>
          <w:szCs w:val="22"/>
          <w:highlight w:val="yellow"/>
          <w:u w:val="single"/>
          <w:lang w:eastAsia="zh-CN"/>
        </w:rPr>
      </w:pPr>
      <w:r>
        <w:rPr>
          <w:rFonts w:hint="eastAsia" w:ascii="宋体" w:hAnsi="宋体" w:eastAsia="宋体" w:cs="宋体"/>
          <w:sz w:val="22"/>
          <w:szCs w:val="22"/>
        </w:rPr>
        <w:t>　</w:t>
      </w:r>
      <w:r>
        <w:rPr>
          <w:rFonts w:hint="eastAsia" w:ascii="宋体" w:hAnsi="宋体" w:eastAsia="宋体" w:cs="宋体"/>
          <w:color w:val="FF0000"/>
          <w:sz w:val="22"/>
          <w:szCs w:val="22"/>
        </w:rPr>
        <w:t>　</w:t>
      </w:r>
      <w:r>
        <w:rPr>
          <w:rFonts w:hint="eastAsia" w:ascii="宋体" w:hAnsi="宋体" w:eastAsia="宋体" w:cs="宋体"/>
          <w:color w:val="000000"/>
          <w:sz w:val="22"/>
          <w:szCs w:val="22"/>
        </w:rPr>
        <w:t>2.1  项目名称：</w:t>
      </w:r>
      <w:r>
        <w:rPr>
          <w:rFonts w:hint="eastAsia" w:ascii="宋体" w:hAnsi="宋体" w:eastAsia="宋体" w:cs="宋体"/>
          <w:sz w:val="22"/>
          <w:szCs w:val="22"/>
          <w:highlight w:val="yellow"/>
          <w:u w:val="single"/>
          <w:lang w:eastAsia="zh-CN"/>
        </w:rPr>
        <w:t>新疆医科大学附属肿瘤医院新建门诊综合楼独立排风及PCR实验室、八楼九楼手术室及次供应室净化区室内装修及消防改造工程项目</w:t>
      </w:r>
      <w:r>
        <w:rPr>
          <w:rFonts w:hint="eastAsia" w:ascii="宋体" w:hAnsi="宋体" w:cs="宋体"/>
          <w:sz w:val="22"/>
          <w:szCs w:val="22"/>
          <w:highlight w:val="yellow"/>
          <w:u w:val="single"/>
          <w:lang w:eastAsia="zh-CN"/>
        </w:rPr>
        <w:t>（二次）</w:t>
      </w:r>
    </w:p>
    <w:p>
      <w:pPr>
        <w:spacing w:line="400" w:lineRule="exact"/>
        <w:ind w:left="440" w:hanging="440" w:hangingChars="200"/>
        <w:rPr>
          <w:rFonts w:hint="eastAsia" w:ascii="宋体" w:hAnsi="宋体" w:eastAsia="宋体" w:cs="宋体"/>
          <w:sz w:val="22"/>
          <w:szCs w:val="22"/>
          <w:u w:val="single"/>
        </w:rPr>
      </w:pPr>
      <w:r>
        <w:rPr>
          <w:rFonts w:hint="eastAsia" w:ascii="宋体" w:hAnsi="宋体" w:eastAsia="宋体" w:cs="宋体"/>
          <w:color w:val="000000"/>
          <w:sz w:val="22"/>
          <w:szCs w:val="22"/>
          <w:u w:val="none"/>
          <w:lang w:val="en-US" w:eastAsia="zh-CN"/>
        </w:rPr>
        <w:t xml:space="preserve">    2.2</w:t>
      </w:r>
      <w:r>
        <w:rPr>
          <w:rFonts w:hint="eastAsia" w:ascii="宋体" w:hAnsi="宋体" w:eastAsia="宋体" w:cs="宋体"/>
          <w:color w:val="000000"/>
          <w:sz w:val="22"/>
          <w:szCs w:val="22"/>
          <w:u w:val="none"/>
        </w:rPr>
        <w:t xml:space="preserve">  </w:t>
      </w:r>
      <w:r>
        <w:rPr>
          <w:rFonts w:hint="eastAsia" w:ascii="宋体" w:hAnsi="宋体" w:eastAsia="宋体" w:cs="宋体"/>
          <w:color w:val="000000"/>
          <w:sz w:val="22"/>
          <w:szCs w:val="22"/>
          <w:u w:val="none"/>
          <w:lang w:eastAsia="zh-CN"/>
        </w:rPr>
        <w:t>项目编号：</w:t>
      </w:r>
      <w:r>
        <w:rPr>
          <w:rFonts w:hint="eastAsia" w:ascii="宋体" w:hAnsi="宋体" w:eastAsia="宋体" w:cs="宋体"/>
          <w:color w:val="000000"/>
          <w:sz w:val="22"/>
          <w:szCs w:val="22"/>
          <w:u w:val="single"/>
          <w:lang w:val="en-US" w:eastAsia="zh-CN"/>
        </w:rPr>
        <w:t>[2023]8468号</w:t>
      </w:r>
      <w:r>
        <w:rPr>
          <w:rFonts w:hint="eastAsia" w:ascii="宋体" w:hAnsi="宋体" w:cs="宋体"/>
          <w:color w:val="000000"/>
          <w:sz w:val="22"/>
          <w:szCs w:val="22"/>
          <w:u w:val="single"/>
          <w:lang w:val="en-US" w:eastAsia="zh-CN"/>
        </w:rPr>
        <w:t>-02</w:t>
      </w:r>
      <w:r>
        <w:rPr>
          <w:rFonts w:hint="eastAsia" w:ascii="宋体" w:hAnsi="宋体" w:eastAsia="宋体" w:cs="宋体"/>
          <w:color w:val="000000"/>
          <w:sz w:val="22"/>
          <w:szCs w:val="22"/>
          <w:u w:val="single"/>
        </w:rPr>
        <w:t xml:space="preserve">  </w:t>
      </w:r>
      <w:r>
        <w:rPr>
          <w:rFonts w:hint="eastAsia" w:ascii="宋体" w:hAnsi="宋体" w:eastAsia="宋体" w:cs="宋体"/>
          <w:sz w:val="22"/>
          <w:szCs w:val="22"/>
          <w:u w:val="single"/>
        </w:rPr>
        <w:t xml:space="preserve">            </w:t>
      </w:r>
    </w:p>
    <w:p>
      <w:pPr>
        <w:spacing w:line="400" w:lineRule="exact"/>
        <w:ind w:firstLine="431" w:firstLineChars="196"/>
        <w:rPr>
          <w:rFonts w:hint="eastAsia" w:ascii="宋体" w:hAnsi="宋体" w:eastAsia="宋体" w:cs="宋体"/>
          <w:color w:val="000000"/>
          <w:sz w:val="22"/>
          <w:szCs w:val="22"/>
          <w:u w:val="single"/>
        </w:rPr>
      </w:pPr>
      <w:r>
        <w:rPr>
          <w:rFonts w:hint="eastAsia" w:ascii="宋体" w:hAnsi="宋体" w:eastAsia="宋体" w:cs="宋体"/>
          <w:color w:val="000000"/>
          <w:sz w:val="22"/>
          <w:szCs w:val="22"/>
        </w:rPr>
        <w:t>2.2  建设地址：</w:t>
      </w:r>
      <w:r>
        <w:rPr>
          <w:rFonts w:hint="eastAsia" w:ascii="宋体" w:hAnsi="宋体" w:eastAsia="宋体" w:cs="宋体"/>
          <w:color w:val="000000"/>
          <w:sz w:val="22"/>
          <w:szCs w:val="22"/>
          <w:highlight w:val="yellow"/>
          <w:u w:val="single"/>
        </w:rPr>
        <w:t>新疆医科大学附属肿瘤医院</w:t>
      </w:r>
      <w:r>
        <w:rPr>
          <w:rFonts w:hint="eastAsia" w:ascii="宋体" w:hAnsi="宋体" w:eastAsia="宋体" w:cs="宋体"/>
          <w:sz w:val="22"/>
          <w:szCs w:val="22"/>
          <w:u w:val="single"/>
        </w:rPr>
        <w:t xml:space="preserve">      </w:t>
      </w:r>
    </w:p>
    <w:p>
      <w:pPr>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2.3  建筑规模：</w:t>
      </w:r>
      <w:r>
        <w:rPr>
          <w:rFonts w:hint="eastAsia" w:ascii="宋体" w:hAnsi="宋体" w:eastAsia="宋体" w:cs="宋体"/>
          <w:color w:val="000000"/>
          <w:sz w:val="22"/>
          <w:szCs w:val="22"/>
          <w:highlight w:val="yellow"/>
          <w:u w:val="single"/>
        </w:rPr>
        <w:t>3766平米</w:t>
      </w:r>
      <w:r>
        <w:rPr>
          <w:rFonts w:hint="eastAsia" w:ascii="宋体" w:hAnsi="宋体" w:eastAsia="宋体" w:cs="宋体"/>
          <w:sz w:val="22"/>
          <w:szCs w:val="22"/>
          <w:u w:val="single"/>
        </w:rPr>
        <w:t xml:space="preserve">                     </w:t>
      </w:r>
    </w:p>
    <w:p>
      <w:pPr>
        <w:spacing w:line="400" w:lineRule="exact"/>
        <w:ind w:firstLine="431" w:firstLineChars="196"/>
        <w:rPr>
          <w:rFonts w:hint="eastAsia" w:ascii="宋体" w:hAnsi="宋体" w:eastAsia="宋体" w:cs="宋体"/>
          <w:color w:val="000000"/>
          <w:sz w:val="22"/>
          <w:szCs w:val="22"/>
          <w:u w:val="single"/>
        </w:rPr>
      </w:pPr>
      <w:r>
        <w:rPr>
          <w:rFonts w:hint="eastAsia" w:ascii="宋体" w:hAnsi="宋体" w:eastAsia="宋体" w:cs="宋体"/>
          <w:color w:val="auto"/>
          <w:sz w:val="22"/>
          <w:szCs w:val="22"/>
        </w:rPr>
        <w:t>2.4  工程投资额：</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395588.49</w:t>
      </w:r>
      <w:r>
        <w:rPr>
          <w:rFonts w:hint="eastAsia" w:ascii="宋体" w:hAnsi="宋体" w:eastAsia="宋体" w:cs="宋体"/>
          <w:color w:val="000000"/>
          <w:sz w:val="22"/>
          <w:szCs w:val="22"/>
          <w:u w:val="single"/>
        </w:rPr>
        <w:t xml:space="preserve">元         </w:t>
      </w:r>
    </w:p>
    <w:p>
      <w:pPr>
        <w:spacing w:line="440" w:lineRule="exact"/>
        <w:ind w:firstLine="431" w:firstLineChars="196"/>
        <w:rPr>
          <w:rFonts w:hint="eastAsia" w:ascii="宋体" w:hAnsi="宋体" w:eastAsia="宋体" w:cs="宋体"/>
          <w:sz w:val="22"/>
          <w:szCs w:val="22"/>
          <w:u w:val="single"/>
        </w:rPr>
      </w:pPr>
      <w:r>
        <w:rPr>
          <w:rFonts w:hint="eastAsia" w:ascii="宋体" w:hAnsi="宋体" w:eastAsia="宋体" w:cs="宋体"/>
          <w:sz w:val="22"/>
          <w:szCs w:val="22"/>
        </w:rPr>
        <w:t>2.5  计划工期：</w:t>
      </w:r>
      <w:r>
        <w:rPr>
          <w:rFonts w:hint="eastAsia" w:ascii="宋体" w:hAnsi="宋体" w:eastAsia="宋体" w:cs="宋体"/>
          <w:sz w:val="22"/>
          <w:szCs w:val="22"/>
          <w:highlight w:val="yellow"/>
          <w:u w:val="single"/>
        </w:rPr>
        <w:t>签订合同之日起</w:t>
      </w:r>
      <w:r>
        <w:rPr>
          <w:rFonts w:hint="eastAsia" w:ascii="宋体" w:hAnsi="宋体" w:eastAsia="宋体" w:cs="宋体"/>
          <w:sz w:val="22"/>
          <w:szCs w:val="22"/>
          <w:highlight w:val="yellow"/>
          <w:u w:val="single"/>
          <w:lang w:eastAsia="zh-CN"/>
        </w:rPr>
        <w:t>，施工周期为20天（日历日）</w:t>
      </w:r>
      <w:r>
        <w:rPr>
          <w:rFonts w:hint="eastAsia" w:ascii="宋体" w:hAnsi="宋体" w:eastAsia="宋体" w:cs="宋体"/>
          <w:sz w:val="22"/>
          <w:szCs w:val="22"/>
          <w:highlight w:val="yellow"/>
          <w:u w:val="single"/>
        </w:rPr>
        <w:t xml:space="preserve">    </w:t>
      </w:r>
    </w:p>
    <w:p>
      <w:pPr>
        <w:spacing w:line="400" w:lineRule="exact"/>
        <w:ind w:firstLine="431" w:firstLineChars="196"/>
        <w:rPr>
          <w:rFonts w:hint="eastAsia" w:ascii="宋体" w:hAnsi="宋体" w:eastAsia="宋体" w:cs="宋体"/>
          <w:bCs/>
          <w:sz w:val="22"/>
          <w:szCs w:val="22"/>
          <w:highlight w:val="yellow"/>
          <w:u w:val="single"/>
        </w:rPr>
      </w:pPr>
      <w:r>
        <w:rPr>
          <w:rFonts w:hint="eastAsia" w:ascii="宋体" w:hAnsi="宋体" w:eastAsia="宋体" w:cs="宋体"/>
          <w:bCs/>
          <w:color w:val="000000"/>
          <w:sz w:val="22"/>
          <w:szCs w:val="22"/>
        </w:rPr>
        <w:t>2.6招标范围</w:t>
      </w:r>
      <w:r>
        <w:rPr>
          <w:rFonts w:hint="eastAsia" w:ascii="宋体" w:hAnsi="宋体" w:eastAsia="宋体" w:cs="宋体"/>
          <w:bCs/>
          <w:sz w:val="22"/>
          <w:szCs w:val="22"/>
        </w:rPr>
        <w:t>：</w:t>
      </w:r>
      <w:r>
        <w:rPr>
          <w:rFonts w:hint="eastAsia" w:ascii="宋体" w:hAnsi="宋体" w:eastAsia="宋体" w:cs="宋体"/>
          <w:bCs/>
          <w:sz w:val="22"/>
          <w:szCs w:val="22"/>
          <w:highlight w:val="yellow"/>
          <w:u w:val="single"/>
        </w:rPr>
        <w:t>七层局部病理科PCR实验室、八层九层手术室及设备机房区域，详见施工图纸。</w:t>
      </w:r>
    </w:p>
    <w:p>
      <w:pPr>
        <w:spacing w:line="400" w:lineRule="exact"/>
        <w:rPr>
          <w:rFonts w:hint="eastAsia" w:ascii="宋体" w:hAnsi="宋体" w:eastAsia="宋体" w:cs="宋体"/>
          <w:b/>
          <w:color w:val="000000"/>
          <w:sz w:val="22"/>
          <w:szCs w:val="22"/>
          <w:lang w:eastAsia="zh-CN"/>
        </w:rPr>
      </w:pPr>
      <w:bookmarkStart w:id="5" w:name="_Toc144974482"/>
      <w:bookmarkStart w:id="6" w:name="_Toc179632530"/>
      <w:bookmarkStart w:id="7" w:name="_Toc152042290"/>
      <w:bookmarkStart w:id="8" w:name="_Toc152045514"/>
      <w:r>
        <w:rPr>
          <w:rFonts w:hint="eastAsia" w:ascii="宋体" w:hAnsi="宋体" w:eastAsia="宋体" w:cs="宋体"/>
          <w:b/>
          <w:color w:val="000000"/>
          <w:sz w:val="22"/>
          <w:szCs w:val="22"/>
        </w:rPr>
        <w:t>3. 投标人资格要求</w:t>
      </w:r>
      <w:bookmarkEnd w:id="5"/>
      <w:bookmarkEnd w:id="6"/>
      <w:bookmarkEnd w:id="7"/>
      <w:bookmarkEnd w:id="8"/>
      <w:r>
        <w:rPr>
          <w:rFonts w:hint="eastAsia" w:ascii="宋体" w:hAnsi="宋体" w:eastAsia="宋体" w:cs="宋体"/>
          <w:b/>
          <w:color w:val="000000"/>
          <w:sz w:val="22"/>
          <w:szCs w:val="22"/>
          <w:lang w:eastAsia="zh-CN"/>
        </w:rPr>
        <w:t>：</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投标人应符合《中华人民共和国政府采购法》第二十二条规定的条件；</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①具有独立承担民事责任的能力；</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②具有良好的商业信誉和健全的财务会计制度；</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③具有履行合同所必须的设备和专业技术能力；</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④有依法缴纳税收和社会保障资金的良好记录；</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⑤参加政府采购活动前三年内，在经营活动中没有重大违法、犯罪记录；</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⑥法律法规规定的其他条件。</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遵守国家法律、法规有关招标的规定。</w:t>
      </w:r>
    </w:p>
    <w:p>
      <w:pPr>
        <w:spacing w:line="400" w:lineRule="exact"/>
        <w:ind w:left="420" w:leftChars="200"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与采购人就本次招标的项目委托的咨询机构、招标代理机构、以及上述机构的附属机构没有行政或经济关联。</w:t>
      </w:r>
    </w:p>
    <w:p>
      <w:pPr>
        <w:spacing w:line="400" w:lineRule="exact"/>
        <w:ind w:left="420" w:leftChars="200" w:firstLine="0" w:firstLineChars="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（5）具有有效的营业执照。</w:t>
      </w:r>
    </w:p>
    <w:p>
      <w:pPr>
        <w:spacing w:line="400" w:lineRule="exact"/>
        <w:ind w:left="420" w:leftChars="200" w:firstLine="0" w:firstLineChars="0"/>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（6）有效期内的消防设施工程专业承包贰级及以上资质或有效期内的消防设施工程设计与施工贰级及以上资质，需持有有效的安全生产许可证，并具有履行合同所必须的设备和专业技术能力。</w:t>
      </w:r>
    </w:p>
    <w:p>
      <w:pPr>
        <w:spacing w:line="400" w:lineRule="exact"/>
        <w:ind w:left="420" w:leftChars="200" w:firstLine="0" w:firstLineChars="0"/>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（7）项目负责人要求：注册建造师（建筑工程专业）二级及以上，并具有有效的安全生产考核合格证书（B类），本单位注册。</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（8）须具备近一年财务审计报告或银行提供的资信证明（新公司从成立之日起算）。</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（9）须具有近一年任意月纳税证明（新公司从成立之日起算）。</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（10）近一年任意月法人或授权委托人人员明细的社保证明（新公司从成立之日起算）。</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（11）法人身份证明及身份证原件或法人授权委托书及委托代理人身份证原件；</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（12）须具有履行合同所必须的设备和专业技术能力的承诺函。         </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（13）参加政府采购活动前3年内在经营活动中没有重大违法记录的书面声明。</w:t>
      </w:r>
    </w:p>
    <w:p>
      <w:pPr>
        <w:spacing w:line="400" w:lineRule="exact"/>
        <w:ind w:left="420" w:leftChars="200" w:firstLine="0" w:firstLineChars="0"/>
        <w:rPr>
          <w:rFonts w:hint="eastAsia" w:ascii="宋体" w:hAnsi="宋体" w:eastAsia="宋体" w:cs="宋体"/>
          <w:color w:val="FF0000"/>
          <w:sz w:val="22"/>
          <w:szCs w:val="22"/>
          <w:lang w:val="en-US" w:eastAsia="zh-CN"/>
        </w:rPr>
      </w:pPr>
      <w:r>
        <w:rPr>
          <w:rFonts w:hint="eastAsia" w:ascii="宋体" w:hAnsi="宋体" w:eastAsia="宋体" w:cs="宋体"/>
          <w:color w:val="FF0000"/>
          <w:sz w:val="22"/>
          <w:szCs w:val="22"/>
          <w:lang w:val="en-US" w:eastAsia="zh-CN"/>
        </w:rPr>
        <w:t>（14）投标单位须为中小企业，提供《中小企业声明函》。</w:t>
      </w:r>
    </w:p>
    <w:p>
      <w:pPr>
        <w:spacing w:line="360" w:lineRule="auto"/>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highlight w:val="yellow"/>
          <w:lang w:val="en-US" w:eastAsia="zh-CN"/>
        </w:rPr>
        <w:t>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p>
      <w:pPr>
        <w:spacing w:line="400" w:lineRule="exact"/>
        <w:ind w:left="420" w:leftChars="200" w:firstLine="0" w:firstLineChars="0"/>
        <w:rPr>
          <w:rFonts w:hint="eastAsia" w:ascii="宋体" w:hAnsi="宋体" w:eastAsia="宋体" w:cs="宋体"/>
          <w:color w:val="FF0000"/>
          <w:sz w:val="22"/>
          <w:szCs w:val="22"/>
        </w:rPr>
      </w:pPr>
      <w:r>
        <w:rPr>
          <w:rFonts w:hint="eastAsia" w:ascii="宋体" w:hAnsi="宋体" w:eastAsia="宋体" w:cs="宋体"/>
          <w:color w:val="auto"/>
          <w:sz w:val="22"/>
          <w:szCs w:val="22"/>
          <w:lang w:val="en-US" w:eastAsia="zh-CN"/>
        </w:rPr>
        <w:t>（16）落实政府采购政策需满足的资格要求：</w:t>
      </w:r>
      <w:r>
        <w:rPr>
          <w:rFonts w:hint="eastAsia" w:ascii="宋体" w:hAnsi="宋体" w:eastAsia="宋体" w:cs="宋体"/>
          <w:color w:val="FF0000"/>
          <w:sz w:val="22"/>
          <w:szCs w:val="22"/>
          <w:lang w:val="en-US" w:eastAsia="zh-CN"/>
        </w:rPr>
        <w:t>本项目专门面向中小微企业。</w:t>
      </w:r>
      <w:r>
        <w:rPr>
          <w:rFonts w:hint="eastAsia" w:ascii="宋体" w:hAnsi="宋体" w:eastAsia="宋体" w:cs="宋体"/>
          <w:color w:val="FF0000"/>
          <w:sz w:val="22"/>
          <w:szCs w:val="22"/>
        </w:rPr>
        <w:t xml:space="preserve"> </w:t>
      </w:r>
    </w:p>
    <w:p>
      <w:pPr>
        <w:spacing w:line="400" w:lineRule="exact"/>
        <w:ind w:left="420" w:leftChars="200" w:firstLine="0" w:firstLineChars="0"/>
        <w:rPr>
          <w:rFonts w:hint="eastAsia" w:ascii="宋体" w:hAnsi="宋体" w:eastAsia="宋体" w:cs="宋体"/>
          <w:sz w:val="22"/>
          <w:szCs w:val="22"/>
        </w:rPr>
      </w:pPr>
      <w:r>
        <w:rPr>
          <w:rFonts w:hint="eastAsia" w:ascii="宋体" w:hAnsi="宋体" w:eastAsia="宋体" w:cs="宋体"/>
          <w:sz w:val="22"/>
          <w:szCs w:val="22"/>
        </w:rPr>
        <w:t>3.2本招标项目招标人对投标人的资格审查拟采用的方式为： 资格后审 。</w:t>
      </w:r>
    </w:p>
    <w:p>
      <w:pPr>
        <w:spacing w:line="460" w:lineRule="exact"/>
        <w:ind w:firstLine="437"/>
        <w:rPr>
          <w:rFonts w:hint="eastAsia" w:ascii="宋体" w:hAnsi="宋体" w:eastAsia="宋体" w:cs="宋体"/>
          <w:sz w:val="22"/>
          <w:szCs w:val="22"/>
        </w:rPr>
      </w:pPr>
      <w:r>
        <w:rPr>
          <w:rFonts w:hint="eastAsia" w:ascii="宋体" w:hAnsi="宋体" w:eastAsia="宋体" w:cs="宋体"/>
          <w:sz w:val="22"/>
          <w:szCs w:val="22"/>
        </w:rPr>
        <w:t>3.</w:t>
      </w:r>
      <w:bookmarkStart w:id="9" w:name="_Toc152045515"/>
      <w:bookmarkStart w:id="10" w:name="_Toc179632531"/>
      <w:bookmarkStart w:id="11" w:name="_Toc152042291"/>
      <w:bookmarkStart w:id="12" w:name="_Toc144974483"/>
      <w:r>
        <w:rPr>
          <w:rFonts w:hint="eastAsia" w:ascii="宋体" w:hAnsi="宋体" w:eastAsia="宋体" w:cs="宋体"/>
          <w:sz w:val="22"/>
          <w:szCs w:val="22"/>
        </w:rPr>
        <w:t>3本次招标</w:t>
      </w:r>
      <w:r>
        <w:rPr>
          <w:rFonts w:hint="eastAsia" w:ascii="宋体" w:hAnsi="宋体" w:eastAsia="宋体" w:cs="宋体"/>
          <w:b/>
          <w:bCs/>
          <w:sz w:val="22"/>
          <w:szCs w:val="22"/>
          <w:u w:val="single"/>
        </w:rPr>
        <w:t xml:space="preserve"> 不接受 </w:t>
      </w:r>
      <w:r>
        <w:rPr>
          <w:rFonts w:hint="eastAsia" w:ascii="宋体" w:hAnsi="宋体" w:eastAsia="宋体" w:cs="宋体"/>
          <w:sz w:val="22"/>
          <w:szCs w:val="22"/>
        </w:rPr>
        <w:t>(接受或不接受)联合体投标。</w:t>
      </w:r>
      <w:bookmarkEnd w:id="9"/>
      <w:bookmarkEnd w:id="10"/>
      <w:bookmarkEnd w:id="11"/>
      <w:bookmarkEnd w:id="12"/>
      <w:r>
        <w:rPr>
          <w:rFonts w:hint="eastAsia" w:ascii="宋体" w:hAnsi="宋体" w:eastAsia="宋体" w:cs="宋体"/>
          <w:b/>
          <w:sz w:val="22"/>
          <w:szCs w:val="22"/>
        </w:rPr>
        <w:t xml:space="preserve"> </w:t>
      </w:r>
    </w:p>
    <w:p>
      <w:pPr>
        <w:spacing w:line="400" w:lineRule="exact"/>
        <w:rPr>
          <w:rFonts w:hint="eastAsia" w:ascii="宋体" w:hAnsi="宋体" w:eastAsia="宋体" w:cs="宋体"/>
          <w:b/>
          <w:sz w:val="22"/>
          <w:szCs w:val="22"/>
          <w:lang w:eastAsia="zh-CN"/>
        </w:rPr>
      </w:pPr>
      <w:r>
        <w:rPr>
          <w:rFonts w:hint="eastAsia" w:ascii="宋体" w:hAnsi="宋体" w:eastAsia="宋体" w:cs="宋体"/>
          <w:b/>
          <w:sz w:val="22"/>
          <w:szCs w:val="22"/>
        </w:rPr>
        <w:t xml:space="preserve">4. </w:t>
      </w:r>
      <w:r>
        <w:rPr>
          <w:rFonts w:hint="eastAsia" w:ascii="宋体" w:hAnsi="宋体" w:eastAsia="宋体" w:cs="宋体"/>
          <w:b/>
          <w:sz w:val="22"/>
          <w:szCs w:val="22"/>
          <w:lang w:eastAsia="zh-CN"/>
        </w:rPr>
        <w:t>获取磋商文件：</w:t>
      </w:r>
    </w:p>
    <w:p>
      <w:pPr>
        <w:tabs>
          <w:tab w:val="left" w:pos="360"/>
        </w:tabs>
        <w:spacing w:line="400" w:lineRule="exact"/>
        <w:rPr>
          <w:rFonts w:hint="eastAsia" w:ascii="宋体" w:hAnsi="宋体" w:eastAsia="宋体" w:cs="宋体"/>
          <w:b/>
          <w:sz w:val="22"/>
          <w:szCs w:val="22"/>
          <w:lang w:val="en-US" w:eastAsia="zh-CN"/>
        </w:rPr>
      </w:pPr>
      <w:bookmarkStart w:id="13" w:name="_Toc157499355"/>
      <w:bookmarkStart w:id="14" w:name="_Toc179632533"/>
      <w:r>
        <w:rPr>
          <w:rFonts w:hint="eastAsia" w:ascii="宋体" w:hAnsi="宋体" w:eastAsia="宋体" w:cs="宋体"/>
          <w:b/>
          <w:sz w:val="22"/>
          <w:szCs w:val="22"/>
          <w:lang w:val="en-US" w:eastAsia="zh-CN"/>
        </w:rPr>
        <w:t>（1）时间：</w:t>
      </w:r>
      <w:r>
        <w:rPr>
          <w:rFonts w:hint="eastAsia" w:ascii="宋体" w:hAnsi="宋体" w:eastAsia="宋体" w:cs="宋体"/>
          <w:b/>
          <w:color w:val="FF0000"/>
          <w:sz w:val="22"/>
          <w:szCs w:val="22"/>
          <w:lang w:val="en-US" w:eastAsia="zh-CN"/>
        </w:rPr>
        <w:t>2023年0</w:t>
      </w:r>
      <w:r>
        <w:rPr>
          <w:rFonts w:hint="eastAsia" w:ascii="宋体" w:hAnsi="宋体" w:cs="宋体"/>
          <w:b/>
          <w:color w:val="FF0000"/>
          <w:sz w:val="22"/>
          <w:szCs w:val="22"/>
          <w:lang w:val="en-US" w:eastAsia="zh-CN"/>
        </w:rPr>
        <w:t>6</w:t>
      </w:r>
      <w:r>
        <w:rPr>
          <w:rFonts w:hint="eastAsia" w:ascii="宋体" w:hAnsi="宋体" w:eastAsia="宋体" w:cs="宋体"/>
          <w:b/>
          <w:color w:val="FF0000"/>
          <w:sz w:val="22"/>
          <w:szCs w:val="22"/>
          <w:lang w:val="en-US" w:eastAsia="zh-CN"/>
        </w:rPr>
        <w:t>月</w:t>
      </w:r>
      <w:r>
        <w:rPr>
          <w:rFonts w:hint="eastAsia" w:ascii="宋体" w:hAnsi="宋体" w:cs="宋体"/>
          <w:b/>
          <w:color w:val="FF0000"/>
          <w:sz w:val="22"/>
          <w:szCs w:val="22"/>
          <w:lang w:val="en-US" w:eastAsia="zh-CN"/>
        </w:rPr>
        <w:t>05</w:t>
      </w:r>
      <w:r>
        <w:rPr>
          <w:rFonts w:hint="eastAsia" w:ascii="宋体" w:hAnsi="宋体" w:eastAsia="宋体" w:cs="宋体"/>
          <w:b/>
          <w:color w:val="FF0000"/>
          <w:sz w:val="22"/>
          <w:szCs w:val="22"/>
          <w:lang w:val="en-US" w:eastAsia="zh-CN"/>
        </w:rPr>
        <w:t>日至2023年</w:t>
      </w:r>
      <w:r>
        <w:rPr>
          <w:rFonts w:hint="eastAsia" w:ascii="宋体" w:hAnsi="宋体" w:cs="宋体"/>
          <w:b/>
          <w:color w:val="FF0000"/>
          <w:sz w:val="22"/>
          <w:szCs w:val="22"/>
          <w:lang w:val="en-US" w:eastAsia="zh-CN"/>
        </w:rPr>
        <w:t>06</w:t>
      </w:r>
      <w:r>
        <w:rPr>
          <w:rFonts w:hint="eastAsia" w:ascii="宋体" w:hAnsi="宋体" w:eastAsia="宋体" w:cs="宋体"/>
          <w:b/>
          <w:color w:val="FF0000"/>
          <w:sz w:val="22"/>
          <w:szCs w:val="22"/>
          <w:lang w:val="en-US" w:eastAsia="zh-CN"/>
        </w:rPr>
        <w:t>月1</w:t>
      </w:r>
      <w:r>
        <w:rPr>
          <w:rFonts w:hint="eastAsia" w:ascii="宋体" w:hAnsi="宋体" w:cs="宋体"/>
          <w:b/>
          <w:color w:val="FF0000"/>
          <w:sz w:val="22"/>
          <w:szCs w:val="22"/>
          <w:lang w:val="en-US" w:eastAsia="zh-CN"/>
        </w:rPr>
        <w:t>2</w:t>
      </w:r>
      <w:r>
        <w:rPr>
          <w:rFonts w:hint="eastAsia" w:ascii="宋体" w:hAnsi="宋体" w:eastAsia="宋体" w:cs="宋体"/>
          <w:b/>
          <w:color w:val="FF0000"/>
          <w:sz w:val="22"/>
          <w:szCs w:val="22"/>
          <w:lang w:val="en-US" w:eastAsia="zh-CN"/>
        </w:rPr>
        <w:t>日</w:t>
      </w:r>
      <w:r>
        <w:rPr>
          <w:rFonts w:hint="eastAsia" w:ascii="宋体" w:hAnsi="宋体" w:eastAsia="宋体" w:cs="宋体"/>
          <w:b/>
          <w:sz w:val="22"/>
          <w:szCs w:val="22"/>
          <w:lang w:val="en-US" w:eastAsia="zh-CN"/>
        </w:rPr>
        <w:t>，每天上午00:00-12:00,下午12:00-23:59（北京时间，法定节假日除外）</w:t>
      </w:r>
    </w:p>
    <w:p>
      <w:pPr>
        <w:tabs>
          <w:tab w:val="left" w:pos="360"/>
        </w:tabs>
        <w:spacing w:line="400" w:lineRule="exac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（2）地点：新疆政府采购云平台https://www.zcygov.cn/</w:t>
      </w:r>
    </w:p>
    <w:p>
      <w:pPr>
        <w:tabs>
          <w:tab w:val="left" w:pos="360"/>
        </w:tabs>
        <w:spacing w:line="400" w:lineRule="exac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（3）方式：供应商登录新疆政府采购云平台https://www.zcygov.cn/在线申请获取采购文件（进入“项目采购”应用，在获取采购文件菜单中选择项目，申请获取采购文件）</w:t>
      </w:r>
    </w:p>
    <w:p>
      <w:pPr>
        <w:tabs>
          <w:tab w:val="left" w:pos="360"/>
        </w:tabs>
        <w:spacing w:line="400" w:lineRule="exac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（3）售价（元）：0</w:t>
      </w:r>
    </w:p>
    <w:bookmarkEnd w:id="13"/>
    <w:bookmarkEnd w:id="14"/>
    <w:p>
      <w:pPr>
        <w:spacing w:line="400" w:lineRule="exact"/>
        <w:jc w:val="lef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5.提交响应文件截止时间、开标时间和地点：</w:t>
      </w:r>
    </w:p>
    <w:p>
      <w:pPr>
        <w:spacing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投标截止时间及开标日期：</w:t>
      </w:r>
      <w:r>
        <w:rPr>
          <w:rFonts w:hint="eastAsia" w:ascii="宋体" w:hAnsi="宋体" w:eastAsia="宋体" w:cs="宋体"/>
          <w:color w:val="FF0000"/>
          <w:sz w:val="22"/>
          <w:szCs w:val="22"/>
        </w:rPr>
        <w:t>202</w:t>
      </w:r>
      <w:r>
        <w:rPr>
          <w:rFonts w:hint="eastAsia" w:ascii="宋体" w:hAnsi="宋体" w:eastAsia="宋体" w:cs="宋体"/>
          <w:color w:val="FF0000"/>
          <w:sz w:val="22"/>
          <w:szCs w:val="22"/>
          <w:lang w:val="en-US" w:eastAsia="zh-CN"/>
        </w:rPr>
        <w:t>3</w:t>
      </w:r>
      <w:r>
        <w:rPr>
          <w:rFonts w:hint="eastAsia" w:ascii="宋体" w:hAnsi="宋体" w:eastAsia="宋体" w:cs="宋体"/>
          <w:color w:val="FF0000"/>
          <w:sz w:val="22"/>
          <w:szCs w:val="22"/>
        </w:rPr>
        <w:t>年</w:t>
      </w:r>
      <w:r>
        <w:rPr>
          <w:rFonts w:hint="eastAsia" w:ascii="宋体" w:hAnsi="宋体" w:cs="宋体"/>
          <w:color w:val="FF0000"/>
          <w:sz w:val="22"/>
          <w:szCs w:val="22"/>
          <w:lang w:val="en-US" w:eastAsia="zh-CN"/>
        </w:rPr>
        <w:t>06</w:t>
      </w:r>
      <w:r>
        <w:rPr>
          <w:rFonts w:hint="eastAsia" w:ascii="宋体" w:hAnsi="宋体" w:eastAsia="宋体" w:cs="宋体"/>
          <w:color w:val="FF0000"/>
          <w:sz w:val="22"/>
          <w:szCs w:val="22"/>
        </w:rPr>
        <w:t>月</w:t>
      </w:r>
      <w:r>
        <w:rPr>
          <w:rFonts w:hint="eastAsia" w:ascii="宋体" w:hAnsi="宋体" w:cs="宋体"/>
          <w:color w:val="FF0000"/>
          <w:sz w:val="22"/>
          <w:szCs w:val="22"/>
          <w:lang w:val="en-US" w:eastAsia="zh-CN"/>
        </w:rPr>
        <w:t>15</w:t>
      </w:r>
      <w:r>
        <w:rPr>
          <w:rFonts w:hint="eastAsia" w:ascii="宋体" w:hAnsi="宋体" w:eastAsia="宋体" w:cs="宋体"/>
          <w:color w:val="FF0000"/>
          <w:sz w:val="22"/>
          <w:szCs w:val="22"/>
        </w:rPr>
        <w:t>日</w:t>
      </w:r>
      <w:r>
        <w:rPr>
          <w:rFonts w:hint="eastAsia" w:ascii="宋体" w:hAnsi="宋体" w:eastAsia="宋体" w:cs="宋体"/>
          <w:color w:val="FF0000"/>
          <w:sz w:val="22"/>
          <w:szCs w:val="22"/>
          <w:lang w:val="en-US" w:eastAsia="zh-CN"/>
        </w:rPr>
        <w:t>1</w:t>
      </w:r>
      <w:r>
        <w:rPr>
          <w:rFonts w:hint="eastAsia" w:ascii="宋体" w:hAnsi="宋体" w:cs="宋体"/>
          <w:color w:val="FF0000"/>
          <w:sz w:val="22"/>
          <w:szCs w:val="22"/>
          <w:lang w:val="en-US" w:eastAsia="zh-CN"/>
        </w:rPr>
        <w:t>1</w:t>
      </w:r>
      <w:r>
        <w:rPr>
          <w:rFonts w:hint="eastAsia" w:ascii="宋体" w:hAnsi="宋体" w:eastAsia="宋体" w:cs="宋体"/>
          <w:color w:val="FF0000"/>
          <w:sz w:val="22"/>
          <w:szCs w:val="22"/>
        </w:rPr>
        <w:t>：</w:t>
      </w:r>
      <w:r>
        <w:rPr>
          <w:rFonts w:hint="eastAsia" w:ascii="宋体" w:hAnsi="宋体" w:eastAsia="宋体" w:cs="宋体"/>
          <w:color w:val="FF0000"/>
          <w:sz w:val="22"/>
          <w:szCs w:val="22"/>
          <w:lang w:val="en-US" w:eastAsia="zh-CN"/>
        </w:rPr>
        <w:t>0</w:t>
      </w:r>
      <w:r>
        <w:rPr>
          <w:rFonts w:hint="eastAsia" w:ascii="宋体" w:hAnsi="宋体" w:eastAsia="宋体" w:cs="宋体"/>
          <w:color w:val="FF0000"/>
          <w:sz w:val="22"/>
          <w:szCs w:val="22"/>
        </w:rPr>
        <w:t>0时（北京时间）（过期不予受理）</w:t>
      </w:r>
      <w:r>
        <w:rPr>
          <w:rFonts w:hint="eastAsia" w:ascii="宋体" w:hAnsi="宋体" w:eastAsia="宋体" w:cs="宋体"/>
          <w:sz w:val="22"/>
          <w:szCs w:val="22"/>
        </w:rPr>
        <w:t>。</w:t>
      </w:r>
    </w:p>
    <w:p>
      <w:pPr>
        <w:spacing w:line="4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rPr>
        <w:t>开标地点：将投标文件上传至政采云平台https://www.zcygov.cn/对应位置</w:t>
      </w:r>
      <w:r>
        <w:rPr>
          <w:rFonts w:hint="eastAsia" w:ascii="宋体" w:hAnsi="宋体" w:eastAsia="宋体" w:cs="宋体"/>
          <w:sz w:val="22"/>
          <w:szCs w:val="22"/>
          <w:lang w:val="en-US" w:eastAsia="zh-CN"/>
        </w:rPr>
        <w:t>。</w:t>
      </w:r>
      <w:bookmarkStart w:id="15" w:name="_Toc179632534"/>
      <w:bookmarkStart w:id="16" w:name="_Toc152042293"/>
      <w:bookmarkStart w:id="17" w:name="_Toc144974485"/>
      <w:bookmarkStart w:id="18" w:name="_Toc152045517"/>
    </w:p>
    <w:p>
      <w:pPr>
        <w:spacing w:line="400" w:lineRule="exact"/>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6.其他补充事宜：</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（1）本项目为电子招投标项目，供应商需要使用CA 加密设备，凡参加本项目供应商</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可通过新疆数字证书认证中心官网（https://www.xjca.com.cn/）或下载“新疆政</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务通”APP 自行进行线上申领。如有操作性问题可与政采云在线客服进行咨询。</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（2）本项目实行网上投标，采用电子响应文件，若供应商参与磋商，应自行承担磋</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商一切费用。</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（3）供应商应在磋商前应确保成为新疆政府采购网正式注册入库供应商，并完成</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CA 数字证书申领。因未注册入库、未办理CA 数字证书等原因造成无法投标或投标</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失败等后果由供应商自行承担。</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（4）供应商应使用最新版本的CA 驱动和政采云投标客户端，客户端下载、安装完</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成后，可通过账号密码或CA 登录客户端进行响应文件制作。在使用政采云投标客户</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端时，建议使用谷歌浏览器，电脑配置满足win7+64 位以上操作系统（不能用mac</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或者linux 系统）。客户端请至新疆政府采购网（www.ccgp-xinjiang.gov.cn）下</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载专区查看，如有问题可拨打政采云客户服务热线进行咨询。</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（5）供应商应当在递交响应文件截止时间前，将生成的“电子加密响应文件”上传</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递交至“政府采购云平台”，递交响应文件截止时间后上传递交的响应文件将被“政</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府采购云平台”拒收。</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（6）供应商登录政采云平台，在开标时间后30分钟内用“项目采购-开标评标”功</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能进行解密响应文件。若供应商在规定时间内未按时解密的，视为无效响应。解密</w:t>
      </w:r>
    </w:p>
    <w:p>
      <w:pPr>
        <w:spacing w:line="400" w:lineRule="exact"/>
        <w:ind w:left="420" w:leftChars="20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与加密响应文件须使用同一个CA。</w:t>
      </w:r>
    </w:p>
    <w:p>
      <w:pPr>
        <w:spacing w:line="400" w:lineRule="exact"/>
        <w:rPr>
          <w:rFonts w:hint="eastAsia" w:ascii="宋体" w:hAnsi="宋体" w:eastAsia="宋体" w:cs="宋体"/>
          <w:sz w:val="22"/>
          <w:szCs w:val="22"/>
          <w:lang w:val="en-US" w:eastAsia="zh-CN"/>
        </w:rPr>
      </w:pPr>
      <w:r>
        <w:rPr>
          <w:rFonts w:hint="eastAsia" w:ascii="宋体" w:hAnsi="宋体" w:eastAsia="宋体" w:cs="宋体"/>
          <w:b/>
          <w:bCs/>
          <w:kern w:val="2"/>
          <w:sz w:val="22"/>
          <w:szCs w:val="22"/>
          <w:lang w:val="en-US" w:eastAsia="zh-CN" w:bidi="ar-SA"/>
        </w:rPr>
        <w:t>7.联系事项：</w:t>
      </w:r>
    </w:p>
    <w:bookmarkEnd w:id="15"/>
    <w:bookmarkEnd w:id="16"/>
    <w:bookmarkEnd w:id="17"/>
    <w:bookmarkEnd w:id="18"/>
    <w:p>
      <w:pPr>
        <w:pStyle w:val="16"/>
        <w:spacing w:line="240" w:lineRule="auto"/>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（1）采购人信息：</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 xml:space="preserve">名 称：新疆医科大学附属肿瘤医院 </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地址：新疆乌鲁木齐市新市区苏州东街789号</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联系电话：0991—7819055、0991—7968067</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（2）招标代理机构：</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招标代理机构：华诚博远工程咨询有限公司</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地址：乌鲁木齐市新市区鲤鱼山北路298号领世广场3号楼904室</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 xml:space="preserve">联系人：刘宁      </w:t>
      </w:r>
    </w:p>
    <w:p>
      <w:pPr>
        <w:spacing w:line="360" w:lineRule="auto"/>
        <w:ind w:right="-92" w:rightChars="-44"/>
        <w:rPr>
          <w:rFonts w:hint="eastAsia" w:ascii="宋体" w:hAnsi="宋体" w:eastAsia="宋体" w:cs="宋体"/>
          <w:b w:val="0"/>
          <w:bCs w:val="0"/>
          <w:caps w:val="0"/>
          <w:color w:val="auto"/>
          <w:kern w:val="2"/>
          <w:sz w:val="22"/>
          <w:szCs w:val="22"/>
          <w:lang w:val="en-US" w:eastAsia="zh-CN" w:bidi="ar-SA"/>
        </w:rPr>
      </w:pPr>
      <w:r>
        <w:rPr>
          <w:rFonts w:hint="eastAsia" w:ascii="宋体" w:hAnsi="宋体" w:eastAsia="宋体" w:cs="宋体"/>
          <w:b w:val="0"/>
          <w:bCs w:val="0"/>
          <w:caps w:val="0"/>
          <w:color w:val="auto"/>
          <w:kern w:val="2"/>
          <w:sz w:val="22"/>
          <w:szCs w:val="22"/>
          <w:lang w:val="en-US" w:eastAsia="zh-CN" w:bidi="ar-SA"/>
        </w:rPr>
        <w:t>联系电话: 18139610821</w:t>
      </w:r>
    </w:p>
    <w:p>
      <w:pPr>
        <w:keepNext w:val="0"/>
        <w:keepLines w:val="0"/>
        <w:pageBreakBefore w:val="0"/>
        <w:widowControl w:val="0"/>
        <w:kinsoku/>
        <w:wordWrap/>
        <w:overflowPunct/>
        <w:topLinePunct w:val="0"/>
        <w:bidi w:val="0"/>
        <w:spacing w:line="360" w:lineRule="auto"/>
        <w:ind w:right="-92" w:rightChars="-44"/>
        <w:textAlignment w:val="auto"/>
        <w:rPr>
          <w:rFonts w:hint="eastAsia" w:ascii="宋体" w:hAnsi="宋体" w:eastAsia="宋体" w:cs="宋体"/>
          <w:color w:val="auto"/>
          <w:sz w:val="22"/>
          <w:szCs w:val="22"/>
        </w:rPr>
      </w:pPr>
    </w:p>
    <w:p>
      <w:pPr>
        <w:keepNext w:val="0"/>
        <w:keepLines w:val="0"/>
        <w:pageBreakBefore w:val="0"/>
        <w:widowControl w:val="0"/>
        <w:kinsoku/>
        <w:wordWrap/>
        <w:overflowPunct/>
        <w:topLinePunct w:val="0"/>
        <w:bidi w:val="0"/>
        <w:spacing w:line="360" w:lineRule="auto"/>
        <w:ind w:left="-14" w:leftChars="-7" w:right="-92" w:rightChars="-44" w:firstLine="11" w:firstLineChars="5"/>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 xml:space="preserve">                         </w:t>
      </w:r>
    </w:p>
    <w:p>
      <w:pPr>
        <w:keepNext w:val="0"/>
        <w:keepLines w:val="0"/>
        <w:pageBreakBefore w:val="0"/>
        <w:widowControl w:val="0"/>
        <w:kinsoku/>
        <w:wordWrap/>
        <w:overflowPunct/>
        <w:topLinePunct w:val="0"/>
        <w:bidi w:val="0"/>
        <w:spacing w:line="360" w:lineRule="auto"/>
        <w:ind w:left="-14" w:leftChars="-7" w:right="-92" w:rightChars="-44" w:firstLine="11" w:firstLineChars="5"/>
        <w:jc w:val="righ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华诚博远工程咨询有限公司</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13"/>
          <w:sz w:val="22"/>
          <w:szCs w:val="22"/>
        </w:rPr>
      </w:pPr>
      <w:r>
        <w:rPr>
          <w:rFonts w:hint="eastAsia" w:ascii="宋体" w:hAnsi="宋体" w:eastAsia="宋体" w:cs="宋体"/>
          <w:color w:val="FF0000"/>
          <w:sz w:val="22"/>
          <w:szCs w:val="22"/>
          <w:lang w:val="en-US" w:eastAsia="zh-CN"/>
        </w:rPr>
        <w:t xml:space="preserve">                                                           </w:t>
      </w:r>
      <w:r>
        <w:rPr>
          <w:rFonts w:hint="eastAsia" w:ascii="宋体" w:hAnsi="宋体" w:eastAsia="宋体" w:cs="宋体"/>
          <w:color w:val="FF0000"/>
          <w:sz w:val="22"/>
          <w:szCs w:val="22"/>
        </w:rPr>
        <w:t>202</w:t>
      </w:r>
      <w:r>
        <w:rPr>
          <w:rFonts w:hint="eastAsia" w:ascii="宋体" w:hAnsi="宋体" w:eastAsia="宋体" w:cs="宋体"/>
          <w:color w:val="FF0000"/>
          <w:sz w:val="22"/>
          <w:szCs w:val="22"/>
          <w:lang w:val="en-US" w:eastAsia="zh-CN"/>
        </w:rPr>
        <w:t>3</w:t>
      </w:r>
      <w:r>
        <w:rPr>
          <w:rFonts w:hint="eastAsia" w:ascii="宋体" w:hAnsi="宋体" w:eastAsia="宋体" w:cs="宋体"/>
          <w:color w:val="FF0000"/>
          <w:sz w:val="22"/>
          <w:szCs w:val="22"/>
        </w:rPr>
        <w:t>年</w:t>
      </w:r>
      <w:r>
        <w:rPr>
          <w:rFonts w:hint="eastAsia" w:ascii="宋体" w:hAnsi="宋体" w:eastAsia="宋体" w:cs="宋体"/>
          <w:color w:val="FF0000"/>
          <w:sz w:val="22"/>
          <w:szCs w:val="22"/>
          <w:lang w:val="en-US" w:eastAsia="zh-CN"/>
        </w:rPr>
        <w:t>0</w:t>
      </w:r>
      <w:r>
        <w:rPr>
          <w:rFonts w:hint="eastAsia" w:ascii="宋体" w:hAnsi="宋体" w:cs="宋体"/>
          <w:color w:val="FF0000"/>
          <w:sz w:val="22"/>
          <w:szCs w:val="22"/>
          <w:lang w:val="en-US" w:eastAsia="zh-CN"/>
        </w:rPr>
        <w:t>6</w:t>
      </w:r>
      <w:r>
        <w:rPr>
          <w:rFonts w:hint="eastAsia" w:ascii="宋体" w:hAnsi="宋体" w:eastAsia="宋体" w:cs="宋体"/>
          <w:color w:val="FF0000"/>
          <w:sz w:val="22"/>
          <w:szCs w:val="22"/>
        </w:rPr>
        <w:t>月</w:t>
      </w:r>
      <w:r>
        <w:rPr>
          <w:rFonts w:hint="eastAsia" w:ascii="宋体" w:hAnsi="宋体" w:eastAsia="宋体" w:cs="宋体"/>
          <w:color w:val="FF0000"/>
          <w:sz w:val="22"/>
          <w:szCs w:val="22"/>
          <w:lang w:val="en-US" w:eastAsia="zh-CN"/>
        </w:rPr>
        <w:t>0</w:t>
      </w:r>
      <w:r>
        <w:rPr>
          <w:rFonts w:hint="eastAsia" w:ascii="宋体" w:hAnsi="宋体" w:cs="宋体"/>
          <w:color w:val="FF0000"/>
          <w:sz w:val="22"/>
          <w:szCs w:val="22"/>
          <w:lang w:val="en-US" w:eastAsia="zh-CN"/>
        </w:rPr>
        <w:t>2</w:t>
      </w:r>
      <w:r>
        <w:rPr>
          <w:rFonts w:hint="eastAsia" w:ascii="宋体" w:hAnsi="宋体" w:eastAsia="宋体" w:cs="宋体"/>
          <w:color w:val="FF0000"/>
          <w:sz w:val="22"/>
          <w:szCs w:val="22"/>
        </w:rPr>
        <w:t>日</w:t>
      </w:r>
    </w:p>
    <w:p>
      <w:pPr>
        <w:pStyle w:val="4"/>
        <w:outlineLvl w:val="9"/>
        <w:rPr>
          <w:rFonts w:hint="eastAsia"/>
          <w:color w:val="auto"/>
          <w:sz w:val="28"/>
          <w:szCs w:val="32"/>
        </w:rPr>
        <w:sectPr>
          <w:footerReference r:id="rId7" w:type="default"/>
          <w:pgSz w:w="11906" w:h="16838"/>
          <w:pgMar w:top="1418" w:right="1134" w:bottom="1418" w:left="1418" w:header="851" w:footer="851" w:gutter="0"/>
          <w:pgNumType w:fmt="decimal" w:start="1"/>
          <w:cols w:space="720" w:num="1"/>
          <w:docGrid w:type="linesAndChars" w:linePitch="312" w:charSpace="0"/>
        </w:sectPr>
      </w:pPr>
    </w:p>
    <w:p>
      <w:pPr>
        <w:pStyle w:val="24"/>
        <w:numPr>
          <w:ilvl w:val="0"/>
          <w:numId w:val="2"/>
        </w:numPr>
        <w:spacing w:line="360" w:lineRule="auto"/>
        <w:ind w:left="3360" w:leftChars="0" w:firstLineChars="0"/>
        <w:jc w:val="both"/>
        <w:outlineLvl w:val="0"/>
        <w:rPr>
          <w:rFonts w:hint="eastAsia" w:ascii="宋体" w:hAnsi="宋体" w:cs="宋体"/>
          <w:b/>
          <w:color w:val="auto"/>
          <w:sz w:val="36"/>
        </w:rPr>
      </w:pPr>
      <w:bookmarkStart w:id="19" w:name="_Toc18151"/>
      <w:bookmarkStart w:id="20" w:name="_Toc19911"/>
      <w:bookmarkStart w:id="21" w:name="_Toc7292"/>
      <w:bookmarkStart w:id="22" w:name="_Toc26315"/>
      <w:r>
        <w:rPr>
          <w:rFonts w:hint="eastAsia" w:ascii="宋体" w:hAnsi="宋体" w:cs="宋体"/>
          <w:b/>
          <w:color w:val="auto"/>
          <w:sz w:val="36"/>
        </w:rPr>
        <w:t>投标须知</w:t>
      </w:r>
      <w:bookmarkEnd w:id="19"/>
      <w:bookmarkEnd w:id="20"/>
      <w:bookmarkEnd w:id="21"/>
      <w:bookmarkEnd w:id="22"/>
    </w:p>
    <w:p>
      <w:pPr>
        <w:spacing w:line="720" w:lineRule="auto"/>
        <w:jc w:val="center"/>
        <w:outlineLvl w:val="0"/>
        <w:rPr>
          <w:rFonts w:hint="eastAsia" w:ascii="宋体" w:hAnsi="宋体" w:cs="宋体"/>
          <w:b/>
          <w:color w:val="auto"/>
          <w:sz w:val="36"/>
        </w:rPr>
      </w:pPr>
      <w:bookmarkStart w:id="23" w:name="_Toc7134"/>
      <w:bookmarkStart w:id="24" w:name="_Toc25647"/>
      <w:bookmarkStart w:id="25" w:name="_Toc12407"/>
      <w:bookmarkStart w:id="26" w:name="_Toc23430"/>
      <w:r>
        <w:rPr>
          <w:rFonts w:hint="eastAsia" w:ascii="宋体" w:hAnsi="宋体" w:cs="宋体"/>
          <w:b/>
          <w:color w:val="auto"/>
          <w:sz w:val="28"/>
          <w:szCs w:val="28"/>
        </w:rPr>
        <w:t>投标供应商须知前附表</w:t>
      </w:r>
      <w:bookmarkEnd w:id="23"/>
      <w:bookmarkEnd w:id="24"/>
      <w:bookmarkEnd w:id="25"/>
      <w:bookmarkEnd w:id="26"/>
    </w:p>
    <w:tbl>
      <w:tblPr>
        <w:tblStyle w:val="20"/>
        <w:tblW w:w="0" w:type="auto"/>
        <w:jc w:val="center"/>
        <w:tblLayout w:type="fixed"/>
        <w:tblCellMar>
          <w:top w:w="0" w:type="dxa"/>
          <w:left w:w="108" w:type="dxa"/>
          <w:bottom w:w="0" w:type="dxa"/>
          <w:right w:w="108" w:type="dxa"/>
        </w:tblCellMar>
      </w:tblPr>
      <w:tblGrid>
        <w:gridCol w:w="792"/>
        <w:gridCol w:w="1815"/>
        <w:gridCol w:w="6963"/>
      </w:tblGrid>
      <w:tr>
        <w:tblPrEx>
          <w:tblCellMar>
            <w:top w:w="0" w:type="dxa"/>
            <w:left w:w="108" w:type="dxa"/>
            <w:bottom w:w="0" w:type="dxa"/>
            <w:right w:w="108" w:type="dxa"/>
          </w:tblCellMar>
        </w:tblPrEx>
        <w:trPr>
          <w:trHeight w:val="50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     容</w:t>
            </w:r>
          </w:p>
        </w:tc>
      </w:tr>
      <w:tr>
        <w:tblPrEx>
          <w:tblCellMar>
            <w:top w:w="0" w:type="dxa"/>
            <w:left w:w="108" w:type="dxa"/>
            <w:bottom w:w="0" w:type="dxa"/>
            <w:right w:w="108" w:type="dxa"/>
          </w:tblCellMar>
        </w:tblPrEx>
        <w:trPr>
          <w:trHeight w:val="1624"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项目名称及</w:t>
            </w:r>
          </w:p>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项目编号</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highlight w:val="yellow"/>
                <w:shd w:val="clear" w:color="auto" w:fill="FFFFFF"/>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cs="宋体"/>
                <w:color w:val="auto"/>
                <w:kern w:val="0"/>
                <w:sz w:val="24"/>
                <w:szCs w:val="24"/>
                <w:highlight w:val="yellow"/>
                <w:lang w:val="en-US" w:eastAsia="zh-CN" w:bidi="ar-SA"/>
              </w:rPr>
              <w:t>新疆医科大学附属肿瘤医院新建门诊综合楼独立排风及PCR实验室、八楼九楼手术室及次供应室净化区室内装修及消防改造工程项目（二次）</w:t>
            </w:r>
          </w:p>
          <w:p>
            <w:pPr>
              <w:pStyle w:val="16"/>
              <w:rPr>
                <w:rFonts w:hint="default"/>
                <w:color w:val="auto"/>
                <w:lang w:val="en-US" w:eastAsia="zh-CN"/>
              </w:rPr>
            </w:pPr>
            <w:r>
              <w:rPr>
                <w:rFonts w:hint="eastAsia" w:ascii="宋体" w:hAnsi="宋体" w:eastAsia="宋体" w:cs="宋体"/>
                <w:b w:val="0"/>
                <w:bCs w:val="0"/>
                <w:caps w:val="0"/>
                <w:color w:val="auto"/>
                <w:kern w:val="0"/>
                <w:sz w:val="24"/>
                <w:szCs w:val="24"/>
                <w:lang w:val="en-US" w:eastAsia="zh-CN" w:bidi="ar-SA"/>
              </w:rPr>
              <w:t>项目编号:[2023]8468号</w:t>
            </w:r>
            <w:r>
              <w:rPr>
                <w:rFonts w:hint="eastAsia" w:ascii="宋体" w:hAnsi="宋体" w:cs="宋体"/>
                <w:b w:val="0"/>
                <w:bCs w:val="0"/>
                <w:caps w:val="0"/>
                <w:color w:val="auto"/>
                <w:kern w:val="0"/>
                <w:sz w:val="24"/>
                <w:szCs w:val="24"/>
                <w:lang w:val="en-US" w:eastAsia="zh-CN" w:bidi="ar-SA"/>
              </w:rPr>
              <w:t>-02</w:t>
            </w:r>
          </w:p>
        </w:tc>
      </w:tr>
      <w:tr>
        <w:tblPrEx>
          <w:tblCellMar>
            <w:top w:w="0" w:type="dxa"/>
            <w:left w:w="108" w:type="dxa"/>
            <w:bottom w:w="0" w:type="dxa"/>
            <w:right w:w="108" w:type="dxa"/>
          </w:tblCellMar>
        </w:tblPrEx>
        <w:trPr>
          <w:trHeight w:val="844"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采购方</w:t>
            </w:r>
          </w:p>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代理方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rPr>
                <w:rFonts w:hint="eastAsia" w:ascii="宋体" w:hAnsi="宋体" w:eastAsia="宋体" w:cs="宋体"/>
                <w:b/>
                <w:bCs/>
                <w:color w:val="auto"/>
                <w:kern w:val="2"/>
                <w:sz w:val="24"/>
                <w:szCs w:val="24"/>
              </w:rPr>
            </w:pPr>
            <w:r>
              <w:rPr>
                <w:rFonts w:hint="eastAsia" w:ascii="宋体" w:hAnsi="宋体" w:eastAsia="宋体" w:cs="宋体"/>
                <w:color w:val="auto"/>
                <w:sz w:val="24"/>
                <w:szCs w:val="24"/>
              </w:rPr>
              <w:t>采购方名称:</w:t>
            </w:r>
            <w:r>
              <w:rPr>
                <w:rFonts w:hint="eastAsia" w:ascii="宋体" w:hAnsi="宋体" w:eastAsia="宋体" w:cs="宋体"/>
                <w:color w:val="auto"/>
                <w:sz w:val="24"/>
                <w:highlight w:val="yellow"/>
                <w:shd w:val="clear" w:color="auto" w:fill="FFFFFF"/>
                <w:lang w:val="en-US" w:eastAsia="zh-CN"/>
              </w:rPr>
              <w:t>新疆医科大学附属肿瘤医院</w:t>
            </w:r>
            <w:r>
              <w:rPr>
                <w:rFonts w:hint="eastAsia" w:ascii="宋体" w:hAnsi="宋体" w:eastAsia="宋体" w:cs="宋体"/>
                <w:b/>
                <w:bCs/>
                <w:color w:val="auto"/>
                <w:sz w:val="24"/>
                <w:szCs w:val="24"/>
              </w:rPr>
              <w:t xml:space="preserve"> </w:t>
            </w:r>
          </w:p>
          <w:p>
            <w:pPr>
              <w:pStyle w:val="24"/>
              <w:spacing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招标代理方名称:</w:t>
            </w:r>
            <w:r>
              <w:rPr>
                <w:rFonts w:hint="eastAsia" w:ascii="宋体" w:hAnsi="宋体" w:eastAsia="宋体" w:cs="宋体"/>
                <w:color w:val="auto"/>
                <w:sz w:val="24"/>
                <w:szCs w:val="24"/>
                <w:lang w:eastAsia="zh-CN"/>
              </w:rPr>
              <w:t>华诚博远工程咨询有限公司</w:t>
            </w:r>
          </w:p>
        </w:tc>
      </w:tr>
      <w:tr>
        <w:tblPrEx>
          <w:tblCellMar>
            <w:top w:w="0" w:type="dxa"/>
            <w:left w:w="108" w:type="dxa"/>
            <w:bottom w:w="0" w:type="dxa"/>
            <w:right w:w="108" w:type="dxa"/>
          </w:tblCellMar>
        </w:tblPrEx>
        <w:trPr>
          <w:trHeight w:val="856"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资金来源及</w:t>
            </w:r>
          </w:p>
          <w:p>
            <w:pPr>
              <w:pStyle w:val="24"/>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预算金额</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资金来源：</w:t>
            </w:r>
            <w:r>
              <w:rPr>
                <w:rFonts w:hint="eastAsia" w:ascii="宋体" w:hAnsi="宋体" w:eastAsia="宋体" w:cs="宋体"/>
                <w:color w:val="FF0000"/>
                <w:sz w:val="24"/>
                <w:szCs w:val="24"/>
                <w:shd w:val="clear" w:color="auto" w:fill="FFFFFF"/>
                <w:lang w:val="en-US" w:eastAsia="zh-CN"/>
              </w:rPr>
              <w:t>自筹资金</w:t>
            </w:r>
            <w:r>
              <w:rPr>
                <w:rFonts w:hint="eastAsia" w:ascii="宋体" w:hAnsi="宋体" w:eastAsia="宋体" w:cs="宋体"/>
                <w:color w:val="FF0000"/>
                <w:kern w:val="0"/>
                <w:sz w:val="24"/>
                <w:szCs w:val="24"/>
              </w:rPr>
              <w:t xml:space="preserve"> </w:t>
            </w:r>
          </w:p>
          <w:p>
            <w:pPr>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预算金额：</w:t>
            </w:r>
            <w:r>
              <w:rPr>
                <w:rFonts w:hint="eastAsia" w:ascii="宋体" w:hAnsi="宋体" w:eastAsia="宋体" w:cs="宋体"/>
                <w:color w:val="auto"/>
                <w:kern w:val="0"/>
                <w:sz w:val="24"/>
                <w:szCs w:val="24"/>
                <w:highlight w:val="yellow"/>
              </w:rPr>
              <w:t>395588.49</w:t>
            </w:r>
            <w:r>
              <w:rPr>
                <w:rFonts w:hint="eastAsia" w:ascii="宋体" w:hAnsi="宋体" w:cs="宋体"/>
                <w:color w:val="auto"/>
                <w:sz w:val="24"/>
                <w:highlight w:val="yellow"/>
                <w:lang w:val="en-US" w:eastAsia="zh-CN"/>
              </w:rPr>
              <w:t>元</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招标方式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竞争性磋商</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资格审查方式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资格后审</w:t>
            </w:r>
          </w:p>
        </w:tc>
      </w:tr>
      <w:tr>
        <w:tblPrEx>
          <w:tblCellMar>
            <w:top w:w="0" w:type="dxa"/>
            <w:left w:w="108" w:type="dxa"/>
            <w:bottom w:w="0" w:type="dxa"/>
            <w:right w:w="108" w:type="dxa"/>
          </w:tblCellMar>
        </w:tblPrEx>
        <w:trPr>
          <w:trHeight w:val="951"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招标范围</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rPr>
                <w:rFonts w:hint="default" w:ascii="宋体" w:hAnsi="宋体" w:eastAsia="宋体" w:cs="宋体"/>
                <w:color w:val="auto"/>
                <w:sz w:val="24"/>
                <w:szCs w:val="24"/>
                <w:lang w:val="en-US"/>
              </w:rPr>
            </w:pPr>
            <w:r>
              <w:rPr>
                <w:rFonts w:hint="default" w:ascii="宋体" w:hAnsi="宋体" w:eastAsia="宋体" w:cs="宋体"/>
                <w:color w:val="auto"/>
                <w:sz w:val="24"/>
                <w:szCs w:val="24"/>
                <w:highlight w:val="yellow"/>
                <w:lang w:val="en-US"/>
              </w:rPr>
              <w:t>七层局部病理科PCR实验室、八层九层手术室及设备机房区域，详见施工图纸</w:t>
            </w:r>
          </w:p>
        </w:tc>
      </w:tr>
      <w:tr>
        <w:tblPrEx>
          <w:tblCellMar>
            <w:top w:w="0" w:type="dxa"/>
            <w:left w:w="108" w:type="dxa"/>
            <w:bottom w:w="0" w:type="dxa"/>
            <w:right w:w="108" w:type="dxa"/>
          </w:tblCellMar>
        </w:tblPrEx>
        <w:trPr>
          <w:trHeight w:val="772"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计划工期</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0"/>
              </w:numPr>
              <w:spacing w:line="360" w:lineRule="auto"/>
              <w:ind w:right="-92" w:rightChars="-44"/>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highlight w:val="yellow"/>
                <w:lang w:val="en-US" w:eastAsia="zh-CN"/>
              </w:rPr>
              <w:t>签订合同之日起，施工周期为20天（日历日）</w:t>
            </w:r>
          </w:p>
        </w:tc>
      </w:tr>
      <w:tr>
        <w:tblPrEx>
          <w:tblCellMar>
            <w:top w:w="0" w:type="dxa"/>
            <w:left w:w="108" w:type="dxa"/>
            <w:bottom w:w="0" w:type="dxa"/>
            <w:right w:w="108" w:type="dxa"/>
          </w:tblCellMar>
        </w:tblPrEx>
        <w:trPr>
          <w:trHeight w:val="1672"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投标人资格</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（1）投标人应符合《中华人民共和国政府采购法》第二十二条规定的条件；</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①具有独立承担民事责任的能力；</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②具有良好的商业信誉和健全的财务会计制度；</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③具有履行合同所必须的设备和专业技术能力；</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④有依法缴纳税收和社会保障资金的良好记录；</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⑤参加政府采购活动前三年内，在经营活动中没有重大违法、犯罪记录；</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⑥法律法规规定的其他条件。</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（2）遵守国家法律、法规有关招标的规定。</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（3）与采购人就本次招标的项目委托的咨询机构、招标代理机构、以及上述机构的附属机构没有行政或经济关联。</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（5）具有有效的营业执照。</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yellow"/>
                <w:lang w:val="en-US" w:eastAsia="zh-CN" w:bidi="ar-SA"/>
              </w:rPr>
              <w:t>6）有效期内的消防设施工程专业承包贰级及以上资质或有效期内的消防设施工程设计与施工贰级及以上资质，需持有有效的安全生产许可证，并具有履行合同所必须的设备和专业技术能力。</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（7）项目负责人要求：注册建造师（建筑工程专业）二级及以上，并具有有效的安全生产考核合格证书（B类），本单位注册。</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（8）须具备近一年财务审计报告或银行提供的资信证明（新公司从成立之日起算）。</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（9）须具有近一年任意月纳税证明（新公司从成立之日起算）。</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（10）近一年任意月法人或授权委托人人员明细的社保证明（新公司从成立之日起算）。</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（11）法人身份证明及身份证原件或法人授权委托书及委托代理人身份证原件；</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 xml:space="preserve">（12）须具有履行合同所必须的设备和专业技术能力的承诺函。         </w:t>
            </w:r>
          </w:p>
          <w:p>
            <w:pPr>
              <w:spacing w:line="288" w:lineRule="auto"/>
              <w:jc w:val="left"/>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（13）参加政府采购活动前3年内在经营活动中没有重大违法记录的书面声明。</w:t>
            </w:r>
          </w:p>
          <w:p>
            <w:pPr>
              <w:spacing w:line="288" w:lineRule="auto"/>
              <w:jc w:val="left"/>
              <w:rPr>
                <w:rFonts w:hint="eastAsia" w:ascii="宋体" w:hAnsi="宋体" w:eastAsia="宋体" w:cs="宋体"/>
                <w:color w:val="FF0000"/>
                <w:kern w:val="0"/>
                <w:sz w:val="24"/>
                <w:szCs w:val="24"/>
                <w:highlight w:val="yellow"/>
                <w:lang w:val="en-US" w:eastAsia="zh-CN" w:bidi="ar-SA"/>
              </w:rPr>
            </w:pPr>
            <w:r>
              <w:rPr>
                <w:rFonts w:hint="eastAsia" w:ascii="宋体" w:hAnsi="宋体" w:eastAsia="宋体" w:cs="宋体"/>
                <w:color w:val="FF0000"/>
                <w:kern w:val="0"/>
                <w:sz w:val="24"/>
                <w:szCs w:val="24"/>
                <w:highlight w:val="yellow"/>
                <w:lang w:val="en-US" w:eastAsia="zh-CN" w:bidi="ar-SA"/>
              </w:rPr>
              <w:t>（14）投标单位须为中小企业，提供《中小企业声明函》。</w:t>
            </w:r>
          </w:p>
          <w:p>
            <w:pPr>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yellow"/>
                <w:lang w:val="en-US" w:eastAsia="zh-CN" w:bidi="ar-SA"/>
              </w:rPr>
              <w:t>（15）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tc>
      </w:tr>
      <w:tr>
        <w:tblPrEx>
          <w:tblCellMar>
            <w:top w:w="0" w:type="dxa"/>
            <w:left w:w="108" w:type="dxa"/>
            <w:bottom w:w="0" w:type="dxa"/>
            <w:right w:w="108" w:type="dxa"/>
          </w:tblCellMar>
        </w:tblPrEx>
        <w:trPr>
          <w:trHeight w:val="509"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投标有效期</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lang w:val="en-US" w:eastAsia="zh-CN"/>
              </w:rPr>
              <w:t>90</w:t>
            </w:r>
            <w:r>
              <w:rPr>
                <w:rFonts w:hint="eastAsia" w:ascii="宋体" w:hAnsi="宋体" w:eastAsia="宋体" w:cs="宋体"/>
                <w:color w:val="auto"/>
                <w:sz w:val="24"/>
                <w:szCs w:val="24"/>
              </w:rPr>
              <w:t>天</w:t>
            </w:r>
          </w:p>
        </w:tc>
      </w:tr>
      <w:tr>
        <w:tblPrEx>
          <w:tblCellMar>
            <w:top w:w="0" w:type="dxa"/>
            <w:left w:w="108" w:type="dxa"/>
            <w:bottom w:w="0" w:type="dxa"/>
            <w:right w:w="108" w:type="dxa"/>
          </w:tblCellMar>
        </w:tblPrEx>
        <w:trPr>
          <w:trHeight w:val="575"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响应文件形式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3、加密的电子响应文件应在响应文件递交截止时间前通过政采云平台上传完成。逾期上传或者未上传指定地点的响应文件，不予受理。</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5、如遇“政采云平台（https://www.zcygov.cn/）”电子交易规则调整，以最新要求为准。</w:t>
            </w:r>
          </w:p>
          <w:p>
            <w:pPr>
              <w:overflowPunct w:val="0"/>
              <w:spacing w:line="288"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yellow"/>
                <w:lang w:val="en-US" w:eastAsia="zh-CN"/>
              </w:rPr>
              <w:t>6、成交供应商须提供纸质版响应文件三份用于资料存档。</w:t>
            </w:r>
          </w:p>
        </w:tc>
      </w:tr>
      <w:tr>
        <w:tblPrEx>
          <w:tblCellMar>
            <w:top w:w="0" w:type="dxa"/>
            <w:left w:w="108" w:type="dxa"/>
            <w:bottom w:w="0" w:type="dxa"/>
            <w:right w:w="108" w:type="dxa"/>
          </w:tblCellMar>
        </w:tblPrEx>
        <w:trPr>
          <w:trHeight w:val="2314" w:hRule="atLeas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cs="宋体"/>
                <w:b/>
                <w:color w:val="auto"/>
                <w:sz w:val="24"/>
                <w:szCs w:val="24"/>
                <w:lang w:eastAsia="zh-CN"/>
              </w:rPr>
            </w:pPr>
            <w:r>
              <w:rPr>
                <w:rFonts w:hint="eastAsia" w:ascii="宋体" w:hAnsi="宋体" w:eastAsia="宋体" w:cs="宋体"/>
                <w:b/>
                <w:color w:val="auto"/>
                <w:sz w:val="24"/>
                <w:szCs w:val="24"/>
                <w:highlight w:val="yellow"/>
              </w:rPr>
              <w:t>开标资格审查</w:t>
            </w:r>
            <w:r>
              <w:rPr>
                <w:rFonts w:hint="eastAsia" w:ascii="宋体" w:hAnsi="宋体" w:cs="宋体"/>
                <w:b/>
                <w:color w:val="auto"/>
                <w:sz w:val="24"/>
                <w:szCs w:val="24"/>
                <w:highlight w:val="yellow"/>
                <w:lang w:eastAsia="zh-CN"/>
              </w:rPr>
              <w:t>请将（</w:t>
            </w:r>
            <w:r>
              <w:rPr>
                <w:rFonts w:hint="eastAsia" w:ascii="宋体" w:hAnsi="宋体" w:cs="宋体"/>
                <w:b/>
                <w:color w:val="auto"/>
                <w:sz w:val="24"/>
                <w:szCs w:val="24"/>
                <w:highlight w:val="yellow"/>
                <w:lang w:val="en-US" w:eastAsia="zh-CN"/>
              </w:rPr>
              <w:t>1</w:t>
            </w:r>
            <w:r>
              <w:rPr>
                <w:rFonts w:hint="eastAsia" w:ascii="宋体" w:hAnsi="宋体" w:cs="宋体"/>
                <w:b/>
                <w:color w:val="auto"/>
                <w:sz w:val="24"/>
                <w:szCs w:val="24"/>
                <w:highlight w:val="yellow"/>
                <w:lang w:eastAsia="zh-CN"/>
              </w:rPr>
              <w:t>）</w:t>
            </w:r>
            <w:r>
              <w:rPr>
                <w:rFonts w:hint="eastAsia" w:ascii="宋体" w:hAnsi="宋体" w:cs="宋体"/>
                <w:b/>
                <w:color w:val="auto"/>
                <w:sz w:val="24"/>
                <w:szCs w:val="24"/>
                <w:highlight w:val="yellow"/>
                <w:lang w:val="en-US" w:eastAsia="zh-CN"/>
              </w:rPr>
              <w:t>-</w:t>
            </w:r>
            <w:r>
              <w:rPr>
                <w:rFonts w:hint="eastAsia" w:ascii="宋体" w:hAnsi="宋体" w:cs="宋体"/>
                <w:b/>
                <w:color w:val="auto"/>
                <w:sz w:val="24"/>
                <w:szCs w:val="24"/>
                <w:highlight w:val="yellow"/>
                <w:lang w:eastAsia="zh-CN"/>
              </w:rPr>
              <w:t>（</w:t>
            </w:r>
            <w:r>
              <w:rPr>
                <w:rFonts w:hint="eastAsia" w:ascii="宋体" w:hAnsi="宋体" w:cs="宋体"/>
                <w:b/>
                <w:color w:val="auto"/>
                <w:sz w:val="24"/>
                <w:szCs w:val="24"/>
                <w:highlight w:val="yellow"/>
                <w:lang w:val="en-US" w:eastAsia="zh-CN"/>
              </w:rPr>
              <w:t>11</w:t>
            </w:r>
            <w:r>
              <w:rPr>
                <w:rFonts w:hint="eastAsia" w:ascii="宋体" w:hAnsi="宋体" w:cs="宋体"/>
                <w:b/>
                <w:color w:val="auto"/>
                <w:sz w:val="24"/>
                <w:szCs w:val="24"/>
                <w:highlight w:val="yellow"/>
                <w:lang w:eastAsia="zh-CN"/>
              </w:rPr>
              <w:t>）</w:t>
            </w:r>
            <w:r>
              <w:rPr>
                <w:rFonts w:hint="eastAsia" w:ascii="宋体" w:hAnsi="宋体" w:cs="宋体"/>
                <w:b/>
                <w:color w:val="auto"/>
                <w:sz w:val="24"/>
                <w:szCs w:val="24"/>
                <w:highlight w:val="yellow"/>
                <w:lang w:val="en-US" w:eastAsia="zh-CN"/>
              </w:rPr>
              <w:t>项扫描件加盖公章上传至加密文档中</w:t>
            </w:r>
            <w:r>
              <w:rPr>
                <w:rFonts w:hint="eastAsia" w:ascii="宋体" w:hAnsi="宋体" w:cs="宋体"/>
                <w:b/>
                <w:color w:val="auto"/>
                <w:sz w:val="24"/>
                <w:szCs w:val="24"/>
                <w:highlight w:val="yellow"/>
                <w:lang w:eastAsia="zh-CN"/>
              </w:rPr>
              <w:t>）</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）具有有效的营业执照。</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2</w:t>
            </w:r>
            <w:r>
              <w:rPr>
                <w:rFonts w:hint="eastAsia" w:ascii="宋体" w:hAnsi="宋体" w:eastAsia="宋体" w:cs="宋体"/>
                <w:color w:val="auto"/>
                <w:sz w:val="24"/>
                <w:szCs w:val="24"/>
                <w:highlight w:val="yellow"/>
                <w:lang w:val="en-US" w:eastAsia="zh-CN"/>
              </w:rPr>
              <w:t>）有效期内的消防设施工程专业承包贰级及以上资质或有效期内的消防设施工程设计与施工贰级及以上资质，需持有有效的安全生产许可证，并具有履行合同所必须的设备和专业技术能力。</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）项目负责人要求：注册建造师（建筑工程专业）二级及以上，并具有有效的安全生产考核合格证书（B类），本单位注册。</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4</w:t>
            </w:r>
            <w:r>
              <w:rPr>
                <w:rFonts w:hint="eastAsia" w:ascii="宋体" w:hAnsi="宋体" w:eastAsia="宋体" w:cs="宋体"/>
                <w:color w:val="auto"/>
                <w:sz w:val="24"/>
                <w:szCs w:val="24"/>
                <w:highlight w:val="yellow"/>
                <w:lang w:val="en-US" w:eastAsia="zh-CN"/>
              </w:rPr>
              <w:t>）须具备近一年财务审计报告或银行提供的资信证明（新公司从成立之日起算）。</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5</w:t>
            </w:r>
            <w:r>
              <w:rPr>
                <w:rFonts w:hint="eastAsia" w:ascii="宋体" w:hAnsi="宋体" w:eastAsia="宋体" w:cs="宋体"/>
                <w:color w:val="auto"/>
                <w:sz w:val="24"/>
                <w:szCs w:val="24"/>
                <w:highlight w:val="yellow"/>
                <w:lang w:val="en-US" w:eastAsia="zh-CN"/>
              </w:rPr>
              <w:t>）须具有近一年任意月纳税证明（新公司从成立之日起算）。</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6</w:t>
            </w:r>
            <w:r>
              <w:rPr>
                <w:rFonts w:hint="eastAsia" w:ascii="宋体" w:hAnsi="宋体" w:eastAsia="宋体" w:cs="宋体"/>
                <w:color w:val="auto"/>
                <w:sz w:val="24"/>
                <w:szCs w:val="24"/>
                <w:highlight w:val="yellow"/>
                <w:lang w:val="en-US" w:eastAsia="zh-CN"/>
              </w:rPr>
              <w:t>）近一年任意月法人或授权委托人人员明细的社保证明（新公司从成立之日起算）。</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7</w:t>
            </w:r>
            <w:r>
              <w:rPr>
                <w:rFonts w:hint="eastAsia" w:ascii="宋体" w:hAnsi="宋体" w:eastAsia="宋体" w:cs="宋体"/>
                <w:color w:val="auto"/>
                <w:sz w:val="24"/>
                <w:szCs w:val="24"/>
                <w:highlight w:val="yellow"/>
                <w:lang w:val="en-US" w:eastAsia="zh-CN"/>
              </w:rPr>
              <w:t>）法人身份证明及身份证原件或法人授权委托书及委托代理人身份证原件；</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8</w:t>
            </w:r>
            <w:r>
              <w:rPr>
                <w:rFonts w:hint="eastAsia" w:ascii="宋体" w:hAnsi="宋体" w:eastAsia="宋体" w:cs="宋体"/>
                <w:color w:val="auto"/>
                <w:sz w:val="24"/>
                <w:szCs w:val="24"/>
                <w:highlight w:val="yellow"/>
                <w:lang w:val="en-US" w:eastAsia="zh-CN"/>
              </w:rPr>
              <w:t xml:space="preserve">）须具有履行合同所必须的设备和专业技术能力的承诺函。         </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9</w:t>
            </w:r>
            <w:r>
              <w:rPr>
                <w:rFonts w:hint="eastAsia" w:ascii="宋体" w:hAnsi="宋体" w:eastAsia="宋体" w:cs="宋体"/>
                <w:color w:val="auto"/>
                <w:sz w:val="24"/>
                <w:szCs w:val="24"/>
                <w:highlight w:val="yellow"/>
                <w:lang w:val="en-US" w:eastAsia="zh-CN"/>
              </w:rPr>
              <w:t>）参加政府采购活动前3年内在经营活动中没有重大违法记录的书面声明。</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10</w:t>
            </w:r>
            <w:r>
              <w:rPr>
                <w:rFonts w:hint="eastAsia" w:ascii="宋体" w:hAnsi="宋体" w:eastAsia="宋体" w:cs="宋体"/>
                <w:color w:val="auto"/>
                <w:sz w:val="24"/>
                <w:szCs w:val="24"/>
                <w:highlight w:val="yellow"/>
                <w:lang w:val="en-US" w:eastAsia="zh-CN"/>
              </w:rPr>
              <w:t>）投标单位须为中小企业，提供《中小企业声明函》。</w:t>
            </w:r>
          </w:p>
          <w:p>
            <w:pPr>
              <w:overflowPunct w:val="0"/>
              <w:spacing w:line="288"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11</w:t>
            </w:r>
            <w:r>
              <w:rPr>
                <w:rFonts w:hint="eastAsia" w:ascii="宋体" w:hAnsi="宋体" w:eastAsia="宋体" w:cs="宋体"/>
                <w:color w:val="auto"/>
                <w:sz w:val="24"/>
                <w:szCs w:val="24"/>
                <w:highlight w:val="yellow"/>
                <w:lang w:val="en-US" w:eastAsia="zh-CN"/>
              </w:rPr>
              <w:t>）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tc>
      </w:tr>
      <w:tr>
        <w:tblPrEx>
          <w:tblCellMar>
            <w:top w:w="0" w:type="dxa"/>
            <w:left w:w="108" w:type="dxa"/>
            <w:bottom w:w="0" w:type="dxa"/>
            <w:right w:w="108" w:type="dxa"/>
          </w:tblCellMar>
        </w:tblPrEx>
        <w:trPr>
          <w:trHeight w:val="4641"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投标保证金</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b/>
                <w:color w:val="FF0000"/>
                <w:sz w:val="24"/>
                <w:szCs w:val="24"/>
                <w:lang w:val="en-US" w:eastAsia="zh-CN"/>
              </w:rPr>
            </w:pPr>
            <w:r>
              <w:rPr>
                <w:rFonts w:hint="eastAsia" w:ascii="宋体" w:hAnsi="宋体" w:eastAsia="宋体" w:cs="宋体"/>
                <w:color w:val="auto"/>
                <w:sz w:val="24"/>
                <w:szCs w:val="24"/>
              </w:rPr>
              <w:t>保证金金额：</w:t>
            </w:r>
            <w:r>
              <w:rPr>
                <w:rFonts w:hint="eastAsia" w:ascii="宋体" w:hAnsi="宋体" w:cs="宋体"/>
                <w:color w:val="FF0000"/>
                <w:sz w:val="24"/>
                <w:szCs w:val="24"/>
                <w:lang w:val="en-US" w:eastAsia="zh-CN"/>
              </w:rPr>
              <w:t>3900</w:t>
            </w:r>
            <w:r>
              <w:rPr>
                <w:rFonts w:hint="eastAsia" w:ascii="宋体" w:hAnsi="宋体" w:eastAsia="宋体" w:cs="宋体"/>
                <w:b/>
                <w:color w:val="FF0000"/>
                <w:sz w:val="24"/>
                <w:szCs w:val="24"/>
                <w:lang w:val="en-US" w:eastAsia="zh-CN"/>
              </w:rPr>
              <w:t>（大写：</w:t>
            </w:r>
            <w:r>
              <w:rPr>
                <w:rFonts w:hint="eastAsia" w:ascii="宋体" w:hAnsi="宋体" w:cs="宋体"/>
                <w:b/>
                <w:color w:val="FF0000"/>
                <w:sz w:val="24"/>
                <w:szCs w:val="24"/>
                <w:lang w:val="en-US" w:eastAsia="zh-CN"/>
              </w:rPr>
              <w:t>叁仟玖佰元整</w:t>
            </w:r>
            <w:r>
              <w:rPr>
                <w:rFonts w:hint="eastAsia" w:ascii="宋体" w:hAnsi="宋体" w:eastAsia="宋体" w:cs="宋体"/>
                <w:b/>
                <w:color w:val="FF0000"/>
                <w:sz w:val="24"/>
                <w:szCs w:val="24"/>
                <w:lang w:val="en-US" w:eastAsia="zh-CN"/>
              </w:rPr>
              <w:t>）</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FF0000"/>
                <w:sz w:val="24"/>
                <w:lang w:val="en-US" w:eastAsia="zh-CN"/>
              </w:rPr>
              <w:t>2023年06月15日上午11</w:t>
            </w:r>
            <w:r>
              <w:rPr>
                <w:color w:val="FF0000"/>
                <w:sz w:val="24"/>
              </w:rPr>
              <w:t>:</w:t>
            </w:r>
            <w:r>
              <w:rPr>
                <w:rFonts w:hint="eastAsia"/>
                <w:color w:val="FF0000"/>
                <w:sz w:val="24"/>
                <w:lang w:val="en-US" w:eastAsia="zh-CN"/>
              </w:rPr>
              <w:t>0</w:t>
            </w:r>
            <w:r>
              <w:rPr>
                <w:color w:val="FF0000"/>
                <w:sz w:val="24"/>
              </w:rPr>
              <w:t>0时</w:t>
            </w:r>
            <w:r>
              <w:rPr>
                <w:rFonts w:hint="eastAsia"/>
                <w:color w:val="FF0000"/>
                <w:sz w:val="24"/>
                <w:lang w:val="en-US" w:eastAsia="zh-CN"/>
              </w:rPr>
              <w:t>以</w:t>
            </w:r>
            <w:r>
              <w:rPr>
                <w:rFonts w:hint="eastAsia"/>
                <w:color w:val="auto"/>
                <w:sz w:val="24"/>
                <w:lang w:val="en-US" w:eastAsia="zh-CN"/>
              </w:rPr>
              <w:t>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pStyle w:val="16"/>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CellMar>
            <w:top w:w="0" w:type="dxa"/>
            <w:left w:w="108" w:type="dxa"/>
            <w:bottom w:w="0" w:type="dxa"/>
            <w:right w:w="108" w:type="dxa"/>
          </w:tblCellMar>
        </w:tblPrEx>
        <w:trPr>
          <w:trHeight w:val="855"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响应文件</w:t>
            </w:r>
          </w:p>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递交</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rPr>
              <w:t>递交截止时间：</w:t>
            </w:r>
            <w:r>
              <w:rPr>
                <w:rFonts w:hint="eastAsia"/>
                <w:color w:val="FF0000"/>
                <w:sz w:val="24"/>
                <w:lang w:val="en-US" w:eastAsia="zh-CN"/>
              </w:rPr>
              <w:t>2023年06月15日</w:t>
            </w:r>
            <w:r>
              <w:rPr>
                <w:rFonts w:hint="eastAsia" w:ascii="宋体" w:hAnsi="宋体" w:eastAsia="宋体" w:cs="宋体"/>
                <w:color w:val="FF0000"/>
                <w:sz w:val="24"/>
                <w:szCs w:val="24"/>
                <w:lang w:val="en-US" w:eastAsia="zh-CN"/>
              </w:rPr>
              <w:t>1</w:t>
            </w:r>
            <w:r>
              <w:rPr>
                <w:rFonts w:hint="eastAsia" w:ascii="宋体" w:hAnsi="宋体" w:cs="宋体"/>
                <w:color w:val="FF0000"/>
                <w:sz w:val="24"/>
                <w:szCs w:val="24"/>
                <w:lang w:val="en-US" w:eastAsia="zh-CN"/>
              </w:rPr>
              <w:t>1</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w:t>
            </w:r>
            <w:r>
              <w:rPr>
                <w:rFonts w:hint="eastAsia" w:ascii="宋体" w:hAnsi="宋体" w:eastAsia="宋体" w:cs="宋体"/>
                <w:color w:val="FF0000"/>
                <w:sz w:val="24"/>
                <w:szCs w:val="24"/>
                <w:lang w:val="en-US" w:eastAsia="zh-CN"/>
              </w:rPr>
              <w:t>0分(北京时间)</w:t>
            </w:r>
          </w:p>
          <w:p>
            <w:pPr>
              <w:overflowPunct w:val="0"/>
              <w:spacing w:line="288" w:lineRule="auto"/>
              <w:jc w:val="left"/>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rPr>
              <w:t>地址:政采云系统不见面开标（https://www.zcygov.cn/）</w:t>
            </w:r>
          </w:p>
        </w:tc>
      </w:tr>
      <w:tr>
        <w:tblPrEx>
          <w:tblCellMar>
            <w:top w:w="0" w:type="dxa"/>
            <w:left w:w="108" w:type="dxa"/>
            <w:bottom w:w="0" w:type="dxa"/>
            <w:right w:w="108" w:type="dxa"/>
          </w:tblCellMar>
        </w:tblPrEx>
        <w:trPr>
          <w:trHeight w:val="1274"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开标时间及</w:t>
            </w:r>
          </w:p>
          <w:p>
            <w:pPr>
              <w:overflowPunct w:val="0"/>
              <w:spacing w:line="288"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开标地点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开标日期及地点：</w:t>
            </w:r>
            <w:r>
              <w:rPr>
                <w:rFonts w:hint="eastAsia"/>
                <w:color w:val="FF0000"/>
                <w:sz w:val="24"/>
                <w:lang w:val="en-US" w:eastAsia="zh-CN"/>
              </w:rPr>
              <w:t>2023年06月15日</w:t>
            </w:r>
            <w:r>
              <w:rPr>
                <w:rFonts w:hint="eastAsia" w:ascii="宋体" w:hAnsi="宋体" w:eastAsia="宋体" w:cs="宋体"/>
                <w:color w:val="FF0000"/>
                <w:sz w:val="24"/>
                <w:szCs w:val="24"/>
                <w:lang w:val="en-US" w:eastAsia="zh-CN"/>
              </w:rPr>
              <w:t>1</w:t>
            </w:r>
            <w:r>
              <w:rPr>
                <w:rFonts w:hint="eastAsia" w:ascii="宋体" w:hAnsi="宋体" w:cs="宋体"/>
                <w:color w:val="FF0000"/>
                <w:sz w:val="24"/>
                <w:szCs w:val="24"/>
                <w:lang w:val="en-US" w:eastAsia="zh-CN"/>
              </w:rPr>
              <w:t>1</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w:t>
            </w:r>
            <w:r>
              <w:rPr>
                <w:rFonts w:hint="eastAsia" w:ascii="宋体" w:hAnsi="宋体" w:eastAsia="宋体" w:cs="宋体"/>
                <w:color w:val="FF0000"/>
                <w:sz w:val="24"/>
                <w:szCs w:val="24"/>
                <w:lang w:val="en-US" w:eastAsia="zh-CN"/>
              </w:rPr>
              <w:t>0分(北京时间)</w:t>
            </w:r>
          </w:p>
          <w:p>
            <w:pPr>
              <w:overflowPunct w:val="0"/>
              <w:spacing w:line="288"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开标地点：</w:t>
            </w:r>
            <w:r>
              <w:rPr>
                <w:rFonts w:hint="eastAsia" w:ascii="宋体" w:hAnsi="宋体" w:eastAsia="宋体" w:cs="宋体"/>
                <w:color w:val="FF0000"/>
                <w:sz w:val="24"/>
                <w:szCs w:val="24"/>
              </w:rPr>
              <w:t>政采云系统不见面开标（https://www.zcygov.cn/）（逾期未上传的或不符合规定的投标文件将被拒绝接收）</w:t>
            </w:r>
          </w:p>
        </w:tc>
      </w:tr>
      <w:tr>
        <w:tblPrEx>
          <w:tblCellMar>
            <w:top w:w="0" w:type="dxa"/>
            <w:left w:w="108" w:type="dxa"/>
            <w:bottom w:w="0" w:type="dxa"/>
            <w:right w:w="108" w:type="dxa"/>
          </w:tblCellMar>
        </w:tblPrEx>
        <w:trPr>
          <w:trHeight w:val="912"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招标代理费</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按发改价格[2011]543号及计价格[2002]1980号文件计算的招标代理服务收费标准下浮</w:t>
            </w:r>
            <w:r>
              <w:rPr>
                <w:rFonts w:hint="eastAsia" w:ascii="宋体" w:hAnsi="宋体" w:cs="宋体"/>
                <w:color w:val="auto"/>
                <w:kern w:val="0"/>
                <w:sz w:val="24"/>
                <w:szCs w:val="24"/>
                <w:highlight w:val="yellow"/>
                <w:lang w:val="en-US" w:eastAsia="zh-CN"/>
              </w:rPr>
              <w:t>5</w:t>
            </w:r>
            <w:r>
              <w:rPr>
                <w:rFonts w:hint="eastAsia" w:ascii="宋体" w:hAnsi="宋体" w:eastAsia="宋体" w:cs="宋体"/>
                <w:color w:val="auto"/>
                <w:kern w:val="0"/>
                <w:sz w:val="24"/>
                <w:szCs w:val="24"/>
                <w:highlight w:val="yellow"/>
                <w:lang w:val="en-US" w:eastAsia="zh-CN"/>
              </w:rPr>
              <w:t>0%</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538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color w:val="auto"/>
                <w:sz w:val="24"/>
                <w:szCs w:val="24"/>
              </w:rPr>
            </w:pPr>
            <w:r>
              <w:rPr>
                <w:rFonts w:hint="eastAsia" w:ascii="宋体" w:hAnsi="宋体" w:eastAsia="宋体" w:cs="宋体"/>
                <w:color w:val="auto"/>
                <w:kern w:val="0"/>
                <w:sz w:val="24"/>
                <w:szCs w:val="24"/>
                <w:lang w:val="zh-CN" w:eastAsia="zh-CN"/>
              </w:rPr>
              <w:t>小微企业（监狱企业视同小微企业）价格扣除</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3"/>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小微企业（监狱企业、残疾人福利性单位视同小微企业）价格扣除</w:t>
            </w:r>
          </w:p>
          <w:p>
            <w:pPr>
              <w:numPr>
                <w:ilvl w:val="0"/>
                <w:numId w:val="3"/>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根据《政府采购促进中小企业发展管理办法》（财库[2020]46 号）的规定，对小型和微型企业产品的价格给予10%的价格扣除，用扣除后的价格参与评标。</w:t>
            </w:r>
          </w:p>
          <w:p>
            <w:pPr>
              <w:numPr>
                <w:ilvl w:val="0"/>
                <w:numId w:val="3"/>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参加政府采购活动的中小企业应当提供《中小企业声明函》原件。</w:t>
            </w:r>
          </w:p>
          <w:p>
            <w:pPr>
              <w:numPr>
                <w:ilvl w:val="0"/>
                <w:numId w:val="3"/>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提供由省级以上监狱管理局、戒毒管理局（含新疆生产建设兵团）出具的属于监狱企业证明文件的原件，视同为小型和微型企业。</w:t>
            </w:r>
          </w:p>
          <w:p>
            <w:pPr>
              <w:numPr>
                <w:ilvl w:val="0"/>
                <w:numId w:val="3"/>
              </w:numPr>
              <w:overflowPunct w:val="0"/>
              <w:spacing w:line="288"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符合享受政府采购支持政策的残疾人福利性单位条件且提供《残疾人福利性单位声明函》的原件，视同为小型和微型企业。</w:t>
            </w:r>
          </w:p>
          <w:p>
            <w:pPr>
              <w:numPr>
                <w:ilvl w:val="0"/>
                <w:numId w:val="3"/>
              </w:num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注：供应商根据自身实际情况据实提供上述材料原件，未提供的，视为放弃享受小微企业价格扣除优惠政策。</w:t>
            </w:r>
          </w:p>
        </w:tc>
      </w:tr>
      <w:tr>
        <w:tblPrEx>
          <w:tblCellMar>
            <w:top w:w="0" w:type="dxa"/>
            <w:left w:w="108" w:type="dxa"/>
            <w:bottom w:w="0" w:type="dxa"/>
            <w:right w:w="108" w:type="dxa"/>
          </w:tblCellMar>
        </w:tblPrEx>
        <w:trPr>
          <w:trHeight w:val="6248"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低于成本价不正当竞争预防措施(实质性要求)</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0"/>
              </w:num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r>
              <w:rPr>
                <w:rFonts w:hint="eastAsia" w:ascii="宋体" w:hAnsi="宋体" w:eastAsia="宋体" w:cs="宋体"/>
                <w:color w:val="auto"/>
                <w:kern w:val="0"/>
                <w:sz w:val="24"/>
                <w:szCs w:val="24"/>
              </w:rPr>
              <w:t>。</w:t>
            </w:r>
          </w:p>
          <w:p>
            <w:pPr>
              <w:pStyle w:val="9"/>
              <w:numPr>
                <w:ilvl w:val="0"/>
                <w:numId w:val="0"/>
              </w:numPr>
              <w:rPr>
                <w:rFonts w:hint="default" w:eastAsia="宋体"/>
                <w:color w:val="auto"/>
                <w:lang w:val="en-US" w:eastAsia="zh-CN"/>
              </w:rPr>
            </w:pPr>
            <w:r>
              <w:rPr>
                <w:rFonts w:hint="eastAsia"/>
                <w:color w:val="auto"/>
                <w:lang w:val="en-US" w:eastAsia="zh-CN"/>
              </w:rPr>
              <w:t xml:space="preserve">   </w:t>
            </w:r>
            <w:r>
              <w:rPr>
                <w:rFonts w:hint="eastAsia" w:ascii="宋体" w:hAnsi="宋体" w:eastAsia="宋体" w:cs="宋体"/>
                <w:color w:val="auto"/>
                <w:kern w:val="0"/>
                <w:sz w:val="24"/>
                <w:szCs w:val="24"/>
                <w:lang w:val="en-US" w:eastAsia="zh-CN" w:bidi="ar-SA"/>
              </w:rPr>
              <w:t>供应商的书面说明材料应当按照国家财务会计制度的规定要求,逐项就供应商提供的货物、工程和服务的主营业务成本、税金及附加、销售费用、管理费用、财务费用等成本构成事项详细陈述。</w:t>
            </w:r>
          </w:p>
          <w:p>
            <w:pPr>
              <w:overflowPunct w:val="0"/>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2.供应商书面说明应当签字确认或者加盖公章,否则无效</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书面说明的签字确认,由其法定代表人/主要负责人/本人或其授权代表人签字确认</w:t>
            </w:r>
            <w:r>
              <w:rPr>
                <w:rFonts w:hint="eastAsia" w:ascii="宋体" w:hAnsi="宋体" w:eastAsia="宋体" w:cs="宋体"/>
                <w:color w:val="auto"/>
                <w:kern w:val="0"/>
                <w:sz w:val="24"/>
                <w:szCs w:val="24"/>
              </w:rPr>
              <w:t>。</w:t>
            </w:r>
          </w:p>
          <w:p>
            <w:pPr>
              <w:overflowPunct w:val="0"/>
              <w:spacing w:line="288" w:lineRule="auto"/>
              <w:jc w:val="left"/>
              <w:rPr>
                <w:rFonts w:hint="default"/>
                <w:color w:val="auto"/>
                <w:lang w:val="en-US" w:eastAsia="zh-CN"/>
              </w:rPr>
            </w:pPr>
            <w:r>
              <w:rPr>
                <w:rFonts w:hint="eastAsia" w:ascii="宋体" w:hAnsi="宋体" w:eastAsia="宋体" w:cs="宋体"/>
                <w:color w:val="auto"/>
                <w:kern w:val="0"/>
                <w:sz w:val="24"/>
                <w:szCs w:val="24"/>
                <w:lang w:val="en-US" w:eastAsia="zh-CN"/>
              </w:rPr>
              <w:t>3.供应商提供书面说明后,磋商小组应当结合采购项目采购需求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专业实际情况</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供应商财务状况报告</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与其他供应商比较情况等就供应商书面说明进行审查评价</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供应商拒绝或者变相拒绝提供有效书面说明或者书面说明不能证明其报价合理性的或未在规定时间内递交有效书面说明书的,磋商小组应当将其响应文件作为无效处理</w:t>
            </w:r>
          </w:p>
        </w:tc>
      </w:tr>
      <w:tr>
        <w:tblPrEx>
          <w:tblCellMar>
            <w:top w:w="0" w:type="dxa"/>
            <w:left w:w="108" w:type="dxa"/>
            <w:bottom w:w="0" w:type="dxa"/>
            <w:right w:w="108" w:type="dxa"/>
          </w:tblCellMar>
        </w:tblPrEx>
        <w:trPr>
          <w:trHeight w:val="5031"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节能、环保产品政策体现（</w:t>
            </w:r>
            <w:r>
              <w:rPr>
                <w:rFonts w:hint="eastAsia" w:ascii="宋体" w:hAnsi="宋体" w:eastAsia="宋体" w:cs="宋体"/>
                <w:b/>
                <w:bCs/>
                <w:color w:val="auto"/>
                <w:kern w:val="0"/>
                <w:sz w:val="24"/>
                <w:szCs w:val="24"/>
                <w:lang w:val="en-US" w:eastAsia="zh-CN" w:bidi="ar-SA"/>
              </w:rPr>
              <w:t>如涉及</w:t>
            </w:r>
            <w:r>
              <w:rPr>
                <w:rFonts w:hint="eastAsia" w:ascii="宋体" w:hAnsi="宋体" w:eastAsia="宋体" w:cs="宋体"/>
                <w:color w:val="auto"/>
                <w:kern w:val="0"/>
                <w:sz w:val="24"/>
                <w:szCs w:val="24"/>
                <w:lang w:val="en-US" w:eastAsia="zh-CN" w:bidi="ar-SA"/>
              </w:rPr>
              <w:t>）</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2、本项目采购的产品属于品目清单强制采购范围的，供应商应按上述要求 提供产品认证证书复印件并加盖供应商单位公章（鲜章），否则作无效响应处理。（实质性要求）</w:t>
            </w:r>
          </w:p>
          <w:p>
            <w:pPr>
              <w:overflowPunct w:val="0"/>
              <w:spacing w:line="288"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注：对政府采购节能产品、环境标志产品实施品目清单管理。财政部、发展改革委、生态环境部等部门确定实施政府优先采购和强制采购的产品类别，以品目清单的形式发布并适时调整。</w:t>
            </w:r>
          </w:p>
        </w:tc>
      </w:tr>
      <w:tr>
        <w:tblPrEx>
          <w:tblCellMar>
            <w:top w:w="0" w:type="dxa"/>
            <w:left w:w="108" w:type="dxa"/>
            <w:bottom w:w="0" w:type="dxa"/>
            <w:right w:w="108" w:type="dxa"/>
          </w:tblCellMar>
        </w:tblPrEx>
        <w:trPr>
          <w:trHeight w:val="1653"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9</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FF0000"/>
                <w:kern w:val="0"/>
                <w:sz w:val="24"/>
                <w:szCs w:val="24"/>
                <w:highlight w:val="yellow"/>
                <w:lang w:val="en-US" w:eastAsia="zh-CN" w:bidi="ar-SA"/>
              </w:rPr>
              <w:t>付款方式</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overflowPunct w:val="0"/>
              <w:spacing w:line="288" w:lineRule="auto"/>
              <w:jc w:val="left"/>
              <w:rPr>
                <w:rFonts w:hint="default" w:ascii="宋体" w:hAnsi="宋体" w:eastAsia="宋体" w:cs="宋体"/>
                <w:color w:val="auto"/>
                <w:kern w:val="0"/>
                <w:sz w:val="24"/>
                <w:szCs w:val="24"/>
                <w:highlight w:val="yellow"/>
                <w:lang w:val="en-US" w:eastAsia="zh-CN" w:bidi="ar-SA"/>
              </w:rPr>
            </w:pPr>
            <w:r>
              <w:rPr>
                <w:rFonts w:hint="default" w:ascii="宋体" w:hAnsi="宋体" w:eastAsia="宋体" w:cs="宋体"/>
                <w:color w:val="auto"/>
                <w:kern w:val="0"/>
                <w:sz w:val="24"/>
                <w:szCs w:val="24"/>
                <w:highlight w:val="yellow"/>
                <w:lang w:val="en-US" w:eastAsia="zh-CN" w:bidi="ar-SA"/>
              </w:rPr>
              <w:t>合同签订后支付合同总额的30%为预付款；工程施工结束后支付合同总额的30%为进度款；经相关部门消防验收合格，出具消防验收意见书后支付合同总额的37%为竣工款；剩余合同总额的3%作为质保金，质保期结束后支付。</w:t>
            </w:r>
          </w:p>
        </w:tc>
      </w:tr>
      <w:tr>
        <w:tblPrEx>
          <w:tblCellMar>
            <w:top w:w="0" w:type="dxa"/>
            <w:left w:w="108" w:type="dxa"/>
            <w:bottom w:w="0" w:type="dxa"/>
            <w:right w:w="108" w:type="dxa"/>
          </w:tblCellMar>
        </w:tblPrEx>
        <w:trPr>
          <w:trHeight w:val="1629" w:hRule="exact"/>
          <w:jc w:val="center"/>
        </w:trPr>
        <w:tc>
          <w:tcPr>
            <w:tcW w:w="792" w:type="dxa"/>
            <w:tcBorders>
              <w:top w:val="single" w:color="auto" w:sz="12" w:space="0"/>
              <w:left w:val="single" w:color="auto" w:sz="12" w:space="0"/>
              <w:bottom w:val="single" w:color="auto" w:sz="12" w:space="0"/>
              <w:right w:val="single" w:color="auto" w:sz="12" w:space="0"/>
            </w:tcBorders>
            <w:noWrap w:val="0"/>
            <w:vAlign w:val="center"/>
          </w:tcPr>
          <w:p>
            <w:pPr>
              <w:pStyle w:val="24"/>
              <w:spacing w:line="288"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20</w:t>
            </w:r>
          </w:p>
        </w:tc>
        <w:tc>
          <w:tcPr>
            <w:tcW w:w="1815"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是否接受联合体投标</w:t>
            </w:r>
          </w:p>
        </w:tc>
        <w:tc>
          <w:tcPr>
            <w:tcW w:w="6963" w:type="dxa"/>
            <w:tcBorders>
              <w:top w:val="single" w:color="auto" w:sz="12" w:space="0"/>
              <w:left w:val="single" w:color="auto" w:sz="12" w:space="0"/>
              <w:bottom w:val="single" w:color="auto" w:sz="12" w:space="0"/>
              <w:right w:val="single" w:color="auto" w:sz="12" w:space="0"/>
            </w:tcBorders>
            <w:noWrap w:val="0"/>
            <w:vAlign w:val="center"/>
          </w:tcPr>
          <w:p>
            <w:pPr>
              <w:spacing w:line="4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eq \o\ac(□,√)</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不接受</w:t>
            </w:r>
          </w:p>
          <w:p>
            <w:pPr>
              <w:overflowPunct w:val="0"/>
              <w:spacing w:line="288" w:lineRule="auto"/>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□接受，应满足下列要求：</w:t>
            </w:r>
          </w:p>
        </w:tc>
      </w:tr>
    </w:tbl>
    <w:p>
      <w:pPr>
        <w:spacing w:line="360" w:lineRule="auto"/>
        <w:jc w:val="center"/>
        <w:outlineLvl w:val="0"/>
        <w:rPr>
          <w:rFonts w:hint="eastAsia" w:ascii="宋体" w:hAnsi="宋体" w:eastAsia="宋体" w:cs="宋体"/>
          <w:b/>
          <w:color w:val="auto"/>
          <w:sz w:val="32"/>
          <w:szCs w:val="32"/>
          <w:shd w:val="clear" w:color="auto" w:fill="CCE8CF" w:themeFill="background1"/>
        </w:rPr>
      </w:pPr>
      <w:bookmarkStart w:id="27" w:name="_Toc2410"/>
    </w:p>
    <w:p>
      <w:pPr>
        <w:spacing w:line="360" w:lineRule="auto"/>
        <w:jc w:val="center"/>
        <w:outlineLvl w:val="0"/>
        <w:rPr>
          <w:rFonts w:ascii="宋体" w:hAnsi="宋体" w:eastAsia="宋体" w:cs="宋体"/>
          <w:b/>
          <w:color w:val="auto"/>
          <w:sz w:val="36"/>
          <w:szCs w:val="36"/>
          <w:shd w:val="clear" w:color="auto" w:fill="CCE8CF" w:themeFill="background1"/>
        </w:rPr>
      </w:pPr>
      <w:r>
        <w:rPr>
          <w:rFonts w:hint="eastAsia" w:ascii="宋体" w:hAnsi="宋体" w:eastAsia="宋体" w:cs="宋体"/>
          <w:b/>
          <w:color w:val="auto"/>
          <w:sz w:val="44"/>
          <w:szCs w:val="44"/>
          <w:shd w:val="clear" w:color="auto" w:fill="CCE8CF" w:themeFill="background1"/>
        </w:rPr>
        <w:t>第一章</w:t>
      </w:r>
      <w:r>
        <w:rPr>
          <w:rFonts w:ascii="宋体" w:hAnsi="宋体" w:eastAsia="宋体" w:cs="宋体"/>
          <w:b/>
          <w:color w:val="auto"/>
          <w:sz w:val="44"/>
          <w:szCs w:val="44"/>
          <w:shd w:val="clear" w:color="auto" w:fill="CCE8CF" w:themeFill="background1"/>
        </w:rPr>
        <w:t xml:space="preserve"> </w:t>
      </w:r>
      <w:r>
        <w:rPr>
          <w:rFonts w:hint="eastAsia" w:ascii="宋体" w:hAnsi="宋体" w:eastAsia="宋体" w:cs="宋体"/>
          <w:b/>
          <w:color w:val="auto"/>
          <w:sz w:val="44"/>
          <w:szCs w:val="44"/>
          <w:shd w:val="clear" w:color="auto" w:fill="CCE8CF" w:themeFill="background1"/>
        </w:rPr>
        <w:t>供应商须知</w:t>
      </w:r>
      <w:bookmarkEnd w:id="27"/>
      <w:bookmarkStart w:id="28" w:name="_BookMark_2"/>
      <w:bookmarkEnd w:id="2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40"/>
          <w:szCs w:val="40"/>
        </w:rPr>
      </w:pPr>
      <w:r>
        <w:rPr>
          <w:rFonts w:hint="eastAsia" w:asciiTheme="minorEastAsia" w:hAnsiTheme="minorEastAsia" w:eastAsiaTheme="minorEastAsia" w:cstheme="minorEastAsia"/>
          <w:b/>
          <w:bCs/>
          <w:color w:val="auto"/>
          <w:sz w:val="40"/>
          <w:szCs w:val="40"/>
        </w:rPr>
        <w:t>1．总则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 采购项目概况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1.1.1 项目名称：见供应商须知前附表。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1.1.2项目编号：见供应商须知前附表。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1.1.3采购人：见供应商须知前附表。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1.1.4采购代理机构：见供应商须知前附表。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1.1.5项目地点：见供应商须知前附表。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1.1.6资金来源：见供应商须知前附表。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1.1.7采购预算金额：见供应商须知前附表。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1.1.</w:t>
      </w:r>
      <w:r>
        <w:rPr>
          <w:rFonts w:hint="eastAsia" w:asciiTheme="minorEastAsia" w:hAnsiTheme="minorEastAsia" w:cstheme="minorEastAsia"/>
          <w:color w:val="auto"/>
          <w:sz w:val="24"/>
          <w:szCs w:val="28"/>
          <w:lang w:val="en-US" w:eastAsia="zh-CN"/>
        </w:rPr>
        <w:t>8计划</w:t>
      </w:r>
      <w:r>
        <w:rPr>
          <w:rFonts w:hint="eastAsia" w:asciiTheme="minorEastAsia" w:hAnsiTheme="minorEastAsia" w:eastAsiaTheme="minorEastAsia" w:cstheme="minorEastAsia"/>
          <w:color w:val="auto"/>
          <w:sz w:val="24"/>
          <w:szCs w:val="28"/>
          <w:lang w:eastAsia="zh-CN"/>
        </w:rPr>
        <w:t>工期</w:t>
      </w:r>
      <w:r>
        <w:rPr>
          <w:rFonts w:hint="eastAsia" w:asciiTheme="minorEastAsia" w:hAnsiTheme="minorEastAsia" w:eastAsiaTheme="minorEastAsia" w:cstheme="minorEastAsia"/>
          <w:color w:val="auto"/>
          <w:sz w:val="24"/>
          <w:szCs w:val="28"/>
        </w:rPr>
        <w:t>：见供应商须知前附表。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1.2采购范围：见供应商须知前附表。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1.3 采购方式和资格审查方式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1.3.1 采购方式：见供应商须知前附表。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1.3.2 资格审查方式：见供应商须知前附表。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1.4 评审办法、投标计价方式及定标方法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1.4.1 评审办法：见供应商须知前附表。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 xml:space="preserve">1.5 </w:t>
      </w:r>
      <w:r>
        <w:rPr>
          <w:rFonts w:hint="eastAsia" w:asciiTheme="minorEastAsia" w:hAnsiTheme="minorEastAsia" w:eastAsiaTheme="minorEastAsia" w:cstheme="minorEastAsia"/>
          <w:color w:val="auto"/>
          <w:sz w:val="24"/>
          <w:szCs w:val="28"/>
          <w:lang w:val="en-US" w:eastAsia="zh-CN"/>
        </w:rPr>
        <w:t>联合体投标</w:t>
      </w:r>
      <w:r>
        <w:rPr>
          <w:rFonts w:hint="eastAsia" w:asciiTheme="minorEastAsia" w:hAnsiTheme="minorEastAsia" w:eastAsiaTheme="minorEastAsia" w:cstheme="minorEastAsia"/>
          <w:color w:val="auto"/>
          <w:sz w:val="24"/>
          <w:szCs w:val="28"/>
        </w:rPr>
        <w:t>：见供应商须知前附表。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heme="minorEastAsia" w:hAnsiTheme="minorEastAsia" w:eastAsiaTheme="minorEastAsia" w:cstheme="minorEastAsia"/>
          <w:color w:val="auto"/>
          <w:sz w:val="24"/>
          <w:szCs w:val="28"/>
        </w:rPr>
        <w:t>1.</w:t>
      </w:r>
      <w:r>
        <w:rPr>
          <w:rFonts w:hint="eastAsia" w:asciiTheme="minorEastAsia" w:hAnsiTheme="minorEastAsia" w:eastAsiaTheme="minorEastAsia" w:cstheme="minorEastAsia"/>
          <w:color w:val="auto"/>
          <w:sz w:val="24"/>
          <w:szCs w:val="28"/>
          <w:lang w:val="en-US" w:eastAsia="zh-CN"/>
        </w:rPr>
        <w:t>6</w:t>
      </w:r>
      <w:r>
        <w:rPr>
          <w:rFonts w:hint="eastAsia" w:asciiTheme="minorEastAsia" w:hAnsiTheme="minorEastAsia" w:eastAsiaTheme="minorEastAsia" w:cstheme="minorEastAsia"/>
          <w:color w:val="auto"/>
          <w:sz w:val="24"/>
          <w:szCs w:val="28"/>
        </w:rPr>
        <w:t xml:space="preserve"> 供应商资格条件</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投标人应符合《中华人民共和国政府采购法》第二十二条规定的条件；</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①具有独立承担民事责任的能力；</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②具有良好的商业信誉和健全的财务会计制度；</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③具有履行合同所必须的设备和专业技术能力；</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④有依法缴纳税收和社会保障资金的良好记录；</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⑤参加政府采购活动前三年内，在经营活动中没有重大违法、犯罪记录；</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⑥法律法规规定的其他条件。</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遵守国家法律、法规有关招标的规定。</w:t>
      </w:r>
    </w:p>
    <w:p>
      <w:pPr>
        <w:spacing w:line="400" w:lineRule="exact"/>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与采购人就本次招标的项目委托的咨询机构、招标代理机构、以及上述机构的附属机构没有行政或经济关联。</w:t>
      </w:r>
    </w:p>
    <w:p>
      <w:pPr>
        <w:spacing w:line="400" w:lineRule="exact"/>
        <w:ind w:left="420" w:leftChars="20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（5）具有有效的营业执照。</w:t>
      </w:r>
    </w:p>
    <w:p>
      <w:pPr>
        <w:spacing w:line="400" w:lineRule="exact"/>
        <w:ind w:left="420" w:leftChars="200" w:firstLine="0" w:firstLineChars="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（6）有效期内的消防设施工程专业承包贰级及以上资质或有效期内的消防设施工程设计与施工贰级及以上资质，需持有有效的安全生产许可证，并具有履行合同所必须的设备和专业技术能力。</w:t>
      </w:r>
    </w:p>
    <w:p>
      <w:pPr>
        <w:spacing w:line="400" w:lineRule="exact"/>
        <w:ind w:left="420" w:leftChars="200" w:firstLine="0" w:firstLineChars="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（7）项目负责人要求：注册建造师（建筑工程专业）二级及以上，并具有有效的安全生产考核合格证书（B类），本单位注册。</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（8）须具备近一年财务审计报告或银行提供的资信证明（新公司从成立之日起算）。</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（9）须具有近一年任意月纳税证明（新公司从成立之日起算）。</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（10）近一年任意月法人或授权委托人人员明细的社保证明（新公司从成立之日起算）。</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（11）法人身份证明及身份证原件或法人授权委托书及委托代理人身份证原件；</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（12）须具有履行合同所必须的设备和专业技术能力的承诺函。         </w:t>
      </w:r>
    </w:p>
    <w:p>
      <w:pPr>
        <w:spacing w:line="400" w:lineRule="exact"/>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（13）参加政府采购活动前3年内在经营活动中没有重大违法记录的书面声明。</w:t>
      </w:r>
    </w:p>
    <w:p>
      <w:pPr>
        <w:spacing w:line="400" w:lineRule="exact"/>
        <w:ind w:left="420" w:leftChars="200" w:firstLine="0"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（14）投标单位须为中小企业，提供《中小企业声明函》。</w:t>
      </w:r>
    </w:p>
    <w:p>
      <w:pPr>
        <w:spacing w:line="400" w:lineRule="exact"/>
        <w:ind w:left="420" w:leftChars="200" w:firstLine="0" w:firstLineChars="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highlight w:val="yellow"/>
          <w:lang w:val="en-US" w:eastAsia="zh-CN"/>
        </w:rPr>
        <w:t>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p>
      <w:pPr>
        <w:spacing w:line="400" w:lineRule="exact"/>
        <w:ind w:left="420" w:leftChars="200" w:firstLine="0" w:firstLineChars="0"/>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（16）落实政府采购政策需满足的资格要求：</w:t>
      </w:r>
      <w:r>
        <w:rPr>
          <w:rFonts w:hint="eastAsia" w:ascii="宋体" w:hAnsi="宋体" w:eastAsia="宋体" w:cs="宋体"/>
          <w:color w:val="FF0000"/>
          <w:sz w:val="24"/>
          <w:szCs w:val="24"/>
          <w:lang w:val="en-US" w:eastAsia="zh-CN"/>
        </w:rPr>
        <w:t>本项目专门面向中小微企业。</w:t>
      </w:r>
      <w:r>
        <w:rPr>
          <w:rFonts w:hint="eastAsia" w:ascii="宋体" w:hAnsi="宋体" w:eastAsia="宋体" w:cs="宋体"/>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供应商不得存在下列情形之一，否则相关投标均应被否决：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（1）单位负责人为同一人或者存在控股、管理关系的不同单位，参加同一标段投标或者未划分标段的同一采购项目投标的；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（2）法定代表人为同一个人的两个及两个以上法人，母公司、全资子公司及其控股公司，参加同一标段投标或者未划分标段的同一采购项目投标的；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（3）被责令停业的；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（4）被暂停或取消投标资格的；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（5）财产被接管或冻结的；</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（6）在最近三年内有骗取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或严重违约或重大质量问题的；</w:t>
      </w:r>
      <w:bookmarkStart w:id="186" w:name="_GoBack"/>
      <w:bookmarkEnd w:id="1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费用承担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.1竞争性磋商文件费：见供应商须知前附表。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 xml:space="preserve">1.7.2 </w:t>
      </w:r>
      <w:r>
        <w:rPr>
          <w:rFonts w:hint="eastAsia" w:ascii="宋体" w:hAnsi="宋体" w:eastAsia="宋体" w:cs="宋体"/>
          <w:color w:val="auto"/>
          <w:sz w:val="24"/>
          <w:szCs w:val="24"/>
        </w:rPr>
        <w:t>供应商应承担其编制响应文件与递交响应文件所涉及的一切费用，无论投标结果如何，采购人及采购代理机构对上述费用不作任何补偿。采购代理咨询费由成交供应商支付。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磋商保证金：见供应商须知前附表。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踏勘现场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.1 供应商须知前附表规定组织踏勘现场的，采购人或采购代理机构按供应商须知前附表规定的时间、地点组织供应商踏勘项目现场。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 供应商踏勘现场发生的费用自理。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 除采购人或采购代理机构的原因外，供应商自行负责在踏勘现场中所发生的人员伤亡和财产损失。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 采购人或采购代理机构在踏勘现场中介绍的项目有关情况，供应商在编制响应文件时参考，采购人或采购代理机构不对供应商据此作出的判断和决策负责。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采购答疑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 供应商须知前附表规定召开招标答疑会的，采购人或采购代理机构按照供应商须知前附表规定的时间和地点召开招标答疑会，澄清供应商提出的问题。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 供应商若有疑问，应按规定的时间、方式向采购人或采购代理机构提出，要求采购人对竞争性磋商文件予以澄清。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 采购人或采购代理机构将按规定的时间方式对供应商的疑问作出统一的解答。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响应文件：见供应商须知前附表。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递交：见供应商须知前附表。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开标：见供应商须知前附表。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响应有效期：见供应商须知前附表。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1.15中小企业政策说明</w:t>
      </w:r>
      <w:r>
        <w:rPr>
          <w:rFonts w:hint="eastAsia" w:ascii="宋体" w:hAnsi="宋体" w:eastAsia="宋体" w:cs="宋体"/>
          <w:color w:val="auto"/>
          <w:sz w:val="24"/>
          <w:szCs w:val="24"/>
        </w:rPr>
        <w:t>：见供应商须知前附表。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参与招标投标活动的各方应当对竞争性磋商文件和响应文件中的商业和技术等秘密保密，否则应当承担相应的法律责任。</w:t>
      </w:r>
    </w:p>
    <w:p>
      <w:pPr>
        <w:pStyle w:val="24"/>
        <w:spacing w:line="360" w:lineRule="auto"/>
        <w:jc w:val="left"/>
        <w:outlineLvl w:val="1"/>
        <w:rPr>
          <w:rFonts w:hint="eastAsia" w:ascii="宋体" w:hAnsi="宋体" w:cs="宋体"/>
          <w:b/>
          <w:color w:val="auto"/>
          <w:sz w:val="40"/>
        </w:rPr>
      </w:pPr>
      <w:bookmarkStart w:id="29" w:name="_Toc13293"/>
      <w:bookmarkStart w:id="30" w:name="_Toc23283"/>
      <w:bookmarkStart w:id="31" w:name="_Toc20542"/>
      <w:bookmarkStart w:id="32" w:name="_Toc13276"/>
      <w:r>
        <w:rPr>
          <w:rFonts w:hint="default" w:ascii="宋体" w:hAnsi="宋体" w:cs="宋体"/>
          <w:b/>
          <w:color w:val="auto"/>
          <w:sz w:val="40"/>
          <w:szCs w:val="36"/>
        </w:rPr>
        <w:t>2、</w:t>
      </w:r>
      <w:r>
        <w:rPr>
          <w:rFonts w:hint="eastAsia" w:ascii="宋体" w:hAnsi="宋体" w:cs="宋体"/>
          <w:b/>
          <w:color w:val="auto"/>
          <w:sz w:val="40"/>
          <w:lang w:eastAsia="zh-CN"/>
        </w:rPr>
        <w:t>磋商</w:t>
      </w:r>
      <w:r>
        <w:rPr>
          <w:rFonts w:hint="eastAsia" w:ascii="宋体" w:hAnsi="宋体" w:cs="宋体"/>
          <w:b/>
          <w:color w:val="auto"/>
          <w:sz w:val="40"/>
        </w:rPr>
        <w:t>文件</w:t>
      </w:r>
      <w:bookmarkEnd w:id="29"/>
      <w:bookmarkEnd w:id="30"/>
      <w:bookmarkEnd w:id="31"/>
      <w:bookmarkEnd w:id="32"/>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rPr>
        <w:t>.</w:t>
      </w:r>
      <w:r>
        <w:rPr>
          <w:rFonts w:hint="eastAsia" w:cs="宋体"/>
          <w:b/>
          <w:bCs/>
          <w:color w:val="auto"/>
          <w:sz w:val="24"/>
          <w:szCs w:val="24"/>
        </w:rPr>
        <w:t>磋商文件的构成</w:t>
      </w:r>
    </w:p>
    <w:p>
      <w:pPr>
        <w:pStyle w:val="24"/>
        <w:spacing w:line="360" w:lineRule="auto"/>
        <w:ind w:firstLine="480" w:firstLineChars="200"/>
        <w:jc w:val="both"/>
        <w:rPr>
          <w:rFonts w:hint="eastAsia" w:hAnsi="宋体" w:cs="宋体"/>
          <w:color w:val="auto"/>
          <w:sz w:val="24"/>
        </w:rPr>
      </w:pPr>
      <w:r>
        <w:rPr>
          <w:rFonts w:hint="eastAsia" w:ascii="Times New Roman" w:hAnsi="宋体" w:eastAsia="宋体" w:cs="宋体"/>
          <w:color w:val="auto"/>
          <w:sz w:val="24"/>
          <w:lang w:val="en-US" w:eastAsia="zh-CN"/>
        </w:rPr>
        <w:t>5.1磋</w:t>
      </w:r>
      <w:r>
        <w:rPr>
          <w:rFonts w:hint="eastAsia" w:hAnsi="宋体" w:cs="宋体"/>
          <w:color w:val="auto"/>
          <w:sz w:val="24"/>
        </w:rPr>
        <w:t>商文件是供应商准备响应文件和参加磋商的依据，同时也是磋商的重要依据。磋商文件用以阐明磋商项目所需的资质、技术、服务及报价等要求、磋商程序、有关规定和注意事项以及合同主要条款等。</w:t>
      </w:r>
    </w:p>
    <w:p>
      <w:pPr>
        <w:pStyle w:val="24"/>
        <w:spacing w:line="360" w:lineRule="auto"/>
        <w:ind w:firstLine="480" w:firstLineChars="200"/>
        <w:jc w:val="both"/>
        <w:rPr>
          <w:rFonts w:hint="eastAsia" w:ascii="宋体" w:hAnsi="宋体" w:eastAsia="宋体" w:cs="宋体"/>
          <w:color w:val="auto"/>
          <w:sz w:val="24"/>
          <w:szCs w:val="24"/>
        </w:rPr>
      </w:pPr>
      <w:r>
        <w:rPr>
          <w:rFonts w:hint="eastAsia" w:hAnsi="宋体" w:cs="宋体"/>
          <w:color w:val="auto"/>
          <w:sz w:val="24"/>
          <w:lang w:val="en-US" w:eastAsia="zh-CN"/>
        </w:rPr>
        <w:t>5.2</w:t>
      </w:r>
      <w:r>
        <w:rPr>
          <w:rFonts w:hint="eastAsia" w:hAnsi="宋体" w:cs="宋体"/>
          <w:color w:val="auto"/>
          <w:sz w:val="24"/>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磋商文件</w:t>
      </w:r>
      <w:r>
        <w:rPr>
          <w:rFonts w:hint="eastAsia" w:ascii="宋体" w:hAnsi="宋体" w:eastAsia="宋体" w:cs="宋体"/>
          <w:b/>
          <w:bCs/>
          <w:color w:val="auto"/>
          <w:sz w:val="24"/>
          <w:szCs w:val="24"/>
        </w:rPr>
        <w:t>的澄清</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招标采购单位对已发出的</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进行必要澄清或者修改的，应当在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 5 日前，在财政部门指定的政府采购信息发布媒体上发布更正公告，并以书面形式通知所有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收受人。该澄清或者修改的内容为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w:t>
      </w:r>
    </w:p>
    <w:p>
      <w:pPr>
        <w:pStyle w:val="24"/>
        <w:spacing w:line="360" w:lineRule="auto"/>
        <w:jc w:val="both"/>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2.3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磋商文件</w:t>
      </w:r>
      <w:r>
        <w:rPr>
          <w:rFonts w:hint="eastAsia" w:ascii="宋体" w:hAnsi="宋体" w:eastAsia="宋体" w:cs="宋体"/>
          <w:b/>
          <w:bCs/>
          <w:color w:val="auto"/>
          <w:sz w:val="24"/>
          <w:szCs w:val="24"/>
        </w:rPr>
        <w:t>的澄清与修改</w:t>
      </w:r>
      <w:r>
        <w:rPr>
          <w:rFonts w:hint="eastAsia" w:ascii="宋体" w:hAnsi="宋体" w:eastAsia="宋体" w:cs="宋体"/>
          <w:color w:val="auto"/>
          <w:sz w:val="24"/>
          <w:szCs w:val="24"/>
        </w:rPr>
        <w:t xml:space="preserve"> </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.1供应商应认真阅读本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 xml:space="preserve">，发现其中有误或有不合理要求的，供应商必须在投标截止日期前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日以书面形式要求招标采购单位澄清，在招标现场以任何方式和理由对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提出的质疑都将被拒绝。采购代理机构对已发出的</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进行必要澄清、答复、修改或补充的，应当在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 xml:space="preserve">截止时间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天前，以书面形式通知所有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.2采购代理机构必须以书面形式答复供应商要求澄清的问题，并将不包含问题来源的答复书面通知所有购买</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的供应商；除书面答复以外的其他澄清方式及澄清内容均无效。</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的答复、澄清、修改、补充通知实质上改变招标需求相关内容，且自</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的答复、澄清、修改、补充通知发出之日起至投标截止时间止不足 5 天的，招标采购单位应推迟投标截止时间和开标时间，并将变更后的时间书面通知所有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收受人。</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澄清、答复、修改、补充的内容为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的组成部分。当</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的答复、澄清、修改、补充通知就同一内容的表述不一致时，以最后发出的书面文件为准。</w:t>
      </w:r>
    </w:p>
    <w:p>
      <w:pPr>
        <w:pStyle w:val="24"/>
        <w:spacing w:line="360" w:lineRule="auto"/>
        <w:ind w:firstLine="480" w:firstLineChars="200"/>
        <w:jc w:val="both"/>
        <w:rPr>
          <w:rFonts w:hint="eastAsia" w:ascii="宋体" w:hAnsi="宋体" w:cs="宋体"/>
          <w:b/>
          <w:color w:val="auto"/>
          <w:sz w:val="32"/>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的澄清、答复、修改或补充都应该通过本代理机构以法定形式发布，采购人非通过本机构，不得擅自澄清、答复、修改或补充</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w:t>
      </w:r>
    </w:p>
    <w:p>
      <w:pPr>
        <w:pStyle w:val="24"/>
        <w:spacing w:line="360" w:lineRule="auto"/>
        <w:jc w:val="left"/>
        <w:outlineLvl w:val="1"/>
        <w:rPr>
          <w:rFonts w:hint="eastAsia" w:ascii="宋体" w:hAnsi="宋体" w:eastAsia="宋体" w:cs="宋体"/>
          <w:color w:val="auto"/>
          <w:sz w:val="36"/>
          <w:szCs w:val="36"/>
          <w:lang w:eastAsia="zh-CN"/>
        </w:rPr>
      </w:pPr>
      <w:bookmarkStart w:id="33" w:name="_Toc31063"/>
      <w:bookmarkStart w:id="34" w:name="_Toc13775"/>
      <w:r>
        <w:rPr>
          <w:rFonts w:hint="eastAsia" w:ascii="宋体" w:hAnsi="宋体" w:cs="宋体"/>
          <w:b/>
          <w:color w:val="auto"/>
          <w:sz w:val="32"/>
          <w:lang w:val="en-US" w:eastAsia="zh-CN"/>
        </w:rPr>
        <w:t>3、</w:t>
      </w:r>
      <w:r>
        <w:rPr>
          <w:rFonts w:hint="eastAsia" w:ascii="宋体" w:hAnsi="宋体" w:cs="宋体"/>
          <w:b/>
          <w:color w:val="auto"/>
          <w:sz w:val="36"/>
          <w:szCs w:val="36"/>
          <w:lang w:eastAsia="zh-CN"/>
        </w:rPr>
        <w:t>响应文件</w:t>
      </w:r>
      <w:bookmarkEnd w:id="33"/>
      <w:bookmarkEnd w:id="34"/>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3.1</w:t>
      </w:r>
      <w:r>
        <w:rPr>
          <w:rFonts w:hint="eastAsia" w:ascii="宋体" w:hAnsi="宋体" w:eastAsia="宋体" w:cs="宋体"/>
          <w:b/>
          <w:bCs/>
          <w:color w:val="auto"/>
          <w:sz w:val="24"/>
          <w:szCs w:val="24"/>
        </w:rPr>
        <w:t>.</w:t>
      </w:r>
      <w:r>
        <w:rPr>
          <w:rFonts w:hint="eastAsia" w:cs="宋体"/>
          <w:b/>
          <w:bCs/>
          <w:color w:val="auto"/>
          <w:sz w:val="24"/>
          <w:szCs w:val="24"/>
        </w:rPr>
        <w:t>响应文件的组成</w:t>
      </w:r>
    </w:p>
    <w:p>
      <w:pPr>
        <w:pStyle w:val="24"/>
        <w:spacing w:line="360" w:lineRule="auto"/>
        <w:ind w:firstLine="480" w:firstLineChars="200"/>
        <w:jc w:val="both"/>
        <w:rPr>
          <w:rFonts w:hint="eastAsia" w:ascii="宋体" w:hAnsi="宋体" w:eastAsia="宋体" w:cs="宋体"/>
          <w:b/>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.1</w:t>
      </w:r>
      <w:r>
        <w:rPr>
          <w:rFonts w:hint="eastAsia" w:hAnsi="宋体" w:cs="宋体"/>
          <w:color w:val="auto"/>
          <w:sz w:val="24"/>
        </w:rPr>
        <w:t>供应商应按照磋商文件的规定和要求编制响应文件。供应商拟在成交后将成交项目的非主体、非关键性工作交由他人完成的，应当在响应文件中载明</w:t>
      </w:r>
      <w:r>
        <w:rPr>
          <w:rFonts w:hint="eastAsia" w:ascii="宋体" w:hAnsi="宋体" w:eastAsia="宋体" w:cs="宋体"/>
          <w:b/>
          <w:color w:val="auto"/>
          <w:sz w:val="24"/>
          <w:szCs w:val="24"/>
        </w:rPr>
        <w:t>。</w:t>
      </w:r>
    </w:p>
    <w:p>
      <w:pPr>
        <w:pStyle w:val="24"/>
        <w:spacing w:line="360" w:lineRule="auto"/>
        <w:jc w:val="both"/>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3.2</w:t>
      </w:r>
      <w:r>
        <w:rPr>
          <w:rFonts w:hint="eastAsia" w:ascii="宋体" w:hAnsi="宋体" w:eastAsia="宋体" w:cs="宋体"/>
          <w:b/>
          <w:bCs/>
          <w:color w:val="auto"/>
          <w:sz w:val="24"/>
          <w:szCs w:val="24"/>
        </w:rPr>
        <w:t>.投标的语言及计量单位</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.1投标供应商的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以及投标供应商与招标代理机构就有关招标活动的所有来往函电均应使用中文。如果</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或与投标有关的其它文件、信件及来往函电以其它语言书写，投标供应商应将其译成中文。</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中所使用的计量单位除</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中有特殊规定外，一律使用法定计量单位。</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的格式</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附件及</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各章节提供了一部分用于编制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时必要的格式，投标供应商应按此格式编制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中未提供格式的部分由投标供应商自行编制。</w:t>
      </w:r>
    </w:p>
    <w:p>
      <w:pPr>
        <w:pStyle w:val="24"/>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lang w:val="en-US" w:eastAsia="zh-CN"/>
        </w:rPr>
        <w:t xml:space="preserve">.3 </w:t>
      </w:r>
      <w:r>
        <w:rPr>
          <w:rFonts w:hint="eastAsia" w:hAnsi="宋体" w:cs="宋体"/>
          <w:color w:val="auto"/>
          <w:sz w:val="24"/>
          <w:szCs w:val="24"/>
        </w:rPr>
        <w:t>供应商</w:t>
      </w:r>
      <w:r>
        <w:rPr>
          <w:rFonts w:hint="eastAsia" w:hAnsi="宋体" w:cs="宋体"/>
          <w:color w:val="auto"/>
          <w:sz w:val="24"/>
        </w:rPr>
        <w:t>应执行磋商文件第</w:t>
      </w:r>
      <w:r>
        <w:rPr>
          <w:rFonts w:hint="eastAsia" w:hAnsi="宋体" w:cs="宋体"/>
          <w:color w:val="auto"/>
          <w:sz w:val="24"/>
          <w:lang w:eastAsia="zh-CN"/>
        </w:rPr>
        <w:t>四</w:t>
      </w:r>
      <w:r>
        <w:rPr>
          <w:rFonts w:hint="eastAsia" w:hAnsi="宋体" w:cs="宋体"/>
          <w:color w:val="auto"/>
          <w:sz w:val="24"/>
        </w:rPr>
        <w:t>章的规定要求</w:t>
      </w:r>
      <w:r>
        <w:rPr>
          <w:rFonts w:hint="eastAsia" w:hAnsi="宋体" w:cs="宋体"/>
          <w:color w:val="auto"/>
          <w:sz w:val="24"/>
          <w:lang w:eastAsia="zh-CN"/>
        </w:rPr>
        <w:t>编制。</w:t>
      </w:r>
    </w:p>
    <w:p>
      <w:pPr>
        <w:pStyle w:val="24"/>
        <w:spacing w:line="360" w:lineRule="auto"/>
        <w:jc w:val="both"/>
        <w:rPr>
          <w:rFonts w:hint="eastAsia" w:ascii="Times New Roman" w:hAnsi="宋体" w:eastAsia="宋体" w:cs="宋体"/>
          <w:b/>
          <w:bCs/>
          <w:color w:val="auto"/>
          <w:sz w:val="24"/>
          <w:szCs w:val="24"/>
        </w:rPr>
      </w:pPr>
      <w:r>
        <w:rPr>
          <w:rFonts w:hint="eastAsia" w:hAnsi="宋体" w:cs="宋体"/>
          <w:b/>
          <w:bCs/>
          <w:color w:val="auto"/>
          <w:sz w:val="24"/>
          <w:szCs w:val="24"/>
          <w:lang w:val="en-US" w:eastAsia="zh-CN"/>
        </w:rPr>
        <w:t>3.4</w:t>
      </w:r>
      <w:r>
        <w:rPr>
          <w:rFonts w:hint="eastAsia" w:ascii="Times New Roman" w:hAnsi="宋体" w:eastAsia="宋体" w:cs="宋体"/>
          <w:b/>
          <w:bCs/>
          <w:color w:val="auto"/>
          <w:sz w:val="24"/>
          <w:szCs w:val="24"/>
        </w:rPr>
        <w:t>. 证明投标供应商合格和资格的文件。</w:t>
      </w:r>
    </w:p>
    <w:p>
      <w:pPr>
        <w:pStyle w:val="24"/>
        <w:spacing w:line="360" w:lineRule="auto"/>
        <w:ind w:firstLine="480" w:firstLineChars="200"/>
        <w:jc w:val="both"/>
        <w:rPr>
          <w:rFonts w:hint="eastAsia" w:ascii="Times New Roman" w:hAnsi="宋体" w:eastAsia="宋体" w:cs="宋体"/>
          <w:color w:val="auto"/>
          <w:sz w:val="24"/>
          <w:szCs w:val="24"/>
        </w:rPr>
      </w:pPr>
      <w:r>
        <w:rPr>
          <w:rFonts w:hint="eastAsia" w:hAnsi="宋体" w:cs="宋体"/>
          <w:color w:val="auto"/>
          <w:sz w:val="24"/>
          <w:szCs w:val="24"/>
          <w:lang w:val="en-US" w:eastAsia="zh-CN"/>
        </w:rPr>
        <w:t>3.4</w:t>
      </w:r>
      <w:r>
        <w:rPr>
          <w:rFonts w:hint="eastAsia" w:ascii="Times New Roman" w:hAnsi="宋体" w:eastAsia="宋体" w:cs="宋体"/>
          <w:color w:val="auto"/>
          <w:sz w:val="24"/>
          <w:szCs w:val="24"/>
        </w:rPr>
        <w:t>.1按照</w:t>
      </w:r>
      <w:r>
        <w:rPr>
          <w:rFonts w:hint="eastAsia" w:ascii="Times New Roman" w:hAnsi="宋体" w:eastAsia="宋体" w:cs="宋体"/>
          <w:color w:val="auto"/>
          <w:sz w:val="24"/>
          <w:szCs w:val="24"/>
          <w:lang w:eastAsia="zh-CN"/>
        </w:rPr>
        <w:t>投标须知前附表的</w:t>
      </w:r>
      <w:r>
        <w:rPr>
          <w:rFonts w:hint="eastAsia" w:ascii="Times New Roman" w:hAnsi="宋体" w:eastAsia="宋体" w:cs="宋体"/>
          <w:color w:val="auto"/>
          <w:sz w:val="24"/>
          <w:szCs w:val="24"/>
        </w:rPr>
        <w:t>规定，投标供应商应提交证明其有资格参加投标和有能力履行合同的文件，并作为其</w:t>
      </w:r>
      <w:r>
        <w:rPr>
          <w:rFonts w:hint="eastAsia" w:ascii="Times New Roman" w:hAnsi="宋体" w:eastAsia="宋体" w:cs="宋体"/>
          <w:color w:val="auto"/>
          <w:sz w:val="24"/>
          <w:szCs w:val="24"/>
          <w:lang w:eastAsia="zh-CN"/>
        </w:rPr>
        <w:t>响应文件</w:t>
      </w:r>
      <w:r>
        <w:rPr>
          <w:rFonts w:hint="eastAsia" w:ascii="Times New Roman" w:hAnsi="宋体" w:eastAsia="宋体" w:cs="宋体"/>
          <w:color w:val="auto"/>
          <w:sz w:val="24"/>
          <w:szCs w:val="24"/>
        </w:rPr>
        <w:t>的一部分。</w:t>
      </w:r>
    </w:p>
    <w:p>
      <w:pPr>
        <w:pStyle w:val="24"/>
        <w:spacing w:line="360" w:lineRule="auto"/>
        <w:ind w:firstLine="480" w:firstLineChars="200"/>
        <w:jc w:val="both"/>
        <w:rPr>
          <w:rFonts w:hint="eastAsia" w:ascii="Times New Roman" w:hAnsi="宋体" w:eastAsia="宋体" w:cs="宋体"/>
          <w:color w:val="auto"/>
          <w:sz w:val="24"/>
          <w:szCs w:val="24"/>
        </w:rPr>
      </w:pPr>
      <w:r>
        <w:rPr>
          <w:rFonts w:hint="eastAsia" w:hAnsi="宋体" w:cs="宋体"/>
          <w:color w:val="auto"/>
          <w:sz w:val="24"/>
          <w:szCs w:val="24"/>
          <w:lang w:val="en-US" w:eastAsia="zh-CN"/>
        </w:rPr>
        <w:t>3.4</w:t>
      </w:r>
      <w:r>
        <w:rPr>
          <w:rFonts w:hint="eastAsia" w:ascii="Times New Roman" w:hAnsi="宋体" w:eastAsia="宋体" w:cs="宋体"/>
          <w:color w:val="auto"/>
          <w:sz w:val="24"/>
          <w:szCs w:val="24"/>
        </w:rPr>
        <w:t>.2投标供应商应填写并提交</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所要求的资格证明类文件。</w:t>
      </w:r>
    </w:p>
    <w:p>
      <w:pPr>
        <w:pStyle w:val="24"/>
        <w:spacing w:line="360" w:lineRule="auto"/>
        <w:jc w:val="both"/>
        <w:rPr>
          <w:rFonts w:hint="eastAsia" w:ascii="Times New Roman" w:hAnsi="宋体" w:eastAsia="宋体" w:cs="宋体"/>
          <w:color w:val="auto"/>
          <w:sz w:val="24"/>
          <w:szCs w:val="24"/>
        </w:rPr>
      </w:pPr>
      <w:r>
        <w:rPr>
          <w:rFonts w:hint="eastAsia" w:hAnsi="宋体" w:cs="宋体"/>
          <w:b/>
          <w:bCs/>
          <w:color w:val="auto"/>
          <w:sz w:val="24"/>
          <w:szCs w:val="24"/>
          <w:lang w:val="en-US" w:eastAsia="zh-CN"/>
        </w:rPr>
        <w:t>3.5</w:t>
      </w:r>
      <w:r>
        <w:rPr>
          <w:rFonts w:hint="eastAsia" w:ascii="Times New Roman" w:hAnsi="宋体" w:eastAsia="宋体" w:cs="宋体"/>
          <w:b/>
          <w:bCs/>
          <w:color w:val="auto"/>
          <w:sz w:val="24"/>
          <w:szCs w:val="24"/>
        </w:rPr>
        <w:t>.符合</w:t>
      </w:r>
      <w:r>
        <w:rPr>
          <w:rFonts w:hint="eastAsia" w:ascii="Times New Roman" w:hAnsi="宋体" w:eastAsia="宋体" w:cs="宋体"/>
          <w:b/>
          <w:bCs/>
          <w:color w:val="auto"/>
          <w:sz w:val="24"/>
          <w:szCs w:val="24"/>
          <w:lang w:eastAsia="zh-CN"/>
        </w:rPr>
        <w:t>磋商文件</w:t>
      </w:r>
      <w:r>
        <w:rPr>
          <w:rFonts w:hint="eastAsia" w:ascii="Times New Roman" w:hAnsi="宋体" w:eastAsia="宋体" w:cs="宋体"/>
          <w:b/>
          <w:bCs/>
          <w:color w:val="auto"/>
          <w:sz w:val="24"/>
          <w:szCs w:val="24"/>
        </w:rPr>
        <w:t>规定的文件</w:t>
      </w:r>
    </w:p>
    <w:p>
      <w:pPr>
        <w:pStyle w:val="24"/>
        <w:spacing w:line="360" w:lineRule="auto"/>
        <w:ind w:firstLine="480" w:firstLineChars="200"/>
        <w:jc w:val="both"/>
        <w:rPr>
          <w:rFonts w:hint="eastAsia" w:ascii="Times New Roman"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.1投</w:t>
      </w:r>
      <w:r>
        <w:rPr>
          <w:rFonts w:hint="eastAsia" w:ascii="Times New Roman" w:hAnsi="宋体" w:eastAsia="宋体" w:cs="宋体"/>
          <w:color w:val="auto"/>
          <w:sz w:val="24"/>
          <w:szCs w:val="24"/>
        </w:rPr>
        <w:t>标供应商应逐条对</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要求的技术规格进行评审，指出自己提供的货物和服务是否对</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做出实质性的响应，并认真填写</w:t>
      </w:r>
      <w:r>
        <w:rPr>
          <w:rFonts w:hint="eastAsia" w:ascii="Times New Roman" w:hAnsi="宋体" w:eastAsia="宋体" w:cs="宋体"/>
          <w:color w:val="auto"/>
          <w:sz w:val="24"/>
          <w:szCs w:val="24"/>
          <w:lang w:eastAsia="zh-CN"/>
        </w:rPr>
        <w:t>磋商文件</w:t>
      </w:r>
      <w:r>
        <w:rPr>
          <w:rFonts w:hint="eastAsia" w:ascii="Times New Roman" w:hAnsi="宋体" w:eastAsia="宋体" w:cs="宋体"/>
          <w:color w:val="auto"/>
          <w:sz w:val="24"/>
          <w:szCs w:val="24"/>
        </w:rPr>
        <w:t>所附的“商务</w:t>
      </w:r>
      <w:r>
        <w:rPr>
          <w:rFonts w:hint="eastAsia" w:ascii="Times New Roman" w:hAnsi="宋体" w:eastAsia="宋体" w:cs="宋体"/>
          <w:color w:val="auto"/>
          <w:sz w:val="24"/>
          <w:szCs w:val="24"/>
          <w:lang w:eastAsia="zh-CN"/>
        </w:rPr>
        <w:t>技术</w:t>
      </w:r>
      <w:r>
        <w:rPr>
          <w:rFonts w:hint="eastAsia" w:ascii="Times New Roman" w:hAnsi="宋体" w:eastAsia="宋体" w:cs="宋体"/>
          <w:color w:val="auto"/>
          <w:sz w:val="24"/>
          <w:szCs w:val="24"/>
        </w:rPr>
        <w:t>条款偏离表”。</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.2证明</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rPr>
        <w:t>的合格性和符合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规定的文件应包括下列内容：</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.2.1执行的制造、验收标准；</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投标供应商认为有必要提供的其它证明文件。</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3.6</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的有效期</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3.6</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从实际开标之日起</w:t>
      </w:r>
      <w:r>
        <w:rPr>
          <w:rFonts w:hint="eastAsia" w:ascii="宋体" w:hAnsi="宋体" w:eastAsia="宋体" w:cs="宋体"/>
          <w:b/>
          <w:bCs/>
          <w:color w:val="auto"/>
          <w:sz w:val="24"/>
          <w:szCs w:val="24"/>
          <w:u w:val="single"/>
          <w:lang w:val="en-US" w:eastAsia="zh-CN"/>
        </w:rPr>
        <w:t>90</w:t>
      </w:r>
      <w:r>
        <w:rPr>
          <w:rFonts w:hint="eastAsia" w:ascii="宋体" w:hAnsi="宋体" w:eastAsia="宋体" w:cs="宋体"/>
          <w:b/>
          <w:bCs/>
          <w:color w:val="auto"/>
          <w:sz w:val="24"/>
          <w:szCs w:val="24"/>
          <w:u w:val="single"/>
        </w:rPr>
        <w:t>天</w:t>
      </w:r>
      <w:r>
        <w:rPr>
          <w:rFonts w:hint="eastAsia" w:ascii="宋体" w:hAnsi="宋体" w:eastAsia="宋体" w:cs="宋体"/>
          <w:color w:val="auto"/>
          <w:sz w:val="24"/>
          <w:szCs w:val="24"/>
        </w:rPr>
        <w:t>内有效。</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3.6</w:t>
      </w:r>
      <w:r>
        <w:rPr>
          <w:rFonts w:hint="eastAsia" w:ascii="宋体" w:hAnsi="宋体" w:eastAsia="宋体" w:cs="宋体"/>
          <w:color w:val="auto"/>
          <w:sz w:val="24"/>
          <w:szCs w:val="24"/>
        </w:rPr>
        <w:t>.2在特殊情况下, 在原投标有效期届满之前，招标代理机构可与投标单位协商延长</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的有效期，并经投标方确认。</w:t>
      </w:r>
    </w:p>
    <w:p>
      <w:pPr>
        <w:pStyle w:val="24"/>
        <w:spacing w:line="360" w:lineRule="auto"/>
        <w:jc w:val="both"/>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3.7</w:t>
      </w:r>
      <w:r>
        <w:rPr>
          <w:rFonts w:hint="eastAsia" w:ascii="宋体" w:hAnsi="宋体" w:eastAsia="宋体" w:cs="宋体"/>
          <w:b/>
          <w:bCs/>
          <w:color w:val="auto"/>
          <w:sz w:val="24"/>
          <w:szCs w:val="24"/>
          <w:lang w:val="en-US" w:eastAsia="zh-CN"/>
        </w:rPr>
        <w:t>.投标无效</w:t>
      </w:r>
    </w:p>
    <w:p>
      <w:pPr>
        <w:pStyle w:val="24"/>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宋体" w:hAnsi="宋体" w:cs="宋体"/>
          <w:color w:val="auto"/>
          <w:sz w:val="24"/>
          <w:szCs w:val="24"/>
          <w:lang w:val="en-US" w:eastAsia="zh-CN"/>
        </w:rPr>
        <w:t>3.7</w:t>
      </w:r>
      <w:r>
        <w:rPr>
          <w:rFonts w:hint="eastAsia" w:ascii="宋体" w:hAnsi="宋体" w:eastAsia="宋体" w:cs="宋体"/>
          <w:color w:val="auto"/>
          <w:sz w:val="24"/>
          <w:szCs w:val="24"/>
          <w:lang w:val="en-US" w:eastAsia="zh-CN"/>
        </w:rPr>
        <w:t>.1</w:t>
      </w:r>
      <w:r>
        <w:rPr>
          <w:rFonts w:hint="eastAsia" w:ascii="Times New Roman" w:hAnsi="Times New Roman" w:eastAsia="宋体" w:cs="Times New Roman"/>
          <w:color w:val="auto"/>
          <w:lang w:val="en-US" w:eastAsia="zh-CN"/>
        </w:rPr>
        <w:t>投标存在下列情况之一的,投标无效:</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(1)未按照</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的规定提交投标保证金的;</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未按</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要求签署、盖章的;</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(3)不具备</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中规定的资格要求的;</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(4)报价出现超过</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中最高限价规定的</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含有采购人不能接受的附加条件的;</w:t>
      </w:r>
    </w:p>
    <w:p>
      <w:pPr>
        <w:pStyle w:val="24"/>
        <w:spacing w:line="360" w:lineRule="auto"/>
        <w:ind w:left="0" w:leftChars="0" w:firstLine="660" w:firstLineChars="275"/>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(6)法律、法规和</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规定的其他无效情形;</w:t>
      </w:r>
    </w:p>
    <w:p>
      <w:pPr>
        <w:pStyle w:val="24"/>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3.7</w:t>
      </w:r>
      <w:r>
        <w:rPr>
          <w:rFonts w:hint="eastAsia" w:ascii="宋体" w:hAnsi="宋体" w:eastAsia="宋体" w:cs="宋体"/>
          <w:color w:val="auto"/>
          <w:sz w:val="24"/>
          <w:szCs w:val="24"/>
          <w:lang w:val="en-US" w:eastAsia="zh-CN"/>
        </w:rPr>
        <w:t>.2其他投标无效情形:</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(1)不符合</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关于进口产品规定的;</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(2)任何选择性报价(或多个方案)的投标;</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(3)任何保函价格调整要求的投标;</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(4)投标有效期不满足要求的投标;</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(5)评标委员会认为投标人报价明显低于其他通过符合性审查投标人的报价,有可能影响产品质量或者不能诚信履行的,投标人不能证明其报价合理性的;</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r>
        <w:rPr>
          <w:rFonts w:hint="eastAsia" w:ascii="Times New Roman" w:hAnsi="Times New Roman" w:eastAsia="宋体" w:cs="Times New Roman"/>
          <w:color w:val="auto"/>
          <w:lang w:val="en-US" w:eastAsia="zh-CN"/>
        </w:rPr>
        <w:t>响应文件</w:t>
      </w:r>
      <w:r>
        <w:rPr>
          <w:rFonts w:hint="default" w:ascii="Times New Roman" w:hAnsi="Times New Roman" w:eastAsia="宋体" w:cs="Times New Roman"/>
          <w:color w:val="auto"/>
          <w:lang w:val="en-US" w:eastAsia="zh-CN"/>
        </w:rPr>
        <w:t>报价出现前后不一致,投标人不确认修正后的报价的;</w:t>
      </w:r>
    </w:p>
    <w:p>
      <w:pPr>
        <w:pStyle w:val="24"/>
        <w:spacing w:line="360" w:lineRule="auto"/>
        <w:ind w:firstLine="720" w:firstLineChars="3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cs="Times New Roman"/>
          <w:color w:val="auto"/>
          <w:lang w:val="en-US" w:eastAsia="zh-CN"/>
        </w:rPr>
        <w:t>7</w:t>
      </w:r>
      <w:r>
        <w:rPr>
          <w:rFonts w:hint="default" w:ascii="Times New Roman" w:hAnsi="Times New Roman" w:eastAsia="宋体" w:cs="Times New Roman"/>
          <w:color w:val="auto"/>
          <w:lang w:val="en-US" w:eastAsia="zh-CN"/>
        </w:rPr>
        <w:t>)服务期限(或交货期)不满足</w:t>
      </w:r>
      <w:r>
        <w:rPr>
          <w:rFonts w:hint="eastAsia" w:ascii="Times New Roman" w:hAnsi="Times New Roman" w:eastAsia="宋体" w:cs="Times New Roman"/>
          <w:color w:val="auto"/>
          <w:lang w:val="en-US" w:eastAsia="zh-CN"/>
        </w:rPr>
        <w:t>磋商文件</w:t>
      </w:r>
      <w:r>
        <w:rPr>
          <w:rFonts w:hint="default" w:ascii="Times New Roman" w:hAnsi="Times New Roman" w:eastAsia="宋体" w:cs="Times New Roman"/>
          <w:color w:val="auto"/>
          <w:lang w:val="en-US" w:eastAsia="zh-CN"/>
        </w:rPr>
        <w:t>要求的;</w:t>
      </w:r>
    </w:p>
    <w:p>
      <w:pPr>
        <w:pStyle w:val="24"/>
        <w:spacing w:line="360" w:lineRule="auto"/>
        <w:jc w:val="both"/>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3.8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的要求、签署及</w:t>
      </w:r>
      <w:r>
        <w:rPr>
          <w:rFonts w:hint="eastAsia" w:ascii="宋体" w:hAnsi="宋体" w:cs="宋体"/>
          <w:b/>
          <w:bCs/>
          <w:color w:val="auto"/>
          <w:sz w:val="24"/>
          <w:szCs w:val="24"/>
          <w:lang w:eastAsia="zh-CN"/>
        </w:rPr>
        <w:t>形式</w:t>
      </w:r>
      <w:r>
        <w:rPr>
          <w:rFonts w:hint="eastAsia" w:ascii="宋体" w:hAnsi="宋体" w:eastAsia="宋体" w:cs="宋体"/>
          <w:b/>
          <w:bCs/>
          <w:color w:val="auto"/>
          <w:sz w:val="24"/>
          <w:szCs w:val="24"/>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.1</w:t>
      </w:r>
      <w:r>
        <w:rPr>
          <w:rFonts w:hint="eastAsia" w:hAnsi="宋体" w:cs="宋体"/>
          <w:bCs/>
          <w:color w:val="auto"/>
          <w:sz w:val="24"/>
        </w:rPr>
        <w:t>响应文件的书写应清楚工整，任何行间插字、涂改或增删，必须由供应商的法定代表人或其授权代表签字并盖供应商公章。</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未实质性响应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、字迹潦草、表达不清、未按要求填写或可能导致非唯一理解的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将被定为废标。</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应由投标供应商企业法人或法人授权代表在规定签章处逐一签署及加盖单位的公章。</w:t>
      </w:r>
    </w:p>
    <w:p>
      <w:pPr>
        <w:pStyle w:val="24"/>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hAnsi="宋体" w:cs="宋体"/>
          <w:bCs/>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r>
        <w:rPr>
          <w:rFonts w:hint="eastAsia" w:hAnsi="宋体" w:cs="宋体"/>
          <w:bCs/>
          <w:color w:val="auto"/>
          <w:sz w:val="24"/>
          <w:lang w:eastAsia="zh-CN"/>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hAnsi="宋体" w:cs="宋体"/>
          <w:bCs/>
          <w:color w:val="auto"/>
          <w:sz w:val="24"/>
          <w:highlight w:val="yellow"/>
        </w:rPr>
        <w:t>响应文件</w:t>
      </w:r>
      <w:r>
        <w:rPr>
          <w:rFonts w:hint="eastAsia" w:hAnsi="宋体" w:cs="宋体"/>
          <w:bCs/>
          <w:color w:val="auto"/>
          <w:sz w:val="24"/>
          <w:highlight w:val="yellow"/>
          <w:lang w:eastAsia="zh-CN"/>
        </w:rPr>
        <w:t>的形式</w:t>
      </w:r>
      <w:r>
        <w:rPr>
          <w:rFonts w:hint="eastAsia" w:ascii="宋体" w:hAnsi="宋体" w:eastAsia="宋体" w:cs="宋体"/>
          <w:color w:val="auto"/>
          <w:sz w:val="24"/>
          <w:szCs w:val="24"/>
          <w:highlight w:val="yellow"/>
        </w:rPr>
        <w:t>：</w:t>
      </w:r>
      <w:r>
        <w:rPr>
          <w:rFonts w:hint="eastAsia" w:ascii="宋体" w:hAnsi="宋体" w:eastAsia="宋体" w:cs="宋体"/>
          <w:b/>
          <w:color w:val="auto"/>
          <w:sz w:val="24"/>
          <w:szCs w:val="24"/>
          <w:highlight w:val="yellow"/>
          <w:lang w:eastAsia="zh-CN"/>
        </w:rPr>
        <w:t>响应文件</w:t>
      </w:r>
      <w:r>
        <w:rPr>
          <w:rFonts w:hint="eastAsia" w:ascii="宋体" w:hAnsi="宋体" w:eastAsia="宋体" w:cs="宋体"/>
          <w:b/>
          <w:color w:val="auto"/>
          <w:sz w:val="24"/>
          <w:szCs w:val="24"/>
          <w:highlight w:val="yellow"/>
        </w:rPr>
        <w:t>必须</w:t>
      </w:r>
      <w:r>
        <w:rPr>
          <w:rFonts w:hint="eastAsia" w:ascii="宋体" w:hAnsi="宋体" w:cs="宋体"/>
          <w:b/>
          <w:color w:val="auto"/>
          <w:sz w:val="24"/>
          <w:szCs w:val="24"/>
          <w:highlight w:val="yellow"/>
          <w:lang w:eastAsia="zh-CN"/>
        </w:rPr>
        <w:t>为</w:t>
      </w:r>
      <w:r>
        <w:rPr>
          <w:rFonts w:hint="eastAsia" w:ascii="宋体" w:hAnsi="宋体" w:eastAsia="宋体" w:cs="宋体"/>
          <w:b/>
          <w:color w:val="auto"/>
          <w:sz w:val="24"/>
          <w:szCs w:val="24"/>
          <w:highlight w:val="yellow"/>
        </w:rPr>
        <w:t>经加密的电子版文件</w:t>
      </w:r>
      <w:r>
        <w:rPr>
          <w:rFonts w:hint="eastAsia" w:ascii="宋体" w:hAnsi="宋体" w:cs="宋体"/>
          <w:b/>
          <w:color w:val="auto"/>
          <w:sz w:val="24"/>
          <w:szCs w:val="24"/>
          <w:highlight w:val="yellow"/>
          <w:lang w:eastAsia="zh-CN"/>
        </w:rPr>
        <w:t>并</w:t>
      </w:r>
      <w:r>
        <w:rPr>
          <w:rFonts w:hint="eastAsia" w:ascii="宋体" w:hAnsi="宋体" w:eastAsia="宋体" w:cs="宋体"/>
          <w:b/>
          <w:color w:val="auto"/>
          <w:sz w:val="24"/>
          <w:szCs w:val="24"/>
          <w:highlight w:val="yellow"/>
        </w:rPr>
        <w:t>在开标前上传至政采云客户端。</w:t>
      </w:r>
      <w:r>
        <w:rPr>
          <w:rFonts w:hint="eastAsia" w:ascii="宋体" w:hAnsi="宋体" w:eastAsia="宋体" w:cs="宋体"/>
          <w:color w:val="auto"/>
          <w:sz w:val="24"/>
          <w:szCs w:val="24"/>
        </w:rPr>
        <w:t xml:space="preserve"> </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highlight w:val="yellow"/>
          <w:lang w:val="en-US" w:eastAsia="zh-CN"/>
        </w:rPr>
        <w:t>3.8</w:t>
      </w:r>
      <w:r>
        <w:rPr>
          <w:rFonts w:hint="eastAsia" w:ascii="宋体" w:hAnsi="宋体" w:eastAsia="宋体" w:cs="宋体"/>
          <w:color w:val="auto"/>
          <w:sz w:val="24"/>
          <w:szCs w:val="24"/>
          <w:highlight w:val="yellow"/>
        </w:rPr>
        <w:t>.</w:t>
      </w:r>
      <w:r>
        <w:rPr>
          <w:rFonts w:hint="eastAsia" w:ascii="宋体" w:hAnsi="宋体" w:cs="宋体"/>
          <w:color w:val="auto"/>
          <w:sz w:val="24"/>
          <w:szCs w:val="24"/>
          <w:highlight w:val="yellow"/>
          <w:lang w:val="en-US" w:eastAsia="zh-CN"/>
        </w:rPr>
        <w:t>6</w:t>
      </w:r>
      <w:r>
        <w:rPr>
          <w:rFonts w:hint="eastAsia" w:ascii="宋体" w:hAnsi="宋体" w:eastAsia="宋体" w:cs="宋体"/>
          <w:color w:val="auto"/>
          <w:sz w:val="24"/>
          <w:szCs w:val="24"/>
          <w:highlight w:val="yellow"/>
        </w:rPr>
        <w:t xml:space="preserve"> 在磋商过程中，供应商按磋商文件规定和磋商小组要求提交的最后报价(或者重新提交的响应文件和最后报价)，供应商须登录政采云平台https://www.zcygov.cn/在线进行最终报价。否则，将导致响应文件无效。</w:t>
      </w:r>
    </w:p>
    <w:p>
      <w:pPr>
        <w:pStyle w:val="24"/>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投标供应商可根据</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要求具体需要自行编制</w:t>
      </w:r>
      <w:r>
        <w:rPr>
          <w:rFonts w:hint="eastAsia" w:ascii="宋体" w:hAnsi="宋体" w:cs="宋体"/>
          <w:color w:val="auto"/>
          <w:sz w:val="24"/>
          <w:szCs w:val="24"/>
          <w:lang w:eastAsia="zh-CN"/>
        </w:rPr>
        <w:t>。</w:t>
      </w:r>
    </w:p>
    <w:p>
      <w:pPr>
        <w:pStyle w:val="24"/>
        <w:spacing w:line="360" w:lineRule="auto"/>
        <w:ind w:firstLine="480" w:firstLineChars="200"/>
        <w:jc w:val="both"/>
        <w:rPr>
          <w:rFonts w:hint="eastAsia" w:hAnsi="宋体" w:eastAsia="宋体" w:cs="宋体"/>
          <w:bCs/>
          <w:color w:val="auto"/>
          <w:sz w:val="24"/>
          <w:lang w:eastAsia="zh-CN"/>
        </w:rPr>
      </w:pPr>
      <w:r>
        <w:rPr>
          <w:rFonts w:hint="eastAsia" w:ascii="宋体" w:hAnsi="宋体" w:cs="宋体"/>
          <w:color w:val="auto"/>
          <w:sz w:val="24"/>
          <w:szCs w:val="24"/>
          <w:lang w:val="en-US" w:eastAsia="zh-CN"/>
        </w:rPr>
        <w:t>3.8</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8</w:t>
      </w:r>
      <w:r>
        <w:rPr>
          <w:rFonts w:hint="eastAsia" w:hAnsi="宋体" w:cs="宋体"/>
          <w:bCs/>
          <w:color w:val="auto"/>
          <w:sz w:val="24"/>
        </w:rPr>
        <w:t>响应文件需要逐页编目编码</w:t>
      </w:r>
      <w:r>
        <w:rPr>
          <w:rFonts w:hint="eastAsia" w:hAnsi="宋体" w:cs="宋体"/>
          <w:bCs/>
          <w:color w:val="auto"/>
          <w:sz w:val="24"/>
          <w:lang w:eastAsia="zh-CN"/>
        </w:rPr>
        <w:t>。</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3.9</w:t>
      </w:r>
      <w:r>
        <w:rPr>
          <w:rFonts w:hint="eastAsia" w:ascii="宋体" w:hAnsi="宋体" w:eastAsia="宋体" w:cs="宋体"/>
          <w:b/>
          <w:bCs/>
          <w:color w:val="auto"/>
          <w:sz w:val="24"/>
          <w:szCs w:val="24"/>
        </w:rPr>
        <w:t>.投标保证金</w:t>
      </w:r>
    </w:p>
    <w:p>
      <w:pPr>
        <w:pStyle w:val="24"/>
        <w:spacing w:line="360" w:lineRule="auto"/>
        <w:ind w:firstLine="480" w:firstLineChars="200"/>
        <w:jc w:val="both"/>
        <w:rPr>
          <w:rFonts w:hint="default" w:ascii="宋体" w:hAnsi="宋体" w:eastAsia="宋体" w:cs="宋体"/>
          <w:b/>
          <w:color w:val="auto"/>
          <w:sz w:val="24"/>
          <w:szCs w:val="24"/>
          <w:highlight w:val="yellow"/>
          <w:lang w:val="en-US"/>
        </w:rPr>
      </w:pPr>
      <w:r>
        <w:rPr>
          <w:rFonts w:hint="eastAsia" w:ascii="宋体" w:hAnsi="宋体" w:cs="宋体"/>
          <w:b/>
          <w:color w:val="auto"/>
          <w:sz w:val="24"/>
          <w:szCs w:val="24"/>
          <w:lang w:val="en-US" w:eastAsia="zh-CN"/>
        </w:rPr>
        <w:t>3.9</w:t>
      </w:r>
      <w:r>
        <w:rPr>
          <w:rFonts w:hint="eastAsia" w:ascii="宋体" w:hAnsi="宋体" w:eastAsia="宋体" w:cs="宋体"/>
          <w:b/>
          <w:color w:val="auto"/>
          <w:sz w:val="24"/>
          <w:szCs w:val="24"/>
          <w:highlight w:val="yellow"/>
        </w:rPr>
        <w:t>.1投标保证金金额为：</w:t>
      </w:r>
      <w:r>
        <w:rPr>
          <w:rFonts w:hint="eastAsia" w:ascii="宋体" w:hAnsi="宋体" w:cs="宋体"/>
          <w:b/>
          <w:bCs/>
          <w:color w:val="auto"/>
          <w:sz w:val="24"/>
          <w:szCs w:val="24"/>
          <w:highlight w:val="yellow"/>
          <w:lang w:val="en-US" w:eastAsia="zh-CN"/>
        </w:rPr>
        <w:t>3900</w:t>
      </w:r>
      <w:r>
        <w:rPr>
          <w:rFonts w:hint="eastAsia" w:ascii="宋体" w:hAnsi="宋体" w:eastAsia="宋体" w:cs="宋体"/>
          <w:b/>
          <w:color w:val="auto"/>
          <w:sz w:val="24"/>
          <w:szCs w:val="24"/>
          <w:highlight w:val="yellow"/>
          <w:lang w:val="en-US" w:eastAsia="zh-CN"/>
        </w:rPr>
        <w:t>（大写：</w:t>
      </w:r>
      <w:r>
        <w:rPr>
          <w:rFonts w:hint="eastAsia" w:ascii="宋体" w:hAnsi="宋体" w:cs="宋体"/>
          <w:b/>
          <w:color w:val="auto"/>
          <w:sz w:val="24"/>
          <w:szCs w:val="24"/>
          <w:highlight w:val="yellow"/>
          <w:lang w:val="en-US" w:eastAsia="zh-CN"/>
        </w:rPr>
        <w:t>叁仟玖佰元整</w:t>
      </w:r>
      <w:r>
        <w:rPr>
          <w:rFonts w:hint="eastAsia" w:ascii="宋体" w:hAnsi="宋体" w:eastAsia="宋体" w:cs="宋体"/>
          <w:b/>
          <w:color w:val="auto"/>
          <w:sz w:val="24"/>
          <w:szCs w:val="24"/>
          <w:highlight w:val="yellow"/>
          <w:lang w:val="en-US" w:eastAsia="zh-CN"/>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.2投标保证金用于保护本次招标免受投标供应商的违规、违约行为而引起的风险。</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.3投标保证金用人民币</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.4投标保证金以</w:t>
      </w:r>
      <w:r>
        <w:rPr>
          <w:rFonts w:hint="eastAsia" w:ascii="宋体" w:hAnsi="宋体" w:eastAsia="宋体" w:cs="宋体"/>
          <w:color w:val="auto"/>
          <w:sz w:val="24"/>
          <w:szCs w:val="24"/>
          <w:lang w:val="en-US" w:eastAsia="zh-CN"/>
        </w:rPr>
        <w:t>电汇</w:t>
      </w:r>
      <w:r>
        <w:rPr>
          <w:rFonts w:hint="eastAsia" w:ascii="宋体" w:hAnsi="宋体" w:eastAsia="宋体" w:cs="宋体"/>
          <w:color w:val="auto"/>
          <w:sz w:val="24"/>
          <w:szCs w:val="24"/>
        </w:rPr>
        <w:t>形式提交。</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.5本次项目不接受联合体投标。</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.6未按时缴纳投标保证金的投标，将被拒绝。</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.7中标供应商的投标保证金，将在合同签订后的</w:t>
      </w:r>
      <w:r>
        <w:rPr>
          <w:rFonts w:hint="eastAsia" w:ascii="宋体" w:hAnsi="宋体" w:eastAsia="宋体" w:cs="宋体"/>
          <w:color w:val="auto"/>
          <w:sz w:val="24"/>
          <w:szCs w:val="24"/>
          <w:u w:val="single"/>
        </w:rPr>
        <w:t>5个工作日内</w:t>
      </w:r>
      <w:r>
        <w:rPr>
          <w:rFonts w:hint="eastAsia" w:ascii="宋体" w:hAnsi="宋体" w:eastAsia="宋体" w:cs="宋体"/>
          <w:color w:val="auto"/>
          <w:sz w:val="24"/>
          <w:szCs w:val="24"/>
        </w:rPr>
        <w:t>予以退还；未中标供应商的投标保证金在中标通知书发出后</w:t>
      </w:r>
      <w:r>
        <w:rPr>
          <w:rFonts w:hint="eastAsia" w:ascii="宋体" w:hAnsi="宋体" w:eastAsia="宋体" w:cs="宋体"/>
          <w:color w:val="auto"/>
          <w:sz w:val="24"/>
          <w:szCs w:val="24"/>
          <w:u w:val="single"/>
        </w:rPr>
        <w:t>5个工作日内</w:t>
      </w:r>
      <w:r>
        <w:rPr>
          <w:rFonts w:hint="eastAsia" w:ascii="宋体" w:hAnsi="宋体" w:eastAsia="宋体" w:cs="宋体"/>
          <w:color w:val="auto"/>
          <w:sz w:val="24"/>
          <w:szCs w:val="24"/>
        </w:rPr>
        <w:t>予以退还。</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.8发生以下情况投标保证金可能被没收：</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.8.1如果投标供应商在投标有效期内撤回投标；</w:t>
      </w:r>
    </w:p>
    <w:p>
      <w:pPr>
        <w:pStyle w:val="24"/>
        <w:spacing w:line="360" w:lineRule="auto"/>
        <w:ind w:firstLine="480" w:firstLineChars="200"/>
        <w:jc w:val="both"/>
        <w:rPr>
          <w:rFonts w:hint="eastAsia" w:ascii="宋体" w:hAnsi="宋体" w:cs="宋体"/>
          <w:color w:val="auto"/>
          <w:sz w:val="28"/>
        </w:rPr>
      </w:pPr>
      <w:r>
        <w:rPr>
          <w:rFonts w:hint="eastAsia" w:ascii="宋体" w:hAnsi="宋体" w:cs="宋体"/>
          <w:color w:val="auto"/>
          <w:sz w:val="24"/>
          <w:szCs w:val="24"/>
          <w:lang w:val="en-US" w:eastAsia="zh-CN"/>
        </w:rPr>
        <w:t>3.9</w:t>
      </w:r>
      <w:r>
        <w:rPr>
          <w:rFonts w:hint="eastAsia" w:ascii="宋体" w:hAnsi="宋体" w:eastAsia="宋体" w:cs="宋体"/>
          <w:color w:val="auto"/>
          <w:sz w:val="24"/>
          <w:szCs w:val="24"/>
        </w:rPr>
        <w:t>.8.2如果中标供应商放弃中标项目的，无正当理由不与采购人签订合同的，在签订合同时向采购人提出附加条件或者更改合同实质性内容的，或者拒不提交所要求的履约保证金的。</w:t>
      </w:r>
    </w:p>
    <w:p>
      <w:pPr>
        <w:pStyle w:val="24"/>
        <w:numPr>
          <w:ilvl w:val="0"/>
          <w:numId w:val="0"/>
        </w:numPr>
        <w:spacing w:line="360" w:lineRule="auto"/>
        <w:jc w:val="both"/>
        <w:outlineLvl w:val="1"/>
        <w:rPr>
          <w:rFonts w:hint="eastAsia" w:ascii="宋体" w:hAnsi="宋体" w:cs="宋体"/>
          <w:b/>
          <w:color w:val="auto"/>
          <w:sz w:val="40"/>
        </w:rPr>
      </w:pPr>
      <w:bookmarkStart w:id="35" w:name="_Toc23349"/>
      <w:bookmarkStart w:id="36" w:name="_Toc30150"/>
      <w:bookmarkStart w:id="37" w:name="_Toc20444"/>
      <w:bookmarkStart w:id="38" w:name="_Toc7393"/>
      <w:r>
        <w:rPr>
          <w:rFonts w:hint="eastAsia" w:ascii="宋体" w:hAnsi="宋体" w:cs="宋体"/>
          <w:b/>
          <w:color w:val="auto"/>
          <w:sz w:val="40"/>
          <w:lang w:val="en-US" w:eastAsia="zh-CN"/>
        </w:rPr>
        <w:t>4.</w:t>
      </w:r>
      <w:r>
        <w:rPr>
          <w:rFonts w:hint="eastAsia" w:ascii="宋体" w:hAnsi="宋体" w:cs="宋体"/>
          <w:b/>
          <w:color w:val="auto"/>
          <w:sz w:val="40"/>
          <w:lang w:eastAsia="zh-CN"/>
        </w:rPr>
        <w:t>响应文件</w:t>
      </w:r>
      <w:r>
        <w:rPr>
          <w:rFonts w:hint="eastAsia" w:ascii="宋体" w:hAnsi="宋体" w:cs="宋体"/>
          <w:b/>
          <w:color w:val="auto"/>
          <w:sz w:val="40"/>
        </w:rPr>
        <w:t>的递交</w:t>
      </w:r>
      <w:bookmarkEnd w:id="35"/>
      <w:bookmarkEnd w:id="36"/>
      <w:bookmarkEnd w:id="37"/>
      <w:bookmarkEnd w:id="38"/>
    </w:p>
    <w:p>
      <w:pPr>
        <w:pStyle w:val="24"/>
        <w:numPr>
          <w:ilvl w:val="0"/>
          <w:numId w:val="0"/>
        </w:numPr>
        <w:spacing w:line="360" w:lineRule="auto"/>
        <w:jc w:val="both"/>
        <w:outlineLvl w:val="1"/>
        <w:rPr>
          <w:rFonts w:hint="eastAsia" w:ascii="宋体" w:hAnsi="宋体" w:eastAsia="宋体" w:cs="宋体"/>
          <w:color w:val="auto"/>
          <w:sz w:val="24"/>
          <w:szCs w:val="24"/>
        </w:rPr>
      </w:pPr>
      <w:bookmarkStart w:id="39" w:name="_Toc7657"/>
      <w:bookmarkStart w:id="40" w:name="_Toc31780"/>
      <w:r>
        <w:rPr>
          <w:rFonts w:hint="eastAsia" w:ascii="宋体" w:hAnsi="宋体" w:cs="宋体"/>
          <w:b/>
          <w:bCs/>
          <w:color w:val="auto"/>
          <w:sz w:val="24"/>
          <w:szCs w:val="24"/>
          <w:lang w:val="en-US" w:eastAsia="zh-CN"/>
        </w:rPr>
        <w:t>4.1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的密封与标记</w:t>
      </w:r>
      <w:bookmarkEnd w:id="39"/>
      <w:bookmarkEnd w:id="40"/>
    </w:p>
    <w:p>
      <w:pPr>
        <w:pStyle w:val="24"/>
        <w:spacing w:line="360" w:lineRule="auto"/>
        <w:ind w:firstLine="480" w:firstLineChars="200"/>
        <w:jc w:val="both"/>
        <w:rPr>
          <w:rFonts w:hint="eastAsia" w:ascii="宋体" w:hAnsi="宋体" w:eastAsia="宋体" w:cs="宋体"/>
          <w:b/>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响应文件</w:t>
      </w:r>
      <w:r>
        <w:rPr>
          <w:rFonts w:hint="eastAsia" w:ascii="宋体" w:hAnsi="宋体" w:cs="宋体"/>
          <w:color w:val="auto"/>
          <w:sz w:val="24"/>
          <w:szCs w:val="24"/>
          <w:lang w:val="en-US" w:eastAsia="zh-CN"/>
        </w:rPr>
        <w:t>封面</w:t>
      </w:r>
      <w:r>
        <w:rPr>
          <w:rFonts w:hint="eastAsia" w:ascii="宋体" w:hAnsi="宋体" w:eastAsia="宋体" w:cs="宋体"/>
          <w:color w:val="auto"/>
          <w:sz w:val="24"/>
          <w:szCs w:val="24"/>
          <w:lang w:val="en-US" w:eastAsia="zh-CN"/>
        </w:rPr>
        <w:t>上,应写明：</w:t>
      </w:r>
    </w:p>
    <w:p>
      <w:pPr>
        <w:pStyle w:val="24"/>
        <w:spacing w:line="360" w:lineRule="auto"/>
        <w:ind w:firstLine="240" w:firstLineChars="1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⑴ 招标单位：</w:t>
      </w:r>
      <w:r>
        <w:rPr>
          <w:rFonts w:hint="eastAsia" w:ascii="宋体" w:hAnsi="宋体" w:eastAsia="宋体" w:cs="宋体"/>
          <w:color w:val="auto"/>
          <w:sz w:val="24"/>
          <w:szCs w:val="24"/>
          <w:u w:val="single"/>
        </w:rPr>
        <w:t xml:space="preserve">                  </w:t>
      </w:r>
    </w:p>
    <w:p>
      <w:pPr>
        <w:pStyle w:val="24"/>
        <w:spacing w:line="360" w:lineRule="auto"/>
        <w:ind w:firstLine="240" w:firstLineChars="100"/>
        <w:jc w:val="both"/>
        <w:rPr>
          <w:rFonts w:hint="eastAsia" w:ascii="宋体" w:hAnsi="宋体" w:eastAsia="宋体" w:cs="宋体"/>
          <w:color w:val="auto"/>
          <w:w w:val="80"/>
          <w:sz w:val="24"/>
          <w:szCs w:val="24"/>
          <w:u w:val="single"/>
        </w:rPr>
      </w:pPr>
      <w:r>
        <w:rPr>
          <w:rFonts w:hint="eastAsia" w:ascii="宋体" w:hAnsi="宋体" w:eastAsia="宋体" w:cs="宋体"/>
          <w:color w:val="auto"/>
          <w:sz w:val="24"/>
          <w:szCs w:val="24"/>
        </w:rPr>
        <w:t>⑵ 项目名称：</w:t>
      </w:r>
      <w:r>
        <w:rPr>
          <w:rFonts w:hint="eastAsia" w:ascii="宋体" w:hAnsi="宋体" w:eastAsia="宋体" w:cs="宋体"/>
          <w:color w:val="auto"/>
          <w:w w:val="80"/>
          <w:sz w:val="24"/>
          <w:szCs w:val="24"/>
          <w:u w:val="single"/>
        </w:rPr>
        <w:t xml:space="preserve">                       </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⑶ 招标编号： </w:t>
      </w:r>
    </w:p>
    <w:p>
      <w:pPr>
        <w:pStyle w:val="24"/>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⑷ </w:t>
      </w:r>
      <w:r>
        <w:rPr>
          <w:rFonts w:hint="eastAsia" w:ascii="宋体" w:hAnsi="宋体" w:eastAsia="宋体" w:cs="宋体"/>
          <w:color w:val="auto"/>
          <w:sz w:val="24"/>
          <w:szCs w:val="24"/>
        </w:rPr>
        <w:t>投标企业名称和地址。</w:t>
      </w:r>
    </w:p>
    <w:p>
      <w:pPr>
        <w:pStyle w:val="24"/>
        <w:spacing w:line="360" w:lineRule="auto"/>
        <w:ind w:firstLine="240" w:firstLineChars="100"/>
        <w:jc w:val="both"/>
        <w:rPr>
          <w:rFonts w:hint="eastAsia" w:ascii="宋体" w:hAnsi="宋体" w:eastAsia="宋体" w:cs="宋体"/>
          <w:color w:val="auto"/>
          <w:sz w:val="24"/>
          <w:szCs w:val="24"/>
          <w:highlight w:val="yellow"/>
        </w:rPr>
      </w:pPr>
      <w:bookmarkStart w:id="41" w:name="_Hlk128483386"/>
      <w:r>
        <w:rPr>
          <w:rFonts w:hint="eastAsia" w:ascii="宋体" w:hAnsi="宋体" w:cs="宋体"/>
          <w:color w:val="auto"/>
          <w:sz w:val="24"/>
          <w:szCs w:val="24"/>
          <w:highlight w:val="yellow"/>
          <w:lang w:val="en-US" w:eastAsia="zh-CN"/>
        </w:rPr>
        <w:t>4</w:t>
      </w:r>
      <w:r>
        <w:rPr>
          <w:rFonts w:hint="eastAsia" w:ascii="宋体" w:hAnsi="宋体" w:eastAsia="宋体" w:cs="宋体"/>
          <w:color w:val="auto"/>
          <w:sz w:val="24"/>
          <w:szCs w:val="24"/>
          <w:highlight w:val="yellow"/>
        </w:rPr>
        <w:t>.</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lang w:val="en-US" w:eastAsia="zh-CN"/>
        </w:rPr>
        <w:t>2</w:t>
      </w:r>
      <w:r>
        <w:rPr>
          <w:rFonts w:hint="eastAsia" w:ascii="宋体" w:hAnsi="宋体" w:eastAsia="宋体" w:cs="宋体"/>
          <w:color w:val="auto"/>
          <w:sz w:val="24"/>
          <w:szCs w:val="24"/>
          <w:highlight w:val="yellow"/>
        </w:rPr>
        <w:t>响应文件“电子版”应加密，在解密时间内，供应商登录政采云平台https://www.zcygov.cn/在线进行解密。</w:t>
      </w:r>
    </w:p>
    <w:p>
      <w:pPr>
        <w:pStyle w:val="24"/>
        <w:spacing w:line="360" w:lineRule="auto"/>
        <w:ind w:firstLine="240" w:firstLineChars="100"/>
        <w:jc w:val="both"/>
        <w:rPr>
          <w:rFonts w:hint="eastAsia" w:ascii="宋体" w:hAnsi="宋体" w:eastAsia="宋体" w:cs="宋体"/>
          <w:color w:val="auto"/>
          <w:sz w:val="24"/>
          <w:szCs w:val="24"/>
          <w:highlight w:val="yellow"/>
          <w:lang w:val="en-US" w:eastAsia="zh-CN"/>
        </w:rPr>
      </w:pPr>
      <w:r>
        <w:rPr>
          <w:rFonts w:hint="eastAsia" w:ascii="宋体" w:hAnsi="宋体"/>
          <w:szCs w:val="21"/>
          <w:highlight w:val="yellow"/>
          <w:lang w:val="en-US" w:eastAsia="zh-CN"/>
        </w:rPr>
        <w:t>4</w:t>
      </w:r>
      <w:r>
        <w:rPr>
          <w:rFonts w:ascii="宋体" w:hAnsi="宋体"/>
          <w:szCs w:val="21"/>
          <w:highlight w:val="yellow"/>
        </w:rPr>
        <w:t>.</w:t>
      </w:r>
      <w:r>
        <w:rPr>
          <w:rFonts w:hint="eastAsia" w:ascii="宋体" w:hAnsi="宋体"/>
          <w:szCs w:val="21"/>
          <w:highlight w:val="yellow"/>
          <w:lang w:val="en-US" w:eastAsia="zh-CN"/>
        </w:rPr>
        <w:t>1.3</w:t>
      </w:r>
      <w:r>
        <w:rPr>
          <w:rFonts w:hint="eastAsia" w:ascii="宋体" w:hAnsi="宋体"/>
          <w:szCs w:val="21"/>
          <w:highlight w:val="yellow"/>
        </w:rPr>
        <w:t>响应文件如果未按上述规定</w:t>
      </w:r>
      <w:r>
        <w:rPr>
          <w:rFonts w:hint="eastAsia" w:ascii="宋体" w:hAnsi="宋体"/>
          <w:b/>
          <w:bCs/>
          <w:szCs w:val="21"/>
          <w:highlight w:val="yellow"/>
        </w:rPr>
        <w:t>加密和解密</w:t>
      </w:r>
      <w:r>
        <w:rPr>
          <w:rFonts w:hint="eastAsia" w:ascii="宋体" w:hAnsi="宋体"/>
          <w:szCs w:val="21"/>
          <w:highlight w:val="yellow"/>
        </w:rPr>
        <w:t>，将导致代理机构无法接收响应文件</w:t>
      </w:r>
      <w:bookmarkEnd w:id="41"/>
      <w:r>
        <w:rPr>
          <w:rFonts w:hint="eastAsia" w:ascii="宋体" w:hAnsi="宋体" w:eastAsia="宋体" w:cs="宋体"/>
          <w:color w:val="auto"/>
          <w:sz w:val="24"/>
          <w:szCs w:val="24"/>
          <w:highlight w:val="yellow"/>
          <w:lang w:val="en-US" w:eastAsia="zh-CN"/>
        </w:rPr>
        <w:t>，招标代理机构不对其后果负责。</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4.2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递交的截止日期</w:t>
      </w:r>
    </w:p>
    <w:p>
      <w:pPr>
        <w:pStyle w:val="24"/>
        <w:spacing w:line="360" w:lineRule="auto"/>
        <w:jc w:val="both"/>
        <w:rPr>
          <w:rFonts w:hint="eastAsia" w:ascii="宋体" w:hAnsi="宋体" w:eastAsia="宋体" w:cs="宋体"/>
          <w:color w:val="auto"/>
          <w:sz w:val="24"/>
          <w:szCs w:val="24"/>
          <w:highlight w:val="yellow"/>
          <w:u w:val="single"/>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.1</w:t>
      </w:r>
      <w:r>
        <w:rPr>
          <w:rFonts w:hint="eastAsia" w:ascii="宋体" w:hAnsi="宋体" w:eastAsia="宋体" w:cs="宋体"/>
          <w:b/>
          <w:color w:val="auto"/>
          <w:sz w:val="24"/>
          <w:szCs w:val="24"/>
          <w:highlight w:val="yellow"/>
        </w:rPr>
        <w:t>投标供应商必须在</w:t>
      </w:r>
      <w:r>
        <w:rPr>
          <w:rFonts w:hint="eastAsia" w:ascii="宋体" w:hAnsi="宋体" w:eastAsia="宋体" w:cs="宋体"/>
          <w:b/>
          <w:color w:val="FF0000"/>
          <w:sz w:val="24"/>
          <w:szCs w:val="24"/>
          <w:highlight w:val="yellow"/>
          <w:lang w:val="en-US" w:eastAsia="zh-CN"/>
        </w:rPr>
        <w:t>202</w:t>
      </w:r>
      <w:r>
        <w:rPr>
          <w:rFonts w:hint="eastAsia" w:ascii="宋体" w:hAnsi="宋体" w:cs="宋体"/>
          <w:b/>
          <w:color w:val="FF0000"/>
          <w:sz w:val="24"/>
          <w:szCs w:val="24"/>
          <w:highlight w:val="yellow"/>
          <w:lang w:val="en-US" w:eastAsia="zh-CN"/>
        </w:rPr>
        <w:t>3</w:t>
      </w:r>
      <w:r>
        <w:rPr>
          <w:rFonts w:hint="eastAsia" w:ascii="宋体" w:hAnsi="宋体" w:eastAsia="宋体" w:cs="宋体"/>
          <w:b/>
          <w:color w:val="FF0000"/>
          <w:sz w:val="24"/>
          <w:szCs w:val="24"/>
          <w:highlight w:val="yellow"/>
        </w:rPr>
        <w:t>年</w:t>
      </w:r>
      <w:r>
        <w:rPr>
          <w:rFonts w:hint="eastAsia" w:ascii="宋体" w:hAnsi="宋体" w:cs="宋体"/>
          <w:b/>
          <w:color w:val="FF0000"/>
          <w:sz w:val="24"/>
          <w:szCs w:val="24"/>
          <w:highlight w:val="yellow"/>
          <w:lang w:val="en-US" w:eastAsia="zh-CN"/>
        </w:rPr>
        <w:t>06</w:t>
      </w:r>
      <w:r>
        <w:rPr>
          <w:rFonts w:hint="eastAsia" w:ascii="宋体" w:hAnsi="宋体" w:eastAsia="宋体" w:cs="宋体"/>
          <w:b/>
          <w:color w:val="FF0000"/>
          <w:sz w:val="24"/>
          <w:szCs w:val="24"/>
          <w:highlight w:val="yellow"/>
        </w:rPr>
        <w:t>月</w:t>
      </w:r>
      <w:r>
        <w:rPr>
          <w:rFonts w:hint="eastAsia" w:ascii="宋体" w:hAnsi="宋体" w:cs="宋体"/>
          <w:b/>
          <w:color w:val="FF0000"/>
          <w:sz w:val="24"/>
          <w:szCs w:val="24"/>
          <w:highlight w:val="yellow"/>
          <w:lang w:val="en-US" w:eastAsia="zh-CN"/>
        </w:rPr>
        <w:t>15</w:t>
      </w:r>
      <w:r>
        <w:rPr>
          <w:rFonts w:hint="eastAsia" w:ascii="宋体" w:hAnsi="宋体" w:eastAsia="宋体" w:cs="宋体"/>
          <w:b/>
          <w:color w:val="FF0000"/>
          <w:sz w:val="24"/>
          <w:szCs w:val="24"/>
          <w:highlight w:val="yellow"/>
        </w:rPr>
        <w:t>日</w:t>
      </w:r>
      <w:r>
        <w:rPr>
          <w:rFonts w:hint="eastAsia" w:ascii="宋体" w:hAnsi="宋体" w:cs="宋体"/>
          <w:b/>
          <w:color w:val="FF0000"/>
          <w:sz w:val="24"/>
          <w:szCs w:val="24"/>
          <w:highlight w:val="yellow"/>
          <w:lang w:val="en-US" w:eastAsia="zh-CN"/>
        </w:rPr>
        <w:t>上午</w:t>
      </w:r>
      <w:r>
        <w:rPr>
          <w:rFonts w:hint="eastAsia" w:ascii="宋体" w:hAnsi="宋体" w:eastAsia="宋体" w:cs="宋体"/>
          <w:b/>
          <w:color w:val="FF0000"/>
          <w:sz w:val="24"/>
          <w:szCs w:val="24"/>
          <w:highlight w:val="yellow"/>
          <w:lang w:val="en-US" w:eastAsia="zh-CN"/>
        </w:rPr>
        <w:t>1</w:t>
      </w:r>
      <w:r>
        <w:rPr>
          <w:rFonts w:hint="eastAsia" w:ascii="宋体" w:hAnsi="宋体" w:cs="宋体"/>
          <w:b/>
          <w:color w:val="FF0000"/>
          <w:sz w:val="24"/>
          <w:szCs w:val="24"/>
          <w:highlight w:val="yellow"/>
          <w:lang w:val="en-US" w:eastAsia="zh-CN"/>
        </w:rPr>
        <w:t>1</w:t>
      </w:r>
      <w:r>
        <w:rPr>
          <w:rFonts w:hint="eastAsia" w:ascii="宋体" w:hAnsi="宋体" w:eastAsia="宋体" w:cs="宋体"/>
          <w:b/>
          <w:color w:val="FF0000"/>
          <w:sz w:val="24"/>
          <w:szCs w:val="24"/>
          <w:highlight w:val="yellow"/>
        </w:rPr>
        <w:t>时</w:t>
      </w:r>
      <w:r>
        <w:rPr>
          <w:rFonts w:hint="eastAsia" w:ascii="宋体" w:hAnsi="宋体" w:cs="宋体"/>
          <w:b/>
          <w:color w:val="FF0000"/>
          <w:sz w:val="24"/>
          <w:szCs w:val="24"/>
          <w:highlight w:val="yellow"/>
          <w:lang w:val="en-US" w:eastAsia="zh-CN"/>
        </w:rPr>
        <w:t>0</w:t>
      </w:r>
      <w:r>
        <w:rPr>
          <w:rFonts w:hint="eastAsia" w:ascii="宋体" w:hAnsi="宋体" w:eastAsia="宋体" w:cs="宋体"/>
          <w:b/>
          <w:color w:val="FF0000"/>
          <w:sz w:val="24"/>
          <w:szCs w:val="24"/>
          <w:highlight w:val="yellow"/>
          <w:lang w:val="en-US" w:eastAsia="zh-CN"/>
        </w:rPr>
        <w:t>0分</w:t>
      </w:r>
      <w:r>
        <w:rPr>
          <w:rFonts w:hint="eastAsia" w:ascii="宋体" w:hAnsi="宋体" w:eastAsia="宋体" w:cs="宋体"/>
          <w:b/>
          <w:color w:val="FF0000"/>
          <w:sz w:val="24"/>
          <w:szCs w:val="24"/>
          <w:highlight w:val="yellow"/>
        </w:rPr>
        <w:t>（</w:t>
      </w:r>
      <w:r>
        <w:rPr>
          <w:rFonts w:hint="eastAsia" w:ascii="宋体" w:hAnsi="宋体" w:eastAsia="宋体" w:cs="宋体"/>
          <w:b/>
          <w:color w:val="auto"/>
          <w:sz w:val="24"/>
          <w:szCs w:val="24"/>
          <w:highlight w:val="yellow"/>
        </w:rPr>
        <w:t>北京时间）前将经加密的电子版文件上传至政采云平台https://www.zcygov.cn/对应位置（逾期未上传的或不符合规定的投标文件将被拒绝接收）</w:t>
      </w:r>
      <w:r>
        <w:rPr>
          <w:rFonts w:hint="eastAsia" w:ascii="宋体" w:hAnsi="宋体" w:eastAsia="宋体" w:cs="宋体"/>
          <w:color w:val="auto"/>
          <w:sz w:val="24"/>
          <w:szCs w:val="24"/>
          <w:highlight w:val="yellow"/>
        </w:rPr>
        <w:t>。</w:t>
      </w:r>
    </w:p>
    <w:p>
      <w:pPr>
        <w:pStyle w:val="24"/>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.2超过</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规定的投标截止时间送达的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将不予接受。</w:t>
      </w:r>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4.3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的修改和撤销</w:t>
      </w:r>
    </w:p>
    <w:p>
      <w:pPr>
        <w:pStyle w:val="26"/>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.1投标供应商对其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进行的修改或撤销应以书面形式并在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规定的投标截止时间前送达招标代理机构。</w:t>
      </w:r>
    </w:p>
    <w:p>
      <w:pPr>
        <w:pStyle w:val="26"/>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.2投标供应商对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的修改或撤销应按第18和19条规定进行准备、标注和递交。</w:t>
      </w:r>
    </w:p>
    <w:p>
      <w:pPr>
        <w:pStyle w:val="26"/>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.3投标截止时间后不得修改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26"/>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rPr>
        <w:t>.4投标供应商不得在投标截止时间起至</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有效期满前撤销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，否则其投标保证金将不予退还。</w:t>
      </w:r>
    </w:p>
    <w:p>
      <w:pPr>
        <w:spacing w:line="360" w:lineRule="auto"/>
        <w:ind w:firstLine="480" w:firstLineChars="200"/>
        <w:rPr>
          <w:rFonts w:hint="eastAsia" w:ascii="Calibri" w:hAnsi="Calibri" w:eastAsia="宋体" w:cs="Times New Roman"/>
          <w:b/>
          <w:bCs/>
          <w:color w:val="auto"/>
          <w:kern w:val="2"/>
          <w:sz w:val="24"/>
          <w:szCs w:val="24"/>
          <w:lang w:val="en-US" w:eastAsia="zh-CN" w:bidi="ar-SA"/>
        </w:rPr>
      </w:pPr>
      <w:r>
        <w:rPr>
          <w:rFonts w:hint="eastAsia" w:ascii="宋体" w:hAnsi="宋体" w:cs="宋体"/>
          <w:b w:val="0"/>
          <w:bCs w:val="0"/>
          <w:color w:val="auto"/>
          <w:sz w:val="24"/>
          <w:szCs w:val="24"/>
          <w:lang w:val="en-US" w:eastAsia="zh-CN"/>
        </w:rPr>
        <w:t>4.4</w:t>
      </w:r>
      <w:r>
        <w:rPr>
          <w:rFonts w:hint="eastAsia" w:ascii="宋体" w:hAnsi="宋体" w:eastAsia="宋体" w:cs="宋体"/>
          <w:b w:val="0"/>
          <w:bCs w:val="0"/>
          <w:color w:val="auto"/>
          <w:sz w:val="24"/>
          <w:szCs w:val="24"/>
          <w:lang w:val="en-US" w:eastAsia="zh-CN"/>
        </w:rPr>
        <w:t>.5</w:t>
      </w:r>
      <w:r>
        <w:rPr>
          <w:rFonts w:hint="eastAsia" w:ascii="Calibri" w:hAnsi="Calibri" w:eastAsia="宋体" w:cs="Times New Roman"/>
          <w:b/>
          <w:bCs/>
          <w:color w:val="auto"/>
          <w:kern w:val="2"/>
          <w:sz w:val="24"/>
          <w:szCs w:val="24"/>
          <w:lang w:val="en-US" w:eastAsia="zh-CN" w:bidi="ar-SA"/>
        </w:rPr>
        <w:t>投标报价</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4.4</w:t>
      </w:r>
      <w:r>
        <w:rPr>
          <w:rFonts w:hint="eastAsia" w:ascii="Calibri" w:hAnsi="Calibri" w:eastAsia="宋体" w:cs="Times New Roman"/>
          <w:color w:val="auto"/>
          <w:kern w:val="2"/>
          <w:sz w:val="24"/>
          <w:szCs w:val="24"/>
          <w:lang w:val="en-US" w:eastAsia="zh-CN" w:bidi="ar-SA"/>
        </w:rPr>
        <w:t>.5.1 投标报价应包括国家规定的增值税税金，除投标人须知前附表另有规定外，增值税税金按一般计税方法计算。投标人应按第五章“响应文件格式”的要求在投标函中进行报价并填写分项报价表。</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4.4</w:t>
      </w:r>
      <w:r>
        <w:rPr>
          <w:rFonts w:hint="eastAsia" w:ascii="Calibri" w:hAnsi="Calibri" w:eastAsia="宋体" w:cs="Times New Roman"/>
          <w:color w:val="auto"/>
          <w:kern w:val="2"/>
          <w:sz w:val="24"/>
          <w:szCs w:val="24"/>
          <w:lang w:val="en-US" w:eastAsia="zh-CN" w:bidi="ar-SA"/>
        </w:rPr>
        <w:t>.5.2 投标人应充分了解该项目的总体情况以及影响投标报价的其他要素。</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4.4</w:t>
      </w:r>
      <w:r>
        <w:rPr>
          <w:rFonts w:hint="eastAsia" w:ascii="Calibri" w:hAnsi="Calibri" w:eastAsia="宋体" w:cs="Times New Roman"/>
          <w:color w:val="auto"/>
          <w:kern w:val="2"/>
          <w:sz w:val="24"/>
          <w:szCs w:val="24"/>
          <w:lang w:val="en-US" w:eastAsia="zh-CN" w:bidi="ar-SA"/>
        </w:rPr>
        <w:t>.5.3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4.4</w:t>
      </w:r>
      <w:r>
        <w:rPr>
          <w:rFonts w:hint="eastAsia" w:ascii="Calibri" w:hAnsi="Calibri" w:eastAsia="宋体" w:cs="Times New Roman"/>
          <w:color w:val="auto"/>
          <w:kern w:val="2"/>
          <w:sz w:val="24"/>
          <w:szCs w:val="24"/>
          <w:lang w:val="en-US" w:eastAsia="zh-CN" w:bidi="ar-SA"/>
        </w:rPr>
        <w:t>.5.4 招标人设有最高投标限价的，投标人的投标报价不得超过最高投标限价，最高投标限价在投标人须知前附表中载明。</w:t>
      </w:r>
    </w:p>
    <w:p>
      <w:pPr>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4.4</w:t>
      </w:r>
      <w:r>
        <w:rPr>
          <w:rFonts w:hint="eastAsia" w:ascii="Calibri" w:hAnsi="Calibri" w:eastAsia="宋体" w:cs="Times New Roman"/>
          <w:color w:val="auto"/>
          <w:kern w:val="2"/>
          <w:sz w:val="24"/>
          <w:szCs w:val="24"/>
          <w:lang w:val="en-US" w:eastAsia="zh-CN" w:bidi="ar-SA"/>
        </w:rPr>
        <w:t>.5.5 投标报价的其他要求见投标人须知前附表。</w:t>
      </w:r>
      <w:bookmarkStart w:id="42" w:name="_Toc11715"/>
      <w:bookmarkStart w:id="43" w:name="_Toc29485"/>
    </w:p>
    <w:p>
      <w:pPr>
        <w:pStyle w:val="24"/>
        <w:spacing w:line="360" w:lineRule="auto"/>
        <w:jc w:val="both"/>
        <w:outlineLvl w:val="1"/>
        <w:rPr>
          <w:rFonts w:hint="eastAsia" w:ascii="宋体" w:hAnsi="宋体" w:cs="宋体"/>
          <w:b/>
          <w:color w:val="auto"/>
          <w:sz w:val="32"/>
        </w:rPr>
      </w:pPr>
      <w:bookmarkStart w:id="44" w:name="_Toc24707"/>
      <w:bookmarkStart w:id="45" w:name="_Toc4347"/>
      <w:r>
        <w:rPr>
          <w:rFonts w:hint="eastAsia" w:ascii="宋体" w:hAnsi="宋体" w:cs="宋体"/>
          <w:b/>
          <w:color w:val="auto"/>
          <w:sz w:val="40"/>
          <w:lang w:val="en-US" w:eastAsia="zh-CN"/>
        </w:rPr>
        <w:t>5、</w:t>
      </w:r>
      <w:r>
        <w:rPr>
          <w:rFonts w:hint="eastAsia" w:ascii="宋体" w:hAnsi="宋体" w:cs="宋体"/>
          <w:b/>
          <w:color w:val="auto"/>
          <w:sz w:val="40"/>
        </w:rPr>
        <w:t>开标</w:t>
      </w:r>
      <w:bookmarkEnd w:id="42"/>
      <w:bookmarkEnd w:id="43"/>
      <w:bookmarkEnd w:id="44"/>
      <w:bookmarkEnd w:id="45"/>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5.1</w:t>
      </w:r>
      <w:r>
        <w:rPr>
          <w:rFonts w:hint="eastAsia" w:ascii="宋体" w:hAnsi="宋体" w:eastAsia="宋体" w:cs="宋体"/>
          <w:b/>
          <w:bCs/>
          <w:color w:val="auto"/>
          <w:sz w:val="24"/>
          <w:szCs w:val="24"/>
        </w:rPr>
        <w:t>.开标</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bookmarkStart w:id="46" w:name="_Toc17802"/>
      <w:bookmarkStart w:id="47" w:name="_Toc19020"/>
      <w:bookmarkStart w:id="48" w:name="_Toc13260"/>
      <w:bookmarkStart w:id="49" w:name="_Toc9603"/>
      <w:bookmarkStart w:id="50" w:name="_Toc11706"/>
      <w:bookmarkStart w:id="51" w:name="_Toc18941"/>
      <w:bookmarkStart w:id="52" w:name="_Toc12540"/>
      <w:bookmarkStart w:id="53" w:name="_Toc28964"/>
      <w:bookmarkStart w:id="54" w:name="_Toc8044"/>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.1 采购人在本供应商须知前附表第13项规定的时间和地点组织磋商会议。</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.2 本次采用网上评标系统，供应商在线参加磋商（无需到开标现场）。磋商前供应商完成设备测试，保证摄像头及麦克风正常使用。自磋商时间起至评审结束，供应商须登录新疆政府采购网政采云平台并保持网络畅通，随时答复磋商小组的疑问。若供应商未在规定时间内答复的，由此产生的后果将由供应商自行承担。</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.3 供应商登录政采云平台，在磋商时间后30 分钟内用“项目采购-开标评标”功能进行解密电子版响应文件。若供应商在规定时间内未按时解密的，视为无效响应。解密与加密电子版响应文件须使用同一个CA。</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.4 磋商会议由采购代理机构组织并主持。</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.5 在磋商过程中，工作人员如发现响应文件组成部分不齐全，由磋商小组认定其有效性。磋商小组认定的无效响应文件将不进入磋商、评审阶段。</w:t>
      </w:r>
    </w:p>
    <w:p>
      <w:pPr>
        <w:pStyle w:val="24"/>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5.1</w:t>
      </w:r>
      <w:r>
        <w:rPr>
          <w:rFonts w:hint="eastAsia" w:ascii="宋体" w:hAnsi="宋体" w:eastAsia="宋体" w:cs="宋体"/>
          <w:color w:val="auto"/>
          <w:sz w:val="24"/>
          <w:szCs w:val="24"/>
          <w:highlight w:val="none"/>
          <w:lang w:val="en-US" w:eastAsia="zh-CN" w:bidi="ar-SA"/>
        </w:rPr>
        <w:t>.6开标异议</w:t>
      </w:r>
      <w:bookmarkEnd w:id="46"/>
      <w:bookmarkEnd w:id="47"/>
      <w:bookmarkEnd w:id="48"/>
      <w:bookmarkEnd w:id="49"/>
      <w:bookmarkEnd w:id="50"/>
    </w:p>
    <w:p>
      <w:pPr>
        <w:pStyle w:val="24"/>
        <w:spacing w:line="360" w:lineRule="auto"/>
        <w:jc w:val="left"/>
        <w:outlineLvl w:val="1"/>
        <w:rPr>
          <w:rFonts w:hint="eastAsia" w:ascii="宋体" w:hAnsi="宋体" w:cs="宋体"/>
          <w:b/>
          <w:color w:val="auto"/>
          <w:sz w:val="40"/>
          <w:highlight w:val="none"/>
        </w:rPr>
      </w:pPr>
      <w:bookmarkStart w:id="55" w:name="_Toc28296"/>
      <w:bookmarkStart w:id="56" w:name="_Toc20137"/>
      <w:bookmarkStart w:id="57" w:name="_Toc27660"/>
      <w:bookmarkStart w:id="58" w:name="_Toc17655"/>
      <w:bookmarkStart w:id="59" w:name="_Toc27587"/>
      <w:r>
        <w:rPr>
          <w:rFonts w:hint="eastAsia" w:ascii="宋体" w:hAnsi="宋体" w:eastAsia="宋体" w:cs="宋体"/>
          <w:color w:val="auto"/>
          <w:sz w:val="24"/>
          <w:szCs w:val="24"/>
          <w:highlight w:val="none"/>
          <w:lang w:val="en-US" w:eastAsia="zh-CN" w:bidi="ar-SA"/>
        </w:rPr>
        <w:t>投标人对开标有异议的，应当在开标现场提出，招标人当场作出答复，并制作记录。</w:t>
      </w:r>
      <w:bookmarkEnd w:id="55"/>
      <w:bookmarkEnd w:id="56"/>
      <w:bookmarkEnd w:id="57"/>
      <w:bookmarkEnd w:id="58"/>
      <w:bookmarkEnd w:id="59"/>
    </w:p>
    <w:p>
      <w:pPr>
        <w:pStyle w:val="24"/>
        <w:spacing w:line="360" w:lineRule="auto"/>
        <w:jc w:val="both"/>
        <w:outlineLvl w:val="1"/>
        <w:rPr>
          <w:rFonts w:hint="eastAsia" w:ascii="宋体" w:hAnsi="宋体" w:cs="宋体"/>
          <w:b/>
          <w:color w:val="auto"/>
          <w:sz w:val="40"/>
        </w:rPr>
      </w:pPr>
      <w:r>
        <w:rPr>
          <w:rFonts w:hint="eastAsia" w:ascii="宋体" w:hAnsi="宋体" w:cs="宋体"/>
          <w:b/>
          <w:color w:val="auto"/>
          <w:sz w:val="40"/>
          <w:lang w:val="en-US" w:eastAsia="zh-CN"/>
        </w:rPr>
        <w:t>6、</w:t>
      </w:r>
      <w:r>
        <w:rPr>
          <w:rFonts w:hint="eastAsia" w:ascii="宋体" w:hAnsi="宋体" w:cs="宋体"/>
          <w:b/>
          <w:color w:val="auto"/>
          <w:sz w:val="40"/>
        </w:rPr>
        <w:t>评标、定标</w:t>
      </w:r>
      <w:bookmarkEnd w:id="51"/>
      <w:bookmarkEnd w:id="52"/>
      <w:bookmarkEnd w:id="53"/>
      <w:bookmarkEnd w:id="54"/>
    </w:p>
    <w:p>
      <w:pPr>
        <w:pStyle w:val="24"/>
        <w:spacing w:line="360" w:lineRule="auto"/>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6.1.</w:t>
      </w:r>
      <w:r>
        <w:rPr>
          <w:rFonts w:hint="eastAsia" w:ascii="宋体" w:hAnsi="宋体" w:eastAsia="宋体" w:cs="宋体"/>
          <w:b/>
          <w:bCs/>
          <w:color w:val="auto"/>
          <w:sz w:val="24"/>
          <w:szCs w:val="24"/>
        </w:rPr>
        <w:t>评标</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 评标委员会</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.1.1评标委员会由采购人代表和有关技术、经济等方面的专家组成，成员人数应当为三人或三人以上单数。</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.1.2招标采购单位就</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征询过意见的专家，不得再作为评标专家参加评标。采购人不得以专家身份参与本部门或者本单位采购项目的评标。采购代理机构工作人员不得参加由本机构代理的政府采购项目的评标。</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.1.3评标人员应认真执行《中华人民共和国政府采购法》及相关法规规定，同时维护采购人和投标供应商的合法权益</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.1.4评标的依据为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响应文件</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评标中各评委若发生意见分歧，通过书面表决形式，以少数服从多数为原则决定。</w:t>
      </w:r>
    </w:p>
    <w:p>
      <w:pPr>
        <w:pStyle w:val="24"/>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.2评标纪律</w:t>
      </w:r>
    </w:p>
    <w:p>
      <w:pPr>
        <w:pStyle w:val="2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（一）不徇私情，不得明招暗定，杜绝不正之风。</w:t>
      </w:r>
    </w:p>
    <w:p>
      <w:pPr>
        <w:pStyle w:val="24"/>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（二）评标人员不得私自泄露评标内容。</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360" w:lineRule="auto"/>
        <w:ind w:firstLine="538"/>
        <w:rPr>
          <w:rFonts w:hint="eastAsia" w:ascii="宋体" w:hAnsi="宋体" w:eastAsia="宋体" w:cs="宋体"/>
          <w:color w:val="auto"/>
          <w:sz w:val="24"/>
          <w:szCs w:val="24"/>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rPr>
        <w:t>.3评标委员会成员应当履行的义务</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（一）遵纪守法，客观、公正、廉洁地履行职责；</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（二）按照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规定的评标方法和评标标准进行评标，对评审意见承担个人责任；</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（三）对评标过程和结果，以及供应商的商业秘密保密；</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（四）参与评标报告的起草；</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（五）配合财政部门的投诉处理工作；</w:t>
      </w:r>
    </w:p>
    <w:p>
      <w:pPr>
        <w:spacing w:line="360" w:lineRule="auto"/>
        <w:ind w:firstLine="538"/>
        <w:rPr>
          <w:rFonts w:hint="eastAsia" w:ascii="宋体" w:hAnsi="宋体" w:eastAsia="宋体" w:cs="宋体"/>
          <w:color w:val="auto"/>
          <w:sz w:val="24"/>
          <w:szCs w:val="24"/>
        </w:rPr>
      </w:pPr>
      <w:r>
        <w:rPr>
          <w:rFonts w:hint="eastAsia" w:ascii="宋体" w:hAnsi="宋体" w:eastAsia="宋体" w:cs="宋体"/>
          <w:color w:val="auto"/>
          <w:sz w:val="24"/>
          <w:szCs w:val="24"/>
        </w:rPr>
        <w:t>（六）配合招标采购单位答复投标供应商提出的质疑。</w:t>
      </w:r>
    </w:p>
    <w:p>
      <w:pPr>
        <w:spacing w:line="360" w:lineRule="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6.2.</w:t>
      </w:r>
      <w:r>
        <w:rPr>
          <w:rFonts w:hint="eastAsia" w:ascii="宋体" w:hAnsi="宋体" w:eastAsia="宋体" w:cs="宋体"/>
          <w:b/>
          <w:bCs/>
          <w:color w:val="auto"/>
          <w:sz w:val="24"/>
          <w:szCs w:val="24"/>
        </w:rPr>
        <w:t>评标原则</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6.2</w:t>
      </w:r>
      <w:r>
        <w:rPr>
          <w:rFonts w:hint="eastAsia" w:ascii="宋体" w:hAnsi="宋体" w:eastAsia="宋体" w:cs="宋体"/>
          <w:color w:val="auto"/>
          <w:sz w:val="24"/>
          <w:szCs w:val="24"/>
        </w:rPr>
        <w:t>.1 评标活动遵循公平、公正、科学和择优的原则。</w:t>
      </w:r>
    </w:p>
    <w:p>
      <w:pPr>
        <w:pStyle w:val="24"/>
        <w:spacing w:line="360" w:lineRule="auto"/>
        <w:jc w:val="both"/>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6.3.</w:t>
      </w:r>
      <w:r>
        <w:rPr>
          <w:rFonts w:hint="eastAsia" w:ascii="宋体" w:hAnsi="宋体" w:eastAsia="宋体" w:cs="宋体"/>
          <w:b/>
          <w:bCs/>
          <w:color w:val="auto"/>
          <w:sz w:val="24"/>
          <w:szCs w:val="24"/>
        </w:rPr>
        <w:t>评标方法</w:t>
      </w:r>
    </w:p>
    <w:p>
      <w:pPr>
        <w:pStyle w:val="26"/>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.1 开标后评标委员会将审查</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是否完整、要求的保证金是否已提供、文件是否恰当签署、是否有计算错误,若投标供应商拒绝接受修正，其投标将可能被拒绝。</w:t>
      </w:r>
    </w:p>
    <w:p>
      <w:pPr>
        <w:pStyle w:val="26"/>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 xml:space="preserve">.2 </w:t>
      </w:r>
      <w:r>
        <w:rPr>
          <w:rFonts w:hint="eastAsia" w:ascii="宋体" w:hAnsi="宋体" w:eastAsia="宋体" w:cs="宋体"/>
          <w:color w:val="auto"/>
          <w:spacing w:val="-2"/>
          <w:sz w:val="24"/>
          <w:szCs w:val="24"/>
        </w:rPr>
        <w:t>在对</w:t>
      </w:r>
      <w:r>
        <w:rPr>
          <w:rFonts w:hint="eastAsia" w:ascii="宋体" w:hAnsi="宋体" w:eastAsia="宋体" w:cs="宋体"/>
          <w:color w:val="auto"/>
          <w:spacing w:val="-2"/>
          <w:sz w:val="24"/>
          <w:szCs w:val="24"/>
          <w:lang w:eastAsia="zh-CN"/>
        </w:rPr>
        <w:t>响应文件</w:t>
      </w:r>
      <w:r>
        <w:rPr>
          <w:rFonts w:hint="eastAsia" w:ascii="宋体" w:hAnsi="宋体" w:eastAsia="宋体" w:cs="宋体"/>
          <w:color w:val="auto"/>
          <w:spacing w:val="-2"/>
          <w:sz w:val="24"/>
          <w:szCs w:val="24"/>
        </w:rPr>
        <w:t>进行详细评估之前，评标委员会将审查每一份</w:t>
      </w:r>
      <w:r>
        <w:rPr>
          <w:rFonts w:hint="eastAsia" w:ascii="宋体" w:hAnsi="宋体" w:eastAsia="宋体" w:cs="宋体"/>
          <w:color w:val="auto"/>
          <w:spacing w:val="-2"/>
          <w:sz w:val="24"/>
          <w:szCs w:val="24"/>
          <w:lang w:eastAsia="zh-CN"/>
        </w:rPr>
        <w:t>响应文件</w:t>
      </w:r>
      <w:r>
        <w:rPr>
          <w:rFonts w:hint="eastAsia" w:ascii="宋体" w:hAnsi="宋体" w:eastAsia="宋体" w:cs="宋体"/>
          <w:color w:val="auto"/>
          <w:spacing w:val="-2"/>
          <w:sz w:val="24"/>
          <w:szCs w:val="24"/>
        </w:rPr>
        <w:t>是否对</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的要求做出了实质性的响应。实质性响应的投标应该是与</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的全部条款、条件和规格相符，而没有重大偏离。重大偏离系指影响到合同所有条款的供货范围、</w:t>
      </w:r>
      <w:r>
        <w:rPr>
          <w:rFonts w:hint="eastAsia" w:ascii="宋体" w:hAnsi="宋体" w:eastAsia="宋体" w:cs="宋体"/>
          <w:color w:val="auto"/>
          <w:sz w:val="24"/>
          <w:szCs w:val="24"/>
        </w:rPr>
        <w:t>名称、种类、规格、数量、运送时间、送达地点、</w:t>
      </w:r>
      <w:r>
        <w:rPr>
          <w:rFonts w:hint="eastAsia" w:ascii="宋体" w:hAnsi="宋体" w:eastAsia="宋体" w:cs="宋体"/>
          <w:color w:val="auto"/>
          <w:spacing w:val="-2"/>
          <w:sz w:val="24"/>
          <w:szCs w:val="24"/>
        </w:rPr>
        <w:t>和规格或在实质上与</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不一致，而且限制了买方的权力和投标供应商的义务。而纠正或承认这些偏离将会对该投标供应商和其它投标供应商合理的竞争地位产生不公正的影响</w:t>
      </w:r>
      <w:r>
        <w:rPr>
          <w:rFonts w:hint="eastAsia" w:ascii="宋体" w:hAnsi="宋体" w:eastAsia="宋体" w:cs="宋体"/>
          <w:color w:val="auto"/>
          <w:sz w:val="24"/>
          <w:szCs w:val="24"/>
        </w:rPr>
        <w:t>。</w:t>
      </w:r>
    </w:p>
    <w:p>
      <w:pPr>
        <w:pStyle w:val="26"/>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.3 评标委员会判断</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的响应性仅基于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本身而不寻求外部证据。</w:t>
      </w:r>
    </w:p>
    <w:p>
      <w:pPr>
        <w:pStyle w:val="26"/>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.4 对已被评标委员会确定为非响应性的投标，投标供应商不能通过修正或撤销不符之处而使其投标成为响应性投标。</w:t>
      </w:r>
    </w:p>
    <w:p>
      <w:pPr>
        <w:pStyle w:val="24"/>
        <w:spacing w:line="360" w:lineRule="auto"/>
        <w:ind w:firstLine="567"/>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6.3</w:t>
      </w:r>
      <w:r>
        <w:rPr>
          <w:rFonts w:hint="eastAsia" w:ascii="宋体" w:hAnsi="宋体" w:eastAsia="宋体" w:cs="宋体"/>
          <w:color w:val="auto"/>
          <w:sz w:val="24"/>
          <w:szCs w:val="24"/>
        </w:rPr>
        <w:t>.5 评标委员会允许投标中有微小的不正规、不一致或不规则，而该微小之处不构成重大偏离。</w:t>
      </w:r>
    </w:p>
    <w:p>
      <w:pPr>
        <w:pStyle w:val="24"/>
        <w:spacing w:line="360" w:lineRule="auto"/>
        <w:ind w:firstLine="567"/>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6.3</w:t>
      </w:r>
      <w:r>
        <w:rPr>
          <w:rFonts w:hint="eastAsia" w:ascii="宋体" w:hAnsi="宋体" w:eastAsia="宋体" w:cs="宋体"/>
          <w:b/>
          <w:color w:val="auto"/>
          <w:sz w:val="24"/>
          <w:szCs w:val="24"/>
        </w:rPr>
        <w:t>.6 本项目将采用：综合评分法</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综合评分法。评标委员会将采用综合评分法对</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所载明的供应商的投标报价、企业资质、配送</w:t>
      </w:r>
      <w:r>
        <w:rPr>
          <w:rFonts w:hint="eastAsia" w:ascii="宋体" w:hAnsi="宋体" w:eastAsia="宋体" w:cs="宋体"/>
          <w:color w:val="auto"/>
          <w:sz w:val="24"/>
          <w:szCs w:val="24"/>
        </w:rPr>
        <w:t>规格、数量、运送时间、</w:t>
      </w:r>
      <w:r>
        <w:rPr>
          <w:rFonts w:hint="eastAsia" w:ascii="宋体" w:hAnsi="宋体" w:eastAsia="宋体" w:cs="宋体"/>
          <w:color w:val="auto"/>
          <w:kern w:val="0"/>
          <w:sz w:val="24"/>
          <w:szCs w:val="24"/>
        </w:rPr>
        <w:t>质量保证、付款方式、交货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auto"/>
          <w:kern w:val="0"/>
          <w:sz w:val="24"/>
          <w:szCs w:val="24"/>
          <w:lang w:val="en-US" w:eastAsia="zh-CN"/>
        </w:rPr>
        <w:t>商务</w:t>
      </w:r>
      <w:r>
        <w:rPr>
          <w:rFonts w:hint="eastAsia" w:ascii="宋体" w:hAnsi="宋体" w:eastAsia="宋体" w:cs="宋体"/>
          <w:color w:val="auto"/>
          <w:kern w:val="0"/>
          <w:sz w:val="24"/>
          <w:szCs w:val="24"/>
        </w:rPr>
        <w:t>技术标占</w:t>
      </w:r>
      <w:r>
        <w:rPr>
          <w:rFonts w:hint="eastAsia" w:ascii="宋体" w:hAnsi="宋体" w:cs="宋体"/>
          <w:color w:val="auto"/>
          <w:kern w:val="0"/>
          <w:sz w:val="24"/>
          <w:szCs w:val="24"/>
          <w:lang w:val="en-US" w:eastAsia="zh-CN"/>
        </w:rPr>
        <w:t>60</w:t>
      </w:r>
      <w:r>
        <w:rPr>
          <w:rFonts w:hint="eastAsia" w:ascii="宋体" w:hAnsi="宋体" w:eastAsia="宋体" w:cs="宋体"/>
          <w:color w:val="auto"/>
          <w:kern w:val="0"/>
          <w:sz w:val="24"/>
          <w:szCs w:val="24"/>
        </w:rPr>
        <w:t>%、经济标占</w:t>
      </w:r>
      <w:r>
        <w:rPr>
          <w:rFonts w:hint="eastAsia" w:ascii="宋体" w:hAnsi="宋体" w:cs="宋体"/>
          <w:color w:val="auto"/>
          <w:kern w:val="0"/>
          <w:sz w:val="24"/>
          <w:szCs w:val="24"/>
          <w:lang w:val="en-US" w:eastAsia="zh-CN"/>
        </w:rPr>
        <w:t>40</w:t>
      </w:r>
      <w:r>
        <w:rPr>
          <w:rFonts w:hint="eastAsia" w:ascii="宋体" w:hAnsi="宋体" w:eastAsia="宋体" w:cs="宋体"/>
          <w:color w:val="auto"/>
          <w:kern w:val="0"/>
          <w:sz w:val="24"/>
          <w:szCs w:val="24"/>
        </w:rPr>
        <w:t>%。投标单位最终得分=技术标得分+经济标得分，具体评分标准如下：</w:t>
      </w:r>
    </w:p>
    <w:p>
      <w:pPr>
        <w:spacing w:line="360" w:lineRule="auto"/>
        <w:jc w:val="center"/>
        <w:outlineLvl w:val="0"/>
        <w:rPr>
          <w:rFonts w:hint="eastAsia" w:ascii="宋体" w:hAnsi="宋体" w:eastAsia="宋体" w:cs="宋体"/>
          <w:b/>
          <w:color w:val="auto"/>
          <w:sz w:val="36"/>
          <w:szCs w:val="36"/>
          <w:shd w:val="clear" w:color="auto" w:fill="CCE8CF" w:themeFill="background1"/>
        </w:rPr>
      </w:pPr>
      <w:bookmarkStart w:id="60" w:name="_Toc26598"/>
    </w:p>
    <w:p>
      <w:pPr>
        <w:spacing w:line="360" w:lineRule="auto"/>
        <w:jc w:val="center"/>
        <w:outlineLvl w:val="0"/>
        <w:rPr>
          <w:rFonts w:hint="eastAsia" w:ascii="宋体" w:hAnsi="宋体" w:eastAsia="宋体" w:cs="宋体"/>
          <w:b/>
          <w:color w:val="auto"/>
          <w:sz w:val="36"/>
          <w:szCs w:val="36"/>
          <w:shd w:val="clear" w:color="auto" w:fill="CCE8CF" w:themeFill="background1"/>
        </w:rPr>
      </w:pPr>
    </w:p>
    <w:p>
      <w:pPr>
        <w:pStyle w:val="2"/>
        <w:rPr>
          <w:rFonts w:hint="eastAsia" w:ascii="宋体" w:hAnsi="宋体" w:eastAsia="宋体" w:cs="宋体"/>
          <w:b/>
          <w:color w:val="auto"/>
          <w:sz w:val="36"/>
          <w:szCs w:val="36"/>
          <w:shd w:val="clear" w:color="auto" w:fill="CCE8CF" w:themeFill="background1"/>
        </w:rPr>
      </w:pPr>
    </w:p>
    <w:p>
      <w:pPr>
        <w:pStyle w:val="4"/>
        <w:rPr>
          <w:rFonts w:hint="eastAsia" w:ascii="宋体" w:hAnsi="宋体" w:eastAsia="宋体" w:cs="宋体"/>
          <w:b/>
          <w:color w:val="auto"/>
          <w:sz w:val="36"/>
          <w:szCs w:val="36"/>
          <w:shd w:val="clear" w:color="auto" w:fill="CCE8CF" w:themeFill="background1"/>
        </w:rPr>
      </w:pPr>
    </w:p>
    <w:p>
      <w:pPr>
        <w:rPr>
          <w:rFonts w:hint="eastAsia" w:ascii="宋体" w:hAnsi="宋体" w:eastAsia="宋体" w:cs="宋体"/>
          <w:b/>
          <w:color w:val="auto"/>
          <w:sz w:val="36"/>
          <w:szCs w:val="36"/>
          <w:shd w:val="clear" w:color="auto" w:fill="CCE8CF" w:themeFill="background1"/>
        </w:rPr>
      </w:pPr>
    </w:p>
    <w:p>
      <w:pPr>
        <w:pStyle w:val="2"/>
        <w:rPr>
          <w:rFonts w:hint="eastAsia" w:ascii="宋体" w:hAnsi="宋体" w:eastAsia="宋体" w:cs="宋体"/>
          <w:b/>
          <w:color w:val="auto"/>
          <w:sz w:val="36"/>
          <w:szCs w:val="36"/>
          <w:shd w:val="clear" w:color="auto" w:fill="CCE8CF" w:themeFill="background1"/>
        </w:rPr>
      </w:pPr>
    </w:p>
    <w:p>
      <w:pPr>
        <w:pStyle w:val="4"/>
        <w:rPr>
          <w:rFonts w:hint="eastAsia" w:ascii="宋体" w:hAnsi="宋体" w:eastAsia="宋体" w:cs="宋体"/>
          <w:b/>
          <w:color w:val="auto"/>
          <w:sz w:val="36"/>
          <w:szCs w:val="36"/>
          <w:shd w:val="clear" w:color="auto" w:fill="CCE8CF" w:themeFill="background1"/>
        </w:rPr>
      </w:pPr>
    </w:p>
    <w:p>
      <w:pPr>
        <w:rPr>
          <w:rFonts w:hint="eastAsia" w:ascii="宋体" w:hAnsi="宋体" w:eastAsia="宋体" w:cs="宋体"/>
          <w:b/>
          <w:color w:val="auto"/>
          <w:sz w:val="36"/>
          <w:szCs w:val="36"/>
          <w:shd w:val="clear" w:color="auto" w:fill="CCE8CF" w:themeFill="background1"/>
        </w:rPr>
      </w:pPr>
    </w:p>
    <w:p>
      <w:pPr>
        <w:pStyle w:val="2"/>
        <w:rPr>
          <w:rFonts w:hint="eastAsia" w:ascii="宋体" w:hAnsi="宋体" w:eastAsia="宋体" w:cs="宋体"/>
          <w:b/>
          <w:color w:val="auto"/>
          <w:sz w:val="36"/>
          <w:szCs w:val="36"/>
          <w:shd w:val="clear" w:color="auto" w:fill="CCE8CF" w:themeFill="background1"/>
        </w:rPr>
      </w:pPr>
    </w:p>
    <w:p>
      <w:pPr>
        <w:pStyle w:val="4"/>
        <w:rPr>
          <w:rFonts w:hint="eastAsia" w:ascii="宋体" w:hAnsi="宋体" w:eastAsia="宋体" w:cs="宋体"/>
          <w:b/>
          <w:color w:val="auto"/>
          <w:sz w:val="36"/>
          <w:szCs w:val="36"/>
          <w:shd w:val="clear" w:color="auto" w:fill="CCE8CF" w:themeFill="background1"/>
        </w:rPr>
      </w:pPr>
    </w:p>
    <w:p>
      <w:pPr>
        <w:rPr>
          <w:rFonts w:hint="eastAsia" w:ascii="宋体" w:hAnsi="宋体" w:eastAsia="宋体" w:cs="宋体"/>
          <w:b/>
          <w:color w:val="auto"/>
          <w:sz w:val="36"/>
          <w:szCs w:val="36"/>
          <w:shd w:val="clear" w:color="auto" w:fill="CCE8CF" w:themeFill="background1"/>
        </w:rPr>
      </w:pPr>
    </w:p>
    <w:p>
      <w:pPr>
        <w:pStyle w:val="2"/>
        <w:rPr>
          <w:rFonts w:hint="eastAsia" w:ascii="宋体" w:hAnsi="宋体" w:eastAsia="宋体" w:cs="宋体"/>
          <w:b/>
          <w:color w:val="auto"/>
          <w:sz w:val="36"/>
          <w:szCs w:val="36"/>
          <w:shd w:val="clear" w:color="auto" w:fill="CCE8CF" w:themeFill="background1"/>
        </w:rPr>
      </w:pPr>
    </w:p>
    <w:p>
      <w:pPr>
        <w:pStyle w:val="4"/>
        <w:rPr>
          <w:rFonts w:hint="eastAsia" w:ascii="宋体" w:hAnsi="宋体" w:eastAsia="宋体" w:cs="宋体"/>
          <w:b/>
          <w:color w:val="auto"/>
          <w:sz w:val="36"/>
          <w:szCs w:val="36"/>
          <w:shd w:val="clear" w:color="auto" w:fill="CCE8CF" w:themeFill="background1"/>
        </w:rPr>
      </w:pPr>
    </w:p>
    <w:p>
      <w:pPr>
        <w:rPr>
          <w:rFonts w:hint="eastAsia" w:ascii="宋体" w:hAnsi="宋体" w:eastAsia="宋体" w:cs="宋体"/>
          <w:b/>
          <w:color w:val="auto"/>
          <w:sz w:val="36"/>
          <w:szCs w:val="36"/>
          <w:shd w:val="clear" w:color="auto" w:fill="CCE8CF" w:themeFill="background1"/>
        </w:rPr>
      </w:pPr>
    </w:p>
    <w:p>
      <w:pPr>
        <w:spacing w:line="360" w:lineRule="auto"/>
        <w:jc w:val="center"/>
        <w:outlineLvl w:val="0"/>
        <w:rPr>
          <w:rFonts w:hint="eastAsia" w:ascii="宋体" w:hAnsi="宋体" w:eastAsia="宋体" w:cs="宋体"/>
          <w:b/>
          <w:color w:val="auto"/>
          <w:sz w:val="36"/>
          <w:szCs w:val="36"/>
          <w:shd w:val="clear" w:color="auto" w:fill="CCE8CF" w:themeFill="background1"/>
        </w:rPr>
      </w:pPr>
    </w:p>
    <w:p>
      <w:pPr>
        <w:spacing w:line="360" w:lineRule="auto"/>
        <w:jc w:val="center"/>
        <w:outlineLvl w:val="0"/>
        <w:rPr>
          <w:rFonts w:ascii="宋体" w:hAnsi="宋体" w:eastAsia="宋体" w:cs="宋体"/>
          <w:b/>
          <w:color w:val="auto"/>
          <w:sz w:val="36"/>
          <w:szCs w:val="36"/>
          <w:shd w:val="clear" w:color="auto" w:fill="CCE8CF" w:themeFill="background1"/>
        </w:rPr>
      </w:pPr>
      <w:r>
        <w:rPr>
          <w:rFonts w:hint="eastAsia" w:ascii="宋体" w:hAnsi="宋体" w:eastAsia="宋体" w:cs="宋体"/>
          <w:b/>
          <w:color w:val="auto"/>
          <w:sz w:val="36"/>
          <w:szCs w:val="36"/>
          <w:shd w:val="clear" w:color="auto" w:fill="CCE8CF" w:themeFill="background1"/>
        </w:rPr>
        <w:t>第二章</w:t>
      </w:r>
      <w:r>
        <w:rPr>
          <w:rFonts w:ascii="宋体" w:hAnsi="宋体" w:eastAsia="宋体" w:cs="宋体"/>
          <w:b/>
          <w:color w:val="auto"/>
          <w:sz w:val="36"/>
          <w:szCs w:val="36"/>
          <w:shd w:val="clear" w:color="auto" w:fill="CCE8CF" w:themeFill="background1"/>
        </w:rPr>
        <w:t xml:space="preserve"> </w:t>
      </w:r>
      <w:r>
        <w:rPr>
          <w:rFonts w:hint="eastAsia" w:ascii="宋体" w:hAnsi="宋体" w:eastAsia="宋体" w:cs="宋体"/>
          <w:b/>
          <w:color w:val="auto"/>
          <w:sz w:val="36"/>
          <w:szCs w:val="36"/>
          <w:shd w:val="clear" w:color="auto" w:fill="CCE8CF" w:themeFill="background1"/>
        </w:rPr>
        <w:t>评审办法</w:t>
      </w:r>
      <w:bookmarkEnd w:id="60"/>
    </w:p>
    <w:p>
      <w:pPr>
        <w:tabs>
          <w:tab w:val="center" w:pos="4832"/>
          <w:tab w:val="left" w:pos="7140"/>
        </w:tabs>
        <w:spacing w:line="360" w:lineRule="auto"/>
        <w:jc w:val="center"/>
        <w:outlineLvl w:val="2"/>
        <w:rPr>
          <w:rFonts w:ascii="宋体" w:hAnsi="宋体" w:eastAsia="宋体" w:cs="宋体"/>
          <w:b/>
          <w:color w:val="auto"/>
          <w:sz w:val="24"/>
          <w:szCs w:val="24"/>
          <w:shd w:val="clear" w:color="auto" w:fill="CCE8CF" w:themeFill="background1"/>
        </w:rPr>
      </w:pPr>
      <w:bookmarkStart w:id="61" w:name="_BookMark_1"/>
      <w:bookmarkEnd w:id="61"/>
      <w:bookmarkStart w:id="62" w:name="_Toc31946"/>
      <w:r>
        <w:rPr>
          <w:rFonts w:hint="eastAsia" w:ascii="宋体" w:hAnsi="宋体" w:eastAsia="宋体" w:cs="宋体"/>
          <w:b/>
          <w:color w:val="auto"/>
          <w:sz w:val="24"/>
          <w:szCs w:val="24"/>
          <w:shd w:val="clear" w:color="auto" w:fill="CCE8CF" w:themeFill="background1"/>
        </w:rPr>
        <w:t>评审办法前附表</w:t>
      </w:r>
      <w:bookmarkEnd w:id="62"/>
    </w:p>
    <w:tbl>
      <w:tblPr>
        <w:tblStyle w:val="20"/>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asciiTheme="minorEastAsia" w:hAnsiTheme="minorEastAsia"/>
                <w:color w:val="auto"/>
                <w:szCs w:val="21"/>
                <w:shd w:val="clear" w:color="auto" w:fill="CCE8C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分值构成及权重</w:t>
            </w:r>
          </w:p>
          <w:p>
            <w:pPr>
              <w:spacing w:line="360" w:lineRule="auto"/>
              <w:jc w:val="center"/>
              <w:rPr>
                <w:rFonts w:asciiTheme="minorEastAsia" w:hAnsiTheme="minorEastAsia"/>
                <w:color w:val="auto"/>
                <w:szCs w:val="21"/>
                <w:shd w:val="clear" w:color="auto" w:fill="CCE8CF" w:themeFill="background1"/>
              </w:rPr>
            </w:pPr>
            <w:r>
              <w:rPr>
                <w:rFonts w:asciiTheme="minorEastAsia" w:hAnsiTheme="minorEastAsia"/>
                <w:color w:val="auto"/>
                <w:szCs w:val="21"/>
                <w:shd w:val="clear" w:color="auto" w:fill="CCE8CF" w:themeFill="background1"/>
              </w:rPr>
              <w:t>(</w:t>
            </w:r>
            <w:r>
              <w:rPr>
                <w:rFonts w:hint="eastAsia" w:asciiTheme="minorEastAsia" w:hAnsiTheme="minorEastAsia"/>
                <w:color w:val="auto"/>
                <w:szCs w:val="21"/>
                <w:shd w:val="clear" w:color="auto" w:fill="CCE8CF" w:themeFill="background1"/>
              </w:rPr>
              <w:t>总分</w:t>
            </w:r>
            <w:r>
              <w:rPr>
                <w:rFonts w:asciiTheme="minorEastAsia" w:hAnsiTheme="minorEastAsia"/>
                <w:color w:val="auto"/>
                <w:szCs w:val="21"/>
                <w:shd w:val="clear" w:color="auto" w:fill="CCE8CF" w:themeFill="background1"/>
              </w:rPr>
              <w:t>100</w:t>
            </w:r>
            <w:r>
              <w:rPr>
                <w:rFonts w:hint="eastAsia" w:asciiTheme="minorEastAsia" w:hAnsiTheme="minorEastAsia"/>
                <w:color w:val="auto"/>
                <w:szCs w:val="21"/>
                <w:shd w:val="clear" w:color="auto" w:fill="CCE8CF" w:themeFill="background1"/>
              </w:rPr>
              <w:t>分</w:t>
            </w:r>
            <w:r>
              <w:rPr>
                <w:rFonts w:asciiTheme="minorEastAsia" w:hAnsiTheme="minorEastAsia"/>
                <w:color w:val="auto"/>
                <w:szCs w:val="21"/>
                <w:shd w:val="clear" w:color="auto" w:fill="CCE8C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color w:val="auto"/>
                <w:szCs w:val="21"/>
                <w:shd w:val="clear" w:color="auto" w:fill="CCE8CF" w:themeFill="background1"/>
              </w:rPr>
            </w:pPr>
            <w:r>
              <w:rPr>
                <w:rFonts w:asciiTheme="minorEastAsia" w:hAnsiTheme="minorEastAsia"/>
                <w:color w:val="auto"/>
                <w:szCs w:val="21"/>
                <w:shd w:val="clear" w:color="auto" w:fill="CCE8CF" w:themeFill="background1"/>
              </w:rPr>
              <w:t>1.</w:t>
            </w:r>
            <w:r>
              <w:rPr>
                <w:rFonts w:hint="eastAsia" w:asciiTheme="minorEastAsia" w:hAnsiTheme="minorEastAsia"/>
                <w:color w:val="auto"/>
                <w:szCs w:val="21"/>
                <w:shd w:val="clear" w:color="auto" w:fill="CCE8CF" w:themeFill="background1"/>
              </w:rPr>
              <w:t>详细评审部分</w:t>
            </w:r>
            <w:r>
              <w:rPr>
                <w:rFonts w:hint="eastAsia" w:asciiTheme="minorEastAsia" w:hAnsiTheme="minorEastAsia"/>
                <w:color w:val="auto"/>
                <w:szCs w:val="21"/>
                <w:shd w:val="clear" w:color="auto" w:fill="CCE8CF" w:themeFill="background1"/>
                <w:lang w:val="en-US" w:eastAsia="zh-CN"/>
              </w:rPr>
              <w:t>6</w:t>
            </w:r>
            <w:r>
              <w:rPr>
                <w:rFonts w:hint="eastAsia" w:asciiTheme="minorEastAsia" w:hAnsiTheme="minorEastAsia"/>
                <w:color w:val="auto"/>
                <w:szCs w:val="21"/>
                <w:shd w:val="clear" w:color="auto" w:fill="CCE8CF" w:themeFill="background1"/>
              </w:rPr>
              <w:t>0分</w:t>
            </w:r>
          </w:p>
          <w:p>
            <w:pPr>
              <w:spacing w:line="360" w:lineRule="auto"/>
              <w:jc w:val="left"/>
              <w:rPr>
                <w:rFonts w:asciiTheme="minorEastAsia" w:hAnsiTheme="minorEastAsia"/>
                <w:color w:val="auto"/>
                <w:szCs w:val="21"/>
                <w:shd w:val="clear" w:color="auto" w:fill="CCE8CF" w:themeFill="background1"/>
              </w:rPr>
            </w:pPr>
            <w:r>
              <w:rPr>
                <w:rFonts w:asciiTheme="minorEastAsia" w:hAnsiTheme="minorEastAsia"/>
                <w:color w:val="auto"/>
                <w:szCs w:val="21"/>
                <w:shd w:val="clear" w:color="auto" w:fill="CCE8CF" w:themeFill="background1"/>
              </w:rPr>
              <w:t>2.</w:t>
            </w:r>
            <w:r>
              <w:rPr>
                <w:rFonts w:hint="eastAsia" w:asciiTheme="minorEastAsia" w:hAnsiTheme="minorEastAsia"/>
                <w:color w:val="auto"/>
                <w:szCs w:val="21"/>
                <w:shd w:val="clear" w:color="auto" w:fill="CCE8CF" w:themeFill="background1"/>
              </w:rPr>
              <w:t>磋商报价</w:t>
            </w:r>
            <w:r>
              <w:rPr>
                <w:rFonts w:hint="eastAsia" w:asciiTheme="minorEastAsia" w:hAnsiTheme="minorEastAsia"/>
                <w:color w:val="auto"/>
                <w:szCs w:val="21"/>
                <w:shd w:val="clear" w:color="auto" w:fill="CCE8CF" w:themeFill="background1"/>
                <w:lang w:val="en-US" w:eastAsia="zh-CN"/>
              </w:rPr>
              <w:t>4</w:t>
            </w:r>
            <w:r>
              <w:rPr>
                <w:rFonts w:asciiTheme="minorEastAsia" w:hAnsiTheme="minorEastAsia"/>
                <w:color w:val="auto"/>
                <w:szCs w:val="21"/>
                <w:shd w:val="clear" w:color="auto" w:fill="CCE8CF" w:themeFill="background1"/>
              </w:rPr>
              <w:t>0</w:t>
            </w:r>
            <w:r>
              <w:rPr>
                <w:rFonts w:hint="eastAsia" w:asciiTheme="minorEastAsia" w:hAnsiTheme="minorEastAsia"/>
                <w:color w:val="auto"/>
                <w:szCs w:val="21"/>
                <w:shd w:val="clear" w:color="auto" w:fill="CCE8C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color w:val="auto"/>
                <w:szCs w:val="21"/>
                <w:shd w:val="clear" w:color="auto" w:fill="CCE8C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磋商报价得分计算方法：</w:t>
            </w:r>
          </w:p>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1.磋商报价的确定</w:t>
            </w:r>
          </w:p>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磋商报价是指经评审的且不超过采购预算金额的磋商价格</w:t>
            </w:r>
          </w:p>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2.磋商基准价的确定</w:t>
            </w:r>
          </w:p>
          <w:p>
            <w:pPr>
              <w:spacing w:line="360" w:lineRule="auto"/>
              <w:jc w:val="left"/>
              <w:rPr>
                <w:rFonts w:asciiTheme="minorEastAsia" w:hAnsiTheme="minorEastAsia"/>
                <w:color w:val="auto"/>
                <w:szCs w:val="21"/>
                <w:shd w:val="clear" w:color="auto" w:fill="CCE8CF" w:themeFill="background1"/>
              </w:rPr>
            </w:pPr>
            <w:r>
              <w:rPr>
                <w:rFonts w:asciiTheme="minorEastAsia" w:hAnsiTheme="minorEastAsia"/>
                <w:color w:val="auto"/>
                <w:szCs w:val="21"/>
                <w:shd w:val="clear" w:color="auto" w:fill="CCE8CF" w:themeFill="background1"/>
              </w:rPr>
              <w:t>满足竞争性磋商文件要求且</w:t>
            </w:r>
            <w:r>
              <w:rPr>
                <w:rFonts w:hint="eastAsia" w:asciiTheme="minorEastAsia" w:hAnsiTheme="minorEastAsia"/>
                <w:color w:val="auto"/>
                <w:szCs w:val="21"/>
                <w:shd w:val="clear" w:color="auto" w:fill="CCE8CF" w:themeFill="background1"/>
              </w:rPr>
              <w:t>最后磋商报价</w:t>
            </w:r>
            <w:r>
              <w:rPr>
                <w:rFonts w:asciiTheme="minorEastAsia" w:hAnsiTheme="minorEastAsia"/>
                <w:color w:val="auto"/>
                <w:szCs w:val="21"/>
                <w:shd w:val="clear" w:color="auto" w:fill="CCE8CF" w:themeFill="background1"/>
              </w:rPr>
              <w:t>最低的</w:t>
            </w:r>
            <w:r>
              <w:rPr>
                <w:rFonts w:hint="eastAsia" w:asciiTheme="minorEastAsia" w:hAnsiTheme="minorEastAsia"/>
                <w:color w:val="auto"/>
                <w:szCs w:val="21"/>
                <w:shd w:val="clear" w:color="auto" w:fill="CCE8CF" w:themeFill="background1"/>
              </w:rPr>
              <w:t>供应商的价格</w:t>
            </w:r>
            <w:r>
              <w:rPr>
                <w:rFonts w:asciiTheme="minorEastAsia" w:hAnsiTheme="minorEastAsia"/>
                <w:color w:val="auto"/>
                <w:szCs w:val="21"/>
                <w:shd w:val="clear" w:color="auto" w:fill="CCE8CF" w:themeFill="background1"/>
              </w:rPr>
              <w:t>为磋商基准价</w:t>
            </w:r>
          </w:p>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3.</w:t>
            </w:r>
            <w:r>
              <w:rPr>
                <w:rFonts w:asciiTheme="minorEastAsia" w:hAnsiTheme="minorEastAsia"/>
                <w:color w:val="auto"/>
                <w:szCs w:val="21"/>
                <w:shd w:val="clear" w:color="auto" w:fill="CCE8CF" w:themeFill="background1"/>
              </w:rPr>
              <w:t>磋商报价得分=(磋商基准价／磋商报价)×10</w:t>
            </w:r>
          </w:p>
          <w:p>
            <w:pPr>
              <w:spacing w:line="360" w:lineRule="auto"/>
              <w:jc w:val="left"/>
              <w:rPr>
                <w:rFonts w:asciiTheme="minorEastAsia" w:hAnsiTheme="minorEastAsia"/>
                <w:color w:val="auto"/>
                <w:szCs w:val="21"/>
                <w:shd w:val="clear" w:color="auto" w:fill="CCE8CF" w:themeFill="background1"/>
              </w:rPr>
            </w:pPr>
            <w:r>
              <w:rPr>
                <w:rFonts w:hint="eastAsia" w:asciiTheme="minorEastAsia" w:hAnsiTheme="minorEastAsia"/>
                <w:color w:val="auto"/>
                <w:szCs w:val="21"/>
                <w:shd w:val="clear" w:color="auto" w:fill="CCE8CF" w:themeFill="background1"/>
              </w:rPr>
              <w:t>4.评分分值计算保留小数点后两位，小数点后三位“四舍五入”。</w:t>
            </w:r>
          </w:p>
        </w:tc>
      </w:tr>
    </w:tbl>
    <w:p>
      <w:pPr>
        <w:widowControl/>
        <w:shd w:val="clear" w:color="auto" w:fill="FFFFFF"/>
        <w:snapToGrid w:val="0"/>
        <w:spacing w:line="360" w:lineRule="auto"/>
        <w:jc w:val="center"/>
        <w:rPr>
          <w:rFonts w:ascii="宋体" w:hAnsi="宋体" w:eastAsia="宋体" w:cs="Arial"/>
          <w:b/>
          <w:color w:val="auto"/>
          <w:kern w:val="0"/>
          <w:sz w:val="24"/>
          <w:szCs w:val="24"/>
          <w:shd w:val="clear" w:color="auto" w:fill="CCE8CF" w:themeFill="background1"/>
        </w:rPr>
      </w:pPr>
      <w:bookmarkStart w:id="63" w:name="_Toc501719166"/>
    </w:p>
    <w:p>
      <w:pPr>
        <w:widowControl/>
        <w:shd w:val="clear" w:color="auto" w:fill="FFFFFF"/>
        <w:snapToGrid w:val="0"/>
        <w:spacing w:line="360" w:lineRule="auto"/>
        <w:jc w:val="center"/>
        <w:rPr>
          <w:rFonts w:ascii="宋体" w:hAnsi="宋体" w:eastAsia="宋体" w:cs="Arial"/>
          <w:b/>
          <w:color w:val="auto"/>
          <w:kern w:val="0"/>
          <w:sz w:val="24"/>
          <w:szCs w:val="24"/>
          <w:shd w:val="clear" w:color="auto" w:fill="CCE8CF" w:themeFill="background1"/>
        </w:rPr>
      </w:pPr>
      <w:r>
        <w:rPr>
          <w:rFonts w:hint="eastAsia" w:ascii="宋体" w:hAnsi="宋体" w:eastAsia="宋体" w:cs="Arial"/>
          <w:b/>
          <w:color w:val="auto"/>
          <w:kern w:val="0"/>
          <w:sz w:val="24"/>
          <w:szCs w:val="24"/>
          <w:shd w:val="clear" w:color="auto" w:fill="CCE8CF" w:themeFill="background1"/>
        </w:rPr>
        <w:t>《资格审查标准》</w:t>
      </w:r>
      <w:bookmarkEnd w:id="63"/>
    </w:p>
    <w:tbl>
      <w:tblPr>
        <w:tblStyle w:val="20"/>
        <w:tblW w:w="97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8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901" w:type="dxa"/>
            <w:noWrap w:val="0"/>
            <w:vAlign w:val="center"/>
          </w:tcPr>
          <w:p>
            <w:pPr>
              <w:spacing w:line="360" w:lineRule="auto"/>
              <w:jc w:val="center"/>
              <w:rPr>
                <w:rFonts w:hint="eastAsia" w:ascii="宋体" w:hAnsi="宋体" w:eastAsia="宋体" w:cs="宋体"/>
                <w:color w:val="auto"/>
                <w:sz w:val="24"/>
                <w:szCs w:val="24"/>
                <w:lang w:val="en-US" w:eastAsia="zh-CN"/>
              </w:rPr>
            </w:pPr>
            <w:bookmarkStart w:id="64" w:name="_Toc501719167"/>
            <w:r>
              <w:rPr>
                <w:rFonts w:hint="eastAsia" w:ascii="宋体" w:hAnsi="宋体" w:eastAsia="宋体" w:cs="宋体"/>
                <w:color w:val="auto"/>
                <w:sz w:val="24"/>
                <w:szCs w:val="24"/>
                <w:lang w:val="en-US" w:eastAsia="zh-CN"/>
              </w:rPr>
              <w:t>序号</w:t>
            </w:r>
          </w:p>
        </w:tc>
        <w:tc>
          <w:tcPr>
            <w:tcW w:w="8802"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1" w:type="dxa"/>
            <w:vMerge w:val="restart"/>
            <w:noWrap w:val="0"/>
            <w:vAlign w:val="center"/>
          </w:tcPr>
          <w:p>
            <w:pPr>
              <w:spacing w:line="360" w:lineRule="auto"/>
              <w:jc w:val="center"/>
              <w:rPr>
                <w:rFonts w:hint="eastAsia" w:ascii="宋体" w:hAnsi="宋体" w:eastAsia="宋体" w:cs="宋体"/>
                <w:color w:val="auto"/>
                <w:sz w:val="24"/>
                <w:szCs w:val="24"/>
                <w:lang w:val="en-US" w:eastAsia="zh-CN"/>
              </w:rPr>
            </w:pPr>
          </w:p>
          <w:p>
            <w:pPr>
              <w:spacing w:line="360" w:lineRule="auto"/>
              <w:jc w:val="center"/>
              <w:rPr>
                <w:rFonts w:hint="eastAsia" w:ascii="宋体" w:hAnsi="宋体" w:eastAsia="宋体" w:cs="宋体"/>
                <w:color w:val="auto"/>
                <w:sz w:val="24"/>
                <w:szCs w:val="24"/>
                <w:lang w:val="en-US" w:eastAsia="zh-CN"/>
              </w:rPr>
            </w:pPr>
          </w:p>
          <w:p>
            <w:pPr>
              <w:spacing w:line="360" w:lineRule="auto"/>
              <w:jc w:val="center"/>
              <w:rPr>
                <w:rFonts w:hint="eastAsia" w:ascii="宋体" w:hAnsi="宋体" w:eastAsia="宋体" w:cs="宋体"/>
                <w:color w:val="auto"/>
                <w:sz w:val="24"/>
                <w:szCs w:val="24"/>
                <w:lang w:val="en-US" w:eastAsia="zh-CN"/>
              </w:rPr>
            </w:pP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格</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w:t>
            </w:r>
          </w:p>
        </w:tc>
        <w:tc>
          <w:tcPr>
            <w:tcW w:w="8802"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具有有效的营业执照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有效期内的消防设施工程专业承包贰级及以上资质或有效期内的消防设施工程设计与施工贰级及以上资质，需持有有效的安全生产许可证，并具有履行合同所必须的设备和专业技术能力。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项目负责人要求：注册建造师（建筑工程专业）二级及以上，并具有有效的安全生产考核合格证书（B类），本单位注册。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须具备近一年财务审计报告或银行提供的资信证明（新公司从成立之日起算）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须具有近一年任意月纳税证明（新公司从成立之日起算）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近一年任意月法人或授权委托人人员明细的社保证明（新公司从成立之日起算）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须具有履行合同所必须的设备和专业技术能力的承诺函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90"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ascii="宋体" w:hAnsi="宋体" w:eastAsia="宋体" w:cs="宋体"/>
                <w:color w:val="auto"/>
                <w:kern w:val="0"/>
                <w:sz w:val="24"/>
                <w:szCs w:val="24"/>
                <w:lang w:val="en-US" w:eastAsia="zh-CN" w:bidi="ar-SA"/>
              </w:rPr>
            </w:pPr>
            <w:r>
              <w:rPr>
                <w:rFonts w:hint="eastAsia"/>
                <w:color w:val="auto"/>
                <w:sz w:val="24"/>
                <w:szCs w:val="24"/>
                <w:highlight w:val="yellow"/>
                <w:lang w:val="en-US" w:eastAsia="zh-CN"/>
              </w:rPr>
              <w:t>投标单位须为中小企业，</w:t>
            </w:r>
            <w:r>
              <w:rPr>
                <w:rFonts w:hint="eastAsia"/>
                <w:color w:val="auto"/>
                <w:sz w:val="24"/>
                <w:szCs w:val="24"/>
                <w:highlight w:val="yellow"/>
                <w:lang w:val="en-US" w:eastAsia="zh-Hans"/>
              </w:rPr>
              <w:t>提供</w:t>
            </w:r>
            <w:r>
              <w:rPr>
                <w:rFonts w:hint="default"/>
                <w:color w:val="auto"/>
                <w:sz w:val="24"/>
                <w:szCs w:val="24"/>
                <w:highlight w:val="yellow"/>
                <w:lang w:eastAsia="zh-Hans"/>
              </w:rPr>
              <w:t>《</w:t>
            </w:r>
            <w:r>
              <w:rPr>
                <w:rFonts w:hint="eastAsia"/>
                <w:color w:val="auto"/>
                <w:sz w:val="24"/>
                <w:szCs w:val="24"/>
                <w:highlight w:val="yellow"/>
                <w:lang w:val="en-US" w:eastAsia="zh-Hans"/>
              </w:rPr>
              <w:t>中小企业声明函</w:t>
            </w:r>
            <w:r>
              <w:rPr>
                <w:rFonts w:hint="default"/>
                <w:color w:val="auto"/>
                <w:sz w:val="24"/>
                <w:szCs w:val="24"/>
                <w:highlight w:val="yellow"/>
                <w:lang w:eastAsia="zh-Hans"/>
              </w:rPr>
              <w:t>》</w:t>
            </w:r>
            <w:r>
              <w:rPr>
                <w:rFonts w:hint="eastAsia"/>
                <w:color w:val="auto"/>
                <w:sz w:val="24"/>
                <w:szCs w:val="24"/>
                <w:highlight w:val="yellow"/>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spacing w:line="360" w:lineRule="auto"/>
              <w:rPr>
                <w:rFonts w:hint="eastAsia"/>
                <w:color w:val="auto"/>
                <w:sz w:val="24"/>
                <w:szCs w:val="24"/>
                <w:highlight w:val="yellow"/>
                <w:lang w:val="en-US" w:eastAsia="zh-CN"/>
              </w:rPr>
            </w:pPr>
            <w:r>
              <w:rPr>
                <w:rFonts w:hint="eastAsia"/>
                <w:b w:val="0"/>
                <w:bCs w:val="0"/>
                <w:color w:val="auto"/>
                <w:sz w:val="24"/>
                <w:szCs w:val="24"/>
                <w:highlight w:val="yellow"/>
                <w:lang w:val="en-US" w:eastAsia="zh-CN"/>
              </w:rPr>
              <w:t>法人身份证明及身份证原件或法人授权委托书及委托代理人身份证原件</w:t>
            </w:r>
          </w:p>
        </w:tc>
      </w:tr>
    </w:tbl>
    <w:p>
      <w:pPr>
        <w:widowControl/>
        <w:shd w:val="clear" w:color="auto" w:fill="FFFFFF"/>
        <w:snapToGrid w:val="0"/>
        <w:spacing w:line="360" w:lineRule="auto"/>
        <w:jc w:val="center"/>
        <w:rPr>
          <w:rFonts w:ascii="宋体" w:hAnsi="宋体" w:eastAsia="宋体" w:cs="Arial"/>
          <w:b/>
          <w:color w:val="auto"/>
          <w:kern w:val="0"/>
          <w:sz w:val="24"/>
          <w:szCs w:val="24"/>
          <w:shd w:val="clear" w:color="auto" w:fill="CCE8CF" w:themeFill="background1"/>
        </w:rPr>
      </w:pPr>
    </w:p>
    <w:p>
      <w:pPr>
        <w:widowControl/>
        <w:shd w:val="clear" w:color="auto" w:fill="FFFFFF"/>
        <w:snapToGrid w:val="0"/>
        <w:spacing w:line="360" w:lineRule="auto"/>
        <w:jc w:val="center"/>
        <w:rPr>
          <w:rFonts w:ascii="宋体" w:hAnsi="宋体" w:eastAsia="宋体" w:cs="Arial"/>
          <w:b/>
          <w:color w:val="auto"/>
          <w:kern w:val="0"/>
          <w:sz w:val="24"/>
          <w:szCs w:val="24"/>
          <w:shd w:val="clear" w:color="auto" w:fill="CCE8CF" w:themeFill="background1"/>
        </w:rPr>
      </w:pPr>
      <w:r>
        <w:rPr>
          <w:rFonts w:hint="eastAsia" w:ascii="宋体" w:hAnsi="宋体" w:eastAsia="宋体" w:cs="Arial"/>
          <w:b/>
          <w:color w:val="auto"/>
          <w:kern w:val="0"/>
          <w:sz w:val="24"/>
          <w:szCs w:val="24"/>
          <w:shd w:val="clear" w:color="auto" w:fill="CCE8CF" w:themeFill="background1"/>
        </w:rPr>
        <w:t>《符合性审查标准》</w:t>
      </w:r>
      <w:bookmarkEnd w:id="64"/>
    </w:p>
    <w:tbl>
      <w:tblPr>
        <w:tblStyle w:val="20"/>
        <w:tblW w:w="97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8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8802" w:type="dxa"/>
            <w:noWrap w:val="0"/>
            <w:vAlign w:val="center"/>
          </w:tcPr>
          <w:p>
            <w:pPr>
              <w:spacing w:line="360" w:lineRule="auto"/>
              <w:jc w:val="center"/>
              <w:rPr>
                <w:rFonts w:hint="eastAsia" w:ascii="宋体" w:hAnsi="宋体" w:eastAsia="宋体" w:cs="宋体"/>
                <w:b w:val="0"/>
                <w:color w:val="auto"/>
                <w:sz w:val="24"/>
              </w:rPr>
            </w:pPr>
            <w:r>
              <w:rPr>
                <w:rFonts w:hint="eastAsia" w:ascii="宋体" w:hAnsi="宋体" w:eastAsia="宋体" w:cs="宋体"/>
                <w:color w:val="auto"/>
                <w:sz w:val="24"/>
                <w:szCs w:val="24"/>
                <w:lang w:val="en-US" w:eastAsia="zh-CN"/>
              </w:rPr>
              <w:t>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restart"/>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性</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w:t>
            </w:r>
          </w:p>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w:t>
            </w: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rPr>
              <w:t>投标人名称是否与营业执照一致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lang w:val="en-US" w:eastAsia="zh-CN"/>
              </w:rPr>
              <w:t>按</w:t>
            </w:r>
            <w:r>
              <w:rPr>
                <w:rFonts w:hint="eastAsia" w:ascii="宋体" w:hAnsi="宋体" w:cs="宋体"/>
                <w:b w:val="0"/>
                <w:color w:val="auto"/>
                <w:sz w:val="24"/>
                <w:lang w:val="en-US" w:eastAsia="zh-CN"/>
              </w:rPr>
              <w:t>磋商</w:t>
            </w:r>
            <w:r>
              <w:rPr>
                <w:rFonts w:hint="eastAsia" w:ascii="宋体" w:hAnsi="宋体" w:eastAsia="宋体" w:cs="宋体"/>
                <w:b w:val="0"/>
                <w:color w:val="auto"/>
                <w:sz w:val="24"/>
                <w:lang w:val="en-US" w:eastAsia="zh-CN"/>
              </w:rPr>
              <w:t>文件规定要求签署、盖章的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zh-CN" w:eastAsia="zh-CN"/>
              </w:rPr>
            </w:pPr>
            <w:r>
              <w:rPr>
                <w:rFonts w:hint="eastAsia" w:ascii="宋体" w:hAnsi="宋体" w:eastAsia="宋体" w:cs="宋体"/>
                <w:b w:val="0"/>
                <w:color w:val="auto"/>
                <w:sz w:val="24"/>
              </w:rPr>
              <w:t>符合</w:t>
            </w:r>
            <w:r>
              <w:rPr>
                <w:rFonts w:hint="eastAsia" w:ascii="宋体" w:hAnsi="宋体" w:cs="宋体"/>
                <w:b w:val="0"/>
                <w:color w:val="auto"/>
                <w:sz w:val="24"/>
                <w:lang w:eastAsia="zh-CN"/>
              </w:rPr>
              <w:t>招标</w:t>
            </w:r>
            <w:r>
              <w:rPr>
                <w:rFonts w:hint="eastAsia" w:ascii="宋体" w:hAnsi="宋体" w:eastAsia="宋体" w:cs="宋体"/>
                <w:b w:val="0"/>
                <w:color w:val="auto"/>
                <w:sz w:val="24"/>
                <w:lang w:eastAsia="zh-CN"/>
              </w:rPr>
              <w:t>文件要求，</w:t>
            </w:r>
            <w:r>
              <w:rPr>
                <w:rFonts w:hint="eastAsia" w:ascii="宋体" w:hAnsi="宋体" w:eastAsia="宋体" w:cs="宋体"/>
                <w:b w:val="0"/>
                <w:color w:val="auto"/>
                <w:sz w:val="24"/>
              </w:rPr>
              <w:t>投标有效期</w:t>
            </w:r>
            <w:r>
              <w:rPr>
                <w:rFonts w:hint="eastAsia" w:ascii="宋体" w:hAnsi="宋体" w:eastAsia="宋体" w:cs="宋体"/>
                <w:b/>
                <w:bCs/>
                <w:color w:val="auto"/>
                <w:sz w:val="24"/>
                <w:lang w:val="en-US" w:eastAsia="zh-CN"/>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b w:val="0"/>
                <w:color w:val="auto"/>
                <w:sz w:val="24"/>
                <w:lang w:val="en-US" w:eastAsia="zh-CN"/>
              </w:rPr>
              <w:t>投标文件是否按照招标文件要求</w:t>
            </w:r>
            <w:r>
              <w:rPr>
                <w:rFonts w:hint="eastAsia" w:ascii="宋体" w:hAnsi="宋体" w:eastAsia="宋体" w:cs="宋体"/>
                <w:b w:val="0"/>
                <w:color w:val="auto"/>
                <w:sz w:val="24"/>
                <w:highlight w:val="yellow"/>
                <w:lang w:val="en-US" w:eastAsia="zh-CN"/>
              </w:rPr>
              <w:t>编写、</w:t>
            </w:r>
            <w:r>
              <w:rPr>
                <w:rFonts w:hint="eastAsia" w:ascii="宋体" w:hAnsi="宋体" w:cs="宋体"/>
                <w:b w:val="0"/>
                <w:color w:val="auto"/>
                <w:sz w:val="24"/>
                <w:highlight w:val="yellow"/>
                <w:lang w:val="en-US" w:eastAsia="zh-CN"/>
              </w:rPr>
              <w:t>加密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投标文件是否附有招标人不能接受的条件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eastAsia="宋体" w:cs="宋体"/>
                <w:b w:val="0"/>
                <w:color w:val="auto"/>
                <w:sz w:val="24"/>
                <w:lang w:val="en-US" w:eastAsia="zh-CN"/>
              </w:rPr>
              <w:t>投标人是否有违反招标投标纪律的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b w:val="0"/>
                <w:color w:val="auto"/>
                <w:sz w:val="24"/>
                <w:lang w:val="en-US" w:eastAsia="zh-CN"/>
              </w:rPr>
            </w:pPr>
            <w:r>
              <w:rPr>
                <w:rFonts w:hint="eastAsia" w:ascii="宋体" w:hAnsi="宋体" w:cs="宋体"/>
                <w:color w:val="auto"/>
                <w:kern w:val="0"/>
                <w:sz w:val="24"/>
              </w:rPr>
              <w:t>未有明显不符合技术规格和技术标准（技术规格、合同条款有偏离情况的）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cs="宋体"/>
                <w:color w:val="auto"/>
                <w:kern w:val="0"/>
                <w:sz w:val="24"/>
              </w:rPr>
              <w:t>是否符合</w:t>
            </w:r>
            <w:r>
              <w:rPr>
                <w:rFonts w:hint="eastAsia" w:ascii="宋体" w:hAnsi="宋体" w:cs="宋体"/>
                <w:color w:val="auto"/>
                <w:kern w:val="0"/>
                <w:sz w:val="24"/>
                <w:lang w:eastAsia="zh-CN"/>
              </w:rPr>
              <w:t>竞争性磋商文件</w:t>
            </w:r>
            <w:r>
              <w:rPr>
                <w:rFonts w:hint="eastAsia" w:ascii="宋体" w:hAnsi="宋体" w:cs="宋体"/>
                <w:color w:val="auto"/>
                <w:kern w:val="0"/>
                <w:sz w:val="24"/>
              </w:rPr>
              <w:t>中规定的其他实质性要求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cs="宋体"/>
                <w:color w:val="auto"/>
                <w:kern w:val="0"/>
                <w:sz w:val="24"/>
              </w:rPr>
              <w:t>商务条款未有偏离情况的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color w:val="auto"/>
                <w:sz w:val="24"/>
                <w:szCs w:val="24"/>
                <w:lang w:val="en-US" w:eastAsia="zh-CN"/>
              </w:rPr>
              <w:t>是否缴纳投标保证金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noWrap w:val="0"/>
            <w:vAlign w:val="center"/>
          </w:tcPr>
          <w:p>
            <w:pPr>
              <w:spacing w:line="360" w:lineRule="auto"/>
              <w:jc w:val="center"/>
              <w:rPr>
                <w:rFonts w:hint="eastAsia" w:ascii="宋体" w:hAnsi="宋体" w:eastAsia="宋体" w:cs="宋体"/>
                <w:color w:val="auto"/>
                <w:sz w:val="24"/>
                <w:szCs w:val="24"/>
                <w:lang w:val="en-US" w:eastAsia="zh-CN"/>
              </w:rPr>
            </w:pPr>
          </w:p>
        </w:tc>
        <w:tc>
          <w:tcPr>
            <w:tcW w:w="8802"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投标人的投标报价不得超过最高投标限价</w:t>
            </w:r>
          </w:p>
        </w:tc>
      </w:tr>
    </w:tbl>
    <w:p>
      <w:pPr>
        <w:spacing w:line="360" w:lineRule="auto"/>
        <w:jc w:val="center"/>
        <w:rPr>
          <w:rFonts w:ascii="宋体" w:hAnsi="宋体" w:eastAsia="宋体" w:cs="Arial"/>
          <w:b/>
          <w:color w:val="auto"/>
          <w:kern w:val="0"/>
          <w:sz w:val="24"/>
          <w:szCs w:val="24"/>
          <w:shd w:val="clear" w:color="auto" w:fill="CCE8CF" w:themeFill="background1"/>
        </w:rPr>
      </w:pPr>
    </w:p>
    <w:p>
      <w:pPr>
        <w:widowControl/>
        <w:spacing w:line="360" w:lineRule="auto"/>
        <w:jc w:val="center"/>
        <w:rPr>
          <w:rFonts w:ascii="宋体" w:hAnsi="宋体" w:eastAsia="宋体" w:cs="Arial"/>
          <w:b/>
          <w:color w:val="auto"/>
          <w:kern w:val="0"/>
          <w:sz w:val="24"/>
          <w:szCs w:val="24"/>
          <w:shd w:val="clear" w:color="auto" w:fill="CCE8CF" w:themeFill="background1"/>
        </w:rPr>
      </w:pPr>
      <w:r>
        <w:rPr>
          <w:rFonts w:hint="eastAsia" w:ascii="宋体" w:hAnsi="宋体" w:eastAsia="宋体" w:cs="Arial"/>
          <w:b/>
          <w:color w:val="auto"/>
          <w:kern w:val="0"/>
          <w:sz w:val="24"/>
          <w:szCs w:val="24"/>
          <w:shd w:val="clear" w:color="auto" w:fill="CCE8CF" w:themeFill="background1"/>
        </w:rPr>
        <w:t>《详细评审标准》</w:t>
      </w:r>
    </w:p>
    <w:tbl>
      <w:tblPr>
        <w:tblStyle w:val="20"/>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846"/>
        <w:gridCol w:w="1403"/>
        <w:gridCol w:w="979"/>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评分项目</w:t>
            </w:r>
          </w:p>
        </w:tc>
        <w:tc>
          <w:tcPr>
            <w:tcW w:w="508"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标准分</w:t>
            </w:r>
          </w:p>
        </w:tc>
        <w:tc>
          <w:tcPr>
            <w:tcW w:w="2879"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企业</w:t>
            </w:r>
            <w:r>
              <w:rPr>
                <w:rFonts w:hint="eastAsia" w:asciiTheme="minorEastAsia" w:hAnsiTheme="minorEastAsia" w:eastAsiaTheme="minorEastAsia" w:cstheme="minorEastAsia"/>
                <w:color w:val="auto"/>
                <w:sz w:val="21"/>
                <w:szCs w:val="21"/>
              </w:rPr>
              <w:t>类似业绩</w:t>
            </w:r>
          </w:p>
        </w:tc>
        <w:tc>
          <w:tcPr>
            <w:tcW w:w="508"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供应商近三年（2020月1日-至今，以竣工验收表日期为准）</w:t>
            </w:r>
            <w:r>
              <w:rPr>
                <w:rFonts w:hint="eastAsia" w:asciiTheme="minorEastAsia" w:hAnsiTheme="minorEastAsia" w:eastAsiaTheme="minorEastAsia" w:cstheme="minorEastAsia"/>
                <w:color w:val="auto"/>
                <w:sz w:val="21"/>
                <w:szCs w:val="21"/>
                <w:lang w:val="en-US" w:eastAsia="zh-CN"/>
              </w:rPr>
              <w:t>完成</w:t>
            </w:r>
            <w:r>
              <w:rPr>
                <w:rFonts w:hint="eastAsia" w:asciiTheme="minorEastAsia" w:hAnsiTheme="minorEastAsia" w:eastAsiaTheme="minorEastAsia" w:cstheme="minorEastAsia"/>
                <w:color w:val="auto"/>
                <w:sz w:val="21"/>
                <w:szCs w:val="21"/>
              </w:rPr>
              <w:t>的类似业绩，每提供一项得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分，最多计</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项（须提供中标通知书、施工合同、竣工验收表）。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工程概况及特点</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工程概况及特点叙述正确，符合实际得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施工准备计划</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施工技术、现场、物资与机械、队伍准备计划应能充分保证工程需要得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4</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施工方案</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施工方案应能符合工程实际情况，提高生产率、缩短工期、提高质量、降低消耗得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5</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施工进度计划</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进度计划应在空间和时间上做合理的统筹安排且符合施工的科学规律得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6</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施工平面图</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5</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施工平面图应符合工程实际，布置紧凑，便于施工和管理并符合劳保、安全要求得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7</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需用量计划</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9</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需用量计划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劳动力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材料</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机械设备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应是根据工程进度计划的安排计算出的，并与工程进度计划相一致得</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保证措施和体系</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保证措施和体系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质量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安全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应符合科学的施工规律、国家规定的强制性标准并有针对性，同时要符合实际情况，切实可行得</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现场文明施工措施</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现场文明施工措施应符合工程实际情况，切实可行得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4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1167" w:type="pct"/>
            <w:gridSpan w:val="2"/>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施工现场扬尘防治方案</w:t>
            </w:r>
          </w:p>
        </w:tc>
        <w:tc>
          <w:tcPr>
            <w:tcW w:w="508"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p>
        </w:tc>
        <w:tc>
          <w:tcPr>
            <w:tcW w:w="2879"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施工现场扬尘防治方案应根据关于修订《乌鲁木齐建筑工程施工现场扬尘污染防治实施细则》的通知要求编制</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符合现场实际情况</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分；每有一处内容不合理或错误扣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1" w:type="pct"/>
            <w:gridSpan w:val="3"/>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508"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c>
          <w:tcPr>
            <w:tcW w:w="2879"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5"/>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color w:val="auto"/>
                <w:szCs w:val="21"/>
                <w:shd w:val="clear" w:color="auto" w:fill="CCE8CF" w:themeFill="background1"/>
              </w:rPr>
              <w:t>说明</w:t>
            </w:r>
            <w:r>
              <w:rPr>
                <w:rFonts w:hint="eastAsia" w:asciiTheme="minorEastAsia" w:hAnsiTheme="minorEastAsia"/>
                <w:color w:val="auto"/>
                <w:szCs w:val="21"/>
                <w:shd w:val="clear" w:color="auto" w:fill="CCE8CF" w:themeFill="background1"/>
                <w:lang w:eastAsia="zh-CN"/>
              </w:rPr>
              <w:t>：</w:t>
            </w:r>
            <w:r>
              <w:rPr>
                <w:rFonts w:hint="eastAsia" w:asciiTheme="minorEastAsia" w:hAnsiTheme="minorEastAsia"/>
                <w:color w:val="auto"/>
                <w:szCs w:val="21"/>
                <w:shd w:val="clear" w:color="auto" w:fill="CCE8CF" w:themeFill="background1"/>
              </w:rPr>
              <w:t>本评审内容中“不合理”是指：存在不适用本项目实际情况、套用其他无关内容、内容不完整以及与本项目履约无关的情况；内容“错误”是指：不满足招标文件要求、逻辑漏洞、科学原理错误及存在凭空捏造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3" w:type="pct"/>
            <w:gridSpan w:val="2"/>
            <w:vAlign w:val="center"/>
          </w:tcPr>
          <w:p>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投标报价</w:t>
            </w:r>
          </w:p>
          <w:p>
            <w:pPr>
              <w:spacing w:line="360" w:lineRule="auto"/>
              <w:jc w:val="center"/>
              <w:rPr>
                <w:rFonts w:hint="eastAsia" w:asciiTheme="minorEastAsia" w:hAnsiTheme="minorEastAsia"/>
                <w:color w:val="auto"/>
                <w:szCs w:val="21"/>
                <w:shd w:val="clear" w:color="auto" w:fill="CCE8CF" w:themeFill="background1"/>
              </w:rPr>
            </w:pPr>
            <w:r>
              <w:rPr>
                <w:rFonts w:hint="eastAsia" w:asciiTheme="minorEastAsia" w:hAnsiTheme="minorEastAsia" w:eastAsiaTheme="minorEastAsia" w:cstheme="minorEastAsia"/>
                <w:color w:val="auto"/>
                <w:sz w:val="21"/>
                <w:szCs w:val="21"/>
                <w:lang w:val="en-US" w:eastAsia="zh-CN"/>
              </w:rPr>
              <w:t>（40分）</w:t>
            </w:r>
          </w:p>
        </w:tc>
        <w:tc>
          <w:tcPr>
            <w:tcW w:w="4116" w:type="pct"/>
            <w:gridSpan w:val="3"/>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1.有效投标价：指响应文件资格、符合性评审且不存在废标情形的投标报价。</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2.评标基准价的确定：满足磋商文件要求通过资格评审的且投标报价最低的作为评标基准价。</w:t>
            </w:r>
          </w:p>
          <w:p>
            <w:pPr>
              <w:spacing w:line="360" w:lineRule="auto"/>
              <w:jc w:val="left"/>
              <w:rPr>
                <w:rFonts w:hint="default" w:asciiTheme="minorEastAsia" w:hAnsiTheme="minorEastAsia"/>
                <w:color w:val="auto"/>
                <w:szCs w:val="21"/>
                <w:shd w:val="clear" w:color="auto" w:fill="CCE8CF" w:themeFill="background1"/>
                <w:lang w:val="en-US"/>
              </w:rPr>
            </w:pPr>
            <w:r>
              <w:rPr>
                <w:rFonts w:hint="eastAsia" w:ascii="宋体" w:hAnsi="宋体" w:eastAsia="宋体" w:cs="宋体"/>
                <w:color w:val="auto"/>
                <w:sz w:val="24"/>
                <w:szCs w:val="24"/>
                <w:lang w:val="en-US" w:eastAsia="zh-CN"/>
              </w:rPr>
              <w:t>3.投标报价得分＝（评标基准价/投标报价）×40</w:t>
            </w:r>
          </w:p>
        </w:tc>
      </w:tr>
    </w:tbl>
    <w:p>
      <w:pPr>
        <w:widowControl/>
        <w:spacing w:line="360" w:lineRule="auto"/>
        <w:jc w:val="left"/>
        <w:rPr>
          <w:rFonts w:ascii="宋体" w:hAnsi="宋体" w:eastAsia="宋体"/>
          <w:b/>
          <w:color w:val="auto"/>
          <w:sz w:val="24"/>
          <w:szCs w:val="24"/>
          <w:shd w:val="clear" w:color="auto" w:fill="CCE8CF" w:themeFill="background1"/>
        </w:rPr>
      </w:pPr>
    </w:p>
    <w:p>
      <w:pPr>
        <w:tabs>
          <w:tab w:val="center" w:pos="4832"/>
          <w:tab w:val="left" w:pos="7140"/>
        </w:tabs>
        <w:spacing w:line="360" w:lineRule="auto"/>
        <w:ind w:firstLine="470" w:firstLineChars="196"/>
        <w:jc w:val="left"/>
        <w:outlineLvl w:val="2"/>
        <w:rPr>
          <w:rFonts w:ascii="宋体" w:hAnsi="宋体" w:eastAsia="宋体" w:cs="宋体"/>
          <w:b/>
          <w:color w:val="auto"/>
          <w:sz w:val="24"/>
          <w:szCs w:val="24"/>
          <w:shd w:val="clear" w:color="auto" w:fill="CCE8CF" w:themeFill="background1"/>
        </w:rPr>
      </w:pPr>
      <w:bookmarkStart w:id="65" w:name="_Toc4037"/>
      <w:r>
        <w:rPr>
          <w:rFonts w:ascii="宋体" w:hAnsi="宋体" w:eastAsia="宋体" w:cs="宋体"/>
          <w:b/>
          <w:color w:val="auto"/>
          <w:sz w:val="24"/>
          <w:szCs w:val="24"/>
          <w:shd w:val="clear" w:color="auto" w:fill="CCE8CF" w:themeFill="background1"/>
        </w:rPr>
        <w:t xml:space="preserve">1. </w:t>
      </w:r>
      <w:r>
        <w:rPr>
          <w:rFonts w:hint="eastAsia" w:ascii="宋体" w:hAnsi="宋体" w:eastAsia="宋体" w:cs="宋体"/>
          <w:b/>
          <w:color w:val="auto"/>
          <w:sz w:val="24"/>
          <w:szCs w:val="24"/>
          <w:shd w:val="clear" w:color="auto" w:fill="CCE8CF" w:themeFill="background1"/>
        </w:rPr>
        <w:t>评审方法</w:t>
      </w:r>
      <w:bookmarkEnd w:id="65"/>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0" w:firstLineChars="196"/>
        <w:jc w:val="left"/>
        <w:outlineLvl w:val="2"/>
        <w:rPr>
          <w:rFonts w:ascii="宋体" w:hAnsi="宋体" w:eastAsia="宋体" w:cs="宋体"/>
          <w:b/>
          <w:color w:val="auto"/>
          <w:sz w:val="24"/>
          <w:szCs w:val="24"/>
          <w:shd w:val="clear" w:color="auto" w:fill="CCE8CF" w:themeFill="background1"/>
        </w:rPr>
      </w:pPr>
      <w:bookmarkStart w:id="66" w:name="_Toc31187"/>
      <w:r>
        <w:rPr>
          <w:rFonts w:ascii="宋体" w:hAnsi="宋体" w:eastAsia="宋体" w:cs="宋体"/>
          <w:b/>
          <w:color w:val="auto"/>
          <w:sz w:val="24"/>
          <w:szCs w:val="24"/>
          <w:shd w:val="clear" w:color="auto" w:fill="CCE8CF" w:themeFill="background1"/>
        </w:rPr>
        <w:t xml:space="preserve">2. </w:t>
      </w:r>
      <w:r>
        <w:rPr>
          <w:rFonts w:hint="eastAsia" w:ascii="宋体" w:hAnsi="宋体" w:eastAsia="宋体" w:cs="宋体"/>
          <w:b/>
          <w:color w:val="auto"/>
          <w:sz w:val="24"/>
          <w:szCs w:val="24"/>
          <w:shd w:val="clear" w:color="auto" w:fill="CCE8CF" w:themeFill="background1"/>
        </w:rPr>
        <w:t>评审标准</w:t>
      </w:r>
      <w:bookmarkEnd w:id="66"/>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1</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2</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完备性及符合性审查：评审因素和评审标准见《符合性审查标准》。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3详细评审：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3</w:t>
      </w:r>
      <w:r>
        <w:rPr>
          <w:rFonts w:ascii="宋体" w:hAnsi="宋体" w:eastAsia="宋体" w:cs="Arial"/>
          <w:color w:val="auto"/>
          <w:kern w:val="0"/>
          <w:sz w:val="24"/>
          <w:szCs w:val="24"/>
          <w:shd w:val="clear" w:color="auto" w:fill="CCE8CF" w:themeFill="background1"/>
        </w:rPr>
        <w:t xml:space="preserve">.2 </w:t>
      </w:r>
      <w:r>
        <w:rPr>
          <w:rFonts w:hint="eastAsia" w:ascii="宋体" w:hAnsi="宋体" w:eastAsia="宋体" w:cs="Arial"/>
          <w:color w:val="auto"/>
          <w:kern w:val="0"/>
          <w:sz w:val="24"/>
          <w:szCs w:val="24"/>
          <w:shd w:val="clear" w:color="auto" w:fill="CCE8CF" w:themeFill="background1"/>
        </w:rPr>
        <w:t>磋商报价评分标准：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）分值构成及权重：见评审办法前附表。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）磋商基准价计算：见评审办法前附表。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（3）磋商报价得分的计算：见评审办法前附表。</w:t>
      </w:r>
    </w:p>
    <w:p>
      <w:pPr>
        <w:tabs>
          <w:tab w:val="center" w:pos="4832"/>
          <w:tab w:val="left" w:pos="7140"/>
        </w:tabs>
        <w:spacing w:line="360" w:lineRule="auto"/>
        <w:ind w:firstLine="470" w:firstLineChars="196"/>
        <w:jc w:val="left"/>
        <w:outlineLvl w:val="2"/>
        <w:rPr>
          <w:rFonts w:ascii="宋体" w:hAnsi="宋体" w:eastAsia="宋体" w:cs="宋体"/>
          <w:b/>
          <w:color w:val="auto"/>
          <w:sz w:val="24"/>
          <w:szCs w:val="24"/>
          <w:shd w:val="clear" w:color="auto" w:fill="CCE8CF" w:themeFill="background1"/>
        </w:rPr>
      </w:pPr>
      <w:bookmarkStart w:id="67" w:name="_Toc19159"/>
      <w:r>
        <w:rPr>
          <w:rFonts w:ascii="宋体" w:hAnsi="宋体" w:eastAsia="宋体" w:cs="宋体"/>
          <w:b/>
          <w:color w:val="auto"/>
          <w:sz w:val="24"/>
          <w:szCs w:val="24"/>
          <w:shd w:val="clear" w:color="auto" w:fill="CCE8CF" w:themeFill="background1"/>
        </w:rPr>
        <w:t xml:space="preserve">3. </w:t>
      </w:r>
      <w:r>
        <w:rPr>
          <w:rFonts w:hint="eastAsia" w:ascii="宋体" w:hAnsi="宋体" w:eastAsia="宋体" w:cs="宋体"/>
          <w:b/>
          <w:color w:val="auto"/>
          <w:sz w:val="24"/>
          <w:szCs w:val="24"/>
          <w:shd w:val="clear" w:color="auto" w:fill="CCE8CF" w:themeFill="background1"/>
        </w:rPr>
        <w:t>评审程序</w:t>
      </w:r>
      <w:bookmarkEnd w:id="67"/>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3.1 </w:t>
      </w:r>
      <w:r>
        <w:rPr>
          <w:rFonts w:hint="eastAsia" w:ascii="宋体" w:hAnsi="宋体" w:eastAsia="宋体" w:cs="Arial"/>
          <w:color w:val="auto"/>
          <w:kern w:val="0"/>
          <w:sz w:val="24"/>
          <w:szCs w:val="24"/>
          <w:shd w:val="clear" w:color="auto" w:fill="CCE8CF" w:themeFill="background1"/>
        </w:rPr>
        <w:t>基本程序</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评审活动将按以下步骤进行：</w:t>
      </w:r>
    </w:p>
    <w:p>
      <w:pPr>
        <w:pStyle w:val="27"/>
        <w:widowControl/>
        <w:numPr>
          <w:ilvl w:val="0"/>
          <w:numId w:val="4"/>
        </w:numPr>
        <w:shd w:val="clear" w:color="auto" w:fill="FFFFFF"/>
        <w:snapToGrid w:val="0"/>
        <w:spacing w:line="360" w:lineRule="auto"/>
        <w:ind w:firstLineChars="0"/>
        <w:rPr>
          <w:rFonts w:ascii="宋体" w:hAnsi="宋体" w:cs="Arial"/>
          <w:color w:val="auto"/>
          <w:kern w:val="0"/>
          <w:sz w:val="24"/>
          <w:szCs w:val="24"/>
          <w:shd w:val="clear" w:color="auto" w:fill="CCE8CF" w:themeFill="background1"/>
        </w:rPr>
      </w:pPr>
      <w:r>
        <w:rPr>
          <w:rFonts w:hint="eastAsia" w:ascii="宋体" w:hAnsi="宋体" w:cs="Arial"/>
          <w:color w:val="auto"/>
          <w:kern w:val="0"/>
          <w:sz w:val="24"/>
          <w:szCs w:val="24"/>
          <w:shd w:val="clear" w:color="auto" w:fill="CCE8CF" w:themeFill="background1"/>
        </w:rPr>
        <w:t>评审准备</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（2） 资格审查</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 完备性及符合性审查</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（4） 第二轮报价</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（5） 详细评审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（6） 澄清、说明或补正</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（7） 推荐</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及提交评审报告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 </w:t>
      </w:r>
      <w:r>
        <w:rPr>
          <w:rFonts w:hint="eastAsia" w:ascii="宋体" w:hAnsi="宋体" w:eastAsia="宋体" w:cs="Arial"/>
          <w:color w:val="auto"/>
          <w:kern w:val="0"/>
          <w:sz w:val="24"/>
          <w:szCs w:val="24"/>
          <w:shd w:val="clear" w:color="auto" w:fill="CCE8CF" w:themeFill="background1"/>
        </w:rPr>
        <w:t>评审准备</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3.2.1</w:t>
      </w:r>
      <w:r>
        <w:rPr>
          <w:rFonts w:hint="eastAsia" w:ascii="宋体" w:hAnsi="宋体" w:eastAsia="宋体" w:cs="Arial"/>
          <w:color w:val="auto"/>
          <w:kern w:val="0"/>
          <w:sz w:val="24"/>
          <w:szCs w:val="24"/>
          <w:shd w:val="clear" w:color="auto" w:fill="CCE8CF" w:themeFill="background1"/>
        </w:rPr>
        <w:t>磋商小组成员签到</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3.2.2 </w:t>
      </w:r>
      <w:r>
        <w:rPr>
          <w:rFonts w:hint="eastAsia" w:ascii="宋体" w:hAnsi="宋体" w:eastAsia="宋体" w:cs="Arial"/>
          <w:color w:val="auto"/>
          <w:kern w:val="0"/>
          <w:sz w:val="24"/>
          <w:szCs w:val="24"/>
          <w:shd w:val="clear" w:color="auto" w:fill="CCE8CF" w:themeFill="background1"/>
        </w:rPr>
        <w:t>磋商小组的分工</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3.2.2.1</w:t>
      </w:r>
      <w:r>
        <w:rPr>
          <w:rFonts w:hint="eastAsia" w:ascii="宋体" w:hAnsi="宋体" w:eastAsia="宋体" w:cs="Arial"/>
          <w:color w:val="auto"/>
          <w:kern w:val="0"/>
          <w:sz w:val="24"/>
          <w:szCs w:val="24"/>
          <w:shd w:val="clear" w:color="auto" w:fill="CCE8C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3.2.2.2 </w:t>
      </w:r>
      <w:r>
        <w:rPr>
          <w:rFonts w:hint="eastAsia" w:ascii="宋体" w:hAnsi="宋体" w:eastAsia="宋体" w:cs="Arial"/>
          <w:color w:val="auto"/>
          <w:kern w:val="0"/>
          <w:sz w:val="24"/>
          <w:szCs w:val="24"/>
          <w:shd w:val="clear" w:color="auto" w:fill="CCE8CF" w:themeFill="background1"/>
        </w:rPr>
        <w:t>磋商小组组长除履行自己作为磋商小组成员独立评审的职责外，主要负责以下工作：</w:t>
      </w:r>
      <w:r>
        <w:rPr>
          <w:rFonts w:ascii="宋体" w:hAnsi="宋体" w:eastAsia="宋体" w:cs="Arial"/>
          <w:color w:val="auto"/>
          <w:kern w:val="0"/>
          <w:sz w:val="24"/>
          <w:szCs w:val="24"/>
          <w:shd w:val="clear" w:color="auto" w:fill="CCE8CF" w:themeFill="background1"/>
        </w:rPr>
        <w:t xml:space="preserve"> </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）组织磋商小组成员学习竞争性磋商文件；</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）组织磋商小组对供应商质询并对供应商的答复进行评审；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4</w:t>
      </w:r>
      <w:r>
        <w:rPr>
          <w:rFonts w:hint="eastAsia" w:ascii="宋体" w:hAnsi="宋体" w:eastAsia="宋体" w:cs="Arial"/>
          <w:color w:val="auto"/>
          <w:kern w:val="0"/>
          <w:sz w:val="24"/>
          <w:szCs w:val="24"/>
          <w:shd w:val="clear" w:color="auto" w:fill="CCE8CF" w:themeFill="background1"/>
        </w:rPr>
        <w:t>）对出现较大争议的事项进行书面记录；</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5</w:t>
      </w:r>
      <w:r>
        <w:rPr>
          <w:rFonts w:hint="eastAsia" w:ascii="宋体" w:hAnsi="宋体" w:eastAsia="宋体" w:cs="Arial"/>
          <w:color w:val="auto"/>
          <w:kern w:val="0"/>
          <w:sz w:val="24"/>
          <w:szCs w:val="24"/>
          <w:shd w:val="clear" w:color="auto" w:fill="CCE8C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6</w:t>
      </w:r>
      <w:r>
        <w:rPr>
          <w:rFonts w:hint="eastAsia" w:ascii="宋体" w:hAnsi="宋体" w:eastAsia="宋体" w:cs="Arial"/>
          <w:color w:val="auto"/>
          <w:kern w:val="0"/>
          <w:sz w:val="24"/>
          <w:szCs w:val="24"/>
          <w:shd w:val="clear" w:color="auto" w:fill="CCE8CF" w:themeFill="background1"/>
        </w:rPr>
        <w:t>）组织对评审结论进行复核确认；</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7</w:t>
      </w:r>
      <w:r>
        <w:rPr>
          <w:rFonts w:hint="eastAsia" w:ascii="宋体" w:hAnsi="宋体" w:eastAsia="宋体" w:cs="Arial"/>
          <w:color w:val="auto"/>
          <w:kern w:val="0"/>
          <w:sz w:val="24"/>
          <w:szCs w:val="24"/>
          <w:shd w:val="clear" w:color="auto" w:fill="CCE8CF" w:themeFill="background1"/>
        </w:rPr>
        <w:t>）组织编写评审报告。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3.2.3 </w:t>
      </w:r>
      <w:r>
        <w:rPr>
          <w:rFonts w:hint="eastAsia" w:ascii="宋体" w:hAnsi="宋体" w:eastAsia="宋体" w:cs="Arial"/>
          <w:color w:val="auto"/>
          <w:kern w:val="0"/>
          <w:sz w:val="24"/>
          <w:szCs w:val="24"/>
          <w:shd w:val="clear" w:color="auto" w:fill="CCE8CF" w:themeFill="background1"/>
        </w:rPr>
        <w:t>熟悉文件资料</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3.2.3.1 </w:t>
      </w:r>
      <w:r>
        <w:rPr>
          <w:rFonts w:hint="eastAsia" w:ascii="宋体" w:hAnsi="宋体" w:eastAsia="宋体" w:cs="Arial"/>
          <w:color w:val="auto"/>
          <w:kern w:val="0"/>
          <w:sz w:val="24"/>
          <w:szCs w:val="24"/>
          <w:shd w:val="clear" w:color="auto" w:fill="CCE8C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 xml:space="preserve">3.2.3.2 </w:t>
      </w:r>
      <w:r>
        <w:rPr>
          <w:rFonts w:hint="eastAsia" w:ascii="宋体" w:hAnsi="宋体" w:eastAsia="宋体" w:cs="Arial"/>
          <w:color w:val="auto"/>
          <w:kern w:val="0"/>
          <w:sz w:val="24"/>
          <w:szCs w:val="24"/>
          <w:shd w:val="clear" w:color="auto" w:fill="CCE8C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）竞争性磋商文件及其澄清修改等竞争性磋商文件补充；</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）未在开标会上当场拒绝的各响应文件；</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）开标会记录；</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4</w:t>
      </w:r>
      <w:r>
        <w:rPr>
          <w:rFonts w:hint="eastAsia" w:ascii="宋体" w:hAnsi="宋体" w:eastAsia="宋体" w:cs="Arial"/>
          <w:color w:val="auto"/>
          <w:kern w:val="0"/>
          <w:sz w:val="24"/>
          <w:szCs w:val="24"/>
          <w:shd w:val="clear" w:color="auto" w:fill="CCE8CF" w:themeFill="background1"/>
        </w:rPr>
        <w:t>）评审表格；</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5</w:t>
      </w:r>
      <w:r>
        <w:rPr>
          <w:rFonts w:hint="eastAsia" w:ascii="宋体" w:hAnsi="宋体" w:eastAsia="宋体" w:cs="Arial"/>
          <w:color w:val="auto"/>
          <w:kern w:val="0"/>
          <w:sz w:val="24"/>
          <w:szCs w:val="24"/>
          <w:shd w:val="clear" w:color="auto" w:fill="CCE8CF" w:themeFill="background1"/>
        </w:rPr>
        <w:t>）其他信息和数据。</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3.3资格审查（适用于资格后审）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4完备性及符合性审查</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4</w:t>
      </w:r>
      <w:r>
        <w:rPr>
          <w:rFonts w:ascii="宋体" w:hAnsi="宋体" w:eastAsia="宋体" w:cs="Arial"/>
          <w:color w:val="auto"/>
          <w:kern w:val="0"/>
          <w:sz w:val="24"/>
          <w:szCs w:val="24"/>
          <w:shd w:val="clear" w:color="auto" w:fill="CCE8CF" w:themeFill="background1"/>
        </w:rPr>
        <w:t xml:space="preserve">.1 </w:t>
      </w:r>
      <w:r>
        <w:rPr>
          <w:rFonts w:hint="eastAsia" w:ascii="宋体" w:hAnsi="宋体" w:eastAsia="宋体" w:cs="Arial"/>
          <w:color w:val="auto"/>
          <w:kern w:val="0"/>
          <w:sz w:val="24"/>
          <w:szCs w:val="24"/>
          <w:shd w:val="clear" w:color="auto" w:fill="CCE8C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4</w:t>
      </w:r>
      <w:r>
        <w:rPr>
          <w:rFonts w:ascii="宋体" w:hAnsi="宋体" w:eastAsia="宋体" w:cs="Arial"/>
          <w:color w:val="auto"/>
          <w:kern w:val="0"/>
          <w:sz w:val="24"/>
          <w:szCs w:val="24"/>
          <w:shd w:val="clear" w:color="auto" w:fill="CCE8CF" w:themeFill="background1"/>
        </w:rPr>
        <w:t xml:space="preserve">.2 </w:t>
      </w:r>
      <w:r>
        <w:rPr>
          <w:rFonts w:hint="eastAsia" w:ascii="宋体" w:hAnsi="宋体" w:eastAsia="宋体" w:cs="Arial"/>
          <w:color w:val="auto"/>
          <w:kern w:val="0"/>
          <w:sz w:val="24"/>
          <w:szCs w:val="24"/>
          <w:shd w:val="clear" w:color="auto" w:fill="CCE8C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4</w:t>
      </w: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5第二轮报价</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3.6、详细评审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澄清、说明和补正</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1</w:t>
      </w:r>
      <w:r>
        <w:rPr>
          <w:rFonts w:hint="eastAsia" w:ascii="宋体" w:hAnsi="宋体" w:eastAsia="宋体" w:cs="Arial"/>
          <w:color w:val="auto"/>
          <w:kern w:val="0"/>
          <w:sz w:val="24"/>
          <w:szCs w:val="24"/>
          <w:shd w:val="clear" w:color="auto" w:fill="CCE8CF" w:themeFill="background1"/>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1</w:t>
      </w:r>
      <w:r>
        <w:rPr>
          <w:rFonts w:hint="eastAsia" w:ascii="宋体" w:hAnsi="宋体" w:eastAsia="宋体" w:cs="Arial"/>
          <w:color w:val="auto"/>
          <w:kern w:val="0"/>
          <w:sz w:val="24"/>
          <w:szCs w:val="24"/>
          <w:shd w:val="clear" w:color="auto" w:fill="CCE8CF" w:themeFill="background1"/>
        </w:rPr>
        <w:t>.2澄清、说明和补正内容不得改变响应文件的实质性内容（算术性错误修正的除外）。供应商的书面澄清、说明和补正属于响应文件的组成部分。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1</w:t>
      </w:r>
      <w:r>
        <w:rPr>
          <w:rFonts w:hint="eastAsia" w:ascii="宋体" w:hAnsi="宋体" w:eastAsia="宋体" w:cs="Arial"/>
          <w:color w:val="auto"/>
          <w:kern w:val="0"/>
          <w:sz w:val="24"/>
          <w:szCs w:val="24"/>
          <w:shd w:val="clear" w:color="auto" w:fill="CCE8CF" w:themeFill="background1"/>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1</w:t>
      </w:r>
      <w:r>
        <w:rPr>
          <w:rFonts w:hint="eastAsia" w:ascii="宋体" w:hAnsi="宋体" w:eastAsia="宋体" w:cs="Arial"/>
          <w:color w:val="auto"/>
          <w:kern w:val="0"/>
          <w:sz w:val="24"/>
          <w:szCs w:val="24"/>
          <w:shd w:val="clear" w:color="auto" w:fill="CCE8CF" w:themeFill="background1"/>
        </w:rPr>
        <w:t>.4磋商小组对供应商提交的澄清、说明或补正有疑问的，可以要求供应商进一步澄清、说明或补正，直至满足磋商小组的要求。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2</w:t>
      </w:r>
      <w:r>
        <w:rPr>
          <w:rFonts w:hint="eastAsia" w:ascii="宋体" w:hAnsi="宋体" w:eastAsia="宋体" w:cs="Arial"/>
          <w:color w:val="auto"/>
          <w:kern w:val="0"/>
          <w:sz w:val="24"/>
          <w:szCs w:val="24"/>
          <w:shd w:val="clear" w:color="auto" w:fill="CCE8CF" w:themeFill="background1"/>
        </w:rPr>
        <w:t>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3</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4</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5</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6</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val="en-US" w:eastAsia="zh-CN"/>
        </w:rPr>
        <w:t>7</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3.6.</w:t>
      </w:r>
      <w:r>
        <w:rPr>
          <w:rFonts w:hint="eastAsia" w:ascii="宋体" w:hAnsi="宋体" w:eastAsia="宋体" w:cs="Arial"/>
          <w:color w:val="auto"/>
          <w:kern w:val="0"/>
          <w:sz w:val="24"/>
          <w:szCs w:val="24"/>
          <w:shd w:val="clear" w:color="auto" w:fill="CCE8CF" w:themeFill="background1"/>
          <w:lang w:val="en-US" w:eastAsia="zh-CN"/>
        </w:rPr>
        <w:t>7</w:t>
      </w:r>
      <w:r>
        <w:rPr>
          <w:rFonts w:hint="eastAsia" w:ascii="宋体" w:hAnsi="宋体" w:eastAsia="宋体" w:cs="Arial"/>
          <w:color w:val="auto"/>
          <w:kern w:val="0"/>
          <w:sz w:val="24"/>
          <w:szCs w:val="24"/>
          <w:shd w:val="clear" w:color="auto" w:fill="CCE8CF" w:themeFill="background1"/>
        </w:rPr>
        <w:t>.1按照总得分由高到低顺序对供应商进行排序；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3.6.</w:t>
      </w:r>
      <w:r>
        <w:rPr>
          <w:rFonts w:hint="eastAsia" w:ascii="宋体" w:hAnsi="宋体" w:eastAsia="宋体" w:cs="Arial"/>
          <w:color w:val="auto"/>
          <w:kern w:val="0"/>
          <w:sz w:val="24"/>
          <w:szCs w:val="24"/>
          <w:shd w:val="clear" w:color="auto" w:fill="CCE8CF" w:themeFill="background1"/>
          <w:lang w:val="en-US" w:eastAsia="zh-CN"/>
        </w:rPr>
        <w:t>7</w:t>
      </w:r>
      <w:r>
        <w:rPr>
          <w:rFonts w:hint="eastAsia" w:ascii="宋体" w:hAnsi="宋体" w:eastAsia="宋体" w:cs="Arial"/>
          <w:color w:val="auto"/>
          <w:kern w:val="0"/>
          <w:sz w:val="24"/>
          <w:szCs w:val="24"/>
          <w:shd w:val="clear" w:color="auto" w:fill="CCE8CF" w:themeFill="background1"/>
        </w:rPr>
        <w:t>.2总</w:t>
      </w:r>
      <w:r>
        <w:rPr>
          <w:rFonts w:ascii="宋体" w:hAnsi="宋体" w:eastAsia="宋体" w:cs="Arial"/>
          <w:color w:val="auto"/>
          <w:kern w:val="0"/>
          <w:sz w:val="24"/>
          <w:szCs w:val="24"/>
          <w:shd w:val="clear" w:color="auto" w:fill="CCE8CF" w:themeFill="background1"/>
        </w:rPr>
        <w:t>得分</w:t>
      </w:r>
      <w:r>
        <w:rPr>
          <w:rFonts w:hint="eastAsia" w:ascii="宋体" w:hAnsi="宋体" w:eastAsia="宋体" w:cs="Arial"/>
          <w:color w:val="auto"/>
          <w:kern w:val="0"/>
          <w:sz w:val="24"/>
          <w:szCs w:val="24"/>
          <w:shd w:val="clear" w:color="auto" w:fill="CCE8CF" w:themeFill="background1"/>
        </w:rPr>
        <w:t>相同时报价低的</w:t>
      </w:r>
      <w:r>
        <w:rPr>
          <w:rFonts w:ascii="宋体" w:hAnsi="宋体" w:eastAsia="宋体" w:cs="Arial"/>
          <w:color w:val="auto"/>
          <w:kern w:val="0"/>
          <w:sz w:val="24"/>
          <w:szCs w:val="24"/>
          <w:shd w:val="clear" w:color="auto" w:fill="CCE8CF" w:themeFill="background1"/>
        </w:rPr>
        <w:t>供应商</w:t>
      </w:r>
      <w:r>
        <w:rPr>
          <w:rFonts w:hint="eastAsia" w:ascii="宋体" w:hAnsi="宋体" w:eastAsia="宋体" w:cs="Arial"/>
          <w:color w:val="auto"/>
          <w:kern w:val="0"/>
          <w:sz w:val="24"/>
          <w:szCs w:val="24"/>
          <w:shd w:val="clear" w:color="auto" w:fill="CCE8CF" w:themeFill="background1"/>
        </w:rPr>
        <w:t>排序靠前；</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7</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推荐</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及提交评审报告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7</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磋商小组推荐</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，总得分排序第一的供应商将被确定为第一</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（总</w:t>
      </w:r>
      <w:r>
        <w:rPr>
          <w:rFonts w:ascii="宋体" w:hAnsi="宋体" w:eastAsia="宋体" w:cs="Arial"/>
          <w:color w:val="auto"/>
          <w:kern w:val="0"/>
          <w:sz w:val="24"/>
          <w:szCs w:val="24"/>
          <w:shd w:val="clear" w:color="auto" w:fill="CCE8CF" w:themeFill="background1"/>
        </w:rPr>
        <w:t>得分</w:t>
      </w:r>
      <w:r>
        <w:rPr>
          <w:rFonts w:hint="eastAsia" w:ascii="宋体" w:hAnsi="宋体" w:eastAsia="宋体" w:cs="Arial"/>
          <w:color w:val="auto"/>
          <w:kern w:val="0"/>
          <w:sz w:val="24"/>
          <w:szCs w:val="24"/>
          <w:shd w:val="clear" w:color="auto" w:fill="CCE8CF" w:themeFill="background1"/>
        </w:rPr>
        <w:t>排序</w:t>
      </w:r>
      <w:r>
        <w:rPr>
          <w:rFonts w:ascii="宋体" w:hAnsi="宋体" w:eastAsia="宋体" w:cs="Arial"/>
          <w:color w:val="auto"/>
          <w:kern w:val="0"/>
          <w:sz w:val="24"/>
          <w:szCs w:val="24"/>
          <w:shd w:val="clear" w:color="auto" w:fill="CCE8CF" w:themeFill="background1"/>
        </w:rPr>
        <w:t>最高的供应商获得</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推荐</w:t>
      </w:r>
      <w:r>
        <w:rPr>
          <w:rFonts w:ascii="宋体" w:hAnsi="宋体" w:eastAsia="宋体" w:cs="Arial"/>
          <w:color w:val="auto"/>
          <w:kern w:val="0"/>
          <w:sz w:val="24"/>
          <w:szCs w:val="24"/>
          <w:shd w:val="clear" w:color="auto" w:fill="CCE8CF" w:themeFill="background1"/>
        </w:rPr>
        <w:t>资格</w:t>
      </w: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其他供应商不作为</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），以此类推确定出规定数量的的</w:t>
      </w:r>
      <w:r>
        <w:rPr>
          <w:rFonts w:hint="eastAsia" w:ascii="宋体" w:hAnsi="宋体" w:eastAsia="宋体" w:cs="Arial"/>
          <w:color w:val="auto"/>
          <w:kern w:val="0"/>
          <w:sz w:val="24"/>
          <w:szCs w:val="24"/>
          <w:shd w:val="clear" w:color="auto" w:fill="CCE8CF" w:themeFill="background1"/>
          <w:lang w:eastAsia="zh-CN"/>
        </w:rPr>
        <w:t>成交候选人</w:t>
      </w:r>
      <w:r>
        <w:rPr>
          <w:rFonts w:hint="eastAsia" w:ascii="宋体" w:hAnsi="宋体" w:eastAsia="宋体" w:cs="Arial"/>
          <w:color w:val="auto"/>
          <w:kern w:val="0"/>
          <w:sz w:val="24"/>
          <w:szCs w:val="24"/>
          <w:shd w:val="clear" w:color="auto" w:fill="CCE8CF" w:themeFill="background1"/>
        </w:rPr>
        <w:t>。</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7</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7</w:t>
      </w:r>
      <w:r>
        <w:rPr>
          <w:rFonts w:ascii="宋体" w:hAnsi="宋体" w:eastAsia="宋体" w:cs="Arial"/>
          <w:color w:val="auto"/>
          <w:kern w:val="0"/>
          <w:sz w:val="24"/>
          <w:szCs w:val="24"/>
          <w:shd w:val="clear" w:color="auto" w:fill="CCE8CF" w:themeFill="background1"/>
        </w:rPr>
        <w:t xml:space="preserve">.3 </w:t>
      </w:r>
      <w:r>
        <w:rPr>
          <w:rFonts w:hint="eastAsia" w:ascii="宋体" w:hAnsi="宋体" w:eastAsia="宋体" w:cs="Arial"/>
          <w:color w:val="auto"/>
          <w:kern w:val="0"/>
          <w:sz w:val="24"/>
          <w:szCs w:val="24"/>
          <w:shd w:val="clear" w:color="auto" w:fill="CCE8CF" w:themeFill="background1"/>
        </w:rPr>
        <w:t>磋商小组完成评审后，应当向采购人提交书面评审报告。</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特殊情况的处置程序</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 xml:space="preserve">.1 </w:t>
      </w:r>
      <w:r>
        <w:rPr>
          <w:rFonts w:hint="eastAsia" w:ascii="宋体" w:hAnsi="宋体" w:eastAsia="宋体" w:cs="Arial"/>
          <w:color w:val="auto"/>
          <w:kern w:val="0"/>
          <w:sz w:val="24"/>
          <w:szCs w:val="24"/>
          <w:shd w:val="clear" w:color="auto" w:fill="CCE8CF" w:themeFill="background1"/>
        </w:rPr>
        <w:t>关于评审活动暂停</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关于评审中途更换评审专家</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 xml:space="preserve">.2.1 </w:t>
      </w:r>
      <w:r>
        <w:rPr>
          <w:rFonts w:hint="eastAsia" w:ascii="宋体" w:hAnsi="宋体" w:eastAsia="宋体" w:cs="Arial"/>
          <w:color w:val="auto"/>
          <w:kern w:val="0"/>
          <w:sz w:val="24"/>
          <w:szCs w:val="24"/>
          <w:shd w:val="clear" w:color="auto" w:fill="CCE8CF" w:themeFill="background1"/>
        </w:rPr>
        <w:t>除非发生下列情况之一，磋商小组成员不得在评审中途更换：</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w:t>
      </w: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）根据法律法规规定，某个或某几个磋商小组成员需要回避。</w:t>
      </w:r>
    </w:p>
    <w:p>
      <w:pPr>
        <w:widowControl/>
        <w:shd w:val="clear" w:color="auto" w:fill="FFFFFF"/>
        <w:snapToGrid w:val="0"/>
        <w:spacing w:line="360" w:lineRule="auto"/>
        <w:ind w:firstLine="480" w:firstLineChars="200"/>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 xml:space="preserve">.2.2 </w:t>
      </w:r>
      <w:r>
        <w:rPr>
          <w:rFonts w:hint="eastAsia" w:ascii="宋体" w:hAnsi="宋体" w:eastAsia="宋体" w:cs="Arial"/>
          <w:color w:val="auto"/>
          <w:kern w:val="0"/>
          <w:sz w:val="24"/>
          <w:szCs w:val="24"/>
          <w:shd w:val="clear" w:color="auto" w:fill="CCE8C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hint="eastAsia" w:ascii="宋体" w:hAnsi="宋体" w:eastAsia="宋体" w:cs="宋体"/>
          <w:color w:val="auto"/>
          <w:sz w:val="24"/>
          <w:szCs w:val="24"/>
        </w:rPr>
      </w:pPr>
      <w:r>
        <w:rPr>
          <w:rFonts w:ascii="宋体" w:hAnsi="宋体" w:eastAsia="宋体" w:cs="Arial"/>
          <w:color w:val="auto"/>
          <w:kern w:val="0"/>
          <w:sz w:val="24"/>
          <w:szCs w:val="24"/>
          <w:shd w:val="clear" w:color="auto" w:fill="CCE8CF" w:themeFill="background1"/>
        </w:rPr>
        <w:t>3.</w:t>
      </w:r>
      <w:r>
        <w:rPr>
          <w:rFonts w:hint="eastAsia" w:ascii="宋体" w:hAnsi="宋体" w:eastAsia="宋体" w:cs="Arial"/>
          <w:color w:val="auto"/>
          <w:kern w:val="0"/>
          <w:sz w:val="24"/>
          <w:szCs w:val="24"/>
          <w:shd w:val="clear" w:color="auto" w:fill="CCE8CF" w:themeFill="background1"/>
        </w:rPr>
        <w:t>8</w:t>
      </w:r>
      <w:r>
        <w:rPr>
          <w:rFonts w:ascii="宋体" w:hAnsi="宋体" w:eastAsia="宋体" w:cs="Arial"/>
          <w:color w:val="auto"/>
          <w:kern w:val="0"/>
          <w:sz w:val="24"/>
          <w:szCs w:val="24"/>
          <w:shd w:val="clear" w:color="auto" w:fill="CCE8CF" w:themeFill="background1"/>
        </w:rPr>
        <w:t xml:space="preserve">.3 </w:t>
      </w:r>
      <w:r>
        <w:rPr>
          <w:rFonts w:hint="eastAsia" w:ascii="宋体" w:hAnsi="宋体" w:eastAsia="宋体" w:cs="Arial"/>
          <w:color w:val="auto"/>
          <w:kern w:val="0"/>
          <w:sz w:val="24"/>
          <w:szCs w:val="24"/>
          <w:shd w:val="clear" w:color="auto" w:fill="CCE8CF" w:themeFill="background1"/>
        </w:rPr>
        <w:t>在评审环节中，需磋商小组就某项定性的评审结论做出表决的，由磋商小组全体成员按照少数服从多数的原则确定。</w:t>
      </w:r>
    </w:p>
    <w:p>
      <w:pPr>
        <w:pStyle w:val="24"/>
        <w:spacing w:line="360" w:lineRule="auto"/>
        <w:jc w:val="both"/>
        <w:outlineLvl w:val="1"/>
        <w:rPr>
          <w:rFonts w:hint="eastAsia" w:ascii="宋体" w:hAnsi="宋体" w:cs="宋体"/>
          <w:b/>
          <w:color w:val="auto"/>
          <w:sz w:val="28"/>
          <w:szCs w:val="20"/>
        </w:rPr>
      </w:pPr>
      <w:bookmarkStart w:id="68" w:name="_Toc20620"/>
      <w:bookmarkStart w:id="69" w:name="_Toc31246"/>
      <w:bookmarkStart w:id="70" w:name="_Toc12598"/>
      <w:bookmarkStart w:id="71" w:name="_Toc12492"/>
      <w:r>
        <w:rPr>
          <w:rFonts w:hint="eastAsia" w:ascii="宋体" w:hAnsi="宋体" w:cs="宋体"/>
          <w:b/>
          <w:color w:val="auto"/>
          <w:sz w:val="28"/>
          <w:szCs w:val="20"/>
          <w:lang w:val="en-US" w:eastAsia="zh-CN"/>
        </w:rPr>
        <w:t>4.</w:t>
      </w:r>
      <w:r>
        <w:rPr>
          <w:rFonts w:hint="eastAsia" w:ascii="宋体" w:hAnsi="宋体" w:cs="宋体"/>
          <w:b/>
          <w:color w:val="auto"/>
          <w:sz w:val="28"/>
          <w:szCs w:val="20"/>
        </w:rPr>
        <w:t>授予合同</w:t>
      </w:r>
      <w:bookmarkEnd w:id="68"/>
      <w:bookmarkEnd w:id="69"/>
      <w:bookmarkEnd w:id="70"/>
      <w:bookmarkEnd w:id="71"/>
    </w:p>
    <w:p>
      <w:pPr>
        <w:pStyle w:val="24"/>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4.1</w:t>
      </w:r>
      <w:r>
        <w:rPr>
          <w:rFonts w:hint="eastAsia" w:ascii="宋体" w:hAnsi="宋体" w:eastAsia="宋体" w:cs="宋体"/>
          <w:b/>
          <w:bCs/>
          <w:color w:val="auto"/>
          <w:sz w:val="24"/>
          <w:szCs w:val="24"/>
        </w:rPr>
        <w:t>.签订商务合同</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.1中标供应商应当在收到《中标通知书》后的7日内与采购人签订合同。</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中标通知书对采购人和中标供应商均具有法律效力。中标通知书发出后，采购人改变中标结果的，或者中标供应商放弃中标项目的，应当依法承担法律责任。</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.2中标合同不得转让。合同分包需在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中予以说明，并需经买方同意。否则，买方有权取消中标供应商的中标资格。</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.3如中标供应商拒签合同, 采购人可从评委推荐出的中标候选人中按推荐顺序重新选定中标供应商，并组织中标供应商和买方签订商务合同，也可以重新开展政府采购活动。</w:t>
      </w:r>
    </w:p>
    <w:p>
      <w:pPr>
        <w:pStyle w:val="24"/>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4.2</w:t>
      </w:r>
      <w:r>
        <w:rPr>
          <w:rFonts w:hint="eastAsia" w:ascii="宋体" w:hAnsi="宋体" w:eastAsia="宋体" w:cs="宋体"/>
          <w:b/>
          <w:bCs/>
          <w:color w:val="auto"/>
          <w:sz w:val="24"/>
          <w:szCs w:val="24"/>
        </w:rPr>
        <w:t>.商务合同的组成</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.1  下列文件均为商务合同不可分割的组成部分：</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.1.2  中标供应商的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.1.3  中标通知书；</w:t>
      </w:r>
    </w:p>
    <w:p>
      <w:pPr>
        <w:pStyle w:val="2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.1.4  投标供应商澄清、说明或补正文件。</w:t>
      </w:r>
    </w:p>
    <w:p>
      <w:pPr>
        <w:pStyle w:val="24"/>
        <w:spacing w:line="360" w:lineRule="auto"/>
        <w:jc w:val="both"/>
        <w:outlineLvl w:val="1"/>
        <w:rPr>
          <w:rFonts w:hint="eastAsia" w:ascii="宋体" w:hAnsi="宋体" w:cs="宋体"/>
          <w:b/>
          <w:color w:val="auto"/>
          <w:sz w:val="28"/>
          <w:szCs w:val="20"/>
        </w:rPr>
      </w:pPr>
      <w:bookmarkStart w:id="72" w:name="_Toc5984"/>
      <w:bookmarkStart w:id="73" w:name="_Toc22708"/>
      <w:bookmarkStart w:id="74" w:name="_Toc15984"/>
      <w:bookmarkStart w:id="75" w:name="_Toc12435"/>
      <w:r>
        <w:rPr>
          <w:rFonts w:hint="eastAsia" w:ascii="宋体" w:hAnsi="宋体" w:cs="宋体"/>
          <w:b/>
          <w:color w:val="auto"/>
          <w:sz w:val="28"/>
          <w:szCs w:val="20"/>
          <w:lang w:val="en-US" w:eastAsia="zh-CN"/>
        </w:rPr>
        <w:t>5.</w:t>
      </w:r>
      <w:r>
        <w:rPr>
          <w:rFonts w:hint="eastAsia" w:ascii="宋体" w:hAnsi="宋体" w:cs="宋体"/>
          <w:b/>
          <w:color w:val="auto"/>
          <w:sz w:val="28"/>
          <w:szCs w:val="20"/>
        </w:rPr>
        <w:t>其他事项</w:t>
      </w:r>
      <w:bookmarkEnd w:id="72"/>
      <w:bookmarkEnd w:id="73"/>
      <w:bookmarkEnd w:id="74"/>
      <w:bookmarkEnd w:id="75"/>
    </w:p>
    <w:p>
      <w:pPr>
        <w:pStyle w:val="24"/>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.中标服务费</w:t>
      </w:r>
    </w:p>
    <w:p>
      <w:pPr>
        <w:ind w:left="-149" w:leftChars="-71"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en-US" w:eastAsia="zh-CN"/>
        </w:rPr>
        <w:t>按发改价格[2011]543号及计价格[2002]1980号文件计算的招标代理服务收费标准下浮</w:t>
      </w:r>
      <w:r>
        <w:rPr>
          <w:rFonts w:hint="eastAsia" w:ascii="宋体" w:hAnsi="宋体" w:cs="宋体"/>
          <w:color w:val="auto"/>
          <w:kern w:val="0"/>
          <w:sz w:val="24"/>
          <w:szCs w:val="24"/>
          <w:highlight w:val="yellow"/>
          <w:lang w:val="en-US" w:eastAsia="zh-CN"/>
        </w:rPr>
        <w:t>5</w:t>
      </w:r>
      <w:r>
        <w:rPr>
          <w:rFonts w:hint="eastAsia" w:ascii="宋体" w:hAnsi="宋体" w:eastAsia="宋体" w:cs="宋体"/>
          <w:color w:val="auto"/>
          <w:kern w:val="0"/>
          <w:sz w:val="24"/>
          <w:szCs w:val="24"/>
          <w:highlight w:val="yellow"/>
          <w:lang w:val="en-US" w:eastAsia="zh-CN"/>
        </w:rPr>
        <w:t>0%</w:t>
      </w:r>
      <w:r>
        <w:rPr>
          <w:rFonts w:hint="eastAsia" w:ascii="宋体" w:hAnsi="宋体" w:eastAsia="宋体" w:cs="宋体"/>
          <w:color w:val="auto"/>
          <w:sz w:val="24"/>
          <w:szCs w:val="24"/>
        </w:rPr>
        <w:t>的收费标准一次性付清中标服务费。（招标代理服务费不得在投标报价表中单列）</w:t>
      </w:r>
    </w:p>
    <w:p>
      <w:pPr>
        <w:pStyle w:val="24"/>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.2中标服务费的计算基数：</w:t>
      </w:r>
      <w:r>
        <w:rPr>
          <w:rFonts w:hint="eastAsia" w:ascii="宋体" w:hAnsi="宋体" w:eastAsia="宋体" w:cs="宋体"/>
          <w:b/>
          <w:color w:val="auto"/>
          <w:sz w:val="24"/>
          <w:szCs w:val="24"/>
          <w:u w:val="single"/>
        </w:rPr>
        <w:t>中标通知书载明的中标金额</w:t>
      </w:r>
      <w:r>
        <w:rPr>
          <w:rFonts w:hint="eastAsia" w:ascii="宋体" w:hAnsi="宋体" w:eastAsia="宋体" w:cs="宋体"/>
          <w:b/>
          <w:color w:val="auto"/>
          <w:sz w:val="24"/>
          <w:szCs w:val="24"/>
        </w:rPr>
        <w:t>。</w:t>
      </w:r>
    </w:p>
    <w:p>
      <w:pPr>
        <w:pStyle w:val="24"/>
        <w:numPr>
          <w:ilvl w:val="0"/>
          <w:numId w:val="0"/>
        </w:num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5.1.3</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是根据《中华人民共和国政府采购法》、《中华人民共和国政府采购法实施条例》的规定编制，解释权属</w:t>
      </w:r>
      <w:r>
        <w:rPr>
          <w:rFonts w:hint="eastAsia" w:ascii="宋体" w:hAnsi="宋体" w:cs="宋体"/>
          <w:color w:val="auto"/>
          <w:sz w:val="24"/>
          <w:szCs w:val="24"/>
          <w:lang w:val="en-US" w:eastAsia="zh-Hans"/>
        </w:rPr>
        <w:t>华诚博远工程咨询有限公司</w:t>
      </w:r>
      <w:r>
        <w:rPr>
          <w:rFonts w:hint="eastAsia" w:ascii="宋体" w:hAnsi="宋体" w:eastAsia="宋体" w:cs="宋体"/>
          <w:color w:val="auto"/>
          <w:sz w:val="24"/>
          <w:szCs w:val="24"/>
        </w:rPr>
        <w:t>。</w:t>
      </w:r>
    </w:p>
    <w:p>
      <w:pPr>
        <w:pStyle w:val="24"/>
        <w:spacing w:line="360" w:lineRule="auto"/>
        <w:ind w:firstLine="480" w:firstLineChars="200"/>
        <w:jc w:val="both"/>
        <w:outlineLvl w:val="0"/>
        <w:rPr>
          <w:rFonts w:hint="eastAsia" w:ascii="宋体" w:hAnsi="宋体" w:eastAsia="宋体" w:cs="宋体"/>
          <w:color w:val="auto"/>
          <w:sz w:val="24"/>
          <w:szCs w:val="24"/>
        </w:rPr>
      </w:pPr>
      <w:bookmarkStart w:id="76" w:name="_Toc29808"/>
      <w:bookmarkStart w:id="77" w:name="_Toc533086790"/>
      <w:bookmarkStart w:id="78" w:name="_Toc1033"/>
      <w:bookmarkStart w:id="79" w:name="_Toc9271"/>
      <w:bookmarkStart w:id="80" w:name="_Toc30929"/>
      <w:r>
        <w:rPr>
          <w:rFonts w:hint="eastAsia" w:ascii="宋体" w:hAnsi="宋体" w:eastAsia="宋体" w:cs="宋体"/>
          <w:color w:val="auto"/>
          <w:sz w:val="24"/>
          <w:szCs w:val="24"/>
          <w:lang w:val="en-US" w:eastAsia="zh-CN"/>
        </w:rPr>
        <w:t>5.1.4</w:t>
      </w:r>
      <w:r>
        <w:rPr>
          <w:rFonts w:hint="eastAsia" w:ascii="宋体" w:hAnsi="宋体" w:eastAsia="宋体" w:cs="宋体"/>
          <w:color w:val="auto"/>
          <w:sz w:val="24"/>
          <w:szCs w:val="24"/>
        </w:rPr>
        <w:t>参与本次招标的供应商应当有商务、技术人员对评标委员会提出的商务、技术问题进行答疑。</w:t>
      </w:r>
      <w:bookmarkEnd w:id="76"/>
      <w:bookmarkEnd w:id="77"/>
      <w:bookmarkEnd w:id="78"/>
      <w:bookmarkEnd w:id="79"/>
      <w:bookmarkEnd w:id="80"/>
    </w:p>
    <w:p>
      <w:pPr>
        <w:pStyle w:val="2"/>
        <w:numPr>
          <w:ilvl w:val="0"/>
          <w:numId w:val="0"/>
        </w:numPr>
        <w:jc w:val="center"/>
        <w:rPr>
          <w:rFonts w:hint="eastAsia" w:ascii="宋体" w:hAnsi="宋体" w:cs="宋体"/>
          <w:b/>
          <w:color w:val="auto"/>
          <w:sz w:val="40"/>
          <w:lang w:eastAsia="zh-CN"/>
        </w:rPr>
      </w:pPr>
      <w:bookmarkStart w:id="81" w:name="_Toc3372"/>
      <w:bookmarkStart w:id="82" w:name="_Toc776"/>
      <w:bookmarkStart w:id="83" w:name="_Toc26248"/>
      <w:bookmarkStart w:id="84" w:name="_Toc449387774"/>
    </w:p>
    <w:p>
      <w:pPr>
        <w:pStyle w:val="2"/>
        <w:numPr>
          <w:ilvl w:val="0"/>
          <w:numId w:val="0"/>
        </w:numPr>
        <w:jc w:val="center"/>
        <w:rPr>
          <w:rFonts w:hint="eastAsia" w:ascii="宋体" w:hAnsi="宋体" w:cs="宋体"/>
          <w:b/>
          <w:color w:val="auto"/>
          <w:sz w:val="40"/>
          <w:lang w:eastAsia="zh-CN"/>
        </w:rPr>
      </w:pPr>
    </w:p>
    <w:p>
      <w:pPr>
        <w:pStyle w:val="2"/>
        <w:numPr>
          <w:ilvl w:val="0"/>
          <w:numId w:val="0"/>
        </w:numPr>
        <w:jc w:val="center"/>
        <w:rPr>
          <w:rFonts w:hint="eastAsia"/>
          <w:lang w:val="en-US" w:eastAsia="zh-CN"/>
        </w:rPr>
      </w:pPr>
      <w:r>
        <w:rPr>
          <w:rFonts w:hint="eastAsia" w:ascii="宋体" w:hAnsi="宋体" w:cs="宋体"/>
          <w:b/>
          <w:color w:val="auto"/>
          <w:sz w:val="40"/>
          <w:lang w:eastAsia="zh-CN"/>
        </w:rPr>
        <w:t>第三章、</w:t>
      </w:r>
      <w:bookmarkEnd w:id="81"/>
      <w:bookmarkEnd w:id="82"/>
      <w:bookmarkEnd w:id="83"/>
      <w:bookmarkEnd w:id="84"/>
      <w:r>
        <w:rPr>
          <w:rFonts w:hint="eastAsia" w:ascii="宋体" w:hAnsi="宋体" w:cs="宋体"/>
          <w:b/>
          <w:color w:val="auto"/>
          <w:sz w:val="40"/>
          <w:lang w:eastAsia="zh-CN"/>
        </w:rPr>
        <w:t>招标参数</w:t>
      </w:r>
    </w:p>
    <w:p>
      <w:pPr>
        <w:spacing w:line="360" w:lineRule="auto"/>
        <w:jc w:val="center"/>
        <w:rPr>
          <w:rFonts w:ascii="宋体" w:hAnsi="宋体" w:eastAsia="宋体" w:cs="宋体"/>
          <w:b/>
          <w:bCs/>
          <w:sz w:val="32"/>
          <w:szCs w:val="32"/>
        </w:rPr>
      </w:pPr>
      <w:r>
        <w:rPr>
          <w:rFonts w:hint="eastAsia" w:ascii="宋体" w:hAnsi="宋体" w:cs="宋体"/>
          <w:b/>
          <w:bCs/>
          <w:sz w:val="32"/>
          <w:szCs w:val="32"/>
          <w:lang w:eastAsia="zh-CN"/>
        </w:rPr>
        <w:t>新疆医科大学附属肿瘤医院新建门诊综合楼独立排风及PCR实验室、八楼九楼手术室及次供应室净化区室内装修及消防改造工程项目</w:t>
      </w:r>
      <w:r>
        <w:rPr>
          <w:rFonts w:hint="eastAsia" w:ascii="宋体" w:hAnsi="宋体" w:eastAsia="宋体" w:cs="宋体"/>
          <w:b/>
          <w:bCs/>
          <w:sz w:val="32"/>
          <w:szCs w:val="32"/>
        </w:rPr>
        <w:t>招标参数</w:t>
      </w:r>
    </w:p>
    <w:p>
      <w:pPr>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第一章：项目概况</w:t>
      </w:r>
    </w:p>
    <w:p>
      <w:pPr>
        <w:spacing w:line="360" w:lineRule="auto"/>
        <w:jc w:val="left"/>
        <w:rPr>
          <w:rFonts w:hint="eastAsia" w:ascii="宋体" w:hAnsi="宋体" w:eastAsia="宋体" w:cs="宋体"/>
          <w:sz w:val="28"/>
          <w:szCs w:val="28"/>
          <w:lang w:eastAsia="zh-CN"/>
        </w:rPr>
      </w:pPr>
      <w:r>
        <w:rPr>
          <w:rFonts w:hint="eastAsia" w:ascii="宋体" w:hAnsi="宋体" w:eastAsia="宋体" w:cs="宋体"/>
          <w:kern w:val="0"/>
          <w:sz w:val="28"/>
          <w:szCs w:val="28"/>
        </w:rPr>
        <w:t>一、</w:t>
      </w:r>
      <w:r>
        <w:rPr>
          <w:rFonts w:hint="eastAsia" w:ascii="宋体" w:hAnsi="宋体" w:eastAsia="宋体" w:cs="宋体"/>
          <w:sz w:val="28"/>
          <w:szCs w:val="28"/>
        </w:rPr>
        <w:t>项目名称：</w:t>
      </w:r>
      <w:r>
        <w:rPr>
          <w:rFonts w:hint="eastAsia" w:ascii="宋体" w:hAnsi="宋体" w:cs="宋体"/>
          <w:sz w:val="28"/>
          <w:szCs w:val="28"/>
          <w:lang w:eastAsia="zh-CN"/>
        </w:rPr>
        <w:t>新疆医科大学附属肿瘤医院新建门诊综合楼独立排风及PCR实验室、八楼九楼手术室及次供应室净化区室内装修及消防改造工程项目</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二、项目概况与招标范围 </w:t>
      </w:r>
    </w:p>
    <w:p>
      <w:pPr>
        <w:spacing w:line="360" w:lineRule="auto"/>
        <w:rPr>
          <w:rFonts w:ascii="宋体" w:hAnsi="宋体" w:eastAsia="宋体" w:cs="宋体"/>
          <w:b/>
          <w:bCs/>
          <w:kern w:val="0"/>
          <w:sz w:val="28"/>
          <w:szCs w:val="28"/>
        </w:rPr>
      </w:pPr>
      <w:r>
        <w:rPr>
          <w:rFonts w:hint="eastAsia" w:ascii="宋体" w:hAnsi="宋体" w:eastAsia="宋体" w:cs="宋体"/>
          <w:kern w:val="0"/>
          <w:sz w:val="28"/>
          <w:szCs w:val="28"/>
        </w:rPr>
        <w:t>1.本次招标项目的建设地点：新疆医科大学附属肿瘤医院</w:t>
      </w:r>
    </w:p>
    <w:p>
      <w:pPr>
        <w:spacing w:line="360" w:lineRule="auto"/>
        <w:rPr>
          <w:rFonts w:ascii="宋体" w:hAnsi="宋体" w:eastAsia="宋体" w:cs="宋体"/>
          <w:b/>
          <w:bCs/>
          <w:kern w:val="0"/>
          <w:sz w:val="28"/>
          <w:szCs w:val="28"/>
        </w:rPr>
      </w:pPr>
      <w:r>
        <w:rPr>
          <w:rFonts w:hint="eastAsia" w:ascii="宋体" w:hAnsi="宋体" w:eastAsia="宋体" w:cs="宋体"/>
          <w:kern w:val="0"/>
          <w:sz w:val="28"/>
          <w:szCs w:val="28"/>
        </w:rPr>
        <w:t>2.工程规模：3766平米。</w:t>
      </w:r>
    </w:p>
    <w:p>
      <w:pPr>
        <w:pStyle w:val="6"/>
        <w:spacing w:line="360" w:lineRule="auto"/>
        <w:ind w:firstLine="0"/>
        <w:rPr>
          <w:rFonts w:ascii="宋体" w:hAnsi="宋体" w:cs="宋体"/>
          <w:sz w:val="28"/>
          <w:szCs w:val="28"/>
        </w:rPr>
      </w:pPr>
      <w:r>
        <w:rPr>
          <w:rFonts w:hint="eastAsia" w:ascii="宋体" w:hAnsi="宋体" w:cs="宋体"/>
          <w:sz w:val="28"/>
          <w:szCs w:val="28"/>
        </w:rPr>
        <w:t>3.招标范围：七层局部病理科PCR实验室、八层九层手术室及设备机房区域，详见施工图纸。</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三、</w:t>
      </w:r>
      <w:r>
        <w:rPr>
          <w:rFonts w:hint="eastAsia" w:ascii="宋体" w:hAnsi="宋体" w:eastAsia="宋体" w:cs="宋体"/>
          <w:kern w:val="0"/>
          <w:sz w:val="28"/>
          <w:szCs w:val="28"/>
          <w:highlight w:val="yellow"/>
        </w:rPr>
        <w:t>投标人资格要求</w:t>
      </w:r>
    </w:p>
    <w:p>
      <w:pPr>
        <w:spacing w:line="360" w:lineRule="auto"/>
        <w:rPr>
          <w:rFonts w:ascii="宋体" w:hAnsi="宋体" w:eastAsia="宋体" w:cs="宋体"/>
          <w:sz w:val="28"/>
          <w:szCs w:val="28"/>
        </w:rPr>
      </w:pPr>
      <w:r>
        <w:rPr>
          <w:rFonts w:hint="eastAsia" w:ascii="宋体" w:hAnsi="宋体" w:eastAsia="宋体" w:cs="宋体"/>
          <w:sz w:val="28"/>
          <w:szCs w:val="28"/>
        </w:rPr>
        <w:t>（1）具有独立法人资格且营业执照在有效期内；</w:t>
      </w:r>
    </w:p>
    <w:p>
      <w:pPr>
        <w:spacing w:line="400" w:lineRule="exact"/>
        <w:rPr>
          <w:rFonts w:hint="eastAsia" w:ascii="宋体" w:hAnsi="宋体" w:eastAsia="宋体" w:cs="Times New Roman"/>
          <w:color w:val="auto"/>
          <w:sz w:val="22"/>
          <w:szCs w:val="22"/>
          <w:highlight w:val="yellow"/>
          <w:lang w:val="en-US" w:eastAsia="zh-CN"/>
        </w:rPr>
      </w:pPr>
      <w:r>
        <w:rPr>
          <w:rFonts w:hint="eastAsia" w:ascii="宋体" w:hAnsi="宋体" w:eastAsia="宋体" w:cs="宋体"/>
          <w:sz w:val="28"/>
          <w:szCs w:val="28"/>
        </w:rPr>
        <w:t>（2）须同时具备：</w:t>
      </w:r>
      <w:r>
        <w:rPr>
          <w:rFonts w:hint="eastAsia" w:ascii="宋体" w:hAnsi="宋体" w:eastAsia="宋体" w:cs="Times New Roman"/>
          <w:color w:val="auto"/>
          <w:sz w:val="22"/>
          <w:szCs w:val="22"/>
          <w:highlight w:val="yellow"/>
          <w:lang w:val="en-US" w:eastAsia="zh-CN"/>
        </w:rPr>
        <w:sym w:font="Wingdings" w:char="F081"/>
      </w:r>
      <w:r>
        <w:rPr>
          <w:rFonts w:hint="eastAsia" w:ascii="宋体" w:hAnsi="宋体" w:cs="Times New Roman"/>
          <w:color w:val="auto"/>
          <w:sz w:val="22"/>
          <w:szCs w:val="22"/>
          <w:highlight w:val="yellow"/>
          <w:lang w:val="en-US" w:eastAsia="zh-CN"/>
        </w:rPr>
        <w:t>有效期内的消防设施工程专业承包贰级及以上资质或有效期内的消防设施工程设计与施工贰级及以上资质，需持有有效的安全生产许可证，并具有履行合同所必须的设备和专业技</w:t>
      </w:r>
      <w:r>
        <w:rPr>
          <w:rFonts w:hint="eastAsia" w:ascii="宋体" w:hAnsi="宋体" w:eastAsia="宋体" w:cs="Times New Roman"/>
          <w:color w:val="auto"/>
          <w:sz w:val="22"/>
          <w:szCs w:val="22"/>
          <w:highlight w:val="yellow"/>
          <w:lang w:val="en-US" w:eastAsia="zh-CN"/>
        </w:rPr>
        <w:t>术能力。</w:t>
      </w:r>
    </w:p>
    <w:p>
      <w:pPr>
        <w:spacing w:line="360" w:lineRule="auto"/>
        <w:ind w:firstLine="440" w:firstLineChars="200"/>
        <w:jc w:val="left"/>
        <w:rPr>
          <w:rFonts w:ascii="宋体" w:hAnsi="宋体" w:eastAsia="宋体" w:cs="宋体"/>
          <w:sz w:val="28"/>
          <w:szCs w:val="28"/>
        </w:rPr>
      </w:pPr>
      <w:r>
        <w:rPr>
          <w:rFonts w:hint="eastAsia" w:ascii="宋体" w:hAnsi="宋体" w:eastAsia="宋体" w:cs="Times New Roman"/>
          <w:color w:val="auto"/>
          <w:sz w:val="22"/>
          <w:szCs w:val="22"/>
          <w:highlight w:val="yellow"/>
          <w:lang w:val="en-US" w:eastAsia="zh-CN"/>
        </w:rPr>
        <w:sym w:font="Wingdings" w:char="F082"/>
      </w:r>
      <w:r>
        <w:rPr>
          <w:rFonts w:hint="eastAsia" w:ascii="宋体" w:hAnsi="宋体" w:eastAsia="宋体" w:cs="Times New Roman"/>
          <w:color w:val="auto"/>
          <w:sz w:val="22"/>
          <w:szCs w:val="22"/>
          <w:highlight w:val="yellow"/>
          <w:lang w:val="en-US" w:eastAsia="zh-CN"/>
        </w:rPr>
        <w:t>项目负责人要求：注册建造师（建筑工程专业）二级及以上，并具有有效的安全生产考核合格证书（B类），本单位注册。</w:t>
      </w:r>
      <w:r>
        <w:rPr>
          <w:rFonts w:hint="eastAsia" w:ascii="宋体" w:hAnsi="宋体" w:eastAsia="宋体" w:cs="宋体"/>
          <w:sz w:val="28"/>
          <w:szCs w:val="28"/>
        </w:rPr>
        <w:t xml:space="preserve"> </w:t>
      </w:r>
    </w:p>
    <w:p>
      <w:pPr>
        <w:spacing w:line="360" w:lineRule="auto"/>
        <w:jc w:val="left"/>
        <w:rPr>
          <w:rFonts w:ascii="宋体" w:hAnsi="宋体" w:eastAsia="宋体" w:cs="宋体"/>
          <w:sz w:val="28"/>
          <w:szCs w:val="28"/>
        </w:rPr>
      </w:pPr>
      <w:r>
        <w:rPr>
          <w:rFonts w:hint="eastAsia" w:ascii="宋体" w:hAnsi="宋体" w:eastAsia="宋体" w:cs="宋体"/>
          <w:sz w:val="28"/>
          <w:szCs w:val="28"/>
        </w:rPr>
        <w:t>（3）须提供企业信用截图证明彩色纸质打印件并加盖公章（查询渠道：“信用中国”网站（www.creditchina.gov.cn）、中国政府采购网（www.ccgp.gov.cn）及中国裁判文书网（http://wenshu.court.gov.cn/），对有行贿犯罪记录、列入信用中国失信被执行人、</w:t>
      </w:r>
      <w:r>
        <w:rPr>
          <w:rFonts w:hint="eastAsia" w:ascii="宋体" w:hAnsi="宋体" w:eastAsia="宋体" w:cs="宋体"/>
          <w:color w:val="auto"/>
          <w:sz w:val="28"/>
          <w:szCs w:val="28"/>
          <w:highlight w:val="none"/>
          <w:lang w:eastAsia="zh-CN"/>
        </w:rPr>
        <w:t>税收违法黑名单</w:t>
      </w:r>
      <w:r>
        <w:rPr>
          <w:rFonts w:hint="eastAsia" w:ascii="宋体" w:hAnsi="宋体" w:eastAsia="宋体" w:cs="宋体"/>
          <w:sz w:val="28"/>
          <w:szCs w:val="28"/>
        </w:rPr>
        <w:t>、中国政府采购严重违法或失信行为记录的投标企业，拒绝其参与招投标活动。</w:t>
      </w:r>
    </w:p>
    <w:p>
      <w:pPr>
        <w:spacing w:line="360" w:lineRule="auto"/>
        <w:jc w:val="left"/>
        <w:rPr>
          <w:rFonts w:ascii="宋体" w:hAnsi="宋体" w:eastAsia="宋体" w:cs="宋体"/>
          <w:sz w:val="28"/>
          <w:szCs w:val="28"/>
        </w:rPr>
      </w:pPr>
      <w:r>
        <w:rPr>
          <w:rFonts w:hint="eastAsia" w:ascii="宋体" w:hAnsi="宋体" w:eastAsia="宋体" w:cs="宋体"/>
          <w:sz w:val="28"/>
          <w:szCs w:val="28"/>
        </w:rPr>
        <w:t>（4）本项目不接受联合体投标。</w:t>
      </w:r>
    </w:p>
    <w:p>
      <w:pPr>
        <w:spacing w:line="360" w:lineRule="auto"/>
        <w:rPr>
          <w:rFonts w:ascii="宋体" w:hAnsi="宋体" w:eastAsia="宋体" w:cs="宋体"/>
          <w:b/>
          <w:sz w:val="28"/>
          <w:szCs w:val="28"/>
        </w:rPr>
      </w:pPr>
      <w:r>
        <w:rPr>
          <w:rFonts w:hint="eastAsia" w:ascii="宋体" w:hAnsi="宋体" w:eastAsia="宋体" w:cs="宋体"/>
          <w:sz w:val="28"/>
          <w:szCs w:val="28"/>
        </w:rPr>
        <w:t>四、</w:t>
      </w:r>
      <w:r>
        <w:rPr>
          <w:rFonts w:hint="eastAsia" w:ascii="宋体" w:hAnsi="宋体" w:eastAsia="宋体" w:cs="宋体"/>
          <w:bCs/>
          <w:sz w:val="28"/>
          <w:szCs w:val="28"/>
        </w:rPr>
        <w:t>基本要求：</w:t>
      </w:r>
    </w:p>
    <w:p>
      <w:pPr>
        <w:numPr>
          <w:ilvl w:val="0"/>
          <w:numId w:val="5"/>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投标产品必须注明生产厂家和品牌并附有产品出厂合格证；</w:t>
      </w:r>
    </w:p>
    <w:p>
      <w:pPr>
        <w:numPr>
          <w:ilvl w:val="0"/>
          <w:numId w:val="5"/>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投标产品须有国家有关部门质量认证证书；</w:t>
      </w:r>
    </w:p>
    <w:p>
      <w:pPr>
        <w:pStyle w:val="8"/>
        <w:numPr>
          <w:ilvl w:val="0"/>
          <w:numId w:val="5"/>
        </w:numPr>
        <w:spacing w:before="0" w:line="360" w:lineRule="auto"/>
        <w:ind w:left="0" w:firstLine="0"/>
        <w:jc w:val="left"/>
        <w:rPr>
          <w:rFonts w:ascii="宋体" w:hAnsi="宋体" w:eastAsia="宋体" w:cs="宋体"/>
          <w:sz w:val="28"/>
          <w:szCs w:val="28"/>
        </w:rPr>
      </w:pPr>
      <w:r>
        <w:rPr>
          <w:rFonts w:hint="eastAsia" w:ascii="宋体" w:hAnsi="宋体" w:eastAsia="宋体" w:cs="宋体"/>
          <w:sz w:val="28"/>
          <w:szCs w:val="28"/>
        </w:rPr>
        <w:t>本工程为装修及消防改造工程，火灾报警系统前期设备厂家为海湾品牌、应急照明系统前期设备厂家为中科智创产品，中标方投标产品需与大楼消防各系统联动，保证满足消防系统在实际情况中正常使用和满足消防验收标准。</w:t>
      </w:r>
    </w:p>
    <w:p>
      <w:pPr>
        <w:pStyle w:val="8"/>
        <w:numPr>
          <w:ilvl w:val="0"/>
          <w:numId w:val="5"/>
        </w:numPr>
        <w:spacing w:before="0" w:line="360" w:lineRule="auto"/>
        <w:ind w:left="0" w:firstLine="0"/>
        <w:jc w:val="left"/>
        <w:rPr>
          <w:rFonts w:ascii="宋体" w:hAnsi="宋体" w:eastAsia="宋体" w:cs="宋体"/>
          <w:sz w:val="28"/>
          <w:szCs w:val="28"/>
        </w:rPr>
      </w:pPr>
      <w:r>
        <w:rPr>
          <w:rFonts w:hint="eastAsia" w:ascii="宋体" w:hAnsi="宋体" w:eastAsia="宋体" w:cs="宋体"/>
          <w:sz w:val="28"/>
          <w:szCs w:val="28"/>
        </w:rPr>
        <w:t>投标方中标后需指定专门负责人负责进场的材料运输、施工协调、安全管理、统一部署并与招标方进行唯一对接，且在施工前需制定合理的进度计划，然后进行施工；</w:t>
      </w:r>
    </w:p>
    <w:p>
      <w:pPr>
        <w:numPr>
          <w:ilvl w:val="0"/>
          <w:numId w:val="5"/>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本次工程设备、材料的运输、进场、安装、施工、调试、验收等因素导致对原有建筑装饰、设备、设施及功能破坏的地方，中标方竣工前应对其完全恢复其外观、功能；</w:t>
      </w:r>
    </w:p>
    <w:p>
      <w:pPr>
        <w:numPr>
          <w:ilvl w:val="0"/>
          <w:numId w:val="5"/>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*本次工程为交钥匙工程，不仅需完成本次图纸、清单要求的内容，还需负责解决消防验收部门或有关部门提出影响或阻碍消防验收的问题，以及配合招标方办理消防验收必备的手续，直至完成最终的消防验收。</w:t>
      </w:r>
    </w:p>
    <w:p>
      <w:pPr>
        <w:spacing w:line="360" w:lineRule="auto"/>
        <w:jc w:val="left"/>
        <w:rPr>
          <w:rFonts w:ascii="宋体" w:hAnsi="宋体" w:eastAsia="宋体" w:cs="宋体"/>
          <w:sz w:val="28"/>
          <w:szCs w:val="28"/>
        </w:rPr>
      </w:pPr>
      <w:r>
        <w:rPr>
          <w:rFonts w:hint="eastAsia" w:ascii="宋体" w:hAnsi="宋体" w:eastAsia="宋体" w:cs="宋体"/>
          <w:sz w:val="28"/>
          <w:szCs w:val="28"/>
        </w:rPr>
        <w:t>五、商务条款：</w:t>
      </w:r>
    </w:p>
    <w:p>
      <w:pPr>
        <w:numPr>
          <w:ilvl w:val="0"/>
          <w:numId w:val="6"/>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中标方对本次施工内容质保≥2年。</w:t>
      </w:r>
    </w:p>
    <w:p>
      <w:pPr>
        <w:numPr>
          <w:ilvl w:val="0"/>
          <w:numId w:val="6"/>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本工程竣工时需对相关人员进行设备的操作培训和调试的使用手册、维护手册、电路图等相关资料；</w:t>
      </w:r>
    </w:p>
    <w:p>
      <w:pPr>
        <w:numPr>
          <w:ilvl w:val="0"/>
          <w:numId w:val="6"/>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合同签订后支付合同总额的30%为预付款；工程施工结束后支付合同总额的30%为进度款；经相关部门消防验收合格，出具消防验收意见书后支付合同总额的37%为竣工款；剩余合同总额的3%作为质保金，质保期结束后支付。</w:t>
      </w:r>
    </w:p>
    <w:p>
      <w:pPr>
        <w:numPr>
          <w:ilvl w:val="0"/>
          <w:numId w:val="6"/>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本次项目施工周期为20天（日历日），从签订合同之日起，超出施工周期每天按中标价的千分之一处罚。</w:t>
      </w:r>
    </w:p>
    <w:p>
      <w:pPr>
        <w:spacing w:line="360" w:lineRule="auto"/>
        <w:jc w:val="center"/>
        <w:outlineLvl w:val="1"/>
        <w:rPr>
          <w:rFonts w:ascii="宋体" w:hAnsi="宋体" w:eastAsia="宋体" w:cs="宋体"/>
          <w:b/>
          <w:bCs/>
          <w:sz w:val="28"/>
          <w:szCs w:val="28"/>
        </w:rPr>
      </w:pPr>
      <w:r>
        <w:rPr>
          <w:rFonts w:hint="eastAsia" w:ascii="宋体" w:hAnsi="宋体" w:eastAsia="宋体" w:cs="宋体"/>
          <w:b/>
          <w:bCs/>
          <w:sz w:val="28"/>
          <w:szCs w:val="28"/>
        </w:rPr>
        <w:t>第二章： 技术规范、标准</w:t>
      </w:r>
    </w:p>
    <w:p>
      <w:pPr>
        <w:pStyle w:val="8"/>
        <w:spacing w:before="0" w:line="360" w:lineRule="auto"/>
        <w:rPr>
          <w:rFonts w:ascii="宋体" w:hAnsi="宋体" w:eastAsia="宋体" w:cs="宋体"/>
          <w:sz w:val="28"/>
          <w:szCs w:val="28"/>
        </w:rPr>
      </w:pPr>
      <w:r>
        <w:rPr>
          <w:rFonts w:hint="eastAsia" w:ascii="宋体" w:hAnsi="宋体" w:eastAsia="宋体" w:cs="宋体"/>
          <w:sz w:val="28"/>
          <w:szCs w:val="28"/>
        </w:rPr>
        <w:t>全部技术指标，包括设备、材料、包装、运输、安装、调试、验收等各项目技术参数，必须符合本招标文件及国家规范的相关要求。包括但不限于下列规范：</w:t>
      </w:r>
    </w:p>
    <w:p>
      <w:pPr>
        <w:spacing w:line="360" w:lineRule="auto"/>
        <w:outlineLvl w:val="1"/>
        <w:rPr>
          <w:rFonts w:ascii="宋体" w:hAnsi="宋体" w:eastAsia="宋体" w:cs="宋体"/>
          <w:sz w:val="28"/>
          <w:szCs w:val="28"/>
        </w:rPr>
      </w:pPr>
      <w:r>
        <w:rPr>
          <w:rFonts w:hint="eastAsia" w:ascii="宋体" w:hAnsi="宋体" w:eastAsia="宋体" w:cs="宋体"/>
          <w:sz w:val="28"/>
          <w:szCs w:val="28"/>
        </w:rPr>
        <w:t>《中华人民共和国消防法》</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《民用建筑电气设计标准》GB51348-2019</w:t>
      </w:r>
    </w:p>
    <w:p>
      <w:pPr>
        <w:spacing w:line="360" w:lineRule="auto"/>
        <w:outlineLvl w:val="1"/>
        <w:rPr>
          <w:rFonts w:ascii="宋体" w:hAnsi="宋体" w:eastAsia="宋体" w:cs="宋体"/>
          <w:sz w:val="28"/>
          <w:szCs w:val="28"/>
        </w:rPr>
      </w:pPr>
      <w:r>
        <w:rPr>
          <w:rFonts w:hint="eastAsia" w:ascii="宋体" w:hAnsi="宋体" w:eastAsia="宋体" w:cs="宋体"/>
          <w:sz w:val="28"/>
          <w:szCs w:val="28"/>
        </w:rPr>
        <w:t>《供配电系统设计规范》GB50052-2009</w:t>
      </w:r>
    </w:p>
    <w:p>
      <w:pPr>
        <w:spacing w:line="360" w:lineRule="auto"/>
        <w:outlineLvl w:val="1"/>
        <w:rPr>
          <w:rFonts w:ascii="宋体" w:hAnsi="宋体" w:eastAsia="宋体" w:cs="宋体"/>
          <w:sz w:val="28"/>
          <w:szCs w:val="28"/>
        </w:rPr>
      </w:pPr>
      <w:r>
        <w:rPr>
          <w:rFonts w:hint="eastAsia" w:ascii="宋体" w:hAnsi="宋体" w:eastAsia="宋体" w:cs="宋体"/>
          <w:sz w:val="28"/>
          <w:szCs w:val="28"/>
        </w:rPr>
        <w:t>《低压配电设计规范》GB50054-2011</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《建筑照明设计标准》GB50034-2013</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《民用建筑电气防火设计规程》XJJ068-2014</w:t>
      </w:r>
    </w:p>
    <w:p>
      <w:pPr>
        <w:spacing w:line="360" w:lineRule="auto"/>
        <w:outlineLvl w:val="1"/>
        <w:rPr>
          <w:rFonts w:ascii="宋体" w:hAnsi="宋体" w:eastAsia="宋体" w:cs="宋体"/>
          <w:sz w:val="28"/>
          <w:szCs w:val="28"/>
        </w:rPr>
      </w:pPr>
      <w:r>
        <w:rPr>
          <w:rFonts w:hint="eastAsia" w:ascii="宋体" w:hAnsi="宋体" w:eastAsia="宋体" w:cs="宋体"/>
          <w:sz w:val="28"/>
          <w:szCs w:val="28"/>
        </w:rPr>
        <w:t>《火灾自动报警系统设计规范》GB50116-2013</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《消防应急照明和疏散指示系统技术标准》GB51309-2018</w:t>
      </w:r>
    </w:p>
    <w:p>
      <w:pPr>
        <w:spacing w:line="360" w:lineRule="auto"/>
        <w:outlineLvl w:val="1"/>
        <w:rPr>
          <w:rFonts w:ascii="宋体" w:hAnsi="宋体" w:eastAsia="宋体" w:cs="宋体"/>
          <w:sz w:val="28"/>
          <w:szCs w:val="28"/>
        </w:rPr>
      </w:pPr>
      <w:r>
        <w:rPr>
          <w:rFonts w:hint="eastAsia" w:ascii="宋体" w:hAnsi="宋体" w:eastAsia="宋体" w:cs="宋体"/>
          <w:sz w:val="28"/>
          <w:szCs w:val="28"/>
        </w:rPr>
        <w:t>《综合医院建筑设计规范》GB51039-2014</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《医疗建筑电气设计规范》JGJ312-2013</w:t>
      </w:r>
    </w:p>
    <w:p>
      <w:pPr>
        <w:spacing w:line="360" w:lineRule="auto"/>
        <w:outlineLvl w:val="1"/>
        <w:rPr>
          <w:rFonts w:ascii="宋体" w:hAnsi="宋体" w:eastAsia="宋体" w:cs="宋体"/>
          <w:sz w:val="28"/>
          <w:szCs w:val="28"/>
        </w:rPr>
      </w:pPr>
      <w:r>
        <w:rPr>
          <w:rFonts w:hint="eastAsia" w:ascii="宋体" w:hAnsi="宋体" w:eastAsia="宋体" w:cs="宋体"/>
          <w:sz w:val="28"/>
          <w:szCs w:val="28"/>
        </w:rPr>
        <w:t xml:space="preserve">《建筑给水排水设计标准》GB50015-2019 </w:t>
      </w:r>
    </w:p>
    <w:p>
      <w:pPr>
        <w:spacing w:line="360" w:lineRule="auto"/>
        <w:outlineLvl w:val="1"/>
        <w:rPr>
          <w:rFonts w:ascii="宋体" w:hAnsi="宋体" w:eastAsia="宋体" w:cs="宋体"/>
          <w:sz w:val="28"/>
          <w:szCs w:val="28"/>
        </w:rPr>
      </w:pPr>
      <w:r>
        <w:rPr>
          <w:rFonts w:hint="eastAsia" w:ascii="宋体" w:hAnsi="宋体" w:eastAsia="宋体" w:cs="宋体"/>
          <w:sz w:val="28"/>
          <w:szCs w:val="28"/>
        </w:rPr>
        <w:t xml:space="preserve">《建筑防火封堵应用技术标准》GB/T51410-2020 </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《建筑工程设计文件编制深度规定》》（2016版）</w:t>
      </w:r>
    </w:p>
    <w:p>
      <w:pPr>
        <w:spacing w:line="360" w:lineRule="auto"/>
        <w:outlineLvl w:val="1"/>
        <w:rPr>
          <w:rFonts w:ascii="宋体" w:hAnsi="宋体" w:eastAsia="宋体" w:cs="宋体"/>
          <w:sz w:val="28"/>
          <w:szCs w:val="28"/>
        </w:rPr>
      </w:pPr>
      <w:r>
        <w:rPr>
          <w:rFonts w:hint="eastAsia" w:ascii="宋体" w:hAnsi="宋体" w:eastAsia="宋体" w:cs="宋体"/>
          <w:sz w:val="28"/>
          <w:szCs w:val="28"/>
        </w:rPr>
        <w:t xml:space="preserve">《房屋建筑制图统一标准》GB／T 50001-2017 </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《建筑设计防火规范》GB 50016-2014（2018年版）</w:t>
      </w:r>
    </w:p>
    <w:p>
      <w:pPr>
        <w:spacing w:line="360" w:lineRule="auto"/>
        <w:outlineLvl w:val="1"/>
        <w:rPr>
          <w:rFonts w:ascii="宋体" w:hAnsi="宋体" w:eastAsia="宋体" w:cs="宋体"/>
          <w:sz w:val="28"/>
          <w:szCs w:val="28"/>
        </w:rPr>
      </w:pPr>
      <w:r>
        <w:rPr>
          <w:rFonts w:hint="eastAsia" w:ascii="宋体" w:hAnsi="宋体" w:eastAsia="宋体" w:cs="宋体"/>
          <w:sz w:val="28"/>
          <w:szCs w:val="28"/>
        </w:rPr>
        <w:t xml:space="preserve">《建筑内部装修设计防火规范》GB 50222-2017 </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《民用建筑工程室内环境污染控制标准》GB50325-2020</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《消防给水及消火栓系统技术规范》GB 50974-2014</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《建筑灭火器配置设计规范》GB 50140-2005</w:t>
      </w:r>
    </w:p>
    <w:p>
      <w:pPr>
        <w:spacing w:line="360" w:lineRule="auto"/>
        <w:outlineLvl w:val="1"/>
        <w:rPr>
          <w:rFonts w:ascii="宋体" w:hAnsi="宋体" w:eastAsia="宋体" w:cs="宋体"/>
          <w:sz w:val="28"/>
          <w:szCs w:val="28"/>
        </w:rPr>
      </w:pPr>
      <w:r>
        <w:rPr>
          <w:rFonts w:hint="eastAsia" w:ascii="宋体" w:hAnsi="宋体" w:eastAsia="宋体" w:cs="宋体"/>
          <w:sz w:val="28"/>
          <w:szCs w:val="28"/>
        </w:rPr>
        <w:t>《自动喷水灭火系统设计规范》GB50084-2017</w:t>
      </w:r>
    </w:p>
    <w:p>
      <w:pPr>
        <w:spacing w:line="360" w:lineRule="auto"/>
        <w:outlineLvl w:val="1"/>
        <w:rPr>
          <w:rFonts w:ascii="宋体" w:hAnsi="宋体" w:eastAsia="宋体" w:cs="宋体"/>
          <w:sz w:val="28"/>
          <w:szCs w:val="28"/>
        </w:rPr>
      </w:pPr>
      <w:r>
        <w:rPr>
          <w:rFonts w:hint="eastAsia" w:ascii="宋体" w:hAnsi="宋体" w:eastAsia="宋体" w:cs="宋体"/>
          <w:sz w:val="28"/>
          <w:szCs w:val="28"/>
        </w:rPr>
        <w:t xml:space="preserve">《建筑防烟排烟系统技术标准》GB 51251-2017  </w:t>
      </w:r>
    </w:p>
    <w:p>
      <w:pPr>
        <w:spacing w:line="360" w:lineRule="auto"/>
        <w:outlineLvl w:val="1"/>
        <w:rPr>
          <w:rFonts w:ascii="宋体" w:hAnsi="宋体" w:eastAsia="宋体" w:cs="宋体"/>
          <w:sz w:val="28"/>
          <w:szCs w:val="28"/>
        </w:rPr>
      </w:pPr>
      <w:r>
        <w:rPr>
          <w:rFonts w:hint="eastAsia" w:ascii="宋体" w:hAnsi="宋体" w:eastAsia="宋体" w:cs="宋体"/>
          <w:sz w:val="28"/>
          <w:szCs w:val="28"/>
        </w:rPr>
        <w:t>《乌鲁木齐市既有建筑改造消防设计审查工作指南（试行）》乌建防发【2021】173号</w:t>
      </w:r>
    </w:p>
    <w:p>
      <w:pPr>
        <w:spacing w:line="360" w:lineRule="auto"/>
        <w:outlineLvl w:val="1"/>
        <w:rPr>
          <w:rFonts w:ascii="宋体" w:hAnsi="宋体" w:eastAsia="宋体" w:cs="宋体"/>
          <w:sz w:val="28"/>
          <w:szCs w:val="28"/>
        </w:rPr>
      </w:pPr>
      <w:r>
        <w:rPr>
          <w:rFonts w:hint="eastAsia" w:ascii="宋体" w:hAnsi="宋体" w:eastAsia="宋体" w:cs="宋体"/>
          <w:sz w:val="28"/>
          <w:szCs w:val="28"/>
        </w:rPr>
        <w:t>新疆维吾尔自治区《2012系列建筑标准设计图集》以及和本项目相关的国家强制性标准和地方强制性标准。</w:t>
      </w:r>
    </w:p>
    <w:p>
      <w:pPr>
        <w:spacing w:line="360" w:lineRule="auto"/>
        <w:outlineLvl w:val="1"/>
        <w:rPr>
          <w:rFonts w:ascii="宋体" w:hAnsi="宋体" w:eastAsia="宋体" w:cs="宋体"/>
          <w:sz w:val="28"/>
          <w:szCs w:val="28"/>
        </w:rPr>
      </w:pPr>
      <w:r>
        <w:rPr>
          <w:rFonts w:hint="eastAsia" w:ascii="宋体" w:hAnsi="宋体" w:eastAsia="宋体" w:cs="宋体"/>
          <w:sz w:val="28"/>
          <w:szCs w:val="28"/>
        </w:rPr>
        <w:t>其它与本项目相关的技术规范。如果国家有新的行业标准公布，则按新标准执行。</w:t>
      </w:r>
    </w:p>
    <w:p>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第三章：用户需求书</w:t>
      </w:r>
    </w:p>
    <w:p>
      <w:pPr>
        <w:spacing w:line="360" w:lineRule="auto"/>
        <w:rPr>
          <w:rFonts w:ascii="宋体" w:hAnsi="宋体" w:eastAsia="宋体" w:cs="宋体"/>
          <w:sz w:val="28"/>
          <w:szCs w:val="28"/>
        </w:rPr>
      </w:pPr>
      <w:r>
        <w:rPr>
          <w:rFonts w:hint="eastAsia" w:ascii="宋体" w:hAnsi="宋体" w:eastAsia="宋体" w:cs="宋体"/>
          <w:sz w:val="28"/>
          <w:szCs w:val="28"/>
        </w:rPr>
        <w:t>工程施工招标内容</w:t>
      </w:r>
      <w:r>
        <w:rPr>
          <w:rFonts w:hint="eastAsia" w:ascii="宋体" w:hAnsi="宋体" w:eastAsia="宋体" w:cs="宋体"/>
          <w:b/>
          <w:bCs/>
          <w:sz w:val="28"/>
          <w:szCs w:val="28"/>
        </w:rPr>
        <w:t>：</w:t>
      </w:r>
      <w:r>
        <w:rPr>
          <w:rFonts w:hint="eastAsia" w:ascii="宋体" w:hAnsi="宋体" w:eastAsia="宋体" w:cs="宋体"/>
          <w:sz w:val="28"/>
          <w:szCs w:val="28"/>
        </w:rPr>
        <w:t>包含室内应急照明系统、火灾报警系统、防排烟系统、给排水系统、自动喷淋系统的改造，以及部分需要维修的管网，需要更换的阀门等。（详见招标图纸等资料）。</w:t>
      </w:r>
    </w:p>
    <w:p>
      <w:pPr>
        <w:spacing w:line="360" w:lineRule="auto"/>
        <w:rPr>
          <w:rFonts w:ascii="宋体" w:hAnsi="宋体" w:eastAsia="宋体" w:cs="宋体"/>
          <w:b/>
          <w:bCs/>
          <w:sz w:val="28"/>
          <w:szCs w:val="28"/>
        </w:rPr>
      </w:pPr>
      <w:r>
        <w:rPr>
          <w:rFonts w:hint="eastAsia" w:ascii="宋体" w:hAnsi="宋体" w:eastAsia="宋体" w:cs="宋体"/>
          <w:b/>
          <w:bCs/>
          <w:sz w:val="28"/>
          <w:szCs w:val="28"/>
        </w:rPr>
        <w:t>各系统项目技术要求：</w:t>
      </w:r>
    </w:p>
    <w:p>
      <w:pPr>
        <w:spacing w:line="360" w:lineRule="auto"/>
        <w:rPr>
          <w:rFonts w:ascii="宋体" w:hAnsi="宋体" w:eastAsia="宋体" w:cs="宋体"/>
          <w:b/>
          <w:bCs/>
          <w:sz w:val="28"/>
          <w:szCs w:val="28"/>
        </w:rPr>
      </w:pPr>
      <w:r>
        <w:rPr>
          <w:rFonts w:hint="eastAsia" w:ascii="宋体" w:hAnsi="宋体" w:eastAsia="宋体" w:cs="宋体"/>
          <w:b/>
          <w:bCs/>
          <w:sz w:val="28"/>
          <w:szCs w:val="28"/>
        </w:rPr>
        <w:t>应急照明系统：</w:t>
      </w:r>
    </w:p>
    <w:p>
      <w:pPr>
        <w:numPr>
          <w:ilvl w:val="0"/>
          <w:numId w:val="7"/>
        </w:numPr>
        <w:spacing w:line="360" w:lineRule="auto"/>
        <w:ind w:left="0" w:firstLine="0"/>
        <w:jc w:val="left"/>
        <w:rPr>
          <w:rFonts w:ascii="宋体" w:hAnsi="宋体" w:eastAsia="宋体" w:cs="宋体"/>
          <w:sz w:val="28"/>
          <w:szCs w:val="28"/>
        </w:rPr>
      </w:pPr>
      <w:r>
        <w:rPr>
          <w:rFonts w:hint="eastAsia" w:ascii="宋体" w:hAnsi="宋体" w:eastAsia="宋体" w:cs="宋体"/>
          <w:sz w:val="28"/>
          <w:szCs w:val="28"/>
        </w:rPr>
        <w:t>本工程消防负荷、应急照明等负荷按一级负荷供电。</w:t>
      </w:r>
    </w:p>
    <w:p>
      <w:pPr>
        <w:numPr>
          <w:ilvl w:val="0"/>
          <w:numId w:val="7"/>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供电方式：本工程采用混合供电方式（放射式+树干式）。</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配电箱必须严格按照电气设计系统图所给的要求制作。内置相线、N线、PE线排，应有统一的色别标识（色别见线路敷设说明）。配电箱外形尺寸由制造厂按制造标准确定。</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电线选型：消防支线选用WDZN-YJ(F)E型无卤低烟阻燃耐火（A级）-辐照铜芯交联聚烯烃绝缘电缆。</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应急照明选用WDZN-RYSP耐火型无卤低烟阻燃耐火（A级）-屏蔽铜芯双绞型连接软电线。</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电缆、电线燃烧性能B1级、产烟毒性为t1级、燃烧滴落物/微粒等级为d1级。</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本工程保护管选择：进户管、配电箱到配电箱干线保护管、应急照明支线、消防支线线路保护管为热镀锌金属管。钢管应用厚壁管。</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消防用电的线路在明敷时，所穿金属导管或金属线槽应作防火保护措施。线路暗敷时，应穿管敷设在不燃烧结构内且保护层厚度不应小于30mm。</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消防应急疏散照明系统的配电线路穿SC热镀锌钢管敷设。</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消防应急疏散照明系统的配电线路敷设在不燃烧体内，其余线路均沿墙、地面、楼板暗敷设或在吊顶内明敷设。</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本工程电线绝缘层颜色分色统一标准：相线第一相（L1）：黄色、相线第二相（L2）：绿色、相线第三相（L3）：红色、中性线（N）：淡蓝色、保护线（PE）：绿/黄双色。</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本工程配电室、楼层配电总箱已设置剩余电流式电气火灾监控系统，统设置在楼层配电总箱处，本次装修新增配电箱由楼层配电总箱引来。</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探测漏电电流、过电流等信号，发出声光信号报警，报出故障线路地址，监视故障点的变化。</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储存各种故障和操作试验信号，信号存储时间应不少于6个月。</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电气火灾监控系统应检测配电线路的剩余电流和温度（探测器的报警温度值应设定在70℃），当超过限定值时应报警。</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监控模块放于配电箱面上。</w:t>
      </w:r>
    </w:p>
    <w:p>
      <w:pPr>
        <w:numPr>
          <w:ilvl w:val="0"/>
          <w:numId w:val="7"/>
        </w:numPr>
        <w:spacing w:line="360" w:lineRule="auto"/>
        <w:ind w:left="0" w:firstLine="0"/>
        <w:rPr>
          <w:rFonts w:ascii="宋体" w:hAnsi="宋体" w:eastAsia="宋体" w:cs="宋体"/>
          <w:sz w:val="28"/>
          <w:szCs w:val="28"/>
          <w:lang w:val="zh-CN"/>
        </w:rPr>
      </w:pPr>
      <w:r>
        <w:rPr>
          <w:rFonts w:hint="eastAsia" w:ascii="宋体" w:hAnsi="宋体" w:eastAsia="宋体" w:cs="宋体"/>
          <w:sz w:val="28"/>
          <w:szCs w:val="28"/>
          <w:lang w:val="zh-CN"/>
        </w:rPr>
        <w:t>二次装修中对楼层总配电箱改造后，设置的剩余电流式电气火灾监控系统，应根据原楼品牌采购，保证系统正常运行。</w:t>
      </w:r>
    </w:p>
    <w:p>
      <w:pPr>
        <w:spacing w:line="360" w:lineRule="auto"/>
        <w:jc w:val="left"/>
        <w:rPr>
          <w:rFonts w:ascii="宋体" w:hAnsi="宋体" w:eastAsia="宋体" w:cs="宋体"/>
          <w:b/>
          <w:bCs/>
          <w:sz w:val="28"/>
          <w:szCs w:val="28"/>
        </w:rPr>
      </w:pPr>
    </w:p>
    <w:p>
      <w:pPr>
        <w:spacing w:line="360" w:lineRule="auto"/>
        <w:rPr>
          <w:rFonts w:ascii="宋体" w:hAnsi="宋体" w:eastAsia="宋体" w:cs="宋体"/>
          <w:b/>
          <w:bCs/>
          <w:sz w:val="28"/>
          <w:szCs w:val="28"/>
        </w:rPr>
      </w:pPr>
      <w:r>
        <w:rPr>
          <w:rFonts w:hint="eastAsia" w:ascii="宋体" w:hAnsi="宋体" w:eastAsia="宋体" w:cs="宋体"/>
          <w:b/>
          <w:bCs/>
          <w:sz w:val="28"/>
          <w:szCs w:val="28"/>
        </w:rPr>
        <w:t>火灾报警系统：</w:t>
      </w:r>
    </w:p>
    <w:p>
      <w:pPr>
        <w:spacing w:line="360" w:lineRule="auto"/>
        <w:jc w:val="left"/>
        <w:rPr>
          <w:rFonts w:ascii="宋体" w:hAnsi="宋体" w:eastAsia="宋体" w:cs="宋体"/>
          <w:b/>
          <w:bCs/>
          <w:sz w:val="28"/>
          <w:szCs w:val="28"/>
        </w:rPr>
      </w:pPr>
      <w:r>
        <w:rPr>
          <w:rFonts w:hint="eastAsia" w:ascii="宋体" w:hAnsi="宋体" w:eastAsia="宋体" w:cs="宋体"/>
          <w:b/>
          <w:bCs/>
          <w:sz w:val="28"/>
          <w:szCs w:val="28"/>
        </w:rPr>
        <w:t>系统设计</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火灾报警系统由火灾探测器、手动火灾报警按钮、消防报警输入型模块、区域显示器、火灾声光报警器、消防应急广播、消防专用电话、消防控制室图形显示装置、消防联动控制器、消防联动控制模块等组成。</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火灾自动报警及联动控制系统均采用总线制。工程中采用报警总线与联动总线系统，这两类总线为独立总线，不能共用。</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系统总线上设置总线短路隔离器，每只总线短路隔离器保护的火灾探测器、手动火灾报警按钮和模块等消防设备的总数不应超过32点；总线穿越防火分区时，在穿越处设置总线短路隔离器。</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火灾报警控制器所连接的火灾探测器、手动火灾报警按钮和模块等设备总数和地址总数，均不超过3200点。若实际工程中总数设备总数和地址总超过3200点，增设火灾报警控制器以满足规范要求。</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消防联动控制器地址总数或火灾报警控制器(联动型)所控制的各类模块总数不超过1600点，每一联动总线回路连接设备的总数不超过100点。</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本次消防机柜、广播机柜布置仅为示意图，广播柜设置在消防联动控制器(柜)旁。</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消防广播支路线路模块具有输出显示信号和保护、控制功能。</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消防专用电话网络为独立的消防通信系统。</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火灾自动报警系统设置交流电源和蓄电池备用电源。满足不小于</w:t>
      </w:r>
      <w:r>
        <w:rPr>
          <w:rFonts w:hint="eastAsia" w:ascii="宋体" w:hAnsi="宋体" w:eastAsia="宋体" w:cs="宋体"/>
          <w:sz w:val="28"/>
          <w:szCs w:val="28"/>
        </w:rPr>
        <w:t>180</w:t>
      </w:r>
      <w:r>
        <w:rPr>
          <w:rFonts w:hint="eastAsia" w:ascii="宋体" w:hAnsi="宋体" w:eastAsia="宋体" w:cs="宋体"/>
          <w:sz w:val="28"/>
          <w:szCs w:val="28"/>
          <w:lang w:val="zh-CN"/>
        </w:rPr>
        <w:t>分钟供电要求。</w:t>
      </w:r>
    </w:p>
    <w:p>
      <w:pPr>
        <w:numPr>
          <w:ilvl w:val="0"/>
          <w:numId w:val="8"/>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消防报警、联动系统接地采用联合接地，其接地电阻不应大于1欧。</w:t>
      </w:r>
    </w:p>
    <w:p>
      <w:pPr>
        <w:spacing w:line="360" w:lineRule="auto"/>
        <w:jc w:val="left"/>
        <w:rPr>
          <w:rFonts w:ascii="宋体" w:hAnsi="宋体" w:eastAsia="宋体" w:cs="宋体"/>
          <w:b/>
          <w:bCs/>
          <w:sz w:val="28"/>
          <w:szCs w:val="28"/>
        </w:rPr>
      </w:pPr>
      <w:r>
        <w:rPr>
          <w:rFonts w:hint="eastAsia" w:ascii="宋体" w:hAnsi="宋体" w:eastAsia="宋体" w:cs="宋体"/>
          <w:b/>
          <w:bCs/>
          <w:sz w:val="28"/>
          <w:szCs w:val="28"/>
        </w:rPr>
        <w:t>系统功能：</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lang w:val="zh-CN"/>
        </w:rPr>
        <w:t>该火灾自动报警系统为集中报警系统，具有自动巡检功能，当发生火情或故障时，消防中心控制柜有声光报警信号，显示窗有明显显示，使值班人员明确火情或故障位置，按事先编好的软件程序，通过消防联动控制器自动或手动启动、关闭有关设备，并将当前工作状况反馈到控制柜上。</w:t>
      </w:r>
    </w:p>
    <w:p>
      <w:pPr>
        <w:spacing w:line="360" w:lineRule="auto"/>
        <w:jc w:val="left"/>
        <w:rPr>
          <w:rFonts w:ascii="宋体" w:hAnsi="宋体" w:eastAsia="宋体" w:cs="宋体"/>
          <w:b/>
          <w:bCs/>
          <w:sz w:val="28"/>
          <w:szCs w:val="28"/>
          <w:lang w:val="zh-CN"/>
        </w:rPr>
      </w:pPr>
      <w:r>
        <w:rPr>
          <w:rFonts w:hint="eastAsia" w:ascii="宋体" w:hAnsi="宋体" w:eastAsia="宋体" w:cs="宋体"/>
          <w:b/>
          <w:bCs/>
          <w:sz w:val="28"/>
          <w:szCs w:val="28"/>
          <w:lang w:val="zh-CN"/>
        </w:rPr>
        <w:t>联动控制功能：</w:t>
      </w:r>
    </w:p>
    <w:p>
      <w:pPr>
        <w:spacing w:line="360" w:lineRule="auto"/>
        <w:jc w:val="left"/>
        <w:rPr>
          <w:rFonts w:ascii="宋体" w:hAnsi="宋体" w:eastAsia="宋体" w:cs="宋体"/>
          <w:sz w:val="28"/>
          <w:szCs w:val="28"/>
        </w:rPr>
      </w:pPr>
      <w:r>
        <w:rPr>
          <w:rFonts w:hint="eastAsia" w:ascii="宋体" w:hAnsi="宋体" w:eastAsia="宋体" w:cs="宋体"/>
          <w:sz w:val="28"/>
          <w:szCs w:val="28"/>
        </w:rPr>
        <w:t>一、消火栓系统：</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联动控制方式，由消火栓系统出水干管上设置的压力开关、消防水箱出水管上设置的流量开关或报警阀压力开关等信号作为触发信号，直接控制启动消火栓泵，联动控制不受消防联动控制器处于自动或手动状态影响。当设置消火栓按钮时，消火栓按钮的动作信号作为报警信号及启动消火栓泵的联动触发信号，由消防联动控制器联动控制消火栓泵的启动。</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val="zh-CN"/>
        </w:rPr>
        <w:t>消火栓泵的动作信号反馈至消防联动控制器。</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lang w:val="zh-CN"/>
        </w:rPr>
        <w:t>二、火灾报警和消防应急广播系统</w:t>
      </w:r>
    </w:p>
    <w:p>
      <w:pPr>
        <w:numPr>
          <w:ilvl w:val="0"/>
          <w:numId w:val="9"/>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应急广播与普通广播或背景音乐广播合用时，具有强制切入消防应急广播的功能。消防应急广播系统的联动控制信号由消防联动控制器发出。当确认火灾后，同时向全楼进行广播。同一建筑内设置多个火灾声警报器时，火灾自动报警系统能同时启动和停止所有火灾声警报器工作。</w:t>
      </w:r>
    </w:p>
    <w:p>
      <w:pPr>
        <w:numPr>
          <w:ilvl w:val="0"/>
          <w:numId w:val="9"/>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火灾声警报器单次发出火灾警报时间为</w:t>
      </w:r>
      <w:r>
        <w:rPr>
          <w:rFonts w:hint="eastAsia" w:ascii="宋体" w:hAnsi="宋体" w:eastAsia="宋体" w:cs="宋体"/>
          <w:sz w:val="28"/>
          <w:szCs w:val="28"/>
        </w:rPr>
        <w:t>8s-20s，同时设</w:t>
      </w:r>
      <w:r>
        <w:rPr>
          <w:rFonts w:hint="eastAsia" w:ascii="宋体" w:hAnsi="宋体" w:eastAsia="宋体" w:cs="宋体"/>
          <w:sz w:val="28"/>
          <w:szCs w:val="28"/>
          <w:lang w:val="zh-CN"/>
        </w:rPr>
        <w:t>有消防应急广播时，火灾声警报应与消防应急广播交替循环播放。消防应急广播的功率放大器能满足全楼同时进行消防广播使用。</w:t>
      </w:r>
    </w:p>
    <w:p>
      <w:pPr>
        <w:numPr>
          <w:ilvl w:val="0"/>
          <w:numId w:val="9"/>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消防控制室能显示所有排烟阀、排烟口、正压送风阀、正压送风口的动作信号。</w:t>
      </w:r>
    </w:p>
    <w:p>
      <w:pPr>
        <w:numPr>
          <w:ilvl w:val="0"/>
          <w:numId w:val="9"/>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排烟系统的监视和控制</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zh-CN"/>
        </w:rPr>
        <w:t>消防控制室能显示风机的电源状况,运行状态和故障显示；控制排烟阀的开启及状态显示；排烟风机的启停控制；自动或现场手动直接启动排烟风机。系统中任一排烟阀或排烟口开启时，排烟风机自动启动。</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lang w:val="zh-CN"/>
        </w:rPr>
        <w:t xml:space="preserve">    当火灾确认后，火灾自动报警系统应在15S内打开相关层的排烟阀（平时关闭）或排烟口,同时连锁启动相应的排烟阀、排烟口、排烟风机;当火灾温度达到 280℃时,排烟阀熔丝熔断,排烟阀关闭,排烟风机吸入口处的280℃防火阀关闭后,联锁停止相应的排烟风机。</w:t>
      </w:r>
    </w:p>
    <w:p>
      <w:pPr>
        <w:spacing w:line="360" w:lineRule="auto"/>
        <w:jc w:val="left"/>
        <w:rPr>
          <w:rFonts w:ascii="宋体" w:hAnsi="宋体" w:eastAsia="宋体" w:cs="宋体"/>
          <w:sz w:val="28"/>
          <w:szCs w:val="28"/>
          <w:lang w:val="zh-CN"/>
        </w:rPr>
      </w:pPr>
      <w:r>
        <w:rPr>
          <w:rFonts w:hint="eastAsia" w:ascii="宋体" w:hAnsi="宋体" w:eastAsia="宋体" w:cs="宋体"/>
          <w:sz w:val="28"/>
          <w:szCs w:val="28"/>
          <w:lang w:val="zh-CN"/>
        </w:rPr>
        <w:t>常闭排烟口、排烟阀具有火灾自动报警系统联动开启、消防控制手动开启和现场手动开启功能,其开启信号与排烟风机联动。</w:t>
      </w:r>
    </w:p>
    <w:p>
      <w:pPr>
        <w:numPr>
          <w:ilvl w:val="0"/>
          <w:numId w:val="9"/>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相关联动控制设计</w:t>
      </w:r>
    </w:p>
    <w:p>
      <w:pPr>
        <w:spacing w:line="360" w:lineRule="auto"/>
        <w:ind w:firstLine="560" w:firstLineChars="200"/>
        <w:jc w:val="left"/>
        <w:rPr>
          <w:rFonts w:ascii="宋体" w:hAnsi="宋体" w:eastAsia="宋体" w:cs="宋体"/>
          <w:b/>
          <w:bCs/>
          <w:sz w:val="28"/>
          <w:szCs w:val="28"/>
        </w:rPr>
      </w:pPr>
      <w:r>
        <w:rPr>
          <w:rFonts w:hint="eastAsia" w:ascii="宋体" w:hAnsi="宋体" w:eastAsia="宋体" w:cs="宋体"/>
          <w:sz w:val="28"/>
          <w:szCs w:val="28"/>
          <w:lang w:val="zh-CN"/>
        </w:rPr>
        <w:t>消防联动控制器具有自动打开涉及疏散的电动栅杆、门禁等的功能，宜开启相关区域安全技术防范系统的摄像机监视火灾现场。</w:t>
      </w:r>
    </w:p>
    <w:p>
      <w:pPr>
        <w:spacing w:line="360" w:lineRule="auto"/>
        <w:rPr>
          <w:rFonts w:ascii="宋体" w:hAnsi="宋体" w:eastAsia="宋体" w:cs="宋体"/>
          <w:sz w:val="28"/>
          <w:szCs w:val="28"/>
        </w:rPr>
      </w:pPr>
      <w:r>
        <w:rPr>
          <w:rFonts w:hint="eastAsia" w:ascii="宋体" w:hAnsi="宋体" w:eastAsia="宋体" w:cs="宋体"/>
          <w:b/>
          <w:bCs/>
          <w:sz w:val="28"/>
          <w:szCs w:val="28"/>
        </w:rPr>
        <w:t>防排烟系统：</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机械排烟系统中，排烟风机、补风风机的控制方式，应满足下列要求:</w:t>
      </w:r>
    </w:p>
    <w:p>
      <w:pPr>
        <w:numPr>
          <w:ilvl w:val="0"/>
          <w:numId w:val="11"/>
        </w:numPr>
        <w:spacing w:line="360" w:lineRule="auto"/>
        <w:ind w:firstLine="0"/>
        <w:rPr>
          <w:rFonts w:ascii="宋体" w:hAnsi="宋体" w:eastAsia="宋体" w:cs="宋体"/>
          <w:sz w:val="28"/>
          <w:szCs w:val="28"/>
        </w:rPr>
      </w:pPr>
      <w:r>
        <w:rPr>
          <w:rFonts w:hint="eastAsia" w:ascii="宋体" w:hAnsi="宋体" w:eastAsia="宋体" w:cs="宋体"/>
          <w:sz w:val="28"/>
          <w:szCs w:val="28"/>
        </w:rPr>
        <w:t xml:space="preserve">现场手动启动 </w:t>
      </w:r>
    </w:p>
    <w:p>
      <w:pPr>
        <w:numPr>
          <w:ilvl w:val="0"/>
          <w:numId w:val="11"/>
        </w:numPr>
        <w:spacing w:line="360" w:lineRule="auto"/>
        <w:ind w:firstLine="0"/>
        <w:rPr>
          <w:rFonts w:ascii="宋体" w:hAnsi="宋体" w:eastAsia="宋体" w:cs="宋体"/>
          <w:sz w:val="28"/>
          <w:szCs w:val="28"/>
        </w:rPr>
      </w:pPr>
      <w:r>
        <w:rPr>
          <w:rFonts w:hint="eastAsia" w:ascii="宋体" w:hAnsi="宋体" w:eastAsia="宋体" w:cs="宋体"/>
          <w:sz w:val="28"/>
          <w:szCs w:val="28"/>
        </w:rPr>
        <w:t xml:space="preserve">通过火灾自动报警系统自动启动 </w:t>
      </w:r>
    </w:p>
    <w:p>
      <w:pPr>
        <w:numPr>
          <w:ilvl w:val="0"/>
          <w:numId w:val="11"/>
        </w:numPr>
        <w:spacing w:line="360" w:lineRule="auto"/>
        <w:ind w:firstLine="0"/>
        <w:rPr>
          <w:rFonts w:ascii="宋体" w:hAnsi="宋体" w:eastAsia="宋体" w:cs="宋体"/>
          <w:sz w:val="28"/>
          <w:szCs w:val="28"/>
        </w:rPr>
      </w:pPr>
      <w:r>
        <w:rPr>
          <w:rFonts w:hint="eastAsia" w:ascii="宋体" w:hAnsi="宋体" w:eastAsia="宋体" w:cs="宋体"/>
          <w:sz w:val="28"/>
          <w:szCs w:val="28"/>
        </w:rPr>
        <w:t xml:space="preserve">消防控制室手动启动   </w:t>
      </w:r>
    </w:p>
    <w:p>
      <w:pPr>
        <w:numPr>
          <w:ilvl w:val="0"/>
          <w:numId w:val="11"/>
        </w:numPr>
        <w:spacing w:line="360" w:lineRule="auto"/>
        <w:ind w:firstLine="0"/>
        <w:rPr>
          <w:rFonts w:ascii="宋体" w:hAnsi="宋体" w:eastAsia="宋体" w:cs="宋体"/>
          <w:sz w:val="28"/>
          <w:szCs w:val="28"/>
        </w:rPr>
      </w:pPr>
      <w:r>
        <w:rPr>
          <w:rFonts w:hint="eastAsia" w:ascii="宋体" w:hAnsi="宋体" w:eastAsia="宋体" w:cs="宋体"/>
          <w:sz w:val="28"/>
          <w:szCs w:val="28"/>
        </w:rPr>
        <w:t>系统中任一排烟阀或排烟口开启时，排烟风机、补风风机应能自动启动</w:t>
      </w:r>
    </w:p>
    <w:p>
      <w:pPr>
        <w:numPr>
          <w:ilvl w:val="0"/>
          <w:numId w:val="11"/>
        </w:numPr>
        <w:spacing w:line="360" w:lineRule="auto"/>
        <w:ind w:firstLine="0"/>
        <w:rPr>
          <w:rFonts w:ascii="宋体" w:hAnsi="宋体" w:eastAsia="宋体" w:cs="宋体"/>
          <w:sz w:val="28"/>
          <w:szCs w:val="28"/>
        </w:rPr>
      </w:pPr>
      <w:r>
        <w:rPr>
          <w:rFonts w:hint="eastAsia" w:ascii="宋体" w:hAnsi="宋体" w:eastAsia="宋体" w:cs="宋体"/>
          <w:sz w:val="28"/>
          <w:szCs w:val="28"/>
        </w:rPr>
        <w:t>排烟防火阀在280℃时应自行关闭，并应连锁关闭排烟风机和补风机</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机械排烟系统中的常闭排烟阀或排烟口应具有火灾自动报警系统自动开启、消防控制室手动开启和现场开启功能，其开启信号应与排烟风机联动。当火灾确认后，火灾自动报警系统。</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当火灾确认后，担负两个及以上防烟分区的排烟系统，应仅打开着火防烟分区的排烟阀或排烟口，其他防火分区的排烟阀或排烟口应呈关闭状态。</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活动挡烟垂壁应具有火灾自动报警系统自动启动和现场手动启动功能，当火灾确认后，火灾自动报警系统应在15s内联动相应防烟分区的全部活动挡烟垂壁。</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自动排烟窗可采用与火灾自动报警系统联动和温度释放装置联动的控制方式。当采用与火灾自动报警系统自动启动时，自动排烟窗应在60s内或小于烟气充满储烟仓时间内开启完毕。</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自然排烟窗（口）应设置手动开启装置，设置在高位不便于直接开启的自然排烟窗（口），应设置距地高度1.3-1.5m的手动开启装置。</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消防控制设备应显示排烟系统的排烟风机、补风机、阀门等施设的启闭状态。</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 xml:space="preserve">排烟风机、消防补风机均需有备用电源。防排烟风机、消防补风机除可在消防控制中心操纵外，也可就地操作。 </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排烟风机应满足280℃时连续工作30min的要求，排烟风机应与风机入口处的排烟防火阀连锁，应该阀关闭时，排烟风机应能停止运转。</w:t>
      </w:r>
    </w:p>
    <w:p>
      <w:pPr>
        <w:numPr>
          <w:ilvl w:val="0"/>
          <w:numId w:val="10"/>
        </w:numPr>
        <w:spacing w:line="360" w:lineRule="auto"/>
        <w:ind w:left="0" w:firstLine="0"/>
        <w:rPr>
          <w:rFonts w:ascii="宋体" w:hAnsi="宋体" w:eastAsia="宋体" w:cs="宋体"/>
          <w:sz w:val="28"/>
          <w:szCs w:val="28"/>
        </w:rPr>
      </w:pPr>
      <w:r>
        <w:rPr>
          <w:rFonts w:hint="eastAsia" w:ascii="宋体" w:hAnsi="宋体" w:eastAsia="宋体" w:cs="宋体"/>
          <w:sz w:val="28"/>
          <w:szCs w:val="28"/>
        </w:rPr>
        <w:t>各空调通风系统主管道上的防火阀与该系统的风机联锁，当防火阀关闭时，该风机应能停止运转。</w:t>
      </w:r>
    </w:p>
    <w:p>
      <w:pPr>
        <w:spacing w:line="360" w:lineRule="auto"/>
        <w:rPr>
          <w:rFonts w:ascii="宋体" w:hAnsi="宋体" w:eastAsia="宋体" w:cs="宋体"/>
          <w:b/>
          <w:bCs/>
          <w:sz w:val="28"/>
          <w:szCs w:val="28"/>
        </w:rPr>
      </w:pPr>
      <w:r>
        <w:rPr>
          <w:rFonts w:hint="eastAsia" w:ascii="宋体" w:hAnsi="宋体" w:eastAsia="宋体" w:cs="宋体"/>
          <w:b/>
          <w:bCs/>
          <w:sz w:val="28"/>
          <w:szCs w:val="28"/>
        </w:rPr>
        <w:t>给排水系统：</w:t>
      </w:r>
    </w:p>
    <w:p>
      <w:pPr>
        <w:spacing w:line="360" w:lineRule="auto"/>
        <w:rPr>
          <w:rFonts w:ascii="宋体" w:hAnsi="宋体" w:eastAsia="宋体" w:cs="宋体"/>
          <w:sz w:val="28"/>
          <w:szCs w:val="28"/>
        </w:rPr>
      </w:pPr>
      <w:r>
        <w:rPr>
          <w:rFonts w:hint="eastAsia" w:ascii="宋体" w:hAnsi="宋体" w:eastAsia="宋体" w:cs="宋体"/>
          <w:sz w:val="28"/>
          <w:szCs w:val="28"/>
        </w:rPr>
        <w:t>消火栓：</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本工程每层均设置消火栓，均保证有两个消火栓充实水柱同时到达任何地方，且满足规范对布置间距的要求。室内消火栓栓口距地面1.10m，水枪直径Φ19，水带长25米。充实水柱为13m，室内消火栓均采用带消防软管卷盘的消火栓箱,消火栓栓口动压不小于0.35MPa且不大于0.50MPa。</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消火栓管网竖向布置成环状，并用阀门分成若干独立段，环网设两条进水管与消防泵连接。六层及以下区域，消火栓选用减压稳压型消火栓，以保证消火栓栓口压力不超过0.5Mpa。系统最高点设置一个压力显示装置的试验消火栓。</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室内消火栓系统管材选用内外热浸镀锌无缝钢管，当管径≤DN50时，应采用螺纹和卡压连接，当管径＞DN50时，应采用沟槽连接件连接、法兰连接。</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消防给水系统埋地管道的阀门采用带启闭刻度的暗杆闸阀，当设置在阀门井内时采用耐腐蚀的明杆闸阀；室内架空管道的阀门采用蝶阀、明杆闸阀。阀门工作压力同管材的工作压力。均采用球墨铸铁阀门。</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防腐做法：明装的管道除锈后外刷防锈漆二道；埋地的管道除锈后刷环氧沥青漆二道，并包扎一层玻璃丝布后，再刷环氧沥青漆一遍。</w:t>
      </w:r>
    </w:p>
    <w:p>
      <w:pPr>
        <w:numPr>
          <w:ilvl w:val="0"/>
          <w:numId w:val="12"/>
        </w:numPr>
        <w:spacing w:line="360" w:lineRule="auto"/>
        <w:ind w:left="0" w:firstLine="0"/>
        <w:rPr>
          <w:rFonts w:ascii="宋体" w:hAnsi="宋体" w:eastAsia="宋体" w:cs="宋体"/>
          <w:sz w:val="28"/>
          <w:szCs w:val="28"/>
        </w:rPr>
      </w:pPr>
      <w:r>
        <w:rPr>
          <w:rFonts w:hint="eastAsia" w:ascii="宋体" w:hAnsi="宋体" w:eastAsia="宋体" w:cs="宋体"/>
          <w:sz w:val="28"/>
          <w:szCs w:val="28"/>
        </w:rPr>
        <w:t>试压：水压强度试验压力为1.36+0.4MPa，其压力保持30min后管网无渗漏和无变形，且压力降不大于0.05MPa为合格；水压严密性试验压力为1.36MPa，稳压24h无泄漏为合格。</w:t>
      </w:r>
    </w:p>
    <w:p>
      <w:pPr>
        <w:spacing w:line="360" w:lineRule="auto"/>
        <w:jc w:val="left"/>
        <w:rPr>
          <w:rFonts w:ascii="宋体" w:hAnsi="宋体" w:eastAsia="宋体" w:cs="宋体"/>
          <w:b/>
          <w:bCs/>
          <w:sz w:val="28"/>
          <w:szCs w:val="28"/>
        </w:rPr>
      </w:pPr>
      <w:r>
        <w:rPr>
          <w:rFonts w:hint="eastAsia" w:ascii="宋体" w:hAnsi="宋体" w:eastAsia="宋体" w:cs="宋体"/>
          <w:b/>
          <w:bCs/>
          <w:sz w:val="28"/>
          <w:szCs w:val="28"/>
        </w:rPr>
        <w:t>自动喷水灭火系统：</w:t>
      </w:r>
    </w:p>
    <w:p>
      <w:pPr>
        <w:numPr>
          <w:ilvl w:val="0"/>
          <w:numId w:val="13"/>
        </w:numPr>
        <w:spacing w:line="360" w:lineRule="auto"/>
        <w:ind w:left="0" w:firstLine="0"/>
        <w:jc w:val="left"/>
        <w:rPr>
          <w:rFonts w:ascii="宋体" w:hAnsi="宋体" w:eastAsia="宋体" w:cs="宋体"/>
          <w:sz w:val="28"/>
          <w:szCs w:val="28"/>
          <w:lang w:val="zh-CN"/>
        </w:rPr>
      </w:pPr>
      <w:r>
        <w:rPr>
          <w:rFonts w:hint="eastAsia" w:ascii="宋体" w:hAnsi="宋体" w:eastAsia="宋体" w:cs="宋体"/>
          <w:sz w:val="28"/>
          <w:szCs w:val="28"/>
          <w:lang w:val="zh-CN"/>
        </w:rPr>
        <w:t>本工程除不宜用水灭火的场所外，均设置喷淋系统。本工程按中危险等级I级考虑，设计喷水强度6L/min.㎡。</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本工程除不宜用水灭火的场所外，均设置喷淋系统。本工程按中危险等级I级考虑，设计喷水强度6L/min.㎡。九层设备间为空气调节设备非精密仪器，原设计设置自动喷水灭火系统，本次未做改变。2、本工程采用湿式系统，改造部分沿用现状报警阀组，水流指示器前设置减压孔板，配水管入口的压力不大于0．40MPa。</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吊顶部分采用闭式下垂型喷头(K-ZSTX15)，无吊顶部分采用闭式直立型喷头(K-ZSTZ15)，K≥80（快速响应喷头），喷头爆破温度为68度。</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自动喷水灭火系统管材采用内外壁热镀锌钢管，配水管道的连接方式采用沟槽式连接件(卡箍)、螺纹或法兰连接。管道上的阀门采用电信号闸阀或蝶阀，阀门工作压力同管材的工作压力。</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每个防火分区、楼层均设设有水流指示器、遥控信号阀、试水阀各有一套，每个报警阀组控制的最不利点洒水喷头处设末端试水装置。</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试水阀均接至大于75DN的排水立管，排至专用排水设施。</w:t>
      </w:r>
    </w:p>
    <w:p>
      <w:pPr>
        <w:numPr>
          <w:ilvl w:val="0"/>
          <w:numId w:val="13"/>
        </w:numPr>
        <w:spacing w:line="360" w:lineRule="auto"/>
        <w:ind w:left="0" w:firstLine="0"/>
        <w:rPr>
          <w:rFonts w:ascii="宋体" w:hAnsi="宋体" w:eastAsia="宋体" w:cs="宋体"/>
          <w:sz w:val="28"/>
          <w:szCs w:val="28"/>
        </w:rPr>
      </w:pPr>
      <w:r>
        <w:rPr>
          <w:rFonts w:hint="eastAsia" w:ascii="宋体" w:hAnsi="宋体" w:eastAsia="宋体" w:cs="宋体"/>
          <w:sz w:val="28"/>
          <w:szCs w:val="28"/>
        </w:rPr>
        <w:t>自动喷水灭火系统应配备火灾或其他原因损伤喷头时能够及时更换的备用洒水喷头，其数量不应少于总数的1％，且每种型号均不少于10只。</w:t>
      </w:r>
    </w:p>
    <w:p>
      <w:pPr>
        <w:spacing w:line="360" w:lineRule="auto"/>
        <w:rPr>
          <w:rFonts w:ascii="宋体" w:hAnsi="宋体" w:eastAsia="宋体" w:cs="宋体"/>
          <w:sz w:val="28"/>
          <w:szCs w:val="28"/>
        </w:rPr>
      </w:pPr>
    </w:p>
    <w:p>
      <w:pPr>
        <w:spacing w:line="360" w:lineRule="auto"/>
        <w:rPr>
          <w:rFonts w:ascii="宋体" w:hAnsi="宋体" w:eastAsia="宋体" w:cs="宋体"/>
          <w:b/>
          <w:bCs/>
          <w:sz w:val="28"/>
          <w:szCs w:val="28"/>
        </w:rPr>
      </w:pPr>
      <w:r>
        <w:rPr>
          <w:rFonts w:hint="eastAsia" w:ascii="宋体" w:hAnsi="宋体" w:eastAsia="宋体" w:cs="宋体"/>
          <w:b/>
          <w:bCs/>
          <w:sz w:val="28"/>
          <w:szCs w:val="28"/>
        </w:rPr>
        <w:t>其他：</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施工过程中注意现场防护、围挡以及现场卫生，尤其是手术室净化区施工中，应最大防护最小施工动作为原则。</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隐蔽工程需改造的、防火门灌浆、消防栓水管加固、应急照明线路加保护管、恢复装修装饰面层以及后期消防验收提出影响其验收需整改的问题。</w:t>
      </w:r>
    </w:p>
    <w:p>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第四章：图纸</w:t>
      </w:r>
    </w:p>
    <w:p>
      <w:pPr>
        <w:widowControl/>
        <w:spacing w:line="360" w:lineRule="auto"/>
        <w:jc w:val="center"/>
        <w:rPr>
          <w:rFonts w:ascii="宋体" w:hAnsi="宋体" w:eastAsia="宋体" w:cs="宋体"/>
          <w:sz w:val="28"/>
          <w:szCs w:val="28"/>
        </w:rPr>
      </w:pPr>
      <w:r>
        <w:rPr>
          <w:rFonts w:hint="eastAsia" w:ascii="宋体" w:hAnsi="宋体" w:eastAsia="宋体" w:cs="宋体"/>
          <w:sz w:val="28"/>
          <w:szCs w:val="28"/>
        </w:rPr>
        <w:t>见附件</w:t>
      </w:r>
    </w:p>
    <w:p>
      <w:pPr>
        <w:widowControl/>
        <w:spacing w:line="360" w:lineRule="auto"/>
        <w:jc w:val="center"/>
        <w:rPr>
          <w:rFonts w:ascii="宋体" w:hAnsi="宋体" w:eastAsia="宋体" w:cs="宋体"/>
          <w:b/>
          <w:bCs/>
          <w:sz w:val="28"/>
          <w:szCs w:val="28"/>
        </w:rPr>
      </w:pPr>
      <w:r>
        <w:rPr>
          <w:rFonts w:hint="eastAsia" w:ascii="宋体" w:hAnsi="宋体" w:eastAsia="宋体" w:cs="宋体"/>
          <w:b/>
          <w:bCs/>
          <w:sz w:val="28"/>
          <w:szCs w:val="28"/>
        </w:rPr>
        <w:t>第五章：清单</w:t>
      </w:r>
    </w:p>
    <w:p>
      <w:pPr>
        <w:widowControl/>
        <w:spacing w:line="360" w:lineRule="auto"/>
        <w:jc w:val="center"/>
        <w:rPr>
          <w:rFonts w:ascii="宋体" w:hAnsi="宋体" w:eastAsia="宋体" w:cs="宋体"/>
          <w:sz w:val="28"/>
          <w:szCs w:val="28"/>
        </w:rPr>
      </w:pPr>
      <w:r>
        <w:rPr>
          <w:rFonts w:hint="eastAsia" w:ascii="宋体" w:hAnsi="宋体" w:eastAsia="宋体" w:cs="宋体"/>
          <w:sz w:val="28"/>
          <w:szCs w:val="28"/>
        </w:rPr>
        <w:t>见附件</w:t>
      </w:r>
    </w:p>
    <w:p>
      <w:pPr>
        <w:spacing w:line="360" w:lineRule="auto"/>
        <w:jc w:val="left"/>
        <w:rPr>
          <w:rFonts w:ascii="宋体" w:hAnsi="宋体" w:eastAsia="宋体" w:cs="宋体"/>
          <w:sz w:val="28"/>
          <w:szCs w:val="28"/>
          <w:lang w:val="zh-CN"/>
        </w:rPr>
      </w:pPr>
    </w:p>
    <w:p>
      <w:pPr>
        <w:pStyle w:val="4"/>
        <w:numPr>
          <w:ilvl w:val="0"/>
          <w:numId w:val="0"/>
        </w:numPr>
        <w:jc w:val="both"/>
        <w:rPr>
          <w:rFonts w:hint="eastAsia"/>
          <w:lang w:val="en-US" w:eastAsia="zh-CN"/>
        </w:rPr>
      </w:pPr>
    </w:p>
    <w:p>
      <w:pPr>
        <w:rPr>
          <w:rFonts w:hint="eastAsia"/>
          <w:lang w:val="en-US" w:eastAsia="zh-CN"/>
        </w:rPr>
      </w:pPr>
    </w:p>
    <w:p>
      <w:pPr>
        <w:pStyle w:val="2"/>
        <w:jc w:val="both"/>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4"/>
        <w:numPr>
          <w:ilvl w:val="0"/>
          <w:numId w:val="0"/>
        </w:numPr>
        <w:ind w:firstLine="2800" w:firstLineChars="700"/>
        <w:jc w:val="both"/>
        <w:outlineLvl w:val="0"/>
        <w:rPr>
          <w:rFonts w:hint="eastAsia" w:ascii="宋体" w:hAnsi="宋体" w:eastAsia="宋体" w:cs="宋体"/>
          <w:b/>
          <w:color w:val="auto"/>
          <w:sz w:val="40"/>
          <w:lang w:val="en-US" w:eastAsia="zh-CN"/>
        </w:rPr>
      </w:pPr>
      <w:r>
        <w:rPr>
          <w:rFonts w:hint="eastAsia" w:ascii="宋体" w:hAnsi="宋体" w:eastAsia="宋体" w:cs="宋体"/>
          <w:b/>
          <w:color w:val="auto"/>
          <w:sz w:val="40"/>
          <w:lang w:val="en-US" w:eastAsia="zh-CN"/>
        </w:rPr>
        <w:t>第四章 合同条款</w:t>
      </w:r>
    </w:p>
    <w:p>
      <w:pPr>
        <w:pStyle w:val="4"/>
        <w:numPr>
          <w:ilvl w:val="0"/>
          <w:numId w:val="0"/>
        </w:numPr>
        <w:tabs>
          <w:tab w:val="left" w:pos="360"/>
        </w:tabs>
        <w:spacing w:after="100" w:afterAutospacing="1" w:line="400" w:lineRule="atLeast"/>
        <w:jc w:val="center"/>
        <w:rPr>
          <w:rFonts w:hint="eastAsia" w:ascii="宋体" w:hAnsi="宋体" w:eastAsia="宋体" w:cs="宋体"/>
          <w:color w:val="auto"/>
          <w:lang w:eastAsia="zh-CN"/>
        </w:rPr>
      </w:pPr>
      <w:r>
        <w:rPr>
          <w:rFonts w:hint="eastAsia" w:ascii="等线 Light" w:hAnsi="等线 Light" w:eastAsia="宋体" w:cs="等线 Light"/>
          <w:bCs/>
          <w:color w:val="auto"/>
          <w:sz w:val="30"/>
          <w:szCs w:val="30"/>
          <w:lang w:eastAsia="zh-CN"/>
        </w:rPr>
        <w:t>（仅供参考，具体以甲方签订合同为准）</w:t>
      </w: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24"/>
        <w:jc w:val="both"/>
        <w:outlineLvl w:val="0"/>
        <w:rPr>
          <w:rFonts w:hint="eastAsia" w:ascii="宋体" w:hAnsi="宋体" w:eastAsia="宋体" w:cs="宋体"/>
          <w:b/>
          <w:color w:val="auto"/>
          <w:sz w:val="40"/>
          <w:lang w:eastAsia="zh-CN"/>
        </w:rPr>
      </w:pPr>
    </w:p>
    <w:p>
      <w:pPr>
        <w:pStyle w:val="24"/>
        <w:jc w:val="both"/>
        <w:outlineLvl w:val="0"/>
        <w:rPr>
          <w:rFonts w:hint="eastAsia" w:ascii="宋体" w:hAnsi="宋体" w:eastAsia="宋体" w:cs="宋体"/>
          <w:b/>
          <w:color w:val="auto"/>
          <w:sz w:val="40"/>
          <w:lang w:eastAsia="zh-CN"/>
        </w:rPr>
      </w:pPr>
    </w:p>
    <w:p>
      <w:pPr>
        <w:pStyle w:val="24"/>
        <w:jc w:val="both"/>
        <w:outlineLvl w:val="0"/>
        <w:rPr>
          <w:rFonts w:hint="eastAsia" w:ascii="宋体" w:hAnsi="宋体" w:eastAsia="宋体" w:cs="宋体"/>
          <w:b/>
          <w:color w:val="auto"/>
          <w:sz w:val="40"/>
          <w:lang w:eastAsia="zh-CN"/>
        </w:rPr>
      </w:pPr>
    </w:p>
    <w:p>
      <w:pPr>
        <w:pStyle w:val="24"/>
        <w:jc w:val="both"/>
        <w:outlineLvl w:val="0"/>
        <w:rPr>
          <w:rFonts w:hint="eastAsia" w:ascii="宋体" w:hAnsi="宋体" w:eastAsia="宋体" w:cs="宋体"/>
          <w:b/>
          <w:color w:val="auto"/>
          <w:sz w:val="40"/>
          <w:lang w:eastAsia="zh-CN"/>
        </w:rPr>
      </w:pPr>
    </w:p>
    <w:p>
      <w:pPr>
        <w:pStyle w:val="24"/>
        <w:jc w:val="center"/>
        <w:outlineLvl w:val="0"/>
        <w:rPr>
          <w:rFonts w:hint="eastAsia" w:ascii="宋体" w:hAnsi="宋体" w:eastAsia="宋体" w:cs="宋体"/>
          <w:b/>
          <w:color w:val="auto"/>
          <w:sz w:val="40"/>
        </w:rPr>
      </w:pPr>
      <w:r>
        <w:rPr>
          <w:rFonts w:hint="eastAsia" w:ascii="宋体" w:hAnsi="宋体" w:eastAsia="宋体" w:cs="宋体"/>
          <w:b/>
          <w:color w:val="auto"/>
          <w:sz w:val="40"/>
          <w:lang w:eastAsia="zh-CN"/>
        </w:rPr>
        <w:t>第五章</w:t>
      </w:r>
      <w:r>
        <w:rPr>
          <w:rFonts w:hint="eastAsia" w:ascii="宋体" w:hAnsi="宋体" w:eastAsia="宋体" w:cs="宋体"/>
          <w:b/>
          <w:color w:val="auto"/>
          <w:sz w:val="40"/>
          <w:lang w:val="en-US" w:eastAsia="zh-CN"/>
        </w:rPr>
        <w:t xml:space="preserve"> </w:t>
      </w:r>
      <w:r>
        <w:rPr>
          <w:rFonts w:hint="eastAsia" w:ascii="宋体" w:hAnsi="宋体" w:eastAsia="宋体" w:cs="宋体"/>
          <w:b/>
          <w:color w:val="auto"/>
          <w:sz w:val="40"/>
          <w:lang w:eastAsia="zh-CN"/>
        </w:rPr>
        <w:t>响应文件</w:t>
      </w:r>
      <w:r>
        <w:rPr>
          <w:rFonts w:hint="eastAsia" w:ascii="宋体" w:hAnsi="宋体" w:eastAsia="宋体" w:cs="宋体"/>
          <w:b/>
          <w:color w:val="auto"/>
          <w:sz w:val="40"/>
        </w:rPr>
        <w:t>格式</w:t>
      </w:r>
    </w:p>
    <w:p>
      <w:pPr>
        <w:pStyle w:val="24"/>
        <w:spacing w:line="360" w:lineRule="atLeast"/>
        <w:jc w:val="center"/>
        <w:rPr>
          <w:rFonts w:hint="eastAsia" w:ascii="宋体" w:hAnsi="宋体" w:cs="宋体"/>
          <w:b/>
          <w:color w:val="auto"/>
          <w:sz w:val="72"/>
        </w:rPr>
      </w:pPr>
    </w:p>
    <w:p>
      <w:pPr>
        <w:pStyle w:val="24"/>
        <w:spacing w:line="360" w:lineRule="atLeast"/>
        <w:jc w:val="center"/>
        <w:rPr>
          <w:rFonts w:hint="eastAsia" w:ascii="宋体" w:hAnsi="宋体" w:cs="宋体"/>
          <w:b/>
          <w:color w:val="auto"/>
          <w:sz w:val="72"/>
        </w:rPr>
      </w:pPr>
    </w:p>
    <w:p>
      <w:pPr>
        <w:pStyle w:val="24"/>
        <w:spacing w:line="360" w:lineRule="atLeast"/>
        <w:jc w:val="center"/>
        <w:outlineLvl w:val="0"/>
        <w:rPr>
          <w:rFonts w:hint="eastAsia" w:ascii="宋体" w:hAnsi="宋体" w:cs="宋体"/>
          <w:color w:val="auto"/>
        </w:rPr>
      </w:pPr>
      <w:bookmarkStart w:id="85" w:name="_Toc1593"/>
      <w:bookmarkStart w:id="86" w:name="_Toc26065"/>
      <w:r>
        <w:rPr>
          <w:rFonts w:hint="eastAsia" w:ascii="宋体" w:hAnsi="宋体" w:cs="宋体"/>
          <w:b/>
          <w:color w:val="auto"/>
          <w:sz w:val="72"/>
        </w:rPr>
        <w:t>招标项目投标书</w:t>
      </w:r>
      <w:bookmarkEnd w:id="85"/>
      <w:bookmarkEnd w:id="86"/>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left="877" w:leftChars="418"/>
        <w:rPr>
          <w:rFonts w:hint="eastAsia" w:ascii="宋体" w:hAnsi="宋体" w:cs="宋体"/>
          <w:color w:val="auto"/>
          <w:kern w:val="0"/>
          <w:sz w:val="44"/>
          <w:szCs w:val="24"/>
        </w:rPr>
      </w:pPr>
    </w:p>
    <w:p>
      <w:pPr>
        <w:spacing w:line="360" w:lineRule="auto"/>
        <w:ind w:firstLine="560" w:firstLineChars="200"/>
        <w:outlineLvl w:val="0"/>
        <w:rPr>
          <w:rFonts w:hint="eastAsia" w:ascii="宋体" w:hAnsi="宋体" w:eastAsia="宋体" w:cs="宋体"/>
          <w:color w:val="auto"/>
          <w:kern w:val="0"/>
          <w:sz w:val="28"/>
          <w:szCs w:val="28"/>
        </w:rPr>
      </w:pPr>
      <w:bookmarkStart w:id="87" w:name="_Toc8142"/>
      <w:bookmarkStart w:id="88" w:name="_Toc26167"/>
      <w:r>
        <w:rPr>
          <w:rFonts w:hint="eastAsia" w:ascii="宋体" w:hAnsi="宋体" w:eastAsia="宋体" w:cs="宋体"/>
          <w:color w:val="auto"/>
          <w:kern w:val="0"/>
          <w:sz w:val="28"/>
          <w:szCs w:val="28"/>
        </w:rPr>
        <w:t>招标项目名称：</w:t>
      </w:r>
      <w:bookmarkEnd w:id="87"/>
      <w:bookmarkEnd w:id="88"/>
    </w:p>
    <w:p>
      <w:pPr>
        <w:spacing w:line="360" w:lineRule="auto"/>
        <w:ind w:left="1680" w:hanging="168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pPr>
        <w:pStyle w:val="24"/>
        <w:spacing w:line="360" w:lineRule="auto"/>
        <w:ind w:firstLine="560" w:firstLineChars="200"/>
        <w:jc w:val="both"/>
        <w:outlineLvl w:val="0"/>
        <w:rPr>
          <w:rFonts w:hint="eastAsia" w:ascii="宋体" w:hAnsi="宋体" w:eastAsia="宋体" w:cs="宋体"/>
          <w:color w:val="auto"/>
          <w:sz w:val="28"/>
          <w:szCs w:val="28"/>
        </w:rPr>
      </w:pPr>
      <w:bookmarkStart w:id="89" w:name="_Toc10355"/>
      <w:bookmarkStart w:id="90" w:name="_Toc27455"/>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编号：</w:t>
      </w:r>
      <w:bookmarkEnd w:id="89"/>
      <w:bookmarkEnd w:id="90"/>
      <w:r>
        <w:rPr>
          <w:rFonts w:hint="eastAsia" w:ascii="宋体" w:hAnsi="宋体" w:eastAsia="宋体" w:cs="宋体"/>
          <w:color w:val="auto"/>
          <w:sz w:val="28"/>
          <w:szCs w:val="28"/>
        </w:rPr>
        <w:t xml:space="preserve"> </w:t>
      </w:r>
    </w:p>
    <w:p>
      <w:pPr>
        <w:pStyle w:val="24"/>
        <w:spacing w:line="360" w:lineRule="atLeast"/>
        <w:ind w:firstLine="567"/>
        <w:jc w:val="both"/>
        <w:rPr>
          <w:rFonts w:hint="eastAsia" w:ascii="宋体" w:hAnsi="宋体" w:eastAsia="宋体" w:cs="宋体"/>
          <w:color w:val="auto"/>
          <w:sz w:val="28"/>
          <w:szCs w:val="28"/>
        </w:rPr>
      </w:pPr>
    </w:p>
    <w:p>
      <w:pPr>
        <w:pStyle w:val="24"/>
        <w:spacing w:line="360" w:lineRule="atLeast"/>
        <w:ind w:firstLine="560" w:firstLineChars="200"/>
        <w:jc w:val="both"/>
        <w:outlineLvl w:val="0"/>
        <w:rPr>
          <w:rFonts w:hint="eastAsia" w:ascii="宋体" w:hAnsi="宋体" w:eastAsia="宋体" w:cs="宋体"/>
          <w:color w:val="auto"/>
          <w:sz w:val="28"/>
          <w:szCs w:val="28"/>
        </w:rPr>
      </w:pPr>
      <w:bookmarkStart w:id="91" w:name="_Toc13667"/>
      <w:bookmarkStart w:id="92" w:name="_Toc24143"/>
      <w:r>
        <w:rPr>
          <w:rFonts w:hint="eastAsia" w:ascii="宋体" w:hAnsi="宋体" w:eastAsia="宋体" w:cs="宋体"/>
          <w:color w:val="auto"/>
          <w:sz w:val="28"/>
          <w:szCs w:val="28"/>
        </w:rPr>
        <w:t>投 标 单 位 ：</w:t>
      </w:r>
      <w:bookmarkEnd w:id="91"/>
      <w:bookmarkEnd w:id="92"/>
      <w:r>
        <w:rPr>
          <w:rFonts w:hint="eastAsia" w:ascii="宋体" w:hAnsi="宋体" w:eastAsia="宋体" w:cs="宋体"/>
          <w:color w:val="auto"/>
          <w:sz w:val="28"/>
          <w:szCs w:val="28"/>
        </w:rPr>
        <w:t xml:space="preserve"> </w:t>
      </w:r>
    </w:p>
    <w:p>
      <w:pPr>
        <w:pStyle w:val="24"/>
        <w:spacing w:line="360" w:lineRule="atLeast"/>
        <w:ind w:firstLine="567"/>
        <w:jc w:val="both"/>
        <w:rPr>
          <w:rFonts w:hint="eastAsia" w:ascii="宋体" w:hAnsi="宋体" w:eastAsia="宋体" w:cs="宋体"/>
          <w:color w:val="auto"/>
          <w:sz w:val="28"/>
          <w:szCs w:val="28"/>
        </w:rPr>
      </w:pPr>
    </w:p>
    <w:p>
      <w:pPr>
        <w:pStyle w:val="24"/>
        <w:spacing w:line="360" w:lineRule="atLeast"/>
        <w:ind w:firstLine="560" w:firstLineChars="200"/>
        <w:jc w:val="both"/>
        <w:outlineLvl w:val="0"/>
        <w:rPr>
          <w:rFonts w:hint="eastAsia" w:ascii="宋体" w:hAnsi="宋体" w:eastAsia="宋体" w:cs="宋体"/>
          <w:color w:val="auto"/>
          <w:sz w:val="28"/>
          <w:szCs w:val="28"/>
        </w:rPr>
      </w:pPr>
      <w:bookmarkStart w:id="93" w:name="_Toc31193"/>
      <w:bookmarkStart w:id="94" w:name="_Toc27430"/>
      <w:r>
        <w:rPr>
          <w:rFonts w:hint="eastAsia" w:ascii="宋体" w:hAnsi="宋体" w:eastAsia="宋体" w:cs="宋体"/>
          <w:color w:val="auto"/>
          <w:sz w:val="28"/>
          <w:szCs w:val="28"/>
        </w:rPr>
        <w:t>投标单位全权代表：</w:t>
      </w:r>
      <w:bookmarkEnd w:id="93"/>
      <w:bookmarkEnd w:id="94"/>
      <w:r>
        <w:rPr>
          <w:rFonts w:hint="eastAsia" w:ascii="宋体" w:hAnsi="宋体" w:eastAsia="宋体" w:cs="宋体"/>
          <w:color w:val="auto"/>
          <w:sz w:val="28"/>
          <w:szCs w:val="28"/>
        </w:rPr>
        <w:t xml:space="preserve"> </w:t>
      </w:r>
    </w:p>
    <w:p>
      <w:pPr>
        <w:pStyle w:val="24"/>
        <w:spacing w:line="360" w:lineRule="atLeast"/>
        <w:ind w:firstLine="567"/>
        <w:jc w:val="both"/>
        <w:rPr>
          <w:rFonts w:hint="eastAsia" w:ascii="宋体" w:hAnsi="宋体" w:eastAsia="宋体" w:cs="宋体"/>
          <w:color w:val="auto"/>
          <w:sz w:val="28"/>
          <w:szCs w:val="28"/>
        </w:rPr>
      </w:pPr>
    </w:p>
    <w:p>
      <w:pPr>
        <w:pStyle w:val="24"/>
        <w:spacing w:line="360" w:lineRule="atLeas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24"/>
        <w:spacing w:line="360" w:lineRule="atLeast"/>
        <w:ind w:firstLine="4819"/>
        <w:jc w:val="both"/>
        <w:outlineLvl w:val="0"/>
        <w:rPr>
          <w:rFonts w:hint="eastAsia" w:ascii="宋体" w:hAnsi="宋体" w:eastAsia="宋体" w:cs="宋体"/>
          <w:color w:val="auto"/>
          <w:sz w:val="28"/>
          <w:szCs w:val="28"/>
        </w:rPr>
      </w:pPr>
      <w:bookmarkStart w:id="95" w:name="_Toc8194"/>
      <w:bookmarkStart w:id="96" w:name="_Toc30744"/>
      <w:r>
        <w:rPr>
          <w:rFonts w:hint="eastAsia" w:ascii="宋体" w:hAnsi="宋体" w:eastAsia="宋体" w:cs="宋体"/>
          <w:color w:val="auto"/>
          <w:sz w:val="28"/>
          <w:szCs w:val="28"/>
        </w:rPr>
        <w:t>投标单位：（公章）</w:t>
      </w:r>
      <w:bookmarkEnd w:id="95"/>
      <w:bookmarkEnd w:id="96"/>
    </w:p>
    <w:p>
      <w:pPr>
        <w:pStyle w:val="24"/>
        <w:spacing w:line="360" w:lineRule="atLeast"/>
        <w:ind w:firstLine="4819"/>
        <w:jc w:val="both"/>
        <w:outlineLvl w:val="9"/>
        <w:rPr>
          <w:rFonts w:hint="eastAsia" w:ascii="宋体" w:hAnsi="宋体" w:eastAsia="宋体" w:cs="宋体"/>
          <w:color w:val="auto"/>
          <w:sz w:val="28"/>
          <w:szCs w:val="28"/>
        </w:rPr>
      </w:pPr>
    </w:p>
    <w:p>
      <w:pPr>
        <w:pStyle w:val="24"/>
        <w:spacing w:line="360" w:lineRule="atLeast"/>
        <w:jc w:val="center"/>
        <w:outlineLvl w:val="0"/>
        <w:rPr>
          <w:rFonts w:hint="eastAsia" w:ascii="宋体" w:hAnsi="宋体" w:cs="宋体"/>
          <w:b/>
          <w:color w:val="auto"/>
          <w:sz w:val="36"/>
        </w:rPr>
      </w:pPr>
      <w:bookmarkStart w:id="97" w:name="_Toc14201"/>
      <w:bookmarkStart w:id="98" w:name="_Toc533086813"/>
      <w:bookmarkStart w:id="99" w:name="_Toc26662"/>
      <w:bookmarkStart w:id="100" w:name="_Toc1782"/>
      <w:bookmarkStart w:id="101" w:name="_Toc12836"/>
    </w:p>
    <w:p>
      <w:pPr>
        <w:pStyle w:val="24"/>
        <w:spacing w:line="360" w:lineRule="atLeast"/>
        <w:jc w:val="center"/>
        <w:outlineLvl w:val="0"/>
        <w:rPr>
          <w:rFonts w:ascii="宋体" w:hAnsi="宋体" w:eastAsia="宋体"/>
          <w:b/>
          <w:color w:val="auto"/>
          <w:sz w:val="24"/>
          <w:szCs w:val="24"/>
          <w:shd w:val="clear" w:color="auto" w:fill="CCE8CF" w:themeFill="background1"/>
        </w:rPr>
      </w:pPr>
      <w:r>
        <w:rPr>
          <w:rFonts w:hint="eastAsia" w:ascii="宋体" w:hAnsi="宋体" w:cs="宋体"/>
          <w:b/>
          <w:color w:val="auto"/>
          <w:sz w:val="36"/>
        </w:rPr>
        <w:t>附件1：</w:t>
      </w:r>
      <w:bookmarkStart w:id="102" w:name="_Toc507586166"/>
      <w:bookmarkStart w:id="103" w:name="_Toc38446470"/>
      <w:bookmarkStart w:id="104" w:name="_Toc533503181"/>
      <w:bookmarkStart w:id="105" w:name="_Toc21306"/>
      <w:r>
        <w:rPr>
          <w:rFonts w:hint="eastAsia" w:ascii="宋体" w:hAnsi="宋体" w:eastAsia="宋体" w:cs="宋体"/>
          <w:b/>
          <w:color w:val="auto"/>
          <w:sz w:val="36"/>
        </w:rPr>
        <w:t>投标函</w:t>
      </w:r>
      <w:bookmarkEnd w:id="102"/>
      <w:bookmarkEnd w:id="103"/>
      <w:bookmarkEnd w:id="104"/>
      <w:r>
        <w:rPr>
          <w:rFonts w:hint="eastAsia" w:ascii="宋体" w:hAnsi="宋体" w:eastAsia="宋体" w:cs="宋体"/>
          <w:b/>
          <w:color w:val="auto"/>
          <w:sz w:val="36"/>
        </w:rPr>
        <w:t>(一)</w:t>
      </w:r>
      <w:bookmarkEnd w:id="105"/>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致：</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（采购人名称）</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根据已收到的</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项目的</w:t>
      </w:r>
      <w:r>
        <w:rPr>
          <w:rFonts w:hint="eastAsia" w:ascii="宋体" w:hAnsi="宋体" w:eastAsia="宋体"/>
          <w:color w:val="auto"/>
          <w:sz w:val="24"/>
          <w:szCs w:val="24"/>
          <w:shd w:val="clear" w:color="auto" w:fill="CCE8CF" w:themeFill="background1"/>
        </w:rPr>
        <w:t>磋商文件</w:t>
      </w:r>
      <w:r>
        <w:rPr>
          <w:rFonts w:hint="eastAsia" w:ascii="宋体" w:hAnsi="宋体" w:eastAsia="宋体" w:cs="Arial"/>
          <w:color w:val="auto"/>
          <w:kern w:val="0"/>
          <w:sz w:val="24"/>
          <w:szCs w:val="24"/>
          <w:shd w:val="clear" w:color="auto" w:fill="CCE8CF" w:themeFill="background1"/>
        </w:rPr>
        <w:t>，遵照</w:t>
      </w:r>
      <w:r>
        <w:rPr>
          <w:rFonts w:ascii="宋体" w:hAnsi="宋体" w:eastAsia="宋体" w:cs="Arial"/>
          <w:color w:val="auto"/>
          <w:kern w:val="0"/>
          <w:sz w:val="24"/>
          <w:szCs w:val="24"/>
          <w:shd w:val="clear" w:color="auto" w:fill="CCE8CF" w:themeFill="background1"/>
        </w:rPr>
        <w:t>《中华人民共和国</w:t>
      </w:r>
      <w:r>
        <w:rPr>
          <w:rFonts w:hint="eastAsia" w:ascii="宋体" w:hAnsi="宋体" w:eastAsia="宋体" w:cs="Arial"/>
          <w:color w:val="auto"/>
          <w:kern w:val="0"/>
          <w:sz w:val="24"/>
          <w:szCs w:val="24"/>
          <w:shd w:val="clear" w:color="auto" w:fill="CCE8CF" w:themeFill="background1"/>
        </w:rPr>
        <w:t>政府采购法</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rPr>
        <w:t>等有关法律法规的规定，经考察现场和充分研究贵方的</w:t>
      </w:r>
      <w:r>
        <w:rPr>
          <w:rFonts w:hint="eastAsia" w:ascii="宋体" w:hAnsi="宋体" w:eastAsia="宋体"/>
          <w:color w:val="auto"/>
          <w:sz w:val="24"/>
          <w:szCs w:val="24"/>
          <w:shd w:val="clear" w:color="auto" w:fill="CCE8CF" w:themeFill="background1"/>
        </w:rPr>
        <w:t>磋商文件</w:t>
      </w:r>
      <w:r>
        <w:rPr>
          <w:rFonts w:hint="eastAsia" w:ascii="宋体" w:hAnsi="宋体" w:eastAsia="宋体" w:cs="Arial"/>
          <w:color w:val="auto"/>
          <w:kern w:val="0"/>
          <w:sz w:val="24"/>
          <w:szCs w:val="24"/>
          <w:shd w:val="clear" w:color="auto" w:fill="CCE8CF" w:themeFill="background1"/>
        </w:rPr>
        <w:t>的全部内容后，我方郑重承诺如下：</w:t>
      </w:r>
    </w:p>
    <w:p>
      <w:pPr>
        <w:widowControl/>
        <w:shd w:val="clear" w:color="auto" w:fill="FFFFFF"/>
        <w:snapToGrid w:val="0"/>
        <w:spacing w:line="360" w:lineRule="auto"/>
        <w:ind w:firstLine="420"/>
        <w:jc w:val="left"/>
        <w:rPr>
          <w:rFonts w:hint="eastAsia" w:ascii="宋体" w:hAnsi="宋体" w:eastAsia="宋体" w:cs="Arial"/>
          <w:color w:val="auto"/>
          <w:kern w:val="0"/>
          <w:sz w:val="24"/>
          <w:szCs w:val="24"/>
          <w:shd w:val="clear" w:color="auto" w:fill="CCE8CF" w:themeFill="background1"/>
          <w:lang w:eastAsia="zh-CN"/>
        </w:rPr>
      </w:pPr>
      <w:r>
        <w:rPr>
          <w:rFonts w:ascii="宋体" w:hAnsi="宋体" w:eastAsia="宋体" w:cs="Arial"/>
          <w:color w:val="auto"/>
          <w:kern w:val="0"/>
          <w:sz w:val="24"/>
          <w:szCs w:val="24"/>
          <w:shd w:val="clear" w:color="auto" w:fill="CCE8CF" w:themeFill="background1"/>
        </w:rPr>
        <w:t>1.</w:t>
      </w:r>
      <w:r>
        <w:rPr>
          <w:rFonts w:hint="eastAsia" w:ascii="宋体" w:hAnsi="宋体" w:eastAsia="宋体" w:cs="Arial"/>
          <w:color w:val="auto"/>
          <w:kern w:val="0"/>
          <w:sz w:val="24"/>
          <w:szCs w:val="24"/>
          <w:shd w:val="clear" w:color="auto" w:fill="CCE8CF" w:themeFill="background1"/>
        </w:rPr>
        <w:t>我方投标价格为人民币</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元（大写：</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lang w:eastAsia="zh-CN"/>
        </w:rPr>
        <w:t>工期</w:t>
      </w:r>
      <w:r>
        <w:rPr>
          <w:rFonts w:hint="eastAsia" w:ascii="宋体" w:hAnsi="宋体" w:eastAsia="宋体" w:cs="Arial"/>
          <w:color w:val="auto"/>
          <w:kern w:val="0"/>
          <w:sz w:val="24"/>
          <w:szCs w:val="24"/>
          <w:shd w:val="clear" w:color="auto" w:fill="CCE8CF" w:themeFill="background1"/>
        </w:rPr>
        <w:t>为：自合同签订之日起</w:t>
      </w:r>
      <w:r>
        <w:rPr>
          <w:rFonts w:hint="eastAsia" w:ascii="宋体" w:hAnsi="宋体" w:eastAsia="宋体" w:cs="Arial"/>
          <w:color w:val="auto"/>
          <w:kern w:val="0"/>
          <w:sz w:val="24"/>
          <w:szCs w:val="24"/>
          <w:u w:val="single"/>
          <w:shd w:val="clear" w:color="auto" w:fill="CCE8CF" w:themeFill="background1"/>
          <w:lang w:val="en-US" w:eastAsia="zh-CN"/>
        </w:rPr>
        <w:t xml:space="preserve">     </w:t>
      </w:r>
      <w:r>
        <w:rPr>
          <w:rFonts w:hint="eastAsia" w:ascii="宋体" w:hAnsi="宋体" w:eastAsia="宋体" w:cs="Arial"/>
          <w:color w:val="auto"/>
          <w:kern w:val="0"/>
          <w:sz w:val="24"/>
          <w:szCs w:val="24"/>
          <w:shd w:val="clear" w:color="auto" w:fill="CCE8CF" w:themeFill="background1"/>
        </w:rPr>
        <w:t>日历日</w:t>
      </w:r>
      <w:r>
        <w:rPr>
          <w:rFonts w:hint="eastAsia" w:ascii="宋体" w:hAnsi="宋体" w:eastAsia="宋体" w:cs="Arial"/>
          <w:color w:val="auto"/>
          <w:kern w:val="0"/>
          <w:sz w:val="24"/>
          <w:szCs w:val="24"/>
          <w:shd w:val="clear" w:color="auto" w:fill="CCE8CF" w:themeFill="background1"/>
          <w:lang w:eastAsia="zh-CN"/>
        </w:rPr>
        <w:t>；质量等级</w:t>
      </w:r>
      <w:r>
        <w:rPr>
          <w:rFonts w:hint="eastAsia" w:ascii="宋体" w:hAnsi="宋体" w:eastAsia="宋体" w:cs="Arial"/>
          <w:color w:val="auto"/>
          <w:kern w:val="0"/>
          <w:sz w:val="24"/>
          <w:szCs w:val="24"/>
          <w:shd w:val="clear" w:color="auto" w:fill="CCE8CF" w:themeFill="background1"/>
        </w:rPr>
        <w:t>为</w:t>
      </w:r>
      <w:r>
        <w:rPr>
          <w:rFonts w:hint="eastAsia" w:ascii="宋体" w:hAnsi="宋体" w:eastAsia="宋体" w:cs="Arial"/>
          <w:color w:val="auto"/>
          <w:kern w:val="0"/>
          <w:sz w:val="24"/>
          <w:szCs w:val="24"/>
          <w:shd w:val="clear" w:color="auto" w:fill="CCE8CF" w:themeFill="background1"/>
          <w:lang w:eastAsia="zh-CN"/>
        </w:rPr>
        <w:t>：</w:t>
      </w:r>
      <w:r>
        <w:rPr>
          <w:rFonts w:hint="eastAsia" w:ascii="宋体" w:hAnsi="宋体" w:eastAsia="宋体" w:cs="Arial"/>
          <w:color w:val="auto"/>
          <w:kern w:val="0"/>
          <w:sz w:val="24"/>
          <w:szCs w:val="24"/>
          <w:u w:val="single"/>
          <w:shd w:val="clear" w:color="auto" w:fill="CCE8CF" w:themeFill="background1"/>
          <w:lang w:eastAsia="zh-CN"/>
        </w:rPr>
        <w:t xml:space="preserve">           </w:t>
      </w:r>
      <w:r>
        <w:rPr>
          <w:rFonts w:hint="eastAsia" w:ascii="宋体" w:hAnsi="宋体" w:eastAsia="宋体" w:cs="Arial"/>
          <w:color w:val="auto"/>
          <w:kern w:val="0"/>
          <w:sz w:val="24"/>
          <w:szCs w:val="24"/>
          <w:u w:val="none"/>
          <w:shd w:val="clear" w:color="auto" w:fill="CCE8CF" w:themeFill="background1"/>
          <w:lang w:eastAsia="zh-CN"/>
        </w:rPr>
        <w:t>。</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t>2.</w:t>
      </w:r>
      <w:r>
        <w:rPr>
          <w:rFonts w:hint="eastAsia" w:ascii="宋体" w:hAnsi="宋体" w:eastAsia="宋体" w:cs="Arial"/>
          <w:color w:val="auto"/>
          <w:kern w:val="0"/>
          <w:sz w:val="24"/>
          <w:szCs w:val="24"/>
          <w:shd w:val="clear" w:color="auto" w:fill="CCE8CF" w:themeFill="background1"/>
        </w:rPr>
        <w:t>如果我方</w:t>
      </w:r>
      <w:r>
        <w:rPr>
          <w:rFonts w:hint="eastAsia" w:ascii="宋体" w:hAnsi="宋体" w:eastAsia="宋体" w:cs="Arial"/>
          <w:color w:val="auto"/>
          <w:kern w:val="0"/>
          <w:sz w:val="24"/>
          <w:szCs w:val="24"/>
          <w:shd w:val="clear" w:color="auto" w:fill="CCE8CF" w:themeFill="background1"/>
          <w:lang w:eastAsia="zh-CN"/>
        </w:rPr>
        <w:t>成交</w:t>
      </w:r>
      <w:r>
        <w:rPr>
          <w:rFonts w:hint="eastAsia" w:ascii="宋体" w:hAnsi="宋体" w:eastAsia="宋体" w:cs="Arial"/>
          <w:color w:val="auto"/>
          <w:kern w:val="0"/>
          <w:sz w:val="24"/>
          <w:szCs w:val="24"/>
          <w:shd w:val="clear" w:color="auto" w:fill="CCE8CF" w:themeFill="background1"/>
        </w:rPr>
        <w:t>，我方将在</w:t>
      </w:r>
      <w:r>
        <w:rPr>
          <w:rFonts w:hint="eastAsia" w:ascii="宋体" w:hAnsi="宋体" w:eastAsia="宋体"/>
          <w:color w:val="auto"/>
          <w:sz w:val="24"/>
          <w:szCs w:val="24"/>
          <w:shd w:val="clear" w:color="auto" w:fill="CCE8CF" w:themeFill="background1"/>
        </w:rPr>
        <w:t>磋商文件</w:t>
      </w:r>
      <w:r>
        <w:rPr>
          <w:rFonts w:hint="eastAsia" w:ascii="宋体" w:hAnsi="宋体" w:eastAsia="宋体" w:cs="Arial"/>
          <w:color w:val="auto"/>
          <w:kern w:val="0"/>
          <w:sz w:val="24"/>
          <w:szCs w:val="24"/>
          <w:shd w:val="clear" w:color="auto" w:fill="CCE8CF" w:themeFill="background1"/>
        </w:rPr>
        <w:t>规定的时间内签订合同。如果我方违约，除没收投标保证金外，贵方有权终止我方</w:t>
      </w:r>
      <w:r>
        <w:rPr>
          <w:rFonts w:hint="eastAsia" w:ascii="宋体" w:hAnsi="宋体" w:eastAsia="宋体" w:cs="Arial"/>
          <w:color w:val="auto"/>
          <w:kern w:val="0"/>
          <w:sz w:val="24"/>
          <w:szCs w:val="24"/>
          <w:shd w:val="clear" w:color="auto" w:fill="CCE8CF" w:themeFill="background1"/>
          <w:lang w:eastAsia="zh-CN"/>
        </w:rPr>
        <w:t>成交</w:t>
      </w:r>
      <w:r>
        <w:rPr>
          <w:rFonts w:hint="eastAsia" w:ascii="宋体" w:hAnsi="宋体" w:eastAsia="宋体" w:cs="Arial"/>
          <w:color w:val="auto"/>
          <w:kern w:val="0"/>
          <w:sz w:val="24"/>
          <w:szCs w:val="24"/>
          <w:shd w:val="clear" w:color="auto" w:fill="CCE8CF" w:themeFill="background1"/>
        </w:rPr>
        <w:t>并选择其它成交供应商。</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3</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rPr>
        <w:t>本</w:t>
      </w:r>
      <w:r>
        <w:rPr>
          <w:rFonts w:hint="eastAsia" w:ascii="宋体" w:hAnsi="宋体" w:eastAsia="宋体"/>
          <w:color w:val="auto"/>
          <w:sz w:val="24"/>
          <w:szCs w:val="24"/>
          <w:shd w:val="clear" w:color="auto" w:fill="CCE8CF" w:themeFill="background1"/>
        </w:rPr>
        <w:t>响应文件</w:t>
      </w:r>
      <w:r>
        <w:rPr>
          <w:rFonts w:hint="eastAsia" w:ascii="宋体" w:hAnsi="宋体" w:eastAsia="宋体" w:cs="Arial"/>
          <w:color w:val="auto"/>
          <w:kern w:val="0"/>
          <w:sz w:val="24"/>
          <w:szCs w:val="24"/>
          <w:shd w:val="clear" w:color="auto" w:fill="CCE8CF" w:themeFill="background1"/>
        </w:rPr>
        <w:t>在</w:t>
      </w:r>
      <w:r>
        <w:rPr>
          <w:rFonts w:hint="eastAsia" w:ascii="宋体" w:hAnsi="宋体" w:eastAsia="宋体"/>
          <w:color w:val="auto"/>
          <w:sz w:val="24"/>
          <w:szCs w:val="24"/>
          <w:shd w:val="clear" w:color="auto" w:fill="CCE8CF" w:themeFill="background1"/>
        </w:rPr>
        <w:t>磋商文件</w:t>
      </w:r>
      <w:r>
        <w:rPr>
          <w:rFonts w:hint="eastAsia" w:ascii="宋体" w:hAnsi="宋体" w:eastAsia="宋体" w:cs="Arial"/>
          <w:color w:val="auto"/>
          <w:kern w:val="0"/>
          <w:sz w:val="24"/>
          <w:szCs w:val="24"/>
          <w:shd w:val="clear" w:color="auto" w:fill="CCE8C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4</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rPr>
        <w:t>我方已详细阅读</w:t>
      </w:r>
      <w:r>
        <w:rPr>
          <w:rFonts w:hint="eastAsia" w:ascii="宋体" w:hAnsi="宋体" w:eastAsia="宋体"/>
          <w:color w:val="auto"/>
          <w:sz w:val="24"/>
          <w:szCs w:val="24"/>
          <w:shd w:val="clear" w:color="auto" w:fill="CCE8CF" w:themeFill="background1"/>
        </w:rPr>
        <w:t>磋商文件</w:t>
      </w:r>
      <w:r>
        <w:rPr>
          <w:rFonts w:hint="eastAsia" w:ascii="宋体" w:hAnsi="宋体" w:eastAsia="宋体" w:cs="Arial"/>
          <w:color w:val="auto"/>
          <w:kern w:val="0"/>
          <w:sz w:val="24"/>
          <w:szCs w:val="24"/>
          <w:shd w:val="clear" w:color="auto" w:fill="CCE8C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5.我方保证</w:t>
      </w:r>
      <w:r>
        <w:rPr>
          <w:rFonts w:hint="eastAsia" w:ascii="宋体" w:hAnsi="宋体" w:eastAsia="宋体"/>
          <w:color w:val="auto"/>
          <w:sz w:val="24"/>
          <w:szCs w:val="24"/>
          <w:shd w:val="clear" w:color="auto" w:fill="CCE8CF" w:themeFill="background1"/>
        </w:rPr>
        <w:t>响应文件</w:t>
      </w:r>
      <w:r>
        <w:rPr>
          <w:rFonts w:hint="eastAsia" w:ascii="宋体" w:hAnsi="宋体" w:eastAsia="宋体" w:cs="Arial"/>
          <w:color w:val="auto"/>
          <w:kern w:val="0"/>
          <w:sz w:val="24"/>
          <w:szCs w:val="24"/>
          <w:shd w:val="clear" w:color="auto" w:fill="CCE8CF" w:themeFill="background1"/>
        </w:rPr>
        <w:t>内容无任何虚假、未侵犯他人知识产权。如有虚假，同意废除</w:t>
      </w:r>
      <w:r>
        <w:rPr>
          <w:rFonts w:hint="eastAsia" w:ascii="宋体" w:hAnsi="宋体" w:eastAsia="宋体" w:cs="Arial"/>
          <w:color w:val="auto"/>
          <w:kern w:val="0"/>
          <w:sz w:val="24"/>
          <w:szCs w:val="24"/>
          <w:shd w:val="clear" w:color="auto" w:fill="CCE8CF" w:themeFill="background1"/>
          <w:lang w:eastAsia="zh-CN"/>
        </w:rPr>
        <w:t>成交</w:t>
      </w:r>
      <w:r>
        <w:rPr>
          <w:rFonts w:hint="eastAsia" w:ascii="宋体" w:hAnsi="宋体" w:eastAsia="宋体" w:cs="Arial"/>
          <w:color w:val="auto"/>
          <w:kern w:val="0"/>
          <w:sz w:val="24"/>
          <w:szCs w:val="24"/>
          <w:shd w:val="clear" w:color="auto" w:fill="CCE8CF" w:themeFill="background1"/>
        </w:rPr>
        <w:t>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6</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7</w:t>
      </w:r>
      <w:r>
        <w:rPr>
          <w:rFonts w:ascii="宋体" w:hAnsi="宋体" w:eastAsia="宋体" w:cs="Arial"/>
          <w:color w:val="auto"/>
          <w:kern w:val="0"/>
          <w:sz w:val="24"/>
          <w:szCs w:val="24"/>
          <w:shd w:val="clear" w:color="auto" w:fill="CCE8CF" w:themeFill="background1"/>
        </w:rPr>
        <w:t>.</w:t>
      </w:r>
      <w:r>
        <w:rPr>
          <w:rFonts w:hint="eastAsia" w:ascii="宋体" w:hAnsi="宋体" w:eastAsia="宋体" w:cs="Arial"/>
          <w:color w:val="auto"/>
          <w:kern w:val="0"/>
          <w:sz w:val="24"/>
          <w:szCs w:val="24"/>
          <w:shd w:val="clear" w:color="auto" w:fill="CCE8C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color w:val="auto"/>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8.我方</w:t>
      </w:r>
      <w:r>
        <w:rPr>
          <w:rFonts w:hint="eastAsia" w:ascii="宋体" w:hAnsi="宋体" w:eastAsia="宋体"/>
          <w:color w:val="auto"/>
          <w:sz w:val="24"/>
          <w:szCs w:val="24"/>
          <w:shd w:val="clear" w:color="auto" w:fill="CCE8C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9. 如我方</w:t>
      </w:r>
      <w:r>
        <w:rPr>
          <w:rFonts w:hint="eastAsia" w:ascii="宋体" w:hAnsi="宋体" w:eastAsia="宋体" w:cs="Arial"/>
          <w:color w:val="auto"/>
          <w:kern w:val="0"/>
          <w:sz w:val="24"/>
          <w:szCs w:val="24"/>
          <w:shd w:val="clear" w:color="auto" w:fill="CCE8CF" w:themeFill="background1"/>
          <w:lang w:eastAsia="zh-CN"/>
        </w:rPr>
        <w:t>成交</w:t>
      </w:r>
      <w:r>
        <w:rPr>
          <w:rFonts w:hint="eastAsia" w:ascii="宋体" w:hAnsi="宋体" w:eastAsia="宋体" w:cs="Arial"/>
          <w:color w:val="auto"/>
          <w:kern w:val="0"/>
          <w:sz w:val="24"/>
          <w:szCs w:val="24"/>
          <w:shd w:val="clear" w:color="auto" w:fill="CCE8CF" w:themeFill="background1"/>
        </w:rPr>
        <w:t>，我方自愿向采购代理机构支付咨询费，并在合同签订后3个工作日内向采购代理机构提供采购合同原件一份用于采购资料备案工作。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供应商：</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（盖章）</w:t>
      </w: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法定代表人：</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 xml:space="preserve">（盖章）                       </w:t>
      </w:r>
    </w:p>
    <w:p>
      <w:pPr>
        <w:widowControl/>
        <w:shd w:val="clear" w:color="auto" w:fill="FFFFFF"/>
        <w:snapToGrid w:val="0"/>
        <w:spacing w:line="360" w:lineRule="auto"/>
        <w:jc w:val="righ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 xml:space="preserve">    日期：年 月 日</w:t>
      </w:r>
    </w:p>
    <w:p>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ind w:firstLine="470" w:firstLineChars="196"/>
        <w:jc w:val="center"/>
        <w:textAlignment w:val="auto"/>
        <w:outlineLvl w:val="1"/>
        <w:rPr>
          <w:rFonts w:ascii="宋体" w:hAnsi="宋体" w:eastAsia="宋体" w:cs="宋体"/>
          <w:b/>
          <w:color w:val="auto"/>
          <w:sz w:val="24"/>
          <w:szCs w:val="24"/>
          <w:shd w:val="clear" w:color="auto" w:fill="CCE8CF" w:themeFill="background1"/>
        </w:rPr>
      </w:pPr>
      <w:r>
        <w:rPr>
          <w:rFonts w:ascii="宋体" w:hAnsi="宋体" w:eastAsia="宋体" w:cs="Arial"/>
          <w:color w:val="auto"/>
          <w:kern w:val="0"/>
          <w:sz w:val="24"/>
          <w:szCs w:val="24"/>
          <w:shd w:val="clear" w:color="auto" w:fill="CCE8CF" w:themeFill="background1"/>
        </w:rPr>
        <w:br w:type="page"/>
      </w:r>
      <w:bookmarkStart w:id="106" w:name="_Toc513457079"/>
      <w:bookmarkStart w:id="107" w:name="_Toc531016896"/>
      <w:bookmarkStart w:id="108" w:name="_Toc22662"/>
      <w:bookmarkStart w:id="109" w:name="_Toc98925230"/>
      <w:bookmarkStart w:id="110" w:name="_Toc505080059"/>
      <w:r>
        <w:rPr>
          <w:rFonts w:hint="eastAsia" w:ascii="宋体" w:hAnsi="宋体" w:eastAsia="宋体"/>
          <w:b/>
          <w:color w:val="auto"/>
          <w:sz w:val="24"/>
          <w:szCs w:val="24"/>
          <w:shd w:val="clear" w:color="auto" w:fill="CCE8CF" w:themeFill="background1"/>
        </w:rPr>
        <w:t>投标函（二）</w:t>
      </w:r>
      <w:bookmarkEnd w:id="106"/>
      <w:bookmarkEnd w:id="107"/>
      <w:bookmarkEnd w:id="108"/>
      <w:bookmarkEnd w:id="109"/>
      <w:bookmarkEnd w:id="110"/>
    </w:p>
    <w:p>
      <w:pPr>
        <w:spacing w:line="360" w:lineRule="auto"/>
        <w:ind w:left="424" w:leftChars="202"/>
        <w:jc w:val="center"/>
        <w:rPr>
          <w:rFonts w:ascii="宋体" w:hAnsi="宋体" w:eastAsia="宋体" w:cs="宋体"/>
          <w:b/>
          <w:color w:val="auto"/>
          <w:sz w:val="24"/>
          <w:szCs w:val="24"/>
          <w:shd w:val="clear" w:color="auto" w:fill="CCE8CF" w:themeFill="background1"/>
        </w:rPr>
      </w:pPr>
    </w:p>
    <w:p>
      <w:pPr>
        <w:spacing w:line="360" w:lineRule="auto"/>
        <w:ind w:left="424" w:leftChars="202"/>
        <w:rPr>
          <w:rFonts w:ascii="宋体" w:hAnsi="宋体" w:eastAsia="宋体" w:cs="宋体"/>
          <w:color w:val="auto"/>
          <w:sz w:val="24"/>
          <w:szCs w:val="24"/>
          <w:u w:val="single"/>
          <w:shd w:val="clear" w:color="auto" w:fill="CCE8CF" w:themeFill="background1"/>
        </w:rPr>
      </w:pPr>
      <w:r>
        <w:rPr>
          <w:rFonts w:hint="eastAsia" w:ascii="宋体" w:hAnsi="宋体" w:eastAsia="宋体" w:cs="宋体"/>
          <w:color w:val="auto"/>
          <w:sz w:val="24"/>
          <w:szCs w:val="24"/>
          <w:shd w:val="clear" w:color="auto" w:fill="CCE8CF" w:themeFill="background1"/>
        </w:rPr>
        <w:t>采购人：</w:t>
      </w:r>
      <w:r>
        <w:rPr>
          <w:rFonts w:hint="eastAsia" w:ascii="宋体" w:hAnsi="宋体" w:eastAsia="宋体" w:cs="宋体"/>
          <w:color w:val="auto"/>
          <w:sz w:val="24"/>
          <w:szCs w:val="24"/>
          <w:u w:val="single"/>
          <w:shd w:val="clear" w:color="auto" w:fill="CCE8CF" w:themeFill="background1"/>
        </w:rPr>
        <w:t xml:space="preserve">                   </w:t>
      </w:r>
    </w:p>
    <w:p>
      <w:pPr>
        <w:shd w:val="clear" w:color="auto" w:fill="FFFFFF"/>
        <w:snapToGrid w:val="0"/>
        <w:spacing w:line="360" w:lineRule="auto"/>
        <w:ind w:left="424"/>
        <w:rPr>
          <w:rFonts w:ascii="宋体" w:hAnsi="宋体" w:eastAsia="宋体"/>
          <w:color w:val="auto"/>
          <w:sz w:val="24"/>
          <w:szCs w:val="24"/>
          <w:shd w:val="clear" w:color="auto" w:fill="CCE8CF" w:themeFill="background1"/>
        </w:rPr>
      </w:pPr>
      <w:r>
        <w:rPr>
          <w:rFonts w:hint="eastAsia" w:ascii="宋体" w:hAnsi="宋体" w:eastAsia="宋体"/>
          <w:color w:val="auto"/>
          <w:sz w:val="24"/>
          <w:szCs w:val="24"/>
          <w:shd w:val="clear" w:color="auto" w:fill="CCE8CF" w:themeFill="background1"/>
        </w:rPr>
        <w:t>若我公司</w:t>
      </w:r>
      <w:r>
        <w:rPr>
          <w:rFonts w:hint="eastAsia" w:ascii="宋体" w:hAnsi="宋体" w:eastAsia="宋体"/>
          <w:color w:val="auto"/>
          <w:sz w:val="24"/>
          <w:szCs w:val="24"/>
          <w:shd w:val="clear" w:color="auto" w:fill="CCE8CF" w:themeFill="background1"/>
          <w:lang w:eastAsia="zh-CN"/>
        </w:rPr>
        <w:t>成交</w:t>
      </w:r>
      <w:r>
        <w:rPr>
          <w:rFonts w:hint="eastAsia" w:ascii="宋体" w:hAnsi="宋体" w:eastAsia="宋体"/>
          <w:color w:val="auto"/>
          <w:sz w:val="24"/>
          <w:szCs w:val="24"/>
          <w:shd w:val="clear" w:color="auto" w:fill="CCE8CF" w:themeFill="background1"/>
        </w:rPr>
        <w:t>后，项目负责人为：</w:t>
      </w:r>
    </w:p>
    <w:tbl>
      <w:tblPr>
        <w:tblStyle w:val="20"/>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390" w:type="dxa"/>
            <w:vAlign w:val="center"/>
          </w:tcPr>
          <w:p>
            <w:pPr>
              <w:jc w:val="center"/>
              <w:rPr>
                <w:rFonts w:hint="eastAsia" w:ascii="宋体" w:hAnsi="宋体" w:eastAsia="宋体" w:cs="宋体"/>
                <w:color w:val="auto"/>
                <w:sz w:val="21"/>
                <w:szCs w:val="21"/>
              </w:rPr>
            </w:pPr>
          </w:p>
        </w:tc>
        <w:tc>
          <w:tcPr>
            <w:tcW w:w="2396"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2000" w:type="dxa"/>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项目负责人等级</w:t>
            </w:r>
          </w:p>
        </w:tc>
        <w:tc>
          <w:tcPr>
            <w:tcW w:w="2390" w:type="dxa"/>
            <w:vAlign w:val="center"/>
          </w:tcPr>
          <w:p>
            <w:pPr>
              <w:jc w:val="center"/>
              <w:rPr>
                <w:rFonts w:hint="eastAsia" w:ascii="宋体" w:hAnsi="宋体" w:eastAsia="宋体" w:cs="宋体"/>
                <w:color w:val="auto"/>
                <w:sz w:val="21"/>
                <w:szCs w:val="21"/>
              </w:rPr>
            </w:pPr>
          </w:p>
        </w:tc>
        <w:tc>
          <w:tcPr>
            <w:tcW w:w="2396"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2000" w:type="dxa"/>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p>
        </w:tc>
        <w:tc>
          <w:tcPr>
            <w:tcW w:w="6786" w:type="dxa"/>
            <w:gridSpan w:val="3"/>
            <w:vAlign w:val="center"/>
          </w:tcPr>
          <w:p>
            <w:pPr>
              <w:jc w:val="center"/>
              <w:rPr>
                <w:rFonts w:hint="eastAsia" w:ascii="宋体" w:hAnsi="宋体" w:eastAsia="宋体" w:cs="宋体"/>
                <w:color w:val="auto"/>
                <w:sz w:val="21"/>
                <w:szCs w:val="21"/>
              </w:rPr>
            </w:pPr>
          </w:p>
        </w:tc>
      </w:tr>
    </w:tbl>
    <w:p>
      <w:pPr>
        <w:pStyle w:val="11"/>
        <w:spacing w:line="360" w:lineRule="auto"/>
        <w:rPr>
          <w:rFonts w:ascii="宋体" w:hAnsi="宋体"/>
          <w:color w:val="auto"/>
          <w:szCs w:val="24"/>
          <w:shd w:val="clear" w:color="auto" w:fill="CCE8CF" w:themeFill="background1"/>
        </w:rPr>
      </w:pPr>
    </w:p>
    <w:p>
      <w:pPr>
        <w:shd w:val="clear" w:color="auto" w:fill="FFFFFF"/>
        <w:snapToGrid w:val="0"/>
        <w:spacing w:line="360" w:lineRule="auto"/>
        <w:ind w:firstLine="480" w:firstLineChars="200"/>
        <w:rPr>
          <w:rFonts w:ascii="宋体" w:hAnsi="宋体" w:eastAsia="宋体"/>
          <w:color w:val="auto"/>
          <w:sz w:val="24"/>
          <w:szCs w:val="24"/>
          <w:shd w:val="clear" w:color="auto" w:fill="CCE8CF" w:themeFill="background1"/>
        </w:rPr>
      </w:pPr>
      <w:r>
        <w:rPr>
          <w:rFonts w:hint="eastAsia" w:ascii="宋体" w:hAnsi="宋体" w:eastAsia="宋体"/>
          <w:color w:val="auto"/>
          <w:sz w:val="24"/>
          <w:szCs w:val="24"/>
          <w:shd w:val="clear" w:color="auto" w:fill="CCE8CF" w:themeFill="background1"/>
          <w:lang w:eastAsia="zh-CN"/>
        </w:rPr>
        <w:t>成交</w:t>
      </w:r>
      <w:r>
        <w:rPr>
          <w:rFonts w:hint="eastAsia" w:ascii="宋体" w:hAnsi="宋体" w:eastAsia="宋体"/>
          <w:color w:val="auto"/>
          <w:sz w:val="24"/>
          <w:szCs w:val="24"/>
          <w:shd w:val="clear" w:color="auto" w:fill="CCE8CF" w:themeFill="background1"/>
        </w:rPr>
        <w:t>后，若由于特殊原因须更换时，我方将以不低于此项目负责人资历的人员替换，并报业主审查。经审查通过后，方可更换。若未经采购人批准，我方擅自更换，我方愿以合同价的</w:t>
      </w:r>
      <w:r>
        <w:rPr>
          <w:rFonts w:ascii="宋体" w:hAnsi="宋体" w:eastAsia="宋体"/>
          <w:color w:val="auto"/>
          <w:sz w:val="24"/>
          <w:szCs w:val="24"/>
          <w:u w:val="single"/>
          <w:shd w:val="clear" w:color="auto" w:fill="CCE8CF" w:themeFill="background1"/>
        </w:rPr>
        <w:t xml:space="preserve">      </w:t>
      </w:r>
      <w:r>
        <w:rPr>
          <w:rFonts w:ascii="宋体" w:hAnsi="宋体" w:eastAsia="宋体"/>
          <w:color w:val="auto"/>
          <w:sz w:val="24"/>
          <w:szCs w:val="24"/>
          <w:shd w:val="clear" w:color="auto" w:fill="CCE8CF" w:themeFill="background1"/>
        </w:rPr>
        <w:t>%</w:t>
      </w:r>
      <w:r>
        <w:rPr>
          <w:rFonts w:hint="eastAsia" w:ascii="宋体" w:hAnsi="宋体" w:eastAsia="宋体"/>
          <w:color w:val="auto"/>
          <w:sz w:val="24"/>
          <w:szCs w:val="24"/>
          <w:shd w:val="clear" w:color="auto" w:fill="CCE8CF" w:themeFill="background1"/>
        </w:rPr>
        <w:t>作为赔偿金。</w:t>
      </w:r>
    </w:p>
    <w:p>
      <w:pPr>
        <w:spacing w:line="360" w:lineRule="auto"/>
        <w:rPr>
          <w:rFonts w:ascii="宋体" w:hAnsi="宋体" w:eastAsia="宋体" w:cs="宋体"/>
          <w:color w:val="auto"/>
          <w:sz w:val="24"/>
          <w:szCs w:val="24"/>
          <w:shd w:val="clear" w:color="auto" w:fill="CCE8CF" w:themeFill="background1"/>
        </w:rPr>
      </w:pPr>
    </w:p>
    <w:p>
      <w:pPr>
        <w:spacing w:line="360" w:lineRule="auto"/>
        <w:rPr>
          <w:rFonts w:ascii="宋体" w:hAnsi="宋体" w:eastAsia="宋体" w:cs="宋体"/>
          <w:color w:val="auto"/>
          <w:sz w:val="24"/>
          <w:szCs w:val="24"/>
          <w:shd w:val="clear" w:color="auto" w:fill="CCE8CF" w:themeFill="background1"/>
        </w:rPr>
      </w:pPr>
    </w:p>
    <w:p>
      <w:pPr>
        <w:spacing w:line="360" w:lineRule="auto"/>
        <w:rPr>
          <w:rFonts w:ascii="宋体" w:hAnsi="宋体" w:eastAsia="宋体" w:cs="宋体"/>
          <w:color w:val="auto"/>
          <w:sz w:val="24"/>
          <w:szCs w:val="24"/>
          <w:shd w:val="clear" w:color="auto" w:fill="CCE8CF" w:themeFill="background1"/>
        </w:rPr>
      </w:pPr>
    </w:p>
    <w:p>
      <w:pPr>
        <w:spacing w:line="360" w:lineRule="auto"/>
        <w:rPr>
          <w:rFonts w:ascii="宋体" w:hAnsi="宋体" w:eastAsia="宋体" w:cs="宋体"/>
          <w:color w:val="auto"/>
          <w:sz w:val="24"/>
          <w:szCs w:val="24"/>
          <w:shd w:val="clear" w:color="auto" w:fill="CCE8CF" w:themeFill="background1"/>
        </w:rPr>
      </w:pP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供应商：</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（盖章）</w:t>
      </w: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p>
    <w:p>
      <w:pPr>
        <w:widowControl/>
        <w:shd w:val="clear" w:color="auto" w:fill="FFFFFF"/>
        <w:snapToGrid w:val="0"/>
        <w:spacing w:line="360" w:lineRule="auto"/>
        <w:jc w:val="left"/>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法定代表人：</w:t>
      </w:r>
      <w:r>
        <w:rPr>
          <w:rFonts w:hint="eastAsia" w:ascii="宋体" w:hAnsi="宋体" w:eastAsia="宋体" w:cs="Arial"/>
          <w:color w:val="auto"/>
          <w:kern w:val="0"/>
          <w:sz w:val="24"/>
          <w:szCs w:val="24"/>
          <w:u w:val="single"/>
          <w:shd w:val="clear" w:color="auto" w:fill="CCE8CF" w:themeFill="background1"/>
        </w:rPr>
        <w:t xml:space="preserve">           </w:t>
      </w:r>
      <w:r>
        <w:rPr>
          <w:rFonts w:hint="eastAsia" w:ascii="宋体" w:hAnsi="宋体" w:eastAsia="宋体" w:cs="Arial"/>
          <w:color w:val="auto"/>
          <w:kern w:val="0"/>
          <w:sz w:val="24"/>
          <w:szCs w:val="24"/>
          <w:shd w:val="clear" w:color="auto" w:fill="CCE8CF" w:themeFill="background1"/>
        </w:rPr>
        <w:t>（盖章）</w:t>
      </w:r>
    </w:p>
    <w:p>
      <w:pPr>
        <w:widowControl/>
        <w:shd w:val="clear" w:color="auto" w:fill="FFFFFF"/>
        <w:snapToGrid w:val="0"/>
        <w:spacing w:line="360" w:lineRule="auto"/>
        <w:ind w:firstLine="420"/>
        <w:jc w:val="center"/>
        <w:rPr>
          <w:rFonts w:ascii="宋体" w:hAnsi="宋体" w:eastAsia="宋体" w:cs="Arial"/>
          <w:color w:val="auto"/>
          <w:kern w:val="0"/>
          <w:sz w:val="24"/>
          <w:szCs w:val="24"/>
          <w:shd w:val="clear" w:color="auto" w:fill="CCE8CF" w:themeFill="background1"/>
        </w:rPr>
      </w:pPr>
      <w:r>
        <w:rPr>
          <w:rFonts w:hint="eastAsia" w:ascii="宋体" w:hAnsi="宋体" w:eastAsia="宋体" w:cs="Arial"/>
          <w:color w:val="auto"/>
          <w:kern w:val="0"/>
          <w:sz w:val="24"/>
          <w:szCs w:val="24"/>
          <w:shd w:val="clear" w:color="auto" w:fill="CCE8CF" w:themeFill="background1"/>
        </w:rPr>
        <w:t xml:space="preserve">                                               日期：年 月 日</w:t>
      </w:r>
    </w:p>
    <w:p>
      <w:pPr>
        <w:widowControl/>
        <w:spacing w:line="360" w:lineRule="auto"/>
        <w:jc w:val="left"/>
        <w:rPr>
          <w:rFonts w:ascii="宋体" w:hAnsi="宋体" w:eastAsia="宋体" w:cs="Arial"/>
          <w:color w:val="auto"/>
          <w:kern w:val="0"/>
          <w:sz w:val="24"/>
          <w:szCs w:val="24"/>
          <w:shd w:val="clear" w:color="auto" w:fill="CCE8CF" w:themeFill="background1"/>
        </w:rPr>
      </w:pPr>
    </w:p>
    <w:p>
      <w:pPr>
        <w:widowControl/>
        <w:shd w:val="clear" w:color="auto" w:fill="FFFFFF"/>
        <w:snapToGrid w:val="0"/>
        <w:spacing w:line="360" w:lineRule="auto"/>
        <w:ind w:firstLine="420"/>
        <w:jc w:val="center"/>
        <w:rPr>
          <w:rFonts w:ascii="宋体" w:hAnsi="宋体" w:eastAsia="宋体" w:cs="Arial"/>
          <w:color w:val="auto"/>
          <w:kern w:val="0"/>
          <w:sz w:val="24"/>
          <w:szCs w:val="24"/>
          <w:shd w:val="clear" w:color="auto" w:fill="CCE8CF" w:themeFill="background1"/>
        </w:rPr>
      </w:pPr>
    </w:p>
    <w:p>
      <w:pPr>
        <w:spacing w:line="360" w:lineRule="auto"/>
        <w:rPr>
          <w:rFonts w:ascii="宋体" w:hAnsi="宋体" w:eastAsia="宋体"/>
          <w:color w:val="auto"/>
          <w:sz w:val="24"/>
          <w:szCs w:val="24"/>
          <w:shd w:val="clear" w:color="auto" w:fill="CCE8CF" w:themeFill="background1"/>
        </w:rPr>
      </w:pPr>
      <w:bookmarkStart w:id="111" w:name="_Toc507586169"/>
      <w:bookmarkStart w:id="112" w:name="_Toc38446474"/>
      <w:bookmarkStart w:id="113" w:name="_Toc533503184"/>
    </w:p>
    <w:p>
      <w:pPr>
        <w:widowControl/>
        <w:spacing w:line="360" w:lineRule="auto"/>
        <w:jc w:val="left"/>
        <w:rPr>
          <w:rFonts w:ascii="宋体" w:hAnsi="宋体" w:eastAsia="宋体"/>
          <w:b/>
          <w:color w:val="auto"/>
          <w:sz w:val="24"/>
          <w:szCs w:val="24"/>
          <w:shd w:val="clear" w:color="auto" w:fill="CCE8CF" w:themeFill="background1"/>
        </w:rPr>
      </w:pPr>
      <w:r>
        <w:rPr>
          <w:rFonts w:ascii="宋体" w:hAnsi="宋体" w:eastAsia="宋体"/>
          <w:b/>
          <w:color w:val="auto"/>
          <w:sz w:val="24"/>
          <w:szCs w:val="24"/>
          <w:shd w:val="clear" w:color="auto" w:fill="CCE8CF" w:themeFill="background1"/>
        </w:rPr>
        <w:br w:type="page"/>
      </w:r>
    </w:p>
    <w:bookmarkEnd w:id="97"/>
    <w:bookmarkEnd w:id="98"/>
    <w:bookmarkEnd w:id="99"/>
    <w:bookmarkEnd w:id="100"/>
    <w:bookmarkEnd w:id="101"/>
    <w:bookmarkEnd w:id="111"/>
    <w:bookmarkEnd w:id="112"/>
    <w:bookmarkEnd w:id="113"/>
    <w:p>
      <w:pPr>
        <w:pStyle w:val="4"/>
        <w:rPr>
          <w:rFonts w:hint="eastAsia"/>
        </w:rPr>
      </w:pPr>
    </w:p>
    <w:p>
      <w:pPr>
        <w:pStyle w:val="28"/>
        <w:jc w:val="center"/>
        <w:outlineLvl w:val="0"/>
        <w:rPr>
          <w:rFonts w:ascii="宋体" w:hAnsi="宋体" w:cs="宋体"/>
          <w:b/>
          <w:bCs/>
          <w:color w:val="auto"/>
          <w:sz w:val="36"/>
        </w:rPr>
      </w:pPr>
      <w:bookmarkStart w:id="114" w:name="_Toc22469"/>
      <w:bookmarkStart w:id="115" w:name="_Toc28901"/>
      <w:bookmarkStart w:id="116" w:name="_Toc14958"/>
      <w:bookmarkStart w:id="117" w:name="_Toc24213"/>
      <w:r>
        <w:rPr>
          <w:rFonts w:hint="eastAsia" w:ascii="宋体" w:hAnsi="宋体" w:cs="宋体"/>
          <w:b/>
          <w:bCs/>
          <w:color w:val="auto"/>
          <w:sz w:val="36"/>
        </w:rPr>
        <w:t>附件2：法定代表人身份证明书</w:t>
      </w:r>
      <w:bookmarkEnd w:id="114"/>
      <w:bookmarkEnd w:id="115"/>
      <w:bookmarkEnd w:id="116"/>
      <w:bookmarkEnd w:id="117"/>
    </w:p>
    <w:p>
      <w:pPr>
        <w:spacing w:line="360" w:lineRule="auto"/>
        <w:rPr>
          <w:rFonts w:hint="eastAsia" w:ascii="宋体" w:hAnsi="宋体"/>
          <w:color w:val="auto"/>
          <w:sz w:val="28"/>
        </w:rPr>
      </w:pPr>
    </w:p>
    <w:p>
      <w:pPr>
        <w:spacing w:line="360" w:lineRule="auto"/>
        <w:rPr>
          <w:rFonts w:ascii="宋体" w:hAnsi="宋体"/>
          <w:color w:val="auto"/>
          <w:sz w:val="24"/>
          <w:szCs w:val="24"/>
          <w:u w:val="single"/>
        </w:rPr>
      </w:pPr>
      <w:r>
        <w:rPr>
          <w:rFonts w:hint="eastAsia" w:ascii="宋体" w:hAnsi="宋体"/>
          <w:color w:val="auto"/>
          <w:sz w:val="24"/>
          <w:szCs w:val="24"/>
        </w:rPr>
        <w:t>单位名称：</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地址：</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 xml:space="preserve">  性别：</w:t>
      </w:r>
      <w:r>
        <w:rPr>
          <w:rFonts w:hint="eastAsia" w:ascii="宋体" w:hAnsi="宋体"/>
          <w:color w:val="auto"/>
          <w:sz w:val="24"/>
          <w:szCs w:val="24"/>
          <w:u w:val="single"/>
        </w:rPr>
        <w:t xml:space="preserve">         </w:t>
      </w:r>
      <w:r>
        <w:rPr>
          <w:rFonts w:hint="eastAsia" w:ascii="宋体" w:hAnsi="宋体"/>
          <w:color w:val="auto"/>
          <w:sz w:val="24"/>
          <w:szCs w:val="24"/>
        </w:rPr>
        <w:t xml:space="preserve"> 年龄</w:t>
      </w:r>
      <w:r>
        <w:rPr>
          <w:rFonts w:hint="eastAsia" w:ascii="宋体" w:hAnsi="宋体"/>
          <w:color w:val="auto"/>
          <w:sz w:val="24"/>
          <w:szCs w:val="24"/>
          <w:u w:val="single"/>
        </w:rPr>
        <w:t xml:space="preserve">       </w:t>
      </w:r>
      <w:r>
        <w:rPr>
          <w:rFonts w:hint="eastAsia" w:ascii="宋体" w:hAnsi="宋体"/>
          <w:color w:val="auto"/>
          <w:sz w:val="24"/>
          <w:szCs w:val="24"/>
        </w:rPr>
        <w:t xml:space="preserve"> 职务：</w:t>
      </w:r>
      <w:r>
        <w:rPr>
          <w:rFonts w:hint="eastAsia" w:ascii="宋体" w:hAnsi="宋体"/>
          <w:color w:val="auto"/>
          <w:sz w:val="24"/>
          <w:szCs w:val="24"/>
          <w:u w:val="single"/>
        </w:rPr>
        <w:t xml:space="preserve">        </w:t>
      </w:r>
    </w:p>
    <w:p>
      <w:pPr>
        <w:spacing w:line="360" w:lineRule="auto"/>
        <w:rPr>
          <w:rFonts w:ascii="宋体" w:hAnsi="宋体"/>
          <w:color w:val="auto"/>
          <w:sz w:val="28"/>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法定代表人。</w:t>
      </w:r>
    </w:p>
    <w:p>
      <w:pPr>
        <w:spacing w:line="360" w:lineRule="auto"/>
        <w:rPr>
          <w:rFonts w:ascii="宋体" w:hAnsi="宋体"/>
          <w:color w:val="auto"/>
          <w:sz w:val="28"/>
        </w:rPr>
      </w:pPr>
    </w:p>
    <w:p>
      <w:pPr>
        <w:spacing w:line="360" w:lineRule="auto"/>
        <w:rPr>
          <w:rFonts w:ascii="宋体" w:hAnsi="宋体"/>
          <w:color w:val="auto"/>
          <w:sz w:val="28"/>
        </w:rPr>
      </w:pPr>
      <w:r>
        <w:rPr>
          <w:rFonts w:ascii="宋体" w:hAnsi="宋体"/>
          <w:color w:val="auto"/>
          <w:sz w:val="28"/>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22860" b="20955"/>
                <wp:wrapNone/>
                <wp:docPr id="4" name="文本框 4"/>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Qa9cAAAAJAQAADwAAAAAAAAABACAA&#10;AAAiAAAAZHJzL2Rvd25yZXYueG1sUEsBAhQAFAAAAAgAh07iQKiiI5NHAgAAvw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r>
        <w:rPr>
          <w:rFonts w:ascii="宋体" w:hAnsi="宋体"/>
          <w:color w:val="auto"/>
          <w:sz w:val="28"/>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DHPu9gAAAAKAQAADwAAAAAAAAABACAA&#10;AAAiAAAAZHJzL2Rvd25yZXYueG1sUEsBAhQAFAAAAAgAh07iQA/FDRN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v:shape>
            </w:pict>
          </mc:Fallback>
        </mc:AlternateConten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投标单位名称：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单位</w:t>
      </w:r>
      <w:r>
        <w:rPr>
          <w:rFonts w:hint="eastAsia" w:ascii="宋体" w:hAnsi="宋体"/>
          <w:color w:val="auto"/>
          <w:sz w:val="24"/>
          <w:szCs w:val="24"/>
        </w:rPr>
        <w:t>公章）</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ind w:right="240"/>
        <w:jc w:val="right"/>
        <w:rPr>
          <w:rFonts w:ascii="宋体" w:hAnsi="宋体"/>
          <w:color w:val="auto"/>
          <w:sz w:val="24"/>
          <w:szCs w:val="24"/>
        </w:rPr>
      </w:pPr>
      <w:r>
        <w:rPr>
          <w:rFonts w:hint="eastAsia" w:ascii="宋体" w:hAnsi="宋体"/>
          <w:color w:val="auto"/>
          <w:sz w:val="24"/>
          <w:szCs w:val="24"/>
        </w:rPr>
        <w:t>日期：  年   月   日</w: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rPr>
          <w:rFonts w:ascii="宋体" w:hAnsi="宋体"/>
          <w:color w:val="auto"/>
          <w:sz w:val="28"/>
        </w:rPr>
      </w:pPr>
    </w:p>
    <w:p>
      <w:pPr>
        <w:pStyle w:val="5"/>
        <w:numPr>
          <w:ilvl w:val="0"/>
          <w:numId w:val="0"/>
        </w:numPr>
        <w:jc w:val="center"/>
        <w:outlineLvl w:val="0"/>
        <w:rPr>
          <w:rFonts w:hint="eastAsia" w:ascii="宋体" w:hAnsi="宋体" w:cs="宋体"/>
          <w:bCs/>
          <w:color w:val="auto"/>
          <w:sz w:val="36"/>
          <w:szCs w:val="20"/>
        </w:rPr>
      </w:pPr>
      <w:bookmarkStart w:id="118" w:name="_Toc538"/>
      <w:bookmarkStart w:id="119" w:name="_Toc533086814"/>
      <w:bookmarkStart w:id="120" w:name="_Toc7864"/>
      <w:bookmarkStart w:id="121" w:name="_Toc21414"/>
      <w:bookmarkStart w:id="122" w:name="_Toc15421"/>
      <w:r>
        <w:rPr>
          <w:rFonts w:hint="eastAsia" w:ascii="宋体" w:hAnsi="宋体" w:cs="宋体"/>
          <w:bCs/>
          <w:color w:val="auto"/>
          <w:sz w:val="36"/>
          <w:szCs w:val="20"/>
        </w:rPr>
        <w:t>附件3：法定代表人授权委托书</w:t>
      </w:r>
      <w:bookmarkEnd w:id="118"/>
      <w:bookmarkEnd w:id="119"/>
      <w:bookmarkEnd w:id="120"/>
      <w:bookmarkEnd w:id="121"/>
      <w:bookmarkEnd w:id="122"/>
    </w:p>
    <w:p>
      <w:pPr>
        <w:pStyle w:val="24"/>
        <w:spacing w:line="360" w:lineRule="atLeast"/>
        <w:ind w:firstLine="567"/>
        <w:jc w:val="both"/>
        <w:rPr>
          <w:rFonts w:hint="eastAsia" w:ascii="宋体" w:hAnsi="宋体" w:cs="宋体"/>
          <w:color w:val="auto"/>
          <w:sz w:val="28"/>
        </w:rPr>
      </w:pPr>
    </w:p>
    <w:p>
      <w:pPr>
        <w:pStyle w:val="24"/>
        <w:spacing w:line="360" w:lineRule="atLeast"/>
        <w:jc w:val="both"/>
        <w:rPr>
          <w:rFonts w:hint="eastAsia" w:ascii="宋体" w:hAnsi="宋体" w:cs="宋体"/>
          <w:color w:val="auto"/>
          <w:sz w:val="24"/>
          <w:szCs w:val="24"/>
        </w:rPr>
      </w:pPr>
      <w:r>
        <w:rPr>
          <w:rFonts w:hint="eastAsia" w:ascii="宋体" w:hAnsi="宋体" w:cs="宋体"/>
          <w:color w:val="auto"/>
          <w:sz w:val="24"/>
          <w:szCs w:val="24"/>
          <w:lang w:eastAsia="zh-CN"/>
        </w:rPr>
        <w:t>华诚博远工程咨询有限公司</w:t>
      </w:r>
      <w:r>
        <w:rPr>
          <w:rFonts w:hint="eastAsia" w:ascii="宋体" w:hAnsi="宋体" w:cs="宋体"/>
          <w:color w:val="auto"/>
          <w:sz w:val="24"/>
          <w:szCs w:val="24"/>
        </w:rPr>
        <w:t>：</w:t>
      </w:r>
    </w:p>
    <w:p>
      <w:pPr>
        <w:pStyle w:val="24"/>
        <w:spacing w:line="360" w:lineRule="atLeast"/>
        <w:ind w:firstLine="567"/>
        <w:jc w:val="both"/>
        <w:rPr>
          <w:rFonts w:hint="eastAsia" w:ascii="宋体" w:hAnsi="宋体" w:cs="宋体"/>
          <w:color w:val="auto"/>
          <w:sz w:val="24"/>
          <w:szCs w:val="24"/>
        </w:rPr>
      </w:pPr>
    </w:p>
    <w:p>
      <w:pPr>
        <w:pStyle w:val="24"/>
        <w:spacing w:line="360" w:lineRule="atLeast"/>
        <w:ind w:firstLine="560"/>
        <w:jc w:val="both"/>
        <w:rPr>
          <w:rFonts w:hint="eastAsia" w:ascii="宋体" w:hAnsi="宋体" w:cs="宋体"/>
          <w:b/>
          <w:color w:val="auto"/>
          <w:sz w:val="24"/>
          <w:szCs w:val="24"/>
        </w:rPr>
      </w:pPr>
      <w:r>
        <w:rPr>
          <w:rFonts w:hint="eastAsia" w:ascii="宋体" w:hAnsi="宋体" w:cs="宋体"/>
          <w:color w:val="auto"/>
          <w:sz w:val="24"/>
          <w:szCs w:val="24"/>
        </w:rPr>
        <w:t>现委托</w:t>
      </w:r>
      <w:r>
        <w:rPr>
          <w:rFonts w:hint="eastAsia" w:ascii="宋体" w:hAnsi="宋体" w:cs="宋体"/>
          <w:color w:val="auto"/>
          <w:sz w:val="24"/>
          <w:szCs w:val="24"/>
          <w:u w:val="single"/>
        </w:rPr>
        <w:t xml:space="preserve">             </w:t>
      </w:r>
      <w:r>
        <w:rPr>
          <w:rFonts w:hint="eastAsia" w:ascii="宋体" w:hAnsi="宋体" w:cs="宋体"/>
          <w:color w:val="auto"/>
          <w:sz w:val="24"/>
          <w:szCs w:val="24"/>
        </w:rPr>
        <w:t>参加贵公司组织的</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招标活动，全权代表我单位处理招标的有关事宜，代理人所签署的一切有关文件，我单位均予承认。</w:t>
      </w:r>
      <w:r>
        <w:rPr>
          <w:rFonts w:hint="eastAsia" w:ascii="宋体" w:hAnsi="宋体" w:cs="宋体"/>
          <w:b/>
          <w:color w:val="auto"/>
          <w:sz w:val="24"/>
          <w:szCs w:val="24"/>
        </w:rPr>
        <w:t>（附代理人身份证复印件）</w:t>
      </w:r>
    </w:p>
    <w:p>
      <w:pPr>
        <w:pStyle w:val="24"/>
        <w:spacing w:line="360" w:lineRule="atLeast"/>
        <w:ind w:firstLine="567"/>
        <w:jc w:val="center"/>
        <w:rPr>
          <w:rFonts w:hint="eastAsia" w:ascii="宋体" w:hAnsi="宋体" w:cs="宋体"/>
          <w:color w:val="auto"/>
          <w:sz w:val="24"/>
          <w:szCs w:val="24"/>
        </w:rPr>
      </w:pPr>
    </w:p>
    <w:p>
      <w:pPr>
        <w:pStyle w:val="24"/>
        <w:spacing w:line="360" w:lineRule="atLeast"/>
        <w:ind w:firstLine="567"/>
        <w:jc w:val="both"/>
        <w:rPr>
          <w:rFonts w:hint="eastAsia" w:ascii="宋体" w:hAnsi="宋体" w:cs="宋体"/>
          <w:color w:val="auto"/>
          <w:sz w:val="24"/>
          <w:szCs w:val="24"/>
        </w:rPr>
      </w:pPr>
    </w:p>
    <w:p>
      <w:pPr>
        <w:pStyle w:val="24"/>
        <w:spacing w:line="360" w:lineRule="atLeast"/>
        <w:ind w:firstLine="280"/>
        <w:jc w:val="both"/>
        <w:rPr>
          <w:rFonts w:hint="eastAsia" w:ascii="宋体" w:hAnsi="宋体" w:cs="宋体"/>
          <w:color w:val="auto"/>
          <w:sz w:val="24"/>
          <w:szCs w:val="24"/>
        </w:rPr>
      </w:pPr>
      <w:r>
        <w:rPr>
          <w:rFonts w:hint="eastAsia" w:ascii="宋体" w:hAnsi="宋体" w:cs="宋体"/>
          <w:b/>
          <w:bCs/>
          <w:color w:val="auto"/>
          <w:sz w:val="24"/>
          <w:szCs w:val="24"/>
        </w:rPr>
        <w:t>代理人情况</w:t>
      </w:r>
    </w:p>
    <w:p>
      <w:pPr>
        <w:pStyle w:val="24"/>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姓  名：                性  别：</w:t>
      </w:r>
    </w:p>
    <w:p>
      <w:pPr>
        <w:pStyle w:val="24"/>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 xml:space="preserve">年  龄：                职  务：    </w:t>
      </w:r>
    </w:p>
    <w:p>
      <w:pPr>
        <w:pStyle w:val="24"/>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身份证号码：</w:t>
      </w:r>
    </w:p>
    <w:p>
      <w:pPr>
        <w:pStyle w:val="24"/>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详细通讯地址：</w:t>
      </w:r>
    </w:p>
    <w:p>
      <w:pPr>
        <w:pStyle w:val="24"/>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 xml:space="preserve">电话：       </w:t>
      </w:r>
    </w:p>
    <w:p>
      <w:pPr>
        <w:pStyle w:val="24"/>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 xml:space="preserve">邮政编码：                                        </w:t>
      </w:r>
    </w:p>
    <w:p>
      <w:pPr>
        <w:pStyle w:val="24"/>
        <w:spacing w:line="360" w:lineRule="atLeast"/>
        <w:ind w:left="391" w:hanging="213"/>
        <w:jc w:val="both"/>
        <w:rPr>
          <w:rFonts w:hint="eastAsia" w:ascii="宋体" w:hAnsi="宋体" w:cs="宋体"/>
          <w:color w:val="auto"/>
          <w:sz w:val="24"/>
          <w:szCs w:val="24"/>
        </w:rPr>
      </w:pPr>
      <w:r>
        <w:rPr>
          <w:rFonts w:hint="eastAsia" w:ascii="宋体" w:hAnsi="宋体" w:cs="宋体"/>
          <w:color w:val="auto"/>
          <w:sz w:val="24"/>
          <w:szCs w:val="24"/>
        </w:rPr>
        <w:t>传  真：</w:t>
      </w:r>
    </w:p>
    <w:p>
      <w:pPr>
        <w:pStyle w:val="24"/>
        <w:spacing w:line="360" w:lineRule="atLeast"/>
        <w:ind w:left="178" w:firstLine="2"/>
        <w:jc w:val="both"/>
        <w:rPr>
          <w:rFonts w:hint="eastAsia" w:ascii="宋体" w:hAnsi="宋体" w:cs="宋体"/>
          <w:color w:val="auto"/>
          <w:sz w:val="24"/>
          <w:szCs w:val="24"/>
        </w:rPr>
      </w:pPr>
      <w:r>
        <w:rPr>
          <w:rFonts w:hint="eastAsia" w:ascii="宋体" w:hAnsi="宋体" w:cs="宋体"/>
          <w:color w:val="auto"/>
          <w:sz w:val="24"/>
          <w:szCs w:val="24"/>
        </w:rPr>
        <w:t>单位名称（公章）                      法定代表人（</w:t>
      </w:r>
      <w:r>
        <w:rPr>
          <w:rFonts w:hint="eastAsia" w:ascii="宋体" w:hAnsi="宋体" w:cs="宋体"/>
          <w:color w:val="auto"/>
          <w:sz w:val="24"/>
          <w:szCs w:val="24"/>
          <w:lang w:val="en-US" w:eastAsia="zh-CN"/>
        </w:rPr>
        <w:t>盖</w:t>
      </w:r>
      <w:r>
        <w:rPr>
          <w:rFonts w:hint="eastAsia" w:ascii="宋体" w:hAnsi="宋体" w:cs="宋体"/>
          <w:color w:val="auto"/>
          <w:sz w:val="24"/>
          <w:szCs w:val="24"/>
        </w:rPr>
        <w:t>章</w:t>
      </w:r>
      <w:r>
        <w:rPr>
          <w:rFonts w:hint="eastAsia" w:ascii="宋体" w:hAnsi="宋体" w:cs="宋体"/>
          <w:color w:val="auto"/>
          <w:sz w:val="24"/>
          <w:szCs w:val="24"/>
          <w:lang w:val="en-US" w:eastAsia="zh-CN"/>
        </w:rPr>
        <w:t>或签字</w:t>
      </w:r>
      <w:r>
        <w:rPr>
          <w:rFonts w:hint="eastAsia" w:ascii="宋体" w:hAnsi="宋体" w:cs="宋体"/>
          <w:color w:val="auto"/>
          <w:sz w:val="24"/>
          <w:szCs w:val="24"/>
        </w:rPr>
        <w:t>）</w:t>
      </w:r>
    </w:p>
    <w:p>
      <w:pPr>
        <w:pStyle w:val="24"/>
        <w:spacing w:line="360" w:lineRule="atLeast"/>
        <w:ind w:firstLine="567"/>
        <w:jc w:val="both"/>
        <w:rPr>
          <w:rFonts w:hint="eastAsia" w:ascii="宋体" w:hAnsi="宋体" w:cs="宋体"/>
          <w:color w:val="auto"/>
          <w:sz w:val="24"/>
          <w:szCs w:val="24"/>
        </w:rPr>
      </w:pPr>
    </w:p>
    <w:p>
      <w:pPr>
        <w:pStyle w:val="24"/>
        <w:spacing w:line="360" w:lineRule="atLeast"/>
        <w:ind w:firstLine="567"/>
        <w:jc w:val="both"/>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kern w:val="0"/>
          <w:sz w:val="24"/>
          <w:szCs w:val="24"/>
        </w:rPr>
        <w:t xml:space="preserve"> 年    月   日  </w:t>
      </w: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sectPr>
          <w:headerReference r:id="rId8" w:type="default"/>
          <w:footerReference r:id="rId9" w:type="default"/>
          <w:pgSz w:w="11906" w:h="16838"/>
          <w:pgMar w:top="1418" w:right="1134" w:bottom="1418" w:left="1418" w:header="851" w:footer="851" w:gutter="0"/>
          <w:pgNumType w:fmt="decimal"/>
          <w:cols w:space="720" w:num="1"/>
          <w:docGrid w:type="linesAndChars" w:linePitch="312" w:charSpace="0"/>
        </w:sectPr>
      </w:pPr>
    </w:p>
    <w:p>
      <w:pPr>
        <w:pStyle w:val="28"/>
        <w:jc w:val="center"/>
        <w:outlineLvl w:val="0"/>
        <w:rPr>
          <w:rFonts w:hint="eastAsia" w:ascii="宋体" w:hAnsi="宋体" w:cs="宋体"/>
          <w:b/>
          <w:bCs/>
          <w:color w:val="auto"/>
          <w:sz w:val="36"/>
        </w:rPr>
      </w:pPr>
      <w:bookmarkStart w:id="123" w:name="_Toc20063"/>
      <w:bookmarkStart w:id="124" w:name="_Toc20864"/>
      <w:bookmarkStart w:id="125" w:name="_Toc8864"/>
      <w:bookmarkStart w:id="126" w:name="_Toc533086815"/>
      <w:bookmarkStart w:id="127" w:name="_Toc30651"/>
      <w:r>
        <w:rPr>
          <w:rFonts w:hint="eastAsia" w:ascii="宋体" w:hAnsi="宋体" w:cs="宋体"/>
          <w:b/>
          <w:bCs/>
          <w:color w:val="auto"/>
          <w:sz w:val="36"/>
        </w:rPr>
        <w:t>附件4：开标一览表</w:t>
      </w:r>
      <w:bookmarkEnd w:id="123"/>
      <w:bookmarkEnd w:id="124"/>
      <w:bookmarkEnd w:id="125"/>
      <w:bookmarkEnd w:id="126"/>
      <w:bookmarkEnd w:id="127"/>
    </w:p>
    <w:p>
      <w:pPr>
        <w:pStyle w:val="28"/>
        <w:outlineLvl w:val="9"/>
        <w:rPr>
          <w:rFonts w:hint="eastAsia" w:ascii="宋体" w:hAnsi="宋体" w:cs="宋体"/>
          <w:b/>
          <w:bCs/>
          <w:color w:val="auto"/>
          <w:sz w:val="36"/>
          <w:highlight w:val="yellow"/>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405" w:leftChars="0" w:right="0" w:rightChars="0" w:hanging="1405" w:hangingChars="500"/>
        <w:jc w:val="center"/>
        <w:textAlignment w:val="auto"/>
        <w:outlineLvl w:val="9"/>
        <w:rPr>
          <w:rFonts w:hint="eastAsia" w:ascii="宋体" w:hAnsi="宋体" w:eastAsia="宋体" w:cs="宋体"/>
          <w:b/>
          <w:color w:val="auto"/>
          <w:sz w:val="28"/>
          <w:szCs w:val="21"/>
        </w:rPr>
      </w:pPr>
      <w:bookmarkStart w:id="128" w:name="_Toc449387770"/>
      <w:r>
        <w:rPr>
          <w:rFonts w:hint="eastAsia" w:ascii="宋体" w:hAnsi="宋体" w:cs="宋体"/>
          <w:b/>
          <w:color w:val="auto"/>
          <w:sz w:val="28"/>
          <w:szCs w:val="21"/>
          <w:highlight w:val="yellow"/>
          <w:lang w:eastAsia="zh-CN"/>
        </w:rPr>
        <w:t>新疆医科大学附属肿瘤医院新建门诊综合楼独立排风及PCR实验室、八楼九楼手术室及次供应室净化区室内装修及消防改造工程项目（二次）</w:t>
      </w:r>
      <w:r>
        <w:rPr>
          <w:rFonts w:hint="eastAsia" w:ascii="宋体" w:hAnsi="宋体" w:eastAsia="宋体" w:cs="宋体"/>
          <w:b/>
          <w:color w:val="auto"/>
          <w:sz w:val="28"/>
          <w:szCs w:val="21"/>
        </w:rPr>
        <w:t>报价表</w:t>
      </w:r>
    </w:p>
    <w:bookmarkEnd w:id="128"/>
    <w:tbl>
      <w:tblPr>
        <w:tblStyle w:val="20"/>
        <w:tblW w:w="10360" w:type="dxa"/>
        <w:tblInd w:w="-709" w:type="dxa"/>
        <w:tblLayout w:type="fixed"/>
        <w:tblCellMar>
          <w:top w:w="0" w:type="dxa"/>
          <w:left w:w="108" w:type="dxa"/>
          <w:bottom w:w="0" w:type="dxa"/>
          <w:right w:w="108" w:type="dxa"/>
        </w:tblCellMar>
      </w:tblPr>
      <w:tblGrid>
        <w:gridCol w:w="1621"/>
        <w:gridCol w:w="2073"/>
        <w:gridCol w:w="667"/>
        <w:gridCol w:w="3075"/>
        <w:gridCol w:w="2924"/>
      </w:tblGrid>
      <w:tr>
        <w:tblPrEx>
          <w:tblCellMar>
            <w:top w:w="0" w:type="dxa"/>
            <w:left w:w="108" w:type="dxa"/>
            <w:bottom w:w="0" w:type="dxa"/>
            <w:right w:w="108" w:type="dxa"/>
          </w:tblCellMar>
        </w:tblPrEx>
        <w:trPr>
          <w:trHeight w:val="506" w:hRule="atLeast"/>
        </w:trPr>
        <w:tc>
          <w:tcPr>
            <w:tcW w:w="36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sz w:val="24"/>
                <w:szCs w:val="24"/>
              </w:rPr>
            </w:pPr>
            <w:r>
              <w:rPr>
                <w:rFonts w:hint="eastAsia" w:hAnsi="宋体" w:cs="宋体"/>
                <w:color w:val="auto"/>
                <w:sz w:val="24"/>
                <w:szCs w:val="24"/>
                <w:lang w:bidi="ar"/>
              </w:rPr>
              <w:t>项目名称</w:t>
            </w:r>
          </w:p>
        </w:tc>
        <w:tc>
          <w:tcPr>
            <w:tcW w:w="6666"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rPr>
                <w:rFonts w:hAnsi="宋体" w:cs="宋体"/>
                <w:color w:val="auto"/>
                <w:sz w:val="24"/>
                <w:szCs w:val="24"/>
              </w:rPr>
            </w:pPr>
          </w:p>
        </w:tc>
      </w:tr>
      <w:tr>
        <w:tblPrEx>
          <w:tblCellMar>
            <w:top w:w="0" w:type="dxa"/>
            <w:left w:w="108" w:type="dxa"/>
            <w:bottom w:w="0" w:type="dxa"/>
            <w:right w:w="108" w:type="dxa"/>
          </w:tblCellMar>
        </w:tblPrEx>
        <w:trPr>
          <w:trHeight w:val="960" w:hRule="atLeast"/>
        </w:trPr>
        <w:tc>
          <w:tcPr>
            <w:tcW w:w="162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lang w:bidi="ar"/>
              </w:rPr>
              <w:t>序号</w:t>
            </w:r>
          </w:p>
        </w:tc>
        <w:tc>
          <w:tcPr>
            <w:tcW w:w="2740" w:type="dxa"/>
            <w:gridSpan w:val="2"/>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lang w:val="en-US" w:eastAsia="zh-CN" w:bidi="ar"/>
              </w:rPr>
              <w:t>工    期</w:t>
            </w:r>
          </w:p>
        </w:tc>
        <w:tc>
          <w:tcPr>
            <w:tcW w:w="3075" w:type="dxa"/>
            <w:tcBorders>
              <w:top w:val="nil"/>
              <w:left w:val="nil"/>
              <w:bottom w:val="single" w:color="auto" w:sz="4" w:space="0"/>
              <w:right w:val="single" w:color="auto" w:sz="4" w:space="0"/>
            </w:tcBorders>
            <w:noWrap w:val="0"/>
            <w:vAlign w:val="center"/>
          </w:tcPr>
          <w:p>
            <w:pPr>
              <w:spacing w:line="360" w:lineRule="auto"/>
              <w:jc w:val="center"/>
              <w:rPr>
                <w:rFonts w:hint="default" w:hAnsi="宋体" w:eastAsia="宋体" w:cs="宋体"/>
                <w:bCs/>
                <w:color w:val="auto"/>
                <w:sz w:val="24"/>
                <w:szCs w:val="24"/>
                <w:lang w:val="en-US" w:eastAsia="zh-CN"/>
              </w:rPr>
            </w:pPr>
            <w:r>
              <w:rPr>
                <w:rFonts w:hint="eastAsia" w:hAnsi="宋体" w:eastAsia="宋体" w:cs="宋体"/>
                <w:bCs/>
                <w:color w:val="auto"/>
                <w:sz w:val="24"/>
                <w:szCs w:val="24"/>
                <w:lang w:val="en-US" w:eastAsia="zh-CN"/>
              </w:rPr>
              <w:t>质量等级</w:t>
            </w:r>
          </w:p>
        </w:tc>
        <w:tc>
          <w:tcPr>
            <w:tcW w:w="2924"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lang w:bidi="ar"/>
              </w:rPr>
              <w:t>报价（元）</w:t>
            </w:r>
          </w:p>
        </w:tc>
      </w:tr>
      <w:tr>
        <w:tblPrEx>
          <w:tblCellMar>
            <w:top w:w="0" w:type="dxa"/>
            <w:left w:w="108" w:type="dxa"/>
            <w:bottom w:w="0" w:type="dxa"/>
            <w:right w:w="108" w:type="dxa"/>
          </w:tblCellMar>
        </w:tblPrEx>
        <w:trPr>
          <w:trHeight w:val="665" w:hRule="atLeast"/>
        </w:trPr>
        <w:tc>
          <w:tcPr>
            <w:tcW w:w="162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lang w:bidi="ar"/>
              </w:rPr>
              <w:t>1</w:t>
            </w:r>
          </w:p>
        </w:tc>
        <w:tc>
          <w:tcPr>
            <w:tcW w:w="2740" w:type="dxa"/>
            <w:gridSpan w:val="2"/>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p>
        </w:tc>
        <w:tc>
          <w:tcPr>
            <w:tcW w:w="3075" w:type="dxa"/>
            <w:tcBorders>
              <w:top w:val="nil"/>
              <w:left w:val="nil"/>
              <w:bottom w:val="single" w:color="auto" w:sz="4" w:space="0"/>
              <w:right w:val="single" w:color="auto" w:sz="4" w:space="0"/>
            </w:tcBorders>
            <w:noWrap w:val="0"/>
            <w:vAlign w:val="center"/>
          </w:tcPr>
          <w:p>
            <w:pPr>
              <w:spacing w:line="360" w:lineRule="auto"/>
              <w:jc w:val="center"/>
              <w:rPr>
                <w:rFonts w:hAnsi="宋体" w:cs="宋体"/>
                <w:bCs/>
                <w:color w:val="auto"/>
                <w:sz w:val="24"/>
                <w:szCs w:val="24"/>
              </w:rPr>
            </w:pPr>
          </w:p>
        </w:tc>
        <w:tc>
          <w:tcPr>
            <w:tcW w:w="2924"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bCs/>
                <w:color w:val="auto"/>
                <w:sz w:val="24"/>
                <w:szCs w:val="24"/>
              </w:rPr>
            </w:pPr>
          </w:p>
        </w:tc>
      </w:tr>
      <w:tr>
        <w:tblPrEx>
          <w:tblCellMar>
            <w:top w:w="0" w:type="dxa"/>
            <w:left w:w="108" w:type="dxa"/>
            <w:bottom w:w="0" w:type="dxa"/>
            <w:right w:w="108" w:type="dxa"/>
          </w:tblCellMar>
        </w:tblPrEx>
        <w:trPr>
          <w:trHeight w:val="1271" w:hRule="atLeast"/>
        </w:trPr>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sz w:val="24"/>
                <w:szCs w:val="24"/>
              </w:rPr>
            </w:pPr>
            <w:r>
              <w:rPr>
                <w:rFonts w:hint="eastAsia" w:hAnsi="宋体" w:cs="宋体"/>
                <w:color w:val="auto"/>
                <w:sz w:val="24"/>
                <w:szCs w:val="24"/>
                <w:lang w:bidi="ar"/>
              </w:rPr>
              <w:t>总价</w:t>
            </w:r>
          </w:p>
        </w:tc>
        <w:tc>
          <w:tcPr>
            <w:tcW w:w="8739" w:type="dxa"/>
            <w:gridSpan w:val="4"/>
            <w:tcBorders>
              <w:top w:val="single" w:color="auto" w:sz="4" w:space="0"/>
              <w:left w:val="nil"/>
              <w:bottom w:val="single" w:color="auto" w:sz="4" w:space="0"/>
              <w:right w:val="single" w:color="auto" w:sz="4" w:space="0"/>
            </w:tcBorders>
            <w:noWrap w:val="0"/>
            <w:vAlign w:val="center"/>
          </w:tcPr>
          <w:p>
            <w:pPr>
              <w:widowControl/>
              <w:spacing w:line="360" w:lineRule="auto"/>
              <w:rPr>
                <w:rFonts w:hAnsi="宋体" w:cs="宋体"/>
                <w:color w:val="auto"/>
                <w:sz w:val="24"/>
                <w:szCs w:val="24"/>
              </w:rPr>
            </w:pPr>
            <w:r>
              <w:rPr>
                <w:rFonts w:hint="eastAsia" w:hAnsi="宋体" w:cs="宋体"/>
                <w:b/>
                <w:color w:val="auto"/>
                <w:kern w:val="2"/>
                <w:sz w:val="24"/>
                <w:szCs w:val="24"/>
                <w:lang w:bidi="ar"/>
              </w:rPr>
              <w:t>人民币大写：</w:t>
            </w:r>
            <w:r>
              <w:rPr>
                <w:rFonts w:hint="eastAsia" w:hAnsi="宋体" w:cs="宋体"/>
                <w:b/>
                <w:color w:val="auto"/>
                <w:kern w:val="2"/>
                <w:sz w:val="24"/>
                <w:szCs w:val="24"/>
                <w:u w:val="single"/>
                <w:lang w:bidi="ar"/>
              </w:rPr>
              <w:t xml:space="preserve">            </w:t>
            </w:r>
            <w:r>
              <w:rPr>
                <w:rFonts w:hint="eastAsia" w:hAnsi="宋体" w:cs="宋体"/>
                <w:b/>
                <w:color w:val="auto"/>
                <w:kern w:val="2"/>
                <w:sz w:val="24"/>
                <w:szCs w:val="24"/>
                <w:lang w:bidi="ar"/>
              </w:rPr>
              <w:t xml:space="preserve"> </w:t>
            </w:r>
          </w:p>
        </w:tc>
      </w:tr>
      <w:tr>
        <w:tblPrEx>
          <w:tblCellMar>
            <w:top w:w="0" w:type="dxa"/>
            <w:left w:w="108" w:type="dxa"/>
            <w:bottom w:w="0" w:type="dxa"/>
            <w:right w:w="108" w:type="dxa"/>
          </w:tblCellMar>
        </w:tblPrEx>
        <w:trPr>
          <w:trHeight w:val="545" w:hRule="atLeast"/>
        </w:trPr>
        <w:tc>
          <w:tcPr>
            <w:tcW w:w="1036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hAnsi="宋体" w:eastAsia="宋体" w:cs="宋体"/>
                <w:b/>
                <w:color w:val="auto"/>
                <w:kern w:val="2"/>
                <w:sz w:val="24"/>
                <w:szCs w:val="24"/>
                <w:lang w:val="en-US" w:eastAsia="zh-CN" w:bidi="ar"/>
              </w:rPr>
            </w:pPr>
            <w:r>
              <w:rPr>
                <w:rFonts w:hint="eastAsia" w:hAnsi="宋体" w:eastAsia="宋体" w:cs="宋体"/>
                <w:b/>
                <w:color w:val="auto"/>
                <w:kern w:val="2"/>
                <w:sz w:val="24"/>
                <w:szCs w:val="24"/>
                <w:lang w:val="en-US" w:eastAsia="zh-CN" w:bidi="ar"/>
              </w:rPr>
              <w:t>备注：</w:t>
            </w:r>
          </w:p>
        </w:tc>
      </w:tr>
    </w:tbl>
    <w:p>
      <w:pPr>
        <w:pStyle w:val="28"/>
        <w:rPr>
          <w:rFonts w:hint="eastAsia" w:ascii="宋体" w:hAnsi="宋体" w:eastAsia="宋体" w:cs="宋体"/>
          <w:color w:val="auto"/>
          <w:kern w:val="0"/>
          <w:sz w:val="24"/>
          <w:szCs w:val="24"/>
          <w:lang w:val="en-US" w:eastAsia="zh-CN" w:bidi="ar-SA"/>
        </w:rPr>
      </w:pPr>
    </w:p>
    <w:p>
      <w:pPr>
        <w:spacing w:line="400" w:lineRule="exact"/>
        <w:jc w:val="left"/>
        <w:rPr>
          <w:rFonts w:hint="eastAsia" w:ascii="Calibri" w:hAnsi="宋体" w:eastAsia="宋体" w:cs="Arial"/>
          <w:bCs/>
          <w:color w:val="auto"/>
          <w:sz w:val="24"/>
          <w:szCs w:val="24"/>
          <w:lang w:val="en-US" w:eastAsia="zh-CN"/>
        </w:rPr>
      </w:pPr>
      <w:r>
        <w:rPr>
          <w:rFonts w:hint="eastAsia" w:hAnsi="宋体" w:cs="Arial"/>
          <w:bCs/>
          <w:color w:val="auto"/>
          <w:sz w:val="24"/>
          <w:szCs w:val="24"/>
        </w:rPr>
        <w:t>注</w:t>
      </w:r>
      <w:r>
        <w:rPr>
          <w:rFonts w:hAnsi="宋体" w:cs="Arial"/>
          <w:bCs/>
          <w:color w:val="auto"/>
          <w:sz w:val="24"/>
          <w:szCs w:val="24"/>
        </w:rPr>
        <w:t>：</w:t>
      </w:r>
      <w:r>
        <w:rPr>
          <w:rFonts w:hint="eastAsia" w:hAnsi="宋体" w:cs="Arial"/>
          <w:bCs/>
          <w:color w:val="auto"/>
          <w:sz w:val="24"/>
          <w:szCs w:val="24"/>
          <w:lang w:val="en-US" w:eastAsia="zh-CN"/>
        </w:rPr>
        <w:t>1、</w:t>
      </w:r>
      <w:r>
        <w:rPr>
          <w:rFonts w:hint="eastAsia" w:hAnsi="宋体" w:cs="Arial"/>
          <w:bCs/>
          <w:color w:val="auto"/>
          <w:sz w:val="24"/>
          <w:szCs w:val="24"/>
        </w:rPr>
        <w:t>本项目报价应是</w:t>
      </w:r>
      <w:r>
        <w:rPr>
          <w:rFonts w:hint="eastAsia" w:hAnsi="宋体" w:cs="Arial"/>
          <w:bCs/>
          <w:color w:val="auto"/>
          <w:sz w:val="24"/>
          <w:szCs w:val="24"/>
          <w:lang w:eastAsia="zh-CN"/>
        </w:rPr>
        <w:t>磋商</w:t>
      </w:r>
      <w:r>
        <w:rPr>
          <w:rFonts w:hint="eastAsia" w:hAnsi="宋体" w:cs="Arial"/>
          <w:bCs/>
          <w:color w:val="auto"/>
          <w:sz w:val="24"/>
          <w:szCs w:val="24"/>
        </w:rPr>
        <w:t>文件所确定的招标范围内的全部工作内容的价格体</w:t>
      </w:r>
      <w:r>
        <w:rPr>
          <w:rFonts w:hint="eastAsia" w:ascii="Calibri" w:hAnsi="宋体" w:eastAsia="宋体" w:cs="Arial"/>
          <w:bCs/>
          <w:color w:val="auto"/>
          <w:sz w:val="24"/>
          <w:szCs w:val="24"/>
        </w:rPr>
        <w:t>现，供应商应根据企业自身情况考虑材料损耗率，在投标报价时将材料损耗综合考虑在内，成交后不作调整。</w:t>
      </w:r>
    </w:p>
    <w:p>
      <w:pPr>
        <w:pStyle w:val="28"/>
        <w:numPr>
          <w:ilvl w:val="0"/>
          <w:numId w:val="14"/>
        </w:numPr>
        <w:rPr>
          <w:rFonts w:hint="eastAsia" w:ascii="Calibri" w:hAnsi="宋体" w:eastAsia="宋体" w:cs="Arial"/>
          <w:bCs/>
          <w:color w:val="auto"/>
          <w:sz w:val="24"/>
          <w:szCs w:val="24"/>
          <w:lang w:val="en-US" w:eastAsia="zh-CN"/>
        </w:rPr>
      </w:pPr>
      <w:r>
        <w:rPr>
          <w:rFonts w:hint="eastAsia" w:ascii="Calibri" w:hAnsi="宋体" w:eastAsia="宋体" w:cs="Arial"/>
          <w:bCs/>
          <w:color w:val="auto"/>
          <w:sz w:val="24"/>
          <w:szCs w:val="24"/>
          <w:lang w:val="en-US" w:eastAsia="zh-CN"/>
        </w:rPr>
        <w:t>超过</w:t>
      </w:r>
      <w:r>
        <w:rPr>
          <w:rFonts w:hint="eastAsia" w:ascii="Calibri" w:hAnsi="宋体" w:cs="Arial"/>
          <w:bCs/>
          <w:color w:val="auto"/>
          <w:sz w:val="24"/>
          <w:szCs w:val="24"/>
          <w:lang w:val="en-US" w:eastAsia="zh-Hans"/>
        </w:rPr>
        <w:t>最高限价</w:t>
      </w:r>
      <w:r>
        <w:rPr>
          <w:rFonts w:hint="eastAsia" w:ascii="Calibri" w:hAnsi="宋体" w:eastAsia="宋体" w:cs="Arial"/>
          <w:bCs/>
          <w:color w:val="auto"/>
          <w:sz w:val="24"/>
          <w:szCs w:val="24"/>
          <w:lang w:val="en-US" w:eastAsia="zh-CN"/>
        </w:rPr>
        <w:t>的报价无效。</w:t>
      </w:r>
    </w:p>
    <w:p>
      <w:pPr>
        <w:pStyle w:val="28"/>
        <w:numPr>
          <w:ilvl w:val="0"/>
          <w:numId w:val="14"/>
        </w:numPr>
        <w:rPr>
          <w:rFonts w:hint="eastAsia" w:ascii="Calibri" w:hAnsi="宋体" w:eastAsia="宋体" w:cs="Arial"/>
          <w:bCs/>
          <w:color w:val="auto"/>
          <w:sz w:val="24"/>
          <w:szCs w:val="24"/>
          <w:lang w:val="en-US" w:eastAsia="zh-CN"/>
        </w:rPr>
      </w:pPr>
      <w:r>
        <w:rPr>
          <w:rFonts w:hint="eastAsia" w:ascii="Calibri" w:hAnsi="宋体" w:eastAsia="宋体" w:cs="Arial"/>
          <w:bCs/>
          <w:color w:val="auto"/>
          <w:sz w:val="24"/>
          <w:szCs w:val="24"/>
          <w:highlight w:val="none"/>
          <w:lang w:val="en-US" w:eastAsia="zh-CN"/>
        </w:rPr>
        <w:t>投标单位务必按以上格式规范填写报价及设备信息,设备参数表可自行添加</w:t>
      </w:r>
      <w:r>
        <w:rPr>
          <w:rFonts w:hint="eastAsia" w:ascii="Calibri" w:hAnsi="宋体" w:cs="Arial"/>
          <w:bCs/>
          <w:color w:val="auto"/>
          <w:sz w:val="24"/>
          <w:szCs w:val="24"/>
          <w:highlight w:val="none"/>
          <w:lang w:val="en-US" w:eastAsia="zh-CN"/>
        </w:rPr>
        <w:t>。</w:t>
      </w:r>
    </w:p>
    <w:p>
      <w:pPr>
        <w:pStyle w:val="19"/>
        <w:rPr>
          <w:rFonts w:hint="default"/>
          <w:color w:val="auto"/>
          <w:highlight w:val="none"/>
          <w:lang w:val="en-US" w:eastAsia="zh-CN"/>
        </w:rPr>
      </w:pPr>
    </w:p>
    <w:p>
      <w:pPr>
        <w:pStyle w:val="28"/>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设备参数表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序号</w:t>
            </w:r>
          </w:p>
        </w:tc>
        <w:tc>
          <w:tcPr>
            <w:tcW w:w="213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设备名称</w:t>
            </w: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设备品牌</w:t>
            </w: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生产厂家</w:t>
            </w: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Hans" w:bidi="ar-SA"/>
              </w:rPr>
              <w:t>产</w:t>
            </w:r>
            <w:r>
              <w:rPr>
                <w:rFonts w:hint="eastAsia" w:ascii="宋体" w:hAnsi="宋体" w:cs="宋体"/>
                <w:color w:val="auto"/>
                <w:kern w:val="0"/>
                <w:sz w:val="24"/>
                <w:szCs w:val="24"/>
                <w:highlight w:val="none"/>
                <w:vertAlign w:val="baseline"/>
                <w:lang w:val="en-US" w:eastAsia="zh-CN" w:bidi="ar-SA"/>
              </w:rPr>
              <w:t>地</w:t>
            </w: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213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213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213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213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0"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c>
          <w:tcPr>
            <w:tcW w:w="1421" w:type="dxa"/>
            <w:noWrap w:val="0"/>
            <w:vAlign w:val="top"/>
          </w:tcPr>
          <w:p>
            <w:pPr>
              <w:pStyle w:val="28"/>
              <w:jc w:val="center"/>
              <w:rPr>
                <w:rFonts w:hint="default" w:ascii="宋体" w:hAnsi="宋体" w:cs="宋体"/>
                <w:color w:val="auto"/>
                <w:kern w:val="0"/>
                <w:sz w:val="24"/>
                <w:szCs w:val="24"/>
                <w:highlight w:val="none"/>
                <w:vertAlign w:val="baseline"/>
                <w:lang w:val="en-US" w:eastAsia="zh-CN" w:bidi="ar-SA"/>
              </w:rPr>
            </w:pPr>
          </w:p>
        </w:tc>
      </w:tr>
    </w:tbl>
    <w:p>
      <w:pPr>
        <w:pStyle w:val="28"/>
        <w:rPr>
          <w:rFonts w:ascii="宋体" w:hAnsi="宋体" w:cs="宋体"/>
          <w:b/>
          <w:bCs/>
          <w:color w:val="auto"/>
          <w:sz w:val="30"/>
          <w:szCs w:val="30"/>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投标单位公章：</w:t>
      </w: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投标单位法人盖章：</w:t>
      </w:r>
    </w:p>
    <w:p>
      <w:pPr>
        <w:pStyle w:val="28"/>
        <w:jc w:val="center"/>
        <w:rPr>
          <w:rFonts w:hint="eastAsia" w:ascii="宋体" w:hAnsi="宋体"/>
          <w:color w:val="auto"/>
          <w:sz w:val="24"/>
          <w:szCs w:val="24"/>
          <w:lang w:val="en-US" w:eastAsia="zh-CN"/>
        </w:rPr>
      </w:pPr>
    </w:p>
    <w:p>
      <w:pPr>
        <w:pStyle w:val="28"/>
        <w:jc w:val="center"/>
        <w:rPr>
          <w:rFonts w:hint="eastAsia" w:ascii="宋体" w:hAnsi="宋体" w:cs="宋体"/>
          <w:b/>
          <w:bCs/>
          <w:color w:val="auto"/>
          <w:sz w:val="36"/>
        </w:rPr>
      </w:pPr>
      <w:r>
        <w:rPr>
          <w:rFonts w:hint="eastAsia" w:ascii="宋体" w:hAnsi="宋体"/>
          <w:color w:val="auto"/>
          <w:sz w:val="24"/>
          <w:szCs w:val="24"/>
          <w:lang w:val="en-US" w:eastAsia="zh-CN"/>
        </w:rPr>
        <w:t xml:space="preserve">            </w:t>
      </w:r>
      <w:r>
        <w:rPr>
          <w:rFonts w:hint="eastAsia" w:ascii="宋体" w:hAnsi="宋体"/>
          <w:color w:val="auto"/>
          <w:sz w:val="24"/>
          <w:szCs w:val="24"/>
        </w:rPr>
        <w:t>年   月   日</w:t>
      </w:r>
      <w:bookmarkStart w:id="129" w:name="_Toc533086816"/>
      <w:bookmarkStart w:id="130" w:name="_Toc10935"/>
      <w:bookmarkStart w:id="131" w:name="_Toc12933"/>
      <w:bookmarkStart w:id="132" w:name="_Toc28138"/>
      <w:bookmarkStart w:id="133" w:name="_Toc11735"/>
      <w:bookmarkStart w:id="134" w:name="_Toc5878"/>
    </w:p>
    <w:p>
      <w:pPr>
        <w:pStyle w:val="28"/>
        <w:jc w:val="center"/>
        <w:outlineLvl w:val="0"/>
        <w:rPr>
          <w:rFonts w:ascii="宋体" w:hAnsi="宋体" w:cs="宋体"/>
          <w:b/>
          <w:bCs/>
          <w:color w:val="auto"/>
          <w:sz w:val="36"/>
        </w:rPr>
      </w:pPr>
      <w:r>
        <w:rPr>
          <w:rFonts w:hint="eastAsia" w:ascii="宋体" w:hAnsi="宋体" w:cs="宋体"/>
          <w:b/>
          <w:bCs/>
          <w:color w:val="auto"/>
          <w:sz w:val="36"/>
        </w:rPr>
        <w:t>附件5：</w:t>
      </w:r>
      <w:r>
        <w:rPr>
          <w:rFonts w:hint="eastAsia" w:ascii="宋体" w:hAnsi="宋体" w:cs="宋体"/>
          <w:b/>
          <w:bCs/>
          <w:color w:val="auto"/>
          <w:sz w:val="36"/>
          <w:lang w:eastAsia="zh-CN"/>
        </w:rPr>
        <w:t>商务</w:t>
      </w:r>
      <w:r>
        <w:rPr>
          <w:rFonts w:hint="eastAsia" w:ascii="宋体" w:hAnsi="宋体" w:cs="宋体"/>
          <w:b/>
          <w:bCs/>
          <w:color w:val="auto"/>
          <w:sz w:val="36"/>
        </w:rPr>
        <w:t>技术条款偏离表</w:t>
      </w:r>
      <w:bookmarkEnd w:id="129"/>
      <w:bookmarkEnd w:id="130"/>
      <w:bookmarkEnd w:id="131"/>
      <w:bookmarkEnd w:id="132"/>
      <w:bookmarkEnd w:id="133"/>
      <w:bookmarkEnd w:id="134"/>
    </w:p>
    <w:p>
      <w:pPr>
        <w:spacing w:line="360" w:lineRule="auto"/>
        <w:ind w:left="420"/>
        <w:jc w:val="center"/>
        <w:rPr>
          <w:rFonts w:ascii="宋体" w:hAnsi="宋体"/>
          <w:b/>
          <w:color w:val="auto"/>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投标单位名称：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276"/>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3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采购文件规格功能要求条目号</w:t>
            </w:r>
          </w:p>
        </w:tc>
        <w:tc>
          <w:tcPr>
            <w:tcW w:w="1701"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采购文件要求规格</w:t>
            </w:r>
          </w:p>
        </w:tc>
        <w:tc>
          <w:tcPr>
            <w:tcW w:w="127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投标规格功能</w:t>
            </w:r>
          </w:p>
        </w:tc>
        <w:tc>
          <w:tcPr>
            <w:tcW w:w="177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5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jc w:val="center"/>
              <w:rPr>
                <w:rFonts w:hint="eastAsia" w:ascii="宋体" w:hAnsi="宋体" w:eastAsia="宋体" w:cs="宋体"/>
                <w:color w:val="auto"/>
                <w:sz w:val="24"/>
                <w:szCs w:val="24"/>
              </w:rPr>
            </w:pPr>
          </w:p>
        </w:tc>
        <w:tc>
          <w:tcPr>
            <w:tcW w:w="2239" w:type="dxa"/>
            <w:noWrap w:val="0"/>
            <w:vAlign w:val="center"/>
          </w:tcPr>
          <w:p>
            <w:pPr>
              <w:jc w:val="center"/>
              <w:rPr>
                <w:rFonts w:hint="eastAsia" w:ascii="宋体" w:hAnsi="宋体" w:eastAsia="宋体" w:cs="宋体"/>
                <w:color w:val="auto"/>
                <w:sz w:val="24"/>
                <w:szCs w:val="24"/>
              </w:rPr>
            </w:pPr>
          </w:p>
        </w:tc>
        <w:tc>
          <w:tcPr>
            <w:tcW w:w="1701" w:type="dxa"/>
            <w:noWrap w:val="0"/>
            <w:vAlign w:val="center"/>
          </w:tcPr>
          <w:p>
            <w:pPr>
              <w:jc w:val="center"/>
              <w:rPr>
                <w:rFonts w:hint="eastAsia" w:ascii="宋体" w:hAnsi="宋体" w:eastAsia="宋体" w:cs="宋体"/>
                <w:color w:val="auto"/>
                <w:sz w:val="24"/>
                <w:szCs w:val="24"/>
              </w:rPr>
            </w:pPr>
          </w:p>
        </w:tc>
        <w:tc>
          <w:tcPr>
            <w:tcW w:w="1276" w:type="dxa"/>
            <w:noWrap w:val="0"/>
            <w:vAlign w:val="center"/>
          </w:tcPr>
          <w:p>
            <w:pPr>
              <w:jc w:val="center"/>
              <w:rPr>
                <w:rFonts w:hint="eastAsia" w:ascii="宋体" w:hAnsi="宋体" w:eastAsia="宋体" w:cs="宋体"/>
                <w:color w:val="auto"/>
                <w:sz w:val="24"/>
                <w:szCs w:val="24"/>
              </w:rPr>
            </w:pPr>
          </w:p>
        </w:tc>
        <w:tc>
          <w:tcPr>
            <w:tcW w:w="1772" w:type="dxa"/>
            <w:noWrap w:val="0"/>
            <w:vAlign w:val="center"/>
          </w:tcPr>
          <w:p>
            <w:pPr>
              <w:jc w:val="center"/>
              <w:rPr>
                <w:rFonts w:hint="eastAsia" w:ascii="宋体" w:hAnsi="宋体" w:eastAsia="宋体" w:cs="宋体"/>
                <w:color w:val="auto"/>
                <w:sz w:val="24"/>
                <w:szCs w:val="24"/>
              </w:rPr>
            </w:pPr>
          </w:p>
        </w:tc>
        <w:tc>
          <w:tcPr>
            <w:tcW w:w="1585" w:type="dxa"/>
            <w:noWrap w:val="0"/>
            <w:vAlign w:val="center"/>
          </w:tcPr>
          <w:p>
            <w:pPr>
              <w:jc w:val="center"/>
              <w:rPr>
                <w:rFonts w:hint="eastAsia" w:ascii="宋体" w:hAnsi="宋体" w:eastAsia="宋体" w:cs="宋体"/>
                <w:color w:val="auto"/>
                <w:sz w:val="24"/>
                <w:szCs w:val="24"/>
              </w:rPr>
            </w:pPr>
          </w:p>
        </w:tc>
      </w:tr>
    </w:tbl>
    <w:p>
      <w:pPr>
        <w:spacing w:line="360" w:lineRule="auto"/>
        <w:ind w:firstLine="560" w:firstLineChars="200"/>
        <w:rPr>
          <w:rFonts w:ascii="宋体" w:hAnsi="宋体"/>
          <w:color w:val="auto"/>
          <w:sz w:val="28"/>
          <w:szCs w:val="28"/>
        </w:rPr>
      </w:pPr>
    </w:p>
    <w:p>
      <w:pPr>
        <w:spacing w:line="360" w:lineRule="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：1、应与采购文件要求逐条对应填写</w:t>
      </w:r>
      <w:r>
        <w:rPr>
          <w:rFonts w:hint="eastAsia" w:ascii="宋体" w:hAnsi="宋体"/>
          <w:color w:val="auto"/>
          <w:sz w:val="24"/>
          <w:szCs w:val="24"/>
          <w:lang w:eastAsia="zh-CN"/>
        </w:rPr>
        <w:t>，</w:t>
      </w:r>
      <w:r>
        <w:rPr>
          <w:rFonts w:hint="eastAsia" w:ascii="宋体" w:hAnsi="宋体"/>
          <w:color w:val="auto"/>
          <w:sz w:val="24"/>
          <w:szCs w:val="24"/>
          <w:lang w:val="en-US" w:eastAsia="zh-CN"/>
        </w:rPr>
        <w:t>如本表空白则视为商务技术条款响应磋商文件要求无偏差</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2、本表如填写不完，可以续页。</w:t>
      </w:r>
    </w:p>
    <w:p>
      <w:pPr>
        <w:spacing w:line="360" w:lineRule="auto"/>
        <w:rPr>
          <w:rFonts w:ascii="宋体" w:hAnsi="宋体"/>
          <w:color w:val="auto"/>
          <w:sz w:val="24"/>
          <w:szCs w:val="24"/>
        </w:rPr>
      </w:pPr>
    </w:p>
    <w:p>
      <w:pPr>
        <w:spacing w:line="360" w:lineRule="auto"/>
        <w:ind w:firstLine="3960" w:firstLineChars="1650"/>
        <w:rPr>
          <w:rFonts w:ascii="宋体" w:hAnsi="宋体"/>
          <w:color w:val="auto"/>
          <w:sz w:val="24"/>
          <w:szCs w:val="24"/>
        </w:rPr>
      </w:pPr>
    </w:p>
    <w:p>
      <w:pPr>
        <w:spacing w:line="360" w:lineRule="auto"/>
        <w:ind w:firstLine="3960" w:firstLineChars="1650"/>
        <w:rPr>
          <w:rFonts w:ascii="宋体" w:hAnsi="宋体"/>
          <w:color w:val="auto"/>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投标单位公章：</w:t>
      </w:r>
    </w:p>
    <w:p>
      <w:pPr>
        <w:spacing w:line="360" w:lineRule="auto"/>
        <w:ind w:firstLine="4080" w:firstLineChars="1700"/>
        <w:rPr>
          <w:rFonts w:ascii="宋体" w:hAnsi="宋体"/>
          <w:color w:val="auto"/>
          <w:sz w:val="24"/>
          <w:szCs w:val="24"/>
        </w:rPr>
      </w:pPr>
    </w:p>
    <w:p>
      <w:pPr>
        <w:spacing w:line="360" w:lineRule="auto"/>
        <w:ind w:firstLine="4080" w:firstLineChars="1700"/>
        <w:rPr>
          <w:rFonts w:ascii="宋体" w:hAnsi="宋体"/>
          <w:color w:val="auto"/>
          <w:sz w:val="24"/>
          <w:szCs w:val="24"/>
        </w:rPr>
      </w:pPr>
      <w:r>
        <w:rPr>
          <w:rFonts w:hint="eastAsia" w:ascii="宋体" w:hAnsi="宋体"/>
          <w:color w:val="auto"/>
          <w:sz w:val="24"/>
          <w:szCs w:val="24"/>
        </w:rPr>
        <w:t>投标单位法人盖章：</w:t>
      </w:r>
    </w:p>
    <w:p>
      <w:pPr>
        <w:spacing w:line="360" w:lineRule="auto"/>
        <w:ind w:firstLine="480" w:firstLineChars="200"/>
        <w:rPr>
          <w:rFonts w:ascii="宋体" w:hAnsi="宋体"/>
          <w:color w:val="auto"/>
          <w:sz w:val="24"/>
          <w:szCs w:val="24"/>
        </w:rPr>
      </w:pPr>
    </w:p>
    <w:p>
      <w:pPr>
        <w:spacing w:line="360" w:lineRule="auto"/>
        <w:ind w:firstLine="5160" w:firstLineChars="2150"/>
        <w:rPr>
          <w:rFonts w:hint="eastAsia" w:ascii="宋体" w:hAnsi="宋体"/>
          <w:color w:val="auto"/>
          <w:sz w:val="24"/>
          <w:szCs w:val="24"/>
        </w:rPr>
      </w:pPr>
      <w:r>
        <w:rPr>
          <w:rFonts w:hint="eastAsia" w:ascii="宋体" w:hAnsi="宋体"/>
          <w:color w:val="auto"/>
          <w:sz w:val="24"/>
          <w:szCs w:val="24"/>
        </w:rPr>
        <w:t>年   月   日</w:t>
      </w:r>
    </w:p>
    <w:p>
      <w:pPr>
        <w:pStyle w:val="2"/>
        <w:rPr>
          <w:rFonts w:hint="eastAsia"/>
        </w:rPr>
      </w:pPr>
    </w:p>
    <w:p>
      <w:pPr>
        <w:pStyle w:val="28"/>
        <w:jc w:val="center"/>
        <w:outlineLvl w:val="0"/>
        <w:rPr>
          <w:rFonts w:hint="eastAsia" w:ascii="宋体" w:hAnsi="宋体" w:eastAsia="宋体" w:cs="宋体"/>
          <w:b/>
          <w:bCs/>
          <w:color w:val="auto"/>
          <w:sz w:val="36"/>
        </w:rPr>
      </w:pPr>
      <w:bookmarkStart w:id="135" w:name="_Toc3867"/>
      <w:bookmarkStart w:id="136" w:name="_Toc533086819"/>
      <w:bookmarkStart w:id="137" w:name="_Toc9376"/>
      <w:bookmarkStart w:id="138" w:name="_Toc27235"/>
      <w:bookmarkStart w:id="139" w:name="_Toc16674"/>
      <w:bookmarkStart w:id="140" w:name="_Toc18358"/>
      <w:r>
        <w:rPr>
          <w:rFonts w:hint="eastAsia" w:ascii="宋体" w:hAnsi="宋体" w:cs="宋体"/>
          <w:b/>
          <w:bCs/>
          <w:color w:val="auto"/>
          <w:sz w:val="36"/>
        </w:rPr>
        <w:t>附件</w:t>
      </w:r>
      <w:r>
        <w:rPr>
          <w:rFonts w:hint="eastAsia" w:ascii="宋体" w:hAnsi="宋体" w:cs="宋体"/>
          <w:b/>
          <w:bCs/>
          <w:color w:val="auto"/>
          <w:sz w:val="36"/>
          <w:lang w:val="en-US" w:eastAsia="zh-CN"/>
        </w:rPr>
        <w:t>6</w:t>
      </w:r>
      <w:r>
        <w:rPr>
          <w:rFonts w:hint="eastAsia" w:ascii="宋体" w:hAnsi="宋体" w:cs="宋体"/>
          <w:b/>
          <w:bCs/>
          <w:color w:val="auto"/>
          <w:sz w:val="36"/>
        </w:rPr>
        <w:t>：</w:t>
      </w:r>
      <w:bookmarkEnd w:id="135"/>
      <w:bookmarkEnd w:id="136"/>
      <w:r>
        <w:rPr>
          <w:rFonts w:hint="eastAsia" w:ascii="宋体" w:hAnsi="宋体" w:eastAsia="宋体" w:cs="宋体"/>
          <w:b/>
          <w:bCs/>
          <w:color w:val="auto"/>
          <w:sz w:val="36"/>
        </w:rPr>
        <w:t>资格、资质证明文件</w:t>
      </w:r>
      <w:bookmarkEnd w:id="137"/>
      <w:bookmarkEnd w:id="138"/>
      <w:bookmarkEnd w:id="139"/>
      <w:bookmarkEnd w:id="14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25"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color w:val="auto"/>
                <w:sz w:val="21"/>
                <w:szCs w:val="21"/>
              </w:rPr>
            </w:pPr>
            <w:r>
              <w:rPr>
                <w:rFonts w:hint="eastAsia"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color w:val="auto"/>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639" w:type="dxa"/>
            <w:noWrap w:val="0"/>
            <w:vAlign w:val="center"/>
          </w:tcPr>
          <w:p>
            <w:pPr>
              <w:autoSpaceDE w:val="0"/>
              <w:autoSpaceDN w:val="0"/>
              <w:adjustRightInd w:val="0"/>
              <w:spacing w:line="400" w:lineRule="exact"/>
              <w:jc w:val="center"/>
              <w:rPr>
                <w:rFonts w:hint="eastAsia" w:hAnsi="宋体" w:cs="宋体"/>
                <w:color w:val="auto"/>
                <w:sz w:val="21"/>
                <w:szCs w:val="21"/>
              </w:rPr>
            </w:pPr>
            <w:r>
              <w:rPr>
                <w:rFonts w:hint="eastAsia" w:hAnsi="宋体" w:cs="宋体"/>
                <w:color w:val="auto"/>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color w:val="auto"/>
                <w:sz w:val="21"/>
                <w:szCs w:val="21"/>
              </w:rPr>
            </w:pPr>
          </w:p>
        </w:tc>
      </w:tr>
    </w:tbl>
    <w:p>
      <w:pPr>
        <w:spacing w:line="240" w:lineRule="auto"/>
        <w:rPr>
          <w:rFonts w:hint="eastAsia" w:ascii="宋体" w:hAnsi="宋体" w:eastAsia="宋体" w:cs="宋体"/>
          <w:b/>
          <w:bCs/>
          <w:caps/>
          <w:color w:val="auto"/>
          <w:kern w:val="2"/>
          <w:sz w:val="22"/>
          <w:szCs w:val="22"/>
          <w:lang w:val="en-US" w:eastAsia="zh-CN" w:bidi="ar-SA"/>
        </w:rPr>
      </w:pPr>
      <w:r>
        <w:rPr>
          <w:rFonts w:hint="eastAsia" w:ascii="宋体" w:hAnsi="宋体" w:eastAsia="宋体" w:cs="宋体"/>
          <w:b/>
          <w:bCs/>
          <w:caps/>
          <w:color w:val="auto"/>
          <w:kern w:val="2"/>
          <w:sz w:val="22"/>
          <w:szCs w:val="22"/>
          <w:lang w:val="en-US" w:eastAsia="zh-CN" w:bidi="ar-SA"/>
        </w:rPr>
        <w:t>后附以下资料（后附资料须加盖公章及法人或授权委托人签字）</w:t>
      </w:r>
    </w:p>
    <w:p>
      <w:pPr>
        <w:pStyle w:val="16"/>
        <w:numPr>
          <w:ilvl w:val="0"/>
          <w:numId w:val="15"/>
        </w:numPr>
        <w:spacing w:line="240" w:lineRule="auto"/>
        <w:ind w:left="-22" w:leftChars="0" w:firstLine="442" w:firstLineChars="0"/>
        <w:rPr>
          <w:rFonts w:hint="eastAsia" w:ascii="宋体" w:hAnsi="宋体" w:eastAsia="宋体" w:cs="宋体"/>
          <w:b/>
          <w:bCs/>
          <w:caps/>
          <w:color w:val="auto"/>
          <w:sz w:val="22"/>
          <w:szCs w:val="22"/>
        </w:rPr>
      </w:pPr>
      <w:r>
        <w:rPr>
          <w:rFonts w:hint="eastAsia" w:ascii="宋体" w:hAnsi="宋体" w:eastAsia="宋体" w:cs="宋体"/>
          <w:b/>
          <w:bCs/>
          <w:caps/>
          <w:color w:val="auto"/>
          <w:sz w:val="22"/>
          <w:szCs w:val="22"/>
          <w:lang w:val="en-US" w:eastAsia="zh-CN"/>
        </w:rPr>
        <w:t>具有有效的营业执照</w:t>
      </w:r>
    </w:p>
    <w:p>
      <w:pPr>
        <w:numPr>
          <w:ilvl w:val="0"/>
          <w:numId w:val="15"/>
        </w:numPr>
        <w:spacing w:line="240" w:lineRule="auto"/>
        <w:ind w:left="-22" w:leftChars="0" w:firstLine="442" w:firstLineChars="0"/>
        <w:rPr>
          <w:rFonts w:hint="eastAsia" w:ascii="宋体" w:hAnsi="宋体" w:eastAsia="宋体" w:cs="宋体"/>
          <w:b/>
          <w:bCs/>
          <w:caps/>
          <w:color w:val="auto"/>
          <w:sz w:val="22"/>
          <w:szCs w:val="22"/>
          <w:highlight w:val="yellow"/>
          <w:lang w:val="en-US" w:eastAsia="zh-CN"/>
        </w:rPr>
      </w:pPr>
      <w:r>
        <w:rPr>
          <w:rFonts w:hint="eastAsia" w:ascii="宋体" w:hAnsi="宋体" w:eastAsia="宋体" w:cs="宋体"/>
          <w:b/>
          <w:bCs/>
          <w:caps/>
          <w:color w:val="auto"/>
          <w:sz w:val="22"/>
          <w:szCs w:val="22"/>
          <w:highlight w:val="yellow"/>
          <w:lang w:val="en-US" w:eastAsia="zh-CN"/>
        </w:rPr>
        <w:t>有效期内的消防设施工程专业承包贰级及以上资质或有效期内的消防设施工程设计与施工贰级及以上资质，需持有有效的安全生产许可证，并具有履行合同所必须的设备和专业技术能力。</w:t>
      </w:r>
    </w:p>
    <w:p>
      <w:pPr>
        <w:numPr>
          <w:ilvl w:val="0"/>
          <w:numId w:val="15"/>
        </w:numPr>
        <w:spacing w:line="240" w:lineRule="auto"/>
        <w:ind w:left="-22" w:leftChars="0" w:firstLine="442" w:firstLineChars="0"/>
        <w:rPr>
          <w:rFonts w:hint="eastAsia" w:ascii="宋体" w:hAnsi="宋体" w:eastAsia="宋体" w:cs="宋体"/>
          <w:b/>
          <w:bCs/>
          <w:caps/>
          <w:color w:val="auto"/>
          <w:sz w:val="22"/>
          <w:szCs w:val="22"/>
          <w:highlight w:val="yellow"/>
          <w:lang w:val="en-US" w:eastAsia="zh-CN"/>
        </w:rPr>
      </w:pPr>
      <w:r>
        <w:rPr>
          <w:rFonts w:hint="eastAsia" w:ascii="宋体" w:hAnsi="宋体" w:eastAsia="宋体" w:cs="宋体"/>
          <w:b/>
          <w:bCs/>
          <w:caps/>
          <w:color w:val="auto"/>
          <w:sz w:val="22"/>
          <w:szCs w:val="22"/>
          <w:highlight w:val="yellow"/>
          <w:lang w:val="en-US" w:eastAsia="zh-CN"/>
        </w:rPr>
        <w:t>项目负责人要求：注册建造师（建筑工程专业）二级及以上，并具有有效的安全生产考核合格证书（B类），本单位注册。</w:t>
      </w:r>
    </w:p>
    <w:p>
      <w:pPr>
        <w:numPr>
          <w:ilvl w:val="0"/>
          <w:numId w:val="15"/>
        </w:numPr>
        <w:spacing w:line="240" w:lineRule="auto"/>
        <w:ind w:left="-22" w:leftChars="0" w:firstLine="442" w:firstLineChars="0"/>
        <w:rPr>
          <w:rFonts w:hint="eastAsia" w:ascii="宋体" w:hAnsi="宋体" w:eastAsia="宋体" w:cs="宋体"/>
          <w:b/>
          <w:bCs/>
          <w:caps/>
          <w:color w:val="auto"/>
          <w:sz w:val="22"/>
          <w:szCs w:val="22"/>
          <w:lang w:val="en-US" w:eastAsia="zh-CN"/>
        </w:rPr>
      </w:pPr>
      <w:r>
        <w:rPr>
          <w:rFonts w:hint="eastAsia" w:ascii="宋体" w:hAnsi="宋体" w:eastAsia="宋体" w:cs="宋体"/>
          <w:b/>
          <w:bCs/>
          <w:caps/>
          <w:color w:val="auto"/>
          <w:sz w:val="22"/>
          <w:szCs w:val="22"/>
          <w:lang w:val="en-US" w:eastAsia="zh-CN"/>
        </w:rPr>
        <w:t>须具备近一年财务审计报告或银行提供的资信证明（新公司从成立之日起算）；</w:t>
      </w:r>
    </w:p>
    <w:p>
      <w:pPr>
        <w:pStyle w:val="8"/>
        <w:numPr>
          <w:ilvl w:val="0"/>
          <w:numId w:val="15"/>
        </w:numPr>
        <w:spacing w:line="240" w:lineRule="auto"/>
        <w:ind w:left="-22" w:leftChars="0" w:firstLine="442" w:firstLineChars="0"/>
        <w:rPr>
          <w:rFonts w:hint="eastAsia" w:ascii="宋体" w:hAnsi="宋体" w:eastAsia="宋体" w:cs="宋体"/>
          <w:b/>
          <w:bCs/>
          <w:caps/>
          <w:color w:val="auto"/>
          <w:kern w:val="2"/>
          <w:sz w:val="22"/>
          <w:szCs w:val="22"/>
          <w:lang w:val="en-US" w:eastAsia="zh-CN" w:bidi="ar-SA"/>
        </w:rPr>
      </w:pPr>
      <w:r>
        <w:rPr>
          <w:rFonts w:hint="eastAsia" w:ascii="宋体" w:hAnsi="宋体" w:eastAsia="宋体" w:cs="宋体"/>
          <w:b/>
          <w:bCs/>
          <w:caps/>
          <w:color w:val="auto"/>
          <w:kern w:val="2"/>
          <w:sz w:val="22"/>
          <w:szCs w:val="22"/>
          <w:lang w:val="en-US" w:eastAsia="zh-CN" w:bidi="ar-SA"/>
        </w:rPr>
        <w:t>须具有近一年任意月纳税证明（新公司从成立之日起算）</w:t>
      </w:r>
      <w:r>
        <w:rPr>
          <w:rFonts w:hint="eastAsia" w:ascii="宋体" w:hAnsi="宋体" w:cs="宋体"/>
          <w:b/>
          <w:bCs/>
          <w:caps/>
          <w:color w:val="auto"/>
          <w:kern w:val="2"/>
          <w:sz w:val="22"/>
          <w:szCs w:val="22"/>
          <w:lang w:val="en-US" w:eastAsia="zh-CN" w:bidi="ar-SA"/>
        </w:rPr>
        <w:t>；</w:t>
      </w:r>
    </w:p>
    <w:p>
      <w:pPr>
        <w:pStyle w:val="2"/>
        <w:numPr>
          <w:ilvl w:val="0"/>
          <w:numId w:val="15"/>
        </w:numPr>
        <w:spacing w:line="240" w:lineRule="auto"/>
        <w:ind w:left="-22" w:leftChars="0" w:firstLine="442" w:firstLineChars="0"/>
        <w:jc w:val="both"/>
        <w:rPr>
          <w:rFonts w:hint="default" w:ascii="宋体" w:hAnsi="宋体" w:eastAsia="宋体" w:cs="宋体"/>
          <w:b/>
          <w:bCs/>
          <w:caps/>
          <w:color w:val="auto"/>
          <w:kern w:val="2"/>
          <w:sz w:val="22"/>
          <w:szCs w:val="22"/>
          <w:lang w:val="en-US" w:eastAsia="zh-CN" w:bidi="ar-SA"/>
        </w:rPr>
      </w:pPr>
      <w:bookmarkStart w:id="141" w:name="_Toc1333"/>
      <w:bookmarkStart w:id="142" w:name="_Toc29830"/>
      <w:r>
        <w:rPr>
          <w:rFonts w:hint="eastAsia" w:ascii="宋体" w:hAnsi="宋体" w:eastAsia="宋体" w:cs="宋体"/>
          <w:b/>
          <w:bCs/>
          <w:caps/>
          <w:color w:val="auto"/>
          <w:kern w:val="2"/>
          <w:sz w:val="22"/>
          <w:szCs w:val="22"/>
          <w:lang w:val="en-US" w:eastAsia="zh-CN" w:bidi="ar-SA"/>
        </w:rPr>
        <w:t>近一年任意月法人或授权委托人人员明细的社保证明（新公司从成立之日起算）</w:t>
      </w:r>
      <w:bookmarkEnd w:id="141"/>
      <w:bookmarkEnd w:id="142"/>
      <w:r>
        <w:rPr>
          <w:rFonts w:hint="eastAsia" w:ascii="宋体" w:hAnsi="宋体" w:eastAsia="宋体" w:cs="宋体"/>
          <w:b/>
          <w:bCs/>
          <w:caps/>
          <w:color w:val="auto"/>
          <w:kern w:val="2"/>
          <w:sz w:val="22"/>
          <w:szCs w:val="22"/>
          <w:lang w:val="en-US" w:eastAsia="zh-CN" w:bidi="ar-SA"/>
        </w:rPr>
        <w:t>。</w:t>
      </w:r>
    </w:p>
    <w:p>
      <w:pPr>
        <w:rPr>
          <w:rFonts w:hint="default"/>
          <w:lang w:val="en-US" w:eastAsia="zh-CN"/>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hint="eastAsia" w:ascii="宋体" w:hAnsi="宋体"/>
          <w:color w:val="auto"/>
          <w:sz w:val="24"/>
          <w:szCs w:val="24"/>
          <w:lang w:val="en-US" w:eastAsia="zh-CN"/>
        </w:rPr>
      </w:pPr>
      <w:r>
        <w:rPr>
          <w:rFonts w:hint="eastAsia" w:ascii="宋体" w:hAnsi="宋体"/>
          <w:color w:val="auto"/>
          <w:sz w:val="24"/>
          <w:szCs w:val="24"/>
        </w:rPr>
        <w:t>法定代表（或授权代表）签字</w:t>
      </w:r>
      <w:r>
        <w:rPr>
          <w:rFonts w:hint="eastAsia" w:ascii="宋体" w:hAnsi="宋体"/>
          <w:color w:val="auto"/>
          <w:sz w:val="24"/>
          <w:szCs w:val="24"/>
          <w:lang w:eastAsia="zh-CN"/>
        </w:rPr>
        <w:t>或盖章</w:t>
      </w:r>
      <w:r>
        <w:rPr>
          <w:rFonts w:hint="eastAsia" w:ascii="宋体" w:hAnsi="宋体"/>
          <w:color w:val="auto"/>
          <w:sz w:val="24"/>
          <w:szCs w:val="24"/>
        </w:rPr>
        <w:t>：</w:t>
      </w:r>
      <w:r>
        <w:rPr>
          <w:rFonts w:hint="eastAsia" w:ascii="宋体" w:hAnsi="宋体"/>
          <w:color w:val="auto"/>
          <w:sz w:val="24"/>
          <w:szCs w:val="24"/>
          <w:lang w:val="en-US" w:eastAsia="zh-CN"/>
        </w:rPr>
        <w:t xml:space="preserve">      </w:t>
      </w:r>
    </w:p>
    <w:p>
      <w:pPr>
        <w:spacing w:line="360" w:lineRule="auto"/>
        <w:ind w:firstLine="480"/>
        <w:jc w:val="right"/>
        <w:rPr>
          <w:rFonts w:ascii="宋体" w:hAnsi="宋体"/>
          <w:color w:val="auto"/>
          <w:sz w:val="24"/>
          <w:szCs w:val="24"/>
        </w:rPr>
      </w:pPr>
      <w:r>
        <w:rPr>
          <w:rFonts w:hint="eastAsia" w:ascii="宋体" w:hAnsi="宋体"/>
          <w:color w:val="auto"/>
          <w:sz w:val="24"/>
          <w:szCs w:val="24"/>
        </w:rPr>
        <w:t>日期：   年   月   日</w:t>
      </w:r>
    </w:p>
    <w:p>
      <w:pPr>
        <w:spacing w:line="360" w:lineRule="auto"/>
        <w:jc w:val="center"/>
        <w:outlineLvl w:val="0"/>
        <w:rPr>
          <w:rFonts w:hint="eastAsia" w:ascii="宋体" w:hAnsi="宋体" w:eastAsia="宋体" w:cs="宋体"/>
          <w:b/>
          <w:bCs/>
          <w:color w:val="auto"/>
          <w:kern w:val="0"/>
          <w:sz w:val="36"/>
          <w:lang w:val="en-US" w:eastAsia="zh-CN" w:bidi="ar-SA"/>
        </w:rPr>
      </w:pPr>
      <w:bookmarkStart w:id="143" w:name="_Toc20354"/>
      <w:bookmarkStart w:id="144" w:name="_Toc12126"/>
      <w:bookmarkStart w:id="145" w:name="_Toc8852"/>
      <w:r>
        <w:rPr>
          <w:rFonts w:hint="eastAsia" w:ascii="宋体" w:hAnsi="宋体" w:eastAsia="宋体" w:cs="宋体"/>
          <w:b/>
          <w:bCs/>
          <w:color w:val="auto"/>
          <w:kern w:val="0"/>
          <w:sz w:val="36"/>
          <w:lang w:val="en-US" w:eastAsia="zh-CN" w:bidi="ar-SA"/>
        </w:rPr>
        <w:t>附件7、人员情况一览表</w:t>
      </w:r>
      <w:bookmarkEnd w:id="143"/>
      <w:bookmarkEnd w:id="144"/>
      <w:bookmarkEnd w:id="145"/>
    </w:p>
    <w:p>
      <w:pPr>
        <w:spacing w:line="360" w:lineRule="auto"/>
        <w:jc w:val="center"/>
        <w:rPr>
          <w:rFonts w:hint="eastAsia" w:ascii="宋体" w:hAnsi="宋体"/>
          <w:b/>
          <w:color w:val="auto"/>
          <w:kern w:val="36"/>
          <w:sz w:val="28"/>
          <w:szCs w:val="28"/>
          <w:lang w:eastAsia="zh-CN"/>
        </w:rPr>
      </w:pPr>
    </w:p>
    <w:p>
      <w:pPr>
        <w:spacing w:line="360" w:lineRule="auto"/>
        <w:jc w:val="center"/>
        <w:rPr>
          <w:rFonts w:ascii="宋体" w:hAnsi="宋体"/>
          <w:color w:val="auto"/>
          <w:sz w:val="28"/>
        </w:rPr>
      </w:pPr>
      <w:r>
        <w:rPr>
          <w:rFonts w:hint="eastAsia" w:ascii="宋体" w:hAnsi="宋体"/>
          <w:b/>
          <w:color w:val="auto"/>
          <w:kern w:val="36"/>
          <w:sz w:val="28"/>
          <w:szCs w:val="28"/>
          <w:lang w:eastAsia="zh-CN"/>
        </w:rPr>
        <w:t>主要</w:t>
      </w:r>
      <w:r>
        <w:rPr>
          <w:rFonts w:hint="eastAsia" w:ascii="宋体" w:hAnsi="宋体"/>
          <w:b/>
          <w:color w:val="auto"/>
          <w:kern w:val="36"/>
          <w:sz w:val="28"/>
          <w:szCs w:val="28"/>
        </w:rPr>
        <w:t>负责人简历表</w:t>
      </w:r>
    </w:p>
    <w:p>
      <w:pPr>
        <w:pStyle w:val="8"/>
        <w:rPr>
          <w:rFonts w:hint="default"/>
          <w:lang w:val="en-US" w:eastAsia="zh-CN"/>
        </w:rPr>
      </w:pPr>
    </w:p>
    <w:tbl>
      <w:tblPr>
        <w:tblStyle w:val="20"/>
        <w:tblpPr w:leftFromText="180" w:rightFromText="180" w:vertAnchor="text" w:horzAnchor="page" w:tblpX="1423" w:tblpY="542"/>
        <w:tblOverlap w:val="never"/>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证</w:t>
            </w:r>
            <w:r>
              <w:rPr>
                <w:rFonts w:hint="eastAsia" w:ascii="宋体" w:hAnsi="宋体"/>
                <w:color w:val="auto"/>
                <w:lang w:val="en-US" w:eastAsia="zh-CN"/>
              </w:rPr>
              <w:t xml:space="preserve"> </w:t>
            </w:r>
            <w:r>
              <w:rPr>
                <w:rFonts w:ascii="宋体" w:hAnsi="宋体"/>
                <w:color w:val="auto"/>
              </w:rPr>
              <w:t>书</w:t>
            </w:r>
            <w:r>
              <w:rPr>
                <w:rFonts w:hint="eastAsia" w:ascii="宋体" w:hAnsi="宋体"/>
                <w:color w:val="auto"/>
                <w:lang w:val="en-US" w:eastAsia="zh-CN"/>
              </w:rPr>
              <w:t xml:space="preserve"> </w:t>
            </w:r>
            <w:r>
              <w:rPr>
                <w:rFonts w:ascii="宋体" w:hAnsi="宋体"/>
                <w:color w:val="auto"/>
              </w:rPr>
              <w:t>编</w:t>
            </w:r>
            <w:r>
              <w:rPr>
                <w:rFonts w:hint="eastAsia" w:ascii="宋体" w:hAnsi="宋体"/>
                <w:color w:val="auto"/>
                <w:lang w:val="en-US" w:eastAsia="zh-CN"/>
              </w:rPr>
              <w:t xml:space="preserve"> </w:t>
            </w:r>
            <w:r>
              <w:rPr>
                <w:rFonts w:ascii="宋体" w:hAnsi="宋体"/>
                <w:color w:val="auto"/>
              </w:rPr>
              <w:t>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olor w:val="auto"/>
                <w:sz w:val="24"/>
                <w:lang w:eastAsia="zh-CN"/>
              </w:rPr>
            </w:pPr>
            <w:r>
              <w:rPr>
                <w:rFonts w:hint="eastAsia" w:ascii="宋体" w:hAnsi="宋体" w:eastAsia="宋体" w:cs="Times New Roman"/>
                <w:color w:val="auto"/>
                <w:lang w:val="en-US" w:eastAsia="zh-CN"/>
              </w:rPr>
              <w:t>证 书 名 称</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职</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称</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级</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别</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常</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住</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地</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lang w:eastAsia="zh-CN"/>
              </w:rPr>
              <w:t>址</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color w:val="auto"/>
                <w:sz w:val="24"/>
              </w:rPr>
            </w:pPr>
          </w:p>
        </w:tc>
      </w:tr>
    </w:tbl>
    <w:p>
      <w:pPr>
        <w:autoSpaceDN w:val="0"/>
        <w:spacing w:line="360" w:lineRule="auto"/>
        <w:rPr>
          <w:rFonts w:ascii="宋体" w:hAnsi="宋体"/>
          <w:color w:val="auto"/>
        </w:rPr>
      </w:pPr>
    </w:p>
    <w:p>
      <w:pPr>
        <w:autoSpaceDN w:val="0"/>
        <w:spacing w:line="360" w:lineRule="auto"/>
        <w:rPr>
          <w:rFonts w:ascii="宋体" w:hAnsi="宋体"/>
          <w:color w:val="auto"/>
        </w:rPr>
      </w:pPr>
      <w:r>
        <w:rPr>
          <w:rFonts w:ascii="宋体" w:hAnsi="宋体"/>
          <w:color w:val="auto"/>
        </w:rPr>
        <w:t>注：1、本</w:t>
      </w:r>
      <w:r>
        <w:rPr>
          <w:rFonts w:hint="eastAsia" w:ascii="宋体" w:hAnsi="宋体"/>
          <w:color w:val="auto"/>
          <w:lang w:eastAsia="zh-CN"/>
        </w:rPr>
        <w:t>项目</w:t>
      </w:r>
      <w:r>
        <w:rPr>
          <w:rFonts w:ascii="宋体" w:hAnsi="宋体"/>
          <w:color w:val="auto"/>
        </w:rPr>
        <w:t>一旦我单位中标，将配备上述项目负责人。上述填报内容真实，如不真实，将按照有关规定接受处理。</w:t>
      </w:r>
    </w:p>
    <w:p>
      <w:pPr>
        <w:numPr>
          <w:ilvl w:val="0"/>
          <w:numId w:val="16"/>
        </w:numPr>
        <w:autoSpaceDN w:val="0"/>
        <w:spacing w:line="360" w:lineRule="auto"/>
        <w:rPr>
          <w:rFonts w:hint="eastAsia" w:ascii="宋体" w:hAnsi="宋体"/>
          <w:color w:val="auto"/>
        </w:rPr>
      </w:pPr>
      <w:r>
        <w:rPr>
          <w:rFonts w:ascii="宋体" w:hAnsi="宋体"/>
          <w:color w:val="auto"/>
        </w:rPr>
        <w:t>项目负责人简历后应附</w:t>
      </w:r>
      <w:r>
        <w:rPr>
          <w:rFonts w:hint="eastAsia"/>
          <w:lang w:val="en-US" w:eastAsia="zh-CN"/>
        </w:rPr>
        <w:t>相关人员证书复印件及近一年任意一月社保缴纳证明并加盖公章</w:t>
      </w:r>
      <w:r>
        <w:rPr>
          <w:rFonts w:hint="eastAsia" w:ascii="宋体" w:hAnsi="宋体"/>
          <w:color w:val="auto"/>
        </w:rPr>
        <w:t>。</w:t>
      </w:r>
    </w:p>
    <w:p>
      <w:pPr>
        <w:pStyle w:val="8"/>
        <w:numPr>
          <w:ilvl w:val="0"/>
          <w:numId w:val="0"/>
        </w:numPr>
        <w:rPr>
          <w:color w:val="auto"/>
        </w:rPr>
      </w:pPr>
    </w:p>
    <w:p>
      <w:pPr>
        <w:rPr>
          <w:color w:val="auto"/>
        </w:rPr>
      </w:pPr>
    </w:p>
    <w:p>
      <w:pPr>
        <w:pStyle w:val="19"/>
        <w:rPr>
          <w:color w:val="auto"/>
        </w:rPr>
      </w:pPr>
    </w:p>
    <w:p>
      <w:pPr>
        <w:rPr>
          <w:color w:val="auto"/>
        </w:rPr>
      </w:pPr>
    </w:p>
    <w:p>
      <w:pPr>
        <w:pStyle w:val="19"/>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spacing w:line="360" w:lineRule="auto"/>
        <w:jc w:val="right"/>
        <w:rPr>
          <w:rFonts w:ascii="宋体" w:hAnsi="宋体"/>
          <w:color w:val="auto"/>
          <w:sz w:val="28"/>
        </w:rPr>
      </w:pPr>
    </w:p>
    <w:p>
      <w:pPr>
        <w:widowControl/>
        <w:spacing w:line="600" w:lineRule="exact"/>
        <w:jc w:val="center"/>
        <w:rPr>
          <w:rFonts w:ascii="宋体" w:hAnsi="宋体"/>
          <w:b/>
          <w:bCs/>
          <w:color w:val="auto"/>
          <w:sz w:val="30"/>
          <w:szCs w:val="32"/>
        </w:rPr>
      </w:pPr>
      <w:r>
        <w:rPr>
          <w:rFonts w:hint="eastAsia" w:ascii="宋体" w:hAnsi="宋体"/>
          <w:b/>
          <w:color w:val="auto"/>
          <w:kern w:val="36"/>
          <w:sz w:val="28"/>
          <w:szCs w:val="28"/>
        </w:rPr>
        <w:t>拟投入</w:t>
      </w:r>
      <w:r>
        <w:rPr>
          <w:rFonts w:hint="eastAsia" w:ascii="宋体" w:hAnsi="宋体"/>
          <w:b/>
          <w:color w:val="auto"/>
          <w:kern w:val="36"/>
          <w:sz w:val="28"/>
          <w:szCs w:val="28"/>
          <w:lang w:eastAsia="zh-CN"/>
        </w:rPr>
        <w:t>其他</w:t>
      </w:r>
      <w:r>
        <w:rPr>
          <w:rFonts w:hint="eastAsia" w:ascii="宋体" w:hAnsi="宋体"/>
          <w:b/>
          <w:color w:val="auto"/>
          <w:kern w:val="36"/>
          <w:sz w:val="28"/>
          <w:szCs w:val="28"/>
        </w:rPr>
        <w:t>人员一览表</w:t>
      </w:r>
    </w:p>
    <w:p>
      <w:pPr>
        <w:autoSpaceDN w:val="0"/>
        <w:spacing w:line="360" w:lineRule="auto"/>
        <w:rPr>
          <w:rFonts w:ascii="宋体" w:hAnsi="宋体"/>
          <w:color w:val="auto"/>
        </w:rPr>
      </w:pPr>
      <w:r>
        <w:rPr>
          <w:rFonts w:ascii="宋体" w:hAnsi="宋体"/>
          <w:color w:val="auto"/>
        </w:rPr>
        <w:t>1、其他人员应包括：项目负责人认为需要配备的其他人员。</w:t>
      </w:r>
    </w:p>
    <w:p>
      <w:pPr>
        <w:autoSpaceDN w:val="0"/>
        <w:spacing w:line="360" w:lineRule="auto"/>
        <w:rPr>
          <w:rFonts w:ascii="宋体" w:hAnsi="宋体"/>
          <w:color w:val="auto"/>
        </w:rPr>
      </w:pPr>
      <w:r>
        <w:rPr>
          <w:rFonts w:ascii="宋体" w:hAnsi="宋体"/>
          <w:color w:val="auto"/>
        </w:rPr>
        <w:t>2、上述人员介绍应包括姓名、职称、主要资历等基本信息。</w:t>
      </w:r>
    </w:p>
    <w:p>
      <w:pPr>
        <w:autoSpaceDN w:val="0"/>
        <w:spacing w:line="360" w:lineRule="auto"/>
        <w:rPr>
          <w:rFonts w:ascii="宋体" w:hAnsi="宋体"/>
          <w:color w:val="auto"/>
        </w:rPr>
      </w:pPr>
      <w:r>
        <w:rPr>
          <w:rFonts w:ascii="宋体" w:hAnsi="宋体"/>
          <w:color w:val="auto"/>
        </w:rPr>
        <w:t>3、应</w:t>
      </w:r>
      <w:r>
        <w:rPr>
          <w:rFonts w:hint="eastAsia"/>
          <w:lang w:val="en-US" w:eastAsia="zh-CN"/>
        </w:rPr>
        <w:t>提供相关人员证书复印件及近一年任意一月社保缴纳证明并加盖公章。</w:t>
      </w:r>
    </w:p>
    <w:tbl>
      <w:tblPr>
        <w:tblStyle w:val="20"/>
        <w:tblW w:w="1013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064"/>
        <w:gridCol w:w="1172"/>
        <w:gridCol w:w="1105"/>
        <w:gridCol w:w="1132"/>
        <w:gridCol w:w="1145"/>
        <w:gridCol w:w="1337"/>
        <w:gridCol w:w="1145"/>
        <w:gridCol w:w="114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姓名</w:t>
            </w: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olor w:val="auto"/>
                <w:sz w:val="24"/>
                <w:lang w:eastAsia="zh-CN"/>
              </w:rPr>
            </w:pPr>
            <w:r>
              <w:rPr>
                <w:rFonts w:hint="eastAsia" w:ascii="宋体" w:hAnsi="宋体" w:eastAsia="宋体" w:cs="Times New Roman"/>
                <w:color w:val="auto"/>
                <w:lang w:eastAsia="zh-CN"/>
              </w:rPr>
              <w:t>职务</w:t>
            </w: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性别</w:t>
            </w: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职称</w:t>
            </w: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学历</w:t>
            </w: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color w:val="auto"/>
                <w:sz w:val="24"/>
              </w:rPr>
            </w:pPr>
            <w:r>
              <w:rPr>
                <w:rFonts w:ascii="宋体" w:hAnsi="宋体"/>
                <w:color w:val="auto"/>
              </w:rPr>
              <w:t>专业</w:t>
            </w: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hint="eastAsia" w:ascii="宋体" w:hAnsi="宋体" w:eastAsia="宋体"/>
                <w:color w:val="auto"/>
                <w:sz w:val="24"/>
                <w:lang w:eastAsia="zh-CN"/>
              </w:rPr>
            </w:pPr>
            <w:r>
              <w:rPr>
                <w:rFonts w:hint="eastAsia" w:ascii="宋体" w:hAnsi="宋体"/>
                <w:color w:val="auto"/>
                <w:lang w:eastAsia="zh-CN"/>
              </w:rPr>
              <w:t>证书编号</w:t>
            </w: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hint="eastAsia" w:ascii="宋体" w:hAnsi="宋体" w:eastAsia="宋体"/>
                <w:color w:val="auto"/>
                <w:sz w:val="24"/>
                <w:lang w:eastAsia="zh-CN"/>
              </w:rPr>
            </w:pPr>
            <w:r>
              <w:rPr>
                <w:rFonts w:hint="eastAsia" w:ascii="宋体" w:hAnsi="宋体"/>
                <w:color w:val="auto"/>
                <w:lang w:eastAsia="zh-CN"/>
              </w:rPr>
              <w:t>级别</w:t>
            </w: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hint="eastAsia" w:ascii="宋体" w:hAnsi="宋体" w:eastAsia="宋体"/>
                <w:color w:val="auto"/>
                <w:lang w:eastAsia="zh-CN"/>
              </w:rPr>
            </w:pPr>
            <w:r>
              <w:rPr>
                <w:rFonts w:hint="eastAsia" w:ascii="宋体" w:hAnsi="宋体"/>
                <w:color w:val="auto"/>
                <w:lang w:eastAsia="zh-CN"/>
              </w:rPr>
              <w:t>证书名称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0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3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c>
          <w:tcPr>
            <w:tcW w:w="11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color w:val="auto"/>
                <w:sz w:val="24"/>
              </w:rPr>
            </w:pPr>
          </w:p>
        </w:tc>
      </w:tr>
    </w:tbl>
    <w:p>
      <w:pPr>
        <w:spacing w:line="360" w:lineRule="auto"/>
        <w:jc w:val="both"/>
        <w:rPr>
          <w:rFonts w:ascii="宋体" w:hAnsi="宋体"/>
          <w:color w:val="auto"/>
          <w:sz w:val="28"/>
        </w:rPr>
      </w:pPr>
    </w:p>
    <w:p>
      <w:pPr>
        <w:pStyle w:val="19"/>
        <w:rPr>
          <w:rFonts w:ascii="宋体" w:hAnsi="宋体"/>
          <w:color w:val="auto"/>
          <w:sz w:val="28"/>
        </w:rPr>
      </w:pPr>
    </w:p>
    <w:p>
      <w:pPr>
        <w:rPr>
          <w:rFonts w:ascii="宋体" w:hAnsi="宋体"/>
          <w:color w:val="auto"/>
          <w:sz w:val="28"/>
        </w:rPr>
      </w:pPr>
    </w:p>
    <w:p>
      <w:pPr>
        <w:pStyle w:val="19"/>
        <w:rPr>
          <w:rFonts w:ascii="宋体" w:hAnsi="宋体"/>
          <w:color w:val="auto"/>
          <w:sz w:val="28"/>
        </w:rPr>
      </w:pPr>
    </w:p>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28"/>
        <w:jc w:val="center"/>
        <w:outlineLvl w:val="0"/>
        <w:rPr>
          <w:rFonts w:hint="eastAsia" w:ascii="宋体" w:eastAsia="宋体" w:cs="宋体"/>
          <w:b/>
          <w:color w:val="auto"/>
          <w:sz w:val="36"/>
          <w:lang w:eastAsia="zh-CN"/>
        </w:rPr>
      </w:pPr>
      <w:bookmarkStart w:id="146" w:name="_Toc533086823"/>
      <w:bookmarkStart w:id="147" w:name="_Toc26193"/>
      <w:bookmarkStart w:id="148" w:name="_Toc5353"/>
      <w:bookmarkStart w:id="149" w:name="_Toc32238"/>
      <w:bookmarkStart w:id="150" w:name="_Toc1137"/>
      <w:bookmarkStart w:id="151" w:name="_Toc30781"/>
      <w:r>
        <w:rPr>
          <w:rFonts w:hint="eastAsia" w:ascii="宋体" w:cs="宋体"/>
          <w:b/>
          <w:color w:val="auto"/>
          <w:sz w:val="36"/>
        </w:rPr>
        <w:t>附件</w:t>
      </w:r>
      <w:r>
        <w:rPr>
          <w:rFonts w:hint="eastAsia" w:ascii="宋体" w:cs="宋体"/>
          <w:b/>
          <w:color w:val="auto"/>
          <w:sz w:val="36"/>
          <w:lang w:val="en-US" w:eastAsia="zh-CN"/>
        </w:rPr>
        <w:t>8</w:t>
      </w:r>
      <w:r>
        <w:rPr>
          <w:rFonts w:hint="eastAsia" w:ascii="宋体" w:cs="宋体"/>
          <w:b/>
          <w:color w:val="auto"/>
          <w:sz w:val="36"/>
        </w:rPr>
        <w:t>：</w:t>
      </w:r>
      <w:bookmarkEnd w:id="146"/>
      <w:bookmarkEnd w:id="147"/>
      <w:r>
        <w:rPr>
          <w:rFonts w:hint="eastAsia" w:ascii="宋体" w:cs="宋体"/>
          <w:b/>
          <w:color w:val="auto"/>
          <w:sz w:val="36"/>
        </w:rPr>
        <w:t>类似项目业绩一览表</w:t>
      </w:r>
      <w:bookmarkEnd w:id="148"/>
      <w:bookmarkEnd w:id="149"/>
      <w:bookmarkEnd w:id="150"/>
      <w:bookmarkEnd w:id="151"/>
    </w:p>
    <w:p>
      <w:pPr>
        <w:pStyle w:val="18"/>
        <w:spacing w:before="120"/>
        <w:rPr>
          <w:rFonts w:ascii="宋体" w:hAnsi="宋体"/>
          <w:color w:val="auto"/>
          <w:sz w:val="24"/>
          <w:szCs w:val="24"/>
        </w:rPr>
      </w:pPr>
      <w:r>
        <w:rPr>
          <w:rFonts w:hint="eastAsia" w:ascii="宋体" w:hAnsi="宋体"/>
          <w:color w:val="auto"/>
          <w:sz w:val="24"/>
          <w:szCs w:val="24"/>
        </w:rPr>
        <w:t xml:space="preserve">   </w:t>
      </w:r>
    </w:p>
    <w:tbl>
      <w:tblPr>
        <w:tblStyle w:val="20"/>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r>
              <w:rPr>
                <w:rFonts w:hint="eastAsia" w:hAnsi="宋体" w:cs="宋体"/>
                <w:color w:val="auto"/>
                <w:sz w:val="21"/>
                <w:szCs w:val="21"/>
                <w:lang w:eastAsia="zh-CN"/>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color w:val="auto"/>
                <w:sz w:val="21"/>
                <w:szCs w:val="21"/>
              </w:rPr>
            </w:pPr>
          </w:p>
        </w:tc>
      </w:tr>
    </w:tbl>
    <w:p>
      <w:pPr>
        <w:pStyle w:val="18"/>
        <w:spacing w:before="120"/>
        <w:rPr>
          <w:rFonts w:hint="eastAsia" w:hAnsi="宋体" w:cs="宋体"/>
          <w:b/>
          <w:bCs/>
          <w:color w:val="auto"/>
          <w:sz w:val="24"/>
        </w:rPr>
      </w:pPr>
      <w:r>
        <w:rPr>
          <w:rFonts w:hint="eastAsia" w:hAnsi="宋体" w:cs="宋体"/>
          <w:b/>
          <w:bCs/>
          <w:color w:val="auto"/>
          <w:sz w:val="24"/>
        </w:rPr>
        <w:t>注：</w:t>
      </w:r>
      <w:bookmarkStart w:id="152" w:name="_Hlk534905957"/>
      <w:r>
        <w:rPr>
          <w:rFonts w:hint="eastAsia" w:hAnsi="宋体" w:cs="宋体"/>
          <w:b/>
          <w:bCs/>
          <w:color w:val="auto"/>
          <w:sz w:val="24"/>
        </w:rPr>
        <w:t>以上业绩需提供磋商文件要求的有关书面证明材料。</w:t>
      </w:r>
      <w:bookmarkEnd w:id="152"/>
    </w:p>
    <w:p>
      <w:pPr>
        <w:pStyle w:val="7"/>
        <w:rPr>
          <w:color w:val="auto"/>
        </w:rPr>
      </w:pPr>
    </w:p>
    <w:p>
      <w:pPr>
        <w:rPr>
          <w:color w:val="auto"/>
        </w:rPr>
      </w:pPr>
    </w:p>
    <w:p>
      <w:pPr>
        <w:pStyle w:val="18"/>
        <w:spacing w:before="120"/>
        <w:rPr>
          <w:rFonts w:ascii="宋体" w:hAnsi="宋体"/>
          <w:color w:val="auto"/>
          <w:sz w:val="24"/>
          <w:szCs w:val="24"/>
        </w:rPr>
      </w:pPr>
    </w:p>
    <w:p>
      <w:pPr>
        <w:pStyle w:val="18"/>
        <w:spacing w:before="120" w:line="360" w:lineRule="auto"/>
        <w:ind w:firstLine="405"/>
        <w:rPr>
          <w:rFonts w:ascii="宋体" w:hAnsi="宋体"/>
          <w:color w:val="auto"/>
          <w:sz w:val="24"/>
          <w:szCs w:val="24"/>
        </w:rPr>
      </w:pPr>
      <w:r>
        <w:rPr>
          <w:rFonts w:hint="eastAsia" w:ascii="宋体" w:hAnsi="宋体"/>
          <w:color w:val="auto"/>
          <w:sz w:val="24"/>
          <w:szCs w:val="24"/>
        </w:rPr>
        <w:t xml:space="preserve"> </w:t>
      </w: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18"/>
        <w:spacing w:before="120" w:line="360" w:lineRule="auto"/>
        <w:ind w:firstLine="405"/>
        <w:rPr>
          <w:rFonts w:ascii="宋体" w:hAnsi="宋体"/>
          <w:color w:val="auto"/>
          <w:sz w:val="28"/>
          <w:szCs w:val="24"/>
        </w:rPr>
      </w:pPr>
    </w:p>
    <w:p>
      <w:pPr>
        <w:pStyle w:val="18"/>
        <w:spacing w:before="120" w:line="360" w:lineRule="auto"/>
        <w:ind w:firstLine="405"/>
        <w:rPr>
          <w:rFonts w:ascii="宋体" w:hAnsi="宋体"/>
          <w:color w:val="auto"/>
          <w:sz w:val="28"/>
          <w:szCs w:val="24"/>
        </w:rPr>
      </w:pPr>
    </w:p>
    <w:p>
      <w:pPr>
        <w:pStyle w:val="18"/>
        <w:spacing w:before="120" w:line="360" w:lineRule="auto"/>
        <w:ind w:firstLine="405"/>
        <w:rPr>
          <w:rFonts w:ascii="宋体" w:hAnsi="宋体"/>
          <w:color w:val="auto"/>
          <w:sz w:val="28"/>
          <w:szCs w:val="24"/>
        </w:rPr>
      </w:pPr>
    </w:p>
    <w:p>
      <w:pPr>
        <w:pStyle w:val="7"/>
        <w:rPr>
          <w:rFonts w:ascii="宋体" w:hAnsi="宋体"/>
          <w:color w:val="auto"/>
          <w:sz w:val="28"/>
          <w:szCs w:val="24"/>
        </w:rPr>
      </w:pPr>
    </w:p>
    <w:p>
      <w:pPr>
        <w:rPr>
          <w:rFonts w:ascii="宋体" w:hAnsi="宋体"/>
          <w:color w:val="auto"/>
          <w:sz w:val="28"/>
          <w:szCs w:val="24"/>
        </w:rPr>
      </w:pPr>
    </w:p>
    <w:p>
      <w:pPr>
        <w:rPr>
          <w:color w:val="auto"/>
        </w:rPr>
      </w:pPr>
    </w:p>
    <w:p>
      <w:pPr>
        <w:pStyle w:val="28"/>
        <w:jc w:val="center"/>
        <w:outlineLvl w:val="0"/>
        <w:rPr>
          <w:rFonts w:hint="eastAsia" w:ascii="宋体" w:hAnsi="宋体" w:cs="宋体"/>
          <w:color w:val="auto"/>
        </w:rPr>
      </w:pPr>
      <w:bookmarkStart w:id="153" w:name="_Toc9429"/>
      <w:bookmarkStart w:id="154" w:name="_Toc24633"/>
      <w:bookmarkStart w:id="155" w:name="_Toc2503"/>
      <w:bookmarkStart w:id="156" w:name="_Toc16231"/>
      <w:r>
        <w:rPr>
          <w:rFonts w:hint="eastAsia" w:ascii="宋体" w:hAnsi="宋体" w:cs="宋体"/>
          <w:b/>
          <w:bCs/>
          <w:color w:val="auto"/>
          <w:sz w:val="36"/>
        </w:rPr>
        <w:t>附件</w:t>
      </w:r>
      <w:r>
        <w:rPr>
          <w:rFonts w:hint="eastAsia" w:ascii="宋体" w:hAnsi="宋体" w:cs="宋体"/>
          <w:b/>
          <w:bCs/>
          <w:color w:val="auto"/>
          <w:sz w:val="36"/>
          <w:lang w:val="en-US" w:eastAsia="zh-CN"/>
        </w:rPr>
        <w:t>9</w:t>
      </w:r>
      <w:r>
        <w:rPr>
          <w:rFonts w:hint="eastAsia" w:ascii="宋体" w:hAnsi="宋体" w:cs="宋体"/>
          <w:b/>
          <w:bCs/>
          <w:color w:val="auto"/>
          <w:sz w:val="36"/>
          <w:lang w:eastAsia="zh-CN"/>
        </w:rPr>
        <w:t>：</w:t>
      </w:r>
      <w:r>
        <w:rPr>
          <w:rFonts w:hint="eastAsia" w:ascii="宋体" w:hAnsi="宋体" w:eastAsia="宋体" w:cs="宋体"/>
          <w:b/>
          <w:bCs/>
          <w:color w:val="auto"/>
          <w:sz w:val="36"/>
        </w:rPr>
        <w:t>具有履行合同所必需的设备和专业技术能力承诺函</w:t>
      </w:r>
      <w:bookmarkEnd w:id="153"/>
      <w:bookmarkEnd w:id="154"/>
      <w:bookmarkEnd w:id="155"/>
      <w:bookmarkEnd w:id="156"/>
    </w:p>
    <w:p>
      <w:pPr>
        <w:spacing w:line="480" w:lineRule="auto"/>
        <w:rPr>
          <w:rFonts w:hint="eastAsia" w:hAnsi="宋体" w:cs="宋体"/>
          <w:color w:val="auto"/>
          <w:sz w:val="24"/>
          <w:szCs w:val="24"/>
        </w:rPr>
      </w:pPr>
    </w:p>
    <w:p>
      <w:pPr>
        <w:spacing w:line="480" w:lineRule="auto"/>
        <w:rPr>
          <w:rFonts w:hint="eastAsia" w:hAnsi="宋体" w:cs="宋体"/>
          <w:color w:val="auto"/>
          <w:sz w:val="24"/>
          <w:szCs w:val="24"/>
        </w:rPr>
      </w:pPr>
      <w:r>
        <w:rPr>
          <w:rFonts w:hint="eastAsia" w:hAnsi="宋体" w:cs="宋体"/>
          <w:color w:val="auto"/>
          <w:sz w:val="24"/>
          <w:szCs w:val="24"/>
          <w:lang w:eastAsia="zh-CN"/>
        </w:rPr>
        <w:t>华诚博远工程咨询有限公司</w:t>
      </w:r>
      <w:r>
        <w:rPr>
          <w:rFonts w:hint="eastAsia" w:hAnsi="宋体" w:cs="宋体"/>
          <w:color w:val="auto"/>
          <w:sz w:val="24"/>
          <w:szCs w:val="24"/>
        </w:rPr>
        <w:t>：</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活动，现承诺我公司具有履行合同所必需的设备和专业技术能力。</w:t>
      </w:r>
    </w:p>
    <w:p>
      <w:pPr>
        <w:spacing w:line="480" w:lineRule="auto"/>
        <w:ind w:firstLine="480" w:firstLineChars="200"/>
        <w:rPr>
          <w:rFonts w:hint="eastAsia"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9"/>
        <w:rPr>
          <w:rFonts w:hint="eastAsia" w:hAnsi="宋体" w:cs="宋体"/>
          <w:color w:val="auto"/>
          <w:sz w:val="24"/>
          <w:szCs w:val="24"/>
        </w:rPr>
      </w:pPr>
    </w:p>
    <w:p>
      <w:pPr>
        <w:rPr>
          <w:rFonts w:hint="eastAsia" w:hAnsi="宋体" w:cs="宋体"/>
          <w:color w:val="auto"/>
          <w:sz w:val="24"/>
          <w:szCs w:val="24"/>
        </w:rPr>
      </w:pPr>
    </w:p>
    <w:p>
      <w:pPr>
        <w:pStyle w:val="9"/>
        <w:rPr>
          <w:rFonts w:hint="eastAsia" w:hAnsi="宋体" w:cs="宋体"/>
          <w:color w:val="auto"/>
          <w:sz w:val="24"/>
          <w:szCs w:val="24"/>
        </w:rPr>
      </w:pPr>
    </w:p>
    <w:p>
      <w:pPr>
        <w:rPr>
          <w:rFonts w:hint="eastAsia"/>
          <w:color w:val="auto"/>
        </w:rPr>
      </w:pPr>
    </w:p>
    <w:p>
      <w:pPr>
        <w:spacing w:line="276" w:lineRule="auto"/>
        <w:ind w:firstLine="480" w:firstLineChars="200"/>
        <w:rPr>
          <w:rFonts w:hint="eastAsia" w:hAnsi="宋体" w:cs="宋体"/>
          <w:color w:val="auto"/>
          <w:sz w:val="24"/>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9"/>
        <w:rPr>
          <w:rFonts w:ascii="宋体" w:hAnsi="宋体"/>
          <w:color w:val="auto"/>
          <w:sz w:val="28"/>
          <w:szCs w:val="24"/>
        </w:rPr>
      </w:pPr>
    </w:p>
    <w:p>
      <w:pPr>
        <w:rPr>
          <w:rFonts w:ascii="宋体" w:hAnsi="宋体"/>
          <w:color w:val="auto"/>
          <w:sz w:val="28"/>
          <w:szCs w:val="24"/>
        </w:rPr>
      </w:pPr>
    </w:p>
    <w:p>
      <w:pPr>
        <w:pStyle w:val="9"/>
        <w:rPr>
          <w:rFonts w:ascii="宋体" w:hAnsi="宋体"/>
          <w:color w:val="auto"/>
          <w:sz w:val="28"/>
          <w:szCs w:val="24"/>
        </w:rPr>
      </w:pPr>
    </w:p>
    <w:p>
      <w:pPr>
        <w:rPr>
          <w:rFonts w:ascii="宋体" w:hAnsi="宋体"/>
          <w:color w:val="auto"/>
          <w:sz w:val="28"/>
          <w:szCs w:val="24"/>
        </w:rPr>
      </w:pPr>
    </w:p>
    <w:p>
      <w:pPr>
        <w:pStyle w:val="9"/>
        <w:rPr>
          <w:rFonts w:ascii="宋体" w:hAnsi="宋体"/>
          <w:color w:val="auto"/>
          <w:sz w:val="28"/>
          <w:szCs w:val="24"/>
        </w:rPr>
      </w:pPr>
    </w:p>
    <w:p>
      <w:pPr>
        <w:rPr>
          <w:rFonts w:ascii="宋体" w:hAnsi="宋体"/>
          <w:color w:val="auto"/>
          <w:sz w:val="28"/>
          <w:szCs w:val="24"/>
        </w:rPr>
      </w:pPr>
    </w:p>
    <w:p>
      <w:pPr>
        <w:pStyle w:val="6"/>
        <w:numPr>
          <w:ilvl w:val="0"/>
          <w:numId w:val="0"/>
        </w:numPr>
        <w:jc w:val="center"/>
        <w:outlineLvl w:val="0"/>
        <w:rPr>
          <w:rFonts w:hint="eastAsia" w:ascii="宋体" w:hAnsi="宋体" w:eastAsia="宋体" w:cs="宋体"/>
          <w:b/>
          <w:bCs/>
          <w:color w:val="auto"/>
          <w:kern w:val="0"/>
          <w:sz w:val="36"/>
          <w:szCs w:val="20"/>
          <w:lang w:val="en-US" w:eastAsia="zh-CN" w:bidi="ar-SA"/>
        </w:rPr>
      </w:pPr>
      <w:bookmarkStart w:id="157" w:name="_Toc7874"/>
      <w:bookmarkStart w:id="158" w:name="_Toc20166"/>
      <w:r>
        <w:rPr>
          <w:rFonts w:hint="eastAsia" w:ascii="宋体" w:hAnsi="宋体" w:eastAsia="宋体" w:cs="宋体"/>
          <w:b/>
          <w:bCs/>
          <w:color w:val="auto"/>
          <w:kern w:val="0"/>
          <w:sz w:val="36"/>
          <w:szCs w:val="20"/>
          <w:lang w:val="en-US" w:eastAsia="zh-CN" w:bidi="ar-SA"/>
        </w:rPr>
        <w:t>附件10：参加政府采购活动前 3 年内在经营活动中没有重大违法记录的书面声明</w:t>
      </w:r>
      <w:bookmarkEnd w:id="157"/>
      <w:bookmarkEnd w:id="158"/>
    </w:p>
    <w:p>
      <w:pPr>
        <w:pStyle w:val="11"/>
        <w:rPr>
          <w:rFonts w:hint="eastAsia"/>
          <w:color w:val="auto"/>
          <w:lang w:val="en-US" w:eastAsia="zh-CN"/>
        </w:rPr>
      </w:pPr>
    </w:p>
    <w:p>
      <w:pPr>
        <w:spacing w:before="145" w:beforeLines="50" w:after="145" w:afterLines="50" w:line="30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color w:val="auto"/>
          <w:sz w:val="24"/>
          <w:szCs w:val="24"/>
        </w:rPr>
      </w:pPr>
    </w:p>
    <w:p>
      <w:pPr>
        <w:pStyle w:val="29"/>
        <w:spacing w:before="145" w:beforeLines="50" w:after="145" w:afterLines="50" w:line="300" w:lineRule="auto"/>
        <w:ind w:left="420" w:leftChars="200" w:firstLine="5280" w:firstLineChars="2200"/>
        <w:rPr>
          <w:rFonts w:hint="eastAsia" w:ascii="宋体" w:hAnsi="宋体" w:eastAsia="宋体" w:cs="宋体"/>
          <w:color w:val="auto"/>
          <w:kern w:val="2"/>
          <w:sz w:val="24"/>
          <w:szCs w:val="24"/>
        </w:rPr>
      </w:pPr>
      <w:r>
        <w:rPr>
          <w:rFonts w:hint="eastAsia" w:ascii="宋体" w:hAnsi="宋体" w:cs="宋体"/>
          <w:color w:val="auto"/>
          <w:kern w:val="2"/>
          <w:sz w:val="24"/>
          <w:szCs w:val="24"/>
          <w:lang w:val="en-US" w:eastAsia="zh-CN"/>
        </w:rPr>
        <w:t>供应商</w:t>
      </w:r>
      <w:r>
        <w:rPr>
          <w:rFonts w:hint="eastAsia" w:ascii="宋体" w:hAnsi="宋体" w:eastAsia="宋体" w:cs="宋体"/>
          <w:color w:val="auto"/>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color w:val="auto"/>
          <w:sz w:val="24"/>
          <w:szCs w:val="24"/>
        </w:rPr>
      </w:pPr>
      <w:r>
        <w:rPr>
          <w:rFonts w:hint="eastAsia" w:ascii="宋体" w:hAnsi="宋体" w:eastAsia="宋体" w:cs="宋体"/>
          <w:color w:val="auto"/>
          <w:sz w:val="24"/>
          <w:szCs w:val="24"/>
        </w:rPr>
        <w:t>______年____月____日</w:t>
      </w:r>
    </w:p>
    <w:p>
      <w:pPr>
        <w:pStyle w:val="8"/>
        <w:rPr>
          <w:color w:val="auto"/>
        </w:rPr>
      </w:pPr>
    </w:p>
    <w:p>
      <w:pPr>
        <w:rPr>
          <w:color w:val="auto"/>
        </w:rPr>
      </w:pPr>
    </w:p>
    <w:p>
      <w:pPr>
        <w:pStyle w:val="8"/>
        <w:rPr>
          <w:color w:val="auto"/>
        </w:rPr>
      </w:pPr>
    </w:p>
    <w:p>
      <w:pPr>
        <w:rPr>
          <w:color w:val="auto"/>
        </w:rPr>
      </w:pPr>
    </w:p>
    <w:p>
      <w:pPr>
        <w:pStyle w:val="2"/>
        <w:outlineLvl w:val="9"/>
        <w:rPr>
          <w:color w:val="auto"/>
        </w:rPr>
      </w:pPr>
    </w:p>
    <w:p>
      <w:pPr>
        <w:pStyle w:val="4"/>
        <w:outlineLvl w:val="9"/>
        <w:rPr>
          <w:color w:val="auto"/>
        </w:rPr>
      </w:pPr>
    </w:p>
    <w:p>
      <w:pPr>
        <w:rPr>
          <w:color w:val="auto"/>
        </w:rPr>
      </w:pPr>
    </w:p>
    <w:p>
      <w:pPr>
        <w:pStyle w:val="2"/>
        <w:outlineLvl w:val="9"/>
        <w:rPr>
          <w:color w:val="auto"/>
        </w:rPr>
      </w:pPr>
    </w:p>
    <w:p>
      <w:pPr>
        <w:pStyle w:val="4"/>
        <w:outlineLvl w:val="9"/>
        <w:rPr>
          <w:color w:val="auto"/>
        </w:rPr>
      </w:pPr>
    </w:p>
    <w:p>
      <w:pPr>
        <w:rPr>
          <w:color w:val="auto"/>
        </w:rPr>
      </w:pPr>
    </w:p>
    <w:p>
      <w:pPr>
        <w:pStyle w:val="16"/>
        <w:rPr>
          <w:color w:val="auto"/>
        </w:rPr>
      </w:pPr>
    </w:p>
    <w:p>
      <w:pPr>
        <w:rPr>
          <w:color w:val="auto"/>
        </w:rPr>
      </w:pPr>
    </w:p>
    <w:p>
      <w:pPr>
        <w:pStyle w:val="16"/>
        <w:rPr>
          <w:color w:val="auto"/>
        </w:rPr>
      </w:pPr>
    </w:p>
    <w:p>
      <w:pPr>
        <w:pStyle w:val="2"/>
        <w:outlineLvl w:val="9"/>
        <w:rPr>
          <w:color w:val="auto"/>
        </w:rPr>
      </w:pPr>
    </w:p>
    <w:p>
      <w:pPr>
        <w:pStyle w:val="4"/>
        <w:outlineLvl w:val="9"/>
        <w:rPr>
          <w:color w:val="auto"/>
        </w:rPr>
      </w:pPr>
    </w:p>
    <w:p>
      <w:pPr>
        <w:rPr>
          <w:color w:val="auto"/>
        </w:rPr>
      </w:pPr>
    </w:p>
    <w:p>
      <w:pPr>
        <w:pStyle w:val="2"/>
        <w:outlineLvl w:val="9"/>
        <w:rPr>
          <w:color w:val="auto"/>
        </w:rPr>
      </w:pPr>
    </w:p>
    <w:p>
      <w:pPr>
        <w:widowControl/>
        <w:spacing w:before="100" w:beforeAutospacing="1" w:after="100" w:afterAutospacing="1" w:line="360" w:lineRule="auto"/>
        <w:jc w:val="center"/>
        <w:outlineLvl w:val="0"/>
        <w:rPr>
          <w:rFonts w:hint="eastAsia" w:ascii="宋体" w:hAnsi="宋体" w:eastAsia="宋体" w:cs="宋体"/>
          <w:b/>
          <w:bCs/>
          <w:color w:val="auto"/>
          <w:kern w:val="2"/>
          <w:sz w:val="30"/>
          <w:szCs w:val="30"/>
          <w:lang w:val="en-US" w:eastAsia="zh-CN" w:bidi="ar-SA"/>
        </w:rPr>
      </w:pPr>
      <w:bookmarkStart w:id="159" w:name="_Toc20114"/>
      <w:bookmarkStart w:id="160" w:name="_Toc31477"/>
      <w:r>
        <w:rPr>
          <w:rFonts w:hint="eastAsia" w:ascii="宋体" w:hAnsi="宋体" w:eastAsia="宋体" w:cs="宋体"/>
          <w:b/>
          <w:bCs/>
          <w:color w:val="auto"/>
          <w:kern w:val="0"/>
          <w:sz w:val="36"/>
          <w:szCs w:val="20"/>
          <w:lang w:val="en-US" w:eastAsia="zh-CN" w:bidi="ar-SA"/>
        </w:rPr>
        <w:t>附件11：报价方（供应商）反商业贿赂承诺书 </w:t>
      </w:r>
      <w:bookmarkEnd w:id="159"/>
      <w:bookmarkEnd w:id="160"/>
    </w:p>
    <w:p>
      <w:pPr>
        <w:widowControl/>
        <w:spacing w:before="100" w:beforeAutospacing="1" w:after="100" w:afterAutospacing="1" w:line="360" w:lineRule="auto"/>
        <w:jc w:val="left"/>
        <w:rPr>
          <w:rFonts w:hint="eastAsia" w:ascii="宋体" w:hAnsi="宋体" w:eastAsia="宋体" w:cs="宋体"/>
          <w:color w:val="auto"/>
          <w:sz w:val="24"/>
        </w:rPr>
      </w:pPr>
      <w:r>
        <w:rPr>
          <w:rFonts w:hint="eastAsia" w:ascii="宋体" w:hAnsi="宋体" w:eastAsia="宋体" w:cs="宋体"/>
          <w:color w:val="auto"/>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报价方（供应商）承诺书 </w:t>
      </w:r>
    </w:p>
    <w:p>
      <w:pPr>
        <w:widowControl/>
        <w:jc w:val="left"/>
        <w:rPr>
          <w:rFonts w:hint="eastAsia" w:ascii="宋体" w:hAnsi="宋体" w:eastAsia="宋体" w:cs="宋体"/>
          <w:color w:val="auto"/>
          <w:sz w:val="24"/>
        </w:rPr>
      </w:pPr>
      <w:r>
        <w:rPr>
          <w:rFonts w:hint="eastAsia" w:ascii="宋体" w:hAnsi="宋体" w:eastAsia="宋体" w:cs="宋体"/>
          <w:color w:val="auto"/>
          <w:sz w:val="24"/>
        </w:rPr>
        <w:t>我公司承诺在参加本次报价前三年内，无以下行为：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1、重大违法行为；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2、商业贿赂行为；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3、政府采购法《第七十七条》，列入不良行为记录名单的各种行为；</w:t>
      </w: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如有上述行为，我公司及项目参与人员自愿放弃本次项目的报价资格，若为成交人，也自愿放弃成交资格。 </w:t>
      </w:r>
    </w:p>
    <w:p>
      <w:pPr>
        <w:pStyle w:val="13"/>
        <w:ind w:left="0" w:leftChars="0" w:firstLine="0" w:firstLineChars="0"/>
        <w:rPr>
          <w:rFonts w:hint="eastAsia" w:ascii="宋体" w:hAnsi="宋体" w:eastAsia="宋体" w:cs="宋体"/>
          <w:color w:val="auto"/>
          <w:sz w:val="24"/>
        </w:rPr>
      </w:pPr>
    </w:p>
    <w:p>
      <w:pPr>
        <w:spacing w:line="360" w:lineRule="auto"/>
        <w:ind w:firstLine="480"/>
        <w:rPr>
          <w:rFonts w:ascii="宋体" w:hAnsi="宋体"/>
          <w:color w:val="auto"/>
          <w:sz w:val="24"/>
          <w:szCs w:val="24"/>
        </w:rPr>
      </w:pPr>
      <w:r>
        <w:rPr>
          <w:rFonts w:hint="eastAsia" w:ascii="宋体" w:hAnsi="宋体"/>
          <w:color w:val="auto"/>
          <w:sz w:val="24"/>
          <w:szCs w:val="24"/>
        </w:rPr>
        <w:t>投标单位名称：                          法人公章：</w:t>
      </w:r>
    </w:p>
    <w:p>
      <w:pPr>
        <w:spacing w:line="360" w:lineRule="auto"/>
        <w:ind w:firstLine="480"/>
        <w:rPr>
          <w:rFonts w:ascii="宋体" w:hAnsi="宋体"/>
          <w:color w:val="auto"/>
          <w:sz w:val="24"/>
          <w:szCs w:val="24"/>
        </w:rPr>
      </w:pPr>
    </w:p>
    <w:p>
      <w:pPr>
        <w:spacing w:line="360" w:lineRule="auto"/>
        <w:ind w:firstLine="480"/>
        <w:rPr>
          <w:rFonts w:ascii="宋体" w:hAnsi="宋体"/>
          <w:color w:val="auto"/>
          <w:sz w:val="24"/>
          <w:szCs w:val="24"/>
        </w:rPr>
      </w:pPr>
      <w:r>
        <w:rPr>
          <w:rFonts w:hint="eastAsia" w:ascii="宋体" w:hAnsi="宋体"/>
          <w:color w:val="auto"/>
          <w:sz w:val="24"/>
          <w:szCs w:val="24"/>
        </w:rPr>
        <w:t>法定代表（或授权代表）签字：</w:t>
      </w:r>
    </w:p>
    <w:p>
      <w:pPr>
        <w:spacing w:line="360" w:lineRule="auto"/>
        <w:ind w:firstLine="480"/>
        <w:rPr>
          <w:rFonts w:ascii="宋体" w:hAnsi="宋体"/>
          <w:color w:val="auto"/>
          <w:sz w:val="24"/>
          <w:szCs w:val="24"/>
        </w:rPr>
      </w:pPr>
    </w:p>
    <w:p>
      <w:pPr>
        <w:spacing w:line="360" w:lineRule="auto"/>
        <w:jc w:val="right"/>
        <w:rPr>
          <w:rFonts w:ascii="宋体" w:hAnsi="宋体"/>
          <w:color w:val="auto"/>
          <w:sz w:val="28"/>
        </w:rPr>
      </w:pPr>
      <w:r>
        <w:rPr>
          <w:rFonts w:hint="eastAsia" w:ascii="宋体" w:hAnsi="宋体"/>
          <w:color w:val="auto"/>
          <w:sz w:val="24"/>
          <w:szCs w:val="24"/>
        </w:rPr>
        <w:t>日期：   年   月   日</w:t>
      </w:r>
    </w:p>
    <w:p>
      <w:pPr>
        <w:pStyle w:val="2"/>
        <w:outlineLvl w:val="9"/>
        <w:rPr>
          <w:color w:val="auto"/>
        </w:rPr>
      </w:pPr>
    </w:p>
    <w:p>
      <w:pPr>
        <w:rPr>
          <w:color w:val="auto"/>
        </w:rPr>
      </w:pPr>
    </w:p>
    <w:p>
      <w:pPr>
        <w:pStyle w:val="2"/>
        <w:outlineLvl w:val="9"/>
        <w:rPr>
          <w:color w:val="auto"/>
        </w:rPr>
      </w:pPr>
    </w:p>
    <w:p>
      <w:pPr>
        <w:pStyle w:val="4"/>
        <w:outlineLvl w:val="9"/>
        <w:rPr>
          <w:color w:val="auto"/>
        </w:rPr>
      </w:pPr>
    </w:p>
    <w:p>
      <w:pPr>
        <w:rPr>
          <w:color w:val="auto"/>
        </w:rPr>
      </w:pPr>
    </w:p>
    <w:p>
      <w:pPr>
        <w:pStyle w:val="2"/>
        <w:outlineLvl w:val="9"/>
        <w:rPr>
          <w:color w:val="auto"/>
        </w:rPr>
      </w:pPr>
    </w:p>
    <w:p>
      <w:pPr>
        <w:rPr>
          <w:rFonts w:ascii="宋体" w:hAnsi="宋体"/>
          <w:color w:val="auto"/>
          <w:sz w:val="28"/>
          <w:szCs w:val="24"/>
        </w:rPr>
      </w:pPr>
    </w:p>
    <w:p>
      <w:pPr>
        <w:pStyle w:val="2"/>
      </w:pPr>
    </w:p>
    <w:p>
      <w:pPr>
        <w:pStyle w:val="17"/>
        <w:outlineLvl w:val="0"/>
        <w:rPr>
          <w:rFonts w:hint="eastAsia" w:ascii="宋体" w:hAnsi="宋体" w:eastAsia="宋体" w:cs="宋体"/>
          <w:b/>
          <w:bCs/>
          <w:color w:val="auto"/>
          <w:kern w:val="0"/>
          <w:sz w:val="36"/>
          <w:szCs w:val="20"/>
          <w:lang w:val="en-US" w:eastAsia="zh-CN" w:bidi="ar-SA"/>
        </w:rPr>
      </w:pPr>
      <w:bookmarkStart w:id="161" w:name="_Toc8786"/>
      <w:bookmarkStart w:id="162" w:name="_Toc9909"/>
      <w:bookmarkStart w:id="163" w:name="_Toc7855"/>
      <w:bookmarkStart w:id="164" w:name="_Toc7370"/>
      <w:r>
        <w:rPr>
          <w:rFonts w:hint="eastAsia" w:ascii="宋体" w:hAnsi="宋体" w:eastAsia="宋体" w:cs="宋体"/>
          <w:b/>
          <w:bCs/>
          <w:color w:val="auto"/>
          <w:kern w:val="0"/>
          <w:sz w:val="36"/>
          <w:szCs w:val="20"/>
          <w:lang w:val="en-US" w:eastAsia="zh-CN" w:bidi="ar-SA"/>
        </w:rPr>
        <w:t>附件12、中小企业声明函</w:t>
      </w:r>
      <w:bookmarkEnd w:id="161"/>
      <w:bookmarkEnd w:id="162"/>
      <w:bookmarkEnd w:id="163"/>
      <w:bookmarkEnd w:id="164"/>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本公司(联合体)郑重声明,根据《政府采购促进中小企业发展管理办法》(财库(2020)46号)的规定,本公司(联合体)参加</w:t>
      </w:r>
      <w:r>
        <w:rPr>
          <w:rFonts w:hint="eastAsia" w:hAnsi="宋体" w:cs="宋体"/>
          <w:color w:val="auto"/>
          <w:sz w:val="24"/>
          <w:szCs w:val="24"/>
          <w:u w:val="single"/>
        </w:rPr>
        <w:t>(单位名称)</w:t>
      </w:r>
      <w:r>
        <w:rPr>
          <w:rFonts w:hint="eastAsia" w:hAnsi="宋体" w:cs="宋体"/>
          <w:color w:val="auto"/>
          <w:sz w:val="24"/>
          <w:szCs w:val="24"/>
        </w:rPr>
        <w:t>的</w:t>
      </w:r>
      <w:r>
        <w:rPr>
          <w:rFonts w:hint="eastAsia" w:hAnsi="宋体" w:cs="宋体"/>
          <w:color w:val="auto"/>
          <w:sz w:val="24"/>
          <w:szCs w:val="24"/>
          <w:u w:val="single"/>
        </w:rPr>
        <w:t>(项目名称)</w:t>
      </w:r>
      <w:r>
        <w:rPr>
          <w:rFonts w:hint="eastAsia" w:hAnsi="宋体" w:cs="宋体"/>
          <w:color w:val="auto"/>
          <w:sz w:val="24"/>
          <w:szCs w:val="24"/>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w:t>
      </w:r>
      <w:r>
        <w:rPr>
          <w:rFonts w:hint="eastAsia" w:hAnsi="宋体" w:cs="宋体"/>
          <w:color w:val="auto"/>
          <w:sz w:val="24"/>
          <w:szCs w:val="24"/>
          <w:u w:val="single"/>
          <w:lang w:eastAsia="zh-CN"/>
        </w:rPr>
        <w:t>磋商</w:t>
      </w:r>
      <w:r>
        <w:rPr>
          <w:rFonts w:hint="eastAsia" w:hAnsi="宋体" w:cs="宋体"/>
          <w:color w:val="auto"/>
          <w:sz w:val="24"/>
          <w:szCs w:val="24"/>
          <w:u w:val="single"/>
        </w:rPr>
        <w:t>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 xml:space="preserve">   </w:t>
      </w:r>
      <w:r>
        <w:rPr>
          <w:rFonts w:hint="eastAsia" w:hAnsi="宋体" w:cs="宋体"/>
          <w:color w:val="auto"/>
          <w:sz w:val="24"/>
          <w:szCs w:val="24"/>
        </w:rPr>
        <w:t>万元,属于(中型企业、小型企业、微型企业)；</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w:t>
      </w:r>
      <w:r>
        <w:rPr>
          <w:rFonts w:hint="eastAsia" w:hAnsi="宋体" w:cs="宋体"/>
          <w:color w:val="auto"/>
          <w:sz w:val="24"/>
          <w:szCs w:val="24"/>
          <w:u w:val="single"/>
          <w:lang w:eastAsia="zh-CN"/>
        </w:rPr>
        <w:t>磋商</w:t>
      </w:r>
      <w:r>
        <w:rPr>
          <w:rFonts w:hint="eastAsia" w:hAnsi="宋体" w:cs="宋体"/>
          <w:color w:val="auto"/>
          <w:sz w:val="24"/>
          <w:szCs w:val="24"/>
          <w:u w:val="single"/>
        </w:rPr>
        <w:t>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 为</w:t>
      </w:r>
      <w:r>
        <w:rPr>
          <w:rFonts w:hint="eastAsia" w:hAnsi="宋体" w:cs="宋体"/>
          <w:color w:val="auto"/>
          <w:sz w:val="24"/>
          <w:szCs w:val="24"/>
          <w:u w:val="single"/>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rPr>
      </w:pPr>
    </w:p>
    <w:p>
      <w:pPr>
        <w:spacing w:line="360" w:lineRule="auto"/>
        <w:jc w:val="center"/>
        <w:rPr>
          <w:rFonts w:hint="eastAsia" w:hAnsi="宋体" w:cs="宋体"/>
          <w:color w:val="auto"/>
          <w:sz w:val="24"/>
          <w:szCs w:val="24"/>
        </w:rPr>
      </w:pPr>
      <w:r>
        <w:rPr>
          <w:rFonts w:hint="eastAsia" w:hAnsi="宋体" w:cs="宋体"/>
          <w:color w:val="auto"/>
          <w:sz w:val="24"/>
          <w:szCs w:val="24"/>
        </w:rPr>
        <w:t xml:space="preserve">               企业名称(盖章):</w:t>
      </w:r>
    </w:p>
    <w:p>
      <w:pPr>
        <w:spacing w:line="360" w:lineRule="auto"/>
        <w:jc w:val="center"/>
        <w:rPr>
          <w:rFonts w:hint="eastAsia" w:hAnsi="宋体" w:cs="宋体"/>
          <w:color w:val="auto"/>
          <w:sz w:val="24"/>
          <w:szCs w:val="24"/>
        </w:rPr>
      </w:pPr>
      <w:r>
        <w:rPr>
          <w:rFonts w:hint="eastAsia" w:hAnsi="宋体" w:cs="宋体"/>
          <w:color w:val="auto"/>
          <w:sz w:val="24"/>
          <w:szCs w:val="24"/>
        </w:rPr>
        <w:t xml:space="preserve">     日期:</w:t>
      </w:r>
    </w:p>
    <w:p>
      <w:pPr>
        <w:jc w:val="left"/>
        <w:rPr>
          <w:rFonts w:hint="eastAsia" w:hAnsi="宋体" w:cs="宋体"/>
          <w:color w:val="auto"/>
          <w:sz w:val="18"/>
          <w:szCs w:val="18"/>
        </w:rPr>
      </w:pPr>
    </w:p>
    <w:p>
      <w:pPr>
        <w:spacing w:line="440" w:lineRule="exact"/>
        <w:rPr>
          <w:rFonts w:hAnsi="宋体"/>
          <w:color w:val="auto"/>
          <w:sz w:val="24"/>
          <w:szCs w:val="24"/>
        </w:rPr>
      </w:pPr>
      <w:r>
        <w:rPr>
          <w:rFonts w:hint="eastAsia" w:hAnsi="宋体"/>
          <w:color w:val="auto"/>
          <w:sz w:val="24"/>
          <w:szCs w:val="24"/>
        </w:rPr>
        <w:t>注</w:t>
      </w:r>
      <w:r>
        <w:rPr>
          <w:rFonts w:hAnsi="宋体"/>
          <w:color w:val="auto"/>
          <w:sz w:val="24"/>
          <w:szCs w:val="24"/>
        </w:rPr>
        <w:t>：</w:t>
      </w:r>
    </w:p>
    <w:p>
      <w:pPr>
        <w:numPr>
          <w:ilvl w:val="0"/>
          <w:numId w:val="17"/>
        </w:numPr>
        <w:spacing w:line="440" w:lineRule="exact"/>
        <w:ind w:firstLine="240" w:firstLineChars="100"/>
        <w:rPr>
          <w:rFonts w:hAnsi="宋体"/>
          <w:color w:val="auto"/>
          <w:sz w:val="24"/>
          <w:szCs w:val="24"/>
        </w:rPr>
      </w:pP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numPr>
          <w:ilvl w:val="0"/>
          <w:numId w:val="17"/>
        </w:numPr>
        <w:spacing w:line="440" w:lineRule="exact"/>
        <w:ind w:firstLine="240" w:firstLineChars="100"/>
        <w:rPr>
          <w:rFonts w:hAnsi="宋体"/>
          <w:color w:val="auto"/>
          <w:sz w:val="24"/>
          <w:szCs w:val="24"/>
        </w:rPr>
      </w:pPr>
      <w:r>
        <w:rPr>
          <w:rFonts w:hint="eastAsia" w:hAnsi="宋体"/>
          <w:color w:val="auto"/>
          <w:sz w:val="24"/>
          <w:szCs w:val="24"/>
        </w:rPr>
        <w:t>从业人员、营业收入，资产总额填报上一年度数据，无上一年数据的新成立企业可不填报。</w:t>
      </w:r>
    </w:p>
    <w:p>
      <w:pPr>
        <w:numPr>
          <w:ilvl w:val="0"/>
          <w:numId w:val="17"/>
        </w:numPr>
        <w:spacing w:line="440" w:lineRule="exact"/>
        <w:ind w:left="0" w:leftChars="0" w:firstLine="240" w:firstLineChars="100"/>
        <w:rPr>
          <w:rFonts w:hint="eastAsia" w:hAnsi="宋体"/>
          <w:color w:val="auto"/>
          <w:sz w:val="24"/>
          <w:szCs w:val="24"/>
        </w:rPr>
      </w:pPr>
      <w:r>
        <w:rPr>
          <w:rFonts w:hint="eastAsia" w:hAnsi="宋体"/>
          <w:color w:val="auto"/>
          <w:sz w:val="24"/>
          <w:szCs w:val="24"/>
        </w:rPr>
        <w:t>供应商符合《工业和信息化部、国家统计局、国家发展和改革委员会、财政部关于印发中小企业划型标准规定的通知》（工信部联企业〔2011〕300号）规定的划分标准为中小型企业适用。</w:t>
      </w:r>
    </w:p>
    <w:p>
      <w:pPr>
        <w:rPr>
          <w:rFonts w:hint="eastAsia" w:hAnsi="宋体"/>
          <w:color w:val="auto"/>
        </w:rPr>
      </w:pPr>
    </w:p>
    <w:p>
      <w:pPr>
        <w:rPr>
          <w:rFonts w:hint="eastAsia" w:hAnsi="宋体"/>
          <w:color w:val="auto"/>
        </w:rPr>
      </w:pPr>
    </w:p>
    <w:p>
      <w:pPr>
        <w:pStyle w:val="9"/>
        <w:rPr>
          <w:rFonts w:hint="eastAsia" w:hAnsi="宋体"/>
          <w:color w:val="auto"/>
        </w:rPr>
      </w:pPr>
    </w:p>
    <w:p>
      <w:pPr>
        <w:rPr>
          <w:rFonts w:hint="eastAsia"/>
          <w:color w:val="auto"/>
        </w:rPr>
      </w:pPr>
    </w:p>
    <w:p>
      <w:pPr>
        <w:rPr>
          <w:rFonts w:hint="eastAsia" w:hAnsi="宋体"/>
          <w:color w:val="auto"/>
        </w:rPr>
      </w:pPr>
    </w:p>
    <w:p>
      <w:pPr>
        <w:pStyle w:val="17"/>
        <w:outlineLvl w:val="0"/>
        <w:rPr>
          <w:rFonts w:ascii="宋体" w:hAnsi="宋体" w:eastAsia="宋体"/>
          <w:color w:val="auto"/>
        </w:rPr>
      </w:pPr>
      <w:bookmarkStart w:id="165" w:name="_Toc7580"/>
      <w:bookmarkStart w:id="166" w:name="_Toc13302"/>
      <w:bookmarkStart w:id="167" w:name="_Toc20413"/>
      <w:bookmarkStart w:id="168" w:name="_Toc27638"/>
      <w:r>
        <w:rPr>
          <w:rFonts w:hint="eastAsia" w:ascii="宋体" w:hAnsi="宋体" w:eastAsia="宋体" w:cs="宋体"/>
          <w:b/>
          <w:bCs/>
          <w:color w:val="auto"/>
          <w:kern w:val="0"/>
          <w:sz w:val="36"/>
          <w:szCs w:val="20"/>
          <w:lang w:val="en-US" w:eastAsia="zh-CN" w:bidi="ar-SA"/>
        </w:rPr>
        <w:t>附件13</w:t>
      </w:r>
      <w:r>
        <w:rPr>
          <w:rFonts w:hint="eastAsia" w:ascii="宋体" w:hAnsi="宋体" w:eastAsia="宋体"/>
          <w:color w:val="auto"/>
        </w:rPr>
        <w:t>、</w:t>
      </w:r>
      <w:r>
        <w:rPr>
          <w:rFonts w:hint="eastAsia" w:ascii="宋体" w:hAnsi="宋体" w:eastAsia="宋体" w:cs="宋体"/>
          <w:b/>
          <w:bCs/>
          <w:color w:val="auto"/>
          <w:kern w:val="0"/>
          <w:sz w:val="36"/>
          <w:szCs w:val="20"/>
          <w:lang w:val="en-US" w:eastAsia="zh-CN" w:bidi="ar-SA"/>
        </w:rPr>
        <w:t>监狱企业声明函（如有）</w:t>
      </w:r>
      <w:bookmarkEnd w:id="165"/>
      <w:bookmarkEnd w:id="166"/>
      <w:bookmarkEnd w:id="167"/>
      <w:bookmarkEnd w:id="168"/>
    </w:p>
    <w:p>
      <w:pPr>
        <w:spacing w:line="440" w:lineRule="exact"/>
        <w:jc w:val="center"/>
        <w:rPr>
          <w:rFonts w:hAnsi="宋体"/>
          <w:color w:val="auto"/>
          <w:sz w:val="24"/>
          <w:szCs w:val="24"/>
        </w:rPr>
      </w:pPr>
      <w:r>
        <w:rPr>
          <w:rFonts w:hint="eastAsia" w:hAnsi="宋体"/>
          <w:color w:val="auto"/>
          <w:sz w:val="24"/>
          <w:szCs w:val="24"/>
        </w:rPr>
        <w:t>（格式</w:t>
      </w:r>
      <w:r>
        <w:rPr>
          <w:rFonts w:hAnsi="宋体"/>
          <w:color w:val="auto"/>
          <w:sz w:val="24"/>
          <w:szCs w:val="24"/>
        </w:rPr>
        <w:t>自拟</w:t>
      </w:r>
      <w:r>
        <w:rPr>
          <w:rFonts w:hint="eastAsia" w:hAnsi="宋体"/>
          <w:color w:val="auto"/>
          <w:sz w:val="24"/>
          <w:szCs w:val="24"/>
        </w:rPr>
        <w:t>）</w:t>
      </w:r>
    </w:p>
    <w:p>
      <w:pPr>
        <w:spacing w:line="440" w:lineRule="exact"/>
        <w:rPr>
          <w:rFonts w:hint="eastAsia" w:hAnsi="宋体"/>
          <w:color w:val="auto"/>
          <w:sz w:val="24"/>
          <w:szCs w:val="24"/>
        </w:rPr>
      </w:pPr>
      <w:r>
        <w:rPr>
          <w:rFonts w:hint="eastAsia" w:hAnsi="宋体"/>
          <w:color w:val="auto"/>
          <w:sz w:val="24"/>
          <w:szCs w:val="24"/>
        </w:rPr>
        <w:t>说明</w:t>
      </w:r>
      <w:r>
        <w:rPr>
          <w:rFonts w:hAnsi="宋体"/>
          <w:color w:val="auto"/>
          <w:sz w:val="24"/>
          <w:szCs w:val="24"/>
        </w:rPr>
        <w:t>：</w:t>
      </w:r>
    </w:p>
    <w:p>
      <w:pPr>
        <w:spacing w:line="440" w:lineRule="exact"/>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、供应商</w:t>
      </w:r>
      <w:r>
        <w:rPr>
          <w:rFonts w:hAnsi="宋体"/>
          <w:color w:val="auto"/>
          <w:sz w:val="24"/>
          <w:szCs w:val="24"/>
        </w:rPr>
        <w:t>符合《</w:t>
      </w:r>
      <w:r>
        <w:rPr>
          <w:rFonts w:hint="eastAsia" w:hAnsi="宋体"/>
          <w:color w:val="auto"/>
          <w:sz w:val="24"/>
          <w:szCs w:val="24"/>
        </w:rPr>
        <w:t>政府</w:t>
      </w:r>
      <w:r>
        <w:rPr>
          <w:rFonts w:hAnsi="宋体"/>
          <w:color w:val="auto"/>
          <w:sz w:val="24"/>
          <w:szCs w:val="24"/>
        </w:rPr>
        <w:t>采购支持监狱企业发展有关问题的通知》</w:t>
      </w:r>
      <w:r>
        <w:rPr>
          <w:rFonts w:hint="eastAsia" w:hAnsi="宋体"/>
          <w:color w:val="auto"/>
          <w:sz w:val="24"/>
          <w:szCs w:val="24"/>
        </w:rPr>
        <w:t>（财库【2014】68号）规定</w:t>
      </w:r>
      <w:r>
        <w:rPr>
          <w:rFonts w:hAnsi="宋体"/>
          <w:color w:val="auto"/>
          <w:sz w:val="24"/>
          <w:szCs w:val="24"/>
        </w:rPr>
        <w:t>的划分标准为监狱企业</w:t>
      </w:r>
      <w:r>
        <w:rPr>
          <w:rFonts w:hint="eastAsia" w:hAnsi="宋体"/>
          <w:color w:val="auto"/>
          <w:sz w:val="24"/>
          <w:szCs w:val="24"/>
        </w:rPr>
        <w:t>适用</w:t>
      </w:r>
      <w:r>
        <w:rPr>
          <w:rFonts w:hAnsi="宋体"/>
          <w:color w:val="auto"/>
          <w:sz w:val="24"/>
          <w:szCs w:val="24"/>
        </w:rPr>
        <w:t>。此</w:t>
      </w:r>
      <w:r>
        <w:rPr>
          <w:rFonts w:hint="eastAsia" w:hAnsi="宋体"/>
          <w:color w:val="auto"/>
          <w:sz w:val="24"/>
          <w:szCs w:val="24"/>
        </w:rPr>
        <w:t>项内容根据</w:t>
      </w:r>
      <w:r>
        <w:rPr>
          <w:rFonts w:hAnsi="宋体"/>
          <w:color w:val="auto"/>
          <w:sz w:val="24"/>
          <w:szCs w:val="24"/>
        </w:rPr>
        <w:t>供应商自身情况自行选择是否提供，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480" w:firstLineChars="200"/>
        <w:rPr>
          <w:rFonts w:hAnsi="宋体"/>
          <w:color w:val="auto"/>
          <w:sz w:val="24"/>
          <w:szCs w:val="24"/>
        </w:rPr>
      </w:pPr>
      <w:r>
        <w:rPr>
          <w:rFonts w:hint="eastAsia" w:hAnsi="宋体"/>
          <w:color w:val="auto"/>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rPr>
        <w:t>还应当提供由省级以上监狱管理局、戒毒管理局(含新疆生产建设兵团)出具的属于监狱企业的证明文件</w:t>
      </w:r>
      <w:r>
        <w:rPr>
          <w:rFonts w:hint="eastAsia" w:hAnsi="宋体"/>
          <w:color w:val="auto"/>
          <w:sz w:val="24"/>
          <w:szCs w:val="24"/>
        </w:rPr>
        <w:t>。</w:t>
      </w: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rPr>
          <w:rFonts w:hint="eastAsia" w:hAnsi="宋体"/>
          <w:color w:val="auto"/>
        </w:rPr>
      </w:pPr>
    </w:p>
    <w:p>
      <w:pPr>
        <w:spacing w:line="360" w:lineRule="auto"/>
        <w:jc w:val="center"/>
        <w:rPr>
          <w:rFonts w:hint="eastAsia" w:hAnsi="宋体" w:cs="宋体"/>
          <w:color w:val="auto"/>
          <w:sz w:val="24"/>
          <w:szCs w:val="24"/>
        </w:rPr>
      </w:pPr>
      <w:r>
        <w:rPr>
          <w:rFonts w:hint="eastAsia" w:hAnsi="宋体" w:cs="宋体"/>
          <w:color w:val="auto"/>
          <w:sz w:val="24"/>
          <w:szCs w:val="24"/>
        </w:rPr>
        <w:t>企业名称(盖章):</w:t>
      </w:r>
    </w:p>
    <w:p>
      <w:pPr>
        <w:jc w:val="center"/>
        <w:rPr>
          <w:rFonts w:hint="eastAsia" w:hAnsi="宋体"/>
          <w:color w:val="auto"/>
        </w:rPr>
      </w:pPr>
      <w:r>
        <w:rPr>
          <w:rFonts w:hint="eastAsia" w:hAnsi="宋体" w:cs="宋体"/>
          <w:color w:val="auto"/>
          <w:sz w:val="24"/>
          <w:szCs w:val="24"/>
        </w:rPr>
        <w:t>日期:</w:t>
      </w: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9"/>
        <w:rPr>
          <w:rFonts w:hint="eastAsia" w:hAnsi="宋体"/>
          <w:color w:val="auto"/>
        </w:rPr>
      </w:pPr>
    </w:p>
    <w:p>
      <w:pPr>
        <w:rPr>
          <w:rFonts w:hint="eastAsia" w:hAnsi="宋体"/>
          <w:color w:val="auto"/>
        </w:rPr>
      </w:pPr>
    </w:p>
    <w:p>
      <w:pPr>
        <w:pStyle w:val="17"/>
        <w:outlineLvl w:val="0"/>
        <w:rPr>
          <w:rFonts w:ascii="宋体" w:hAnsi="宋体" w:eastAsia="宋体"/>
          <w:color w:val="auto"/>
        </w:rPr>
      </w:pPr>
      <w:bookmarkStart w:id="169" w:name="_Toc8070"/>
      <w:bookmarkStart w:id="170" w:name="_Toc9843"/>
      <w:bookmarkStart w:id="171" w:name="_Toc14808"/>
      <w:bookmarkStart w:id="172" w:name="_Toc12491"/>
      <w:r>
        <w:rPr>
          <w:rFonts w:hint="eastAsia" w:ascii="宋体" w:hAnsi="宋体" w:eastAsia="宋体" w:cs="宋体"/>
          <w:b/>
          <w:bCs/>
          <w:color w:val="auto"/>
          <w:kern w:val="0"/>
          <w:sz w:val="36"/>
          <w:szCs w:val="20"/>
          <w:lang w:val="en-US" w:eastAsia="zh-CN" w:bidi="ar-SA"/>
        </w:rPr>
        <w:t>附件14</w:t>
      </w:r>
      <w:r>
        <w:rPr>
          <w:rFonts w:ascii="宋体" w:hAnsi="宋体" w:eastAsia="宋体"/>
          <w:color w:val="auto"/>
        </w:rPr>
        <w:t>、</w:t>
      </w:r>
      <w:r>
        <w:rPr>
          <w:rFonts w:hint="eastAsia" w:ascii="宋体" w:hAnsi="宋体" w:eastAsia="宋体" w:cs="宋体"/>
          <w:b/>
          <w:bCs/>
          <w:color w:val="auto"/>
          <w:kern w:val="0"/>
          <w:sz w:val="36"/>
          <w:szCs w:val="20"/>
          <w:lang w:val="en-US" w:eastAsia="zh-CN" w:bidi="ar-SA"/>
        </w:rPr>
        <w:t>残疾人福利性单位声明函（如有）</w:t>
      </w:r>
      <w:bookmarkEnd w:id="169"/>
      <w:bookmarkEnd w:id="170"/>
      <w:bookmarkEnd w:id="171"/>
      <w:bookmarkEnd w:id="172"/>
    </w:p>
    <w:p>
      <w:pPr>
        <w:snapToGrid w:val="0"/>
        <w:spacing w:line="480" w:lineRule="auto"/>
        <w:ind w:firstLine="420"/>
        <w:rPr>
          <w:rFonts w:hAnsi="宋体" w:cs="宋体"/>
          <w:color w:val="auto"/>
          <w:sz w:val="24"/>
        </w:rPr>
      </w:pPr>
    </w:p>
    <w:p>
      <w:pPr>
        <w:snapToGrid w:val="0"/>
        <w:spacing w:line="480" w:lineRule="auto"/>
        <w:ind w:firstLine="420"/>
        <w:rPr>
          <w:rFonts w:hAnsi="宋体" w:cs="宋体"/>
          <w:color w:val="auto"/>
          <w:sz w:val="24"/>
        </w:rPr>
      </w:pPr>
      <w:r>
        <w:rPr>
          <w:rFonts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color w:val="auto"/>
          <w:sz w:val="24"/>
        </w:rPr>
      </w:pPr>
      <w:r>
        <w:rPr>
          <w:rFonts w:hAnsi="宋体" w:cs="宋体"/>
          <w:color w:val="auto"/>
          <w:sz w:val="24"/>
        </w:rPr>
        <w:t>本单位对上述声明的真实性负责。如有虚假，将依法承担相应责任。</w:t>
      </w:r>
    </w:p>
    <w:p>
      <w:pPr>
        <w:rPr>
          <w:rFonts w:hAnsi="宋体" w:cs="宋体"/>
          <w:color w:val="auto"/>
          <w:sz w:val="24"/>
        </w:rPr>
      </w:pPr>
    </w:p>
    <w:p>
      <w:pPr>
        <w:rPr>
          <w:rFonts w:hint="eastAsia" w:hAnsi="宋体"/>
          <w:color w:val="auto"/>
        </w:rPr>
      </w:pPr>
    </w:p>
    <w:p>
      <w:pPr>
        <w:spacing w:line="440" w:lineRule="exact"/>
        <w:ind w:left="2940" w:leftChars="1400" w:right="296" w:rightChars="141"/>
        <w:rPr>
          <w:rFonts w:hAnsi="宋体" w:cs="宋体"/>
          <w:color w:val="auto"/>
          <w:sz w:val="24"/>
        </w:rPr>
      </w:pPr>
      <w:r>
        <w:rPr>
          <w:rFonts w:hAnsi="宋体" w:cs="宋体"/>
          <w:color w:val="auto"/>
          <w:sz w:val="24"/>
        </w:rPr>
        <w:t>单位名称（</w:t>
      </w:r>
      <w:r>
        <w:rPr>
          <w:rFonts w:hint="eastAsia" w:hAnsi="宋体" w:cs="宋体"/>
          <w:color w:val="auto"/>
          <w:sz w:val="24"/>
        </w:rPr>
        <w:t>公</w:t>
      </w:r>
      <w:r>
        <w:rPr>
          <w:rFonts w:hAnsi="宋体" w:cs="宋体"/>
          <w:color w:val="auto"/>
          <w:sz w:val="24"/>
        </w:rPr>
        <w:t>章）：</w:t>
      </w:r>
    </w:p>
    <w:p>
      <w:pPr>
        <w:spacing w:line="440" w:lineRule="exact"/>
        <w:ind w:left="2940" w:leftChars="1400" w:right="296" w:rightChars="141"/>
        <w:rPr>
          <w:rFonts w:hint="eastAsia" w:hAnsi="宋体" w:cs="宋体"/>
          <w:color w:val="auto"/>
          <w:sz w:val="24"/>
        </w:rPr>
      </w:pPr>
      <w:r>
        <w:rPr>
          <w:rFonts w:hint="eastAsia" w:hAnsi="宋体" w:cs="宋体"/>
          <w:color w:val="auto"/>
          <w:sz w:val="24"/>
        </w:rPr>
        <w:t xml:space="preserve">日 </w:t>
      </w:r>
      <w:r>
        <w:rPr>
          <w:rFonts w:hAnsi="宋体" w:cs="宋体"/>
          <w:color w:val="auto"/>
          <w:sz w:val="24"/>
        </w:rPr>
        <w:t xml:space="preserve">   </w:t>
      </w:r>
      <w:r>
        <w:rPr>
          <w:rFonts w:hint="eastAsia" w:hAnsi="宋体" w:cs="宋体"/>
          <w:color w:val="auto"/>
          <w:sz w:val="24"/>
        </w:rPr>
        <w:t>期：</w:t>
      </w:r>
    </w:p>
    <w:p>
      <w:pPr>
        <w:spacing w:line="440" w:lineRule="exact"/>
        <w:ind w:right="480"/>
        <w:rPr>
          <w:rFonts w:hint="eastAsia" w:hAnsi="宋体" w:cs="宋体"/>
          <w:color w:val="auto"/>
          <w:sz w:val="24"/>
        </w:rPr>
      </w:pPr>
    </w:p>
    <w:p>
      <w:pPr>
        <w:spacing w:line="440" w:lineRule="exact"/>
        <w:rPr>
          <w:rFonts w:hAnsi="宋体"/>
          <w:color w:val="auto"/>
          <w:sz w:val="24"/>
          <w:szCs w:val="24"/>
        </w:rPr>
      </w:pPr>
      <w:r>
        <w:rPr>
          <w:rFonts w:hint="eastAsia" w:hAnsi="宋体"/>
          <w:color w:val="auto"/>
          <w:sz w:val="24"/>
          <w:szCs w:val="24"/>
        </w:rPr>
        <w:t>注</w:t>
      </w:r>
      <w:r>
        <w:rPr>
          <w:rFonts w:hAnsi="宋体"/>
          <w:color w:val="auto"/>
          <w:sz w:val="24"/>
          <w:szCs w:val="24"/>
        </w:rPr>
        <w:t>：</w:t>
      </w:r>
    </w:p>
    <w:p>
      <w:pPr>
        <w:spacing w:line="440" w:lineRule="exact"/>
        <w:ind w:firstLine="240" w:firstLineChars="100"/>
        <w:rPr>
          <w:rFonts w:hAnsi="宋体"/>
          <w:color w:val="auto"/>
          <w:sz w:val="24"/>
          <w:szCs w:val="24"/>
        </w:rPr>
      </w:pPr>
      <w:r>
        <w:rPr>
          <w:rFonts w:hAnsi="宋体"/>
          <w:color w:val="auto"/>
          <w:sz w:val="24"/>
          <w:szCs w:val="24"/>
        </w:rPr>
        <w:t>1</w:t>
      </w:r>
      <w:r>
        <w:rPr>
          <w:rFonts w:hint="eastAsia" w:hAnsi="宋体"/>
          <w:color w:val="auto"/>
          <w:sz w:val="24"/>
          <w:szCs w:val="24"/>
        </w:rPr>
        <w:t>、</w:t>
      </w: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pStyle w:val="9"/>
        <w:ind w:left="0" w:leftChars="0" w:firstLine="0" w:firstLineChars="0"/>
        <w:rPr>
          <w:color w:val="auto"/>
        </w:rPr>
      </w:pPr>
      <w:r>
        <w:rPr>
          <w:rFonts w:hAnsi="宋体"/>
          <w:color w:val="auto"/>
          <w:sz w:val="24"/>
          <w:szCs w:val="24"/>
        </w:rPr>
        <w:t>2</w:t>
      </w:r>
      <w:r>
        <w:rPr>
          <w:rFonts w:hint="eastAsia" w:hAnsi="宋体"/>
          <w:color w:val="auto"/>
          <w:sz w:val="24"/>
          <w:szCs w:val="24"/>
        </w:rPr>
        <w:t>、残疾人福利性单位视同小型、微型企业，享受预留份额、评审中价格扣除等促进中小企业发展的政府采购政策。残疾人福利性单位属于小型、微型企业的，不重复享受政策。</w:t>
      </w:r>
    </w:p>
    <w:p>
      <w:pPr>
        <w:pStyle w:val="28"/>
        <w:jc w:val="both"/>
        <w:outlineLvl w:val="9"/>
        <w:rPr>
          <w:rFonts w:hint="eastAsia" w:ascii="宋体" w:cs="宋体"/>
          <w:b/>
          <w:bCs/>
          <w:color w:val="auto"/>
          <w:sz w:val="36"/>
        </w:rPr>
      </w:pPr>
      <w:bookmarkStart w:id="173" w:name="_Toc533086824"/>
    </w:p>
    <w:p>
      <w:pPr>
        <w:pStyle w:val="28"/>
        <w:jc w:val="both"/>
        <w:outlineLvl w:val="9"/>
        <w:rPr>
          <w:rFonts w:hint="eastAsia" w:ascii="宋体" w:cs="宋体"/>
          <w:b/>
          <w:bCs/>
          <w:color w:val="auto"/>
          <w:sz w:val="36"/>
        </w:rPr>
      </w:pPr>
    </w:p>
    <w:p>
      <w:pPr>
        <w:pStyle w:val="28"/>
        <w:jc w:val="both"/>
        <w:outlineLvl w:val="9"/>
        <w:rPr>
          <w:rFonts w:hint="eastAsia" w:ascii="宋体" w:cs="宋体"/>
          <w:b/>
          <w:bCs/>
          <w:color w:val="auto"/>
          <w:sz w:val="36"/>
        </w:rPr>
      </w:pPr>
    </w:p>
    <w:p>
      <w:pPr>
        <w:pStyle w:val="28"/>
        <w:jc w:val="both"/>
        <w:outlineLvl w:val="9"/>
        <w:rPr>
          <w:rFonts w:hint="eastAsia" w:ascii="宋体" w:cs="宋体"/>
          <w:b/>
          <w:bCs/>
          <w:color w:val="auto"/>
          <w:sz w:val="36"/>
        </w:rPr>
      </w:pPr>
    </w:p>
    <w:p>
      <w:pPr>
        <w:pStyle w:val="28"/>
        <w:jc w:val="both"/>
        <w:outlineLvl w:val="9"/>
        <w:rPr>
          <w:rFonts w:hint="eastAsia" w:ascii="宋体" w:cs="宋体"/>
          <w:b/>
          <w:bCs/>
          <w:color w:val="auto"/>
          <w:sz w:val="36"/>
        </w:rPr>
      </w:pPr>
    </w:p>
    <w:p>
      <w:pPr>
        <w:pStyle w:val="28"/>
        <w:jc w:val="both"/>
        <w:outlineLvl w:val="9"/>
        <w:rPr>
          <w:rFonts w:hint="eastAsia" w:ascii="宋体" w:cs="宋体"/>
          <w:b/>
          <w:bCs/>
          <w:color w:val="auto"/>
          <w:sz w:val="36"/>
        </w:rPr>
      </w:pPr>
    </w:p>
    <w:p>
      <w:pPr>
        <w:pStyle w:val="28"/>
        <w:jc w:val="both"/>
        <w:outlineLvl w:val="9"/>
        <w:rPr>
          <w:rFonts w:hint="eastAsia" w:ascii="宋体" w:cs="宋体"/>
          <w:b/>
          <w:bCs/>
          <w:color w:val="auto"/>
          <w:sz w:val="36"/>
        </w:rPr>
      </w:pPr>
    </w:p>
    <w:p>
      <w:pPr>
        <w:pStyle w:val="28"/>
        <w:jc w:val="center"/>
        <w:outlineLvl w:val="0"/>
        <w:rPr>
          <w:rFonts w:hint="eastAsia" w:ascii="宋体" w:cs="宋体"/>
          <w:b/>
          <w:bCs/>
          <w:color w:val="auto"/>
          <w:sz w:val="36"/>
          <w:lang w:val="en-US" w:eastAsia="zh-CN"/>
        </w:rPr>
      </w:pPr>
      <w:bookmarkStart w:id="174" w:name="_Toc29842"/>
      <w:bookmarkStart w:id="175" w:name="_Toc21134"/>
      <w:bookmarkStart w:id="176" w:name="_Toc5364"/>
      <w:bookmarkStart w:id="177" w:name="_Toc11784"/>
      <w:r>
        <w:rPr>
          <w:rFonts w:hint="eastAsia" w:ascii="宋体" w:cs="宋体"/>
          <w:b/>
          <w:bCs/>
          <w:color w:val="auto"/>
          <w:sz w:val="36"/>
          <w:lang w:eastAsia="zh-CN"/>
        </w:rPr>
        <w:t>附件</w:t>
      </w:r>
      <w:r>
        <w:rPr>
          <w:rFonts w:hint="eastAsia" w:ascii="宋体" w:cs="宋体"/>
          <w:b/>
          <w:bCs/>
          <w:color w:val="auto"/>
          <w:sz w:val="36"/>
          <w:lang w:val="en-US" w:eastAsia="zh-CN"/>
        </w:rPr>
        <w:t>15、技术文件</w:t>
      </w:r>
      <w:bookmarkEnd w:id="174"/>
      <w:bookmarkEnd w:id="175"/>
      <w:bookmarkEnd w:id="176"/>
      <w:bookmarkEnd w:id="177"/>
    </w:p>
    <w:p>
      <w:pPr>
        <w:pStyle w:val="28"/>
        <w:jc w:val="center"/>
        <w:outlineLvl w:val="1"/>
        <w:rPr>
          <w:rFonts w:hint="eastAsia"/>
          <w:b/>
          <w:bCs/>
          <w:color w:val="auto"/>
          <w:sz w:val="30"/>
          <w:szCs w:val="30"/>
        </w:rPr>
      </w:pPr>
      <w:bookmarkStart w:id="178" w:name="_Toc802"/>
      <w:bookmarkStart w:id="179" w:name="_Toc2364"/>
      <w:bookmarkStart w:id="180" w:name="_Toc8375"/>
      <w:bookmarkStart w:id="181" w:name="_Toc19060"/>
      <w:r>
        <w:rPr>
          <w:rFonts w:hint="eastAsia"/>
          <w:b/>
          <w:bCs/>
          <w:color w:val="auto"/>
          <w:sz w:val="30"/>
          <w:szCs w:val="30"/>
        </w:rPr>
        <w:t>主要内容、方案、承诺、计划等说明</w:t>
      </w:r>
      <w:bookmarkEnd w:id="178"/>
      <w:bookmarkEnd w:id="179"/>
      <w:bookmarkEnd w:id="180"/>
      <w:bookmarkEnd w:id="181"/>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9"/>
        <w:rPr>
          <w:rFonts w:hint="eastAsia"/>
          <w:b/>
          <w:bCs/>
          <w:color w:val="auto"/>
          <w:sz w:val="30"/>
          <w:szCs w:val="30"/>
        </w:rPr>
      </w:pPr>
    </w:p>
    <w:p>
      <w:pPr>
        <w:pStyle w:val="28"/>
        <w:jc w:val="center"/>
        <w:outlineLvl w:val="0"/>
        <w:rPr>
          <w:rFonts w:ascii="宋体" w:cs="宋体"/>
          <w:b/>
          <w:bCs/>
          <w:color w:val="auto"/>
          <w:sz w:val="36"/>
        </w:rPr>
      </w:pPr>
      <w:bookmarkStart w:id="182" w:name="_Toc2839"/>
      <w:bookmarkStart w:id="183" w:name="_Toc15370"/>
      <w:bookmarkStart w:id="184" w:name="_Toc8973"/>
      <w:bookmarkStart w:id="185" w:name="_Toc2516"/>
      <w:r>
        <w:rPr>
          <w:rFonts w:hint="eastAsia" w:ascii="宋体" w:cs="宋体"/>
          <w:b/>
          <w:bCs/>
          <w:color w:val="auto"/>
          <w:sz w:val="36"/>
          <w:lang w:eastAsia="zh-CN"/>
        </w:rPr>
        <w:t>附件</w:t>
      </w:r>
      <w:r>
        <w:rPr>
          <w:rFonts w:hint="eastAsia" w:ascii="宋体" w:cs="宋体"/>
          <w:b/>
          <w:bCs/>
          <w:color w:val="auto"/>
          <w:sz w:val="36"/>
          <w:lang w:val="en-US" w:eastAsia="zh-CN"/>
        </w:rPr>
        <w:t>16、</w:t>
      </w:r>
      <w:r>
        <w:rPr>
          <w:rFonts w:hint="eastAsia" w:ascii="宋体" w:cs="宋体"/>
          <w:b/>
          <w:bCs/>
          <w:color w:val="auto"/>
          <w:sz w:val="36"/>
        </w:rPr>
        <w:t>其 他</w:t>
      </w:r>
      <w:bookmarkEnd w:id="173"/>
      <w:bookmarkEnd w:id="182"/>
      <w:bookmarkEnd w:id="183"/>
      <w:bookmarkEnd w:id="184"/>
      <w:bookmarkEnd w:id="185"/>
    </w:p>
    <w:p>
      <w:pPr>
        <w:spacing w:line="360" w:lineRule="auto"/>
        <w:ind w:left="480"/>
        <w:rPr>
          <w:rFonts w:hint="eastAsia" w:ascii="宋体" w:hAnsi="宋体"/>
          <w:b/>
          <w:color w:val="auto"/>
        </w:rPr>
      </w:pPr>
    </w:p>
    <w:p>
      <w:pPr>
        <w:spacing w:line="360" w:lineRule="auto"/>
        <w:ind w:firstLine="482" w:firstLineChars="200"/>
        <w:jc w:val="left"/>
        <w:rPr>
          <w:rFonts w:ascii="宋体" w:hAnsi="宋体"/>
          <w:color w:val="auto"/>
          <w:sz w:val="24"/>
          <w:szCs w:val="24"/>
        </w:rPr>
      </w:pPr>
      <w:r>
        <w:rPr>
          <w:rFonts w:hint="eastAsia" w:ascii="宋体" w:hAnsi="宋体"/>
          <w:b/>
          <w:color w:val="auto"/>
          <w:sz w:val="24"/>
          <w:szCs w:val="24"/>
        </w:rPr>
        <w:t>1、</w:t>
      </w:r>
      <w:r>
        <w:rPr>
          <w:rFonts w:hint="eastAsia" w:ascii="宋体" w:hAnsi="宋体" w:eastAsia="宋体" w:cs="宋体"/>
          <w:color w:val="auto"/>
          <w:sz w:val="22"/>
          <w:szCs w:val="22"/>
          <w:highlight w:val="yellow"/>
          <w:lang w:val="en-US" w:eastAsia="zh-CN"/>
        </w:rPr>
        <w:t>凡拟参加本次招标项目的投标人，如在“信用中国”网站（www.creditchina.gov.cn）被列入失信被执行人、税收违法黑名单和中国政府采购网（www.ccgp.gov.cn）及中国裁判文书网（http://wenshu.court.gov.cn/），对有行贿犯罪记录，政府采购严重违法失信行为记录名单的（尚在处罚期内的）将拒绝其参加本次采购活动。</w:t>
      </w:r>
    </w:p>
    <w:p>
      <w:pPr>
        <w:spacing w:line="360" w:lineRule="auto"/>
        <w:ind w:left="480"/>
        <w:rPr>
          <w:rFonts w:hint="eastAsia" w:ascii="宋体" w:hAnsi="宋体"/>
          <w:color w:val="auto"/>
          <w:sz w:val="24"/>
          <w:szCs w:val="24"/>
        </w:rPr>
      </w:pPr>
      <w:r>
        <w:rPr>
          <w:rFonts w:hint="eastAsia" w:ascii="宋体" w:hAnsi="宋体"/>
          <w:b/>
          <w:color w:val="auto"/>
          <w:sz w:val="24"/>
          <w:szCs w:val="24"/>
          <w:lang w:val="en-US" w:eastAsia="zh-CN"/>
        </w:rPr>
        <w:t>2</w:t>
      </w:r>
      <w:r>
        <w:rPr>
          <w:rFonts w:hint="eastAsia" w:ascii="宋体" w:hAnsi="宋体"/>
          <w:b/>
          <w:color w:val="auto"/>
          <w:sz w:val="24"/>
          <w:szCs w:val="24"/>
        </w:rPr>
        <w:t>、</w:t>
      </w:r>
      <w:r>
        <w:rPr>
          <w:rFonts w:hint="eastAsia" w:ascii="宋体" w:hAnsi="宋体"/>
          <w:color w:val="auto"/>
          <w:sz w:val="24"/>
          <w:szCs w:val="24"/>
        </w:rPr>
        <w:t>投标人认为有必要提交的其他资料。</w:t>
      </w:r>
    </w:p>
    <w:p>
      <w:pPr>
        <w:spacing w:line="360" w:lineRule="auto"/>
        <w:ind w:firstLine="472" w:firstLineChars="196"/>
        <w:rPr>
          <w:rFonts w:hint="default" w:ascii="宋体" w:hAnsi="宋体" w:eastAsia="宋体" w:cs="Times New Roman"/>
          <w:b w:val="0"/>
          <w:bCs/>
          <w:color w:val="auto"/>
          <w:sz w:val="24"/>
          <w:szCs w:val="24"/>
          <w:lang w:val="en-US" w:eastAsia="zh-CN"/>
        </w:rPr>
      </w:pPr>
      <w:r>
        <w:rPr>
          <w:rFonts w:hint="eastAsia" w:ascii="宋体" w:hAnsi="宋体" w:eastAsia="宋体" w:cs="Times New Roman"/>
          <w:b/>
          <w:bCs w:val="0"/>
          <w:color w:val="auto"/>
          <w:sz w:val="24"/>
          <w:szCs w:val="24"/>
          <w:lang w:val="en-US" w:eastAsia="zh-CN"/>
        </w:rPr>
        <w:t>3、</w:t>
      </w:r>
      <w:r>
        <w:rPr>
          <w:rFonts w:hint="eastAsia" w:ascii="宋体" w:hAnsi="宋体" w:eastAsia="宋体" w:cs="Times New Roman"/>
          <w:b w:val="0"/>
          <w:bCs/>
          <w:color w:val="auto"/>
          <w:sz w:val="24"/>
          <w:szCs w:val="24"/>
          <w:lang w:val="en-US" w:eastAsia="zh-CN"/>
        </w:rPr>
        <w:t>投标保证金凭证</w:t>
      </w:r>
      <w:r>
        <w:rPr>
          <w:rFonts w:hint="eastAsia" w:ascii="宋体" w:hAnsi="宋体" w:cs="Times New Roman"/>
          <w:b w:val="0"/>
          <w:bCs/>
          <w:color w:val="auto"/>
          <w:sz w:val="24"/>
          <w:szCs w:val="24"/>
          <w:lang w:val="en-US" w:eastAsia="zh-CN"/>
        </w:rPr>
        <w:t>。</w:t>
      </w: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010010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3"/>
      </w:rPr>
    </w:pPr>
    <w:r>
      <w:fldChar w:fldCharType="begin"/>
    </w:r>
    <w:r>
      <w:rPr>
        <w:rStyle w:val="23"/>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361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3AF7"/>
    <w:multiLevelType w:val="singleLevel"/>
    <w:tmpl w:val="90153AF7"/>
    <w:lvl w:ilvl="0" w:tentative="0">
      <w:start w:val="1"/>
      <w:numFmt w:val="decimal"/>
      <w:lvlText w:val="(%1)"/>
      <w:lvlJc w:val="left"/>
      <w:pPr>
        <w:ind w:left="425" w:hanging="425"/>
      </w:pPr>
      <w:rPr>
        <w:rFonts w:hint="default"/>
      </w:rPr>
    </w:lvl>
  </w:abstractNum>
  <w:abstractNum w:abstractNumId="1">
    <w:nsid w:val="9EF773CD"/>
    <w:multiLevelType w:val="singleLevel"/>
    <w:tmpl w:val="9EF773CD"/>
    <w:lvl w:ilvl="0" w:tentative="0">
      <w:start w:val="2"/>
      <w:numFmt w:val="decimal"/>
      <w:suff w:val="nothing"/>
      <w:lvlText w:val="%1、"/>
      <w:lvlJc w:val="left"/>
    </w:lvl>
  </w:abstractNum>
  <w:abstractNum w:abstractNumId="2">
    <w:nsid w:val="B7FF0154"/>
    <w:multiLevelType w:val="singleLevel"/>
    <w:tmpl w:val="B7FF0154"/>
    <w:lvl w:ilvl="0" w:tentative="0">
      <w:start w:val="1"/>
      <w:numFmt w:val="decimalEnclosedCircleChinese"/>
      <w:suff w:val="nothing"/>
      <w:lvlText w:val="%1　"/>
      <w:lvlJc w:val="left"/>
      <w:pPr>
        <w:ind w:left="0" w:firstLine="400"/>
      </w:pPr>
      <w:rPr>
        <w:rFonts w:hint="eastAsia"/>
      </w:rPr>
    </w:lvl>
  </w:abstractNum>
  <w:abstractNum w:abstractNumId="3">
    <w:nsid w:val="BFE05996"/>
    <w:multiLevelType w:val="singleLevel"/>
    <w:tmpl w:val="BFE05996"/>
    <w:lvl w:ilvl="0" w:tentative="0">
      <w:start w:val="1"/>
      <w:numFmt w:val="decimal"/>
      <w:lvlText w:val="%1."/>
      <w:lvlJc w:val="left"/>
      <w:pPr>
        <w:tabs>
          <w:tab w:val="left" w:pos="312"/>
        </w:tabs>
      </w:pPr>
    </w:lvl>
  </w:abstractNum>
  <w:abstractNum w:abstractNumId="4">
    <w:nsid w:val="C9AD57AB"/>
    <w:multiLevelType w:val="singleLevel"/>
    <w:tmpl w:val="C9AD57AB"/>
    <w:lvl w:ilvl="0" w:tentative="0">
      <w:start w:val="1"/>
      <w:numFmt w:val="decimal"/>
      <w:suff w:val="nothing"/>
      <w:lvlText w:val="%1、"/>
      <w:lvlJc w:val="left"/>
    </w:lvl>
  </w:abstractNum>
  <w:abstractNum w:abstractNumId="5">
    <w:nsid w:val="D35B6DFA"/>
    <w:multiLevelType w:val="singleLevel"/>
    <w:tmpl w:val="D35B6DFA"/>
    <w:lvl w:ilvl="0" w:tentative="0">
      <w:start w:val="1"/>
      <w:numFmt w:val="decimal"/>
      <w:lvlText w:val="(%1)"/>
      <w:lvlJc w:val="left"/>
      <w:pPr>
        <w:ind w:left="425" w:hanging="425"/>
      </w:pPr>
      <w:rPr>
        <w:rFonts w:hint="default"/>
      </w:rPr>
    </w:lvl>
  </w:abstractNum>
  <w:abstractNum w:abstractNumId="6">
    <w:nsid w:val="DF635E57"/>
    <w:multiLevelType w:val="singleLevel"/>
    <w:tmpl w:val="DF635E57"/>
    <w:lvl w:ilvl="0" w:tentative="0">
      <w:start w:val="1"/>
      <w:numFmt w:val="decimal"/>
      <w:lvlText w:val="(%1)"/>
      <w:lvlJc w:val="left"/>
      <w:pPr>
        <w:ind w:left="425" w:hanging="425"/>
      </w:pPr>
      <w:rPr>
        <w:rFonts w:hint="default"/>
      </w:rPr>
    </w:lvl>
  </w:abstractNum>
  <w:abstractNum w:abstractNumId="7">
    <w:nsid w:val="DF65684C"/>
    <w:multiLevelType w:val="singleLevel"/>
    <w:tmpl w:val="DF65684C"/>
    <w:lvl w:ilvl="0" w:tentative="0">
      <w:start w:val="2"/>
      <w:numFmt w:val="decimal"/>
      <w:suff w:val="nothing"/>
      <w:lvlText w:val="%1、"/>
      <w:lvlJc w:val="left"/>
    </w:lvl>
  </w:abstractNum>
  <w:abstractNum w:abstractNumId="8">
    <w:nsid w:val="EF9B081B"/>
    <w:multiLevelType w:val="singleLevel"/>
    <w:tmpl w:val="EF9B081B"/>
    <w:lvl w:ilvl="0" w:tentative="0">
      <w:start w:val="1"/>
      <w:numFmt w:val="decimal"/>
      <w:lvlText w:val="(%1)"/>
      <w:lvlJc w:val="left"/>
      <w:pPr>
        <w:ind w:left="425" w:hanging="425"/>
      </w:pPr>
      <w:rPr>
        <w:rFonts w:hint="default"/>
      </w:rPr>
    </w:lvl>
  </w:abstractNum>
  <w:abstractNum w:abstractNumId="9">
    <w:nsid w:val="F303F021"/>
    <w:multiLevelType w:val="singleLevel"/>
    <w:tmpl w:val="F303F021"/>
    <w:lvl w:ilvl="0" w:tentative="0">
      <w:start w:val="1"/>
      <w:numFmt w:val="decimal"/>
      <w:lvlText w:val="(%1)"/>
      <w:lvlJc w:val="left"/>
      <w:pPr>
        <w:ind w:left="425" w:hanging="425"/>
      </w:pPr>
      <w:rPr>
        <w:rFonts w:hint="default"/>
      </w:rPr>
    </w:lvl>
  </w:abstractNum>
  <w:abstractNum w:abstractNumId="10">
    <w:nsid w:val="F8DE272A"/>
    <w:multiLevelType w:val="singleLevel"/>
    <w:tmpl w:val="F8DE272A"/>
    <w:lvl w:ilvl="0" w:tentative="0">
      <w:start w:val="1"/>
      <w:numFmt w:val="decimal"/>
      <w:suff w:val="nothing"/>
      <w:lvlText w:val="（%1）"/>
      <w:lvlJc w:val="left"/>
      <w:pPr>
        <w:ind w:left="-22"/>
      </w:pPr>
    </w:lvl>
  </w:abstractNum>
  <w:abstractNum w:abstractNumId="11">
    <w:nsid w:val="0000000B"/>
    <w:multiLevelType w:val="singleLevel"/>
    <w:tmpl w:val="0000000B"/>
    <w:lvl w:ilvl="0" w:tentative="0">
      <w:start w:val="1"/>
      <w:numFmt w:val="upperLetter"/>
      <w:pStyle w:val="5"/>
      <w:lvlText w:val="%1."/>
      <w:lvlJc w:val="left"/>
      <w:pPr>
        <w:tabs>
          <w:tab w:val="left" w:pos="420"/>
        </w:tabs>
        <w:ind w:left="420" w:hanging="330"/>
      </w:pPr>
    </w:lvl>
  </w:abstractNum>
  <w:abstractNum w:abstractNumId="12">
    <w:nsid w:val="5440D3B8"/>
    <w:multiLevelType w:val="singleLevel"/>
    <w:tmpl w:val="5440D3B8"/>
    <w:lvl w:ilvl="0" w:tentative="0">
      <w:start w:val="1"/>
      <w:numFmt w:val="decimal"/>
      <w:lvlText w:val="(%1)"/>
      <w:lvlJc w:val="left"/>
      <w:pPr>
        <w:ind w:left="425" w:hanging="425"/>
      </w:pPr>
      <w:rPr>
        <w:rFonts w:hint="default"/>
      </w:rPr>
    </w:lvl>
  </w:abstractNum>
  <w:abstractNum w:abstractNumId="13">
    <w:nsid w:val="5CC4E1C2"/>
    <w:multiLevelType w:val="singleLevel"/>
    <w:tmpl w:val="5CC4E1C2"/>
    <w:lvl w:ilvl="0" w:tentative="0">
      <w:start w:val="1"/>
      <w:numFmt w:val="decimal"/>
      <w:lvlText w:val="(%1)"/>
      <w:lvlJc w:val="left"/>
      <w:pPr>
        <w:ind w:left="425" w:hanging="425"/>
      </w:pPr>
      <w:rPr>
        <w:rFonts w:hint="default"/>
      </w:rPr>
    </w:lvl>
  </w:abstractNum>
  <w:abstractNum w:abstractNumId="14">
    <w:nsid w:val="6405BEBB"/>
    <w:multiLevelType w:val="singleLevel"/>
    <w:tmpl w:val="6405BEBB"/>
    <w:lvl w:ilvl="0" w:tentative="0">
      <w:start w:val="1"/>
      <w:numFmt w:val="decimal"/>
      <w:lvlText w:val="(%1)"/>
      <w:lvlJc w:val="left"/>
      <w:pPr>
        <w:ind w:left="425" w:hanging="425"/>
      </w:pPr>
      <w:rPr>
        <w:rFonts w:hint="default"/>
      </w:rPr>
    </w:lvl>
  </w:abstractNum>
  <w:abstractNum w:abstractNumId="15">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0853ED1"/>
    <w:multiLevelType w:val="singleLevel"/>
    <w:tmpl w:val="70853ED1"/>
    <w:lvl w:ilvl="0" w:tentative="0">
      <w:start w:val="2"/>
      <w:numFmt w:val="chineseCounting"/>
      <w:suff w:val="space"/>
      <w:lvlText w:val="第%1章"/>
      <w:lvlJc w:val="left"/>
      <w:pPr>
        <w:ind w:left="3360"/>
      </w:pPr>
      <w:rPr>
        <w:rFonts w:hint="eastAsia"/>
      </w:rPr>
    </w:lvl>
  </w:abstractNum>
  <w:num w:numId="1">
    <w:abstractNumId w:val="11"/>
  </w:num>
  <w:num w:numId="2">
    <w:abstractNumId w:val="16"/>
  </w:num>
  <w:num w:numId="3">
    <w:abstractNumId w:val="3"/>
  </w:num>
  <w:num w:numId="4">
    <w:abstractNumId w:val="15"/>
  </w:num>
  <w:num w:numId="5">
    <w:abstractNumId w:val="9"/>
  </w:num>
  <w:num w:numId="6">
    <w:abstractNumId w:val="8"/>
  </w:num>
  <w:num w:numId="7">
    <w:abstractNumId w:val="6"/>
  </w:num>
  <w:num w:numId="8">
    <w:abstractNumId w:val="0"/>
  </w:num>
  <w:num w:numId="9">
    <w:abstractNumId w:val="5"/>
  </w:num>
  <w:num w:numId="10">
    <w:abstractNumId w:val="14"/>
  </w:num>
  <w:num w:numId="11">
    <w:abstractNumId w:val="2"/>
  </w:num>
  <w:num w:numId="12">
    <w:abstractNumId w:val="12"/>
  </w:num>
  <w:num w:numId="13">
    <w:abstractNumId w:val="13"/>
  </w:num>
  <w:num w:numId="14">
    <w:abstractNumId w:val="7"/>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zNjN2ZkYzY2NjJmMDNiMDZjZDEwZTFkNTZjYTkifQ=="/>
  </w:docVars>
  <w:rsids>
    <w:rsidRoot w:val="729E6821"/>
    <w:rsid w:val="23EB201C"/>
    <w:rsid w:val="278F3C63"/>
    <w:rsid w:val="2F520F27"/>
    <w:rsid w:val="4718528B"/>
    <w:rsid w:val="47C22C96"/>
    <w:rsid w:val="549D52AF"/>
    <w:rsid w:val="655424A2"/>
    <w:rsid w:val="687C5235"/>
    <w:rsid w:val="6F367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仿宋_GB2312" w:eastAsia="仿宋_GB2312"/>
      <w:sz w:val="28"/>
    </w:rPr>
  </w:style>
  <w:style w:type="paragraph" w:styleId="5">
    <w:name w:val="heading 2"/>
    <w:basedOn w:val="1"/>
    <w:next w:val="1"/>
    <w:qFormat/>
    <w:uiPriority w:val="0"/>
    <w:pPr>
      <w:keepNext/>
      <w:numPr>
        <w:ilvl w:val="0"/>
        <w:numId w:val="1"/>
      </w:numPr>
      <w:spacing w:line="360" w:lineRule="auto"/>
      <w:outlineLvl w:val="1"/>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lang w:val="en-US" w:eastAsia="zh-CN" w:bidi="ar-SA"/>
    </w:rPr>
  </w:style>
  <w:style w:type="paragraph" w:styleId="3">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6">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7">
    <w:name w:val="index 5"/>
    <w:basedOn w:val="1"/>
    <w:next w:val="1"/>
    <w:unhideWhenUsed/>
    <w:qFormat/>
    <w:uiPriority w:val="0"/>
    <w:pPr>
      <w:ind w:left="800" w:leftChars="800"/>
    </w:pPr>
    <w:rPr>
      <w:lang w:bidi="he-IL"/>
    </w:rPr>
  </w:style>
  <w:style w:type="paragraph" w:styleId="8">
    <w:name w:val="toa heading"/>
    <w:basedOn w:val="1"/>
    <w:next w:val="1"/>
    <w:semiHidden/>
    <w:qFormat/>
    <w:uiPriority w:val="0"/>
    <w:pPr>
      <w:spacing w:before="120"/>
    </w:pPr>
    <w:rPr>
      <w:rFonts w:ascii="Arial" w:hAnsi="Arial" w:cs="Arial"/>
      <w:sz w:val="24"/>
    </w:rPr>
  </w:style>
  <w:style w:type="paragraph" w:styleId="9">
    <w:name w:val="index 6"/>
    <w:basedOn w:val="1"/>
    <w:next w:val="1"/>
    <w:qFormat/>
    <w:uiPriority w:val="99"/>
    <w:pPr>
      <w:ind w:left="2100"/>
    </w:pPr>
  </w:style>
  <w:style w:type="paragraph" w:styleId="10">
    <w:name w:val="Body Text 3"/>
    <w:basedOn w:val="1"/>
    <w:next w:val="1"/>
    <w:qFormat/>
    <w:uiPriority w:val="0"/>
    <w:pPr>
      <w:spacing w:line="500" w:lineRule="exact"/>
    </w:pPr>
    <w:rPr>
      <w:b/>
      <w:sz w:val="24"/>
    </w:rPr>
  </w:style>
  <w:style w:type="paragraph" w:styleId="11">
    <w:name w:val="Body Text"/>
    <w:basedOn w:val="1"/>
    <w:next w:val="1"/>
    <w:qFormat/>
    <w:uiPriority w:val="0"/>
    <w:pPr>
      <w:spacing w:after="120" w:afterLines="0"/>
    </w:pPr>
  </w:style>
  <w:style w:type="paragraph" w:styleId="12">
    <w:name w:val="Body Text Indent"/>
    <w:basedOn w:val="1"/>
    <w:next w:val="13"/>
    <w:unhideWhenUsed/>
    <w:qFormat/>
    <w:uiPriority w:val="99"/>
    <w:pPr>
      <w:ind w:firstLine="480"/>
    </w:pPr>
    <w:rPr>
      <w:rFonts w:ascii="宋体" w:hAnsi="宋体"/>
      <w:sz w:val="24"/>
    </w:rPr>
  </w:style>
  <w:style w:type="paragraph" w:styleId="13">
    <w:name w:val="Body Text First Indent"/>
    <w:basedOn w:val="11"/>
    <w:next w:val="1"/>
    <w:qFormat/>
    <w:uiPriority w:val="0"/>
    <w:pPr>
      <w:autoSpaceDE w:val="0"/>
      <w:autoSpaceDN w:val="0"/>
      <w:adjustRightInd w:val="0"/>
      <w:spacing w:after="120" w:afterLines="0" w:line="312" w:lineRule="atLeast"/>
      <w:ind w:firstLine="420"/>
    </w:pPr>
    <w:rPr>
      <w:rFonts w:ascii="宋体"/>
      <w:kern w:val="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jc w:val="left"/>
    </w:pPr>
    <w:rPr>
      <w:b/>
      <w:bCs/>
      <w:caps/>
      <w:sz w:val="20"/>
    </w:rPr>
  </w:style>
  <w:style w:type="paragraph" w:styleId="17">
    <w:name w:val="Subtitle"/>
    <w:basedOn w:val="1"/>
    <w:next w:val="1"/>
    <w:qFormat/>
    <w:uiPriority w:val="3"/>
    <w:pPr>
      <w:jc w:val="center"/>
      <w:outlineLvl w:val="1"/>
    </w:pPr>
    <w:rPr>
      <w:rFonts w:ascii="黑体" w:hAnsi="黑体" w:eastAsia="黑体"/>
      <w:b/>
      <w:bCs/>
      <w:kern w:val="28"/>
      <w:sz w:val="30"/>
      <w:szCs w:val="22"/>
    </w:rPr>
  </w:style>
  <w:style w:type="paragraph" w:styleId="18">
    <w:name w:val="footnote text"/>
    <w:basedOn w:val="1"/>
    <w:next w:val="7"/>
    <w:unhideWhenUsed/>
    <w:qFormat/>
    <w:uiPriority w:val="99"/>
    <w:pPr>
      <w:adjustRightInd w:val="0"/>
      <w:spacing w:line="312" w:lineRule="atLeast"/>
      <w:jc w:val="left"/>
      <w:textAlignment w:val="baseline"/>
    </w:pPr>
    <w:rPr>
      <w:kern w:val="0"/>
      <w:sz w:val="18"/>
    </w:rPr>
  </w:style>
  <w:style w:type="paragraph" w:styleId="19">
    <w:name w:val="Body Text First Indent 2"/>
    <w:basedOn w:val="12"/>
    <w:next w:val="1"/>
    <w:qFormat/>
    <w:uiPriority w:val="0"/>
    <w:pPr>
      <w:ind w:firstLine="420" w:firstLineChars="200"/>
    </w:p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7">
    <w:name w:val="列出段落1"/>
    <w:basedOn w:val="1"/>
    <w:qFormat/>
    <w:uiPriority w:val="0"/>
    <w:pPr>
      <w:ind w:firstLine="420" w:firstLineChars="200"/>
    </w:pPr>
    <w:rPr>
      <w:rFonts w:ascii="Calibri" w:hAnsi="Calibri" w:eastAsia="宋体" w:cs="Times New Roman"/>
    </w:rPr>
  </w:style>
  <w:style w:type="paragraph" w:customStyle="1" w:styleId="28">
    <w:name w:val="È±Ê¡ÎÄ±¾"/>
    <w:basedOn w:val="1"/>
    <w:qFormat/>
    <w:uiPriority w:val="0"/>
    <w:pPr>
      <w:widowControl/>
      <w:overflowPunct w:val="0"/>
      <w:autoSpaceDE w:val="0"/>
      <w:autoSpaceDN w:val="0"/>
      <w:adjustRightInd w:val="0"/>
      <w:jc w:val="left"/>
    </w:pPr>
    <w:rPr>
      <w:kern w:val="0"/>
      <w:sz w:val="24"/>
    </w:rPr>
  </w:style>
  <w:style w:type="paragraph" w:customStyle="1" w:styleId="29">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28491</Words>
  <Characters>30897</Characters>
  <Lines>0</Lines>
  <Paragraphs>0</Paragraphs>
  <TotalTime>7</TotalTime>
  <ScaleCrop>false</ScaleCrop>
  <LinksUpToDate>false</LinksUpToDate>
  <CharactersWithSpaces>32457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2023-05-03T13:46:00Z</dcterms:created>
  <dc:creator>付伟</dc:creator>
  <cp:lastModifiedBy>-</cp:lastModifiedBy>
  <dcterms:modified xsi:type="dcterms:W3CDTF">2023-06-02T06:01:32Z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DC6DF43A02FC48F88279B153782FFB46_13</vt:lpwstr>
  </property>
</Properties>
</file>