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b/>
          <w:bCs/>
          <w:color w:val="auto"/>
          <w:sz w:val="48"/>
          <w:szCs w:val="48"/>
          <w:highlight w:val="none"/>
          <w:lang w:eastAsia="zh-CN"/>
        </w:rPr>
      </w:pPr>
      <w:bookmarkStart w:id="54" w:name="_GoBack"/>
      <w:bookmarkEnd w:id="54"/>
    </w:p>
    <w:p>
      <w:pPr>
        <w:pStyle w:val="10"/>
        <w:jc w:val="center"/>
        <w:rPr>
          <w:rFonts w:hint="eastAsia"/>
          <w:b/>
          <w:bCs/>
          <w:color w:val="auto"/>
          <w:sz w:val="48"/>
          <w:szCs w:val="48"/>
          <w:highlight w:val="none"/>
          <w:lang w:eastAsia="zh-CN"/>
        </w:rPr>
      </w:pPr>
    </w:p>
    <w:p>
      <w:pPr>
        <w:pStyle w:val="10"/>
        <w:jc w:val="center"/>
        <w:rPr>
          <w:rFonts w:hint="eastAsia" w:eastAsia="宋体"/>
          <w:b/>
          <w:bCs/>
          <w:color w:val="auto"/>
          <w:sz w:val="48"/>
          <w:szCs w:val="48"/>
          <w:highlight w:val="none"/>
          <w:lang w:eastAsia="zh-CN"/>
        </w:rPr>
      </w:pPr>
      <w:r>
        <w:rPr>
          <w:rFonts w:hint="eastAsia"/>
          <w:b/>
          <w:bCs/>
          <w:color w:val="auto"/>
          <w:sz w:val="48"/>
          <w:szCs w:val="48"/>
          <w:highlight w:val="none"/>
          <w:lang w:eastAsia="zh-CN"/>
        </w:rPr>
        <w:t>阿克苏地区XX单位社会化考试辅助服务项目</w:t>
      </w: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rPr>
          <w:rFonts w:ascii="宋体" w:hAnsi="宋体" w:cs="宋体"/>
          <w:color w:val="auto"/>
          <w:sz w:val="24"/>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adjustRightInd w:val="0"/>
        <w:snapToGrid w:val="0"/>
        <w:spacing w:line="360" w:lineRule="auto"/>
        <w:rPr>
          <w:rFonts w:ascii="宋体" w:hAnsi="宋体" w:cs="宋体"/>
          <w:color w:val="auto"/>
          <w:sz w:val="24"/>
          <w:highlight w:val="none"/>
        </w:rPr>
      </w:pPr>
    </w:p>
    <w:p>
      <w:pPr>
        <w:spacing w:line="360" w:lineRule="auto"/>
        <w:jc w:val="center"/>
        <w:outlineLvl w:val="0"/>
        <w:rPr>
          <w:rFonts w:ascii="宋体" w:hAnsi="宋体" w:cs="宋体"/>
          <w:b/>
          <w:color w:val="auto"/>
          <w:sz w:val="96"/>
          <w:szCs w:val="96"/>
          <w:highlight w:val="none"/>
        </w:rPr>
      </w:pPr>
      <w:r>
        <w:rPr>
          <w:rFonts w:hint="eastAsia" w:ascii="宋体" w:hAnsi="宋体" w:cs="宋体"/>
          <w:b/>
          <w:color w:val="auto"/>
          <w:sz w:val="96"/>
          <w:szCs w:val="96"/>
          <w:highlight w:val="none"/>
        </w:rPr>
        <w:t>竞争性磋商文件</w:t>
      </w: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rPr>
          <w:rFonts w:ascii="宋体" w:hAnsi="宋体" w:cs="宋体"/>
          <w:color w:val="auto"/>
          <w:sz w:val="24"/>
          <w:highlight w:val="none"/>
        </w:rPr>
      </w:pPr>
    </w:p>
    <w:p>
      <w:pPr>
        <w:pStyle w:val="10"/>
        <w:rPr>
          <w:color w:val="auto"/>
          <w:highlight w:val="none"/>
        </w:rPr>
      </w:pP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eastAsia="zh-CN"/>
        </w:rPr>
        <w:t>新疆维吾尔自治区阿克苏地区XX单位</w:t>
      </w:r>
    </w:p>
    <w:p>
      <w:pPr>
        <w:adjustRightInd w:val="0"/>
        <w:snapToGrid w:val="0"/>
        <w:spacing w:line="360" w:lineRule="auto"/>
        <w:ind w:firstLine="1285" w:firstLineChars="400"/>
        <w:outlineLvl w:val="0"/>
        <w:rPr>
          <w:rFonts w:hint="default" w:ascii="仿宋" w:hAnsi="仿宋" w:eastAsia="宋体" w:cs="仿宋"/>
          <w:color w:val="auto"/>
          <w:sz w:val="28"/>
          <w:szCs w:val="28"/>
          <w:highlight w:val="none"/>
          <w:shd w:val="clear" w:color="auto" w:fill="FFFFFF"/>
          <w:lang w:val="en-US" w:eastAsia="zh-CN"/>
        </w:rPr>
      </w:pPr>
      <w:r>
        <w:rPr>
          <w:rFonts w:hint="eastAsia" w:ascii="宋体" w:hAnsi="宋体" w:cs="宋体"/>
          <w:b/>
          <w:bCs/>
          <w:color w:val="auto"/>
          <w:sz w:val="32"/>
          <w:szCs w:val="32"/>
          <w:highlight w:val="none"/>
        </w:rPr>
        <w:t>招标编号：分2023-01-</w:t>
      </w:r>
      <w:r>
        <w:rPr>
          <w:rFonts w:hint="eastAsia" w:ascii="宋体" w:hAnsi="宋体" w:cs="宋体"/>
          <w:b/>
          <w:bCs/>
          <w:color w:val="auto"/>
          <w:sz w:val="32"/>
          <w:szCs w:val="32"/>
          <w:highlight w:val="none"/>
          <w:lang w:val="en-US" w:eastAsia="zh-CN"/>
        </w:rPr>
        <w:t>115</w:t>
      </w:r>
    </w:p>
    <w:p>
      <w:pPr>
        <w:adjustRightInd w:val="0"/>
        <w:snapToGrid w:val="0"/>
        <w:spacing w:line="360" w:lineRule="auto"/>
        <w:ind w:firstLine="1285" w:firstLineChars="400"/>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采购代理机构：新疆顺凯项目管理有限公司</w:t>
      </w:r>
    </w:p>
    <w:p>
      <w:pPr>
        <w:adjustRightInd w:val="0"/>
        <w:snapToGrid w:val="0"/>
        <w:spacing w:line="360" w:lineRule="auto"/>
        <w:jc w:val="center"/>
        <w:rPr>
          <w:rFonts w:ascii="宋体" w:hAnsi="宋体" w:cs="宋体"/>
          <w:b/>
          <w:bCs/>
          <w:color w:val="auto"/>
          <w:sz w:val="32"/>
          <w:szCs w:val="32"/>
          <w:highlight w:val="none"/>
        </w:rPr>
      </w:pPr>
    </w:p>
    <w:p>
      <w:pPr>
        <w:adjustRightInd w:val="0"/>
        <w:snapToGrid w:val="0"/>
        <w:spacing w:line="360" w:lineRule="auto"/>
        <w:jc w:val="center"/>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二〇二三年</w:t>
      </w:r>
      <w:r>
        <w:rPr>
          <w:rFonts w:hint="eastAsia" w:ascii="宋体" w:hAnsi="宋体" w:cs="宋体"/>
          <w:b/>
          <w:bCs/>
          <w:color w:val="auto"/>
          <w:sz w:val="32"/>
          <w:szCs w:val="32"/>
          <w:highlight w:val="none"/>
          <w:lang w:val="en-US" w:eastAsia="zh-CN"/>
        </w:rPr>
        <w:t>五</w:t>
      </w:r>
      <w:r>
        <w:rPr>
          <w:rFonts w:hint="eastAsia" w:ascii="宋体" w:hAnsi="宋体" w:cs="宋体"/>
          <w:b/>
          <w:bCs/>
          <w:color w:val="auto"/>
          <w:sz w:val="32"/>
          <w:szCs w:val="32"/>
          <w:highlight w:val="none"/>
        </w:rPr>
        <w:t>月</w:t>
      </w:r>
    </w:p>
    <w:p>
      <w:pPr>
        <w:widowControl/>
        <w:spacing w:line="700" w:lineRule="exact"/>
        <w:jc w:val="center"/>
        <w:outlineLvl w:val="1"/>
        <w:rPr>
          <w:rFonts w:ascii="宋体" w:hAnsi="宋体" w:cs="宋体"/>
          <w:bCs/>
          <w:color w:val="auto"/>
          <w:sz w:val="44"/>
          <w:szCs w:val="44"/>
          <w:highlight w:val="none"/>
        </w:rPr>
        <w:sectPr>
          <w:footerReference r:id="rId3" w:type="first"/>
          <w:pgSz w:w="11907" w:h="16840"/>
          <w:pgMar w:top="1440" w:right="1474" w:bottom="1440" w:left="1474" w:header="851" w:footer="992" w:gutter="0"/>
          <w:pgNumType w:fmt="decimal" w:start="1"/>
          <w:cols w:space="720" w:num="1"/>
          <w:docGrid w:linePitch="312" w:charSpace="0"/>
        </w:sectPr>
      </w:pPr>
    </w:p>
    <w:p>
      <w:pPr>
        <w:bidi w:val="0"/>
        <w:rPr>
          <w:color w:val="auto"/>
          <w:highlight w:val="none"/>
        </w:rPr>
      </w:pPr>
    </w:p>
    <w:p>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竞争性磋商文件</w:t>
      </w:r>
    </w:p>
    <w:p>
      <w:pPr>
        <w:spacing w:line="480" w:lineRule="exact"/>
        <w:ind w:firstLine="281" w:firstLineChars="100"/>
        <w:jc w:val="center"/>
        <w:rPr>
          <w:rFonts w:hint="eastAsia" w:ascii="宋体" w:hAnsi="宋体" w:eastAsia="宋体" w:cs="宋体"/>
          <w:b/>
          <w:i w:val="0"/>
          <w:iCs w:val="0"/>
          <w:color w:val="auto"/>
          <w:sz w:val="28"/>
          <w:szCs w:val="28"/>
          <w:highlight w:val="none"/>
        </w:rPr>
      </w:pPr>
    </w:p>
    <w:p>
      <w:pPr>
        <w:spacing w:line="480" w:lineRule="exact"/>
        <w:ind w:firstLine="281" w:firstLineChars="100"/>
        <w:jc w:val="center"/>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280" w:firstLineChars="100"/>
        <w:jc w:val="both"/>
        <w:textAlignment w:val="auto"/>
        <w:rPr>
          <w:rFonts w:hint="eastAsia" w:ascii="宋体" w:hAnsi="宋体" w:eastAsia="宋体" w:cs="宋体"/>
          <w:b/>
          <w:bCs/>
          <w:i w:val="0"/>
          <w:iCs w:val="0"/>
          <w:color w:val="auto"/>
          <w:sz w:val="52"/>
          <w:szCs w:val="52"/>
          <w:highlight w:val="none"/>
          <w:lang w:eastAsia="zh-CN"/>
        </w:rPr>
      </w:pPr>
      <w:r>
        <w:rPr>
          <w:rFonts w:hint="eastAsia" w:ascii="宋体" w:hAnsi="宋体" w:eastAsia="宋体" w:cs="宋体"/>
          <w:i w:val="0"/>
          <w:iCs w:val="0"/>
          <w:color w:val="auto"/>
          <w:sz w:val="28"/>
          <w:szCs w:val="28"/>
          <w:highlight w:val="none"/>
          <w:lang w:eastAsia="zh-CN"/>
        </w:rPr>
        <w:t>项目名称：阿克苏地区XX单位社会化考试辅助服务项目</w:t>
      </w:r>
    </w:p>
    <w:p>
      <w:pPr>
        <w:spacing w:line="600" w:lineRule="exact"/>
        <w:ind w:left="1428" w:leftChars="171" w:hanging="1069" w:hangingChars="382"/>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招 标 人（公章）：</w:t>
      </w:r>
      <w:r>
        <w:rPr>
          <w:rFonts w:hint="eastAsia" w:ascii="宋体" w:hAnsi="宋体" w:eastAsia="宋体" w:cs="宋体"/>
          <w:i w:val="0"/>
          <w:iCs w:val="0"/>
          <w:color w:val="auto"/>
          <w:sz w:val="28"/>
          <w:szCs w:val="28"/>
          <w:highlight w:val="none"/>
          <w:lang w:eastAsia="zh-CN"/>
        </w:rPr>
        <w:t>新疆维吾尔自治区阿克苏地区XX单位</w:t>
      </w:r>
    </w:p>
    <w:p>
      <w:pPr>
        <w:spacing w:line="600" w:lineRule="exact"/>
        <w:ind w:left="1428" w:leftChars="171" w:hanging="1069" w:hangingChars="382"/>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法定代表人（章）：</w:t>
      </w:r>
    </w:p>
    <w:p>
      <w:pPr>
        <w:spacing w:line="600" w:lineRule="exact"/>
        <w:ind w:left="1428" w:leftChars="171" w:hanging="1069" w:hangingChars="382"/>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 系 人：</w:t>
      </w:r>
      <w:r>
        <w:rPr>
          <w:rFonts w:hint="eastAsia" w:ascii="宋体" w:hAnsi="宋体" w:eastAsia="宋体" w:cs="宋体"/>
          <w:i w:val="0"/>
          <w:iCs w:val="0"/>
          <w:color w:val="auto"/>
          <w:sz w:val="28"/>
          <w:szCs w:val="28"/>
          <w:highlight w:val="none"/>
          <w:lang w:val="en-US" w:eastAsia="zh-CN"/>
        </w:rPr>
        <w:t>赵旌淋</w:t>
      </w:r>
    </w:p>
    <w:p>
      <w:pPr>
        <w:spacing w:line="600" w:lineRule="exact"/>
        <w:ind w:left="1428" w:leftChars="171" w:hanging="1069" w:hangingChars="382"/>
        <w:rPr>
          <w:rFonts w:hint="default"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eastAsia="zh-CN"/>
        </w:rPr>
        <w:t>：</w:t>
      </w:r>
      <w:r>
        <w:rPr>
          <w:rFonts w:hint="eastAsia" w:ascii="宋体" w:hAnsi="宋体" w:eastAsia="宋体" w:cs="宋体"/>
          <w:i w:val="0"/>
          <w:iCs w:val="0"/>
          <w:color w:val="auto"/>
          <w:sz w:val="28"/>
          <w:szCs w:val="28"/>
          <w:highlight w:val="none"/>
          <w:lang w:val="en-US" w:eastAsia="zh-CN"/>
        </w:rPr>
        <w:t>15009970868</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400" w:lineRule="exact"/>
        <w:rPr>
          <w:rFonts w:hint="eastAsia" w:ascii="宋体" w:hAnsi="宋体" w:eastAsia="宋体" w:cs="宋体"/>
          <w:i w:val="0"/>
          <w:iCs w:val="0"/>
          <w:color w:val="auto"/>
          <w:sz w:val="28"/>
          <w:szCs w:val="28"/>
          <w:highlight w:val="none"/>
        </w:rPr>
      </w:pPr>
    </w:p>
    <w:p>
      <w:pPr>
        <w:spacing w:line="4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spacing w:line="600" w:lineRule="exact"/>
        <w:ind w:left="1428" w:leftChars="171" w:hanging="1069" w:hangingChars="382"/>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招标代理机构（公章）：新疆顺凯项目管理有限公司</w:t>
      </w:r>
    </w:p>
    <w:p>
      <w:pPr>
        <w:spacing w:line="600" w:lineRule="exact"/>
        <w:ind w:left="1428" w:leftChars="171" w:hanging="1069" w:hangingChars="382"/>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法定代表人（章）： </w:t>
      </w:r>
    </w:p>
    <w:p>
      <w:pPr>
        <w:spacing w:line="600" w:lineRule="exact"/>
        <w:ind w:left="1428" w:leftChars="171" w:hanging="1069" w:hangingChars="382"/>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联 系 人：</w:t>
      </w:r>
      <w:r>
        <w:rPr>
          <w:rFonts w:hint="eastAsia" w:ascii="宋体" w:hAnsi="宋体" w:cs="宋体"/>
          <w:color w:val="auto"/>
          <w:sz w:val="28"/>
          <w:szCs w:val="28"/>
          <w:highlight w:val="none"/>
        </w:rPr>
        <w:t>李逢博</w:t>
      </w:r>
    </w:p>
    <w:p>
      <w:pPr>
        <w:spacing w:line="600" w:lineRule="exact"/>
        <w:ind w:left="1428" w:leftChars="171" w:hanging="1069" w:hangingChars="382"/>
        <w:rPr>
          <w:rFonts w:hint="default" w:ascii="宋体" w:hAnsi="宋体" w:eastAsia="宋体" w:cs="宋体"/>
          <w:i w:val="0"/>
          <w:iCs w:val="0"/>
          <w:color w:val="auto"/>
          <w:sz w:val="28"/>
          <w:szCs w:val="28"/>
          <w:highlight w:val="none"/>
          <w:lang w:val="en-US"/>
        </w:rPr>
      </w:pPr>
      <w:r>
        <w:rPr>
          <w:rFonts w:hint="eastAsia" w:ascii="宋体" w:hAnsi="宋体" w:eastAsia="宋体" w:cs="宋体"/>
          <w:i w:val="0"/>
          <w:iCs w:val="0"/>
          <w:color w:val="auto"/>
          <w:sz w:val="28"/>
          <w:szCs w:val="28"/>
          <w:highlight w:val="none"/>
        </w:rPr>
        <w:t>电    话：</w:t>
      </w:r>
      <w:r>
        <w:rPr>
          <w:rFonts w:hint="eastAsia" w:ascii="宋体" w:hAnsi="宋体" w:cs="宋体"/>
          <w:color w:val="auto"/>
          <w:sz w:val="28"/>
          <w:szCs w:val="28"/>
          <w:highlight w:val="none"/>
          <w:lang w:eastAsia="zh-CN"/>
        </w:rPr>
        <w:t>18099073302</w:t>
      </w:r>
    </w:p>
    <w:p>
      <w:pPr>
        <w:spacing w:line="600" w:lineRule="exact"/>
        <w:ind w:left="1428" w:leftChars="171" w:hanging="1069" w:hangingChars="382"/>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联系地址：</w:t>
      </w:r>
      <w:r>
        <w:rPr>
          <w:rFonts w:hint="eastAsia" w:ascii="宋体" w:hAnsi="宋体" w:cs="宋体"/>
          <w:color w:val="auto"/>
          <w:sz w:val="28"/>
          <w:szCs w:val="28"/>
          <w:highlight w:val="none"/>
        </w:rPr>
        <w:t>新疆阿克苏地区阿克苏市虹桥街道长安社区丝路古镇奇石玉石博览旅游文化中心20幢1-2层03号商铺</w:t>
      </w:r>
    </w:p>
    <w:p>
      <w:pPr>
        <w:spacing w:line="600" w:lineRule="exact"/>
        <w:ind w:left="1433" w:leftChars="-95" w:hanging="1632" w:hangingChars="583"/>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jc w:val="center"/>
        <w:rPr>
          <w:rFonts w:hint="eastAsia" w:ascii="宋体" w:hAnsi="宋体" w:eastAsia="宋体" w:cs="宋体"/>
          <w:b/>
          <w:i w:val="0"/>
          <w:iCs w:val="0"/>
          <w:color w:val="auto"/>
          <w:sz w:val="48"/>
          <w:szCs w:val="48"/>
          <w:highlight w:val="none"/>
        </w:rPr>
      </w:pPr>
    </w:p>
    <w:p>
      <w:pPr>
        <w:ind w:left="1666" w:leftChars="-95" w:hanging="1865" w:hangingChars="583"/>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二0二</w:t>
      </w:r>
      <w:r>
        <w:rPr>
          <w:rFonts w:hint="eastAsia" w:ascii="宋体" w:hAnsi="宋体" w:eastAsia="宋体" w:cs="宋体"/>
          <w:i w:val="0"/>
          <w:iCs w:val="0"/>
          <w:color w:val="auto"/>
          <w:sz w:val="32"/>
          <w:szCs w:val="32"/>
          <w:highlight w:val="none"/>
          <w:lang w:val="en-US" w:eastAsia="zh-CN"/>
        </w:rPr>
        <w:t>三</w:t>
      </w:r>
      <w:r>
        <w:rPr>
          <w:rFonts w:hint="eastAsia" w:ascii="宋体" w:hAnsi="宋体" w:eastAsia="宋体" w:cs="宋体"/>
          <w:i w:val="0"/>
          <w:iCs w:val="0"/>
          <w:color w:val="auto"/>
          <w:sz w:val="32"/>
          <w:szCs w:val="32"/>
          <w:highlight w:val="none"/>
        </w:rPr>
        <w:t>年</w:t>
      </w:r>
      <w:r>
        <w:rPr>
          <w:rFonts w:hint="eastAsia" w:ascii="宋体" w:hAnsi="宋体" w:eastAsia="宋体" w:cs="宋体"/>
          <w:i w:val="0"/>
          <w:iCs w:val="0"/>
          <w:color w:val="auto"/>
          <w:sz w:val="32"/>
          <w:szCs w:val="32"/>
          <w:highlight w:val="none"/>
          <w:lang w:val="en-US" w:eastAsia="zh-CN"/>
        </w:rPr>
        <w:t>五</w:t>
      </w:r>
      <w:r>
        <w:rPr>
          <w:rFonts w:hint="eastAsia" w:ascii="宋体" w:hAnsi="宋体" w:eastAsia="宋体" w:cs="宋体"/>
          <w:i w:val="0"/>
          <w:iCs w:val="0"/>
          <w:color w:val="auto"/>
          <w:sz w:val="32"/>
          <w:szCs w:val="32"/>
          <w:highlight w:val="none"/>
        </w:rPr>
        <w:t>月</w:t>
      </w:r>
    </w:p>
    <w:p>
      <w:pPr>
        <w:pStyle w:val="4"/>
        <w:numPr>
          <w:ilvl w:val="0"/>
          <w:numId w:val="0"/>
        </w:numPr>
        <w:bidi w:val="0"/>
        <w:spacing w:line="240" w:lineRule="auto"/>
        <w:ind w:leftChars="0"/>
        <w:jc w:val="center"/>
        <w:rPr>
          <w:rFonts w:hint="eastAsia"/>
          <w:color w:val="auto"/>
          <w:highlight w:val="none"/>
        </w:rPr>
        <w:sectPr>
          <w:footerReference r:id="rId4" w:type="default"/>
          <w:pgSz w:w="11907" w:h="16840"/>
          <w:pgMar w:top="1440" w:right="1474" w:bottom="1440" w:left="1474" w:header="851" w:footer="992" w:gutter="0"/>
          <w:pgNumType w:fmt="decimal" w:start="1"/>
          <w:cols w:space="720" w:num="1"/>
          <w:docGrid w:linePitch="312" w:charSpace="0"/>
        </w:sectPr>
      </w:pPr>
    </w:p>
    <w:p>
      <w:pPr>
        <w:pStyle w:val="16"/>
        <w:keepNext/>
        <w:pageBreakBefore/>
        <w:tabs>
          <w:tab w:val="right" w:leader="dot" w:pos="9354"/>
        </w:tabs>
        <w:spacing w:line="360" w:lineRule="auto"/>
        <w:jc w:val="center"/>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pStyle w:val="7"/>
        <w:spacing w:line="360" w:lineRule="auto"/>
        <w:rPr>
          <w:color w:val="auto"/>
          <w:highlight w:val="none"/>
        </w:rPr>
      </w:pPr>
    </w:p>
    <w:p>
      <w:pPr>
        <w:pStyle w:val="16"/>
        <w:tabs>
          <w:tab w:val="right" w:leader="dot" w:pos="9746"/>
        </w:tabs>
        <w:rPr>
          <w:rFonts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"_Toc13366" </w:instrText>
      </w:r>
      <w:r>
        <w:rPr>
          <w:color w:val="auto"/>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pPr>
        <w:pStyle w:val="16"/>
        <w:tabs>
          <w:tab w:val="right" w:leader="dot" w:pos="9746"/>
        </w:tabs>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"_Toc5463" </w:instrText>
      </w:r>
      <w:r>
        <w:rPr>
          <w:color w:val="auto"/>
          <w:highlight w:val="none"/>
        </w:rPr>
        <w:fldChar w:fldCharType="separate"/>
      </w: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fldChar w:fldCharType="end"/>
      </w:r>
    </w:p>
    <w:p>
      <w:pPr>
        <w:pStyle w:val="16"/>
        <w:tabs>
          <w:tab w:val="right" w:leader="dot" w:pos="9746"/>
        </w:tabs>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"_Toc7110" </w:instrText>
      </w:r>
      <w:r>
        <w:rPr>
          <w:color w:val="auto"/>
          <w:highlight w:val="none"/>
        </w:rPr>
        <w:fldChar w:fldCharType="separate"/>
      </w:r>
      <w:r>
        <w:rPr>
          <w:rFonts w:hint="eastAsia" w:ascii="宋体" w:hAnsi="宋体" w:cs="宋体"/>
          <w:color w:val="auto"/>
          <w:sz w:val="28"/>
          <w:szCs w:val="28"/>
          <w:highlight w:val="none"/>
        </w:rPr>
        <w:t>第三章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3</w:t>
      </w:r>
      <w:r>
        <w:rPr>
          <w:rFonts w:hint="eastAsia" w:ascii="宋体" w:hAnsi="宋体" w:cs="宋体"/>
          <w:color w:val="auto"/>
          <w:sz w:val="28"/>
          <w:szCs w:val="28"/>
          <w:highlight w:val="none"/>
          <w:lang w:val="en-US" w:eastAsia="zh-CN"/>
        </w:rPr>
        <w:t>5</w:t>
      </w:r>
    </w:p>
    <w:p>
      <w:pPr>
        <w:pStyle w:val="16"/>
        <w:tabs>
          <w:tab w:val="right" w:leader="dot" w:pos="974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"_Toc27253" </w:instrText>
      </w:r>
      <w:r>
        <w:rPr>
          <w:color w:val="auto"/>
          <w:highlight w:val="none"/>
        </w:rPr>
        <w:fldChar w:fldCharType="separate"/>
      </w:r>
      <w:r>
        <w:rPr>
          <w:rFonts w:hint="eastAsia" w:ascii="宋体" w:hAnsi="宋体" w:cs="宋体"/>
          <w:bCs/>
          <w:color w:val="auto"/>
          <w:sz w:val="28"/>
          <w:szCs w:val="28"/>
          <w:highlight w:val="none"/>
        </w:rPr>
        <w:t>第四章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pPr>
        <w:pStyle w:val="16"/>
        <w:tabs>
          <w:tab w:val="right" w:leader="dot" w:pos="9746"/>
        </w:tabs>
        <w:rPr>
          <w:rFonts w:hint="eastAsia" w:ascii="宋体"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"_Toc31265" </w:instrText>
      </w:r>
      <w:r>
        <w:rPr>
          <w:color w:val="auto"/>
          <w:highlight w:val="none"/>
        </w:rPr>
        <w:fldChar w:fldCharType="separate"/>
      </w:r>
      <w:r>
        <w:rPr>
          <w:rFonts w:hint="eastAsia" w:ascii="宋体" w:hAnsi="宋体" w:cs="宋体"/>
          <w:bCs/>
          <w:color w:val="auto"/>
          <w:sz w:val="28"/>
          <w:szCs w:val="28"/>
          <w:highlight w:val="none"/>
        </w:rPr>
        <w:t>第五章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pPr>
        <w:spacing w:line="360" w:lineRule="auto"/>
        <w:rPr>
          <w:rFonts w:ascii="宋体" w:hAnsi="宋体" w:cs="宋体"/>
          <w:color w:val="auto"/>
          <w:sz w:val="24"/>
          <w:highlight w:val="none"/>
        </w:rPr>
      </w:pPr>
      <w:r>
        <w:rPr>
          <w:rFonts w:hint="eastAsia" w:ascii="宋体" w:hAnsi="宋体" w:cs="宋体"/>
          <w:color w:val="auto"/>
          <w:sz w:val="28"/>
          <w:szCs w:val="28"/>
          <w:highlight w:val="none"/>
        </w:rPr>
        <w:fldChar w:fldCharType="end"/>
      </w:r>
    </w:p>
    <w:p>
      <w:pPr>
        <w:adjustRightInd w:val="0"/>
        <w:snapToGrid w:val="0"/>
        <w:spacing w:line="360" w:lineRule="auto"/>
        <w:rPr>
          <w:rFonts w:ascii="宋体" w:hAnsi="宋体" w:cs="宋体"/>
          <w:b/>
          <w:color w:val="auto"/>
          <w:sz w:val="24"/>
          <w:highlight w:val="none"/>
        </w:rPr>
        <w:sectPr>
          <w:footerReference r:id="rId8" w:type="first"/>
          <w:headerReference r:id="rId5" w:type="default"/>
          <w:footerReference r:id="rId6" w:type="default"/>
          <w:footerReference r:id="rId7" w:type="even"/>
          <w:pgSz w:w="11906" w:h="16838"/>
          <w:pgMar w:top="1372" w:right="1259" w:bottom="1372" w:left="1259" w:header="851" w:footer="992" w:gutter="0"/>
          <w:pgNumType w:start="0"/>
          <w:cols w:space="720" w:num="1"/>
          <w:titlePg/>
          <w:docGrid w:type="lines" w:linePitch="312" w:charSpace="0"/>
        </w:sectPr>
      </w:pPr>
    </w:p>
    <w:p>
      <w:pPr>
        <w:pStyle w:val="4"/>
        <w:numPr>
          <w:ilvl w:val="0"/>
          <w:numId w:val="2"/>
        </w:numPr>
        <w:spacing w:line="560" w:lineRule="exact"/>
        <w:jc w:val="center"/>
        <w:rPr>
          <w:color w:val="auto"/>
          <w:sz w:val="44"/>
          <w:szCs w:val="44"/>
          <w:highlight w:val="none"/>
        </w:rPr>
      </w:pPr>
      <w:bookmarkStart w:id="0" w:name="_Toc9386"/>
      <w:r>
        <w:rPr>
          <w:rFonts w:hint="eastAsia"/>
          <w:color w:val="auto"/>
          <w:sz w:val="40"/>
          <w:szCs w:val="15"/>
          <w:highlight w:val="none"/>
        </w:rPr>
        <w:t xml:space="preserve"> </w:t>
      </w:r>
      <w:r>
        <w:rPr>
          <w:rFonts w:hint="eastAsia"/>
          <w:color w:val="auto"/>
          <w:sz w:val="44"/>
          <w:szCs w:val="44"/>
          <w:highlight w:val="none"/>
        </w:rPr>
        <w:t>竞争性磋商公告</w:t>
      </w:r>
    </w:p>
    <w:p>
      <w:pPr>
        <w:spacing w:line="440" w:lineRule="exact"/>
        <w:ind w:firstLine="562"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项目概况</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u w:val="single"/>
          <w:lang w:eastAsia="zh-CN"/>
        </w:rPr>
        <w:t>阿克苏地区XX单位社会化考试辅助服务项目</w:t>
      </w:r>
      <w:r>
        <w:rPr>
          <w:rFonts w:hint="eastAsia" w:ascii="宋体" w:hAnsi="宋体" w:eastAsia="宋体" w:cs="宋体"/>
          <w:color w:val="auto"/>
          <w:kern w:val="0"/>
          <w:sz w:val="28"/>
          <w:szCs w:val="28"/>
          <w:highlight w:val="none"/>
        </w:rPr>
        <w:t>的潜在投标人应在政府采购云平台获取（下载）采购文件，并于</w:t>
      </w:r>
      <w:r>
        <w:rPr>
          <w:rFonts w:hint="eastAsia" w:ascii="宋体" w:hAnsi="宋体" w:eastAsia="宋体" w:cs="宋体"/>
          <w:color w:val="auto"/>
          <w:kern w:val="0"/>
          <w:sz w:val="28"/>
          <w:szCs w:val="28"/>
          <w:highlight w:val="none"/>
          <w:u w:val="single"/>
        </w:rPr>
        <w:t>2023年0</w:t>
      </w:r>
      <w:r>
        <w:rPr>
          <w:rFonts w:hint="eastAsia" w:ascii="宋体" w:hAnsi="宋体" w:eastAsia="宋体" w:cs="宋体"/>
          <w:color w:val="auto"/>
          <w:kern w:val="0"/>
          <w:sz w:val="28"/>
          <w:szCs w:val="28"/>
          <w:highlight w:val="none"/>
          <w:u w:val="single"/>
          <w:lang w:val="en-US" w:eastAsia="zh-CN"/>
        </w:rPr>
        <w:t>6</w:t>
      </w:r>
      <w:r>
        <w:rPr>
          <w:rFonts w:hint="eastAsia" w:ascii="宋体" w:hAnsi="宋体" w:eastAsia="宋体" w:cs="宋体"/>
          <w:color w:val="auto"/>
          <w:kern w:val="0"/>
          <w:sz w:val="28"/>
          <w:szCs w:val="28"/>
          <w:highlight w:val="none"/>
          <w:u w:val="single"/>
        </w:rPr>
        <w:t>月</w:t>
      </w:r>
      <w:r>
        <w:rPr>
          <w:rFonts w:hint="eastAsia" w:ascii="宋体" w:hAnsi="宋体" w:cs="宋体"/>
          <w:color w:val="auto"/>
          <w:kern w:val="0"/>
          <w:sz w:val="28"/>
          <w:szCs w:val="28"/>
          <w:highlight w:val="none"/>
          <w:u w:val="single"/>
          <w:lang w:val="en-US" w:eastAsia="zh-CN"/>
        </w:rPr>
        <w:t>15</w:t>
      </w:r>
      <w:r>
        <w:rPr>
          <w:rFonts w:hint="eastAsia" w:ascii="宋体" w:hAnsi="宋体" w:eastAsia="宋体" w:cs="宋体"/>
          <w:color w:val="auto"/>
          <w:kern w:val="0"/>
          <w:sz w:val="28"/>
          <w:szCs w:val="28"/>
          <w:highlight w:val="none"/>
          <w:u w:val="single"/>
        </w:rPr>
        <w:t>日11点00分（北京时间）</w:t>
      </w:r>
      <w:r>
        <w:rPr>
          <w:rFonts w:hint="eastAsia" w:ascii="宋体" w:hAnsi="宋体" w:eastAsia="宋体" w:cs="宋体"/>
          <w:color w:val="auto"/>
          <w:kern w:val="0"/>
          <w:sz w:val="28"/>
          <w:szCs w:val="28"/>
          <w:highlight w:val="none"/>
        </w:rPr>
        <w:t>前递交响应文件。</w:t>
      </w:r>
    </w:p>
    <w:p>
      <w:pPr>
        <w:spacing w:line="440" w:lineRule="exact"/>
        <w:rPr>
          <w:rFonts w:hint="eastAsia" w:ascii="宋体" w:hAnsi="宋体" w:eastAsia="宋体" w:cs="宋体"/>
          <w:b/>
          <w:bCs/>
          <w:color w:val="auto"/>
          <w:sz w:val="28"/>
          <w:szCs w:val="28"/>
          <w:highlight w:val="none"/>
        </w:rPr>
      </w:pPr>
      <w:bookmarkStart w:id="1" w:name="_Toc28359002"/>
      <w:bookmarkStart w:id="2" w:name="_Toc35393621"/>
      <w:bookmarkStart w:id="3" w:name="_Toc35393790"/>
      <w:bookmarkStart w:id="4" w:name="_Toc28359079"/>
      <w:bookmarkStart w:id="5" w:name="_Hlk24379207"/>
      <w:r>
        <w:rPr>
          <w:rFonts w:hint="eastAsia" w:ascii="宋体" w:hAnsi="宋体" w:eastAsia="宋体" w:cs="宋体"/>
          <w:b/>
          <w:bCs/>
          <w:color w:val="auto"/>
          <w:sz w:val="28"/>
          <w:szCs w:val="28"/>
          <w:highlight w:val="none"/>
        </w:rPr>
        <w:t>一、项目基本情况</w:t>
      </w:r>
      <w:bookmarkEnd w:id="1"/>
      <w:bookmarkEnd w:id="2"/>
      <w:bookmarkEnd w:id="3"/>
      <w:bookmarkEnd w:id="4"/>
    </w:p>
    <w:bookmarkEnd w:id="5"/>
    <w:p>
      <w:pPr>
        <w:spacing w:line="440" w:lineRule="exact"/>
        <w:ind w:left="559" w:leftChars="266"/>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项目编号：</w:t>
      </w:r>
      <w:r>
        <w:rPr>
          <w:rFonts w:hint="eastAsia" w:ascii="宋体" w:hAnsi="宋体" w:eastAsia="宋体" w:cs="宋体"/>
          <w:color w:val="auto"/>
          <w:kern w:val="0"/>
          <w:sz w:val="28"/>
          <w:szCs w:val="28"/>
          <w:highlight w:val="none"/>
          <w:lang w:eastAsia="zh-CN"/>
        </w:rPr>
        <w:t>分2023-01-115</w:t>
      </w:r>
    </w:p>
    <w:p>
      <w:pPr>
        <w:spacing w:line="440" w:lineRule="exact"/>
        <w:ind w:left="559" w:leftChars="266"/>
        <w:rPr>
          <w:rFonts w:hint="eastAsia" w:ascii="宋体" w:hAnsi="宋体" w:eastAsia="宋体" w:cs="宋体"/>
          <w:bCs/>
          <w:color w:val="auto"/>
          <w:sz w:val="28"/>
          <w:szCs w:val="28"/>
          <w:highlight w:val="none"/>
          <w:lang w:eastAsia="zh-CN"/>
        </w:rPr>
      </w:pPr>
      <w:r>
        <w:rPr>
          <w:rFonts w:hint="eastAsia" w:ascii="宋体" w:hAnsi="宋体" w:eastAsia="宋体" w:cs="宋体"/>
          <w:color w:val="auto"/>
          <w:kern w:val="0"/>
          <w:sz w:val="28"/>
          <w:szCs w:val="28"/>
          <w:highlight w:val="none"/>
        </w:rPr>
        <w:t>项目名称：</w:t>
      </w:r>
      <w:r>
        <w:rPr>
          <w:rFonts w:hint="eastAsia" w:ascii="宋体" w:hAnsi="宋体" w:cs="宋体"/>
          <w:color w:val="auto"/>
          <w:kern w:val="0"/>
          <w:sz w:val="28"/>
          <w:szCs w:val="28"/>
          <w:highlight w:val="none"/>
          <w:lang w:eastAsia="zh-CN"/>
        </w:rPr>
        <w:t>阿克苏地区XX单位社会化考试辅助服务项目</w:t>
      </w:r>
    </w:p>
    <w:p>
      <w:pPr>
        <w:spacing w:line="440" w:lineRule="exact"/>
        <w:ind w:left="559" w:leftChars="266"/>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采购方式：竞争性磋商</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预算金额（元）：900000元</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最高限价（元）：900000元</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采购需求：</w:t>
      </w:r>
    </w:p>
    <w:p>
      <w:pPr>
        <w:spacing w:line="44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标项名称:</w:t>
      </w:r>
      <w:r>
        <w:rPr>
          <w:rFonts w:hint="eastAsia" w:ascii="宋体" w:hAnsi="宋体" w:cs="宋体"/>
          <w:color w:val="auto"/>
          <w:kern w:val="0"/>
          <w:sz w:val="28"/>
          <w:szCs w:val="28"/>
          <w:highlight w:val="none"/>
          <w:lang w:eastAsia="zh-CN"/>
        </w:rPr>
        <w:t>阿克苏地区XX单位社会化考试辅助服务项目</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数量:1</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预算金额（元）:</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900000元</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单位：项 </w:t>
      </w:r>
    </w:p>
    <w:p>
      <w:pPr>
        <w:spacing w:line="44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简要规格描述：</w:t>
      </w:r>
      <w:r>
        <w:rPr>
          <w:rFonts w:hint="eastAsia" w:ascii="宋体" w:hAnsi="宋体" w:eastAsia="宋体" w:cs="宋体"/>
          <w:color w:val="auto"/>
          <w:kern w:val="0"/>
          <w:sz w:val="28"/>
          <w:szCs w:val="28"/>
          <w:highlight w:val="none"/>
          <w:lang w:eastAsia="zh-CN"/>
        </w:rPr>
        <w:t>社会化考试辅助服务（详见采购需求）</w:t>
      </w:r>
    </w:p>
    <w:p>
      <w:pPr>
        <w:spacing w:line="44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合同履约期限：甲乙双方按照合同约定执行</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本项目不接受联合体投标。</w:t>
      </w:r>
    </w:p>
    <w:p>
      <w:pPr>
        <w:spacing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（2）具有良好的商业信誉和健全的财务会计制度；</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（3）具有履行合同所必需的设备和专业技术能力；</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（4）有依法缴纳税收和社会保障资金的良好记录；</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（5）参加政府采购活动前三年内，在经营活动中没有重大违法记录；</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（6）法律、行政法规规定的其他条件。</w:t>
      </w:r>
    </w:p>
    <w:p>
      <w:pPr>
        <w:spacing w:line="44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Style w:val="17"/>
        <w:spacing w:before="0" w:beforeAutospacing="0" w:after="0" w:afterAutospacing="0" w:line="440" w:lineRule="exact"/>
        <w:ind w:firstLine="560" w:firstLineChars="200"/>
        <w:jc w:val="both"/>
        <w:rPr>
          <w:rStyle w:val="22"/>
          <w:rFonts w:hint="eastAsia" w:ascii="宋体" w:hAnsi="宋体" w:eastAsia="宋体" w:cs="宋体"/>
          <w:b w:val="0"/>
          <w:bCs w:val="0"/>
          <w:color w:val="auto"/>
          <w:sz w:val="28"/>
          <w:szCs w:val="28"/>
          <w:highlight w:val="none"/>
        </w:rPr>
      </w:pPr>
      <w:r>
        <w:rPr>
          <w:rStyle w:val="22"/>
          <w:rFonts w:hint="eastAsia" w:ascii="宋体" w:hAnsi="宋体" w:eastAsia="宋体" w:cs="宋体"/>
          <w:b w:val="0"/>
          <w:bCs w:val="0"/>
          <w:color w:val="auto"/>
          <w:sz w:val="28"/>
          <w:szCs w:val="28"/>
          <w:highlight w:val="none"/>
        </w:rPr>
        <w:t>（1）财政部、国家发展改革委、生态环境部、市场监管总局《关于调整优化节能产品、环境标志产品政府采购执行机制的通知》（财库[2019]9号文）；</w:t>
      </w:r>
    </w:p>
    <w:p>
      <w:pPr>
        <w:pStyle w:val="17"/>
        <w:spacing w:before="0" w:beforeAutospacing="0" w:after="0" w:afterAutospacing="0" w:line="440" w:lineRule="exact"/>
        <w:ind w:firstLine="560" w:firstLineChars="200"/>
        <w:jc w:val="both"/>
        <w:rPr>
          <w:rStyle w:val="22"/>
          <w:rFonts w:hint="eastAsia" w:ascii="宋体" w:hAnsi="宋体" w:eastAsia="宋体" w:cs="宋体"/>
          <w:b w:val="0"/>
          <w:bCs w:val="0"/>
          <w:color w:val="auto"/>
          <w:sz w:val="28"/>
          <w:szCs w:val="28"/>
          <w:highlight w:val="none"/>
        </w:rPr>
      </w:pPr>
      <w:r>
        <w:rPr>
          <w:rStyle w:val="22"/>
          <w:rFonts w:hint="eastAsia" w:ascii="宋体" w:hAnsi="宋体" w:eastAsia="宋体" w:cs="宋体"/>
          <w:b w:val="0"/>
          <w:bCs w:val="0"/>
          <w:color w:val="auto"/>
          <w:sz w:val="28"/>
          <w:szCs w:val="28"/>
          <w:highlight w:val="none"/>
        </w:rPr>
        <w:t>（2）财政部、生态环境部《关于印发环境标志产品政府采购品目清单的通知》（财库[2019]18号文）；</w:t>
      </w:r>
    </w:p>
    <w:p>
      <w:pPr>
        <w:pStyle w:val="17"/>
        <w:spacing w:before="0" w:beforeAutospacing="0" w:after="0" w:afterAutospacing="0" w:line="440" w:lineRule="exact"/>
        <w:ind w:firstLine="560" w:firstLineChars="200"/>
        <w:jc w:val="both"/>
        <w:rPr>
          <w:rStyle w:val="22"/>
          <w:rFonts w:hint="eastAsia" w:ascii="宋体" w:hAnsi="宋体" w:eastAsia="宋体" w:cs="宋体"/>
          <w:b w:val="0"/>
          <w:bCs w:val="0"/>
          <w:color w:val="auto"/>
          <w:sz w:val="28"/>
          <w:szCs w:val="28"/>
          <w:highlight w:val="none"/>
        </w:rPr>
      </w:pPr>
      <w:r>
        <w:rPr>
          <w:rStyle w:val="22"/>
          <w:rFonts w:hint="eastAsia" w:ascii="宋体" w:hAnsi="宋体" w:eastAsia="宋体" w:cs="宋体"/>
          <w:b w:val="0"/>
          <w:bCs w:val="0"/>
          <w:color w:val="auto"/>
          <w:sz w:val="28"/>
          <w:szCs w:val="28"/>
          <w:highlight w:val="none"/>
        </w:rPr>
        <w:t>（3）财政部、发展改革委《关于印发节能产品政府采购品目清单的通知》（财库[2019]19号文）；</w:t>
      </w:r>
    </w:p>
    <w:p>
      <w:pPr>
        <w:pStyle w:val="17"/>
        <w:spacing w:before="0" w:beforeAutospacing="0" w:after="0" w:afterAutospacing="0" w:line="440" w:lineRule="exact"/>
        <w:ind w:firstLine="560" w:firstLineChars="200"/>
        <w:jc w:val="both"/>
        <w:rPr>
          <w:rStyle w:val="22"/>
          <w:rFonts w:hint="eastAsia" w:ascii="宋体" w:hAnsi="宋体" w:eastAsia="宋体" w:cs="宋体"/>
          <w:b w:val="0"/>
          <w:bCs w:val="0"/>
          <w:color w:val="auto"/>
          <w:sz w:val="28"/>
          <w:szCs w:val="28"/>
          <w:highlight w:val="none"/>
        </w:rPr>
      </w:pPr>
      <w:r>
        <w:rPr>
          <w:rStyle w:val="22"/>
          <w:rFonts w:hint="eastAsia" w:ascii="宋体" w:hAnsi="宋体" w:eastAsia="宋体" w:cs="宋体"/>
          <w:b w:val="0"/>
          <w:bCs w:val="0"/>
          <w:color w:val="auto"/>
          <w:sz w:val="28"/>
          <w:szCs w:val="28"/>
          <w:highlight w:val="none"/>
        </w:rPr>
        <w:t>（4）市场监管总局《市场监管总局关于发布参与实施政府采购节能产品、环境标志产品认证机构名录的公告》（2019年第16号）；</w:t>
      </w:r>
    </w:p>
    <w:p>
      <w:pPr>
        <w:pStyle w:val="17"/>
        <w:spacing w:before="0" w:beforeAutospacing="0" w:after="0" w:afterAutospacing="0" w:line="440" w:lineRule="exact"/>
        <w:ind w:firstLine="560" w:firstLineChars="200"/>
        <w:jc w:val="both"/>
        <w:rPr>
          <w:rStyle w:val="22"/>
          <w:rFonts w:hint="eastAsia" w:ascii="宋体" w:hAnsi="宋体" w:eastAsia="宋体" w:cs="宋体"/>
          <w:b w:val="0"/>
          <w:bCs w:val="0"/>
          <w:color w:val="auto"/>
          <w:sz w:val="28"/>
          <w:szCs w:val="28"/>
          <w:highlight w:val="none"/>
        </w:rPr>
      </w:pPr>
      <w:r>
        <w:rPr>
          <w:rStyle w:val="22"/>
          <w:rFonts w:hint="eastAsia" w:ascii="宋体" w:hAnsi="宋体" w:eastAsia="宋体" w:cs="宋体"/>
          <w:b w:val="0"/>
          <w:bCs w:val="0"/>
          <w:color w:val="auto"/>
          <w:sz w:val="28"/>
          <w:szCs w:val="28"/>
          <w:highlight w:val="none"/>
        </w:rPr>
        <w:t>（5）财政部、工业和信息化部《关于印发《政府采购促进中小企业发展管理办法》（财库[2020]46号文）；</w:t>
      </w:r>
    </w:p>
    <w:p>
      <w:pPr>
        <w:pStyle w:val="17"/>
        <w:spacing w:before="0" w:beforeAutospacing="0" w:after="0" w:afterAutospacing="0" w:line="440" w:lineRule="exact"/>
        <w:ind w:firstLine="560" w:firstLineChars="200"/>
        <w:jc w:val="both"/>
        <w:rPr>
          <w:rStyle w:val="22"/>
          <w:rFonts w:hint="eastAsia" w:ascii="宋体" w:hAnsi="宋体" w:eastAsia="宋体" w:cs="宋体"/>
          <w:b w:val="0"/>
          <w:bCs w:val="0"/>
          <w:color w:val="auto"/>
          <w:sz w:val="28"/>
          <w:szCs w:val="28"/>
          <w:highlight w:val="none"/>
        </w:rPr>
      </w:pPr>
      <w:r>
        <w:rPr>
          <w:rStyle w:val="22"/>
          <w:rFonts w:hint="eastAsia" w:ascii="宋体" w:hAnsi="宋体" w:eastAsia="宋体" w:cs="宋体"/>
          <w:b w:val="0"/>
          <w:bCs w:val="0"/>
          <w:color w:val="auto"/>
          <w:sz w:val="28"/>
          <w:szCs w:val="28"/>
          <w:highlight w:val="none"/>
        </w:rPr>
        <w:t xml:space="preserve">（6）财政部、民政部、中国残疾人联合会《关于促进残疾人就业政府采购政策的通知》（财库[2017]141号）。                                </w:t>
      </w:r>
    </w:p>
    <w:p>
      <w:pPr>
        <w:spacing w:line="440" w:lineRule="exact"/>
        <w:ind w:firstLine="560" w:firstLineChars="200"/>
        <w:rPr>
          <w:rStyle w:val="22"/>
          <w:rFonts w:hint="eastAsia" w:ascii="宋体" w:hAnsi="宋体" w:eastAsia="宋体" w:cs="宋体"/>
          <w:b w:val="0"/>
          <w:bCs w:val="0"/>
          <w:color w:val="auto"/>
          <w:sz w:val="28"/>
          <w:szCs w:val="28"/>
          <w:highlight w:val="none"/>
          <w:lang w:eastAsia="zh-CN"/>
        </w:rPr>
      </w:pPr>
      <w:r>
        <w:rPr>
          <w:rStyle w:val="22"/>
          <w:rFonts w:hint="eastAsia" w:ascii="宋体" w:hAnsi="宋体" w:eastAsia="宋体" w:cs="宋体"/>
          <w:b w:val="0"/>
          <w:bCs w:val="0"/>
          <w:color w:val="auto"/>
          <w:sz w:val="28"/>
          <w:szCs w:val="28"/>
          <w:highlight w:val="none"/>
        </w:rPr>
        <w:t>3.本项目的特定资格要求：</w:t>
      </w:r>
      <w:r>
        <w:rPr>
          <w:rStyle w:val="22"/>
          <w:rFonts w:hint="eastAsia" w:ascii="宋体" w:hAnsi="宋体" w:cs="宋体"/>
          <w:b w:val="0"/>
          <w:bCs w:val="0"/>
          <w:color w:val="auto"/>
          <w:sz w:val="28"/>
          <w:szCs w:val="28"/>
          <w:highlight w:val="none"/>
          <w:lang w:val="en-US" w:eastAsia="zh-CN"/>
        </w:rPr>
        <w:t>无</w:t>
      </w:r>
    </w:p>
    <w:p>
      <w:pPr>
        <w:spacing w:line="440" w:lineRule="exact"/>
        <w:ind w:firstLine="84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三、获取采购文件</w:t>
      </w:r>
      <w:r>
        <w:rPr>
          <w:rFonts w:hint="eastAsia" w:ascii="宋体" w:hAnsi="宋体" w:eastAsia="宋体" w:cs="宋体"/>
          <w:color w:val="auto"/>
          <w:sz w:val="28"/>
          <w:szCs w:val="28"/>
          <w:highlight w:val="none"/>
        </w:rPr>
        <w:t>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时间：2023年0</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05</w:t>
      </w:r>
      <w:r>
        <w:rPr>
          <w:rFonts w:hint="eastAsia" w:ascii="宋体" w:hAnsi="宋体" w:eastAsia="宋体" w:cs="宋体"/>
          <w:color w:val="auto"/>
          <w:sz w:val="28"/>
          <w:szCs w:val="28"/>
          <w:highlight w:val="none"/>
        </w:rPr>
        <w:t>日至2023年0</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日，每天上午10:00至14:00，下午1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0至</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0（北京时间，法定节假日除外）</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地点：新疆政府采购云平台</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四、响应文件提交</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截止时间：2023年</w:t>
      </w:r>
      <w:r>
        <w:rPr>
          <w:rFonts w:hint="eastAsia" w:ascii="宋体" w:hAnsi="宋体" w:eastAsia="宋体" w:cs="宋体"/>
          <w:color w:val="auto"/>
          <w:sz w:val="28"/>
          <w:szCs w:val="28"/>
          <w:highlight w:val="none"/>
          <w:lang w:eastAsia="zh-CN"/>
        </w:rPr>
        <w:t>06月</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11:00（北京时间）</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地    点：政采云一站式政府采购云平台</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五、响应文件开启</w:t>
      </w:r>
      <w:r>
        <w:rPr>
          <w:rFonts w:hint="eastAsia" w:ascii="宋体" w:hAnsi="宋体" w:eastAsia="宋体" w:cs="宋体"/>
          <w:color w:val="auto"/>
          <w:sz w:val="28"/>
          <w:szCs w:val="28"/>
          <w:highlight w:val="none"/>
        </w:rPr>
        <w:t xml:space="preserve">    </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开启时间：2023年</w:t>
      </w:r>
      <w:r>
        <w:rPr>
          <w:rFonts w:hint="eastAsia" w:ascii="宋体" w:hAnsi="宋体" w:eastAsia="宋体" w:cs="宋体"/>
          <w:color w:val="auto"/>
          <w:sz w:val="28"/>
          <w:szCs w:val="28"/>
          <w:highlight w:val="none"/>
          <w:lang w:eastAsia="zh-CN"/>
        </w:rPr>
        <w:t>06月</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11:00（北京时间） </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地    点：政采云一站式政府采购云平台 </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六、公告期限</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自本公告发布之日起5个工作日。</w:t>
      </w:r>
    </w:p>
    <w:p>
      <w:pPr>
        <w:numPr>
          <w:ilvl w:val="0"/>
          <w:numId w:val="3"/>
        </w:numPr>
        <w:spacing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其他补充事宜</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     </w:t>
      </w:r>
      <w:r>
        <w:rPr>
          <w:rFonts w:hint="eastAsia" w:ascii="宋体" w:hAnsi="宋体" w:eastAsia="宋体" w:cs="宋体"/>
          <w:color w:val="auto"/>
          <w:sz w:val="28"/>
          <w:szCs w:val="28"/>
          <w:highlight w:val="none"/>
        </w:rPr>
        <w:t>1、本项目实行电子招投标，供应商须登录政采云平台申请获取采购文件，并需要使用CA锁，登录政采云电子投标客户端制作响应文件，若供应商参与投标,自行承担与投标有关的一切费用。</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4、供应商在开标时须携带制作加密电子响应文件所使用的CA锁，电脑须提前配置好浏览器（建议使用360浏览器或谷歌浏览器），以便开标时在线解密。</w:t>
      </w:r>
    </w:p>
    <w:p>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5、投标供应商应当在投标截止时间前，将生成的“电子加密响应文件”上传递交至“政府采购云平台”，投标截止时间以后上传递交的响应文件将被“政府采购云平台”拒收。</w:t>
      </w:r>
    </w:p>
    <w:p>
      <w:pPr>
        <w:pStyle w:val="10"/>
        <w:spacing w:line="440" w:lineRule="exact"/>
        <w:ind w:left="840" w:leftChars="266" w:hanging="281" w:hangingChars="1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特别提示</w:t>
      </w:r>
      <w:r>
        <w:rPr>
          <w:rFonts w:hint="eastAsia" w:ascii="宋体" w:hAnsi="宋体" w:eastAsia="宋体" w:cs="宋体"/>
          <w:color w:val="auto"/>
          <w:sz w:val="28"/>
          <w:szCs w:val="28"/>
          <w:highlight w:val="none"/>
        </w:rPr>
        <w:t>：</w:t>
      </w:r>
    </w:p>
    <w:p>
      <w:pPr>
        <w:pStyle w:val="1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1、超过200万元的货物和服务采购项目、超过400万元的工程采</w:t>
      </w:r>
    </w:p>
    <w:p>
      <w:pPr>
        <w:pStyle w:val="10"/>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购项目中适宜由中小企业提供的，预留该部分采购项目预算总额的</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%以上专门面向中小企业采购，其中预留给小微企业的比例不低于60%。</w:t>
      </w:r>
    </w:p>
    <w:p>
      <w:pPr>
        <w:pStyle w:val="1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2、对于未预留份额专门面向中小企业的采购项目，以及预留份额</w:t>
      </w:r>
    </w:p>
    <w:p>
      <w:pPr>
        <w:pStyle w:val="10"/>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pStyle w:val="1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3、接受大中型企业与小微企业组成联合体或者允许大中型企向一家或者多家小微企业分包的采购项目，对于联合协议或者分包意向协议约定小微企业的合同份额占到合同总金额</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44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八、对本次采购提出询问，请按以下方式联系 </w:t>
      </w:r>
    </w:p>
    <w:p>
      <w:pPr>
        <w:spacing w:line="44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pPr>
        <w:spacing w:line="44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名    称：</w:t>
      </w:r>
      <w:r>
        <w:rPr>
          <w:rFonts w:hint="eastAsia" w:ascii="宋体" w:hAnsi="宋体" w:cs="宋体"/>
          <w:color w:val="auto"/>
          <w:sz w:val="28"/>
          <w:szCs w:val="28"/>
          <w:highlight w:val="none"/>
          <w:lang w:eastAsia="zh-CN"/>
        </w:rPr>
        <w:t>新疆维吾尔自治区阿克苏地区XX单位</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址：阿克苏市上海西路6号</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联系方式：15009970868</w:t>
      </w:r>
    </w:p>
    <w:p>
      <w:pPr>
        <w:spacing w:line="44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名    称：新疆顺凯项目管理有限公司 </w:t>
      </w:r>
    </w:p>
    <w:p>
      <w:pPr>
        <w:spacing w:line="440" w:lineRule="exact"/>
        <w:ind w:left="559" w:leftChars="26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    址：新疆阿克苏地区阿克苏市虹桥街道长安社区丝路古镇奇石玉石博览旅游文化中心20幢1-2层03号商铺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联系方式：18099073302</w:t>
      </w:r>
    </w:p>
    <w:p>
      <w:pPr>
        <w:spacing w:line="44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项目联系人：李逢博  </w:t>
      </w:r>
    </w:p>
    <w:p>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话：18099073302</w:t>
      </w:r>
    </w:p>
    <w:p>
      <w:pPr>
        <w:rPr>
          <w:rFonts w:hint="eastAsia" w:ascii="宋体" w:hAnsi="宋体" w:eastAsia="宋体" w:cs="宋体"/>
          <w:color w:val="auto"/>
          <w:highlight w:val="none"/>
        </w:rPr>
      </w:pPr>
    </w:p>
    <w:p>
      <w:pPr>
        <w:pStyle w:val="4"/>
        <w:keepLines w:val="0"/>
        <w:pageBreakBefore/>
        <w:numPr>
          <w:ilvl w:val="0"/>
          <w:numId w:val="0"/>
        </w:numPr>
        <w:adjustRightInd w:val="0"/>
        <w:snapToGrid w:val="0"/>
        <w:spacing w:before="120" w:after="120" w:line="360" w:lineRule="auto"/>
        <w:jc w:val="center"/>
        <w:rPr>
          <w:rFonts w:hAnsi="宋体" w:cs="宋体"/>
          <w:color w:val="auto"/>
          <w:sz w:val="32"/>
          <w:szCs w:val="32"/>
          <w:highlight w:val="none"/>
        </w:rPr>
      </w:pPr>
      <w:r>
        <w:rPr>
          <w:rFonts w:hint="eastAsia" w:hAnsi="宋体" w:cs="宋体"/>
          <w:color w:val="auto"/>
          <w:sz w:val="32"/>
          <w:szCs w:val="32"/>
          <w:highlight w:val="none"/>
        </w:rPr>
        <w:t xml:space="preserve">第二章 </w:t>
      </w:r>
      <w:bookmarkStart w:id="6" w:name="_Toc5463"/>
      <w:bookmarkStart w:id="7" w:name="_Toc32321"/>
      <w:bookmarkStart w:id="8" w:name="_Toc10132"/>
      <w:r>
        <w:rPr>
          <w:rFonts w:hint="eastAsia" w:hAnsi="宋体" w:cs="宋体"/>
          <w:color w:val="auto"/>
          <w:sz w:val="32"/>
          <w:szCs w:val="32"/>
          <w:highlight w:val="none"/>
        </w:rPr>
        <w:t>投标人须知</w:t>
      </w:r>
      <w:bookmarkEnd w:id="0"/>
      <w:bookmarkEnd w:id="6"/>
      <w:bookmarkEnd w:id="7"/>
      <w:bookmarkEnd w:id="8"/>
    </w:p>
    <w:p>
      <w:pPr>
        <w:pStyle w:val="5"/>
        <w:keepNext w:val="0"/>
        <w:adjustRightInd w:val="0"/>
        <w:snapToGrid w:val="0"/>
        <w:spacing w:before="120" w:after="120" w:line="360" w:lineRule="auto"/>
        <w:jc w:val="center"/>
        <w:rPr>
          <w:rFonts w:ascii="宋体" w:hAnsi="宋体" w:eastAsia="宋体" w:cs="宋体"/>
          <w:i w:val="0"/>
          <w:iCs/>
          <w:color w:val="auto"/>
          <w:szCs w:val="28"/>
          <w:highlight w:val="none"/>
        </w:rPr>
      </w:pPr>
      <w:bookmarkStart w:id="9" w:name="_Toc144974496"/>
      <w:bookmarkStart w:id="10" w:name="_Toc665"/>
      <w:bookmarkStart w:id="11" w:name="_Toc25446"/>
      <w:bookmarkStart w:id="12" w:name="_Toc13641"/>
      <w:bookmarkStart w:id="13" w:name="_Toc152042304"/>
      <w:bookmarkStart w:id="14" w:name="_Toc152045528"/>
      <w:bookmarkStart w:id="15" w:name="_Toc179632545"/>
      <w:r>
        <w:rPr>
          <w:rFonts w:hint="eastAsia" w:ascii="宋体" w:hAnsi="宋体" w:eastAsia="宋体" w:cs="宋体"/>
          <w:i w:val="0"/>
          <w:iCs/>
          <w:color w:val="auto"/>
          <w:szCs w:val="28"/>
          <w:highlight w:val="none"/>
        </w:rPr>
        <w:t>投标人须知前附表</w:t>
      </w:r>
      <w:bookmarkEnd w:id="9"/>
      <w:bookmarkEnd w:id="10"/>
      <w:bookmarkEnd w:id="11"/>
      <w:bookmarkEnd w:id="12"/>
      <w:bookmarkEnd w:id="13"/>
      <w:bookmarkEnd w:id="14"/>
      <w:bookmarkEnd w:id="15"/>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pPr>
              <w:jc w:val="center"/>
              <w:rPr>
                <w:rFonts w:ascii="宋体" w:hAnsi="宋体" w:cs="宋体"/>
                <w:color w:val="auto"/>
                <w:sz w:val="24"/>
                <w:highlight w:val="none"/>
              </w:rPr>
            </w:pPr>
            <w:bookmarkStart w:id="16" w:name="_Toc2427"/>
            <w:bookmarkStart w:id="17" w:name="_Toc26931"/>
            <w:bookmarkStart w:id="18" w:name="_Toc21488"/>
            <w:bookmarkStart w:id="19" w:name="_Toc144974497"/>
            <w:bookmarkStart w:id="20" w:name="_Toc179632546"/>
            <w:bookmarkStart w:id="21" w:name="_Toc152042305"/>
            <w:bookmarkStart w:id="22" w:name="_Toc152045529"/>
            <w:r>
              <w:rPr>
                <w:rFonts w:hint="eastAsia" w:ascii="宋体" w:hAnsi="宋体" w:cs="宋体"/>
                <w:color w:val="auto"/>
                <w:sz w:val="24"/>
                <w:highlight w:val="none"/>
              </w:rPr>
              <w:t>1</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采购人</w:t>
            </w:r>
          </w:p>
        </w:tc>
        <w:tc>
          <w:tcPr>
            <w:tcW w:w="7124" w:type="dxa"/>
            <w:vAlign w:val="center"/>
          </w:tcPr>
          <w:p>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新疆维吾尔自治区阿克苏地区XX单位</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采购代理机构</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 xml:space="preserve">名    称：新疆顺凯项目管理有限公司 </w:t>
            </w:r>
          </w:p>
          <w:p>
            <w:pPr>
              <w:rPr>
                <w:rFonts w:ascii="宋体" w:hAnsi="宋体" w:cs="宋体"/>
                <w:color w:val="auto"/>
                <w:sz w:val="24"/>
                <w:highlight w:val="none"/>
              </w:rPr>
            </w:pPr>
            <w:r>
              <w:rPr>
                <w:rFonts w:hint="eastAsia" w:ascii="宋体" w:hAnsi="宋体" w:cs="宋体"/>
                <w:color w:val="auto"/>
                <w:sz w:val="24"/>
                <w:highlight w:val="none"/>
              </w:rPr>
              <w:t>地    址：新疆阿克苏地区阿克苏市虹桥街道长安社区丝路古镇奇石玉石博览旅游文化中心20幢1-2层03号商铺</w:t>
            </w:r>
          </w:p>
          <w:p>
            <w:pPr>
              <w:rPr>
                <w:rFonts w:ascii="宋体" w:hAnsi="宋体" w:cs="宋体"/>
                <w:color w:val="auto"/>
                <w:sz w:val="24"/>
                <w:highlight w:val="none"/>
              </w:rPr>
            </w:pPr>
            <w:r>
              <w:rPr>
                <w:rFonts w:hint="eastAsia" w:ascii="宋体" w:hAnsi="宋体" w:cs="宋体"/>
                <w:color w:val="auto"/>
                <w:sz w:val="24"/>
                <w:highlight w:val="none"/>
              </w:rPr>
              <w:t>联 系 人：李逢博</w:t>
            </w:r>
          </w:p>
          <w:p>
            <w:pPr>
              <w:rPr>
                <w:rFonts w:ascii="宋体" w:hAnsi="宋体" w:cs="宋体"/>
                <w:color w:val="auto"/>
                <w:sz w:val="24"/>
                <w:highlight w:val="none"/>
              </w:rPr>
            </w:pPr>
            <w:r>
              <w:rPr>
                <w:rFonts w:hint="eastAsia" w:ascii="宋体" w:hAnsi="宋体" w:cs="宋体"/>
                <w:color w:val="auto"/>
                <w:sz w:val="24"/>
                <w:highlight w:val="none"/>
              </w:rPr>
              <w:t>电    话：18099073302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采购项目名称</w:t>
            </w:r>
          </w:p>
        </w:tc>
        <w:tc>
          <w:tcPr>
            <w:tcW w:w="7124" w:type="dxa"/>
            <w:vAlign w:val="center"/>
          </w:tcPr>
          <w:p>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阿克苏地区XX单位社会化考试辅助服务项目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5"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采购文件编号</w:t>
            </w:r>
          </w:p>
        </w:tc>
        <w:tc>
          <w:tcPr>
            <w:tcW w:w="7124" w:type="dxa"/>
            <w:vAlign w:val="center"/>
          </w:tcPr>
          <w:p>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分2023-01-115</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资金来源</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财政</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48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最高限价</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900000元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PrEx>
        <w:trPr>
          <w:trHeight w:val="430"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7</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招标内容</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lang w:eastAsia="zh-CN"/>
              </w:rPr>
              <w:t>社会化考试辅助服务（详见采购需求）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8</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评审方法</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竞争性磋商，在满足采购方所需提供服务的基础上进行综合评标，汇总得分由高到低的顺序确定中标候选人。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9</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投标报价</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不得超过磋商文件中规定的最高限价。本项目采用二轮报价，即标书内报价为第一轮报价，现场报价为第二轮报价。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vAlign w:val="center"/>
          </w:tcPr>
          <w:p>
            <w:pPr>
              <w:jc w:val="center"/>
              <w:rPr>
                <w:rFonts w:ascii="宋体" w:hAnsi="宋体" w:cs="宋体"/>
                <w:color w:val="auto"/>
                <w:sz w:val="24"/>
                <w:highlight w:val="none"/>
              </w:rPr>
            </w:pPr>
            <w:r>
              <w:rPr>
                <w:rFonts w:hint="eastAsia" w:ascii="宋体" w:hAnsi="宋体" w:cs="宋体"/>
                <w:color w:val="auto"/>
                <w:sz w:val="24"/>
                <w:highlight w:val="none"/>
              </w:rPr>
              <w:t>10</w:t>
            </w:r>
          </w:p>
        </w:tc>
        <w:tc>
          <w:tcPr>
            <w:tcW w:w="2082" w:type="dxa"/>
            <w:tcBorders>
              <w:top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rPr>
              <w:t>服务期</w:t>
            </w:r>
          </w:p>
        </w:tc>
        <w:tc>
          <w:tcPr>
            <w:tcW w:w="7124" w:type="dxa"/>
            <w:tcBorders>
              <w:top w:val="single" w:color="auto" w:sz="4" w:space="0"/>
            </w:tcBorders>
            <w:vAlign w:val="center"/>
          </w:tcPr>
          <w:p>
            <w:pPr>
              <w:rPr>
                <w:rFonts w:ascii="宋体" w:hAnsi="宋体" w:cs="宋体"/>
                <w:color w:val="auto"/>
                <w:sz w:val="24"/>
                <w:highlight w:val="none"/>
              </w:rPr>
            </w:pPr>
            <w:r>
              <w:rPr>
                <w:rFonts w:hint="eastAsia" w:ascii="宋体" w:hAnsi="宋体" w:cs="宋体"/>
                <w:color w:val="auto"/>
                <w:sz w:val="24"/>
                <w:highlight w:val="none"/>
                <w:lang w:val="en-US" w:eastAsia="zh-CN"/>
              </w:rPr>
              <w:t>本项目服务期限为一年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11</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联合体投标</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12</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供应商提出问题</w:t>
            </w:r>
          </w:p>
          <w:p>
            <w:pPr>
              <w:rPr>
                <w:rFonts w:ascii="宋体" w:hAnsi="宋体" w:cs="宋体"/>
                <w:color w:val="auto"/>
                <w:sz w:val="24"/>
                <w:highlight w:val="none"/>
              </w:rPr>
            </w:pPr>
            <w:r>
              <w:rPr>
                <w:rFonts w:hint="eastAsia" w:ascii="宋体" w:hAnsi="宋体" w:cs="宋体"/>
                <w:color w:val="auto"/>
                <w:sz w:val="24"/>
                <w:highlight w:val="none"/>
              </w:rPr>
              <w:t>的截止时间</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13</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采购人说明澄清</w:t>
            </w:r>
          </w:p>
          <w:p>
            <w:pPr>
              <w:rPr>
                <w:rFonts w:ascii="宋体" w:hAnsi="宋体" w:cs="宋体"/>
                <w:color w:val="auto"/>
                <w:sz w:val="24"/>
                <w:highlight w:val="none"/>
              </w:rPr>
            </w:pPr>
            <w:r>
              <w:rPr>
                <w:rFonts w:hint="eastAsia" w:ascii="宋体" w:hAnsi="宋体" w:cs="宋体"/>
                <w:color w:val="auto"/>
                <w:sz w:val="24"/>
                <w:highlight w:val="none"/>
              </w:rPr>
              <w:t>的时间</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 采购人、采购代理机构应当顺延提交首次响应文件截止时间。</w:t>
            </w:r>
          </w:p>
          <w:p>
            <w:pPr>
              <w:ind w:firstLine="240" w:firstLineChars="100"/>
              <w:rPr>
                <w:rFonts w:ascii="宋体" w:hAnsi="宋体" w:cs="宋体"/>
                <w:color w:val="auto"/>
                <w:sz w:val="24"/>
                <w:highlight w:val="none"/>
              </w:rPr>
            </w:pPr>
            <w:r>
              <w:rPr>
                <w:rFonts w:hint="eastAsia" w:ascii="宋体" w:hAnsi="宋体" w:cs="宋体"/>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14</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分包</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15</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构成磋商文件的</w:t>
            </w:r>
          </w:p>
          <w:p>
            <w:pPr>
              <w:rPr>
                <w:rFonts w:ascii="宋体" w:hAnsi="宋体" w:cs="宋体"/>
                <w:color w:val="auto"/>
                <w:sz w:val="24"/>
                <w:highlight w:val="none"/>
              </w:rPr>
            </w:pPr>
            <w:r>
              <w:rPr>
                <w:rFonts w:hint="eastAsia" w:ascii="宋体" w:hAnsi="宋体" w:cs="宋体"/>
                <w:color w:val="auto"/>
                <w:sz w:val="24"/>
                <w:highlight w:val="none"/>
              </w:rPr>
              <w:t>其他文件</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16</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投标截止时间</w:t>
            </w:r>
          </w:p>
        </w:tc>
        <w:tc>
          <w:tcPr>
            <w:tcW w:w="7124" w:type="dxa"/>
            <w:vAlign w:val="center"/>
          </w:tcPr>
          <w:p>
            <w:pPr>
              <w:rPr>
                <w:rFonts w:ascii="宋体" w:hAnsi="宋体" w:cs="宋体"/>
                <w:color w:val="auto"/>
                <w:sz w:val="24"/>
                <w:highlight w:val="none"/>
              </w:rPr>
            </w:pPr>
            <w:r>
              <w:rPr>
                <w:rFonts w:hint="eastAsia" w:ascii="宋体" w:hAnsi="宋体" w:cs="宋体"/>
                <w:b/>
                <w:bCs/>
                <w:color w:val="auto"/>
                <w:sz w:val="24"/>
                <w:highlight w:val="none"/>
              </w:rPr>
              <w:t>2023年</w:t>
            </w:r>
            <w:r>
              <w:rPr>
                <w:rFonts w:hint="eastAsia" w:ascii="宋体" w:hAnsi="宋体" w:cs="宋体"/>
                <w:b/>
                <w:bCs/>
                <w:color w:val="auto"/>
                <w:sz w:val="24"/>
                <w:highlight w:val="none"/>
                <w:lang w:eastAsia="zh-CN"/>
              </w:rPr>
              <w:t>06月</w:t>
            </w:r>
            <w:r>
              <w:rPr>
                <w:rFonts w:hint="eastAsia" w:ascii="宋体" w:hAnsi="宋体" w:cs="宋体"/>
                <w:b/>
                <w:bCs/>
                <w:color w:val="auto"/>
                <w:sz w:val="24"/>
                <w:highlight w:val="none"/>
                <w:lang w:val="en-US" w:eastAsia="zh-CN"/>
              </w:rPr>
              <w:t>15</w:t>
            </w:r>
            <w:r>
              <w:rPr>
                <w:rFonts w:hint="eastAsia" w:ascii="宋体" w:hAnsi="宋体" w:cs="宋体"/>
                <w:b/>
                <w:bCs/>
                <w:color w:val="auto"/>
                <w:sz w:val="24"/>
                <w:highlight w:val="none"/>
                <w:lang w:eastAsia="zh-CN"/>
              </w:rPr>
              <w:t>日</w:t>
            </w:r>
            <w:r>
              <w:rPr>
                <w:rFonts w:hint="eastAsia" w:ascii="宋体" w:hAnsi="宋体" w:cs="宋体"/>
                <w:b/>
                <w:bCs/>
                <w:color w:val="auto"/>
                <w:sz w:val="24"/>
                <w:highlight w:val="none"/>
              </w:rPr>
              <w:t>11:00（北京时间）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17</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磋商有效期</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磋商截止之日起60日历天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18</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磋商保证金</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本项目不做要求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19</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备选方案</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20</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评标委员会的组建</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评标委员会由</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人构成，其中招标人代表</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人（应当具备评标专家相应的或者类似的条件），专家</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人；</w:t>
            </w:r>
          </w:p>
          <w:p>
            <w:pPr>
              <w:rPr>
                <w:rFonts w:ascii="宋体" w:hAnsi="宋体" w:cs="宋体"/>
                <w:color w:val="auto"/>
                <w:sz w:val="24"/>
                <w:highlight w:val="none"/>
              </w:rPr>
            </w:pPr>
            <w:r>
              <w:rPr>
                <w:rFonts w:hint="eastAsia" w:ascii="宋体" w:hAnsi="宋体" w:cs="宋体"/>
                <w:color w:val="auto"/>
                <w:sz w:val="24"/>
                <w:highlight w:val="none"/>
              </w:rPr>
              <w:t>评标专家确定方式： 从政府采购专家库随机抽取</w:t>
            </w:r>
          </w:p>
          <w:p>
            <w:pPr>
              <w:rPr>
                <w:rFonts w:ascii="宋体" w:hAnsi="宋体" w:cs="宋体"/>
                <w:color w:val="auto"/>
                <w:sz w:val="24"/>
                <w:highlight w:val="none"/>
              </w:rPr>
            </w:pPr>
            <w:r>
              <w:rPr>
                <w:rFonts w:hint="eastAsia" w:ascii="宋体" w:hAnsi="宋体" w:cs="宋体"/>
                <w:color w:val="auto"/>
                <w:sz w:val="24"/>
                <w:highlight w:val="none"/>
              </w:rPr>
              <w:t>评标委员会推荐中标候选人的人数：</w:t>
            </w:r>
            <w:r>
              <w:rPr>
                <w:rFonts w:hint="eastAsia" w:ascii="宋体" w:hAnsi="宋体" w:cs="宋体"/>
                <w:color w:val="auto"/>
                <w:sz w:val="24"/>
                <w:highlight w:val="none"/>
                <w:u w:val="single"/>
              </w:rPr>
              <w:t>3</w:t>
            </w:r>
            <w:r>
              <w:rPr>
                <w:rFonts w:hint="eastAsia" w:ascii="宋体" w:hAnsi="宋体" w:cs="宋体"/>
                <w:color w:val="auto"/>
                <w:sz w:val="24"/>
                <w:highlight w:val="none"/>
              </w:rPr>
              <w:t>人</w:t>
            </w:r>
          </w:p>
          <w:p>
            <w:pPr>
              <w:rPr>
                <w:color w:val="auto"/>
                <w:highlight w:val="none"/>
              </w:rPr>
            </w:pPr>
            <w:r>
              <w:rPr>
                <w:rFonts w:hint="eastAsia" w:ascii="宋体" w:hAnsi="宋体" w:cs="宋体"/>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21</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投标人资格条件</w:t>
            </w:r>
          </w:p>
        </w:tc>
        <w:tc>
          <w:tcPr>
            <w:tcW w:w="7124" w:type="dxa"/>
            <w:vAlign w:val="center"/>
          </w:tcPr>
          <w:p>
            <w:pPr>
              <w:rPr>
                <w:rFonts w:ascii="宋体" w:hAnsi="宋体" w:cs="宋体"/>
                <w:color w:val="auto"/>
                <w:sz w:val="24"/>
                <w:highlight w:val="none"/>
              </w:rPr>
            </w:pPr>
            <w:r>
              <w:rPr>
                <w:rFonts w:hint="eastAsia" w:ascii="宋体" w:hAnsi="宋体" w:cs="宋体"/>
                <w:b/>
                <w:bCs/>
                <w:color w:val="auto"/>
                <w:sz w:val="24"/>
                <w:highlight w:val="none"/>
              </w:rPr>
              <w:t>本项目专门面向中（小微）企业</w:t>
            </w:r>
          </w:p>
          <w:p>
            <w:pPr>
              <w:rPr>
                <w:rFonts w:ascii="宋体" w:hAnsi="宋体" w:cs="宋体"/>
                <w:color w:val="auto"/>
                <w:sz w:val="24"/>
                <w:highlight w:val="none"/>
              </w:rPr>
            </w:pPr>
            <w:r>
              <w:rPr>
                <w:rFonts w:hint="eastAsia" w:ascii="宋体" w:hAnsi="宋体" w:cs="宋体"/>
                <w:color w:val="auto"/>
                <w:sz w:val="24"/>
                <w:highlight w:val="none"/>
              </w:rPr>
              <w:t>（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b w:val="0"/>
                <w:bCs/>
                <w:color w:val="auto"/>
                <w:highlight w:val="none"/>
              </w:rPr>
            </w:pPr>
            <w:r>
              <w:rPr>
                <w:rFonts w:hint="eastAsia" w:ascii="宋体" w:hAnsi="宋体" w:cs="宋体"/>
                <w:color w:val="auto"/>
                <w:sz w:val="24"/>
                <w:highlight w:val="none"/>
              </w:rPr>
              <w:t>（二）具有有效的营业执照；</w:t>
            </w:r>
          </w:p>
          <w:p>
            <w:pP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近六个月其中任意一个月的社保证明（需有相关人员的社保缴纳明细，退休人员需提供退休证明）和近六个月其中任意一个月完税证明、近三年（2020年-2022年）任意一年的财务报表（成立不足一年的提供成立至今的财务报表，包含资产负债表、现金流量表、利润表）；</w:t>
            </w:r>
          </w:p>
          <w:p>
            <w:pP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）供应商未被列入</w:t>
            </w:r>
            <w:r>
              <w:rPr>
                <w:rFonts w:hint="eastAsia" w:ascii="宋体" w:hAnsi="宋体" w:cs="宋体"/>
                <w:color w:val="auto"/>
                <w:sz w:val="24"/>
                <w:highlight w:val="none"/>
                <w:lang w:eastAsia="ar-SA"/>
              </w:rPr>
              <w:t>“信用中国”网站信用信息报告、国家企业信用信息公示系统报告</w:t>
            </w:r>
            <w:r>
              <w:rPr>
                <w:rFonts w:hint="eastAsia" w:ascii="宋体" w:hAnsi="宋体" w:cs="宋体"/>
                <w:color w:val="auto"/>
                <w:sz w:val="24"/>
                <w:highlight w:val="none"/>
              </w:rPr>
              <w:t>、</w:t>
            </w:r>
            <w:r>
              <w:rPr>
                <w:rFonts w:hint="eastAsia" w:ascii="宋体" w:hAnsi="宋体" w:cs="宋体"/>
                <w:color w:val="auto"/>
                <w:sz w:val="24"/>
                <w:highlight w:val="none"/>
                <w:lang w:eastAsia="ar-SA"/>
              </w:rPr>
              <w:t>中国政府采购</w:t>
            </w:r>
            <w:r>
              <w:rPr>
                <w:rFonts w:hint="eastAsia" w:ascii="宋体" w:hAnsi="宋体" w:cs="宋体"/>
                <w:color w:val="auto"/>
                <w:sz w:val="24"/>
                <w:highlight w:val="none"/>
              </w:rPr>
              <w:t>网未被列入严重违法失信行为记录名单（尚在处罚期内的）；（在“信用中国”网站和“中国政府采购网”网站查询结果为准，如相关失信记录已失效，供应商需提供相关证明资料）</w:t>
            </w:r>
          </w:p>
          <w:p>
            <w:pP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）本项目不接受联合体投标。</w:t>
            </w:r>
          </w:p>
          <w:p>
            <w:pP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）符合竞争性磋商文件中其他实质性要求。</w:t>
            </w:r>
          </w:p>
          <w:p>
            <w:pPr>
              <w:rPr>
                <w:rFonts w:ascii="宋体" w:hAnsi="宋体" w:cs="宋体"/>
                <w:color w:val="auto"/>
                <w:sz w:val="24"/>
                <w:highlight w:val="none"/>
              </w:rPr>
            </w:pPr>
            <w:r>
              <w:rPr>
                <w:rFonts w:hint="eastAsia" w:ascii="宋体" w:hAnsi="宋体" w:cs="宋体"/>
                <w:color w:val="auto"/>
                <w:sz w:val="24"/>
                <w:highlight w:val="none"/>
              </w:rPr>
              <w:t>财务要求：财务状况良好。</w:t>
            </w:r>
          </w:p>
          <w:p>
            <w:pPr>
              <w:rPr>
                <w:rFonts w:ascii="宋体" w:hAnsi="宋体" w:cs="宋体"/>
                <w:color w:val="auto"/>
                <w:sz w:val="24"/>
                <w:highlight w:val="none"/>
              </w:rPr>
            </w:pPr>
            <w:r>
              <w:rPr>
                <w:rFonts w:hint="eastAsia" w:ascii="宋体" w:hAnsi="宋体" w:cs="宋体"/>
                <w:color w:val="auto"/>
                <w:sz w:val="24"/>
                <w:highlight w:val="none"/>
              </w:rPr>
              <w:t>信誉要求：良好，无不良行为记录。</w:t>
            </w:r>
          </w:p>
          <w:p>
            <w:pPr>
              <w:rPr>
                <w:rFonts w:ascii="宋体" w:hAnsi="宋体" w:cs="宋体"/>
                <w:color w:val="auto"/>
                <w:sz w:val="24"/>
                <w:highlight w:val="none"/>
              </w:rPr>
            </w:pPr>
            <w:r>
              <w:rPr>
                <w:rFonts w:hint="eastAsia" w:ascii="宋体" w:hAnsi="宋体" w:cs="宋体"/>
                <w:color w:val="auto"/>
                <w:sz w:val="24"/>
                <w:highlight w:val="none"/>
              </w:rPr>
              <w:t>其他要求：符合国家相关规范标准。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22</w:t>
            </w:r>
          </w:p>
        </w:tc>
        <w:tc>
          <w:tcPr>
            <w:tcW w:w="2082" w:type="dxa"/>
            <w:vAlign w:val="center"/>
          </w:tcPr>
          <w:p>
            <w:pPr>
              <w:rPr>
                <w:rFonts w:ascii="宋体" w:hAnsi="宋体" w:cs="宋体"/>
                <w:color w:val="auto"/>
                <w:sz w:val="24"/>
                <w:highlight w:val="none"/>
              </w:rPr>
            </w:pPr>
            <w:r>
              <w:rPr>
                <w:rFonts w:hint="eastAsia"/>
                <w:color w:val="auto"/>
                <w:sz w:val="24"/>
                <w:highlight w:val="none"/>
              </w:rPr>
              <w:t>响应文件的要求</w:t>
            </w:r>
          </w:p>
        </w:tc>
        <w:tc>
          <w:tcPr>
            <w:tcW w:w="7124" w:type="dxa"/>
            <w:vAlign w:val="center"/>
          </w:tcPr>
          <w:p>
            <w:pPr>
              <w:rPr>
                <w:color w:val="auto"/>
                <w:sz w:val="24"/>
                <w:highlight w:val="none"/>
              </w:rPr>
            </w:pPr>
            <w:r>
              <w:rPr>
                <w:rFonts w:hint="eastAsia"/>
                <w:color w:val="auto"/>
                <w:sz w:val="24"/>
                <w:highlight w:val="none"/>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pPr>
              <w:rPr>
                <w:color w:val="auto"/>
                <w:sz w:val="24"/>
                <w:highlight w:val="none"/>
              </w:rPr>
            </w:pPr>
            <w:r>
              <w:rPr>
                <w:rFonts w:hint="eastAsia"/>
                <w:color w:val="auto"/>
                <w:sz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color w:val="auto"/>
                <w:sz w:val="24"/>
                <w:highlight w:val="none"/>
              </w:rPr>
            </w:pPr>
            <w:r>
              <w:rPr>
                <w:rFonts w:hint="eastAsia"/>
                <w:color w:val="auto"/>
                <w:sz w:val="24"/>
                <w:highlight w:val="none"/>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color w:val="auto"/>
                <w:sz w:val="24"/>
                <w:highlight w:val="none"/>
              </w:rPr>
            </w:pPr>
            <w:r>
              <w:rPr>
                <w:rFonts w:hint="eastAsia"/>
                <w:color w:val="auto"/>
                <w:sz w:val="24"/>
                <w:highlight w:val="none"/>
              </w:rPr>
              <w:t>4、供应商在开标时须携带制作加密电子响应文件所使用的CA锁，电脑须提前配置好浏览器（建议使用360浏览器或谷歌浏览器），以便开标时在线解密。</w:t>
            </w:r>
          </w:p>
          <w:p>
            <w:pPr>
              <w:rPr>
                <w:color w:val="auto"/>
                <w:sz w:val="24"/>
                <w:highlight w:val="none"/>
              </w:rPr>
            </w:pPr>
            <w:r>
              <w:rPr>
                <w:rFonts w:hint="eastAsia"/>
                <w:color w:val="auto"/>
                <w:sz w:val="24"/>
                <w:highlight w:val="none"/>
              </w:rPr>
              <w:t>5、投标供应商应当在投标截止时间前，将生成的“JMBS格式电子加密响应文件”上传递交至“政府采购云平台”，投标截止时间以后上传递交的响应文件将被“政府采购云平台”拒收。</w:t>
            </w:r>
          </w:p>
          <w:p>
            <w:pPr>
              <w:rPr>
                <w:rFonts w:ascii="宋体" w:hAnsi="宋体" w:cs="宋体"/>
                <w:color w:val="auto"/>
                <w:sz w:val="24"/>
                <w:highlight w:val="none"/>
              </w:rPr>
            </w:pPr>
            <w:r>
              <w:rPr>
                <w:rFonts w:hint="eastAsia"/>
                <w:color w:val="auto"/>
                <w:sz w:val="24"/>
                <w:highlight w:val="none"/>
              </w:rPr>
              <w:t>6、</w:t>
            </w:r>
            <w:r>
              <w:rPr>
                <w:rFonts w:hint="eastAsia"/>
                <w:b/>
                <w:bCs/>
                <w:color w:val="auto"/>
                <w:sz w:val="24"/>
                <w:highlight w:val="none"/>
              </w:rPr>
              <w:t>评标结束后，各投标单位须在一周内按竞争性磋商文件要求将纸质版响应文件递交至招标代理处（所产生的的费用投标单位自理）</w:t>
            </w:r>
            <w:r>
              <w:rPr>
                <w:rFonts w:hint="eastAsia"/>
                <w:color w:val="auto"/>
                <w:sz w:val="24"/>
                <w:highlight w:val="none"/>
              </w:rPr>
              <w:t>。纸质版响应文件可通过加密电子版响应文件打印生成，应当与电子版响应文件一致。【1、份数要求：</w:t>
            </w:r>
            <w:r>
              <w:rPr>
                <w:rFonts w:hint="eastAsia"/>
                <w:b/>
                <w:bCs/>
                <w:color w:val="auto"/>
                <w:sz w:val="24"/>
                <w:highlight w:val="none"/>
              </w:rPr>
              <w:t>正本壹份、副本叁份，电子标壹份（U盘）</w:t>
            </w:r>
            <w:r>
              <w:rPr>
                <w:rFonts w:hint="eastAsia"/>
                <w:color w:val="auto"/>
                <w:sz w:val="24"/>
                <w:highlight w:val="none"/>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23</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递交响应</w:t>
            </w:r>
          </w:p>
          <w:p>
            <w:pPr>
              <w:rPr>
                <w:rFonts w:ascii="宋体" w:hAnsi="宋体" w:cs="宋体"/>
                <w:color w:val="auto"/>
                <w:sz w:val="24"/>
                <w:highlight w:val="none"/>
              </w:rPr>
            </w:pPr>
            <w:r>
              <w:rPr>
                <w:rFonts w:hint="eastAsia" w:ascii="宋体" w:hAnsi="宋体" w:cs="宋体"/>
                <w:color w:val="auto"/>
                <w:sz w:val="24"/>
                <w:highlight w:val="none"/>
              </w:rPr>
              <w:t>文件地点</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政府采购云平台（</w:t>
            </w:r>
            <w:r>
              <w:rPr>
                <w:rFonts w:hint="eastAsia"/>
                <w:color w:val="auto"/>
                <w:sz w:val="24"/>
                <w:highlight w:val="none"/>
              </w:rPr>
              <w:t>政采云网上不见面开评标系统</w:t>
            </w:r>
            <w:r>
              <w:rPr>
                <w:rFonts w:hint="eastAsia" w:ascii="宋体" w:hAnsi="宋体" w:cs="宋体"/>
                <w:color w:val="auto"/>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24</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磋商时间和地点</w:t>
            </w:r>
          </w:p>
        </w:tc>
        <w:tc>
          <w:tcPr>
            <w:tcW w:w="7124" w:type="dxa"/>
            <w:vAlign w:val="center"/>
          </w:tcPr>
          <w:p>
            <w:pPr>
              <w:rPr>
                <w:rFonts w:hint="eastAsia" w:eastAsia="宋体"/>
                <w:color w:val="auto"/>
                <w:sz w:val="24"/>
                <w:highlight w:val="none"/>
              </w:rPr>
            </w:pPr>
            <w:r>
              <w:rPr>
                <w:rFonts w:hint="eastAsia" w:eastAsia="宋体"/>
                <w:color w:val="auto"/>
                <w:sz w:val="24"/>
                <w:highlight w:val="none"/>
              </w:rPr>
              <w:t>磋商时间：2023年</w:t>
            </w:r>
            <w:r>
              <w:rPr>
                <w:rFonts w:hint="eastAsia" w:eastAsia="宋体"/>
                <w:color w:val="auto"/>
                <w:sz w:val="24"/>
                <w:highlight w:val="none"/>
                <w:lang w:eastAsia="zh-CN"/>
              </w:rPr>
              <w:t>06月</w:t>
            </w:r>
            <w:r>
              <w:rPr>
                <w:rFonts w:hint="eastAsia"/>
                <w:color w:val="auto"/>
                <w:sz w:val="24"/>
                <w:highlight w:val="none"/>
                <w:lang w:val="en-US" w:eastAsia="zh-CN"/>
              </w:rPr>
              <w:t>15</w:t>
            </w:r>
            <w:r>
              <w:rPr>
                <w:rFonts w:hint="eastAsia" w:eastAsia="宋体"/>
                <w:color w:val="auto"/>
                <w:sz w:val="24"/>
                <w:highlight w:val="none"/>
                <w:lang w:eastAsia="zh-CN"/>
              </w:rPr>
              <w:t>日</w:t>
            </w:r>
            <w:r>
              <w:rPr>
                <w:rFonts w:hint="eastAsia" w:eastAsia="宋体"/>
                <w:color w:val="auto"/>
                <w:sz w:val="24"/>
                <w:highlight w:val="none"/>
              </w:rPr>
              <w:t>11:00（北京时间）</w:t>
            </w:r>
          </w:p>
          <w:p>
            <w:pPr>
              <w:rPr>
                <w:rFonts w:hint="eastAsia" w:eastAsia="宋体"/>
                <w:color w:val="auto"/>
                <w:sz w:val="24"/>
                <w:highlight w:val="none"/>
              </w:rPr>
            </w:pPr>
            <w:r>
              <w:rPr>
                <w:rFonts w:hint="eastAsia" w:eastAsia="宋体"/>
                <w:color w:val="auto"/>
                <w:sz w:val="24"/>
                <w:highlight w:val="none"/>
              </w:rPr>
              <w:t>磋商地点：政府采购云平台（政采云网上不见面开评标系统）</w:t>
            </w:r>
          </w:p>
          <w:p>
            <w:pPr>
              <w:rPr>
                <w:rFonts w:hint="eastAsia" w:eastAsia="宋体"/>
                <w:color w:val="auto"/>
                <w:sz w:val="24"/>
                <w:highlight w:val="none"/>
              </w:rPr>
            </w:pPr>
            <w:r>
              <w:rPr>
                <w:rFonts w:hint="eastAsia" w:eastAsia="宋体"/>
                <w:color w:val="auto"/>
                <w:sz w:val="24"/>
                <w:highlight w:val="none"/>
              </w:rPr>
              <w:t>备注：供应商需要使用CA锁，登录政府采购云平台电子投标客户端制作响应文件，将生成的“JMBS格式电子加密响应文件”上传递交至“政府采购云平台”</w:t>
            </w:r>
          </w:p>
          <w:p>
            <w:pPr>
              <w:rPr>
                <w:color w:val="auto"/>
                <w:highlight w:val="none"/>
              </w:rPr>
            </w:pPr>
            <w:r>
              <w:rPr>
                <w:rFonts w:hint="eastAsia" w:eastAsia="宋体"/>
                <w:b/>
                <w:bCs/>
                <w:color w:val="auto"/>
                <w:sz w:val="24"/>
                <w:highlight w:val="none"/>
                <w:lang w:val="en-US" w:eastAsia="zh-CN"/>
              </w:rPr>
              <w:t>本项目需缴纳场地使用费，投标单位&gt;6家时，6000元/家数，≤6家时，每家1000元。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25</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政府采购其他政策</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1、政府采购强制采购：（1）标记*符号的节能产品；（2）其他采购《节能产品政府采购清单》内的产品。</w:t>
            </w:r>
          </w:p>
          <w:p>
            <w:pPr>
              <w:rPr>
                <w:rFonts w:ascii="宋体" w:hAnsi="宋体" w:cs="宋体"/>
                <w:color w:val="auto"/>
                <w:sz w:val="24"/>
                <w:highlight w:val="none"/>
              </w:rPr>
            </w:pPr>
            <w:r>
              <w:rPr>
                <w:rFonts w:hint="eastAsia" w:ascii="宋体" w:hAnsi="宋体" w:cs="宋体"/>
                <w:color w:val="auto"/>
                <w:sz w:val="24"/>
                <w:highlight w:val="none"/>
              </w:rPr>
              <w:t>2、政府采购优先采购：(1)非标记*符号的节能产品；(2)环境标志产品；</w:t>
            </w:r>
          </w:p>
          <w:p>
            <w:pPr>
              <w:rPr>
                <w:rFonts w:ascii="宋体" w:hAnsi="宋体" w:cs="宋体"/>
                <w:color w:val="auto"/>
                <w:sz w:val="24"/>
                <w:highlight w:val="none"/>
              </w:rPr>
            </w:pPr>
            <w:r>
              <w:rPr>
                <w:rFonts w:hint="eastAsia" w:ascii="宋体" w:hAnsi="宋体" w:cs="宋体"/>
                <w:color w:val="auto"/>
                <w:sz w:val="24"/>
                <w:highlight w:val="none"/>
              </w:rPr>
              <w:t>3、采购产品为《节能产品政府采购清单》内非标记*符号的节能产品及《环境标志产品政府采购清单》内的产品：</w:t>
            </w:r>
          </w:p>
          <w:p>
            <w:pPr>
              <w:ind w:firstLine="240" w:firstLineChars="100"/>
              <w:rPr>
                <w:rFonts w:ascii="宋体" w:hAnsi="宋体" w:cs="宋体"/>
                <w:color w:val="auto"/>
                <w:sz w:val="24"/>
                <w:highlight w:val="none"/>
              </w:rPr>
            </w:pPr>
            <w:r>
              <w:rPr>
                <w:rFonts w:hint="eastAsia" w:ascii="宋体" w:hAnsi="宋体" w:cs="宋体"/>
                <w:color w:val="auto"/>
                <w:sz w:val="24"/>
                <w:highlight w:val="none"/>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Merge w:val="restart"/>
            <w:vAlign w:val="center"/>
          </w:tcPr>
          <w:p>
            <w:pPr>
              <w:jc w:val="center"/>
              <w:rPr>
                <w:rFonts w:ascii="宋体" w:hAnsi="宋体" w:cs="宋体"/>
                <w:color w:val="auto"/>
                <w:sz w:val="24"/>
                <w:highlight w:val="none"/>
              </w:rPr>
            </w:pPr>
            <w:r>
              <w:rPr>
                <w:rFonts w:hint="eastAsia" w:ascii="宋体" w:hAnsi="宋体" w:cs="宋体"/>
                <w:color w:val="auto"/>
                <w:sz w:val="24"/>
                <w:highlight w:val="none"/>
              </w:rPr>
              <w:t>26</w:t>
            </w:r>
          </w:p>
        </w:tc>
        <w:tc>
          <w:tcPr>
            <w:tcW w:w="2082" w:type="dxa"/>
            <w:vMerge w:val="restart"/>
            <w:vAlign w:val="center"/>
          </w:tcPr>
          <w:p>
            <w:pPr>
              <w:rPr>
                <w:rFonts w:ascii="宋体" w:hAnsi="宋体" w:cs="宋体"/>
                <w:color w:val="auto"/>
                <w:sz w:val="24"/>
                <w:highlight w:val="none"/>
              </w:rPr>
            </w:pPr>
            <w:r>
              <w:rPr>
                <w:rFonts w:hint="eastAsia" w:ascii="宋体" w:hAnsi="宋体" w:cs="宋体"/>
                <w:color w:val="auto"/>
                <w:sz w:val="24"/>
                <w:highlight w:val="none"/>
              </w:rPr>
              <w:t>支持中小企业发展</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根据中华人民共和国财政部、中华人民共和国工业和信息化部《政府采购促进中小企业发展管理办法》(财库〔2020〕46号)文件的规定，属于中小企业评审优惠内容及幅度如下：</w:t>
            </w:r>
          </w:p>
          <w:p>
            <w:pPr>
              <w:rPr>
                <w:rFonts w:ascii="宋体" w:hAnsi="宋体" w:cs="宋体"/>
                <w:color w:val="auto"/>
                <w:sz w:val="24"/>
                <w:highlight w:val="none"/>
              </w:rPr>
            </w:pPr>
            <w:r>
              <w:rPr>
                <w:rFonts w:hint="eastAsia" w:ascii="宋体" w:hAnsi="宋体" w:cs="宋体"/>
                <w:color w:val="auto"/>
                <w:sz w:val="24"/>
                <w:highlight w:val="none"/>
              </w:rPr>
              <w:t>（一）中小企业（含中型、小型、微型企业）应当同时符合以下条件：</w:t>
            </w:r>
          </w:p>
          <w:p>
            <w:pPr>
              <w:rPr>
                <w:rFonts w:ascii="宋体" w:hAnsi="宋体" w:cs="宋体"/>
                <w:color w:val="auto"/>
                <w:sz w:val="24"/>
                <w:highlight w:val="none"/>
              </w:rPr>
            </w:pPr>
            <w:r>
              <w:rPr>
                <w:rFonts w:hint="eastAsia" w:ascii="宋体" w:hAnsi="宋体" w:cs="宋体"/>
                <w:color w:val="auto"/>
                <w:sz w:val="24"/>
                <w:highlight w:val="none"/>
              </w:rPr>
              <w:t>①符合中小企业划分标准（按《关于印发中小企业划型标准规定的通知》（工信部联企业〔2011〕300号）执行）；</w:t>
            </w:r>
          </w:p>
          <w:p>
            <w:pPr>
              <w:rPr>
                <w:rFonts w:ascii="宋体" w:hAnsi="宋体" w:cs="宋体"/>
                <w:color w:val="auto"/>
                <w:sz w:val="24"/>
                <w:highlight w:val="none"/>
              </w:rPr>
            </w:pPr>
            <w:r>
              <w:rPr>
                <w:rFonts w:hint="eastAsia" w:ascii="宋体" w:hAnsi="宋体" w:cs="宋体"/>
                <w:color w:val="auto"/>
                <w:sz w:val="24"/>
                <w:highlight w:val="none"/>
              </w:rPr>
              <w:t>②提供本企业制造的货物、承担的项目或者服务，或者提供其他中小企业制造的货物。本项所称货物不包括使用大型企业注册商标的货物；</w:t>
            </w:r>
          </w:p>
          <w:p>
            <w:pPr>
              <w:rPr>
                <w:rFonts w:ascii="宋体" w:hAnsi="宋体" w:cs="宋体"/>
                <w:color w:val="auto"/>
                <w:sz w:val="24"/>
                <w:highlight w:val="none"/>
              </w:rPr>
            </w:pPr>
            <w:r>
              <w:rPr>
                <w:rFonts w:hint="eastAsia" w:ascii="宋体" w:hAnsi="宋体" w:cs="宋体"/>
                <w:color w:val="auto"/>
                <w:sz w:val="24"/>
                <w:highlight w:val="none"/>
              </w:rPr>
              <w:t>③小型、微型企业提供中型企业制造的货物的，视同为中型企业。</w:t>
            </w:r>
          </w:p>
          <w:p>
            <w:pPr>
              <w:rPr>
                <w:rFonts w:ascii="宋体" w:hAnsi="宋体" w:cs="宋体"/>
                <w:color w:val="auto"/>
                <w:sz w:val="24"/>
                <w:highlight w:val="none"/>
              </w:rPr>
            </w:pPr>
            <w:r>
              <w:rPr>
                <w:rFonts w:hint="eastAsia" w:ascii="宋体" w:hAnsi="宋体" w:cs="宋体"/>
                <w:color w:val="auto"/>
                <w:sz w:val="24"/>
                <w:highlight w:val="none"/>
              </w:rPr>
              <w:t>（三）小型和微型企业适用价格扣除办法时应提供的相关资料：《中小企业声明函》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vMerge w:val="continue"/>
            <w:vAlign w:val="center"/>
          </w:tcPr>
          <w:p>
            <w:pPr>
              <w:jc w:val="center"/>
              <w:rPr>
                <w:rFonts w:ascii="宋体" w:hAnsi="宋体" w:cs="宋体"/>
                <w:color w:val="auto"/>
                <w:sz w:val="24"/>
                <w:highlight w:val="none"/>
              </w:rPr>
            </w:pPr>
          </w:p>
        </w:tc>
        <w:tc>
          <w:tcPr>
            <w:tcW w:w="2082" w:type="dxa"/>
            <w:vMerge w:val="continue"/>
            <w:vAlign w:val="center"/>
          </w:tcPr>
          <w:p>
            <w:pPr>
              <w:rPr>
                <w:rFonts w:ascii="宋体" w:hAnsi="宋体" w:cs="宋体"/>
                <w:color w:val="auto"/>
                <w:sz w:val="24"/>
                <w:highlight w:val="none"/>
              </w:rPr>
            </w:pP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政府采购支持中小企业融资：有融资需求的，可查询相关业务。</w:t>
            </w:r>
          </w:p>
          <w:p>
            <w:pPr>
              <w:rPr>
                <w:rFonts w:ascii="宋体" w:hAnsi="宋体" w:cs="宋体"/>
                <w:color w:val="auto"/>
                <w:sz w:val="24"/>
                <w:highlight w:val="none"/>
              </w:rPr>
            </w:pPr>
            <w:r>
              <w:rPr>
                <w:rFonts w:hint="eastAsia" w:ascii="宋体" w:hAnsi="宋体" w:cs="宋体"/>
                <w:color w:val="auto"/>
                <w:sz w:val="24"/>
                <w:highlight w:val="none"/>
              </w:rPr>
              <w:t>政府采购信用担保：有担保需求的，可查询相关业务。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27</w:t>
            </w:r>
          </w:p>
        </w:tc>
        <w:tc>
          <w:tcPr>
            <w:tcW w:w="208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特别提示</w:t>
            </w: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1、超过200万元的货物和服务采购项目、超过400万元的工程采购项目中适宜由中小企业提供的，预留该部分采购项目预算总额的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0%以上专门面向中小企业采购，其中预留给小微企业的比例不低于60%。</w:t>
            </w:r>
          </w:p>
          <w:p>
            <w:pPr>
              <w:rPr>
                <w:rFonts w:ascii="宋体" w:hAnsi="宋体" w:cs="宋体"/>
                <w:color w:val="auto"/>
                <w:sz w:val="24"/>
                <w:highlight w:val="none"/>
              </w:rPr>
            </w:pPr>
            <w:r>
              <w:rPr>
                <w:rFonts w:hint="eastAsia" w:ascii="宋体" w:hAnsi="宋体" w:cs="宋体"/>
                <w:color w:val="auto"/>
                <w:sz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rPr>
                <w:rFonts w:ascii="宋体" w:hAnsi="宋体" w:cs="宋体"/>
                <w:b/>
                <w:bCs/>
                <w:color w:val="auto"/>
                <w:sz w:val="24"/>
                <w:highlight w:val="none"/>
              </w:rPr>
            </w:pPr>
            <w:r>
              <w:rPr>
                <w:rFonts w:hint="eastAsia" w:ascii="宋体" w:hAnsi="宋体" w:cs="宋体"/>
                <w:color w:val="auto"/>
                <w:sz w:val="24"/>
                <w:highlight w:val="none"/>
              </w:rPr>
              <w:t>3、接受大中型企业与小微企业组成联合体或者允许大中型企业向一家或者多家小微企业分包的采购项目，对于联合协议或者分包意向协议约定小微企业的合同份额占到合同总金额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color w:val="auto"/>
                <w:highlight w:val="none"/>
              </w:rPr>
            </w:pPr>
            <w:r>
              <w:rPr>
                <w:rFonts w:hint="eastAsia" w:ascii="宋体" w:hAnsi="宋体" w:cs="宋体"/>
                <w:b/>
                <w:bCs/>
                <w:color w:val="auto"/>
                <w:sz w:val="24"/>
                <w:highlight w:val="none"/>
              </w:rPr>
              <w:t>小微企业适用价格扣除办法时应提供的相关资料：《中小企业声明函》。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28</w:t>
            </w:r>
          </w:p>
        </w:tc>
        <w:tc>
          <w:tcPr>
            <w:tcW w:w="2082"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投标人不得存在下列情形之一</w:t>
            </w:r>
          </w:p>
          <w:p>
            <w:pPr>
              <w:jc w:val="center"/>
              <w:rPr>
                <w:rFonts w:ascii="宋体" w:hAnsi="宋体" w:cs="宋体"/>
                <w:color w:val="auto"/>
                <w:sz w:val="24"/>
                <w:highlight w:val="none"/>
              </w:rPr>
            </w:pP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（1）与招标人存在利害关系且可能影响招标公正性；</w:t>
            </w:r>
          </w:p>
          <w:p>
            <w:pPr>
              <w:rPr>
                <w:rFonts w:ascii="宋体" w:hAnsi="宋体" w:cs="宋体"/>
                <w:color w:val="auto"/>
                <w:sz w:val="24"/>
                <w:highlight w:val="none"/>
              </w:rPr>
            </w:pPr>
            <w:r>
              <w:rPr>
                <w:rFonts w:hint="eastAsia" w:ascii="宋体" w:hAnsi="宋体" w:cs="宋体"/>
                <w:color w:val="auto"/>
                <w:sz w:val="24"/>
                <w:highlight w:val="none"/>
              </w:rPr>
              <w:t>（2）与本招标项目的其他投标人为同一个单位负责人；</w:t>
            </w:r>
          </w:p>
          <w:p>
            <w:pPr>
              <w:rPr>
                <w:rFonts w:ascii="宋体" w:hAnsi="宋体" w:cs="宋体"/>
                <w:color w:val="auto"/>
                <w:sz w:val="24"/>
                <w:highlight w:val="none"/>
              </w:rPr>
            </w:pPr>
            <w:r>
              <w:rPr>
                <w:rFonts w:hint="eastAsia" w:ascii="宋体" w:hAnsi="宋体" w:cs="宋体"/>
                <w:color w:val="auto"/>
                <w:sz w:val="24"/>
                <w:highlight w:val="none"/>
              </w:rPr>
              <w:t>（3）与本招标项目的其他投标人存在控股、管理关系；</w:t>
            </w:r>
          </w:p>
          <w:p>
            <w:pPr>
              <w:rPr>
                <w:rFonts w:ascii="宋体" w:hAnsi="宋体" w:cs="宋体"/>
                <w:color w:val="auto"/>
                <w:sz w:val="24"/>
                <w:highlight w:val="none"/>
              </w:rPr>
            </w:pPr>
            <w:r>
              <w:rPr>
                <w:rFonts w:hint="eastAsia" w:ascii="宋体" w:hAnsi="宋体" w:cs="宋体"/>
                <w:color w:val="auto"/>
                <w:sz w:val="24"/>
                <w:highlight w:val="none"/>
              </w:rPr>
              <w:t>（4）被依法暂停或者取消投标资格；</w:t>
            </w:r>
          </w:p>
          <w:p>
            <w:pPr>
              <w:rPr>
                <w:rFonts w:ascii="宋体" w:hAnsi="宋体" w:cs="宋体"/>
                <w:color w:val="auto"/>
                <w:sz w:val="24"/>
                <w:highlight w:val="none"/>
              </w:rPr>
            </w:pPr>
            <w:r>
              <w:rPr>
                <w:rFonts w:hint="eastAsia" w:ascii="宋体" w:hAnsi="宋体" w:cs="宋体"/>
                <w:color w:val="auto"/>
                <w:sz w:val="24"/>
                <w:highlight w:val="none"/>
              </w:rPr>
              <w:t>（5）被责令停产停业、暂扣或者吊销许可证、暂扣或者吊销执照；</w:t>
            </w:r>
          </w:p>
          <w:p>
            <w:pPr>
              <w:rPr>
                <w:rFonts w:ascii="宋体" w:hAnsi="宋体" w:cs="宋体"/>
                <w:color w:val="auto"/>
                <w:sz w:val="24"/>
                <w:highlight w:val="none"/>
              </w:rPr>
            </w:pPr>
            <w:r>
              <w:rPr>
                <w:rFonts w:hint="eastAsia" w:ascii="宋体" w:hAnsi="宋体" w:cs="宋体"/>
                <w:color w:val="auto"/>
                <w:sz w:val="24"/>
                <w:highlight w:val="none"/>
              </w:rPr>
              <w:t>（6）进入清算程序，或被宣告破产，或其他丧失履约能力的情形；</w:t>
            </w:r>
          </w:p>
          <w:p>
            <w:pPr>
              <w:rPr>
                <w:rFonts w:ascii="宋体" w:hAnsi="宋体" w:cs="宋体"/>
                <w:color w:val="auto"/>
                <w:sz w:val="24"/>
                <w:highlight w:val="none"/>
              </w:rPr>
            </w:pPr>
            <w:r>
              <w:rPr>
                <w:rFonts w:hint="eastAsia" w:ascii="宋体" w:hAnsi="宋体" w:cs="宋体"/>
                <w:color w:val="auto"/>
                <w:sz w:val="24"/>
                <w:highlight w:val="none"/>
              </w:rPr>
              <w:t>（7）被工商行政管理机关在全国企业信用信息公示系统中列入严重违法失信企业名单；</w:t>
            </w:r>
          </w:p>
          <w:p>
            <w:pPr>
              <w:rPr>
                <w:rFonts w:ascii="宋体" w:hAnsi="宋体" w:cs="宋体"/>
                <w:color w:val="auto"/>
                <w:sz w:val="24"/>
                <w:highlight w:val="none"/>
              </w:rPr>
            </w:pPr>
            <w:r>
              <w:rPr>
                <w:rFonts w:hint="eastAsia" w:ascii="宋体" w:hAnsi="宋体" w:cs="宋体"/>
                <w:color w:val="auto"/>
                <w:sz w:val="24"/>
                <w:highlight w:val="none"/>
              </w:rPr>
              <w:t>（8）被最高人民法院在“信用中国”网站（www.creditchina.gov.cn）或各级信用信息共享平台中列入失信被执行人名单；</w:t>
            </w:r>
          </w:p>
          <w:p>
            <w:pPr>
              <w:rPr>
                <w:rFonts w:ascii="宋体" w:hAnsi="宋体" w:cs="宋体"/>
                <w:color w:val="auto"/>
                <w:sz w:val="24"/>
                <w:highlight w:val="none"/>
              </w:rPr>
            </w:pPr>
            <w:r>
              <w:rPr>
                <w:rFonts w:hint="eastAsia" w:ascii="宋体" w:hAnsi="宋体" w:cs="宋体"/>
                <w:color w:val="auto"/>
                <w:sz w:val="24"/>
                <w:highlight w:val="none"/>
              </w:rPr>
              <w:t>（9）在近三年内投标人或其法定代表人、拟委任的项目负责人有行贿犯罪行为的；</w:t>
            </w:r>
          </w:p>
          <w:p>
            <w:pPr>
              <w:rPr>
                <w:rFonts w:ascii="宋体" w:hAnsi="宋体" w:cs="宋体"/>
                <w:color w:val="auto"/>
                <w:sz w:val="24"/>
                <w:highlight w:val="none"/>
              </w:rPr>
            </w:pPr>
            <w:r>
              <w:rPr>
                <w:rFonts w:hint="eastAsia" w:ascii="宋体" w:hAnsi="宋体" w:cs="宋体"/>
                <w:color w:val="auto"/>
                <w:sz w:val="24"/>
                <w:highlight w:val="none"/>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29</w:t>
            </w:r>
          </w:p>
        </w:tc>
        <w:tc>
          <w:tcPr>
            <w:tcW w:w="2082"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低于成本价不正当竞争预防措施</w:t>
            </w:r>
          </w:p>
          <w:p>
            <w:pPr>
              <w:rPr>
                <w:rFonts w:ascii="宋体" w:hAnsi="宋体" w:cs="宋体"/>
                <w:color w:val="auto"/>
                <w:sz w:val="24"/>
                <w:highlight w:val="none"/>
              </w:rPr>
            </w:pPr>
          </w:p>
        </w:tc>
        <w:tc>
          <w:tcPr>
            <w:tcW w:w="7124" w:type="dxa"/>
            <w:vAlign w:val="center"/>
          </w:tcPr>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p>
            <w:pPr>
              <w:pStyle w:val="2"/>
              <w:rPr>
                <w:color w:val="auto"/>
                <w:highlight w:val="none"/>
              </w:rPr>
            </w:pPr>
            <w:r>
              <w:rPr>
                <w:rFonts w:hint="eastAsia" w:ascii="Times New Roman" w:hAnsi="Times New Roman" w:eastAsia="宋体" w:cs="Times New Roman"/>
                <w:color w:val="auto"/>
                <w:kern w:val="2"/>
                <w:sz w:val="24"/>
                <w:szCs w:val="32"/>
                <w:highlight w:val="none"/>
                <w:lang w:val="en-US" w:eastAsia="zh-CN" w:bidi="ar-SA"/>
              </w:rPr>
              <w:t>供应商应当在投标截止前提前准好上述审查资料以备评标委员会审查，提供书面说明的有效时间为30分钟，逾期提供或者未提供的，评标委员会将其投标文件作为无效处理。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30</w:t>
            </w:r>
          </w:p>
        </w:tc>
        <w:tc>
          <w:tcPr>
            <w:tcW w:w="2082" w:type="dxa"/>
            <w:vAlign w:val="center"/>
          </w:tcPr>
          <w:p>
            <w:pPr>
              <w:rPr>
                <w:rFonts w:ascii="宋体" w:hAnsi="宋体" w:cs="宋体"/>
                <w:color w:val="auto"/>
                <w:sz w:val="24"/>
                <w:highlight w:val="none"/>
              </w:rPr>
            </w:pPr>
            <w:r>
              <w:rPr>
                <w:rFonts w:hint="eastAsia" w:ascii="宋体" w:hAnsi="宋体" w:cs="宋体"/>
                <w:color w:val="auto"/>
                <w:sz w:val="24"/>
                <w:highlight w:val="none"/>
              </w:rPr>
              <w:t>竞争性磋商文件的澄清和质疑</w:t>
            </w:r>
          </w:p>
          <w:p>
            <w:pPr>
              <w:rPr>
                <w:rFonts w:ascii="宋体" w:hAnsi="宋体" w:cs="宋体"/>
                <w:color w:val="auto"/>
                <w:sz w:val="24"/>
                <w:highlight w:val="none"/>
              </w:rPr>
            </w:pPr>
          </w:p>
        </w:tc>
        <w:tc>
          <w:tcPr>
            <w:tcW w:w="7124" w:type="dxa"/>
            <w:vAlign w:val="center"/>
          </w:tcPr>
          <w:p>
            <w:pPr>
              <w:rPr>
                <w:rFonts w:ascii="宋体" w:hAnsi="宋体" w:cs="宋体"/>
                <w:color w:val="auto"/>
                <w:sz w:val="24"/>
                <w:highlight w:val="none"/>
              </w:rPr>
            </w:pPr>
            <w:r>
              <w:rPr>
                <w:rFonts w:hint="eastAsia" w:ascii="宋体" w:hAnsi="宋体" w:cs="宋体"/>
                <w:color w:val="auto"/>
                <w:sz w:val="24"/>
                <w:highlight w:val="none"/>
              </w:rPr>
              <w:t>1、综合说明</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ascii="宋体" w:hAnsi="宋体" w:cs="宋体"/>
                <w:color w:val="auto"/>
                <w:sz w:val="24"/>
                <w:highlight w:val="none"/>
              </w:rPr>
            </w:pPr>
            <w:r>
              <w:rPr>
                <w:rFonts w:hint="eastAsia" w:ascii="宋体" w:hAnsi="宋体" w:cs="宋体"/>
                <w:color w:val="auto"/>
                <w:sz w:val="24"/>
                <w:highlight w:val="none"/>
              </w:rPr>
              <w:t>2、对竞争性磋商文件的澄清和质疑</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ascii="宋体" w:hAnsi="宋体" w:cs="宋体"/>
                <w:color w:val="auto"/>
                <w:sz w:val="24"/>
                <w:highlight w:val="none"/>
              </w:rPr>
            </w:pPr>
            <w:r>
              <w:rPr>
                <w:rFonts w:hint="eastAsia" w:ascii="宋体" w:hAnsi="宋体" w:cs="宋体"/>
                <w:color w:val="auto"/>
                <w:sz w:val="24"/>
                <w:highlight w:val="none"/>
              </w:rPr>
              <w:t>3、对招标过程和拟中标结果的质疑</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ascii="宋体" w:hAnsi="宋体" w:cs="宋体"/>
                <w:color w:val="auto"/>
                <w:sz w:val="24"/>
                <w:highlight w:val="none"/>
              </w:rPr>
            </w:pPr>
            <w:r>
              <w:rPr>
                <w:rFonts w:hint="eastAsia" w:ascii="宋体" w:hAnsi="宋体" w:cs="宋体"/>
                <w:color w:val="auto"/>
                <w:sz w:val="24"/>
                <w:highlight w:val="none"/>
              </w:rPr>
              <w:t>4、澄清或质疑不予受理的情况，有下列情形之一的，属于无效质疑，被质疑人不予受理，由此产生的影响由投标人自行承担：</w:t>
            </w:r>
          </w:p>
          <w:p>
            <w:pPr>
              <w:rPr>
                <w:rFonts w:ascii="宋体" w:hAnsi="宋体" w:cs="宋体"/>
                <w:color w:val="auto"/>
                <w:sz w:val="24"/>
                <w:highlight w:val="none"/>
              </w:rPr>
            </w:pPr>
            <w:r>
              <w:rPr>
                <w:rFonts w:hint="eastAsia" w:ascii="宋体" w:hAnsi="宋体" w:cs="宋体"/>
                <w:color w:val="auto"/>
                <w:sz w:val="24"/>
                <w:highlight w:val="none"/>
              </w:rPr>
              <w:t>(一)不是参与该政府采购项目活动供应商的;</w:t>
            </w:r>
          </w:p>
          <w:p>
            <w:pPr>
              <w:rPr>
                <w:rFonts w:ascii="宋体" w:hAnsi="宋体" w:cs="宋体"/>
                <w:color w:val="auto"/>
                <w:sz w:val="24"/>
                <w:highlight w:val="none"/>
              </w:rPr>
            </w:pPr>
            <w:r>
              <w:rPr>
                <w:rFonts w:hint="eastAsia" w:ascii="宋体" w:hAnsi="宋体" w:cs="宋体"/>
                <w:color w:val="auto"/>
                <w:sz w:val="24"/>
                <w:highlight w:val="none"/>
              </w:rPr>
              <w:t>(二)被质疑人为采购人或政府采购代理机构之外的；</w:t>
            </w:r>
          </w:p>
          <w:p>
            <w:pPr>
              <w:rPr>
                <w:rFonts w:ascii="宋体" w:hAnsi="宋体" w:cs="宋体"/>
                <w:color w:val="auto"/>
                <w:sz w:val="24"/>
                <w:highlight w:val="none"/>
              </w:rPr>
            </w:pPr>
            <w:r>
              <w:rPr>
                <w:rFonts w:hint="eastAsia" w:ascii="宋体" w:hAnsi="宋体" w:cs="宋体"/>
                <w:color w:val="auto"/>
                <w:sz w:val="24"/>
                <w:highlight w:val="none"/>
              </w:rPr>
              <w:t>(三)所有质疑事项超过质疑有效期的；</w:t>
            </w:r>
          </w:p>
          <w:p>
            <w:pPr>
              <w:rPr>
                <w:rFonts w:ascii="宋体" w:hAnsi="宋体" w:cs="宋体"/>
                <w:color w:val="auto"/>
                <w:sz w:val="24"/>
                <w:highlight w:val="none"/>
              </w:rPr>
            </w:pPr>
            <w:r>
              <w:rPr>
                <w:rFonts w:hint="eastAsia" w:ascii="宋体" w:hAnsi="宋体" w:cs="宋体"/>
                <w:color w:val="auto"/>
                <w:sz w:val="24"/>
                <w:highlight w:val="none"/>
              </w:rPr>
              <w:t>(四)以具有法律效力的文书送达之外方式提出的；</w:t>
            </w:r>
          </w:p>
          <w:p>
            <w:pPr>
              <w:rPr>
                <w:rFonts w:ascii="宋体" w:hAnsi="宋体" w:cs="宋体"/>
                <w:color w:val="auto"/>
                <w:sz w:val="24"/>
                <w:highlight w:val="none"/>
              </w:rPr>
            </w:pPr>
            <w:r>
              <w:rPr>
                <w:rFonts w:hint="eastAsia" w:ascii="宋体" w:hAnsi="宋体" w:cs="宋体"/>
                <w:color w:val="auto"/>
                <w:sz w:val="24"/>
                <w:highlight w:val="none"/>
              </w:rPr>
              <w:t>(五) 未按上述规定递交澄清或质疑函的；</w:t>
            </w:r>
          </w:p>
          <w:p>
            <w:pPr>
              <w:rPr>
                <w:rFonts w:ascii="宋体" w:hAnsi="宋体" w:cs="宋体"/>
                <w:color w:val="auto"/>
                <w:sz w:val="24"/>
                <w:highlight w:val="none"/>
              </w:rPr>
            </w:pPr>
            <w:r>
              <w:rPr>
                <w:rFonts w:hint="eastAsia" w:ascii="宋体" w:hAnsi="宋体" w:cs="宋体"/>
                <w:color w:val="auto"/>
                <w:sz w:val="24"/>
                <w:highlight w:val="none"/>
              </w:rPr>
              <w:t>(六) 其它不符合受理条件的情形。</w:t>
            </w:r>
          </w:p>
          <w:p>
            <w:pPr>
              <w:rPr>
                <w:rFonts w:ascii="宋体" w:hAnsi="宋体" w:cs="宋体"/>
                <w:color w:val="auto"/>
                <w:sz w:val="24"/>
                <w:highlight w:val="none"/>
              </w:rPr>
            </w:pPr>
            <w:r>
              <w:rPr>
                <w:rFonts w:hint="eastAsia" w:ascii="宋体" w:hAnsi="宋体" w:cs="宋体"/>
                <w:color w:val="auto"/>
                <w:sz w:val="24"/>
                <w:highlight w:val="none"/>
              </w:rPr>
              <w:t>5、其他</w:t>
            </w:r>
          </w:p>
          <w:p>
            <w:pPr>
              <w:rPr>
                <w:rFonts w:ascii="宋体" w:hAnsi="宋体" w:cs="宋体"/>
                <w:color w:val="auto"/>
                <w:sz w:val="24"/>
                <w:highlight w:val="none"/>
              </w:rPr>
            </w:pPr>
            <w:r>
              <w:rPr>
                <w:rFonts w:hint="eastAsia" w:ascii="宋体" w:hAnsi="宋体" w:cs="宋体"/>
                <w:color w:val="auto"/>
                <w:sz w:val="24"/>
                <w:highlight w:val="none"/>
              </w:rPr>
              <w:t>澄清或质疑函递交地点：新疆阿克苏地区阿克苏市虹桥街道长安社区丝路古镇奇石玉石博览旅游文化中心20幢1-2层03号商铺</w:t>
            </w:r>
          </w:p>
          <w:p>
            <w:pPr>
              <w:rPr>
                <w:rFonts w:ascii="宋体" w:hAnsi="宋体" w:cs="宋体"/>
                <w:color w:val="auto"/>
                <w:sz w:val="24"/>
                <w:highlight w:val="none"/>
              </w:rPr>
            </w:pPr>
            <w:r>
              <w:rPr>
                <w:rFonts w:hint="eastAsia" w:ascii="宋体" w:hAnsi="宋体" w:cs="宋体"/>
                <w:color w:val="auto"/>
                <w:sz w:val="24"/>
                <w:highlight w:val="none"/>
              </w:rPr>
              <w:t>联系电话：18099073302</w:t>
            </w:r>
          </w:p>
        </w:tc>
      </w:tr>
    </w:tbl>
    <w:p>
      <w:pPr>
        <w:pStyle w:val="5"/>
        <w:keepNext w:val="0"/>
        <w:adjustRightInd w:val="0"/>
        <w:snapToGrid w:val="0"/>
        <w:spacing w:before="120" w:after="120" w:line="360" w:lineRule="auto"/>
        <w:jc w:val="center"/>
        <w:rPr>
          <w:rFonts w:ascii="宋体" w:hAnsi="宋体" w:eastAsia="宋体" w:cs="宋体"/>
          <w:i w:val="0"/>
          <w:iCs/>
          <w:color w:val="auto"/>
          <w:szCs w:val="28"/>
          <w:highlight w:val="none"/>
        </w:rPr>
      </w:pPr>
      <w:r>
        <w:rPr>
          <w:rFonts w:hint="eastAsia" w:ascii="宋体" w:hAnsi="宋体" w:eastAsia="宋体" w:cs="宋体"/>
          <w:color w:val="auto"/>
          <w:szCs w:val="28"/>
          <w:highlight w:val="none"/>
        </w:rPr>
        <w:br w:type="page"/>
      </w:r>
      <w:r>
        <w:rPr>
          <w:rFonts w:hint="eastAsia" w:ascii="宋体" w:hAnsi="宋体" w:eastAsia="宋体" w:cs="宋体"/>
          <w:i w:val="0"/>
          <w:iCs/>
          <w:color w:val="auto"/>
          <w:szCs w:val="28"/>
          <w:highlight w:val="none"/>
        </w:rPr>
        <w:t>投标人须知正文部分</w:t>
      </w:r>
      <w:bookmarkEnd w:id="16"/>
      <w:bookmarkEnd w:id="17"/>
      <w:bookmarkEnd w:id="18"/>
    </w:p>
    <w:bookmarkEnd w:id="19"/>
    <w:bookmarkEnd w:id="20"/>
    <w:bookmarkEnd w:id="21"/>
    <w:bookmarkEnd w:id="22"/>
    <w:p>
      <w:pPr>
        <w:pStyle w:val="24"/>
        <w:numPr>
          <w:ilvl w:val="2"/>
          <w:numId w:val="0"/>
        </w:numPr>
        <w:jc w:val="both"/>
        <w:rPr>
          <w:b/>
          <w:bCs/>
          <w:color w:val="auto"/>
          <w:highlight w:val="none"/>
        </w:rPr>
      </w:pPr>
      <w:r>
        <w:rPr>
          <w:rFonts w:hint="eastAsia"/>
          <w:b/>
          <w:bCs/>
          <w:color w:val="auto"/>
          <w:highlight w:val="none"/>
        </w:rPr>
        <w:t>一、总则</w:t>
      </w:r>
    </w:p>
    <w:p>
      <w:pPr>
        <w:pStyle w:val="25"/>
        <w:spacing w:line="360" w:lineRule="auto"/>
        <w:ind w:firstLine="567"/>
        <w:jc w:val="both"/>
        <w:rPr>
          <w:rFonts w:ascii="宋体" w:hAnsi="宋体" w:cs="宋体"/>
          <w:bCs/>
          <w:color w:val="auto"/>
          <w:szCs w:val="24"/>
          <w:highlight w:val="none"/>
        </w:rPr>
      </w:pPr>
      <w:r>
        <w:rPr>
          <w:rFonts w:hint="eastAsia" w:ascii="宋体" w:hAnsi="宋体" w:cs="宋体"/>
          <w:bCs/>
          <w:color w:val="auto"/>
          <w:szCs w:val="24"/>
          <w:highlight w:val="none"/>
        </w:rPr>
        <w:t>1. 合格的投标人</w:t>
      </w:r>
    </w:p>
    <w:p>
      <w:pPr>
        <w:pStyle w:val="25"/>
        <w:spacing w:line="360" w:lineRule="auto"/>
        <w:ind w:firstLine="567"/>
        <w:jc w:val="both"/>
        <w:rPr>
          <w:rFonts w:ascii="宋体" w:hAnsi="宋体" w:cs="宋体"/>
          <w:bCs/>
          <w:color w:val="auto"/>
          <w:szCs w:val="24"/>
          <w:highlight w:val="none"/>
        </w:rPr>
      </w:pPr>
      <w:r>
        <w:rPr>
          <w:rFonts w:hint="eastAsia" w:ascii="宋体" w:hAnsi="宋体" w:cs="宋体"/>
          <w:bCs/>
          <w:color w:val="auto"/>
          <w:szCs w:val="24"/>
          <w:highlight w:val="none"/>
        </w:rPr>
        <w:t>1.1 符合《中华人民共和国政府采购法》第二十二条规定的条件，具备独立承担民事责任能力的在中华人民共和国境内注册的，有承担本次招标采购项目服务能力的及符合条件的法人或其他组织。</w:t>
      </w:r>
    </w:p>
    <w:p>
      <w:pPr>
        <w:pStyle w:val="25"/>
        <w:spacing w:line="360" w:lineRule="auto"/>
        <w:ind w:firstLine="567"/>
        <w:jc w:val="both"/>
        <w:rPr>
          <w:rFonts w:ascii="宋体" w:hAnsi="宋体" w:cs="宋体"/>
          <w:bCs/>
          <w:color w:val="auto"/>
          <w:szCs w:val="24"/>
          <w:highlight w:val="none"/>
        </w:rPr>
      </w:pPr>
      <w:r>
        <w:rPr>
          <w:rFonts w:hint="eastAsia" w:ascii="宋体" w:hAnsi="宋体" w:cs="宋体"/>
          <w:bCs/>
          <w:color w:val="auto"/>
          <w:szCs w:val="24"/>
          <w:highlight w:val="none"/>
        </w:rPr>
        <w:t>1.2 有效的营业执照；</w:t>
      </w:r>
    </w:p>
    <w:p>
      <w:pPr>
        <w:pStyle w:val="25"/>
        <w:spacing w:line="360" w:lineRule="auto"/>
        <w:ind w:firstLine="567"/>
        <w:jc w:val="both"/>
        <w:rPr>
          <w:rFonts w:ascii="宋体" w:hAnsi="宋体" w:cs="宋体"/>
          <w:bCs/>
          <w:color w:val="auto"/>
          <w:szCs w:val="24"/>
          <w:highlight w:val="none"/>
        </w:rPr>
      </w:pPr>
      <w:r>
        <w:rPr>
          <w:rFonts w:hint="eastAsia" w:ascii="宋体" w:hAnsi="宋体" w:cs="宋体"/>
          <w:bCs/>
          <w:color w:val="auto"/>
          <w:szCs w:val="24"/>
          <w:highlight w:val="none"/>
        </w:rPr>
        <w:t>1.3 投标人在本次招标活动中，必须遵循《中华人民共和国招标投标法》、《中华人民共和国招标投标法实施条例》、《政府采购货物和服务招标投标管理办法》（财政部87号令）等相关法律法规的规定。</w:t>
      </w:r>
    </w:p>
    <w:p>
      <w:pPr>
        <w:pStyle w:val="25"/>
        <w:spacing w:line="360" w:lineRule="auto"/>
        <w:ind w:firstLine="567"/>
        <w:jc w:val="both"/>
        <w:rPr>
          <w:rFonts w:ascii="宋体" w:hAnsi="宋体" w:cs="宋体"/>
          <w:bCs/>
          <w:color w:val="auto"/>
          <w:szCs w:val="24"/>
          <w:highlight w:val="none"/>
        </w:rPr>
      </w:pPr>
      <w:r>
        <w:rPr>
          <w:rFonts w:hint="eastAsia" w:ascii="宋体" w:hAnsi="宋体" w:cs="宋体"/>
          <w:bCs/>
          <w:color w:val="auto"/>
          <w:szCs w:val="24"/>
          <w:highlight w:val="none"/>
        </w:rPr>
        <w:t>1.4  投标人参加政府采购活动近三年内无违法违规记录和法律诉讼纠纷，需提供书面声明。</w:t>
      </w:r>
    </w:p>
    <w:p>
      <w:pPr>
        <w:pStyle w:val="25"/>
        <w:spacing w:line="360" w:lineRule="auto"/>
        <w:ind w:firstLine="567"/>
        <w:jc w:val="both"/>
        <w:rPr>
          <w:rFonts w:ascii="宋体" w:hAnsi="宋体" w:cs="宋体"/>
          <w:bCs/>
          <w:color w:val="auto"/>
          <w:szCs w:val="24"/>
          <w:highlight w:val="none"/>
        </w:rPr>
      </w:pPr>
      <w:r>
        <w:rPr>
          <w:rFonts w:hint="eastAsia" w:ascii="宋体" w:hAnsi="宋体" w:cs="宋体"/>
          <w:bCs/>
          <w:color w:val="auto"/>
          <w:szCs w:val="24"/>
          <w:highlight w:val="none"/>
        </w:rPr>
        <w:t>1.5  为保证政府采购活动公平、公正、诚实信用，投标人提供的材料及技术参数应真实有效，响应文件内提供书面诚信投标承诺书。</w:t>
      </w:r>
    </w:p>
    <w:p>
      <w:pPr>
        <w:pStyle w:val="25"/>
        <w:spacing w:line="360" w:lineRule="auto"/>
        <w:ind w:firstLine="567"/>
        <w:jc w:val="both"/>
        <w:rPr>
          <w:rFonts w:ascii="宋体" w:hAnsi="宋体" w:cs="宋体"/>
          <w:bCs/>
          <w:color w:val="auto"/>
          <w:szCs w:val="24"/>
          <w:highlight w:val="none"/>
        </w:rPr>
      </w:pPr>
      <w:r>
        <w:rPr>
          <w:rFonts w:hint="eastAsia" w:ascii="宋体" w:hAnsi="宋体" w:cs="宋体"/>
          <w:bCs/>
          <w:color w:val="auto"/>
          <w:szCs w:val="24"/>
          <w:highlight w:val="none"/>
        </w:rPr>
        <w:t>1.6  未保证本次招标活动公平竞争，杜绝任何形式的商业贿赂行为，响应文件内必须提供反商业贿赂承诺书</w:t>
      </w:r>
    </w:p>
    <w:p>
      <w:pPr>
        <w:pStyle w:val="25"/>
        <w:spacing w:line="360" w:lineRule="auto"/>
        <w:ind w:left="561" w:leftChars="267" w:firstLine="2" w:firstLineChars="1"/>
        <w:jc w:val="both"/>
        <w:rPr>
          <w:rFonts w:ascii="宋体" w:hAnsi="宋体" w:cs="宋体"/>
          <w:bCs/>
          <w:color w:val="auto"/>
          <w:szCs w:val="24"/>
          <w:highlight w:val="none"/>
        </w:rPr>
      </w:pPr>
      <w:r>
        <w:rPr>
          <w:rFonts w:hint="eastAsia" w:ascii="宋体" w:hAnsi="宋体" w:cs="宋体"/>
          <w:bCs/>
          <w:color w:val="auto"/>
          <w:szCs w:val="24"/>
          <w:highlight w:val="none"/>
        </w:rPr>
        <w:t>1.7  不符合以上条款规定的投标人，其投标无效。</w:t>
      </w:r>
    </w:p>
    <w:p>
      <w:pPr>
        <w:pStyle w:val="25"/>
        <w:spacing w:line="360" w:lineRule="auto"/>
        <w:ind w:left="561" w:leftChars="267" w:firstLine="2" w:firstLineChars="1"/>
        <w:jc w:val="both"/>
        <w:rPr>
          <w:rFonts w:ascii="宋体" w:hAnsi="宋体" w:cs="宋体"/>
          <w:color w:val="auto"/>
          <w:szCs w:val="24"/>
          <w:highlight w:val="none"/>
        </w:rPr>
      </w:pPr>
      <w:r>
        <w:rPr>
          <w:rFonts w:hint="eastAsia" w:ascii="宋体" w:hAnsi="宋体" w:cs="宋体"/>
          <w:color w:val="auto"/>
          <w:szCs w:val="24"/>
          <w:highlight w:val="none"/>
        </w:rPr>
        <w:t>2. 定义</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2.1“采购代理机构”系指</w:t>
      </w:r>
      <w:r>
        <w:rPr>
          <w:rFonts w:hint="eastAsia" w:ascii="宋体" w:hAnsi="宋体" w:cs="宋体"/>
          <w:color w:val="auto"/>
          <w:highlight w:val="none"/>
        </w:rPr>
        <w:t>新疆顺凯项目管理有限公司</w:t>
      </w:r>
      <w:r>
        <w:rPr>
          <w:rFonts w:hint="eastAsia" w:ascii="宋体" w:hAnsi="宋体" w:cs="宋体"/>
          <w:color w:val="auto"/>
          <w:szCs w:val="24"/>
          <w:highlight w:val="none"/>
        </w:rPr>
        <w:t>。</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2.2“投标人”系指向采购代理机构提交响应文件的货物制造商或代理商。</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2.3“货物”系指卖方按合同要求，须向买方提供的设计文件、货物、机械、材料、备品、手册及其他技术资料和材料。详见《政府采购品目分类目录》(财库[2013]189号)。</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2.4“服务”系指按合同规定卖方须承担的运输、装卸、安装调试、技术协助、培训和交付使用后保修期内应履行的义务及售后服务等其他类似的义务。</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2.5“卖方”系指提供合同货物和服务的经济实体。本次招标指中标人。</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2.6“买方”系指购买货物和服务的单位，即为本次招标的采购人。</w:t>
      </w:r>
    </w:p>
    <w:p>
      <w:pPr>
        <w:pStyle w:val="25"/>
        <w:spacing w:line="360" w:lineRule="auto"/>
        <w:ind w:firstLine="567"/>
        <w:rPr>
          <w:rFonts w:ascii="宋体" w:hAnsi="宋体" w:cs="宋体"/>
          <w:color w:val="auto"/>
          <w:szCs w:val="24"/>
          <w:highlight w:val="none"/>
        </w:rPr>
      </w:pPr>
      <w:r>
        <w:rPr>
          <w:rFonts w:hint="eastAsia" w:ascii="宋体" w:hAnsi="宋体" w:cs="宋体"/>
          <w:color w:val="auto"/>
          <w:szCs w:val="24"/>
          <w:highlight w:val="none"/>
        </w:rPr>
        <w:t>2.7“节能产品”或者“环保产品”是指财政部发布最新一期的《节能产品政府采购清单》或者《环境标志产品政府采购清单》的产品，可在中国政府采购网(www.ccgp.gov.cn)查询。</w:t>
      </w:r>
    </w:p>
    <w:p>
      <w:pPr>
        <w:pStyle w:val="25"/>
        <w:spacing w:line="360" w:lineRule="auto"/>
        <w:ind w:firstLine="567"/>
        <w:rPr>
          <w:rFonts w:ascii="宋体" w:hAnsi="宋体" w:cs="宋体"/>
          <w:color w:val="auto"/>
          <w:szCs w:val="24"/>
          <w:highlight w:val="none"/>
        </w:rPr>
      </w:pPr>
      <w:r>
        <w:rPr>
          <w:rFonts w:hint="eastAsia" w:ascii="宋体" w:hAnsi="宋体" w:cs="宋体"/>
          <w:color w:val="auto"/>
          <w:szCs w:val="24"/>
          <w:highlight w:val="none"/>
        </w:rPr>
        <w:t>2.8“进口产品”是指通过中国海关报关验放进入中国境内且产自关境外的产品，详见《关于政府采购进口产品管理有关问题的通知》(财库[2007]119号)及《关于政府采购进口产品管理有关问题的通知》（财办库（2008）248号）。</w:t>
      </w:r>
    </w:p>
    <w:p>
      <w:pPr>
        <w:pStyle w:val="25"/>
        <w:spacing w:line="360" w:lineRule="auto"/>
        <w:ind w:firstLine="567"/>
        <w:rPr>
          <w:rFonts w:ascii="宋体" w:hAnsi="宋体" w:cs="宋体"/>
          <w:color w:val="auto"/>
          <w:szCs w:val="24"/>
          <w:highlight w:val="none"/>
        </w:rPr>
      </w:pPr>
      <w:r>
        <w:rPr>
          <w:rFonts w:hint="eastAsia" w:ascii="宋体" w:hAnsi="宋体" w:cs="宋体"/>
          <w:color w:val="auto"/>
          <w:szCs w:val="24"/>
          <w:highlight w:val="none"/>
        </w:rPr>
        <w:t>2.9 “语言文字”招标响应文件使用的语言文字为中文。专用术语使用外文的，应附有中文注释。</w:t>
      </w:r>
    </w:p>
    <w:p>
      <w:pPr>
        <w:pStyle w:val="25"/>
        <w:spacing w:line="360" w:lineRule="auto"/>
        <w:ind w:firstLine="567"/>
        <w:rPr>
          <w:rFonts w:ascii="宋体" w:hAnsi="宋体" w:cs="宋体"/>
          <w:color w:val="auto"/>
          <w:szCs w:val="24"/>
          <w:highlight w:val="none"/>
        </w:rPr>
      </w:pPr>
      <w:r>
        <w:rPr>
          <w:rFonts w:hint="eastAsia" w:ascii="宋体" w:hAnsi="宋体" w:cs="宋体"/>
          <w:color w:val="auto"/>
          <w:szCs w:val="24"/>
          <w:highlight w:val="none"/>
        </w:rPr>
        <w:t>2.10“计量单位”所有计量均采用中华人民共和国法定计量单位。</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3. 其他要求</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3.1 投标费用</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 xml:space="preserve">投标人应自行承担所有与本次招标投标有关的费用，而不论投标的结果如何。 </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3.2 采购进口产品</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3.2.1 除投标人须知前附表另有规定外，本项目拒绝进口产品参加招标采购活动。</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3.2.2 本章第4.1款规定同意购买进口产品的，本项目采购活动不限制满足竞争性磋商文件要求的国内产品参与招标。</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 xml:space="preserve">3.3 政府采购政策支持 </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投标人须知前附表。</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3.3.2 同一项目中部分产品属于优先采购政策的，评审时只对该部分产品的报价实行价格优惠。</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3.3.3 为推进政府采购诚信体系建设，供应商在签署相关承诺，提供相关信息前，应认真阅读财政部门相关政策规定。</w:t>
      </w:r>
    </w:p>
    <w:p>
      <w:pPr>
        <w:pStyle w:val="24"/>
        <w:numPr>
          <w:ilvl w:val="2"/>
          <w:numId w:val="0"/>
        </w:numPr>
        <w:jc w:val="both"/>
        <w:rPr>
          <w:b/>
          <w:bCs/>
          <w:color w:val="auto"/>
          <w:highlight w:val="none"/>
        </w:rPr>
      </w:pPr>
      <w:r>
        <w:rPr>
          <w:rFonts w:hint="eastAsia"/>
          <w:b/>
          <w:bCs/>
          <w:color w:val="auto"/>
          <w:highlight w:val="none"/>
        </w:rPr>
        <w:t>二、竞争性磋商文件</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4. 竞争性磋商文件</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4.1 竞争性磋商文件用以阐明所需服务、招标投标程序和合同条款。包括：</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4.1.1竞争性磋商公告</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4.1.2 投标人须知</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4.1.3 合同条款及格式</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4.1.4 采购需求</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4.1.5 响应文件格式</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4.1.6 其他资料</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4.2 投标人应认真阅读竞争性磋商文件中所有的事项、格式、条款和规范等要求。如果没有按照竞争性磋商文件要求提交全部资料或者响应文件没有对竞争性磋商文件做出实质性响应，其投标将被拒绝。</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5. 竞争性磋商文件的澄清和修改</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5.1 招标人如需对已发出的竞争性磋商文件进行必要澄清或者修改的，招标代理机构将在竞争性磋商文件要求提交响应文件截止时间15日前，以书面形式通知所有获取竞争性磋商文件的投标人。该澄清或者修改的内容为竞争性磋商文件的组成部分。</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6. 延长开标时间</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招标人视采购具体情况如需延长投标截止时间和开标时间，招标代理机构将在竞争性磋商文件要求提交响应文件的截止时间3日前，将变更时间书面通知所有获取竞争性磋商文件的投标人。</w:t>
      </w:r>
    </w:p>
    <w:p>
      <w:pPr>
        <w:pStyle w:val="24"/>
        <w:numPr>
          <w:ilvl w:val="2"/>
          <w:numId w:val="0"/>
        </w:numPr>
        <w:jc w:val="both"/>
        <w:rPr>
          <w:b/>
          <w:bCs/>
          <w:color w:val="auto"/>
          <w:highlight w:val="none"/>
        </w:rPr>
      </w:pPr>
      <w:r>
        <w:rPr>
          <w:rFonts w:hint="eastAsia"/>
          <w:b/>
          <w:bCs/>
          <w:color w:val="auto"/>
          <w:highlight w:val="none"/>
        </w:rPr>
        <w:t>三、响应文件的编制</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7. 响应文件的编写</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7.1 投标人应仔细阅读竞争性磋商文件,了解竞争性磋商文件的要求，并在充分理解竞争性磋商文件提出的货物技术规范、服务和商务条款后的基础上制作响应文件。</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8. 投标的语言及计量单位</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8.1 投标人的响应文件以及投标人与采购代理机构就有关招标活动的所有来往函电均应使用中文。如果响应文件或与投标有关的其它文件、信件及来往函电以其它语言书写的，投标人应将其译成中文。</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8.2 响应文件中所使用的计量单位除竞争性磋商文件中有特殊规定外，一律使用法定计量单位。</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9. 响应文件构成</w:t>
      </w:r>
    </w:p>
    <w:p>
      <w:pPr>
        <w:pStyle w:val="25"/>
        <w:spacing w:line="360" w:lineRule="auto"/>
        <w:ind w:firstLine="567"/>
        <w:jc w:val="both"/>
        <w:rPr>
          <w:rFonts w:ascii="宋体" w:hAnsi="宋体" w:cs="宋体"/>
          <w:color w:val="auto"/>
          <w:szCs w:val="24"/>
          <w:highlight w:val="none"/>
        </w:rPr>
      </w:pPr>
      <w:r>
        <w:rPr>
          <w:rFonts w:hint="eastAsia" w:ascii="宋体" w:hAnsi="宋体" w:cs="宋体"/>
          <w:color w:val="auto"/>
          <w:szCs w:val="24"/>
          <w:highlight w:val="none"/>
        </w:rPr>
        <w:t>9.1  投标人编写的响应文件应包含以下内容:</w:t>
      </w:r>
    </w:p>
    <w:p>
      <w:pPr>
        <w:pStyle w:val="25"/>
        <w:spacing w:line="360" w:lineRule="auto"/>
        <w:ind w:firstLine="567"/>
        <w:jc w:val="both"/>
        <w:outlineLvl w:val="2"/>
        <w:rPr>
          <w:rFonts w:ascii="宋体" w:hAnsi="宋体" w:cs="宋体"/>
          <w:color w:val="auto"/>
          <w:szCs w:val="24"/>
          <w:highlight w:val="none"/>
        </w:rPr>
      </w:pPr>
      <w:r>
        <w:rPr>
          <w:rFonts w:hint="eastAsia" w:ascii="宋体" w:hAnsi="宋体" w:cs="宋体"/>
          <w:color w:val="auto"/>
          <w:szCs w:val="24"/>
          <w:highlight w:val="none"/>
        </w:rPr>
        <w:t>9.1.1 资格、资信证明文件(以下文件必须在有效期内)</w:t>
      </w:r>
    </w:p>
    <w:p>
      <w:pPr>
        <w:pStyle w:val="25"/>
        <w:spacing w:line="360" w:lineRule="auto"/>
        <w:ind w:firstLine="470" w:firstLineChars="196"/>
        <w:jc w:val="both"/>
        <w:rPr>
          <w:rFonts w:ascii="宋体" w:hAnsi="宋体" w:cs="宋体"/>
          <w:color w:val="auto"/>
          <w:szCs w:val="24"/>
          <w:highlight w:val="none"/>
        </w:rPr>
      </w:pPr>
      <w:r>
        <w:rPr>
          <w:rFonts w:hint="eastAsia" w:ascii="宋体" w:hAnsi="宋体" w:cs="宋体"/>
          <w:color w:val="auto"/>
          <w:szCs w:val="24"/>
          <w:highlight w:val="none"/>
        </w:rPr>
        <w:t>(1) 企业营业执照</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 法定代表人身份证明、授权委托人身份证明及授权委托书；</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(3) 投标保证金缴纳凭证（本项目不做要求）；</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 xml:space="preserve">(4) </w:t>
      </w:r>
      <w:r>
        <w:rPr>
          <w:rFonts w:hint="eastAsia" w:ascii="宋体" w:hAnsi="宋体" w:cs="宋体"/>
          <w:color w:val="auto"/>
          <w:spacing w:val="-3"/>
          <w:szCs w:val="24"/>
          <w:highlight w:val="none"/>
        </w:rPr>
        <w:t>投标人认为有必要提供的声明及文件资料</w:t>
      </w:r>
      <w:r>
        <w:rPr>
          <w:rFonts w:hint="eastAsia" w:ascii="宋体" w:hAnsi="宋体" w:cs="宋体"/>
          <w:bCs/>
          <w:color w:val="auto"/>
          <w:spacing w:val="-3"/>
          <w:szCs w:val="24"/>
          <w:highlight w:val="none"/>
        </w:rPr>
        <w:t>（包括但不限于近六个月其中任意一个月的社保证明（需有相关人员的社保缴纳明细，退休人员需提供退休证明）和近六个月其中任意一个月完税证明、近三年（2020年-2022年）任意一年的财务报表（成立不足一年的提供成立至今的财务报表，包含资产负债表、现金流量表、利润表））。</w:t>
      </w:r>
    </w:p>
    <w:p>
      <w:pPr>
        <w:pStyle w:val="25"/>
        <w:spacing w:line="360" w:lineRule="auto"/>
        <w:ind w:firstLine="567"/>
        <w:jc w:val="both"/>
        <w:outlineLvl w:val="2"/>
        <w:rPr>
          <w:rFonts w:ascii="宋体" w:hAnsi="宋体" w:cs="宋体"/>
          <w:color w:val="auto"/>
          <w:szCs w:val="24"/>
          <w:highlight w:val="none"/>
        </w:rPr>
      </w:pPr>
      <w:r>
        <w:rPr>
          <w:rFonts w:hint="eastAsia" w:ascii="宋体" w:hAnsi="宋体" w:cs="宋体"/>
          <w:color w:val="auto"/>
          <w:szCs w:val="24"/>
          <w:highlight w:val="none"/>
        </w:rPr>
        <w:t>9.1.2 商务文件</w:t>
      </w:r>
    </w:p>
    <w:p>
      <w:pPr>
        <w:spacing w:line="500" w:lineRule="exact"/>
        <w:ind w:firstLine="468" w:firstLineChars="200"/>
        <w:rPr>
          <w:rFonts w:ascii="宋体" w:hAnsi="宋体" w:cs="宋体"/>
          <w:color w:val="auto"/>
          <w:spacing w:val="-3"/>
          <w:kern w:val="0"/>
          <w:sz w:val="24"/>
          <w:highlight w:val="none"/>
        </w:rPr>
      </w:pPr>
      <w:r>
        <w:rPr>
          <w:rFonts w:hint="eastAsia" w:ascii="宋体" w:hAnsi="宋体" w:cs="宋体"/>
          <w:color w:val="auto"/>
          <w:spacing w:val="-3"/>
          <w:kern w:val="0"/>
          <w:sz w:val="24"/>
          <w:highlight w:val="none"/>
        </w:rPr>
        <w:t>（1）投 标 函</w:t>
      </w:r>
    </w:p>
    <w:p>
      <w:pPr>
        <w:spacing w:line="500" w:lineRule="exact"/>
        <w:ind w:firstLine="468" w:firstLineChars="200"/>
        <w:rPr>
          <w:rFonts w:ascii="宋体" w:hAnsi="宋体" w:cs="宋体"/>
          <w:color w:val="auto"/>
          <w:spacing w:val="-3"/>
          <w:kern w:val="0"/>
          <w:sz w:val="24"/>
          <w:highlight w:val="none"/>
        </w:rPr>
      </w:pPr>
      <w:r>
        <w:rPr>
          <w:rFonts w:hint="eastAsia" w:ascii="宋体" w:hAnsi="宋体" w:cs="宋体"/>
          <w:color w:val="auto"/>
          <w:spacing w:val="-3"/>
          <w:kern w:val="0"/>
          <w:sz w:val="24"/>
          <w:highlight w:val="none"/>
        </w:rPr>
        <w:t>（2）法定代表人身份证明；</w:t>
      </w:r>
    </w:p>
    <w:p>
      <w:pPr>
        <w:spacing w:line="500" w:lineRule="exact"/>
        <w:ind w:firstLine="468" w:firstLineChars="200"/>
        <w:rPr>
          <w:rFonts w:ascii="宋体" w:hAnsi="宋体" w:cs="宋体"/>
          <w:color w:val="auto"/>
          <w:spacing w:val="-3"/>
          <w:kern w:val="0"/>
          <w:sz w:val="24"/>
          <w:highlight w:val="none"/>
        </w:rPr>
      </w:pPr>
      <w:r>
        <w:rPr>
          <w:rFonts w:hint="eastAsia" w:ascii="宋体" w:hAnsi="宋体" w:cs="宋体"/>
          <w:color w:val="auto"/>
          <w:spacing w:val="-3"/>
          <w:kern w:val="0"/>
          <w:sz w:val="24"/>
          <w:highlight w:val="none"/>
        </w:rPr>
        <w:t>（3）法定代表人授权委托书；</w:t>
      </w:r>
    </w:p>
    <w:p>
      <w:pPr>
        <w:tabs>
          <w:tab w:val="left" w:pos="939"/>
        </w:tabs>
        <w:spacing w:line="500" w:lineRule="exact"/>
        <w:ind w:firstLine="468" w:firstLineChars="200"/>
        <w:rPr>
          <w:rFonts w:ascii="宋体" w:hAnsi="宋体" w:cs="宋体"/>
          <w:color w:val="auto"/>
          <w:spacing w:val="-3"/>
          <w:kern w:val="0"/>
          <w:sz w:val="24"/>
          <w:highlight w:val="none"/>
        </w:rPr>
      </w:pPr>
      <w:r>
        <w:rPr>
          <w:rFonts w:hint="eastAsia" w:ascii="宋体" w:hAnsi="宋体" w:cs="宋体"/>
          <w:color w:val="auto"/>
          <w:spacing w:val="-3"/>
          <w:kern w:val="0"/>
          <w:sz w:val="24"/>
          <w:highlight w:val="none"/>
        </w:rPr>
        <w:t>（</w:t>
      </w:r>
      <w:r>
        <w:rPr>
          <w:rFonts w:hint="default" w:ascii="宋体" w:hAnsi="宋体" w:cs="宋体"/>
          <w:color w:val="auto"/>
          <w:spacing w:val="-3"/>
          <w:kern w:val="0"/>
          <w:sz w:val="24"/>
          <w:highlight w:val="none"/>
          <w:lang w:val="en-US"/>
        </w:rPr>
        <w:t>4</w:t>
      </w:r>
      <w:r>
        <w:rPr>
          <w:rFonts w:hint="eastAsia" w:ascii="宋体" w:hAnsi="宋体" w:cs="宋体"/>
          <w:color w:val="auto"/>
          <w:spacing w:val="-3"/>
          <w:kern w:val="0"/>
          <w:sz w:val="24"/>
          <w:highlight w:val="none"/>
        </w:rPr>
        <w:t>）投标人概况；</w:t>
      </w:r>
    </w:p>
    <w:p>
      <w:pPr>
        <w:tabs>
          <w:tab w:val="left" w:pos="720"/>
        </w:tabs>
        <w:autoSpaceDE w:val="0"/>
        <w:autoSpaceDN w:val="0"/>
        <w:adjustRightInd w:val="0"/>
        <w:spacing w:line="500" w:lineRule="exact"/>
        <w:ind w:firstLine="468" w:firstLineChars="200"/>
        <w:jc w:val="left"/>
        <w:rPr>
          <w:rFonts w:ascii="宋体" w:hAnsi="宋体" w:cs="宋体"/>
          <w:color w:val="auto"/>
          <w:spacing w:val="-3"/>
          <w:kern w:val="0"/>
          <w:sz w:val="24"/>
          <w:highlight w:val="none"/>
        </w:rPr>
      </w:pPr>
      <w:r>
        <w:rPr>
          <w:rFonts w:hint="eastAsia" w:ascii="宋体" w:hAnsi="宋体" w:cs="宋体"/>
          <w:color w:val="auto"/>
          <w:spacing w:val="-3"/>
          <w:kern w:val="0"/>
          <w:sz w:val="24"/>
          <w:highlight w:val="none"/>
        </w:rPr>
        <w:t>（</w:t>
      </w:r>
      <w:r>
        <w:rPr>
          <w:rFonts w:hint="default" w:ascii="宋体" w:hAnsi="宋体" w:cs="宋体"/>
          <w:color w:val="auto"/>
          <w:spacing w:val="-3"/>
          <w:kern w:val="0"/>
          <w:sz w:val="24"/>
          <w:highlight w:val="none"/>
          <w:lang w:val="en-US"/>
        </w:rPr>
        <w:t>5</w:t>
      </w:r>
      <w:r>
        <w:rPr>
          <w:rFonts w:hint="eastAsia" w:ascii="宋体" w:hAnsi="宋体" w:cs="宋体"/>
          <w:color w:val="auto"/>
          <w:spacing w:val="-3"/>
          <w:kern w:val="0"/>
          <w:sz w:val="24"/>
          <w:highlight w:val="none"/>
        </w:rPr>
        <w:t>）项目管理机构组成表；</w:t>
      </w:r>
    </w:p>
    <w:p>
      <w:pPr>
        <w:pStyle w:val="25"/>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9.1.3 技术文件</w:t>
      </w:r>
    </w:p>
    <w:p>
      <w:pPr>
        <w:pStyle w:val="25"/>
        <w:spacing w:line="360" w:lineRule="auto"/>
        <w:ind w:firstLine="480"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1、财务报表</w:t>
      </w:r>
    </w:p>
    <w:p>
      <w:pPr>
        <w:pStyle w:val="25"/>
        <w:spacing w:line="360" w:lineRule="auto"/>
        <w:ind w:firstLine="480"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2、投标人须提供依法缴纳税收或完税证明</w:t>
      </w:r>
    </w:p>
    <w:p>
      <w:pPr>
        <w:pStyle w:val="25"/>
        <w:spacing w:line="360" w:lineRule="auto"/>
        <w:ind w:firstLine="480"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3、投标人须提供参加政府采购活动前3年内在经营活动中没有重大违法记录的书面声明。</w:t>
      </w:r>
    </w:p>
    <w:p>
      <w:pPr>
        <w:pStyle w:val="25"/>
        <w:spacing w:line="360" w:lineRule="auto"/>
        <w:ind w:firstLine="480"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4.中小企业声明函</w:t>
      </w:r>
    </w:p>
    <w:p>
      <w:pPr>
        <w:pStyle w:val="25"/>
        <w:spacing w:line="360" w:lineRule="auto"/>
        <w:ind w:firstLine="480"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5.供应商认为需要提供的其他文件和资料。</w:t>
      </w:r>
    </w:p>
    <w:p>
      <w:pPr>
        <w:pStyle w:val="25"/>
        <w:spacing w:line="360" w:lineRule="auto"/>
        <w:ind w:firstLine="480" w:firstLineChars="200"/>
        <w:jc w:val="both"/>
        <w:outlineLvl w:val="2"/>
        <w:rPr>
          <w:rFonts w:ascii="宋体" w:hAnsi="宋体" w:cs="宋体"/>
          <w:color w:val="auto"/>
          <w:szCs w:val="24"/>
          <w:highlight w:val="none"/>
        </w:rPr>
      </w:pPr>
      <w:r>
        <w:rPr>
          <w:rFonts w:hint="eastAsia" w:ascii="宋体" w:hAnsi="宋体" w:cs="宋体"/>
          <w:color w:val="auto"/>
          <w:szCs w:val="24"/>
          <w:highlight w:val="none"/>
        </w:rPr>
        <w:t>9.1.4 电子标书</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本项目实行电子招投标，供应商需要使用CA锁，在新疆政府采购网--下载专区下载--供应商客户端制作响应文件，并生成JMBS格式加密文件，在投标截止前上传至政府采购云平台。</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9.2 第9.1.1条中第(1)(2)(3)(4)项、第9.1.2条中第(1)(2)(3)(4)(5)项、第9.1.3条中第(1)(2)(3)(4)项为必备项，投标人在响应文件中必须提供有关材料，如果缺项，将导致投标失败。</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9.3 投标人在投标中违反国家有关法律法规的强制性规定的，其投标按未满足竞争性磋商文件实质性要求处理。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10.  投标书格式</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10.1  投标人应按竞争性磋商文件提供的格式完整地填写所提供的工程量、货物、服务、数量及价格。</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11.  投标报价</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11.1  投标人应按竞争性磋商文件要求，标明拟提供工程量的单价和总价。如单价和总价不符，以单价累计为准。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11.2 本标针对每一项工程量只接受一个报价，不接受备选方案，但不拒绝优惠声明。</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11.3  投标人应按竞争性磋商文件的要求对有关设计文件、服务的全部内容进行报价。</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12.   投标货币</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12.1 本次投标货币为人民币。</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13.  证明投标人合格和资格的文件</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13.1 投标人应提交证明其有资格参加投标和一旦其投标被接受则有能力履行合同的文件，并作为其响应文件的一部分。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13.2 投标人应填写并提交竞争性磋商文件所要求的资格证明类文件。</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14.  证明服务的合格性和符合竞争性磋商文件规定的文件</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14.1 投标人应提交竞争性磋商文件要求的服务的合格性及符合竞争性磋商文件规定的证明文件。证明文件可以是图纸和资料等，并作为响应文件的一部分。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14.2 投标人应逐条阅读竞争性磋商文件要求的技术规格条款要求，指出自己提供的工程量是否对竞争性磋商文件做出实质性的响应。否则，将视为投标人同意、确认或接受竞争性磋商文件的全部或相应部分的要求。</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15.  响应文件的有效期</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15.1  响应文件从实际开标之日起60天内有效。</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15.2  在特殊情况下, 在原投标有效期届满之前，采购代理机构、招标人可与投标单位协商延长响应文件的有效期，并经投标方确认。</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15.3 投标人在投标有效期内撤销响应文件的，采购代理机构可以不退还投标保证金。</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  响应文件的书写要求、标记要求、签署，未按要求编制，响应文件将不能通过符合性检查，按重大偏离处理。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16.1  响应文件须用不褪色的墨水笔书写。</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16.2  响应文件的书写应清楚工整，修改处应由法定代表人或投标人授权代表签章。</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16.3  未实质性响应竞争性磋商文件、或者关键字迹潦草、关键内容表达不清、或者未按要求填写编制、或者可能导致非唯一理解的响应文件将被拒绝。</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 xml:space="preserve">16.4  响应文件具有法律效力,若响应文件与采购需求要求不一致，其内容影响成交结果时，责任由供应商自行承担。 </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16.5 为了保证响应文件的合法性、安全性和完整性，响应文件必须逐页加盖单位公章。授权代表须将 “法人授权书”（原件）附在响应文件中。</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16.6 除供应商对错处做必要修改外，响应文件不得行间插字、涂改或增删。如有修改错漏处，必须由响应文件签署人签字或盖章。</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16.7  响应文件的份数：详见《投标人须知前附表》。</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16.8  投标人可根据投标服务的具体需要自行编制其它文件纳入投标书中。</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16.9  纸质版响应文件的装订必须采用死页胶粘本，不允许活页形式装订（非胶粘方式装订的投标书一律视同活页装订）。</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  投标保证金（本项目不做要求）</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17.1  投标保证金金额：详见投标人须知前附表规定。</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17.2  投标保证金用于保护本次招标免受投标人的违规、违约行为而引起的风险。</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17.3  投标保证金应用人民币，由投标人按第二章《投标人须知》中明确的银行、帐号等信息，于开标前缴纳。对未按要求提交投标保证金的投标书，采购代理机构将视为不响应投标而予以拒绝。</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17.4 投标保证金应以前附表要求的方式提交。投标保证金必须从各单位基本账户汇出。</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17.5  中标人的投标保证金自采购合同签定之日起5个工作日内不计利息予以退还。</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17.6  未中标人的投标保证金，自中标通知书发出之日起5个工作日内不计利息予以退还。</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17.7  发生以下情况中标人的投标保证金可能被没收：</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17.7.1 未按28条规定签定合同；</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17.7.2 未按第31条有关缴纳中标服务费的规定；</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17.7.3 未按竞争性磋商文件要求提交合同履约保证金的。</w:t>
      </w:r>
    </w:p>
    <w:p>
      <w:pPr>
        <w:pStyle w:val="24"/>
        <w:numPr>
          <w:ilvl w:val="2"/>
          <w:numId w:val="0"/>
        </w:numPr>
        <w:jc w:val="both"/>
        <w:rPr>
          <w:b/>
          <w:bCs/>
          <w:color w:val="auto"/>
          <w:highlight w:val="none"/>
        </w:rPr>
      </w:pPr>
      <w:r>
        <w:rPr>
          <w:rFonts w:hint="eastAsia"/>
          <w:b/>
          <w:bCs/>
          <w:color w:val="auto"/>
          <w:highlight w:val="none"/>
        </w:rPr>
        <w:t>四、响应文件的递交</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18.  响应文件递交的格式</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18.1  投标供应商应当在投标截止时间前，将生成的“JMBS格式电子加密响应文件”上传递交至“政府采购云平台”，投标截止时间以后上传递交的响应文件将被“政府采购云平台”拒收。</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18.2  未按本须知要求投递响应文件，造成无法投标或投标失败等后果的由供应商自行承担。</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19.  响应文件递交的截止日期</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19.1  投标人必须在《投标人须知前附表》中规定的时间之前将响应文件送达到规定的地点。</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19.2  超过竞争性磋商文件规定的投标截止时间送达的响应文件将不予接受。</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20.  响应文件的修改和撤销</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20.1  投标人对其响应文件进行的修改或撤销应以书面形式并在竞争性磋商文件规定的投标截止时间前送达招标人、采购代理机构手中。</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20.2  投标人对响应文件修改或撤销应按竞争性磋商文件规定进行准备、标注和递交。</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20.3  投标截止时间以后，不允许对响应文件进行修改。</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20.4  投标人不得在投标截止时间起至响应文件有效期满前撤销响应文件。</w:t>
      </w:r>
    </w:p>
    <w:p>
      <w:pPr>
        <w:pStyle w:val="24"/>
        <w:numPr>
          <w:ilvl w:val="2"/>
          <w:numId w:val="0"/>
        </w:numPr>
        <w:jc w:val="both"/>
        <w:rPr>
          <w:b/>
          <w:bCs/>
          <w:color w:val="auto"/>
          <w:highlight w:val="none"/>
        </w:rPr>
      </w:pPr>
      <w:r>
        <w:rPr>
          <w:rFonts w:hint="eastAsia"/>
          <w:b/>
          <w:bCs/>
          <w:color w:val="auto"/>
          <w:highlight w:val="none"/>
        </w:rPr>
        <w:t>五、开标</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21.  开标</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21.1  除非采购代理机构另外书面通知，本标将按本竞争性磋商文件《投标人须知前附表》中规定的时间和地点开标。</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21.2  开标时，招标人、监督部门、公证部门的工作人员将对开标会议到场监督。</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21.3  开标时，投标单位完成在线解密后，由工作人员开始唱标。</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21.4  唱标完毕后，如果投标人对所唱内容有异议，应当场立即提出。经现场监标人员确认，认为有必要重新唱标的，由唱标员重新唱标。</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21.5  所有唱标均记录在案，并经监标人员或公证人员的签字，作为各投标人响应文件的组成部分。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21.6  投标人代表对开标过程和开标记录有疑义，以及认为采购人、采购代理机构相关工作人员有需要回避的情形的，应当场提出询问或者回避申请。</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21.7  投标人未参加开标的，视同认可开标结果。</w:t>
      </w:r>
    </w:p>
    <w:p>
      <w:pPr>
        <w:pStyle w:val="24"/>
        <w:numPr>
          <w:ilvl w:val="2"/>
          <w:numId w:val="0"/>
        </w:numPr>
        <w:jc w:val="both"/>
        <w:rPr>
          <w:b/>
          <w:bCs/>
          <w:color w:val="auto"/>
          <w:highlight w:val="none"/>
        </w:rPr>
      </w:pPr>
      <w:r>
        <w:rPr>
          <w:rFonts w:hint="eastAsia"/>
          <w:b/>
          <w:bCs/>
          <w:color w:val="auto"/>
          <w:highlight w:val="none"/>
        </w:rPr>
        <w:t>六、评标和定标</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22. 评标原则</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22.1  本标的评标遵循公平、公正、科学、择优的原则。</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22.3  不徇私情，不明招暗定。</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22.4  资格审查合格的投标人，均有同等机会参加竞争。</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22.5  评标人员不得私自泄露评标内容，不得进行旨在影响评标结果公正、公平的任何活动。</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22.6  对于响应文件中含义不明确、同类问题表述不一致或者有明显文字和计算错误的内容，评标委员会应当以书面形式要求投标人作出必要的澄清、说明或者补正。</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  评标方法</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23.2  评标的依据为竞争性磋商文件和响应文件。根据相关法律法规的规定，评标委员会不以任何外部证据作为其评标的依据或标准。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23.3  评标过程将严格保密。开标后直到授予中标人合同止，凡是属于审查、澄清、评价和比较的有关评标资料以及授标建议等均不得向投标人或其他无关的人员透露。</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23.4  在评标的整个过程中，投标人所进行的旨在影响评标结果的活动，可能导致其投标被拒绝，或者被取消中标资格。</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23.5  本次招标采用综合评分法进行评标。评标分初步评审和详细评审两个阶段。</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23.5.1  初步评审分为资格性检查和符合性检查，只有通过初步评审的响应文件才可进入详细评审阶段。</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23.5.2  详细评审分为经济报价部分和技术标评审两个部分。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  初步评审</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A. 资格性检查：依据法律法规和竞争性磋商文件的规定，对响应文件中的资格证明、投标保证金等进行审查，以确定投标人是否具备投标资格。</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具体评审内容系指：</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23.6.1  投标人不满足本竞争性磋商文件关于对投标人资格证明文件的规定；</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23.6.2  响应文件组成不完整，主要内容未能按竞争性磋商文件规定的内容、格式填写；</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23.6.3  响应文件的有效期不满足竞争性磋商文件的规定；</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23.6.4  响应文件没有按照规定签章的；</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23.6.5  投标代表授权书未能由法定代表人签署；</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23.6.6  响应文件针对每一项服务出现了两个或两个以上的报价；</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23.6.7  投标报价超过最高限价；</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23.6.8  明显不符合竞争性磋商文件关于对招标服务技术规格和标准的要求；</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23.6.9  响应文件载明的磋商项目服务周期超过竞争性磋商文件规定的期限；</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23.6.10 响应文件载明的服务范围等不符合竞争性磋商文件的要求；</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23.6.11 响应文件含有采购人不能接受的附加条件；</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23.6.12 不符合竞争性磋商文件规定的其他实质性要求。</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 对通过初步评审的响应文件，评标委员会将对其进行算术性修正。算术性修正是指对响应文件的报价明细进行校核，并对其算术上和运算上的差错给予修正。修正的原则如下：</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23.7.1  大写金额和小写金额不一致的，以大写金额为准；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23.7.2  单价金额小数点或者百分比有明显错位的，以总价为准，并修改单价；</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23.7.3  总价金额与按单价汇总金额不一致的，以单价金额计算结果为准。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23.7.4  同时出现两种以上不一致的，按照前款规定的顺序修正。修正后的报价需经投标人确认后产生约束力，投标人不确认的，其投标无效。</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23.7.5  投标人的澄清、说明或者补正应当采用书面形式，并加盖公章，或者由法定代表人或其授权的代表签字。投标人的澄清、说明或者补正不得超出响应文件的范围或者改变响应文件的实质性内容。</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23.7.6  对不同文字文本响应文件的解释发生异议的，以中文文本为准。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23.7.7  评标委员会将拒绝被定为实质上非响应性的投标，投标人不能通过修正或撤销不符之处而使其投标成为响应性投标。</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23.7.8  评标委员会将允许投标中有微小的不正规、不一致或不规则，而该微小之处不构成重大偏离。</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23.8   磋商过程和评标准则</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23.9  通过初步评审及算术性修正的响应文件将进入详细评审阶段。</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23.9.1  详细评审中，评标委员会将采用综合评估法中的打分法，以响应文件能最大限度地满足竞争性磋商文件中规定的各项评价标准为依据，独立地对各响应文件进行评审和打分。</w:t>
      </w:r>
    </w:p>
    <w:p>
      <w:pPr>
        <w:pStyle w:val="25"/>
        <w:spacing w:line="360" w:lineRule="auto"/>
        <w:ind w:firstLine="567"/>
        <w:jc w:val="both"/>
        <w:rPr>
          <w:rFonts w:ascii="宋体" w:hAnsi="宋体" w:cs="宋体"/>
          <w:color w:val="auto"/>
          <w:kern w:val="2"/>
          <w:szCs w:val="24"/>
          <w:highlight w:val="none"/>
        </w:rPr>
      </w:pPr>
      <w:r>
        <w:rPr>
          <w:rFonts w:hint="eastAsia" w:ascii="宋体" w:hAnsi="宋体" w:cs="宋体"/>
          <w:color w:val="auto"/>
          <w:kern w:val="2"/>
          <w:szCs w:val="24"/>
          <w:highlight w:val="none"/>
        </w:rPr>
        <w:t>23.9.2  评标委员会将对下述评审因素进行量化，并根据评委会每个成员对响应文件的评审和理解进行打分。经济报价权重占10%，技术标权重占90%。投标人两部分的分值相加，即为该投标人的评标总得分。</w:t>
      </w:r>
    </w:p>
    <w:p>
      <w:pPr>
        <w:spacing w:line="360" w:lineRule="auto"/>
        <w:jc w:val="center"/>
        <w:rPr>
          <w:rFonts w:ascii="宋体" w:hAnsi="宋体" w:cs="宋体"/>
          <w:b/>
          <w:color w:val="auto"/>
          <w:sz w:val="24"/>
          <w:highlight w:val="none"/>
        </w:rPr>
      </w:pPr>
      <w:bookmarkStart w:id="23" w:name="_Toc179632621"/>
      <w:bookmarkStart w:id="24" w:name="_Toc233102567"/>
      <w:bookmarkStart w:id="25" w:name="_Toc144974570"/>
      <w:bookmarkStart w:id="26" w:name="_Toc152042380"/>
      <w:bookmarkStart w:id="27" w:name="_Toc152045603"/>
      <w:r>
        <w:rPr>
          <w:rFonts w:hint="eastAsia" w:ascii="宋体" w:hAnsi="宋体" w:cs="宋体"/>
          <w:b/>
          <w:color w:val="auto"/>
          <w:sz w:val="24"/>
          <w:highlight w:val="none"/>
        </w:rPr>
        <w:t>初步评审标准</w:t>
      </w:r>
    </w:p>
    <w:tbl>
      <w:tblPr>
        <w:tblStyle w:val="19"/>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初步评审</w:t>
            </w:r>
          </w:p>
        </w:tc>
        <w:tc>
          <w:tcPr>
            <w:tcW w:w="8674" w:type="dxa"/>
            <w:gridSpan w:val="2"/>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vAlign w:val="center"/>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投标人不满足本竞争性磋商文件关于对投标人资格证明文件的规定；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响应文件组成不完整，主要内容未能按竞争性磋商文件规定的内容、格式填写；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响应文件的有效期不满足竞争性磋商文件的规定；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响应文件没有按照规定签章的；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投标代表授权书未能由法定代表人签署；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响应文件针对每一项服务出现了两个或两个以上的报价；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明显不符合竞争性磋商文件关于对磋商服务技术规格和标准的要求；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响应文件载明的磋商项目服务周期超过竞争性磋商文件规定的期限；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响应文件载明的服务范围等不符合竞争性磋商文件的要求；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响应文件含有采购人不能接受的附加条件；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tcPr>
          <w:p>
            <w:pPr>
              <w:spacing w:line="360" w:lineRule="auto"/>
              <w:rPr>
                <w:rFonts w:ascii="宋体" w:hAnsi="宋体" w:cs="宋体"/>
                <w:color w:val="auto"/>
                <w:sz w:val="24"/>
                <w:highlight w:val="none"/>
              </w:rPr>
            </w:pPr>
          </w:p>
        </w:tc>
        <w:tc>
          <w:tcPr>
            <w:tcW w:w="51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816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不符合竞争性磋商文件规定的其他实质性要求。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初步评审合格后方可进入详细评审阶段</w:t>
            </w:r>
          </w:p>
        </w:tc>
      </w:tr>
    </w:tbl>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资格审查后合格投标人不足3家的，不进行评标，采购人将宣布废标。</w:t>
      </w:r>
      <w:bookmarkStart w:id="28" w:name="_Toc492286393"/>
    </w:p>
    <w:p>
      <w:pPr>
        <w:numPr>
          <w:ilvl w:val="0"/>
          <w:numId w:val="4"/>
        </w:num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评标</w:t>
      </w:r>
      <w:bookmarkEnd w:id="28"/>
      <w:bookmarkStart w:id="29" w:name="_Toc492286394"/>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3.1评标组织</w:t>
      </w:r>
      <w:bookmarkEnd w:id="29"/>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3.1.1采购代理机构负责组织评标工作，并履行下列职责：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（一）核对评审专家身份和采购人代表授权函，对评审专家在政府采购活动中的职责履行情况予以记录，并及时将有关违法违规行为向财政部门报告；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（二）宣布评标纪律；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（三）公布投标人名单，告知评审专家应当回避的情形；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（四）组织评标委员会推选评标组长，采购人代表不得担任组长；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（五）在评标期间采取必要的通讯管理措施，保证评标活动不受外界干扰；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（六）根据评标委员会的要求介绍政府采购相关政策法规、竞争性磋商文件；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（七）维护评标秩序，监督评标委员会依照竞争性磋商文件规定的评标程序、方法和标准进行独立评审，及时制止和纠正采购人代表、评审专家的倾向性言论或者违法违规行为；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（八）核对评标结果，有以下情形的，要求评标委员会复核或者书面说明理由，评标委员会拒绝的，应予记录并向本级财政部门报告；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（1）分值汇总计算错误的；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（2）分项评分超出评分标准范围的；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（3）评标委员会成员对客观评审因素评分不一致的；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（4）经评标委员会认定评分畸高、畸低的。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（九）评审工作完成后，按照规定向评审专家支付劳务报酬和异地评审差旅费，不得向评审专家以外的其他人员支付评审劳务报酬；</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（十）处理与评标有关的其他事项。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3.1.2评标委员会负责具体评标事务，并独立履行下列职责：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（一）审查、评价响应文件是否符合竞争性磋商文件的商务、技术等实质性要求；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（二）要求投标人对响应文件有关事项作出澄清或者说明；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（三）对响应文件进行比较和评价；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（四）确定中标候选人名单，以及根据采购人委托直接确定中标人；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（五）向采购人、采购代理机构或者有关部门报告评标中发现的违法行为。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3.1.3评标中因评标委员会成员缺席、回避或者健康等特殊原因导致评标委员会组成不符合规定的，采购代理机构依法补足后继续评标。被更换的评标委员会成员所作出的评标意见无效。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无法及时补足评标委员会成员的，采购人或者采购代理机构应当停止评标活动，封存所有响应文件和开标、评标资料，依法重新组建评标委员会进行评标。原评标委员会所作出的评标意见无效。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3.1.4评标委员会及其成员不得有下列行为：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（一）确定参与评标至评标结束前私自接触投标人；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（二）接受投标人提出的与响应文件不一致的澄清或者说明；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（三）违反评标纪律发表倾向性意见或者征询采购人的倾向性意见；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（四）对需要专业判断的主观评审因素协商评分；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（五）在评标过程中擅离职守，影响评标程序正常进行的；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（六）记录、复制或者带走任何评标资料；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（七）其他不遵守评标纪律的行为。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评标委员会成员有以上行为之一的，其评审意见无效，并不得获取评审劳务报酬和报销异地评审差旅费。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3.1.5评标委员会应当按照竞争性磋商文件中规定的评标方法和标准，对符合性审查合格的响应文件进行商务和技术评估，综合比较与评价。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3.1.6除采购人代表、评标现场组织人员外，采购人的其他工作人员以及与评标工作无关的人员不得进入评标现场。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3.1.7采购人可以在评标前说明项目背景和采购需求，说明内容不得含有歧视性、倾向性意见，不得超出竞争性磋商文件所述范围。说明应当提交书面材料，并随采购文件一并存档。</w:t>
      </w:r>
    </w:p>
    <w:p>
      <w:pPr>
        <w:pStyle w:val="24"/>
        <w:numPr>
          <w:ilvl w:val="2"/>
          <w:numId w:val="0"/>
        </w:numPr>
        <w:spacing w:line="360" w:lineRule="auto"/>
        <w:outlineLvl w:val="0"/>
        <w:rPr>
          <w:rFonts w:ascii="宋体" w:hAnsi="宋体" w:cs="宋体"/>
          <w:color w:val="auto"/>
          <w:kern w:val="2"/>
          <w:szCs w:val="24"/>
          <w:highlight w:val="none"/>
        </w:rPr>
      </w:pPr>
      <w:bookmarkStart w:id="30" w:name="_Toc492286395"/>
      <w:r>
        <w:rPr>
          <w:rFonts w:hint="eastAsia" w:ascii="宋体" w:hAnsi="宋体" w:cs="宋体"/>
          <w:color w:val="auto"/>
          <w:kern w:val="2"/>
          <w:szCs w:val="24"/>
          <w:highlight w:val="none"/>
        </w:rPr>
        <w:t>3.2符合性审查</w:t>
      </w:r>
      <w:bookmarkEnd w:id="30"/>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评标委员会对符合资格的投标人的响应文件进行符合性审查，以确定其是否满足竞争性磋商文件的实质性要求。实质上响应的投标应该是与竞争性磋商文件要求的实质性条款、条件和规格相符，没有重大偏离或保留的投标。所谓重大偏离或保留是指实质上影响合同的供货范围、质量和性能；或者实质上与竞争性磋商文件不一致，而且限制了合同中买方的权利或卖方的义务。纠正这些偏离或保留将会对其他实质上响应要求的投标人的竞争地位产生不公正的影响。评标委员会决定响应文件的响应性只根据响应文件本身的内容，而不寻求外部的证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3.2.2如果响应文件实质上没有响应竞争性磋商文件要求，按无效投标处理。投标人不得通过修正或撤销不合要求的偏离或保留从而使其投标成为实质上响应的投标。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3.2.3评标委员会将对确定为实质上响应的投标进行价格审核，看其是否有计算上错误，修正错误的方法为：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（一）响应文件中开标一览表（报价表）内容与响应文件中相应内容不一致的，以开标一览表（报价表）为准；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（二）大写金额和小写金额不一致的，以大写金额为准；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（三）单价金额小数点或者百分比有明显错位的，以开标一览表的总价为准，并修改单价；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（四）总价金额与按单价汇总金额不一致的，以单价金额计算结果为准。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同时出现两种以上不一致的，按照前款规定的顺序修正。修正后的报价经投标人确认后产生约束力，投标人不确认的，其投标无效。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3.2.4投标人应按照第五章《采购需求》中货物需求一览表的内容和数量进行报价。超过所需数量的报价，在评标时不予核减，但如果中标采购人可从合同中予以扣减。</w:t>
      </w:r>
    </w:p>
    <w:p>
      <w:pPr>
        <w:adjustRightInd w:val="0"/>
        <w:snapToGrid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3.2.5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3.2.6除竞争性磋商文件另有规定，投标人存在下列情况之一的，投标无效：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（1）竞争性磋商文件规定必须提交的响应文件未按竞争性磋商文件要求签字和盖章的；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（2）响应文件未按竞争性磋商文件要求编制填写，或内容不全、字迹模糊、难以辨认的、或采用活页夹方式或未装订的响应文件；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未按竞争性磋商文件规定递交投标保证金的、投标保证金金额不足的、投标保证金形式不符合竞争性磋商文件规定的、使用支票、本票或汇票形式未提供中国人民银行颁发的《基本银行帐户开户证明》复印件的、出具担保函的担保机构不是竞争性磋商文件指定的专业担保机构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（4）投标人不符合资格条件或未按竞争性磋商文件规定提供资格证明文件的；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（5）投标货物不符合竞争性磋商文件规定条件或未提供证明文件的；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（6）未能实质性响应竞争性磋商文件商务和技术要求的；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（7）投标有效期不足的；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（8）投标报价货币不是人民币的;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（9）投标报价超过竞争性磋商文件中规定的预算金额或者最高限价的；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（10）拆包投标或缺项漏项的；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（11）串通投标或弄虚作假或有其他违法行为的；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（12）未按评标委员会要求澄清、说明或补正的；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（13）未按评标委员会的要求在评标现场合理的时间内提供书面说明（必要时提交相关证明材料），或不能证明其报价合理性的；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（14）未按评标委员会的要求确认修正后的投标报价的；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（15）投标人符合第二章《投标人须知》第1.2条任何一种情形的；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（16）响应文件含有采购人不能接受的附加条件的；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（17）违反国家法律、法规和竞争性磋商文件规定的其他无效情形。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3.2.7有下列情形之一的，视为投标人串通投标，其投标无效：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（1）不同投标人的响应文件由同一单位或者个人编制；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（3）不同投标人的响应文件载明的项目管理成员或者联系人员为同一人；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（4）不同投标人的响应文件异常一致或者投标报价呈规律性差异；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（5）不同投标人的响应文件相互混装；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3.2.8评标委员会发现竞争性磋商文件存在歧义、重大缺陷导致评标工作无法进行，或者竞争性磋商文件内容违反国家有关强制性规定的，应当停止评标工作，与采购人或者采购代理机构沟通并作书面记录。采购人或者采购代理机构确认后，应当修改竞争性磋商文件，重新组织采购活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3.2.9符合性审查后合格的投标人不足三家时，不再进行后续评标，采购人将宣布废标。提供相同品牌产品的不同投标人，以及提供同一制造厂家产品的不同投标人，按一家投标人计算。</w:t>
      </w:r>
    </w:p>
    <w:bookmarkEnd w:id="23"/>
    <w:bookmarkEnd w:id="24"/>
    <w:bookmarkEnd w:id="25"/>
    <w:bookmarkEnd w:id="26"/>
    <w:bookmarkEnd w:id="27"/>
    <w:p>
      <w:pPr>
        <w:pStyle w:val="24"/>
        <w:numPr>
          <w:ilvl w:val="2"/>
          <w:numId w:val="0"/>
        </w:numPr>
        <w:spacing w:line="360" w:lineRule="auto"/>
        <w:outlineLvl w:val="0"/>
        <w:rPr>
          <w:rFonts w:ascii="宋体" w:hAnsi="宋体" w:cs="宋体"/>
          <w:color w:val="auto"/>
          <w:kern w:val="2"/>
          <w:szCs w:val="24"/>
          <w:highlight w:val="none"/>
        </w:rPr>
      </w:pPr>
      <w:bookmarkStart w:id="31" w:name="_Toc492286396"/>
      <w:r>
        <w:rPr>
          <w:rFonts w:hint="eastAsia" w:ascii="宋体" w:hAnsi="宋体" w:cs="宋体"/>
          <w:color w:val="auto"/>
          <w:kern w:val="2"/>
          <w:szCs w:val="24"/>
          <w:highlight w:val="none"/>
        </w:rPr>
        <w:t>3.3小型、微型企业价格扣除</w:t>
      </w:r>
      <w:bookmarkEnd w:id="3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评标委员会根据投标人提供的《中小企业声明函》、《残疾人福利性单位声明函》以及省级以上监狱管理局、戒毒管理局（含新疆生产建设兵团）出具的属于监狱企业的证明文件，认定其是否属于小型和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3.3.2投标人为小型、微型企业且所投产品为小型、微型企业生产的，评标价格给予《评审因素和评审标准一览表》规定的百分比扣除，用扣除后的价格参与评审。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3.3.3联合体投标时联合体协议约定小型和微型企业的协议合同金额占到30%以上的，可给予2%的价格扣除。联合体各方都是小型和微型企业的，可给予《评审因素和评审标准一览表》规定的百分比扣除。</w:t>
      </w:r>
    </w:p>
    <w:p>
      <w:pPr>
        <w:spacing w:line="360" w:lineRule="auto"/>
        <w:ind w:firstLine="480" w:firstLineChars="200"/>
        <w:rPr>
          <w:rFonts w:ascii="宋体" w:hAnsi="宋体" w:cs="宋体"/>
          <w:iCs/>
          <w:color w:val="auto"/>
          <w:sz w:val="24"/>
          <w:highlight w:val="none"/>
        </w:rPr>
      </w:pPr>
      <w:r>
        <w:rPr>
          <w:rFonts w:hint="eastAsia" w:ascii="宋体" w:hAnsi="宋体" w:cs="宋体"/>
          <w:iCs/>
          <w:color w:val="auto"/>
          <w:sz w:val="24"/>
          <w:highlight w:val="none"/>
        </w:rPr>
        <w:t>3.3.4小微企业价格扣除评审：对于非专门面向中小企业的项目，对小型和微型企业产品价格给予10%的扣除，用扣除后的价格参与价格分的评审。需同时满足以下三个条件的给予价格扣除：</w:t>
      </w:r>
    </w:p>
    <w:p>
      <w:pPr>
        <w:numPr>
          <w:ilvl w:val="0"/>
          <w:numId w:val="5"/>
        </w:numPr>
        <w:spacing w:line="480" w:lineRule="auto"/>
        <w:rPr>
          <w:rFonts w:ascii="宋体" w:hAnsi="宋体" w:cs="宋体"/>
          <w:color w:val="auto"/>
          <w:sz w:val="24"/>
          <w:highlight w:val="none"/>
        </w:rPr>
      </w:pPr>
      <w:r>
        <w:rPr>
          <w:rFonts w:hint="eastAsia" w:ascii="宋体" w:hAnsi="宋体" w:cs="宋体"/>
          <w:color w:val="auto"/>
          <w:sz w:val="24"/>
          <w:highlight w:val="none"/>
        </w:rPr>
        <w:t>《中小型企业声明函》</w:t>
      </w:r>
    </w:p>
    <w:p>
      <w:pPr>
        <w:pStyle w:val="10"/>
        <w:spacing w:line="480" w:lineRule="auto"/>
        <w:rPr>
          <w:rFonts w:ascii="宋体" w:hAnsi="宋体" w:cs="宋体"/>
          <w:color w:val="auto"/>
          <w:sz w:val="24"/>
          <w:highlight w:val="none"/>
        </w:rPr>
      </w:pPr>
      <w:r>
        <w:rPr>
          <w:rFonts w:hint="eastAsia" w:ascii="宋体" w:hAnsi="宋体" w:cs="宋体"/>
          <w:color w:val="auto"/>
          <w:sz w:val="24"/>
          <w:highlight w:val="none"/>
        </w:rPr>
        <w:t>2.提供投标人工商行政登记所在管理部门出具的小微企业证明文件；</w:t>
      </w:r>
    </w:p>
    <w:p>
      <w:pPr>
        <w:spacing w:line="480" w:lineRule="auto"/>
        <w:rPr>
          <w:rFonts w:ascii="宋体" w:hAnsi="宋体" w:cs="宋体"/>
          <w:color w:val="auto"/>
          <w:sz w:val="24"/>
          <w:highlight w:val="none"/>
        </w:rPr>
      </w:pPr>
      <w:r>
        <w:rPr>
          <w:rFonts w:hint="eastAsia" w:ascii="宋体" w:hAnsi="宋体" w:cs="宋体"/>
          <w:color w:val="auto"/>
          <w:sz w:val="24"/>
          <w:highlight w:val="none"/>
        </w:rPr>
        <w:t>3.提供所代理的产品生产厂家的属地主管部门出具的小微企业或监狱企业证明文件；</w:t>
      </w:r>
    </w:p>
    <w:p>
      <w:pPr>
        <w:pStyle w:val="24"/>
        <w:numPr>
          <w:ilvl w:val="2"/>
          <w:numId w:val="0"/>
        </w:numPr>
        <w:spacing w:line="360" w:lineRule="auto"/>
        <w:outlineLvl w:val="0"/>
        <w:rPr>
          <w:rFonts w:ascii="宋体" w:hAnsi="宋体" w:cs="宋体"/>
          <w:color w:val="auto"/>
          <w:kern w:val="2"/>
          <w:szCs w:val="24"/>
          <w:highlight w:val="none"/>
        </w:rPr>
      </w:pPr>
      <w:bookmarkStart w:id="32" w:name="_Toc492286397"/>
      <w:r>
        <w:rPr>
          <w:rFonts w:hint="eastAsia" w:ascii="宋体" w:hAnsi="宋体" w:cs="宋体"/>
          <w:color w:val="auto"/>
          <w:kern w:val="2"/>
          <w:szCs w:val="24"/>
          <w:highlight w:val="none"/>
        </w:rPr>
        <w:t>3.4综合评分</w:t>
      </w:r>
      <w:bookmarkEnd w:id="3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3.4.1本项目综合评分的各评审因素权重为：经济报价权重占10%，商务技术标权重占90%。投标人两部分的分值相加，即为该投标人的评标总得分。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3.4.2评标基准价和价格得分计算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投标价格经过3.3条所述的小型、微型企业价格扣除后，价格最低的为评标基准价，其价格得分为满分。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其他价格分按照以下公式计算：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投标价格得分=（评标基准价/扣除后的投标价格）×价格权值×100。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评标过程中，不得去掉报价中的最高报价和最低报价。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3.4.3商务和技术评分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评标委员会成员按照下表规定的量化因素和分值标准对响应文件进行打分，并计算出每个投标人的总分。打分保留一位小数。</w:t>
      </w:r>
      <w:bookmarkStart w:id="33" w:name="_Toc492286398"/>
    </w:p>
    <w:p>
      <w:pPr>
        <w:spacing w:line="360" w:lineRule="auto"/>
        <w:ind w:firstLine="482" w:firstLineChars="200"/>
        <w:jc w:val="center"/>
        <w:rPr>
          <w:rFonts w:hint="eastAsia" w:ascii="宋体" w:hAnsi="宋体" w:cs="宋体"/>
          <w:b/>
          <w:bCs/>
          <w:color w:val="auto"/>
          <w:sz w:val="24"/>
          <w:highlight w:val="none"/>
        </w:rPr>
        <w:sectPr>
          <w:headerReference r:id="rId9" w:type="default"/>
          <w:footerReference r:id="rId10" w:type="default"/>
          <w:pgSz w:w="11906" w:h="16838"/>
          <w:pgMar w:top="1372" w:right="1259" w:bottom="1372" w:left="1259" w:header="851" w:footer="992" w:gutter="0"/>
          <w:pgNumType w:fmt="decimal" w:start="1"/>
          <w:cols w:space="720" w:num="1"/>
          <w:docGrid w:type="lines" w:linePitch="312" w:charSpace="0"/>
        </w:sectPr>
      </w:pPr>
    </w:p>
    <w:p>
      <w:pPr>
        <w:spacing w:line="360" w:lineRule="auto"/>
        <w:ind w:firstLine="482" w:firstLineChars="200"/>
        <w:jc w:val="center"/>
        <w:rPr>
          <w:rFonts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19"/>
        <w:tblW w:w="47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307" w:type="pc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K1</w:t>
            </w:r>
          </w:p>
        </w:tc>
        <w:tc>
          <w:tcPr>
            <w:tcW w:w="4692" w:type="pct"/>
          </w:tcPr>
          <w:p>
            <w:pPr>
              <w:pStyle w:val="26"/>
              <w:adjustRightInd w:val="0"/>
              <w:snapToGrid w:val="0"/>
              <w:spacing w:line="360" w:lineRule="auto"/>
              <w:ind w:firstLine="0" w:firstLineChars="0"/>
              <w:jc w:val="both"/>
              <w:rPr>
                <w:rFonts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6"/>
              <w:adjustRightInd w:val="0"/>
              <w:snapToGrid w:val="0"/>
              <w:spacing w:line="360" w:lineRule="auto"/>
              <w:ind w:firstLine="468"/>
              <w:jc w:val="both"/>
              <w:rPr>
                <w:rFonts w:ascii="宋体" w:hAnsi="宋体" w:eastAsia="宋体" w:cs="宋体"/>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（1）对于经济报价的评分，按以下方法进行：价格分采用低价优先法计算，即满足竞争性磋商文件要求且投标价格最低的投标报价为评标基准价，其价格分为满分。其他投标人的价格分统一按照下列公式计算，</w:t>
            </w:r>
            <w:r>
              <w:rPr>
                <w:rFonts w:hint="eastAsia" w:ascii="宋体" w:hAnsi="宋体" w:eastAsia="宋体" w:cs="宋体"/>
                <w:color w:val="auto"/>
                <w:spacing w:val="-3"/>
                <w:sz w:val="24"/>
                <w:highlight w:val="none"/>
              </w:rPr>
              <w:t>因落实政府采购政策进行价格调整的，以调整后的价格计算评标基准价和投标报价。</w:t>
            </w:r>
          </w:p>
          <w:p>
            <w:pPr>
              <w:pStyle w:val="26"/>
              <w:adjustRightInd w:val="0"/>
              <w:snapToGrid w:val="0"/>
              <w:spacing w:line="360" w:lineRule="auto"/>
              <w:ind w:firstLine="468"/>
              <w:jc w:val="both"/>
              <w:rPr>
                <w:rFonts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投标报价得分=(评标基准价/投标报价)×10%×100</w:t>
            </w:r>
          </w:p>
          <w:p>
            <w:pPr>
              <w:rPr>
                <w:rFonts w:ascii="宋体" w:hAnsi="宋体" w:cs="宋体"/>
                <w:color w:val="auto"/>
                <w:spacing w:val="-3"/>
                <w:sz w:val="24"/>
                <w:highlight w:val="none"/>
              </w:rPr>
            </w:pPr>
            <w:r>
              <w:rPr>
                <w:rFonts w:hint="eastAsia" w:ascii="宋体" w:hAnsi="宋体" w:cs="宋体"/>
                <w:color w:val="auto"/>
                <w:spacing w:val="-3"/>
                <w:sz w:val="24"/>
                <w:highlight w:val="none"/>
              </w:rPr>
              <w:t>（2）</w:t>
            </w:r>
            <w:r>
              <w:rPr>
                <w:rFonts w:hint="eastAsia" w:ascii="宋体" w:hAnsi="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w:t>
            </w:r>
          </w:p>
          <w:p>
            <w:pPr>
              <w:pStyle w:val="26"/>
              <w:spacing w:line="360" w:lineRule="auto"/>
              <w:ind w:firstLine="0" w:firstLineChars="0"/>
              <w:jc w:val="both"/>
              <w:rPr>
                <w:rFonts w:ascii="宋体" w:hAnsi="宋体" w:eastAsia="宋体" w:cs="宋体"/>
                <w:color w:val="auto"/>
                <w:sz w:val="24"/>
                <w:highlight w:val="none"/>
              </w:rPr>
            </w:pPr>
            <w:r>
              <w:rPr>
                <w:rFonts w:hint="eastAsia" w:ascii="宋体" w:hAnsi="宋体" w:eastAsia="宋体" w:cs="宋体"/>
                <w:color w:val="auto"/>
                <w:sz w:val="24"/>
                <w:highlight w:val="none"/>
              </w:rPr>
              <w:t>节能、环境标志产品评审优惠内容及加分幅度：</w:t>
            </w:r>
          </w:p>
          <w:p>
            <w:pPr>
              <w:pStyle w:val="26"/>
              <w:spacing w:line="360" w:lineRule="auto"/>
              <w:ind w:firstLine="480"/>
              <w:jc w:val="both"/>
              <w:rPr>
                <w:rFonts w:ascii="宋体" w:hAnsi="宋体" w:eastAsia="宋体" w:cs="宋体"/>
                <w:b w:val="0"/>
                <w:color w:val="auto"/>
                <w:spacing w:val="-3"/>
                <w:sz w:val="24"/>
                <w:highlight w:val="none"/>
              </w:rPr>
            </w:pPr>
            <w:r>
              <w:rPr>
                <w:rFonts w:hint="eastAsia" w:ascii="宋体" w:hAnsi="宋体" w:eastAsia="宋体" w:cs="宋体"/>
                <w:b w:val="0"/>
                <w:bCs/>
                <w:color w:val="auto"/>
                <w:sz w:val="24"/>
                <w:highlight w:val="none"/>
              </w:rPr>
              <w:t>（1）</w:t>
            </w:r>
            <w:r>
              <w:rPr>
                <w:rFonts w:hint="eastAsia" w:ascii="宋体" w:hAnsi="宋体" w:eastAsia="宋体" w:cs="宋体"/>
                <w:b w:val="0"/>
                <w:color w:val="auto"/>
                <w:sz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6"/>
              <w:adjustRightInd w:val="0"/>
              <w:snapToGrid w:val="0"/>
              <w:spacing w:line="360" w:lineRule="auto"/>
              <w:ind w:firstLine="480"/>
              <w:jc w:val="both"/>
              <w:rPr>
                <w:rFonts w:ascii="宋体" w:hAnsi="宋体" w:eastAsia="宋体" w:cs="宋体"/>
                <w:b w:val="0"/>
                <w:color w:val="auto"/>
                <w:spacing w:val="-3"/>
                <w:sz w:val="24"/>
                <w:highlight w:val="none"/>
              </w:rPr>
            </w:pPr>
            <w:r>
              <w:rPr>
                <w:rFonts w:hint="eastAsia" w:ascii="宋体" w:hAnsi="宋体" w:eastAsia="宋体" w:cs="宋体"/>
                <w:b w:val="0"/>
                <w:bCs/>
                <w:color w:val="auto"/>
                <w:sz w:val="24"/>
                <w:highlight w:val="none"/>
              </w:rPr>
              <w:t>（2）</w:t>
            </w:r>
            <w:r>
              <w:rPr>
                <w:rFonts w:hint="eastAsia" w:ascii="宋体" w:hAnsi="宋体" w:eastAsia="宋体" w:cs="宋体"/>
                <w:b w:val="0"/>
                <w:color w:val="auto"/>
                <w:spacing w:val="-3"/>
                <w:sz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6"/>
              <w:adjustRightInd w:val="0"/>
              <w:snapToGrid w:val="0"/>
              <w:spacing w:line="360" w:lineRule="auto"/>
              <w:ind w:firstLine="470"/>
              <w:jc w:val="both"/>
              <w:rPr>
                <w:rFonts w:ascii="宋体" w:hAnsi="宋体" w:eastAsia="宋体" w:cs="宋体"/>
                <w:color w:val="auto"/>
                <w:spacing w:val="-3"/>
                <w:sz w:val="24"/>
                <w:highlight w:val="none"/>
              </w:rPr>
            </w:pPr>
            <w:r>
              <w:rPr>
                <w:rFonts w:hint="eastAsia" w:ascii="宋体" w:hAnsi="宋体" w:eastAsia="宋体" w:cs="宋体"/>
                <w:color w:val="auto"/>
                <w:spacing w:val="-3"/>
                <w:sz w:val="24"/>
                <w:highlight w:val="none"/>
              </w:rPr>
              <w:t>价格项加分：</w:t>
            </w:r>
          </w:p>
          <w:p>
            <w:pPr>
              <w:pStyle w:val="26"/>
              <w:adjustRightInd w:val="0"/>
              <w:snapToGrid w:val="0"/>
              <w:spacing w:line="360" w:lineRule="auto"/>
              <w:ind w:firstLine="468"/>
              <w:jc w:val="both"/>
              <w:rPr>
                <w:rFonts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1、（节能清单部分产品的价格/投标报价）×3%×价格项满分值</w:t>
            </w:r>
          </w:p>
          <w:p>
            <w:pPr>
              <w:pStyle w:val="26"/>
              <w:adjustRightInd w:val="0"/>
              <w:snapToGrid w:val="0"/>
              <w:spacing w:line="360" w:lineRule="auto"/>
              <w:ind w:firstLine="468"/>
              <w:jc w:val="both"/>
              <w:rPr>
                <w:rFonts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2、（环境清单部分产品的价格/投标报价）×3%×价格项满分值</w:t>
            </w:r>
          </w:p>
          <w:p>
            <w:pPr>
              <w:pStyle w:val="26"/>
              <w:adjustRightInd w:val="0"/>
              <w:snapToGrid w:val="0"/>
              <w:spacing w:line="360" w:lineRule="auto"/>
              <w:ind w:firstLine="470"/>
              <w:jc w:val="both"/>
              <w:rPr>
                <w:rFonts w:ascii="宋体" w:hAnsi="宋体" w:eastAsia="宋体" w:cs="宋体"/>
                <w:color w:val="auto"/>
                <w:spacing w:val="-3"/>
                <w:sz w:val="24"/>
                <w:highlight w:val="none"/>
              </w:rPr>
            </w:pPr>
            <w:r>
              <w:rPr>
                <w:rFonts w:hint="eastAsia" w:ascii="宋体" w:hAnsi="宋体" w:eastAsia="宋体" w:cs="宋体"/>
                <w:color w:val="auto"/>
                <w:spacing w:val="-3"/>
                <w:sz w:val="24"/>
                <w:highlight w:val="none"/>
              </w:rPr>
              <w:t>技术项加分：</w:t>
            </w:r>
          </w:p>
          <w:p>
            <w:pPr>
              <w:pStyle w:val="26"/>
              <w:adjustRightInd w:val="0"/>
              <w:snapToGrid w:val="0"/>
              <w:spacing w:line="360" w:lineRule="auto"/>
              <w:ind w:firstLine="468"/>
              <w:jc w:val="both"/>
              <w:rPr>
                <w:rFonts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1、（节能清单部分产品的价格/投标报价）×3%×技术项满分值</w:t>
            </w:r>
          </w:p>
          <w:p>
            <w:pPr>
              <w:pStyle w:val="26"/>
              <w:adjustRightInd w:val="0"/>
              <w:snapToGrid w:val="0"/>
              <w:spacing w:line="360" w:lineRule="auto"/>
              <w:ind w:firstLine="468"/>
              <w:jc w:val="both"/>
              <w:rPr>
                <w:rFonts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2、（环境清单部分产品的价格/投标报价）×3%×技术项满分值</w:t>
            </w:r>
          </w:p>
          <w:p>
            <w:pPr>
              <w:pStyle w:val="26"/>
              <w:adjustRightInd w:val="0"/>
              <w:snapToGrid w:val="0"/>
              <w:spacing w:line="360" w:lineRule="auto"/>
              <w:ind w:firstLine="468"/>
              <w:jc w:val="both"/>
              <w:rPr>
                <w:rFonts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注：1、投标人须提供最新一期《节能产品政府采购清单》关于投标产品当前页的打印件；</w:t>
            </w:r>
          </w:p>
          <w:p>
            <w:pPr>
              <w:pStyle w:val="26"/>
              <w:adjustRightInd w:val="0"/>
              <w:snapToGrid w:val="0"/>
              <w:spacing w:line="360" w:lineRule="auto"/>
              <w:ind w:firstLine="468"/>
              <w:jc w:val="both"/>
              <w:rPr>
                <w:rFonts w:ascii="宋体" w:hAnsi="宋体" w:eastAsia="宋体" w:cs="宋体"/>
                <w:b w:val="0"/>
                <w:color w:val="auto"/>
                <w:sz w:val="24"/>
                <w:highlight w:val="none"/>
              </w:rPr>
            </w:pPr>
            <w:r>
              <w:rPr>
                <w:rFonts w:hint="eastAsia" w:ascii="宋体" w:hAnsi="宋体" w:eastAsia="宋体" w:cs="宋体"/>
                <w:b w:val="0"/>
                <w:color w:val="auto"/>
                <w:spacing w:val="-3"/>
                <w:sz w:val="24"/>
                <w:highlight w:val="none"/>
              </w:rPr>
              <w:t>2、投标人提供最新一期《环境标志产品政府采购清单》关于投标产品当前页的打印件；</w:t>
            </w:r>
          </w:p>
          <w:p>
            <w:pPr>
              <w:pStyle w:val="26"/>
              <w:spacing w:line="360" w:lineRule="auto"/>
              <w:ind w:firstLine="482"/>
              <w:jc w:val="both"/>
              <w:rPr>
                <w:rFonts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pStyle w:val="24"/>
        <w:numPr>
          <w:ilvl w:val="2"/>
          <w:numId w:val="0"/>
        </w:numPr>
        <w:spacing w:line="360" w:lineRule="auto"/>
        <w:jc w:val="center"/>
        <w:outlineLvl w:val="0"/>
        <w:rPr>
          <w:rFonts w:ascii="宋体" w:hAnsi="宋体" w:cs="宋体"/>
          <w:b/>
          <w:bCs/>
          <w:color w:val="auto"/>
          <w:kern w:val="2"/>
          <w:sz w:val="28"/>
          <w:szCs w:val="28"/>
          <w:highlight w:val="none"/>
        </w:rPr>
      </w:pPr>
    </w:p>
    <w:p>
      <w:pPr>
        <w:pStyle w:val="24"/>
        <w:numPr>
          <w:ilvl w:val="2"/>
          <w:numId w:val="0"/>
        </w:numPr>
        <w:spacing w:line="360" w:lineRule="auto"/>
        <w:jc w:val="center"/>
        <w:outlineLvl w:val="0"/>
        <w:rPr>
          <w:rFonts w:ascii="宋体" w:hAnsi="宋体" w:cs="宋体"/>
          <w:b/>
          <w:bCs/>
          <w:color w:val="auto"/>
          <w:kern w:val="2"/>
          <w:sz w:val="28"/>
          <w:szCs w:val="28"/>
          <w:highlight w:val="none"/>
        </w:rPr>
      </w:pPr>
    </w:p>
    <w:p>
      <w:pPr>
        <w:pStyle w:val="24"/>
        <w:numPr>
          <w:ilvl w:val="2"/>
          <w:numId w:val="0"/>
        </w:numPr>
        <w:spacing w:line="360" w:lineRule="auto"/>
        <w:jc w:val="center"/>
        <w:outlineLvl w:val="0"/>
        <w:rPr>
          <w:rFonts w:ascii="宋体" w:hAnsi="宋体" w:cs="宋体"/>
          <w:b/>
          <w:bCs/>
          <w:color w:val="auto"/>
          <w:kern w:val="2"/>
          <w:sz w:val="28"/>
          <w:szCs w:val="28"/>
          <w:highlight w:val="none"/>
        </w:rPr>
      </w:pPr>
    </w:p>
    <w:p>
      <w:pPr>
        <w:pStyle w:val="24"/>
        <w:numPr>
          <w:ilvl w:val="2"/>
          <w:numId w:val="0"/>
        </w:numPr>
        <w:spacing w:line="360" w:lineRule="auto"/>
        <w:jc w:val="center"/>
        <w:outlineLvl w:val="0"/>
        <w:rPr>
          <w:rFonts w:ascii="宋体" w:hAnsi="宋体" w:cs="宋体"/>
          <w:b/>
          <w:bCs/>
          <w:color w:val="auto"/>
          <w:kern w:val="2"/>
          <w:sz w:val="28"/>
          <w:szCs w:val="28"/>
          <w:highlight w:val="none"/>
        </w:rPr>
      </w:pPr>
    </w:p>
    <w:p>
      <w:pPr>
        <w:pStyle w:val="24"/>
        <w:numPr>
          <w:ilvl w:val="2"/>
          <w:numId w:val="0"/>
        </w:numPr>
        <w:spacing w:line="360" w:lineRule="auto"/>
        <w:jc w:val="center"/>
        <w:outlineLvl w:val="0"/>
        <w:rPr>
          <w:rFonts w:ascii="宋体" w:hAnsi="宋体" w:cs="宋体"/>
          <w:b/>
          <w:bCs/>
          <w:color w:val="auto"/>
          <w:kern w:val="2"/>
          <w:sz w:val="28"/>
          <w:szCs w:val="28"/>
          <w:highlight w:val="none"/>
        </w:rPr>
      </w:pPr>
    </w:p>
    <w:p>
      <w:pPr>
        <w:pStyle w:val="24"/>
        <w:numPr>
          <w:ilvl w:val="2"/>
          <w:numId w:val="0"/>
        </w:numPr>
        <w:spacing w:line="360" w:lineRule="auto"/>
        <w:jc w:val="center"/>
        <w:outlineLvl w:val="0"/>
        <w:rPr>
          <w:rFonts w:hint="eastAsia" w:ascii="宋体" w:hAnsi="宋体" w:cs="宋体"/>
          <w:b/>
          <w:bCs/>
          <w:color w:val="auto"/>
          <w:kern w:val="2"/>
          <w:sz w:val="28"/>
          <w:szCs w:val="28"/>
          <w:highlight w:val="none"/>
          <w:lang w:val="en-US" w:eastAsia="zh-CN"/>
        </w:rPr>
        <w:sectPr>
          <w:pgSz w:w="11906" w:h="16838"/>
          <w:pgMar w:top="1372" w:right="1259" w:bottom="1372" w:left="1259" w:header="851" w:footer="992" w:gutter="0"/>
          <w:pgNumType w:fmt="decimal"/>
          <w:cols w:space="720" w:num="1"/>
          <w:docGrid w:type="lines" w:linePitch="312" w:charSpace="0"/>
        </w:sectPr>
      </w:pPr>
    </w:p>
    <w:p>
      <w:pPr>
        <w:pStyle w:val="24"/>
        <w:numPr>
          <w:ilvl w:val="2"/>
          <w:numId w:val="0"/>
        </w:numPr>
        <w:spacing w:line="360" w:lineRule="auto"/>
        <w:jc w:val="center"/>
        <w:outlineLvl w:val="0"/>
        <w:rPr>
          <w:rFonts w:hint="eastAsia" w:ascii="宋体" w:hAnsi="宋体" w:cs="宋体"/>
          <w:b/>
          <w:bCs/>
          <w:color w:val="auto"/>
          <w:kern w:val="2"/>
          <w:sz w:val="28"/>
          <w:szCs w:val="28"/>
          <w:highlight w:val="none"/>
          <w:lang w:val="en-US" w:eastAsia="zh-CN"/>
        </w:rPr>
      </w:pPr>
      <w:r>
        <w:rPr>
          <w:rFonts w:hint="eastAsia" w:ascii="宋体" w:hAnsi="宋体" w:cs="宋体"/>
          <w:b/>
          <w:bCs/>
          <w:color w:val="auto"/>
          <w:kern w:val="2"/>
          <w:sz w:val="28"/>
          <w:szCs w:val="28"/>
          <w:highlight w:val="none"/>
          <w:lang w:val="en-US" w:eastAsia="zh-CN"/>
        </w:rPr>
        <w:t>技术评审内容</w:t>
      </w:r>
    </w:p>
    <w:tbl>
      <w:tblPr>
        <w:tblStyle w:val="19"/>
        <w:tblpPr w:leftFromText="180" w:rightFromText="180" w:vertAnchor="text" w:horzAnchor="page" w:tblpXSpec="center" w:tblpY="80"/>
        <w:tblOverlap w:val="never"/>
        <w:tblW w:w="490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572"/>
        <w:gridCol w:w="1131"/>
        <w:gridCol w:w="60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before="93" w:beforeLines="30"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序号</w:t>
            </w:r>
          </w:p>
        </w:tc>
        <w:tc>
          <w:tcPr>
            <w:tcW w:w="834" w:type="pct"/>
            <w:tcBorders>
              <w:top w:val="single" w:color="auto" w:sz="4" w:space="0"/>
              <w:left w:val="single" w:color="auto" w:sz="4" w:space="0"/>
              <w:bottom w:val="single" w:color="auto" w:sz="4" w:space="0"/>
              <w:right w:val="single" w:color="auto" w:sz="4" w:space="0"/>
            </w:tcBorders>
            <w:vAlign w:val="center"/>
          </w:tcPr>
          <w:p>
            <w:pPr>
              <w:spacing w:before="93" w:beforeLines="30"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评分项</w:t>
            </w:r>
          </w:p>
        </w:tc>
        <w:tc>
          <w:tcPr>
            <w:tcW w:w="600" w:type="pct"/>
            <w:tcBorders>
              <w:top w:val="single" w:color="auto" w:sz="4" w:space="0"/>
              <w:left w:val="single" w:color="auto" w:sz="4" w:space="0"/>
              <w:bottom w:val="single" w:color="auto" w:sz="4" w:space="0"/>
              <w:right w:val="single" w:color="auto" w:sz="4" w:space="0"/>
            </w:tcBorders>
            <w:vAlign w:val="center"/>
          </w:tcPr>
          <w:p>
            <w:pPr>
              <w:spacing w:before="93" w:beforeLines="30"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分值</w:t>
            </w:r>
          </w:p>
        </w:tc>
        <w:tc>
          <w:tcPr>
            <w:tcW w:w="3196" w:type="pct"/>
            <w:tcBorders>
              <w:top w:val="single" w:color="auto" w:sz="4" w:space="0"/>
              <w:left w:val="single" w:color="auto" w:sz="4" w:space="0"/>
              <w:bottom w:val="single" w:color="auto" w:sz="4" w:space="0"/>
              <w:right w:val="single" w:color="auto" w:sz="4" w:space="0"/>
            </w:tcBorders>
            <w:vAlign w:val="center"/>
          </w:tcPr>
          <w:p>
            <w:pPr>
              <w:spacing w:before="93" w:beforeLines="30"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pStyle w:val="30"/>
              <w:spacing w:line="360" w:lineRule="auto"/>
              <w:ind w:firstLine="0"/>
              <w:jc w:val="center"/>
              <w:rPr>
                <w:rFonts w:ascii="宋体" w:hAnsi="宋体" w:cs="宋体"/>
                <w:color w:val="auto"/>
                <w:sz w:val="28"/>
                <w:szCs w:val="28"/>
                <w:highlight w:val="none"/>
              </w:rPr>
            </w:pPr>
            <w:r>
              <w:rPr>
                <w:rFonts w:hint="eastAsia" w:ascii="宋体" w:hAnsi="宋体" w:cs="宋体"/>
                <w:color w:val="auto"/>
                <w:sz w:val="28"/>
                <w:szCs w:val="28"/>
                <w:highlight w:val="none"/>
              </w:rPr>
              <w:t>技术部分90分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1</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bidi="ar"/>
              </w:rPr>
              <w:t>服务团队人员配置</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bidi="ar"/>
              </w:rPr>
              <w:t>1</w:t>
            </w:r>
            <w:r>
              <w:rPr>
                <w:rFonts w:hint="eastAsia" w:ascii="宋体" w:hAnsi="宋体" w:cs="宋体"/>
                <w:color w:val="auto"/>
                <w:sz w:val="28"/>
                <w:szCs w:val="28"/>
                <w:highlight w:val="none"/>
                <w:lang w:val="en-US" w:eastAsia="zh-CN" w:bidi="ar"/>
              </w:rPr>
              <w:t>5</w:t>
            </w:r>
            <w:r>
              <w:rPr>
                <w:rFonts w:hint="eastAsia" w:ascii="宋体" w:hAnsi="宋体" w:eastAsia="宋体" w:cs="宋体"/>
                <w:color w:val="auto"/>
                <w:sz w:val="28"/>
                <w:szCs w:val="28"/>
                <w:highlight w:val="none"/>
                <w:lang w:bidi="ar"/>
              </w:rPr>
              <w:t>分</w:t>
            </w:r>
          </w:p>
        </w:tc>
        <w:tc>
          <w:tcPr>
            <w:tcW w:w="3196"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为本项目配备专业的考试辅助服务人员，人员</w:t>
            </w:r>
            <w:r>
              <w:rPr>
                <w:rFonts w:hint="eastAsia" w:ascii="宋体" w:hAnsi="宋体" w:eastAsia="宋体" w:cs="宋体"/>
                <w:color w:val="auto"/>
                <w:sz w:val="28"/>
                <w:szCs w:val="28"/>
                <w:highlight w:val="none"/>
              </w:rPr>
              <w:t>具有相应的职业</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rPr>
              <w:t>水平</w:t>
            </w:r>
            <w:r>
              <w:rPr>
                <w:rFonts w:hint="eastAsia" w:ascii="宋体" w:hAnsi="宋体" w:cs="宋体"/>
                <w:color w:val="auto"/>
                <w:sz w:val="28"/>
                <w:szCs w:val="28"/>
                <w:highlight w:val="none"/>
                <w:lang w:val="en-US" w:eastAsia="zh-CN"/>
              </w:rPr>
              <w:t>并且符合竞争性磋商文件中考试辅助服务采购需求的要求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每提供1人得</w:t>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最多15分。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2</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spacing w:val="6"/>
                <w:sz w:val="28"/>
                <w:szCs w:val="28"/>
                <w:highlight w:val="none"/>
                <w:lang w:val="en-US" w:eastAsia="zh-CN"/>
              </w:rPr>
              <w:t>制度管理</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bidi="ar"/>
              </w:rPr>
              <w:t>分</w:t>
            </w:r>
          </w:p>
        </w:tc>
        <w:tc>
          <w:tcPr>
            <w:tcW w:w="3196"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8"/>
                <w:szCs w:val="28"/>
                <w:highlight w:val="none"/>
                <w:lang w:eastAsia="zh-CN"/>
              </w:rPr>
            </w:pPr>
            <w:r>
              <w:rPr>
                <w:rFonts w:ascii="宋体" w:hAnsi="宋体" w:eastAsia="宋体" w:cs="宋体"/>
                <w:color w:val="auto"/>
                <w:spacing w:val="19"/>
                <w:sz w:val="28"/>
                <w:szCs w:val="28"/>
                <w:highlight w:val="none"/>
              </w:rPr>
              <w:t>具有完善的社会化辅助考试服</w:t>
            </w:r>
            <w:r>
              <w:rPr>
                <w:rFonts w:ascii="宋体" w:hAnsi="宋体" w:eastAsia="宋体" w:cs="宋体"/>
                <w:color w:val="auto"/>
                <w:spacing w:val="17"/>
                <w:sz w:val="28"/>
                <w:szCs w:val="28"/>
                <w:highlight w:val="none"/>
              </w:rPr>
              <w:t>务</w:t>
            </w:r>
            <w:r>
              <w:rPr>
                <w:rFonts w:ascii="宋体" w:hAnsi="宋体" w:eastAsia="宋体" w:cs="宋体"/>
                <w:color w:val="auto"/>
                <w:spacing w:val="-4"/>
                <w:sz w:val="28"/>
                <w:szCs w:val="28"/>
                <w:highlight w:val="none"/>
              </w:rPr>
              <w:t>管理</w:t>
            </w:r>
            <w:r>
              <w:rPr>
                <w:rFonts w:hint="eastAsia" w:ascii="宋体" w:hAnsi="宋体" w:cs="宋体"/>
                <w:color w:val="auto"/>
                <w:spacing w:val="-4"/>
                <w:sz w:val="28"/>
                <w:szCs w:val="28"/>
                <w:highlight w:val="none"/>
                <w:lang w:val="en-US" w:eastAsia="zh-CN"/>
              </w:rPr>
              <w:t>制度</w:t>
            </w:r>
            <w:r>
              <w:rPr>
                <w:rFonts w:ascii="宋体" w:hAnsi="宋体" w:eastAsia="宋体" w:cs="宋体"/>
                <w:color w:val="auto"/>
                <w:spacing w:val="-4"/>
                <w:sz w:val="28"/>
                <w:szCs w:val="28"/>
                <w:highlight w:val="none"/>
              </w:rPr>
              <w:t>，</w:t>
            </w:r>
            <w:r>
              <w:rPr>
                <w:rFonts w:ascii="宋体" w:hAnsi="宋体" w:eastAsia="宋体" w:cs="宋体"/>
                <w:color w:val="auto"/>
                <w:spacing w:val="-2"/>
                <w:sz w:val="28"/>
                <w:szCs w:val="28"/>
                <w:highlight w:val="none"/>
              </w:rPr>
              <w:t>财务管理</w:t>
            </w:r>
            <w:r>
              <w:rPr>
                <w:rFonts w:hint="eastAsia" w:ascii="宋体" w:hAnsi="宋体" w:cs="宋体"/>
                <w:color w:val="auto"/>
                <w:spacing w:val="-2"/>
                <w:sz w:val="28"/>
                <w:szCs w:val="28"/>
                <w:highlight w:val="none"/>
                <w:lang w:val="en-US" w:eastAsia="zh-CN"/>
              </w:rPr>
              <w:t>制度</w:t>
            </w:r>
            <w:r>
              <w:rPr>
                <w:rFonts w:hint="eastAsia" w:ascii="宋体" w:hAnsi="宋体" w:cs="宋体"/>
                <w:color w:val="auto"/>
                <w:spacing w:val="-2"/>
                <w:sz w:val="28"/>
                <w:szCs w:val="28"/>
                <w:highlight w:val="none"/>
                <w:lang w:eastAsia="zh-CN"/>
              </w:rPr>
              <w:t>、</w:t>
            </w:r>
            <w:r>
              <w:rPr>
                <w:rFonts w:hint="eastAsia" w:ascii="宋体" w:hAnsi="宋体" w:cs="宋体"/>
                <w:color w:val="auto"/>
                <w:spacing w:val="-2"/>
                <w:sz w:val="28"/>
                <w:szCs w:val="28"/>
                <w:highlight w:val="none"/>
                <w:lang w:val="en-US" w:eastAsia="zh-CN"/>
              </w:rPr>
              <w:t>档案管理制度，每提供1项的2分，最多</w:t>
            </w:r>
            <w:r>
              <w:rPr>
                <w:rFonts w:ascii="宋体" w:hAnsi="宋体" w:eastAsia="宋体" w:cs="宋体"/>
                <w:color w:val="auto"/>
                <w:spacing w:val="10"/>
                <w:sz w:val="28"/>
                <w:szCs w:val="28"/>
                <w:highlight w:val="none"/>
              </w:rPr>
              <w:t>得</w:t>
            </w:r>
            <w:r>
              <w:rPr>
                <w:rFonts w:hint="eastAsia" w:ascii="宋体" w:hAnsi="宋体" w:cs="宋体"/>
                <w:color w:val="auto"/>
                <w:spacing w:val="7"/>
                <w:sz w:val="28"/>
                <w:szCs w:val="28"/>
                <w:highlight w:val="none"/>
                <w:lang w:val="en-US" w:eastAsia="zh-CN"/>
              </w:rPr>
              <w:t>6</w:t>
            </w:r>
            <w:r>
              <w:rPr>
                <w:rFonts w:ascii="宋体" w:hAnsi="宋体" w:eastAsia="宋体" w:cs="宋体"/>
                <w:color w:val="auto"/>
                <w:spacing w:val="7"/>
                <w:sz w:val="28"/>
                <w:szCs w:val="28"/>
                <w:highlight w:val="none"/>
              </w:rPr>
              <w:t>分</w:t>
            </w:r>
            <w:r>
              <w:rPr>
                <w:rFonts w:hint="eastAsia" w:ascii="宋体" w:hAnsi="宋体" w:cs="宋体"/>
                <w:color w:val="auto"/>
                <w:spacing w:val="7"/>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9"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pacing w:val="8"/>
                <w:sz w:val="28"/>
                <w:szCs w:val="28"/>
                <w:highlight w:val="none"/>
              </w:rPr>
            </w:pPr>
            <w:r>
              <w:rPr>
                <w:rFonts w:ascii="宋体" w:hAnsi="宋体" w:eastAsia="宋体" w:cs="宋体"/>
                <w:color w:val="auto"/>
                <w:spacing w:val="9"/>
                <w:sz w:val="28"/>
                <w:szCs w:val="28"/>
                <w:highlight w:val="none"/>
              </w:rPr>
              <w:t>工</w:t>
            </w:r>
            <w:r>
              <w:rPr>
                <w:rFonts w:ascii="宋体" w:hAnsi="宋体" w:eastAsia="宋体" w:cs="宋体"/>
                <w:color w:val="auto"/>
                <w:spacing w:val="8"/>
                <w:sz w:val="28"/>
                <w:szCs w:val="28"/>
                <w:highlight w:val="none"/>
              </w:rPr>
              <w:t>作的重点和难</w:t>
            </w:r>
            <w:r>
              <w:rPr>
                <w:rFonts w:ascii="宋体" w:hAnsi="宋体" w:eastAsia="宋体" w:cs="宋体"/>
                <w:color w:val="auto"/>
                <w:sz w:val="28"/>
                <w:szCs w:val="28"/>
                <w:highlight w:val="none"/>
              </w:rPr>
              <w:t>点</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bidi="ar"/>
              </w:rPr>
              <w:t>分</w:t>
            </w:r>
          </w:p>
        </w:tc>
        <w:tc>
          <w:tcPr>
            <w:tcW w:w="3196" w:type="pct"/>
            <w:tcBorders>
              <w:top w:val="single" w:color="auto" w:sz="4" w:space="0"/>
              <w:left w:val="single" w:color="auto" w:sz="4" w:space="0"/>
              <w:bottom w:val="single" w:color="auto" w:sz="4" w:space="0"/>
              <w:right w:val="single" w:color="auto" w:sz="4" w:space="0"/>
            </w:tcBorders>
            <w:vAlign w:val="center"/>
          </w:tcPr>
          <w:p>
            <w:pPr>
              <w:spacing w:before="39" w:line="360" w:lineRule="auto"/>
              <w:ind w:right="38"/>
              <w:rPr>
                <w:rFonts w:hint="eastAsia" w:ascii="宋体" w:hAnsi="宋体" w:eastAsia="宋体" w:cs="宋体"/>
                <w:color w:val="auto"/>
                <w:spacing w:val="9"/>
                <w:sz w:val="28"/>
                <w:szCs w:val="28"/>
                <w:highlight w:val="none"/>
                <w:lang w:eastAsia="zh-CN"/>
              </w:rPr>
            </w:pPr>
            <w:r>
              <w:rPr>
                <w:rFonts w:hint="eastAsia" w:ascii="宋体" w:hAnsi="宋体" w:cs="宋体"/>
                <w:color w:val="auto"/>
                <w:spacing w:val="9"/>
                <w:sz w:val="28"/>
                <w:szCs w:val="28"/>
                <w:highlight w:val="none"/>
                <w:lang w:val="en-US" w:eastAsia="zh-CN"/>
              </w:rPr>
              <w:t>对</w:t>
            </w:r>
            <w:r>
              <w:rPr>
                <w:rFonts w:ascii="宋体" w:hAnsi="宋体" w:eastAsia="宋体" w:cs="宋体"/>
                <w:color w:val="auto"/>
                <w:spacing w:val="9"/>
                <w:sz w:val="28"/>
                <w:szCs w:val="28"/>
                <w:highlight w:val="none"/>
              </w:rPr>
              <w:t>社会化辅助考试服务</w:t>
            </w:r>
            <w:r>
              <w:rPr>
                <w:rFonts w:hint="eastAsia" w:ascii="宋体" w:hAnsi="宋体" w:eastAsia="宋体" w:cs="宋体"/>
                <w:color w:val="auto"/>
                <w:spacing w:val="14"/>
                <w:sz w:val="28"/>
                <w:szCs w:val="28"/>
                <w:highlight w:val="none"/>
                <w:lang w:val="en-US" w:eastAsia="zh-CN"/>
              </w:rPr>
              <w:t>的工作</w:t>
            </w:r>
            <w:r>
              <w:rPr>
                <w:rFonts w:hint="eastAsia" w:ascii="宋体" w:hAnsi="宋体" w:cs="宋体"/>
                <w:color w:val="auto"/>
                <w:spacing w:val="14"/>
                <w:sz w:val="28"/>
                <w:szCs w:val="28"/>
                <w:highlight w:val="none"/>
                <w:lang w:val="en-US" w:eastAsia="zh-CN"/>
              </w:rPr>
              <w:t>中存在</w:t>
            </w:r>
            <w:r>
              <w:rPr>
                <w:rFonts w:ascii="宋体" w:hAnsi="宋体" w:eastAsia="宋体" w:cs="宋体"/>
                <w:color w:val="auto"/>
                <w:spacing w:val="14"/>
                <w:sz w:val="28"/>
                <w:szCs w:val="28"/>
                <w:highlight w:val="none"/>
              </w:rPr>
              <w:t>的</w:t>
            </w:r>
            <w:r>
              <w:rPr>
                <w:rFonts w:hint="eastAsia" w:ascii="宋体" w:hAnsi="宋体" w:eastAsia="宋体" w:cs="宋体"/>
                <w:color w:val="auto"/>
                <w:spacing w:val="14"/>
                <w:sz w:val="28"/>
                <w:szCs w:val="28"/>
                <w:highlight w:val="none"/>
                <w:lang w:val="en-US" w:eastAsia="zh-CN"/>
              </w:rPr>
              <w:t>重点难点剖析到位，合理化建议切实可行</w:t>
            </w:r>
            <w:r>
              <w:rPr>
                <w:rFonts w:hint="eastAsia" w:ascii="宋体" w:hAnsi="宋体" w:cs="宋体"/>
                <w:color w:val="auto"/>
                <w:spacing w:val="14"/>
                <w:sz w:val="28"/>
                <w:szCs w:val="28"/>
                <w:highlight w:val="none"/>
                <w:lang w:val="en-US" w:eastAsia="zh-CN"/>
              </w:rPr>
              <w:t>，质量管理与保证措施切实有效，</w:t>
            </w:r>
            <w:r>
              <w:rPr>
                <w:rFonts w:ascii="宋体" w:hAnsi="宋体" w:eastAsia="宋体" w:cs="宋体"/>
                <w:color w:val="auto"/>
                <w:spacing w:val="14"/>
                <w:sz w:val="28"/>
                <w:szCs w:val="28"/>
                <w:highlight w:val="none"/>
              </w:rPr>
              <w:t>分析准确、全面</w:t>
            </w:r>
            <w:r>
              <w:rPr>
                <w:rFonts w:hint="eastAsia" w:ascii="宋体" w:hAnsi="宋体" w:cs="宋体"/>
                <w:color w:val="auto"/>
                <w:spacing w:val="14"/>
                <w:sz w:val="28"/>
                <w:szCs w:val="28"/>
                <w:highlight w:val="none"/>
                <w:lang w:eastAsia="zh-CN"/>
              </w:rPr>
              <w:t>，</w:t>
            </w:r>
            <w:r>
              <w:rPr>
                <w:rFonts w:hint="eastAsia" w:ascii="宋体" w:hAnsi="宋体" w:cs="宋体"/>
                <w:color w:val="auto"/>
                <w:spacing w:val="14"/>
                <w:sz w:val="28"/>
                <w:szCs w:val="28"/>
                <w:highlight w:val="none"/>
                <w:lang w:val="en-US" w:eastAsia="zh-CN"/>
              </w:rPr>
              <w:t>有详细可行的说明和解决措施</w:t>
            </w:r>
            <w:r>
              <w:rPr>
                <w:rFonts w:ascii="宋体" w:hAnsi="宋体" w:eastAsia="宋体" w:cs="宋体"/>
                <w:color w:val="auto"/>
                <w:spacing w:val="-4"/>
                <w:sz w:val="28"/>
                <w:szCs w:val="28"/>
                <w:highlight w:val="none"/>
              </w:rPr>
              <w:t>的</w:t>
            </w:r>
            <w:r>
              <w:rPr>
                <w:rFonts w:ascii="宋体" w:hAnsi="宋体" w:eastAsia="宋体" w:cs="宋体"/>
                <w:color w:val="auto"/>
                <w:spacing w:val="-3"/>
                <w:sz w:val="28"/>
                <w:szCs w:val="28"/>
                <w:highlight w:val="none"/>
              </w:rPr>
              <w:t>得</w:t>
            </w:r>
            <w:r>
              <w:rPr>
                <w:rFonts w:ascii="宋体" w:hAnsi="宋体" w:eastAsia="宋体" w:cs="宋体"/>
                <w:color w:val="auto"/>
                <w:spacing w:val="-2"/>
                <w:sz w:val="28"/>
                <w:szCs w:val="28"/>
                <w:highlight w:val="none"/>
              </w:rPr>
              <w:t xml:space="preserve"> 1</w:t>
            </w:r>
            <w:r>
              <w:rPr>
                <w:rFonts w:hint="eastAsia" w:ascii="宋体" w:hAnsi="宋体" w:cs="宋体"/>
                <w:color w:val="auto"/>
                <w:spacing w:val="-2"/>
                <w:sz w:val="28"/>
                <w:szCs w:val="28"/>
                <w:highlight w:val="none"/>
                <w:lang w:val="en-US" w:eastAsia="zh-CN"/>
              </w:rPr>
              <w:t>2</w:t>
            </w:r>
            <w:r>
              <w:rPr>
                <w:rFonts w:ascii="宋体" w:hAnsi="宋体" w:eastAsia="宋体" w:cs="宋体"/>
                <w:color w:val="auto"/>
                <w:spacing w:val="-2"/>
                <w:sz w:val="28"/>
                <w:szCs w:val="28"/>
                <w:highlight w:val="none"/>
              </w:rPr>
              <w:t xml:space="preserve"> 分</w:t>
            </w:r>
            <w:r>
              <w:rPr>
                <w:rFonts w:hint="eastAsia" w:ascii="宋体" w:hAnsi="宋体" w:cs="宋体"/>
                <w:color w:val="auto"/>
                <w:spacing w:val="-2"/>
                <w:sz w:val="28"/>
                <w:szCs w:val="28"/>
                <w:highlight w:val="none"/>
                <w:lang w:eastAsia="zh-CN"/>
              </w:rPr>
              <w:t>，</w:t>
            </w:r>
            <w:r>
              <w:rPr>
                <w:rFonts w:hint="eastAsia" w:ascii="宋体" w:hAnsi="宋体" w:cs="宋体"/>
                <w:color w:val="auto"/>
                <w:spacing w:val="7"/>
                <w:sz w:val="28"/>
                <w:szCs w:val="28"/>
                <w:highlight w:val="none"/>
                <w:lang w:val="en-US" w:eastAsia="zh-CN"/>
              </w:rPr>
              <w:t>未提供的不得分。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4</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项目实施方案</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bidi="ar"/>
              </w:rPr>
              <w:t>20</w:t>
            </w:r>
            <w:r>
              <w:rPr>
                <w:rFonts w:hint="eastAsia" w:ascii="宋体" w:hAnsi="宋体" w:eastAsia="宋体" w:cs="宋体"/>
                <w:color w:val="auto"/>
                <w:sz w:val="28"/>
                <w:szCs w:val="28"/>
                <w:highlight w:val="none"/>
                <w:lang w:bidi="ar"/>
              </w:rPr>
              <w:t>分</w:t>
            </w:r>
          </w:p>
        </w:tc>
        <w:tc>
          <w:tcPr>
            <w:tcW w:w="3196" w:type="pct"/>
            <w:tcBorders>
              <w:top w:val="single" w:color="auto" w:sz="4" w:space="0"/>
              <w:left w:val="single" w:color="auto" w:sz="4" w:space="0"/>
              <w:bottom w:val="single" w:color="auto" w:sz="4" w:space="0"/>
              <w:right w:val="single" w:color="auto" w:sz="4" w:space="0"/>
            </w:tcBorders>
            <w:vAlign w:val="top"/>
          </w:tcPr>
          <w:p>
            <w:pPr>
              <w:spacing w:before="39" w:line="360" w:lineRule="auto"/>
              <w:ind w:right="38"/>
              <w:rPr>
                <w:rFonts w:hint="eastAsia" w:ascii="宋体" w:hAnsi="宋体" w:eastAsia="宋体" w:cs="宋体"/>
                <w:color w:val="auto"/>
                <w:kern w:val="1"/>
                <w:sz w:val="28"/>
                <w:szCs w:val="28"/>
                <w:highlight w:val="none"/>
              </w:rPr>
            </w:pPr>
            <w:r>
              <w:rPr>
                <w:rFonts w:hint="eastAsia" w:ascii="宋体" w:hAnsi="宋体" w:cs="宋体"/>
                <w:color w:val="auto"/>
                <w:spacing w:val="14"/>
                <w:sz w:val="28"/>
                <w:szCs w:val="28"/>
                <w:highlight w:val="none"/>
                <w:lang w:val="en-US" w:eastAsia="zh-CN"/>
              </w:rPr>
              <w:t>根据供应商是否提供切实可行的社会化辅助考试服务实施方案，针对本次服务的项目方案明确、可行、服务方案科学可行、各环节齐备合理、管理和服务方案制度完备，服务工作范围、任务及目标。实施方案中包括以上全部内容，且各项内容叙述符合项目特点及需求的得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eastAsia="zh-CN"/>
              </w:rPr>
            </w:pPr>
            <w:r>
              <w:rPr>
                <w:rFonts w:ascii="宋体" w:hAnsi="宋体" w:eastAsia="宋体" w:cs="宋体"/>
                <w:color w:val="auto"/>
                <w:spacing w:val="9"/>
                <w:sz w:val="28"/>
                <w:szCs w:val="28"/>
                <w:highlight w:val="none"/>
              </w:rPr>
              <w:t>服</w:t>
            </w:r>
            <w:r>
              <w:rPr>
                <w:rFonts w:ascii="宋体" w:hAnsi="宋体" w:eastAsia="宋体" w:cs="宋体"/>
                <w:color w:val="auto"/>
                <w:spacing w:val="7"/>
                <w:sz w:val="28"/>
                <w:szCs w:val="28"/>
                <w:highlight w:val="none"/>
              </w:rPr>
              <w:t>务</w:t>
            </w:r>
            <w:r>
              <w:rPr>
                <w:rFonts w:hint="eastAsia" w:ascii="宋体" w:hAnsi="宋体" w:cs="宋体"/>
                <w:color w:val="auto"/>
                <w:spacing w:val="7"/>
                <w:sz w:val="28"/>
                <w:szCs w:val="28"/>
                <w:highlight w:val="none"/>
                <w:lang w:val="en-US" w:eastAsia="zh-CN"/>
              </w:rPr>
              <w:t>进度计划</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8"/>
                <w:szCs w:val="28"/>
                <w:highlight w:val="none"/>
                <w:lang w:val="en-US" w:eastAsia="zh-CN" w:bidi="ar"/>
              </w:rPr>
            </w:pPr>
            <w:r>
              <w:rPr>
                <w:rFonts w:hint="eastAsia" w:ascii="宋体" w:hAnsi="宋体" w:cs="宋体"/>
                <w:color w:val="auto"/>
                <w:sz w:val="28"/>
                <w:szCs w:val="28"/>
                <w:highlight w:val="none"/>
                <w:lang w:val="en-US" w:eastAsia="zh-CN" w:bidi="ar"/>
              </w:rPr>
              <w:t>6</w:t>
            </w:r>
            <w:r>
              <w:rPr>
                <w:rFonts w:hint="eastAsia" w:ascii="宋体" w:hAnsi="宋体" w:eastAsia="宋体" w:cs="宋体"/>
                <w:color w:val="auto"/>
                <w:sz w:val="28"/>
                <w:szCs w:val="28"/>
                <w:highlight w:val="none"/>
                <w:lang w:bidi="ar"/>
              </w:rPr>
              <w:t>分</w:t>
            </w:r>
          </w:p>
        </w:tc>
        <w:tc>
          <w:tcPr>
            <w:tcW w:w="3196" w:type="pct"/>
            <w:tcBorders>
              <w:top w:val="single" w:color="auto" w:sz="4" w:space="0"/>
              <w:left w:val="single" w:color="auto" w:sz="4" w:space="0"/>
              <w:bottom w:val="single" w:color="auto" w:sz="4" w:space="0"/>
              <w:right w:val="single" w:color="auto" w:sz="4" w:space="0"/>
            </w:tcBorders>
            <w:vAlign w:val="center"/>
          </w:tcPr>
          <w:p>
            <w:pPr>
              <w:spacing w:before="39" w:line="360" w:lineRule="auto"/>
              <w:ind w:right="38" w:rightChars="0"/>
              <w:rPr>
                <w:rFonts w:hint="eastAsia" w:ascii="宋体" w:hAnsi="宋体" w:eastAsia="宋体" w:cs="宋体"/>
                <w:color w:val="auto"/>
                <w:kern w:val="1"/>
                <w:sz w:val="28"/>
                <w:szCs w:val="28"/>
                <w:highlight w:val="none"/>
                <w:lang w:eastAsia="zh-CN"/>
              </w:rPr>
            </w:pPr>
            <w:r>
              <w:rPr>
                <w:rFonts w:ascii="宋体" w:hAnsi="宋体" w:eastAsia="宋体" w:cs="宋体"/>
                <w:color w:val="auto"/>
                <w:spacing w:val="7"/>
                <w:sz w:val="28"/>
                <w:szCs w:val="28"/>
                <w:highlight w:val="none"/>
              </w:rPr>
              <w:t>工作</w:t>
            </w:r>
            <w:r>
              <w:rPr>
                <w:rFonts w:hint="eastAsia" w:ascii="宋体" w:hAnsi="宋体" w:cs="宋体"/>
                <w:color w:val="auto"/>
                <w:spacing w:val="7"/>
                <w:sz w:val="28"/>
                <w:szCs w:val="28"/>
                <w:highlight w:val="none"/>
                <w:lang w:val="en-US" w:eastAsia="zh-CN"/>
              </w:rPr>
              <w:t>服务</w:t>
            </w:r>
            <w:r>
              <w:rPr>
                <w:rFonts w:ascii="宋体" w:hAnsi="宋体" w:eastAsia="宋体" w:cs="宋体"/>
                <w:color w:val="auto"/>
                <w:spacing w:val="7"/>
                <w:sz w:val="28"/>
                <w:szCs w:val="28"/>
                <w:highlight w:val="none"/>
              </w:rPr>
              <w:t>周期与进度计划符合</w:t>
            </w:r>
            <w:r>
              <w:rPr>
                <w:rFonts w:hint="eastAsia" w:ascii="宋体" w:hAnsi="宋体" w:cs="宋体"/>
                <w:color w:val="auto"/>
                <w:spacing w:val="7"/>
                <w:sz w:val="28"/>
                <w:szCs w:val="28"/>
                <w:highlight w:val="none"/>
                <w:lang w:val="en-US" w:eastAsia="zh-CN"/>
              </w:rPr>
              <w:t>项目</w:t>
            </w:r>
            <w:r>
              <w:rPr>
                <w:rFonts w:ascii="宋体" w:hAnsi="宋体" w:eastAsia="宋体" w:cs="宋体"/>
                <w:color w:val="auto"/>
                <w:spacing w:val="7"/>
                <w:sz w:val="28"/>
                <w:szCs w:val="28"/>
                <w:highlight w:val="none"/>
              </w:rPr>
              <w:t>实际情况，切</w:t>
            </w:r>
            <w:r>
              <w:rPr>
                <w:rFonts w:ascii="宋体" w:hAnsi="宋体" w:eastAsia="宋体" w:cs="宋体"/>
                <w:color w:val="auto"/>
                <w:spacing w:val="9"/>
                <w:sz w:val="28"/>
                <w:szCs w:val="28"/>
                <w:highlight w:val="none"/>
              </w:rPr>
              <w:t>实</w:t>
            </w:r>
            <w:r>
              <w:rPr>
                <w:rFonts w:ascii="宋体" w:hAnsi="宋体" w:eastAsia="宋体" w:cs="宋体"/>
                <w:color w:val="auto"/>
                <w:spacing w:val="7"/>
                <w:sz w:val="28"/>
                <w:szCs w:val="28"/>
                <w:highlight w:val="none"/>
              </w:rPr>
              <w:t>可行，并在质量优先的前提下满足招</w:t>
            </w:r>
            <w:r>
              <w:rPr>
                <w:rFonts w:ascii="宋体" w:hAnsi="宋体" w:eastAsia="宋体" w:cs="宋体"/>
                <w:color w:val="auto"/>
                <w:spacing w:val="9"/>
                <w:sz w:val="28"/>
                <w:szCs w:val="28"/>
                <w:highlight w:val="none"/>
              </w:rPr>
              <w:t>标</w:t>
            </w:r>
            <w:r>
              <w:rPr>
                <w:rFonts w:ascii="宋体" w:hAnsi="宋体" w:eastAsia="宋体" w:cs="宋体"/>
                <w:color w:val="auto"/>
                <w:spacing w:val="7"/>
                <w:sz w:val="28"/>
                <w:szCs w:val="28"/>
                <w:highlight w:val="none"/>
              </w:rPr>
              <w:t>人制定的</w:t>
            </w:r>
            <w:r>
              <w:rPr>
                <w:rFonts w:hint="eastAsia" w:ascii="宋体" w:hAnsi="宋体" w:cs="宋体"/>
                <w:color w:val="auto"/>
                <w:spacing w:val="7"/>
                <w:sz w:val="28"/>
                <w:szCs w:val="28"/>
                <w:highlight w:val="none"/>
                <w:lang w:val="en-US" w:eastAsia="zh-CN"/>
              </w:rPr>
              <w:t>服务期限</w:t>
            </w:r>
            <w:r>
              <w:rPr>
                <w:rFonts w:ascii="宋体" w:hAnsi="宋体" w:eastAsia="宋体" w:cs="宋体"/>
                <w:color w:val="auto"/>
                <w:spacing w:val="7"/>
                <w:sz w:val="28"/>
                <w:szCs w:val="28"/>
                <w:highlight w:val="none"/>
              </w:rPr>
              <w:t>要求</w:t>
            </w:r>
            <w:r>
              <w:rPr>
                <w:rFonts w:hint="eastAsia" w:ascii="宋体" w:hAnsi="宋体" w:cs="宋体"/>
                <w:color w:val="auto"/>
                <w:spacing w:val="7"/>
                <w:sz w:val="28"/>
                <w:szCs w:val="28"/>
                <w:highlight w:val="none"/>
                <w:lang w:val="en-US" w:eastAsia="zh-CN"/>
              </w:rPr>
              <w:t>的得</w:t>
            </w:r>
            <w:r>
              <w:rPr>
                <w:rFonts w:hint="eastAsia" w:ascii="宋体" w:hAnsi="宋体" w:cs="宋体"/>
                <w:color w:val="auto"/>
                <w:sz w:val="28"/>
                <w:szCs w:val="28"/>
                <w:highlight w:val="none"/>
                <w:lang w:val="en-US" w:eastAsia="zh-CN"/>
              </w:rPr>
              <w:t>6</w:t>
            </w:r>
            <w:r>
              <w:rPr>
                <w:rFonts w:ascii="宋体" w:hAnsi="宋体" w:eastAsia="宋体" w:cs="宋体"/>
                <w:color w:val="auto"/>
                <w:sz w:val="28"/>
                <w:szCs w:val="28"/>
                <w:highlight w:val="none"/>
              </w:rPr>
              <w:t>分</w:t>
            </w:r>
            <w:r>
              <w:rPr>
                <w:rFonts w:hint="eastAsia" w:ascii="宋体" w:hAnsi="宋体" w:cs="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pacing w:val="9"/>
                <w:sz w:val="28"/>
                <w:szCs w:val="28"/>
                <w:highlight w:val="none"/>
                <w:lang w:eastAsia="zh-CN"/>
              </w:rPr>
            </w:pPr>
            <w:r>
              <w:rPr>
                <w:rFonts w:ascii="宋体" w:hAnsi="宋体" w:eastAsia="宋体" w:cs="宋体"/>
                <w:color w:val="auto"/>
                <w:spacing w:val="7"/>
                <w:sz w:val="28"/>
                <w:szCs w:val="28"/>
                <w:highlight w:val="none"/>
              </w:rPr>
              <w:t>工作</w:t>
            </w:r>
            <w:r>
              <w:rPr>
                <w:rFonts w:hint="eastAsia" w:ascii="宋体" w:hAnsi="宋体" w:cs="宋体"/>
                <w:color w:val="auto"/>
                <w:spacing w:val="7"/>
                <w:sz w:val="28"/>
                <w:szCs w:val="28"/>
                <w:highlight w:val="none"/>
                <w:lang w:val="en-US" w:eastAsia="zh-CN"/>
              </w:rPr>
              <w:t>职能</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8"/>
                <w:szCs w:val="28"/>
                <w:highlight w:val="none"/>
                <w:lang w:val="en-US" w:eastAsia="zh-CN" w:bidi="ar"/>
              </w:rPr>
            </w:pPr>
            <w:r>
              <w:rPr>
                <w:rFonts w:hint="eastAsia" w:ascii="宋体" w:hAnsi="宋体" w:cs="宋体"/>
                <w:color w:val="auto"/>
                <w:sz w:val="28"/>
                <w:szCs w:val="28"/>
                <w:highlight w:val="none"/>
                <w:lang w:val="en-US" w:eastAsia="zh-CN" w:bidi="ar"/>
              </w:rPr>
              <w:t>5</w:t>
            </w:r>
            <w:r>
              <w:rPr>
                <w:rFonts w:hint="eastAsia" w:ascii="宋体" w:hAnsi="宋体" w:eastAsia="宋体" w:cs="宋体"/>
                <w:color w:val="auto"/>
                <w:sz w:val="28"/>
                <w:szCs w:val="28"/>
                <w:highlight w:val="none"/>
                <w:lang w:bidi="ar"/>
              </w:rPr>
              <w:t>分</w:t>
            </w:r>
          </w:p>
        </w:tc>
        <w:tc>
          <w:tcPr>
            <w:tcW w:w="3196" w:type="pct"/>
            <w:tcBorders>
              <w:top w:val="single" w:color="auto" w:sz="4" w:space="0"/>
              <w:left w:val="single" w:color="auto" w:sz="4" w:space="0"/>
              <w:bottom w:val="single" w:color="auto" w:sz="4" w:space="0"/>
              <w:right w:val="single" w:color="auto" w:sz="4" w:space="0"/>
            </w:tcBorders>
            <w:vAlign w:val="center"/>
          </w:tcPr>
          <w:p>
            <w:pPr>
              <w:spacing w:before="39" w:line="360" w:lineRule="auto"/>
              <w:ind w:right="38" w:rightChars="0"/>
              <w:rPr>
                <w:rFonts w:hint="default" w:ascii="宋体" w:hAnsi="宋体" w:eastAsia="宋体" w:cs="宋体"/>
                <w:color w:val="auto"/>
                <w:spacing w:val="7"/>
                <w:sz w:val="28"/>
                <w:szCs w:val="28"/>
                <w:highlight w:val="none"/>
                <w:lang w:val="en-US" w:eastAsia="zh-CN"/>
              </w:rPr>
            </w:pPr>
            <w:r>
              <w:rPr>
                <w:rFonts w:hint="eastAsia" w:ascii="宋体" w:hAnsi="宋体" w:cs="宋体"/>
                <w:color w:val="auto"/>
                <w:spacing w:val="7"/>
                <w:sz w:val="28"/>
                <w:szCs w:val="28"/>
                <w:highlight w:val="none"/>
                <w:lang w:val="en-US" w:eastAsia="zh-CN"/>
              </w:rPr>
              <w:t>对</w:t>
            </w:r>
            <w:r>
              <w:rPr>
                <w:rFonts w:hint="eastAsia" w:ascii="宋体" w:hAnsi="宋体" w:eastAsia="宋体" w:cs="宋体"/>
                <w:color w:val="auto"/>
                <w:spacing w:val="7"/>
                <w:sz w:val="28"/>
                <w:szCs w:val="28"/>
                <w:highlight w:val="none"/>
              </w:rPr>
              <w:t>考生身份验证、考试引导、考场巡查、远程监控监督工作，以及考试辅助评判工作</w:t>
            </w:r>
            <w:r>
              <w:rPr>
                <w:rFonts w:hint="eastAsia" w:ascii="宋体" w:hAnsi="宋体" w:cs="宋体"/>
                <w:color w:val="auto"/>
                <w:spacing w:val="7"/>
                <w:sz w:val="28"/>
                <w:szCs w:val="28"/>
                <w:highlight w:val="none"/>
                <w:lang w:val="en-US" w:eastAsia="zh-CN"/>
              </w:rPr>
              <w:t>有详细完善的计划和说明，每提供1项得1分，最高5分。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7</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
              </w:rPr>
              <w:t>应急预案</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分</w:t>
            </w:r>
          </w:p>
        </w:tc>
        <w:tc>
          <w:tcPr>
            <w:tcW w:w="3196"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针对本项目制定各类（包括但不仅限于意外伤亡应急、供电突发性事故、消防安全事件、火灾事故处理等）应急预案齐全，符合实际需求，预见性、可操作性强，得</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8</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bidi="ar"/>
              </w:rPr>
              <w:t>售后服务</w:t>
            </w:r>
            <w:r>
              <w:rPr>
                <w:rFonts w:hint="eastAsia" w:ascii="宋体" w:hAnsi="宋体" w:cs="宋体"/>
                <w:color w:val="auto"/>
                <w:sz w:val="28"/>
                <w:szCs w:val="28"/>
                <w:highlight w:val="none"/>
                <w:lang w:val="en-US" w:eastAsia="zh-CN" w:bidi="ar"/>
              </w:rPr>
              <w:t>方案</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bidi="ar"/>
              </w:rPr>
              <w:t>10</w:t>
            </w:r>
            <w:r>
              <w:rPr>
                <w:rFonts w:hint="eastAsia" w:ascii="宋体" w:hAnsi="宋体" w:eastAsia="宋体" w:cs="宋体"/>
                <w:color w:val="auto"/>
                <w:sz w:val="28"/>
                <w:szCs w:val="28"/>
                <w:highlight w:val="none"/>
                <w:lang w:bidi="ar"/>
              </w:rPr>
              <w:t>分</w:t>
            </w:r>
          </w:p>
        </w:tc>
        <w:tc>
          <w:tcPr>
            <w:tcW w:w="3196"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根据投标人提供的售后服务保障体系完善、科学、详实，完全满足或优于本项目需求的，售后方案中的售后服务内容、售后服务措施、售后服务团队及人员安排等内容进行评审，提供一项得2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分，满分</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val="zh-CN"/>
              </w:rPr>
              <w:t>分</w:t>
            </w:r>
            <w:r>
              <w:rPr>
                <w:rFonts w:hint="eastAsia" w:ascii="宋体" w:hAnsi="宋体" w:eastAsia="宋体" w:cs="宋体"/>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9</w:t>
            </w:r>
          </w:p>
        </w:tc>
        <w:tc>
          <w:tcPr>
            <w:tcW w:w="83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bidi="ar"/>
              </w:rPr>
              <w:t>服务</w:t>
            </w:r>
            <w:r>
              <w:rPr>
                <w:rFonts w:hint="eastAsia" w:ascii="宋体" w:hAnsi="宋体" w:eastAsia="宋体" w:cs="宋体"/>
                <w:color w:val="auto"/>
                <w:sz w:val="28"/>
                <w:szCs w:val="28"/>
                <w:highlight w:val="none"/>
                <w:lang w:eastAsia="zh-CN" w:bidi="ar"/>
              </w:rPr>
              <w:t>培训方案</w:t>
            </w:r>
          </w:p>
        </w:tc>
        <w:tc>
          <w:tcPr>
            <w:tcW w:w="6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bidi="ar"/>
              </w:rPr>
              <w:t>10</w:t>
            </w:r>
            <w:r>
              <w:rPr>
                <w:rFonts w:hint="eastAsia" w:ascii="宋体" w:hAnsi="宋体" w:eastAsia="宋体" w:cs="宋体"/>
                <w:color w:val="auto"/>
                <w:sz w:val="28"/>
                <w:szCs w:val="28"/>
                <w:highlight w:val="none"/>
                <w:lang w:bidi="ar"/>
              </w:rPr>
              <w:t>分</w:t>
            </w:r>
          </w:p>
        </w:tc>
        <w:tc>
          <w:tcPr>
            <w:tcW w:w="3196"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综合考虑投标人提供的</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lang w:val="zh-CN"/>
              </w:rPr>
              <w:t>培训方案：方案全面细致具有本项目针对性，得</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zh-CN"/>
              </w:rPr>
              <w:t>分</w:t>
            </w:r>
            <w:r>
              <w:rPr>
                <w:rFonts w:hint="eastAsia" w:ascii="宋体" w:hAnsi="宋体" w:cs="宋体"/>
                <w:color w:val="auto"/>
                <w:sz w:val="28"/>
                <w:szCs w:val="28"/>
                <w:highlight w:val="none"/>
                <w:lang w:val="zh-CN"/>
              </w:rPr>
              <w:t>；</w:t>
            </w:r>
            <w:r>
              <w:rPr>
                <w:rFonts w:hint="eastAsia" w:ascii="宋体" w:hAnsi="宋体" w:eastAsia="宋体" w:cs="宋体"/>
                <w:color w:val="auto"/>
                <w:sz w:val="28"/>
                <w:szCs w:val="28"/>
                <w:highlight w:val="none"/>
                <w:lang w:val="zh-CN"/>
              </w:rPr>
              <w:t>未能提供培训方案的</w:t>
            </w:r>
            <w:r>
              <w:rPr>
                <w:rFonts w:hint="eastAsia" w:ascii="宋体" w:hAnsi="宋体" w:cs="宋体"/>
                <w:color w:val="auto"/>
                <w:sz w:val="28"/>
                <w:szCs w:val="28"/>
                <w:highlight w:val="none"/>
                <w:lang w:val="en-US" w:eastAsia="zh-CN"/>
              </w:rPr>
              <w:t>不得</w:t>
            </w:r>
            <w:r>
              <w:rPr>
                <w:rFonts w:hint="eastAsia" w:ascii="宋体" w:hAnsi="宋体" w:eastAsia="宋体" w:cs="宋体"/>
                <w:color w:val="auto"/>
                <w:sz w:val="28"/>
                <w:szCs w:val="28"/>
                <w:highlight w:val="none"/>
                <w:lang w:val="zh-CN"/>
              </w:rPr>
              <w:t>分。</w:t>
            </w:r>
          </w:p>
        </w:tc>
      </w:tr>
      <w:bookmarkEnd w:id="33"/>
    </w:tbl>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将所有评标委员会成员的评分平均后为最终得分。计算平均分保留两位小数，小数点后第三位四舍五入。</w:t>
      </w:r>
    </w:p>
    <w:p>
      <w:pPr>
        <w:pStyle w:val="24"/>
        <w:numPr>
          <w:ilvl w:val="2"/>
          <w:numId w:val="0"/>
        </w:numPr>
        <w:spacing w:line="360" w:lineRule="auto"/>
        <w:outlineLvl w:val="0"/>
        <w:rPr>
          <w:rFonts w:ascii="宋体" w:hAnsi="宋体" w:cs="宋体"/>
          <w:color w:val="auto"/>
          <w:kern w:val="2"/>
          <w:szCs w:val="24"/>
          <w:highlight w:val="none"/>
        </w:rPr>
      </w:pPr>
      <w:bookmarkStart w:id="34" w:name="_Toc492286399"/>
      <w:r>
        <w:rPr>
          <w:rFonts w:hint="eastAsia" w:ascii="宋体" w:hAnsi="宋体" w:cs="宋体"/>
          <w:color w:val="auto"/>
          <w:kern w:val="2"/>
          <w:szCs w:val="24"/>
          <w:highlight w:val="none"/>
        </w:rPr>
        <w:t>3.5 响应文件的澄清和补正</w:t>
      </w:r>
      <w:bookmarkEnd w:id="3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3.5.1在评标过程中，对于响应文件中含义不明确、同类问题表述不一致或者有明显文字和计算错误的内容，评标委员会应当以书面形式要求投标人作出必要的澄清、说明或者补正。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3.5.2评标委员会将允许修正响应文件中不构成重大偏离的、微小的、非正规的、不一致的或不规则的地方，但这种修正不能影响任何投标人相应的名次排序。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 投标人的澄清、说明或者补正应当采用书面形式，并加盖公章，或者由法定代表人或其授权代表签字。投标人的澄清、说明或者补正不得超出响应文件的范围或者改变响应文件的实质性内容（算术性错误修正的除外）。投标人的书面</w:t>
      </w:r>
      <w:bookmarkStart w:id="35" w:name="OLE_LINK3"/>
      <w:r>
        <w:rPr>
          <w:rFonts w:hint="eastAsia" w:ascii="宋体" w:hAnsi="宋体" w:cs="宋体"/>
          <w:color w:val="auto"/>
          <w:sz w:val="24"/>
          <w:highlight w:val="none"/>
        </w:rPr>
        <w:t>澄清、说明或者补正</w:t>
      </w:r>
      <w:bookmarkEnd w:id="35"/>
      <w:r>
        <w:rPr>
          <w:rFonts w:hint="eastAsia" w:ascii="宋体" w:hAnsi="宋体" w:cs="宋体"/>
          <w:color w:val="auto"/>
          <w:sz w:val="24"/>
          <w:highlight w:val="none"/>
        </w:rPr>
        <w:t>属于响应文件的组成部分。</w:t>
      </w:r>
    </w:p>
    <w:p>
      <w:pPr>
        <w:pStyle w:val="24"/>
        <w:numPr>
          <w:ilvl w:val="2"/>
          <w:numId w:val="0"/>
        </w:numPr>
        <w:spacing w:line="360" w:lineRule="auto"/>
        <w:outlineLvl w:val="0"/>
        <w:rPr>
          <w:rFonts w:ascii="宋体" w:hAnsi="宋体" w:cs="宋体"/>
          <w:color w:val="auto"/>
          <w:kern w:val="2"/>
          <w:szCs w:val="24"/>
          <w:highlight w:val="none"/>
        </w:rPr>
      </w:pPr>
      <w:bookmarkStart w:id="36" w:name="_Toc144974576"/>
      <w:bookmarkStart w:id="37" w:name="_Toc492286400"/>
      <w:bookmarkStart w:id="38" w:name="_Toc179632626"/>
      <w:bookmarkStart w:id="39" w:name="_Toc233102572"/>
      <w:bookmarkStart w:id="40" w:name="_Toc152045608"/>
      <w:bookmarkStart w:id="41" w:name="_Toc152042386"/>
      <w:r>
        <w:rPr>
          <w:rFonts w:hint="eastAsia" w:ascii="宋体" w:hAnsi="宋体" w:cs="宋体"/>
          <w:color w:val="auto"/>
          <w:kern w:val="2"/>
          <w:szCs w:val="24"/>
          <w:highlight w:val="none"/>
        </w:rPr>
        <w:t>3.6 评标结果</w:t>
      </w:r>
      <w:bookmarkEnd w:id="36"/>
      <w:bookmarkEnd w:id="37"/>
      <w:bookmarkEnd w:id="38"/>
      <w:bookmarkEnd w:id="39"/>
      <w:bookmarkEnd w:id="40"/>
      <w:bookmarkEnd w:id="4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提供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采购人委托评标委员会随机推荐一个投标人获得中标人推荐资格，其他同品牌投标人不作为中标候选人。</w:t>
      </w:r>
    </w:p>
    <w:p>
      <w:pPr>
        <w:pStyle w:val="27"/>
        <w:wordWrap w:val="0"/>
        <w:spacing w:line="360" w:lineRule="auto"/>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非单一产品采购项目，采购人根据采购项目技术构成、产品价格比重等合理确定核心产品。采购人确定本项目的核心产品见第二章《投标人须知前附表》。多家投标人提供的核心产品品牌相同的，按前款规定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3.6.2评标委员会按照得分由高到低的顺序对符合要求的投标人进行排序，并推荐前三名为中标候选人。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得分相同的，投标人所投产品属于国家规定优先采购的节能或环境标志产品优先；允许采购进口产品的，优先采购向我国企业转让技术、与我国企业签订消化吸收再创新方案的供应商的进口产品；如果同为优先采购产品的，按投标报价由低到高顺序排列；如投标报价相同的，按技术得分顺序排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3.6.3竞争性磋商文件规定由评标委员会确定中标人的，评标委员会在完成评标前确定中标人。</w:t>
      </w:r>
    </w:p>
    <w:p>
      <w:pPr>
        <w:pStyle w:val="24"/>
        <w:numPr>
          <w:ilvl w:val="2"/>
          <w:numId w:val="0"/>
        </w:numPr>
        <w:spacing w:line="360" w:lineRule="auto"/>
        <w:outlineLvl w:val="0"/>
        <w:rPr>
          <w:rFonts w:ascii="宋体" w:hAnsi="宋体" w:cs="宋体"/>
          <w:color w:val="auto"/>
          <w:kern w:val="2"/>
          <w:szCs w:val="24"/>
          <w:highlight w:val="none"/>
        </w:rPr>
      </w:pPr>
      <w:bookmarkStart w:id="42" w:name="_Toc492286401"/>
      <w:r>
        <w:rPr>
          <w:rFonts w:hint="eastAsia" w:ascii="宋体" w:hAnsi="宋体" w:cs="宋体"/>
          <w:color w:val="auto"/>
          <w:kern w:val="2"/>
          <w:szCs w:val="24"/>
          <w:highlight w:val="none"/>
        </w:rPr>
        <w:t>3.7 复核评审结果</w:t>
      </w:r>
      <w:bookmarkEnd w:id="4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3.7.1采购代理机构应对评审数据进行校对、核对，对畸高、畸低的重大差异评分可以提示评标委员会复核或书面说明理由。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3.7.2评标委员会要对评分汇总情况进行复核，特别是对排名第一的、报价最低的、投标或响应文件被认定为无效的情形进行重点复核。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3.7.3评标结果汇总完成后，除下列情形外，任何人不得修改评标结果：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（一）分值汇总计算错误的；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（二）分项评分超出评分标准范围的；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（三）评标委员会成员对客观评审因素评分不一致的；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（四）经评标委员会认定评分畸高、畸低的。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投标人对以上情形提出质疑的，采购代理机构可以组织原评标委员会进行重新评审，重新评审改变评标结果的，应当书面报告本级财政部门。</w:t>
      </w:r>
    </w:p>
    <w:p>
      <w:pPr>
        <w:pStyle w:val="24"/>
        <w:numPr>
          <w:ilvl w:val="2"/>
          <w:numId w:val="0"/>
        </w:numPr>
        <w:spacing w:line="360" w:lineRule="auto"/>
        <w:outlineLvl w:val="0"/>
        <w:rPr>
          <w:rFonts w:ascii="宋体" w:hAnsi="宋体" w:cs="宋体"/>
          <w:color w:val="auto"/>
          <w:kern w:val="2"/>
          <w:szCs w:val="24"/>
          <w:highlight w:val="none"/>
        </w:rPr>
      </w:pPr>
      <w:bookmarkStart w:id="43" w:name="_Toc492286402"/>
      <w:r>
        <w:rPr>
          <w:rFonts w:hint="eastAsia" w:ascii="宋体" w:hAnsi="宋体" w:cs="宋体"/>
          <w:color w:val="auto"/>
          <w:kern w:val="2"/>
          <w:szCs w:val="24"/>
          <w:highlight w:val="none"/>
        </w:rPr>
        <w:t>3.8评标报告</w:t>
      </w:r>
      <w:bookmarkEnd w:id="4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3.8.1评标委员会完成评标后，向采购人提交书面评标报告。评标报告应当包括以下内容：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（一）招标公告刊登的媒体名称、开标日期和地点；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（二）投标人名单和评标委员会成员名单；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（三）评标方法和标准；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（四）开标记录和评标情况及说明，包括无效投标人名单及原因；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（五）评标结果，确定的中标候选人名单或者经采购人委托直接确定的中标人；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（六）其他需要说明的情况，包括评标过程中投标人根据评标委员会要求进行的澄清、说明或者补正，评标委员会成员的更换等。</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3.8.2评标委员会成员对需要共同认定的事项存在争议的，应当按照少数服从多数的原则作出结论。持不同意见的评标委员会成员应当在评标报告上签署不同意见及理由，否则视为同意评标报告。</w:t>
      </w:r>
    </w:p>
    <w:p>
      <w:pPr>
        <w:pStyle w:val="24"/>
        <w:numPr>
          <w:ilvl w:val="2"/>
          <w:numId w:val="0"/>
        </w:numPr>
        <w:jc w:val="center"/>
        <w:outlineLvl w:val="1"/>
        <w:rPr>
          <w:b/>
          <w:bCs/>
          <w:color w:val="auto"/>
          <w:highlight w:val="none"/>
        </w:rPr>
      </w:pPr>
      <w:r>
        <w:rPr>
          <w:rFonts w:hint="eastAsia"/>
          <w:b/>
          <w:bCs/>
          <w:color w:val="auto"/>
          <w:highlight w:val="none"/>
        </w:rPr>
        <w:t>七、授予合同</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28.  签订合同</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28.1  中标人收到《中标通知书》后，须按有关规定与采购人签定经济合同。合同的签订一般在《中标通知书》发出后30天内进行，但采购人事先约定的情况除外。</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28.2  合同签订后，中标人应按合同的规定履行合同，未按规定履约的，采购人有权取消合同，并且不退还中标人的投标保证金。</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28.3  中标合同不得转让或分包。如需对合同的非主体部分进行转让或分包，投标人必须在响应文件中予以说明，并需经采购人同意。否则，采购人有权取消中标人的中标资格。</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28.4  如中标人未按有关规定与采购人签订合同或提交合同履约保证金的，采购人可以选择其他中标候选人为中标人，并组织中标人和采购人签订经济合同。</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28.5  合同履约保证金的形式为银行保函，另有约定的，按照约定条件执行。</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29.  合同的组成</w:t>
      </w:r>
    </w:p>
    <w:p>
      <w:pPr>
        <w:pStyle w:val="25"/>
        <w:spacing w:line="360" w:lineRule="auto"/>
        <w:ind w:firstLine="480" w:firstLineChars="200"/>
        <w:jc w:val="both"/>
        <w:outlineLvl w:val="2"/>
        <w:rPr>
          <w:rFonts w:ascii="宋体" w:hAnsi="宋体" w:cs="宋体"/>
          <w:color w:val="auto"/>
          <w:szCs w:val="24"/>
          <w:highlight w:val="none"/>
        </w:rPr>
      </w:pPr>
      <w:r>
        <w:rPr>
          <w:rFonts w:hint="eastAsia" w:ascii="宋体" w:hAnsi="宋体" w:cs="宋体"/>
          <w:color w:val="auto"/>
          <w:szCs w:val="24"/>
          <w:highlight w:val="none"/>
        </w:rPr>
        <w:t>29.1  下列文件均为经济合同不可分割的组成部分：</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29.1.1  竞争性磋商文件及其附件、澄清文件；</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 xml:space="preserve">29.1.2  中标的响应文件及其他附件； </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29.1.3  经确认的答疑记录；</w:t>
      </w:r>
    </w:p>
    <w:p>
      <w:pPr>
        <w:pStyle w:val="25"/>
        <w:spacing w:line="360" w:lineRule="auto"/>
        <w:ind w:firstLine="480" w:firstLineChars="200"/>
        <w:jc w:val="both"/>
        <w:rPr>
          <w:rFonts w:ascii="宋体" w:hAnsi="宋体" w:cs="宋体"/>
          <w:color w:val="auto"/>
          <w:szCs w:val="24"/>
          <w:highlight w:val="none"/>
        </w:rPr>
      </w:pPr>
      <w:r>
        <w:rPr>
          <w:rFonts w:hint="eastAsia" w:ascii="宋体" w:hAnsi="宋体" w:cs="宋体"/>
          <w:color w:val="auto"/>
          <w:szCs w:val="24"/>
          <w:highlight w:val="none"/>
        </w:rPr>
        <w:t>29.1.4  中标通知书。</w:t>
      </w:r>
    </w:p>
    <w:p>
      <w:pPr>
        <w:pStyle w:val="24"/>
        <w:numPr>
          <w:ilvl w:val="2"/>
          <w:numId w:val="0"/>
        </w:numPr>
        <w:jc w:val="center"/>
        <w:outlineLvl w:val="1"/>
        <w:rPr>
          <w:b/>
          <w:bCs/>
          <w:color w:val="auto"/>
          <w:highlight w:val="none"/>
        </w:rPr>
      </w:pPr>
      <w:r>
        <w:rPr>
          <w:rFonts w:hint="eastAsia"/>
          <w:b/>
          <w:bCs/>
          <w:color w:val="auto"/>
          <w:highlight w:val="none"/>
        </w:rPr>
        <w:t>八、其他事项</w:t>
      </w:r>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31.  中标服务费</w:t>
      </w:r>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31.1 中标人应按本竞争性磋商文件的规定，在《中标通知书》核发时至核发后3天内，向采购代理机构支付中标服务费。</w:t>
      </w:r>
    </w:p>
    <w:p>
      <w:pPr>
        <w:pStyle w:val="28"/>
        <w:spacing w:line="360" w:lineRule="auto"/>
        <w:ind w:firstLine="480"/>
        <w:rPr>
          <w:rFonts w:ascii="宋体" w:hAnsi="宋体" w:eastAsia="宋体" w:cs="宋体"/>
          <w:color w:val="auto"/>
          <w:sz w:val="24"/>
          <w:highlight w:val="none"/>
        </w:rPr>
      </w:pPr>
      <w:bookmarkStart w:id="44" w:name="_Toc19074"/>
      <w:bookmarkStart w:id="45" w:name="_Toc14033"/>
      <w:r>
        <w:rPr>
          <w:rFonts w:hint="eastAsia" w:ascii="宋体" w:hAnsi="宋体" w:eastAsia="宋体" w:cs="宋体"/>
          <w:color w:val="auto"/>
          <w:sz w:val="24"/>
          <w:highlight w:val="none"/>
        </w:rPr>
        <w:t>31.2 中标服务费的计算基数是中标人投标报价的总金额，即中标通知书中载明的中标金额</w:t>
      </w:r>
      <w:bookmarkEnd w:id="44"/>
      <w:bookmarkEnd w:id="45"/>
      <w:r>
        <w:rPr>
          <w:rFonts w:hint="eastAsia" w:ascii="宋体" w:hAnsi="宋体" w:eastAsia="宋体" w:cs="宋体"/>
          <w:color w:val="auto"/>
          <w:sz w:val="24"/>
          <w:highlight w:val="none"/>
        </w:rPr>
        <w:t>。</w:t>
      </w:r>
    </w:p>
    <w:p>
      <w:pPr>
        <w:pStyle w:val="28"/>
        <w:spacing w:line="360" w:lineRule="auto"/>
        <w:ind w:firstLine="480"/>
        <w:rPr>
          <w:rFonts w:ascii="宋体" w:hAnsi="宋体" w:eastAsia="宋体" w:cs="宋体"/>
          <w:color w:val="auto"/>
          <w:sz w:val="24"/>
          <w:highlight w:val="none"/>
        </w:rPr>
      </w:pPr>
      <w:bookmarkStart w:id="46" w:name="_Toc12711"/>
      <w:r>
        <w:rPr>
          <w:rFonts w:hint="eastAsia" w:ascii="宋体" w:hAnsi="宋体" w:eastAsia="宋体" w:cs="宋体"/>
          <w:color w:val="auto"/>
          <w:sz w:val="24"/>
          <w:highlight w:val="none"/>
        </w:rPr>
        <w:t>32. 参与本次招标的投标企业必须有商务、技术人员对评标委员会提出的商务、技术问题进行答疑。</w:t>
      </w:r>
      <w:bookmarkEnd w:id="46"/>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33. 有下列情形之一的，视为投标人串通投标，其投标无效：</w:t>
      </w:r>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33.1  不同投标人的响应文件由同一单位或者个人编制；</w:t>
      </w:r>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33.2  不同投标人委托同一单位或者个人办理投标事宜；</w:t>
      </w:r>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33.3  不同投标人的响应文件载明的项目管理成员或者联系人员为同一人；</w:t>
      </w:r>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33.4  不同投标人的响应文件异常一致或者投标报价呈规律性差异；</w:t>
      </w:r>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33.5  不同投标人的响应文件相互混装；</w:t>
      </w:r>
    </w:p>
    <w:p>
      <w:pPr>
        <w:pStyle w:val="28"/>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33.6  不同投标人的投标保证金从同一单位或者个人的账户转出。</w:t>
      </w:r>
      <w:bookmarkStart w:id="47" w:name="_Toc460703982"/>
      <w:bookmarkStart w:id="48" w:name="_Toc22965"/>
      <w:bookmarkStart w:id="49" w:name="_Toc179632806"/>
      <w:bookmarkStart w:id="50" w:name="_Toc5416"/>
      <w:bookmarkStart w:id="51" w:name="_Toc3191"/>
      <w:bookmarkStart w:id="52" w:name="_Toc31265"/>
      <w:bookmarkStart w:id="53" w:name="_Toc16742"/>
    </w:p>
    <w:p>
      <w:pPr>
        <w:pStyle w:val="28"/>
        <w:spacing w:line="360" w:lineRule="auto"/>
        <w:ind w:firstLine="480"/>
        <w:rPr>
          <w:rFonts w:ascii="宋体" w:hAnsi="宋体" w:eastAsia="宋体" w:cs="宋体"/>
          <w:color w:val="auto"/>
          <w:sz w:val="24"/>
          <w:highlight w:val="none"/>
        </w:rPr>
      </w:pPr>
    </w:p>
    <w:p>
      <w:pPr>
        <w:pStyle w:val="28"/>
        <w:spacing w:line="360" w:lineRule="auto"/>
        <w:ind w:firstLine="480"/>
        <w:rPr>
          <w:rFonts w:ascii="宋体" w:hAnsi="宋体" w:eastAsia="宋体" w:cs="宋体"/>
          <w:color w:val="auto"/>
          <w:sz w:val="24"/>
          <w:highlight w:val="none"/>
        </w:rPr>
      </w:pPr>
    </w:p>
    <w:p>
      <w:pPr>
        <w:pStyle w:val="28"/>
        <w:spacing w:line="360" w:lineRule="auto"/>
        <w:ind w:firstLine="480"/>
        <w:rPr>
          <w:rFonts w:ascii="宋体" w:hAnsi="宋体" w:eastAsia="宋体" w:cs="宋体"/>
          <w:color w:val="auto"/>
          <w:sz w:val="24"/>
          <w:highlight w:val="none"/>
        </w:rPr>
      </w:pPr>
    </w:p>
    <w:p>
      <w:pPr>
        <w:pStyle w:val="28"/>
        <w:spacing w:line="360" w:lineRule="auto"/>
        <w:ind w:firstLine="480"/>
        <w:rPr>
          <w:rFonts w:ascii="宋体" w:hAnsi="宋体" w:eastAsia="宋体" w:cs="宋体"/>
          <w:color w:val="auto"/>
          <w:sz w:val="24"/>
          <w:highlight w:val="none"/>
        </w:rPr>
      </w:pPr>
    </w:p>
    <w:p>
      <w:pPr>
        <w:pStyle w:val="28"/>
        <w:spacing w:line="360" w:lineRule="auto"/>
        <w:ind w:firstLine="480"/>
        <w:rPr>
          <w:rFonts w:ascii="宋体" w:hAnsi="宋体" w:eastAsia="宋体" w:cs="宋体"/>
          <w:color w:val="auto"/>
          <w:sz w:val="24"/>
          <w:highlight w:val="none"/>
        </w:rPr>
      </w:pPr>
    </w:p>
    <w:p>
      <w:pPr>
        <w:pStyle w:val="28"/>
        <w:spacing w:line="360" w:lineRule="auto"/>
        <w:ind w:firstLine="643"/>
        <w:jc w:val="center"/>
        <w:rPr>
          <w:rFonts w:hint="eastAsia" w:ascii="宋体" w:hAnsi="宋体" w:eastAsia="宋体" w:cs="宋体"/>
          <w:b/>
          <w:color w:val="auto"/>
          <w:sz w:val="32"/>
          <w:szCs w:val="32"/>
          <w:highlight w:val="none"/>
        </w:rPr>
        <w:sectPr>
          <w:pgSz w:w="11906" w:h="16838"/>
          <w:pgMar w:top="1372" w:right="1259" w:bottom="1372" w:left="1259" w:header="851" w:footer="992" w:gutter="0"/>
          <w:pgNumType w:fmt="decimal"/>
          <w:cols w:space="720" w:num="1"/>
          <w:docGrid w:type="lines" w:linePitch="312" w:charSpace="0"/>
        </w:sectPr>
      </w:pPr>
    </w:p>
    <w:p>
      <w:pPr>
        <w:pStyle w:val="28"/>
        <w:spacing w:line="360" w:lineRule="auto"/>
        <w:ind w:firstLine="643"/>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第三章  合同主要条款</w:t>
      </w:r>
      <w:bookmarkEnd w:id="47"/>
      <w:bookmarkEnd w:id="48"/>
    </w:p>
    <w:p>
      <w:pPr>
        <w:rPr>
          <w:rFonts w:ascii="宋体" w:hAnsi="宋体" w:cs="宋体"/>
          <w:color w:val="auto"/>
          <w:sz w:val="28"/>
          <w:szCs w:val="28"/>
          <w:highlight w:val="none"/>
        </w:rPr>
      </w:pPr>
      <w:r>
        <w:rPr>
          <w:rFonts w:hint="eastAsia" w:ascii="宋体" w:hAnsi="宋体" w:cs="宋体"/>
          <w:color w:val="auto"/>
          <w:sz w:val="28"/>
          <w:szCs w:val="28"/>
          <w:highlight w:val="none"/>
        </w:rPr>
        <w:t>（此合同为格式范本，最终合同以双方协商为准）</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r>
        <w:rPr>
          <w:rFonts w:hint="eastAsia" w:ascii="宋体" w:hAnsi="宋体" w:cs="宋体"/>
          <w:color w:val="auto"/>
          <w:sz w:val="28"/>
          <w:szCs w:val="28"/>
          <w:highlight w:val="none"/>
        </w:rPr>
        <w:t>XXXXXXXXXX项目合同</w:t>
      </w: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甲方：XXXXXX                </w:t>
      </w: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乙方：_____________________ </w:t>
      </w:r>
    </w:p>
    <w:p>
      <w:pPr>
        <w:rPr>
          <w:rFonts w:ascii="宋体" w:hAnsi="宋体" w:cs="宋体"/>
          <w:color w:val="auto"/>
          <w:sz w:val="28"/>
          <w:szCs w:val="28"/>
          <w:highlight w:val="none"/>
        </w:rPr>
      </w:pPr>
      <w:r>
        <w:rPr>
          <w:rFonts w:hint="eastAsia" w:ascii="宋体" w:hAnsi="宋体" w:cs="宋体"/>
          <w:color w:val="auto"/>
          <w:sz w:val="28"/>
          <w:szCs w:val="28"/>
          <w:highlight w:val="none"/>
        </w:rPr>
        <w:t>签约地点：_____________________________</w:t>
      </w:r>
    </w:p>
    <w:p>
      <w:pPr>
        <w:rPr>
          <w:rFonts w:ascii="宋体" w:hAnsi="宋体" w:cs="宋体"/>
          <w:color w:val="auto"/>
          <w:sz w:val="28"/>
          <w:szCs w:val="28"/>
          <w:highlight w:val="none"/>
        </w:rPr>
      </w:pPr>
      <w:r>
        <w:rPr>
          <w:rFonts w:hint="eastAsia" w:ascii="宋体" w:hAnsi="宋体" w:cs="宋体"/>
          <w:color w:val="auto"/>
          <w:sz w:val="28"/>
          <w:szCs w:val="28"/>
          <w:highlight w:val="none"/>
        </w:rPr>
        <w:t>签约日期：_____________________________</w:t>
      </w:r>
    </w:p>
    <w:p>
      <w:pPr>
        <w:pStyle w:val="12"/>
        <w:ind w:left="840"/>
        <w:rPr>
          <w:rFonts w:ascii="宋体" w:hAnsi="宋体" w:cs="宋体"/>
          <w:color w:val="auto"/>
          <w:sz w:val="28"/>
          <w:szCs w:val="28"/>
          <w:highlight w:val="none"/>
        </w:rPr>
      </w:pPr>
    </w:p>
    <w:p>
      <w:pPr>
        <w:rPr>
          <w:rFonts w:ascii="宋体" w:hAnsi="宋体" w:cs="宋体"/>
          <w:color w:val="auto"/>
          <w:sz w:val="28"/>
          <w:szCs w:val="28"/>
          <w:highlight w:val="none"/>
        </w:rPr>
      </w:pPr>
    </w:p>
    <w:p>
      <w:pPr>
        <w:pStyle w:val="12"/>
        <w:ind w:left="840"/>
        <w:rPr>
          <w:rFonts w:ascii="宋体" w:hAnsi="宋体" w:cs="宋体"/>
          <w:color w:val="auto"/>
          <w:sz w:val="28"/>
          <w:szCs w:val="28"/>
          <w:highlight w:val="none"/>
        </w:rPr>
      </w:pPr>
    </w:p>
    <w:p>
      <w:pPr>
        <w:rPr>
          <w:color w:val="auto"/>
          <w:highlight w:val="none"/>
        </w:rPr>
      </w:pPr>
    </w:p>
    <w:p>
      <w:pPr>
        <w:numPr>
          <w:ilvl w:val="0"/>
          <w:numId w:val="6"/>
        </w:numPr>
        <w:spacing w:line="800" w:lineRule="exact"/>
        <w:ind w:right="-97" w:rightChars="-46" w:firstLine="321" w:firstLineChars="100"/>
        <w:jc w:val="center"/>
        <w:rPr>
          <w:rFonts w:hint="eastAsia" w:ascii="宋体" w:hAnsi="宋体" w:cs="宋体"/>
          <w:b/>
          <w:bCs/>
          <w:color w:val="auto"/>
          <w:sz w:val="32"/>
          <w:szCs w:val="32"/>
          <w:highlight w:val="none"/>
          <w:shd w:val="clear" w:color="auto" w:fill="FFFFFF"/>
        </w:rPr>
      </w:pPr>
      <w:r>
        <w:rPr>
          <w:rFonts w:hint="eastAsia" w:ascii="宋体" w:hAnsi="宋体" w:cs="宋体"/>
          <w:b/>
          <w:bCs/>
          <w:color w:val="auto"/>
          <w:sz w:val="32"/>
          <w:szCs w:val="32"/>
          <w:highlight w:val="none"/>
          <w:shd w:val="clear" w:color="auto" w:fill="FFFFFF"/>
        </w:rPr>
        <w:t xml:space="preserve"> 采购需求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根据《机动车驾驶证申领和使用规定》（公安部第</w:t>
      </w:r>
      <w:r>
        <w:rPr>
          <w:rFonts w:hint="eastAsia" w:ascii="宋体" w:hAnsi="宋体" w:eastAsia="宋体" w:cs="宋体"/>
          <w:color w:val="auto"/>
          <w:sz w:val="28"/>
          <w:szCs w:val="28"/>
          <w:highlight w:val="none"/>
          <w:lang w:val="en-US" w:eastAsia="zh-CN"/>
        </w:rPr>
        <w:t>162号令</w:t>
      </w:r>
      <w:r>
        <w:rPr>
          <w:rFonts w:hint="eastAsia" w:ascii="宋体" w:hAnsi="宋体" w:eastAsia="宋体" w:cs="宋体"/>
          <w:color w:val="auto"/>
          <w:sz w:val="28"/>
          <w:szCs w:val="28"/>
          <w:highlight w:val="none"/>
          <w:lang w:eastAsia="zh-CN"/>
        </w:rPr>
        <w:t>）及《</w:t>
      </w:r>
      <w:r>
        <w:rPr>
          <w:rFonts w:hint="eastAsia" w:ascii="宋体" w:hAnsi="宋体" w:eastAsia="宋体" w:cs="宋体"/>
          <w:color w:val="auto"/>
          <w:kern w:val="0"/>
          <w:sz w:val="28"/>
          <w:szCs w:val="28"/>
          <w:highlight w:val="none"/>
        </w:rPr>
        <w:t>全区机动车驾驶人考试员管理办法</w:t>
      </w:r>
      <w:r>
        <w:rPr>
          <w:rFonts w:hint="eastAsia" w:ascii="宋体" w:hAnsi="宋体" w:eastAsia="宋体" w:cs="宋体"/>
          <w:color w:val="auto"/>
          <w:sz w:val="28"/>
          <w:szCs w:val="28"/>
          <w:highlight w:val="none"/>
          <w:lang w:eastAsia="zh-CN"/>
        </w:rPr>
        <w:t>》、《机动车驾驶人考试工作规范》、《中华人民共和国道路交通安全法》及其《实施条例》</w:t>
      </w:r>
      <w:r>
        <w:rPr>
          <w:rFonts w:hint="eastAsia" w:ascii="宋体" w:hAnsi="宋体" w:eastAsia="宋体" w:cs="宋体"/>
          <w:color w:val="auto"/>
          <w:sz w:val="28"/>
          <w:szCs w:val="28"/>
          <w:highlight w:val="none"/>
          <w:lang w:val="en-US" w:eastAsia="zh-CN"/>
        </w:rPr>
        <w:t>等</w:t>
      </w:r>
      <w:r>
        <w:rPr>
          <w:rFonts w:hint="eastAsia" w:ascii="宋体" w:hAnsi="宋体" w:eastAsia="宋体" w:cs="宋体"/>
          <w:color w:val="auto"/>
          <w:sz w:val="28"/>
          <w:szCs w:val="28"/>
          <w:highlight w:val="none"/>
          <w:lang w:eastAsia="zh-CN"/>
        </w:rPr>
        <w:t>相关规定，结合我</w:t>
      </w:r>
      <w:r>
        <w:rPr>
          <w:rFonts w:hint="eastAsia" w:ascii="宋体" w:hAnsi="宋体" w:eastAsia="宋体" w:cs="宋体"/>
          <w:color w:val="auto"/>
          <w:sz w:val="28"/>
          <w:szCs w:val="28"/>
          <w:highlight w:val="none"/>
          <w:lang w:val="en-US" w:eastAsia="zh-CN"/>
        </w:rPr>
        <w:t>地区</w:t>
      </w:r>
      <w:r>
        <w:rPr>
          <w:rFonts w:hint="eastAsia" w:ascii="宋体" w:hAnsi="宋体" w:eastAsia="宋体" w:cs="宋体"/>
          <w:color w:val="auto"/>
          <w:sz w:val="28"/>
          <w:szCs w:val="28"/>
          <w:highlight w:val="none"/>
          <w:lang w:eastAsia="zh-CN"/>
        </w:rPr>
        <w:t>实际，现申请购买社会化辅助考试服务项目。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一、</w:t>
      </w:r>
      <w:r>
        <w:rPr>
          <w:rFonts w:hint="eastAsia" w:ascii="宋体" w:hAnsi="宋体" w:eastAsia="宋体" w:cs="宋体"/>
          <w:color w:val="auto"/>
          <w:kern w:val="0"/>
          <w:sz w:val="28"/>
          <w:szCs w:val="28"/>
          <w:highlight w:val="none"/>
        </w:rPr>
        <w:t>社会辅助考试</w:t>
      </w:r>
      <w:r>
        <w:rPr>
          <w:rFonts w:hint="eastAsia" w:ascii="宋体" w:hAnsi="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在专职考试员的监督管理下，可以承担考生身份验证、考试引导、考场巡查、远程监控等考试组织监督工作，以及小型汽车、小型自动挡汽车、残疾人专用小型自动挡载客汽车科目三道路驾驶技能考试辅助评判工作。</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二、</w:t>
      </w:r>
      <w:r>
        <w:rPr>
          <w:rFonts w:hint="eastAsia" w:ascii="宋体" w:hAnsi="宋体" w:eastAsia="宋体" w:cs="宋体"/>
          <w:color w:val="auto"/>
          <w:kern w:val="0"/>
          <w:sz w:val="28"/>
          <w:szCs w:val="28"/>
          <w:highlight w:val="none"/>
        </w:rPr>
        <w:t>社会辅助考试</w:t>
      </w:r>
      <w:r>
        <w:rPr>
          <w:rFonts w:hint="eastAsia" w:ascii="宋体" w:hAnsi="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按照公安局交警支队依法授权的业务范围内履行好机动车驾驶人考试工作。同时主动接受分管考试员的业务指导、检查、监督。</w:t>
      </w:r>
    </w:p>
    <w:p>
      <w:pPr>
        <w:keepNext w:val="0"/>
        <w:keepLines w:val="0"/>
        <w:pageBreakBefore w:val="0"/>
        <w:widowControl/>
        <w:kinsoku/>
        <w:wordWrap/>
        <w:overflowPunct/>
        <w:topLinePunct w:val="0"/>
        <w:autoSpaceDE/>
        <w:autoSpaceDN/>
        <w:bidi w:val="0"/>
        <w:adjustRightInd/>
        <w:snapToGrid/>
        <w:spacing w:line="360" w:lineRule="auto"/>
        <w:ind w:firstLine="600"/>
        <w:textAlignment w:val="auto"/>
        <w:rPr>
          <w:rFonts w:hint="default" w:ascii="Times New Roman" w:hAnsi="Times New Roman" w:cs="Times New Roman"/>
          <w:color w:val="auto"/>
          <w:kern w:val="0"/>
          <w:sz w:val="28"/>
          <w:szCs w:val="28"/>
          <w:highlight w:val="none"/>
        </w:rPr>
      </w:pPr>
    </w:p>
    <w:p>
      <w:pPr>
        <w:pStyle w:val="6"/>
        <w:numPr>
          <w:ilvl w:val="2"/>
          <w:numId w:val="0"/>
        </w:numPr>
        <w:ind w:leftChars="0"/>
        <w:jc w:val="left"/>
        <w:rPr>
          <w:color w:val="auto"/>
          <w:highlight w:val="none"/>
        </w:rPr>
      </w:pPr>
    </w:p>
    <w:p>
      <w:pPr>
        <w:pStyle w:val="4"/>
        <w:keepLines w:val="0"/>
        <w:pageBreakBefore/>
        <w:numPr>
          <w:ilvl w:val="0"/>
          <w:numId w:val="0"/>
        </w:numPr>
        <w:adjustRightInd w:val="0"/>
        <w:snapToGrid w:val="0"/>
        <w:spacing w:before="120" w:after="120" w:line="360" w:lineRule="auto"/>
        <w:jc w:val="center"/>
        <w:rPr>
          <w:rFonts w:hAnsi="宋体" w:cs="宋体"/>
          <w:color w:val="auto"/>
          <w:sz w:val="32"/>
          <w:szCs w:val="32"/>
          <w:highlight w:val="none"/>
        </w:rPr>
      </w:pPr>
      <w:r>
        <w:rPr>
          <w:rFonts w:hint="eastAsia" w:hAnsi="宋体" w:cs="宋体"/>
          <w:color w:val="auto"/>
          <w:sz w:val="32"/>
          <w:szCs w:val="32"/>
          <w:highlight w:val="none"/>
        </w:rPr>
        <w:t>第五章 响应文件格式</w:t>
      </w:r>
      <w:bookmarkEnd w:id="49"/>
      <w:bookmarkEnd w:id="50"/>
      <w:bookmarkEnd w:id="51"/>
      <w:bookmarkEnd w:id="52"/>
      <w:bookmarkEnd w:id="53"/>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w:t>
      </w: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u w:val="single"/>
        </w:rPr>
        <w:t xml:space="preserve">                                      （项目名称）</w:t>
      </w: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投  标  文  件</w:t>
      </w: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adjustRightInd w:val="0"/>
        <w:snapToGrid w:val="0"/>
        <w:spacing w:line="360" w:lineRule="auto"/>
        <w:jc w:val="center"/>
        <w:rPr>
          <w:rFonts w:ascii="宋体" w:hAnsi="宋体" w:cs="宋体"/>
          <w:color w:val="auto"/>
          <w:sz w:val="24"/>
          <w:highlight w:val="none"/>
          <w:u w:val="single"/>
        </w:rPr>
      </w:pPr>
    </w:p>
    <w:p>
      <w:pPr>
        <w:adjustRightInd w:val="0"/>
        <w:snapToGrid w:val="0"/>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rPr>
          <w:rFonts w:ascii="宋体" w:hAnsi="宋体" w:cs="宋体"/>
          <w:color w:val="auto"/>
          <w:sz w:val="24"/>
          <w:highlight w:val="none"/>
        </w:rPr>
      </w:pPr>
    </w:p>
    <w:p>
      <w:pPr>
        <w:adjustRightInd w:val="0"/>
        <w:snapToGrid w:val="0"/>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目录</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（投标人自行编制）</w:t>
      </w:r>
      <w:r>
        <w:rPr>
          <w:rFonts w:hint="eastAsia" w:ascii="宋体" w:hAnsi="宋体" w:cs="宋体"/>
          <w:color w:val="auto"/>
          <w:sz w:val="24"/>
          <w:highlight w:val="none"/>
        </w:rPr>
        <w:br w:type="page"/>
      </w:r>
      <w:r>
        <w:rPr>
          <w:rFonts w:hint="eastAsia" w:ascii="宋体" w:hAnsi="宋体" w:cs="宋体"/>
          <w:b/>
          <w:color w:val="auto"/>
          <w:sz w:val="24"/>
          <w:highlight w:val="none"/>
        </w:rPr>
        <w:t>1、投标函及投标报价表</w:t>
      </w:r>
    </w:p>
    <w:p>
      <w:pPr>
        <w:spacing w:line="360" w:lineRule="auto"/>
        <w:jc w:val="center"/>
        <w:outlineLvl w:val="1"/>
        <w:rPr>
          <w:rFonts w:ascii="宋体" w:hAnsi="宋体" w:cs="宋体"/>
          <w:color w:val="auto"/>
          <w:sz w:val="24"/>
          <w:highlight w:val="none"/>
        </w:rPr>
      </w:pPr>
      <w:r>
        <w:rPr>
          <w:rFonts w:hint="eastAsia" w:ascii="宋体" w:hAnsi="宋体" w:cs="宋体"/>
          <w:color w:val="auto"/>
          <w:sz w:val="24"/>
          <w:highlight w:val="none"/>
        </w:rPr>
        <w:t>（一）投 标 函</w:t>
      </w: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我们收到你们</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竞争性磋商文件，经认真研究，我们决定参加投标。</w:t>
      </w:r>
    </w:p>
    <w:p>
      <w:pPr>
        <w:spacing w:line="360" w:lineRule="auto"/>
        <w:ind w:firstLine="567"/>
        <w:jc w:val="left"/>
        <w:rPr>
          <w:rFonts w:ascii="宋体" w:hAnsi="宋体" w:cs="宋体"/>
          <w:color w:val="auto"/>
          <w:sz w:val="24"/>
          <w:highlight w:val="none"/>
        </w:rPr>
      </w:pPr>
      <w:r>
        <w:rPr>
          <w:rFonts w:hint="eastAsia" w:ascii="宋体" w:hAnsi="宋体" w:cs="宋体"/>
          <w:color w:val="auto"/>
          <w:sz w:val="24"/>
          <w:highlight w:val="none"/>
        </w:rPr>
        <w:t xml:space="preserve">⒈按照竞争性磋商文件中的一切要求，提供招标服务投标总价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元（用阿拉伯数字书写）人民币参与本项目的竞标。</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⒉如果我们的投标书被接受，我们将履行竞争性磋商文件中规定的每一项要求，按期、按质、按量完成交货和完工任务。</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⒊我们同意按竞争性磋商文件的规定，本投标书的有效期为开标后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⒋我们愿意提供采购人在竞争性磋商文件中要求的所有资料。</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⒌我们认为你们有选择或拒绝任何投标者中标的权力。我们理解，最低报价不是中标的唯一条件。</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⒍我们愿按合同法履行自己的全部责任。</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⒎我方愿意遵守国家有关规定及竞争性磋商文件中规定的收费标准，承付中标服务费。</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⒏该项投标在开标后的全过程中保持有效，不作任何更改和变动。</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⒐我们同意按竞争性磋商文件规定，交纳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10.所有有关本标书的函电，请按下列地址联系：</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单       位：</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地       址：</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电       话：</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传       真：</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邮 政 编 码：</w:t>
      </w:r>
    </w:p>
    <w:p>
      <w:pPr>
        <w:spacing w:line="360" w:lineRule="auto"/>
        <w:ind w:firstLine="567"/>
        <w:rPr>
          <w:rFonts w:ascii="宋体" w:hAnsi="宋体" w:cs="宋体"/>
          <w:color w:val="auto"/>
          <w:sz w:val="24"/>
          <w:highlight w:val="none"/>
        </w:rPr>
      </w:pPr>
      <w:r>
        <w:rPr>
          <w:rFonts w:hint="eastAsia" w:ascii="宋体" w:hAnsi="宋体" w:cs="宋体"/>
          <w:color w:val="auto"/>
          <w:sz w:val="24"/>
          <w:highlight w:val="none"/>
        </w:rPr>
        <w:t>联  系  人：</w:t>
      </w:r>
    </w:p>
    <w:p>
      <w:pPr>
        <w:spacing w:line="360" w:lineRule="auto"/>
        <w:ind w:firstLine="432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spacing w:line="360" w:lineRule="auto"/>
        <w:ind w:firstLine="3120" w:firstLineChars="1300"/>
        <w:jc w:val="left"/>
        <w:rPr>
          <w:rFonts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
        <w:rPr>
          <w:rFonts w:hAnsi="宋体"/>
          <w:bCs/>
          <w:color w:val="auto"/>
          <w:highlight w:val="none"/>
        </w:rPr>
      </w:pPr>
    </w:p>
    <w:p>
      <w:pPr>
        <w:spacing w:line="360" w:lineRule="auto"/>
        <w:jc w:val="center"/>
        <w:outlineLvl w:val="1"/>
        <w:rPr>
          <w:rFonts w:hint="eastAsia" w:ascii="宋体" w:hAnsi="宋体" w:cs="宋体"/>
          <w:b/>
          <w:color w:val="auto"/>
          <w:sz w:val="24"/>
          <w:highlight w:val="none"/>
        </w:rPr>
        <w:sectPr>
          <w:pgSz w:w="11906" w:h="16838"/>
          <w:pgMar w:top="1372" w:right="1259" w:bottom="1372" w:left="1259" w:header="851" w:footer="992" w:gutter="0"/>
          <w:pgNumType w:fmt="decimal"/>
          <w:cols w:space="720" w:num="1"/>
          <w:docGrid w:type="lines" w:linePitch="312" w:charSpace="0"/>
        </w:sectPr>
      </w:pPr>
    </w:p>
    <w:p>
      <w:pPr>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2、法定代表人身份证明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ascii="宋体" w:hAnsi="宋体" w:cs="宋体"/>
          <w:color w:val="auto"/>
          <w:sz w:val="24"/>
          <w:highlight w:val="none"/>
        </w:rPr>
      </w:pPr>
      <w:r>
        <w:rPr>
          <w:rFonts w:hint="eastAsia" w:ascii="宋体" w:hAnsi="宋体" w:cs="宋体"/>
          <w:color w:val="auto"/>
          <w:sz w:val="24"/>
          <w:highlight w:val="none"/>
        </w:rPr>
        <w:t>注：后附法定代表人身份证复印件</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pStyle w:val="2"/>
        <w:rPr>
          <w:rFonts w:hAnsi="宋体"/>
          <w:color w:val="auto"/>
          <w:highlight w:val="none"/>
        </w:rPr>
      </w:pPr>
    </w:p>
    <w:p>
      <w:pPr>
        <w:spacing w:line="360" w:lineRule="auto"/>
        <w:rPr>
          <w:rFonts w:ascii="宋体" w:hAnsi="宋体" w:cs="宋体"/>
          <w:color w:val="auto"/>
          <w:sz w:val="24"/>
          <w:highlight w:val="none"/>
        </w:rPr>
      </w:pPr>
    </w:p>
    <w:p>
      <w:pPr>
        <w:spacing w:line="360" w:lineRule="auto"/>
        <w:jc w:val="center"/>
        <w:outlineLvl w:val="1"/>
        <w:rPr>
          <w:rFonts w:ascii="宋体" w:hAnsi="宋体" w:cs="宋体"/>
          <w:b/>
          <w:bCs/>
          <w:color w:val="auto"/>
          <w:sz w:val="24"/>
          <w:highlight w:val="none"/>
        </w:rPr>
      </w:pPr>
    </w:p>
    <w:p>
      <w:pPr>
        <w:spacing w:line="360" w:lineRule="auto"/>
        <w:jc w:val="center"/>
        <w:outlineLvl w:val="1"/>
        <w:rPr>
          <w:rFonts w:hint="eastAsia" w:ascii="宋体" w:hAnsi="宋体" w:cs="宋体"/>
          <w:b/>
          <w:bCs/>
          <w:color w:val="auto"/>
          <w:sz w:val="24"/>
          <w:highlight w:val="none"/>
        </w:rPr>
        <w:sectPr>
          <w:pgSz w:w="11906" w:h="16838"/>
          <w:pgMar w:top="1372" w:right="1259" w:bottom="1372" w:left="1259" w:header="851" w:footer="992" w:gutter="0"/>
          <w:pgNumType w:fmt="decimal"/>
          <w:cols w:space="720" w:num="1"/>
          <w:docGrid w:type="lines" w:linePitch="312" w:charSpace="0"/>
        </w:sectPr>
      </w:pPr>
    </w:p>
    <w:p>
      <w:pPr>
        <w:spacing w:line="360" w:lineRule="auto"/>
        <w:jc w:val="center"/>
        <w:outlineLvl w:val="1"/>
        <w:rPr>
          <w:rFonts w:ascii="宋体" w:hAnsi="宋体" w:cs="宋体"/>
          <w:b/>
          <w:bCs/>
          <w:color w:val="auto"/>
          <w:sz w:val="24"/>
          <w:highlight w:val="none"/>
        </w:rPr>
      </w:pPr>
      <w:r>
        <w:rPr>
          <w:rFonts w:hint="eastAsia" w:ascii="宋体" w:hAnsi="宋体" w:cs="宋体"/>
          <w:b/>
          <w:bCs/>
          <w:color w:val="auto"/>
          <w:sz w:val="24"/>
          <w:highlight w:val="none"/>
        </w:rPr>
        <w:t>3、法定代表人的授权委托书</w:t>
      </w:r>
    </w:p>
    <w:p>
      <w:pPr>
        <w:spacing w:line="360" w:lineRule="auto"/>
        <w:rPr>
          <w:rFonts w:ascii="宋体" w:hAnsi="宋体" w:cs="宋体"/>
          <w:color w:val="auto"/>
          <w:sz w:val="24"/>
          <w:highlight w:val="none"/>
        </w:rPr>
      </w:pPr>
    </w:p>
    <w:p>
      <w:pPr>
        <w:topLinePunct/>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标段响应文件、签订合同和处理有关事宜，其法律后果由我方承担。</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2" w:firstLineChars="200"/>
        <w:rPr>
          <w:rFonts w:ascii="宋体" w:hAnsi="宋体" w:cs="宋体"/>
          <w:color w:val="auto"/>
          <w:sz w:val="24"/>
          <w:highlight w:val="none"/>
        </w:rPr>
      </w:pPr>
    </w:p>
    <w:p>
      <w:pPr>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附：法定代表人身份证明、委托代理人身份证复印件</w:t>
      </w:r>
    </w:p>
    <w:p>
      <w:pPr>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ascii="宋体" w:hAnsi="宋体" w:cs="宋体"/>
          <w:b/>
          <w:color w:val="auto"/>
          <w:sz w:val="24"/>
          <w:highlight w:val="none"/>
        </w:rPr>
      </w:pPr>
    </w:p>
    <w:p>
      <w:pPr>
        <w:spacing w:line="360" w:lineRule="auto"/>
        <w:jc w:val="left"/>
        <w:outlineLvl w:val="1"/>
        <w:rPr>
          <w:rFonts w:ascii="宋体" w:hAnsi="宋体" w:cs="宋体"/>
          <w:b/>
          <w:color w:val="auto"/>
          <w:sz w:val="24"/>
          <w:highlight w:val="none"/>
        </w:rPr>
      </w:pPr>
    </w:p>
    <w:p>
      <w:pPr>
        <w:spacing w:line="360" w:lineRule="auto"/>
        <w:jc w:val="left"/>
        <w:outlineLvl w:val="1"/>
        <w:rPr>
          <w:rFonts w:ascii="宋体" w:hAnsi="宋体" w:cs="宋体"/>
          <w:b/>
          <w:color w:val="auto"/>
          <w:sz w:val="24"/>
          <w:highlight w:val="none"/>
        </w:rPr>
      </w:pPr>
    </w:p>
    <w:p>
      <w:pPr>
        <w:spacing w:line="360" w:lineRule="auto"/>
        <w:jc w:val="left"/>
        <w:outlineLvl w:val="1"/>
        <w:rPr>
          <w:rFonts w:ascii="宋体" w:hAnsi="宋体" w:cs="宋体"/>
          <w:b/>
          <w:color w:val="auto"/>
          <w:sz w:val="24"/>
          <w:highlight w:val="none"/>
        </w:rPr>
      </w:pPr>
    </w:p>
    <w:p>
      <w:pPr>
        <w:spacing w:line="360" w:lineRule="auto"/>
        <w:jc w:val="left"/>
        <w:outlineLvl w:val="1"/>
        <w:rPr>
          <w:rFonts w:ascii="宋体" w:hAnsi="宋体" w:cs="宋体"/>
          <w:b/>
          <w:color w:val="auto"/>
          <w:sz w:val="24"/>
          <w:highlight w:val="none"/>
        </w:rPr>
      </w:pPr>
    </w:p>
    <w:p>
      <w:pPr>
        <w:spacing w:line="360" w:lineRule="auto"/>
        <w:jc w:val="left"/>
        <w:outlineLvl w:val="1"/>
        <w:rPr>
          <w:rFonts w:ascii="宋体" w:hAnsi="宋体" w:cs="宋体"/>
          <w:b/>
          <w:color w:val="auto"/>
          <w:sz w:val="24"/>
          <w:highlight w:val="none"/>
        </w:rPr>
      </w:pPr>
    </w:p>
    <w:p>
      <w:pPr>
        <w:spacing w:line="360" w:lineRule="auto"/>
        <w:jc w:val="left"/>
        <w:outlineLvl w:val="1"/>
        <w:rPr>
          <w:rFonts w:ascii="宋体" w:hAnsi="宋体" w:cs="宋体"/>
          <w:b/>
          <w:color w:val="auto"/>
          <w:sz w:val="24"/>
          <w:highlight w:val="none"/>
        </w:rPr>
      </w:pPr>
    </w:p>
    <w:p>
      <w:pPr>
        <w:spacing w:line="360" w:lineRule="auto"/>
        <w:jc w:val="left"/>
        <w:outlineLvl w:val="1"/>
        <w:rPr>
          <w:rFonts w:ascii="宋体" w:hAnsi="宋体" w:cs="宋体"/>
          <w:b/>
          <w:color w:val="auto"/>
          <w:sz w:val="24"/>
          <w:highlight w:val="none"/>
        </w:rPr>
      </w:pPr>
    </w:p>
    <w:p>
      <w:pPr>
        <w:spacing w:line="360" w:lineRule="auto"/>
        <w:jc w:val="left"/>
        <w:outlineLvl w:val="1"/>
        <w:rPr>
          <w:rFonts w:ascii="宋体" w:hAnsi="宋体" w:cs="宋体"/>
          <w:b/>
          <w:color w:val="auto"/>
          <w:sz w:val="24"/>
          <w:highlight w:val="none"/>
        </w:rPr>
      </w:pPr>
    </w:p>
    <w:p>
      <w:pPr>
        <w:pStyle w:val="10"/>
        <w:rPr>
          <w:rFonts w:ascii="宋体" w:hAnsi="宋体" w:cs="宋体"/>
          <w:b/>
          <w:color w:val="auto"/>
          <w:sz w:val="24"/>
          <w:highlight w:val="none"/>
        </w:rPr>
      </w:pPr>
    </w:p>
    <w:p>
      <w:pPr>
        <w:rPr>
          <w:rFonts w:ascii="宋体" w:hAnsi="宋体" w:cs="宋体"/>
          <w:b/>
          <w:color w:val="auto"/>
          <w:sz w:val="24"/>
          <w:highlight w:val="none"/>
        </w:rPr>
      </w:pPr>
    </w:p>
    <w:p>
      <w:pPr>
        <w:pStyle w:val="6"/>
        <w:numPr>
          <w:ilvl w:val="2"/>
          <w:numId w:val="0"/>
        </w:numPr>
        <w:ind w:leftChars="0"/>
        <w:rPr>
          <w:color w:val="auto"/>
          <w:highlight w:val="none"/>
        </w:rPr>
      </w:pPr>
    </w:p>
    <w:p>
      <w:pPr>
        <w:pStyle w:val="10"/>
        <w:rPr>
          <w:rFonts w:ascii="宋体" w:hAnsi="宋体" w:cs="宋体"/>
          <w:b/>
          <w:color w:val="auto"/>
          <w:sz w:val="24"/>
          <w:highlight w:val="none"/>
        </w:rPr>
      </w:pPr>
    </w:p>
    <w:p>
      <w:pPr>
        <w:rPr>
          <w:color w:val="auto"/>
          <w:highlight w:val="none"/>
        </w:rPr>
      </w:pPr>
    </w:p>
    <w:p>
      <w:pPr>
        <w:pStyle w:val="35"/>
        <w:shd w:val="clear" w:color="auto" w:fill="auto"/>
        <w:jc w:val="center"/>
        <w:rPr>
          <w:rFonts w:hint="eastAsia" w:ascii="宋体" w:hAnsi="宋体" w:eastAsia="宋体" w:cs="宋体"/>
          <w:b/>
          <w:bCs/>
          <w:color w:val="auto"/>
          <w:kern w:val="2"/>
          <w:sz w:val="24"/>
          <w:szCs w:val="24"/>
          <w:highlight w:val="none"/>
          <w:lang w:val="en-US" w:eastAsia="zh-CN" w:bidi="ar-SA"/>
        </w:rPr>
      </w:pPr>
      <w:r>
        <w:rPr>
          <w:rFonts w:hint="eastAsia" w:cs="宋体"/>
          <w:b/>
          <w:bCs/>
          <w:color w:val="auto"/>
          <w:sz w:val="24"/>
          <w:highlight w:val="none"/>
          <w:lang w:val="en-US" w:eastAsia="zh-CN"/>
        </w:rPr>
        <w:t>4</w:t>
      </w:r>
      <w:r>
        <w:rPr>
          <w:rFonts w:hint="eastAsia" w:ascii="宋体" w:hAnsi="宋体" w:cs="宋体"/>
          <w:b/>
          <w:bCs/>
          <w:color w:val="auto"/>
          <w:sz w:val="24"/>
          <w:highlight w:val="none"/>
        </w:rPr>
        <w:t>、</w:t>
      </w:r>
      <w:r>
        <w:rPr>
          <w:rFonts w:hint="eastAsia" w:ascii="宋体" w:hAnsi="宋体" w:eastAsia="宋体" w:cs="宋体"/>
          <w:b/>
          <w:bCs/>
          <w:color w:val="auto"/>
          <w:kern w:val="2"/>
          <w:sz w:val="24"/>
          <w:szCs w:val="24"/>
          <w:highlight w:val="none"/>
          <w:lang w:val="en-US" w:eastAsia="zh-CN" w:bidi="ar-SA"/>
        </w:rPr>
        <w:t>报价一览表</w:t>
      </w:r>
    </w:p>
    <w:p>
      <w:pPr>
        <w:pStyle w:val="36"/>
        <w:shd w:val="clear" w:color="auto" w:fill="auto"/>
        <w:adjustRightInd w:val="0"/>
        <w:snapToGrid w:val="0"/>
        <w:spacing w:line="500" w:lineRule="exact"/>
        <w:ind w:left="0" w:firstLine="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项目编号：                                </w:t>
      </w:r>
    </w:p>
    <w:p>
      <w:pPr>
        <w:pStyle w:val="36"/>
        <w:shd w:val="clear" w:color="auto" w:fill="auto"/>
        <w:adjustRightInd w:val="0"/>
        <w:snapToGrid w:val="0"/>
        <w:spacing w:line="500" w:lineRule="exact"/>
        <w:ind w:left="1" w:hanging="1"/>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项目名称：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shd w:val="clear" w:color="auto" w:fill="auto"/>
              <w:tabs>
                <w:tab w:val="left" w:pos="1337"/>
              </w:tabs>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项目名称</w:t>
            </w:r>
          </w:p>
        </w:tc>
        <w:tc>
          <w:tcPr>
            <w:tcW w:w="6770" w:type="dxa"/>
            <w:tcBorders>
              <w:bottom w:val="single" w:color="auto" w:sz="4" w:space="0"/>
            </w:tcBorders>
            <w:noWrap w:val="0"/>
            <w:vAlign w:val="center"/>
          </w:tcPr>
          <w:p>
            <w:pPr>
              <w:shd w:val="clear" w:color="auto" w:fill="auto"/>
              <w:tabs>
                <w:tab w:val="left" w:pos="1337"/>
              </w:tabs>
              <w:spacing w:line="360" w:lineRule="auto"/>
              <w:jc w:val="center"/>
              <w:rPr>
                <w:rFonts w:hint="eastAsia" w:ascii="宋体" w:hAnsi="宋体" w:eastAsia="宋体" w:cs="宋体"/>
                <w:b w:val="0"/>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shd w:val="clear" w:color="auto" w:fill="auto"/>
              <w:tabs>
                <w:tab w:val="left" w:pos="1337"/>
              </w:tabs>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投标总报价</w:t>
            </w:r>
          </w:p>
        </w:tc>
        <w:tc>
          <w:tcPr>
            <w:tcW w:w="6770" w:type="dxa"/>
            <w:noWrap w:val="0"/>
            <w:vAlign w:val="top"/>
          </w:tcPr>
          <w:p>
            <w:pPr>
              <w:shd w:val="clear" w:color="auto" w:fill="auto"/>
              <w:tabs>
                <w:tab w:val="left" w:pos="1337"/>
              </w:tabs>
              <w:spacing w:line="360" w:lineRule="auto"/>
              <w:rPr>
                <w:rFonts w:hint="eastAsia" w:ascii="宋体" w:hAnsi="宋体" w:eastAsia="宋体" w:cs="宋体"/>
                <w:b w:val="0"/>
                <w:bCs/>
                <w:color w:val="auto"/>
                <w:kern w:val="2"/>
                <w:sz w:val="24"/>
                <w:szCs w:val="24"/>
                <w:highlight w:val="none"/>
                <w:lang w:val="en-US" w:eastAsia="zh-CN" w:bidi="ar-SA"/>
              </w:rPr>
            </w:pPr>
          </w:p>
          <w:p>
            <w:pPr>
              <w:shd w:val="clear" w:color="auto" w:fill="auto"/>
              <w:tabs>
                <w:tab w:val="left" w:pos="1337"/>
              </w:tabs>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小写：                               </w:t>
            </w:r>
          </w:p>
          <w:p>
            <w:pPr>
              <w:shd w:val="clear" w:color="auto" w:fill="auto"/>
              <w:tabs>
                <w:tab w:val="left" w:pos="1337"/>
              </w:tabs>
              <w:spacing w:line="360" w:lineRule="auto"/>
              <w:rPr>
                <w:rFonts w:hint="eastAsia" w:ascii="宋体" w:hAnsi="宋体" w:eastAsia="宋体" w:cs="宋体"/>
                <w:b w:val="0"/>
                <w:bCs/>
                <w:color w:val="auto"/>
                <w:kern w:val="2"/>
                <w:sz w:val="24"/>
                <w:szCs w:val="24"/>
                <w:highlight w:val="none"/>
                <w:lang w:val="en-US" w:eastAsia="zh-CN" w:bidi="ar-SA"/>
              </w:rPr>
            </w:pPr>
          </w:p>
          <w:p>
            <w:pPr>
              <w:shd w:val="clear" w:color="auto" w:fill="auto"/>
              <w:tabs>
                <w:tab w:val="left" w:pos="1337"/>
              </w:tabs>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大写：                               </w:t>
            </w:r>
          </w:p>
          <w:p>
            <w:pPr>
              <w:shd w:val="clear" w:color="auto" w:fill="auto"/>
              <w:tabs>
                <w:tab w:val="left" w:pos="1337"/>
              </w:tabs>
              <w:spacing w:line="360" w:lineRule="auto"/>
              <w:rPr>
                <w:rFonts w:hint="eastAsia" w:ascii="宋体" w:hAnsi="宋体" w:eastAsia="宋体" w:cs="宋体"/>
                <w:b w:val="0"/>
                <w:bCs/>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shd w:val="clear" w:color="auto" w:fill="auto"/>
              <w:tabs>
                <w:tab w:val="left" w:pos="1337"/>
              </w:tabs>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报价单位</w:t>
            </w:r>
          </w:p>
        </w:tc>
        <w:tc>
          <w:tcPr>
            <w:tcW w:w="6770" w:type="dxa"/>
            <w:noWrap w:val="0"/>
            <w:vAlign w:val="top"/>
          </w:tcPr>
          <w:p>
            <w:pPr>
              <w:shd w:val="clear" w:color="auto" w:fill="auto"/>
              <w:tabs>
                <w:tab w:val="left" w:pos="1337"/>
              </w:tabs>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shd w:val="clear" w:color="auto" w:fill="auto"/>
              <w:tabs>
                <w:tab w:val="left" w:pos="1337"/>
              </w:tabs>
              <w:spacing w:line="360" w:lineRule="auto"/>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服务期</w:t>
            </w:r>
          </w:p>
        </w:tc>
        <w:tc>
          <w:tcPr>
            <w:tcW w:w="6770" w:type="dxa"/>
            <w:noWrap w:val="0"/>
            <w:vAlign w:val="top"/>
          </w:tcPr>
          <w:p>
            <w:pPr>
              <w:shd w:val="clear" w:color="auto" w:fill="auto"/>
              <w:tabs>
                <w:tab w:val="left" w:pos="1337"/>
              </w:tabs>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shd w:val="clear" w:color="auto" w:fill="auto"/>
              <w:tabs>
                <w:tab w:val="left" w:pos="1337"/>
              </w:tabs>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备注：</w:t>
            </w:r>
          </w:p>
        </w:tc>
      </w:tr>
    </w:tbl>
    <w:p>
      <w:pPr>
        <w:pStyle w:val="36"/>
        <w:shd w:val="clear" w:color="auto" w:fill="auto"/>
        <w:adjustRightInd w:val="0"/>
        <w:snapToGrid w:val="0"/>
        <w:spacing w:line="400" w:lineRule="exact"/>
        <w:ind w:left="0" w:firstLine="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说明：1．所有价格均用人民币表示，单位为元。</w:t>
      </w:r>
    </w:p>
    <w:p>
      <w:pPr>
        <w:pStyle w:val="36"/>
        <w:shd w:val="clear" w:color="auto" w:fill="auto"/>
        <w:adjustRightInd w:val="0"/>
        <w:snapToGrid w:val="0"/>
        <w:spacing w:line="500" w:lineRule="exact"/>
        <w:ind w:left="1549" w:leftChars="470" w:hanging="558" w:hangingChars="232"/>
        <w:rPr>
          <w:rFonts w:hint="eastAsia" w:ascii="宋体" w:hAnsi="宋体" w:eastAsia="宋体" w:cs="宋体"/>
          <w:b w:val="0"/>
          <w:bCs/>
          <w:color w:val="auto"/>
          <w:kern w:val="2"/>
          <w:sz w:val="24"/>
          <w:szCs w:val="24"/>
          <w:highlight w:val="none"/>
          <w:lang w:val="en-US" w:eastAsia="zh-CN" w:bidi="ar-SA"/>
        </w:rPr>
      </w:pPr>
    </w:p>
    <w:p>
      <w:pPr>
        <w:pStyle w:val="36"/>
        <w:shd w:val="clear" w:color="auto" w:fill="auto"/>
        <w:adjustRightInd w:val="0"/>
        <w:snapToGrid w:val="0"/>
        <w:spacing w:line="500" w:lineRule="exact"/>
        <w:ind w:left="1549" w:leftChars="470" w:hanging="558" w:hangingChars="232"/>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 xml:space="preserve">供应商名称（签章）：                       </w:t>
      </w:r>
    </w:p>
    <w:p>
      <w:pPr>
        <w:pStyle w:val="36"/>
        <w:shd w:val="clear" w:color="auto" w:fill="auto"/>
        <w:adjustRightInd w:val="0"/>
        <w:snapToGrid w:val="0"/>
        <w:spacing w:line="500" w:lineRule="exact"/>
        <w:ind w:left="1549" w:leftChars="470" w:hanging="558" w:hangingChars="232"/>
        <w:jc w:val="righ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供应商法定代表人或授权委托人（签章）：                 </w:t>
      </w:r>
    </w:p>
    <w:p>
      <w:pPr>
        <w:pStyle w:val="36"/>
        <w:shd w:val="clear" w:color="auto" w:fill="auto"/>
        <w:adjustRightInd w:val="0"/>
        <w:snapToGrid w:val="0"/>
        <w:spacing w:line="500" w:lineRule="exact"/>
        <w:ind w:left="1549" w:leftChars="470" w:hanging="558" w:hangingChars="232"/>
        <w:jc w:val="righ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日期：          年      月     日</w:t>
      </w:r>
    </w:p>
    <w:p>
      <w:pPr>
        <w:numPr>
          <w:ilvl w:val="0"/>
          <w:numId w:val="7"/>
        </w:numPr>
        <w:spacing w:line="360" w:lineRule="auto"/>
        <w:ind w:firstLine="564"/>
        <w:jc w:val="right"/>
        <w:rPr>
          <w:rFonts w:hint="eastAsia" w:ascii="宋体" w:hAnsi="宋体" w:cs="宋体"/>
          <w:b/>
          <w:color w:val="auto"/>
          <w:sz w:val="24"/>
          <w:highlight w:val="none"/>
        </w:rPr>
        <w:sectPr>
          <w:pgSz w:w="11849" w:h="16781"/>
          <w:pgMar w:top="1080" w:right="1440" w:bottom="1080" w:left="1440" w:header="851" w:footer="850" w:gutter="0"/>
          <w:cols w:space="720" w:num="1"/>
          <w:titlePg/>
          <w:docGrid w:type="linesAndChars" w:linePitch="320" w:charSpace="269"/>
        </w:sectPr>
      </w:pPr>
    </w:p>
    <w:p>
      <w:pPr>
        <w:numPr>
          <w:ilvl w:val="0"/>
          <w:numId w:val="0"/>
        </w:numPr>
        <w:spacing w:line="360" w:lineRule="auto"/>
        <w:jc w:val="center"/>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5</w:t>
      </w:r>
      <w:r>
        <w:rPr>
          <w:rFonts w:hint="eastAsia" w:ascii="宋体" w:hAnsi="宋体" w:cs="宋体"/>
          <w:b/>
          <w:color w:val="auto"/>
          <w:kern w:val="0"/>
          <w:sz w:val="24"/>
          <w:highlight w:val="none"/>
        </w:rPr>
        <w:t>、资格审查资料</w:t>
      </w:r>
    </w:p>
    <w:p>
      <w:pPr>
        <w:autoSpaceDE w:val="0"/>
        <w:autoSpaceDN w:val="0"/>
        <w:adjustRightInd w:val="0"/>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t>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24"/>
        <w:gridCol w:w="288"/>
        <w:gridCol w:w="1094"/>
        <w:gridCol w:w="920"/>
        <w:gridCol w:w="546"/>
        <w:gridCol w:w="1423"/>
        <w:gridCol w:w="299"/>
        <w:gridCol w:w="810"/>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8022"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注册地址</w:t>
            </w:r>
          </w:p>
        </w:tc>
        <w:tc>
          <w:tcPr>
            <w:tcW w:w="3872" w:type="dxa"/>
            <w:gridSpan w:val="5"/>
            <w:noWrap w:val="0"/>
            <w:vAlign w:val="center"/>
          </w:tcPr>
          <w:p>
            <w:pPr>
              <w:spacing w:line="360" w:lineRule="auto"/>
              <w:jc w:val="center"/>
              <w:rPr>
                <w:rFonts w:hint="eastAsia" w:ascii="宋体" w:hAnsi="宋体" w:cs="宋体"/>
                <w:color w:val="auto"/>
                <w:sz w:val="24"/>
                <w:highlight w:val="none"/>
              </w:rPr>
            </w:pPr>
          </w:p>
        </w:tc>
        <w:tc>
          <w:tcPr>
            <w:tcW w:w="142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2727"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97"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131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2560" w:type="dxa"/>
            <w:gridSpan w:val="3"/>
            <w:noWrap w:val="0"/>
            <w:vAlign w:val="center"/>
          </w:tcPr>
          <w:p>
            <w:pPr>
              <w:spacing w:line="360" w:lineRule="auto"/>
              <w:jc w:val="center"/>
              <w:rPr>
                <w:rFonts w:hint="eastAsia" w:ascii="宋体" w:hAnsi="宋体" w:cs="宋体"/>
                <w:color w:val="auto"/>
                <w:sz w:val="24"/>
                <w:highlight w:val="none"/>
              </w:rPr>
            </w:pPr>
          </w:p>
        </w:tc>
        <w:tc>
          <w:tcPr>
            <w:tcW w:w="142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2727"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97" w:type="dxa"/>
            <w:vMerge w:val="continue"/>
            <w:noWrap w:val="0"/>
            <w:vAlign w:val="center"/>
          </w:tcPr>
          <w:p>
            <w:pPr>
              <w:spacing w:line="360" w:lineRule="auto"/>
              <w:jc w:val="center"/>
              <w:rPr>
                <w:rFonts w:hint="eastAsia" w:ascii="宋体" w:hAnsi="宋体" w:cs="宋体"/>
                <w:color w:val="auto"/>
                <w:sz w:val="24"/>
                <w:highlight w:val="none"/>
              </w:rPr>
            </w:pPr>
          </w:p>
        </w:tc>
        <w:tc>
          <w:tcPr>
            <w:tcW w:w="131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传  真</w:t>
            </w:r>
          </w:p>
        </w:tc>
        <w:tc>
          <w:tcPr>
            <w:tcW w:w="2560" w:type="dxa"/>
            <w:gridSpan w:val="3"/>
            <w:noWrap w:val="0"/>
            <w:vAlign w:val="center"/>
          </w:tcPr>
          <w:p>
            <w:pPr>
              <w:spacing w:line="360" w:lineRule="auto"/>
              <w:jc w:val="center"/>
              <w:rPr>
                <w:rFonts w:hint="eastAsia" w:ascii="宋体" w:hAnsi="宋体" w:cs="宋体"/>
                <w:color w:val="auto"/>
                <w:sz w:val="24"/>
                <w:highlight w:val="none"/>
              </w:rPr>
            </w:pPr>
          </w:p>
        </w:tc>
        <w:tc>
          <w:tcPr>
            <w:tcW w:w="142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网  址</w:t>
            </w:r>
          </w:p>
        </w:tc>
        <w:tc>
          <w:tcPr>
            <w:tcW w:w="2727"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组织结构</w:t>
            </w:r>
          </w:p>
        </w:tc>
        <w:tc>
          <w:tcPr>
            <w:tcW w:w="8022"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102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82" w:type="dxa"/>
            <w:gridSpan w:val="2"/>
            <w:noWrap w:val="0"/>
            <w:vAlign w:val="center"/>
          </w:tcPr>
          <w:p>
            <w:pPr>
              <w:spacing w:line="360" w:lineRule="auto"/>
              <w:jc w:val="center"/>
              <w:rPr>
                <w:rFonts w:hint="eastAsia" w:ascii="宋体" w:hAnsi="宋体" w:cs="宋体"/>
                <w:color w:val="auto"/>
                <w:sz w:val="24"/>
                <w:highlight w:val="none"/>
              </w:rPr>
            </w:pPr>
          </w:p>
        </w:tc>
        <w:tc>
          <w:tcPr>
            <w:tcW w:w="1466"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722" w:type="dxa"/>
            <w:gridSpan w:val="2"/>
            <w:noWrap w:val="0"/>
            <w:vAlign w:val="center"/>
          </w:tcPr>
          <w:p>
            <w:pPr>
              <w:spacing w:line="360" w:lineRule="auto"/>
              <w:jc w:val="center"/>
              <w:rPr>
                <w:rFonts w:hint="eastAsia" w:ascii="宋体" w:hAnsi="宋体" w:cs="宋体"/>
                <w:color w:val="auto"/>
                <w:sz w:val="24"/>
                <w:highlight w:val="none"/>
              </w:rPr>
            </w:pPr>
          </w:p>
        </w:tc>
        <w:tc>
          <w:tcPr>
            <w:tcW w:w="81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618"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024"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82" w:type="dxa"/>
            <w:gridSpan w:val="2"/>
            <w:noWrap w:val="0"/>
            <w:vAlign w:val="center"/>
          </w:tcPr>
          <w:p>
            <w:pPr>
              <w:spacing w:line="360" w:lineRule="auto"/>
              <w:jc w:val="center"/>
              <w:rPr>
                <w:rFonts w:hint="eastAsia" w:ascii="宋体" w:hAnsi="宋体" w:cs="宋体"/>
                <w:color w:val="auto"/>
                <w:sz w:val="24"/>
                <w:highlight w:val="none"/>
              </w:rPr>
            </w:pPr>
          </w:p>
        </w:tc>
        <w:tc>
          <w:tcPr>
            <w:tcW w:w="1466"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722" w:type="dxa"/>
            <w:gridSpan w:val="2"/>
            <w:noWrap w:val="0"/>
            <w:vAlign w:val="center"/>
          </w:tcPr>
          <w:p>
            <w:pPr>
              <w:spacing w:line="360" w:lineRule="auto"/>
              <w:jc w:val="center"/>
              <w:rPr>
                <w:rFonts w:hint="eastAsia" w:ascii="宋体" w:hAnsi="宋体" w:cs="宋体"/>
                <w:color w:val="auto"/>
                <w:sz w:val="24"/>
                <w:highlight w:val="none"/>
              </w:rPr>
            </w:pPr>
          </w:p>
        </w:tc>
        <w:tc>
          <w:tcPr>
            <w:tcW w:w="81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618"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2406" w:type="dxa"/>
            <w:gridSpan w:val="3"/>
            <w:noWrap w:val="0"/>
            <w:vAlign w:val="center"/>
          </w:tcPr>
          <w:p>
            <w:pPr>
              <w:spacing w:line="360" w:lineRule="auto"/>
              <w:jc w:val="center"/>
              <w:rPr>
                <w:rFonts w:hint="eastAsia" w:ascii="宋体" w:hAnsi="宋体" w:cs="宋体"/>
                <w:color w:val="auto"/>
                <w:sz w:val="24"/>
                <w:highlight w:val="none"/>
              </w:rPr>
            </w:pPr>
          </w:p>
        </w:tc>
        <w:tc>
          <w:tcPr>
            <w:tcW w:w="5616" w:type="dxa"/>
            <w:gridSpan w:val="6"/>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企业资质等级</w:t>
            </w:r>
          </w:p>
        </w:tc>
        <w:tc>
          <w:tcPr>
            <w:tcW w:w="2406" w:type="dxa"/>
            <w:gridSpan w:val="3"/>
            <w:noWrap w:val="0"/>
            <w:vAlign w:val="center"/>
          </w:tcPr>
          <w:p>
            <w:pPr>
              <w:spacing w:line="360" w:lineRule="auto"/>
              <w:jc w:val="center"/>
              <w:rPr>
                <w:rFonts w:hint="eastAsia" w:ascii="宋体" w:hAnsi="宋体" w:cs="宋体"/>
                <w:color w:val="auto"/>
                <w:sz w:val="24"/>
                <w:highlight w:val="none"/>
              </w:rPr>
            </w:pPr>
          </w:p>
        </w:tc>
        <w:tc>
          <w:tcPr>
            <w:tcW w:w="920"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其中</w:t>
            </w:r>
          </w:p>
        </w:tc>
        <w:tc>
          <w:tcPr>
            <w:tcW w:w="2268"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项目负责人</w:t>
            </w:r>
          </w:p>
        </w:tc>
        <w:tc>
          <w:tcPr>
            <w:tcW w:w="2428"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营业执照号</w:t>
            </w:r>
          </w:p>
        </w:tc>
        <w:tc>
          <w:tcPr>
            <w:tcW w:w="2406" w:type="dxa"/>
            <w:gridSpan w:val="3"/>
            <w:noWrap w:val="0"/>
            <w:vAlign w:val="center"/>
          </w:tcPr>
          <w:p>
            <w:pPr>
              <w:spacing w:line="360" w:lineRule="auto"/>
              <w:jc w:val="center"/>
              <w:rPr>
                <w:rFonts w:hint="eastAsia" w:ascii="宋体" w:hAnsi="宋体" w:cs="宋体"/>
                <w:color w:val="auto"/>
                <w:sz w:val="24"/>
                <w:highlight w:val="none"/>
              </w:rPr>
            </w:pPr>
          </w:p>
        </w:tc>
        <w:tc>
          <w:tcPr>
            <w:tcW w:w="920" w:type="dxa"/>
            <w:vMerge w:val="continue"/>
            <w:noWrap w:val="0"/>
            <w:vAlign w:val="center"/>
          </w:tcPr>
          <w:p>
            <w:pPr>
              <w:spacing w:line="360" w:lineRule="auto"/>
              <w:jc w:val="center"/>
              <w:rPr>
                <w:rFonts w:hint="eastAsia" w:ascii="宋体" w:hAnsi="宋体" w:cs="宋体"/>
                <w:color w:val="auto"/>
                <w:sz w:val="24"/>
                <w:highlight w:val="none"/>
              </w:rPr>
            </w:pPr>
          </w:p>
        </w:tc>
        <w:tc>
          <w:tcPr>
            <w:tcW w:w="2268" w:type="dxa"/>
            <w:gridSpan w:val="3"/>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职称人员</w:t>
            </w:r>
          </w:p>
        </w:tc>
        <w:tc>
          <w:tcPr>
            <w:tcW w:w="2428" w:type="dxa"/>
            <w:gridSpan w:val="2"/>
            <w:vMerge w:val="restart"/>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2406" w:type="dxa"/>
            <w:gridSpan w:val="3"/>
            <w:noWrap w:val="0"/>
            <w:vAlign w:val="center"/>
          </w:tcPr>
          <w:p>
            <w:pPr>
              <w:spacing w:line="360" w:lineRule="auto"/>
              <w:jc w:val="center"/>
              <w:rPr>
                <w:rFonts w:hint="eastAsia" w:ascii="宋体" w:hAnsi="宋体" w:cs="宋体"/>
                <w:color w:val="auto"/>
                <w:sz w:val="24"/>
                <w:highlight w:val="none"/>
              </w:rPr>
            </w:pPr>
          </w:p>
        </w:tc>
        <w:tc>
          <w:tcPr>
            <w:tcW w:w="920" w:type="dxa"/>
            <w:vMerge w:val="continue"/>
            <w:noWrap w:val="0"/>
            <w:vAlign w:val="center"/>
          </w:tcPr>
          <w:p>
            <w:pPr>
              <w:spacing w:line="360" w:lineRule="auto"/>
              <w:jc w:val="center"/>
              <w:rPr>
                <w:rFonts w:hint="eastAsia" w:ascii="宋体" w:hAnsi="宋体" w:cs="宋体"/>
                <w:color w:val="auto"/>
                <w:sz w:val="24"/>
                <w:highlight w:val="none"/>
              </w:rPr>
            </w:pPr>
          </w:p>
        </w:tc>
        <w:tc>
          <w:tcPr>
            <w:tcW w:w="2268" w:type="dxa"/>
            <w:gridSpan w:val="3"/>
            <w:vMerge w:val="continue"/>
            <w:noWrap w:val="0"/>
            <w:vAlign w:val="center"/>
          </w:tcPr>
          <w:p>
            <w:pPr>
              <w:spacing w:line="360" w:lineRule="auto"/>
              <w:jc w:val="center"/>
              <w:rPr>
                <w:rFonts w:hint="eastAsia" w:ascii="宋体" w:hAnsi="宋体" w:cs="宋体"/>
                <w:color w:val="auto"/>
                <w:sz w:val="24"/>
                <w:highlight w:val="none"/>
              </w:rPr>
            </w:pPr>
          </w:p>
        </w:tc>
        <w:tc>
          <w:tcPr>
            <w:tcW w:w="2428" w:type="dxa"/>
            <w:gridSpan w:val="2"/>
            <w:vMerge w:val="continue"/>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2406" w:type="dxa"/>
            <w:gridSpan w:val="3"/>
            <w:noWrap w:val="0"/>
            <w:vAlign w:val="center"/>
          </w:tcPr>
          <w:p>
            <w:pPr>
              <w:spacing w:line="360" w:lineRule="auto"/>
              <w:jc w:val="center"/>
              <w:rPr>
                <w:rFonts w:hint="eastAsia" w:ascii="宋体" w:hAnsi="宋体" w:cs="宋体"/>
                <w:color w:val="auto"/>
                <w:sz w:val="24"/>
                <w:highlight w:val="none"/>
              </w:rPr>
            </w:pPr>
          </w:p>
        </w:tc>
        <w:tc>
          <w:tcPr>
            <w:tcW w:w="920" w:type="dxa"/>
            <w:vMerge w:val="continue"/>
            <w:noWrap w:val="0"/>
            <w:vAlign w:val="center"/>
          </w:tcPr>
          <w:p>
            <w:pPr>
              <w:spacing w:line="360" w:lineRule="auto"/>
              <w:jc w:val="center"/>
              <w:rPr>
                <w:rFonts w:hint="eastAsia" w:ascii="宋体" w:hAnsi="宋体" w:cs="宋体"/>
                <w:color w:val="auto"/>
                <w:sz w:val="24"/>
                <w:highlight w:val="none"/>
              </w:rPr>
            </w:pPr>
          </w:p>
        </w:tc>
        <w:tc>
          <w:tcPr>
            <w:tcW w:w="2268" w:type="dxa"/>
            <w:gridSpan w:val="3"/>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其他人员</w:t>
            </w:r>
          </w:p>
        </w:tc>
        <w:tc>
          <w:tcPr>
            <w:tcW w:w="2428" w:type="dxa"/>
            <w:gridSpan w:val="2"/>
            <w:vMerge w:val="restart"/>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账号</w:t>
            </w:r>
          </w:p>
        </w:tc>
        <w:tc>
          <w:tcPr>
            <w:tcW w:w="2406" w:type="dxa"/>
            <w:gridSpan w:val="3"/>
            <w:noWrap w:val="0"/>
            <w:vAlign w:val="center"/>
          </w:tcPr>
          <w:p>
            <w:pPr>
              <w:spacing w:line="360" w:lineRule="auto"/>
              <w:jc w:val="center"/>
              <w:rPr>
                <w:rFonts w:hint="eastAsia" w:ascii="宋体" w:hAnsi="宋体" w:cs="宋体"/>
                <w:color w:val="auto"/>
                <w:sz w:val="24"/>
                <w:highlight w:val="none"/>
              </w:rPr>
            </w:pPr>
          </w:p>
        </w:tc>
        <w:tc>
          <w:tcPr>
            <w:tcW w:w="920" w:type="dxa"/>
            <w:vMerge w:val="continue"/>
            <w:noWrap w:val="0"/>
            <w:vAlign w:val="center"/>
          </w:tcPr>
          <w:p>
            <w:pPr>
              <w:spacing w:line="360" w:lineRule="auto"/>
              <w:jc w:val="center"/>
              <w:rPr>
                <w:rFonts w:hint="eastAsia" w:ascii="宋体" w:hAnsi="宋体" w:cs="宋体"/>
                <w:color w:val="auto"/>
                <w:sz w:val="24"/>
                <w:highlight w:val="none"/>
              </w:rPr>
            </w:pPr>
          </w:p>
        </w:tc>
        <w:tc>
          <w:tcPr>
            <w:tcW w:w="2268" w:type="dxa"/>
            <w:gridSpan w:val="3"/>
            <w:vMerge w:val="continue"/>
            <w:noWrap w:val="0"/>
            <w:vAlign w:val="center"/>
          </w:tcPr>
          <w:p>
            <w:pPr>
              <w:spacing w:line="360" w:lineRule="auto"/>
              <w:jc w:val="center"/>
              <w:rPr>
                <w:rFonts w:hint="eastAsia" w:ascii="宋体" w:hAnsi="宋体" w:cs="宋体"/>
                <w:color w:val="auto"/>
                <w:sz w:val="24"/>
                <w:highlight w:val="none"/>
              </w:rPr>
            </w:pPr>
          </w:p>
        </w:tc>
        <w:tc>
          <w:tcPr>
            <w:tcW w:w="2428" w:type="dxa"/>
            <w:gridSpan w:val="2"/>
            <w:vMerge w:val="continue"/>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经营范围</w:t>
            </w:r>
          </w:p>
        </w:tc>
        <w:tc>
          <w:tcPr>
            <w:tcW w:w="8022"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697"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8022" w:type="dxa"/>
            <w:gridSpan w:val="9"/>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备注：本表后应附企业法人营业执照等材料的复印件。</w:t>
      </w:r>
    </w:p>
    <w:p>
      <w:pPr>
        <w:pStyle w:val="8"/>
        <w:rPr>
          <w:rFonts w:hint="eastAsia" w:ascii="宋体" w:hAnsi="宋体" w:cs="宋体"/>
          <w:color w:val="auto"/>
          <w:sz w:val="24"/>
          <w:highlight w:val="none"/>
        </w:rPr>
      </w:pPr>
    </w:p>
    <w:p>
      <w:pPr>
        <w:pStyle w:val="9"/>
        <w:rPr>
          <w:rFonts w:hint="eastAsia"/>
          <w:color w:val="auto"/>
          <w:highlight w:val="none"/>
        </w:rPr>
      </w:pPr>
    </w:p>
    <w:p>
      <w:pPr>
        <w:numPr>
          <w:ilvl w:val="0"/>
          <w:numId w:val="0"/>
        </w:numPr>
        <w:autoSpaceDE w:val="0"/>
        <w:autoSpaceDN w:val="0"/>
        <w:adjustRightInd w:val="0"/>
        <w:snapToGrid w:val="0"/>
        <w:spacing w:line="360" w:lineRule="auto"/>
        <w:jc w:val="center"/>
        <w:outlineLvl w:val="1"/>
        <w:rPr>
          <w:rFonts w:hint="eastAsia" w:ascii="宋体" w:hAnsi="宋体" w:cs="宋体"/>
          <w:b/>
          <w:color w:val="auto"/>
          <w:kern w:val="0"/>
          <w:sz w:val="24"/>
          <w:highlight w:val="none"/>
          <w:lang w:val="en-US" w:eastAsia="zh-CN"/>
        </w:rPr>
        <w:sectPr>
          <w:pgSz w:w="11906" w:h="16838"/>
          <w:pgMar w:top="1372" w:right="1259" w:bottom="1372" w:left="1259" w:header="851" w:footer="992" w:gutter="0"/>
          <w:pgNumType w:fmt="decimal"/>
          <w:cols w:space="720" w:num="1"/>
          <w:docGrid w:type="lines" w:linePitch="312" w:charSpace="0"/>
        </w:sectPr>
      </w:pPr>
    </w:p>
    <w:p>
      <w:pPr>
        <w:tabs>
          <w:tab w:val="left" w:pos="720"/>
        </w:tabs>
        <w:autoSpaceDE w:val="0"/>
        <w:autoSpaceDN w:val="0"/>
        <w:adjustRightInd w:val="0"/>
        <w:spacing w:line="420" w:lineRule="exact"/>
        <w:ind w:left="720" w:firstLine="2670" w:firstLineChars="950"/>
        <w:jc w:val="left"/>
        <w:rPr>
          <w:rFonts w:ascii="宋体" w:hAnsi="宋体" w:cs="宋体"/>
          <w:b/>
          <w:bCs/>
          <w:color w:val="auto"/>
          <w:kern w:val="0"/>
          <w:sz w:val="28"/>
          <w:szCs w:val="28"/>
          <w:highlight w:val="none"/>
        </w:rPr>
      </w:pPr>
      <w:r>
        <w:rPr>
          <w:rFonts w:hint="eastAsia" w:ascii="宋体" w:hAnsi="宋体" w:cs="宋体"/>
          <w:b/>
          <w:bCs/>
          <w:color w:val="auto"/>
          <w:sz w:val="28"/>
          <w:szCs w:val="28"/>
          <w:highlight w:val="none"/>
          <w:lang w:val="en-US" w:eastAsia="zh-CN"/>
        </w:rPr>
        <w:t>6、</w:t>
      </w:r>
      <w:r>
        <w:rPr>
          <w:rFonts w:hint="eastAsia" w:ascii="宋体" w:hAnsi="宋体" w:cs="宋体"/>
          <w:b/>
          <w:bCs/>
          <w:color w:val="auto"/>
          <w:kern w:val="0"/>
          <w:sz w:val="28"/>
          <w:szCs w:val="28"/>
          <w:highlight w:val="none"/>
        </w:rPr>
        <w:t>项目管理机构组成表</w:t>
      </w:r>
    </w:p>
    <w:p>
      <w:pPr>
        <w:autoSpaceDE w:val="0"/>
        <w:autoSpaceDN w:val="0"/>
        <w:adjustRightInd w:val="0"/>
        <w:spacing w:line="420" w:lineRule="exact"/>
        <w:jc w:val="left"/>
        <w:rPr>
          <w:rFonts w:ascii="宋体" w:hAnsi="宋体" w:cs="宋体"/>
          <w:color w:val="auto"/>
          <w:kern w:val="0"/>
          <w:highlight w:val="none"/>
        </w:rPr>
      </w:pPr>
    </w:p>
    <w:tbl>
      <w:tblPr>
        <w:tblStyle w:val="1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5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trPr>
        <w:tc>
          <w:tcPr>
            <w:tcW w:w="655" w:type="dxa"/>
            <w:tcBorders>
              <w:bottom w:val="single" w:color="000000" w:sz="6" w:space="0"/>
              <w:right w:val="single" w:color="000000" w:sz="4"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559" w:type="dxa"/>
            <w:tcBorders>
              <w:left w:val="single" w:color="000000" w:sz="4" w:space="0"/>
              <w:bottom w:val="single" w:color="000000" w:sz="6" w:space="0"/>
              <w:right w:val="single" w:color="000000" w:sz="6"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姓名</w:t>
            </w:r>
          </w:p>
        </w:tc>
        <w:tc>
          <w:tcPr>
            <w:tcW w:w="851" w:type="dxa"/>
            <w:tcBorders>
              <w:left w:val="single" w:color="000000" w:sz="6" w:space="0"/>
              <w:bottom w:val="single" w:color="000000" w:sz="6" w:space="0"/>
              <w:right w:val="single" w:color="000000" w:sz="6"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年龄</w:t>
            </w:r>
          </w:p>
        </w:tc>
        <w:tc>
          <w:tcPr>
            <w:tcW w:w="850" w:type="dxa"/>
            <w:tcBorders>
              <w:left w:val="single" w:color="000000" w:sz="6" w:space="0"/>
              <w:bottom w:val="single" w:color="000000" w:sz="6" w:space="0"/>
              <w:right w:val="single" w:color="000000" w:sz="6"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性别</w:t>
            </w:r>
          </w:p>
        </w:tc>
        <w:tc>
          <w:tcPr>
            <w:tcW w:w="992" w:type="dxa"/>
            <w:tcBorders>
              <w:left w:val="single" w:color="000000" w:sz="6" w:space="0"/>
              <w:bottom w:val="single" w:color="000000" w:sz="6" w:space="0"/>
              <w:right w:val="single" w:color="000000" w:sz="6"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学历</w:t>
            </w:r>
          </w:p>
        </w:tc>
        <w:tc>
          <w:tcPr>
            <w:tcW w:w="1227" w:type="dxa"/>
            <w:tcBorders>
              <w:left w:val="single" w:color="000000" w:sz="6" w:space="0"/>
              <w:bottom w:val="single" w:color="000000" w:sz="6" w:space="0"/>
              <w:right w:val="single" w:color="000000" w:sz="6"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专业</w:t>
            </w:r>
          </w:p>
        </w:tc>
        <w:tc>
          <w:tcPr>
            <w:tcW w:w="1467" w:type="dxa"/>
            <w:tcBorders>
              <w:left w:val="single" w:color="000000" w:sz="6" w:space="0"/>
              <w:bottom w:val="single" w:color="000000" w:sz="6" w:space="0"/>
              <w:right w:val="single" w:color="000000" w:sz="6"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职称</w:t>
            </w:r>
          </w:p>
        </w:tc>
        <w:tc>
          <w:tcPr>
            <w:tcW w:w="1522" w:type="dxa"/>
            <w:tcBorders>
              <w:left w:val="single" w:color="000000" w:sz="6" w:space="0"/>
              <w:bottom w:val="single" w:color="000000" w:sz="6" w:space="0"/>
            </w:tcBorders>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在本项目</w:t>
            </w:r>
          </w:p>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81" w:hRule="atLeast"/>
        </w:trPr>
        <w:tc>
          <w:tcPr>
            <w:tcW w:w="655" w:type="dxa"/>
            <w:tcBorders>
              <w:top w:val="single" w:color="000000" w:sz="4" w:space="0"/>
              <w:bottom w:val="single" w:color="000000" w:sz="4"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4" w:space="0"/>
              <w:left w:val="single" w:color="000000" w:sz="4"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4" w:space="0"/>
              <w:left w:val="single" w:color="000000" w:sz="6" w:space="0"/>
              <w:bottom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4" w:space="0"/>
              <w:left w:val="single" w:color="000000" w:sz="4"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4" w:space="0"/>
              <w:left w:val="single" w:color="000000" w:sz="6" w:space="0"/>
              <w:bottom w:val="single" w:color="000000" w:sz="4"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4" w:space="0"/>
              <w:left w:val="single" w:color="000000" w:sz="6" w:space="0"/>
              <w:bottom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0" w:hRule="atLeast"/>
        </w:trPr>
        <w:tc>
          <w:tcPr>
            <w:tcW w:w="655" w:type="dxa"/>
            <w:tcBorders>
              <w:top w:val="single" w:color="000000" w:sz="4"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4"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4"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4"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3"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59" w:type="dxa"/>
            <w:tcBorders>
              <w:top w:val="single" w:color="000000" w:sz="6" w:space="0"/>
              <w:left w:val="single" w:color="000000" w:sz="4"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850"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992"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22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467"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c>
          <w:tcPr>
            <w:tcW w:w="1522" w:type="dxa"/>
            <w:tcBorders>
              <w:top w:val="single" w:color="000000" w:sz="6" w:space="0"/>
              <w:left w:val="single" w:color="000000" w:sz="6" w:space="0"/>
              <w:bottom w:val="single" w:color="000000" w:sz="6" w:space="0"/>
            </w:tcBorders>
            <w:vAlign w:val="center"/>
          </w:tcPr>
          <w:p>
            <w:pPr>
              <w:autoSpaceDE w:val="0"/>
              <w:autoSpaceDN w:val="0"/>
              <w:adjustRightInd w:val="0"/>
              <w:spacing w:line="420" w:lineRule="exact"/>
              <w:jc w:val="left"/>
              <w:rPr>
                <w:rFonts w:ascii="宋体" w:hAnsi="宋体" w:cs="宋体"/>
                <w:color w:val="auto"/>
                <w:kern w:val="0"/>
                <w:sz w:val="24"/>
                <w:highlight w:val="none"/>
              </w:rPr>
            </w:pPr>
          </w:p>
        </w:tc>
      </w:tr>
    </w:tbl>
    <w:p>
      <w:pPr>
        <w:spacing w:line="450" w:lineRule="atLeast"/>
        <w:rPr>
          <w:rFonts w:ascii="宋体" w:hAnsi="宋体" w:cs="宋体"/>
          <w:b/>
          <w:color w:val="auto"/>
          <w:spacing w:val="20"/>
          <w:sz w:val="32"/>
          <w:highlight w:val="none"/>
        </w:rPr>
      </w:pPr>
    </w:p>
    <w:p>
      <w:pPr>
        <w:spacing w:line="450" w:lineRule="atLeast"/>
        <w:jc w:val="left"/>
        <w:rPr>
          <w:rFonts w:ascii="宋体" w:hAnsi="宋体" w:cs="宋体"/>
          <w:color w:val="auto"/>
          <w:spacing w:val="20"/>
          <w:sz w:val="28"/>
          <w:szCs w:val="28"/>
          <w:highlight w:val="none"/>
        </w:rPr>
      </w:pPr>
      <w:r>
        <w:rPr>
          <w:rFonts w:hint="eastAsia" w:ascii="宋体" w:hAnsi="宋体" w:cs="宋体"/>
          <w:color w:val="auto"/>
          <w:spacing w:val="20"/>
          <w:sz w:val="28"/>
          <w:szCs w:val="28"/>
          <w:highlight w:val="none"/>
        </w:rPr>
        <w:t xml:space="preserve">投标单位（公章）： </w:t>
      </w:r>
    </w:p>
    <w:p>
      <w:pPr>
        <w:spacing w:line="450" w:lineRule="atLeast"/>
        <w:jc w:val="left"/>
        <w:rPr>
          <w:rFonts w:ascii="宋体" w:hAnsi="宋体" w:cs="宋体"/>
          <w:color w:val="auto"/>
          <w:spacing w:val="20"/>
          <w:sz w:val="28"/>
          <w:szCs w:val="28"/>
          <w:highlight w:val="none"/>
        </w:rPr>
      </w:pPr>
      <w:r>
        <w:rPr>
          <w:rFonts w:hint="eastAsia" w:ascii="宋体" w:hAnsi="宋体" w:cs="宋体"/>
          <w:color w:val="auto"/>
          <w:spacing w:val="20"/>
          <w:sz w:val="28"/>
          <w:szCs w:val="28"/>
          <w:highlight w:val="none"/>
        </w:rPr>
        <w:t>投标人代表(签字)：</w:t>
      </w:r>
    </w:p>
    <w:p>
      <w:pPr>
        <w:pStyle w:val="2"/>
        <w:rPr>
          <w:color w:val="auto"/>
          <w:highlight w:val="none"/>
        </w:rPr>
      </w:pPr>
    </w:p>
    <w:p>
      <w:pPr>
        <w:rPr>
          <w:rFonts w:ascii="宋体" w:hAnsi="宋体" w:cs="宋体"/>
          <w:color w:val="auto"/>
          <w:sz w:val="24"/>
          <w:highlight w:val="none"/>
        </w:rPr>
      </w:pPr>
      <w:r>
        <w:rPr>
          <w:rFonts w:hint="eastAsia" w:ascii="宋体" w:hAnsi="宋体" w:cs="宋体"/>
          <w:color w:val="auto"/>
          <w:sz w:val="24"/>
          <w:highlight w:val="none"/>
        </w:rPr>
        <w:br w:type="page"/>
      </w:r>
    </w:p>
    <w:p>
      <w:pPr>
        <w:tabs>
          <w:tab w:val="left" w:pos="720"/>
        </w:tabs>
        <w:autoSpaceDE w:val="0"/>
        <w:autoSpaceDN w:val="0"/>
        <w:adjustRightInd w:val="0"/>
        <w:spacing w:line="420" w:lineRule="exact"/>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7、拟投入项目负责人及主要人员简历表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姓 名</w:t>
            </w:r>
          </w:p>
        </w:tc>
        <w:tc>
          <w:tcPr>
            <w:tcW w:w="1551"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555"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年 龄</w:t>
            </w:r>
          </w:p>
        </w:tc>
        <w:tc>
          <w:tcPr>
            <w:tcW w:w="1552"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843"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学 历</w:t>
            </w:r>
          </w:p>
        </w:tc>
        <w:tc>
          <w:tcPr>
            <w:tcW w:w="1263"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职 称</w:t>
            </w:r>
          </w:p>
        </w:tc>
        <w:tc>
          <w:tcPr>
            <w:tcW w:w="1551"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555"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职 务</w:t>
            </w:r>
          </w:p>
        </w:tc>
        <w:tc>
          <w:tcPr>
            <w:tcW w:w="1552" w:type="dxa"/>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1843"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拟在本合同任职</w:t>
            </w:r>
          </w:p>
        </w:tc>
        <w:tc>
          <w:tcPr>
            <w:tcW w:w="1263" w:type="dxa"/>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毕业学校</w:t>
            </w:r>
          </w:p>
        </w:tc>
        <w:tc>
          <w:tcPr>
            <w:tcW w:w="7764" w:type="dxa"/>
            <w:gridSpan w:val="7"/>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年毕业于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学校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时 间</w:t>
            </w: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参加过的类似项目</w:t>
            </w: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担任职务</w:t>
            </w: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9"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28"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c>
          <w:tcPr>
            <w:tcW w:w="2330" w:type="dxa"/>
            <w:gridSpan w:val="2"/>
            <w:vAlign w:val="center"/>
          </w:tcPr>
          <w:p>
            <w:pPr>
              <w:autoSpaceDE w:val="0"/>
              <w:autoSpaceDN w:val="0"/>
              <w:adjustRightInd w:val="0"/>
              <w:spacing w:line="420" w:lineRule="exact"/>
              <w:jc w:val="center"/>
              <w:rPr>
                <w:rFonts w:ascii="宋体" w:hAnsi="宋体" w:cs="宋体"/>
                <w:color w:val="auto"/>
                <w:kern w:val="0"/>
                <w:sz w:val="24"/>
                <w:highlight w:val="none"/>
              </w:rPr>
            </w:pPr>
          </w:p>
        </w:tc>
      </w:tr>
    </w:tbl>
    <w:p>
      <w:pPr>
        <w:spacing w:line="450" w:lineRule="atLeast"/>
        <w:rPr>
          <w:rFonts w:ascii="宋体" w:hAnsi="宋体" w:cs="宋体"/>
          <w:color w:val="auto"/>
          <w:sz w:val="24"/>
          <w:highlight w:val="none"/>
        </w:rPr>
      </w:pPr>
    </w:p>
    <w:p>
      <w:pPr>
        <w:spacing w:line="450" w:lineRule="atLeast"/>
        <w:rPr>
          <w:rFonts w:ascii="宋体" w:hAnsi="宋体" w:cs="宋体"/>
          <w:color w:val="auto"/>
          <w:sz w:val="24"/>
          <w:highlight w:val="none"/>
        </w:rPr>
      </w:pPr>
    </w:p>
    <w:p>
      <w:pPr>
        <w:spacing w:line="450" w:lineRule="atLeast"/>
        <w:jc w:val="center"/>
        <w:rPr>
          <w:rFonts w:ascii="宋体" w:hAnsi="宋体" w:cs="宋体"/>
          <w:color w:val="auto"/>
          <w:sz w:val="24"/>
          <w:highlight w:val="none"/>
        </w:rPr>
      </w:pPr>
      <w:r>
        <w:rPr>
          <w:rFonts w:hint="eastAsia" w:ascii="宋体" w:hAnsi="宋体" w:cs="宋体"/>
          <w:color w:val="auto"/>
          <w:sz w:val="24"/>
          <w:highlight w:val="none"/>
        </w:rPr>
        <w:t xml:space="preserve">     投标人（盖章）：</w:t>
      </w:r>
    </w:p>
    <w:p>
      <w:pPr>
        <w:spacing w:line="450" w:lineRule="atLeast"/>
        <w:jc w:val="center"/>
        <w:rPr>
          <w:rFonts w:ascii="宋体" w:hAnsi="宋体" w:cs="宋体"/>
          <w:color w:val="auto"/>
          <w:sz w:val="24"/>
          <w:highlight w:val="none"/>
        </w:rPr>
      </w:pPr>
      <w:r>
        <w:rPr>
          <w:rFonts w:hint="eastAsia" w:ascii="宋体" w:hAnsi="宋体" w:cs="宋体"/>
          <w:color w:val="auto"/>
          <w:sz w:val="24"/>
          <w:highlight w:val="none"/>
        </w:rPr>
        <w:t xml:space="preserve">                        法定代表人（或委托代理人）（签字）：</w:t>
      </w:r>
    </w:p>
    <w:p>
      <w:pPr>
        <w:spacing w:line="450" w:lineRule="atLeas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spacing w:line="450" w:lineRule="atLeast"/>
        <w:rPr>
          <w:rFonts w:ascii="宋体" w:hAnsi="宋体" w:cs="宋体"/>
          <w:color w:val="auto"/>
          <w:sz w:val="24"/>
          <w:highlight w:val="none"/>
        </w:rPr>
      </w:pPr>
    </w:p>
    <w:p>
      <w:pPr>
        <w:pStyle w:val="10"/>
        <w:rPr>
          <w:rFonts w:ascii="宋体" w:hAnsi="宋体" w:cs="宋体"/>
          <w:color w:val="auto"/>
          <w:sz w:val="24"/>
          <w:highlight w:val="none"/>
        </w:rPr>
      </w:pPr>
    </w:p>
    <w:p>
      <w:pPr>
        <w:rPr>
          <w:rFonts w:ascii="宋体" w:hAnsi="宋体" w:cs="宋体"/>
          <w:color w:val="auto"/>
          <w:sz w:val="24"/>
          <w:highlight w:val="none"/>
        </w:rPr>
      </w:pPr>
    </w:p>
    <w:p>
      <w:pPr>
        <w:numPr>
          <w:ilvl w:val="0"/>
          <w:numId w:val="0"/>
        </w:numPr>
        <w:autoSpaceDE w:val="0"/>
        <w:autoSpaceDN w:val="0"/>
        <w:adjustRightInd w:val="0"/>
        <w:snapToGrid w:val="0"/>
        <w:spacing w:line="360" w:lineRule="auto"/>
        <w:jc w:val="center"/>
        <w:outlineLvl w:val="1"/>
        <w:rPr>
          <w:rFonts w:hint="eastAsia" w:ascii="宋体" w:hAnsi="宋体" w:cs="宋体"/>
          <w:b/>
          <w:color w:val="auto"/>
          <w:kern w:val="0"/>
          <w:sz w:val="24"/>
          <w:highlight w:val="none"/>
          <w:lang w:val="en-US" w:eastAsia="zh-CN"/>
        </w:rPr>
        <w:sectPr>
          <w:pgSz w:w="11906" w:h="16838"/>
          <w:pgMar w:top="1372" w:right="1259" w:bottom="1372" w:left="1259" w:header="851" w:footer="992" w:gutter="0"/>
          <w:pgNumType w:fmt="decimal"/>
          <w:cols w:space="720" w:num="1"/>
          <w:docGrid w:type="lines" w:linePitch="312" w:charSpace="0"/>
        </w:sectPr>
      </w:pPr>
    </w:p>
    <w:p>
      <w:pPr>
        <w:widowControl/>
        <w:jc w:val="center"/>
        <w:rPr>
          <w:rFonts w:hint="eastAsia" w:ascii="宋体" w:hAnsi="宋体" w:cs="宋体"/>
          <w:b/>
          <w:color w:val="auto"/>
          <w:kern w:val="0"/>
          <w:sz w:val="28"/>
          <w:szCs w:val="28"/>
          <w:highlight w:val="none"/>
          <w:lang w:bidi="ar"/>
        </w:rPr>
      </w:pPr>
      <w:r>
        <w:rPr>
          <w:rFonts w:hint="eastAsia" w:ascii="宋体" w:hAnsi="宋体" w:cs="宋体"/>
          <w:b/>
          <w:color w:val="auto"/>
          <w:kern w:val="0"/>
          <w:sz w:val="28"/>
          <w:szCs w:val="28"/>
          <w:highlight w:val="none"/>
          <w:lang w:val="en-US" w:eastAsia="zh-CN" w:bidi="ar"/>
        </w:rPr>
        <w:t>8、</w:t>
      </w:r>
      <w:r>
        <w:rPr>
          <w:rFonts w:hint="eastAsia" w:ascii="宋体" w:hAnsi="宋体" w:cs="宋体"/>
          <w:b/>
          <w:color w:val="auto"/>
          <w:kern w:val="0"/>
          <w:sz w:val="28"/>
          <w:szCs w:val="28"/>
          <w:highlight w:val="none"/>
          <w:lang w:bidi="ar"/>
        </w:rPr>
        <w:t>中小企业声明函（服务）</w:t>
      </w:r>
    </w:p>
    <w:p>
      <w:pPr>
        <w:rPr>
          <w:color w:val="auto"/>
          <w:sz w:val="24"/>
          <w:highlight w:val="none"/>
        </w:rPr>
      </w:pPr>
      <w:r>
        <w:rPr>
          <w:rFonts w:hint="eastAsia"/>
          <w:color w:val="auto"/>
          <w:sz w:val="24"/>
          <w:highlight w:val="none"/>
        </w:rPr>
        <w:t xml:space="preserve"> </w:t>
      </w:r>
    </w:p>
    <w:p>
      <w:pPr>
        <w:spacing w:line="360" w:lineRule="auto"/>
        <w:ind w:firstLine="480" w:firstLineChars="200"/>
        <w:rPr>
          <w:color w:val="auto"/>
          <w:sz w:val="24"/>
          <w:highlight w:val="none"/>
        </w:rPr>
      </w:pPr>
      <w:r>
        <w:rPr>
          <w:rFonts w:hint="eastAsia"/>
          <w:color w:val="auto"/>
          <w:sz w:val="24"/>
          <w:highlight w:val="none"/>
        </w:rPr>
        <w:t>本公司（联合体）郑重声明，根据《政府采购促进中小企业发展管理办法》（财库〔2020〕[2020]46号）的规定，本公司（联合体）参加</w:t>
      </w:r>
      <w:r>
        <w:rPr>
          <w:rFonts w:hint="eastAsia"/>
          <w:color w:val="auto"/>
          <w:sz w:val="24"/>
          <w:highlight w:val="none"/>
          <w:u w:val="single"/>
        </w:rPr>
        <w:t>（单位名称）</w:t>
      </w:r>
      <w:r>
        <w:rPr>
          <w:rFonts w:hint="eastAsia"/>
          <w:color w:val="auto"/>
          <w:sz w:val="24"/>
          <w:highlight w:val="none"/>
        </w:rPr>
        <w:t>的</w:t>
      </w:r>
      <w:r>
        <w:rPr>
          <w:rFonts w:hint="eastAsia"/>
          <w:color w:val="auto"/>
          <w:sz w:val="24"/>
          <w:highlight w:val="none"/>
          <w:u w:val="single"/>
        </w:rPr>
        <w:t>（项目名称）</w:t>
      </w:r>
      <w:r>
        <w:rPr>
          <w:rFonts w:hint="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auto"/>
          <w:sz w:val="24"/>
          <w:highlight w:val="none"/>
        </w:rPr>
      </w:pPr>
      <w:r>
        <w:rPr>
          <w:rFonts w:hint="eastAsia"/>
          <w:color w:val="auto"/>
          <w:sz w:val="24"/>
          <w:highlight w:val="none"/>
        </w:rPr>
        <w:t>1.</w:t>
      </w:r>
      <w:r>
        <w:rPr>
          <w:rFonts w:hint="eastAsia"/>
          <w:color w:val="auto"/>
          <w:sz w:val="24"/>
          <w:highlight w:val="none"/>
          <w:u w:val="single"/>
        </w:rPr>
        <w:t>（标的名称）</w:t>
      </w:r>
      <w:r>
        <w:rPr>
          <w:rFonts w:hint="eastAsia"/>
          <w:color w:val="auto"/>
          <w:sz w:val="24"/>
          <w:highlight w:val="none"/>
        </w:rPr>
        <w:t>，属于</w:t>
      </w:r>
      <w:r>
        <w:rPr>
          <w:rFonts w:hint="eastAsia"/>
          <w:color w:val="auto"/>
          <w:sz w:val="24"/>
          <w:highlight w:val="none"/>
          <w:u w:val="single"/>
        </w:rPr>
        <w:t>（采购文件中明确的所属行业）</w:t>
      </w:r>
      <w:r>
        <w:rPr>
          <w:rFonts w:hint="eastAsia"/>
          <w:color w:val="auto"/>
          <w:sz w:val="24"/>
          <w:highlight w:val="none"/>
        </w:rPr>
        <w:t>；承建（承接）企业为</w:t>
      </w:r>
      <w:r>
        <w:rPr>
          <w:rFonts w:hint="eastAsia"/>
          <w:color w:val="auto"/>
          <w:sz w:val="24"/>
          <w:highlight w:val="none"/>
          <w:u w:val="single"/>
        </w:rPr>
        <w:t>（企业名称）</w:t>
      </w:r>
      <w:r>
        <w:rPr>
          <w:rFonts w:hint="eastAsia"/>
          <w:color w:val="auto"/>
          <w:sz w:val="24"/>
          <w:highlight w:val="none"/>
        </w:rPr>
        <w:t>，从业人员</w:t>
      </w:r>
      <w:r>
        <w:rPr>
          <w:rFonts w:hint="eastAsia"/>
          <w:color w:val="auto"/>
          <w:sz w:val="24"/>
          <w:highlight w:val="none"/>
          <w:u w:val="single"/>
        </w:rPr>
        <w:t xml:space="preserve">  </w:t>
      </w:r>
      <w:r>
        <w:rPr>
          <w:rFonts w:hint="eastAsia"/>
          <w:color w:val="auto"/>
          <w:sz w:val="24"/>
          <w:highlight w:val="none"/>
        </w:rPr>
        <w:t>人，营业收入为</w:t>
      </w:r>
      <w:r>
        <w:rPr>
          <w:rFonts w:hint="eastAsia"/>
          <w:color w:val="auto"/>
          <w:sz w:val="24"/>
          <w:highlight w:val="none"/>
          <w:u w:val="single"/>
        </w:rPr>
        <w:t xml:space="preserve">  </w:t>
      </w:r>
      <w:r>
        <w:rPr>
          <w:rFonts w:hint="eastAsia"/>
          <w:color w:val="auto"/>
          <w:sz w:val="24"/>
          <w:highlight w:val="none"/>
        </w:rPr>
        <w:t>万元，资产总额为</w:t>
      </w:r>
      <w:r>
        <w:rPr>
          <w:rFonts w:hint="eastAsia"/>
          <w:color w:val="auto"/>
          <w:sz w:val="24"/>
          <w:highlight w:val="none"/>
          <w:u w:val="single"/>
        </w:rPr>
        <w:t xml:space="preserve">  </w:t>
      </w:r>
      <w:r>
        <w:rPr>
          <w:rFonts w:hint="eastAsia"/>
          <w:color w:val="auto"/>
          <w:sz w:val="24"/>
          <w:highlight w:val="none"/>
        </w:rPr>
        <w:t>万元，属于</w:t>
      </w:r>
      <w:r>
        <w:rPr>
          <w:rFonts w:hint="eastAsia"/>
          <w:color w:val="auto"/>
          <w:sz w:val="24"/>
          <w:highlight w:val="none"/>
          <w:u w:val="single"/>
        </w:rPr>
        <w:t>（中型企业、小型企业、微型企业）</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 xml:space="preserve">2. </w:t>
      </w:r>
      <w:r>
        <w:rPr>
          <w:rFonts w:hint="eastAsia"/>
          <w:color w:val="auto"/>
          <w:sz w:val="24"/>
          <w:highlight w:val="none"/>
          <w:u w:val="single"/>
        </w:rPr>
        <w:t>（标的名称）</w:t>
      </w:r>
      <w:r>
        <w:rPr>
          <w:rFonts w:hint="eastAsia"/>
          <w:color w:val="auto"/>
          <w:sz w:val="24"/>
          <w:highlight w:val="none"/>
        </w:rPr>
        <w:t>，属于</w:t>
      </w:r>
      <w:r>
        <w:rPr>
          <w:rFonts w:hint="eastAsia"/>
          <w:color w:val="auto"/>
          <w:sz w:val="24"/>
          <w:highlight w:val="none"/>
          <w:u w:val="single"/>
        </w:rPr>
        <w:t>（采购文件中明确的所属行业）</w:t>
      </w:r>
      <w:r>
        <w:rPr>
          <w:rFonts w:hint="eastAsia"/>
          <w:color w:val="auto"/>
          <w:sz w:val="24"/>
          <w:highlight w:val="none"/>
        </w:rPr>
        <w:t>；承建（承接）企业为</w:t>
      </w:r>
      <w:r>
        <w:rPr>
          <w:rFonts w:hint="eastAsia"/>
          <w:color w:val="auto"/>
          <w:sz w:val="24"/>
          <w:highlight w:val="none"/>
          <w:u w:val="single"/>
        </w:rPr>
        <w:t>（企业名称）</w:t>
      </w:r>
      <w:r>
        <w:rPr>
          <w:rFonts w:hint="eastAsia"/>
          <w:color w:val="auto"/>
          <w:sz w:val="24"/>
          <w:highlight w:val="none"/>
        </w:rPr>
        <w:t>，从业人员</w:t>
      </w:r>
      <w:r>
        <w:rPr>
          <w:rFonts w:hint="eastAsia"/>
          <w:color w:val="auto"/>
          <w:sz w:val="24"/>
          <w:highlight w:val="none"/>
          <w:u w:val="single"/>
        </w:rPr>
        <w:t xml:space="preserve">  </w:t>
      </w:r>
      <w:r>
        <w:rPr>
          <w:rFonts w:hint="eastAsia"/>
          <w:color w:val="auto"/>
          <w:sz w:val="24"/>
          <w:highlight w:val="none"/>
        </w:rPr>
        <w:t>人，营业收入为</w:t>
      </w:r>
      <w:r>
        <w:rPr>
          <w:rFonts w:hint="eastAsia"/>
          <w:color w:val="auto"/>
          <w:sz w:val="24"/>
          <w:highlight w:val="none"/>
          <w:u w:val="single"/>
        </w:rPr>
        <w:t xml:space="preserve">  </w:t>
      </w:r>
      <w:r>
        <w:rPr>
          <w:rFonts w:hint="eastAsia"/>
          <w:color w:val="auto"/>
          <w:sz w:val="24"/>
          <w:highlight w:val="none"/>
        </w:rPr>
        <w:t>万元，资产总额为</w:t>
      </w:r>
      <w:r>
        <w:rPr>
          <w:rFonts w:hint="eastAsia"/>
          <w:color w:val="auto"/>
          <w:sz w:val="24"/>
          <w:highlight w:val="none"/>
          <w:u w:val="single"/>
        </w:rPr>
        <w:t xml:space="preserve">  </w:t>
      </w:r>
      <w:r>
        <w:rPr>
          <w:rFonts w:hint="eastAsia"/>
          <w:color w:val="auto"/>
          <w:sz w:val="24"/>
          <w:highlight w:val="none"/>
        </w:rPr>
        <w:t>万元，属于</w:t>
      </w:r>
      <w:r>
        <w:rPr>
          <w:rFonts w:hint="eastAsia"/>
          <w:color w:val="auto"/>
          <w:sz w:val="24"/>
          <w:highlight w:val="none"/>
          <w:u w:val="single"/>
        </w:rPr>
        <w:t>（中型企业、小型企业、微型企业）</w:t>
      </w:r>
      <w:r>
        <w:rPr>
          <w:rFonts w:hint="eastAsia"/>
          <w:color w:val="auto"/>
          <w:sz w:val="24"/>
          <w:highlight w:val="none"/>
        </w:rPr>
        <w:t>；</w:t>
      </w:r>
    </w:p>
    <w:p>
      <w:pPr>
        <w:spacing w:line="360" w:lineRule="auto"/>
        <w:rPr>
          <w:color w:val="auto"/>
          <w:sz w:val="24"/>
          <w:highlight w:val="none"/>
        </w:rPr>
      </w:pPr>
      <w:r>
        <w:rPr>
          <w:rFonts w:hint="eastAsia"/>
          <w:color w:val="auto"/>
          <w:sz w:val="24"/>
          <w:highlight w:val="none"/>
        </w:rPr>
        <w:t>……</w:t>
      </w:r>
    </w:p>
    <w:p>
      <w:pPr>
        <w:spacing w:line="360" w:lineRule="auto"/>
        <w:rPr>
          <w:color w:val="auto"/>
          <w:sz w:val="24"/>
          <w:highlight w:val="none"/>
        </w:rPr>
      </w:pPr>
      <w:r>
        <w:rPr>
          <w:rFonts w:hint="eastAsia"/>
          <w:color w:val="auto"/>
          <w:sz w:val="24"/>
          <w:highlight w:val="none"/>
        </w:rPr>
        <w:t>以上企业，不属于大企业的分支机构，不存在控股股东为大企业的情形，也不存在与大企业的负责人为同一人的情形。</w:t>
      </w:r>
    </w:p>
    <w:p>
      <w:pPr>
        <w:spacing w:line="360" w:lineRule="auto"/>
        <w:rPr>
          <w:color w:val="auto"/>
          <w:sz w:val="24"/>
          <w:highlight w:val="none"/>
        </w:rPr>
      </w:pPr>
      <w:r>
        <w:rPr>
          <w:rFonts w:hint="eastAsia"/>
          <w:color w:val="auto"/>
          <w:sz w:val="24"/>
          <w:highlight w:val="none"/>
        </w:rPr>
        <w:t>本企业对上述声明内容的真实性负责。如有虚假，将依法承担相应责任。</w:t>
      </w:r>
    </w:p>
    <w:p>
      <w:pPr>
        <w:spacing w:line="360" w:lineRule="auto"/>
        <w:rPr>
          <w:color w:val="auto"/>
          <w:sz w:val="24"/>
          <w:highlight w:val="none"/>
        </w:rPr>
      </w:pPr>
      <w:r>
        <w:rPr>
          <w:rFonts w:hint="eastAsia"/>
          <w:color w:val="auto"/>
          <w:sz w:val="24"/>
          <w:highlight w:val="none"/>
        </w:rPr>
        <w:t xml:space="preserve">                     </w:t>
      </w:r>
    </w:p>
    <w:p>
      <w:pPr>
        <w:spacing w:line="360" w:lineRule="auto"/>
        <w:ind w:firstLine="4800" w:firstLineChars="2000"/>
        <w:rPr>
          <w:color w:val="auto"/>
          <w:sz w:val="24"/>
          <w:highlight w:val="none"/>
        </w:rPr>
      </w:pPr>
      <w:r>
        <w:rPr>
          <w:rFonts w:hint="eastAsia"/>
          <w:color w:val="auto"/>
          <w:sz w:val="24"/>
          <w:highlight w:val="none"/>
        </w:rPr>
        <w:t xml:space="preserve"> 企业名称（盖章）：                         </w:t>
      </w:r>
    </w:p>
    <w:p>
      <w:pPr>
        <w:spacing w:line="360" w:lineRule="auto"/>
        <w:rPr>
          <w:color w:val="auto"/>
          <w:sz w:val="24"/>
          <w:highlight w:val="none"/>
        </w:rPr>
      </w:pPr>
      <w:r>
        <w:rPr>
          <w:rFonts w:hint="eastAsia"/>
          <w:color w:val="auto"/>
          <w:sz w:val="24"/>
          <w:highlight w:val="none"/>
        </w:rPr>
        <w:t xml:space="preserve">                                               日期：                     </w:t>
      </w:r>
    </w:p>
    <w:p>
      <w:pPr>
        <w:rPr>
          <w:color w:val="auto"/>
          <w:sz w:val="24"/>
          <w:highlight w:val="none"/>
        </w:rPr>
      </w:pPr>
    </w:p>
    <w:p>
      <w:pPr>
        <w:pStyle w:val="10"/>
        <w:rPr>
          <w:rFonts w:ascii="宋体" w:hAnsi="宋体" w:cs="宋体"/>
          <w:color w:val="auto"/>
          <w:kern w:val="0"/>
          <w:sz w:val="24"/>
          <w:highlight w:val="none"/>
          <w:lang w:bidi="ar"/>
        </w:rPr>
      </w:pPr>
    </w:p>
    <w:p>
      <w:pPr>
        <w:pStyle w:val="10"/>
        <w:rPr>
          <w:rFonts w:ascii="宋体" w:hAnsi="宋体" w:cs="宋体"/>
          <w:color w:val="auto"/>
          <w:kern w:val="0"/>
          <w:sz w:val="24"/>
          <w:highlight w:val="none"/>
          <w:lang w:bidi="ar"/>
        </w:rPr>
      </w:pPr>
    </w:p>
    <w:p>
      <w:pPr>
        <w:rPr>
          <w:rFonts w:ascii="宋体" w:hAnsi="宋体" w:cs="宋体"/>
          <w:color w:val="auto"/>
          <w:kern w:val="0"/>
          <w:sz w:val="24"/>
          <w:highlight w:val="none"/>
          <w:lang w:bidi="ar"/>
        </w:rPr>
      </w:pPr>
    </w:p>
    <w:p>
      <w:pPr>
        <w:pStyle w:val="2"/>
        <w:rPr>
          <w:rFonts w:hAnsi="宋体"/>
          <w:color w:val="auto"/>
          <w:kern w:val="0"/>
          <w:highlight w:val="none"/>
          <w:lang w:bidi="ar"/>
        </w:rPr>
      </w:pPr>
    </w:p>
    <w:p>
      <w:pPr>
        <w:pStyle w:val="2"/>
        <w:rPr>
          <w:rFonts w:hAnsi="宋体"/>
          <w:color w:val="auto"/>
          <w:kern w:val="0"/>
          <w:highlight w:val="none"/>
          <w:lang w:bidi="ar"/>
        </w:rPr>
      </w:pPr>
    </w:p>
    <w:p>
      <w:pPr>
        <w:pStyle w:val="2"/>
        <w:rPr>
          <w:rFonts w:hAnsi="宋体"/>
          <w:color w:val="auto"/>
          <w:kern w:val="0"/>
          <w:highlight w:val="none"/>
          <w:lang w:bidi="ar"/>
        </w:rPr>
      </w:pPr>
    </w:p>
    <w:p>
      <w:pPr>
        <w:pStyle w:val="2"/>
        <w:rPr>
          <w:rFonts w:hAnsi="宋体"/>
          <w:color w:val="auto"/>
          <w:kern w:val="0"/>
          <w:highlight w:val="none"/>
          <w:lang w:bidi="ar"/>
        </w:rPr>
      </w:pPr>
    </w:p>
    <w:p>
      <w:pPr>
        <w:rPr>
          <w:rFonts w:ascii="宋体" w:hAnsi="宋体" w:cs="宋体"/>
          <w:color w:val="auto"/>
          <w:kern w:val="0"/>
          <w:sz w:val="24"/>
          <w:highlight w:val="none"/>
          <w:lang w:bidi="ar"/>
        </w:rPr>
      </w:pPr>
      <w:r>
        <w:rPr>
          <w:rFonts w:hint="eastAsia" w:ascii="宋体" w:hAnsi="宋体" w:cs="宋体"/>
          <w:color w:val="auto"/>
          <w:kern w:val="0"/>
          <w:sz w:val="24"/>
          <w:highlight w:val="none"/>
          <w:lang w:bidi="ar"/>
        </w:rPr>
        <w:br w:type="page"/>
      </w:r>
    </w:p>
    <w:p>
      <w:pPr>
        <w:pStyle w:val="2"/>
        <w:jc w:val="center"/>
        <w:rPr>
          <w:rFonts w:hAnsi="宋体"/>
          <w:color w:val="auto"/>
          <w:kern w:val="0"/>
          <w:sz w:val="28"/>
          <w:szCs w:val="28"/>
          <w:highlight w:val="none"/>
          <w:lang w:bidi="ar"/>
        </w:rPr>
      </w:pPr>
      <w:r>
        <w:rPr>
          <w:rFonts w:hint="eastAsia" w:hAnsi="宋体"/>
          <w:color w:val="auto"/>
          <w:kern w:val="0"/>
          <w:sz w:val="28"/>
          <w:szCs w:val="28"/>
          <w:highlight w:val="none"/>
          <w:lang w:val="en-US" w:eastAsia="zh-CN" w:bidi="ar"/>
        </w:rPr>
        <w:t>9、</w:t>
      </w:r>
      <w:r>
        <w:rPr>
          <w:rFonts w:hint="eastAsia" w:hAnsi="宋体"/>
          <w:color w:val="auto"/>
          <w:kern w:val="0"/>
          <w:sz w:val="28"/>
          <w:szCs w:val="28"/>
          <w:highlight w:val="none"/>
          <w:lang w:bidi="ar"/>
        </w:rPr>
        <w:t>其他资料</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pgSz w:w="11906" w:h="16838"/>
      <w:pgMar w:top="1372" w:right="1259" w:bottom="1372" w:left="125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27</w:t>
    </w:r>
    <w:r>
      <w:fldChar w:fldCharType="end"/>
    </w:r>
  </w:p>
  <w:p>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95B"/>
    <w:multiLevelType w:val="singleLevel"/>
    <w:tmpl w:val="9F27495B"/>
    <w:lvl w:ilvl="0" w:tentative="0">
      <w:start w:val="3"/>
      <w:numFmt w:val="decimal"/>
      <w:lvlText w:val="%1."/>
      <w:lvlJc w:val="left"/>
      <w:pPr>
        <w:tabs>
          <w:tab w:val="left" w:pos="312"/>
        </w:tabs>
      </w:pPr>
    </w:lvl>
  </w:abstractNum>
  <w:abstractNum w:abstractNumId="1">
    <w:nsid w:val="C65F2469"/>
    <w:multiLevelType w:val="singleLevel"/>
    <w:tmpl w:val="C65F2469"/>
    <w:lvl w:ilvl="0" w:tentative="0">
      <w:start w:val="1"/>
      <w:numFmt w:val="chineseCounting"/>
      <w:suff w:val="space"/>
      <w:lvlText w:val="第%1章"/>
      <w:lvlJc w:val="left"/>
      <w:rPr>
        <w:rFonts w:hint="eastAsia"/>
      </w:rPr>
    </w:lvl>
  </w:abstractNum>
  <w:abstractNum w:abstractNumId="2">
    <w:nsid w:val="EE8CF652"/>
    <w:multiLevelType w:val="singleLevel"/>
    <w:tmpl w:val="EE8CF652"/>
    <w:lvl w:ilvl="0" w:tentative="0">
      <w:start w:val="7"/>
      <w:numFmt w:val="chineseCounting"/>
      <w:suff w:val="nothing"/>
      <w:lvlText w:val="%1、"/>
      <w:lvlJc w:val="left"/>
      <w:rPr>
        <w:rFonts w:hint="eastAsia"/>
      </w:rPr>
    </w:lvl>
  </w:abstractNum>
  <w:abstractNum w:abstractNumId="3">
    <w:nsid w:val="110A591B"/>
    <w:multiLevelType w:val="multilevel"/>
    <w:tmpl w:val="110A591B"/>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A4DA6B9"/>
    <w:multiLevelType w:val="singleLevel"/>
    <w:tmpl w:val="1A4DA6B9"/>
    <w:lvl w:ilvl="0" w:tentative="0">
      <w:start w:val="1"/>
      <w:numFmt w:val="decimal"/>
      <w:lvlText w:val="%1."/>
      <w:lvlJc w:val="left"/>
      <w:pPr>
        <w:tabs>
          <w:tab w:val="left" w:pos="312"/>
        </w:tabs>
      </w:pPr>
    </w:lvl>
  </w:abstractNum>
  <w:abstractNum w:abstractNumId="5">
    <w:nsid w:val="501CD0D1"/>
    <w:multiLevelType w:val="singleLevel"/>
    <w:tmpl w:val="501CD0D1"/>
    <w:lvl w:ilvl="0" w:tentative="0">
      <w:start w:val="2"/>
      <w:numFmt w:val="decimal"/>
      <w:suff w:val="nothing"/>
      <w:lvlText w:val="%1、"/>
      <w:lvlJc w:val="left"/>
    </w:lvl>
  </w:abstractNum>
  <w:abstractNum w:abstractNumId="6">
    <w:nsid w:val="7B16F3DF"/>
    <w:multiLevelType w:val="singleLevel"/>
    <w:tmpl w:val="7B16F3DF"/>
    <w:lvl w:ilvl="0" w:tentative="0">
      <w:start w:val="4"/>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dit="forms" w:enforcement="1" w:cryptProviderType="rsaFull" w:cryptAlgorithmClass="hash" w:cryptAlgorithmType="typeAny" w:cryptAlgorithmSid="4" w:cryptSpinCount="0" w:hash="MJz8ngiItVrR2L+XJnw981da9Yw=" w:salt="fyIk1KunK4NQuhdp50dxJ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ODUwN2YzMzMyYzVjYWJkODM2ZmM0ZGE0YzU2MDUifQ=="/>
  </w:docVars>
  <w:rsids>
    <w:rsidRoot w:val="3BD307D7"/>
    <w:rsid w:val="00064690"/>
    <w:rsid w:val="002E2F5C"/>
    <w:rsid w:val="003B4CEB"/>
    <w:rsid w:val="004050E9"/>
    <w:rsid w:val="00635E22"/>
    <w:rsid w:val="007E10AB"/>
    <w:rsid w:val="00861BDC"/>
    <w:rsid w:val="008A0FCE"/>
    <w:rsid w:val="00B17732"/>
    <w:rsid w:val="00E32708"/>
    <w:rsid w:val="03870B69"/>
    <w:rsid w:val="03B90475"/>
    <w:rsid w:val="06534330"/>
    <w:rsid w:val="0F38307A"/>
    <w:rsid w:val="10BC738E"/>
    <w:rsid w:val="133A2304"/>
    <w:rsid w:val="15371821"/>
    <w:rsid w:val="15A36F16"/>
    <w:rsid w:val="1A84515B"/>
    <w:rsid w:val="1B8B0524"/>
    <w:rsid w:val="1CA11C49"/>
    <w:rsid w:val="1E1A41F4"/>
    <w:rsid w:val="2228748E"/>
    <w:rsid w:val="22E07C67"/>
    <w:rsid w:val="26047A90"/>
    <w:rsid w:val="2617703A"/>
    <w:rsid w:val="2AD90083"/>
    <w:rsid w:val="2B2067D5"/>
    <w:rsid w:val="2B8471E7"/>
    <w:rsid w:val="2BB1000F"/>
    <w:rsid w:val="2CB97E70"/>
    <w:rsid w:val="2DA853C9"/>
    <w:rsid w:val="2EF66CCE"/>
    <w:rsid w:val="2FB26BB9"/>
    <w:rsid w:val="332F7147"/>
    <w:rsid w:val="351F7439"/>
    <w:rsid w:val="36DA325F"/>
    <w:rsid w:val="3713360B"/>
    <w:rsid w:val="392E665A"/>
    <w:rsid w:val="3BD307D7"/>
    <w:rsid w:val="3E881CED"/>
    <w:rsid w:val="3FC11E6D"/>
    <w:rsid w:val="42324973"/>
    <w:rsid w:val="427D588E"/>
    <w:rsid w:val="43A02070"/>
    <w:rsid w:val="44957F1E"/>
    <w:rsid w:val="44A67D99"/>
    <w:rsid w:val="47826B3D"/>
    <w:rsid w:val="47EA5257"/>
    <w:rsid w:val="48E75F24"/>
    <w:rsid w:val="499921D9"/>
    <w:rsid w:val="4A9A1F6C"/>
    <w:rsid w:val="4B765BE1"/>
    <w:rsid w:val="4B8828A4"/>
    <w:rsid w:val="4D5D3850"/>
    <w:rsid w:val="4ECA1776"/>
    <w:rsid w:val="4ECD5682"/>
    <w:rsid w:val="510B737C"/>
    <w:rsid w:val="516712ED"/>
    <w:rsid w:val="52E90839"/>
    <w:rsid w:val="52FF608E"/>
    <w:rsid w:val="532D6CA9"/>
    <w:rsid w:val="5392742E"/>
    <w:rsid w:val="54166AF9"/>
    <w:rsid w:val="54520334"/>
    <w:rsid w:val="553E0D3D"/>
    <w:rsid w:val="555C490D"/>
    <w:rsid w:val="58A6617D"/>
    <w:rsid w:val="59E07ADE"/>
    <w:rsid w:val="59EB5196"/>
    <w:rsid w:val="5A262684"/>
    <w:rsid w:val="5C1062DB"/>
    <w:rsid w:val="5E636990"/>
    <w:rsid w:val="612C6A3A"/>
    <w:rsid w:val="624C122B"/>
    <w:rsid w:val="631442E8"/>
    <w:rsid w:val="639C275D"/>
    <w:rsid w:val="63E30C70"/>
    <w:rsid w:val="65004994"/>
    <w:rsid w:val="67E36EB7"/>
    <w:rsid w:val="68294DC2"/>
    <w:rsid w:val="68561164"/>
    <w:rsid w:val="69A20DAD"/>
    <w:rsid w:val="69AE2469"/>
    <w:rsid w:val="6CED2EAF"/>
    <w:rsid w:val="6CF16A3B"/>
    <w:rsid w:val="6E9F4187"/>
    <w:rsid w:val="701B3A7D"/>
    <w:rsid w:val="732C135D"/>
    <w:rsid w:val="73DC7425"/>
    <w:rsid w:val="752F6175"/>
    <w:rsid w:val="759543A8"/>
    <w:rsid w:val="799C023F"/>
    <w:rsid w:val="79F268D9"/>
    <w:rsid w:val="7CA90767"/>
    <w:rsid w:val="7CCE5BDD"/>
    <w:rsid w:val="7EBC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5">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6">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pPr>
    <w:rPr>
      <w:rFonts w:cs="宋体"/>
      <w:color w:val="000000"/>
      <w:sz w:val="24"/>
      <w:szCs w:val="24"/>
    </w:rPr>
  </w:style>
  <w:style w:type="paragraph" w:styleId="3">
    <w:name w:val="Title"/>
    <w:basedOn w:val="1"/>
    <w:next w:val="1"/>
    <w:qFormat/>
    <w:uiPriority w:val="0"/>
    <w:rPr>
      <w:rFonts w:ascii="宋体"/>
      <w:b/>
      <w:sz w:val="44"/>
      <w:szCs w:val="28"/>
    </w:rPr>
  </w:style>
  <w:style w:type="paragraph" w:styleId="7">
    <w:name w:val="table of authorities"/>
    <w:basedOn w:val="1"/>
    <w:next w:val="1"/>
    <w:qFormat/>
    <w:uiPriority w:val="0"/>
    <w:pPr>
      <w:ind w:left="420" w:leftChars="200"/>
    </w:pPr>
    <w:rPr>
      <w:sz w:val="28"/>
      <w:szCs w:val="20"/>
    </w:rPr>
  </w:style>
  <w:style w:type="paragraph" w:styleId="8">
    <w:name w:val="Normal Indent"/>
    <w:basedOn w:val="1"/>
    <w:qFormat/>
    <w:uiPriority w:val="0"/>
    <w:pPr>
      <w:ind w:firstLine="420" w:firstLineChars="200"/>
    </w:pPr>
  </w:style>
  <w:style w:type="paragraph" w:styleId="9">
    <w:name w:val="toa heading"/>
    <w:basedOn w:val="1"/>
    <w:next w:val="1"/>
    <w:unhideWhenUsed/>
    <w:qFormat/>
    <w:uiPriority w:val="99"/>
    <w:pPr>
      <w:spacing w:before="120"/>
    </w:pPr>
    <w:rPr>
      <w:rFonts w:ascii="Arial" w:hAnsi="Arial"/>
      <w:sz w:val="24"/>
    </w:r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leftChars="200"/>
    </w:pPr>
    <w:rPr>
      <w:rFonts w:eastAsia="Times New Roman"/>
      <w:kern w:val="0"/>
      <w:sz w:val="20"/>
      <w:szCs w:val="21"/>
    </w:rPr>
  </w:style>
  <w:style w:type="paragraph" w:styleId="12">
    <w:name w:val="toc 3"/>
    <w:basedOn w:val="1"/>
    <w:next w:val="1"/>
    <w:unhideWhenUsed/>
    <w:qFormat/>
    <w:uiPriority w:val="39"/>
    <w:pPr>
      <w:spacing w:line="380" w:lineRule="exact"/>
      <w:ind w:left="400" w:leftChars="400"/>
      <w:jc w:val="distribute"/>
    </w:pPr>
  </w:style>
  <w:style w:type="paragraph" w:styleId="13">
    <w:name w:val="Plain Text"/>
    <w:basedOn w:val="1"/>
    <w:next w:val="14"/>
    <w:qFormat/>
    <w:uiPriority w:val="0"/>
    <w:rPr>
      <w:rFonts w:ascii="宋体" w:hAnsi="Courier New" w:eastAsia="宋体"/>
      <w:kern w:val="2"/>
      <w:sz w:val="21"/>
      <w:lang w:val="en-US" w:eastAsia="zh-CN" w:bidi="ar-SA"/>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7"/>
    <w:qFormat/>
    <w:uiPriority w:val="0"/>
  </w:style>
  <w:style w:type="paragraph" w:styleId="17">
    <w:name w:val="Normal (Web)"/>
    <w:basedOn w:val="1"/>
    <w:next w:val="15"/>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11"/>
    <w:qFormat/>
    <w:uiPriority w:val="0"/>
    <w:pPr>
      <w:ind w:left="0" w:leftChars="0" w:firstLine="210"/>
    </w:pPr>
    <w:rPr>
      <w:szCs w:val="20"/>
    </w:rPr>
  </w:style>
  <w:style w:type="table" w:styleId="20">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样式 标题 3 + (中文) 黑体 小四 非加粗 段前: 7.8 磅 段后: 0 磅 行距: 固定值 20 磅"/>
    <w:basedOn w:val="6"/>
    <w:qFormat/>
    <w:uiPriority w:val="0"/>
    <w:pPr>
      <w:spacing w:before="120" w:after="120" w:line="400" w:lineRule="exact"/>
    </w:pPr>
    <w:rPr>
      <w:rFonts w:ascii="Times New Roman" w:hAnsi="Times New Roman" w:eastAsia="宋体"/>
      <w:b w:val="0"/>
      <w:sz w:val="24"/>
    </w:rPr>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7">
    <w:name w:val="p0"/>
    <w:basedOn w:val="1"/>
    <w:qFormat/>
    <w:uiPriority w:val="0"/>
    <w:pPr>
      <w:widowControl/>
    </w:pPr>
    <w:rPr>
      <w:kern w:val="0"/>
      <w:szCs w:val="21"/>
    </w:rPr>
  </w:style>
  <w:style w:type="paragraph" w:customStyle="1" w:styleId="2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9">
    <w:name w:val="正文 New New New New New New New New New New New"/>
    <w:qFormat/>
    <w:uiPriority w:val="0"/>
    <w:pPr>
      <w:widowControl w:val="0"/>
      <w:suppressAutoHyphens/>
      <w:jc w:val="both"/>
    </w:pPr>
    <w:rPr>
      <w:rFonts w:ascii="Times New Roman" w:hAnsi="Times New Roman" w:eastAsia="宋体" w:cs="Times New Roman"/>
      <w:kern w:val="1"/>
      <w:sz w:val="21"/>
      <w:szCs w:val="22"/>
      <w:lang w:val="en-US" w:eastAsia="zh-CN" w:bidi="ar-SA"/>
    </w:rPr>
  </w:style>
  <w:style w:type="paragraph" w:customStyle="1" w:styleId="30">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31">
    <w:name w:val="文件抬头"/>
    <w:qFormat/>
    <w:uiPriority w:val="0"/>
    <w:pPr>
      <w:widowControl w:val="0"/>
    </w:pPr>
    <w:rPr>
      <w:rFonts w:ascii="Calibri" w:hAnsi="Calibri" w:eastAsia="仿宋_GB2312" w:cs="Times New Roman"/>
      <w:kern w:val="2"/>
      <w:sz w:val="32"/>
      <w:lang w:val="en-US" w:eastAsia="zh-CN" w:bidi="ar-SA"/>
    </w:rPr>
  </w:style>
  <w:style w:type="paragraph" w:customStyle="1" w:styleId="32">
    <w:name w:val="表格"/>
    <w:basedOn w:val="1"/>
    <w:qFormat/>
    <w:uiPriority w:val="0"/>
    <w:pPr>
      <w:adjustRightInd w:val="0"/>
      <w:snapToGrid w:val="0"/>
      <w:spacing w:line="360" w:lineRule="auto"/>
      <w:jc w:val="center"/>
      <w:textAlignment w:val="baseline"/>
    </w:pPr>
    <w:rPr>
      <w:rFonts w:ascii="宋体" w:hAnsi="宋体"/>
      <w:kern w:val="0"/>
    </w:rPr>
  </w:style>
  <w:style w:type="paragraph" w:customStyle="1" w:styleId="33">
    <w:name w:val="11111"/>
    <w:basedOn w:val="1"/>
    <w:next w:val="1"/>
    <w:qFormat/>
    <w:uiPriority w:val="0"/>
    <w:pPr>
      <w:spacing w:line="360" w:lineRule="auto"/>
      <w:ind w:firstLine="200" w:firstLineChars="200"/>
    </w:pPr>
    <w:rPr>
      <w:rFonts w:ascii="宋体" w:hAnsi="宋体" w:cs="宋体"/>
      <w:sz w:val="24"/>
      <w:szCs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标题 3_0"/>
    <w:basedOn w:val="36"/>
    <w:next w:val="36"/>
    <w:qFormat/>
    <w:uiPriority w:val="0"/>
    <w:pPr>
      <w:adjustRightInd w:val="0"/>
      <w:snapToGrid w:val="0"/>
      <w:spacing w:line="500" w:lineRule="exact"/>
      <w:ind w:left="0" w:firstLine="0"/>
      <w:jc w:val="center"/>
      <w:outlineLvl w:val="2"/>
    </w:pPr>
    <w:rPr>
      <w:rFonts w:ascii="宋体" w:hAnsi="宋体"/>
      <w:b/>
      <w:sz w:val="32"/>
      <w:szCs w:val="32"/>
    </w:rPr>
  </w:style>
  <w:style w:type="paragraph" w:customStyle="1" w:styleId="36">
    <w:name w:val="正文_0_0"/>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25307</Words>
  <Characters>26871</Characters>
  <Lines>248</Lines>
  <Paragraphs>69</Paragraphs>
  <TotalTime>9</TotalTime>
  <ScaleCrop>false</ScaleCrop>
  <LinksUpToDate>false</LinksUpToDate>
  <CharactersWithSpaces>28987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2022-08-03T09:31:00Z</dcterms:created>
  <dc:creator> 十二</dc:creator>
  <cp:lastModifiedBy>新疆景鸿</cp:lastModifiedBy>
  <cp:lastPrinted>2023-02-14T03:51:00Z</cp:lastPrinted>
  <dcterms:modified xsi:type="dcterms:W3CDTF">2023-06-02T12:31:14Z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F277409B1E1841728D4AEEBCB8D3D50F</vt:lpwstr>
  </property>
</Properties>
</file>