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ascii="宋体" w:hAnsi="宋体" w:cs="宋体"/>
          <w:b/>
          <w:bCs/>
          <w:color w:val="000000"/>
          <w:sz w:val="22"/>
          <w:szCs w:val="28"/>
        </w:rPr>
      </w:pPr>
      <w:bookmarkStart w:id="0" w:name="OLE_LINK2"/>
      <w:bookmarkStart w:id="1" w:name="OLE_LINK1"/>
      <w:bookmarkStart w:id="2" w:name="_Toc139186818"/>
      <w:bookmarkStart w:id="3" w:name="_Toc222129164"/>
      <w:bookmarkStart w:id="4" w:name="_Toc225585649"/>
      <w:bookmarkStart w:id="5" w:name="_Toc139254155"/>
    </w:p>
    <w:bookmarkEnd w:id="0"/>
    <w:bookmarkEnd w:id="1"/>
    <w:p>
      <w:pPr>
        <w:spacing w:line="480" w:lineRule="auto"/>
        <w:jc w:val="center"/>
        <w:rPr>
          <w:rFonts w:hint="eastAsia"/>
          <w:sz w:val="72"/>
          <w:szCs w:val="72"/>
        </w:rPr>
      </w:pPr>
    </w:p>
    <w:p>
      <w:pPr>
        <w:spacing w:line="480" w:lineRule="auto"/>
        <w:jc w:val="center"/>
        <w:rPr>
          <w:rFonts w:hint="eastAsia"/>
          <w:sz w:val="72"/>
          <w:szCs w:val="72"/>
        </w:rPr>
      </w:pPr>
      <w:r>
        <w:rPr>
          <w:rFonts w:hint="eastAsia"/>
          <w:sz w:val="72"/>
          <w:szCs w:val="72"/>
          <w:lang w:eastAsia="zh-CN"/>
        </w:rPr>
        <w:t>新疆特克斯国家湿地公园调规及总体规划修编项目</w:t>
      </w:r>
    </w:p>
    <w:p>
      <w:pPr>
        <w:spacing w:line="480" w:lineRule="auto"/>
        <w:jc w:val="center"/>
        <w:rPr>
          <w:rFonts w:hint="eastAsia"/>
          <w:sz w:val="72"/>
          <w:szCs w:val="72"/>
        </w:rPr>
      </w:pPr>
    </w:p>
    <w:p>
      <w:pPr>
        <w:spacing w:line="480" w:lineRule="auto"/>
        <w:jc w:val="center"/>
        <w:rPr>
          <w:rFonts w:hint="eastAsia"/>
          <w:sz w:val="72"/>
          <w:szCs w:val="72"/>
        </w:rPr>
      </w:pPr>
    </w:p>
    <w:p>
      <w:pPr>
        <w:spacing w:line="420" w:lineRule="exact"/>
        <w:ind w:firstLine="646" w:firstLineChars="200"/>
        <w:jc w:val="center"/>
        <w:rPr>
          <w:sz w:val="32"/>
          <w:szCs w:val="32"/>
        </w:rPr>
      </w:pPr>
    </w:p>
    <w:p>
      <w:pPr>
        <w:spacing w:line="480" w:lineRule="auto"/>
        <w:rPr>
          <w:sz w:val="32"/>
          <w:szCs w:val="32"/>
        </w:rPr>
      </w:pPr>
    </w:p>
    <w:p>
      <w:pPr>
        <w:spacing w:line="480" w:lineRule="auto"/>
        <w:jc w:val="center"/>
        <w:rPr>
          <w:sz w:val="72"/>
          <w:szCs w:val="72"/>
        </w:rPr>
      </w:pPr>
      <w:r>
        <w:rPr>
          <w:rFonts w:hint="eastAsia"/>
          <w:sz w:val="72"/>
          <w:szCs w:val="72"/>
        </w:rPr>
        <w:t>竞争性磋商文件</w:t>
      </w:r>
    </w:p>
    <w:p>
      <w:pPr>
        <w:pStyle w:val="25"/>
        <w:jc w:val="center"/>
        <w:rPr>
          <w:b/>
        </w:rPr>
      </w:pPr>
      <w:r>
        <w:rPr>
          <w:rFonts w:hint="eastAsia" w:ascii="宋体" w:hAnsi="宋体" w:cs="宋体"/>
          <w:b/>
          <w:color w:val="000000"/>
          <w:kern w:val="0"/>
          <w:sz w:val="28"/>
          <w:szCs w:val="28"/>
        </w:rPr>
        <w:t>竞争性磋商文件编号：XJBQCG2023530-02</w:t>
      </w:r>
    </w:p>
    <w:p>
      <w:pPr>
        <w:spacing w:line="480" w:lineRule="auto"/>
        <w:jc w:val="center"/>
        <w:rPr>
          <w:sz w:val="72"/>
          <w:szCs w:val="72"/>
        </w:rPr>
      </w:pPr>
    </w:p>
    <w:p>
      <w:pPr>
        <w:spacing w:line="420" w:lineRule="exact"/>
        <w:ind w:firstLine="566" w:firstLineChars="200"/>
        <w:rPr>
          <w:sz w:val="28"/>
          <w:szCs w:val="28"/>
        </w:rPr>
      </w:pPr>
    </w:p>
    <w:p>
      <w:pPr>
        <w:spacing w:line="420" w:lineRule="exact"/>
        <w:rPr>
          <w:sz w:val="28"/>
          <w:szCs w:val="28"/>
        </w:rPr>
      </w:pPr>
    </w:p>
    <w:p>
      <w:pPr>
        <w:spacing w:line="800" w:lineRule="exact"/>
        <w:rPr>
          <w:sz w:val="30"/>
          <w:szCs w:val="30"/>
        </w:rPr>
      </w:pPr>
    </w:p>
    <w:p>
      <w:pPr>
        <w:spacing w:line="800" w:lineRule="exact"/>
        <w:ind w:firstLine="2121" w:firstLineChars="700"/>
        <w:rPr>
          <w:rFonts w:hint="eastAsia" w:eastAsia="宋体"/>
          <w:kern w:val="0"/>
          <w:sz w:val="30"/>
          <w:szCs w:val="30"/>
          <w:lang w:eastAsia="zh-CN"/>
        </w:rPr>
      </w:pPr>
      <w:r>
        <w:rPr>
          <w:rFonts w:hint="eastAsia"/>
          <w:sz w:val="30"/>
          <w:szCs w:val="30"/>
        </w:rPr>
        <w:t>招 标 人</w:t>
      </w:r>
      <w:r>
        <w:rPr>
          <w:rFonts w:hint="eastAsia"/>
          <w:kern w:val="0"/>
          <w:sz w:val="30"/>
          <w:szCs w:val="30"/>
        </w:rPr>
        <w:t>：</w:t>
      </w:r>
      <w:r>
        <w:rPr>
          <w:rFonts w:hint="eastAsia"/>
          <w:kern w:val="0"/>
          <w:sz w:val="30"/>
          <w:szCs w:val="30"/>
          <w:lang w:eastAsia="zh-CN"/>
        </w:rPr>
        <w:t>特克斯县林业和草原局</w:t>
      </w:r>
    </w:p>
    <w:p>
      <w:pPr>
        <w:spacing w:line="800" w:lineRule="exact"/>
        <w:ind w:firstLine="2121" w:firstLineChars="700"/>
        <w:rPr>
          <w:kern w:val="0"/>
          <w:sz w:val="30"/>
          <w:szCs w:val="30"/>
        </w:rPr>
      </w:pPr>
      <w:r>
        <w:rPr>
          <w:rFonts w:hint="eastAsia"/>
          <w:kern w:val="0"/>
          <w:sz w:val="30"/>
          <w:szCs w:val="30"/>
        </w:rPr>
        <w:t>招标代理：新疆秉强工程项目管理有限公司</w:t>
      </w:r>
    </w:p>
    <w:p>
      <w:pPr>
        <w:autoSpaceDE w:val="0"/>
        <w:autoSpaceDN w:val="0"/>
        <w:adjustRightInd w:val="0"/>
        <w:spacing w:line="800" w:lineRule="exact"/>
        <w:ind w:firstLine="2121" w:firstLineChars="700"/>
        <w:rPr>
          <w:rFonts w:ascii="宋体" w:hAnsi="宋体" w:cs="宋体"/>
          <w:b/>
          <w:kern w:val="0"/>
          <w:sz w:val="32"/>
          <w:szCs w:val="32"/>
        </w:rPr>
        <w:sectPr>
          <w:headerReference r:id="rId4" w:type="default"/>
          <w:footerReference r:id="rId5" w:type="default"/>
          <w:footerReference r:id="rId6" w:type="even"/>
          <w:pgSz w:w="11906" w:h="16838"/>
          <w:pgMar w:top="1440" w:right="1247" w:bottom="1440" w:left="1247" w:header="851" w:footer="992" w:gutter="0"/>
          <w:cols w:space="720" w:num="1"/>
          <w:docGrid w:type="linesAndChars" w:linePitch="312" w:charSpace="800"/>
        </w:sectPr>
      </w:pPr>
      <w:r>
        <w:rPr>
          <w:rFonts w:hint="eastAsia"/>
          <w:kern w:val="0"/>
          <w:sz w:val="30"/>
          <w:szCs w:val="30"/>
        </w:rPr>
        <w:t>日    期：</w:t>
      </w:r>
      <w:r>
        <w:rPr>
          <w:rFonts w:hint="eastAsia" w:ascii="宋体" w:hAnsi="宋体" w:cs="宋体"/>
          <w:b/>
          <w:kern w:val="0"/>
          <w:sz w:val="32"/>
          <w:szCs w:val="32"/>
        </w:rPr>
        <w:t>2023年5</w:t>
      </w:r>
    </w:p>
    <w:p>
      <w:pPr>
        <w:autoSpaceDE w:val="0"/>
        <w:autoSpaceDN w:val="0"/>
        <w:adjustRightInd w:val="0"/>
        <w:spacing w:line="800" w:lineRule="exact"/>
        <w:rPr>
          <w:rFonts w:ascii="宋体" w:hAnsi="宋体" w:cs="宋体"/>
          <w:b/>
          <w:kern w:val="0"/>
          <w:sz w:val="32"/>
          <w:szCs w:val="32"/>
        </w:rPr>
      </w:pPr>
    </w:p>
    <w:sdt>
      <w:sdtPr>
        <w:rPr>
          <w:rFonts w:ascii="宋体" w:hAnsi="宋体"/>
          <w:b/>
          <w:bCs/>
          <w:sz w:val="32"/>
          <w:szCs w:val="32"/>
        </w:rPr>
        <w:id w:val="-398363525"/>
        <w:docPartObj>
          <w:docPartGallery w:val="Table of Contents"/>
          <w:docPartUnique/>
        </w:docPartObj>
      </w:sdtPr>
      <w:sdtEndPr>
        <w:rPr>
          <w:rFonts w:ascii="宋体" w:hAnsi="宋体"/>
          <w:b/>
          <w:bCs/>
          <w:sz w:val="20"/>
          <w:szCs w:val="20"/>
        </w:rPr>
      </w:sdtEndPr>
      <w:sdtContent>
        <w:p>
          <w:pPr>
            <w:jc w:val="center"/>
            <w:rPr>
              <w:rFonts w:ascii="宋体" w:hAnsi="宋体"/>
            </w:rPr>
          </w:pPr>
          <w:bookmarkStart w:id="6" w:name="_Toc8113_WPSOffice_Type1"/>
          <w:bookmarkStart w:id="7" w:name="_Toc29915"/>
          <w:bookmarkStart w:id="8" w:name="_Toc162675143"/>
        </w:p>
        <w:p>
          <w:pPr>
            <w:jc w:val="center"/>
            <w:rPr>
              <w:rFonts w:ascii="宋体" w:hAnsi="宋体"/>
            </w:rPr>
          </w:pPr>
        </w:p>
        <w:p>
          <w:pPr>
            <w:jc w:val="center"/>
            <w:rPr>
              <w:rFonts w:asciiTheme="minorEastAsia" w:hAnsiTheme="minorEastAsia" w:eastAsiaTheme="minorEastAsia" w:cstheme="minorEastAsia"/>
              <w:b/>
              <w:bCs/>
              <w:sz w:val="52"/>
              <w:szCs w:val="72"/>
            </w:rPr>
          </w:pPr>
          <w:r>
            <w:rPr>
              <w:rFonts w:hint="eastAsia" w:asciiTheme="minorEastAsia" w:hAnsiTheme="minorEastAsia" w:eastAsiaTheme="minorEastAsia" w:cstheme="minorEastAsia"/>
              <w:b/>
              <w:bCs/>
              <w:sz w:val="52"/>
              <w:szCs w:val="72"/>
            </w:rPr>
            <w:t>目  录</w:t>
          </w:r>
        </w:p>
        <w:p>
          <w:pPr>
            <w:spacing w:line="480" w:lineRule="auto"/>
            <w:jc w:val="center"/>
            <w:rPr>
              <w:rFonts w:asciiTheme="minorEastAsia" w:hAnsiTheme="minorEastAsia" w:eastAsiaTheme="minorEastAsia" w:cstheme="minorEastAsia"/>
              <w:b/>
              <w:bCs/>
              <w:sz w:val="52"/>
              <w:szCs w:val="72"/>
            </w:rPr>
          </w:pPr>
        </w:p>
        <w:p>
          <w:pPr>
            <w:pStyle w:val="67"/>
            <w:tabs>
              <w:tab w:val="right" w:leader="dot" w:pos="10210"/>
            </w:tabs>
            <w:spacing w:line="600" w:lineRule="auto"/>
            <w:rPr>
              <w:rFonts w:asciiTheme="minorEastAsia" w:hAnsiTheme="minorEastAsia" w:eastAsiaTheme="minorEastAsia" w:cstheme="minorEastAsia"/>
              <w:b/>
              <w:bCs/>
              <w:sz w:val="28"/>
              <w:szCs w:val="28"/>
            </w:rPr>
          </w:pPr>
          <w:r>
            <w:fldChar w:fldCharType="begin"/>
          </w:r>
          <w:r>
            <w:instrText xml:space="preserve"> HYPERLINK \l "_Toc8105_WPSOffice_Level1" </w:instrText>
          </w:r>
          <w:r>
            <w:fldChar w:fldCharType="separate"/>
          </w:r>
          <w:sdt>
            <w:sdtPr>
              <w:rPr>
                <w:rFonts w:hint="eastAsia" w:asciiTheme="minorEastAsia" w:hAnsiTheme="minorEastAsia" w:eastAsiaTheme="minorEastAsia" w:cstheme="minorEastAsia"/>
                <w:b/>
                <w:bCs/>
                <w:kern w:val="2"/>
                <w:sz w:val="28"/>
                <w:szCs w:val="28"/>
              </w:rPr>
              <w:id w:val="147477495"/>
              <w:placeholder>
                <w:docPart w:val="{51e7c7d5-5560-4eee-bea0-9d4f08cecd48}"/>
              </w:placeholder>
            </w:sdtPr>
            <w:sdtEndPr>
              <w:rPr>
                <w:rFonts w:hint="eastAsia" w:asciiTheme="minorEastAsia" w:hAnsiTheme="minorEastAsia" w:eastAsiaTheme="minorEastAsia" w:cstheme="minorEastAsia"/>
                <w:b/>
                <w:bCs/>
                <w:kern w:val="2"/>
                <w:sz w:val="28"/>
                <w:szCs w:val="28"/>
              </w:rPr>
            </w:sdtEndPr>
            <w:sdtContent>
              <w:r>
                <w:rPr>
                  <w:rFonts w:hint="eastAsia" w:asciiTheme="minorEastAsia" w:hAnsiTheme="minorEastAsia" w:eastAsiaTheme="minorEastAsia" w:cstheme="minorEastAsia"/>
                  <w:b/>
                  <w:bCs/>
                  <w:sz w:val="28"/>
                  <w:szCs w:val="28"/>
                </w:rPr>
                <w:t>第一部分  磋商公告</w:t>
              </w:r>
            </w:sdtContent>
          </w:sdt>
          <w:r>
            <w:rPr>
              <w:rFonts w:hint="eastAsia" w:asciiTheme="minorEastAsia" w:hAnsiTheme="minorEastAsia" w:eastAsiaTheme="minorEastAsia" w:cstheme="minorEastAsia"/>
              <w:b/>
              <w:bCs/>
              <w:sz w:val="28"/>
              <w:szCs w:val="28"/>
            </w:rPr>
            <w:tab/>
          </w:r>
          <w:bookmarkStart w:id="9" w:name="_Toc8105_WPSOffice_Level1Page"/>
          <w:r>
            <w:rPr>
              <w:rFonts w:hint="eastAsia" w:asciiTheme="minorEastAsia" w:hAnsiTheme="minorEastAsia" w:eastAsiaTheme="minorEastAsia" w:cstheme="minorEastAsia"/>
              <w:b/>
              <w:bCs/>
              <w:sz w:val="28"/>
              <w:szCs w:val="28"/>
            </w:rPr>
            <w:t>.1</w:t>
          </w:r>
          <w:bookmarkEnd w:id="9"/>
          <w:r>
            <w:rPr>
              <w:rFonts w:hint="eastAsia" w:asciiTheme="minorEastAsia" w:hAnsiTheme="minorEastAsia" w:eastAsiaTheme="minorEastAsia" w:cstheme="minorEastAsia"/>
              <w:b/>
              <w:bCs/>
              <w:sz w:val="28"/>
              <w:szCs w:val="28"/>
            </w:rPr>
            <w:fldChar w:fldCharType="end"/>
          </w:r>
        </w:p>
        <w:p>
          <w:pPr>
            <w:pStyle w:val="67"/>
            <w:tabs>
              <w:tab w:val="right" w:leader="dot" w:pos="10210"/>
            </w:tabs>
            <w:spacing w:line="600" w:lineRule="auto"/>
            <w:rPr>
              <w:rFonts w:asciiTheme="minorEastAsia" w:hAnsiTheme="minorEastAsia" w:eastAsiaTheme="minorEastAsia" w:cstheme="minorEastAsia"/>
              <w:b/>
              <w:bCs/>
              <w:sz w:val="28"/>
              <w:szCs w:val="28"/>
            </w:rPr>
          </w:pPr>
        </w:p>
        <w:p>
          <w:pPr>
            <w:pStyle w:val="67"/>
            <w:tabs>
              <w:tab w:val="right" w:leader="dot" w:pos="10210"/>
            </w:tabs>
            <w:spacing w:line="600" w:lineRule="auto"/>
            <w:rPr>
              <w:rFonts w:asciiTheme="minorEastAsia" w:hAnsiTheme="minorEastAsia" w:eastAsiaTheme="minorEastAsia" w:cstheme="minorEastAsia"/>
              <w:b/>
              <w:bCs/>
              <w:sz w:val="28"/>
              <w:szCs w:val="28"/>
            </w:rPr>
          </w:pPr>
          <w:r>
            <w:fldChar w:fldCharType="begin"/>
          </w:r>
          <w:r>
            <w:instrText xml:space="preserve"> HYPERLINK \l "_Toc8113_WPSOffice_Level1" </w:instrText>
          </w:r>
          <w:r>
            <w:fldChar w:fldCharType="separate"/>
          </w:r>
          <w:sdt>
            <w:sdtPr>
              <w:rPr>
                <w:rFonts w:hint="eastAsia" w:asciiTheme="minorEastAsia" w:hAnsiTheme="minorEastAsia" w:eastAsiaTheme="minorEastAsia" w:cstheme="minorEastAsia"/>
                <w:b/>
                <w:bCs/>
                <w:kern w:val="2"/>
                <w:sz w:val="28"/>
                <w:szCs w:val="28"/>
              </w:rPr>
              <w:id w:val="-1161542312"/>
              <w:placeholder>
                <w:docPart w:val="{7c5ca767-e857-44b0-9870-b55e33e9c132}"/>
              </w:placeholder>
            </w:sdtPr>
            <w:sdtEndPr>
              <w:rPr>
                <w:rFonts w:hint="eastAsia" w:asciiTheme="minorEastAsia" w:hAnsiTheme="minorEastAsia" w:eastAsiaTheme="minorEastAsia" w:cstheme="minorEastAsia"/>
                <w:b/>
                <w:bCs/>
                <w:kern w:val="2"/>
                <w:sz w:val="28"/>
                <w:szCs w:val="28"/>
              </w:rPr>
            </w:sdtEndPr>
            <w:sdtContent>
              <w:r>
                <w:rPr>
                  <w:rFonts w:hint="eastAsia" w:asciiTheme="minorEastAsia" w:hAnsiTheme="minorEastAsia" w:eastAsiaTheme="minorEastAsia" w:cstheme="minorEastAsia"/>
                  <w:b/>
                  <w:bCs/>
                  <w:sz w:val="28"/>
                  <w:szCs w:val="28"/>
                </w:rPr>
                <w:t>第二部分  供应商须知前附表</w:t>
              </w:r>
            </w:sdtContent>
          </w:sdt>
          <w:r>
            <w:rPr>
              <w:rFonts w:hint="eastAsia" w:asciiTheme="minorEastAsia" w:hAnsiTheme="minorEastAsia" w:eastAsiaTheme="minorEastAsia" w:cstheme="minorEastAsia"/>
              <w:b/>
              <w:bCs/>
              <w:sz w:val="28"/>
              <w:szCs w:val="28"/>
            </w:rPr>
            <w:tab/>
          </w:r>
          <w:bookmarkStart w:id="10" w:name="_Toc8113_WPSOffice_Level1Page"/>
          <w:r>
            <w:rPr>
              <w:rFonts w:hint="eastAsia" w:asciiTheme="minorEastAsia" w:hAnsiTheme="minorEastAsia" w:eastAsiaTheme="minorEastAsia" w:cstheme="minorEastAsia"/>
              <w:b/>
              <w:bCs/>
              <w:sz w:val="28"/>
              <w:szCs w:val="28"/>
            </w:rPr>
            <w:t>4</w:t>
          </w:r>
          <w:bookmarkEnd w:id="10"/>
          <w:r>
            <w:rPr>
              <w:rFonts w:hint="eastAsia" w:asciiTheme="minorEastAsia" w:hAnsiTheme="minorEastAsia" w:eastAsiaTheme="minorEastAsia" w:cstheme="minorEastAsia"/>
              <w:b/>
              <w:bCs/>
              <w:sz w:val="28"/>
              <w:szCs w:val="28"/>
            </w:rPr>
            <w:fldChar w:fldCharType="end"/>
          </w:r>
        </w:p>
        <w:p>
          <w:pPr>
            <w:pStyle w:val="67"/>
            <w:tabs>
              <w:tab w:val="right" w:leader="dot" w:pos="10210"/>
            </w:tabs>
            <w:spacing w:line="600" w:lineRule="auto"/>
            <w:rPr>
              <w:rFonts w:asciiTheme="minorEastAsia" w:hAnsiTheme="minorEastAsia" w:eastAsiaTheme="minorEastAsia" w:cstheme="minorEastAsia"/>
              <w:b/>
              <w:bCs/>
              <w:sz w:val="28"/>
              <w:szCs w:val="28"/>
            </w:rPr>
          </w:pPr>
        </w:p>
        <w:p>
          <w:pPr>
            <w:pStyle w:val="67"/>
            <w:tabs>
              <w:tab w:val="right" w:leader="dot" w:pos="10210"/>
            </w:tabs>
            <w:spacing w:line="600" w:lineRule="auto"/>
            <w:rPr>
              <w:rFonts w:asciiTheme="minorEastAsia" w:hAnsiTheme="minorEastAsia" w:eastAsiaTheme="minorEastAsia" w:cstheme="minorEastAsia"/>
              <w:b/>
              <w:bCs/>
              <w:sz w:val="28"/>
              <w:szCs w:val="28"/>
            </w:rPr>
          </w:pPr>
          <w:r>
            <w:fldChar w:fldCharType="begin"/>
          </w:r>
          <w:r>
            <w:instrText xml:space="preserve"> HYPERLINK \l "_Toc26375_WPSOffice_Level1" </w:instrText>
          </w:r>
          <w:r>
            <w:fldChar w:fldCharType="separate"/>
          </w:r>
          <w:sdt>
            <w:sdtPr>
              <w:rPr>
                <w:rFonts w:hint="eastAsia" w:asciiTheme="minorEastAsia" w:hAnsiTheme="minorEastAsia" w:eastAsiaTheme="minorEastAsia" w:cstheme="minorEastAsia"/>
                <w:b/>
                <w:bCs/>
                <w:kern w:val="2"/>
                <w:sz w:val="28"/>
                <w:szCs w:val="28"/>
              </w:rPr>
              <w:id w:val="-2020620981"/>
              <w:placeholder>
                <w:docPart w:val="{a02810eb-bf80-4a59-9b6b-a088f64b40b6}"/>
              </w:placeholder>
            </w:sdtPr>
            <w:sdtEndPr>
              <w:rPr>
                <w:rFonts w:hint="eastAsia" w:asciiTheme="minorEastAsia" w:hAnsiTheme="minorEastAsia" w:eastAsiaTheme="minorEastAsia" w:cstheme="minorEastAsia"/>
                <w:b/>
                <w:bCs/>
                <w:kern w:val="2"/>
                <w:sz w:val="28"/>
                <w:szCs w:val="28"/>
              </w:rPr>
            </w:sdtEndPr>
            <w:sdtContent>
              <w:r>
                <w:rPr>
                  <w:rFonts w:hint="eastAsia" w:asciiTheme="minorEastAsia" w:hAnsiTheme="minorEastAsia" w:eastAsiaTheme="minorEastAsia" w:cstheme="minorEastAsia"/>
                  <w:b/>
                  <w:bCs/>
                  <w:sz w:val="28"/>
                  <w:szCs w:val="28"/>
                </w:rPr>
                <w:t>第三部分  投标须知</w:t>
              </w:r>
            </w:sdtContent>
          </w:sdt>
          <w:r>
            <w:rPr>
              <w:rFonts w:hint="eastAsia" w:asciiTheme="minorEastAsia" w:hAnsiTheme="minorEastAsia" w:eastAsiaTheme="minorEastAsia" w:cstheme="minorEastAsia"/>
              <w:b/>
              <w:bCs/>
              <w:sz w:val="28"/>
              <w:szCs w:val="28"/>
            </w:rPr>
            <w:tab/>
          </w:r>
          <w:bookmarkStart w:id="11" w:name="_Toc26375_WPSOffice_Level1Page"/>
          <w:r>
            <w:rPr>
              <w:rFonts w:hint="eastAsia" w:asciiTheme="minorEastAsia" w:hAnsiTheme="minorEastAsia" w:eastAsiaTheme="minorEastAsia" w:cstheme="minorEastAsia"/>
              <w:b/>
              <w:bCs/>
              <w:sz w:val="28"/>
              <w:szCs w:val="28"/>
            </w:rPr>
            <w:t>6</w:t>
          </w:r>
          <w:bookmarkEnd w:id="11"/>
          <w:r>
            <w:rPr>
              <w:rFonts w:hint="eastAsia" w:asciiTheme="minorEastAsia" w:hAnsiTheme="minorEastAsia" w:eastAsiaTheme="minorEastAsia" w:cstheme="minorEastAsia"/>
              <w:b/>
              <w:bCs/>
              <w:sz w:val="28"/>
              <w:szCs w:val="28"/>
            </w:rPr>
            <w:fldChar w:fldCharType="end"/>
          </w:r>
        </w:p>
        <w:p>
          <w:pPr>
            <w:pStyle w:val="67"/>
            <w:tabs>
              <w:tab w:val="right" w:leader="dot" w:pos="10210"/>
            </w:tabs>
            <w:spacing w:line="600" w:lineRule="auto"/>
            <w:rPr>
              <w:rFonts w:asciiTheme="minorEastAsia" w:hAnsiTheme="minorEastAsia" w:eastAsiaTheme="minorEastAsia" w:cstheme="minorEastAsia"/>
              <w:b/>
              <w:bCs/>
              <w:sz w:val="28"/>
              <w:szCs w:val="28"/>
            </w:rPr>
          </w:pPr>
        </w:p>
        <w:p>
          <w:pPr>
            <w:pStyle w:val="67"/>
            <w:tabs>
              <w:tab w:val="right" w:leader="dot" w:pos="10210"/>
            </w:tabs>
            <w:spacing w:line="600" w:lineRule="auto"/>
            <w:rPr>
              <w:rFonts w:asciiTheme="minorEastAsia" w:hAnsiTheme="minorEastAsia" w:eastAsiaTheme="minorEastAsia" w:cstheme="minorEastAsia"/>
              <w:b/>
              <w:bCs/>
              <w:sz w:val="28"/>
              <w:szCs w:val="28"/>
            </w:rPr>
          </w:pPr>
          <w:r>
            <w:fldChar w:fldCharType="begin"/>
          </w:r>
          <w:r>
            <w:instrText xml:space="preserve"> HYPERLINK \l "_Toc9858_WPSOffice_Level1" </w:instrText>
          </w:r>
          <w:r>
            <w:fldChar w:fldCharType="separate"/>
          </w:r>
          <w:sdt>
            <w:sdtPr>
              <w:rPr>
                <w:rFonts w:hint="eastAsia" w:asciiTheme="minorEastAsia" w:hAnsiTheme="minorEastAsia" w:eastAsiaTheme="minorEastAsia" w:cstheme="minorEastAsia"/>
                <w:b/>
                <w:bCs/>
                <w:kern w:val="2"/>
                <w:sz w:val="28"/>
                <w:szCs w:val="28"/>
              </w:rPr>
              <w:id w:val="747856804"/>
              <w:placeholder>
                <w:docPart w:val="{c31b7628-3956-40c7-9a2b-dd3c684bc2d4}"/>
              </w:placeholder>
            </w:sdtPr>
            <w:sdtEndPr>
              <w:rPr>
                <w:rFonts w:hint="eastAsia" w:asciiTheme="minorEastAsia" w:hAnsiTheme="minorEastAsia" w:eastAsiaTheme="minorEastAsia" w:cstheme="minorEastAsia"/>
                <w:b/>
                <w:bCs/>
                <w:kern w:val="2"/>
                <w:sz w:val="28"/>
                <w:szCs w:val="28"/>
              </w:rPr>
            </w:sdtEndPr>
            <w:sdtContent>
              <w:r>
                <w:rPr>
                  <w:rFonts w:hint="eastAsia" w:asciiTheme="minorEastAsia" w:hAnsiTheme="minorEastAsia" w:eastAsiaTheme="minorEastAsia" w:cstheme="minorEastAsia"/>
                  <w:b/>
                  <w:bCs/>
                  <w:sz w:val="28"/>
                  <w:szCs w:val="28"/>
                </w:rPr>
                <w:t>第四部分 合同（样本）</w:t>
              </w:r>
            </w:sdtContent>
          </w:sdt>
          <w:r>
            <w:rPr>
              <w:rFonts w:hint="eastAsia" w:asciiTheme="minorEastAsia" w:hAnsiTheme="minorEastAsia" w:eastAsiaTheme="minorEastAsia" w:cstheme="minorEastAsia"/>
              <w:b/>
              <w:bCs/>
              <w:sz w:val="28"/>
              <w:szCs w:val="28"/>
            </w:rPr>
            <w:tab/>
          </w:r>
          <w:bookmarkStart w:id="12" w:name="_Toc9858_WPSOffice_Level1Page"/>
          <w:r>
            <w:rPr>
              <w:rFonts w:hint="eastAsia" w:asciiTheme="minorEastAsia" w:hAnsiTheme="minorEastAsia" w:eastAsiaTheme="minorEastAsia" w:cstheme="minorEastAsia"/>
              <w:b/>
              <w:bCs/>
              <w:sz w:val="28"/>
              <w:szCs w:val="28"/>
            </w:rPr>
            <w:t>19</w:t>
          </w:r>
          <w:bookmarkEnd w:id="12"/>
          <w:r>
            <w:rPr>
              <w:rFonts w:hint="eastAsia" w:asciiTheme="minorEastAsia" w:hAnsiTheme="minorEastAsia" w:eastAsiaTheme="minorEastAsia" w:cstheme="minorEastAsia"/>
              <w:b/>
              <w:bCs/>
              <w:sz w:val="28"/>
              <w:szCs w:val="28"/>
            </w:rPr>
            <w:fldChar w:fldCharType="end"/>
          </w:r>
        </w:p>
        <w:p>
          <w:pPr>
            <w:pStyle w:val="67"/>
            <w:tabs>
              <w:tab w:val="right" w:leader="dot" w:pos="10210"/>
            </w:tabs>
            <w:spacing w:line="600" w:lineRule="auto"/>
            <w:rPr>
              <w:rFonts w:asciiTheme="minorEastAsia" w:hAnsiTheme="minorEastAsia" w:eastAsiaTheme="minorEastAsia" w:cstheme="minorEastAsia"/>
              <w:b/>
              <w:bCs/>
              <w:sz w:val="28"/>
              <w:szCs w:val="28"/>
            </w:rPr>
          </w:pPr>
        </w:p>
        <w:p>
          <w:pPr>
            <w:pStyle w:val="67"/>
            <w:tabs>
              <w:tab w:val="right" w:leader="dot" w:pos="10210"/>
            </w:tabs>
            <w:spacing w:line="600" w:lineRule="auto"/>
            <w:rPr>
              <w:rFonts w:asciiTheme="minorEastAsia" w:hAnsiTheme="minorEastAsia" w:eastAsiaTheme="minorEastAsia" w:cstheme="minorEastAsia"/>
              <w:b/>
              <w:bCs/>
              <w:sz w:val="28"/>
              <w:szCs w:val="28"/>
            </w:rPr>
          </w:pPr>
          <w:r>
            <w:fldChar w:fldCharType="begin"/>
          </w:r>
          <w:r>
            <w:instrText xml:space="preserve"> HYPERLINK \l "_Toc22092_WPSOffice_Level1" </w:instrText>
          </w:r>
          <w:r>
            <w:fldChar w:fldCharType="separate"/>
          </w:r>
          <w:sdt>
            <w:sdtPr>
              <w:rPr>
                <w:rFonts w:hint="eastAsia" w:asciiTheme="minorEastAsia" w:hAnsiTheme="minorEastAsia" w:eastAsiaTheme="minorEastAsia" w:cstheme="minorEastAsia"/>
                <w:b/>
                <w:bCs/>
                <w:kern w:val="2"/>
                <w:sz w:val="28"/>
                <w:szCs w:val="28"/>
              </w:rPr>
              <w:id w:val="-560321487"/>
              <w:placeholder>
                <w:docPart w:val="{98d1b265-f5be-4f70-9a5b-e238fdd45aec}"/>
              </w:placeholder>
            </w:sdtPr>
            <w:sdtEndPr>
              <w:rPr>
                <w:rFonts w:hint="eastAsia" w:asciiTheme="minorEastAsia" w:hAnsiTheme="minorEastAsia" w:eastAsiaTheme="minorEastAsia" w:cstheme="minorEastAsia"/>
                <w:b/>
                <w:bCs/>
                <w:kern w:val="2"/>
                <w:sz w:val="28"/>
                <w:szCs w:val="28"/>
              </w:rPr>
            </w:sdtEndPr>
            <w:sdtContent>
              <w:r>
                <w:rPr>
                  <w:rFonts w:hint="eastAsia" w:asciiTheme="minorEastAsia" w:hAnsiTheme="minorEastAsia" w:eastAsiaTheme="minorEastAsia" w:cstheme="minorEastAsia"/>
                  <w:b/>
                  <w:bCs/>
                  <w:sz w:val="28"/>
                  <w:szCs w:val="28"/>
                </w:rPr>
                <w:t>第五部分  实施方案</w:t>
              </w:r>
            </w:sdtContent>
          </w:sdt>
          <w:r>
            <w:rPr>
              <w:rFonts w:hint="eastAsia" w:asciiTheme="minorEastAsia" w:hAnsiTheme="minorEastAsia" w:eastAsiaTheme="minorEastAsia" w:cstheme="minorEastAsia"/>
              <w:b/>
              <w:bCs/>
              <w:sz w:val="28"/>
              <w:szCs w:val="28"/>
            </w:rPr>
            <w:tab/>
          </w:r>
          <w:bookmarkStart w:id="13" w:name="_Toc22092_WPSOffice_Level1Page"/>
          <w:r>
            <w:rPr>
              <w:rFonts w:hint="eastAsia" w:asciiTheme="minorEastAsia" w:hAnsiTheme="minorEastAsia" w:eastAsiaTheme="minorEastAsia" w:cstheme="minorEastAsia"/>
              <w:b/>
              <w:bCs/>
              <w:sz w:val="28"/>
              <w:szCs w:val="28"/>
            </w:rPr>
            <w:t>23</w:t>
          </w:r>
          <w:bookmarkEnd w:id="13"/>
          <w:r>
            <w:rPr>
              <w:rFonts w:hint="eastAsia" w:asciiTheme="minorEastAsia" w:hAnsiTheme="minorEastAsia" w:eastAsiaTheme="minorEastAsia" w:cstheme="minorEastAsia"/>
              <w:b/>
              <w:bCs/>
              <w:sz w:val="28"/>
              <w:szCs w:val="28"/>
            </w:rPr>
            <w:fldChar w:fldCharType="end"/>
          </w:r>
        </w:p>
        <w:p>
          <w:pPr>
            <w:pStyle w:val="67"/>
            <w:tabs>
              <w:tab w:val="right" w:leader="dot" w:pos="10210"/>
            </w:tabs>
            <w:spacing w:line="600" w:lineRule="auto"/>
            <w:rPr>
              <w:rFonts w:asciiTheme="minorEastAsia" w:hAnsiTheme="minorEastAsia" w:eastAsiaTheme="minorEastAsia" w:cstheme="minorEastAsia"/>
              <w:b/>
              <w:bCs/>
              <w:sz w:val="28"/>
              <w:szCs w:val="28"/>
            </w:rPr>
          </w:pPr>
        </w:p>
        <w:p>
          <w:pPr>
            <w:pStyle w:val="67"/>
            <w:tabs>
              <w:tab w:val="right" w:leader="dot" w:pos="10210"/>
            </w:tabs>
            <w:spacing w:line="600" w:lineRule="auto"/>
          </w:pPr>
          <w:r>
            <w:fldChar w:fldCharType="begin"/>
          </w:r>
          <w:r>
            <w:instrText xml:space="preserve"> HYPERLINK \l "_Toc12330_WPSOffice_Level1" </w:instrText>
          </w:r>
          <w:r>
            <w:fldChar w:fldCharType="separate"/>
          </w:r>
          <w:sdt>
            <w:sdtPr>
              <w:rPr>
                <w:rFonts w:hint="eastAsia" w:asciiTheme="minorEastAsia" w:hAnsiTheme="minorEastAsia" w:eastAsiaTheme="minorEastAsia" w:cstheme="minorEastAsia"/>
                <w:b/>
                <w:bCs/>
                <w:kern w:val="2"/>
                <w:sz w:val="28"/>
                <w:szCs w:val="28"/>
              </w:rPr>
              <w:id w:val="-1565867533"/>
              <w:placeholder>
                <w:docPart w:val="{fb399eda-6621-4f27-8c0b-a37aa4b15ea2}"/>
              </w:placeholder>
            </w:sdtPr>
            <w:sdtEndPr>
              <w:rPr>
                <w:rFonts w:hint="eastAsia" w:asciiTheme="minorEastAsia" w:hAnsiTheme="minorEastAsia" w:eastAsiaTheme="minorEastAsia" w:cstheme="minorEastAsia"/>
                <w:b/>
                <w:bCs/>
                <w:kern w:val="2"/>
                <w:sz w:val="28"/>
                <w:szCs w:val="28"/>
              </w:rPr>
            </w:sdtEndPr>
            <w:sdtContent>
              <w:r>
                <w:rPr>
                  <w:rFonts w:hint="eastAsia" w:asciiTheme="minorEastAsia" w:hAnsiTheme="minorEastAsia" w:eastAsiaTheme="minorEastAsia" w:cstheme="minorEastAsia"/>
                  <w:b/>
                  <w:bCs/>
                  <w:sz w:val="28"/>
                  <w:szCs w:val="28"/>
                </w:rPr>
                <w:t>第六部分：附件（投标文件格式）</w:t>
              </w:r>
            </w:sdtContent>
          </w:sdt>
          <w:r>
            <w:rPr>
              <w:rFonts w:hint="eastAsia" w:asciiTheme="minorEastAsia" w:hAnsiTheme="minorEastAsia" w:eastAsiaTheme="minorEastAsia" w:cstheme="minorEastAsia"/>
              <w:b/>
              <w:bCs/>
              <w:sz w:val="28"/>
              <w:szCs w:val="28"/>
            </w:rPr>
            <w:tab/>
          </w:r>
          <w:bookmarkStart w:id="14" w:name="_Toc12330_WPSOffice_Level1Page"/>
          <w:r>
            <w:rPr>
              <w:rFonts w:hint="eastAsia" w:asciiTheme="minorEastAsia" w:hAnsiTheme="minorEastAsia" w:eastAsiaTheme="minorEastAsia" w:cstheme="minorEastAsia"/>
              <w:b/>
              <w:bCs/>
              <w:sz w:val="28"/>
              <w:szCs w:val="28"/>
            </w:rPr>
            <w:t>33</w:t>
          </w:r>
          <w:bookmarkEnd w:id="14"/>
          <w:r>
            <w:rPr>
              <w:rFonts w:hint="eastAsia" w:asciiTheme="minorEastAsia" w:hAnsiTheme="minorEastAsia" w:eastAsiaTheme="minorEastAsia" w:cstheme="minorEastAsia"/>
              <w:b/>
              <w:bCs/>
              <w:sz w:val="28"/>
              <w:szCs w:val="28"/>
            </w:rPr>
            <w:fldChar w:fldCharType="end"/>
          </w:r>
        </w:p>
        <w:p>
          <w:pPr>
            <w:pStyle w:val="30"/>
            <w:rPr>
              <w:rFonts w:ascii="宋体" w:hAnsi="宋体" w:cs="宋体"/>
            </w:rPr>
          </w:pPr>
        </w:p>
      </w:sdtContent>
    </w:sdt>
    <w:bookmarkEnd w:id="6"/>
    <w:p>
      <w:pPr>
        <w:pStyle w:val="3"/>
        <w:rPr>
          <w:rFonts w:hAnsi="宋体" w:cs="宋体"/>
          <w:sz w:val="32"/>
          <w:szCs w:val="32"/>
        </w:rPr>
        <w:sectPr>
          <w:headerReference r:id="rId7" w:type="default"/>
          <w:footerReference r:id="rId8" w:type="default"/>
          <w:pgSz w:w="11910" w:h="16850"/>
          <w:pgMar w:top="1140" w:right="540" w:bottom="1380" w:left="1160" w:header="884" w:footer="1189" w:gutter="0"/>
          <w:pgNumType w:start="1"/>
          <w:cols w:space="720" w:num="1"/>
        </w:sectPr>
      </w:pPr>
    </w:p>
    <w:p>
      <w:pPr>
        <w:pStyle w:val="3"/>
        <w:jc w:val="center"/>
        <w:rPr>
          <w:rFonts w:hAnsi="宋体" w:cs="宋体"/>
          <w:sz w:val="36"/>
          <w:szCs w:val="22"/>
        </w:rPr>
      </w:pPr>
      <w:bookmarkStart w:id="15" w:name="_Toc8105_WPSOffice_Level1"/>
      <w:r>
        <w:rPr>
          <w:rFonts w:hint="eastAsia" w:hAnsi="宋体" w:cs="宋体"/>
          <w:sz w:val="32"/>
          <w:szCs w:val="32"/>
        </w:rPr>
        <w:t>第一部分  招标公告</w:t>
      </w:r>
      <w:bookmarkEnd w:id="7"/>
      <w:bookmarkEnd w:id="15"/>
    </w:p>
    <w:bookmarkEnd w:id="8"/>
    <w:p>
      <w:pPr>
        <w:pStyle w:val="30"/>
        <w:jc w:val="left"/>
      </w:pPr>
      <w:bookmarkStart w:id="16" w:name="_Toc8688"/>
      <w:bookmarkStart w:id="17" w:name="_Toc8113_WPSOffice_Level1"/>
      <w:r>
        <w:rPr>
          <w:rFonts w:hint="eastAsia" w:asciiTheme="minorEastAsia" w:hAnsiTheme="minorEastAsia" w:eastAsiaTheme="minorEastAsia" w:cstheme="minorEastAsia"/>
          <w:sz w:val="24"/>
        </w:rPr>
        <w:t>一、招标项目编号：</w:t>
      </w:r>
      <w:r>
        <w:rPr>
          <w:rFonts w:hint="eastAsia" w:ascii="宋体" w:hAnsi="宋体" w:cs="宋体"/>
          <w:b/>
          <w:color w:val="000000"/>
          <w:kern w:val="0"/>
          <w:sz w:val="28"/>
          <w:szCs w:val="28"/>
        </w:rPr>
        <w:t>XJBQCG2023530-02</w:t>
      </w:r>
      <w:r>
        <w:rPr>
          <w:rFonts w:asciiTheme="minorEastAsia" w:hAnsiTheme="minorEastAsia" w:eastAsiaTheme="minorEastAsia" w:cstheme="minorEastAsia"/>
          <w:sz w:val="24"/>
        </w:rPr>
        <w:t xml:space="preserve"> </w:t>
      </w:r>
    </w:p>
    <w:tbl>
      <w:tblPr>
        <w:tblStyle w:val="33"/>
        <w:tblpPr w:leftFromText="180" w:rightFromText="180" w:vertAnchor="text" w:horzAnchor="page" w:tblpX="1346" w:tblpY="598"/>
        <w:tblOverlap w:val="never"/>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46"/>
        <w:gridCol w:w="1787"/>
        <w:gridCol w:w="1100"/>
        <w:gridCol w:w="1350"/>
        <w:gridCol w:w="1167"/>
        <w:gridCol w:w="2233"/>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9" w:hRule="atLeast"/>
        </w:trPr>
        <w:tc>
          <w:tcPr>
            <w:tcW w:w="446" w:type="dxa"/>
            <w:tcMar>
              <w:top w:w="75" w:type="dxa"/>
              <w:left w:w="150" w:type="dxa"/>
              <w:bottom w:w="75" w:type="dxa"/>
              <w:right w:w="150" w:type="dxa"/>
            </w:tcMar>
            <w:vAlign w:val="center"/>
          </w:tcPr>
          <w:p>
            <w:pPr>
              <w:pStyle w:val="30"/>
              <w:jc w:val="left"/>
              <w:rPr>
                <w:rFonts w:asciiTheme="minorEastAsia" w:hAnsiTheme="minorEastAsia" w:eastAsiaTheme="minorEastAsia" w:cstheme="minorEastAsia"/>
                <w:b w:val="0"/>
                <w:bCs w:val="0"/>
                <w:sz w:val="24"/>
              </w:rPr>
            </w:pPr>
            <w:bookmarkStart w:id="18" w:name="_Toc32681"/>
            <w:r>
              <w:rPr>
                <w:rFonts w:hint="eastAsia" w:asciiTheme="minorEastAsia" w:hAnsiTheme="minorEastAsia" w:eastAsiaTheme="minorEastAsia" w:cstheme="minorEastAsia"/>
                <w:b w:val="0"/>
                <w:bCs w:val="0"/>
                <w:sz w:val="24"/>
              </w:rPr>
              <w:t>序号</w:t>
            </w:r>
          </w:p>
        </w:tc>
        <w:tc>
          <w:tcPr>
            <w:tcW w:w="1787" w:type="dxa"/>
            <w:tcMar>
              <w:top w:w="75" w:type="dxa"/>
              <w:left w:w="150" w:type="dxa"/>
              <w:bottom w:w="75" w:type="dxa"/>
              <w:right w:w="150" w:type="dxa"/>
            </w:tcMar>
            <w:vAlign w:val="center"/>
          </w:tcPr>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标项名称</w:t>
            </w:r>
          </w:p>
        </w:tc>
        <w:tc>
          <w:tcPr>
            <w:tcW w:w="1100" w:type="dxa"/>
            <w:tcMar>
              <w:top w:w="75" w:type="dxa"/>
              <w:left w:w="150" w:type="dxa"/>
              <w:bottom w:w="75" w:type="dxa"/>
              <w:right w:w="150" w:type="dxa"/>
            </w:tcMar>
            <w:vAlign w:val="center"/>
          </w:tcPr>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数量</w:t>
            </w:r>
          </w:p>
        </w:tc>
        <w:tc>
          <w:tcPr>
            <w:tcW w:w="1350" w:type="dxa"/>
            <w:tcMar>
              <w:top w:w="75" w:type="dxa"/>
              <w:left w:w="150" w:type="dxa"/>
              <w:bottom w:w="75" w:type="dxa"/>
              <w:right w:w="150" w:type="dxa"/>
            </w:tcMar>
            <w:vAlign w:val="center"/>
          </w:tcPr>
          <w:p>
            <w:pPr>
              <w:pStyle w:val="30"/>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预算金额(万元)</w:t>
            </w:r>
          </w:p>
        </w:tc>
        <w:tc>
          <w:tcPr>
            <w:tcW w:w="1167" w:type="dxa"/>
            <w:tcMar>
              <w:top w:w="75" w:type="dxa"/>
              <w:left w:w="150" w:type="dxa"/>
              <w:bottom w:w="75" w:type="dxa"/>
              <w:right w:w="150" w:type="dxa"/>
            </w:tcMar>
            <w:vAlign w:val="center"/>
          </w:tcPr>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单位</w:t>
            </w:r>
          </w:p>
        </w:tc>
        <w:tc>
          <w:tcPr>
            <w:tcW w:w="2233" w:type="dxa"/>
            <w:tcMar>
              <w:top w:w="75" w:type="dxa"/>
              <w:left w:w="150" w:type="dxa"/>
              <w:bottom w:w="75" w:type="dxa"/>
              <w:right w:w="150" w:type="dxa"/>
            </w:tcMar>
            <w:vAlign w:val="center"/>
          </w:tcPr>
          <w:p>
            <w:pPr>
              <w:pStyle w:val="30"/>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简要规格描述</w:t>
            </w:r>
          </w:p>
        </w:tc>
        <w:tc>
          <w:tcPr>
            <w:tcW w:w="1561" w:type="dxa"/>
            <w:tcMar>
              <w:top w:w="75" w:type="dxa"/>
              <w:left w:w="150" w:type="dxa"/>
              <w:bottom w:w="75" w:type="dxa"/>
              <w:right w:w="150" w:type="dxa"/>
            </w:tcMar>
            <w:vAlign w:val="center"/>
          </w:tcPr>
          <w:p>
            <w:pPr>
              <w:pStyle w:val="30"/>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2415" w:hRule="exact"/>
        </w:trPr>
        <w:tc>
          <w:tcPr>
            <w:tcW w:w="446" w:type="dxa"/>
            <w:tcMar>
              <w:top w:w="75" w:type="dxa"/>
              <w:left w:w="150" w:type="dxa"/>
              <w:bottom w:w="75" w:type="dxa"/>
              <w:right w:w="150" w:type="dxa"/>
            </w:tcMar>
            <w:vAlign w:val="center"/>
          </w:tcPr>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1</w:t>
            </w:r>
          </w:p>
        </w:tc>
        <w:tc>
          <w:tcPr>
            <w:tcW w:w="1787" w:type="dxa"/>
            <w:tcMar>
              <w:top w:w="75" w:type="dxa"/>
              <w:left w:w="150" w:type="dxa"/>
              <w:bottom w:w="75" w:type="dxa"/>
              <w:right w:w="150" w:type="dxa"/>
            </w:tcMar>
            <w:vAlign w:val="center"/>
          </w:tcPr>
          <w:p>
            <w:pPr>
              <w:pStyle w:val="30"/>
              <w:jc w:val="left"/>
              <w:rPr>
                <w:rFonts w:hint="eastAsia" w:asciiTheme="minorEastAsia" w:hAnsiTheme="minorEastAsia" w:eastAsiaTheme="minorEastAsia" w:cstheme="minorEastAsia"/>
                <w:b w:val="0"/>
                <w:bCs w:val="0"/>
                <w:sz w:val="24"/>
                <w:lang w:eastAsia="zh-CN"/>
              </w:rPr>
            </w:pPr>
            <w:r>
              <w:rPr>
                <w:rFonts w:hint="eastAsia" w:asciiTheme="minorEastAsia" w:hAnsiTheme="minorEastAsia" w:eastAsiaTheme="minorEastAsia" w:cstheme="minorEastAsia"/>
                <w:b w:val="0"/>
                <w:bCs w:val="0"/>
                <w:sz w:val="24"/>
                <w:lang w:eastAsia="zh-CN"/>
              </w:rPr>
              <w:t>新疆特克斯国家湿地公园调规及总体规划修编项目</w:t>
            </w:r>
          </w:p>
        </w:tc>
        <w:tc>
          <w:tcPr>
            <w:tcW w:w="1100" w:type="dxa"/>
            <w:tcMar>
              <w:top w:w="75" w:type="dxa"/>
              <w:left w:w="150" w:type="dxa"/>
              <w:bottom w:w="75" w:type="dxa"/>
              <w:right w:w="150" w:type="dxa"/>
            </w:tcMar>
            <w:vAlign w:val="center"/>
          </w:tcPr>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不限</w:t>
            </w:r>
          </w:p>
        </w:tc>
        <w:tc>
          <w:tcPr>
            <w:tcW w:w="1350" w:type="dxa"/>
            <w:tcMar>
              <w:top w:w="75" w:type="dxa"/>
              <w:left w:w="150" w:type="dxa"/>
              <w:bottom w:w="75" w:type="dxa"/>
              <w:right w:w="150" w:type="dxa"/>
            </w:tcMar>
            <w:vAlign w:val="center"/>
          </w:tcPr>
          <w:p>
            <w:pPr>
              <w:pStyle w:val="30"/>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85</w:t>
            </w:r>
          </w:p>
        </w:tc>
        <w:tc>
          <w:tcPr>
            <w:tcW w:w="1167" w:type="dxa"/>
            <w:tcMar>
              <w:top w:w="75" w:type="dxa"/>
              <w:left w:w="150" w:type="dxa"/>
              <w:bottom w:w="75" w:type="dxa"/>
              <w:right w:w="150" w:type="dxa"/>
            </w:tcMar>
            <w:vAlign w:val="center"/>
          </w:tcPr>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批</w:t>
            </w:r>
          </w:p>
        </w:tc>
        <w:tc>
          <w:tcPr>
            <w:tcW w:w="2233" w:type="dxa"/>
            <w:tcMar>
              <w:top w:w="75" w:type="dxa"/>
              <w:left w:w="150" w:type="dxa"/>
              <w:bottom w:w="75" w:type="dxa"/>
              <w:right w:w="150" w:type="dxa"/>
            </w:tcMar>
            <w:vAlign w:val="center"/>
          </w:tcPr>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采购内容：</w:t>
            </w:r>
            <w:r>
              <w:rPr>
                <w:rFonts w:hint="eastAsia" w:ascii="宋体" w:hAnsi="宋体" w:cs="宋体"/>
                <w:b w:val="0"/>
                <w:bCs w:val="0"/>
                <w:sz w:val="24"/>
                <w:szCs w:val="24"/>
              </w:rPr>
              <w:t>特克斯国家湿地公园调规及总体规划修编</w:t>
            </w:r>
          </w:p>
        </w:tc>
        <w:tc>
          <w:tcPr>
            <w:tcW w:w="1561" w:type="dxa"/>
            <w:tcMar>
              <w:top w:w="75" w:type="dxa"/>
              <w:left w:w="150" w:type="dxa"/>
              <w:bottom w:w="75" w:type="dxa"/>
              <w:right w:w="150" w:type="dxa"/>
            </w:tcMar>
            <w:vAlign w:val="center"/>
          </w:tcPr>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规格及参数：详见竞争性磋商文件</w:t>
            </w:r>
          </w:p>
        </w:tc>
      </w:tr>
    </w:tbl>
    <w:p>
      <w:pPr>
        <w:pStyle w:val="3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二</w:t>
      </w:r>
      <w:r>
        <w:rPr>
          <w:rFonts w:hint="eastAsia" w:asciiTheme="minorEastAsia" w:hAnsiTheme="minorEastAsia" w:eastAsiaTheme="minorEastAsia" w:cstheme="minorEastAsia"/>
          <w:sz w:val="24"/>
        </w:rPr>
        <w:t>、招标项目概况</w:t>
      </w:r>
      <w:bookmarkEnd w:id="18"/>
    </w:p>
    <w:p>
      <w:pPr>
        <w:pStyle w:val="30"/>
        <w:jc w:val="left"/>
        <w:rPr>
          <w:rFonts w:asciiTheme="minorEastAsia" w:hAnsiTheme="minorEastAsia" w:eastAsiaTheme="minorEastAsia" w:cstheme="minorEastAsia"/>
          <w:sz w:val="24"/>
        </w:rPr>
      </w:pPr>
      <w:bookmarkStart w:id="19" w:name="_Toc18047"/>
      <w:r>
        <w:rPr>
          <w:rFonts w:hint="eastAsia" w:asciiTheme="minorEastAsia" w:hAnsiTheme="minorEastAsia" w:eastAsiaTheme="minorEastAsia" w:cstheme="minorEastAsia"/>
          <w:sz w:val="24"/>
          <w:lang w:val="en-US" w:eastAsia="zh-CN"/>
        </w:rPr>
        <w:t>三</w:t>
      </w:r>
      <w:r>
        <w:rPr>
          <w:rFonts w:hint="eastAsia" w:asciiTheme="minorEastAsia" w:hAnsiTheme="minorEastAsia" w:eastAsiaTheme="minorEastAsia" w:cstheme="minorEastAsia"/>
          <w:sz w:val="24"/>
        </w:rPr>
        <w:t>、标段划分：本项目划分为1个标段:</w:t>
      </w:r>
    </w:p>
    <w:p>
      <w:pPr>
        <w:pStyle w:val="30"/>
        <w:jc w:val="left"/>
        <w:rPr>
          <w:rFonts w:ascii="宋体" w:hAnsi="宋体" w:cs="宋体"/>
          <w:b w:val="0"/>
          <w:bCs w:val="0"/>
          <w:sz w:val="24"/>
          <w:szCs w:val="24"/>
        </w:rPr>
      </w:pPr>
      <w:r>
        <w:rPr>
          <w:rFonts w:hint="eastAsia" w:ascii="宋体" w:hAnsi="宋体" w:cs="宋体"/>
          <w:sz w:val="24"/>
        </w:rPr>
        <w:t>采购内容</w:t>
      </w:r>
      <w:r>
        <w:rPr>
          <w:rFonts w:hint="eastAsia" w:ascii="宋体" w:hAnsi="宋体" w:cs="宋体"/>
          <w:sz w:val="24"/>
          <w:szCs w:val="24"/>
        </w:rPr>
        <w:t>：</w:t>
      </w:r>
      <w:r>
        <w:rPr>
          <w:rFonts w:hint="eastAsia" w:ascii="宋体" w:hAnsi="宋体" w:cs="宋体"/>
          <w:b w:val="0"/>
          <w:bCs w:val="0"/>
          <w:sz w:val="24"/>
          <w:szCs w:val="24"/>
        </w:rPr>
        <w:t>特克斯国家湿地公园调规及总体规划修编</w:t>
      </w:r>
    </w:p>
    <w:p>
      <w:pPr>
        <w:pStyle w:val="3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四</w:t>
      </w:r>
      <w:r>
        <w:rPr>
          <w:rFonts w:hint="eastAsia" w:asciiTheme="minorEastAsia" w:hAnsiTheme="minorEastAsia" w:eastAsiaTheme="minorEastAsia" w:cstheme="minorEastAsia"/>
          <w:sz w:val="24"/>
        </w:rPr>
        <w:t>、投标供应商资格要求:</w:t>
      </w:r>
    </w:p>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 xml:space="preserve">1.符合《中华人民共和国政府采购法》第二十二条的规定； </w:t>
      </w:r>
    </w:p>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 xml:space="preserve">（1）须具备独立法人资格的合法企业，有效的营业执照并在人员、技术、设备、服务等方面具备此次招标内容相应的能力 </w:t>
      </w:r>
    </w:p>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（2）具有良好的商业信誉和健全的财务会计制度，</w:t>
      </w:r>
      <w:r>
        <w:rPr>
          <w:rFonts w:hint="eastAsia" w:asciiTheme="minorEastAsia" w:hAnsiTheme="minorEastAsia" w:eastAsiaTheme="minorEastAsia" w:cstheme="minorEastAsia"/>
          <w:b w:val="0"/>
          <w:bCs w:val="0"/>
          <w:sz w:val="24"/>
          <w:highlight w:val="none"/>
        </w:rPr>
        <w:t>提供2021或2</w:t>
      </w:r>
      <w:r>
        <w:rPr>
          <w:rFonts w:hint="eastAsia" w:asciiTheme="minorEastAsia" w:hAnsiTheme="minorEastAsia" w:eastAsiaTheme="minorEastAsia" w:cstheme="minorEastAsia"/>
          <w:b w:val="0"/>
          <w:bCs w:val="0"/>
          <w:sz w:val="24"/>
        </w:rPr>
        <w:t>022年度经外部审计的财务审计报告或财务报表的复印件加盖公章（公司成立不到一年的从成立之日起）；</w:t>
      </w:r>
    </w:p>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（3）有依法缴纳税收和社会保障资金的良好纪录，提供相关证明（新注册的供应商应当提供注册时至参加政府采购活动时相应期限内本单位的缴纳税收、社会保障凭据）；</w:t>
      </w:r>
    </w:p>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（4）本项目不接受联合体投标、不接受备选方案、不允许转包和分包。</w:t>
      </w:r>
    </w:p>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5）供应商参加本次采购活动前三年内在“信用中国”（www.creditchina.gov.cn）下载附件和中国政府采购网（www.ccgp.gov.cn）网站上未被列入失信被执行人、重大税收违法案件当事人名单以及政府采购严重违法失信行为记录名单的供应商（提供查询网页打印件），拒绝参与政府采购活动。</w:t>
      </w:r>
    </w:p>
    <w:p>
      <w:pPr>
        <w:spacing w:line="360" w:lineRule="exact"/>
        <w:ind w:firstLine="218" w:firstLineChars="91"/>
        <w:rPr>
          <w:rFonts w:ascii="宋体" w:hAnsi="宋体" w:cs="宋体"/>
          <w:color w:val="000000"/>
          <w:sz w:val="24"/>
        </w:rPr>
      </w:pPr>
      <w:r>
        <w:rPr>
          <w:rFonts w:hint="eastAsia" w:ascii="宋体" w:hAnsi="宋体" w:cs="宋体"/>
          <w:color w:val="000000"/>
          <w:sz w:val="24"/>
        </w:rPr>
        <w:t>3、本项目的特定资格要求：</w:t>
      </w:r>
    </w:p>
    <w:p>
      <w:pPr>
        <w:tabs>
          <w:tab w:val="left" w:pos="0"/>
        </w:tabs>
        <w:spacing w:line="360" w:lineRule="exact"/>
        <w:ind w:left="5" w:firstLine="213" w:firstLineChars="89"/>
        <w:rPr>
          <w:rFonts w:ascii="宋体" w:hAnsi="宋体" w:cs="宋体"/>
          <w:color w:val="000000"/>
          <w:sz w:val="24"/>
        </w:rPr>
      </w:pPr>
      <w:r>
        <w:rPr>
          <w:rFonts w:hint="eastAsia" w:ascii="宋体" w:hAnsi="宋体" w:cs="宋体"/>
          <w:color w:val="000000"/>
          <w:sz w:val="24"/>
        </w:rPr>
        <w:t>（1）具备林业调查规划设计甲级资质,具有相应的规划编制能力及履行本项目所必须的设备、人员及专业技术能力；</w:t>
      </w:r>
    </w:p>
    <w:p>
      <w:pPr>
        <w:tabs>
          <w:tab w:val="left" w:pos="0"/>
        </w:tabs>
        <w:spacing w:line="360" w:lineRule="exact"/>
        <w:ind w:left="5" w:firstLine="213" w:firstLineChars="89"/>
        <w:rPr>
          <w:rFonts w:ascii="宋体" w:hAnsi="宋体" w:cs="宋体"/>
          <w:color w:val="000000"/>
          <w:sz w:val="24"/>
        </w:rPr>
      </w:pPr>
      <w:r>
        <w:rPr>
          <w:rFonts w:hint="eastAsia" w:ascii="宋体" w:hAnsi="宋体" w:cs="宋体"/>
          <w:color w:val="000000"/>
          <w:sz w:val="24"/>
        </w:rPr>
        <w:t>（2）项目负责人需具有林业相关专业高级职称。  </w:t>
      </w:r>
    </w:p>
    <w:p>
      <w:pPr>
        <w:spacing w:line="360" w:lineRule="exact"/>
        <w:ind w:firstLine="218" w:firstLineChars="91"/>
        <w:rPr>
          <w:rFonts w:ascii="宋体" w:hAnsi="宋体" w:cs="宋体"/>
          <w:color w:val="000000"/>
          <w:sz w:val="24"/>
        </w:rPr>
      </w:pPr>
      <w:r>
        <w:rPr>
          <w:rFonts w:hint="eastAsia" w:ascii="宋体" w:hAnsi="宋体" w:cs="宋体"/>
          <w:color w:val="000000"/>
          <w:sz w:val="24"/>
        </w:rPr>
        <w:t>（3）单位负责人为同一人或者存在直接控股、管理关系的不同投标人，不得参加同一合同项下的政府采购活动。除单一来源采购项目外，为采购项目提供整体设计、规范编制或者项目管理、监理、检测等服务的受托人，不得再参加该采购项目的其他采购活动；</w:t>
      </w:r>
    </w:p>
    <w:p>
      <w:pPr>
        <w:spacing w:line="360" w:lineRule="exact"/>
        <w:ind w:firstLine="218" w:firstLineChars="91"/>
        <w:rPr>
          <w:rFonts w:ascii="宋体" w:hAnsi="宋体" w:cs="宋体"/>
          <w:color w:val="000000"/>
          <w:sz w:val="24"/>
        </w:rPr>
      </w:pPr>
      <w:r>
        <w:rPr>
          <w:rFonts w:hint="eastAsia" w:ascii="宋体" w:hAnsi="宋体" w:cs="宋体"/>
          <w:color w:val="000000"/>
          <w:sz w:val="24"/>
        </w:rPr>
        <w:t>4、本项目不接受联合体投标。</w:t>
      </w:r>
    </w:p>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lang w:val="en-US" w:eastAsia="zh-CN"/>
        </w:rPr>
        <w:t>五</w:t>
      </w:r>
      <w:r>
        <w:rPr>
          <w:rFonts w:hint="eastAsia" w:asciiTheme="minorEastAsia" w:hAnsiTheme="minorEastAsia" w:eastAsiaTheme="minorEastAsia" w:cstheme="minorEastAsia"/>
          <w:b w:val="0"/>
          <w:bCs w:val="0"/>
          <w:sz w:val="24"/>
        </w:rPr>
        <w:t>、获取采购文件时间、地址、售价:</w:t>
      </w:r>
      <w:bookmarkEnd w:id="19"/>
    </w:p>
    <w:p>
      <w:pPr>
        <w:pStyle w:val="30"/>
        <w:jc w:val="left"/>
        <w:rPr>
          <w:rFonts w:asciiTheme="minorEastAsia" w:hAnsiTheme="minorEastAsia" w:eastAsiaTheme="minorEastAsia" w:cstheme="minorEastAsia"/>
          <w:b w:val="0"/>
          <w:bCs w:val="0"/>
          <w:sz w:val="24"/>
          <w:highlight w:val="yellow"/>
        </w:rPr>
      </w:pPr>
      <w:r>
        <w:rPr>
          <w:rFonts w:hint="eastAsia" w:asciiTheme="minorEastAsia" w:hAnsiTheme="minorEastAsia" w:eastAsiaTheme="minorEastAsia" w:cstheme="minorEastAsia"/>
          <w:b w:val="0"/>
          <w:bCs w:val="0"/>
          <w:sz w:val="24"/>
        </w:rPr>
        <w:t>1．时间：</w:t>
      </w:r>
      <w:r>
        <w:rPr>
          <w:rFonts w:hint="eastAsia" w:asciiTheme="minorEastAsia" w:hAnsiTheme="minorEastAsia" w:eastAsiaTheme="minorEastAsia" w:cstheme="minorEastAsia"/>
          <w:b w:val="0"/>
          <w:bCs w:val="0"/>
          <w:sz w:val="24"/>
          <w:highlight w:val="none"/>
        </w:rPr>
        <w:t>2023年</w:t>
      </w:r>
      <w:r>
        <w:rPr>
          <w:rFonts w:hint="eastAsia" w:asciiTheme="minorEastAsia" w:hAnsiTheme="minorEastAsia" w:eastAsiaTheme="minorEastAsia" w:cstheme="minorEastAsia"/>
          <w:b w:val="0"/>
          <w:bCs w:val="0"/>
          <w:sz w:val="24"/>
          <w:highlight w:val="none"/>
          <w:lang w:val="en-US" w:eastAsia="zh-CN"/>
        </w:rPr>
        <w:t>6</w:t>
      </w:r>
      <w:r>
        <w:rPr>
          <w:rFonts w:hint="eastAsia" w:asciiTheme="minorEastAsia" w:hAnsiTheme="minorEastAsia" w:eastAsiaTheme="minorEastAsia" w:cstheme="minorEastAsia"/>
          <w:b w:val="0"/>
          <w:bCs w:val="0"/>
          <w:sz w:val="24"/>
          <w:highlight w:val="none"/>
        </w:rPr>
        <w:t>月</w:t>
      </w:r>
      <w:r>
        <w:rPr>
          <w:rFonts w:hint="eastAsia" w:asciiTheme="minorEastAsia" w:hAnsiTheme="minorEastAsia" w:eastAsiaTheme="minorEastAsia" w:cstheme="minorEastAsia"/>
          <w:b w:val="0"/>
          <w:bCs w:val="0"/>
          <w:sz w:val="24"/>
          <w:highlight w:val="none"/>
          <w:lang w:val="en-US" w:eastAsia="zh-CN"/>
        </w:rPr>
        <w:t>6</w:t>
      </w:r>
      <w:r>
        <w:rPr>
          <w:rFonts w:hint="eastAsia" w:asciiTheme="minorEastAsia" w:hAnsiTheme="minorEastAsia" w:eastAsiaTheme="minorEastAsia" w:cstheme="minorEastAsia"/>
          <w:b w:val="0"/>
          <w:bCs w:val="0"/>
          <w:sz w:val="24"/>
          <w:highlight w:val="none"/>
        </w:rPr>
        <w:t>日至2023年</w:t>
      </w:r>
      <w:r>
        <w:rPr>
          <w:rFonts w:hint="eastAsia" w:asciiTheme="minorEastAsia" w:hAnsiTheme="minorEastAsia" w:eastAsiaTheme="minorEastAsia" w:cstheme="minorEastAsia"/>
          <w:b w:val="0"/>
          <w:bCs w:val="0"/>
          <w:sz w:val="24"/>
          <w:highlight w:val="none"/>
          <w:lang w:val="en-US" w:eastAsia="zh-CN"/>
        </w:rPr>
        <w:t>6</w:t>
      </w:r>
      <w:r>
        <w:rPr>
          <w:rFonts w:hint="eastAsia" w:asciiTheme="minorEastAsia" w:hAnsiTheme="minorEastAsia" w:eastAsiaTheme="minorEastAsia" w:cstheme="minorEastAsia"/>
          <w:b w:val="0"/>
          <w:bCs w:val="0"/>
          <w:sz w:val="24"/>
          <w:highlight w:val="none"/>
        </w:rPr>
        <w:t>月</w:t>
      </w:r>
      <w:r>
        <w:rPr>
          <w:rFonts w:hint="eastAsia" w:asciiTheme="minorEastAsia" w:hAnsiTheme="minorEastAsia" w:eastAsiaTheme="minorEastAsia" w:cstheme="minorEastAsia"/>
          <w:b w:val="0"/>
          <w:bCs w:val="0"/>
          <w:sz w:val="24"/>
          <w:highlight w:val="none"/>
          <w:lang w:val="en-US" w:eastAsia="zh-CN"/>
        </w:rPr>
        <w:t>13</w:t>
      </w:r>
      <w:r>
        <w:rPr>
          <w:rFonts w:hint="eastAsia" w:asciiTheme="minorEastAsia" w:hAnsiTheme="minorEastAsia" w:eastAsiaTheme="minorEastAsia" w:cstheme="minorEastAsia"/>
          <w:b w:val="0"/>
          <w:bCs w:val="0"/>
          <w:sz w:val="24"/>
          <w:highlight w:val="none"/>
        </w:rPr>
        <w:t>日</w:t>
      </w:r>
      <w:r>
        <w:rPr>
          <w:rFonts w:hint="eastAsia" w:asciiTheme="minorEastAsia" w:hAnsiTheme="minorEastAsia" w:eastAsiaTheme="minorEastAsia" w:cstheme="minorEastAsia"/>
          <w:b w:val="0"/>
          <w:bCs w:val="0"/>
          <w:sz w:val="24"/>
          <w:highlight w:val="none"/>
          <w:lang w:val="en-US" w:eastAsia="zh-CN"/>
        </w:rPr>
        <w:t xml:space="preserve"> 下</w:t>
      </w:r>
      <w:r>
        <w:rPr>
          <w:rFonts w:hint="eastAsia" w:asciiTheme="minorEastAsia" w:hAnsiTheme="minorEastAsia" w:eastAsiaTheme="minorEastAsia" w:cstheme="minorEastAsia"/>
          <w:b w:val="0"/>
          <w:bCs w:val="0"/>
          <w:sz w:val="24"/>
          <w:highlight w:val="none"/>
        </w:rPr>
        <w:t>午</w:t>
      </w:r>
      <w:r>
        <w:rPr>
          <w:rFonts w:hint="eastAsia" w:asciiTheme="minorEastAsia" w:hAnsiTheme="minorEastAsia" w:eastAsiaTheme="minorEastAsia" w:cstheme="minorEastAsia"/>
          <w:b w:val="0"/>
          <w:bCs w:val="0"/>
          <w:sz w:val="24"/>
          <w:highlight w:val="none"/>
          <w:lang w:val="en-US" w:eastAsia="zh-CN"/>
        </w:rPr>
        <w:t>16</w:t>
      </w:r>
      <w:r>
        <w:rPr>
          <w:rFonts w:hint="eastAsia" w:asciiTheme="minorEastAsia" w:hAnsiTheme="minorEastAsia" w:eastAsiaTheme="minorEastAsia" w:cstheme="minorEastAsia"/>
          <w:b w:val="0"/>
          <w:bCs w:val="0"/>
          <w:sz w:val="24"/>
          <w:highlight w:val="none"/>
        </w:rPr>
        <w:t>:</w:t>
      </w:r>
      <w:r>
        <w:rPr>
          <w:rFonts w:hint="eastAsia" w:asciiTheme="minorEastAsia" w:hAnsiTheme="minorEastAsia" w:eastAsiaTheme="minorEastAsia" w:cstheme="minorEastAsia"/>
          <w:b w:val="0"/>
          <w:bCs w:val="0"/>
          <w:sz w:val="24"/>
          <w:highlight w:val="none"/>
          <w:lang w:val="en-US" w:eastAsia="zh-CN"/>
        </w:rPr>
        <w:t>3</w:t>
      </w:r>
      <w:r>
        <w:rPr>
          <w:rFonts w:hint="eastAsia" w:asciiTheme="minorEastAsia" w:hAnsiTheme="minorEastAsia" w:eastAsiaTheme="minorEastAsia" w:cstheme="minorEastAsia"/>
          <w:b w:val="0"/>
          <w:bCs w:val="0"/>
          <w:sz w:val="24"/>
          <w:highlight w:val="none"/>
        </w:rPr>
        <w:t>0，每天上午00:00至12:00，下午12:00至</w:t>
      </w:r>
      <w:r>
        <w:rPr>
          <w:rFonts w:hint="eastAsia" w:asciiTheme="minorEastAsia" w:hAnsiTheme="minorEastAsia" w:eastAsiaTheme="minorEastAsia" w:cstheme="minorEastAsia"/>
          <w:b w:val="0"/>
          <w:bCs w:val="0"/>
          <w:sz w:val="24"/>
          <w:highlight w:val="none"/>
          <w:lang w:val="en-US" w:eastAsia="zh-CN"/>
        </w:rPr>
        <w:t>20</w:t>
      </w:r>
      <w:r>
        <w:rPr>
          <w:rFonts w:hint="eastAsia" w:asciiTheme="minorEastAsia" w:hAnsiTheme="minorEastAsia" w:eastAsiaTheme="minorEastAsia" w:cstheme="minorEastAsia"/>
          <w:b w:val="0"/>
          <w:bCs w:val="0"/>
          <w:sz w:val="24"/>
          <w:highlight w:val="none"/>
        </w:rPr>
        <w:t>:</w:t>
      </w:r>
      <w:r>
        <w:rPr>
          <w:rFonts w:hint="eastAsia" w:asciiTheme="minorEastAsia" w:hAnsiTheme="minorEastAsia" w:eastAsiaTheme="minorEastAsia" w:cstheme="minorEastAsia"/>
          <w:b w:val="0"/>
          <w:bCs w:val="0"/>
          <w:sz w:val="24"/>
          <w:highlight w:val="none"/>
          <w:lang w:val="en-US" w:eastAsia="zh-CN"/>
        </w:rPr>
        <w:t>00</w:t>
      </w:r>
      <w:r>
        <w:rPr>
          <w:rFonts w:hint="eastAsia" w:asciiTheme="minorEastAsia" w:hAnsiTheme="minorEastAsia" w:eastAsiaTheme="minorEastAsia" w:cstheme="minorEastAsia"/>
          <w:b w:val="0"/>
          <w:bCs w:val="0"/>
          <w:sz w:val="24"/>
          <w:highlight w:val="none"/>
        </w:rPr>
        <w:t>（北京时间，法定节假日除外）</w:t>
      </w:r>
    </w:p>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地址：政采云平台线上（https://www.zcygov.cn/） </w:t>
      </w:r>
    </w:p>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2．标书售价(元)：0元</w:t>
      </w:r>
    </w:p>
    <w:p>
      <w:pPr>
        <w:pStyle w:val="30"/>
        <w:jc w:val="left"/>
        <w:rPr>
          <w:rFonts w:asciiTheme="minorEastAsia" w:hAnsiTheme="minorEastAsia" w:eastAsiaTheme="minorEastAsia" w:cstheme="minorEastAsia"/>
          <w:b w:val="0"/>
          <w:bCs w:val="0"/>
          <w:sz w:val="24"/>
        </w:rPr>
      </w:pPr>
      <w:bookmarkStart w:id="20" w:name="_Toc30153"/>
      <w:r>
        <w:rPr>
          <w:rFonts w:hint="eastAsia" w:asciiTheme="minorEastAsia" w:hAnsiTheme="minorEastAsia" w:eastAsiaTheme="minorEastAsia" w:cstheme="minorEastAsia"/>
          <w:b w:val="0"/>
          <w:bCs w:val="0"/>
          <w:sz w:val="24"/>
          <w:lang w:val="en-US" w:eastAsia="zh-CN"/>
        </w:rPr>
        <w:t>六</w:t>
      </w:r>
      <w:r>
        <w:rPr>
          <w:rFonts w:hint="eastAsia" w:asciiTheme="minorEastAsia" w:hAnsiTheme="minorEastAsia" w:eastAsiaTheme="minorEastAsia" w:cstheme="minorEastAsia"/>
          <w:b w:val="0"/>
          <w:bCs w:val="0"/>
          <w:sz w:val="24"/>
        </w:rPr>
        <w:t>、 投标截止时间：</w:t>
      </w:r>
      <w:r>
        <w:rPr>
          <w:rFonts w:hint="eastAsia" w:asciiTheme="minorEastAsia" w:hAnsiTheme="minorEastAsia" w:eastAsiaTheme="minorEastAsia" w:cstheme="minorEastAsia"/>
          <w:b w:val="0"/>
          <w:bCs w:val="0"/>
          <w:sz w:val="24"/>
          <w:highlight w:val="none"/>
        </w:rPr>
        <w:t>2023年</w:t>
      </w:r>
      <w:r>
        <w:rPr>
          <w:rFonts w:hint="eastAsia" w:asciiTheme="minorEastAsia" w:hAnsiTheme="minorEastAsia" w:eastAsiaTheme="minorEastAsia" w:cstheme="minorEastAsia"/>
          <w:b w:val="0"/>
          <w:bCs w:val="0"/>
          <w:sz w:val="24"/>
          <w:highlight w:val="none"/>
          <w:lang w:val="en-US" w:eastAsia="zh-CN"/>
        </w:rPr>
        <w:t>6</w:t>
      </w:r>
      <w:r>
        <w:rPr>
          <w:rFonts w:hint="eastAsia" w:asciiTheme="minorEastAsia" w:hAnsiTheme="minorEastAsia" w:eastAsiaTheme="minorEastAsia" w:cstheme="minorEastAsia"/>
          <w:b w:val="0"/>
          <w:bCs w:val="0"/>
          <w:sz w:val="24"/>
          <w:highlight w:val="none"/>
        </w:rPr>
        <w:t>月</w:t>
      </w:r>
      <w:r>
        <w:rPr>
          <w:rFonts w:hint="eastAsia" w:asciiTheme="minorEastAsia" w:hAnsiTheme="minorEastAsia" w:eastAsiaTheme="minorEastAsia" w:cstheme="minorEastAsia"/>
          <w:b w:val="0"/>
          <w:bCs w:val="0"/>
          <w:sz w:val="24"/>
          <w:highlight w:val="none"/>
          <w:lang w:val="en-US" w:eastAsia="zh-CN"/>
        </w:rPr>
        <w:t>16</w:t>
      </w:r>
      <w:r>
        <w:rPr>
          <w:rFonts w:hint="eastAsia" w:asciiTheme="minorEastAsia" w:hAnsiTheme="minorEastAsia" w:eastAsiaTheme="minorEastAsia" w:cstheme="minorEastAsia"/>
          <w:b w:val="0"/>
          <w:bCs w:val="0"/>
          <w:sz w:val="24"/>
          <w:highlight w:val="none"/>
        </w:rPr>
        <w:t>日  1</w:t>
      </w:r>
      <w:r>
        <w:rPr>
          <w:rFonts w:hint="eastAsia" w:asciiTheme="minorEastAsia" w:hAnsiTheme="minorEastAsia" w:eastAsiaTheme="minorEastAsia" w:cstheme="minorEastAsia"/>
          <w:b w:val="0"/>
          <w:bCs w:val="0"/>
          <w:sz w:val="24"/>
          <w:highlight w:val="none"/>
          <w:lang w:val="en-US" w:eastAsia="zh-CN"/>
        </w:rPr>
        <w:t>6</w:t>
      </w:r>
      <w:r>
        <w:rPr>
          <w:rFonts w:hint="eastAsia" w:asciiTheme="minorEastAsia" w:hAnsiTheme="minorEastAsia" w:eastAsiaTheme="minorEastAsia" w:cstheme="minorEastAsia"/>
          <w:b w:val="0"/>
          <w:bCs w:val="0"/>
          <w:sz w:val="24"/>
          <w:highlight w:val="none"/>
        </w:rPr>
        <w:t>:</w:t>
      </w:r>
      <w:r>
        <w:rPr>
          <w:rFonts w:hint="eastAsia" w:asciiTheme="minorEastAsia" w:hAnsiTheme="minorEastAsia" w:eastAsiaTheme="minorEastAsia" w:cstheme="minorEastAsia"/>
          <w:b w:val="0"/>
          <w:bCs w:val="0"/>
          <w:sz w:val="24"/>
          <w:highlight w:val="none"/>
          <w:lang w:val="en-US" w:eastAsia="zh-CN"/>
        </w:rPr>
        <w:t>0</w:t>
      </w:r>
      <w:r>
        <w:rPr>
          <w:rFonts w:hint="eastAsia" w:asciiTheme="minorEastAsia" w:hAnsiTheme="minorEastAsia" w:eastAsiaTheme="minorEastAsia" w:cstheme="minorEastAsia"/>
          <w:b w:val="0"/>
          <w:bCs w:val="0"/>
          <w:sz w:val="24"/>
          <w:highlight w:val="none"/>
        </w:rPr>
        <w:t>0:00（北京时间） </w:t>
      </w:r>
      <w:bookmarkEnd w:id="20"/>
      <w:bookmarkStart w:id="178" w:name="_GoBack"/>
      <w:bookmarkEnd w:id="178"/>
    </w:p>
    <w:p>
      <w:pPr>
        <w:pStyle w:val="30"/>
        <w:jc w:val="left"/>
        <w:rPr>
          <w:rFonts w:asciiTheme="minorEastAsia" w:hAnsiTheme="minorEastAsia" w:eastAsiaTheme="minorEastAsia" w:cstheme="minorEastAsia"/>
          <w:b w:val="0"/>
          <w:bCs w:val="0"/>
          <w:sz w:val="24"/>
        </w:rPr>
      </w:pPr>
      <w:bookmarkStart w:id="21" w:name="_Toc5018"/>
      <w:r>
        <w:rPr>
          <w:rFonts w:hint="eastAsia" w:asciiTheme="minorEastAsia" w:hAnsiTheme="minorEastAsia" w:eastAsiaTheme="minorEastAsia" w:cstheme="minorEastAsia"/>
          <w:b w:val="0"/>
          <w:bCs w:val="0"/>
          <w:sz w:val="24"/>
          <w:lang w:val="en-US" w:eastAsia="zh-CN"/>
        </w:rPr>
        <w:t>七</w:t>
      </w:r>
      <w:r>
        <w:rPr>
          <w:rFonts w:hint="eastAsia" w:asciiTheme="minorEastAsia" w:hAnsiTheme="minorEastAsia" w:eastAsiaTheme="minorEastAsia" w:cstheme="minorEastAsia"/>
          <w:b w:val="0"/>
          <w:bCs w:val="0"/>
          <w:sz w:val="24"/>
        </w:rPr>
        <w:t>、 投标地址：</w:t>
      </w:r>
      <w:bookmarkEnd w:id="21"/>
      <w:bookmarkStart w:id="22" w:name="_Toc23115"/>
      <w:r>
        <w:rPr>
          <w:rFonts w:hint="eastAsia" w:asciiTheme="minorEastAsia" w:hAnsiTheme="minorEastAsia" w:eastAsiaTheme="minorEastAsia" w:cstheme="minorEastAsia"/>
          <w:b w:val="0"/>
          <w:bCs w:val="0"/>
          <w:sz w:val="24"/>
        </w:rPr>
        <w:t>投标单位可通过账号密码或CA登录政采云客户端进行投标 </w:t>
      </w:r>
    </w:p>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lang w:val="en-US" w:eastAsia="zh-CN"/>
        </w:rPr>
        <w:t>八</w:t>
      </w:r>
      <w:r>
        <w:rPr>
          <w:rFonts w:hint="eastAsia" w:asciiTheme="minorEastAsia" w:hAnsiTheme="minorEastAsia" w:eastAsiaTheme="minorEastAsia" w:cstheme="minorEastAsia"/>
          <w:b w:val="0"/>
          <w:bCs w:val="0"/>
          <w:sz w:val="24"/>
        </w:rPr>
        <w:t>、 开标时间：</w:t>
      </w:r>
      <w:bookmarkEnd w:id="22"/>
      <w:r>
        <w:rPr>
          <w:rFonts w:hint="eastAsia" w:asciiTheme="minorEastAsia" w:hAnsiTheme="minorEastAsia" w:eastAsiaTheme="minorEastAsia" w:cstheme="minorEastAsia"/>
          <w:b w:val="0"/>
          <w:bCs w:val="0"/>
          <w:sz w:val="24"/>
          <w:highlight w:val="none"/>
        </w:rPr>
        <w:t>2023年</w:t>
      </w:r>
      <w:r>
        <w:rPr>
          <w:rFonts w:hint="eastAsia" w:asciiTheme="minorEastAsia" w:hAnsiTheme="minorEastAsia" w:eastAsiaTheme="minorEastAsia" w:cstheme="minorEastAsia"/>
          <w:b w:val="0"/>
          <w:bCs w:val="0"/>
          <w:sz w:val="24"/>
          <w:highlight w:val="none"/>
          <w:lang w:val="en-US" w:eastAsia="zh-CN"/>
        </w:rPr>
        <w:t>6</w:t>
      </w:r>
      <w:r>
        <w:rPr>
          <w:rFonts w:hint="eastAsia" w:asciiTheme="minorEastAsia" w:hAnsiTheme="minorEastAsia" w:eastAsiaTheme="minorEastAsia" w:cstheme="minorEastAsia"/>
          <w:b w:val="0"/>
          <w:bCs w:val="0"/>
          <w:sz w:val="24"/>
          <w:highlight w:val="none"/>
        </w:rPr>
        <w:t>月</w:t>
      </w:r>
      <w:r>
        <w:rPr>
          <w:rFonts w:hint="eastAsia" w:asciiTheme="minorEastAsia" w:hAnsiTheme="minorEastAsia" w:eastAsiaTheme="minorEastAsia" w:cstheme="minorEastAsia"/>
          <w:b w:val="0"/>
          <w:bCs w:val="0"/>
          <w:sz w:val="24"/>
          <w:highlight w:val="none"/>
          <w:lang w:val="en-US" w:eastAsia="zh-CN"/>
        </w:rPr>
        <w:t>16</w:t>
      </w:r>
      <w:r>
        <w:rPr>
          <w:rFonts w:hint="eastAsia" w:asciiTheme="minorEastAsia" w:hAnsiTheme="minorEastAsia" w:eastAsiaTheme="minorEastAsia" w:cstheme="minorEastAsia"/>
          <w:b w:val="0"/>
          <w:bCs w:val="0"/>
          <w:sz w:val="24"/>
          <w:highlight w:val="none"/>
        </w:rPr>
        <w:t>日  1</w:t>
      </w:r>
      <w:r>
        <w:rPr>
          <w:rFonts w:hint="eastAsia" w:asciiTheme="minorEastAsia" w:hAnsiTheme="minorEastAsia" w:eastAsiaTheme="minorEastAsia" w:cstheme="minorEastAsia"/>
          <w:b w:val="0"/>
          <w:bCs w:val="0"/>
          <w:sz w:val="24"/>
          <w:highlight w:val="none"/>
          <w:lang w:val="en-US" w:eastAsia="zh-CN"/>
        </w:rPr>
        <w:t>6</w:t>
      </w:r>
      <w:r>
        <w:rPr>
          <w:rFonts w:hint="eastAsia" w:asciiTheme="minorEastAsia" w:hAnsiTheme="minorEastAsia" w:eastAsiaTheme="minorEastAsia" w:cstheme="minorEastAsia"/>
          <w:b w:val="0"/>
          <w:bCs w:val="0"/>
          <w:sz w:val="24"/>
          <w:highlight w:val="none"/>
        </w:rPr>
        <w:t>:</w:t>
      </w:r>
      <w:r>
        <w:rPr>
          <w:rFonts w:hint="eastAsia" w:asciiTheme="minorEastAsia" w:hAnsiTheme="minorEastAsia" w:eastAsiaTheme="minorEastAsia" w:cstheme="minorEastAsia"/>
          <w:b w:val="0"/>
          <w:bCs w:val="0"/>
          <w:sz w:val="24"/>
          <w:highlight w:val="none"/>
          <w:lang w:val="en-US" w:eastAsia="zh-CN"/>
        </w:rPr>
        <w:t>0</w:t>
      </w:r>
      <w:r>
        <w:rPr>
          <w:rFonts w:hint="eastAsia" w:asciiTheme="minorEastAsia" w:hAnsiTheme="minorEastAsia" w:eastAsiaTheme="minorEastAsia" w:cstheme="minorEastAsia"/>
          <w:b w:val="0"/>
          <w:bCs w:val="0"/>
          <w:sz w:val="24"/>
          <w:highlight w:val="none"/>
        </w:rPr>
        <w:t>0:00（北京时间） </w:t>
      </w:r>
    </w:p>
    <w:p>
      <w:pPr>
        <w:pStyle w:val="30"/>
        <w:jc w:val="left"/>
        <w:rPr>
          <w:rFonts w:asciiTheme="minorEastAsia" w:hAnsiTheme="minorEastAsia" w:eastAsiaTheme="minorEastAsia" w:cstheme="minorEastAsia"/>
          <w:b w:val="0"/>
          <w:bCs w:val="0"/>
          <w:sz w:val="24"/>
        </w:rPr>
      </w:pPr>
      <w:bookmarkStart w:id="23" w:name="_Toc31807"/>
      <w:r>
        <w:rPr>
          <w:rFonts w:hint="eastAsia" w:asciiTheme="minorEastAsia" w:hAnsiTheme="minorEastAsia" w:eastAsiaTheme="minorEastAsia" w:cstheme="minorEastAsia"/>
          <w:b w:val="0"/>
          <w:bCs w:val="0"/>
          <w:sz w:val="24"/>
          <w:lang w:val="en-US" w:eastAsia="zh-CN"/>
        </w:rPr>
        <w:t>九</w:t>
      </w:r>
      <w:r>
        <w:rPr>
          <w:rFonts w:hint="eastAsia" w:asciiTheme="minorEastAsia" w:hAnsiTheme="minorEastAsia" w:eastAsiaTheme="minorEastAsia" w:cstheme="minorEastAsia"/>
          <w:b w:val="0"/>
          <w:bCs w:val="0"/>
          <w:sz w:val="24"/>
        </w:rPr>
        <w:t>、 开标地址：</w:t>
      </w:r>
      <w:bookmarkEnd w:id="23"/>
      <w:bookmarkStart w:id="24" w:name="_Toc28925"/>
      <w:r>
        <w:rPr>
          <w:rFonts w:hint="eastAsia" w:asciiTheme="minorEastAsia" w:hAnsiTheme="minorEastAsia" w:eastAsiaTheme="minorEastAsia" w:cstheme="minorEastAsia"/>
          <w:b w:val="0"/>
          <w:bCs w:val="0"/>
          <w:sz w:val="24"/>
        </w:rPr>
        <w:t>政采云平台线上（https://www.zcygov.cn/）</w:t>
      </w:r>
    </w:p>
    <w:bookmarkEnd w:id="24"/>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十、 联系方式</w:t>
      </w:r>
    </w:p>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1、采购代理机构名称：新疆秉强工程项目管理有限公司</w:t>
      </w:r>
    </w:p>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 xml:space="preserve">联系人：曾雪梅 </w:t>
      </w:r>
    </w:p>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联系电话：</w:t>
      </w:r>
      <w:r>
        <w:rPr>
          <w:rFonts w:asciiTheme="minorEastAsia" w:hAnsiTheme="minorEastAsia" w:eastAsiaTheme="minorEastAsia" w:cstheme="minorEastAsia"/>
          <w:b w:val="0"/>
          <w:bCs w:val="0"/>
          <w:sz w:val="24"/>
        </w:rPr>
        <w:t xml:space="preserve"> </w:t>
      </w:r>
      <w:r>
        <w:rPr>
          <w:rFonts w:hint="eastAsia" w:asciiTheme="minorEastAsia" w:hAnsiTheme="minorEastAsia" w:eastAsiaTheme="minorEastAsia" w:cstheme="minorEastAsia"/>
          <w:b w:val="0"/>
          <w:bCs w:val="0"/>
          <w:sz w:val="24"/>
        </w:rPr>
        <w:t>18699958854</w:t>
      </w:r>
    </w:p>
    <w:p>
      <w:pPr>
        <w:pStyle w:val="30"/>
        <w:numPr>
          <w:ilvl w:val="0"/>
          <w:numId w:val="5"/>
        </w:numPr>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采购人名称：</w:t>
      </w:r>
      <w:r>
        <w:rPr>
          <w:rFonts w:hint="eastAsia" w:asciiTheme="minorEastAsia" w:hAnsiTheme="minorEastAsia" w:eastAsiaTheme="minorEastAsia" w:cstheme="minorEastAsia"/>
          <w:b w:val="0"/>
          <w:bCs w:val="0"/>
          <w:sz w:val="24"/>
          <w:lang w:eastAsia="zh-CN"/>
        </w:rPr>
        <w:t>特克斯县林业和草原局</w:t>
      </w:r>
    </w:p>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联系人： 赵国华</w:t>
      </w:r>
    </w:p>
    <w:p>
      <w:pPr>
        <w:pStyle w:val="30"/>
        <w:jc w:val="left"/>
        <w:rPr>
          <w:rFonts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联系电话：1559996821</w:t>
      </w:r>
      <w:r>
        <w:rPr>
          <w:rFonts w:asciiTheme="minorEastAsia" w:hAnsiTheme="minorEastAsia" w:eastAsiaTheme="minorEastAsia" w:cstheme="minorEastAsia"/>
          <w:b w:val="0"/>
          <w:bCs w:val="0"/>
          <w:sz w:val="24"/>
        </w:rPr>
        <w:t xml:space="preserve"> </w:t>
      </w:r>
    </w:p>
    <w:p>
      <w:pPr>
        <w:pStyle w:val="30"/>
        <w:jc w:val="left"/>
        <w:rPr>
          <w:rFonts w:asciiTheme="minorEastAsia" w:hAnsiTheme="minorEastAsia" w:eastAsiaTheme="minorEastAsia" w:cstheme="minorEastAsia"/>
          <w:sz w:val="24"/>
        </w:rPr>
      </w:pPr>
    </w:p>
    <w:p>
      <w:pPr>
        <w:rPr>
          <w:rFonts w:asciiTheme="minorEastAsia" w:hAnsiTheme="minorEastAsia" w:eastAsiaTheme="minorEastAsia" w:cstheme="minorEastAsia"/>
          <w:sz w:val="24"/>
        </w:rPr>
      </w:pPr>
    </w:p>
    <w:p>
      <w:pPr>
        <w:pStyle w:val="42"/>
        <w:ind w:firstLine="480"/>
        <w:rPr>
          <w:rFonts w:asciiTheme="minorEastAsia" w:hAnsiTheme="minorEastAsia" w:eastAsiaTheme="minorEastAsia" w:cstheme="minorEastAsia"/>
          <w:sz w:val="24"/>
        </w:rPr>
      </w:pPr>
    </w:p>
    <w:p>
      <w:pPr>
        <w:pStyle w:val="42"/>
        <w:ind w:firstLine="480"/>
        <w:rPr>
          <w:rFonts w:asciiTheme="minorEastAsia" w:hAnsiTheme="minorEastAsia" w:eastAsiaTheme="minorEastAsia" w:cstheme="minorEastAsia"/>
          <w:sz w:val="24"/>
        </w:rPr>
      </w:pPr>
    </w:p>
    <w:p>
      <w:pPr>
        <w:pStyle w:val="42"/>
        <w:ind w:firstLine="480"/>
        <w:rPr>
          <w:rFonts w:asciiTheme="minorEastAsia" w:hAnsiTheme="minorEastAsia" w:eastAsiaTheme="minorEastAsia" w:cstheme="minorEastAsia"/>
          <w:sz w:val="24"/>
        </w:rPr>
      </w:pPr>
    </w:p>
    <w:p>
      <w:pPr>
        <w:pStyle w:val="42"/>
        <w:ind w:firstLine="480"/>
        <w:rPr>
          <w:rFonts w:asciiTheme="minorEastAsia" w:hAnsiTheme="minorEastAsia" w:eastAsiaTheme="minorEastAsia" w:cstheme="minorEastAsia"/>
          <w:sz w:val="24"/>
        </w:rPr>
      </w:pPr>
    </w:p>
    <w:p>
      <w:pPr>
        <w:pStyle w:val="42"/>
        <w:ind w:firstLine="480"/>
        <w:rPr>
          <w:rFonts w:asciiTheme="minorEastAsia" w:hAnsiTheme="minorEastAsia" w:eastAsiaTheme="minorEastAsia" w:cstheme="minorEastAsia"/>
          <w:sz w:val="24"/>
        </w:rPr>
      </w:pPr>
    </w:p>
    <w:p>
      <w:pPr>
        <w:pStyle w:val="30"/>
        <w:rPr>
          <w:rFonts w:ascii="宋体" w:hAnsi="宋体" w:cs="宋体"/>
        </w:rPr>
      </w:pPr>
      <w:r>
        <w:rPr>
          <w:rFonts w:hint="eastAsia" w:ascii="宋体" w:hAnsi="宋体" w:cs="宋体"/>
        </w:rPr>
        <w:t>第二部分  供应商须知</w:t>
      </w:r>
      <w:bookmarkEnd w:id="2"/>
      <w:bookmarkEnd w:id="3"/>
      <w:bookmarkEnd w:id="4"/>
      <w:bookmarkEnd w:id="5"/>
      <w:bookmarkEnd w:id="16"/>
      <w:r>
        <w:rPr>
          <w:rFonts w:hint="eastAsia" w:ascii="宋体" w:hAnsi="宋体" w:cs="宋体"/>
        </w:rPr>
        <w:t>前附表</w:t>
      </w:r>
      <w:bookmarkEnd w:id="17"/>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1682"/>
        <w:gridCol w:w="7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4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序号</w:t>
            </w:r>
          </w:p>
        </w:tc>
        <w:tc>
          <w:tcPr>
            <w:tcW w:w="88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内 容</w:t>
            </w:r>
          </w:p>
        </w:tc>
        <w:tc>
          <w:tcPr>
            <w:tcW w:w="3861"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4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1</w:t>
            </w:r>
          </w:p>
        </w:tc>
        <w:tc>
          <w:tcPr>
            <w:tcW w:w="88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 xml:space="preserve">项目名称 </w:t>
            </w:r>
          </w:p>
        </w:tc>
        <w:tc>
          <w:tcPr>
            <w:tcW w:w="3861" w:type="pct"/>
            <w:vAlign w:val="center"/>
          </w:tcPr>
          <w:p>
            <w:pPr>
              <w:autoSpaceDE w:val="0"/>
              <w:autoSpaceDN w:val="0"/>
              <w:spacing w:line="440" w:lineRule="exact"/>
              <w:textAlignment w:val="bottom"/>
              <w:rPr>
                <w:rFonts w:hint="eastAsia" w:ascii="宋体" w:hAnsi="宋体" w:eastAsia="宋体" w:cs="宋体"/>
                <w:sz w:val="24"/>
                <w:lang w:eastAsia="zh-CN"/>
              </w:rPr>
            </w:pPr>
            <w:r>
              <w:rPr>
                <w:rFonts w:hint="eastAsia" w:ascii="宋体" w:hAnsi="宋体" w:cs="宋体"/>
                <w:sz w:val="24"/>
                <w:lang w:eastAsia="zh-CN"/>
              </w:rPr>
              <w:t>新疆特克斯国家湿地公园调规及总体规划修编项目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4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2</w:t>
            </w:r>
          </w:p>
        </w:tc>
        <w:tc>
          <w:tcPr>
            <w:tcW w:w="88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采购内容</w:t>
            </w:r>
          </w:p>
        </w:tc>
        <w:tc>
          <w:tcPr>
            <w:tcW w:w="3861" w:type="pct"/>
            <w:vAlign w:val="center"/>
          </w:tcPr>
          <w:p>
            <w:pPr>
              <w:pStyle w:val="29"/>
            </w:pPr>
            <w:r>
              <w:rPr>
                <w:rFonts w:hint="eastAsia" w:cs="宋体"/>
              </w:rPr>
              <w:t>特克斯国家湿地公园调规及总体规划修编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4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5</w:t>
            </w:r>
          </w:p>
        </w:tc>
        <w:tc>
          <w:tcPr>
            <w:tcW w:w="88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采购人</w:t>
            </w:r>
          </w:p>
        </w:tc>
        <w:tc>
          <w:tcPr>
            <w:tcW w:w="3861" w:type="pct"/>
            <w:vAlign w:val="center"/>
          </w:tcPr>
          <w:p>
            <w:pPr>
              <w:pStyle w:val="46"/>
              <w:widowControl w:val="0"/>
              <w:overflowPunct/>
              <w:snapToGrid w:val="0"/>
              <w:spacing w:line="440" w:lineRule="exact"/>
              <w:jc w:val="both"/>
              <w:textAlignment w:val="auto"/>
              <w:rPr>
                <w:rFonts w:hint="eastAsia" w:ascii="宋体" w:hAnsi="宋体" w:eastAsia="宋体" w:cs="宋体"/>
                <w:szCs w:val="24"/>
                <w:lang w:eastAsia="zh-CN"/>
              </w:rPr>
            </w:pPr>
            <w:r>
              <w:rPr>
                <w:rFonts w:hint="eastAsia" w:ascii="宋体" w:hAnsi="宋体" w:cs="宋体"/>
                <w:szCs w:val="24"/>
              </w:rPr>
              <w:t>采购人：</w:t>
            </w:r>
            <w:r>
              <w:rPr>
                <w:rFonts w:hint="eastAsia" w:ascii="宋体" w:hAnsi="宋体" w:cs="宋体"/>
                <w:color w:val="000000"/>
                <w:szCs w:val="24"/>
                <w:lang w:eastAsia="zh-CN"/>
              </w:rPr>
              <w:t>特克斯县林业和草原局</w:t>
            </w:r>
          </w:p>
          <w:p>
            <w:pPr>
              <w:tabs>
                <w:tab w:val="left" w:pos="4980"/>
                <w:tab w:val="right" w:pos="8312"/>
              </w:tabs>
              <w:spacing w:line="500" w:lineRule="exact"/>
              <w:jc w:val="left"/>
              <w:rPr>
                <w:rFonts w:ascii="宋体" w:hAnsi="宋体" w:cs="宋体"/>
                <w:sz w:val="24"/>
              </w:rPr>
            </w:pPr>
            <w:r>
              <w:rPr>
                <w:rFonts w:hint="eastAsia" w:ascii="宋体" w:hAnsi="宋体" w:cs="宋体"/>
                <w:color w:val="000000"/>
                <w:kern w:val="0"/>
                <w:sz w:val="24"/>
              </w:rPr>
              <w:t>联系人：</w:t>
            </w:r>
            <w:r>
              <w:rPr>
                <w:rFonts w:hint="eastAsia" w:asciiTheme="minorEastAsia" w:hAnsiTheme="minorEastAsia" w:eastAsiaTheme="minorEastAsia" w:cstheme="minorEastAsia"/>
                <w:sz w:val="24"/>
              </w:rPr>
              <w:t>赵国华</w:t>
            </w:r>
            <w:r>
              <w:rPr>
                <w:rFonts w:hint="eastAsia" w:ascii="宋体" w:hAnsi="宋体" w:cs="宋体"/>
                <w:sz w:val="24"/>
              </w:rPr>
              <w:t xml:space="preserve"> </w:t>
            </w:r>
          </w:p>
          <w:p>
            <w:pPr>
              <w:tabs>
                <w:tab w:val="left" w:pos="4980"/>
                <w:tab w:val="right" w:pos="8312"/>
              </w:tabs>
              <w:spacing w:line="500" w:lineRule="exact"/>
              <w:jc w:val="left"/>
              <w:rPr>
                <w:rFonts w:ascii="宋体" w:hAnsi="宋体" w:cs="宋体"/>
                <w:sz w:val="24"/>
              </w:rPr>
            </w:pPr>
            <w:r>
              <w:rPr>
                <w:rFonts w:hint="eastAsia" w:ascii="宋体" w:hAnsi="宋体" w:cs="宋体"/>
                <w:color w:val="000000"/>
                <w:kern w:val="0"/>
                <w:sz w:val="24"/>
              </w:rPr>
              <w:t>电话：</w:t>
            </w:r>
            <w:r>
              <w:rPr>
                <w:rFonts w:hint="eastAsia" w:asciiTheme="minorEastAsia" w:hAnsiTheme="minorEastAsia" w:eastAsiaTheme="minorEastAsia" w:cstheme="minorEastAsia"/>
                <w:sz w:val="24"/>
              </w:rPr>
              <w:t>1559996821</w:t>
            </w:r>
            <w:r>
              <w:rPr>
                <w:rFonts w:asciiTheme="minorEastAsia" w:hAnsiTheme="minorEastAsia" w:eastAsiaTheme="minorEastAsia" w:cs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24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6</w:t>
            </w:r>
          </w:p>
        </w:tc>
        <w:tc>
          <w:tcPr>
            <w:tcW w:w="88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招标代理机构</w:t>
            </w:r>
          </w:p>
        </w:tc>
        <w:tc>
          <w:tcPr>
            <w:tcW w:w="3861" w:type="pct"/>
            <w:vAlign w:val="center"/>
          </w:tcPr>
          <w:p>
            <w:pPr>
              <w:pStyle w:val="46"/>
              <w:widowControl w:val="0"/>
              <w:overflowPunct/>
              <w:snapToGrid w:val="0"/>
              <w:spacing w:line="440" w:lineRule="exact"/>
              <w:jc w:val="both"/>
              <w:textAlignment w:val="auto"/>
              <w:rPr>
                <w:rFonts w:ascii="宋体" w:hAnsi="宋体" w:cs="宋体"/>
                <w:szCs w:val="24"/>
              </w:rPr>
            </w:pPr>
            <w:r>
              <w:rPr>
                <w:rFonts w:hint="eastAsia" w:ascii="宋体" w:hAnsi="宋体" w:cs="宋体"/>
                <w:szCs w:val="24"/>
              </w:rPr>
              <w:t xml:space="preserve">招标代理机构：新疆秉强工程项目管理有限公司       </w:t>
            </w:r>
          </w:p>
          <w:p>
            <w:pPr>
              <w:autoSpaceDE w:val="0"/>
              <w:autoSpaceDN w:val="0"/>
              <w:spacing w:line="440" w:lineRule="exact"/>
              <w:textAlignment w:val="bottom"/>
              <w:rPr>
                <w:rFonts w:ascii="宋体" w:hAnsi="宋体" w:cs="宋体"/>
                <w:sz w:val="24"/>
              </w:rPr>
            </w:pPr>
            <w:r>
              <w:rPr>
                <w:rFonts w:hint="eastAsia" w:ascii="宋体" w:hAnsi="宋体" w:cs="宋体"/>
                <w:sz w:val="24"/>
              </w:rPr>
              <w:t xml:space="preserve">联系人：曾雪梅     </w:t>
            </w:r>
          </w:p>
          <w:p>
            <w:pPr>
              <w:autoSpaceDE w:val="0"/>
              <w:autoSpaceDN w:val="0"/>
              <w:spacing w:line="440" w:lineRule="exact"/>
              <w:textAlignment w:val="bottom"/>
              <w:rPr>
                <w:rFonts w:ascii="宋体" w:hAnsi="宋体" w:cs="宋体"/>
                <w:sz w:val="24"/>
              </w:rPr>
            </w:pPr>
            <w:r>
              <w:rPr>
                <w:rFonts w:hint="eastAsia" w:ascii="宋体" w:hAnsi="宋体" w:cs="宋体"/>
                <w:sz w:val="24"/>
              </w:rPr>
              <w:t>电  话：</w:t>
            </w:r>
            <w:r>
              <w:rPr>
                <w:rFonts w:ascii="宋体" w:hAnsi="宋体" w:cs="宋体"/>
                <w:sz w:val="24"/>
              </w:rPr>
              <w:t xml:space="preserve"> </w:t>
            </w:r>
            <w:r>
              <w:rPr>
                <w:rFonts w:hint="eastAsia" w:ascii="宋体" w:hAnsi="宋体" w:cs="宋体"/>
                <w:sz w:val="24"/>
              </w:rPr>
              <w:t>18699958854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4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8</w:t>
            </w:r>
          </w:p>
        </w:tc>
        <w:tc>
          <w:tcPr>
            <w:tcW w:w="88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投标保证金</w:t>
            </w:r>
          </w:p>
        </w:tc>
        <w:tc>
          <w:tcPr>
            <w:tcW w:w="3861" w:type="pct"/>
            <w:vAlign w:val="center"/>
          </w:tcPr>
          <w:p>
            <w:pPr>
              <w:pStyle w:val="46"/>
              <w:widowControl w:val="0"/>
              <w:overflowPunct/>
              <w:snapToGrid w:val="0"/>
              <w:spacing w:line="440" w:lineRule="exact"/>
              <w:jc w:val="both"/>
              <w:textAlignment w:val="auto"/>
              <w:rPr>
                <w:rFonts w:ascii="宋体" w:hAnsi="宋体" w:cs="宋体"/>
                <w:szCs w:val="24"/>
              </w:rPr>
            </w:pPr>
            <w:r>
              <w:rPr>
                <w:rFonts w:hint="eastAsia" w:ascii="宋体" w:hAnsi="宋体" w:cs="宋体"/>
                <w:szCs w:val="24"/>
              </w:rPr>
              <w:t>（10000元）一万元整</w:t>
            </w:r>
          </w:p>
          <w:p>
            <w:pPr>
              <w:pStyle w:val="46"/>
              <w:widowControl w:val="0"/>
              <w:overflowPunct/>
              <w:snapToGrid w:val="0"/>
              <w:spacing w:line="440" w:lineRule="exact"/>
              <w:jc w:val="both"/>
              <w:textAlignment w:val="auto"/>
              <w:rPr>
                <w:rFonts w:ascii="宋体" w:hAnsi="宋体" w:cs="宋体"/>
                <w:szCs w:val="24"/>
              </w:rPr>
            </w:pPr>
            <w:r>
              <w:rPr>
                <w:rFonts w:hint="eastAsia" w:ascii="宋体" w:hAnsi="宋体" w:cs="宋体"/>
                <w:szCs w:val="24"/>
              </w:rPr>
              <w:t>供应商应于开标前一个工作日17：00前（北京时间），基本行户中汇出至新疆秉强工程项目管理有限公司，并凭缴费凭据到新疆秉强工程项目管理有限公司财务室开具投标保证金收据，投标保证金未按规定时间缴纳或提交金额不足的，将被视为无效投标文件,其投标文件将被拒绝评审。）【供应商应充分考虑资金的在途时间，并在递交投标保证金时必须备注所投项目信息】</w:t>
            </w:r>
          </w:p>
          <w:p>
            <w:pPr>
              <w:pStyle w:val="46"/>
              <w:widowControl w:val="0"/>
              <w:overflowPunct/>
              <w:snapToGrid w:val="0"/>
              <w:spacing w:line="440" w:lineRule="exact"/>
              <w:jc w:val="both"/>
              <w:textAlignment w:val="auto"/>
              <w:rPr>
                <w:rFonts w:ascii="宋体" w:hAnsi="宋体" w:cs="宋体"/>
                <w:szCs w:val="24"/>
              </w:rPr>
            </w:pPr>
            <w:r>
              <w:rPr>
                <w:rFonts w:hint="eastAsia" w:ascii="宋体" w:hAnsi="宋体" w:cs="宋体"/>
                <w:szCs w:val="24"/>
              </w:rPr>
              <w:t xml:space="preserve">开户银行:  工行伊犁伊宁斯大林西街支行  </w:t>
            </w:r>
          </w:p>
          <w:p>
            <w:pPr>
              <w:pStyle w:val="46"/>
              <w:widowControl w:val="0"/>
              <w:overflowPunct/>
              <w:snapToGrid w:val="0"/>
              <w:spacing w:line="440" w:lineRule="exact"/>
              <w:jc w:val="both"/>
              <w:textAlignment w:val="auto"/>
              <w:rPr>
                <w:rFonts w:ascii="宋体" w:hAnsi="宋体" w:cs="宋体"/>
                <w:szCs w:val="24"/>
              </w:rPr>
            </w:pPr>
            <w:r>
              <w:rPr>
                <w:rFonts w:hint="eastAsia" w:ascii="宋体" w:hAnsi="宋体" w:cs="宋体"/>
                <w:szCs w:val="24"/>
              </w:rPr>
              <w:t>行    号：102898002424</w:t>
            </w:r>
          </w:p>
          <w:p>
            <w:pPr>
              <w:pStyle w:val="46"/>
              <w:widowControl w:val="0"/>
              <w:overflowPunct/>
              <w:snapToGrid w:val="0"/>
              <w:spacing w:line="440" w:lineRule="exact"/>
              <w:jc w:val="both"/>
              <w:textAlignment w:val="auto"/>
              <w:rPr>
                <w:rFonts w:ascii="宋体" w:hAnsi="宋体" w:cs="宋体"/>
                <w:szCs w:val="24"/>
              </w:rPr>
            </w:pPr>
            <w:r>
              <w:rPr>
                <w:rFonts w:hint="eastAsia" w:ascii="宋体" w:hAnsi="宋体" w:cs="宋体"/>
                <w:szCs w:val="24"/>
              </w:rPr>
              <w:t>账    号：3006024219000027516</w:t>
            </w:r>
          </w:p>
          <w:p>
            <w:pPr>
              <w:pStyle w:val="46"/>
              <w:widowControl w:val="0"/>
              <w:overflowPunct/>
              <w:snapToGrid w:val="0"/>
              <w:spacing w:line="440" w:lineRule="exact"/>
              <w:jc w:val="both"/>
              <w:textAlignment w:val="auto"/>
              <w:rPr>
                <w:rFonts w:ascii="宋体" w:hAnsi="宋体" w:cs="宋体"/>
                <w:szCs w:val="24"/>
              </w:rPr>
            </w:pPr>
            <w:r>
              <w:rPr>
                <w:rFonts w:hint="eastAsia" w:ascii="宋体" w:hAnsi="宋体" w:cs="宋体"/>
                <w:szCs w:val="24"/>
              </w:rPr>
              <w:t>联系电话：0999-6793104</w:t>
            </w:r>
          </w:p>
          <w:p>
            <w:pPr>
              <w:pStyle w:val="46"/>
              <w:widowControl w:val="0"/>
              <w:overflowPunct/>
              <w:snapToGrid w:val="0"/>
              <w:spacing w:line="440" w:lineRule="exact"/>
              <w:jc w:val="both"/>
              <w:textAlignment w:val="auto"/>
              <w:rPr>
                <w:rFonts w:ascii="宋体" w:hAnsi="宋体" w:cs="宋体"/>
                <w:szCs w:val="24"/>
              </w:rPr>
            </w:pPr>
            <w:r>
              <w:rPr>
                <w:rFonts w:hint="eastAsia" w:ascii="宋体" w:hAnsi="宋体" w:cs="宋体"/>
                <w:szCs w:val="24"/>
              </w:rPr>
              <w:t>地址：新疆伊犁哈萨克自治州伊宁市公共租赁房佳和宜园小区4号综合楼301</w:t>
            </w:r>
          </w:p>
          <w:p>
            <w:pPr>
              <w:pStyle w:val="46"/>
              <w:widowControl w:val="0"/>
              <w:overflowPunct/>
              <w:snapToGrid w:val="0"/>
              <w:spacing w:line="440" w:lineRule="exact"/>
              <w:jc w:val="both"/>
              <w:textAlignment w:val="auto"/>
              <w:rPr>
                <w:rFonts w:ascii="宋体" w:hAnsi="宋体" w:cs="宋体"/>
                <w:szCs w:val="24"/>
              </w:rPr>
            </w:pPr>
            <w:r>
              <w:rPr>
                <w:rFonts w:hint="eastAsia" w:ascii="宋体" w:hAnsi="宋体" w:cs="宋体"/>
                <w:szCs w:val="24"/>
              </w:rPr>
              <w:t xml:space="preserve">投标保证金的形式：银行电汇、网银或保函          </w:t>
            </w:r>
          </w:p>
          <w:p>
            <w:pPr>
              <w:pStyle w:val="46"/>
              <w:widowControl w:val="0"/>
              <w:overflowPunct/>
              <w:snapToGrid w:val="0"/>
              <w:spacing w:line="440" w:lineRule="exact"/>
              <w:jc w:val="both"/>
              <w:textAlignment w:val="auto"/>
              <w:rPr>
                <w:rFonts w:ascii="宋体" w:hAnsi="宋体" w:cs="宋体"/>
                <w:szCs w:val="24"/>
              </w:rPr>
            </w:pPr>
            <w:r>
              <w:rPr>
                <w:rFonts w:hint="eastAsia" w:ascii="宋体" w:hAnsi="宋体" w:cs="宋体"/>
                <w:szCs w:val="24"/>
              </w:rPr>
              <w:t>投标保证金有效期：投标截止时间后30天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9</w:t>
            </w:r>
          </w:p>
        </w:tc>
        <w:tc>
          <w:tcPr>
            <w:tcW w:w="88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质量要求</w:t>
            </w:r>
          </w:p>
        </w:tc>
        <w:tc>
          <w:tcPr>
            <w:tcW w:w="3861" w:type="pct"/>
            <w:vAlign w:val="center"/>
          </w:tcPr>
          <w:p>
            <w:pPr>
              <w:spacing w:line="500" w:lineRule="exact"/>
              <w:jc w:val="left"/>
              <w:rPr>
                <w:rFonts w:ascii="宋体" w:hAnsi="宋体" w:cs="宋体"/>
                <w:kern w:val="0"/>
                <w:sz w:val="24"/>
              </w:rPr>
            </w:pPr>
            <w:r>
              <w:rPr>
                <w:rFonts w:hint="eastAsia" w:ascii="宋体" w:hAnsi="宋体" w:cs="宋体"/>
                <w:kern w:val="0"/>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10</w:t>
            </w:r>
          </w:p>
        </w:tc>
        <w:tc>
          <w:tcPr>
            <w:tcW w:w="88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服务期</w:t>
            </w:r>
          </w:p>
        </w:tc>
        <w:tc>
          <w:tcPr>
            <w:tcW w:w="3861" w:type="pct"/>
            <w:vAlign w:val="center"/>
          </w:tcPr>
          <w:p>
            <w:pPr>
              <w:autoSpaceDE w:val="0"/>
              <w:autoSpaceDN w:val="0"/>
              <w:spacing w:line="440" w:lineRule="exact"/>
              <w:jc w:val="left"/>
              <w:textAlignment w:val="bottom"/>
              <w:rPr>
                <w:rFonts w:ascii="宋体" w:hAnsi="宋体" w:cs="宋体"/>
                <w:kern w:val="0"/>
                <w:sz w:val="24"/>
              </w:rPr>
            </w:pPr>
            <w:r>
              <w:rPr>
                <w:rFonts w:hint="eastAsia" w:ascii="宋体" w:hAnsi="宋体" w:cs="宋体"/>
                <w:kern w:val="0"/>
                <w:sz w:val="24"/>
              </w:rPr>
              <w:t>2023年6月-2023年11月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3" w:hRule="atLeast"/>
          <w:jc w:val="center"/>
        </w:trPr>
        <w:tc>
          <w:tcPr>
            <w:tcW w:w="24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11</w:t>
            </w:r>
          </w:p>
        </w:tc>
        <w:tc>
          <w:tcPr>
            <w:tcW w:w="88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供应商</w:t>
            </w:r>
          </w:p>
          <w:p>
            <w:pPr>
              <w:autoSpaceDE w:val="0"/>
              <w:autoSpaceDN w:val="0"/>
              <w:spacing w:line="440" w:lineRule="exact"/>
              <w:jc w:val="center"/>
              <w:textAlignment w:val="bottom"/>
              <w:rPr>
                <w:rFonts w:ascii="宋体" w:hAnsi="宋体" w:cs="宋体"/>
                <w:color w:val="000000"/>
                <w:sz w:val="24"/>
              </w:rPr>
            </w:pPr>
            <w:r>
              <w:rPr>
                <w:rFonts w:hint="eastAsia" w:ascii="宋体" w:hAnsi="宋体" w:cs="宋体"/>
                <w:sz w:val="24"/>
              </w:rPr>
              <w:t>资格要求</w:t>
            </w:r>
          </w:p>
        </w:tc>
        <w:tc>
          <w:tcPr>
            <w:tcW w:w="3861" w:type="pct"/>
            <w:vAlign w:val="center"/>
          </w:tcPr>
          <w:p>
            <w:pPr>
              <w:pStyle w:val="46"/>
              <w:widowControl w:val="0"/>
              <w:overflowPunct/>
              <w:snapToGrid w:val="0"/>
              <w:spacing w:line="440" w:lineRule="exact"/>
              <w:jc w:val="both"/>
              <w:textAlignment w:val="auto"/>
              <w:rPr>
                <w:rFonts w:ascii="宋体" w:hAnsi="宋体" w:cs="宋体"/>
                <w:sz w:val="21"/>
                <w:szCs w:val="21"/>
              </w:rPr>
            </w:pPr>
            <w:r>
              <w:rPr>
                <w:rFonts w:hint="eastAsia" w:ascii="宋体" w:hAnsi="宋体" w:cs="宋体"/>
                <w:sz w:val="21"/>
                <w:szCs w:val="21"/>
              </w:rPr>
              <w:t>一、基本资格要求：</w:t>
            </w:r>
          </w:p>
          <w:p>
            <w:pPr>
              <w:pStyle w:val="46"/>
              <w:widowControl w:val="0"/>
              <w:overflowPunct/>
              <w:snapToGrid w:val="0"/>
              <w:spacing w:line="440" w:lineRule="exact"/>
              <w:jc w:val="both"/>
              <w:textAlignment w:val="auto"/>
              <w:rPr>
                <w:rFonts w:ascii="宋体" w:hAnsi="宋体" w:cs="宋体"/>
                <w:sz w:val="21"/>
                <w:szCs w:val="21"/>
              </w:rPr>
            </w:pPr>
            <w:r>
              <w:rPr>
                <w:rFonts w:hint="eastAsia" w:ascii="宋体" w:hAnsi="宋体" w:cs="宋体"/>
                <w:sz w:val="21"/>
                <w:szCs w:val="21"/>
              </w:rPr>
              <w:t>1、供应商须符合《中华人民共和国政府采购法》第二十二条规定,并提供《中华人民共和国政府采购法实施条例》第十七条所要求的材料；</w:t>
            </w:r>
          </w:p>
          <w:p>
            <w:pPr>
              <w:pStyle w:val="46"/>
              <w:widowControl w:val="0"/>
              <w:overflowPunct/>
              <w:snapToGrid w:val="0"/>
              <w:spacing w:line="440" w:lineRule="exact"/>
              <w:jc w:val="both"/>
              <w:textAlignment w:val="auto"/>
              <w:rPr>
                <w:rFonts w:ascii="宋体" w:hAnsi="宋体" w:cs="宋体"/>
                <w:sz w:val="21"/>
                <w:szCs w:val="21"/>
              </w:rPr>
            </w:pPr>
            <w:r>
              <w:rPr>
                <w:rFonts w:hint="eastAsia" w:ascii="宋体" w:hAnsi="宋体" w:cs="宋体"/>
                <w:sz w:val="21"/>
                <w:szCs w:val="21"/>
              </w:rPr>
              <w:t>（1）供应商提供有效的统一社会信用代码的营业执照，供应商必须是中华人民共和国境内注册的，具有独立承担民事责任的能力；</w:t>
            </w:r>
          </w:p>
          <w:p>
            <w:pPr>
              <w:pStyle w:val="46"/>
              <w:widowControl w:val="0"/>
              <w:overflowPunct/>
              <w:snapToGrid w:val="0"/>
              <w:spacing w:line="440" w:lineRule="exact"/>
              <w:jc w:val="both"/>
              <w:textAlignment w:val="auto"/>
              <w:rPr>
                <w:rFonts w:ascii="宋体" w:hAnsi="宋体" w:cs="宋体"/>
                <w:sz w:val="21"/>
                <w:szCs w:val="21"/>
              </w:rPr>
            </w:pPr>
            <w:r>
              <w:rPr>
                <w:rFonts w:hint="eastAsia" w:ascii="宋体" w:hAnsi="宋体" w:cs="宋体"/>
                <w:sz w:val="21"/>
                <w:szCs w:val="21"/>
              </w:rPr>
              <w:t>（2）财务状况报告：供应商提供</w:t>
            </w:r>
            <w:r>
              <w:rPr>
                <w:rFonts w:hint="eastAsia" w:asciiTheme="minorEastAsia" w:hAnsiTheme="minorEastAsia" w:eastAsiaTheme="minorEastAsia" w:cstheme="minorEastAsia"/>
                <w:b w:val="0"/>
                <w:bCs w:val="0"/>
                <w:sz w:val="24"/>
                <w:highlight w:val="none"/>
              </w:rPr>
              <w:t>2021或2</w:t>
            </w:r>
            <w:r>
              <w:rPr>
                <w:rFonts w:hint="eastAsia" w:asciiTheme="minorEastAsia" w:hAnsiTheme="minorEastAsia" w:eastAsiaTheme="minorEastAsia" w:cstheme="minorEastAsia"/>
                <w:b w:val="0"/>
                <w:bCs w:val="0"/>
                <w:sz w:val="24"/>
              </w:rPr>
              <w:t>022年</w:t>
            </w:r>
            <w:r>
              <w:rPr>
                <w:rFonts w:hint="eastAsia" w:ascii="宋体" w:hAnsi="宋体" w:cs="宋体"/>
                <w:sz w:val="21"/>
                <w:szCs w:val="21"/>
              </w:rPr>
              <w:t>经第三方权威机构出具的完整的财务审计报告或</w:t>
            </w:r>
            <w:r>
              <w:rPr>
                <w:rFonts w:hint="eastAsia" w:asciiTheme="minorEastAsia" w:hAnsiTheme="minorEastAsia" w:eastAsiaTheme="minorEastAsia" w:cstheme="minorEastAsia"/>
                <w:b w:val="0"/>
                <w:bCs w:val="0"/>
                <w:sz w:val="24"/>
                <w:highlight w:val="none"/>
              </w:rPr>
              <w:t>2021或2</w:t>
            </w:r>
            <w:r>
              <w:rPr>
                <w:rFonts w:hint="eastAsia" w:asciiTheme="minorEastAsia" w:hAnsiTheme="minorEastAsia" w:eastAsiaTheme="minorEastAsia" w:cstheme="minorEastAsia"/>
                <w:b w:val="0"/>
                <w:bCs w:val="0"/>
                <w:sz w:val="24"/>
              </w:rPr>
              <w:t>022年</w:t>
            </w:r>
            <w:r>
              <w:rPr>
                <w:rFonts w:hint="eastAsia" w:ascii="宋体" w:hAnsi="宋体" w:cs="宋体"/>
                <w:sz w:val="21"/>
                <w:szCs w:val="21"/>
              </w:rPr>
              <w:t>财务决算报告或自发布公告之日起基本开户银行出具的资信证明； </w:t>
            </w:r>
          </w:p>
          <w:p>
            <w:pPr>
              <w:pStyle w:val="46"/>
              <w:widowControl w:val="0"/>
              <w:overflowPunct/>
              <w:snapToGrid w:val="0"/>
              <w:spacing w:line="440" w:lineRule="exact"/>
              <w:jc w:val="both"/>
              <w:textAlignment w:val="auto"/>
              <w:rPr>
                <w:rFonts w:ascii="宋体" w:hAnsi="宋体" w:cs="宋体"/>
                <w:sz w:val="21"/>
                <w:szCs w:val="21"/>
              </w:rPr>
            </w:pPr>
            <w:r>
              <w:rPr>
                <w:rFonts w:hint="eastAsia" w:ascii="宋体" w:hAnsi="宋体" w:cs="宋体"/>
                <w:sz w:val="21"/>
                <w:szCs w:val="21"/>
              </w:rPr>
              <w:t>（3）依法缴纳税收：供应商提供自投标截止之日前半年内任意一个月依法缴纳税收的凭据，依法免税的供应商，应提供充足的证明材料； </w:t>
            </w:r>
          </w:p>
          <w:p>
            <w:pPr>
              <w:pStyle w:val="46"/>
              <w:widowControl w:val="0"/>
              <w:overflowPunct/>
              <w:snapToGrid w:val="0"/>
              <w:spacing w:line="440" w:lineRule="exact"/>
              <w:jc w:val="both"/>
              <w:textAlignment w:val="auto"/>
              <w:rPr>
                <w:rFonts w:ascii="宋体" w:hAnsi="宋体" w:cs="宋体"/>
                <w:sz w:val="21"/>
                <w:szCs w:val="21"/>
              </w:rPr>
            </w:pPr>
            <w:r>
              <w:rPr>
                <w:rFonts w:hint="eastAsia" w:ascii="宋体" w:hAnsi="宋体" w:cs="宋体"/>
                <w:sz w:val="21"/>
                <w:szCs w:val="21"/>
              </w:rPr>
              <w:t>（4）依法缴纳社保：供应商提供项目负责人近半年在本单位（2023年02月～2023年07月）缴纳的个人社会保险缴纳明细； </w:t>
            </w:r>
          </w:p>
          <w:p>
            <w:pPr>
              <w:pStyle w:val="46"/>
              <w:widowControl w:val="0"/>
              <w:overflowPunct/>
              <w:snapToGrid w:val="0"/>
              <w:spacing w:line="440" w:lineRule="exact"/>
              <w:jc w:val="both"/>
              <w:textAlignment w:val="auto"/>
              <w:rPr>
                <w:rFonts w:ascii="宋体" w:hAnsi="宋体" w:cs="宋体"/>
                <w:sz w:val="21"/>
                <w:szCs w:val="21"/>
              </w:rPr>
            </w:pPr>
            <w:r>
              <w:rPr>
                <w:rFonts w:hint="eastAsia" w:ascii="宋体" w:hAnsi="宋体" w:cs="宋体"/>
                <w:sz w:val="21"/>
                <w:szCs w:val="21"/>
              </w:rPr>
              <w:t>（5）供应商具备履行合同所必需的设备和专业技术能力的证明材料； </w:t>
            </w:r>
          </w:p>
          <w:p>
            <w:pPr>
              <w:pStyle w:val="46"/>
              <w:widowControl w:val="0"/>
              <w:overflowPunct/>
              <w:snapToGrid w:val="0"/>
              <w:spacing w:line="440" w:lineRule="exact"/>
              <w:jc w:val="both"/>
              <w:textAlignment w:val="auto"/>
              <w:rPr>
                <w:rFonts w:ascii="宋体" w:hAnsi="宋体" w:cs="宋体"/>
                <w:sz w:val="21"/>
                <w:szCs w:val="21"/>
              </w:rPr>
            </w:pPr>
            <w:r>
              <w:rPr>
                <w:rFonts w:hint="eastAsia" w:ascii="宋体" w:hAnsi="宋体" w:cs="宋体"/>
                <w:sz w:val="21"/>
                <w:szCs w:val="21"/>
              </w:rPr>
              <w:t>（6）供应商提供参加政府采购活动前 3 年内在经营活动中没有重大违法记录的书面声明（截至开标日成立不满 3 年的供应商，可提供自成立以来无重大违法记录的书面声明）。 </w:t>
            </w:r>
          </w:p>
          <w:p>
            <w:pPr>
              <w:pStyle w:val="46"/>
              <w:widowControl w:val="0"/>
              <w:overflowPunct/>
              <w:snapToGrid w:val="0"/>
              <w:spacing w:line="440" w:lineRule="exact"/>
              <w:jc w:val="both"/>
              <w:textAlignment w:val="auto"/>
              <w:rPr>
                <w:rFonts w:ascii="宋体" w:hAnsi="宋体" w:cs="宋体"/>
                <w:sz w:val="21"/>
                <w:szCs w:val="21"/>
              </w:rPr>
            </w:pPr>
            <w:r>
              <w:rPr>
                <w:rFonts w:hint="eastAsia" w:ascii="宋体" w:hAnsi="宋体" w:cs="宋体"/>
                <w:sz w:val="21"/>
                <w:szCs w:val="21"/>
              </w:rPr>
              <w:t>2、投标人未被“信用中国”（www.creditchina.gov.cn）、中国政府采</w:t>
            </w:r>
          </w:p>
          <w:p>
            <w:pPr>
              <w:pStyle w:val="46"/>
              <w:widowControl w:val="0"/>
              <w:overflowPunct/>
              <w:snapToGrid w:val="0"/>
              <w:spacing w:line="440" w:lineRule="exact"/>
              <w:jc w:val="both"/>
              <w:textAlignment w:val="auto"/>
              <w:rPr>
                <w:rFonts w:ascii="宋体" w:hAnsi="宋体" w:cs="宋体"/>
                <w:sz w:val="21"/>
                <w:szCs w:val="21"/>
              </w:rPr>
            </w:pPr>
            <w:r>
              <w:rPr>
                <w:rFonts w:hint="eastAsia" w:ascii="宋体" w:hAnsi="宋体" w:cs="宋体"/>
                <w:sz w:val="21"/>
                <w:szCs w:val="21"/>
              </w:rPr>
              <w:t>购网（www.ccgp.gov.cn）列入失信被执行人、重大税收违法案件当事人名单以及政府采购严重违法失信行为记录名单；</w:t>
            </w:r>
          </w:p>
          <w:p>
            <w:pPr>
              <w:pStyle w:val="46"/>
              <w:widowControl w:val="0"/>
              <w:overflowPunct/>
              <w:snapToGrid w:val="0"/>
              <w:spacing w:line="440" w:lineRule="exact"/>
              <w:jc w:val="both"/>
              <w:textAlignment w:val="auto"/>
              <w:rPr>
                <w:rFonts w:ascii="宋体" w:hAnsi="宋体" w:cs="宋体"/>
                <w:sz w:val="21"/>
                <w:szCs w:val="21"/>
              </w:rPr>
            </w:pPr>
            <w:r>
              <w:rPr>
                <w:rFonts w:hint="eastAsia" w:ascii="宋体" w:hAnsi="宋体" w:cs="宋体"/>
                <w:sz w:val="21"/>
                <w:szCs w:val="21"/>
              </w:rPr>
              <w:t>二、落实政府采购政策需满足的资格要求：详见政府采购法；</w:t>
            </w:r>
          </w:p>
          <w:p>
            <w:pPr>
              <w:pStyle w:val="46"/>
              <w:widowControl w:val="0"/>
              <w:overflowPunct/>
              <w:snapToGrid w:val="0"/>
              <w:spacing w:line="440" w:lineRule="exact"/>
              <w:jc w:val="both"/>
              <w:textAlignment w:val="auto"/>
              <w:rPr>
                <w:rFonts w:ascii="宋体" w:hAnsi="宋体" w:cs="宋体"/>
                <w:sz w:val="21"/>
                <w:szCs w:val="21"/>
              </w:rPr>
            </w:pPr>
            <w:r>
              <w:rPr>
                <w:rFonts w:hint="eastAsia" w:ascii="宋体" w:hAnsi="宋体" w:cs="宋体"/>
                <w:sz w:val="21"/>
                <w:szCs w:val="21"/>
              </w:rPr>
              <w:t>三、本项目的特定资格要求：</w:t>
            </w:r>
          </w:p>
          <w:p>
            <w:pPr>
              <w:pStyle w:val="46"/>
              <w:widowControl w:val="0"/>
              <w:overflowPunct/>
              <w:snapToGrid w:val="0"/>
              <w:spacing w:line="440" w:lineRule="exact"/>
              <w:jc w:val="both"/>
              <w:textAlignment w:val="auto"/>
              <w:rPr>
                <w:rFonts w:ascii="宋体" w:hAnsi="宋体" w:cs="宋体"/>
                <w:sz w:val="21"/>
                <w:szCs w:val="21"/>
              </w:rPr>
            </w:pPr>
            <w:r>
              <w:rPr>
                <w:rFonts w:hint="eastAsia" w:ascii="宋体" w:hAnsi="宋体" w:cs="宋体"/>
                <w:sz w:val="21"/>
                <w:szCs w:val="21"/>
              </w:rPr>
              <w:t>（1）投标人需具备林业调查规划设计甲级资质,具有相应的规划编制能力及履行本项目所必须的设备、人员及专业技术能力证书； </w:t>
            </w:r>
          </w:p>
          <w:p>
            <w:pPr>
              <w:pStyle w:val="46"/>
              <w:widowControl w:val="0"/>
              <w:overflowPunct/>
              <w:snapToGrid w:val="0"/>
              <w:spacing w:line="440" w:lineRule="exact"/>
              <w:jc w:val="both"/>
              <w:textAlignment w:val="auto"/>
              <w:rPr>
                <w:rFonts w:ascii="宋体" w:hAnsi="宋体" w:cs="宋体"/>
                <w:sz w:val="21"/>
                <w:szCs w:val="21"/>
              </w:rPr>
            </w:pPr>
            <w:r>
              <w:rPr>
                <w:rFonts w:hint="eastAsia" w:ascii="宋体" w:hAnsi="宋体" w:cs="宋体"/>
                <w:sz w:val="21"/>
                <w:szCs w:val="21"/>
              </w:rPr>
              <w:t>（2）拟派项目负责人需具有林业相关专业高级职称；</w:t>
            </w:r>
          </w:p>
          <w:p>
            <w:pPr>
              <w:pStyle w:val="46"/>
              <w:widowControl w:val="0"/>
              <w:overflowPunct/>
              <w:snapToGrid w:val="0"/>
              <w:spacing w:line="440" w:lineRule="exact"/>
              <w:jc w:val="both"/>
              <w:textAlignment w:val="auto"/>
              <w:rPr>
                <w:rFonts w:ascii="宋体" w:hAnsi="宋体" w:cs="宋体"/>
                <w:sz w:val="21"/>
                <w:szCs w:val="21"/>
              </w:rPr>
            </w:pPr>
            <w:r>
              <w:rPr>
                <w:rFonts w:hint="eastAsia" w:ascii="宋体" w:hAnsi="宋体" w:cs="宋体"/>
                <w:sz w:val="21"/>
                <w:szCs w:val="21"/>
              </w:rPr>
              <w:t>（3）单位负责人为同一人或者存在直接控股、管理关系的不同投标人，不得参加同一合同项下的政府采购活动。除单一来源采购项目外，为采购项目提供整体设计、规范编制或者项目管理、监理、检测等服务的受托人，不得再参加该采购项目的其他采购活动；</w:t>
            </w:r>
          </w:p>
          <w:p>
            <w:pPr>
              <w:pStyle w:val="46"/>
              <w:widowControl w:val="0"/>
              <w:overflowPunct/>
              <w:snapToGrid w:val="0"/>
              <w:spacing w:line="440" w:lineRule="exact"/>
              <w:jc w:val="both"/>
              <w:textAlignment w:val="auto"/>
              <w:rPr>
                <w:rFonts w:ascii="宋体" w:hAnsi="宋体" w:cs="宋体"/>
                <w:szCs w:val="24"/>
              </w:rPr>
            </w:pPr>
            <w:r>
              <w:rPr>
                <w:rFonts w:hint="eastAsia" w:ascii="宋体" w:hAnsi="宋体" w:cs="宋体"/>
                <w:sz w:val="21"/>
                <w:szCs w:val="21"/>
              </w:rPr>
              <w:t>四、本项目不接受联合体投标。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49" w:type="pct"/>
            <w:vAlign w:val="center"/>
          </w:tcPr>
          <w:p>
            <w:pPr>
              <w:autoSpaceDE w:val="0"/>
              <w:autoSpaceDN w:val="0"/>
              <w:spacing w:line="440" w:lineRule="exact"/>
              <w:jc w:val="center"/>
              <w:textAlignment w:val="bottom"/>
              <w:rPr>
                <w:rFonts w:ascii="宋体" w:hAnsi="宋体" w:cs="宋体"/>
                <w:sz w:val="24"/>
              </w:rPr>
            </w:pPr>
            <w:bookmarkStart w:id="25" w:name="_Toc139186820"/>
            <w:bookmarkStart w:id="26" w:name="_Toc139254157"/>
            <w:r>
              <w:rPr>
                <w:rFonts w:hint="eastAsia" w:ascii="宋体" w:hAnsi="宋体" w:cs="宋体"/>
                <w:sz w:val="24"/>
              </w:rPr>
              <w:t>12</w:t>
            </w:r>
          </w:p>
        </w:tc>
        <w:tc>
          <w:tcPr>
            <w:tcW w:w="88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投标有效期</w:t>
            </w:r>
          </w:p>
        </w:tc>
        <w:tc>
          <w:tcPr>
            <w:tcW w:w="3861" w:type="pct"/>
            <w:vAlign w:val="center"/>
          </w:tcPr>
          <w:p>
            <w:pPr>
              <w:autoSpaceDE w:val="0"/>
              <w:autoSpaceDN w:val="0"/>
              <w:spacing w:line="440" w:lineRule="exact"/>
              <w:textAlignment w:val="bottom"/>
              <w:rPr>
                <w:rFonts w:ascii="宋体" w:hAnsi="宋体" w:cs="宋体"/>
                <w:sz w:val="24"/>
              </w:rPr>
            </w:pPr>
            <w:r>
              <w:rPr>
                <w:rFonts w:hint="eastAsia" w:ascii="宋体" w:hAnsi="宋体" w:cs="宋体"/>
                <w:sz w:val="24"/>
              </w:rPr>
              <w:t xml:space="preserve"> 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4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13</w:t>
            </w:r>
          </w:p>
        </w:tc>
        <w:tc>
          <w:tcPr>
            <w:tcW w:w="88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投标文件份数</w:t>
            </w:r>
          </w:p>
        </w:tc>
        <w:tc>
          <w:tcPr>
            <w:tcW w:w="3861" w:type="pct"/>
            <w:vAlign w:val="center"/>
          </w:tcPr>
          <w:p>
            <w:pPr>
              <w:pStyle w:val="52"/>
              <w:spacing w:before="1"/>
              <w:rPr>
                <w:rFonts w:ascii="宋体" w:hAnsi="宋体" w:cs="宋体"/>
                <w:sz w:val="24"/>
              </w:rPr>
            </w:pPr>
            <w:r>
              <w:rPr>
                <w:rFonts w:hint="eastAsia" w:asciiTheme="minorEastAsia" w:hAnsiTheme="minorEastAsia" w:eastAsiaTheme="minorEastAsia" w:cstheme="minorEastAsia"/>
                <w:sz w:val="24"/>
              </w:rPr>
              <w:t>开标结果公示后中标人提供纸质版投标文件：正本壹份、副本叁份。未中标人提供纸质版投标文件：正本一份、副本两份。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4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14</w:t>
            </w:r>
          </w:p>
        </w:tc>
        <w:tc>
          <w:tcPr>
            <w:tcW w:w="889" w:type="pct"/>
            <w:vAlign w:val="center"/>
          </w:tcPr>
          <w:p>
            <w:pPr>
              <w:autoSpaceDE w:val="0"/>
              <w:autoSpaceDN w:val="0"/>
              <w:spacing w:line="500" w:lineRule="exact"/>
              <w:textAlignment w:val="bottom"/>
              <w:rPr>
                <w:rFonts w:ascii="宋体" w:hAnsi="宋体" w:cs="宋体"/>
                <w:sz w:val="24"/>
                <w:highlight w:val="yellow"/>
              </w:rPr>
            </w:pPr>
            <w:r>
              <w:rPr>
                <w:rFonts w:hint="eastAsia" w:ascii="宋体" w:hAnsi="宋体" w:cs="宋体"/>
                <w:sz w:val="24"/>
              </w:rPr>
              <w:t>投标文件递交地点及时间</w:t>
            </w:r>
          </w:p>
        </w:tc>
        <w:tc>
          <w:tcPr>
            <w:tcW w:w="3861" w:type="pct"/>
            <w:vAlign w:val="center"/>
          </w:tcPr>
          <w:p>
            <w:pPr>
              <w:autoSpaceDE w:val="0"/>
              <w:autoSpaceDN w:val="0"/>
              <w:spacing w:line="440" w:lineRule="exact"/>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递交地点：投标单位可通过账号密码或CA登录政采云客户端</w:t>
            </w:r>
          </w:p>
          <w:p>
            <w:pPr>
              <w:autoSpaceDE w:val="0"/>
              <w:autoSpaceDN w:val="0"/>
              <w:spacing w:line="440" w:lineRule="exact"/>
              <w:jc w:val="left"/>
              <w:textAlignment w:val="bottom"/>
              <w:rPr>
                <w:rFonts w:ascii="宋体" w:hAnsi="宋体" w:cs="宋体"/>
                <w:sz w:val="24"/>
              </w:rPr>
            </w:pPr>
            <w:r>
              <w:rPr>
                <w:rFonts w:hint="eastAsia" w:asciiTheme="minorEastAsia" w:hAnsiTheme="minorEastAsia" w:eastAsiaTheme="minorEastAsia" w:cstheme="minorEastAsia"/>
                <w:sz w:val="24"/>
              </w:rPr>
              <w:t>投标截止时间：2023年</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16</w:t>
            </w:r>
            <w:r>
              <w:rPr>
                <w:rFonts w:hint="eastAsia" w:asciiTheme="minorEastAsia" w:hAnsiTheme="minorEastAsia" w:eastAsiaTheme="minorEastAsia" w:cstheme="minorEastAsia"/>
                <w:sz w:val="24"/>
              </w:rPr>
              <w:t>日  1</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0:00（北京时间）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4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15</w:t>
            </w:r>
          </w:p>
        </w:tc>
        <w:tc>
          <w:tcPr>
            <w:tcW w:w="889" w:type="pct"/>
            <w:vAlign w:val="center"/>
          </w:tcPr>
          <w:p>
            <w:pPr>
              <w:autoSpaceDE w:val="0"/>
              <w:autoSpaceDN w:val="0"/>
              <w:spacing w:line="500" w:lineRule="exact"/>
              <w:jc w:val="center"/>
              <w:textAlignment w:val="bottom"/>
              <w:rPr>
                <w:rFonts w:ascii="宋体" w:hAnsi="宋体" w:cs="宋体"/>
                <w:sz w:val="24"/>
                <w:highlight w:val="yellow"/>
              </w:rPr>
            </w:pPr>
            <w:r>
              <w:rPr>
                <w:rFonts w:hint="eastAsia" w:ascii="宋体" w:hAnsi="宋体" w:cs="宋体"/>
                <w:sz w:val="24"/>
              </w:rPr>
              <w:t>开标时间、地点</w:t>
            </w:r>
          </w:p>
        </w:tc>
        <w:tc>
          <w:tcPr>
            <w:tcW w:w="3861" w:type="pct"/>
            <w:vAlign w:val="center"/>
          </w:tcPr>
          <w:p>
            <w:pPr>
              <w:spacing w:line="5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开标时间：</w:t>
            </w:r>
            <w:r>
              <w:rPr>
                <w:rFonts w:hint="eastAsia" w:asciiTheme="minorEastAsia" w:hAnsiTheme="minorEastAsia" w:eastAsiaTheme="minorEastAsia" w:cstheme="minorEastAsia"/>
                <w:b w:val="0"/>
                <w:bCs w:val="0"/>
                <w:sz w:val="24"/>
                <w:highlight w:val="none"/>
              </w:rPr>
              <w:t>2023年</w:t>
            </w:r>
            <w:r>
              <w:rPr>
                <w:rFonts w:hint="eastAsia" w:asciiTheme="minorEastAsia" w:hAnsiTheme="minorEastAsia" w:eastAsiaTheme="minorEastAsia" w:cstheme="minorEastAsia"/>
                <w:b w:val="0"/>
                <w:bCs w:val="0"/>
                <w:sz w:val="24"/>
                <w:highlight w:val="none"/>
                <w:lang w:val="en-US" w:eastAsia="zh-CN"/>
              </w:rPr>
              <w:t>6</w:t>
            </w:r>
            <w:r>
              <w:rPr>
                <w:rFonts w:hint="eastAsia" w:asciiTheme="minorEastAsia" w:hAnsiTheme="minorEastAsia" w:eastAsiaTheme="minorEastAsia" w:cstheme="minorEastAsia"/>
                <w:b w:val="0"/>
                <w:bCs w:val="0"/>
                <w:sz w:val="24"/>
                <w:highlight w:val="none"/>
              </w:rPr>
              <w:t>月</w:t>
            </w:r>
            <w:r>
              <w:rPr>
                <w:rFonts w:hint="eastAsia" w:asciiTheme="minorEastAsia" w:hAnsiTheme="minorEastAsia" w:eastAsiaTheme="minorEastAsia" w:cstheme="minorEastAsia"/>
                <w:b w:val="0"/>
                <w:bCs w:val="0"/>
                <w:sz w:val="24"/>
                <w:highlight w:val="none"/>
                <w:lang w:val="en-US" w:eastAsia="zh-CN"/>
              </w:rPr>
              <w:t>16</w:t>
            </w:r>
            <w:r>
              <w:rPr>
                <w:rFonts w:hint="eastAsia" w:asciiTheme="minorEastAsia" w:hAnsiTheme="minorEastAsia" w:eastAsiaTheme="minorEastAsia" w:cstheme="minorEastAsia"/>
                <w:b w:val="0"/>
                <w:bCs w:val="0"/>
                <w:sz w:val="24"/>
                <w:highlight w:val="none"/>
              </w:rPr>
              <w:t>日  1</w:t>
            </w:r>
            <w:r>
              <w:rPr>
                <w:rFonts w:hint="eastAsia" w:asciiTheme="minorEastAsia" w:hAnsiTheme="minorEastAsia" w:eastAsiaTheme="minorEastAsia" w:cstheme="minorEastAsia"/>
                <w:b w:val="0"/>
                <w:bCs w:val="0"/>
                <w:sz w:val="24"/>
                <w:highlight w:val="none"/>
                <w:lang w:val="en-US" w:eastAsia="zh-CN"/>
              </w:rPr>
              <w:t>6</w:t>
            </w:r>
            <w:r>
              <w:rPr>
                <w:rFonts w:hint="eastAsia" w:asciiTheme="minorEastAsia" w:hAnsiTheme="minorEastAsia" w:eastAsiaTheme="minorEastAsia" w:cstheme="minorEastAsia"/>
                <w:b w:val="0"/>
                <w:bCs w:val="0"/>
                <w:sz w:val="24"/>
                <w:highlight w:val="none"/>
              </w:rPr>
              <w:t>:</w:t>
            </w:r>
            <w:r>
              <w:rPr>
                <w:rFonts w:hint="eastAsia" w:asciiTheme="minorEastAsia" w:hAnsiTheme="minorEastAsia" w:eastAsiaTheme="minorEastAsia" w:cstheme="minorEastAsia"/>
                <w:b w:val="0"/>
                <w:bCs w:val="0"/>
                <w:sz w:val="24"/>
                <w:highlight w:val="none"/>
                <w:lang w:val="en-US" w:eastAsia="zh-CN"/>
              </w:rPr>
              <w:t>0</w:t>
            </w:r>
            <w:r>
              <w:rPr>
                <w:rFonts w:hint="eastAsia" w:asciiTheme="minorEastAsia" w:hAnsiTheme="minorEastAsia" w:eastAsiaTheme="minorEastAsia" w:cstheme="minorEastAsia"/>
                <w:b w:val="0"/>
                <w:bCs w:val="0"/>
                <w:sz w:val="24"/>
                <w:highlight w:val="none"/>
              </w:rPr>
              <w:t>0:00（北京时间） </w:t>
            </w:r>
          </w:p>
          <w:p>
            <w:pPr>
              <w:autoSpaceDE w:val="0"/>
              <w:autoSpaceDN w:val="0"/>
              <w:spacing w:line="440" w:lineRule="exact"/>
              <w:textAlignment w:val="bottom"/>
              <w:rPr>
                <w:rFonts w:ascii="宋体" w:hAnsi="宋体" w:cs="宋体"/>
                <w:sz w:val="24"/>
                <w:highlight w:val="none"/>
              </w:rPr>
            </w:pPr>
            <w:r>
              <w:rPr>
                <w:rFonts w:hint="eastAsia" w:asciiTheme="minorEastAsia" w:hAnsiTheme="minorEastAsia" w:eastAsiaTheme="minorEastAsia" w:cstheme="minorEastAsia"/>
                <w:sz w:val="24"/>
                <w:highlight w:val="none"/>
              </w:rPr>
              <w:t>开标地点：政采云平台线上（https://www.zcygov.cn/）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4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16</w:t>
            </w:r>
          </w:p>
        </w:tc>
        <w:tc>
          <w:tcPr>
            <w:tcW w:w="889" w:type="pct"/>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评标办法</w:t>
            </w:r>
          </w:p>
        </w:tc>
        <w:tc>
          <w:tcPr>
            <w:tcW w:w="3861" w:type="pct"/>
            <w:vAlign w:val="center"/>
          </w:tcPr>
          <w:p>
            <w:pPr>
              <w:autoSpaceDE w:val="0"/>
              <w:autoSpaceDN w:val="0"/>
              <w:spacing w:line="440" w:lineRule="exact"/>
              <w:textAlignment w:val="bottom"/>
              <w:rPr>
                <w:rFonts w:ascii="宋体" w:hAnsi="宋体" w:cs="宋体"/>
                <w:sz w:val="24"/>
              </w:rPr>
            </w:pPr>
            <w:r>
              <w:rPr>
                <w:rFonts w:hint="eastAsia" w:ascii="宋体" w:hAnsi="宋体" w:cs="宋体"/>
                <w:sz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49"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17</w:t>
            </w:r>
          </w:p>
        </w:tc>
        <w:tc>
          <w:tcPr>
            <w:tcW w:w="889"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jc w:val="center"/>
              <w:textAlignment w:val="bottom"/>
              <w:rPr>
                <w:rFonts w:ascii="宋体" w:hAnsi="宋体" w:cs="宋体"/>
                <w:sz w:val="24"/>
              </w:rPr>
            </w:pPr>
            <w:r>
              <w:rPr>
                <w:rFonts w:hint="eastAsia" w:ascii="宋体" w:hAnsi="宋体" w:cs="宋体"/>
                <w:sz w:val="24"/>
              </w:rPr>
              <w:t>预算金额</w:t>
            </w:r>
          </w:p>
        </w:tc>
        <w:tc>
          <w:tcPr>
            <w:tcW w:w="3861"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440" w:lineRule="exact"/>
              <w:textAlignment w:val="bottom"/>
              <w:rPr>
                <w:rFonts w:ascii="宋体" w:hAnsi="宋体" w:cs="宋体"/>
                <w:sz w:val="24"/>
              </w:rPr>
            </w:pPr>
            <w:r>
              <w:rPr>
                <w:rFonts w:hint="eastAsia" w:ascii="宋体" w:hAnsi="宋体" w:cs="宋体"/>
                <w:sz w:val="24"/>
              </w:rPr>
              <w:t>85万元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4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18</w:t>
            </w:r>
          </w:p>
        </w:tc>
        <w:tc>
          <w:tcPr>
            <w:tcW w:w="889"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转包、分包</w:t>
            </w:r>
          </w:p>
        </w:tc>
        <w:tc>
          <w:tcPr>
            <w:tcW w:w="3861"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textAlignment w:val="bottom"/>
              <w:rPr>
                <w:rFonts w:ascii="宋体" w:hAnsi="宋体" w:cs="宋体"/>
                <w:sz w:val="24"/>
              </w:rPr>
            </w:pPr>
            <w:r>
              <w:rPr>
                <w:rFonts w:hint="eastAsia" w:ascii="宋体" w:hAnsi="宋体" w:cs="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4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19</w:t>
            </w:r>
          </w:p>
        </w:tc>
        <w:tc>
          <w:tcPr>
            <w:tcW w:w="889"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联合体投标</w:t>
            </w:r>
          </w:p>
        </w:tc>
        <w:tc>
          <w:tcPr>
            <w:tcW w:w="3861"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textAlignment w:val="bottom"/>
              <w:rPr>
                <w:rFonts w:ascii="宋体" w:hAnsi="宋体" w:cs="宋体"/>
                <w:sz w:val="24"/>
              </w:rPr>
            </w:pPr>
            <w:r>
              <w:rPr>
                <w:rFonts w:hint="eastAsia" w:ascii="宋体" w:hAnsi="宋体" w:cs="宋体"/>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4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20</w:t>
            </w:r>
          </w:p>
        </w:tc>
        <w:tc>
          <w:tcPr>
            <w:tcW w:w="889"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招标代理服务费</w:t>
            </w:r>
          </w:p>
        </w:tc>
        <w:tc>
          <w:tcPr>
            <w:tcW w:w="3861"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textAlignment w:val="bottom"/>
              <w:rPr>
                <w:rFonts w:ascii="宋体" w:hAnsi="宋体" w:cs="宋体"/>
                <w:sz w:val="24"/>
              </w:rPr>
            </w:pPr>
            <w:r>
              <w:rPr>
                <w:rFonts w:hint="eastAsia" w:ascii="宋体" w:hAnsi="宋体" w:cs="宋体"/>
                <w:sz w:val="24"/>
              </w:rPr>
              <w:t>招标代理服务费：本项目代理服务费由中标单位支付。</w:t>
            </w:r>
          </w:p>
          <w:p>
            <w:pPr>
              <w:autoSpaceDE w:val="0"/>
              <w:autoSpaceDN w:val="0"/>
              <w:spacing w:line="500" w:lineRule="exact"/>
              <w:textAlignment w:val="bottom"/>
              <w:rPr>
                <w:rFonts w:ascii="宋体" w:hAnsi="宋体" w:cs="宋体"/>
                <w:sz w:val="24"/>
              </w:rPr>
            </w:pPr>
            <w:r>
              <w:rPr>
                <w:rFonts w:hint="eastAsia" w:ascii="宋体" w:hAnsi="宋体" w:cs="宋体"/>
                <w:sz w:val="24"/>
              </w:rPr>
              <w:t>附:招标代理业务收费计算表</w:t>
            </w:r>
          </w:p>
          <w:p>
            <w:pPr>
              <w:autoSpaceDE w:val="0"/>
              <w:autoSpaceDN w:val="0"/>
              <w:spacing w:line="500" w:lineRule="exact"/>
              <w:textAlignment w:val="bottom"/>
              <w:rPr>
                <w:rFonts w:ascii="宋体" w:hAnsi="宋体" w:cs="宋体"/>
                <w:sz w:val="24"/>
              </w:rPr>
            </w:pPr>
            <w:r>
              <w:rPr>
                <w:rFonts w:hint="eastAsia" w:ascii="宋体" w:hAnsi="宋体" w:cs="宋体"/>
                <w:sz w:val="24"/>
              </w:rPr>
              <w:t>招标代理服务收费计算表</w:t>
            </w:r>
          </w:p>
          <w:tbl>
            <w:tblPr>
              <w:tblStyle w:val="33"/>
              <w:tblpPr w:leftFromText="45" w:rightFromText="45" w:vertAnchor="text"/>
              <w:tblW w:w="6778" w:type="dxa"/>
              <w:tblCellSpacing w:w="0" w:type="dxa"/>
              <w:tblInd w:w="0" w:type="dxa"/>
              <w:tblLayout w:type="autofit"/>
              <w:tblCellMar>
                <w:top w:w="0" w:type="dxa"/>
                <w:left w:w="0" w:type="dxa"/>
                <w:bottom w:w="0" w:type="dxa"/>
                <w:right w:w="0" w:type="dxa"/>
              </w:tblCellMar>
            </w:tblPr>
            <w:tblGrid>
              <w:gridCol w:w="1694"/>
              <w:gridCol w:w="1694"/>
              <w:gridCol w:w="1694"/>
              <w:gridCol w:w="1696"/>
            </w:tblGrid>
            <w:tr>
              <w:tblPrEx>
                <w:tblCellMar>
                  <w:top w:w="0" w:type="dxa"/>
                  <w:left w:w="0" w:type="dxa"/>
                  <w:bottom w:w="0" w:type="dxa"/>
                  <w:right w:w="0" w:type="dxa"/>
                </w:tblCellMar>
              </w:tblPrEx>
              <w:trPr>
                <w:trHeight w:val="582" w:hRule="atLeast"/>
                <w:tblCellSpacing w:w="0" w:type="dxa"/>
              </w:trPr>
              <w:tc>
                <w:tcPr>
                  <w:tcW w:w="1694" w:type="dxa"/>
                  <w:vAlign w:val="center"/>
                </w:tcPr>
                <w:p>
                  <w:pPr>
                    <w:autoSpaceDE w:val="0"/>
                    <w:autoSpaceDN w:val="0"/>
                    <w:spacing w:line="500" w:lineRule="exact"/>
                    <w:textAlignment w:val="bottom"/>
                    <w:rPr>
                      <w:rFonts w:ascii="宋体" w:hAnsi="宋体" w:cs="宋体"/>
                      <w:sz w:val="24"/>
                    </w:rPr>
                  </w:pPr>
                  <w:r>
                    <w:rPr>
                      <w:rFonts w:hint="eastAsia" w:ascii="宋体" w:hAnsi="宋体" w:cs="宋体"/>
                      <w:sz w:val="24"/>
                    </w:rPr>
                    <w:t>中标金额（万元）</w:t>
                  </w:r>
                </w:p>
              </w:tc>
              <w:tc>
                <w:tcPr>
                  <w:tcW w:w="1694" w:type="dxa"/>
                  <w:vAlign w:val="center"/>
                </w:tcPr>
                <w:p>
                  <w:pPr>
                    <w:autoSpaceDE w:val="0"/>
                    <w:autoSpaceDN w:val="0"/>
                    <w:spacing w:line="500" w:lineRule="exact"/>
                    <w:textAlignment w:val="bottom"/>
                    <w:rPr>
                      <w:rFonts w:ascii="宋体" w:hAnsi="宋体" w:cs="宋体"/>
                      <w:sz w:val="24"/>
                    </w:rPr>
                  </w:pPr>
                  <w:r>
                    <w:rPr>
                      <w:rFonts w:hint="eastAsia" w:ascii="宋体" w:hAnsi="宋体" w:cs="宋体"/>
                      <w:sz w:val="24"/>
                    </w:rPr>
                    <w:t>货物招标</w:t>
                  </w:r>
                </w:p>
              </w:tc>
              <w:tc>
                <w:tcPr>
                  <w:tcW w:w="1694" w:type="dxa"/>
                  <w:vAlign w:val="center"/>
                </w:tcPr>
                <w:p>
                  <w:pPr>
                    <w:autoSpaceDE w:val="0"/>
                    <w:autoSpaceDN w:val="0"/>
                    <w:spacing w:line="500" w:lineRule="exact"/>
                    <w:textAlignment w:val="bottom"/>
                    <w:rPr>
                      <w:rFonts w:ascii="宋体" w:hAnsi="宋体" w:cs="宋体"/>
                      <w:sz w:val="24"/>
                    </w:rPr>
                  </w:pPr>
                  <w:r>
                    <w:rPr>
                      <w:rFonts w:hint="eastAsia" w:ascii="宋体" w:hAnsi="宋体" w:cs="宋体"/>
                      <w:sz w:val="24"/>
                    </w:rPr>
                    <w:t>服务招标</w:t>
                  </w:r>
                </w:p>
              </w:tc>
              <w:tc>
                <w:tcPr>
                  <w:tcW w:w="1696" w:type="dxa"/>
                  <w:vAlign w:val="center"/>
                </w:tcPr>
                <w:p>
                  <w:pPr>
                    <w:autoSpaceDE w:val="0"/>
                    <w:autoSpaceDN w:val="0"/>
                    <w:spacing w:line="500" w:lineRule="exact"/>
                    <w:textAlignment w:val="bottom"/>
                    <w:rPr>
                      <w:rFonts w:ascii="宋体" w:hAnsi="宋体" w:cs="宋体"/>
                      <w:sz w:val="24"/>
                    </w:rPr>
                  </w:pPr>
                  <w:r>
                    <w:rPr>
                      <w:rFonts w:hint="eastAsia" w:ascii="宋体" w:hAnsi="宋体" w:cs="宋体"/>
                      <w:sz w:val="24"/>
                    </w:rPr>
                    <w:t>工程招标</w:t>
                  </w:r>
                </w:p>
              </w:tc>
            </w:tr>
            <w:tr>
              <w:tblPrEx>
                <w:tblCellMar>
                  <w:top w:w="0" w:type="dxa"/>
                  <w:left w:w="0" w:type="dxa"/>
                  <w:bottom w:w="0" w:type="dxa"/>
                  <w:right w:w="0" w:type="dxa"/>
                </w:tblCellMar>
              </w:tblPrEx>
              <w:trPr>
                <w:trHeight w:val="582" w:hRule="atLeast"/>
                <w:tblCellSpacing w:w="0" w:type="dxa"/>
              </w:trPr>
              <w:tc>
                <w:tcPr>
                  <w:tcW w:w="1694" w:type="dxa"/>
                </w:tcPr>
                <w:p>
                  <w:pPr>
                    <w:autoSpaceDE w:val="0"/>
                    <w:autoSpaceDN w:val="0"/>
                    <w:spacing w:line="500" w:lineRule="exact"/>
                    <w:textAlignment w:val="bottom"/>
                    <w:rPr>
                      <w:rFonts w:ascii="宋体" w:hAnsi="宋体" w:cs="宋体"/>
                      <w:sz w:val="24"/>
                    </w:rPr>
                  </w:pPr>
                  <w:r>
                    <w:rPr>
                      <w:rFonts w:hint="eastAsia" w:ascii="宋体" w:hAnsi="宋体" w:cs="宋体"/>
                      <w:sz w:val="24"/>
                    </w:rPr>
                    <w:t>100以下</w:t>
                  </w:r>
                </w:p>
              </w:tc>
              <w:tc>
                <w:tcPr>
                  <w:tcW w:w="1694"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1.5%</w:t>
                  </w:r>
                </w:p>
              </w:tc>
              <w:tc>
                <w:tcPr>
                  <w:tcW w:w="1694"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1.5%</w:t>
                  </w:r>
                </w:p>
              </w:tc>
              <w:tc>
                <w:tcPr>
                  <w:tcW w:w="1696"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1.0%</w:t>
                  </w:r>
                </w:p>
              </w:tc>
            </w:tr>
            <w:tr>
              <w:tblPrEx>
                <w:tblCellMar>
                  <w:top w:w="0" w:type="dxa"/>
                  <w:left w:w="0" w:type="dxa"/>
                  <w:bottom w:w="0" w:type="dxa"/>
                  <w:right w:w="0" w:type="dxa"/>
                </w:tblCellMar>
              </w:tblPrEx>
              <w:trPr>
                <w:trHeight w:val="582" w:hRule="atLeast"/>
                <w:tblCellSpacing w:w="0" w:type="dxa"/>
              </w:trPr>
              <w:tc>
                <w:tcPr>
                  <w:tcW w:w="1694" w:type="dxa"/>
                </w:tcPr>
                <w:p>
                  <w:pPr>
                    <w:autoSpaceDE w:val="0"/>
                    <w:autoSpaceDN w:val="0"/>
                    <w:spacing w:line="500" w:lineRule="exact"/>
                    <w:textAlignment w:val="bottom"/>
                    <w:rPr>
                      <w:rFonts w:ascii="宋体" w:hAnsi="宋体" w:cs="宋体"/>
                      <w:sz w:val="24"/>
                    </w:rPr>
                  </w:pPr>
                  <w:r>
                    <w:rPr>
                      <w:rFonts w:hint="eastAsia" w:ascii="宋体" w:hAnsi="宋体" w:cs="宋体"/>
                      <w:sz w:val="24"/>
                    </w:rPr>
                    <w:t>100-500</w:t>
                  </w:r>
                </w:p>
              </w:tc>
              <w:tc>
                <w:tcPr>
                  <w:tcW w:w="1694"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1.1%</w:t>
                  </w:r>
                </w:p>
              </w:tc>
              <w:tc>
                <w:tcPr>
                  <w:tcW w:w="1694"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0.8%</w:t>
                  </w:r>
                </w:p>
              </w:tc>
              <w:tc>
                <w:tcPr>
                  <w:tcW w:w="1696"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0.7%</w:t>
                  </w:r>
                </w:p>
              </w:tc>
            </w:tr>
            <w:tr>
              <w:tblPrEx>
                <w:tblCellMar>
                  <w:top w:w="0" w:type="dxa"/>
                  <w:left w:w="0" w:type="dxa"/>
                  <w:bottom w:w="0" w:type="dxa"/>
                  <w:right w:w="0" w:type="dxa"/>
                </w:tblCellMar>
              </w:tblPrEx>
              <w:trPr>
                <w:trHeight w:val="582" w:hRule="atLeast"/>
                <w:tblCellSpacing w:w="0" w:type="dxa"/>
              </w:trPr>
              <w:tc>
                <w:tcPr>
                  <w:tcW w:w="1694" w:type="dxa"/>
                </w:tcPr>
                <w:p>
                  <w:pPr>
                    <w:autoSpaceDE w:val="0"/>
                    <w:autoSpaceDN w:val="0"/>
                    <w:spacing w:line="500" w:lineRule="exact"/>
                    <w:textAlignment w:val="bottom"/>
                    <w:rPr>
                      <w:rFonts w:ascii="宋体" w:hAnsi="宋体" w:cs="宋体"/>
                      <w:sz w:val="24"/>
                    </w:rPr>
                  </w:pPr>
                  <w:r>
                    <w:rPr>
                      <w:rFonts w:hint="eastAsia" w:ascii="宋体" w:hAnsi="宋体" w:cs="宋体"/>
                      <w:sz w:val="24"/>
                    </w:rPr>
                    <w:t>500-1000</w:t>
                  </w:r>
                </w:p>
              </w:tc>
              <w:tc>
                <w:tcPr>
                  <w:tcW w:w="1694"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0.8%</w:t>
                  </w:r>
                </w:p>
              </w:tc>
              <w:tc>
                <w:tcPr>
                  <w:tcW w:w="1694"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0.45%</w:t>
                  </w:r>
                </w:p>
              </w:tc>
              <w:tc>
                <w:tcPr>
                  <w:tcW w:w="1696"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0.55%</w:t>
                  </w:r>
                </w:p>
              </w:tc>
            </w:tr>
            <w:tr>
              <w:tblPrEx>
                <w:tblCellMar>
                  <w:top w:w="0" w:type="dxa"/>
                  <w:left w:w="0" w:type="dxa"/>
                  <w:bottom w:w="0" w:type="dxa"/>
                  <w:right w:w="0" w:type="dxa"/>
                </w:tblCellMar>
              </w:tblPrEx>
              <w:trPr>
                <w:trHeight w:val="582" w:hRule="atLeast"/>
                <w:tblCellSpacing w:w="0" w:type="dxa"/>
              </w:trPr>
              <w:tc>
                <w:tcPr>
                  <w:tcW w:w="1694" w:type="dxa"/>
                </w:tcPr>
                <w:p>
                  <w:pPr>
                    <w:autoSpaceDE w:val="0"/>
                    <w:autoSpaceDN w:val="0"/>
                    <w:spacing w:line="500" w:lineRule="exact"/>
                    <w:textAlignment w:val="bottom"/>
                    <w:rPr>
                      <w:rFonts w:ascii="宋体" w:hAnsi="宋体" w:cs="宋体"/>
                      <w:sz w:val="24"/>
                    </w:rPr>
                  </w:pPr>
                  <w:r>
                    <w:rPr>
                      <w:rFonts w:hint="eastAsia" w:ascii="宋体" w:hAnsi="宋体" w:cs="宋体"/>
                      <w:sz w:val="24"/>
                    </w:rPr>
                    <w:t>1000-5000</w:t>
                  </w:r>
                </w:p>
              </w:tc>
              <w:tc>
                <w:tcPr>
                  <w:tcW w:w="1694"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0.5%</w:t>
                  </w:r>
                </w:p>
              </w:tc>
              <w:tc>
                <w:tcPr>
                  <w:tcW w:w="1694"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0.25%</w:t>
                  </w:r>
                </w:p>
              </w:tc>
              <w:tc>
                <w:tcPr>
                  <w:tcW w:w="1696"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0.35%</w:t>
                  </w:r>
                </w:p>
              </w:tc>
            </w:tr>
            <w:tr>
              <w:tblPrEx>
                <w:tblCellMar>
                  <w:top w:w="0" w:type="dxa"/>
                  <w:left w:w="0" w:type="dxa"/>
                  <w:bottom w:w="0" w:type="dxa"/>
                  <w:right w:w="0" w:type="dxa"/>
                </w:tblCellMar>
              </w:tblPrEx>
              <w:trPr>
                <w:trHeight w:val="582" w:hRule="atLeast"/>
                <w:tblCellSpacing w:w="0" w:type="dxa"/>
              </w:trPr>
              <w:tc>
                <w:tcPr>
                  <w:tcW w:w="1694" w:type="dxa"/>
                </w:tcPr>
                <w:p>
                  <w:pPr>
                    <w:autoSpaceDE w:val="0"/>
                    <w:autoSpaceDN w:val="0"/>
                    <w:spacing w:line="500" w:lineRule="exact"/>
                    <w:textAlignment w:val="bottom"/>
                    <w:rPr>
                      <w:rFonts w:ascii="宋体" w:hAnsi="宋体" w:cs="宋体"/>
                      <w:sz w:val="24"/>
                    </w:rPr>
                  </w:pPr>
                  <w:r>
                    <w:rPr>
                      <w:rFonts w:hint="eastAsia" w:ascii="宋体" w:hAnsi="宋体" w:cs="宋体"/>
                      <w:sz w:val="24"/>
                    </w:rPr>
                    <w:t>5000-10000</w:t>
                  </w:r>
                </w:p>
              </w:tc>
              <w:tc>
                <w:tcPr>
                  <w:tcW w:w="1694"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0.25%</w:t>
                  </w:r>
                </w:p>
              </w:tc>
              <w:tc>
                <w:tcPr>
                  <w:tcW w:w="1694"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0.1%</w:t>
                  </w:r>
                </w:p>
              </w:tc>
              <w:tc>
                <w:tcPr>
                  <w:tcW w:w="1696"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0.2%</w:t>
                  </w:r>
                </w:p>
              </w:tc>
            </w:tr>
            <w:tr>
              <w:tblPrEx>
                <w:tblCellMar>
                  <w:top w:w="0" w:type="dxa"/>
                  <w:left w:w="0" w:type="dxa"/>
                  <w:bottom w:w="0" w:type="dxa"/>
                  <w:right w:w="0" w:type="dxa"/>
                </w:tblCellMar>
              </w:tblPrEx>
              <w:trPr>
                <w:trHeight w:val="582" w:hRule="atLeast"/>
                <w:tblCellSpacing w:w="0" w:type="dxa"/>
              </w:trPr>
              <w:tc>
                <w:tcPr>
                  <w:tcW w:w="1694" w:type="dxa"/>
                </w:tcPr>
                <w:p>
                  <w:pPr>
                    <w:autoSpaceDE w:val="0"/>
                    <w:autoSpaceDN w:val="0"/>
                    <w:spacing w:line="500" w:lineRule="exact"/>
                    <w:textAlignment w:val="bottom"/>
                    <w:rPr>
                      <w:rFonts w:ascii="宋体" w:hAnsi="宋体" w:cs="宋体"/>
                      <w:sz w:val="24"/>
                    </w:rPr>
                  </w:pPr>
                  <w:r>
                    <w:rPr>
                      <w:rFonts w:hint="eastAsia" w:ascii="宋体" w:hAnsi="宋体" w:cs="宋体"/>
                      <w:sz w:val="24"/>
                    </w:rPr>
                    <w:t>10000-100000</w:t>
                  </w:r>
                </w:p>
              </w:tc>
              <w:tc>
                <w:tcPr>
                  <w:tcW w:w="1694"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0.05%</w:t>
                  </w:r>
                </w:p>
              </w:tc>
              <w:tc>
                <w:tcPr>
                  <w:tcW w:w="1694"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0.05%</w:t>
                  </w:r>
                </w:p>
              </w:tc>
              <w:tc>
                <w:tcPr>
                  <w:tcW w:w="1696"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0.05%</w:t>
                  </w:r>
                </w:p>
              </w:tc>
            </w:tr>
            <w:tr>
              <w:tblPrEx>
                <w:tblCellMar>
                  <w:top w:w="0" w:type="dxa"/>
                  <w:left w:w="0" w:type="dxa"/>
                  <w:bottom w:w="0" w:type="dxa"/>
                  <w:right w:w="0" w:type="dxa"/>
                </w:tblCellMar>
              </w:tblPrEx>
              <w:trPr>
                <w:trHeight w:val="582" w:hRule="atLeast"/>
                <w:tblCellSpacing w:w="0" w:type="dxa"/>
              </w:trPr>
              <w:tc>
                <w:tcPr>
                  <w:tcW w:w="1694" w:type="dxa"/>
                </w:tcPr>
                <w:p>
                  <w:pPr>
                    <w:autoSpaceDE w:val="0"/>
                    <w:autoSpaceDN w:val="0"/>
                    <w:spacing w:line="500" w:lineRule="exact"/>
                    <w:textAlignment w:val="bottom"/>
                    <w:rPr>
                      <w:rFonts w:ascii="宋体" w:hAnsi="宋体" w:cs="宋体"/>
                      <w:sz w:val="24"/>
                    </w:rPr>
                  </w:pPr>
                  <w:r>
                    <w:rPr>
                      <w:rFonts w:hint="eastAsia" w:ascii="宋体" w:hAnsi="宋体" w:cs="宋体"/>
                      <w:sz w:val="24"/>
                    </w:rPr>
                    <w:t>1000000以上</w:t>
                  </w:r>
                </w:p>
              </w:tc>
              <w:tc>
                <w:tcPr>
                  <w:tcW w:w="1694"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0.01%</w:t>
                  </w:r>
                </w:p>
              </w:tc>
              <w:tc>
                <w:tcPr>
                  <w:tcW w:w="1694"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0.01%</w:t>
                  </w:r>
                </w:p>
              </w:tc>
              <w:tc>
                <w:tcPr>
                  <w:tcW w:w="1696" w:type="dxa"/>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0.01%</w:t>
                  </w:r>
                </w:p>
              </w:tc>
            </w:tr>
          </w:tbl>
          <w:p>
            <w:pPr>
              <w:autoSpaceDE w:val="0"/>
              <w:autoSpaceDN w:val="0"/>
              <w:spacing w:line="500" w:lineRule="exact"/>
              <w:textAlignment w:val="bottom"/>
              <w:rPr>
                <w:rFonts w:ascii="宋体" w:hAnsi="宋体" w:cs="宋体"/>
                <w:sz w:val="24"/>
              </w:rPr>
            </w:pPr>
          </w:p>
          <w:p>
            <w:pPr>
              <w:autoSpaceDE w:val="0"/>
              <w:autoSpaceDN w:val="0"/>
              <w:spacing w:line="500" w:lineRule="exact"/>
              <w:textAlignment w:val="bottom"/>
              <w:rPr>
                <w:rFonts w:ascii="宋体" w:hAnsi="宋体" w:cs="宋体"/>
                <w:sz w:val="24"/>
              </w:rPr>
            </w:pPr>
            <w:r>
              <w:rPr>
                <w:rFonts w:hint="eastAsia" w:ascii="宋体" w:hAnsi="宋体" w:cs="宋体"/>
                <w:sz w:val="24"/>
              </w:rPr>
              <w:t>注：1、按本表费率计算的收费为招标代理服务全过程的收费基准价格，单独提供编制竞争性磋商文件（有标底的含标底）服务的，可按规定标准的30%计收。</w:t>
            </w:r>
            <w:r>
              <w:rPr>
                <w:rFonts w:hint="eastAsia" w:ascii="宋体" w:hAnsi="宋体" w:cs="宋体"/>
                <w:sz w:val="24"/>
              </w:rPr>
              <w:br w:type="textWrapping"/>
            </w:r>
            <w:r>
              <w:rPr>
                <w:rFonts w:hint="eastAsia" w:ascii="宋体" w:hAnsi="宋体" w:cs="宋体"/>
                <w:sz w:val="24"/>
              </w:rPr>
              <w:t>2、招标代理服务收费按差额定率累进法计算。例如：某工程招标代理业务中标金额为6000万元，计算招标代理服务收费额如下：</w:t>
            </w:r>
          </w:p>
          <w:p>
            <w:pPr>
              <w:autoSpaceDE w:val="0"/>
              <w:autoSpaceDN w:val="0"/>
              <w:spacing w:line="500" w:lineRule="exact"/>
              <w:textAlignment w:val="bottom"/>
              <w:rPr>
                <w:rFonts w:ascii="宋体" w:hAnsi="宋体" w:cs="宋体"/>
                <w:sz w:val="24"/>
              </w:rPr>
            </w:pPr>
            <w:r>
              <w:rPr>
                <w:rFonts w:hint="eastAsia" w:ascii="宋体" w:hAnsi="宋体" w:cs="宋体"/>
                <w:sz w:val="24"/>
              </w:rPr>
              <w:t>100万元×1.0%=1万元</w:t>
            </w:r>
          </w:p>
          <w:p>
            <w:pPr>
              <w:autoSpaceDE w:val="0"/>
              <w:autoSpaceDN w:val="0"/>
              <w:spacing w:line="500" w:lineRule="exact"/>
              <w:textAlignment w:val="bottom"/>
              <w:rPr>
                <w:rFonts w:ascii="宋体" w:hAnsi="宋体" w:cs="宋体"/>
                <w:sz w:val="24"/>
              </w:rPr>
            </w:pPr>
            <w:r>
              <w:rPr>
                <w:rFonts w:hint="eastAsia" w:ascii="宋体" w:hAnsi="宋体" w:cs="宋体"/>
                <w:sz w:val="24"/>
              </w:rPr>
              <w:t>（500-100）万元×0.7%=2.8万元</w:t>
            </w:r>
          </w:p>
          <w:p>
            <w:pPr>
              <w:autoSpaceDE w:val="0"/>
              <w:autoSpaceDN w:val="0"/>
              <w:spacing w:line="500" w:lineRule="exact"/>
              <w:textAlignment w:val="bottom"/>
              <w:rPr>
                <w:rFonts w:ascii="宋体" w:hAnsi="宋体" w:cs="宋体"/>
                <w:sz w:val="24"/>
              </w:rPr>
            </w:pPr>
            <w:r>
              <w:rPr>
                <w:rFonts w:hint="eastAsia" w:ascii="宋体" w:hAnsi="宋体" w:cs="宋体"/>
                <w:sz w:val="24"/>
              </w:rPr>
              <w:t>（1000-500）万元×0.55%=2.75万元</w:t>
            </w:r>
          </w:p>
          <w:p>
            <w:pPr>
              <w:autoSpaceDE w:val="0"/>
              <w:autoSpaceDN w:val="0"/>
              <w:spacing w:line="500" w:lineRule="exact"/>
              <w:textAlignment w:val="bottom"/>
              <w:rPr>
                <w:rFonts w:ascii="宋体" w:hAnsi="宋体" w:cs="宋体"/>
                <w:sz w:val="24"/>
              </w:rPr>
            </w:pPr>
            <w:r>
              <w:rPr>
                <w:rFonts w:hint="eastAsia" w:ascii="宋体" w:hAnsi="宋体" w:cs="宋体"/>
                <w:sz w:val="24"/>
              </w:rPr>
              <w:t>（5000-1000元）万元×0.35%=14万元</w:t>
            </w:r>
          </w:p>
          <w:p>
            <w:pPr>
              <w:autoSpaceDE w:val="0"/>
              <w:autoSpaceDN w:val="0"/>
              <w:spacing w:line="500" w:lineRule="exact"/>
              <w:textAlignment w:val="bottom"/>
              <w:rPr>
                <w:rFonts w:ascii="宋体" w:hAnsi="宋体" w:cs="宋体"/>
                <w:sz w:val="24"/>
              </w:rPr>
            </w:pPr>
            <w:r>
              <w:rPr>
                <w:rFonts w:hint="eastAsia" w:ascii="宋体" w:hAnsi="宋体" w:cs="宋体"/>
                <w:sz w:val="24"/>
              </w:rPr>
              <w:t xml:space="preserve">（6000-5000）万元×0.2%=2万元  </w:t>
            </w:r>
          </w:p>
          <w:p>
            <w:pPr>
              <w:autoSpaceDE w:val="0"/>
              <w:autoSpaceDN w:val="0"/>
              <w:spacing w:line="500" w:lineRule="exact"/>
              <w:textAlignment w:val="bottom"/>
              <w:rPr>
                <w:rFonts w:ascii="宋体" w:hAnsi="宋体" w:cs="宋体"/>
                <w:sz w:val="24"/>
              </w:rPr>
            </w:pPr>
            <w:r>
              <w:rPr>
                <w:rFonts w:hint="eastAsia" w:ascii="宋体" w:hAnsi="宋体" w:cs="宋体"/>
                <w:sz w:val="24"/>
              </w:rPr>
              <w:t xml:space="preserve">合计收费=1+2.8+2.75+14+2=22.55（万元） </w:t>
            </w:r>
          </w:p>
          <w:p>
            <w:pPr>
              <w:autoSpaceDE w:val="0"/>
              <w:autoSpaceDN w:val="0"/>
              <w:spacing w:line="500" w:lineRule="exact"/>
              <w:textAlignment w:val="bottom"/>
              <w:rPr>
                <w:rFonts w:ascii="宋体" w:hAnsi="宋体" w:cs="宋体"/>
                <w:sz w:val="24"/>
              </w:rPr>
            </w:pPr>
            <w:r>
              <w:rPr>
                <w:rFonts w:hint="eastAsia" w:ascii="宋体" w:hAnsi="宋体" w:cs="宋体"/>
                <w:sz w:val="24"/>
              </w:rPr>
              <w:t>支付方式以公对公转账的方式转入采购人的对公账户。</w:t>
            </w:r>
          </w:p>
          <w:p>
            <w:pPr>
              <w:autoSpaceDE w:val="0"/>
              <w:autoSpaceDN w:val="0"/>
              <w:spacing w:line="500" w:lineRule="exact"/>
              <w:textAlignment w:val="bottom"/>
              <w:rPr>
                <w:rFonts w:ascii="宋体" w:hAnsi="宋体" w:cs="宋体"/>
                <w:sz w:val="24"/>
              </w:rPr>
            </w:pPr>
            <w:r>
              <w:rPr>
                <w:rFonts w:hint="eastAsia" w:ascii="宋体" w:hAnsi="宋体" w:cs="宋体"/>
                <w:sz w:val="24"/>
              </w:rPr>
              <w:t>2.供应商应在法定质疑期内一次性提出针对同一采购程序环节的所有质疑。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4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21</w:t>
            </w:r>
          </w:p>
        </w:tc>
        <w:tc>
          <w:tcPr>
            <w:tcW w:w="889"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textAlignment w:val="bottom"/>
              <w:rPr>
                <w:rFonts w:ascii="宋体" w:hAnsi="宋体" w:cs="宋体"/>
                <w:sz w:val="24"/>
              </w:rPr>
            </w:pPr>
            <w:r>
              <w:rPr>
                <w:rFonts w:hint="eastAsia" w:asciiTheme="minorEastAsia" w:hAnsiTheme="minorEastAsia" w:eastAsiaTheme="minorEastAsia" w:cstheme="minorEastAsia"/>
                <w:sz w:val="24"/>
              </w:rPr>
              <w:t>本项目是否专门面向中小企业采购</w:t>
            </w:r>
          </w:p>
        </w:tc>
        <w:tc>
          <w:tcPr>
            <w:tcW w:w="3861" w:type="pct"/>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是否为专门面向中小企业采购：否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4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22</w:t>
            </w:r>
          </w:p>
        </w:tc>
        <w:tc>
          <w:tcPr>
            <w:tcW w:w="889"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报价方式</w:t>
            </w:r>
          </w:p>
        </w:tc>
        <w:tc>
          <w:tcPr>
            <w:tcW w:w="3861"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textAlignment w:val="bottom"/>
              <w:rPr>
                <w:rFonts w:asciiTheme="minorEastAsia" w:hAnsiTheme="minorEastAsia" w:eastAsiaTheme="minorEastAsia" w:cstheme="minorEastAsia"/>
                <w:sz w:val="24"/>
              </w:rPr>
            </w:pPr>
            <w:r>
              <w:rPr>
                <w:rFonts w:hint="eastAsia" w:cs="Arial" w:asciiTheme="minorEastAsia" w:hAnsiTheme="minorEastAsia" w:eastAsiaTheme="minorEastAsia"/>
                <w:sz w:val="24"/>
              </w:rPr>
              <w:t>二轮报价（第二轮报价为最终报价）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23</w:t>
            </w:r>
          </w:p>
        </w:tc>
        <w:tc>
          <w:tcPr>
            <w:tcW w:w="889"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textAlignment w:val="bottom"/>
              <w:rPr>
                <w:rFonts w:ascii="宋体" w:hAnsi="宋体" w:cs="宋体"/>
                <w:sz w:val="24"/>
              </w:rPr>
            </w:pPr>
            <w:r>
              <w:rPr>
                <w:rFonts w:hint="eastAsia" w:ascii="宋体" w:hAnsi="宋体" w:cs="宋体"/>
                <w:sz w:val="24"/>
              </w:rPr>
              <w:t>电子投标文件解密时间</w:t>
            </w:r>
          </w:p>
        </w:tc>
        <w:tc>
          <w:tcPr>
            <w:tcW w:w="3861"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开标时间后30分钟</w:t>
            </w:r>
            <w:r>
              <w:rPr>
                <w:rFonts w:hint="eastAsia" w:asciiTheme="minorEastAsia" w:hAnsiTheme="minorEastAsia" w:eastAsiaTheme="minorEastAsia" w:cstheme="minorEastAsia"/>
                <w:sz w:val="24"/>
                <w:highlight w:val="none"/>
              </w:rPr>
              <w:t>内（2023年</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16</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highlight w:val="none"/>
                <w:lang w:val="en-US" w:eastAsia="zh-CN"/>
              </w:rPr>
              <w:t>下午16</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0-</w:t>
            </w:r>
            <w:r>
              <w:rPr>
                <w:rFonts w:hint="eastAsia" w:asciiTheme="minorEastAsia" w:hAnsiTheme="minorEastAsia" w:eastAsiaTheme="minorEastAsia" w:cstheme="minorEastAsia"/>
                <w:sz w:val="24"/>
                <w:highlight w:val="none"/>
                <w:lang w:val="en-US" w:eastAsia="zh-CN"/>
              </w:rPr>
              <w:t>16：30</w:t>
            </w:r>
            <w:r>
              <w:rPr>
                <w:rFonts w:hint="eastAsia" w:asciiTheme="minorEastAsia" w:hAnsiTheme="minorEastAsia" w:eastAsiaTheme="minorEastAsia" w:cstheme="minorEastAsia"/>
                <w:sz w:val="24"/>
                <w:highlight w:val="none"/>
              </w:rPr>
              <w:t>前）供应商登录“政采云”平台，用“项目采购-开标评标”功能进行解密投</w:t>
            </w:r>
            <w:r>
              <w:rPr>
                <w:rFonts w:hint="eastAsia" w:asciiTheme="minorEastAsia" w:hAnsiTheme="minorEastAsia" w:eastAsiaTheme="minorEastAsia" w:cstheme="minorEastAsia"/>
                <w:sz w:val="24"/>
              </w:rPr>
              <w:t>标文件。若供应商在规定</w:t>
            </w:r>
            <w:r>
              <w:rPr>
                <w:rFonts w:hint="eastAsia" w:asciiTheme="minorEastAsia" w:hAnsiTheme="minorEastAsia" w:eastAsiaTheme="minorEastAsia" w:cstheme="minorEastAsia"/>
                <w:sz w:val="24"/>
                <w:highlight w:val="none"/>
              </w:rPr>
              <w:t>时间内（2023年</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16</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highlight w:val="none"/>
                <w:lang w:val="en-US" w:eastAsia="zh-CN"/>
              </w:rPr>
              <w:t>下午</w:t>
            </w:r>
            <w:r>
              <w:rPr>
                <w:rFonts w:hint="eastAsia" w:asciiTheme="minorEastAsia" w:hAnsiTheme="minorEastAsia" w:eastAsiaTheme="minorEastAsia" w:cstheme="minorEastAsia"/>
                <w:sz w:val="24"/>
                <w:highlight w:val="none"/>
              </w:rPr>
              <w:t>1</w:t>
            </w: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0前）未</w:t>
            </w:r>
            <w:r>
              <w:rPr>
                <w:rFonts w:hint="eastAsia" w:asciiTheme="minorEastAsia" w:hAnsiTheme="minorEastAsia" w:eastAsiaTheme="minorEastAsia" w:cstheme="minorEastAsia"/>
                <w:sz w:val="24"/>
              </w:rPr>
              <w:t>按时解密的，视为无效投标。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4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24</w:t>
            </w:r>
          </w:p>
        </w:tc>
        <w:tc>
          <w:tcPr>
            <w:tcW w:w="889"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投标文件</w:t>
            </w:r>
          </w:p>
        </w:tc>
        <w:tc>
          <w:tcPr>
            <w:tcW w:w="3861" w:type="pct"/>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sz w:val="24"/>
              </w:rPr>
            </w:pPr>
            <w:r>
              <w:rPr>
                <w:rFonts w:hint="eastAsia" w:ascii="宋体" w:hAnsi="宋体" w:cs="宋体"/>
                <w:color w:val="000000"/>
                <w:kern w:val="0"/>
                <w:sz w:val="24"/>
              </w:rPr>
              <w:t>加密版投标文件：使用 CA 锁上传到系统的文件。本项目采用电子评标，请各供应商务必制作好电子投标文件。电子投标文件必须于递交投标文件截止时间前上传到政采云（https://www.zcygov.cn/）不见面开标大厅。（其余内容不变）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49" w:type="pc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 w:val="24"/>
              </w:rPr>
            </w:pPr>
            <w:r>
              <w:rPr>
                <w:rFonts w:hint="eastAsia" w:ascii="宋体" w:hAnsi="宋体" w:cs="宋体"/>
                <w:sz w:val="24"/>
              </w:rPr>
              <w:t>25</w:t>
            </w:r>
          </w:p>
        </w:tc>
        <w:tc>
          <w:tcPr>
            <w:tcW w:w="889"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500" w:lineRule="exact"/>
              <w:jc w:val="center"/>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采用电子招投标</w:t>
            </w:r>
          </w:p>
        </w:tc>
        <w:tc>
          <w:tcPr>
            <w:tcW w:w="386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s="宋体"/>
                <w:sz w:val="24"/>
              </w:rPr>
            </w:pPr>
            <w:r>
              <w:rPr>
                <w:rFonts w:hint="eastAsia" w:ascii="宋体" w:hAnsi="宋体" w:cs="宋体"/>
                <w:sz w:val="24"/>
              </w:rPr>
              <w:t>具体要求：</w:t>
            </w:r>
          </w:p>
          <w:p>
            <w:pPr>
              <w:adjustRightInd w:val="0"/>
              <w:snapToGrid w:val="0"/>
              <w:spacing w:line="360" w:lineRule="auto"/>
              <w:rPr>
                <w:rFonts w:ascii="宋体" w:hAnsi="宋体" w:cs="宋体"/>
                <w:sz w:val="24"/>
              </w:rPr>
            </w:pPr>
            <w:r>
              <w:rPr>
                <w:rFonts w:hint="eastAsia" w:ascii="宋体" w:hAnsi="宋体" w:cs="宋体"/>
                <w:b/>
                <w:bCs/>
                <w:sz w:val="24"/>
              </w:rPr>
              <w:t>1、投标文件解密时间：</w:t>
            </w:r>
            <w:r>
              <w:rPr>
                <w:rFonts w:hint="eastAsia" w:ascii="宋体" w:hAnsi="宋体" w:cs="宋体"/>
                <w:sz w:val="24"/>
              </w:rPr>
              <w:t>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adjustRightInd w:val="0"/>
              <w:snapToGrid w:val="0"/>
              <w:spacing w:line="360" w:lineRule="auto"/>
              <w:rPr>
                <w:rFonts w:ascii="宋体" w:hAnsi="宋体" w:cs="宋体"/>
                <w:sz w:val="24"/>
              </w:rPr>
            </w:pPr>
            <w:r>
              <w:rPr>
                <w:rFonts w:hint="eastAsia" w:ascii="宋体" w:hAnsi="宋体" w:cs="宋体"/>
                <w:b/>
                <w:bCs/>
                <w:sz w:val="24"/>
              </w:rPr>
              <w:t>2、供应商报价CA签字确认：</w:t>
            </w:r>
            <w:r>
              <w:rPr>
                <w:rFonts w:hint="eastAsia" w:ascii="宋体" w:hAnsi="宋体" w:cs="宋体"/>
                <w:sz w:val="24"/>
              </w:rPr>
              <w:t>报价文件开启后将开启签字时段，供应商须在20分钟内用CA证书对报价进行签字确认。</w:t>
            </w:r>
          </w:p>
          <w:p>
            <w:pPr>
              <w:adjustRightInd w:val="0"/>
              <w:snapToGrid w:val="0"/>
              <w:spacing w:line="360" w:lineRule="auto"/>
              <w:rPr>
                <w:rFonts w:ascii="宋体" w:hAnsi="宋体" w:cs="宋体"/>
                <w:b/>
                <w:bCs/>
                <w:sz w:val="24"/>
              </w:rPr>
            </w:pPr>
            <w:r>
              <w:rPr>
                <w:rFonts w:hint="eastAsia" w:ascii="宋体" w:hAnsi="宋体" w:cs="宋体"/>
                <w:b/>
                <w:bCs/>
                <w:sz w:val="24"/>
              </w:rPr>
              <w:t>3、备注:</w:t>
            </w:r>
          </w:p>
          <w:p>
            <w:pPr>
              <w:adjustRightInd w:val="0"/>
              <w:snapToGrid w:val="0"/>
              <w:spacing w:line="360" w:lineRule="auto"/>
              <w:rPr>
                <w:rFonts w:ascii="宋体" w:hAnsi="宋体" w:cs="宋体"/>
                <w:sz w:val="24"/>
              </w:rPr>
            </w:pPr>
            <w:r>
              <w:rPr>
                <w:rFonts w:hint="eastAsia" w:ascii="宋体" w:hAnsi="宋体" w:cs="宋体"/>
                <w:sz w:val="24"/>
              </w:rPr>
              <w:t>（1）本次采购采用电子交易方式，电子交易平台为“政府采购云平台（www.zcygov.cn）”。供应商参与本项目电子交易活动前，应注册成为政府采购云平台供应商。编制电子投标文件前还需申领CA证书并绑定帐号.</w:t>
            </w:r>
          </w:p>
          <w:p>
            <w:pPr>
              <w:adjustRightInd w:val="0"/>
              <w:snapToGrid w:val="0"/>
              <w:spacing w:line="360" w:lineRule="auto"/>
              <w:rPr>
                <w:rFonts w:ascii="宋体" w:hAnsi="宋体" w:cs="宋体"/>
                <w:sz w:val="24"/>
              </w:rPr>
            </w:pPr>
            <w:r>
              <w:rPr>
                <w:rFonts w:hint="eastAsia" w:ascii="宋体" w:hAnsi="宋体" w:cs="宋体"/>
                <w:sz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adjustRightInd w:val="0"/>
              <w:snapToGrid w:val="0"/>
              <w:spacing w:line="360" w:lineRule="auto"/>
              <w:rPr>
                <w:rFonts w:hint="eastAsia" w:ascii="宋体" w:hAnsi="宋体" w:cs="宋体"/>
                <w:sz w:val="24"/>
              </w:rPr>
            </w:pPr>
            <w:r>
              <w:rPr>
                <w:rFonts w:hint="eastAsia" w:ascii="宋体" w:hAnsi="宋体" w:cs="宋体"/>
                <w:sz w:val="24"/>
              </w:rPr>
              <w:t>（3）供应商应当在投标截止时间前，将“电子招投标供应商客户端”生成的“电子加密投标文件”上传电子交易平台。</w:t>
            </w:r>
          </w:p>
          <w:p>
            <w:pPr>
              <w:adjustRightInd w:val="0"/>
              <w:snapToGrid w:val="0"/>
              <w:spacing w:line="360" w:lineRule="auto"/>
              <w:rPr>
                <w:rFonts w:asciiTheme="minorEastAsia" w:hAnsiTheme="minorEastAsia" w:eastAsiaTheme="minorEastAsia" w:cstheme="minorEastAsia"/>
                <w:color w:val="000000"/>
                <w:kern w:val="0"/>
                <w:sz w:val="24"/>
              </w:rPr>
            </w:pPr>
            <w:r>
              <w:rPr>
                <w:rFonts w:hint="eastAsia" w:ascii="宋体" w:hAnsi="宋体" w:cs="宋体"/>
                <w:sz w:val="24"/>
              </w:rPr>
              <w:t>（5）服务与支持。各政府采购代理机构（含集采机构）及供应商对不见面开评标系统的技术操作咨询，可通过</w:t>
            </w:r>
            <w:r>
              <w:rPr>
                <w:rFonts w:hint="eastAsia" w:ascii="宋体" w:hAnsi="宋体" w:cs="宋体"/>
                <w:sz w:val="24"/>
              </w:rPr>
              <w:fldChar w:fldCharType="begin"/>
            </w:r>
            <w:r>
              <w:rPr>
                <w:rFonts w:hint="eastAsia" w:ascii="宋体" w:hAnsi="宋体" w:cs="宋体"/>
                <w:sz w:val="24"/>
              </w:rPr>
              <w:instrText xml:space="preserve"> HYPERLINK "https://edu.zcygov.cn/luban/xinjiang-e-biding" </w:instrText>
            </w:r>
            <w:r>
              <w:rPr>
                <w:rFonts w:hint="eastAsia" w:ascii="宋体" w:hAnsi="宋体" w:cs="宋体"/>
                <w:sz w:val="24"/>
              </w:rPr>
              <w:fldChar w:fldCharType="separate"/>
            </w:r>
            <w:r>
              <w:rPr>
                <w:rFonts w:hint="eastAsia" w:ascii="宋体" w:hAnsi="宋体" w:cs="宋体"/>
                <w:sz w:val="24"/>
              </w:rPr>
              <w:t>https://edu.zcygov.cn/luban/xinjiang-e-biding</w:t>
            </w:r>
            <w:r>
              <w:rPr>
                <w:rFonts w:hint="eastAsia" w:ascii="宋体" w:hAnsi="宋体" w:cs="宋体"/>
                <w:sz w:val="24"/>
              </w:rPr>
              <w:fldChar w:fldCharType="end"/>
            </w:r>
            <w:r>
              <w:rPr>
                <w:rFonts w:hint="eastAsia" w:ascii="宋体" w:hAnsi="宋体" w:cs="宋体"/>
                <w:sz w:val="24"/>
              </w:rPr>
              <w:t>自助查询，也可在政采云帮助中心常见问题解答和操作流程讲解视频中自助查询，网址为：</w:t>
            </w:r>
            <w:r>
              <w:rPr>
                <w:rFonts w:hint="eastAsia" w:ascii="宋体" w:hAnsi="宋体" w:cs="宋体"/>
                <w:sz w:val="24"/>
              </w:rPr>
              <w:fldChar w:fldCharType="begin"/>
            </w:r>
            <w:r>
              <w:rPr>
                <w:rFonts w:hint="eastAsia" w:ascii="宋体" w:hAnsi="宋体" w:cs="宋体"/>
                <w:sz w:val="24"/>
              </w:rPr>
              <w:instrText xml:space="preserve"> HYPERLINK "https://service.zcygov.cn/" \l "/help" </w:instrText>
            </w:r>
            <w:r>
              <w:rPr>
                <w:rFonts w:hint="eastAsia" w:ascii="宋体" w:hAnsi="宋体" w:cs="宋体"/>
                <w:sz w:val="24"/>
              </w:rPr>
              <w:fldChar w:fldCharType="separate"/>
            </w:r>
            <w:r>
              <w:rPr>
                <w:rFonts w:hint="eastAsia" w:ascii="宋体" w:hAnsi="宋体" w:cs="宋体"/>
                <w:sz w:val="24"/>
              </w:rPr>
              <w:t>https://service.zcygov.cn/#/help</w:t>
            </w:r>
            <w:r>
              <w:rPr>
                <w:rFonts w:hint="eastAsia" w:ascii="宋体" w:hAnsi="宋体" w:cs="宋体"/>
                <w:sz w:val="24"/>
              </w:rPr>
              <w:fldChar w:fldCharType="end"/>
            </w:r>
            <w:r>
              <w:rPr>
                <w:rFonts w:hint="eastAsia" w:ascii="宋体" w:hAnsi="宋体" w:cs="宋体"/>
                <w:sz w:val="24"/>
              </w:rPr>
              <w:t>，“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tc>
      </w:tr>
    </w:tbl>
    <w:p>
      <w:pPr>
        <w:pStyle w:val="7"/>
        <w:ind w:firstLine="0"/>
        <w:rPr>
          <w:rFonts w:ascii="宋体" w:hAnsi="宋体" w:cs="宋体"/>
          <w:b/>
          <w:bCs/>
        </w:rPr>
      </w:pPr>
      <w:r>
        <w:rPr>
          <w:rFonts w:hint="eastAsia" w:ascii="宋体" w:hAnsi="宋体" w:cs="宋体"/>
          <w:b/>
          <w:bCs/>
        </w:rPr>
        <w:t>注：如有矛盾，以须知表为准。</w:t>
      </w:r>
    </w:p>
    <w:bookmarkEnd w:id="25"/>
    <w:bookmarkEnd w:id="26"/>
    <w:p>
      <w:pPr>
        <w:pStyle w:val="30"/>
        <w:spacing w:line="500" w:lineRule="exact"/>
        <w:rPr>
          <w:rFonts w:ascii="宋体" w:hAnsi="宋体" w:cs="宋体"/>
        </w:rPr>
      </w:pPr>
      <w:bookmarkStart w:id="27" w:name="_Toc225585653"/>
      <w:bookmarkStart w:id="28" w:name="_Toc26375_WPSOffice_Level1"/>
      <w:bookmarkStart w:id="29" w:name="_Toc26227"/>
      <w:bookmarkStart w:id="30" w:name="_Toc56937777"/>
      <w:bookmarkStart w:id="31" w:name="_Toc40854912"/>
      <w:bookmarkStart w:id="32" w:name="_Toc41382525"/>
    </w:p>
    <w:p>
      <w:pPr>
        <w:pStyle w:val="30"/>
        <w:spacing w:line="500" w:lineRule="exact"/>
        <w:rPr>
          <w:rFonts w:ascii="宋体" w:hAnsi="宋体" w:cs="宋体"/>
        </w:rPr>
      </w:pPr>
    </w:p>
    <w:p>
      <w:pPr>
        <w:pStyle w:val="30"/>
        <w:spacing w:line="500" w:lineRule="exact"/>
        <w:jc w:val="both"/>
        <w:rPr>
          <w:rFonts w:ascii="宋体" w:hAnsi="宋体" w:cs="宋体"/>
        </w:rPr>
      </w:pPr>
    </w:p>
    <w:p>
      <w:pPr>
        <w:pStyle w:val="30"/>
        <w:spacing w:line="500" w:lineRule="exact"/>
        <w:rPr>
          <w:rFonts w:ascii="宋体" w:hAnsi="宋体" w:cs="宋体"/>
        </w:rPr>
      </w:pPr>
      <w:r>
        <w:rPr>
          <w:rFonts w:hint="eastAsia" w:ascii="宋体" w:hAnsi="宋体" w:cs="宋体"/>
        </w:rPr>
        <w:t>第三部分  投标须知</w:t>
      </w:r>
      <w:bookmarkEnd w:id="27"/>
      <w:bookmarkEnd w:id="28"/>
      <w:bookmarkEnd w:id="29"/>
    </w:p>
    <w:p>
      <w:pPr>
        <w:pStyle w:val="30"/>
        <w:spacing w:before="0" w:after="0" w:line="500" w:lineRule="exact"/>
        <w:rPr>
          <w:rFonts w:ascii="宋体" w:hAnsi="宋体" w:cs="宋体"/>
          <w:sz w:val="10"/>
        </w:rPr>
      </w:pPr>
      <w:bookmarkStart w:id="33" w:name="_Toc25812"/>
      <w:bookmarkStart w:id="34" w:name="_Toc225585654"/>
      <w:bookmarkStart w:id="35" w:name="_Toc224984520"/>
      <w:r>
        <w:rPr>
          <w:rFonts w:hint="eastAsia" w:ascii="宋体" w:hAnsi="宋体" w:cs="宋体"/>
        </w:rPr>
        <w:t>（一）总则</w:t>
      </w:r>
      <w:bookmarkEnd w:id="33"/>
      <w:bookmarkEnd w:id="34"/>
      <w:bookmarkEnd w:id="35"/>
    </w:p>
    <w:p>
      <w:pPr>
        <w:pStyle w:val="11"/>
        <w:spacing w:line="500" w:lineRule="exact"/>
        <w:rPr>
          <w:rFonts w:ascii="宋体" w:hAnsi="宋体" w:eastAsia="宋体" w:cs="宋体"/>
          <w:b w:val="0"/>
          <w:bCs w:val="0"/>
          <w:spacing w:val="0"/>
          <w:sz w:val="24"/>
        </w:rPr>
      </w:pPr>
      <w:r>
        <w:rPr>
          <w:rFonts w:hint="eastAsia" w:ascii="宋体" w:hAnsi="宋体" w:eastAsia="宋体" w:cs="宋体"/>
          <w:b w:val="0"/>
          <w:bCs w:val="0"/>
          <w:spacing w:val="0"/>
          <w:sz w:val="24"/>
        </w:rPr>
        <w:t>采购内容概况</w:t>
      </w:r>
      <w:bookmarkEnd w:id="30"/>
      <w:bookmarkEnd w:id="31"/>
      <w:bookmarkEnd w:id="32"/>
      <w:r>
        <w:rPr>
          <w:rFonts w:hint="eastAsia" w:ascii="宋体" w:hAnsi="宋体" w:eastAsia="宋体" w:cs="宋体"/>
          <w:b w:val="0"/>
          <w:bCs w:val="0"/>
          <w:spacing w:val="0"/>
          <w:sz w:val="24"/>
        </w:rPr>
        <w:t>：详见投标须知前附表。</w:t>
      </w:r>
    </w:p>
    <w:p>
      <w:pPr>
        <w:pStyle w:val="11"/>
        <w:spacing w:line="500" w:lineRule="exact"/>
        <w:rPr>
          <w:rFonts w:ascii="宋体" w:hAnsi="宋体" w:eastAsia="宋体" w:cs="宋体"/>
          <w:spacing w:val="0"/>
          <w:sz w:val="24"/>
        </w:rPr>
      </w:pPr>
      <w:r>
        <w:rPr>
          <w:rFonts w:hint="eastAsia" w:ascii="宋体" w:hAnsi="宋体" w:eastAsia="宋体" w:cs="宋体"/>
          <w:spacing w:val="0"/>
          <w:sz w:val="24"/>
        </w:rPr>
        <w:t>1、综合说明</w:t>
      </w:r>
    </w:p>
    <w:p>
      <w:pPr>
        <w:pStyle w:val="11"/>
        <w:spacing w:line="500" w:lineRule="exact"/>
        <w:rPr>
          <w:rFonts w:ascii="宋体" w:hAnsi="宋体" w:eastAsia="宋体" w:cs="宋体"/>
          <w:b w:val="0"/>
          <w:bCs w:val="0"/>
          <w:spacing w:val="0"/>
          <w:sz w:val="24"/>
        </w:rPr>
      </w:pPr>
      <w:r>
        <w:rPr>
          <w:rFonts w:hint="eastAsia" w:ascii="宋体" w:hAnsi="宋体" w:eastAsia="宋体" w:cs="宋体"/>
          <w:b w:val="0"/>
          <w:bCs w:val="0"/>
          <w:spacing w:val="0"/>
          <w:sz w:val="24"/>
        </w:rPr>
        <w:t>（一）适用范围</w:t>
      </w:r>
    </w:p>
    <w:p>
      <w:pPr>
        <w:pStyle w:val="11"/>
        <w:spacing w:line="500" w:lineRule="exact"/>
        <w:rPr>
          <w:rFonts w:ascii="宋体" w:hAnsi="宋体" w:eastAsia="宋体" w:cs="宋体"/>
          <w:b w:val="0"/>
          <w:bCs w:val="0"/>
          <w:spacing w:val="0"/>
          <w:sz w:val="24"/>
        </w:rPr>
      </w:pPr>
      <w:r>
        <w:rPr>
          <w:rFonts w:hint="eastAsia" w:ascii="宋体" w:hAnsi="宋体" w:eastAsia="宋体" w:cs="宋体"/>
          <w:b w:val="0"/>
          <w:bCs w:val="0"/>
          <w:spacing w:val="0"/>
          <w:sz w:val="24"/>
        </w:rPr>
        <w:t xml:space="preserve"> 本竞争性磋商文件仅适用于本次招标所叙述的货物及其辅助服务采购。</w:t>
      </w:r>
    </w:p>
    <w:p>
      <w:pPr>
        <w:spacing w:line="500" w:lineRule="exact"/>
        <w:rPr>
          <w:rFonts w:ascii="宋体" w:hAnsi="宋体" w:cs="宋体"/>
          <w:b/>
          <w:bCs/>
          <w:sz w:val="24"/>
          <w:szCs w:val="28"/>
        </w:rPr>
      </w:pPr>
      <w:r>
        <w:rPr>
          <w:rFonts w:hint="eastAsia" w:ascii="宋体" w:hAnsi="宋体" w:cs="宋体"/>
          <w:b/>
          <w:bCs/>
          <w:sz w:val="24"/>
          <w:szCs w:val="28"/>
        </w:rPr>
        <w:t>2、定义</w:t>
      </w:r>
    </w:p>
    <w:p>
      <w:pPr>
        <w:spacing w:line="500" w:lineRule="exact"/>
        <w:rPr>
          <w:rFonts w:ascii="宋体" w:hAnsi="宋体" w:cs="宋体"/>
          <w:sz w:val="24"/>
          <w:szCs w:val="28"/>
        </w:rPr>
      </w:pPr>
      <w:bookmarkStart w:id="36" w:name="_Toc56937781"/>
      <w:bookmarkStart w:id="37" w:name="_Toc41382530"/>
      <w:bookmarkStart w:id="38" w:name="_Toc40854916"/>
      <w:r>
        <w:rPr>
          <w:rFonts w:hint="eastAsia" w:ascii="宋体" w:hAnsi="宋体" w:cs="宋体"/>
          <w:sz w:val="24"/>
          <w:szCs w:val="28"/>
        </w:rPr>
        <w:t>2.1 “采购人”系指</w:t>
      </w:r>
      <w:r>
        <w:rPr>
          <w:rFonts w:hint="eastAsia" w:ascii="宋体" w:hAnsi="宋体" w:cs="宋体"/>
          <w:sz w:val="24"/>
          <w:lang w:eastAsia="zh-CN"/>
        </w:rPr>
        <w:t>特克斯县林业和草原局</w:t>
      </w:r>
      <w:r>
        <w:rPr>
          <w:rFonts w:hint="eastAsia" w:ascii="宋体" w:hAnsi="宋体" w:cs="宋体"/>
          <w:sz w:val="24"/>
          <w:szCs w:val="28"/>
        </w:rPr>
        <w:t>。</w:t>
      </w:r>
    </w:p>
    <w:p>
      <w:pPr>
        <w:spacing w:line="500" w:lineRule="exact"/>
        <w:rPr>
          <w:rFonts w:ascii="宋体" w:hAnsi="宋体" w:cs="宋体"/>
          <w:sz w:val="24"/>
          <w:szCs w:val="28"/>
        </w:rPr>
      </w:pPr>
      <w:r>
        <w:rPr>
          <w:rFonts w:hint="eastAsia" w:ascii="宋体" w:hAnsi="宋体" w:cs="宋体"/>
          <w:sz w:val="24"/>
          <w:szCs w:val="28"/>
        </w:rPr>
        <w:t>2.2 “供应商”系指向采购人提交投标文件的供应商。</w:t>
      </w:r>
    </w:p>
    <w:p>
      <w:pPr>
        <w:spacing w:line="500" w:lineRule="exact"/>
        <w:rPr>
          <w:rFonts w:ascii="宋体" w:hAnsi="宋体" w:cs="宋体"/>
          <w:sz w:val="24"/>
          <w:szCs w:val="28"/>
        </w:rPr>
      </w:pPr>
      <w:r>
        <w:rPr>
          <w:rFonts w:hint="eastAsia" w:ascii="宋体" w:hAnsi="宋体" w:cs="宋体"/>
          <w:sz w:val="24"/>
          <w:szCs w:val="28"/>
        </w:rPr>
        <w:t>2.3 “货物”系指供应商按照竞争性磋商文件向采购人提供的所有采购项目等。</w:t>
      </w:r>
    </w:p>
    <w:p>
      <w:pPr>
        <w:spacing w:line="500" w:lineRule="exact"/>
        <w:rPr>
          <w:rFonts w:ascii="宋体" w:hAnsi="宋体" w:cs="宋体"/>
          <w:sz w:val="24"/>
          <w:szCs w:val="28"/>
        </w:rPr>
      </w:pPr>
      <w:r>
        <w:rPr>
          <w:rFonts w:hint="eastAsia" w:ascii="宋体" w:hAnsi="宋体" w:cs="宋体"/>
          <w:sz w:val="24"/>
          <w:szCs w:val="28"/>
        </w:rPr>
        <w:t>2.4 “服务”系指根据竞争性磋商文件规定中标人必须承担的有关投标产品的装卸及运输和竞争性磋商文件中规定中标人应承担的义务，以及竞争性磋商文件中未规定，但依法有利于合同履行的原则，应当有种人承担的其他义务。</w:t>
      </w:r>
    </w:p>
    <w:p>
      <w:pPr>
        <w:spacing w:line="500" w:lineRule="exact"/>
        <w:rPr>
          <w:rFonts w:ascii="宋体" w:hAnsi="宋体" w:cs="宋体"/>
          <w:sz w:val="24"/>
          <w:szCs w:val="28"/>
        </w:rPr>
      </w:pPr>
      <w:r>
        <w:rPr>
          <w:rFonts w:hint="eastAsia" w:ascii="宋体" w:hAnsi="宋体" w:cs="宋体"/>
          <w:sz w:val="24"/>
          <w:szCs w:val="28"/>
        </w:rPr>
        <w:t>2.5 “书面形式”系指任何手写、打印或印刷的各种函件，不包括电传、电话、传真及电子邮件。</w:t>
      </w:r>
    </w:p>
    <w:p>
      <w:pPr>
        <w:adjustRightInd w:val="0"/>
        <w:snapToGrid w:val="0"/>
        <w:spacing w:line="500" w:lineRule="exact"/>
        <w:rPr>
          <w:rFonts w:ascii="宋体" w:hAnsi="宋体" w:cs="宋体"/>
          <w:b/>
          <w:bCs/>
          <w:sz w:val="24"/>
        </w:rPr>
      </w:pPr>
      <w:r>
        <w:rPr>
          <w:rFonts w:hint="eastAsia" w:ascii="宋体" w:hAnsi="宋体" w:cs="宋体"/>
          <w:b/>
          <w:bCs/>
          <w:sz w:val="24"/>
        </w:rPr>
        <w:t>3、报价范围</w:t>
      </w:r>
      <w:bookmarkEnd w:id="36"/>
      <w:bookmarkEnd w:id="37"/>
      <w:bookmarkEnd w:id="38"/>
    </w:p>
    <w:p>
      <w:pPr>
        <w:spacing w:line="500" w:lineRule="exact"/>
        <w:rPr>
          <w:rFonts w:ascii="宋体" w:hAnsi="宋体" w:cs="宋体"/>
          <w:sz w:val="24"/>
          <w:szCs w:val="28"/>
        </w:rPr>
      </w:pPr>
      <w:r>
        <w:rPr>
          <w:rFonts w:hint="eastAsia" w:ascii="宋体" w:hAnsi="宋体" w:cs="宋体"/>
          <w:sz w:val="24"/>
          <w:szCs w:val="28"/>
        </w:rPr>
        <w:t>3.1 列入本次报价范围：指本项目货物服务所产生的材料费、包装费、人工费、服务费（含售后服务）、税费、运费、装卸费等全部费用。</w:t>
      </w:r>
    </w:p>
    <w:p>
      <w:pPr>
        <w:spacing w:line="500" w:lineRule="exact"/>
        <w:rPr>
          <w:rFonts w:ascii="宋体" w:hAnsi="宋体" w:cs="宋体"/>
          <w:b/>
          <w:bCs/>
          <w:sz w:val="24"/>
        </w:rPr>
      </w:pPr>
      <w:bookmarkStart w:id="39" w:name="_Toc41382531"/>
      <w:bookmarkStart w:id="40" w:name="_Toc40854917"/>
      <w:bookmarkStart w:id="41" w:name="_Toc56937784"/>
      <w:r>
        <w:rPr>
          <w:rFonts w:hint="eastAsia" w:ascii="宋体" w:hAnsi="宋体" w:cs="宋体"/>
          <w:b/>
          <w:bCs/>
          <w:sz w:val="24"/>
        </w:rPr>
        <w:t>4、招标方式</w:t>
      </w:r>
      <w:bookmarkEnd w:id="39"/>
      <w:bookmarkEnd w:id="40"/>
      <w:bookmarkEnd w:id="41"/>
    </w:p>
    <w:p>
      <w:pPr>
        <w:spacing w:line="500" w:lineRule="exact"/>
        <w:rPr>
          <w:rFonts w:ascii="宋体" w:hAnsi="宋体" w:cs="宋体"/>
          <w:sz w:val="24"/>
        </w:rPr>
      </w:pPr>
      <w:r>
        <w:rPr>
          <w:rFonts w:hint="eastAsia" w:ascii="宋体" w:hAnsi="宋体" w:cs="宋体"/>
          <w:sz w:val="24"/>
        </w:rPr>
        <w:t>4.1本次招标实行竞争性磋商的方式。</w:t>
      </w:r>
    </w:p>
    <w:p>
      <w:pPr>
        <w:spacing w:line="500" w:lineRule="exact"/>
        <w:rPr>
          <w:rFonts w:ascii="宋体" w:hAnsi="宋体" w:cs="宋体"/>
          <w:sz w:val="24"/>
          <w:szCs w:val="28"/>
        </w:rPr>
      </w:pPr>
      <w:r>
        <w:rPr>
          <w:rFonts w:hint="eastAsia" w:ascii="宋体" w:hAnsi="宋体" w:cs="宋体"/>
          <w:sz w:val="24"/>
        </w:rPr>
        <w:t>4.2</w:t>
      </w:r>
      <w:r>
        <w:rPr>
          <w:rFonts w:hint="eastAsia" w:ascii="宋体" w:hAnsi="宋体" w:cs="宋体"/>
          <w:sz w:val="24"/>
          <w:szCs w:val="28"/>
        </w:rPr>
        <w:t>本次招标将依据《中华人民共和国招标投标法》、《中华人民共和国政府采购法》、《中华人民共和国招标投标实施条例》、《中华人民共和国政府采购实施条例》等相关法律、法规执行，坚持平等投标，公平评标，择优定标的原则，维护招投标双方的合法权益。</w:t>
      </w:r>
    </w:p>
    <w:p>
      <w:pPr>
        <w:adjustRightInd w:val="0"/>
        <w:snapToGrid w:val="0"/>
        <w:spacing w:line="500" w:lineRule="exact"/>
        <w:rPr>
          <w:rFonts w:ascii="宋体" w:hAnsi="宋体" w:cs="宋体"/>
          <w:b/>
          <w:bCs/>
          <w:sz w:val="24"/>
        </w:rPr>
      </w:pPr>
      <w:bookmarkStart w:id="42" w:name="_Toc41382532"/>
      <w:bookmarkStart w:id="43" w:name="_Toc56937785"/>
      <w:bookmarkStart w:id="44" w:name="_Toc40854918"/>
      <w:r>
        <w:rPr>
          <w:rFonts w:hint="eastAsia" w:ascii="宋体" w:hAnsi="宋体" w:cs="宋体"/>
          <w:b/>
          <w:bCs/>
          <w:sz w:val="24"/>
        </w:rPr>
        <w:t>5、</w:t>
      </w:r>
      <w:bookmarkEnd w:id="42"/>
      <w:bookmarkEnd w:id="43"/>
      <w:bookmarkEnd w:id="44"/>
      <w:r>
        <w:rPr>
          <w:rFonts w:hint="eastAsia" w:ascii="宋体" w:hAnsi="宋体" w:cs="宋体"/>
          <w:b/>
          <w:bCs/>
          <w:sz w:val="24"/>
        </w:rPr>
        <w:t>供应商资格：详见投标须知前附表。</w:t>
      </w:r>
    </w:p>
    <w:p>
      <w:pPr>
        <w:pStyle w:val="18"/>
        <w:tabs>
          <w:tab w:val="left" w:pos="360"/>
        </w:tabs>
        <w:snapToGrid w:val="0"/>
        <w:spacing w:line="500" w:lineRule="exact"/>
        <w:rPr>
          <w:rFonts w:ascii="宋体" w:hAnsi="宋体" w:cs="宋体"/>
          <w:b/>
          <w:bCs/>
        </w:rPr>
      </w:pPr>
      <w:bookmarkStart w:id="45" w:name="_Toc40854919"/>
      <w:bookmarkStart w:id="46" w:name="_Toc41382533"/>
      <w:bookmarkStart w:id="47" w:name="_Toc56937786"/>
      <w:bookmarkStart w:id="48" w:name="_Toc40854924"/>
      <w:bookmarkStart w:id="49" w:name="_Toc14435"/>
      <w:bookmarkStart w:id="50" w:name="_Toc225585655"/>
      <w:bookmarkStart w:id="51" w:name="_Toc224984521"/>
      <w:bookmarkStart w:id="52" w:name="_Toc41382539"/>
      <w:bookmarkStart w:id="53" w:name="_Toc56937792"/>
      <w:r>
        <w:rPr>
          <w:rFonts w:hint="eastAsia" w:ascii="宋体" w:hAnsi="宋体" w:cs="宋体"/>
          <w:b/>
          <w:bCs/>
        </w:rPr>
        <w:t>6、联合体投标</w:t>
      </w:r>
    </w:p>
    <w:p>
      <w:pPr>
        <w:spacing w:line="500" w:lineRule="exact"/>
        <w:rPr>
          <w:rFonts w:ascii="宋体" w:hAnsi="宋体" w:cs="宋体"/>
          <w:sz w:val="24"/>
          <w:szCs w:val="28"/>
        </w:rPr>
      </w:pPr>
      <w:r>
        <w:rPr>
          <w:rFonts w:hint="eastAsia" w:ascii="宋体" w:hAnsi="宋体" w:cs="宋体"/>
          <w:sz w:val="24"/>
          <w:szCs w:val="28"/>
        </w:rPr>
        <w:t>6.1本项目不接受联合体投标。</w:t>
      </w:r>
    </w:p>
    <w:p>
      <w:pPr>
        <w:spacing w:line="500" w:lineRule="exact"/>
        <w:rPr>
          <w:rFonts w:ascii="宋体" w:hAnsi="宋体" w:cs="宋体"/>
          <w:b/>
          <w:bCs/>
          <w:sz w:val="24"/>
          <w:szCs w:val="20"/>
        </w:rPr>
      </w:pPr>
      <w:r>
        <w:rPr>
          <w:rFonts w:hint="eastAsia" w:ascii="宋体" w:hAnsi="宋体" w:cs="宋体"/>
          <w:b/>
          <w:bCs/>
          <w:sz w:val="24"/>
          <w:szCs w:val="20"/>
        </w:rPr>
        <w:t>7、投标费用</w:t>
      </w:r>
      <w:bookmarkEnd w:id="45"/>
      <w:bookmarkEnd w:id="46"/>
      <w:bookmarkEnd w:id="47"/>
    </w:p>
    <w:p>
      <w:pPr>
        <w:spacing w:line="500" w:lineRule="exact"/>
        <w:rPr>
          <w:rFonts w:ascii="宋体" w:hAnsi="宋体" w:cs="宋体"/>
          <w:sz w:val="24"/>
        </w:rPr>
      </w:pPr>
      <w:r>
        <w:rPr>
          <w:rFonts w:hint="eastAsia" w:ascii="宋体" w:hAnsi="宋体" w:cs="宋体"/>
          <w:sz w:val="24"/>
        </w:rPr>
        <w:t>7.1供应商在投标活动中的有关准备工作、现场踏勘、编制和递交投标文件等所发生的一切费用均由供应商自行负责，无论招标过程的处理方式和最后评标结果如何，采购人对供应商不承担任何费用。</w:t>
      </w:r>
      <w:bookmarkStart w:id="54" w:name="_Toc56937787"/>
      <w:bookmarkStart w:id="55" w:name="_Toc41382534"/>
      <w:bookmarkStart w:id="56" w:name="_Toc40854920"/>
    </w:p>
    <w:bookmarkEnd w:id="54"/>
    <w:bookmarkEnd w:id="55"/>
    <w:bookmarkEnd w:id="56"/>
    <w:p>
      <w:pPr>
        <w:pStyle w:val="30"/>
        <w:spacing w:before="0" w:after="0" w:line="500" w:lineRule="exact"/>
        <w:rPr>
          <w:rFonts w:ascii="宋体" w:hAnsi="宋体" w:cs="宋体"/>
        </w:rPr>
      </w:pPr>
      <w:r>
        <w:rPr>
          <w:rFonts w:hint="eastAsia" w:ascii="宋体" w:hAnsi="宋体" w:cs="宋体"/>
        </w:rPr>
        <w:t>（二）</w:t>
      </w:r>
      <w:bookmarkEnd w:id="48"/>
      <w:bookmarkEnd w:id="49"/>
      <w:bookmarkEnd w:id="50"/>
      <w:bookmarkEnd w:id="51"/>
      <w:bookmarkEnd w:id="52"/>
      <w:bookmarkEnd w:id="53"/>
      <w:bookmarkStart w:id="57" w:name="_Toc41382540"/>
      <w:bookmarkStart w:id="58" w:name="_Toc56937793"/>
      <w:bookmarkStart w:id="59" w:name="_Toc40854925"/>
      <w:r>
        <w:rPr>
          <w:rFonts w:hint="eastAsia" w:ascii="宋体" w:hAnsi="宋体" w:cs="宋体"/>
        </w:rPr>
        <w:t>竞争性磋商文件</w:t>
      </w:r>
    </w:p>
    <w:p>
      <w:pPr>
        <w:pStyle w:val="18"/>
        <w:snapToGrid w:val="0"/>
        <w:spacing w:line="500" w:lineRule="exact"/>
        <w:rPr>
          <w:rFonts w:ascii="宋体" w:hAnsi="宋体" w:cs="宋体"/>
          <w:b/>
          <w:bCs/>
          <w:szCs w:val="28"/>
        </w:rPr>
      </w:pPr>
      <w:r>
        <w:rPr>
          <w:rFonts w:hint="eastAsia" w:ascii="宋体" w:hAnsi="宋体" w:cs="宋体"/>
          <w:b/>
          <w:bCs/>
          <w:szCs w:val="28"/>
        </w:rPr>
        <w:t>8、竞争性磋商文件的组成</w:t>
      </w:r>
      <w:bookmarkEnd w:id="57"/>
      <w:bookmarkEnd w:id="58"/>
      <w:bookmarkEnd w:id="59"/>
    </w:p>
    <w:p>
      <w:pPr>
        <w:spacing w:line="500" w:lineRule="exact"/>
        <w:rPr>
          <w:rFonts w:ascii="宋体" w:hAnsi="宋体" w:cs="宋体"/>
          <w:sz w:val="24"/>
        </w:rPr>
      </w:pPr>
      <w:r>
        <w:rPr>
          <w:rFonts w:hint="eastAsia" w:ascii="宋体" w:hAnsi="宋体" w:cs="宋体"/>
          <w:sz w:val="24"/>
          <w:szCs w:val="28"/>
        </w:rPr>
        <w:t>8.1竞争性磋商文件</w:t>
      </w:r>
      <w:r>
        <w:rPr>
          <w:rFonts w:hint="eastAsia" w:ascii="宋体" w:hAnsi="宋体" w:cs="宋体"/>
          <w:sz w:val="24"/>
        </w:rPr>
        <w:t>包括下列内容：</w:t>
      </w:r>
    </w:p>
    <w:p>
      <w:pPr>
        <w:pStyle w:val="18"/>
        <w:snapToGrid w:val="0"/>
        <w:spacing w:line="500" w:lineRule="exact"/>
        <w:rPr>
          <w:rFonts w:ascii="宋体" w:hAnsi="宋体" w:cs="宋体"/>
          <w:szCs w:val="28"/>
        </w:rPr>
      </w:pPr>
      <w:r>
        <w:rPr>
          <w:rFonts w:hint="eastAsia" w:ascii="宋体" w:hAnsi="宋体" w:cs="宋体"/>
          <w:szCs w:val="28"/>
        </w:rPr>
        <w:t>（1）本竞争性磋商文件</w:t>
      </w:r>
      <w:r>
        <w:rPr>
          <w:rFonts w:hint="eastAsia" w:ascii="宋体" w:hAnsi="宋体" w:cs="宋体"/>
        </w:rPr>
        <w:t>总目录所列内容</w:t>
      </w:r>
      <w:r>
        <w:rPr>
          <w:rFonts w:hint="eastAsia" w:ascii="宋体" w:hAnsi="宋体" w:cs="宋体"/>
          <w:szCs w:val="28"/>
        </w:rPr>
        <w:t>；</w:t>
      </w:r>
    </w:p>
    <w:p>
      <w:pPr>
        <w:pStyle w:val="18"/>
        <w:snapToGrid w:val="0"/>
        <w:spacing w:line="500" w:lineRule="exact"/>
        <w:rPr>
          <w:rFonts w:ascii="宋体" w:hAnsi="宋体" w:cs="宋体"/>
          <w:szCs w:val="18"/>
        </w:rPr>
      </w:pPr>
      <w:r>
        <w:rPr>
          <w:rFonts w:hint="eastAsia" w:ascii="宋体" w:hAnsi="宋体" w:cs="宋体"/>
          <w:szCs w:val="28"/>
        </w:rPr>
        <w:t>（2）采购人在招标期间的所有补充文件(包括招标答疑纪要、对竞争性磋商文件的澄清或修改内容)。</w:t>
      </w:r>
    </w:p>
    <w:p>
      <w:pPr>
        <w:pStyle w:val="18"/>
        <w:snapToGrid w:val="0"/>
        <w:spacing w:line="500" w:lineRule="exact"/>
        <w:rPr>
          <w:rFonts w:ascii="宋体" w:hAnsi="宋体" w:cs="宋体"/>
        </w:rPr>
      </w:pPr>
      <w:r>
        <w:rPr>
          <w:rFonts w:hint="eastAsia" w:ascii="宋体" w:hAnsi="宋体" w:cs="宋体"/>
        </w:rPr>
        <w:t>除上述所列内容外，采购人的任何工作人员对供应商所作的任何口头解释、介绍、答复，只能供供应商参考，对采购人和供应商均无任何约束力。</w:t>
      </w:r>
    </w:p>
    <w:p>
      <w:pPr>
        <w:pStyle w:val="18"/>
        <w:snapToGrid w:val="0"/>
        <w:spacing w:line="500" w:lineRule="exact"/>
        <w:rPr>
          <w:rFonts w:ascii="宋体" w:hAnsi="宋体" w:cs="宋体"/>
          <w:b/>
          <w:bCs/>
          <w:szCs w:val="28"/>
        </w:rPr>
      </w:pPr>
      <w:bookmarkStart w:id="60" w:name="_Toc56937794"/>
      <w:bookmarkStart w:id="61" w:name="_Toc41382541"/>
      <w:bookmarkStart w:id="62" w:name="_Toc40854926"/>
      <w:r>
        <w:rPr>
          <w:rFonts w:hint="eastAsia" w:ascii="宋体" w:hAnsi="宋体" w:cs="宋体"/>
          <w:b/>
          <w:bCs/>
          <w:szCs w:val="28"/>
        </w:rPr>
        <w:t>9、现场踏勘与招标答疑</w:t>
      </w:r>
      <w:bookmarkEnd w:id="60"/>
      <w:bookmarkEnd w:id="61"/>
      <w:bookmarkEnd w:id="62"/>
    </w:p>
    <w:p>
      <w:pPr>
        <w:spacing w:line="500" w:lineRule="exact"/>
        <w:rPr>
          <w:rFonts w:ascii="宋体" w:hAnsi="宋体" w:cs="宋体"/>
          <w:sz w:val="24"/>
          <w:szCs w:val="28"/>
        </w:rPr>
      </w:pPr>
      <w:r>
        <w:rPr>
          <w:rFonts w:hint="eastAsia" w:ascii="宋体" w:hAnsi="宋体" w:cs="宋体"/>
          <w:sz w:val="24"/>
          <w:szCs w:val="28"/>
        </w:rPr>
        <w:t>9.1</w:t>
      </w:r>
      <w:r>
        <w:rPr>
          <w:rFonts w:hint="eastAsia" w:ascii="宋体" w:hAnsi="宋体" w:cs="宋体"/>
          <w:sz w:val="24"/>
        </w:rPr>
        <w:t>现场踏勘由供应商自行前往。</w:t>
      </w:r>
    </w:p>
    <w:p>
      <w:pPr>
        <w:spacing w:line="500" w:lineRule="exact"/>
        <w:rPr>
          <w:rFonts w:ascii="宋体" w:hAnsi="宋体" w:cs="宋体"/>
          <w:sz w:val="24"/>
          <w:szCs w:val="20"/>
        </w:rPr>
      </w:pPr>
      <w:r>
        <w:rPr>
          <w:rFonts w:hint="eastAsia" w:ascii="宋体" w:hAnsi="宋体" w:cs="宋体"/>
          <w:sz w:val="24"/>
          <w:szCs w:val="28"/>
        </w:rPr>
        <w:t>9.2</w:t>
      </w:r>
      <w:r>
        <w:rPr>
          <w:rFonts w:hint="eastAsia" w:ascii="宋体" w:hAnsi="宋体" w:cs="宋体"/>
          <w:sz w:val="24"/>
          <w:szCs w:val="20"/>
        </w:rPr>
        <w:t>供应商应仔细阅读和检查竞争性磋商文件的全部内容。如发现缺页或附件不全，应及时向采购人提出，以便补齐。如有疑问和有异议的，必须在收到竞争性磋商文件3日内采用书面形式(包括信函、传真、电报，必须加盖公章和写明日期，下同)提交至招标代理机构，采购人将用书面形式予以答复。如对竞争性磋商文件没有异议，在收到竞争性磋商文件5日内向招标代理机构提交加盖公章的无异议确认函。若不提供，视为默认。</w:t>
      </w:r>
    </w:p>
    <w:p>
      <w:pPr>
        <w:pStyle w:val="18"/>
        <w:snapToGrid w:val="0"/>
        <w:spacing w:line="500" w:lineRule="exact"/>
        <w:rPr>
          <w:rFonts w:ascii="宋体" w:hAnsi="宋体" w:cs="宋体"/>
          <w:b/>
          <w:bCs/>
          <w:szCs w:val="28"/>
        </w:rPr>
      </w:pPr>
      <w:bookmarkStart w:id="63" w:name="_Toc41382542"/>
      <w:bookmarkStart w:id="64" w:name="_Toc40854927"/>
      <w:bookmarkStart w:id="65" w:name="_Toc56937795"/>
      <w:r>
        <w:rPr>
          <w:rFonts w:hint="eastAsia" w:ascii="宋体" w:hAnsi="宋体" w:cs="宋体"/>
          <w:b/>
          <w:bCs/>
          <w:szCs w:val="28"/>
        </w:rPr>
        <w:t>10、竞争性磋商文件的修改</w:t>
      </w:r>
      <w:bookmarkEnd w:id="63"/>
      <w:bookmarkEnd w:id="64"/>
      <w:bookmarkEnd w:id="65"/>
    </w:p>
    <w:p>
      <w:pPr>
        <w:pStyle w:val="12"/>
        <w:snapToGrid w:val="0"/>
        <w:spacing w:line="500" w:lineRule="exact"/>
        <w:ind w:firstLine="0"/>
        <w:rPr>
          <w:rFonts w:ascii="宋体" w:hAnsi="宋体" w:cs="宋体"/>
          <w:sz w:val="24"/>
          <w:szCs w:val="28"/>
        </w:rPr>
      </w:pPr>
      <w:r>
        <w:rPr>
          <w:rFonts w:hint="eastAsia" w:ascii="宋体" w:hAnsi="宋体" w:cs="宋体"/>
          <w:sz w:val="24"/>
          <w:szCs w:val="28"/>
        </w:rPr>
        <w:t>10.1采购人可以对已发出的竞争性磋商文件进行必要的澄清或者修改。澄清或者修改的内容可能影响投标文件编制的，采购人应当在投标截止时间至少15日前，以书面形式通知所有获取竞争性磋商文件的供应商；不足15日的，采购人应当顺延提交投标文件的截止时间。</w:t>
      </w:r>
    </w:p>
    <w:p>
      <w:pPr>
        <w:pStyle w:val="12"/>
        <w:snapToGrid w:val="0"/>
        <w:spacing w:line="500" w:lineRule="exact"/>
        <w:ind w:firstLine="0"/>
        <w:rPr>
          <w:rFonts w:ascii="宋体" w:hAnsi="宋体" w:cs="宋体"/>
          <w:sz w:val="24"/>
          <w:szCs w:val="28"/>
        </w:rPr>
      </w:pPr>
      <w:r>
        <w:rPr>
          <w:rFonts w:hint="eastAsia" w:ascii="宋体" w:hAnsi="宋体" w:cs="宋体"/>
          <w:sz w:val="24"/>
          <w:szCs w:val="28"/>
        </w:rPr>
        <w:t>10.2补充文件对供应商起约束作用。</w:t>
      </w:r>
    </w:p>
    <w:p>
      <w:pPr>
        <w:pStyle w:val="12"/>
        <w:snapToGrid w:val="0"/>
        <w:spacing w:line="500" w:lineRule="exact"/>
        <w:ind w:firstLine="0"/>
        <w:rPr>
          <w:rFonts w:ascii="宋体" w:hAnsi="宋体" w:cs="宋体"/>
          <w:b/>
          <w:bCs/>
          <w:sz w:val="24"/>
        </w:rPr>
      </w:pPr>
      <w:bookmarkStart w:id="66" w:name="_Toc40854928"/>
      <w:bookmarkStart w:id="67" w:name="_Toc41382543"/>
      <w:bookmarkStart w:id="68" w:name="_Toc56937796"/>
      <w:r>
        <w:rPr>
          <w:rFonts w:hint="eastAsia" w:ascii="宋体" w:hAnsi="宋体" w:cs="宋体"/>
          <w:b/>
          <w:bCs/>
          <w:sz w:val="24"/>
        </w:rPr>
        <w:t>11、竞争性磋商文件的效力</w:t>
      </w:r>
      <w:bookmarkEnd w:id="66"/>
      <w:bookmarkEnd w:id="67"/>
      <w:bookmarkEnd w:id="68"/>
    </w:p>
    <w:p>
      <w:pPr>
        <w:pStyle w:val="12"/>
        <w:snapToGrid w:val="0"/>
        <w:spacing w:line="500" w:lineRule="exact"/>
        <w:ind w:firstLine="480" w:firstLineChars="200"/>
        <w:rPr>
          <w:rFonts w:ascii="宋体" w:hAnsi="宋体" w:cs="宋体"/>
          <w:sz w:val="24"/>
        </w:rPr>
      </w:pPr>
      <w:r>
        <w:rPr>
          <w:rFonts w:hint="eastAsia" w:ascii="宋体" w:hAnsi="宋体" w:cs="宋体"/>
          <w:sz w:val="24"/>
        </w:rPr>
        <w:t>竞争性磋商文件是招标和投标的有效依据，也是中标后签订合同的依据，同时也是合同的组成文件，对招投标双方均具有约束力。凡不遵守竞争性磋商文件规定的投标或对竞争性磋商文件的实质性内容不响应者，将可能被拒绝或以无效标处理。</w:t>
      </w:r>
      <w:bookmarkStart w:id="69" w:name="_Toc40854929"/>
      <w:bookmarkStart w:id="70" w:name="_Toc56937797"/>
      <w:bookmarkStart w:id="71" w:name="_Toc41382544"/>
    </w:p>
    <w:p>
      <w:pPr>
        <w:pStyle w:val="30"/>
        <w:spacing w:before="0" w:after="0" w:line="500" w:lineRule="exact"/>
        <w:rPr>
          <w:rFonts w:ascii="宋体" w:hAnsi="宋体" w:cs="宋体"/>
        </w:rPr>
      </w:pPr>
      <w:bookmarkStart w:id="72" w:name="_Toc224984522"/>
      <w:bookmarkStart w:id="73" w:name="_Toc31312"/>
      <w:bookmarkStart w:id="74" w:name="_Toc225585656"/>
      <w:r>
        <w:rPr>
          <w:rFonts w:hint="eastAsia" w:ascii="宋体" w:hAnsi="宋体" w:cs="宋体"/>
        </w:rPr>
        <w:t>（三）投标文件</w:t>
      </w:r>
      <w:bookmarkEnd w:id="69"/>
      <w:bookmarkEnd w:id="70"/>
      <w:bookmarkEnd w:id="71"/>
      <w:bookmarkEnd w:id="72"/>
      <w:bookmarkEnd w:id="73"/>
      <w:bookmarkEnd w:id="74"/>
      <w:bookmarkStart w:id="75" w:name="_Toc56937798"/>
      <w:bookmarkStart w:id="76" w:name="_Toc41382545"/>
      <w:bookmarkStart w:id="77" w:name="_Toc40854930"/>
    </w:p>
    <w:p>
      <w:pPr>
        <w:pStyle w:val="12"/>
        <w:snapToGrid w:val="0"/>
        <w:spacing w:line="500" w:lineRule="exact"/>
        <w:ind w:firstLine="0"/>
        <w:rPr>
          <w:rFonts w:ascii="宋体" w:hAnsi="宋体" w:cs="宋体"/>
          <w:sz w:val="24"/>
        </w:rPr>
      </w:pPr>
      <w:r>
        <w:rPr>
          <w:rFonts w:hint="eastAsia" w:ascii="宋体" w:hAnsi="宋体" w:cs="宋体"/>
          <w:b/>
          <w:bCs/>
          <w:sz w:val="24"/>
        </w:rPr>
        <w:t>12、</w:t>
      </w:r>
      <w:r>
        <w:rPr>
          <w:rFonts w:hint="eastAsia" w:ascii="宋体" w:hAnsi="宋体" w:cs="宋体"/>
          <w:sz w:val="24"/>
        </w:rPr>
        <w:t>投标文件的语言及度量衡及货币单位</w:t>
      </w:r>
      <w:bookmarkEnd w:id="75"/>
      <w:bookmarkEnd w:id="76"/>
      <w:bookmarkEnd w:id="77"/>
    </w:p>
    <w:p>
      <w:pPr>
        <w:spacing w:line="500" w:lineRule="exact"/>
        <w:rPr>
          <w:rFonts w:ascii="宋体" w:hAnsi="宋体" w:cs="宋体"/>
          <w:sz w:val="24"/>
        </w:rPr>
      </w:pPr>
      <w:r>
        <w:rPr>
          <w:rFonts w:hint="eastAsia" w:ascii="宋体" w:hAnsi="宋体" w:cs="宋体"/>
          <w:sz w:val="24"/>
          <w:szCs w:val="28"/>
        </w:rPr>
        <w:t>12.1投</w:t>
      </w:r>
      <w:r>
        <w:rPr>
          <w:rFonts w:hint="eastAsia" w:ascii="宋体" w:hAnsi="宋体" w:cs="宋体"/>
          <w:sz w:val="24"/>
        </w:rPr>
        <w:t>标文件和与投标有关的所有文件均应使用中文。</w:t>
      </w:r>
    </w:p>
    <w:p>
      <w:pPr>
        <w:spacing w:line="500" w:lineRule="exact"/>
        <w:rPr>
          <w:rFonts w:ascii="宋体" w:hAnsi="宋体" w:cs="宋体"/>
          <w:sz w:val="24"/>
        </w:rPr>
      </w:pPr>
      <w:r>
        <w:rPr>
          <w:rFonts w:hint="eastAsia" w:ascii="宋体" w:hAnsi="宋体" w:cs="宋体"/>
          <w:sz w:val="24"/>
          <w:szCs w:val="28"/>
        </w:rPr>
        <w:t>12.2除</w:t>
      </w:r>
      <w:r>
        <w:rPr>
          <w:rFonts w:hint="eastAsia" w:ascii="宋体" w:hAnsi="宋体" w:cs="宋体"/>
          <w:sz w:val="24"/>
        </w:rPr>
        <w:t>技术规格中另有规定外，投标文件使用的度量衡单位，均采用中华人民共和国法定计量单位。</w:t>
      </w:r>
      <w:bookmarkStart w:id="78" w:name="_Toc56937799"/>
      <w:bookmarkStart w:id="79" w:name="_Toc41382546"/>
      <w:bookmarkStart w:id="80" w:name="_Toc40854931"/>
    </w:p>
    <w:p>
      <w:pPr>
        <w:spacing w:line="500" w:lineRule="exact"/>
        <w:rPr>
          <w:rFonts w:ascii="宋体" w:hAnsi="宋体" w:cs="宋体"/>
          <w:sz w:val="24"/>
          <w:szCs w:val="28"/>
        </w:rPr>
      </w:pPr>
      <w:r>
        <w:rPr>
          <w:rFonts w:hint="eastAsia" w:ascii="宋体" w:hAnsi="宋体" w:cs="宋体"/>
          <w:sz w:val="24"/>
          <w:szCs w:val="28"/>
        </w:rPr>
        <w:t>12.3投标货币为人民币。</w:t>
      </w:r>
    </w:p>
    <w:p>
      <w:pPr>
        <w:autoSpaceDE w:val="0"/>
        <w:autoSpaceDN w:val="0"/>
        <w:spacing w:line="500" w:lineRule="exact"/>
        <w:textAlignment w:val="bottom"/>
        <w:rPr>
          <w:rFonts w:ascii="宋体" w:hAnsi="宋体" w:cs="宋体"/>
          <w:sz w:val="24"/>
        </w:rPr>
      </w:pPr>
      <w:r>
        <w:rPr>
          <w:rFonts w:hint="eastAsia" w:ascii="宋体" w:hAnsi="宋体" w:cs="宋体"/>
          <w:sz w:val="24"/>
          <w:szCs w:val="28"/>
        </w:rPr>
        <w:t>13、</w:t>
      </w:r>
      <w:r>
        <w:rPr>
          <w:rFonts w:hint="eastAsia" w:ascii="宋体" w:hAnsi="宋体" w:cs="宋体"/>
          <w:sz w:val="24"/>
        </w:rPr>
        <w:t>投标文件的组成</w:t>
      </w:r>
      <w:bookmarkEnd w:id="78"/>
      <w:bookmarkEnd w:id="79"/>
      <w:bookmarkEnd w:id="80"/>
    </w:p>
    <w:p>
      <w:pPr>
        <w:autoSpaceDE w:val="0"/>
        <w:autoSpaceDN w:val="0"/>
        <w:spacing w:line="500" w:lineRule="exact"/>
        <w:ind w:firstLine="480" w:firstLineChars="200"/>
        <w:textAlignment w:val="bottom"/>
        <w:rPr>
          <w:rFonts w:ascii="宋体" w:hAnsi="宋体" w:cs="宋体"/>
          <w:sz w:val="24"/>
        </w:rPr>
      </w:pPr>
      <w:r>
        <w:rPr>
          <w:rFonts w:hint="eastAsia" w:ascii="宋体" w:hAnsi="宋体" w:cs="宋体"/>
          <w:sz w:val="24"/>
        </w:rPr>
        <w:t>供应商应仔细阅读竞争性磋商文件中的所有内容，按照竞争性磋商文件及招标项目技术要求，详细编制投标文件，并保证投标文件的正确性和真实性。不按竞争性磋商文件的要求提供的投标文件可能导致被拒绝。投标文件组成如下：</w:t>
      </w:r>
    </w:p>
    <w:p>
      <w:pPr>
        <w:spacing w:line="360" w:lineRule="auto"/>
        <w:rPr>
          <w:rFonts w:ascii="宋体" w:hAnsi="宋体" w:cs="宋体"/>
          <w:b/>
          <w:sz w:val="24"/>
        </w:rPr>
      </w:pPr>
      <w:r>
        <w:rPr>
          <w:rFonts w:hint="eastAsia" w:ascii="宋体" w:hAnsi="宋体" w:cs="宋体"/>
          <w:b/>
          <w:sz w:val="24"/>
        </w:rPr>
        <w:t>投标文件须按以下顺序编制并编列页码（以下内容包含但不限于）：</w:t>
      </w:r>
    </w:p>
    <w:p>
      <w:pPr>
        <w:autoSpaceDE w:val="0"/>
        <w:autoSpaceDN w:val="0"/>
        <w:spacing w:line="500" w:lineRule="exact"/>
        <w:textAlignment w:val="bottom"/>
        <w:rPr>
          <w:rFonts w:ascii="宋体" w:hAnsi="宋体" w:cs="宋体"/>
          <w:b/>
          <w:sz w:val="24"/>
          <w:szCs w:val="20"/>
        </w:rPr>
      </w:pPr>
      <w:r>
        <w:rPr>
          <w:rFonts w:hint="eastAsia" w:ascii="宋体" w:hAnsi="宋体" w:cs="宋体"/>
          <w:b/>
          <w:sz w:val="24"/>
        </w:rPr>
        <w:t>一、商务部分</w:t>
      </w:r>
    </w:p>
    <w:p>
      <w:pPr>
        <w:autoSpaceDE w:val="0"/>
        <w:autoSpaceDN w:val="0"/>
        <w:spacing w:line="500" w:lineRule="exact"/>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（1）投标函（附件1）</w:t>
      </w:r>
    </w:p>
    <w:p>
      <w:pPr>
        <w:autoSpaceDE w:val="0"/>
        <w:autoSpaceDN w:val="0"/>
        <w:spacing w:line="500" w:lineRule="exact"/>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（2）承诺函（附件1-1）</w:t>
      </w:r>
    </w:p>
    <w:p>
      <w:pPr>
        <w:autoSpaceDE w:val="0"/>
        <w:autoSpaceDN w:val="0"/>
        <w:spacing w:line="500" w:lineRule="exact"/>
        <w:textAlignment w:val="bottom"/>
        <w:rPr>
          <w:rFonts w:eastAsiaTheme="minorEastAsia"/>
        </w:rPr>
      </w:pPr>
      <w:r>
        <w:rPr>
          <w:rFonts w:hint="eastAsia" w:asciiTheme="minorEastAsia" w:hAnsiTheme="minorEastAsia" w:eastAsiaTheme="minorEastAsia" w:cstheme="minorEastAsia"/>
          <w:sz w:val="24"/>
        </w:rPr>
        <w:t>（3）响应供应商资格声明函（附件1-2）</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（4）法定代表人身份证明书、授权委托书（附件2）</w:t>
      </w:r>
    </w:p>
    <w:p>
      <w:pPr>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（5）投标保证金汇款凭证（附件3）</w:t>
      </w:r>
    </w:p>
    <w:p>
      <w:pPr>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（6）开标一览表、投标分项报价明细表（附件4）</w:t>
      </w:r>
    </w:p>
    <w:p>
      <w:pPr>
        <w:tabs>
          <w:tab w:val="left" w:pos="126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（7）企业营业执照、企业税务登记证、企业组织机构代码证（如已三证合一的供应商仅需提供营业执照）（附件5）</w:t>
      </w:r>
    </w:p>
    <w:p>
      <w:pPr>
        <w:pStyle w:val="29"/>
        <w:spacing w:before="0" w:beforeAutospacing="0" w:after="0" w:afterAutospacing="0"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8）供应商参加本次采购活动前三年内在“信用中国”（www.creditchina.gov.cn）下载附件和中国政府采购网（www.ccgp.gov.cn）网站上未被列入失信被执行人、重大税收违法案件当事人名单以及政府采购严重违法失信行为记录名单的供应商（提供查询网页打印件），拒绝参与政府采购活动。</w:t>
      </w:r>
    </w:p>
    <w:p>
      <w:pPr>
        <w:spacing w:line="360" w:lineRule="auto"/>
        <w:rPr>
          <w:sz w:val="24"/>
        </w:rPr>
      </w:pPr>
      <w:r>
        <w:rPr>
          <w:rFonts w:hint="eastAsia"/>
          <w:sz w:val="24"/>
        </w:rPr>
        <w:t>（9）具有良好的商业信誉和健全的财务会计制度，提供</w:t>
      </w:r>
      <w:r>
        <w:rPr>
          <w:rFonts w:hint="eastAsia" w:asciiTheme="minorEastAsia" w:hAnsiTheme="minorEastAsia" w:eastAsiaTheme="minorEastAsia" w:cstheme="minorEastAsia"/>
          <w:b w:val="0"/>
          <w:bCs w:val="0"/>
          <w:sz w:val="24"/>
          <w:highlight w:val="none"/>
        </w:rPr>
        <w:t>2021或2</w:t>
      </w:r>
      <w:r>
        <w:rPr>
          <w:rFonts w:hint="eastAsia" w:asciiTheme="minorEastAsia" w:hAnsiTheme="minorEastAsia" w:eastAsiaTheme="minorEastAsia" w:cstheme="minorEastAsia"/>
          <w:b w:val="0"/>
          <w:bCs w:val="0"/>
          <w:sz w:val="24"/>
        </w:rPr>
        <w:t>022年</w:t>
      </w:r>
      <w:r>
        <w:rPr>
          <w:rFonts w:hint="eastAsia"/>
          <w:sz w:val="24"/>
        </w:rPr>
        <w:t>经外部审计的财务审计报告或财务报表的复印件加盖公章（公司成立不到一年的从成立之日起）；</w:t>
      </w:r>
    </w:p>
    <w:p>
      <w:pPr>
        <w:spacing w:line="360" w:lineRule="auto"/>
        <w:rPr>
          <w:sz w:val="24"/>
        </w:rPr>
      </w:pPr>
      <w:r>
        <w:rPr>
          <w:rFonts w:hint="eastAsia"/>
          <w:sz w:val="24"/>
        </w:rPr>
        <w:t>（10）有依法缴纳税收和社会保障资金的良好纪录，提供相关证明（新注册的供应商应当提供注册时至参加政府采购活动时相应期限内本单位的缴纳税收、社会保障凭据）；</w:t>
      </w:r>
    </w:p>
    <w:p>
      <w:pPr>
        <w:tabs>
          <w:tab w:val="left" w:pos="540"/>
          <w:tab w:val="left" w:pos="900"/>
        </w:tabs>
        <w:autoSpaceDE w:val="0"/>
        <w:autoSpaceDN w:val="0"/>
        <w:spacing w:line="500" w:lineRule="exact"/>
        <w:textAlignment w:val="bottom"/>
        <w:rPr>
          <w:rFonts w:ascii="宋体" w:hAnsi="宋体" w:cs="宋体"/>
          <w:b/>
          <w:sz w:val="24"/>
        </w:rPr>
      </w:pPr>
      <w:r>
        <w:rPr>
          <w:rFonts w:hint="eastAsia" w:ascii="宋体" w:hAnsi="宋体" w:cs="宋体"/>
          <w:b/>
          <w:sz w:val="24"/>
        </w:rPr>
        <w:t>一、</w:t>
      </w:r>
      <w:r>
        <w:rPr>
          <w:rFonts w:hint="eastAsia" w:ascii="Arial" w:hAnsi="Arial" w:cs="Arial"/>
          <w:b/>
          <w:sz w:val="24"/>
        </w:rPr>
        <w:t>磋商</w:t>
      </w:r>
      <w:r>
        <w:rPr>
          <w:rFonts w:ascii="Arial" w:hAnsi="Arial" w:cs="Arial"/>
          <w:b/>
          <w:sz w:val="24"/>
        </w:rPr>
        <w:t>文件包括</w:t>
      </w:r>
      <w:r>
        <w:rPr>
          <w:rFonts w:hint="eastAsia" w:ascii="宋体" w:hAnsi="宋体" w:cs="宋体"/>
          <w:b/>
          <w:sz w:val="24"/>
        </w:rPr>
        <w:t>：</w:t>
      </w:r>
    </w:p>
    <w:p>
      <w:pPr>
        <w:tabs>
          <w:tab w:val="left" w:pos="540"/>
          <w:tab w:val="left" w:pos="900"/>
        </w:tabs>
        <w:autoSpaceDE w:val="0"/>
        <w:autoSpaceDN w:val="0"/>
        <w:spacing w:line="500" w:lineRule="exact"/>
        <w:textAlignment w:val="bottom"/>
        <w:rPr>
          <w:rFonts w:ascii="宋体" w:hAnsi="宋体" w:cs="宋体"/>
          <w:bCs/>
          <w:sz w:val="24"/>
        </w:rPr>
      </w:pPr>
      <w:r>
        <w:rPr>
          <w:rFonts w:hint="eastAsia" w:ascii="宋体" w:hAnsi="宋体" w:cs="宋体"/>
          <w:bCs/>
          <w:sz w:val="24"/>
        </w:rPr>
        <w:t>（1）商务部分</w:t>
      </w:r>
    </w:p>
    <w:p>
      <w:pPr>
        <w:tabs>
          <w:tab w:val="left" w:pos="540"/>
          <w:tab w:val="left" w:pos="900"/>
        </w:tabs>
        <w:autoSpaceDE w:val="0"/>
        <w:autoSpaceDN w:val="0"/>
        <w:spacing w:line="500" w:lineRule="exact"/>
        <w:textAlignment w:val="bottom"/>
        <w:rPr>
          <w:rFonts w:ascii="宋体" w:hAnsi="宋体" w:cs="宋体"/>
          <w:bCs/>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）技术部分</w:t>
      </w:r>
    </w:p>
    <w:p>
      <w:pPr>
        <w:tabs>
          <w:tab w:val="left" w:pos="540"/>
          <w:tab w:val="left" w:pos="900"/>
        </w:tabs>
        <w:autoSpaceDE w:val="0"/>
        <w:autoSpaceDN w:val="0"/>
        <w:spacing w:line="500" w:lineRule="exact"/>
        <w:textAlignment w:val="bottom"/>
        <w:rPr>
          <w:rFonts w:ascii="宋体" w:hAnsi="宋体" w:cs="宋体"/>
          <w:b/>
          <w:sz w:val="24"/>
        </w:rPr>
      </w:pPr>
      <w:r>
        <w:rPr>
          <w:rFonts w:hint="eastAsia" w:ascii="宋体" w:hAnsi="宋体" w:cs="宋体"/>
          <w:b/>
          <w:sz w:val="24"/>
        </w:rPr>
        <w:t>二、其他</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（1）安全运营责任书（附件6）</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（2）商务条款偏离表（附件8）</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（3）技术条款偏离表（附件8-1）</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val="zh-CN"/>
        </w:rPr>
        <w:t>供应商诚信保证书</w:t>
      </w:r>
      <w:r>
        <w:rPr>
          <w:rFonts w:hint="eastAsia" w:asciiTheme="minorEastAsia" w:hAnsiTheme="minorEastAsia" w:eastAsiaTheme="minorEastAsia" w:cstheme="minorEastAsia"/>
          <w:sz w:val="24"/>
        </w:rPr>
        <w:t>（附件9）</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（5）中小企业声明函（附件10）</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（6）监狱企业相关证明材料（如有）（附件10-1）</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（7）残疾人福利性单位声明函（如有）（附件10-2）</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（8）反商业贿赂承诺书（附件11）</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（9）其他证明材料（附件12）</w:t>
      </w:r>
    </w:p>
    <w:p>
      <w:pPr>
        <w:autoSpaceDE w:val="0"/>
        <w:autoSpaceDN w:val="0"/>
        <w:spacing w:line="500" w:lineRule="exact"/>
        <w:textAlignment w:val="bottom"/>
        <w:rPr>
          <w:rFonts w:ascii="宋体" w:hAnsi="宋体" w:cs="宋体"/>
          <w:sz w:val="24"/>
          <w:szCs w:val="22"/>
        </w:rPr>
      </w:pPr>
      <w:r>
        <w:rPr>
          <w:rFonts w:hint="eastAsia" w:ascii="宋体" w:hAnsi="宋体" w:cs="宋体"/>
          <w:sz w:val="24"/>
          <w:szCs w:val="22"/>
        </w:rPr>
        <w:t>注：供应商应如实提供资料，并保证真实可靠，不得弄虚作假。如供应商隐瞒事实真相、弄虚作假，一经查实，取消该供应商的投标资格，若已中标的，取消其中标资格。</w:t>
      </w:r>
    </w:p>
    <w:p>
      <w:pPr>
        <w:tabs>
          <w:tab w:val="left" w:pos="540"/>
          <w:tab w:val="left" w:pos="720"/>
        </w:tabs>
        <w:autoSpaceDE w:val="0"/>
        <w:autoSpaceDN w:val="0"/>
        <w:spacing w:line="500" w:lineRule="exact"/>
        <w:textAlignment w:val="bottom"/>
        <w:rPr>
          <w:rFonts w:ascii="宋体" w:hAnsi="宋体" w:cs="宋体"/>
          <w:b/>
          <w:bCs/>
          <w:sz w:val="24"/>
          <w:szCs w:val="20"/>
        </w:rPr>
      </w:pPr>
      <w:r>
        <w:rPr>
          <w:rFonts w:hint="eastAsia" w:ascii="宋体" w:hAnsi="宋体" w:cs="宋体"/>
          <w:b/>
          <w:bCs/>
          <w:sz w:val="24"/>
          <w:szCs w:val="20"/>
        </w:rPr>
        <w:t>14、</w:t>
      </w:r>
      <w:r>
        <w:rPr>
          <w:rFonts w:hint="eastAsia" w:ascii="宋体" w:hAnsi="宋体" w:cs="宋体"/>
          <w:b/>
          <w:bCs/>
          <w:sz w:val="24"/>
        </w:rPr>
        <w:t>投标内容填写说明</w:t>
      </w:r>
    </w:p>
    <w:p>
      <w:pPr>
        <w:autoSpaceDE w:val="0"/>
        <w:autoSpaceDN w:val="0"/>
        <w:spacing w:line="500" w:lineRule="exact"/>
        <w:textAlignment w:val="bottom"/>
        <w:rPr>
          <w:rFonts w:ascii="宋体" w:hAnsi="宋体" w:cs="宋体"/>
          <w:sz w:val="24"/>
        </w:rPr>
      </w:pPr>
      <w:r>
        <w:rPr>
          <w:rFonts w:hint="eastAsia" w:ascii="宋体" w:hAnsi="宋体" w:cs="宋体"/>
          <w:sz w:val="24"/>
        </w:rPr>
        <w:t>14.1 投标文件格式：供应商须按照第13条规定的内容编制（按目录顺序要求）。</w:t>
      </w:r>
    </w:p>
    <w:p>
      <w:pPr>
        <w:autoSpaceDE w:val="0"/>
        <w:autoSpaceDN w:val="0"/>
        <w:spacing w:line="500" w:lineRule="exact"/>
        <w:textAlignment w:val="bottom"/>
        <w:rPr>
          <w:rFonts w:ascii="宋体" w:hAnsi="宋体" w:cs="宋体"/>
          <w:sz w:val="24"/>
        </w:rPr>
      </w:pPr>
      <w:r>
        <w:rPr>
          <w:rFonts w:hint="eastAsia" w:ascii="宋体" w:hAnsi="宋体" w:cs="宋体"/>
          <w:sz w:val="24"/>
        </w:rPr>
        <w:t>14.2 投标文件份数：开标结束后中标人：一式肆份（一正叁副），未中标人：一式叁份（一正贰副）投标文件的正、副本封面应有“正本”、“副本”字样的标记。投标文件正本、副本不一致时，以正本为准。</w:t>
      </w:r>
    </w:p>
    <w:p>
      <w:pPr>
        <w:autoSpaceDE w:val="0"/>
        <w:autoSpaceDN w:val="0"/>
        <w:spacing w:line="500" w:lineRule="exact"/>
        <w:textAlignment w:val="bottom"/>
        <w:rPr>
          <w:rFonts w:ascii="宋体" w:hAnsi="宋体" w:cs="宋体"/>
          <w:sz w:val="24"/>
        </w:rPr>
      </w:pPr>
      <w:r>
        <w:rPr>
          <w:rFonts w:hint="eastAsia" w:ascii="宋体" w:hAnsi="宋体" w:cs="宋体"/>
          <w:sz w:val="24"/>
        </w:rPr>
        <w:t>14.4 投标文件不得涂改和增删，如有错漏必须修改，修改处须有供应商加盖公章。</w:t>
      </w:r>
    </w:p>
    <w:p>
      <w:pPr>
        <w:autoSpaceDE w:val="0"/>
        <w:autoSpaceDN w:val="0"/>
        <w:spacing w:line="500" w:lineRule="exact"/>
        <w:textAlignment w:val="bottom"/>
        <w:rPr>
          <w:rFonts w:ascii="宋体" w:hAnsi="宋体" w:cs="宋体"/>
          <w:sz w:val="24"/>
        </w:rPr>
      </w:pPr>
      <w:r>
        <w:rPr>
          <w:rFonts w:hint="eastAsia" w:ascii="宋体" w:hAnsi="宋体" w:cs="宋体"/>
          <w:sz w:val="24"/>
        </w:rPr>
        <w:t>14.5 由于字迹模糊或表达不清引起的后果由供应商负责。</w:t>
      </w:r>
    </w:p>
    <w:p>
      <w:pPr>
        <w:autoSpaceDE w:val="0"/>
        <w:autoSpaceDN w:val="0"/>
        <w:spacing w:line="500" w:lineRule="exact"/>
        <w:textAlignment w:val="bottom"/>
        <w:rPr>
          <w:rFonts w:ascii="宋体" w:hAnsi="宋体" w:cs="宋体"/>
          <w:sz w:val="24"/>
        </w:rPr>
      </w:pPr>
      <w:r>
        <w:rPr>
          <w:rFonts w:hint="eastAsia" w:ascii="宋体" w:hAnsi="宋体" w:cs="宋体"/>
          <w:sz w:val="24"/>
        </w:rPr>
        <w:t>14.6 投标文件中的开标一览表为唱标的内容，供应商须按竞争性磋商文件给定的开标一览表格式填写，统一规范，不得自行增减内容。</w:t>
      </w:r>
    </w:p>
    <w:p>
      <w:pPr>
        <w:spacing w:line="500" w:lineRule="exact"/>
        <w:rPr>
          <w:rFonts w:ascii="宋体" w:hAnsi="宋体" w:cs="宋体"/>
          <w:b/>
          <w:bCs/>
          <w:sz w:val="24"/>
        </w:rPr>
      </w:pPr>
      <w:r>
        <w:rPr>
          <w:rFonts w:hint="eastAsia" w:ascii="宋体" w:hAnsi="宋体" w:cs="宋体"/>
          <w:b/>
          <w:bCs/>
          <w:sz w:val="24"/>
        </w:rPr>
        <w:t>15、投标报价：</w:t>
      </w:r>
    </w:p>
    <w:p>
      <w:pPr>
        <w:autoSpaceDE w:val="0"/>
        <w:autoSpaceDN w:val="0"/>
        <w:spacing w:line="500" w:lineRule="exact"/>
        <w:textAlignment w:val="bottom"/>
        <w:rPr>
          <w:rFonts w:ascii="宋体" w:hAnsi="宋体" w:cs="宋体"/>
          <w:sz w:val="24"/>
        </w:rPr>
      </w:pPr>
      <w:r>
        <w:rPr>
          <w:rFonts w:hint="eastAsia" w:ascii="宋体" w:hAnsi="宋体" w:cs="宋体"/>
          <w:sz w:val="24"/>
        </w:rPr>
        <w:t>15.1 供应商应按竞争性磋商文件中《开标一览表》填写数量单价、总价、其他费用、合价、合计等。</w:t>
      </w:r>
    </w:p>
    <w:p>
      <w:pPr>
        <w:autoSpaceDE w:val="0"/>
        <w:autoSpaceDN w:val="0"/>
        <w:spacing w:line="500" w:lineRule="exact"/>
        <w:textAlignment w:val="bottom"/>
        <w:rPr>
          <w:rFonts w:ascii="宋体" w:hAnsi="宋体" w:cs="宋体"/>
          <w:sz w:val="24"/>
          <w:szCs w:val="20"/>
        </w:rPr>
      </w:pPr>
      <w:r>
        <w:rPr>
          <w:rFonts w:hint="eastAsia" w:ascii="宋体" w:hAnsi="宋体" w:cs="宋体"/>
          <w:sz w:val="24"/>
        </w:rPr>
        <w:t xml:space="preserve">15.2 供应商应在磋商报价表上标明单价和总价。单价和总价要相符。小写和大写要相符。供应商应在磋商报价表中标明其提供的所有服务及其相关工作范围内所有费用的总价，不接受有任何选择性磋商报价。    </w:t>
      </w:r>
    </w:p>
    <w:p>
      <w:pPr>
        <w:pStyle w:val="18"/>
        <w:snapToGrid w:val="0"/>
        <w:spacing w:line="500" w:lineRule="exact"/>
        <w:rPr>
          <w:rFonts w:ascii="宋体" w:hAnsi="宋体" w:cs="宋体"/>
          <w:b/>
          <w:bCs/>
          <w:szCs w:val="24"/>
        </w:rPr>
      </w:pPr>
      <w:r>
        <w:rPr>
          <w:rFonts w:hint="eastAsia" w:ascii="宋体" w:hAnsi="宋体" w:cs="宋体"/>
          <w:b/>
          <w:bCs/>
          <w:szCs w:val="24"/>
        </w:rPr>
        <w:t>16、投标保证金</w:t>
      </w:r>
    </w:p>
    <w:p>
      <w:pPr>
        <w:snapToGrid w:val="0"/>
        <w:spacing w:line="500" w:lineRule="exact"/>
        <w:rPr>
          <w:rFonts w:ascii="宋体" w:hAnsi="宋体" w:cs="宋体"/>
          <w:sz w:val="24"/>
        </w:rPr>
      </w:pPr>
      <w:r>
        <w:rPr>
          <w:rFonts w:hint="eastAsia" w:ascii="宋体" w:hAnsi="宋体" w:cs="宋体"/>
          <w:sz w:val="24"/>
        </w:rPr>
        <w:t>16.1具体见“投标须知前附表”。</w:t>
      </w:r>
    </w:p>
    <w:p>
      <w:pPr>
        <w:pStyle w:val="18"/>
        <w:snapToGrid w:val="0"/>
        <w:spacing w:line="500" w:lineRule="exact"/>
        <w:rPr>
          <w:rFonts w:ascii="宋体" w:hAnsi="宋体" w:cs="宋体"/>
          <w:szCs w:val="28"/>
        </w:rPr>
      </w:pPr>
      <w:r>
        <w:rPr>
          <w:rFonts w:hint="eastAsia" w:ascii="宋体" w:hAnsi="宋体" w:cs="宋体"/>
          <w:szCs w:val="28"/>
        </w:rPr>
        <w:t>16.2供应商</w:t>
      </w:r>
      <w:r>
        <w:rPr>
          <w:rFonts w:hint="eastAsia" w:ascii="宋体" w:hAnsi="宋体" w:cs="宋体"/>
        </w:rPr>
        <w:t>如有下列情况之一者，将不退还投标保证金：</w:t>
      </w:r>
    </w:p>
    <w:p>
      <w:pPr>
        <w:snapToGrid w:val="0"/>
        <w:spacing w:line="500" w:lineRule="exact"/>
        <w:rPr>
          <w:rFonts w:ascii="宋体" w:hAnsi="宋体" w:cs="宋体"/>
          <w:sz w:val="24"/>
          <w:szCs w:val="28"/>
        </w:rPr>
      </w:pPr>
      <w:r>
        <w:rPr>
          <w:rFonts w:hint="eastAsia" w:ascii="宋体" w:hAnsi="宋体" w:cs="宋体"/>
          <w:sz w:val="24"/>
          <w:szCs w:val="28"/>
        </w:rPr>
        <w:t>（1）在投标有效期内撤回投标文件的；</w:t>
      </w:r>
    </w:p>
    <w:p>
      <w:pPr>
        <w:snapToGrid w:val="0"/>
        <w:spacing w:line="500" w:lineRule="exact"/>
        <w:rPr>
          <w:rFonts w:ascii="宋体" w:hAnsi="宋体" w:cs="宋体"/>
          <w:sz w:val="24"/>
          <w:szCs w:val="28"/>
        </w:rPr>
      </w:pPr>
      <w:r>
        <w:rPr>
          <w:rFonts w:hint="eastAsia" w:ascii="宋体" w:hAnsi="宋体" w:cs="宋体"/>
          <w:sz w:val="24"/>
          <w:szCs w:val="28"/>
        </w:rPr>
        <w:t>（2）中标人未按规定提交履约保证金的或无正当理由不与采购人签订合同的；</w:t>
      </w:r>
    </w:p>
    <w:p>
      <w:pPr>
        <w:snapToGrid w:val="0"/>
        <w:spacing w:line="500" w:lineRule="exact"/>
        <w:rPr>
          <w:rFonts w:ascii="宋体" w:hAnsi="宋体" w:cs="宋体"/>
          <w:sz w:val="24"/>
          <w:szCs w:val="28"/>
        </w:rPr>
      </w:pPr>
      <w:r>
        <w:rPr>
          <w:rFonts w:hint="eastAsia" w:ascii="宋体" w:hAnsi="宋体" w:cs="宋体"/>
          <w:sz w:val="24"/>
          <w:szCs w:val="28"/>
        </w:rPr>
        <w:t>（3）供应商在投标过程中弄虚作假或提供虚假材料等违法违规行为的；</w:t>
      </w:r>
    </w:p>
    <w:p>
      <w:pPr>
        <w:snapToGrid w:val="0"/>
        <w:spacing w:line="500" w:lineRule="exact"/>
        <w:rPr>
          <w:rFonts w:ascii="宋体" w:hAnsi="宋体" w:cs="宋体"/>
          <w:sz w:val="24"/>
          <w:szCs w:val="28"/>
        </w:rPr>
      </w:pPr>
      <w:r>
        <w:rPr>
          <w:rFonts w:hint="eastAsia" w:ascii="宋体" w:hAnsi="宋体" w:cs="宋体"/>
          <w:sz w:val="24"/>
          <w:szCs w:val="28"/>
        </w:rPr>
        <w:t>（4）法律、法规规定的其他情形。</w:t>
      </w:r>
    </w:p>
    <w:p>
      <w:pPr>
        <w:autoSpaceDE w:val="0"/>
        <w:autoSpaceDN w:val="0"/>
        <w:spacing w:line="500" w:lineRule="exact"/>
        <w:textAlignment w:val="bottom"/>
        <w:rPr>
          <w:rFonts w:ascii="宋体" w:hAnsi="宋体" w:cs="宋体"/>
          <w:sz w:val="24"/>
        </w:rPr>
      </w:pPr>
      <w:r>
        <w:rPr>
          <w:rFonts w:hint="eastAsia" w:ascii="宋体" w:hAnsi="宋体" w:cs="宋体"/>
          <w:sz w:val="24"/>
        </w:rPr>
        <w:t>16.3 未提交投标保证金的投标文件视为无效文件。</w:t>
      </w:r>
    </w:p>
    <w:p>
      <w:pPr>
        <w:spacing w:line="500" w:lineRule="exact"/>
        <w:rPr>
          <w:rFonts w:ascii="宋体" w:hAnsi="宋体" w:cs="宋体"/>
          <w:b/>
          <w:bCs/>
          <w:sz w:val="24"/>
        </w:rPr>
      </w:pPr>
      <w:r>
        <w:rPr>
          <w:rFonts w:hint="eastAsia" w:ascii="宋体" w:hAnsi="宋体" w:cs="宋体"/>
          <w:b/>
          <w:bCs/>
          <w:sz w:val="24"/>
        </w:rPr>
        <w:t>17、投标文件的修改与撤回</w:t>
      </w:r>
    </w:p>
    <w:p>
      <w:pPr>
        <w:spacing w:line="500" w:lineRule="exact"/>
        <w:rPr>
          <w:rFonts w:ascii="宋体" w:hAnsi="宋体" w:cs="宋体"/>
          <w:sz w:val="24"/>
          <w:szCs w:val="28"/>
        </w:rPr>
      </w:pPr>
      <w:r>
        <w:rPr>
          <w:rFonts w:hint="eastAsia" w:ascii="宋体" w:hAnsi="宋体" w:cs="宋体"/>
          <w:sz w:val="24"/>
          <w:szCs w:val="28"/>
        </w:rPr>
        <w:t>17.1</w:t>
      </w:r>
      <w:r>
        <w:rPr>
          <w:rFonts w:hint="eastAsia" w:ascii="宋体" w:hAnsi="宋体" w:cs="宋体"/>
          <w:sz w:val="24"/>
        </w:rPr>
        <w:t>供应商在投标截止时间前，可以对所递交的投标文件进行补充、修改或者撤回，并书面通知采购人或者招标代理机构。补充、修改的内容应当按照竞争性磋商文件要求签署、盖章、密封后，作为投标文件的组成部分</w:t>
      </w:r>
      <w:r>
        <w:rPr>
          <w:rFonts w:hint="eastAsia" w:ascii="宋体" w:hAnsi="宋体" w:cs="宋体"/>
          <w:sz w:val="24"/>
          <w:szCs w:val="28"/>
        </w:rPr>
        <w:t>。  </w:t>
      </w:r>
    </w:p>
    <w:p>
      <w:pPr>
        <w:spacing w:line="500" w:lineRule="exact"/>
        <w:rPr>
          <w:rFonts w:ascii="宋体" w:hAnsi="宋体" w:cs="宋体"/>
          <w:sz w:val="24"/>
          <w:szCs w:val="28"/>
        </w:rPr>
      </w:pPr>
      <w:r>
        <w:rPr>
          <w:rFonts w:hint="eastAsia" w:ascii="宋体" w:hAnsi="宋体" w:cs="宋体"/>
          <w:sz w:val="24"/>
          <w:szCs w:val="28"/>
        </w:rPr>
        <w:t>17.2</w:t>
      </w:r>
      <w:r>
        <w:rPr>
          <w:rFonts w:hint="eastAsia" w:ascii="宋体" w:hAnsi="宋体" w:cs="宋体"/>
          <w:sz w:val="24"/>
          <w:szCs w:val="18"/>
        </w:rPr>
        <w:t>更改的投标文件应同样按照投标文件递交规定的要求进行编制、密封、标记、递交</w:t>
      </w:r>
      <w:r>
        <w:rPr>
          <w:rFonts w:hint="eastAsia" w:ascii="宋体" w:hAnsi="宋体" w:cs="宋体"/>
          <w:sz w:val="24"/>
          <w:szCs w:val="28"/>
        </w:rPr>
        <w:t>，另外还应在外层封皮上标明“修改”或“撤回”字样。</w:t>
      </w:r>
    </w:p>
    <w:p>
      <w:pPr>
        <w:spacing w:line="500" w:lineRule="exact"/>
        <w:rPr>
          <w:rFonts w:ascii="宋体" w:hAnsi="宋体" w:cs="宋体"/>
          <w:sz w:val="24"/>
        </w:rPr>
      </w:pPr>
      <w:r>
        <w:rPr>
          <w:rFonts w:hint="eastAsia" w:ascii="宋体" w:hAnsi="宋体" w:cs="宋体"/>
          <w:sz w:val="24"/>
          <w:szCs w:val="28"/>
        </w:rPr>
        <w:t>17.3</w:t>
      </w:r>
      <w:r>
        <w:rPr>
          <w:rFonts w:hint="eastAsia" w:ascii="宋体" w:hAnsi="宋体" w:cs="宋体"/>
          <w:sz w:val="24"/>
        </w:rPr>
        <w:t>在投标截止时间与投标文件有效期终止日之间的这段期间内，供应商不能撤回投标文件，否则其投标保证金将不予以退还。</w:t>
      </w:r>
    </w:p>
    <w:p>
      <w:pPr>
        <w:spacing w:line="500" w:lineRule="exact"/>
        <w:rPr>
          <w:rFonts w:ascii="宋体" w:hAnsi="宋体" w:cs="宋体"/>
          <w:b/>
          <w:bCs/>
          <w:sz w:val="24"/>
        </w:rPr>
      </w:pPr>
      <w:r>
        <w:rPr>
          <w:rFonts w:hint="eastAsia" w:ascii="宋体" w:hAnsi="宋体" w:cs="宋体"/>
          <w:b/>
          <w:bCs/>
          <w:sz w:val="24"/>
        </w:rPr>
        <w:t>18、投标文件的效力</w:t>
      </w:r>
    </w:p>
    <w:p>
      <w:pPr>
        <w:tabs>
          <w:tab w:val="left" w:pos="720"/>
        </w:tabs>
        <w:snapToGrid w:val="0"/>
        <w:spacing w:line="500" w:lineRule="exact"/>
        <w:rPr>
          <w:rFonts w:ascii="宋体" w:hAnsi="宋体" w:cs="宋体"/>
          <w:sz w:val="24"/>
          <w:szCs w:val="28"/>
        </w:rPr>
      </w:pPr>
      <w:r>
        <w:rPr>
          <w:rFonts w:hint="eastAsia" w:ascii="宋体" w:hAnsi="宋体" w:cs="宋体"/>
          <w:sz w:val="24"/>
          <w:szCs w:val="28"/>
        </w:rPr>
        <w:t>18.1投标文件的有效期</w:t>
      </w:r>
    </w:p>
    <w:p>
      <w:pPr>
        <w:snapToGrid w:val="0"/>
        <w:spacing w:line="500" w:lineRule="exact"/>
        <w:rPr>
          <w:rFonts w:ascii="宋体" w:hAnsi="宋体" w:cs="宋体"/>
          <w:sz w:val="24"/>
          <w:szCs w:val="28"/>
        </w:rPr>
      </w:pPr>
      <w:r>
        <w:rPr>
          <w:rFonts w:hint="eastAsia" w:ascii="宋体" w:hAnsi="宋体" w:cs="宋体"/>
          <w:sz w:val="24"/>
          <w:szCs w:val="28"/>
        </w:rPr>
        <w:t>（1）投标文件的有效期</w:t>
      </w:r>
      <w:r>
        <w:rPr>
          <w:rFonts w:hint="eastAsia" w:ascii="宋体" w:hAnsi="宋体" w:cs="宋体"/>
          <w:sz w:val="24"/>
        </w:rPr>
        <w:t>具体见“投标须知前附表”</w:t>
      </w:r>
      <w:r>
        <w:rPr>
          <w:rFonts w:hint="eastAsia" w:ascii="宋体" w:hAnsi="宋体" w:cs="宋体"/>
          <w:sz w:val="24"/>
          <w:szCs w:val="28"/>
        </w:rPr>
        <w:t>；</w:t>
      </w:r>
    </w:p>
    <w:p>
      <w:pPr>
        <w:snapToGrid w:val="0"/>
        <w:spacing w:line="500" w:lineRule="exact"/>
        <w:rPr>
          <w:rFonts w:ascii="宋体" w:hAnsi="宋体" w:cs="宋体"/>
          <w:sz w:val="24"/>
          <w:szCs w:val="28"/>
        </w:rPr>
      </w:pPr>
      <w:r>
        <w:rPr>
          <w:rFonts w:hint="eastAsia" w:ascii="宋体" w:hAnsi="宋体" w:cs="宋体"/>
          <w:sz w:val="24"/>
          <w:szCs w:val="28"/>
        </w:rPr>
        <w:t>（2）中标人的投标有效期至完成本竞争性磋商文件规定的招标范围内全部工作内容并通过竣工验收、保修期限满后终止；</w:t>
      </w:r>
    </w:p>
    <w:p>
      <w:pPr>
        <w:snapToGrid w:val="0"/>
        <w:spacing w:line="500" w:lineRule="exact"/>
        <w:rPr>
          <w:rFonts w:ascii="宋体" w:hAnsi="宋体" w:cs="宋体"/>
          <w:sz w:val="24"/>
          <w:szCs w:val="18"/>
        </w:rPr>
      </w:pPr>
      <w:r>
        <w:rPr>
          <w:rFonts w:hint="eastAsia" w:ascii="宋体" w:hAnsi="宋体" w:cs="宋体"/>
          <w:sz w:val="24"/>
          <w:szCs w:val="28"/>
        </w:rPr>
        <w:t>（3）</w:t>
      </w:r>
      <w:r>
        <w:rPr>
          <w:rFonts w:hint="eastAsia" w:ascii="宋体" w:hAnsi="宋体" w:cs="宋体"/>
          <w:sz w:val="24"/>
          <w:szCs w:val="18"/>
        </w:rPr>
        <w:t>在原定投标文件有效期期满之前，如果出现特殊情况，采购人可以向供应商提出延长其投标文件有效期的要求，这种要求和答复应以书面形式进行。供应商可以拒绝这种要求而不失去其投标保证金。同意延期的供应商，不需要也不允许修改其投标文件，但必须相应地延长投标保证金的有效期，在延长期内，本竞争性磋商文件中关于投标保证金的退还与没收的规定仍然适用。</w:t>
      </w:r>
    </w:p>
    <w:p>
      <w:pPr>
        <w:pStyle w:val="18"/>
        <w:snapToGrid w:val="0"/>
        <w:spacing w:line="500" w:lineRule="exact"/>
        <w:rPr>
          <w:rFonts w:ascii="宋体" w:hAnsi="宋体" w:cs="宋体"/>
          <w:szCs w:val="28"/>
        </w:rPr>
      </w:pPr>
      <w:r>
        <w:rPr>
          <w:rFonts w:hint="eastAsia" w:ascii="宋体" w:hAnsi="宋体" w:cs="宋体"/>
          <w:szCs w:val="28"/>
        </w:rPr>
        <w:t>18.2有下列情况之一者，投标文件视为无效：</w:t>
      </w:r>
    </w:p>
    <w:p>
      <w:pPr>
        <w:spacing w:line="500" w:lineRule="exact"/>
        <w:rPr>
          <w:rFonts w:ascii="宋体" w:hAnsi="宋体" w:cs="宋体"/>
          <w:sz w:val="24"/>
        </w:rPr>
      </w:pPr>
      <w:r>
        <w:rPr>
          <w:rFonts w:hint="eastAsia" w:ascii="宋体" w:hAnsi="宋体" w:cs="宋体"/>
          <w:sz w:val="24"/>
        </w:rPr>
        <w:t>（1）投标文件未按竞争性磋商文件要求密封、送达的；</w:t>
      </w:r>
    </w:p>
    <w:p>
      <w:pPr>
        <w:spacing w:line="500" w:lineRule="exact"/>
        <w:rPr>
          <w:rFonts w:ascii="宋体" w:hAnsi="宋体" w:cs="宋体"/>
          <w:sz w:val="24"/>
        </w:rPr>
      </w:pPr>
      <w:r>
        <w:rPr>
          <w:rFonts w:hint="eastAsia" w:ascii="宋体" w:hAnsi="宋体" w:cs="宋体"/>
          <w:sz w:val="24"/>
        </w:rPr>
        <w:t>（2）投标文件未按规定的要求编制，字迹模糊，辨认不清的；</w:t>
      </w:r>
    </w:p>
    <w:p>
      <w:pPr>
        <w:spacing w:line="500" w:lineRule="exact"/>
        <w:rPr>
          <w:rFonts w:ascii="宋体" w:hAnsi="宋体" w:cs="宋体"/>
          <w:sz w:val="24"/>
        </w:rPr>
      </w:pPr>
      <w:r>
        <w:rPr>
          <w:rFonts w:hint="eastAsia" w:ascii="宋体" w:hAnsi="宋体" w:cs="宋体"/>
          <w:sz w:val="24"/>
        </w:rPr>
        <w:t>（3）法定代表人或授权委托人未签字或未加盖单位公章的；</w:t>
      </w:r>
    </w:p>
    <w:p>
      <w:pPr>
        <w:spacing w:line="500" w:lineRule="exact"/>
        <w:rPr>
          <w:rFonts w:ascii="宋体" w:hAnsi="宋体" w:cs="宋体"/>
          <w:sz w:val="24"/>
        </w:rPr>
      </w:pPr>
      <w:r>
        <w:rPr>
          <w:rFonts w:hint="eastAsia" w:ascii="宋体" w:hAnsi="宋体" w:cs="宋体"/>
          <w:sz w:val="24"/>
        </w:rPr>
        <w:t>（4）供应商递交两份或两份以上内容不同的投标文件，未声明哪一份有效的；</w:t>
      </w:r>
    </w:p>
    <w:p>
      <w:pPr>
        <w:spacing w:line="500" w:lineRule="exact"/>
        <w:rPr>
          <w:rFonts w:ascii="宋体" w:hAnsi="宋体" w:cs="宋体"/>
          <w:sz w:val="24"/>
        </w:rPr>
      </w:pPr>
      <w:r>
        <w:rPr>
          <w:rFonts w:hint="eastAsia" w:ascii="宋体" w:hAnsi="宋体" w:cs="宋体"/>
          <w:sz w:val="24"/>
        </w:rPr>
        <w:t>（5）</w:t>
      </w:r>
      <w:r>
        <w:rPr>
          <w:rFonts w:hint="eastAsia" w:ascii="宋体" w:hAnsi="宋体" w:cs="宋体"/>
          <w:sz w:val="24"/>
          <w:szCs w:val="21"/>
        </w:rPr>
        <w:t>供应商的投标资格不满足国家有关规定和竞争性磋商文件要求的</w:t>
      </w:r>
      <w:r>
        <w:rPr>
          <w:rFonts w:hint="eastAsia" w:ascii="宋体" w:hAnsi="宋体" w:cs="宋体"/>
          <w:sz w:val="24"/>
        </w:rPr>
        <w:t>；</w:t>
      </w:r>
    </w:p>
    <w:p>
      <w:pPr>
        <w:spacing w:line="500" w:lineRule="exact"/>
        <w:rPr>
          <w:rFonts w:ascii="宋体" w:hAnsi="宋体" w:cs="宋体"/>
          <w:sz w:val="24"/>
        </w:rPr>
      </w:pPr>
      <w:r>
        <w:rPr>
          <w:rFonts w:hint="eastAsia" w:ascii="宋体" w:hAnsi="宋体" w:cs="宋体"/>
          <w:sz w:val="24"/>
        </w:rPr>
        <w:t>（6）</w:t>
      </w:r>
      <w:r>
        <w:rPr>
          <w:rFonts w:hint="eastAsia" w:ascii="宋体" w:hAnsi="宋体" w:cs="宋体"/>
          <w:spacing w:val="-4"/>
          <w:sz w:val="24"/>
        </w:rPr>
        <w:t>没有按竞争性磋商文件的要求提交投标保证金的</w:t>
      </w:r>
      <w:r>
        <w:rPr>
          <w:rFonts w:hint="eastAsia" w:ascii="宋体" w:hAnsi="宋体" w:cs="宋体"/>
          <w:sz w:val="24"/>
          <w:szCs w:val="21"/>
        </w:rPr>
        <w:t>；</w:t>
      </w:r>
    </w:p>
    <w:p>
      <w:pPr>
        <w:spacing w:line="500" w:lineRule="exact"/>
        <w:rPr>
          <w:rFonts w:ascii="宋体" w:hAnsi="宋体" w:cs="宋体"/>
          <w:sz w:val="24"/>
          <w:szCs w:val="21"/>
        </w:rPr>
      </w:pPr>
      <w:r>
        <w:rPr>
          <w:rFonts w:hint="eastAsia" w:ascii="宋体" w:hAnsi="宋体" w:cs="宋体"/>
          <w:sz w:val="24"/>
          <w:szCs w:val="18"/>
        </w:rPr>
        <w:t>（7）投标报价超出上限控制价的</w:t>
      </w:r>
      <w:r>
        <w:rPr>
          <w:rFonts w:hint="eastAsia" w:ascii="宋体" w:hAnsi="宋体" w:cs="宋体"/>
          <w:spacing w:val="-4"/>
          <w:sz w:val="24"/>
        </w:rPr>
        <w:t>；</w:t>
      </w:r>
    </w:p>
    <w:p>
      <w:pPr>
        <w:spacing w:line="500" w:lineRule="exact"/>
        <w:rPr>
          <w:rFonts w:ascii="宋体" w:hAnsi="宋体" w:cs="宋体"/>
          <w:spacing w:val="-4"/>
          <w:sz w:val="24"/>
        </w:rPr>
      </w:pPr>
      <w:r>
        <w:rPr>
          <w:rFonts w:hint="eastAsia" w:ascii="宋体" w:hAnsi="宋体" w:cs="宋体"/>
          <w:sz w:val="24"/>
          <w:szCs w:val="18"/>
        </w:rPr>
        <w:t>（8）投标有效期、供货期及补播工期、质保期等不能满足竞争性磋商文件要求的；</w:t>
      </w:r>
    </w:p>
    <w:p>
      <w:pPr>
        <w:spacing w:line="500" w:lineRule="exact"/>
        <w:rPr>
          <w:rFonts w:ascii="宋体" w:hAnsi="宋体" w:cs="宋体"/>
          <w:sz w:val="24"/>
          <w:szCs w:val="18"/>
        </w:rPr>
      </w:pPr>
      <w:r>
        <w:rPr>
          <w:rFonts w:hint="eastAsia" w:ascii="宋体" w:hAnsi="宋体" w:cs="宋体"/>
          <w:sz w:val="24"/>
          <w:szCs w:val="18"/>
        </w:rPr>
        <w:t>（9）</w:t>
      </w:r>
      <w:r>
        <w:rPr>
          <w:rFonts w:hint="eastAsia" w:ascii="宋体" w:hAnsi="宋体" w:cs="宋体"/>
          <w:spacing w:val="-4"/>
          <w:sz w:val="24"/>
        </w:rPr>
        <w:t>投标文件含有采购人不能接受的附加条件的；</w:t>
      </w:r>
    </w:p>
    <w:p>
      <w:pPr>
        <w:spacing w:line="500" w:lineRule="exact"/>
        <w:rPr>
          <w:rFonts w:ascii="宋体" w:hAnsi="宋体" w:cs="宋体"/>
          <w:spacing w:val="-4"/>
          <w:sz w:val="24"/>
        </w:rPr>
      </w:pPr>
      <w:r>
        <w:rPr>
          <w:rFonts w:hint="eastAsia" w:ascii="宋体" w:hAnsi="宋体" w:cs="宋体"/>
          <w:sz w:val="24"/>
          <w:szCs w:val="18"/>
        </w:rPr>
        <w:t>（10）供应商未实质性响应或擅自改变竞争性磋商文件要求的</w:t>
      </w:r>
      <w:r>
        <w:rPr>
          <w:rFonts w:hint="eastAsia" w:ascii="宋体" w:hAnsi="宋体" w:cs="宋体"/>
          <w:sz w:val="24"/>
          <w:szCs w:val="21"/>
        </w:rPr>
        <w:t>；</w:t>
      </w:r>
    </w:p>
    <w:p>
      <w:pPr>
        <w:pStyle w:val="16"/>
        <w:spacing w:line="500" w:lineRule="exact"/>
        <w:rPr>
          <w:rFonts w:hAnsi="宋体" w:cs="宋体"/>
          <w:sz w:val="24"/>
        </w:rPr>
      </w:pPr>
      <w:r>
        <w:rPr>
          <w:rFonts w:hint="eastAsia" w:hAnsi="宋体" w:cs="宋体"/>
          <w:sz w:val="24"/>
          <w:szCs w:val="18"/>
        </w:rPr>
        <w:t>（11）</w:t>
      </w:r>
      <w:r>
        <w:rPr>
          <w:rFonts w:hint="eastAsia" w:hAnsi="宋体" w:cs="宋体"/>
          <w:sz w:val="24"/>
        </w:rPr>
        <w:t>国家和自治区另有规定属无效投标文件的。</w:t>
      </w:r>
    </w:p>
    <w:p>
      <w:pPr>
        <w:pStyle w:val="16"/>
        <w:spacing w:line="500" w:lineRule="exact"/>
        <w:rPr>
          <w:rFonts w:hAnsi="宋体" w:cs="宋体"/>
          <w:sz w:val="24"/>
        </w:rPr>
      </w:pPr>
      <w:r>
        <w:rPr>
          <w:rFonts w:hint="eastAsia" w:hAnsi="宋体" w:cs="宋体"/>
          <w:sz w:val="24"/>
        </w:rPr>
        <w:t>18.3有下列情形之一的，视为供应商串通投标，其投标无效：</w:t>
      </w:r>
    </w:p>
    <w:p>
      <w:pPr>
        <w:pStyle w:val="16"/>
        <w:spacing w:line="500" w:lineRule="exact"/>
        <w:rPr>
          <w:rFonts w:hAnsi="宋体" w:cs="宋体"/>
          <w:sz w:val="24"/>
        </w:rPr>
      </w:pPr>
      <w:r>
        <w:rPr>
          <w:rFonts w:hint="eastAsia" w:hAnsi="宋体" w:cs="宋体"/>
          <w:sz w:val="24"/>
        </w:rPr>
        <w:t>（1）不同供应商的投标文件由同一单位或者个人编制；</w:t>
      </w:r>
    </w:p>
    <w:p>
      <w:pPr>
        <w:pStyle w:val="16"/>
        <w:spacing w:line="500" w:lineRule="exact"/>
        <w:rPr>
          <w:rFonts w:hAnsi="宋体" w:cs="宋体"/>
          <w:sz w:val="24"/>
        </w:rPr>
      </w:pPr>
      <w:r>
        <w:rPr>
          <w:rFonts w:hint="eastAsia" w:hAnsi="宋体" w:cs="宋体"/>
          <w:sz w:val="24"/>
        </w:rPr>
        <w:t>（2）不同供应商委托同一单位或者个人办理投标事宜；</w:t>
      </w:r>
    </w:p>
    <w:p>
      <w:pPr>
        <w:pStyle w:val="16"/>
        <w:spacing w:line="500" w:lineRule="exact"/>
        <w:rPr>
          <w:rFonts w:hAnsi="宋体" w:cs="宋体"/>
          <w:sz w:val="24"/>
        </w:rPr>
      </w:pPr>
      <w:r>
        <w:rPr>
          <w:rFonts w:hint="eastAsia" w:hAnsi="宋体" w:cs="宋体"/>
          <w:sz w:val="24"/>
        </w:rPr>
        <w:t>（3）不同供应商的投标文件载明的项目管理成员或者联系人员为同一人；</w:t>
      </w:r>
    </w:p>
    <w:p>
      <w:pPr>
        <w:pStyle w:val="16"/>
        <w:spacing w:line="500" w:lineRule="exact"/>
        <w:rPr>
          <w:rFonts w:hAnsi="宋体" w:cs="宋体"/>
          <w:sz w:val="24"/>
        </w:rPr>
      </w:pPr>
      <w:r>
        <w:rPr>
          <w:rFonts w:hint="eastAsia" w:hAnsi="宋体" w:cs="宋体"/>
          <w:sz w:val="24"/>
        </w:rPr>
        <w:t>（4）不同供应商的投标文件异常一致或者投标报价呈规律性差异；</w:t>
      </w:r>
    </w:p>
    <w:p>
      <w:pPr>
        <w:pStyle w:val="16"/>
        <w:spacing w:line="500" w:lineRule="exact"/>
        <w:rPr>
          <w:rFonts w:hAnsi="宋体" w:cs="宋体"/>
          <w:sz w:val="24"/>
        </w:rPr>
      </w:pPr>
      <w:r>
        <w:rPr>
          <w:rFonts w:hint="eastAsia" w:hAnsi="宋体" w:cs="宋体"/>
          <w:sz w:val="24"/>
        </w:rPr>
        <w:t>（5）不同供应商的投标文件相互混装；</w:t>
      </w:r>
    </w:p>
    <w:p>
      <w:pPr>
        <w:pStyle w:val="16"/>
        <w:spacing w:line="500" w:lineRule="exact"/>
        <w:rPr>
          <w:rFonts w:hAnsi="宋体" w:cs="宋体"/>
          <w:sz w:val="24"/>
        </w:rPr>
      </w:pPr>
      <w:r>
        <w:rPr>
          <w:rFonts w:hint="eastAsia" w:hAnsi="宋体" w:cs="宋体"/>
          <w:sz w:val="24"/>
        </w:rPr>
        <w:t>（6）不同供应商的投标保证金从同一单位或者个人的账户转出。</w:t>
      </w:r>
    </w:p>
    <w:p>
      <w:pPr>
        <w:pStyle w:val="16"/>
        <w:spacing w:line="500" w:lineRule="exact"/>
        <w:rPr>
          <w:rFonts w:hAnsi="宋体" w:cs="宋体"/>
          <w:b/>
          <w:bCs/>
          <w:sz w:val="24"/>
        </w:rPr>
      </w:pPr>
      <w:r>
        <w:rPr>
          <w:rFonts w:hint="eastAsia" w:hAnsi="宋体" w:cs="宋体"/>
          <w:b/>
          <w:bCs/>
          <w:sz w:val="24"/>
        </w:rPr>
        <w:t>19、投标文件的递交</w:t>
      </w:r>
    </w:p>
    <w:p>
      <w:pPr>
        <w:spacing w:line="500" w:lineRule="exact"/>
        <w:rPr>
          <w:rFonts w:ascii="宋体" w:hAnsi="宋体" w:cs="宋体"/>
          <w:sz w:val="24"/>
        </w:rPr>
      </w:pPr>
      <w:r>
        <w:rPr>
          <w:rFonts w:hint="eastAsia" w:ascii="宋体" w:hAnsi="宋体" w:cs="宋体"/>
          <w:sz w:val="24"/>
        </w:rPr>
        <w:t>19.1政采云平台https://www.zcygov.cn/ </w:t>
      </w:r>
    </w:p>
    <w:p>
      <w:pPr>
        <w:spacing w:line="500" w:lineRule="exact"/>
        <w:rPr>
          <w:rFonts w:ascii="宋体" w:hAnsi="宋体" w:cs="宋体"/>
          <w:sz w:val="24"/>
        </w:rPr>
      </w:pPr>
      <w:r>
        <w:rPr>
          <w:rFonts w:hint="eastAsia" w:ascii="宋体" w:hAnsi="宋体" w:cs="宋体"/>
          <w:sz w:val="24"/>
        </w:rPr>
        <w:t>19.2投标文件的封面与标志</w:t>
      </w:r>
    </w:p>
    <w:p>
      <w:pPr>
        <w:spacing w:line="500" w:lineRule="exact"/>
        <w:rPr>
          <w:rFonts w:ascii="宋体" w:hAnsi="宋体" w:cs="宋体"/>
          <w:sz w:val="24"/>
        </w:rPr>
      </w:pPr>
      <w:r>
        <w:rPr>
          <w:rFonts w:hint="eastAsia" w:ascii="宋体" w:hAnsi="宋体" w:cs="宋体"/>
          <w:sz w:val="24"/>
        </w:rPr>
        <w:t>(1)标书封面应注明项目名称 、单位名称、地址、邮政编码、联系人及联系电话，同时加盖投标单位公章，并由法定代表人签字或盖章及授权委托人签字,并标明“正本”字样。</w:t>
      </w:r>
    </w:p>
    <w:p>
      <w:pPr>
        <w:spacing w:line="500" w:lineRule="exact"/>
        <w:rPr>
          <w:rFonts w:ascii="宋体" w:hAnsi="宋体" w:cs="宋体"/>
          <w:sz w:val="24"/>
        </w:rPr>
      </w:pPr>
      <w:r>
        <w:rPr>
          <w:rFonts w:hint="eastAsia" w:ascii="宋体" w:hAnsi="宋体" w:cs="宋体"/>
          <w:sz w:val="24"/>
        </w:rPr>
        <w:t>19.3逾期未解密的投标文件，招标代理机构应当拒收。</w:t>
      </w:r>
    </w:p>
    <w:p>
      <w:pPr>
        <w:pStyle w:val="30"/>
        <w:spacing w:before="0" w:after="0" w:line="500" w:lineRule="exact"/>
        <w:rPr>
          <w:rFonts w:ascii="宋体" w:hAnsi="宋体" w:cs="宋体"/>
        </w:rPr>
      </w:pPr>
      <w:bookmarkStart w:id="81" w:name="_Toc224984523"/>
      <w:bookmarkStart w:id="82" w:name="_Toc17582"/>
      <w:bookmarkStart w:id="83" w:name="_Toc225585657"/>
      <w:bookmarkStart w:id="84" w:name="_Toc222129171"/>
      <w:r>
        <w:rPr>
          <w:rFonts w:hint="eastAsia" w:ascii="宋体" w:hAnsi="宋体" w:cs="宋体"/>
        </w:rPr>
        <w:t>（四）开标</w:t>
      </w:r>
      <w:bookmarkEnd w:id="81"/>
      <w:bookmarkEnd w:id="82"/>
      <w:bookmarkEnd w:id="83"/>
      <w:r>
        <w:rPr>
          <w:rFonts w:hint="eastAsia" w:ascii="宋体" w:hAnsi="宋体" w:cs="宋体"/>
        </w:rPr>
        <w:t>、评标</w:t>
      </w:r>
    </w:p>
    <w:p>
      <w:pPr>
        <w:spacing w:line="500" w:lineRule="exact"/>
        <w:rPr>
          <w:rFonts w:ascii="宋体" w:hAnsi="宋体"/>
          <w:b/>
          <w:bCs/>
          <w:sz w:val="24"/>
        </w:rPr>
      </w:pPr>
      <w:r>
        <w:rPr>
          <w:rFonts w:hint="eastAsia" w:ascii="宋体" w:hAnsi="宋体"/>
          <w:b/>
          <w:bCs/>
          <w:sz w:val="24"/>
        </w:rPr>
        <w:t>20、开标</w:t>
      </w:r>
    </w:p>
    <w:p>
      <w:pPr>
        <w:spacing w:line="500" w:lineRule="exact"/>
        <w:rPr>
          <w:rFonts w:ascii="宋体" w:hAnsi="宋体"/>
          <w:sz w:val="24"/>
        </w:rPr>
      </w:pPr>
      <w:r>
        <w:rPr>
          <w:rFonts w:hint="eastAsia" w:ascii="宋体" w:hAnsi="宋体"/>
          <w:sz w:val="24"/>
        </w:rPr>
        <w:t>20.1 招标代理机构按</w:t>
      </w:r>
      <w:r>
        <w:rPr>
          <w:rFonts w:hint="eastAsia" w:ascii="宋体" w:hAnsi="宋体" w:cs="宋体"/>
          <w:sz w:val="24"/>
        </w:rPr>
        <w:t>投标须知前附表</w:t>
      </w:r>
      <w:r>
        <w:rPr>
          <w:rFonts w:hint="eastAsia" w:ascii="宋体" w:hAnsi="宋体"/>
          <w:sz w:val="24"/>
        </w:rPr>
        <w:t>中规定的日期、时间和地点组织开标。开标时邀请所有供应商授权代表参加。</w:t>
      </w:r>
    </w:p>
    <w:p>
      <w:pPr>
        <w:spacing w:line="500" w:lineRule="exact"/>
        <w:rPr>
          <w:rFonts w:ascii="宋体" w:hAnsi="宋体"/>
          <w:sz w:val="24"/>
        </w:rPr>
      </w:pPr>
      <w:r>
        <w:rPr>
          <w:rFonts w:hint="eastAsia" w:ascii="宋体" w:hAnsi="宋体"/>
          <w:sz w:val="24"/>
        </w:rPr>
        <w:t>20.2 招标代理机构做好开标记录，供应商代表对开标记录进行校核并签字确认，同时由记录人和监督人签字确认。</w:t>
      </w:r>
    </w:p>
    <w:p>
      <w:pPr>
        <w:spacing w:line="500" w:lineRule="exact"/>
        <w:rPr>
          <w:rFonts w:ascii="宋体" w:hAnsi="宋体"/>
          <w:sz w:val="24"/>
        </w:rPr>
      </w:pPr>
      <w:r>
        <w:rPr>
          <w:rFonts w:hint="eastAsia" w:ascii="宋体" w:hAnsi="宋体"/>
          <w:sz w:val="24"/>
        </w:rPr>
        <w:t>20.3评标原则：评标活动遵循公平、公正、科学和择优的原则。</w:t>
      </w:r>
    </w:p>
    <w:p>
      <w:pPr>
        <w:spacing w:line="500" w:lineRule="exact"/>
        <w:rPr>
          <w:rFonts w:ascii="宋体" w:hAnsi="宋体"/>
          <w:sz w:val="24"/>
        </w:rPr>
      </w:pPr>
      <w:r>
        <w:rPr>
          <w:rFonts w:hint="eastAsia" w:ascii="宋体" w:hAnsi="宋体"/>
          <w:sz w:val="24"/>
        </w:rPr>
        <w:t>20.4 对采购人的纪律要求</w:t>
      </w:r>
    </w:p>
    <w:p>
      <w:pPr>
        <w:spacing w:line="500" w:lineRule="exact"/>
        <w:rPr>
          <w:rFonts w:ascii="宋体" w:hAnsi="宋体"/>
          <w:sz w:val="24"/>
        </w:rPr>
      </w:pPr>
      <w:r>
        <w:rPr>
          <w:rFonts w:hint="eastAsia" w:ascii="宋体" w:hAnsi="宋体"/>
          <w:sz w:val="24"/>
        </w:rPr>
        <w:t xml:space="preserve">    采购人不得泄露招标投标活动中应当保密的情况和资料，不得与供应商串通损害国家利益、社会公共利益或者他人合法权益。</w:t>
      </w:r>
    </w:p>
    <w:p>
      <w:pPr>
        <w:spacing w:line="500" w:lineRule="exact"/>
        <w:rPr>
          <w:rFonts w:ascii="宋体" w:hAnsi="宋体"/>
          <w:sz w:val="24"/>
        </w:rPr>
      </w:pPr>
      <w:r>
        <w:rPr>
          <w:rFonts w:hint="eastAsia" w:ascii="宋体" w:hAnsi="宋体"/>
          <w:sz w:val="24"/>
        </w:rPr>
        <w:t>20.5对供应商的纪律要求</w:t>
      </w:r>
    </w:p>
    <w:p>
      <w:pPr>
        <w:spacing w:line="500" w:lineRule="exact"/>
        <w:ind w:firstLine="480" w:firstLineChars="200"/>
        <w:rPr>
          <w:rFonts w:ascii="宋体" w:hAnsi="宋体"/>
          <w:sz w:val="24"/>
        </w:rPr>
      </w:pPr>
      <w:r>
        <w:rPr>
          <w:rFonts w:hint="eastAsia" w:ascii="宋体" w:hAnsi="宋体"/>
          <w:sz w:val="24"/>
        </w:rPr>
        <w:t>供应商不得互相串通投标或者与采购人串通投标，不得向采购人或者评标委员会成员行贿谋取中标，不得以他人名义投标或者以其他方式弄虚作假骗取中标；供应商不得以任何方式干扰、影响评标工作。</w:t>
      </w:r>
    </w:p>
    <w:p>
      <w:pPr>
        <w:spacing w:line="500" w:lineRule="exact"/>
        <w:rPr>
          <w:rFonts w:ascii="宋体" w:hAnsi="宋体"/>
          <w:sz w:val="24"/>
        </w:rPr>
      </w:pPr>
      <w:r>
        <w:rPr>
          <w:rFonts w:hint="eastAsia" w:ascii="宋体" w:hAnsi="宋体"/>
          <w:sz w:val="24"/>
        </w:rPr>
        <w:t>20.6对与评标活动有关的工作人员的纪律要求与评标活动有关的工作人员不得收受他人的财物或者好处，不得向其他人透露对投标文件的评审和比较、中标候选人的推荐情况及评标有关其他情况。在评标活动中，与评标活动有关的工作人员不得擅离职守，影响评标程序正常进行。</w:t>
      </w:r>
    </w:p>
    <w:p>
      <w:pPr>
        <w:spacing w:line="500" w:lineRule="exact"/>
        <w:rPr>
          <w:rFonts w:ascii="宋体" w:hAnsi="宋体"/>
          <w:b/>
          <w:bCs/>
          <w:sz w:val="24"/>
        </w:rPr>
      </w:pPr>
      <w:r>
        <w:rPr>
          <w:rFonts w:hint="eastAsia" w:ascii="宋体" w:hAnsi="宋体"/>
          <w:b/>
          <w:bCs/>
          <w:sz w:val="24"/>
        </w:rPr>
        <w:t>21.1对评标委员会成员要求评标纪律</w:t>
      </w:r>
    </w:p>
    <w:p>
      <w:pPr>
        <w:spacing w:line="500" w:lineRule="exact"/>
        <w:rPr>
          <w:rFonts w:ascii="宋体" w:hAnsi="宋体"/>
          <w:sz w:val="24"/>
        </w:rPr>
      </w:pPr>
      <w:r>
        <w:rPr>
          <w:rFonts w:hint="eastAsia" w:ascii="宋体" w:hAnsi="宋体"/>
          <w:sz w:val="24"/>
        </w:rPr>
        <w:t>21.1.1评委会应当依照有关法律法规的规定，按照竞争性磋商文件确定的评标标准和办法客观、公正的对投标文件提出评审意见。竞争性磋商文件没有规定的评标标准和方法不得作为评标依据。</w:t>
      </w:r>
    </w:p>
    <w:p>
      <w:pPr>
        <w:spacing w:line="500" w:lineRule="exact"/>
        <w:rPr>
          <w:rFonts w:ascii="宋体" w:hAnsi="宋体"/>
          <w:sz w:val="24"/>
        </w:rPr>
      </w:pPr>
      <w:r>
        <w:rPr>
          <w:rFonts w:hint="eastAsia" w:ascii="宋体" w:hAnsi="宋体"/>
          <w:sz w:val="24"/>
        </w:rPr>
        <w:t>21.1.2评标委员会成员不得私下接触供应商，不得收受供应商给予的财务或者其他好处，不得向采购人征询确定中标人意向。</w:t>
      </w:r>
    </w:p>
    <w:p>
      <w:pPr>
        <w:spacing w:line="500" w:lineRule="exact"/>
        <w:rPr>
          <w:rFonts w:ascii="宋体" w:hAnsi="宋体"/>
          <w:sz w:val="24"/>
        </w:rPr>
      </w:pPr>
      <w:r>
        <w:rPr>
          <w:rFonts w:hint="eastAsia" w:ascii="宋体" w:hAnsi="宋体"/>
          <w:sz w:val="24"/>
        </w:rPr>
        <w:t>21.1.3不得接受任何单位或个人明示或暗示提出的倾向或排斥特定供应商的要求。</w:t>
      </w:r>
    </w:p>
    <w:p>
      <w:pPr>
        <w:spacing w:line="500" w:lineRule="exact"/>
        <w:rPr>
          <w:rFonts w:ascii="宋体" w:hAnsi="宋体"/>
          <w:sz w:val="24"/>
        </w:rPr>
      </w:pPr>
      <w:r>
        <w:rPr>
          <w:rFonts w:hint="eastAsia" w:ascii="宋体" w:hAnsi="宋体"/>
          <w:sz w:val="24"/>
        </w:rPr>
        <w:t>21.1.4不得有其他不客观，不公正履行职务的行为。</w:t>
      </w:r>
    </w:p>
    <w:p>
      <w:pPr>
        <w:spacing w:line="500" w:lineRule="exact"/>
        <w:rPr>
          <w:rFonts w:ascii="宋体" w:hAnsi="宋体"/>
          <w:b/>
          <w:bCs/>
          <w:sz w:val="24"/>
        </w:rPr>
      </w:pPr>
      <w:r>
        <w:rPr>
          <w:rFonts w:hint="eastAsia" w:ascii="宋体" w:hAnsi="宋体"/>
          <w:b/>
          <w:bCs/>
          <w:sz w:val="24"/>
        </w:rPr>
        <w:t>21.2评标委员会成员有下列情形之一的，应当回避：</w:t>
      </w:r>
    </w:p>
    <w:p>
      <w:pPr>
        <w:spacing w:line="500" w:lineRule="exact"/>
        <w:rPr>
          <w:rFonts w:ascii="宋体" w:hAnsi="宋体"/>
          <w:sz w:val="24"/>
        </w:rPr>
      </w:pPr>
      <w:r>
        <w:rPr>
          <w:rFonts w:hint="eastAsia" w:ascii="宋体" w:hAnsi="宋体"/>
          <w:sz w:val="24"/>
        </w:rPr>
        <w:t>（1）采购人或供应商的主要负责人的近亲属；</w:t>
      </w:r>
    </w:p>
    <w:p>
      <w:pPr>
        <w:spacing w:line="500" w:lineRule="exact"/>
        <w:rPr>
          <w:rFonts w:ascii="宋体" w:hAnsi="宋体"/>
          <w:sz w:val="24"/>
        </w:rPr>
      </w:pPr>
      <w:r>
        <w:rPr>
          <w:rFonts w:hint="eastAsia" w:ascii="宋体" w:hAnsi="宋体"/>
          <w:sz w:val="24"/>
        </w:rPr>
        <w:t>（2）项目主管部门或者行政监督部门的人员；</w:t>
      </w:r>
    </w:p>
    <w:p>
      <w:pPr>
        <w:spacing w:line="500" w:lineRule="exact"/>
        <w:rPr>
          <w:rFonts w:ascii="宋体" w:hAnsi="宋体"/>
          <w:sz w:val="24"/>
        </w:rPr>
      </w:pPr>
      <w:r>
        <w:rPr>
          <w:rFonts w:hint="eastAsia" w:ascii="宋体" w:hAnsi="宋体"/>
          <w:sz w:val="24"/>
        </w:rPr>
        <w:t>（3）与供应商有经济利益关系，可能影响对投标公正评审的；</w:t>
      </w:r>
    </w:p>
    <w:p>
      <w:pPr>
        <w:spacing w:line="500" w:lineRule="exact"/>
        <w:rPr>
          <w:rFonts w:ascii="宋体" w:hAnsi="宋体"/>
          <w:sz w:val="24"/>
        </w:rPr>
      </w:pPr>
      <w:r>
        <w:rPr>
          <w:rFonts w:hint="eastAsia" w:ascii="宋体" w:hAnsi="宋体"/>
          <w:sz w:val="24"/>
        </w:rPr>
        <w:t>（4）曾因在招标、评标以及其他与招标投标有关活动中从事违法行为而受过行政处罚或刑事处罚的。</w:t>
      </w:r>
    </w:p>
    <w:p>
      <w:pPr>
        <w:spacing w:line="500" w:lineRule="exact"/>
        <w:rPr>
          <w:rFonts w:ascii="宋体" w:hAnsi="宋体"/>
          <w:sz w:val="24"/>
        </w:rPr>
      </w:pPr>
      <w:r>
        <w:rPr>
          <w:rFonts w:hint="eastAsia" w:ascii="宋体" w:hAnsi="宋体"/>
          <w:b/>
          <w:bCs/>
          <w:sz w:val="24"/>
        </w:rPr>
        <w:t>21.3</w:t>
      </w:r>
      <w:r>
        <w:rPr>
          <w:rFonts w:hint="eastAsia" w:ascii="宋体" w:hAnsi="宋体" w:cs="宋体"/>
          <w:sz w:val="24"/>
        </w:rPr>
        <w:t>评标委员会成员对需要共同认定的事项存在争议的，应当按照少数服从多数的原则作出结论。持不同意见的评标委员会成员应当在评标报告上签署不同意见及理由，否则视为同意评标报告。</w:t>
      </w:r>
    </w:p>
    <w:p>
      <w:pPr>
        <w:spacing w:line="500" w:lineRule="exact"/>
        <w:rPr>
          <w:rFonts w:ascii="宋体" w:hAnsi="宋体"/>
          <w:b/>
          <w:bCs/>
          <w:sz w:val="24"/>
        </w:rPr>
      </w:pPr>
      <w:r>
        <w:rPr>
          <w:rFonts w:hint="eastAsia" w:ascii="宋体" w:hAnsi="宋体"/>
          <w:b/>
          <w:bCs/>
          <w:sz w:val="24"/>
        </w:rPr>
        <w:t>22、评标过程</w:t>
      </w:r>
    </w:p>
    <w:p>
      <w:pPr>
        <w:spacing w:line="500" w:lineRule="exact"/>
        <w:rPr>
          <w:rFonts w:ascii="宋体" w:hAnsi="宋体"/>
          <w:sz w:val="24"/>
        </w:rPr>
      </w:pPr>
      <w:r>
        <w:rPr>
          <w:rFonts w:hint="eastAsia" w:ascii="宋体" w:hAnsi="宋体"/>
          <w:sz w:val="24"/>
        </w:rPr>
        <w:t>22.1 评标的依据为竞争性磋商文件和投标文件。</w:t>
      </w:r>
    </w:p>
    <w:p>
      <w:pPr>
        <w:spacing w:line="500" w:lineRule="exact"/>
        <w:rPr>
          <w:rFonts w:ascii="宋体" w:hAnsi="宋体"/>
          <w:sz w:val="24"/>
        </w:rPr>
      </w:pPr>
      <w:r>
        <w:rPr>
          <w:rFonts w:hint="eastAsia" w:ascii="宋体" w:hAnsi="宋体"/>
          <w:sz w:val="24"/>
        </w:rPr>
        <w:t>22.2 开标后评委会将组织审查投标文件是否完整，是否有计算错误，要求的保证金是否提供，投标文件是否恰当地签署。</w:t>
      </w:r>
    </w:p>
    <w:p>
      <w:pPr>
        <w:spacing w:line="500" w:lineRule="exact"/>
        <w:rPr>
          <w:rFonts w:ascii="宋体" w:hAnsi="宋体"/>
          <w:sz w:val="24"/>
        </w:rPr>
      </w:pPr>
      <w:r>
        <w:rPr>
          <w:rFonts w:hint="eastAsia" w:ascii="宋体" w:hAnsi="宋体"/>
          <w:sz w:val="24"/>
        </w:rPr>
        <w:t>22.3在对投标文件进行详细评审之前，评委会将依据供应商提供的投标文件审查供应商的技术服务水平、生产、售后服务、实施能力等。如果确定供应商无资格履行合同，其投标将被拒绝。</w:t>
      </w:r>
    </w:p>
    <w:p>
      <w:pPr>
        <w:spacing w:line="500" w:lineRule="exact"/>
        <w:rPr>
          <w:rFonts w:ascii="宋体" w:hAnsi="宋体"/>
          <w:sz w:val="24"/>
        </w:rPr>
      </w:pPr>
      <w:r>
        <w:rPr>
          <w:rFonts w:hint="eastAsia" w:ascii="宋体" w:hAnsi="宋体"/>
          <w:sz w:val="24"/>
        </w:rPr>
        <w:t xml:space="preserve">22.4评标委员会确定每一供应商是否对竞争性磋商文件的要求作出了实质性的响应，而没有重大偏离。实质性响应的投标是指投标符合竞争性磋商文件的所有条款、条件和规定且没有重大偏离或保留。重大偏离或保留是指影响到竞争性磋商文件规定的供货范围、质量和性能，或限制了买方的权利和供应商的义务的规定，而纠正这些偏离将影响到其他提交实质性响应投标的投标商的公平竞争地位。   </w:t>
      </w:r>
    </w:p>
    <w:p>
      <w:pPr>
        <w:spacing w:line="500" w:lineRule="exact"/>
        <w:rPr>
          <w:rFonts w:ascii="宋体" w:hAnsi="宋体" w:cs="宋体"/>
          <w:sz w:val="24"/>
        </w:rPr>
      </w:pPr>
      <w:r>
        <w:rPr>
          <w:rFonts w:hint="eastAsia" w:ascii="宋体" w:hAnsi="宋体"/>
          <w:sz w:val="24"/>
        </w:rPr>
        <w:t>22.5</w:t>
      </w:r>
      <w:r>
        <w:rPr>
          <w:rFonts w:hint="eastAsia" w:ascii="宋体" w:hAnsi="宋体" w:cs="宋体"/>
          <w:sz w:val="24"/>
        </w:rPr>
        <w:t>投标文件报价出现前后不一致的，除竞争性磋商文件另有规定外，按照下列规定修正：</w:t>
      </w:r>
    </w:p>
    <w:p>
      <w:pPr>
        <w:spacing w:line="500" w:lineRule="exact"/>
        <w:rPr>
          <w:rFonts w:ascii="宋体" w:hAnsi="宋体" w:cs="宋体"/>
          <w:sz w:val="24"/>
        </w:rPr>
      </w:pPr>
      <w:r>
        <w:rPr>
          <w:rFonts w:hint="eastAsia" w:ascii="宋体" w:hAnsi="宋体" w:cs="宋体"/>
          <w:sz w:val="24"/>
        </w:rPr>
        <w:t>（一）投标文件中开标一览表（报价表）内容与投标文件中相应内容不一致的，以开标一览表（报价表）为准；</w:t>
      </w:r>
    </w:p>
    <w:p>
      <w:pPr>
        <w:spacing w:line="500" w:lineRule="exact"/>
        <w:rPr>
          <w:rFonts w:ascii="宋体" w:hAnsi="宋体" w:cs="宋体"/>
          <w:sz w:val="24"/>
        </w:rPr>
      </w:pPr>
      <w:r>
        <w:rPr>
          <w:rFonts w:hint="eastAsia" w:ascii="宋体" w:hAnsi="宋体" w:cs="宋体"/>
          <w:sz w:val="24"/>
        </w:rPr>
        <w:t>（二）大写金额和小写金额不一致的，以大写金额为准；</w:t>
      </w:r>
    </w:p>
    <w:p>
      <w:pPr>
        <w:spacing w:line="500" w:lineRule="exact"/>
        <w:rPr>
          <w:rFonts w:ascii="宋体" w:hAnsi="宋体" w:cs="宋体"/>
          <w:sz w:val="24"/>
        </w:rPr>
      </w:pPr>
      <w:r>
        <w:rPr>
          <w:rFonts w:hint="eastAsia" w:ascii="宋体" w:hAnsi="宋体" w:cs="宋体"/>
          <w:sz w:val="24"/>
        </w:rPr>
        <w:t>（三）单价金额小数点或者百分比有明显错位的，以开标一览表的总价为准，并修改单价；</w:t>
      </w:r>
    </w:p>
    <w:p>
      <w:pPr>
        <w:spacing w:line="500" w:lineRule="exact"/>
        <w:rPr>
          <w:rFonts w:ascii="宋体" w:hAnsi="宋体" w:cs="宋体"/>
          <w:sz w:val="24"/>
        </w:rPr>
      </w:pPr>
      <w:r>
        <w:rPr>
          <w:rFonts w:hint="eastAsia" w:ascii="宋体" w:hAnsi="宋体" w:cs="宋体"/>
          <w:sz w:val="24"/>
        </w:rPr>
        <w:t>（四）总价金额与按单价汇总金额不一致的，以单价金额计算结果为准。</w:t>
      </w:r>
    </w:p>
    <w:p>
      <w:pPr>
        <w:spacing w:line="500" w:lineRule="exact"/>
        <w:rPr>
          <w:rFonts w:ascii="宋体" w:hAnsi="宋体" w:cs="宋体"/>
          <w:sz w:val="24"/>
        </w:rPr>
      </w:pPr>
      <w:r>
        <w:rPr>
          <w:rFonts w:hint="eastAsia" w:ascii="宋体" w:hAnsi="宋体" w:cs="宋体"/>
          <w:sz w:val="24"/>
        </w:rPr>
        <w:t>　　同时出现两种以上不一致的，按照前款规定的顺序修正。修正后的报价按照23条的规定经供应商确认后产生约束力，供应商不确认的，其投标无效。</w:t>
      </w:r>
    </w:p>
    <w:p>
      <w:pPr>
        <w:spacing w:line="500" w:lineRule="exact"/>
        <w:rPr>
          <w:rFonts w:ascii="宋体" w:hAnsi="宋体"/>
          <w:b/>
          <w:bCs/>
          <w:sz w:val="24"/>
        </w:rPr>
      </w:pPr>
      <w:r>
        <w:rPr>
          <w:rFonts w:hint="eastAsia" w:ascii="宋体" w:hAnsi="宋体"/>
          <w:b/>
          <w:bCs/>
          <w:sz w:val="24"/>
        </w:rPr>
        <w:t>23.投标文件的澄清</w:t>
      </w:r>
    </w:p>
    <w:p>
      <w:pPr>
        <w:spacing w:line="500" w:lineRule="exact"/>
        <w:rPr>
          <w:rFonts w:ascii="宋体" w:hAnsi="宋体"/>
          <w:sz w:val="24"/>
        </w:rPr>
      </w:pPr>
      <w:r>
        <w:rPr>
          <w:rFonts w:hint="eastAsia" w:ascii="宋体" w:hAnsi="宋体"/>
          <w:sz w:val="24"/>
        </w:rPr>
        <w:t>23.1对于投标文件中含义不明确、同类问题表述不一致或者有明显文字和计算错误的内容，评标委员会应当以书面形式要求供应商作出必要的澄清、说明或者补正。</w:t>
      </w:r>
    </w:p>
    <w:p>
      <w:pPr>
        <w:spacing w:line="500" w:lineRule="exact"/>
        <w:rPr>
          <w:rFonts w:ascii="宋体" w:hAnsi="宋体" w:cs="宋体"/>
          <w:sz w:val="24"/>
        </w:rPr>
      </w:pPr>
      <w:r>
        <w:rPr>
          <w:rFonts w:hint="eastAsia" w:ascii="宋体" w:hAnsi="宋体" w:cs="宋体"/>
          <w:sz w:val="24"/>
        </w:rPr>
        <w:t>23.2供应商的澄清、说明或者补正应当采用书面形式，并加盖公章，或者由法定代表人或其授权的代表签字。供应商的澄清、说明或者补正不得超出投标文件的范围或者改变投标文件的实质性内容。</w:t>
      </w:r>
    </w:p>
    <w:p>
      <w:pPr>
        <w:spacing w:line="500" w:lineRule="exact"/>
        <w:rPr>
          <w:rFonts w:ascii="宋体" w:hAnsi="宋体" w:cs="宋体"/>
          <w:sz w:val="24"/>
        </w:rPr>
      </w:pPr>
      <w:r>
        <w:rPr>
          <w:rFonts w:hint="eastAsia" w:ascii="宋体" w:hAnsi="宋体" w:cs="宋体"/>
          <w:sz w:val="24"/>
        </w:rPr>
        <w:t>23.3供应商的澄清、说明或者补正作为投标文件的组成部分。</w:t>
      </w:r>
    </w:p>
    <w:p>
      <w:pPr>
        <w:spacing w:line="500" w:lineRule="exact"/>
        <w:rPr>
          <w:rFonts w:ascii="宋体" w:hAnsi="宋体"/>
          <w:b/>
          <w:bCs/>
          <w:sz w:val="24"/>
        </w:rPr>
      </w:pPr>
      <w:r>
        <w:rPr>
          <w:rFonts w:hint="eastAsia" w:ascii="宋体" w:hAnsi="宋体"/>
          <w:b/>
          <w:bCs/>
          <w:sz w:val="24"/>
        </w:rPr>
        <w:t>24、对投标文件的评估和比较</w:t>
      </w:r>
    </w:p>
    <w:p>
      <w:pPr>
        <w:spacing w:line="360" w:lineRule="auto"/>
        <w:ind w:firstLine="480" w:firstLineChars="200"/>
        <w:rPr>
          <w:rFonts w:ascii="宋体" w:hAnsi="宋体"/>
          <w:sz w:val="24"/>
        </w:rPr>
      </w:pPr>
      <w:r>
        <w:rPr>
          <w:rFonts w:hint="eastAsia" w:ascii="宋体" w:hAnsi="宋体"/>
          <w:sz w:val="24"/>
        </w:rPr>
        <w:t>24.1（1）</w:t>
      </w:r>
      <w:r>
        <w:rPr>
          <w:rFonts w:hint="eastAsia" w:ascii="宋体" w:hAnsi="宋体" w:cs="宋体"/>
          <w:sz w:val="24"/>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ind w:firstLine="480" w:firstLineChars="200"/>
        <w:rPr>
          <w:rFonts w:ascii="宋体" w:hAnsi="宋体"/>
          <w:sz w:val="24"/>
        </w:rPr>
      </w:pPr>
      <w:r>
        <w:rPr>
          <w:rFonts w:hint="eastAsia" w:ascii="宋体" w:hAnsi="宋体"/>
          <w:sz w:val="24"/>
        </w:rPr>
        <w:t>（2）评标委员会根据竞争性磋商文件，在对供应商投标文件综合评审的基础上进行评估打分。打分采取百分制，其中商务、技术部分为90分，最终报价部分10分。</w:t>
      </w:r>
    </w:p>
    <w:p>
      <w:pPr>
        <w:adjustRightInd w:val="0"/>
        <w:snapToGrid w:val="0"/>
        <w:spacing w:line="480" w:lineRule="exact"/>
        <w:ind w:firstLine="480"/>
        <w:rPr>
          <w:rFonts w:ascii="宋体" w:hAnsi="宋体" w:cs="宋体"/>
          <w:sz w:val="24"/>
        </w:rPr>
      </w:pPr>
      <w:r>
        <w:rPr>
          <w:rFonts w:hint="eastAsia" w:ascii="宋体" w:hAnsi="宋体"/>
          <w:szCs w:val="21"/>
        </w:rPr>
        <w:t>（3）</w:t>
      </w:r>
      <w:r>
        <w:rPr>
          <w:rFonts w:hint="eastAsia" w:ascii="宋体" w:hAnsi="宋体"/>
          <w:sz w:val="24"/>
        </w:rPr>
        <w:t>供应商的综合评分为报价得分及商务、技术标评分的总计，由专人进行计算和复核。中标候选资格按评标得分由高到低顺序排列，得分相同的，按投标报价由低到高顺序排列；得分且投标报价相同的，按技术得分由高到低顺序排列。</w:t>
      </w:r>
    </w:p>
    <w:p>
      <w:pPr>
        <w:pStyle w:val="11"/>
        <w:spacing w:line="360" w:lineRule="auto"/>
        <w:rPr>
          <w:rFonts w:ascii="宋体" w:hAnsi="宋体"/>
          <w:sz w:val="24"/>
        </w:rPr>
      </w:pPr>
      <w:r>
        <w:rPr>
          <w:rFonts w:hint="eastAsia" w:ascii="宋体" w:hAnsi="宋体" w:eastAsia="宋体"/>
          <w:b w:val="0"/>
          <w:spacing w:val="0"/>
          <w:kern w:val="2"/>
          <w:sz w:val="24"/>
        </w:rPr>
        <w:t>24.2 供应商应如实提供资料，并保证真实可靠，不得弄虚作假。如供应商隐瞒事实真相、弄虚作假，一经查实，取消该供应商的投标资格，若中标的，取消其中标资格。</w:t>
      </w:r>
    </w:p>
    <w:p>
      <w:pPr>
        <w:pStyle w:val="24"/>
        <w:ind w:left="0" w:firstLine="0" w:firstLineChars="0"/>
        <w:rPr>
          <w:sz w:val="24"/>
          <w:szCs w:val="24"/>
        </w:rPr>
      </w:pPr>
    </w:p>
    <w:p>
      <w:pPr>
        <w:pStyle w:val="24"/>
        <w:ind w:left="0" w:firstLine="0" w:firstLineChars="0"/>
        <w:rPr>
          <w:sz w:val="24"/>
          <w:szCs w:val="24"/>
        </w:rPr>
      </w:pPr>
    </w:p>
    <w:p>
      <w:pPr>
        <w:pStyle w:val="24"/>
        <w:ind w:left="0" w:firstLine="0" w:firstLineChars="0"/>
        <w:rPr>
          <w:sz w:val="24"/>
          <w:szCs w:val="24"/>
        </w:rPr>
      </w:pPr>
    </w:p>
    <w:p>
      <w:pPr>
        <w:pStyle w:val="24"/>
        <w:ind w:left="0" w:firstLine="0" w:firstLineChars="0"/>
        <w:rPr>
          <w:sz w:val="24"/>
          <w:szCs w:val="24"/>
        </w:rPr>
      </w:pPr>
    </w:p>
    <w:p>
      <w:pPr>
        <w:pStyle w:val="24"/>
        <w:ind w:left="0" w:firstLine="0" w:firstLineChars="0"/>
        <w:rPr>
          <w:sz w:val="24"/>
          <w:szCs w:val="24"/>
        </w:rPr>
      </w:pPr>
    </w:p>
    <w:p>
      <w:pPr>
        <w:pStyle w:val="24"/>
        <w:ind w:left="0" w:firstLine="0" w:firstLineChars="0"/>
        <w:rPr>
          <w:sz w:val="24"/>
          <w:szCs w:val="24"/>
        </w:rPr>
      </w:pPr>
    </w:p>
    <w:p>
      <w:pPr>
        <w:pStyle w:val="24"/>
        <w:ind w:left="0" w:firstLine="0" w:firstLineChars="0"/>
        <w:rPr>
          <w:sz w:val="24"/>
          <w:szCs w:val="24"/>
        </w:rPr>
      </w:pPr>
    </w:p>
    <w:p>
      <w:pPr>
        <w:pStyle w:val="24"/>
        <w:ind w:left="0" w:firstLine="0" w:firstLineChars="0"/>
        <w:rPr>
          <w:sz w:val="24"/>
          <w:szCs w:val="24"/>
        </w:rPr>
      </w:pPr>
    </w:p>
    <w:p>
      <w:pPr>
        <w:pStyle w:val="24"/>
        <w:ind w:left="0" w:firstLine="0" w:firstLineChars="0"/>
        <w:rPr>
          <w:sz w:val="24"/>
          <w:szCs w:val="24"/>
        </w:rPr>
      </w:pPr>
    </w:p>
    <w:p>
      <w:pPr>
        <w:pStyle w:val="24"/>
        <w:ind w:left="0" w:firstLine="0" w:firstLineChars="0"/>
        <w:rPr>
          <w:sz w:val="24"/>
          <w:szCs w:val="24"/>
        </w:rPr>
      </w:pPr>
    </w:p>
    <w:p>
      <w:pPr>
        <w:pStyle w:val="24"/>
        <w:ind w:left="0" w:firstLine="0" w:firstLineChars="0"/>
        <w:rPr>
          <w:sz w:val="24"/>
          <w:szCs w:val="24"/>
        </w:rPr>
      </w:pPr>
    </w:p>
    <w:p>
      <w:pPr>
        <w:pStyle w:val="24"/>
        <w:ind w:left="0" w:firstLine="0" w:firstLineChars="0"/>
        <w:rPr>
          <w:sz w:val="24"/>
          <w:szCs w:val="24"/>
        </w:rPr>
      </w:pPr>
    </w:p>
    <w:p>
      <w:pPr>
        <w:pStyle w:val="24"/>
        <w:ind w:left="0" w:firstLine="0" w:firstLineChars="0"/>
        <w:rPr>
          <w:sz w:val="24"/>
          <w:szCs w:val="24"/>
        </w:rPr>
      </w:pPr>
    </w:p>
    <w:p>
      <w:pPr>
        <w:pStyle w:val="24"/>
        <w:ind w:left="0" w:firstLine="0" w:firstLineChars="0"/>
        <w:rPr>
          <w:sz w:val="24"/>
          <w:szCs w:val="24"/>
        </w:rPr>
      </w:pPr>
    </w:p>
    <w:p>
      <w:pPr>
        <w:pStyle w:val="24"/>
        <w:ind w:left="0" w:firstLine="0" w:firstLineChars="0"/>
        <w:rPr>
          <w:sz w:val="24"/>
          <w:szCs w:val="24"/>
        </w:rPr>
      </w:pPr>
    </w:p>
    <w:p>
      <w:pPr>
        <w:pStyle w:val="24"/>
        <w:ind w:left="0" w:firstLine="0" w:firstLineChars="0"/>
        <w:rPr>
          <w:sz w:val="24"/>
          <w:szCs w:val="24"/>
        </w:rPr>
      </w:pPr>
    </w:p>
    <w:p>
      <w:pPr>
        <w:pStyle w:val="24"/>
        <w:ind w:left="0" w:firstLine="0" w:firstLineChars="0"/>
        <w:rPr>
          <w:sz w:val="24"/>
          <w:szCs w:val="24"/>
        </w:rPr>
      </w:pPr>
      <w:r>
        <w:rPr>
          <w:rFonts w:hint="eastAsia"/>
          <w:sz w:val="24"/>
          <w:szCs w:val="24"/>
        </w:rPr>
        <w:t>一、资格审查</w:t>
      </w:r>
    </w:p>
    <w:tbl>
      <w:tblPr>
        <w:tblStyle w:val="69"/>
        <w:tblW w:w="9783" w:type="dxa"/>
        <w:tblInd w:w="-2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9"/>
        <w:gridCol w:w="2427"/>
        <w:gridCol w:w="61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189" w:type="dxa"/>
          </w:tcPr>
          <w:p>
            <w:pPr>
              <w:spacing w:before="325" w:line="185" w:lineRule="auto"/>
              <w:ind w:firstLine="240"/>
              <w:rPr>
                <w:rFonts w:ascii="宋体" w:hAnsi="宋体" w:cs="宋体"/>
                <w:b/>
                <w:bCs/>
                <w:sz w:val="24"/>
              </w:rPr>
            </w:pPr>
            <w:r>
              <w:rPr>
                <w:rFonts w:ascii="宋体" w:hAnsi="宋体" w:cs="宋体"/>
                <w:b/>
                <w:bCs/>
                <w:spacing w:val="-3"/>
                <w:sz w:val="24"/>
              </w:rPr>
              <w:t>序号</w:t>
            </w:r>
          </w:p>
        </w:tc>
        <w:tc>
          <w:tcPr>
            <w:tcW w:w="2427" w:type="dxa"/>
          </w:tcPr>
          <w:p>
            <w:pPr>
              <w:spacing w:before="325" w:line="185" w:lineRule="auto"/>
              <w:ind w:firstLine="1741"/>
              <w:rPr>
                <w:rFonts w:ascii="宋体" w:hAnsi="宋体" w:cs="宋体"/>
                <w:b/>
                <w:bCs/>
                <w:sz w:val="24"/>
              </w:rPr>
            </w:pPr>
          </w:p>
        </w:tc>
        <w:tc>
          <w:tcPr>
            <w:tcW w:w="6167" w:type="dxa"/>
          </w:tcPr>
          <w:p>
            <w:pPr>
              <w:spacing w:before="325" w:line="185" w:lineRule="auto"/>
              <w:ind w:firstLine="1924" w:firstLineChars="812"/>
              <w:rPr>
                <w:rFonts w:ascii="宋体" w:hAnsi="宋体" w:cs="宋体"/>
                <w:b/>
                <w:bCs/>
                <w:sz w:val="24"/>
              </w:rPr>
            </w:pPr>
            <w:r>
              <w:rPr>
                <w:rFonts w:ascii="宋体" w:hAnsi="宋体" w:cs="宋体"/>
                <w:b/>
                <w:bCs/>
                <w:spacing w:val="-2"/>
                <w:sz w:val="24"/>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0" w:hRule="atLeast"/>
        </w:trPr>
        <w:tc>
          <w:tcPr>
            <w:tcW w:w="1189" w:type="dxa"/>
          </w:tcPr>
          <w:p>
            <w:pPr>
              <w:spacing w:line="251" w:lineRule="auto"/>
              <w:rPr>
                <w:rFonts w:ascii="宋体"/>
              </w:rPr>
            </w:pPr>
          </w:p>
          <w:p>
            <w:pPr>
              <w:spacing w:line="251" w:lineRule="auto"/>
              <w:rPr>
                <w:rFonts w:ascii="宋体"/>
              </w:rPr>
            </w:pPr>
          </w:p>
          <w:p>
            <w:pPr>
              <w:spacing w:line="251" w:lineRule="auto"/>
              <w:rPr>
                <w:rFonts w:ascii="宋体"/>
              </w:rPr>
            </w:pPr>
          </w:p>
          <w:p>
            <w:pPr>
              <w:spacing w:line="251" w:lineRule="auto"/>
              <w:rPr>
                <w:rFonts w:ascii="宋体"/>
              </w:rPr>
            </w:pPr>
          </w:p>
          <w:p>
            <w:pPr>
              <w:spacing w:line="251" w:lineRule="auto"/>
              <w:rPr>
                <w:rFonts w:ascii="宋体"/>
              </w:rPr>
            </w:pPr>
          </w:p>
          <w:p>
            <w:pPr>
              <w:pStyle w:val="32"/>
              <w:rPr>
                <w:rFonts w:ascii="宋体"/>
                <w:sz w:val="21"/>
              </w:rPr>
            </w:pPr>
          </w:p>
          <w:p>
            <w:pPr>
              <w:pStyle w:val="32"/>
              <w:rPr>
                <w:rFonts w:ascii="宋体"/>
                <w:sz w:val="21"/>
              </w:rPr>
            </w:pPr>
          </w:p>
          <w:p>
            <w:pPr>
              <w:pStyle w:val="32"/>
              <w:rPr>
                <w:rFonts w:ascii="宋体"/>
                <w:sz w:val="21"/>
              </w:rPr>
            </w:pPr>
          </w:p>
          <w:p>
            <w:pPr>
              <w:pStyle w:val="32"/>
              <w:rPr>
                <w:rFonts w:ascii="宋体"/>
                <w:sz w:val="21"/>
              </w:rPr>
            </w:pPr>
          </w:p>
          <w:p>
            <w:pPr>
              <w:pStyle w:val="32"/>
              <w:rPr>
                <w:rFonts w:ascii="宋体"/>
                <w:sz w:val="21"/>
              </w:rPr>
            </w:pPr>
          </w:p>
          <w:p>
            <w:pPr>
              <w:pStyle w:val="32"/>
              <w:rPr>
                <w:rFonts w:ascii="宋体"/>
                <w:sz w:val="21"/>
              </w:rPr>
            </w:pPr>
          </w:p>
          <w:p>
            <w:pPr>
              <w:pStyle w:val="32"/>
              <w:rPr>
                <w:rFonts w:ascii="宋体"/>
                <w:sz w:val="21"/>
              </w:rPr>
            </w:pPr>
          </w:p>
          <w:p>
            <w:pPr>
              <w:spacing w:line="251" w:lineRule="auto"/>
              <w:rPr>
                <w:rFonts w:ascii="宋体"/>
              </w:rPr>
            </w:pPr>
          </w:p>
          <w:p>
            <w:pPr>
              <w:spacing w:line="251" w:lineRule="auto"/>
              <w:rPr>
                <w:rFonts w:ascii="宋体"/>
              </w:rPr>
            </w:pPr>
          </w:p>
          <w:p>
            <w:pPr>
              <w:spacing w:before="78" w:line="180" w:lineRule="auto"/>
              <w:jc w:val="center"/>
              <w:rPr>
                <w:rFonts w:ascii="宋体" w:hAnsi="宋体" w:cs="宋体"/>
                <w:sz w:val="24"/>
              </w:rPr>
            </w:pPr>
            <w:r>
              <w:rPr>
                <w:rFonts w:hint="eastAsia" w:ascii="宋体" w:hAnsi="宋体" w:cs="宋体"/>
                <w:sz w:val="24"/>
              </w:rPr>
              <w:t>1</w:t>
            </w:r>
          </w:p>
          <w:p>
            <w:pPr>
              <w:spacing w:line="364" w:lineRule="auto"/>
              <w:rPr>
                <w:rFonts w:ascii="宋体"/>
              </w:rPr>
            </w:pPr>
          </w:p>
          <w:p>
            <w:pPr>
              <w:spacing w:before="78" w:line="180" w:lineRule="auto"/>
              <w:ind w:firstLine="424"/>
              <w:rPr>
                <w:rFonts w:ascii="宋体" w:hAnsi="宋体" w:cs="宋体"/>
                <w:sz w:val="24"/>
              </w:rPr>
            </w:pPr>
          </w:p>
        </w:tc>
        <w:tc>
          <w:tcPr>
            <w:tcW w:w="2427" w:type="dxa"/>
          </w:tcPr>
          <w:p>
            <w:pPr>
              <w:spacing w:line="259" w:lineRule="auto"/>
              <w:rPr>
                <w:rFonts w:ascii="宋体"/>
              </w:rPr>
            </w:pPr>
          </w:p>
          <w:p>
            <w:pPr>
              <w:spacing w:line="260" w:lineRule="auto"/>
              <w:rPr>
                <w:rFonts w:ascii="宋体"/>
              </w:rPr>
            </w:pPr>
          </w:p>
          <w:p>
            <w:pPr>
              <w:spacing w:line="260" w:lineRule="auto"/>
              <w:rPr>
                <w:rFonts w:ascii="宋体"/>
              </w:rPr>
            </w:pPr>
          </w:p>
          <w:p>
            <w:pPr>
              <w:spacing w:line="260" w:lineRule="auto"/>
              <w:rPr>
                <w:rFonts w:ascii="宋体"/>
              </w:rPr>
            </w:pPr>
          </w:p>
          <w:p>
            <w:pPr>
              <w:spacing w:line="260" w:lineRule="auto"/>
              <w:rPr>
                <w:rFonts w:ascii="宋体"/>
              </w:rPr>
            </w:pPr>
          </w:p>
          <w:p>
            <w:pPr>
              <w:spacing w:line="260" w:lineRule="auto"/>
              <w:rPr>
                <w:rFonts w:ascii="宋体"/>
              </w:rPr>
            </w:pPr>
          </w:p>
          <w:p>
            <w:pPr>
              <w:spacing w:before="78"/>
              <w:ind w:left="117" w:right="105" w:firstLine="2"/>
              <w:rPr>
                <w:rFonts w:ascii="宋体" w:hAnsi="宋体" w:cs="宋体"/>
                <w:spacing w:val="18"/>
                <w:sz w:val="24"/>
              </w:rPr>
            </w:pPr>
          </w:p>
          <w:p>
            <w:pPr>
              <w:spacing w:before="78"/>
              <w:ind w:left="117" w:right="105" w:firstLine="2"/>
              <w:rPr>
                <w:rFonts w:ascii="宋体" w:hAnsi="宋体" w:cs="宋体"/>
                <w:spacing w:val="18"/>
                <w:sz w:val="24"/>
              </w:rPr>
            </w:pPr>
          </w:p>
          <w:p>
            <w:pPr>
              <w:spacing w:before="78"/>
              <w:ind w:left="117" w:right="105" w:firstLine="2"/>
              <w:rPr>
                <w:rFonts w:ascii="宋体" w:hAnsi="宋体" w:cs="宋体"/>
                <w:spacing w:val="18"/>
                <w:sz w:val="24"/>
              </w:rPr>
            </w:pPr>
          </w:p>
          <w:p>
            <w:pPr>
              <w:spacing w:before="78"/>
              <w:ind w:left="117" w:right="105" w:firstLine="2"/>
              <w:rPr>
                <w:rFonts w:ascii="宋体" w:hAnsi="宋体" w:cs="宋体"/>
                <w:spacing w:val="18"/>
                <w:sz w:val="24"/>
              </w:rPr>
            </w:pPr>
          </w:p>
          <w:p>
            <w:pPr>
              <w:spacing w:before="78"/>
              <w:ind w:left="117" w:right="105" w:firstLine="2"/>
              <w:rPr>
                <w:rFonts w:ascii="宋体" w:hAnsi="宋体" w:cs="宋体"/>
                <w:spacing w:val="18"/>
                <w:sz w:val="24"/>
              </w:rPr>
            </w:pPr>
          </w:p>
          <w:p>
            <w:pPr>
              <w:spacing w:before="78"/>
              <w:ind w:left="117" w:right="105" w:firstLine="2"/>
              <w:rPr>
                <w:rFonts w:ascii="宋体" w:hAnsi="宋体" w:cs="宋体"/>
                <w:spacing w:val="18"/>
                <w:sz w:val="24"/>
              </w:rPr>
            </w:pPr>
          </w:p>
          <w:p>
            <w:pPr>
              <w:spacing w:before="78"/>
              <w:ind w:left="117" w:right="105" w:firstLine="2"/>
              <w:rPr>
                <w:rFonts w:ascii="宋体" w:hAnsi="宋体" w:cs="宋体"/>
                <w:spacing w:val="18"/>
                <w:sz w:val="24"/>
              </w:rPr>
            </w:pPr>
          </w:p>
          <w:p>
            <w:pPr>
              <w:spacing w:before="78"/>
              <w:ind w:left="117" w:right="105" w:firstLine="2"/>
              <w:rPr>
                <w:rFonts w:ascii="宋体" w:hAnsi="宋体" w:cs="宋体"/>
                <w:spacing w:val="18"/>
                <w:sz w:val="24"/>
              </w:rPr>
            </w:pPr>
          </w:p>
          <w:p>
            <w:pPr>
              <w:spacing w:before="78"/>
              <w:ind w:left="117" w:right="105" w:firstLine="2"/>
              <w:rPr>
                <w:rFonts w:ascii="宋体" w:hAnsi="宋体" w:cs="宋体"/>
                <w:spacing w:val="18"/>
                <w:sz w:val="24"/>
              </w:rPr>
            </w:pPr>
          </w:p>
          <w:p>
            <w:pPr>
              <w:spacing w:before="78"/>
              <w:ind w:left="117" w:right="105" w:firstLine="2"/>
              <w:rPr>
                <w:rFonts w:ascii="宋体" w:hAnsi="宋体" w:cs="宋体"/>
                <w:spacing w:val="18"/>
                <w:sz w:val="24"/>
              </w:rPr>
            </w:pPr>
            <w:r>
              <w:rPr>
                <w:rFonts w:ascii="宋体" w:hAnsi="宋体" w:cs="宋体"/>
                <w:spacing w:val="18"/>
                <w:sz w:val="24"/>
              </w:rPr>
              <w:t>供应商应符合的基本资</w:t>
            </w:r>
            <w:r>
              <w:rPr>
                <w:rFonts w:ascii="宋体" w:hAnsi="宋体" w:cs="宋体"/>
                <w:spacing w:val="1"/>
                <w:sz w:val="24"/>
              </w:rPr>
              <w:t xml:space="preserve"> </w:t>
            </w:r>
            <w:r>
              <w:rPr>
                <w:rFonts w:ascii="宋体" w:hAnsi="宋体" w:cs="宋体"/>
                <w:spacing w:val="18"/>
                <w:sz w:val="24"/>
              </w:rPr>
              <w:t>格条</w:t>
            </w:r>
            <w:r>
              <w:rPr>
                <w:rFonts w:ascii="宋体" w:hAnsi="宋体" w:cs="宋体"/>
                <w:sz w:val="24"/>
              </w:rPr>
              <w:t>件</w:t>
            </w:r>
          </w:p>
          <w:p>
            <w:pPr>
              <w:spacing w:line="270" w:lineRule="auto"/>
              <w:jc w:val="center"/>
              <w:rPr>
                <w:rFonts w:ascii="宋体"/>
              </w:rPr>
            </w:pPr>
          </w:p>
          <w:p>
            <w:pPr>
              <w:spacing w:before="78" w:line="185" w:lineRule="auto"/>
              <w:ind w:firstLine="113"/>
              <w:jc w:val="center"/>
              <w:rPr>
                <w:rFonts w:ascii="宋体" w:hAnsi="宋体" w:cs="宋体"/>
                <w:sz w:val="24"/>
              </w:rPr>
            </w:pPr>
          </w:p>
        </w:tc>
        <w:tc>
          <w:tcPr>
            <w:tcW w:w="6167" w:type="dxa"/>
          </w:tcPr>
          <w:p>
            <w:pPr>
              <w:spacing w:line="371" w:lineRule="auto"/>
            </w:pPr>
          </w:p>
          <w:p>
            <w:pPr>
              <w:pStyle w:val="66"/>
              <w:numPr>
                <w:ilvl w:val="0"/>
                <w:numId w:val="6"/>
              </w:numPr>
              <w:spacing w:line="371" w:lineRule="auto"/>
            </w:pPr>
            <w:r>
              <w:t>有效的营业执照，以及法定代表人身份证明和授权代表委托书等。</w:t>
            </w:r>
          </w:p>
          <w:p>
            <w:pPr>
              <w:pStyle w:val="66"/>
              <w:numPr>
                <w:ilvl w:val="0"/>
                <w:numId w:val="6"/>
              </w:numPr>
              <w:spacing w:line="371" w:lineRule="auto"/>
            </w:pPr>
            <w:r>
              <w:rPr>
                <w:rFonts w:hint="eastAsia"/>
              </w:rPr>
              <w:t>具有良好的商业信誉和健全的财务会计制度，提供</w:t>
            </w:r>
            <w:r>
              <w:rPr>
                <w:rFonts w:hint="eastAsia" w:asciiTheme="minorEastAsia" w:hAnsiTheme="minorEastAsia" w:eastAsiaTheme="minorEastAsia" w:cstheme="minorEastAsia"/>
                <w:b w:val="0"/>
                <w:bCs w:val="0"/>
                <w:sz w:val="24"/>
                <w:highlight w:val="none"/>
              </w:rPr>
              <w:t>2021或2</w:t>
            </w:r>
            <w:r>
              <w:rPr>
                <w:rFonts w:hint="eastAsia" w:asciiTheme="minorEastAsia" w:hAnsiTheme="minorEastAsia" w:eastAsiaTheme="minorEastAsia" w:cstheme="minorEastAsia"/>
                <w:b w:val="0"/>
                <w:bCs w:val="0"/>
                <w:sz w:val="24"/>
              </w:rPr>
              <w:t>022年</w:t>
            </w:r>
            <w:r>
              <w:rPr>
                <w:rFonts w:hint="eastAsia"/>
              </w:rPr>
              <w:t>经外部审计的财务审计报告或财务报表的复印件加盖公章（公司成立不到一年的从成立之日起）；</w:t>
            </w:r>
          </w:p>
          <w:p>
            <w:pPr>
              <w:spacing w:line="371" w:lineRule="auto"/>
            </w:pPr>
            <w:r>
              <w:rPr>
                <w:rFonts w:hint="eastAsia"/>
              </w:rPr>
              <w:t>③有依法缴纳税收和社会保障资金的良好纪录，提供相关证明（新注册的供应商应当提供注册时至参加政府采购活动时相应期限内本单位的缴纳税收、社会保障凭据）；</w:t>
            </w:r>
          </w:p>
          <w:p>
            <w:pPr>
              <w:spacing w:line="360" w:lineRule="auto"/>
              <w:ind w:firstLine="120"/>
            </w:pPr>
            <w:r>
              <w:rPr>
                <w:rFonts w:hint="eastAsia"/>
              </w:rPr>
              <w:t>④供应商参加本次采购活动前三年内在“信用中国”（www.creditchina.gov.cn）下载附件和中国政府采购网（www.ccgp.gov.cn）网站上未被列入失信被执行人、重大税收违法案件当事人名单以及政府采购严重违法失信行为记录名单的供应商（提供查询网页打印件），拒绝参与政府采购活动。</w:t>
            </w:r>
          </w:p>
          <w:p>
            <w:pPr>
              <w:spacing w:line="360" w:lineRule="auto"/>
              <w:ind w:firstLine="120"/>
            </w:pPr>
            <w:r>
              <w:rPr>
                <w:rFonts w:hint="eastAsia"/>
              </w:rPr>
              <w:t>⑤提供中小企业声明函</w:t>
            </w:r>
          </w:p>
          <w:p>
            <w:pPr>
              <w:spacing w:line="360" w:lineRule="auto"/>
              <w:ind w:firstLine="120"/>
            </w:pPr>
            <w:r>
              <w:rPr>
                <w:rFonts w:hint="eastAsia"/>
              </w:rPr>
              <w:t>本项目的特定资格要求：</w:t>
            </w:r>
          </w:p>
          <w:p>
            <w:pPr>
              <w:spacing w:line="360" w:lineRule="auto"/>
              <w:ind w:firstLine="120"/>
            </w:pPr>
            <w:r>
              <w:rPr>
                <w:rFonts w:hint="eastAsia"/>
              </w:rPr>
              <w:t>（1）投标人需具备林业调查规划设计甲级资质,具有相应的规划编制能力及履行本项目所必须的设备、人员及专业技术能力证书； </w:t>
            </w:r>
          </w:p>
          <w:p>
            <w:pPr>
              <w:spacing w:line="360" w:lineRule="auto"/>
              <w:ind w:firstLine="120"/>
            </w:pPr>
            <w:r>
              <w:rPr>
                <w:rFonts w:hint="eastAsia"/>
              </w:rPr>
              <w:t>（2）拟派项目负责人需具有林业相关专业高级职称；</w:t>
            </w:r>
          </w:p>
          <w:p>
            <w:pPr>
              <w:spacing w:line="360" w:lineRule="auto"/>
              <w:ind w:firstLine="120"/>
            </w:pPr>
            <w:r>
              <w:rPr>
                <w:rFonts w:hint="eastAsia"/>
              </w:rPr>
              <w:t>（3）单位负责人为同一人或者存在直接控股、管理关系的不同投标人，不得参加同一合同项下的政府采购活动。除单一来源采购项目外，为采购项目提供整体设计、规范编制或者项目管理、监理、检测等服务的受托人，不得再参加该采购项目的其他采购活动；</w:t>
            </w:r>
          </w:p>
        </w:tc>
      </w:tr>
    </w:tbl>
    <w:p>
      <w:pPr>
        <w:spacing w:line="500" w:lineRule="exact"/>
        <w:rPr>
          <w:rFonts w:ascii="宋体" w:hAnsi="宋体"/>
          <w:b/>
          <w:sz w:val="24"/>
        </w:rPr>
      </w:pPr>
    </w:p>
    <w:p>
      <w:pPr>
        <w:pStyle w:val="2"/>
        <w:rPr>
          <w:rFonts w:ascii="宋体" w:hAnsi="宋体"/>
          <w:b/>
        </w:rPr>
      </w:pPr>
    </w:p>
    <w:p>
      <w:pPr>
        <w:rPr>
          <w:rFonts w:ascii="宋体" w:hAnsi="宋体"/>
          <w:b/>
          <w:sz w:val="24"/>
        </w:rPr>
      </w:pPr>
    </w:p>
    <w:p>
      <w:pPr>
        <w:pStyle w:val="2"/>
      </w:pPr>
    </w:p>
    <w:p>
      <w:pPr>
        <w:spacing w:line="500" w:lineRule="exact"/>
        <w:rPr>
          <w:rFonts w:ascii="宋体" w:hAnsi="宋体"/>
          <w:b/>
          <w:sz w:val="24"/>
        </w:rPr>
      </w:pPr>
      <w:r>
        <w:rPr>
          <w:rFonts w:hint="eastAsia" w:ascii="宋体" w:hAnsi="宋体"/>
          <w:b/>
          <w:sz w:val="24"/>
        </w:rPr>
        <w:t>二、符合性审查</w:t>
      </w:r>
    </w:p>
    <w:tbl>
      <w:tblPr>
        <w:tblStyle w:val="33"/>
        <w:tblW w:w="9800"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617"/>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rPr>
        <w:tc>
          <w:tcPr>
            <w:tcW w:w="833" w:type="dxa"/>
            <w:vAlign w:val="center"/>
          </w:tcPr>
          <w:p>
            <w:pPr>
              <w:spacing w:line="290" w:lineRule="exact"/>
              <w:jc w:val="center"/>
              <w:rPr>
                <w:rFonts w:ascii="宋体" w:hAnsi="宋体" w:cs="宋体"/>
                <w:sz w:val="24"/>
              </w:rPr>
            </w:pPr>
            <w:r>
              <w:rPr>
                <w:rFonts w:hint="eastAsia" w:ascii="宋体" w:hAnsi="宋体" w:cs="宋体"/>
                <w:sz w:val="24"/>
              </w:rPr>
              <w:t>项目</w:t>
            </w:r>
          </w:p>
        </w:tc>
        <w:tc>
          <w:tcPr>
            <w:tcW w:w="8967" w:type="dxa"/>
            <w:gridSpan w:val="2"/>
            <w:vAlign w:val="center"/>
          </w:tcPr>
          <w:p>
            <w:pPr>
              <w:spacing w:line="290" w:lineRule="exact"/>
              <w:jc w:val="center"/>
              <w:rPr>
                <w:rFonts w:ascii="宋体" w:hAnsi="宋体" w:cs="宋体"/>
                <w:sz w:val="24"/>
              </w:rPr>
            </w:pPr>
            <w:r>
              <w:rPr>
                <w:rFonts w:hint="eastAsia" w:ascii="宋体" w:hAnsi="宋体" w:cs="宋体"/>
                <w:sz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833" w:type="dxa"/>
            <w:vMerge w:val="restart"/>
            <w:vAlign w:val="center"/>
          </w:tcPr>
          <w:p>
            <w:pPr>
              <w:spacing w:line="290" w:lineRule="exact"/>
              <w:jc w:val="center"/>
              <w:rPr>
                <w:rFonts w:ascii="宋体" w:hAnsi="宋体" w:cs="宋体"/>
                <w:sz w:val="24"/>
              </w:rPr>
            </w:pPr>
            <w:r>
              <w:rPr>
                <w:rFonts w:hint="eastAsia" w:ascii="宋体" w:hAnsi="宋体"/>
                <w:b/>
                <w:sz w:val="24"/>
              </w:rPr>
              <w:t>符合性审查</w:t>
            </w:r>
          </w:p>
        </w:tc>
        <w:tc>
          <w:tcPr>
            <w:tcW w:w="617" w:type="dxa"/>
            <w:vAlign w:val="center"/>
          </w:tcPr>
          <w:p>
            <w:pPr>
              <w:spacing w:line="290" w:lineRule="exact"/>
              <w:jc w:val="center"/>
              <w:rPr>
                <w:rFonts w:ascii="宋体" w:hAnsi="宋体" w:cs="宋体"/>
                <w:sz w:val="24"/>
              </w:rPr>
            </w:pPr>
            <w:r>
              <w:rPr>
                <w:rFonts w:hint="eastAsia" w:ascii="宋体" w:hAnsi="宋体" w:cs="宋体"/>
                <w:sz w:val="24"/>
              </w:rPr>
              <w:t>1</w:t>
            </w:r>
          </w:p>
        </w:tc>
        <w:tc>
          <w:tcPr>
            <w:tcW w:w="8350" w:type="dxa"/>
            <w:vAlign w:val="center"/>
          </w:tcPr>
          <w:p>
            <w:pPr>
              <w:widowControl/>
              <w:snapToGrid w:val="0"/>
              <w:spacing w:before="100" w:beforeAutospacing="1" w:after="100" w:afterAutospacing="1" w:line="290" w:lineRule="exact"/>
              <w:jc w:val="left"/>
              <w:textAlignment w:val="center"/>
              <w:rPr>
                <w:rFonts w:ascii="宋体" w:hAnsi="宋体" w:cs="宋体"/>
                <w:kern w:val="0"/>
                <w:sz w:val="24"/>
              </w:rPr>
            </w:pPr>
            <w:r>
              <w:rPr>
                <w:rFonts w:hint="eastAsia" w:ascii="宋体" w:hAnsi="宋体" w:cs="宋体"/>
                <w:kern w:val="0"/>
                <w:sz w:val="24"/>
              </w:rPr>
              <w:t>投标文件是否加盖投标单位公章，并由法定代表人签字或盖章/授权委托人签字；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exact"/>
        </w:trPr>
        <w:tc>
          <w:tcPr>
            <w:tcW w:w="833" w:type="dxa"/>
            <w:vMerge w:val="continue"/>
            <w:vAlign w:val="center"/>
          </w:tcPr>
          <w:p>
            <w:pPr>
              <w:spacing w:line="290" w:lineRule="exact"/>
              <w:jc w:val="center"/>
              <w:rPr>
                <w:rFonts w:ascii="宋体" w:hAnsi="宋体" w:cs="宋体"/>
                <w:sz w:val="24"/>
              </w:rPr>
            </w:pPr>
          </w:p>
        </w:tc>
        <w:tc>
          <w:tcPr>
            <w:tcW w:w="617" w:type="dxa"/>
            <w:vAlign w:val="center"/>
          </w:tcPr>
          <w:p>
            <w:pPr>
              <w:spacing w:line="290" w:lineRule="exact"/>
              <w:jc w:val="center"/>
              <w:rPr>
                <w:rFonts w:ascii="宋体" w:hAnsi="宋体" w:cs="宋体"/>
                <w:sz w:val="24"/>
              </w:rPr>
            </w:pPr>
            <w:r>
              <w:rPr>
                <w:rFonts w:hint="eastAsia" w:ascii="宋体" w:hAnsi="宋体" w:cs="宋体"/>
                <w:sz w:val="24"/>
              </w:rPr>
              <w:t>2</w:t>
            </w:r>
          </w:p>
        </w:tc>
        <w:tc>
          <w:tcPr>
            <w:tcW w:w="8350" w:type="dxa"/>
            <w:vAlign w:val="center"/>
          </w:tcPr>
          <w:p>
            <w:pPr>
              <w:widowControl/>
              <w:snapToGrid w:val="0"/>
              <w:spacing w:before="100" w:beforeAutospacing="1" w:after="100" w:afterAutospacing="1" w:line="290" w:lineRule="exact"/>
              <w:jc w:val="left"/>
              <w:textAlignment w:val="center"/>
              <w:rPr>
                <w:rFonts w:ascii="宋体" w:hAnsi="宋体" w:cs="宋体"/>
                <w:kern w:val="0"/>
                <w:sz w:val="24"/>
              </w:rPr>
            </w:pPr>
            <w:r>
              <w:rPr>
                <w:rFonts w:hint="eastAsia" w:ascii="宋体" w:hAnsi="宋体" w:cs="宋体"/>
                <w:kern w:val="0"/>
                <w:sz w:val="24"/>
              </w:rPr>
              <w:t>供应商是否对同一招标项目做出两个以上报价而未明确效力；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trPr>
        <w:tc>
          <w:tcPr>
            <w:tcW w:w="833" w:type="dxa"/>
            <w:vMerge w:val="continue"/>
            <w:vAlign w:val="center"/>
          </w:tcPr>
          <w:p>
            <w:pPr>
              <w:spacing w:line="290" w:lineRule="exact"/>
              <w:jc w:val="center"/>
              <w:rPr>
                <w:rFonts w:ascii="宋体" w:hAnsi="宋体" w:cs="宋体"/>
                <w:sz w:val="24"/>
              </w:rPr>
            </w:pPr>
          </w:p>
        </w:tc>
        <w:tc>
          <w:tcPr>
            <w:tcW w:w="617" w:type="dxa"/>
            <w:vAlign w:val="center"/>
          </w:tcPr>
          <w:p>
            <w:pPr>
              <w:spacing w:line="290" w:lineRule="exact"/>
              <w:jc w:val="center"/>
              <w:rPr>
                <w:rFonts w:ascii="宋体" w:hAnsi="宋体" w:cs="宋体"/>
                <w:sz w:val="24"/>
              </w:rPr>
            </w:pPr>
            <w:r>
              <w:rPr>
                <w:rFonts w:hint="eastAsia" w:ascii="宋体" w:hAnsi="宋体" w:cs="宋体"/>
                <w:sz w:val="24"/>
              </w:rPr>
              <w:t>3</w:t>
            </w:r>
          </w:p>
        </w:tc>
        <w:tc>
          <w:tcPr>
            <w:tcW w:w="8350" w:type="dxa"/>
            <w:vAlign w:val="center"/>
          </w:tcPr>
          <w:p>
            <w:pPr>
              <w:widowControl/>
              <w:snapToGrid w:val="0"/>
              <w:spacing w:before="100" w:beforeAutospacing="1" w:after="100" w:afterAutospacing="1" w:line="290" w:lineRule="exact"/>
              <w:jc w:val="left"/>
              <w:textAlignment w:val="center"/>
              <w:rPr>
                <w:rFonts w:ascii="宋体" w:hAnsi="宋体" w:cs="宋体"/>
                <w:kern w:val="0"/>
                <w:sz w:val="24"/>
              </w:rPr>
            </w:pPr>
            <w:r>
              <w:rPr>
                <w:rFonts w:hint="eastAsia" w:ascii="宋体" w:hAnsi="宋体" w:cs="宋体"/>
                <w:kern w:val="0"/>
                <w:sz w:val="24"/>
              </w:rPr>
              <w:t>投标报价是否超出上限控制价；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833" w:type="dxa"/>
            <w:vMerge w:val="continue"/>
            <w:vAlign w:val="center"/>
          </w:tcPr>
          <w:p>
            <w:pPr>
              <w:spacing w:line="290" w:lineRule="exact"/>
              <w:jc w:val="center"/>
              <w:rPr>
                <w:rFonts w:ascii="宋体" w:hAnsi="宋体" w:cs="宋体"/>
                <w:sz w:val="24"/>
              </w:rPr>
            </w:pPr>
          </w:p>
        </w:tc>
        <w:tc>
          <w:tcPr>
            <w:tcW w:w="617" w:type="dxa"/>
            <w:vAlign w:val="center"/>
          </w:tcPr>
          <w:p>
            <w:pPr>
              <w:spacing w:line="290" w:lineRule="exact"/>
              <w:jc w:val="center"/>
              <w:rPr>
                <w:rFonts w:ascii="宋体" w:hAnsi="宋体" w:cs="宋体"/>
                <w:sz w:val="24"/>
              </w:rPr>
            </w:pPr>
            <w:r>
              <w:rPr>
                <w:rFonts w:hint="eastAsia" w:ascii="宋体" w:hAnsi="宋体" w:cs="宋体"/>
                <w:sz w:val="24"/>
              </w:rPr>
              <w:t>4</w:t>
            </w:r>
          </w:p>
        </w:tc>
        <w:tc>
          <w:tcPr>
            <w:tcW w:w="8350" w:type="dxa"/>
            <w:vAlign w:val="center"/>
          </w:tcPr>
          <w:p>
            <w:pPr>
              <w:widowControl/>
              <w:snapToGrid w:val="0"/>
              <w:spacing w:before="100" w:beforeAutospacing="1" w:after="100" w:afterAutospacing="1" w:line="290" w:lineRule="exact"/>
              <w:jc w:val="left"/>
              <w:textAlignment w:val="center"/>
              <w:rPr>
                <w:rFonts w:ascii="宋体" w:hAnsi="宋体" w:cs="宋体"/>
                <w:kern w:val="0"/>
                <w:sz w:val="24"/>
              </w:rPr>
            </w:pPr>
            <w:r>
              <w:rPr>
                <w:rFonts w:hint="eastAsia" w:ascii="宋体" w:hAnsi="宋体" w:cs="宋体"/>
                <w:kern w:val="0"/>
                <w:sz w:val="24"/>
              </w:rPr>
              <w:t>投标有效期是否符合竞争性磋商文件要求；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833" w:type="dxa"/>
            <w:vMerge w:val="continue"/>
            <w:vAlign w:val="center"/>
          </w:tcPr>
          <w:p>
            <w:pPr>
              <w:spacing w:line="290" w:lineRule="exact"/>
              <w:jc w:val="center"/>
              <w:rPr>
                <w:rFonts w:ascii="宋体" w:hAnsi="宋体" w:cs="宋体"/>
                <w:sz w:val="24"/>
              </w:rPr>
            </w:pPr>
          </w:p>
        </w:tc>
        <w:tc>
          <w:tcPr>
            <w:tcW w:w="617" w:type="dxa"/>
            <w:vAlign w:val="center"/>
          </w:tcPr>
          <w:p>
            <w:pPr>
              <w:spacing w:line="290" w:lineRule="exact"/>
              <w:jc w:val="center"/>
              <w:rPr>
                <w:rFonts w:ascii="宋体" w:hAnsi="宋体" w:cs="宋体"/>
                <w:sz w:val="24"/>
              </w:rPr>
            </w:pPr>
            <w:r>
              <w:rPr>
                <w:rFonts w:hint="eastAsia" w:ascii="宋体" w:hAnsi="宋体" w:cs="宋体"/>
                <w:sz w:val="24"/>
              </w:rPr>
              <w:t>5</w:t>
            </w:r>
          </w:p>
        </w:tc>
        <w:tc>
          <w:tcPr>
            <w:tcW w:w="8350" w:type="dxa"/>
            <w:vAlign w:val="center"/>
          </w:tcPr>
          <w:p>
            <w:pPr>
              <w:widowControl/>
              <w:snapToGrid w:val="0"/>
              <w:spacing w:before="100" w:beforeAutospacing="1" w:after="100" w:afterAutospacing="1" w:line="290" w:lineRule="exact"/>
              <w:jc w:val="left"/>
              <w:textAlignment w:val="center"/>
              <w:rPr>
                <w:rFonts w:ascii="宋体" w:hAnsi="宋体" w:cs="宋体"/>
                <w:kern w:val="0"/>
                <w:sz w:val="24"/>
              </w:rPr>
            </w:pPr>
            <w:r>
              <w:rPr>
                <w:rFonts w:hint="eastAsia" w:ascii="宋体" w:hAnsi="宋体" w:cs="宋体"/>
                <w:kern w:val="0"/>
                <w:sz w:val="24"/>
              </w:rPr>
              <w:t>服务期是否符合竞争性磋商文件要求；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833" w:type="dxa"/>
            <w:vMerge w:val="continue"/>
            <w:vAlign w:val="center"/>
          </w:tcPr>
          <w:p>
            <w:pPr>
              <w:spacing w:line="290" w:lineRule="exact"/>
              <w:jc w:val="center"/>
              <w:rPr>
                <w:rFonts w:ascii="宋体" w:hAnsi="宋体" w:cs="宋体"/>
                <w:sz w:val="24"/>
              </w:rPr>
            </w:pPr>
          </w:p>
        </w:tc>
        <w:tc>
          <w:tcPr>
            <w:tcW w:w="617" w:type="dxa"/>
            <w:vAlign w:val="center"/>
          </w:tcPr>
          <w:p>
            <w:pPr>
              <w:spacing w:line="290" w:lineRule="exact"/>
              <w:jc w:val="center"/>
              <w:rPr>
                <w:rFonts w:ascii="宋体" w:hAnsi="宋体" w:cs="宋体"/>
                <w:sz w:val="24"/>
              </w:rPr>
            </w:pPr>
            <w:r>
              <w:rPr>
                <w:rFonts w:hint="eastAsia" w:ascii="宋体" w:hAnsi="宋体" w:cs="宋体"/>
                <w:sz w:val="24"/>
              </w:rPr>
              <w:t>6</w:t>
            </w:r>
          </w:p>
        </w:tc>
        <w:tc>
          <w:tcPr>
            <w:tcW w:w="8350" w:type="dxa"/>
            <w:vAlign w:val="center"/>
          </w:tcPr>
          <w:p>
            <w:pPr>
              <w:widowControl/>
              <w:snapToGrid w:val="0"/>
              <w:spacing w:before="100" w:beforeAutospacing="1" w:after="100" w:afterAutospacing="1" w:line="290" w:lineRule="exact"/>
              <w:jc w:val="left"/>
              <w:textAlignment w:val="center"/>
              <w:rPr>
                <w:rFonts w:ascii="宋体" w:hAnsi="宋体" w:cs="宋体"/>
                <w:kern w:val="0"/>
                <w:sz w:val="24"/>
              </w:rPr>
            </w:pPr>
            <w:r>
              <w:rPr>
                <w:rFonts w:hint="eastAsia" w:ascii="宋体" w:hAnsi="宋体"/>
                <w:sz w:val="24"/>
              </w:rPr>
              <w:t>质量标准</w:t>
            </w:r>
            <w:r>
              <w:rPr>
                <w:rFonts w:hint="eastAsia" w:ascii="宋体" w:hAnsi="宋体" w:cs="宋体"/>
                <w:kern w:val="0"/>
                <w:sz w:val="24"/>
              </w:rPr>
              <w:t>是否符合竞争性磋商文件要求；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833" w:type="dxa"/>
            <w:vMerge w:val="continue"/>
            <w:vAlign w:val="center"/>
          </w:tcPr>
          <w:p>
            <w:pPr>
              <w:spacing w:line="290" w:lineRule="exact"/>
              <w:jc w:val="center"/>
              <w:rPr>
                <w:rFonts w:ascii="宋体" w:hAnsi="宋体" w:cs="宋体"/>
                <w:sz w:val="24"/>
              </w:rPr>
            </w:pPr>
          </w:p>
        </w:tc>
        <w:tc>
          <w:tcPr>
            <w:tcW w:w="617" w:type="dxa"/>
            <w:vAlign w:val="center"/>
          </w:tcPr>
          <w:p>
            <w:pPr>
              <w:spacing w:line="290" w:lineRule="exact"/>
              <w:jc w:val="center"/>
              <w:rPr>
                <w:rFonts w:ascii="宋体" w:hAnsi="宋体" w:cs="宋体"/>
                <w:sz w:val="24"/>
              </w:rPr>
            </w:pPr>
            <w:r>
              <w:rPr>
                <w:rFonts w:hint="eastAsia" w:ascii="宋体" w:hAnsi="宋体" w:cs="宋体"/>
                <w:sz w:val="24"/>
              </w:rPr>
              <w:t>7</w:t>
            </w:r>
          </w:p>
        </w:tc>
        <w:tc>
          <w:tcPr>
            <w:tcW w:w="8350" w:type="dxa"/>
            <w:vAlign w:val="center"/>
          </w:tcPr>
          <w:p>
            <w:pPr>
              <w:widowControl/>
              <w:snapToGrid w:val="0"/>
              <w:spacing w:before="100" w:beforeAutospacing="1" w:after="100" w:afterAutospacing="1" w:line="290" w:lineRule="exact"/>
              <w:jc w:val="left"/>
              <w:textAlignment w:val="center"/>
              <w:rPr>
                <w:rFonts w:ascii="宋体" w:hAnsi="宋体"/>
                <w:sz w:val="24"/>
              </w:rPr>
            </w:pPr>
            <w:r>
              <w:rPr>
                <w:rFonts w:hint="eastAsia" w:ascii="宋体" w:hAnsi="宋体"/>
                <w:sz w:val="24"/>
              </w:rPr>
              <w:t>保证金是否缴纳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trPr>
        <w:tc>
          <w:tcPr>
            <w:tcW w:w="9800" w:type="dxa"/>
            <w:gridSpan w:val="3"/>
            <w:vAlign w:val="center"/>
          </w:tcPr>
          <w:p>
            <w:pPr>
              <w:spacing w:line="290" w:lineRule="exact"/>
              <w:jc w:val="center"/>
              <w:rPr>
                <w:rFonts w:ascii="宋体" w:hAnsi="宋体" w:cs="宋体"/>
                <w:sz w:val="24"/>
              </w:rPr>
            </w:pPr>
            <w:r>
              <w:rPr>
                <w:rFonts w:hint="eastAsia" w:ascii="宋体" w:hAnsi="宋体" w:cs="宋体"/>
                <w:b/>
                <w:bCs/>
                <w:sz w:val="24"/>
              </w:rPr>
              <w:t>初步评审合格后方可进入</w:t>
            </w:r>
            <w:r>
              <w:rPr>
                <w:rFonts w:hint="eastAsia" w:ascii="宋体" w:hAnsi="宋体"/>
                <w:b/>
                <w:sz w:val="24"/>
              </w:rPr>
              <w:t>投标报价部分和商务、技术部分</w:t>
            </w:r>
            <w:r>
              <w:rPr>
                <w:rFonts w:hint="eastAsia" w:ascii="宋体" w:hAnsi="宋体" w:cs="宋体"/>
                <w:b/>
                <w:bCs/>
                <w:sz w:val="24"/>
              </w:rPr>
              <w:t>评审阶段</w:t>
            </w:r>
          </w:p>
        </w:tc>
      </w:tr>
    </w:tbl>
    <w:p>
      <w:pPr>
        <w:spacing w:line="500" w:lineRule="exact"/>
        <w:rPr>
          <w:rFonts w:ascii="宋体" w:hAnsi="宋体"/>
          <w:b/>
          <w:sz w:val="24"/>
        </w:rPr>
      </w:pPr>
      <w:r>
        <w:rPr>
          <w:rFonts w:hint="eastAsia" w:ascii="宋体" w:hAnsi="宋体"/>
          <w:b/>
          <w:sz w:val="24"/>
        </w:rPr>
        <w:t>三、投标报价部分（10分）</w:t>
      </w:r>
    </w:p>
    <w:tbl>
      <w:tblPr>
        <w:tblStyle w:val="33"/>
        <w:tblW w:w="987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941"/>
        <w:gridCol w:w="982"/>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42" w:type="dxa"/>
            <w:vAlign w:val="center"/>
          </w:tcPr>
          <w:p>
            <w:pPr>
              <w:widowControl/>
              <w:jc w:val="center"/>
              <w:rPr>
                <w:rFonts w:ascii="宋体" w:hAnsi="宋体" w:cs="宋体"/>
                <w:kern w:val="0"/>
                <w:sz w:val="24"/>
              </w:rPr>
            </w:pPr>
            <w:r>
              <w:rPr>
                <w:rFonts w:hint="eastAsia" w:ascii="宋体" w:hAnsi="宋体" w:cs="宋体"/>
                <w:kern w:val="0"/>
                <w:sz w:val="24"/>
              </w:rPr>
              <w:t>评分</w:t>
            </w:r>
          </w:p>
          <w:p>
            <w:pPr>
              <w:widowControl/>
              <w:jc w:val="center"/>
              <w:rPr>
                <w:rFonts w:ascii="宋体" w:hAnsi="宋体" w:cs="宋体"/>
                <w:kern w:val="0"/>
                <w:sz w:val="24"/>
              </w:rPr>
            </w:pPr>
            <w:r>
              <w:rPr>
                <w:rFonts w:hint="eastAsia" w:ascii="宋体" w:hAnsi="宋体" w:cs="宋体"/>
                <w:kern w:val="0"/>
                <w:sz w:val="24"/>
              </w:rPr>
              <w:t>项目</w:t>
            </w:r>
          </w:p>
        </w:tc>
        <w:tc>
          <w:tcPr>
            <w:tcW w:w="941" w:type="dxa"/>
            <w:vAlign w:val="center"/>
          </w:tcPr>
          <w:p>
            <w:pPr>
              <w:pStyle w:val="44"/>
              <w:spacing w:line="460" w:lineRule="exact"/>
              <w:ind w:firstLine="0" w:firstLineChars="0"/>
              <w:rPr>
                <w:rFonts w:ascii="宋体" w:hAnsi="宋体" w:eastAsia="宋体"/>
                <w:b w:val="0"/>
                <w:kern w:val="0"/>
                <w:sz w:val="24"/>
              </w:rPr>
            </w:pPr>
            <w:r>
              <w:rPr>
                <w:rFonts w:hint="eastAsia" w:ascii="宋体" w:hAnsi="宋体" w:eastAsia="宋体"/>
                <w:b w:val="0"/>
                <w:kern w:val="0"/>
                <w:sz w:val="24"/>
              </w:rPr>
              <w:t>评审项目</w:t>
            </w:r>
          </w:p>
        </w:tc>
        <w:tc>
          <w:tcPr>
            <w:tcW w:w="982" w:type="dxa"/>
            <w:vAlign w:val="center"/>
          </w:tcPr>
          <w:p>
            <w:pPr>
              <w:pStyle w:val="44"/>
              <w:spacing w:line="460" w:lineRule="exact"/>
              <w:ind w:firstLine="0" w:firstLineChars="0"/>
              <w:rPr>
                <w:rFonts w:ascii="宋体" w:hAnsi="宋体" w:eastAsia="宋体"/>
                <w:b w:val="0"/>
                <w:kern w:val="0"/>
                <w:sz w:val="24"/>
              </w:rPr>
            </w:pPr>
            <w:r>
              <w:rPr>
                <w:rFonts w:hint="eastAsia" w:ascii="宋体" w:hAnsi="宋体" w:eastAsia="宋体"/>
                <w:b w:val="0"/>
                <w:kern w:val="0"/>
                <w:sz w:val="24"/>
              </w:rPr>
              <w:t>分值</w:t>
            </w:r>
          </w:p>
        </w:tc>
        <w:tc>
          <w:tcPr>
            <w:tcW w:w="7113" w:type="dxa"/>
            <w:vAlign w:val="center"/>
          </w:tcPr>
          <w:p>
            <w:pPr>
              <w:pStyle w:val="44"/>
              <w:spacing w:line="460" w:lineRule="exact"/>
              <w:ind w:firstLine="0" w:firstLineChars="0"/>
              <w:rPr>
                <w:rFonts w:ascii="宋体" w:hAnsi="宋体" w:eastAsia="宋体"/>
                <w:b w:val="0"/>
                <w:kern w:val="0"/>
                <w:sz w:val="24"/>
              </w:rPr>
            </w:pPr>
            <w:r>
              <w:rPr>
                <w:rFonts w:hint="eastAsia" w:ascii="宋体" w:hAnsi="宋体" w:eastAsia="宋体"/>
                <w:b w:val="0"/>
                <w:kern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42" w:type="dxa"/>
            <w:vAlign w:val="center"/>
          </w:tcPr>
          <w:p>
            <w:pPr>
              <w:jc w:val="center"/>
              <w:rPr>
                <w:rFonts w:ascii="宋体" w:hAnsi="宋体" w:cs="宋体"/>
                <w:kern w:val="0"/>
                <w:sz w:val="24"/>
              </w:rPr>
            </w:pPr>
            <w:r>
              <w:rPr>
                <w:rFonts w:hint="eastAsia" w:ascii="宋体" w:hAnsi="宋体" w:cs="宋体"/>
                <w:kern w:val="0"/>
                <w:sz w:val="24"/>
              </w:rPr>
              <w:t>报价部分      10分</w:t>
            </w:r>
          </w:p>
        </w:tc>
        <w:tc>
          <w:tcPr>
            <w:tcW w:w="941" w:type="dxa"/>
            <w:vAlign w:val="center"/>
          </w:tcPr>
          <w:p>
            <w:pPr>
              <w:pStyle w:val="44"/>
              <w:spacing w:line="420" w:lineRule="exact"/>
              <w:ind w:firstLine="0" w:firstLineChars="0"/>
              <w:rPr>
                <w:rFonts w:ascii="宋体" w:hAnsi="宋体" w:eastAsia="宋体"/>
                <w:b w:val="0"/>
                <w:kern w:val="0"/>
                <w:sz w:val="24"/>
              </w:rPr>
            </w:pPr>
            <w:r>
              <w:rPr>
                <w:rFonts w:hint="eastAsia" w:ascii="宋体" w:hAnsi="宋体" w:eastAsia="宋体"/>
                <w:b w:val="0"/>
                <w:kern w:val="0"/>
                <w:sz w:val="24"/>
              </w:rPr>
              <w:t>价格</w:t>
            </w:r>
          </w:p>
        </w:tc>
        <w:tc>
          <w:tcPr>
            <w:tcW w:w="982" w:type="dxa"/>
            <w:vAlign w:val="center"/>
          </w:tcPr>
          <w:p>
            <w:pPr>
              <w:widowControl/>
              <w:jc w:val="center"/>
              <w:rPr>
                <w:rFonts w:ascii="宋体" w:hAnsi="宋体" w:cs="宋体"/>
                <w:kern w:val="0"/>
                <w:sz w:val="24"/>
              </w:rPr>
            </w:pPr>
            <w:r>
              <w:rPr>
                <w:rFonts w:hint="eastAsia" w:ascii="宋体" w:hAnsi="宋体" w:cs="宋体"/>
                <w:kern w:val="0"/>
                <w:sz w:val="24"/>
              </w:rPr>
              <w:t>10分</w:t>
            </w:r>
          </w:p>
        </w:tc>
        <w:tc>
          <w:tcPr>
            <w:tcW w:w="7113" w:type="dxa"/>
            <w:vAlign w:val="center"/>
          </w:tcPr>
          <w:p>
            <w:pPr>
              <w:widowControl/>
              <w:jc w:val="left"/>
              <w:rPr>
                <w:rFonts w:ascii="宋体" w:hAnsi="宋体" w:cs="宋体"/>
                <w:kern w:val="0"/>
                <w:sz w:val="24"/>
              </w:rPr>
            </w:pPr>
            <w:r>
              <w:rPr>
                <w:rFonts w:hint="eastAsia" w:ascii="宋体" w:hAnsi="宋体" w:cs="宋体"/>
                <w:kern w:val="0"/>
                <w:sz w:val="24"/>
              </w:rPr>
              <w:t xml:space="preserve">满足竞争性磋商文件要求且投标价格最低的投标报价为评标基准价。其价格分为满分10分。其它投标供应商的价格分统一按照以下公式计算：投标报价得分=（评标基准价/投标报价）*价格权值*100。 </w:t>
            </w:r>
          </w:p>
        </w:tc>
      </w:tr>
    </w:tbl>
    <w:tbl>
      <w:tblPr>
        <w:tblStyle w:val="34"/>
        <w:tblpPr w:leftFromText="180" w:rightFromText="180" w:vertAnchor="text" w:horzAnchor="page" w:tblpX="1125" w:tblpY="435"/>
        <w:tblOverlap w:val="never"/>
        <w:tblW w:w="9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7" w:type="dxa"/>
            <w:gridSpan w:val="2"/>
          </w:tcPr>
          <w:p>
            <w:pPr>
              <w:spacing w:line="360" w:lineRule="auto"/>
              <w:jc w:val="center"/>
              <w:rPr>
                <w:rFonts w:ascii="Arial" w:hAnsi="Arial" w:cs="Arial"/>
                <w:b/>
                <w:sz w:val="24"/>
              </w:rPr>
            </w:pPr>
            <w:r>
              <w:rPr>
                <w:rFonts w:hint="eastAsia" w:ascii="Arial" w:hAnsi="Arial" w:cs="Arial"/>
                <w:b/>
                <w:sz w:val="24"/>
              </w:rPr>
              <w:t>商务技术评分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849" w:type="dxa"/>
          </w:tcPr>
          <w:p>
            <w:pPr>
              <w:spacing w:line="360" w:lineRule="auto"/>
              <w:jc w:val="center"/>
              <w:rPr>
                <w:rFonts w:ascii="Arial" w:hAnsi="Arial" w:cs="Arial"/>
                <w:b/>
                <w:sz w:val="24"/>
              </w:rPr>
            </w:pPr>
            <w:r>
              <w:rPr>
                <w:rFonts w:hint="eastAsia" w:ascii="Arial" w:hAnsi="Arial" w:cs="Arial"/>
                <w:b/>
                <w:sz w:val="24"/>
              </w:rPr>
              <w:t>评分项目</w:t>
            </w:r>
          </w:p>
        </w:tc>
        <w:tc>
          <w:tcPr>
            <w:tcW w:w="8018" w:type="dxa"/>
          </w:tcPr>
          <w:p>
            <w:pPr>
              <w:spacing w:line="360" w:lineRule="auto"/>
              <w:jc w:val="center"/>
              <w:rPr>
                <w:rFonts w:ascii="Arial" w:hAnsi="Arial" w:cs="Arial"/>
                <w:b/>
                <w:sz w:val="24"/>
              </w:rPr>
            </w:pPr>
            <w:r>
              <w:rPr>
                <w:rFonts w:hint="eastAsia" w:ascii="Arial" w:hAnsi="Arial" w:cs="Arial"/>
                <w:b/>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spacing w:line="360" w:lineRule="exact"/>
              <w:ind w:left="200" w:hanging="200" w:hangingChars="100"/>
              <w:rPr>
                <w:rFonts w:ascii="宋体" w:hAnsi="宋体" w:cs="宋体"/>
                <w:sz w:val="20"/>
              </w:rPr>
            </w:pPr>
            <w:r>
              <w:rPr>
                <w:rFonts w:ascii="宋体" w:hAnsi="宋体" w:cs="宋体"/>
                <w:sz w:val="20"/>
              </w:rPr>
              <w:t>项目实施方案</w:t>
            </w:r>
            <w:r>
              <w:rPr>
                <w:rFonts w:hint="eastAsia" w:ascii="宋体" w:hAnsi="宋体" w:cs="宋体"/>
                <w:sz w:val="20"/>
              </w:rPr>
              <w:t xml:space="preserve"> （25分）</w:t>
            </w:r>
          </w:p>
        </w:tc>
        <w:tc>
          <w:tcPr>
            <w:tcW w:w="8018" w:type="dxa"/>
          </w:tcPr>
          <w:p>
            <w:pPr>
              <w:spacing w:line="360" w:lineRule="exact"/>
              <w:rPr>
                <w:rFonts w:hint="eastAsia" w:ascii="宋体" w:hAnsi="宋体" w:cs="宋体"/>
                <w:sz w:val="20"/>
              </w:rPr>
            </w:pPr>
            <w:r>
              <w:rPr>
                <w:rFonts w:hint="eastAsia" w:ascii="宋体" w:hAnsi="宋体" w:cs="宋体"/>
                <w:sz w:val="20"/>
              </w:rPr>
              <w:t>根据项目实施方案中陈述的：</w:t>
            </w:r>
          </w:p>
          <w:p>
            <w:pPr>
              <w:spacing w:line="360" w:lineRule="exact"/>
              <w:rPr>
                <w:rFonts w:hint="eastAsia" w:ascii="宋体" w:hAnsi="宋体" w:cs="宋体"/>
                <w:sz w:val="20"/>
              </w:rPr>
            </w:pPr>
            <w:r>
              <w:rPr>
                <w:rFonts w:hint="eastAsia" w:ascii="宋体" w:hAnsi="宋体" w:cs="宋体"/>
                <w:sz w:val="20"/>
              </w:rPr>
              <w:t>（1）对参与规划的人员配备和技术力量方面进行阐述，配置是否合理，综合力量的强弱等；(19-25分)</w:t>
            </w:r>
          </w:p>
          <w:p>
            <w:pPr>
              <w:spacing w:line="360" w:lineRule="exact"/>
              <w:rPr>
                <w:rFonts w:hint="eastAsia" w:ascii="宋体" w:hAnsi="宋体" w:cs="宋体"/>
                <w:sz w:val="20"/>
              </w:rPr>
            </w:pPr>
            <w:r>
              <w:rPr>
                <w:rFonts w:hint="eastAsia" w:ascii="宋体" w:hAnsi="宋体" w:cs="宋体"/>
                <w:sz w:val="20"/>
              </w:rPr>
              <w:t>（2）规划工作组织方案的全面性，科学性、合理性；（14-18分）</w:t>
            </w:r>
          </w:p>
          <w:p>
            <w:pPr>
              <w:spacing w:line="360" w:lineRule="exact"/>
              <w:rPr>
                <w:rFonts w:hint="eastAsia" w:ascii="宋体" w:hAnsi="宋体" w:cs="宋体"/>
                <w:sz w:val="20"/>
              </w:rPr>
            </w:pPr>
            <w:r>
              <w:rPr>
                <w:rFonts w:hint="eastAsia" w:ascii="宋体" w:hAnsi="宋体" w:cs="宋体"/>
                <w:sz w:val="20"/>
              </w:rPr>
              <w:t>（3）规划工作中对重点、难点的分析和理解等；（9-17分）</w:t>
            </w:r>
          </w:p>
          <w:p>
            <w:pPr>
              <w:spacing w:line="360" w:lineRule="exact"/>
              <w:rPr>
                <w:rFonts w:ascii="Arial" w:hAnsi="Arial" w:cs="Arial"/>
                <w:bCs/>
                <w:sz w:val="20"/>
              </w:rPr>
            </w:pPr>
            <w:r>
              <w:rPr>
                <w:rFonts w:hint="eastAsia" w:ascii="宋体" w:hAnsi="宋体" w:cs="宋体"/>
                <w:sz w:val="20"/>
              </w:rPr>
              <w:t>（4）规划工作总进度及节点时间安排的合理性、可靠程度等情况，（0-8分），共计 25分，酌情赋分。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spacing w:line="360" w:lineRule="exact"/>
              <w:rPr>
                <w:rFonts w:ascii="Arial" w:hAnsi="Arial" w:cs="Arial"/>
                <w:bCs/>
                <w:sz w:val="20"/>
              </w:rPr>
            </w:pPr>
            <w:r>
              <w:rPr>
                <w:rFonts w:ascii="宋体" w:hAnsi="宋体" w:cs="宋体"/>
                <w:sz w:val="20"/>
              </w:rPr>
              <w:t>规划工作整体思路</w:t>
            </w:r>
            <w:r>
              <w:rPr>
                <w:rFonts w:hint="eastAsia" w:ascii="宋体" w:hAnsi="宋体" w:cs="宋体"/>
                <w:sz w:val="20"/>
              </w:rPr>
              <w:t>（15分）</w:t>
            </w:r>
          </w:p>
        </w:tc>
        <w:tc>
          <w:tcPr>
            <w:tcW w:w="8018" w:type="dxa"/>
          </w:tcPr>
          <w:p>
            <w:pPr>
              <w:spacing w:line="360" w:lineRule="exact"/>
              <w:rPr>
                <w:rFonts w:ascii="Arial" w:hAnsi="Arial" w:cs="Arial"/>
                <w:bCs/>
                <w:sz w:val="20"/>
              </w:rPr>
            </w:pPr>
            <w:r>
              <w:rPr>
                <w:rFonts w:ascii="宋体" w:hAnsi="宋体" w:cs="宋体"/>
                <w:sz w:val="20"/>
              </w:rPr>
              <w:t>根据规划工作整体思路的清晰程度、缜密、合理可靠等情况，</w:t>
            </w:r>
            <w:r>
              <w:rPr>
                <w:rFonts w:hint="eastAsia" w:ascii="宋体" w:hAnsi="宋体" w:cs="宋体"/>
                <w:sz w:val="20"/>
                <w:lang w:val="zh-CN"/>
              </w:rPr>
              <w:t>优异得</w:t>
            </w:r>
            <w:r>
              <w:rPr>
                <w:rFonts w:hint="eastAsia" w:ascii="宋体" w:hAnsi="宋体" w:cs="宋体"/>
                <w:sz w:val="20"/>
              </w:rPr>
              <w:t>10</w:t>
            </w:r>
            <w:r>
              <w:rPr>
                <w:rFonts w:hint="eastAsia" w:ascii="宋体" w:hAnsi="宋体" w:cs="宋体"/>
                <w:sz w:val="20"/>
                <w:lang w:val="zh-CN"/>
              </w:rPr>
              <w:t>-1</w:t>
            </w:r>
            <w:r>
              <w:rPr>
                <w:rFonts w:hint="eastAsia" w:ascii="宋体" w:hAnsi="宋体" w:cs="宋体"/>
                <w:sz w:val="20"/>
              </w:rPr>
              <w:t>5</w:t>
            </w:r>
            <w:r>
              <w:rPr>
                <w:rFonts w:hint="eastAsia" w:ascii="宋体" w:hAnsi="宋体" w:cs="宋体"/>
                <w:sz w:val="20"/>
                <w:lang w:val="zh-CN"/>
              </w:rPr>
              <w:t>分，良得</w:t>
            </w:r>
            <w:r>
              <w:rPr>
                <w:rFonts w:hint="eastAsia" w:ascii="宋体" w:hAnsi="宋体" w:cs="宋体"/>
                <w:sz w:val="20"/>
              </w:rPr>
              <w:t>5</w:t>
            </w:r>
            <w:r>
              <w:rPr>
                <w:rFonts w:hint="eastAsia" w:ascii="宋体" w:hAnsi="宋体" w:cs="宋体"/>
                <w:sz w:val="20"/>
                <w:lang w:val="zh-CN"/>
              </w:rPr>
              <w:t>-</w:t>
            </w:r>
            <w:r>
              <w:rPr>
                <w:rFonts w:hint="eastAsia" w:ascii="宋体" w:hAnsi="宋体" w:cs="宋体"/>
                <w:sz w:val="20"/>
              </w:rPr>
              <w:t>9</w:t>
            </w:r>
            <w:r>
              <w:rPr>
                <w:rFonts w:hint="eastAsia" w:ascii="宋体" w:hAnsi="宋体" w:cs="宋体"/>
                <w:sz w:val="20"/>
                <w:lang w:val="zh-CN"/>
              </w:rPr>
              <w:t>分，一般者得3-4分，没有不得分</w:t>
            </w:r>
            <w:r>
              <w:rPr>
                <w:rFonts w:ascii="宋体" w:hAnsi="宋体" w:cs="宋体"/>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spacing w:line="360" w:lineRule="exact"/>
              <w:rPr>
                <w:rFonts w:ascii="宋体" w:hAnsi="宋体" w:cs="宋体"/>
                <w:sz w:val="20"/>
              </w:rPr>
            </w:pPr>
            <w:r>
              <w:rPr>
                <w:rFonts w:hint="eastAsia" w:ascii="宋体" w:hAnsi="宋体" w:cs="宋体"/>
                <w:sz w:val="20"/>
              </w:rPr>
              <w:t>服务方案及保证措施评审</w:t>
            </w:r>
          </w:p>
          <w:p>
            <w:pPr>
              <w:spacing w:line="360" w:lineRule="exact"/>
              <w:rPr>
                <w:rFonts w:ascii="Arial" w:hAnsi="Arial" w:cs="Arial"/>
                <w:bCs/>
                <w:sz w:val="20"/>
              </w:rPr>
            </w:pPr>
            <w:r>
              <w:rPr>
                <w:rFonts w:hint="eastAsia" w:ascii="宋体" w:hAnsi="宋体" w:cs="宋体"/>
                <w:sz w:val="20"/>
              </w:rPr>
              <w:t>（满分12分）</w:t>
            </w:r>
          </w:p>
        </w:tc>
        <w:tc>
          <w:tcPr>
            <w:tcW w:w="8018" w:type="dxa"/>
          </w:tcPr>
          <w:p>
            <w:pPr>
              <w:spacing w:line="360" w:lineRule="exact"/>
              <w:rPr>
                <w:rFonts w:ascii="宋体" w:hAnsi="宋体" w:cs="宋体"/>
                <w:sz w:val="20"/>
              </w:rPr>
            </w:pPr>
            <w:r>
              <w:rPr>
                <w:rFonts w:hint="eastAsia" w:ascii="宋体" w:hAnsi="宋体" w:cs="宋体"/>
                <w:sz w:val="20"/>
                <w:lang w:val="zh-CN"/>
              </w:rPr>
              <w:t>投标人根据本项目特点，设定合理</w:t>
            </w:r>
            <w:r>
              <w:rPr>
                <w:rFonts w:hint="eastAsia" w:ascii="宋体" w:hAnsi="宋体" w:cs="宋体"/>
                <w:sz w:val="20"/>
              </w:rPr>
              <w:t>的服务方案，有具体的服务期限承诺，进度计划全面，计划编制合理、可行，服务保证措施合理、可行等情况，服务期限满足招标文件要求，</w:t>
            </w:r>
            <w:r>
              <w:rPr>
                <w:rFonts w:hint="eastAsia" w:ascii="宋体" w:hAnsi="宋体" w:cs="宋体"/>
                <w:sz w:val="20"/>
                <w:lang w:val="zh-CN"/>
              </w:rPr>
              <w:t>优异得8-</w:t>
            </w:r>
            <w:r>
              <w:rPr>
                <w:rFonts w:hint="eastAsia" w:ascii="宋体" w:hAnsi="宋体" w:cs="宋体"/>
                <w:sz w:val="20"/>
              </w:rPr>
              <w:t>12</w:t>
            </w:r>
            <w:r>
              <w:rPr>
                <w:rFonts w:hint="eastAsia" w:ascii="宋体" w:hAnsi="宋体" w:cs="宋体"/>
                <w:sz w:val="20"/>
                <w:lang w:val="zh-CN"/>
              </w:rPr>
              <w:t>分，良得5-7分，一般者得3-4分，没有不得分。</w:t>
            </w:r>
          </w:p>
          <w:p>
            <w:pPr>
              <w:spacing w:line="360" w:lineRule="exact"/>
              <w:rPr>
                <w:rFonts w:ascii="Arial" w:hAnsi="Arial" w:cs="Arial"/>
                <w:bCs/>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spacing w:line="360" w:lineRule="exact"/>
              <w:rPr>
                <w:rFonts w:ascii="Arial" w:hAnsi="Arial" w:cs="Arial"/>
                <w:bCs/>
                <w:sz w:val="20"/>
              </w:rPr>
            </w:pPr>
            <w:r>
              <w:rPr>
                <w:rFonts w:ascii="宋体" w:hAnsi="宋体" w:cs="宋体"/>
                <w:sz w:val="20"/>
              </w:rPr>
              <w:t>对项目所在地</w:t>
            </w:r>
            <w:r>
              <w:rPr>
                <w:rFonts w:hint="eastAsia" w:ascii="宋体" w:hAnsi="宋体" w:cs="宋体"/>
                <w:sz w:val="20"/>
              </w:rPr>
              <w:t>区现状条件</w:t>
            </w:r>
            <w:r>
              <w:rPr>
                <w:rFonts w:ascii="宋体" w:hAnsi="宋体" w:cs="宋体"/>
                <w:sz w:val="20"/>
              </w:rPr>
              <w:t>的了解和认识</w:t>
            </w:r>
            <w:r>
              <w:rPr>
                <w:rFonts w:hint="eastAsia" w:ascii="宋体" w:hAnsi="宋体" w:cs="宋体"/>
                <w:sz w:val="20"/>
              </w:rPr>
              <w:t>（10分）</w:t>
            </w:r>
          </w:p>
        </w:tc>
        <w:tc>
          <w:tcPr>
            <w:tcW w:w="8018" w:type="dxa"/>
          </w:tcPr>
          <w:p>
            <w:pPr>
              <w:spacing w:line="360" w:lineRule="exact"/>
              <w:rPr>
                <w:rFonts w:ascii="Arial" w:hAnsi="Arial" w:cs="Arial"/>
                <w:bCs/>
                <w:sz w:val="20"/>
              </w:rPr>
            </w:pPr>
            <w:r>
              <w:rPr>
                <w:rFonts w:ascii="宋体" w:hAnsi="宋体" w:cs="宋体"/>
                <w:sz w:val="20"/>
              </w:rPr>
              <w:t>根据供应商的磋商响应文件对项目</w:t>
            </w:r>
            <w:r>
              <w:rPr>
                <w:rFonts w:hint="eastAsia" w:ascii="宋体" w:hAnsi="宋体" w:cs="宋体"/>
                <w:sz w:val="20"/>
              </w:rPr>
              <w:t>区的现状、情况的认识了解的全面性、</w:t>
            </w:r>
            <w:r>
              <w:rPr>
                <w:rFonts w:ascii="宋体" w:hAnsi="宋体" w:cs="宋体"/>
                <w:sz w:val="20"/>
              </w:rPr>
              <w:t>准确性和深度等方面进行综合评审</w:t>
            </w:r>
            <w:r>
              <w:rPr>
                <w:rFonts w:hint="eastAsia" w:ascii="宋体" w:hAnsi="宋体" w:cs="宋体"/>
                <w:sz w:val="20"/>
              </w:rPr>
              <w:t>，</w:t>
            </w:r>
            <w:r>
              <w:rPr>
                <w:rFonts w:hint="eastAsia" w:ascii="宋体" w:hAnsi="宋体" w:cs="宋体"/>
                <w:sz w:val="20"/>
                <w:lang w:val="zh-CN"/>
              </w:rPr>
              <w:t>优异得8-10分，良得5-7分，一般者得3-4分，没有不得分。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spacing w:line="360" w:lineRule="exact"/>
              <w:rPr>
                <w:rFonts w:ascii="Arial" w:hAnsi="Arial" w:cs="Arial"/>
                <w:bCs/>
                <w:sz w:val="20"/>
              </w:rPr>
            </w:pPr>
            <w:r>
              <w:rPr>
                <w:rFonts w:ascii="宋体" w:hAnsi="宋体" w:cs="宋体"/>
                <w:sz w:val="20"/>
              </w:rPr>
              <w:t>项目人员配备</w:t>
            </w:r>
            <w:r>
              <w:rPr>
                <w:rFonts w:hint="eastAsia" w:ascii="宋体" w:hAnsi="宋体" w:cs="宋体"/>
                <w:sz w:val="20"/>
              </w:rPr>
              <w:t>（15分）</w:t>
            </w:r>
          </w:p>
        </w:tc>
        <w:tc>
          <w:tcPr>
            <w:tcW w:w="8018" w:type="dxa"/>
          </w:tcPr>
          <w:p>
            <w:pPr>
              <w:spacing w:line="360" w:lineRule="exact"/>
              <w:rPr>
                <w:rFonts w:ascii="Arial" w:hAnsi="Arial" w:cs="Arial"/>
                <w:bCs/>
                <w:sz w:val="20"/>
              </w:rPr>
            </w:pPr>
            <w:r>
              <w:rPr>
                <w:rFonts w:ascii="宋体" w:hAnsi="宋体" w:cs="宋体"/>
                <w:sz w:val="20"/>
              </w:rPr>
              <w:t>各专业人员配备齐全的，结构合理、专业技术力量雄厚，根据规划工作所需各专业人员的配备（人员的数量、专业、职称等）情况以赋分0-</w:t>
            </w:r>
            <w:r>
              <w:rPr>
                <w:rFonts w:hint="eastAsia" w:ascii="宋体" w:hAnsi="宋体" w:cs="宋体"/>
                <w:sz w:val="20"/>
              </w:rPr>
              <w:t>6</w:t>
            </w:r>
            <w:r>
              <w:rPr>
                <w:rFonts w:ascii="宋体" w:hAnsi="宋体" w:cs="宋体"/>
                <w:sz w:val="20"/>
              </w:rPr>
              <w:t>分； 具有国家注册</w:t>
            </w:r>
            <w:r>
              <w:rPr>
                <w:rFonts w:hint="eastAsia" w:ascii="宋体" w:hAnsi="宋体" w:cs="宋体"/>
                <w:sz w:val="20"/>
              </w:rPr>
              <w:t>职业资格证书</w:t>
            </w:r>
            <w:r>
              <w:rPr>
                <w:rFonts w:ascii="宋体" w:hAnsi="宋体" w:cs="宋体"/>
                <w:sz w:val="20"/>
              </w:rPr>
              <w:t>（</w:t>
            </w:r>
            <w:r>
              <w:rPr>
                <w:rFonts w:hint="eastAsia" w:ascii="宋体" w:hAnsi="宋体" w:cs="宋体"/>
                <w:sz w:val="20"/>
              </w:rPr>
              <w:t>规划</w:t>
            </w:r>
            <w:r>
              <w:rPr>
                <w:rFonts w:ascii="宋体" w:hAnsi="宋体" w:cs="宋体"/>
                <w:sz w:val="20"/>
              </w:rPr>
              <w:t>、测量、</w:t>
            </w:r>
            <w:r>
              <w:rPr>
                <w:rFonts w:hint="eastAsia" w:ascii="宋体" w:hAnsi="宋体" w:cs="宋体"/>
                <w:sz w:val="20"/>
              </w:rPr>
              <w:t>环保、咨询</w:t>
            </w:r>
            <w:r>
              <w:rPr>
                <w:rFonts w:ascii="宋体" w:hAnsi="宋体" w:cs="宋体"/>
                <w:sz w:val="20"/>
              </w:rPr>
              <w:t>）证书的人员3人以上，得3分；2-3人，得2分；1-2人，得1分。 参与的人员中，教授级高工每人2分，高级职称每人</w:t>
            </w:r>
            <w:r>
              <w:rPr>
                <w:rFonts w:hint="eastAsia" w:ascii="宋体" w:hAnsi="宋体" w:cs="宋体"/>
                <w:sz w:val="20"/>
              </w:rPr>
              <w:t>1</w:t>
            </w:r>
            <w:r>
              <w:rPr>
                <w:rFonts w:ascii="宋体" w:hAnsi="宋体" w:cs="宋体"/>
                <w:sz w:val="20"/>
              </w:rPr>
              <w:t>分，工程师每 人0.</w:t>
            </w:r>
            <w:r>
              <w:rPr>
                <w:rFonts w:hint="eastAsia" w:ascii="宋体" w:hAnsi="宋体" w:cs="宋体"/>
                <w:sz w:val="20"/>
              </w:rPr>
              <w:t>5</w:t>
            </w:r>
            <w:r>
              <w:rPr>
                <w:rFonts w:ascii="宋体" w:hAnsi="宋体" w:cs="宋体"/>
                <w:sz w:val="20"/>
              </w:rPr>
              <w:t>分</w:t>
            </w:r>
            <w:r>
              <w:rPr>
                <w:rFonts w:hint="eastAsia" w:ascii="宋体" w:hAnsi="宋体" w:cs="宋体"/>
                <w:sz w:val="20"/>
              </w:rPr>
              <w:t>，</w:t>
            </w:r>
            <w:r>
              <w:rPr>
                <w:rFonts w:ascii="宋体" w:hAnsi="宋体" w:cs="宋体"/>
                <w:sz w:val="20"/>
              </w:rPr>
              <w:t>本项最多得</w:t>
            </w:r>
            <w:r>
              <w:rPr>
                <w:rFonts w:hint="eastAsia" w:ascii="宋体" w:hAnsi="宋体" w:cs="宋体"/>
                <w:sz w:val="20"/>
              </w:rPr>
              <w:t>6</w:t>
            </w:r>
            <w:r>
              <w:rPr>
                <w:rFonts w:ascii="宋体" w:hAnsi="宋体" w:cs="宋体"/>
                <w:sz w:val="20"/>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849" w:type="dxa"/>
          </w:tcPr>
          <w:p>
            <w:pPr>
              <w:spacing w:line="360" w:lineRule="exact"/>
              <w:rPr>
                <w:rFonts w:ascii="Arial" w:hAnsi="Arial" w:cs="Arial"/>
                <w:bCs/>
                <w:sz w:val="20"/>
              </w:rPr>
            </w:pPr>
            <w:r>
              <w:rPr>
                <w:rFonts w:ascii="宋体" w:hAnsi="宋体" w:cs="宋体"/>
                <w:sz w:val="20"/>
              </w:rPr>
              <w:t>供应商的类似业绩</w:t>
            </w:r>
            <w:r>
              <w:rPr>
                <w:rFonts w:hint="eastAsia" w:ascii="宋体" w:hAnsi="宋体" w:cs="宋体"/>
                <w:sz w:val="20"/>
              </w:rPr>
              <w:t>（13分）</w:t>
            </w:r>
          </w:p>
        </w:tc>
        <w:tc>
          <w:tcPr>
            <w:tcW w:w="8018" w:type="dxa"/>
          </w:tcPr>
          <w:p>
            <w:pPr>
              <w:spacing w:line="360" w:lineRule="exact"/>
              <w:rPr>
                <w:rFonts w:ascii="宋体" w:hAnsi="宋体" w:cs="宋体"/>
                <w:sz w:val="20"/>
              </w:rPr>
            </w:pPr>
            <w:r>
              <w:rPr>
                <w:rFonts w:ascii="宋体" w:hAnsi="宋体" w:cs="宋体"/>
                <w:sz w:val="20"/>
              </w:rPr>
              <w:t>每提供</w:t>
            </w:r>
            <w:r>
              <w:rPr>
                <w:rFonts w:hint="eastAsia" w:ascii="宋体" w:hAnsi="宋体" w:cs="宋体"/>
                <w:sz w:val="20"/>
              </w:rPr>
              <w:t>近3年内</w:t>
            </w:r>
            <w:r>
              <w:rPr>
                <w:rFonts w:ascii="宋体" w:hAnsi="宋体" w:cs="宋体"/>
                <w:sz w:val="20"/>
              </w:rPr>
              <w:t>类似项目业绩</w:t>
            </w:r>
            <w:r>
              <w:rPr>
                <w:rFonts w:hint="eastAsia" w:ascii="宋体" w:hAnsi="宋体" w:cs="宋体"/>
                <w:sz w:val="20"/>
              </w:rPr>
              <w:t>的，每提供一项的</w:t>
            </w:r>
            <w:r>
              <w:rPr>
                <w:rFonts w:ascii="宋体" w:hAnsi="宋体" w:cs="宋体"/>
                <w:sz w:val="20"/>
              </w:rPr>
              <w:t>得</w:t>
            </w:r>
            <w:r>
              <w:rPr>
                <w:rFonts w:hint="eastAsia" w:ascii="宋体" w:hAnsi="宋体" w:cs="宋体"/>
                <w:sz w:val="20"/>
              </w:rPr>
              <w:t>3</w:t>
            </w:r>
            <w:r>
              <w:rPr>
                <w:rFonts w:ascii="宋体" w:hAnsi="宋体" w:cs="宋体"/>
                <w:sz w:val="20"/>
              </w:rPr>
              <w:t>分，最高得</w:t>
            </w:r>
            <w:r>
              <w:rPr>
                <w:rFonts w:hint="eastAsia" w:ascii="宋体" w:hAnsi="宋体" w:cs="宋体"/>
                <w:sz w:val="20"/>
              </w:rPr>
              <w:t>13</w:t>
            </w:r>
            <w:r>
              <w:rPr>
                <w:rFonts w:ascii="宋体" w:hAnsi="宋体" w:cs="宋体"/>
                <w:sz w:val="20"/>
              </w:rPr>
              <w:t>分。</w:t>
            </w:r>
            <w:r>
              <w:rPr>
                <w:rFonts w:hint="eastAsia" w:ascii="宋体" w:hAnsi="宋体" w:cs="宋体"/>
                <w:sz w:val="20"/>
              </w:rPr>
              <w:t>（须提供中标通知书或者合同证明材料）</w:t>
            </w:r>
          </w:p>
          <w:p>
            <w:pPr>
              <w:pStyle w:val="11"/>
            </w:pPr>
            <w:r>
              <w:rPr>
                <w:rFonts w:hint="eastAsia" w:ascii="宋体" w:hAnsi="宋体" w:cs="宋体"/>
                <w:sz w:val="20"/>
              </w:rPr>
              <w:t>注：</w:t>
            </w:r>
            <w:r>
              <w:rPr>
                <w:rFonts w:ascii="宋体" w:hAnsi="宋体" w:cs="宋体"/>
                <w:sz w:val="20"/>
              </w:rPr>
              <w:t>类似项目</w:t>
            </w:r>
            <w:r>
              <w:rPr>
                <w:rFonts w:hint="eastAsia" w:ascii="宋体" w:hAnsi="宋体" w:cs="宋体"/>
                <w:sz w:val="20"/>
              </w:rPr>
              <w:t>是指湿地公园调整方案或湿地公园总体规划修编</w:t>
            </w:r>
          </w:p>
        </w:tc>
      </w:tr>
    </w:tbl>
    <w:p>
      <w:pPr>
        <w:rPr>
          <w:rFonts w:ascii="宋体" w:hAnsi="宋体"/>
          <w:b/>
          <w:bCs/>
          <w:sz w:val="24"/>
        </w:rPr>
      </w:pPr>
      <w:r>
        <w:rPr>
          <w:rFonts w:hint="eastAsia" w:ascii="宋体" w:hAnsi="宋体" w:cs="宋体"/>
          <w:kern w:val="0"/>
          <w:sz w:val="24"/>
        </w:rPr>
        <w:t>注：商务得分的计算将保留小数点后的两位数字。由评委负责对每位合格的供应商的商务、技术情况按以上标准进行独立打分，评分汇总算术平均值作为此企业的商务、技术部分得分。保留小数点后两位，第三位四舍五入。</w:t>
      </w:r>
    </w:p>
    <w:p>
      <w:pPr>
        <w:spacing w:line="500" w:lineRule="exact"/>
        <w:rPr>
          <w:rFonts w:ascii="宋体" w:hAnsi="宋体"/>
          <w:b/>
          <w:bCs/>
          <w:sz w:val="24"/>
        </w:rPr>
      </w:pPr>
      <w:r>
        <w:rPr>
          <w:rFonts w:hint="eastAsia" w:ascii="宋体" w:hAnsi="宋体"/>
          <w:b/>
          <w:bCs/>
          <w:sz w:val="24"/>
        </w:rPr>
        <w:t>25.评标过程的保密性</w:t>
      </w:r>
    </w:p>
    <w:p>
      <w:pPr>
        <w:spacing w:line="500" w:lineRule="exact"/>
        <w:rPr>
          <w:rFonts w:ascii="宋体" w:hAnsi="宋体"/>
          <w:sz w:val="24"/>
        </w:rPr>
      </w:pPr>
      <w:r>
        <w:rPr>
          <w:rFonts w:hint="eastAsia" w:ascii="宋体" w:hAnsi="宋体"/>
          <w:sz w:val="24"/>
        </w:rPr>
        <w:t>25.1 开标后，直到授予合同为止，凡是属于审查、澄清、评价和比较的有关资料以及授标建议等评委或参与评标的有关工作人员均不得向供应商或其他无关的人员透露，违者给予警告、取消担任评委的资格，不得再参加任何项目的评标。</w:t>
      </w:r>
    </w:p>
    <w:p>
      <w:pPr>
        <w:spacing w:line="500" w:lineRule="exact"/>
        <w:rPr>
          <w:rFonts w:ascii="宋体" w:hAnsi="宋体"/>
          <w:sz w:val="24"/>
        </w:rPr>
      </w:pPr>
      <w:r>
        <w:rPr>
          <w:rFonts w:hint="eastAsia" w:ascii="宋体" w:hAnsi="宋体"/>
          <w:sz w:val="24"/>
        </w:rPr>
        <w:t>25.2 供应商在评标过程中，所进行的力图影响评标结果的不符合《招投标法》、《政府采购法》及本次招标中有关规定的活动，将被取消其中标资格。</w:t>
      </w:r>
    </w:p>
    <w:p>
      <w:pPr>
        <w:spacing w:line="500" w:lineRule="exact"/>
        <w:rPr>
          <w:rFonts w:ascii="宋体" w:hAnsi="宋体"/>
          <w:b/>
          <w:bCs/>
          <w:sz w:val="24"/>
        </w:rPr>
      </w:pPr>
      <w:r>
        <w:rPr>
          <w:rFonts w:hint="eastAsia" w:ascii="宋体" w:hAnsi="宋体" w:cs="宋体"/>
          <w:kern w:val="1"/>
          <w:sz w:val="24"/>
        </w:rPr>
        <w:t>25.3采购人不解释中标或不中标原因，不退回投标文件和其他投标资料。</w:t>
      </w:r>
    </w:p>
    <w:p>
      <w:pPr>
        <w:pStyle w:val="13"/>
        <w:ind w:left="0" w:leftChars="0" w:firstLine="0" w:firstLineChars="0"/>
        <w:rPr>
          <w:rFonts w:ascii="宋体" w:hAnsi="宋体"/>
          <w:b/>
          <w:bCs/>
          <w:sz w:val="24"/>
        </w:rPr>
      </w:pPr>
    </w:p>
    <w:p>
      <w:pPr>
        <w:pStyle w:val="30"/>
        <w:spacing w:before="0" w:after="0" w:line="500" w:lineRule="exact"/>
        <w:rPr>
          <w:rFonts w:ascii="宋体" w:hAnsi="宋体" w:cs="宋体"/>
        </w:rPr>
      </w:pPr>
      <w:bookmarkStart w:id="85" w:name="_Toc349573126"/>
      <w:bookmarkStart w:id="86" w:name="_Toc298240410"/>
      <w:bookmarkStart w:id="87" w:name="_Toc349637925"/>
      <w:bookmarkStart w:id="88" w:name="_Toc356488107"/>
      <w:bookmarkStart w:id="89" w:name="_Toc267301287"/>
    </w:p>
    <w:p>
      <w:pPr>
        <w:pStyle w:val="30"/>
        <w:spacing w:before="0" w:after="0" w:line="500" w:lineRule="exact"/>
        <w:rPr>
          <w:rFonts w:ascii="宋体" w:hAnsi="宋体" w:cs="宋体"/>
        </w:rPr>
      </w:pPr>
    </w:p>
    <w:p>
      <w:pPr>
        <w:pStyle w:val="30"/>
        <w:spacing w:before="0" w:after="0" w:line="500" w:lineRule="exact"/>
        <w:rPr>
          <w:rFonts w:ascii="宋体" w:hAnsi="宋体" w:cs="宋体"/>
        </w:rPr>
      </w:pPr>
    </w:p>
    <w:p>
      <w:pPr>
        <w:pStyle w:val="30"/>
        <w:spacing w:before="0" w:after="0" w:line="500" w:lineRule="exact"/>
        <w:rPr>
          <w:rFonts w:ascii="宋体" w:hAnsi="宋体" w:cs="宋体"/>
        </w:rPr>
      </w:pPr>
    </w:p>
    <w:p>
      <w:pPr>
        <w:pStyle w:val="30"/>
        <w:spacing w:before="0" w:after="0" w:line="500" w:lineRule="exact"/>
        <w:rPr>
          <w:rFonts w:ascii="宋体" w:hAnsi="宋体" w:cs="宋体"/>
        </w:rPr>
      </w:pPr>
    </w:p>
    <w:p>
      <w:pPr>
        <w:pStyle w:val="30"/>
        <w:spacing w:before="0" w:after="0" w:line="500" w:lineRule="exact"/>
        <w:rPr>
          <w:rFonts w:ascii="宋体" w:hAnsi="宋体" w:cs="宋体"/>
        </w:rPr>
      </w:pPr>
    </w:p>
    <w:p/>
    <w:p>
      <w:pPr>
        <w:pStyle w:val="30"/>
        <w:spacing w:before="0" w:after="0" w:line="500" w:lineRule="exact"/>
        <w:rPr>
          <w:rFonts w:ascii="宋体" w:hAnsi="宋体" w:cs="宋体"/>
        </w:rPr>
      </w:pPr>
    </w:p>
    <w:p>
      <w:pPr>
        <w:pStyle w:val="30"/>
        <w:spacing w:before="0" w:after="0" w:line="500" w:lineRule="exact"/>
        <w:rPr>
          <w:rFonts w:ascii="宋体" w:hAnsi="宋体" w:cs="宋体"/>
        </w:rPr>
      </w:pPr>
    </w:p>
    <w:p>
      <w:pPr>
        <w:pStyle w:val="30"/>
        <w:spacing w:before="0" w:after="0" w:line="500" w:lineRule="exact"/>
        <w:rPr>
          <w:rFonts w:ascii="宋体" w:hAnsi="宋体"/>
        </w:rPr>
      </w:pPr>
      <w:r>
        <w:rPr>
          <w:rFonts w:hint="eastAsia" w:ascii="宋体" w:hAnsi="宋体" w:cs="宋体"/>
        </w:rPr>
        <w:t>（五）</w:t>
      </w:r>
      <w:r>
        <w:rPr>
          <w:rFonts w:hint="eastAsia" w:ascii="宋体" w:hAnsi="宋体"/>
        </w:rPr>
        <w:t>授予合同</w:t>
      </w:r>
      <w:bookmarkEnd w:id="85"/>
      <w:bookmarkEnd w:id="86"/>
      <w:bookmarkEnd w:id="87"/>
      <w:bookmarkEnd w:id="88"/>
      <w:bookmarkEnd w:id="89"/>
    </w:p>
    <w:p>
      <w:pPr>
        <w:spacing w:line="500" w:lineRule="exact"/>
        <w:rPr>
          <w:rFonts w:ascii="宋体" w:hAnsi="宋体"/>
          <w:b/>
          <w:bCs/>
          <w:sz w:val="24"/>
        </w:rPr>
      </w:pPr>
      <w:r>
        <w:rPr>
          <w:rFonts w:hint="eastAsia" w:ascii="宋体" w:hAnsi="宋体"/>
          <w:b/>
          <w:bCs/>
          <w:sz w:val="24"/>
        </w:rPr>
        <w:t>26.合同授予标准</w:t>
      </w:r>
    </w:p>
    <w:p>
      <w:pPr>
        <w:spacing w:line="500" w:lineRule="exact"/>
        <w:rPr>
          <w:rFonts w:ascii="宋体" w:hAnsi="宋体"/>
          <w:sz w:val="24"/>
        </w:rPr>
      </w:pPr>
      <w:r>
        <w:rPr>
          <w:rFonts w:hint="eastAsia" w:ascii="宋体" w:hAnsi="宋体"/>
          <w:sz w:val="24"/>
        </w:rPr>
        <w:t>26.1合同将授予被确定为实质上响应竞争性磋商文件要求，评标认为具备履行合同义务条件、报价合理、技术和商务条件都符合条件基础上综合评分得分最高的供应商。</w:t>
      </w:r>
    </w:p>
    <w:p>
      <w:pPr>
        <w:spacing w:line="500" w:lineRule="exact"/>
        <w:rPr>
          <w:rFonts w:ascii="宋体" w:hAnsi="宋体"/>
          <w:sz w:val="24"/>
        </w:rPr>
      </w:pPr>
      <w:r>
        <w:rPr>
          <w:rFonts w:hint="eastAsia" w:ascii="宋体" w:hAnsi="宋体"/>
          <w:sz w:val="24"/>
        </w:rPr>
        <w:t>26.2 最低投标价不一定是被授予合同的保证。</w:t>
      </w:r>
    </w:p>
    <w:p>
      <w:pPr>
        <w:spacing w:line="500" w:lineRule="exact"/>
        <w:rPr>
          <w:rFonts w:ascii="宋体" w:hAnsi="宋体"/>
          <w:sz w:val="24"/>
        </w:rPr>
      </w:pPr>
      <w:r>
        <w:rPr>
          <w:rFonts w:hint="eastAsia" w:ascii="宋体" w:hAnsi="宋体"/>
          <w:sz w:val="24"/>
        </w:rPr>
        <w:t>26.3 如果确定该供应商无法圆满履行合同，采购人将对下一个可能中标的供应商资格作出类似的审查。</w:t>
      </w:r>
    </w:p>
    <w:p>
      <w:pPr>
        <w:spacing w:line="500" w:lineRule="exact"/>
        <w:rPr>
          <w:rFonts w:ascii="宋体" w:hAnsi="宋体"/>
          <w:b/>
          <w:bCs/>
          <w:sz w:val="24"/>
        </w:rPr>
      </w:pPr>
      <w:r>
        <w:rPr>
          <w:rFonts w:hint="eastAsia" w:ascii="宋体" w:hAnsi="宋体"/>
          <w:b/>
          <w:bCs/>
          <w:sz w:val="24"/>
        </w:rPr>
        <w:t>27.接受和拒绝任何或所有投标的权力</w:t>
      </w:r>
    </w:p>
    <w:p>
      <w:pPr>
        <w:spacing w:line="500" w:lineRule="exact"/>
        <w:rPr>
          <w:rFonts w:ascii="宋体" w:hAnsi="宋体"/>
          <w:sz w:val="24"/>
        </w:rPr>
      </w:pPr>
      <w:r>
        <w:rPr>
          <w:rFonts w:hint="eastAsia" w:ascii="宋体" w:hAnsi="宋体"/>
          <w:sz w:val="24"/>
        </w:rPr>
        <w:t>27.1为维护国家利益，采购人在授予合同之前仍有选择或拒绝任何全部投标的权力，并对所采取的行为不作任何解释。</w:t>
      </w:r>
    </w:p>
    <w:p>
      <w:pPr>
        <w:spacing w:line="500" w:lineRule="exact"/>
        <w:rPr>
          <w:rFonts w:ascii="宋体" w:hAnsi="宋体"/>
          <w:b/>
          <w:bCs/>
          <w:sz w:val="24"/>
        </w:rPr>
      </w:pPr>
      <w:r>
        <w:rPr>
          <w:rFonts w:hint="eastAsia" w:ascii="宋体" w:hAnsi="宋体"/>
          <w:b/>
          <w:bCs/>
          <w:sz w:val="24"/>
        </w:rPr>
        <w:t>28.中标通知书</w:t>
      </w:r>
    </w:p>
    <w:p>
      <w:pPr>
        <w:spacing w:line="500" w:lineRule="exact"/>
        <w:rPr>
          <w:rFonts w:ascii="宋体" w:hAnsi="宋体"/>
          <w:sz w:val="24"/>
        </w:rPr>
      </w:pPr>
      <w:r>
        <w:rPr>
          <w:rFonts w:hint="eastAsia" w:ascii="宋体" w:hAnsi="宋体"/>
          <w:sz w:val="24"/>
        </w:rPr>
        <w:t>28.1 中标公告期满后，采购人将以书面形式发出《中标通知书》，但发出时间不超过投标有效期，《中标通知书》一经发出即发生法律效力。</w:t>
      </w:r>
    </w:p>
    <w:p>
      <w:pPr>
        <w:spacing w:line="500" w:lineRule="exact"/>
        <w:rPr>
          <w:rFonts w:ascii="宋体" w:hAnsi="宋体"/>
          <w:sz w:val="24"/>
        </w:rPr>
      </w:pPr>
      <w:r>
        <w:rPr>
          <w:rFonts w:hint="eastAsia" w:ascii="宋体" w:hAnsi="宋体"/>
          <w:sz w:val="24"/>
        </w:rPr>
        <w:t>28.2 《中标通知书》将作为签订合同的依据。</w:t>
      </w:r>
    </w:p>
    <w:p>
      <w:pPr>
        <w:spacing w:line="500" w:lineRule="exact"/>
        <w:rPr>
          <w:rFonts w:ascii="宋体" w:hAnsi="宋体"/>
          <w:sz w:val="24"/>
        </w:rPr>
      </w:pPr>
      <w:r>
        <w:rPr>
          <w:rFonts w:hint="eastAsia" w:ascii="宋体" w:hAnsi="宋体"/>
          <w:sz w:val="24"/>
        </w:rPr>
        <w:t>28.3 招标代理机构将在中标人按规定签订合同并提交履约保证金（如适用）后退还其投标保证金。</w:t>
      </w:r>
    </w:p>
    <w:p>
      <w:pPr>
        <w:spacing w:line="500" w:lineRule="exact"/>
        <w:rPr>
          <w:rFonts w:ascii="宋体" w:hAnsi="宋体"/>
          <w:b/>
          <w:bCs/>
          <w:sz w:val="24"/>
        </w:rPr>
      </w:pPr>
      <w:r>
        <w:rPr>
          <w:rFonts w:hint="eastAsia" w:ascii="宋体" w:hAnsi="宋体"/>
          <w:b/>
          <w:bCs/>
          <w:sz w:val="24"/>
        </w:rPr>
        <w:t>29.签订合同</w:t>
      </w:r>
    </w:p>
    <w:p>
      <w:pPr>
        <w:spacing w:line="500" w:lineRule="exact"/>
        <w:rPr>
          <w:rFonts w:ascii="宋体" w:hAnsi="宋体"/>
          <w:sz w:val="24"/>
        </w:rPr>
      </w:pPr>
      <w:r>
        <w:rPr>
          <w:rFonts w:hint="eastAsia" w:ascii="宋体" w:hAnsi="宋体"/>
          <w:sz w:val="24"/>
        </w:rPr>
        <w:t>29.1 供应商收到《中标通知书》后，按《中标通知书》中规定的时间地点与买方签订合同。采购人和中标人不得再订立背离合同实质性内容的其他协议。</w:t>
      </w:r>
    </w:p>
    <w:p>
      <w:pPr>
        <w:spacing w:line="500" w:lineRule="exact"/>
        <w:rPr>
          <w:rFonts w:ascii="宋体" w:hAnsi="宋体"/>
          <w:sz w:val="24"/>
        </w:rPr>
      </w:pPr>
      <w:r>
        <w:rPr>
          <w:rFonts w:hint="eastAsia" w:ascii="宋体" w:hAnsi="宋体"/>
          <w:sz w:val="24"/>
        </w:rPr>
        <w:t>29.2如中标方拒签合同，则按违约处理。招标代理机构没收其投标保证金。</w:t>
      </w:r>
    </w:p>
    <w:p>
      <w:pPr>
        <w:spacing w:line="500" w:lineRule="exact"/>
        <w:rPr>
          <w:rFonts w:ascii="宋体" w:hAnsi="宋体"/>
          <w:sz w:val="24"/>
        </w:rPr>
      </w:pPr>
      <w:r>
        <w:rPr>
          <w:rFonts w:hint="eastAsia" w:ascii="宋体" w:hAnsi="宋体"/>
          <w:sz w:val="24"/>
        </w:rPr>
        <w:t>29.3竞争性磋商文件、中标方的投标文件及其澄清文件等，均为签订经济合同的依据。</w:t>
      </w:r>
    </w:p>
    <w:p>
      <w:pPr>
        <w:pStyle w:val="4"/>
        <w:numPr>
          <w:ilvl w:val="0"/>
          <w:numId w:val="7"/>
        </w:numPr>
        <w:spacing w:line="500" w:lineRule="exact"/>
        <w:jc w:val="center"/>
        <w:rPr>
          <w:rFonts w:hAnsi="宋体"/>
          <w:sz w:val="32"/>
          <w:szCs w:val="32"/>
        </w:rPr>
      </w:pPr>
      <w:r>
        <w:rPr>
          <w:rFonts w:hint="eastAsia" w:hAnsi="宋体"/>
          <w:sz w:val="32"/>
          <w:szCs w:val="32"/>
        </w:rPr>
        <w:t>招标失败条件</w:t>
      </w:r>
    </w:p>
    <w:p>
      <w:pPr>
        <w:rPr>
          <w:rFonts w:ascii="宋体" w:hAnsi="宋体" w:cs="宋体"/>
          <w:b/>
          <w:sz w:val="24"/>
          <w:szCs w:val="22"/>
        </w:rPr>
      </w:pPr>
      <w:r>
        <w:rPr>
          <w:rFonts w:hint="eastAsia" w:ascii="宋体" w:hAnsi="宋体" w:cs="宋体"/>
          <w:b/>
          <w:sz w:val="24"/>
          <w:szCs w:val="22"/>
        </w:rPr>
        <w:t>30、招标失败条件</w:t>
      </w:r>
    </w:p>
    <w:p>
      <w:pPr>
        <w:pStyle w:val="16"/>
        <w:tabs>
          <w:tab w:val="left" w:pos="720"/>
          <w:tab w:val="left" w:pos="900"/>
          <w:tab w:val="left" w:pos="1260"/>
        </w:tabs>
        <w:adjustRightInd w:val="0"/>
        <w:spacing w:line="500" w:lineRule="exact"/>
        <w:rPr>
          <w:rFonts w:hAnsi="宋体"/>
          <w:bCs/>
          <w:sz w:val="24"/>
        </w:rPr>
      </w:pPr>
      <w:r>
        <w:rPr>
          <w:rFonts w:hint="eastAsia" w:hAnsi="宋体"/>
          <w:bCs/>
          <w:sz w:val="24"/>
        </w:rPr>
        <w:t>30.1出现影响采购公正的违法、违规行为的；</w:t>
      </w:r>
    </w:p>
    <w:p>
      <w:pPr>
        <w:pStyle w:val="16"/>
        <w:tabs>
          <w:tab w:val="left" w:pos="720"/>
          <w:tab w:val="left" w:pos="900"/>
          <w:tab w:val="left" w:pos="1260"/>
        </w:tabs>
        <w:adjustRightInd w:val="0"/>
        <w:spacing w:line="500" w:lineRule="exact"/>
        <w:rPr>
          <w:rFonts w:hAnsi="宋体"/>
          <w:bCs/>
          <w:sz w:val="24"/>
        </w:rPr>
      </w:pPr>
      <w:r>
        <w:rPr>
          <w:rFonts w:hint="eastAsia" w:hAnsi="宋体"/>
          <w:bCs/>
          <w:sz w:val="24"/>
        </w:rPr>
        <w:t>30.2因重大变故，采购任务取消的；</w:t>
      </w:r>
    </w:p>
    <w:p>
      <w:pPr>
        <w:pStyle w:val="16"/>
        <w:tabs>
          <w:tab w:val="left" w:pos="720"/>
          <w:tab w:val="left" w:pos="900"/>
          <w:tab w:val="left" w:pos="1260"/>
        </w:tabs>
        <w:adjustRightInd w:val="0"/>
        <w:spacing w:line="500" w:lineRule="exact"/>
        <w:rPr>
          <w:rFonts w:hAnsi="宋体"/>
          <w:bCs/>
          <w:sz w:val="24"/>
        </w:rPr>
      </w:pPr>
      <w:r>
        <w:rPr>
          <w:rFonts w:hint="eastAsia" w:hAnsi="宋体"/>
          <w:bCs/>
          <w:sz w:val="24"/>
        </w:rPr>
        <w:t>30.3竞争性磋商文件截止时间后，实际参与的供应商不足法定家数的；</w:t>
      </w:r>
    </w:p>
    <w:p>
      <w:pPr>
        <w:pStyle w:val="16"/>
        <w:tabs>
          <w:tab w:val="left" w:pos="720"/>
          <w:tab w:val="left" w:pos="900"/>
          <w:tab w:val="left" w:pos="1260"/>
        </w:tabs>
        <w:adjustRightInd w:val="0"/>
        <w:spacing w:line="500" w:lineRule="exact"/>
        <w:rPr>
          <w:rFonts w:hAnsi="宋体"/>
          <w:bCs/>
          <w:sz w:val="24"/>
        </w:rPr>
      </w:pPr>
      <w:r>
        <w:rPr>
          <w:rFonts w:hint="eastAsia" w:hAnsi="宋体"/>
          <w:bCs/>
          <w:sz w:val="24"/>
        </w:rPr>
        <w:t>30.4最终报价超过上限控制价的；</w:t>
      </w:r>
    </w:p>
    <w:p>
      <w:pPr>
        <w:pStyle w:val="16"/>
        <w:tabs>
          <w:tab w:val="left" w:pos="720"/>
          <w:tab w:val="left" w:pos="900"/>
          <w:tab w:val="left" w:pos="1260"/>
        </w:tabs>
        <w:adjustRightInd w:val="0"/>
        <w:spacing w:line="500" w:lineRule="exact"/>
        <w:rPr>
          <w:rFonts w:hAnsi="宋体"/>
          <w:bCs/>
          <w:sz w:val="24"/>
        </w:rPr>
      </w:pPr>
      <w:r>
        <w:rPr>
          <w:rFonts w:hint="eastAsia" w:hAnsi="宋体"/>
          <w:bCs/>
          <w:sz w:val="24"/>
        </w:rPr>
        <w:t>30.5对竞争性磋商文件作出实质性响应的供应商不足法定家数的；</w:t>
      </w:r>
    </w:p>
    <w:p>
      <w:pPr>
        <w:spacing w:line="500" w:lineRule="exact"/>
        <w:jc w:val="center"/>
        <w:outlineLvl w:val="0"/>
        <w:rPr>
          <w:rFonts w:ascii="宋体" w:hAnsi="宋体" w:cs="宋体"/>
          <w:b/>
          <w:bCs/>
          <w:sz w:val="32"/>
          <w:szCs w:val="32"/>
        </w:rPr>
      </w:pPr>
      <w:bookmarkStart w:id="90" w:name="_Toc225585659"/>
      <w:bookmarkStart w:id="91" w:name="_Toc9858_WPSOffice_Level1"/>
      <w:bookmarkStart w:id="92" w:name="_Toc20160"/>
      <w:r>
        <w:rPr>
          <w:rFonts w:hint="eastAsia" w:ascii="宋体" w:hAnsi="宋体" w:cs="宋体"/>
          <w:b/>
          <w:bCs/>
          <w:sz w:val="32"/>
          <w:szCs w:val="32"/>
        </w:rPr>
        <w:t xml:space="preserve">第四部分 </w:t>
      </w:r>
      <w:r>
        <w:rPr>
          <w:rFonts w:hint="eastAsia" w:ascii="宋体" w:hAnsi="宋体" w:cs="宋体"/>
          <w:b/>
          <w:bCs/>
          <w:sz w:val="32"/>
          <w:szCs w:val="32"/>
          <w:lang w:val="zh-CN"/>
        </w:rPr>
        <w:t>合同（</w:t>
      </w:r>
      <w:r>
        <w:rPr>
          <w:rFonts w:hint="eastAsia" w:ascii="宋体" w:hAnsi="宋体" w:cs="宋体"/>
          <w:b/>
          <w:bCs/>
          <w:sz w:val="32"/>
          <w:szCs w:val="32"/>
        </w:rPr>
        <w:t>仅供</w:t>
      </w:r>
      <w:r>
        <w:rPr>
          <w:rFonts w:hint="eastAsia" w:ascii="宋体" w:hAnsi="宋体" w:cs="宋体"/>
          <w:b/>
          <w:bCs/>
          <w:sz w:val="32"/>
          <w:szCs w:val="32"/>
          <w:lang w:val="zh-CN"/>
        </w:rPr>
        <w:t>参考）</w:t>
      </w:r>
      <w:bookmarkEnd w:id="84"/>
      <w:bookmarkEnd w:id="90"/>
      <w:bookmarkEnd w:id="91"/>
      <w:bookmarkEnd w:id="92"/>
      <w:bookmarkStart w:id="93" w:name="_Toc222129172"/>
      <w:bookmarkStart w:id="94" w:name="_Toc2601"/>
      <w:bookmarkStart w:id="95" w:name="_Toc225585660"/>
    </w:p>
    <w:p>
      <w:pPr>
        <w:widowControl/>
        <w:jc w:val="left"/>
        <w:outlineLvl w:val="0"/>
        <w:rPr>
          <w:rFonts w:ascii="宋体" w:hAnsi="宋体" w:cs="宋体"/>
          <w:b/>
          <w:bCs/>
          <w:kern w:val="0"/>
          <w:sz w:val="24"/>
        </w:rPr>
      </w:pPr>
    </w:p>
    <w:p>
      <w:pPr>
        <w:widowControl/>
        <w:spacing w:line="500" w:lineRule="exact"/>
        <w:jc w:val="left"/>
        <w:rPr>
          <w:rFonts w:ascii="宋体" w:hAnsi="宋体" w:cs="宋体"/>
          <w:kern w:val="0"/>
          <w:sz w:val="24"/>
        </w:rPr>
      </w:pPr>
      <w:r>
        <w:rPr>
          <w:rFonts w:hint="eastAsia" w:ascii="宋体" w:hAnsi="宋体" w:cs="宋体"/>
          <w:kern w:val="0"/>
          <w:sz w:val="24"/>
        </w:rPr>
        <w:t>合同编号：XXXX。</w:t>
      </w:r>
    </w:p>
    <w:p>
      <w:pPr>
        <w:widowControl/>
        <w:spacing w:line="500" w:lineRule="exact"/>
        <w:jc w:val="left"/>
        <w:rPr>
          <w:rFonts w:ascii="宋体" w:hAnsi="宋体" w:cs="宋体"/>
          <w:kern w:val="0"/>
          <w:sz w:val="24"/>
        </w:rPr>
      </w:pPr>
      <w:r>
        <w:rPr>
          <w:rFonts w:hint="eastAsia" w:ascii="宋体" w:hAnsi="宋体" w:cs="宋体"/>
          <w:kern w:val="0"/>
          <w:sz w:val="24"/>
        </w:rPr>
        <w:t>签订地点：XXXX。</w:t>
      </w:r>
    </w:p>
    <w:p>
      <w:pPr>
        <w:widowControl/>
        <w:spacing w:line="500" w:lineRule="exact"/>
        <w:jc w:val="left"/>
        <w:rPr>
          <w:rFonts w:ascii="宋体" w:hAnsi="宋体" w:cs="宋体"/>
          <w:kern w:val="0"/>
          <w:sz w:val="24"/>
        </w:rPr>
      </w:pPr>
      <w:r>
        <w:rPr>
          <w:rFonts w:hint="eastAsia" w:ascii="宋体" w:hAnsi="宋体" w:cs="宋体"/>
          <w:kern w:val="0"/>
          <w:sz w:val="24"/>
        </w:rPr>
        <w:t>签订时间：XXXX年XX月XX日。</w:t>
      </w:r>
    </w:p>
    <w:p>
      <w:pPr>
        <w:widowControl/>
        <w:spacing w:line="500" w:lineRule="exact"/>
        <w:jc w:val="left"/>
        <w:rPr>
          <w:rFonts w:ascii="宋体" w:hAnsi="宋体" w:cs="宋体"/>
          <w:kern w:val="0"/>
          <w:sz w:val="24"/>
        </w:rPr>
      </w:pPr>
      <w:r>
        <w:rPr>
          <w:rFonts w:hint="eastAsia" w:ascii="宋体" w:hAnsi="宋体" w:cs="宋体"/>
          <w:kern w:val="0"/>
          <w:sz w:val="24"/>
        </w:rPr>
        <w:t xml:space="preserve">采购人（甲方）：                              </w:t>
      </w:r>
    </w:p>
    <w:p>
      <w:pPr>
        <w:widowControl/>
        <w:spacing w:line="500" w:lineRule="exact"/>
        <w:jc w:val="left"/>
        <w:rPr>
          <w:rFonts w:ascii="宋体" w:hAnsi="宋体" w:cs="宋体"/>
          <w:kern w:val="0"/>
          <w:sz w:val="24"/>
        </w:rPr>
      </w:pPr>
      <w:r>
        <w:rPr>
          <w:rFonts w:hint="eastAsia" w:ascii="宋体" w:hAnsi="宋体" w:cs="宋体"/>
          <w:kern w:val="0"/>
          <w:sz w:val="24"/>
        </w:rPr>
        <w:t xml:space="preserve">中标人（乙方）：                              </w:t>
      </w:r>
    </w:p>
    <w:p>
      <w:pPr>
        <w:widowControl/>
        <w:spacing w:line="500" w:lineRule="exact"/>
        <w:jc w:val="left"/>
        <w:rPr>
          <w:rFonts w:ascii="宋体" w:hAnsi="宋体" w:cs="宋体"/>
          <w:kern w:val="0"/>
          <w:sz w:val="24"/>
        </w:rPr>
      </w:pP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 xml:space="preserve">依据《中华人民共和国合同法》、《中华人民共和政府采购法》与项目行业有关的法律法规，以及XXXX项目（项目编号：XXXX）的《竞争性磋商文件》，乙方的《投标文件》及《中标通知书》，甲、乙双方同意签订本合同。详细技术说明及其他有关合同项目的特定信息由合同附件予以说明，合同附件及本项目的《竞争性磋商文件》、《投标文件》、《中标通知书》等均为本合同的组成部分。 </w:t>
      </w:r>
    </w:p>
    <w:p>
      <w:pPr>
        <w:spacing w:line="500" w:lineRule="exact"/>
        <w:jc w:val="left"/>
        <w:rPr>
          <w:rFonts w:ascii="宋体" w:hAnsi="宋体" w:cs="宋体"/>
          <w:b/>
          <w:sz w:val="24"/>
        </w:rPr>
      </w:pPr>
      <w:r>
        <w:rPr>
          <w:rFonts w:hint="eastAsia" w:ascii="宋体" w:hAnsi="宋体" w:cs="宋体"/>
          <w:b/>
          <w:sz w:val="24"/>
        </w:rPr>
        <w:t>第一条、项目基本情况</w:t>
      </w:r>
    </w:p>
    <w:p>
      <w:pPr>
        <w:spacing w:line="500" w:lineRule="exact"/>
        <w:jc w:val="left"/>
        <w:rPr>
          <w:rFonts w:ascii="宋体" w:hAnsi="宋体" w:cs="宋体"/>
          <w:b/>
          <w:sz w:val="24"/>
        </w:rPr>
      </w:pPr>
    </w:p>
    <w:p>
      <w:pPr>
        <w:spacing w:line="500" w:lineRule="exact"/>
        <w:jc w:val="left"/>
        <w:rPr>
          <w:rFonts w:ascii="宋体" w:hAnsi="宋体" w:cs="宋体"/>
          <w:b/>
          <w:sz w:val="24"/>
        </w:rPr>
      </w:pPr>
      <w:r>
        <w:rPr>
          <w:rFonts w:hint="eastAsia" w:ascii="宋体" w:hAnsi="宋体" w:cs="宋体"/>
          <w:b/>
          <w:sz w:val="24"/>
        </w:rPr>
        <w:t>第二条、合同期限</w:t>
      </w:r>
    </w:p>
    <w:p>
      <w:pPr>
        <w:spacing w:line="500" w:lineRule="exact"/>
        <w:jc w:val="left"/>
        <w:rPr>
          <w:rFonts w:ascii="宋体" w:hAnsi="宋体" w:cs="宋体"/>
          <w:sz w:val="24"/>
        </w:rPr>
      </w:pPr>
    </w:p>
    <w:p>
      <w:pPr>
        <w:numPr>
          <w:ilvl w:val="0"/>
          <w:numId w:val="8"/>
        </w:numPr>
        <w:spacing w:line="500" w:lineRule="exact"/>
        <w:jc w:val="left"/>
        <w:rPr>
          <w:rFonts w:ascii="宋体" w:hAnsi="宋体" w:cs="宋体"/>
          <w:sz w:val="24"/>
        </w:rPr>
      </w:pPr>
      <w:bookmarkStart w:id="96" w:name="_Toc283019214"/>
      <w:bookmarkStart w:id="97" w:name="_Toc238984975"/>
      <w:bookmarkStart w:id="98" w:name="_Toc211911348"/>
      <w:bookmarkStart w:id="99" w:name="_Toc239233914"/>
      <w:bookmarkStart w:id="100" w:name="_Toc232492928"/>
      <w:bookmarkStart w:id="101" w:name="_Toc211854449"/>
      <w:bookmarkStart w:id="102" w:name="_Toc225654644"/>
      <w:bookmarkStart w:id="103" w:name="_Toc251768862"/>
      <w:bookmarkStart w:id="104" w:name="_Toc237145406"/>
      <w:bookmarkStart w:id="105" w:name="_Toc239568418"/>
      <w:bookmarkStart w:id="106" w:name="_Toc212019594"/>
      <w:bookmarkStart w:id="107" w:name="_Toc185395249"/>
      <w:bookmarkStart w:id="108" w:name="_Toc247334841"/>
      <w:bookmarkStart w:id="109" w:name="_Toc225670751"/>
      <w:bookmarkStart w:id="110" w:name="_Toc282696226"/>
      <w:bookmarkStart w:id="111" w:name="_Toc286993786"/>
      <w:bookmarkStart w:id="112" w:name="_Toc241833903"/>
      <w:bookmarkStart w:id="113" w:name="_Toc225244852"/>
      <w:r>
        <w:rPr>
          <w:rFonts w:hint="eastAsia" w:ascii="宋体" w:hAnsi="宋体" w:cs="宋体"/>
          <w:b/>
          <w:sz w:val="24"/>
        </w:rPr>
        <w:t>服务内容与质量标准</w:t>
      </w:r>
    </w:p>
    <w:p>
      <w:pPr>
        <w:spacing w:line="500" w:lineRule="exact"/>
        <w:jc w:val="left"/>
        <w:rPr>
          <w:rFonts w:ascii="宋体" w:hAnsi="宋体" w:cs="宋体"/>
          <w:sz w:val="24"/>
        </w:rPr>
      </w:pPr>
      <w:r>
        <w:rPr>
          <w:rFonts w:hint="eastAsia" w:ascii="宋体" w:hAnsi="宋体" w:cs="宋体"/>
          <w:b/>
          <w:sz w:val="24"/>
        </w:rPr>
        <w:t>第四条、履行合同的时间、地点、方式</w:t>
      </w:r>
    </w:p>
    <w:p>
      <w:pPr>
        <w:spacing w:line="500" w:lineRule="exact"/>
        <w:jc w:val="left"/>
        <w:rPr>
          <w:rFonts w:ascii="宋体" w:hAnsi="宋体" w:cs="宋体"/>
          <w:b/>
          <w:sz w:val="24"/>
        </w:rPr>
      </w:pPr>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Pr>
        <w:tabs>
          <w:tab w:val="left" w:pos="780"/>
        </w:tabs>
        <w:spacing w:line="480" w:lineRule="auto"/>
        <w:jc w:val="left"/>
        <w:rPr>
          <w:rFonts w:ascii="宋体" w:hAnsi="宋体" w:cs="宋体"/>
          <w:b/>
          <w:sz w:val="24"/>
        </w:rPr>
      </w:pPr>
      <w:r>
        <w:rPr>
          <w:rFonts w:hint="eastAsia" w:ascii="宋体" w:hAnsi="宋体" w:cs="宋体"/>
          <w:b/>
          <w:sz w:val="24"/>
        </w:rPr>
        <w:t>第五条、合同价格形式</w:t>
      </w:r>
    </w:p>
    <w:p>
      <w:pPr>
        <w:tabs>
          <w:tab w:val="left" w:pos="780"/>
        </w:tabs>
        <w:spacing w:line="480" w:lineRule="auto"/>
        <w:jc w:val="left"/>
        <w:rPr>
          <w:rFonts w:ascii="宋体" w:hAnsi="宋体" w:cs="宋体"/>
          <w:b/>
          <w:sz w:val="24"/>
        </w:rPr>
      </w:pPr>
      <w:r>
        <w:rPr>
          <w:rFonts w:hint="eastAsia" w:ascii="宋体" w:hAnsi="宋体" w:cs="宋体"/>
          <w:b/>
          <w:sz w:val="24"/>
        </w:rPr>
        <w:t>合同价格形式：总价合同。</w:t>
      </w:r>
    </w:p>
    <w:p>
      <w:pPr>
        <w:spacing w:line="480" w:lineRule="auto"/>
        <w:jc w:val="left"/>
        <w:rPr>
          <w:rFonts w:ascii="宋体" w:hAnsi="宋体" w:cs="宋体"/>
          <w:b/>
          <w:sz w:val="24"/>
        </w:rPr>
      </w:pPr>
      <w:r>
        <w:rPr>
          <w:rFonts w:hint="eastAsia" w:ascii="宋体" w:hAnsi="宋体" w:cs="宋体"/>
          <w:b/>
          <w:sz w:val="24"/>
        </w:rPr>
        <w:t>第六条、服务费用及支付方式</w:t>
      </w:r>
    </w:p>
    <w:p>
      <w:pPr>
        <w:numPr>
          <w:ilvl w:val="0"/>
          <w:numId w:val="9"/>
        </w:numPr>
        <w:spacing w:line="480" w:lineRule="auto"/>
        <w:ind w:left="0" w:firstLine="0"/>
        <w:jc w:val="left"/>
        <w:rPr>
          <w:rFonts w:ascii="宋体" w:hAnsi="宋体" w:cs="宋体"/>
          <w:b/>
          <w:sz w:val="24"/>
        </w:rPr>
      </w:pPr>
      <w:r>
        <w:rPr>
          <w:rFonts w:hint="eastAsia" w:ascii="宋体" w:hAnsi="宋体" w:cs="宋体"/>
          <w:b/>
          <w:sz w:val="24"/>
        </w:rPr>
        <w:t>本项目服务费用由以下组成：</w:t>
      </w:r>
    </w:p>
    <w:p>
      <w:pPr>
        <w:numPr>
          <w:ilvl w:val="0"/>
          <w:numId w:val="9"/>
        </w:numPr>
        <w:tabs>
          <w:tab w:val="left" w:pos="780"/>
        </w:tabs>
        <w:spacing w:line="480" w:lineRule="auto"/>
        <w:ind w:left="0" w:firstLine="0"/>
        <w:jc w:val="left"/>
        <w:rPr>
          <w:rFonts w:ascii="宋体" w:hAnsi="宋体" w:cs="宋体"/>
          <w:b/>
          <w:sz w:val="24"/>
        </w:rPr>
      </w:pPr>
      <w:r>
        <w:rPr>
          <w:rFonts w:hint="eastAsia" w:ascii="宋体" w:hAnsi="宋体" w:cs="宋体"/>
          <w:b/>
          <w:sz w:val="24"/>
        </w:rPr>
        <w:t xml:space="preserve">服务费支付方式： </w:t>
      </w:r>
    </w:p>
    <w:p>
      <w:pPr>
        <w:tabs>
          <w:tab w:val="left" w:pos="780"/>
        </w:tabs>
        <w:spacing w:line="360" w:lineRule="auto"/>
        <w:ind w:firstLine="482" w:firstLineChars="200"/>
        <w:jc w:val="left"/>
        <w:rPr>
          <w:rFonts w:ascii="宋体" w:hAnsi="宋体" w:cs="宋体"/>
          <w:b/>
          <w:sz w:val="24"/>
          <w:u w:val="single"/>
        </w:rPr>
      </w:pPr>
      <w:r>
        <w:rPr>
          <w:rFonts w:hint="eastAsia" w:ascii="宋体" w:hAnsi="宋体" w:cs="宋体"/>
          <w:b/>
          <w:sz w:val="24"/>
          <w:u w:val="single"/>
        </w:rPr>
        <w:t>①合同签订后约定</w:t>
      </w:r>
    </w:p>
    <w:p>
      <w:pPr>
        <w:spacing w:line="500" w:lineRule="exact"/>
        <w:jc w:val="left"/>
        <w:rPr>
          <w:rFonts w:ascii="宋体" w:hAnsi="宋体" w:cs="宋体"/>
          <w:b/>
          <w:sz w:val="24"/>
        </w:rPr>
      </w:pPr>
      <w:r>
        <w:rPr>
          <w:rFonts w:hint="eastAsia" w:ascii="宋体" w:hAnsi="宋体" w:cs="宋体"/>
          <w:b/>
          <w:sz w:val="24"/>
        </w:rPr>
        <w:t>第七条、用工说明</w:t>
      </w:r>
    </w:p>
    <w:p>
      <w:pPr>
        <w:spacing w:line="500" w:lineRule="exact"/>
        <w:jc w:val="left"/>
        <w:rPr>
          <w:rFonts w:ascii="宋体" w:hAnsi="宋体" w:cs="宋体"/>
          <w:b/>
          <w:sz w:val="24"/>
        </w:rPr>
      </w:pPr>
    </w:p>
    <w:p>
      <w:pPr>
        <w:spacing w:line="500" w:lineRule="exact"/>
        <w:jc w:val="left"/>
        <w:rPr>
          <w:rFonts w:ascii="宋体" w:hAnsi="宋体" w:cs="宋体"/>
          <w:b/>
          <w:sz w:val="24"/>
        </w:rPr>
      </w:pPr>
      <w:r>
        <w:rPr>
          <w:rFonts w:hint="eastAsia" w:ascii="宋体" w:hAnsi="宋体" w:cs="宋体"/>
          <w:b/>
          <w:sz w:val="24"/>
        </w:rPr>
        <w:t>第八条、验收标准</w:t>
      </w:r>
    </w:p>
    <w:p>
      <w:pPr>
        <w:spacing w:line="500" w:lineRule="exact"/>
        <w:jc w:val="left"/>
        <w:rPr>
          <w:rFonts w:ascii="宋体" w:hAnsi="宋体" w:cs="宋体"/>
          <w:b/>
          <w:sz w:val="24"/>
        </w:rPr>
      </w:pPr>
    </w:p>
    <w:p>
      <w:pPr>
        <w:spacing w:line="500" w:lineRule="exact"/>
        <w:jc w:val="left"/>
        <w:rPr>
          <w:rFonts w:ascii="宋体" w:hAnsi="宋体" w:cs="宋体"/>
          <w:b/>
          <w:sz w:val="24"/>
        </w:rPr>
      </w:pPr>
      <w:r>
        <w:rPr>
          <w:rFonts w:hint="eastAsia" w:ascii="宋体" w:hAnsi="宋体" w:cs="宋体"/>
          <w:b/>
          <w:sz w:val="24"/>
        </w:rPr>
        <w:t>第九条、知识产权</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乙方应保证所提供的服务或其任何一部分均不会侵犯任何第三方的专利权、商标权或著作权。</w:t>
      </w:r>
    </w:p>
    <w:p>
      <w:pPr>
        <w:spacing w:line="500" w:lineRule="exact"/>
        <w:jc w:val="left"/>
        <w:rPr>
          <w:rFonts w:ascii="宋体" w:hAnsi="宋体" w:cs="宋体"/>
          <w:b/>
          <w:sz w:val="24"/>
        </w:rPr>
      </w:pPr>
      <w:r>
        <w:rPr>
          <w:rFonts w:hint="eastAsia" w:ascii="宋体" w:hAnsi="宋体" w:cs="宋体"/>
          <w:b/>
          <w:sz w:val="24"/>
        </w:rPr>
        <w:t>第十条、无产权瑕疵条款</w:t>
      </w:r>
    </w:p>
    <w:p>
      <w:pPr>
        <w:tabs>
          <w:tab w:val="left" w:pos="1440"/>
        </w:tabs>
        <w:spacing w:line="500" w:lineRule="exact"/>
        <w:ind w:firstLine="480" w:firstLineChars="200"/>
        <w:jc w:val="left"/>
        <w:rPr>
          <w:rFonts w:ascii="宋体" w:hAnsi="宋体" w:cs="宋体"/>
          <w:sz w:val="24"/>
        </w:rPr>
      </w:pPr>
      <w:r>
        <w:rPr>
          <w:rFonts w:hint="eastAsia" w:ascii="宋体" w:hAnsi="宋体" w:cs="宋体"/>
          <w:kern w:val="0"/>
          <w:sz w:val="24"/>
        </w:rPr>
        <w:t>乙方保证所提供的服务的所有权完全属于乙方且无任何抵押、查封等产权瑕疵。如有产权瑕疵的，视为乙方违约。乙方应负担由此而产生的一切损失。</w:t>
      </w:r>
    </w:p>
    <w:p>
      <w:pPr>
        <w:spacing w:line="500" w:lineRule="exact"/>
        <w:jc w:val="left"/>
        <w:rPr>
          <w:rFonts w:ascii="宋体" w:hAnsi="宋体" w:cs="宋体"/>
          <w:b/>
          <w:sz w:val="24"/>
        </w:rPr>
      </w:pPr>
      <w:r>
        <w:rPr>
          <w:rFonts w:hint="eastAsia" w:ascii="宋体" w:hAnsi="宋体" w:cs="宋体"/>
          <w:b/>
          <w:sz w:val="24"/>
        </w:rPr>
        <w:t>第十一条、甲方的权利和义务</w:t>
      </w:r>
    </w:p>
    <w:p>
      <w:pPr>
        <w:widowControl/>
        <w:spacing w:line="500" w:lineRule="exact"/>
        <w:jc w:val="left"/>
        <w:rPr>
          <w:rFonts w:ascii="宋体" w:hAnsi="宋体" w:cs="宋体"/>
          <w:kern w:val="0"/>
          <w:sz w:val="24"/>
        </w:rPr>
      </w:pPr>
      <w:r>
        <w:rPr>
          <w:rFonts w:hint="eastAsia" w:ascii="宋体" w:hAnsi="宋体" w:cs="宋体"/>
          <w:kern w:val="0"/>
          <w:sz w:val="24"/>
        </w:rPr>
        <w:t>1、甲方有权对合同规定范围内乙方的服务行为进行监督和检查，拥有监管权。有权定期核对乙方提供服务所配备的人员数量。对甲方认为不合理的部分有权下达整改通知书，并要求乙方限期整改。</w:t>
      </w:r>
    </w:p>
    <w:p>
      <w:pPr>
        <w:widowControl/>
        <w:spacing w:line="500" w:lineRule="exact"/>
        <w:jc w:val="left"/>
        <w:rPr>
          <w:rFonts w:ascii="宋体" w:hAnsi="宋体" w:cs="宋体"/>
          <w:kern w:val="0"/>
          <w:sz w:val="24"/>
        </w:rPr>
      </w:pPr>
      <w:r>
        <w:rPr>
          <w:rFonts w:hint="eastAsia" w:ascii="宋体" w:hAnsi="宋体" w:cs="宋体"/>
          <w:kern w:val="0"/>
          <w:sz w:val="24"/>
        </w:rPr>
        <w:t>2、甲方有权依据双方签订的考评办法对乙方提供的服务进行定期考评。当考评结果未达到标准时，有权依据考评办法约定的数额扣除履约保证金。</w:t>
      </w:r>
    </w:p>
    <w:p>
      <w:pPr>
        <w:widowControl/>
        <w:spacing w:line="500" w:lineRule="exact"/>
        <w:jc w:val="left"/>
        <w:rPr>
          <w:rFonts w:ascii="宋体" w:hAnsi="宋体" w:cs="宋体"/>
          <w:kern w:val="0"/>
          <w:sz w:val="24"/>
        </w:rPr>
      </w:pPr>
      <w:r>
        <w:rPr>
          <w:rFonts w:hint="eastAsia" w:ascii="宋体" w:hAnsi="宋体" w:cs="宋体"/>
          <w:kern w:val="0"/>
          <w:sz w:val="24"/>
        </w:rPr>
        <w:t>3、负责检查监督乙方管理工作的实施及制度的执行情况。</w:t>
      </w:r>
    </w:p>
    <w:p>
      <w:pPr>
        <w:widowControl/>
        <w:spacing w:line="500" w:lineRule="exact"/>
        <w:jc w:val="left"/>
        <w:rPr>
          <w:rFonts w:ascii="宋体" w:hAnsi="宋体" w:cs="宋体"/>
          <w:kern w:val="0"/>
          <w:sz w:val="24"/>
        </w:rPr>
      </w:pPr>
      <w:r>
        <w:rPr>
          <w:rFonts w:hint="eastAsia" w:ascii="宋体" w:hAnsi="宋体" w:cs="宋体"/>
          <w:kern w:val="0"/>
          <w:sz w:val="24"/>
        </w:rPr>
        <w:t>4、根据本合同规定，按时向乙方支付应付服务费用。</w:t>
      </w:r>
    </w:p>
    <w:p>
      <w:pPr>
        <w:widowControl/>
        <w:spacing w:line="500" w:lineRule="exact"/>
        <w:jc w:val="left"/>
        <w:rPr>
          <w:rFonts w:ascii="宋体" w:hAnsi="宋体" w:cs="宋体"/>
          <w:kern w:val="0"/>
          <w:sz w:val="24"/>
        </w:rPr>
      </w:pPr>
      <w:r>
        <w:rPr>
          <w:rFonts w:hint="eastAsia" w:ascii="宋体" w:hAnsi="宋体" w:cs="宋体"/>
          <w:kern w:val="0"/>
          <w:sz w:val="24"/>
        </w:rPr>
        <w:t>5、国家法律、法规所规定由甲方承担的其它责任。</w:t>
      </w:r>
    </w:p>
    <w:p>
      <w:pPr>
        <w:spacing w:line="500" w:lineRule="exact"/>
        <w:jc w:val="left"/>
        <w:rPr>
          <w:rFonts w:ascii="宋体" w:hAnsi="宋体" w:cs="宋体"/>
          <w:b/>
          <w:sz w:val="24"/>
        </w:rPr>
      </w:pPr>
      <w:r>
        <w:rPr>
          <w:rFonts w:hint="eastAsia" w:ascii="宋体" w:hAnsi="宋体" w:cs="宋体"/>
          <w:b/>
          <w:sz w:val="24"/>
        </w:rPr>
        <w:t>第十二条、乙方的权利和义务</w:t>
      </w:r>
    </w:p>
    <w:p>
      <w:pPr>
        <w:widowControl/>
        <w:spacing w:line="500" w:lineRule="exact"/>
        <w:jc w:val="left"/>
        <w:rPr>
          <w:rFonts w:ascii="宋体" w:hAnsi="宋体" w:cs="宋体"/>
          <w:kern w:val="0"/>
          <w:sz w:val="24"/>
        </w:rPr>
      </w:pPr>
      <w:r>
        <w:rPr>
          <w:rFonts w:hint="eastAsia" w:ascii="宋体" w:hAnsi="宋体" w:cs="宋体"/>
          <w:kern w:val="0"/>
          <w:sz w:val="24"/>
        </w:rPr>
        <w:t>1、对本合同规定的委托服务范围内的项目享有管理权及服务义务。</w:t>
      </w:r>
    </w:p>
    <w:p>
      <w:pPr>
        <w:widowControl/>
        <w:spacing w:line="500" w:lineRule="exact"/>
        <w:jc w:val="left"/>
        <w:rPr>
          <w:rFonts w:ascii="宋体" w:hAnsi="宋体" w:cs="宋体"/>
          <w:kern w:val="0"/>
          <w:sz w:val="24"/>
        </w:rPr>
      </w:pPr>
      <w:r>
        <w:rPr>
          <w:rFonts w:hint="eastAsia" w:ascii="宋体" w:hAnsi="宋体" w:cs="宋体"/>
          <w:kern w:val="0"/>
          <w:sz w:val="24"/>
        </w:rPr>
        <w:t>2、根据本合同的规定向甲方收取相关服务费用，并有权在本项目管理范围内管理及合理使用。</w:t>
      </w:r>
    </w:p>
    <w:p>
      <w:pPr>
        <w:widowControl/>
        <w:spacing w:line="500" w:lineRule="exact"/>
        <w:jc w:val="left"/>
        <w:rPr>
          <w:rFonts w:ascii="宋体" w:hAnsi="宋体" w:cs="宋体"/>
          <w:kern w:val="0"/>
          <w:sz w:val="24"/>
        </w:rPr>
      </w:pPr>
      <w:r>
        <w:rPr>
          <w:rFonts w:hint="eastAsia" w:ascii="宋体" w:hAnsi="宋体" w:cs="宋体"/>
          <w:kern w:val="0"/>
          <w:sz w:val="24"/>
        </w:rPr>
        <w:t>3、及时向甲方通告本项目服务范围内有关服务的重大事项，及时配合处理投诉。</w:t>
      </w:r>
    </w:p>
    <w:p>
      <w:pPr>
        <w:widowControl/>
        <w:spacing w:line="500" w:lineRule="exact"/>
        <w:jc w:val="left"/>
        <w:rPr>
          <w:rFonts w:ascii="宋体" w:hAnsi="宋体" w:cs="宋体"/>
          <w:kern w:val="0"/>
          <w:sz w:val="24"/>
        </w:rPr>
      </w:pPr>
      <w:r>
        <w:rPr>
          <w:rFonts w:hint="eastAsia" w:ascii="宋体" w:hAnsi="宋体" w:cs="宋体"/>
          <w:kern w:val="0"/>
          <w:sz w:val="24"/>
        </w:rPr>
        <w:t>4、接受项目行业管理部门及政府有关部门的指导，接受甲方的监督。</w:t>
      </w:r>
    </w:p>
    <w:p>
      <w:pPr>
        <w:widowControl/>
        <w:spacing w:line="500" w:lineRule="exact"/>
        <w:jc w:val="left"/>
        <w:rPr>
          <w:rFonts w:ascii="宋体" w:hAnsi="宋体" w:cs="宋体"/>
          <w:kern w:val="0"/>
          <w:sz w:val="24"/>
        </w:rPr>
      </w:pPr>
      <w:r>
        <w:rPr>
          <w:rFonts w:hint="eastAsia" w:ascii="宋体" w:hAnsi="宋体" w:cs="宋体"/>
          <w:kern w:val="0"/>
          <w:sz w:val="24"/>
        </w:rPr>
        <w:t>5、国家法律、法规所规定由乙方承担的其它责任。</w:t>
      </w:r>
    </w:p>
    <w:p>
      <w:pPr>
        <w:spacing w:line="500" w:lineRule="exact"/>
        <w:jc w:val="left"/>
        <w:rPr>
          <w:rFonts w:ascii="宋体" w:hAnsi="宋体" w:cs="宋体"/>
          <w:b/>
          <w:sz w:val="24"/>
        </w:rPr>
      </w:pPr>
      <w:r>
        <w:rPr>
          <w:rFonts w:hint="eastAsia" w:ascii="宋体" w:hAnsi="宋体" w:cs="宋体"/>
          <w:b/>
          <w:sz w:val="24"/>
        </w:rPr>
        <w:t>第十三条、违约责任</w:t>
      </w:r>
    </w:p>
    <w:p>
      <w:pPr>
        <w:widowControl/>
        <w:spacing w:line="500" w:lineRule="exact"/>
        <w:jc w:val="left"/>
        <w:rPr>
          <w:rFonts w:ascii="宋体" w:hAnsi="宋体" w:cs="宋体"/>
          <w:kern w:val="0"/>
          <w:sz w:val="24"/>
        </w:rPr>
      </w:pPr>
      <w:r>
        <w:rPr>
          <w:rFonts w:hint="eastAsia" w:ascii="宋体" w:hAnsi="宋体" w:cs="宋体"/>
          <w:kern w:val="0"/>
          <w:sz w:val="24"/>
        </w:rPr>
        <w:t>1、甲乙双方必须遵守本合同并执行合同中的各项规定，保证本合同的正常履行。</w:t>
      </w:r>
    </w:p>
    <w:p>
      <w:pPr>
        <w:widowControl/>
        <w:spacing w:line="500" w:lineRule="exact"/>
        <w:jc w:val="left"/>
        <w:rPr>
          <w:rFonts w:ascii="宋体" w:hAnsi="宋体" w:cs="宋体"/>
          <w:kern w:val="0"/>
          <w:sz w:val="24"/>
        </w:rPr>
      </w:pPr>
      <w:r>
        <w:rPr>
          <w:rFonts w:hint="eastAsia" w:ascii="宋体" w:hAnsi="宋体" w:cs="宋体"/>
          <w:kern w:val="0"/>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spacing w:line="500" w:lineRule="exact"/>
        <w:jc w:val="left"/>
        <w:rPr>
          <w:rFonts w:ascii="宋体" w:hAnsi="宋体" w:cs="宋体"/>
          <w:b/>
          <w:sz w:val="24"/>
        </w:rPr>
      </w:pPr>
      <w:r>
        <w:rPr>
          <w:rFonts w:hint="eastAsia" w:ascii="宋体" w:hAnsi="宋体" w:cs="宋体"/>
          <w:b/>
          <w:sz w:val="24"/>
        </w:rPr>
        <w:t>第十四条、不可抗力事件处理</w:t>
      </w:r>
    </w:p>
    <w:p>
      <w:pPr>
        <w:widowControl/>
        <w:spacing w:line="500" w:lineRule="exact"/>
        <w:jc w:val="left"/>
        <w:rPr>
          <w:rFonts w:ascii="宋体" w:hAnsi="宋体" w:cs="宋体"/>
          <w:kern w:val="0"/>
          <w:sz w:val="24"/>
        </w:rPr>
      </w:pPr>
      <w:r>
        <w:rPr>
          <w:rFonts w:hint="eastAsia" w:ascii="宋体" w:hAnsi="宋体" w:cs="宋体"/>
          <w:kern w:val="0"/>
          <w:sz w:val="24"/>
        </w:rPr>
        <w:t>1、在合同有效期内，任何一方因不可抗力事件导致不能履行合同，则合同履行期可延长，其延长期与不可抗力影响期相同。</w:t>
      </w:r>
    </w:p>
    <w:p>
      <w:pPr>
        <w:widowControl/>
        <w:spacing w:line="500" w:lineRule="exact"/>
        <w:jc w:val="left"/>
        <w:rPr>
          <w:rFonts w:ascii="宋体" w:hAnsi="宋体" w:cs="宋体"/>
          <w:kern w:val="0"/>
          <w:sz w:val="24"/>
        </w:rPr>
      </w:pPr>
      <w:r>
        <w:rPr>
          <w:rFonts w:hint="eastAsia" w:ascii="宋体" w:hAnsi="宋体" w:cs="宋体"/>
          <w:kern w:val="0"/>
          <w:sz w:val="24"/>
        </w:rPr>
        <w:t>2、不可抗力事件发生后，应立即通知对方，并寄送有关权威机构出具的证明。</w:t>
      </w:r>
    </w:p>
    <w:p>
      <w:pPr>
        <w:tabs>
          <w:tab w:val="left" w:pos="0"/>
        </w:tabs>
        <w:spacing w:line="500" w:lineRule="exact"/>
        <w:jc w:val="left"/>
        <w:rPr>
          <w:rFonts w:ascii="宋体" w:hAnsi="宋体" w:cs="宋体"/>
          <w:sz w:val="24"/>
        </w:rPr>
      </w:pPr>
      <w:r>
        <w:rPr>
          <w:rFonts w:hint="eastAsia" w:ascii="宋体" w:hAnsi="宋体" w:cs="宋体"/>
          <w:sz w:val="24"/>
        </w:rPr>
        <w:t>3、不可抗力事件延续</w:t>
      </w:r>
      <w:r>
        <w:rPr>
          <w:rFonts w:hint="eastAsia" w:ascii="宋体" w:hAnsi="宋体" w:cs="宋体"/>
          <w:color w:val="000000"/>
          <w:sz w:val="24"/>
          <w:u w:val="single"/>
        </w:rPr>
        <w:t xml:space="preserve">     </w:t>
      </w:r>
      <w:r>
        <w:rPr>
          <w:rFonts w:hint="eastAsia" w:ascii="宋体" w:hAnsi="宋体" w:cs="宋体"/>
          <w:sz w:val="24"/>
        </w:rPr>
        <w:t>天以上，双方应通过友好协商，确定是否继续履行合同。</w:t>
      </w:r>
    </w:p>
    <w:p>
      <w:pPr>
        <w:spacing w:line="500" w:lineRule="exact"/>
        <w:jc w:val="left"/>
        <w:rPr>
          <w:rFonts w:ascii="宋体" w:hAnsi="宋体" w:cs="宋体"/>
          <w:b/>
          <w:sz w:val="24"/>
        </w:rPr>
      </w:pPr>
      <w:bookmarkStart w:id="114" w:name="_Toc225244857"/>
      <w:bookmarkStart w:id="115" w:name="_Toc239568423"/>
      <w:bookmarkStart w:id="116" w:name="_Toc237145411"/>
      <w:bookmarkStart w:id="117" w:name="_Toc212019599"/>
      <w:bookmarkStart w:id="118" w:name="_Toc238984980"/>
      <w:bookmarkStart w:id="119" w:name="_Toc211854454"/>
      <w:bookmarkStart w:id="120" w:name="_Toc225670756"/>
      <w:bookmarkStart w:id="121" w:name="_Toc225654649"/>
      <w:bookmarkStart w:id="122" w:name="_Toc247334846"/>
      <w:bookmarkStart w:id="123" w:name="_Toc239233919"/>
      <w:bookmarkStart w:id="124" w:name="_Toc286993792"/>
      <w:bookmarkStart w:id="125" w:name="_Toc232492933"/>
      <w:bookmarkStart w:id="126" w:name="_Toc185395254"/>
      <w:bookmarkStart w:id="127" w:name="_Toc241833908"/>
      <w:bookmarkStart w:id="128" w:name="_Toc211911353"/>
      <w:bookmarkStart w:id="129" w:name="_Toc251768867"/>
      <w:r>
        <w:rPr>
          <w:rFonts w:hint="eastAsia" w:ascii="宋体" w:hAnsi="宋体" w:cs="宋体"/>
          <w:b/>
          <w:sz w:val="24"/>
        </w:rPr>
        <w:t>第十五条、解决合同纠纷的方式</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spacing w:after="120" w:line="500" w:lineRule="exact"/>
        <w:jc w:val="left"/>
        <w:rPr>
          <w:rFonts w:ascii="宋体" w:hAnsi="宋体" w:cs="宋体"/>
          <w:sz w:val="24"/>
        </w:rPr>
      </w:pPr>
      <w:r>
        <w:rPr>
          <w:rFonts w:hint="eastAsia" w:ascii="宋体" w:hAnsi="宋体" w:cs="宋体"/>
          <w:sz w:val="24"/>
        </w:rPr>
        <w:t>因合同及合同有关事项发生的争议，按下列第</w:t>
      </w:r>
      <w:r>
        <w:rPr>
          <w:rFonts w:hint="eastAsia" w:ascii="宋体" w:hAnsi="宋体" w:cs="宋体"/>
          <w:sz w:val="24"/>
          <w:u w:val="single"/>
        </w:rPr>
        <w:t xml:space="preserve">     </w:t>
      </w:r>
      <w:r>
        <w:rPr>
          <w:rFonts w:hint="eastAsia" w:ascii="宋体" w:hAnsi="宋体" w:cs="宋体"/>
          <w:sz w:val="24"/>
        </w:rPr>
        <w:t>种方式解决：</w:t>
      </w:r>
    </w:p>
    <w:p>
      <w:pPr>
        <w:spacing w:line="500" w:lineRule="exact"/>
        <w:jc w:val="left"/>
        <w:rPr>
          <w:rFonts w:ascii="宋体" w:hAnsi="宋体" w:cs="宋体"/>
          <w:sz w:val="24"/>
        </w:rPr>
      </w:pPr>
      <w:r>
        <w:rPr>
          <w:rFonts w:hint="eastAsia" w:ascii="宋体" w:hAnsi="宋体" w:cs="宋体"/>
          <w:sz w:val="24"/>
        </w:rPr>
        <w:t>（1）向</w:t>
      </w:r>
      <w:r>
        <w:rPr>
          <w:rFonts w:hint="eastAsia" w:ascii="宋体" w:hAnsi="宋体" w:cs="宋体"/>
          <w:sz w:val="24"/>
          <w:u w:val="single"/>
        </w:rPr>
        <w:t xml:space="preserve">                     </w:t>
      </w:r>
      <w:r>
        <w:rPr>
          <w:rFonts w:hint="eastAsia" w:ascii="宋体" w:hAnsi="宋体" w:cs="宋体"/>
          <w:sz w:val="24"/>
        </w:rPr>
        <w:t>仲裁委员会申请仲裁；</w:t>
      </w:r>
    </w:p>
    <w:p>
      <w:pPr>
        <w:spacing w:line="500" w:lineRule="exact"/>
        <w:jc w:val="left"/>
        <w:rPr>
          <w:rFonts w:ascii="宋体" w:hAnsi="宋体" w:cs="宋体"/>
          <w:sz w:val="24"/>
        </w:rPr>
      </w:pPr>
      <w:r>
        <w:rPr>
          <w:rFonts w:hint="eastAsia" w:ascii="宋体" w:hAnsi="宋体" w:cs="宋体"/>
          <w:sz w:val="24"/>
        </w:rPr>
        <w:t>（2）向</w:t>
      </w:r>
      <w:r>
        <w:rPr>
          <w:rFonts w:hint="eastAsia" w:ascii="宋体" w:hAnsi="宋体" w:cs="宋体"/>
          <w:sz w:val="24"/>
          <w:u w:val="single"/>
        </w:rPr>
        <w:t xml:space="preserve">                     </w:t>
      </w:r>
      <w:r>
        <w:rPr>
          <w:rFonts w:hint="eastAsia" w:ascii="宋体" w:hAnsi="宋体" w:cs="宋体"/>
          <w:sz w:val="24"/>
        </w:rPr>
        <w:t xml:space="preserve">人民法院起诉。  </w:t>
      </w:r>
    </w:p>
    <w:p>
      <w:pPr>
        <w:spacing w:line="500" w:lineRule="exact"/>
        <w:jc w:val="left"/>
        <w:rPr>
          <w:rFonts w:ascii="宋体" w:hAnsi="宋体" w:cs="宋体"/>
          <w:b/>
          <w:sz w:val="24"/>
        </w:rPr>
      </w:pPr>
      <w:bookmarkStart w:id="130" w:name="_Toc251768868"/>
      <w:bookmarkStart w:id="131" w:name="_Toc225244858"/>
      <w:bookmarkStart w:id="132" w:name="_Toc286993793"/>
      <w:bookmarkStart w:id="133" w:name="_Toc211911354"/>
      <w:bookmarkStart w:id="134" w:name="_Toc247334847"/>
      <w:bookmarkStart w:id="135" w:name="_Toc232492934"/>
      <w:bookmarkStart w:id="136" w:name="_Toc238984981"/>
      <w:bookmarkStart w:id="137" w:name="_Toc225654650"/>
      <w:bookmarkStart w:id="138" w:name="_Toc283019219"/>
      <w:bookmarkStart w:id="139" w:name="_Toc239568424"/>
      <w:bookmarkStart w:id="140" w:name="_Toc239233920"/>
      <w:bookmarkStart w:id="141" w:name="_Toc225670757"/>
      <w:bookmarkStart w:id="142" w:name="_Toc241833909"/>
      <w:bookmarkStart w:id="143" w:name="_Toc211854455"/>
      <w:bookmarkStart w:id="144" w:name="_Toc212019600"/>
      <w:bookmarkStart w:id="145" w:name="_Toc237145412"/>
      <w:bookmarkStart w:id="146" w:name="_Toc185395255"/>
      <w:bookmarkStart w:id="147" w:name="_Toc282696231"/>
      <w:r>
        <w:rPr>
          <w:rFonts w:hint="eastAsia" w:ascii="宋体" w:hAnsi="宋体" w:cs="宋体"/>
          <w:b/>
          <w:sz w:val="24"/>
        </w:rPr>
        <w:t>第十六条、合同</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Pr>
          <w:rFonts w:hint="eastAsia" w:ascii="宋体" w:hAnsi="宋体" w:cs="宋体"/>
          <w:b/>
          <w:sz w:val="24"/>
        </w:rPr>
        <w:t>生效及其他</w:t>
      </w:r>
    </w:p>
    <w:p>
      <w:pPr>
        <w:widowControl/>
        <w:spacing w:line="500" w:lineRule="exact"/>
        <w:jc w:val="left"/>
        <w:rPr>
          <w:rFonts w:ascii="宋体" w:hAnsi="宋体" w:cs="宋体"/>
          <w:kern w:val="0"/>
          <w:sz w:val="24"/>
        </w:rPr>
      </w:pPr>
      <w:r>
        <w:rPr>
          <w:rFonts w:hint="eastAsia" w:ascii="宋体" w:hAnsi="宋体" w:cs="宋体"/>
          <w:kern w:val="0"/>
          <w:sz w:val="24"/>
        </w:rPr>
        <w:t>1、合同经双方法定代表人或授权委托代理人签字并加盖单位公章后生效。</w:t>
      </w:r>
    </w:p>
    <w:p>
      <w:pPr>
        <w:widowControl/>
        <w:spacing w:line="500" w:lineRule="exact"/>
        <w:jc w:val="left"/>
        <w:rPr>
          <w:rFonts w:ascii="宋体" w:hAnsi="宋体" w:cs="宋体"/>
          <w:kern w:val="0"/>
          <w:sz w:val="24"/>
        </w:rPr>
      </w:pPr>
      <w:r>
        <w:rPr>
          <w:rFonts w:hint="eastAsia" w:ascii="宋体" w:hAnsi="宋体" w:cs="宋体"/>
          <w:kern w:val="0"/>
          <w:sz w:val="24"/>
        </w:rPr>
        <w:t>2、合同执行中涉及资金和招标内容修改或补充的，须经主管部门审批，并签书面补充协议报主管部门备案，方可作为主合同不可分割的一部分。</w:t>
      </w:r>
    </w:p>
    <w:p>
      <w:pPr>
        <w:widowControl/>
        <w:spacing w:line="500" w:lineRule="exact"/>
        <w:jc w:val="left"/>
        <w:rPr>
          <w:rFonts w:ascii="宋体" w:hAnsi="宋体" w:cs="宋体"/>
          <w:kern w:val="0"/>
          <w:sz w:val="24"/>
        </w:rPr>
      </w:pPr>
      <w:r>
        <w:rPr>
          <w:rFonts w:hint="eastAsia" w:ascii="宋体" w:hAnsi="宋体" w:cs="宋体"/>
          <w:kern w:val="0"/>
          <w:sz w:val="24"/>
        </w:rPr>
        <w:t>3、本合同一式肆份，自双方签章之日起起效。甲、乙双方各执两份，具有同等法律效力。</w:t>
      </w:r>
    </w:p>
    <w:p>
      <w:pPr>
        <w:widowControl/>
        <w:spacing w:line="500" w:lineRule="exact"/>
        <w:jc w:val="left"/>
        <w:rPr>
          <w:rFonts w:ascii="宋体" w:hAnsi="宋体" w:cs="宋体"/>
          <w:kern w:val="0"/>
          <w:sz w:val="24"/>
        </w:rPr>
      </w:pPr>
      <w:r>
        <w:rPr>
          <w:rFonts w:hint="eastAsia" w:ascii="宋体" w:hAnsi="宋体" w:cs="宋体"/>
          <w:b/>
          <w:sz w:val="24"/>
        </w:rPr>
        <w:t>第十七条、</w:t>
      </w:r>
      <w:r>
        <w:rPr>
          <w:rFonts w:hint="eastAsia" w:ascii="宋体" w:hAnsi="宋体" w:cs="宋体"/>
          <w:bCs/>
          <w:sz w:val="24"/>
        </w:rPr>
        <w:t>本合同未包含的内容，由甲乙双方另行约定。</w:t>
      </w:r>
    </w:p>
    <w:p>
      <w:pPr>
        <w:spacing w:line="500" w:lineRule="exact"/>
        <w:jc w:val="left"/>
        <w:rPr>
          <w:rFonts w:ascii="宋体" w:hAnsi="宋体" w:cs="宋体"/>
          <w:b/>
          <w:sz w:val="24"/>
        </w:rPr>
      </w:pPr>
      <w:r>
        <w:rPr>
          <w:rFonts w:hint="eastAsia" w:ascii="宋体" w:hAnsi="宋体" w:cs="宋体"/>
          <w:b/>
          <w:sz w:val="24"/>
        </w:rPr>
        <w:t>第十八条、附件</w:t>
      </w:r>
    </w:p>
    <w:p>
      <w:pPr>
        <w:widowControl/>
        <w:spacing w:line="500" w:lineRule="exact"/>
        <w:jc w:val="left"/>
        <w:rPr>
          <w:rFonts w:ascii="宋体" w:hAnsi="宋体" w:cs="宋体"/>
          <w:kern w:val="0"/>
          <w:sz w:val="24"/>
        </w:rPr>
      </w:pPr>
      <w:r>
        <w:rPr>
          <w:rFonts w:hint="eastAsia" w:ascii="宋体" w:hAnsi="宋体" w:cs="宋体"/>
          <w:kern w:val="0"/>
          <w:sz w:val="24"/>
        </w:rPr>
        <w:t>1、竞争性磋商文件</w:t>
      </w:r>
    </w:p>
    <w:p>
      <w:pPr>
        <w:widowControl/>
        <w:spacing w:line="500" w:lineRule="exact"/>
        <w:jc w:val="left"/>
        <w:rPr>
          <w:rFonts w:ascii="宋体" w:hAnsi="宋体" w:cs="宋体"/>
          <w:kern w:val="0"/>
          <w:sz w:val="24"/>
        </w:rPr>
      </w:pPr>
      <w:r>
        <w:rPr>
          <w:rFonts w:hint="eastAsia" w:ascii="宋体" w:hAnsi="宋体" w:cs="宋体"/>
          <w:kern w:val="0"/>
          <w:sz w:val="24"/>
        </w:rPr>
        <w:t>2、修改、澄清文件</w:t>
      </w:r>
    </w:p>
    <w:p>
      <w:pPr>
        <w:widowControl/>
        <w:spacing w:line="500" w:lineRule="exact"/>
        <w:jc w:val="left"/>
        <w:rPr>
          <w:rFonts w:ascii="宋体" w:hAnsi="宋体" w:cs="宋体"/>
          <w:kern w:val="0"/>
          <w:sz w:val="24"/>
        </w:rPr>
      </w:pPr>
      <w:r>
        <w:rPr>
          <w:rFonts w:hint="eastAsia" w:ascii="宋体" w:hAnsi="宋体" w:cs="宋体"/>
          <w:kern w:val="0"/>
          <w:sz w:val="24"/>
        </w:rPr>
        <w:t>3、投标文件</w:t>
      </w:r>
    </w:p>
    <w:p>
      <w:pPr>
        <w:widowControl/>
        <w:spacing w:line="500" w:lineRule="exact"/>
        <w:jc w:val="left"/>
        <w:rPr>
          <w:rFonts w:ascii="宋体" w:hAnsi="宋体" w:cs="宋体"/>
          <w:kern w:val="0"/>
          <w:sz w:val="24"/>
        </w:rPr>
      </w:pPr>
      <w:r>
        <w:rPr>
          <w:rFonts w:hint="eastAsia" w:ascii="宋体" w:hAnsi="宋体" w:cs="宋体"/>
          <w:kern w:val="0"/>
          <w:sz w:val="24"/>
        </w:rPr>
        <w:t>4、中标通知书</w:t>
      </w:r>
    </w:p>
    <w:p>
      <w:pPr>
        <w:widowControl/>
        <w:spacing w:line="500" w:lineRule="exact"/>
        <w:jc w:val="left"/>
        <w:rPr>
          <w:rFonts w:ascii="宋体" w:hAnsi="宋体" w:cs="宋体"/>
          <w:kern w:val="0"/>
          <w:sz w:val="24"/>
        </w:rPr>
      </w:pPr>
      <w:r>
        <w:rPr>
          <w:rFonts w:hint="eastAsia" w:ascii="宋体" w:hAnsi="宋体" w:cs="宋体"/>
          <w:kern w:val="0"/>
          <w:sz w:val="24"/>
        </w:rPr>
        <w:t>5、其他</w:t>
      </w:r>
    </w:p>
    <w:p>
      <w:pPr>
        <w:widowControl/>
        <w:spacing w:line="500" w:lineRule="exact"/>
        <w:jc w:val="left"/>
        <w:rPr>
          <w:rFonts w:ascii="宋体" w:hAnsi="宋体" w:cs="宋体"/>
          <w:kern w:val="0"/>
          <w:sz w:val="24"/>
        </w:rPr>
      </w:pPr>
    </w:p>
    <w:p>
      <w:pPr>
        <w:widowControl/>
        <w:spacing w:line="500" w:lineRule="exact"/>
        <w:jc w:val="left"/>
        <w:rPr>
          <w:rFonts w:ascii="宋体" w:hAnsi="宋体" w:cs="宋体"/>
          <w:kern w:val="0"/>
          <w:sz w:val="24"/>
        </w:rPr>
      </w:pPr>
      <w:r>
        <w:rPr>
          <w:rFonts w:hint="eastAsia" w:ascii="宋体" w:hAnsi="宋体" w:cs="宋体"/>
          <w:kern w:val="0"/>
          <w:sz w:val="24"/>
        </w:rPr>
        <w:t xml:space="preserve">甲方：   （盖章）   </w:t>
      </w:r>
      <w:r>
        <w:rPr>
          <w:rFonts w:hint="eastAsia" w:ascii="宋体" w:hAnsi="宋体" w:cs="宋体"/>
          <w:kern w:val="0"/>
          <w:sz w:val="24"/>
        </w:rPr>
        <w:tab/>
      </w:r>
      <w:r>
        <w:rPr>
          <w:rFonts w:hint="eastAsia" w:ascii="宋体" w:hAnsi="宋体" w:cs="宋体"/>
          <w:kern w:val="0"/>
          <w:sz w:val="24"/>
        </w:rPr>
        <w:tab/>
      </w:r>
      <w:r>
        <w:rPr>
          <w:rFonts w:hint="eastAsia" w:ascii="宋体" w:hAnsi="宋体" w:cs="宋体"/>
          <w:kern w:val="0"/>
          <w:sz w:val="24"/>
        </w:rPr>
        <w:tab/>
      </w:r>
      <w:r>
        <w:rPr>
          <w:rFonts w:hint="eastAsia" w:ascii="宋体" w:hAnsi="宋体" w:cs="宋体"/>
          <w:kern w:val="0"/>
          <w:sz w:val="24"/>
        </w:rPr>
        <w:t xml:space="preserve">       乙方：   （盖章）</w:t>
      </w:r>
    </w:p>
    <w:p>
      <w:pPr>
        <w:widowControl/>
        <w:spacing w:line="500" w:lineRule="exact"/>
        <w:jc w:val="left"/>
        <w:rPr>
          <w:rFonts w:ascii="宋体" w:hAnsi="宋体" w:cs="宋体"/>
          <w:kern w:val="0"/>
          <w:sz w:val="24"/>
        </w:rPr>
      </w:pPr>
      <w:r>
        <w:rPr>
          <w:rFonts w:hint="eastAsia" w:ascii="宋体" w:hAnsi="宋体" w:cs="宋体"/>
          <w:kern w:val="0"/>
          <w:sz w:val="24"/>
        </w:rPr>
        <w:t>法定代表人（授权代表）：           法定代表人（授权代表）：</w:t>
      </w:r>
    </w:p>
    <w:p>
      <w:pPr>
        <w:widowControl/>
        <w:spacing w:line="500" w:lineRule="exact"/>
        <w:jc w:val="left"/>
        <w:rPr>
          <w:rFonts w:ascii="宋体" w:hAnsi="宋体" w:cs="宋体"/>
          <w:kern w:val="0"/>
          <w:sz w:val="24"/>
        </w:rPr>
      </w:pPr>
      <w:r>
        <w:rPr>
          <w:rFonts w:hint="eastAsia" w:ascii="宋体" w:hAnsi="宋体" w:cs="宋体"/>
          <w:kern w:val="0"/>
          <w:sz w:val="24"/>
        </w:rPr>
        <w:t>地    址：                         地    址：</w:t>
      </w:r>
    </w:p>
    <w:p>
      <w:pPr>
        <w:widowControl/>
        <w:spacing w:line="500" w:lineRule="exact"/>
        <w:jc w:val="left"/>
        <w:rPr>
          <w:rFonts w:ascii="宋体" w:hAnsi="宋体" w:cs="宋体"/>
          <w:kern w:val="0"/>
          <w:sz w:val="24"/>
        </w:rPr>
      </w:pPr>
      <w:r>
        <w:rPr>
          <w:rFonts w:hint="eastAsia" w:ascii="宋体" w:hAnsi="宋体" w:cs="宋体"/>
          <w:kern w:val="0"/>
          <w:sz w:val="24"/>
        </w:rPr>
        <w:t>开户银行：                         开户银行：</w:t>
      </w:r>
    </w:p>
    <w:p>
      <w:pPr>
        <w:widowControl/>
        <w:spacing w:line="500" w:lineRule="exact"/>
        <w:jc w:val="left"/>
        <w:rPr>
          <w:rFonts w:ascii="宋体" w:hAnsi="宋体" w:cs="宋体"/>
          <w:kern w:val="0"/>
          <w:sz w:val="24"/>
        </w:rPr>
      </w:pPr>
      <w:r>
        <w:rPr>
          <w:rFonts w:hint="eastAsia" w:ascii="宋体" w:hAnsi="宋体" w:cs="宋体"/>
          <w:kern w:val="0"/>
          <w:sz w:val="24"/>
        </w:rPr>
        <w:t>账号：                             账号：</w:t>
      </w:r>
    </w:p>
    <w:p>
      <w:pPr>
        <w:widowControl/>
        <w:spacing w:line="500" w:lineRule="exact"/>
        <w:jc w:val="left"/>
        <w:rPr>
          <w:rFonts w:ascii="宋体" w:hAnsi="宋体" w:cs="宋体"/>
          <w:kern w:val="0"/>
          <w:sz w:val="24"/>
        </w:rPr>
      </w:pPr>
      <w:r>
        <w:rPr>
          <w:rFonts w:hint="eastAsia" w:ascii="宋体" w:hAnsi="宋体" w:cs="宋体"/>
          <w:kern w:val="0"/>
          <w:sz w:val="24"/>
        </w:rPr>
        <w:t>电    话：                         电    话：</w:t>
      </w:r>
    </w:p>
    <w:p>
      <w:pPr>
        <w:widowControl/>
        <w:spacing w:line="500" w:lineRule="exact"/>
        <w:jc w:val="left"/>
        <w:rPr>
          <w:rFonts w:ascii="宋体" w:hAnsi="宋体" w:cs="宋体"/>
          <w:kern w:val="0"/>
          <w:sz w:val="24"/>
        </w:rPr>
      </w:pPr>
      <w:r>
        <w:rPr>
          <w:rFonts w:hint="eastAsia" w:ascii="宋体" w:hAnsi="宋体" w:cs="宋体"/>
          <w:kern w:val="0"/>
          <w:sz w:val="24"/>
        </w:rPr>
        <w:t>传    真：                         传    真：</w:t>
      </w:r>
    </w:p>
    <w:p>
      <w:pPr>
        <w:widowControl/>
        <w:spacing w:line="500" w:lineRule="exact"/>
        <w:jc w:val="left"/>
        <w:rPr>
          <w:rFonts w:ascii="宋体" w:hAnsi="宋体" w:cs="宋体"/>
          <w:kern w:val="0"/>
          <w:sz w:val="24"/>
        </w:rPr>
      </w:pPr>
      <w:r>
        <w:rPr>
          <w:rFonts w:hint="eastAsia" w:ascii="宋体" w:hAnsi="宋体" w:cs="宋体"/>
          <w:kern w:val="0"/>
          <w:sz w:val="24"/>
        </w:rPr>
        <w:t xml:space="preserve">签约日期：   年    月  日 </w:t>
      </w:r>
      <w:r>
        <w:rPr>
          <w:rFonts w:hint="eastAsia" w:ascii="宋体" w:hAnsi="宋体" w:cs="宋体"/>
          <w:kern w:val="0"/>
          <w:sz w:val="24"/>
        </w:rPr>
        <w:tab/>
      </w:r>
      <w:r>
        <w:rPr>
          <w:rFonts w:hint="eastAsia" w:ascii="宋体" w:hAnsi="宋体" w:cs="宋体"/>
          <w:kern w:val="0"/>
          <w:sz w:val="24"/>
        </w:rPr>
        <w:tab/>
      </w:r>
      <w:r>
        <w:rPr>
          <w:rFonts w:hint="eastAsia" w:ascii="宋体" w:hAnsi="宋体" w:cs="宋体"/>
          <w:kern w:val="0"/>
          <w:sz w:val="24"/>
        </w:rPr>
        <w:tab/>
      </w:r>
      <w:r>
        <w:rPr>
          <w:rFonts w:hint="eastAsia" w:ascii="宋体" w:hAnsi="宋体" w:cs="宋体"/>
          <w:kern w:val="0"/>
          <w:sz w:val="24"/>
        </w:rPr>
        <w:t>签约日期：   年    月   日</w:t>
      </w:r>
    </w:p>
    <w:p/>
    <w:p>
      <w:pPr>
        <w:pStyle w:val="31"/>
        <w:ind w:firstLine="602"/>
      </w:pPr>
    </w:p>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bookmarkEnd w:id="93"/>
    <w:bookmarkEnd w:id="94"/>
    <w:bookmarkEnd w:id="95"/>
    <w:p>
      <w:pPr>
        <w:widowControl/>
        <w:numPr>
          <w:ilvl w:val="0"/>
          <w:numId w:val="10"/>
        </w:numPr>
        <w:spacing w:line="360" w:lineRule="auto"/>
        <w:jc w:val="center"/>
        <w:rPr>
          <w:rFonts w:asciiTheme="minorEastAsia" w:hAnsiTheme="minorEastAsia" w:eastAsiaTheme="minorEastAsia" w:cstheme="minorEastAsia"/>
          <w:b/>
          <w:bCs/>
          <w:sz w:val="24"/>
        </w:rPr>
      </w:pPr>
      <w:bookmarkStart w:id="148" w:name="_Toc22092_WPSOffice_Level1"/>
      <w:r>
        <w:rPr>
          <w:rFonts w:hint="eastAsia"/>
          <w:b/>
          <w:bCs/>
          <w:sz w:val="36"/>
          <w:szCs w:val="36"/>
        </w:rPr>
        <w:t xml:space="preserve"> </w:t>
      </w:r>
      <w:bookmarkEnd w:id="148"/>
      <w:r>
        <w:rPr>
          <w:rFonts w:hint="eastAsia"/>
          <w:b/>
          <w:bCs/>
          <w:sz w:val="36"/>
          <w:szCs w:val="36"/>
        </w:rPr>
        <w:t>采购需求</w:t>
      </w:r>
      <w:bookmarkStart w:id="149" w:name="_Toc26155"/>
      <w:bookmarkStart w:id="150" w:name="_Toc10118"/>
      <w:bookmarkStart w:id="151" w:name="_Toc126684386"/>
    </w:p>
    <w:p>
      <w:pPr>
        <w:pStyle w:val="66"/>
        <w:ind w:left="360" w:firstLine="0"/>
        <w:rPr>
          <w:rFonts w:asciiTheme="minorEastAsia" w:hAnsiTheme="minorEastAsia"/>
          <w:sz w:val="28"/>
          <w:szCs w:val="28"/>
        </w:rPr>
      </w:pPr>
      <w:r>
        <w:rPr>
          <w:rFonts w:hint="eastAsia" w:asciiTheme="minorEastAsia" w:hAnsiTheme="minorEastAsia"/>
          <w:sz w:val="28"/>
          <w:szCs w:val="28"/>
        </w:rPr>
        <w:t>一、具体服务：新疆特克斯国家湿地公园总体规划修编</w:t>
      </w:r>
    </w:p>
    <w:p>
      <w:pPr>
        <w:pStyle w:val="66"/>
        <w:ind w:left="360" w:firstLine="0"/>
        <w:rPr>
          <w:rFonts w:asciiTheme="minorEastAsia" w:hAnsiTheme="minorEastAsia"/>
          <w:sz w:val="28"/>
          <w:szCs w:val="28"/>
        </w:rPr>
      </w:pPr>
      <w:r>
        <w:rPr>
          <w:rFonts w:hint="eastAsia" w:asciiTheme="minorEastAsia" w:hAnsiTheme="minorEastAsia"/>
          <w:sz w:val="28"/>
          <w:szCs w:val="28"/>
        </w:rPr>
        <w:t>二、工作内容：</w:t>
      </w:r>
    </w:p>
    <w:p>
      <w:pPr>
        <w:pStyle w:val="66"/>
        <w:spacing w:line="460" w:lineRule="exact"/>
        <w:ind w:left="360" w:firstLine="0"/>
        <w:jc w:val="left"/>
        <w:rPr>
          <w:rFonts w:asciiTheme="minorEastAsia" w:hAnsiTheme="minorEastAsia"/>
          <w:sz w:val="24"/>
        </w:rPr>
      </w:pPr>
      <w:r>
        <w:rPr>
          <w:rFonts w:hint="eastAsia" w:asciiTheme="minorEastAsia" w:hAnsiTheme="minorEastAsia"/>
          <w:sz w:val="24"/>
        </w:rPr>
        <w:t>1.</w:t>
      </w:r>
      <w:r>
        <w:rPr>
          <w:rFonts w:hint="eastAsia" w:asciiTheme="minorEastAsia" w:hAnsiTheme="minorEastAsia" w:cstheme="minorEastAsia"/>
          <w:color w:val="0000FF"/>
          <w:kern w:val="0"/>
          <w:sz w:val="24"/>
        </w:rPr>
        <w:t xml:space="preserve"> </w:t>
      </w:r>
      <w:r>
        <w:rPr>
          <w:rFonts w:hint="eastAsia" w:asciiTheme="minorEastAsia" w:hAnsiTheme="minorEastAsia"/>
          <w:sz w:val="24"/>
        </w:rPr>
        <w:t>新疆特克斯国家湿地公园范围和功能区调整论证报告</w:t>
      </w:r>
    </w:p>
    <w:p>
      <w:pPr>
        <w:pStyle w:val="66"/>
        <w:spacing w:line="460" w:lineRule="exact"/>
        <w:ind w:left="357" w:firstLine="480"/>
        <w:jc w:val="left"/>
        <w:rPr>
          <w:rFonts w:asciiTheme="minorEastAsia" w:hAnsiTheme="minorEastAsia" w:cstheme="minorEastAsia"/>
          <w:color w:val="0000FF"/>
          <w:kern w:val="0"/>
          <w:sz w:val="24"/>
        </w:rPr>
      </w:pPr>
      <w:r>
        <w:rPr>
          <w:rFonts w:hint="eastAsia" w:asciiTheme="minorEastAsia" w:hAnsiTheme="minorEastAsia" w:cstheme="minorEastAsia"/>
          <w:color w:val="0000FF"/>
          <w:kern w:val="0"/>
          <w:sz w:val="24"/>
        </w:rPr>
        <w:t>编制新疆特克斯国家湿地公园功能区调整方案，结合湿地公园建设和发展的实际情况，按照《国家湿地公园管理办法》（林湿规[2022]3号）要求，从维护湿地生态系统结构和功能的完整性、保护野生动植物栖息地、防止湿地退化的基本要求出发，深化国家湿地公园的功能区划分。</w:t>
      </w:r>
    </w:p>
    <w:p>
      <w:pPr>
        <w:pStyle w:val="66"/>
        <w:ind w:left="360" w:firstLine="0"/>
      </w:pPr>
    </w:p>
    <w:p>
      <w:pPr>
        <w:pStyle w:val="66"/>
        <w:spacing w:line="460" w:lineRule="exact"/>
        <w:ind w:left="360" w:firstLine="0"/>
        <w:jc w:val="left"/>
        <w:rPr>
          <w:rFonts w:asciiTheme="minorEastAsia" w:hAnsiTheme="minorEastAsia"/>
          <w:sz w:val="24"/>
        </w:rPr>
      </w:pPr>
      <w:r>
        <w:rPr>
          <w:rFonts w:hint="eastAsia" w:asciiTheme="minorEastAsia" w:hAnsiTheme="minorEastAsia"/>
          <w:sz w:val="24"/>
        </w:rPr>
        <w:t>2.</w:t>
      </w:r>
      <w:r>
        <w:rPr>
          <w:rFonts w:hint="eastAsia" w:asciiTheme="minorEastAsia" w:hAnsiTheme="minorEastAsia" w:cstheme="minorEastAsia"/>
          <w:color w:val="0000FF"/>
          <w:kern w:val="0"/>
          <w:sz w:val="24"/>
        </w:rPr>
        <w:t xml:space="preserve"> </w:t>
      </w:r>
      <w:r>
        <w:rPr>
          <w:rFonts w:hint="eastAsia" w:asciiTheme="minorEastAsia" w:hAnsiTheme="minorEastAsia"/>
          <w:sz w:val="24"/>
        </w:rPr>
        <w:t>新疆特克斯国家湿地公园总体规划修编</w:t>
      </w:r>
    </w:p>
    <w:p>
      <w:pPr>
        <w:pStyle w:val="66"/>
        <w:spacing w:line="460" w:lineRule="exact"/>
        <w:ind w:left="357" w:firstLine="480"/>
        <w:jc w:val="left"/>
        <w:rPr>
          <w:rFonts w:asciiTheme="minorEastAsia" w:hAnsiTheme="minorEastAsia" w:eastAsiaTheme="minorEastAsia" w:cstheme="minorEastAsia"/>
          <w:sz w:val="24"/>
        </w:rPr>
      </w:pPr>
      <w:r>
        <w:rPr>
          <w:rFonts w:hint="eastAsia" w:asciiTheme="minorEastAsia" w:hAnsiTheme="minorEastAsia" w:cstheme="minorEastAsia"/>
          <w:color w:val="0000FF"/>
          <w:kern w:val="0"/>
          <w:sz w:val="24"/>
        </w:rPr>
        <w:t>按照调整后的范围和功能区，依据《湿地公园总体规划导则》（林湿综字[2018]1号）对湿地公园开展总体规划修编，确保相关项目落地，湿地公园保护与建设可持续发展以维护新疆特克斯国家湿地公园湿地生态系统功能为核心，规划相关建设工程，包括湿地保护工程、湿地恢复工程、科普宣教设施、科研监测设施、合理利用项目、防御灾害规划、区域协调与社区规划、保护管理能力建设规划、基础设施规划等内容。</w:t>
      </w:r>
      <w:bookmarkEnd w:id="149"/>
      <w:bookmarkEnd w:id="150"/>
      <w:bookmarkEnd w:id="151"/>
      <w:bookmarkStart w:id="152" w:name="_Toc126684412"/>
      <w:bookmarkStart w:id="153" w:name="_Toc20396629"/>
    </w:p>
    <w:p>
      <w:pPr>
        <w:pStyle w:val="72"/>
        <w:spacing w:line="360" w:lineRule="auto"/>
        <w:ind w:firstLine="560"/>
        <w:rPr>
          <w:rFonts w:asciiTheme="minorEastAsia" w:hAnsiTheme="minorEastAsia" w:eastAsiaTheme="minorEastAsia" w:cstheme="minorEastAsia"/>
          <w:sz w:val="24"/>
        </w:rPr>
      </w:pPr>
    </w:p>
    <w:bookmarkEnd w:id="152"/>
    <w:bookmarkEnd w:id="153"/>
    <w:p>
      <w:pPr>
        <w:spacing w:line="440" w:lineRule="exact"/>
        <w:rPr>
          <w:rFonts w:ascii="宋体" w:hAnsi="宋体" w:cs="宋体"/>
          <w:b/>
          <w:bCs/>
          <w:kern w:val="1"/>
          <w:sz w:val="28"/>
          <w:szCs w:val="28"/>
        </w:rPr>
      </w:pPr>
      <w:r>
        <w:rPr>
          <w:rFonts w:hint="eastAsia" w:asciiTheme="minorEastAsia" w:hAnsiTheme="minorEastAsia" w:eastAsiaTheme="minorEastAsia" w:cstheme="minorEastAsia"/>
          <w:b/>
          <w:bCs/>
          <w:kern w:val="1"/>
          <w:sz w:val="24"/>
        </w:rPr>
        <w:t>六、</w:t>
      </w:r>
      <w:r>
        <w:rPr>
          <w:rFonts w:hint="eastAsia" w:ascii="宋体" w:hAnsi="宋体" w:cs="宋体"/>
          <w:b/>
          <w:bCs/>
          <w:kern w:val="1"/>
          <w:sz w:val="28"/>
          <w:szCs w:val="28"/>
        </w:rPr>
        <w:t>商务条款要求</w:t>
      </w:r>
    </w:p>
    <w:p>
      <w:pPr>
        <w:widowControl/>
        <w:spacing w:line="360" w:lineRule="auto"/>
        <w:jc w:val="left"/>
      </w:pPr>
      <w:r>
        <w:rPr>
          <w:rFonts w:hint="eastAsia" w:ascii="宋体" w:hAnsi="宋体" w:cs="宋体"/>
          <w:kern w:val="0"/>
          <w:sz w:val="24"/>
        </w:rPr>
        <w:t>1.项目服务期时间：</w:t>
      </w:r>
      <w:r>
        <w:rPr>
          <w:rFonts w:hint="eastAsia" w:ascii="宋体" w:hAnsi="宋体" w:cs="宋体"/>
          <w:sz w:val="24"/>
        </w:rPr>
        <w:t>2023年6月-2023年11月</w:t>
      </w:r>
      <w:r>
        <w:rPr>
          <w:rFonts w:hint="eastAsia" w:ascii="宋体" w:hAnsi="宋体" w:cs="宋体"/>
          <w:kern w:val="0"/>
          <w:sz w:val="24"/>
        </w:rPr>
        <w:t>。</w:t>
      </w:r>
    </w:p>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2.质量要求：合格。</w:t>
      </w:r>
    </w:p>
    <w:p>
      <w:pPr>
        <w:spacing w:line="440" w:lineRule="exact"/>
        <w:rPr>
          <w:b/>
          <w:bCs/>
          <w:sz w:val="28"/>
          <w:szCs w:val="28"/>
        </w:rPr>
      </w:pPr>
      <w:r>
        <w:rPr>
          <w:rFonts w:hint="eastAsia" w:ascii="宋体" w:hAnsi="宋体" w:cs="宋体"/>
          <w:color w:val="000000"/>
          <w:kern w:val="0"/>
          <w:sz w:val="24"/>
        </w:rPr>
        <w:t>3.报价要求：</w:t>
      </w:r>
      <w:r>
        <w:rPr>
          <w:rFonts w:hint="eastAsia" w:asciiTheme="minorEastAsia" w:hAnsiTheme="minorEastAsia" w:eastAsiaTheme="minorEastAsia" w:cstheme="minorEastAsia"/>
          <w:kern w:val="1"/>
          <w:sz w:val="24"/>
        </w:rPr>
        <w:t>投标报价应包括产品费、检验费、手续费、包装费、运输费、保险费、税金及不可预见费等全部费用。若投标报价不能完全包括上述内容，该投标将被认为非实质性响应。</w:t>
      </w:r>
    </w:p>
    <w:p>
      <w:pPr>
        <w:spacing w:line="360" w:lineRule="auto"/>
        <w:rPr>
          <w:sz w:val="24"/>
        </w:rPr>
      </w:pPr>
      <w:r>
        <w:rPr>
          <w:rFonts w:hint="eastAsia"/>
          <w:sz w:val="24"/>
        </w:rPr>
        <w:t>4.货物包装及运输 ：采用标准包装运输。适用于中国内陆联运要求，防震、防水、防锈。若在运输过程中货物出现损伤，责任应由中标人负责</w:t>
      </w:r>
    </w:p>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xml:space="preserve">5.验收标准和方式 ： </w:t>
      </w:r>
    </w:p>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 xml:space="preserve">(1) 按国家有关规定以及采购人竞争性磋商文件的质量要求和技术指标、中标人的投标文件及承诺与本合同约定标准进行验收；双方如对质量要求和技术指标的约定标准有相互抵触或异议的事项，由采购人在招标与投标文件中按质量要求和技术指标比较优胜的原则确定该项的约定标准进行验收。 </w:t>
      </w:r>
    </w:p>
    <w:p>
      <w:pPr>
        <w:pStyle w:val="31"/>
        <w:spacing w:line="360" w:lineRule="auto"/>
        <w:ind w:firstLine="0" w:firstLineChars="0"/>
        <w:jc w:val="left"/>
      </w:pPr>
      <w:r>
        <w:rPr>
          <w:rFonts w:hint="eastAsia" w:asciiTheme="minorEastAsia" w:hAnsiTheme="minorEastAsia" w:eastAsiaTheme="minorEastAsia" w:cstheme="minorEastAsia"/>
          <w:b w:val="0"/>
          <w:bCs w:val="0"/>
          <w:sz w:val="24"/>
        </w:rPr>
        <w:t>(2) 严格按照《财政部关于进一步加强政府采购需求和履约验收管理的指导意见》（财库〔2016〕205号）、《政府采购需求管理办法》（财库〔2021〕22号）的相关要求组织验收。</w:t>
      </w:r>
    </w:p>
    <w:p>
      <w:pPr>
        <w:widowControl/>
        <w:spacing w:line="360" w:lineRule="auto"/>
        <w:jc w:val="left"/>
      </w:pPr>
      <w:r>
        <w:rPr>
          <w:rFonts w:hint="eastAsia" w:ascii="宋体" w:hAnsi="宋体" w:cs="宋体"/>
          <w:color w:val="000000"/>
          <w:kern w:val="0"/>
          <w:sz w:val="24"/>
        </w:rPr>
        <w:t xml:space="preserve">6.质量保证和质量标准：所供产品质量应符合国家或企业相关标准要求，包装、标签应符合有关规定；如合同中没有提及适用标准，则按国家标准或行业标准执行，这些标准必须是国家有关机构发布的最新版本的标准； </w:t>
      </w:r>
    </w:p>
    <w:p>
      <w:pPr>
        <w:widowControl/>
        <w:spacing w:line="360" w:lineRule="auto"/>
        <w:jc w:val="left"/>
      </w:pPr>
      <w:r>
        <w:rPr>
          <w:rFonts w:hint="eastAsia" w:ascii="宋体" w:hAnsi="宋体" w:cs="宋体"/>
          <w:color w:val="000000"/>
          <w:kern w:val="0"/>
          <w:sz w:val="24"/>
        </w:rPr>
        <w:t>7.付款条件（进度和方式）：以双方签订合同为准</w:t>
      </w:r>
    </w:p>
    <w:p>
      <w:pPr>
        <w:spacing w:line="440" w:lineRule="exact"/>
        <w:rPr>
          <w:rFonts w:asciiTheme="minorEastAsia" w:hAnsiTheme="minorEastAsia" w:eastAsiaTheme="minorEastAsia" w:cstheme="minorEastAsia"/>
          <w:b/>
          <w:bCs/>
          <w:kern w:val="1"/>
          <w:sz w:val="24"/>
        </w:rPr>
      </w:pPr>
    </w:p>
    <w:p>
      <w:pPr>
        <w:spacing w:line="480" w:lineRule="exact"/>
        <w:jc w:val="center"/>
        <w:rPr>
          <w:rFonts w:ascii="宋体" w:hAnsi="宋体" w:cs="宋体"/>
          <w:b/>
          <w:bCs/>
          <w:color w:val="FF0000"/>
          <w:sz w:val="44"/>
        </w:rPr>
      </w:pPr>
    </w:p>
    <w:p>
      <w:pPr>
        <w:pStyle w:val="30"/>
        <w:rPr>
          <w:rFonts w:ascii="宋体" w:hAnsi="宋体" w:cs="宋体"/>
        </w:rPr>
      </w:pPr>
      <w:bookmarkStart w:id="154" w:name="_Toc12330_WPSOffice_Level1"/>
      <w:bookmarkStart w:id="155" w:name="_Toc1584"/>
      <w:bookmarkStart w:id="156" w:name="_Toc225585661"/>
    </w:p>
    <w:p>
      <w:pPr>
        <w:pStyle w:val="30"/>
        <w:rPr>
          <w:rFonts w:ascii="宋体" w:hAnsi="宋体" w:cs="宋体"/>
        </w:rPr>
      </w:pPr>
    </w:p>
    <w:p>
      <w:pPr>
        <w:pStyle w:val="30"/>
        <w:rPr>
          <w:rFonts w:ascii="宋体" w:hAnsi="宋体" w:cs="宋体"/>
        </w:rPr>
      </w:pPr>
    </w:p>
    <w:p>
      <w:pPr>
        <w:pStyle w:val="30"/>
        <w:rPr>
          <w:rFonts w:ascii="宋体" w:hAnsi="宋体" w:cs="宋体"/>
        </w:rPr>
      </w:pPr>
    </w:p>
    <w:p>
      <w:pPr>
        <w:pStyle w:val="30"/>
        <w:rPr>
          <w:rFonts w:ascii="宋体" w:hAnsi="宋体" w:cs="宋体"/>
        </w:rPr>
      </w:pPr>
    </w:p>
    <w:p>
      <w:pPr>
        <w:pStyle w:val="30"/>
        <w:rPr>
          <w:rFonts w:ascii="宋体" w:hAnsi="宋体" w:cs="宋体"/>
        </w:rPr>
      </w:pPr>
    </w:p>
    <w:p>
      <w:pPr>
        <w:pStyle w:val="30"/>
        <w:rPr>
          <w:rFonts w:ascii="宋体" w:hAnsi="宋体" w:cs="宋体"/>
        </w:rPr>
      </w:pPr>
    </w:p>
    <w:p>
      <w:pPr>
        <w:pStyle w:val="30"/>
        <w:rPr>
          <w:rFonts w:ascii="宋体" w:hAnsi="宋体" w:cs="宋体"/>
        </w:rPr>
      </w:pPr>
    </w:p>
    <w:p>
      <w:pPr>
        <w:pStyle w:val="30"/>
        <w:rPr>
          <w:rFonts w:ascii="宋体" w:hAnsi="宋体" w:cs="宋体"/>
        </w:rPr>
      </w:pPr>
    </w:p>
    <w:p>
      <w:pPr>
        <w:pStyle w:val="30"/>
        <w:rPr>
          <w:rFonts w:ascii="宋体" w:hAnsi="宋体" w:cs="宋体"/>
        </w:rPr>
      </w:pPr>
    </w:p>
    <w:p>
      <w:pPr>
        <w:pStyle w:val="30"/>
        <w:rPr>
          <w:rFonts w:ascii="宋体" w:hAnsi="宋体" w:cs="宋体"/>
        </w:rPr>
      </w:pPr>
    </w:p>
    <w:p>
      <w:pPr>
        <w:pStyle w:val="30"/>
        <w:rPr>
          <w:rFonts w:ascii="宋体" w:hAnsi="宋体" w:cs="宋体"/>
        </w:rPr>
      </w:pPr>
      <w:r>
        <w:rPr>
          <w:rFonts w:hint="eastAsia" w:ascii="宋体" w:hAnsi="宋体" w:cs="宋体"/>
        </w:rPr>
        <w:t>第六部分：附件（投标文件格式）</w:t>
      </w:r>
      <w:bookmarkEnd w:id="154"/>
      <w:bookmarkEnd w:id="155"/>
      <w:bookmarkEnd w:id="156"/>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spacing w:line="360" w:lineRule="auto"/>
        <w:jc w:val="center"/>
        <w:rPr>
          <w:rFonts w:ascii="宋体" w:hAnsi="宋体" w:cs="宋体"/>
          <w:sz w:val="24"/>
        </w:rPr>
      </w:pPr>
    </w:p>
    <w:p>
      <w:pPr>
        <w:tabs>
          <w:tab w:val="left" w:pos="0"/>
          <w:tab w:val="left" w:pos="993"/>
          <w:tab w:val="left" w:pos="1134"/>
        </w:tabs>
        <w:adjustRightInd w:val="0"/>
        <w:snapToGrid w:val="0"/>
        <w:spacing w:line="300" w:lineRule="auto"/>
        <w:jc w:val="center"/>
        <w:rPr>
          <w:rFonts w:ascii="宋体" w:hAnsi="宋体" w:cs="宋体"/>
          <w:b/>
          <w:sz w:val="36"/>
          <w:szCs w:val="36"/>
        </w:rPr>
      </w:pPr>
      <w:r>
        <w:rPr>
          <w:rFonts w:hint="eastAsia" w:ascii="宋体" w:hAnsi="宋体" w:cs="宋体"/>
          <w:sz w:val="24"/>
        </w:rPr>
        <w:br w:type="page"/>
      </w:r>
      <w:r>
        <w:rPr>
          <w:rFonts w:hint="eastAsia" w:ascii="宋体" w:hAnsi="宋体" w:cs="宋体"/>
          <w:sz w:val="36"/>
          <w:szCs w:val="36"/>
        </w:rPr>
        <w:t>一、</w:t>
      </w:r>
      <w:r>
        <w:rPr>
          <w:rFonts w:hint="eastAsia" w:ascii="宋体" w:hAnsi="宋体" w:cs="宋体"/>
          <w:b/>
          <w:sz w:val="36"/>
          <w:szCs w:val="36"/>
        </w:rPr>
        <w:t>投标文件格式</w:t>
      </w:r>
    </w:p>
    <w:p>
      <w:pPr>
        <w:tabs>
          <w:tab w:val="left" w:pos="0"/>
          <w:tab w:val="left" w:pos="993"/>
          <w:tab w:val="left" w:pos="1134"/>
        </w:tabs>
        <w:adjustRightInd w:val="0"/>
        <w:snapToGrid w:val="0"/>
        <w:spacing w:line="300" w:lineRule="auto"/>
        <w:jc w:val="center"/>
        <w:rPr>
          <w:rFonts w:ascii="宋体" w:hAnsi="宋体" w:cs="宋体"/>
          <w:b/>
          <w:sz w:val="36"/>
          <w:szCs w:val="36"/>
        </w:rPr>
      </w:pPr>
    </w:p>
    <w:p>
      <w:pPr>
        <w:tabs>
          <w:tab w:val="left" w:pos="0"/>
          <w:tab w:val="left" w:pos="993"/>
          <w:tab w:val="left" w:pos="1134"/>
        </w:tabs>
        <w:adjustRightInd w:val="0"/>
        <w:snapToGrid w:val="0"/>
        <w:spacing w:line="300" w:lineRule="auto"/>
        <w:jc w:val="center"/>
        <w:rPr>
          <w:rFonts w:ascii="宋体" w:hAnsi="宋体" w:cs="宋体"/>
          <w:b/>
          <w:snapToGrid w:val="0"/>
          <w:sz w:val="44"/>
        </w:rPr>
      </w:pPr>
      <w:r>
        <w:rPr>
          <w:rFonts w:hint="eastAsia" w:ascii="宋体" w:hAnsi="宋体" w:cs="宋体"/>
          <w:sz w:val="36"/>
        </w:rPr>
        <w:t xml:space="preserve">                                   </w:t>
      </w:r>
      <w:bookmarkStart w:id="157" w:name="_Toc2829_WPSOffice_Level1"/>
      <w:r>
        <w:rPr>
          <w:rFonts w:hint="eastAsia" w:ascii="宋体" w:hAnsi="宋体" w:cs="宋体"/>
          <w:sz w:val="36"/>
        </w:rPr>
        <w:t>正本或副本</w:t>
      </w:r>
      <w:bookmarkEnd w:id="157"/>
    </w:p>
    <w:p>
      <w:pPr>
        <w:tabs>
          <w:tab w:val="left" w:pos="0"/>
          <w:tab w:val="left" w:pos="993"/>
          <w:tab w:val="left" w:pos="1134"/>
        </w:tabs>
        <w:adjustRightInd w:val="0"/>
        <w:snapToGrid w:val="0"/>
        <w:spacing w:line="300" w:lineRule="auto"/>
        <w:jc w:val="center"/>
        <w:rPr>
          <w:rFonts w:ascii="宋体" w:hAnsi="宋体" w:cs="宋体"/>
          <w:b/>
          <w:snapToGrid w:val="0"/>
          <w:sz w:val="44"/>
        </w:rPr>
      </w:pPr>
    </w:p>
    <w:p>
      <w:pPr>
        <w:pStyle w:val="16"/>
        <w:spacing w:line="264" w:lineRule="auto"/>
        <w:jc w:val="center"/>
        <w:rPr>
          <w:rFonts w:hAnsi="宋体" w:cs="宋体"/>
          <w:sz w:val="44"/>
        </w:rPr>
      </w:pPr>
      <w:bookmarkStart w:id="158" w:name="_Toc5211_WPSOffice_Level1"/>
      <w:r>
        <w:rPr>
          <w:rFonts w:hint="eastAsia" w:hAnsi="宋体" w:cs="宋体"/>
          <w:sz w:val="36"/>
        </w:rPr>
        <w:t>________________________</w:t>
      </w:r>
      <w:r>
        <w:rPr>
          <w:rFonts w:hint="eastAsia" w:hAnsi="宋体" w:cs="宋体"/>
          <w:sz w:val="44"/>
        </w:rPr>
        <w:t>项目</w:t>
      </w:r>
      <w:r>
        <w:rPr>
          <w:rFonts w:hint="eastAsia" w:hAnsi="宋体" w:cs="宋体"/>
          <w:sz w:val="44"/>
          <w:u w:val="single"/>
        </w:rPr>
        <w:t xml:space="preserve">  </w:t>
      </w:r>
      <w:r>
        <w:rPr>
          <w:rFonts w:hint="eastAsia" w:hAnsi="宋体" w:cs="宋体"/>
          <w:sz w:val="44"/>
        </w:rPr>
        <w:t>标段</w:t>
      </w:r>
      <w:bookmarkEnd w:id="158"/>
    </w:p>
    <w:p>
      <w:pPr>
        <w:pStyle w:val="16"/>
        <w:spacing w:line="264" w:lineRule="auto"/>
        <w:jc w:val="center"/>
        <w:rPr>
          <w:rFonts w:hAnsi="宋体" w:cs="宋体"/>
          <w:sz w:val="44"/>
        </w:rPr>
      </w:pPr>
    </w:p>
    <w:p>
      <w:pPr>
        <w:pStyle w:val="16"/>
        <w:spacing w:line="264" w:lineRule="auto"/>
        <w:jc w:val="center"/>
        <w:rPr>
          <w:rFonts w:hAnsi="宋体" w:cs="宋体"/>
          <w:sz w:val="36"/>
        </w:rPr>
      </w:pPr>
    </w:p>
    <w:p>
      <w:pPr>
        <w:pStyle w:val="16"/>
        <w:spacing w:line="264" w:lineRule="auto"/>
        <w:jc w:val="center"/>
        <w:rPr>
          <w:rFonts w:hAnsi="宋体" w:cs="宋体"/>
          <w:sz w:val="36"/>
        </w:rPr>
      </w:pPr>
    </w:p>
    <w:p>
      <w:pPr>
        <w:pStyle w:val="16"/>
        <w:spacing w:line="264" w:lineRule="auto"/>
        <w:jc w:val="center"/>
        <w:rPr>
          <w:rFonts w:hAnsi="宋体" w:cs="宋体"/>
          <w:b/>
          <w:sz w:val="84"/>
        </w:rPr>
      </w:pPr>
      <w:bookmarkStart w:id="159" w:name="_Toc28738_WPSOffice_Level1"/>
      <w:r>
        <w:rPr>
          <w:rFonts w:hint="eastAsia" w:hAnsi="宋体" w:cs="宋体"/>
          <w:b/>
          <w:sz w:val="84"/>
        </w:rPr>
        <w:t>投 标 文 件</w:t>
      </w:r>
      <w:bookmarkEnd w:id="159"/>
    </w:p>
    <w:p>
      <w:pPr>
        <w:pStyle w:val="16"/>
        <w:spacing w:line="264" w:lineRule="auto"/>
        <w:jc w:val="center"/>
        <w:rPr>
          <w:rFonts w:hAnsi="宋体" w:cs="宋体"/>
          <w:sz w:val="28"/>
        </w:rPr>
      </w:pPr>
    </w:p>
    <w:p>
      <w:pPr>
        <w:pStyle w:val="16"/>
        <w:spacing w:line="264" w:lineRule="auto"/>
        <w:jc w:val="center"/>
        <w:rPr>
          <w:rFonts w:hAnsi="宋体" w:cs="宋体"/>
          <w:sz w:val="72"/>
        </w:rPr>
      </w:pPr>
    </w:p>
    <w:p>
      <w:pPr>
        <w:pStyle w:val="16"/>
        <w:spacing w:line="264" w:lineRule="auto"/>
        <w:rPr>
          <w:rFonts w:hAnsi="宋体" w:cs="宋体"/>
          <w:sz w:val="72"/>
        </w:rPr>
      </w:pPr>
    </w:p>
    <w:p>
      <w:pPr>
        <w:pStyle w:val="16"/>
        <w:spacing w:line="480" w:lineRule="auto"/>
        <w:ind w:left="630"/>
        <w:rPr>
          <w:rFonts w:hAnsi="宋体" w:cs="宋体"/>
          <w:sz w:val="30"/>
        </w:rPr>
      </w:pPr>
      <w:bookmarkStart w:id="160" w:name="_Toc25615_WPSOffice_Level1"/>
      <w:r>
        <w:rPr>
          <w:rFonts w:hint="eastAsia" w:hAnsi="宋体" w:cs="宋体"/>
          <w:sz w:val="30"/>
        </w:rPr>
        <w:t>投   标   人（公章）：</w:t>
      </w:r>
      <w:bookmarkEnd w:id="160"/>
    </w:p>
    <w:p>
      <w:pPr>
        <w:pStyle w:val="16"/>
        <w:spacing w:line="480" w:lineRule="auto"/>
        <w:ind w:left="630"/>
        <w:rPr>
          <w:rFonts w:hAnsi="宋体" w:cs="宋体"/>
          <w:sz w:val="30"/>
        </w:rPr>
      </w:pPr>
      <w:bookmarkStart w:id="161" w:name="_Toc25933_WPSOffice_Level1"/>
      <w:r>
        <w:rPr>
          <w:rFonts w:hint="eastAsia" w:hAnsi="宋体" w:cs="宋体"/>
          <w:sz w:val="30"/>
        </w:rPr>
        <w:t>法定代表人（签字或盖章）：</w:t>
      </w:r>
    </w:p>
    <w:p>
      <w:pPr>
        <w:pStyle w:val="16"/>
        <w:spacing w:line="480" w:lineRule="auto"/>
        <w:ind w:left="630"/>
        <w:rPr>
          <w:rFonts w:hAnsi="宋体" w:cs="宋体"/>
          <w:sz w:val="30"/>
        </w:rPr>
      </w:pPr>
      <w:r>
        <w:rPr>
          <w:rFonts w:hint="eastAsia" w:hAnsi="宋体" w:cs="宋体"/>
          <w:sz w:val="30"/>
        </w:rPr>
        <w:t>授权委托人（签字或盖章）：</w:t>
      </w:r>
      <w:bookmarkEnd w:id="161"/>
    </w:p>
    <w:p>
      <w:pPr>
        <w:pStyle w:val="16"/>
        <w:spacing w:line="480" w:lineRule="auto"/>
        <w:ind w:left="630"/>
        <w:rPr>
          <w:rFonts w:hAnsi="宋体" w:cs="宋体"/>
          <w:sz w:val="30"/>
        </w:rPr>
      </w:pPr>
      <w:bookmarkStart w:id="162" w:name="_Toc12816_WPSOffice_Level1"/>
      <w:r>
        <w:rPr>
          <w:rFonts w:hint="eastAsia" w:hAnsi="宋体" w:cs="宋体"/>
          <w:sz w:val="30"/>
        </w:rPr>
        <w:t>联系人：</w:t>
      </w:r>
      <w:bookmarkEnd w:id="162"/>
    </w:p>
    <w:p>
      <w:pPr>
        <w:pStyle w:val="16"/>
        <w:spacing w:line="480" w:lineRule="auto"/>
        <w:ind w:left="630"/>
        <w:rPr>
          <w:rFonts w:hAnsi="宋体" w:cs="宋体"/>
          <w:sz w:val="30"/>
        </w:rPr>
      </w:pPr>
      <w:bookmarkStart w:id="163" w:name="_Toc26371_WPSOffice_Level1"/>
      <w:r>
        <w:rPr>
          <w:rFonts w:hint="eastAsia" w:hAnsi="宋体" w:cs="宋体"/>
          <w:sz w:val="30"/>
        </w:rPr>
        <w:t>联系电话：</w:t>
      </w:r>
      <w:bookmarkEnd w:id="163"/>
    </w:p>
    <w:p>
      <w:pPr>
        <w:pStyle w:val="16"/>
        <w:spacing w:line="480" w:lineRule="auto"/>
        <w:ind w:left="630"/>
        <w:rPr>
          <w:rFonts w:hAnsi="宋体" w:cs="宋体"/>
          <w:sz w:val="30"/>
        </w:rPr>
      </w:pPr>
      <w:r>
        <w:rPr>
          <w:rFonts w:hint="eastAsia" w:hAnsi="宋体" w:cs="宋体"/>
          <w:sz w:val="30"/>
        </w:rPr>
        <w:t>邮政编码：</w:t>
      </w:r>
    </w:p>
    <w:p>
      <w:pPr>
        <w:pStyle w:val="16"/>
        <w:spacing w:line="480" w:lineRule="auto"/>
        <w:ind w:left="630"/>
        <w:rPr>
          <w:rFonts w:hAnsi="宋体" w:cs="宋体"/>
          <w:sz w:val="30"/>
        </w:rPr>
      </w:pPr>
      <w:bookmarkStart w:id="164" w:name="_Toc4195_WPSOffice_Level1"/>
      <w:r>
        <w:rPr>
          <w:rFonts w:hint="eastAsia" w:hAnsi="宋体" w:cs="宋体"/>
          <w:sz w:val="30"/>
        </w:rPr>
        <w:t>地址：</w:t>
      </w:r>
      <w:bookmarkEnd w:id="164"/>
    </w:p>
    <w:p>
      <w:pPr>
        <w:tabs>
          <w:tab w:val="left" w:pos="0"/>
          <w:tab w:val="left" w:pos="993"/>
          <w:tab w:val="left" w:pos="1134"/>
        </w:tabs>
        <w:adjustRightInd w:val="0"/>
        <w:snapToGrid w:val="0"/>
        <w:spacing w:line="480" w:lineRule="auto"/>
        <w:ind w:firstLine="600" w:firstLineChars="200"/>
        <w:rPr>
          <w:rFonts w:ascii="宋体" w:hAnsi="宋体" w:cs="宋体"/>
          <w:sz w:val="30"/>
        </w:rPr>
      </w:pPr>
      <w:bookmarkStart w:id="165" w:name="_Toc11726_WPSOffice_Level1"/>
      <w:r>
        <w:rPr>
          <w:rFonts w:hint="eastAsia" w:ascii="宋体" w:hAnsi="宋体" w:cs="宋体"/>
          <w:sz w:val="30"/>
        </w:rPr>
        <w:t>日期：__________年__________月____________日</w:t>
      </w:r>
      <w:bookmarkEnd w:id="165"/>
    </w:p>
    <w:p>
      <w:pPr>
        <w:spacing w:line="360" w:lineRule="auto"/>
        <w:ind w:firstLine="1020" w:firstLineChars="254"/>
        <w:jc w:val="center"/>
        <w:rPr>
          <w:rFonts w:ascii="宋体" w:hAnsi="宋体" w:cs="宋体"/>
          <w:b/>
          <w:sz w:val="40"/>
          <w:szCs w:val="40"/>
        </w:rPr>
      </w:pPr>
      <w:bookmarkStart w:id="166" w:name="_Toc29275_WPSOffice_Level1"/>
      <w:r>
        <w:rPr>
          <w:rFonts w:hint="eastAsia" w:ascii="宋体" w:hAnsi="宋体" w:cs="宋体"/>
          <w:b/>
          <w:sz w:val="40"/>
          <w:szCs w:val="40"/>
        </w:rPr>
        <w:t>目   录</w:t>
      </w:r>
      <w:bookmarkEnd w:id="166"/>
    </w:p>
    <w:p>
      <w:pPr>
        <w:spacing w:line="360" w:lineRule="auto"/>
        <w:rPr>
          <w:rFonts w:ascii="宋体" w:hAnsi="宋体" w:cs="宋体"/>
          <w:b/>
          <w:color w:val="FF0000"/>
          <w:sz w:val="24"/>
        </w:rPr>
      </w:pPr>
      <w:r>
        <w:rPr>
          <w:rFonts w:hint="eastAsia" w:ascii="宋体" w:hAnsi="宋体" w:cs="宋体"/>
          <w:b/>
          <w:sz w:val="24"/>
        </w:rPr>
        <w:t>投标文件须按以下顺序编制并编列页码（以下内容包含但不限于）：</w:t>
      </w:r>
    </w:p>
    <w:p>
      <w:pPr>
        <w:autoSpaceDE w:val="0"/>
        <w:autoSpaceDN w:val="0"/>
        <w:spacing w:line="500" w:lineRule="exact"/>
        <w:textAlignment w:val="bottom"/>
        <w:rPr>
          <w:rFonts w:ascii="宋体" w:hAnsi="宋体" w:cs="宋体"/>
          <w:b/>
          <w:sz w:val="24"/>
          <w:szCs w:val="20"/>
        </w:rPr>
      </w:pPr>
      <w:bookmarkStart w:id="167" w:name="_Toc20987_WPSOffice_Level1"/>
      <w:r>
        <w:rPr>
          <w:rFonts w:hint="eastAsia" w:ascii="宋体" w:hAnsi="宋体" w:cs="宋体"/>
          <w:b/>
          <w:sz w:val="24"/>
        </w:rPr>
        <w:t>一、商务部分</w:t>
      </w:r>
      <w:bookmarkEnd w:id="167"/>
    </w:p>
    <w:p>
      <w:pPr>
        <w:autoSpaceDE w:val="0"/>
        <w:autoSpaceDN w:val="0"/>
        <w:spacing w:line="500" w:lineRule="exact"/>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（1）投标函（附件1）</w:t>
      </w:r>
    </w:p>
    <w:p>
      <w:pPr>
        <w:autoSpaceDE w:val="0"/>
        <w:autoSpaceDN w:val="0"/>
        <w:spacing w:line="500" w:lineRule="exact"/>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（2）承诺函（附件1-1）</w:t>
      </w:r>
    </w:p>
    <w:p>
      <w:pPr>
        <w:autoSpaceDE w:val="0"/>
        <w:autoSpaceDN w:val="0"/>
        <w:spacing w:line="500" w:lineRule="exact"/>
        <w:textAlignment w:val="bottom"/>
        <w:rPr>
          <w:rFonts w:eastAsiaTheme="minorEastAsia"/>
        </w:rPr>
      </w:pPr>
      <w:r>
        <w:rPr>
          <w:rFonts w:hint="eastAsia" w:asciiTheme="minorEastAsia" w:hAnsiTheme="minorEastAsia" w:eastAsiaTheme="minorEastAsia" w:cstheme="minorEastAsia"/>
          <w:sz w:val="24"/>
        </w:rPr>
        <w:t>（3） 响应供应商资格声明函（附件1-2）</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（4）法定代表人身份证明书、授权委托书（附件2）</w:t>
      </w:r>
    </w:p>
    <w:p>
      <w:pPr>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（5）投标保证金汇款凭证（附件3）</w:t>
      </w:r>
    </w:p>
    <w:p>
      <w:pPr>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（6）开标一览表及磋商报价表（第二轮报价）、投标分项报价明细表（附件4）</w:t>
      </w:r>
    </w:p>
    <w:p>
      <w:pPr>
        <w:tabs>
          <w:tab w:val="left" w:pos="126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（7）企业营业执照、企业税务登记证、企业组织机构代码证（如已三证合一的供应商仅需提供营业执照）（附件5）</w:t>
      </w:r>
    </w:p>
    <w:p>
      <w:pPr>
        <w:pStyle w:val="29"/>
        <w:spacing w:before="0" w:beforeAutospacing="0" w:after="0" w:afterAutospacing="0"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8）供应商参加本次采购活动前三年内在“信用中国”（www.creditchina.gov.cn）下载附件和中国政府采购网（www.ccgp.gov.cn）网站上未被列入失信被执行人、重大税收违法案件当事人名单以及政府采购严重违法失信行为记录名单的供应商（提供查询网页打印件），拒绝参与政府采购活动。</w:t>
      </w:r>
    </w:p>
    <w:p>
      <w:pPr>
        <w:spacing w:line="360" w:lineRule="auto"/>
        <w:rPr>
          <w:sz w:val="24"/>
        </w:rPr>
      </w:pPr>
      <w:r>
        <w:rPr>
          <w:rFonts w:hint="eastAsia"/>
          <w:sz w:val="24"/>
        </w:rPr>
        <w:t>（9）具有良好的商业信誉和健全的财务会计制度，</w:t>
      </w:r>
      <w:r>
        <w:rPr>
          <w:rFonts w:hint="eastAsia"/>
          <w:sz w:val="24"/>
          <w:highlight w:val="none"/>
        </w:rPr>
        <w:t>提供2021或2022年度经外部</w:t>
      </w:r>
      <w:r>
        <w:rPr>
          <w:rFonts w:hint="eastAsia"/>
          <w:sz w:val="24"/>
        </w:rPr>
        <w:t>审计的财务审计报告或财务报表的复印件加盖公章（公司成立不到一年的从成立之日起）；</w:t>
      </w:r>
    </w:p>
    <w:p>
      <w:pPr>
        <w:spacing w:line="360" w:lineRule="auto"/>
        <w:rPr>
          <w:sz w:val="24"/>
        </w:rPr>
      </w:pPr>
      <w:r>
        <w:rPr>
          <w:rFonts w:hint="eastAsia"/>
          <w:sz w:val="24"/>
        </w:rPr>
        <w:t>（10）有依法缴纳税收和社会保障资金的良好纪录，提供相关证明（新注册的供应商应当提供注册时至参加政府采购活动时相应期限内本单位的缴纳税收、社会保障凭据）；</w:t>
      </w:r>
    </w:p>
    <w:p>
      <w:pPr>
        <w:tabs>
          <w:tab w:val="left" w:pos="540"/>
          <w:tab w:val="left" w:pos="900"/>
        </w:tabs>
        <w:autoSpaceDE w:val="0"/>
        <w:autoSpaceDN w:val="0"/>
        <w:spacing w:line="500" w:lineRule="exact"/>
        <w:textAlignment w:val="bottom"/>
        <w:rPr>
          <w:rFonts w:ascii="宋体" w:hAnsi="宋体" w:cs="宋体"/>
          <w:bCs/>
          <w:sz w:val="24"/>
        </w:rPr>
      </w:pPr>
      <w:r>
        <w:rPr>
          <w:rFonts w:hint="eastAsia" w:ascii="宋体" w:hAnsi="宋体" w:cs="宋体"/>
          <w:bCs/>
          <w:sz w:val="24"/>
        </w:rPr>
        <w:t>一、二、三标段：</w:t>
      </w:r>
    </w:p>
    <w:p>
      <w:pPr>
        <w:tabs>
          <w:tab w:val="left" w:pos="540"/>
          <w:tab w:val="left" w:pos="900"/>
        </w:tabs>
        <w:autoSpaceDE w:val="0"/>
        <w:autoSpaceDN w:val="0"/>
        <w:spacing w:line="500" w:lineRule="exact"/>
        <w:textAlignment w:val="bottom"/>
        <w:rPr>
          <w:rFonts w:ascii="宋体" w:hAnsi="宋体" w:cs="宋体"/>
          <w:bCs/>
          <w:sz w:val="24"/>
        </w:rPr>
      </w:pPr>
      <w:r>
        <w:rPr>
          <w:rFonts w:hint="eastAsia" w:ascii="宋体" w:hAnsi="宋体" w:cs="宋体"/>
          <w:bCs/>
          <w:sz w:val="24"/>
        </w:rPr>
        <w:t>（1）商务部分</w:t>
      </w:r>
    </w:p>
    <w:p>
      <w:pPr>
        <w:tabs>
          <w:tab w:val="left" w:pos="540"/>
          <w:tab w:val="left" w:pos="900"/>
        </w:tabs>
        <w:autoSpaceDE w:val="0"/>
        <w:autoSpaceDN w:val="0"/>
        <w:spacing w:line="500" w:lineRule="exact"/>
        <w:textAlignment w:val="bottom"/>
        <w:rPr>
          <w:rFonts w:ascii="宋体" w:hAnsi="宋体" w:cs="宋体"/>
          <w:bCs/>
          <w:sz w:val="24"/>
        </w:rPr>
      </w:pPr>
      <w:r>
        <w:rPr>
          <w:rFonts w:hint="eastAsia" w:ascii="宋体" w:hAnsi="宋体" w:cs="宋体"/>
          <w:bCs/>
          <w:sz w:val="24"/>
        </w:rPr>
        <w:t>（2）技术部分</w:t>
      </w:r>
    </w:p>
    <w:p>
      <w:pPr>
        <w:tabs>
          <w:tab w:val="left" w:pos="540"/>
          <w:tab w:val="left" w:pos="900"/>
        </w:tabs>
        <w:autoSpaceDE w:val="0"/>
        <w:autoSpaceDN w:val="0"/>
        <w:spacing w:line="500" w:lineRule="exact"/>
        <w:textAlignment w:val="bottom"/>
        <w:rPr>
          <w:rFonts w:ascii="宋体" w:hAnsi="宋体" w:cs="宋体"/>
          <w:b/>
          <w:sz w:val="24"/>
        </w:rPr>
      </w:pPr>
      <w:r>
        <w:rPr>
          <w:rFonts w:hint="eastAsia" w:ascii="宋体" w:hAnsi="宋体" w:cs="宋体"/>
          <w:b/>
          <w:sz w:val="24"/>
        </w:rPr>
        <w:t>二、其他</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（1）安全运营责任书（附件6）</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（2）商务条款偏离表（附件8）</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（3）技术条款偏离表（附件8-1）</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val="zh-CN"/>
        </w:rPr>
        <w:t>供应商诚信保证书</w:t>
      </w:r>
      <w:r>
        <w:rPr>
          <w:rFonts w:hint="eastAsia" w:asciiTheme="minorEastAsia" w:hAnsiTheme="minorEastAsia" w:eastAsiaTheme="minorEastAsia" w:cstheme="minorEastAsia"/>
          <w:sz w:val="24"/>
        </w:rPr>
        <w:t>（附件9）</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（5）中小企业声明函（附件10）</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（6）监狱企业相关证明材料（如有）（附件10-1）</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（7）残疾人福利性单位声明函（如有）（附件10-2）</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（8）反商业贿赂承诺书（附件11）</w:t>
      </w:r>
    </w:p>
    <w:p>
      <w:pPr>
        <w:tabs>
          <w:tab w:val="left" w:pos="540"/>
          <w:tab w:val="left" w:pos="900"/>
        </w:tabs>
        <w:autoSpaceDE w:val="0"/>
        <w:autoSpaceDN w:val="0"/>
        <w:spacing w:line="312" w:lineRule="auto"/>
        <w:textAlignment w:val="bottom"/>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（9）其他证明材料（附件12）</w:t>
      </w:r>
    </w:p>
    <w:p>
      <w:pPr>
        <w:pStyle w:val="16"/>
        <w:adjustRightInd w:val="0"/>
        <w:snapToGrid w:val="0"/>
        <w:spacing w:line="360" w:lineRule="auto"/>
        <w:jc w:val="left"/>
        <w:rPr>
          <w:rFonts w:hAnsi="宋体"/>
          <w:b/>
          <w:bCs/>
          <w:color w:val="000000"/>
          <w:sz w:val="28"/>
          <w:szCs w:val="28"/>
        </w:rPr>
      </w:pPr>
    </w:p>
    <w:p>
      <w:pPr>
        <w:pStyle w:val="16"/>
        <w:adjustRightInd w:val="0"/>
        <w:snapToGrid w:val="0"/>
        <w:spacing w:line="360" w:lineRule="auto"/>
        <w:jc w:val="left"/>
        <w:rPr>
          <w:rFonts w:hAnsi="宋体"/>
          <w:b/>
          <w:bCs/>
          <w:color w:val="000000"/>
          <w:sz w:val="28"/>
          <w:szCs w:val="28"/>
        </w:rPr>
      </w:pPr>
    </w:p>
    <w:p>
      <w:pPr>
        <w:pStyle w:val="16"/>
        <w:adjustRightInd w:val="0"/>
        <w:snapToGrid w:val="0"/>
        <w:spacing w:line="360" w:lineRule="auto"/>
        <w:jc w:val="left"/>
        <w:rPr>
          <w:rFonts w:hAnsi="宋体"/>
          <w:b/>
          <w:bCs/>
          <w:color w:val="000000"/>
          <w:sz w:val="28"/>
          <w:szCs w:val="28"/>
        </w:rPr>
      </w:pPr>
    </w:p>
    <w:p>
      <w:pPr>
        <w:pStyle w:val="16"/>
        <w:adjustRightInd w:val="0"/>
        <w:snapToGrid w:val="0"/>
        <w:spacing w:line="360" w:lineRule="auto"/>
        <w:jc w:val="left"/>
        <w:rPr>
          <w:rFonts w:hAnsi="宋体"/>
          <w:b/>
          <w:bCs/>
          <w:color w:val="000000"/>
          <w:sz w:val="28"/>
          <w:szCs w:val="28"/>
        </w:rPr>
      </w:pPr>
    </w:p>
    <w:p>
      <w:pPr>
        <w:pStyle w:val="16"/>
        <w:adjustRightInd w:val="0"/>
        <w:snapToGrid w:val="0"/>
        <w:spacing w:line="360" w:lineRule="auto"/>
        <w:jc w:val="left"/>
        <w:rPr>
          <w:rFonts w:hAnsi="宋体"/>
          <w:b/>
          <w:bCs/>
          <w:color w:val="000000"/>
          <w:sz w:val="28"/>
          <w:szCs w:val="28"/>
        </w:rPr>
      </w:pPr>
    </w:p>
    <w:p>
      <w:pPr>
        <w:pStyle w:val="16"/>
        <w:adjustRightInd w:val="0"/>
        <w:snapToGrid w:val="0"/>
        <w:spacing w:line="360" w:lineRule="auto"/>
        <w:jc w:val="left"/>
        <w:rPr>
          <w:rFonts w:hAnsi="宋体"/>
          <w:b/>
          <w:bCs/>
          <w:color w:val="000000"/>
          <w:sz w:val="28"/>
          <w:szCs w:val="28"/>
        </w:rPr>
      </w:pPr>
    </w:p>
    <w:p>
      <w:pPr>
        <w:pStyle w:val="16"/>
        <w:adjustRightInd w:val="0"/>
        <w:snapToGrid w:val="0"/>
        <w:spacing w:line="360" w:lineRule="auto"/>
        <w:jc w:val="left"/>
        <w:rPr>
          <w:rFonts w:hAnsi="宋体"/>
          <w:b/>
          <w:bCs/>
          <w:color w:val="000000"/>
          <w:sz w:val="28"/>
          <w:szCs w:val="28"/>
        </w:rPr>
      </w:pPr>
    </w:p>
    <w:p>
      <w:pPr>
        <w:pStyle w:val="16"/>
        <w:adjustRightInd w:val="0"/>
        <w:snapToGrid w:val="0"/>
        <w:spacing w:line="360" w:lineRule="auto"/>
        <w:jc w:val="left"/>
        <w:rPr>
          <w:rFonts w:hAnsi="宋体"/>
          <w:b/>
          <w:bCs/>
          <w:color w:val="000000"/>
          <w:sz w:val="28"/>
          <w:szCs w:val="28"/>
        </w:rPr>
      </w:pPr>
    </w:p>
    <w:p>
      <w:pPr>
        <w:pStyle w:val="16"/>
        <w:adjustRightInd w:val="0"/>
        <w:snapToGrid w:val="0"/>
        <w:spacing w:line="360" w:lineRule="auto"/>
        <w:jc w:val="left"/>
        <w:rPr>
          <w:rFonts w:hAnsi="宋体"/>
          <w:b/>
          <w:bCs/>
          <w:color w:val="000000"/>
          <w:sz w:val="28"/>
          <w:szCs w:val="28"/>
        </w:rPr>
      </w:pPr>
    </w:p>
    <w:p>
      <w:pPr>
        <w:pStyle w:val="16"/>
        <w:adjustRightInd w:val="0"/>
        <w:snapToGrid w:val="0"/>
        <w:spacing w:line="360" w:lineRule="auto"/>
        <w:jc w:val="left"/>
        <w:rPr>
          <w:rFonts w:hAnsi="宋体"/>
          <w:b/>
          <w:bCs/>
          <w:color w:val="000000"/>
          <w:sz w:val="28"/>
          <w:szCs w:val="28"/>
        </w:rPr>
      </w:pPr>
    </w:p>
    <w:p>
      <w:pPr>
        <w:pStyle w:val="16"/>
        <w:adjustRightInd w:val="0"/>
        <w:snapToGrid w:val="0"/>
        <w:spacing w:line="360" w:lineRule="auto"/>
        <w:jc w:val="left"/>
        <w:rPr>
          <w:rFonts w:hAnsi="宋体"/>
          <w:b/>
          <w:bCs/>
          <w:color w:val="000000"/>
          <w:sz w:val="28"/>
          <w:szCs w:val="28"/>
        </w:rPr>
      </w:pPr>
    </w:p>
    <w:p>
      <w:pPr>
        <w:pStyle w:val="16"/>
        <w:adjustRightInd w:val="0"/>
        <w:snapToGrid w:val="0"/>
        <w:spacing w:line="360" w:lineRule="auto"/>
        <w:jc w:val="left"/>
        <w:rPr>
          <w:rFonts w:hAnsi="宋体"/>
          <w:b/>
          <w:bCs/>
          <w:color w:val="000000"/>
          <w:sz w:val="28"/>
          <w:szCs w:val="28"/>
        </w:rPr>
      </w:pPr>
    </w:p>
    <w:p>
      <w:pPr>
        <w:pStyle w:val="16"/>
        <w:adjustRightInd w:val="0"/>
        <w:snapToGrid w:val="0"/>
        <w:spacing w:line="360" w:lineRule="auto"/>
        <w:jc w:val="left"/>
        <w:rPr>
          <w:rFonts w:hAnsi="宋体"/>
          <w:b/>
          <w:bCs/>
          <w:color w:val="000000"/>
          <w:sz w:val="28"/>
          <w:szCs w:val="28"/>
        </w:rPr>
      </w:pPr>
    </w:p>
    <w:p>
      <w:pPr>
        <w:pStyle w:val="16"/>
        <w:adjustRightInd w:val="0"/>
        <w:snapToGrid w:val="0"/>
        <w:spacing w:line="360" w:lineRule="auto"/>
        <w:jc w:val="left"/>
        <w:rPr>
          <w:rFonts w:hAnsi="宋体"/>
          <w:b/>
          <w:bCs/>
          <w:color w:val="000000"/>
          <w:sz w:val="28"/>
          <w:szCs w:val="28"/>
        </w:rPr>
      </w:pPr>
    </w:p>
    <w:p>
      <w:pPr>
        <w:pStyle w:val="16"/>
        <w:adjustRightInd w:val="0"/>
        <w:snapToGrid w:val="0"/>
        <w:spacing w:line="360" w:lineRule="auto"/>
        <w:jc w:val="left"/>
        <w:rPr>
          <w:rFonts w:hAnsi="宋体"/>
          <w:b/>
          <w:bCs/>
          <w:color w:val="000000"/>
          <w:sz w:val="28"/>
          <w:szCs w:val="28"/>
        </w:rPr>
      </w:pPr>
    </w:p>
    <w:p>
      <w:pPr>
        <w:pStyle w:val="16"/>
        <w:adjustRightInd w:val="0"/>
        <w:snapToGrid w:val="0"/>
        <w:spacing w:line="360" w:lineRule="auto"/>
        <w:jc w:val="left"/>
        <w:rPr>
          <w:rFonts w:hAnsi="宋体"/>
          <w:b/>
          <w:bCs/>
          <w:color w:val="000000"/>
          <w:sz w:val="28"/>
          <w:szCs w:val="28"/>
        </w:rPr>
      </w:pPr>
    </w:p>
    <w:p>
      <w:pPr>
        <w:widowControl/>
        <w:jc w:val="left"/>
        <w:rPr>
          <w:rFonts w:ascii="宋体" w:hAnsi="宋体" w:cs="Courier New"/>
          <w:b/>
          <w:bCs/>
          <w:color w:val="000000"/>
          <w:sz w:val="28"/>
          <w:szCs w:val="28"/>
        </w:rPr>
      </w:pPr>
      <w:r>
        <w:rPr>
          <w:rFonts w:hAnsi="宋体"/>
          <w:b/>
          <w:bCs/>
          <w:color w:val="000000"/>
          <w:sz w:val="28"/>
          <w:szCs w:val="28"/>
        </w:rPr>
        <w:br w:type="page"/>
      </w:r>
    </w:p>
    <w:p>
      <w:pPr>
        <w:pStyle w:val="16"/>
        <w:adjustRightInd w:val="0"/>
        <w:snapToGrid w:val="0"/>
        <w:spacing w:line="500" w:lineRule="exact"/>
        <w:jc w:val="left"/>
        <w:rPr>
          <w:rFonts w:hAnsi="宋体"/>
          <w:b/>
          <w:bCs/>
          <w:color w:val="000000"/>
          <w:sz w:val="28"/>
          <w:szCs w:val="28"/>
        </w:rPr>
      </w:pPr>
      <w:r>
        <w:rPr>
          <w:rFonts w:hint="eastAsia" w:hAnsi="宋体"/>
          <w:b/>
          <w:bCs/>
          <w:color w:val="000000"/>
          <w:sz w:val="28"/>
          <w:szCs w:val="28"/>
        </w:rPr>
        <w:t xml:space="preserve">附件1  </w:t>
      </w:r>
    </w:p>
    <w:p>
      <w:pPr>
        <w:pStyle w:val="16"/>
        <w:adjustRightInd w:val="0"/>
        <w:snapToGrid w:val="0"/>
        <w:spacing w:line="500" w:lineRule="exact"/>
        <w:jc w:val="left"/>
        <w:rPr>
          <w:rFonts w:hAnsi="宋体"/>
          <w:b/>
          <w:bCs/>
          <w:color w:val="000000"/>
          <w:sz w:val="28"/>
          <w:szCs w:val="28"/>
        </w:rPr>
      </w:pPr>
    </w:p>
    <w:p>
      <w:pPr>
        <w:pStyle w:val="16"/>
        <w:adjustRightInd w:val="0"/>
        <w:snapToGrid w:val="0"/>
        <w:spacing w:line="360" w:lineRule="auto"/>
        <w:jc w:val="center"/>
        <w:rPr>
          <w:rFonts w:hAnsi="宋体"/>
          <w:b/>
          <w:bCs/>
          <w:sz w:val="28"/>
          <w:szCs w:val="28"/>
        </w:rPr>
      </w:pPr>
      <w:bookmarkStart w:id="168" w:name="_Toc4164_WPSOffice_Level1"/>
      <w:r>
        <w:rPr>
          <w:rFonts w:hint="eastAsia" w:hAnsi="宋体"/>
          <w:b/>
          <w:bCs/>
          <w:sz w:val="28"/>
          <w:szCs w:val="28"/>
        </w:rPr>
        <w:t>投   标   函</w:t>
      </w:r>
      <w:bookmarkEnd w:id="168"/>
    </w:p>
    <w:p>
      <w:pPr>
        <w:widowControl/>
        <w:spacing w:line="360" w:lineRule="auto"/>
        <w:jc w:val="left"/>
        <w:rPr>
          <w:rFonts w:ascii="宋体" w:hAnsi="宋体" w:cs="宋体"/>
          <w:sz w:val="24"/>
          <w:szCs w:val="21"/>
        </w:rPr>
      </w:pPr>
      <w:r>
        <w:rPr>
          <w:rFonts w:hint="eastAsia" w:ascii="宋体" w:hAnsi="宋体" w:cs="宋体"/>
          <w:color w:val="000000"/>
          <w:kern w:val="0"/>
          <w:sz w:val="24"/>
        </w:rPr>
        <w:t>致：（采购人/采购代理机构名称）</w:t>
      </w:r>
      <w:r>
        <w:rPr>
          <w:rFonts w:hint="eastAsia" w:ascii="宋体" w:hAnsi="宋体"/>
          <w:b/>
          <w:sz w:val="24"/>
        </w:rPr>
        <w:t>:</w:t>
      </w:r>
    </w:p>
    <w:p>
      <w:pPr>
        <w:widowControl/>
        <w:spacing w:line="360" w:lineRule="auto"/>
        <w:ind w:firstLine="480" w:firstLineChars="200"/>
        <w:jc w:val="left"/>
      </w:pPr>
      <w:r>
        <w:rPr>
          <w:rFonts w:hint="eastAsia" w:ascii="宋体" w:hAnsi="宋体" w:cs="宋体"/>
          <w:color w:val="000000"/>
          <w:kern w:val="0"/>
          <w:sz w:val="24"/>
        </w:rPr>
        <w:t xml:space="preserve">我（单位/本人，以下统称我方）自愿参加（项目名称和招标编号）的投标,并做出如 </w:t>
      </w:r>
    </w:p>
    <w:p>
      <w:pPr>
        <w:widowControl/>
        <w:spacing w:line="360" w:lineRule="auto"/>
        <w:jc w:val="left"/>
      </w:pPr>
      <w:r>
        <w:rPr>
          <w:rFonts w:hint="eastAsia" w:ascii="宋体" w:hAnsi="宋体" w:cs="宋体"/>
          <w:color w:val="000000"/>
          <w:kern w:val="0"/>
          <w:sz w:val="24"/>
        </w:rPr>
        <w:t xml:space="preserve">下承诺： </w:t>
      </w:r>
    </w:p>
    <w:p>
      <w:pPr>
        <w:widowControl/>
        <w:spacing w:line="360" w:lineRule="auto"/>
        <w:jc w:val="left"/>
      </w:pPr>
      <w:r>
        <w:rPr>
          <w:rFonts w:hint="eastAsia" w:ascii="宋体" w:hAnsi="宋体" w:cs="宋体"/>
          <w:color w:val="000000"/>
          <w:kern w:val="0"/>
          <w:sz w:val="24"/>
        </w:rPr>
        <w:t xml:space="preserve">一、我方授权 (姓名和职务)代表我方（投标单位的名称）全权处理本项目投标的有关事宜。 </w:t>
      </w:r>
    </w:p>
    <w:p>
      <w:pPr>
        <w:widowControl/>
        <w:spacing w:line="360" w:lineRule="auto"/>
        <w:jc w:val="left"/>
      </w:pPr>
      <w:r>
        <w:rPr>
          <w:rFonts w:hint="eastAsia" w:ascii="宋体" w:hAnsi="宋体" w:cs="宋体"/>
          <w:color w:val="000000"/>
          <w:kern w:val="0"/>
          <w:sz w:val="24"/>
        </w:rPr>
        <w:t>二、我方愿意按照采购文件规定的各项要求，向采购人提供所需的货物，我方所投总投标价为人民币（大写）：</w:t>
      </w:r>
      <w:r>
        <w:rPr>
          <w:rFonts w:hint="eastAsia" w:ascii="宋体" w:hAnsi="宋体" w:cs="宋体"/>
          <w:color w:val="000000"/>
          <w:kern w:val="0"/>
          <w:sz w:val="24"/>
          <w:u w:val="single"/>
        </w:rPr>
        <w:t xml:space="preserve">      </w:t>
      </w:r>
      <w:r>
        <w:rPr>
          <w:rFonts w:hint="eastAsia" w:ascii="宋体" w:hAnsi="宋体" w:cs="宋体"/>
          <w:color w:val="000000"/>
          <w:kern w:val="0"/>
          <w:sz w:val="24"/>
        </w:rPr>
        <w:t>（小写）：</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  </w:t>
      </w:r>
    </w:p>
    <w:p>
      <w:pPr>
        <w:widowControl/>
        <w:spacing w:line="360" w:lineRule="auto"/>
        <w:jc w:val="left"/>
      </w:pPr>
      <w:r>
        <w:rPr>
          <w:rFonts w:hint="eastAsia" w:ascii="宋体" w:hAnsi="宋体" w:cs="宋体"/>
          <w:color w:val="000000"/>
          <w:kern w:val="0"/>
          <w:sz w:val="24"/>
        </w:rPr>
        <w:t xml:space="preserve">三、我方已详细审查全部采购文件，包括所有补充通知（如有），完全理解并同意放弃对这方面有不明、误解的权利。 </w:t>
      </w:r>
    </w:p>
    <w:p>
      <w:pPr>
        <w:widowControl/>
        <w:spacing w:line="360" w:lineRule="auto"/>
        <w:jc w:val="left"/>
      </w:pPr>
      <w:r>
        <w:rPr>
          <w:rFonts w:hint="eastAsia" w:ascii="宋体" w:hAnsi="宋体" w:cs="宋体"/>
          <w:color w:val="000000"/>
          <w:kern w:val="0"/>
          <w:sz w:val="24"/>
        </w:rPr>
        <w:t xml:space="preserve">四、我方同意按照采购文件要求缴纳投标保证金，并承诺自投标截止时间至本项目发布中标公告为止，撤销投标的、或者中标后不依法与采购人签订合同、或者中标后不按照本采购文件规定缴纳招标代理费的，我方将向采购人、采购代理机构支付本采购文件公布的投标保证金作为违约赔偿金。 </w:t>
      </w:r>
    </w:p>
    <w:p>
      <w:pPr>
        <w:widowControl/>
        <w:spacing w:line="360" w:lineRule="auto"/>
        <w:jc w:val="left"/>
      </w:pPr>
      <w:r>
        <w:rPr>
          <w:rFonts w:hint="eastAsia" w:ascii="宋体" w:hAnsi="宋体" w:cs="宋体"/>
          <w:color w:val="000000"/>
          <w:kern w:val="0"/>
          <w:sz w:val="24"/>
        </w:rPr>
        <w:t>五、我方愿意按照采购文件的要求，在投标有效期</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天内提供与项目有关的所有文件资料，并保证我方所有文件资料的合法性、真实性、完整性和准确性。 </w:t>
      </w:r>
    </w:p>
    <w:p>
      <w:pPr>
        <w:widowControl/>
        <w:spacing w:line="360" w:lineRule="auto"/>
        <w:jc w:val="left"/>
      </w:pPr>
      <w:r>
        <w:rPr>
          <w:rFonts w:hint="eastAsia" w:ascii="宋体" w:hAnsi="宋体" w:cs="宋体"/>
          <w:color w:val="000000"/>
          <w:kern w:val="0"/>
          <w:sz w:val="24"/>
        </w:rPr>
        <w:t>六、一旦我方被确定为中标供应商，我方将严格履行合同规定的责任和义务，保证于合同签字生效后按照约定时间完成项目，并交付采购人验收</w:t>
      </w:r>
    </w:p>
    <w:p>
      <w:pPr>
        <w:spacing w:line="500" w:lineRule="exact"/>
        <w:rPr>
          <w:rFonts w:ascii="宋体" w:hAnsi="宋体" w:cs="宋体"/>
          <w:sz w:val="24"/>
          <w:szCs w:val="21"/>
        </w:rPr>
      </w:pPr>
    </w:p>
    <w:p>
      <w:pPr>
        <w:spacing w:line="500" w:lineRule="exact"/>
        <w:rPr>
          <w:rFonts w:ascii="宋体" w:hAnsi="宋体" w:cs="宋体"/>
          <w:sz w:val="24"/>
          <w:szCs w:val="21"/>
        </w:rPr>
      </w:pPr>
    </w:p>
    <w:p>
      <w:pPr>
        <w:spacing w:line="500" w:lineRule="exact"/>
        <w:rPr>
          <w:rFonts w:ascii="宋体" w:hAnsi="宋体" w:cs="宋体"/>
          <w:sz w:val="24"/>
          <w:szCs w:val="21"/>
        </w:rPr>
      </w:pPr>
      <w:r>
        <w:rPr>
          <w:rFonts w:hint="eastAsia" w:ascii="宋体" w:hAnsi="宋体" w:cs="宋体"/>
          <w:sz w:val="24"/>
          <w:szCs w:val="21"/>
        </w:rPr>
        <w:t xml:space="preserve">                            投 标 人：</w:t>
      </w:r>
      <w:r>
        <w:rPr>
          <w:rFonts w:hint="eastAsia" w:ascii="宋体" w:hAnsi="宋体" w:cs="宋体"/>
          <w:sz w:val="24"/>
          <w:szCs w:val="21"/>
          <w:u w:val="single"/>
        </w:rPr>
        <w:t xml:space="preserve">                     </w:t>
      </w:r>
      <w:r>
        <w:rPr>
          <w:rFonts w:hint="eastAsia" w:ascii="宋体" w:hAnsi="宋体" w:cs="宋体"/>
          <w:sz w:val="24"/>
          <w:szCs w:val="21"/>
        </w:rPr>
        <w:t>（盖单位章）</w:t>
      </w:r>
    </w:p>
    <w:p>
      <w:pPr>
        <w:spacing w:line="500" w:lineRule="exact"/>
        <w:ind w:left="4080" w:hanging="4080" w:hangingChars="1700"/>
        <w:jc w:val="center"/>
        <w:rPr>
          <w:rFonts w:ascii="宋体" w:hAnsi="宋体" w:cs="宋体"/>
          <w:sz w:val="24"/>
          <w:szCs w:val="21"/>
        </w:rPr>
      </w:pPr>
      <w:r>
        <w:rPr>
          <w:rFonts w:hint="eastAsia" w:ascii="宋体" w:hAnsi="宋体"/>
          <w:sz w:val="24"/>
        </w:rPr>
        <w:t xml:space="preserve">           法定代表人签字或盖章/授权委托人签字</w:t>
      </w:r>
      <w:r>
        <w:rPr>
          <w:rFonts w:hint="eastAsia" w:ascii="宋体" w:hAnsi="宋体" w:cs="宋体"/>
          <w:sz w:val="24"/>
          <w:szCs w:val="21"/>
        </w:rPr>
        <w:t>：</w:t>
      </w:r>
      <w:r>
        <w:rPr>
          <w:rFonts w:hint="eastAsia" w:ascii="宋体" w:hAnsi="宋体" w:cs="宋体"/>
          <w:sz w:val="24"/>
          <w:szCs w:val="21"/>
          <w:u w:val="single"/>
        </w:rPr>
        <w:t xml:space="preserve">         </w:t>
      </w:r>
      <w:r>
        <w:rPr>
          <w:rFonts w:hint="eastAsia" w:ascii="宋体" w:hAnsi="宋体" w:cs="宋体"/>
          <w:sz w:val="24"/>
          <w:szCs w:val="21"/>
        </w:rPr>
        <w:t xml:space="preserve">                    </w:t>
      </w:r>
    </w:p>
    <w:p>
      <w:pPr>
        <w:spacing w:line="500" w:lineRule="exact"/>
        <w:ind w:firstLine="3360" w:firstLineChars="1400"/>
        <w:rPr>
          <w:rFonts w:ascii="宋体" w:hAnsi="宋体" w:cs="宋体"/>
          <w:sz w:val="24"/>
          <w:szCs w:val="21"/>
        </w:rPr>
      </w:pPr>
      <w:r>
        <w:rPr>
          <w:rFonts w:hint="eastAsia" w:ascii="宋体" w:hAnsi="宋体" w:cs="宋体"/>
          <w:sz w:val="24"/>
          <w:szCs w:val="21"/>
        </w:rPr>
        <w:t>地址：</w:t>
      </w:r>
      <w:r>
        <w:rPr>
          <w:rFonts w:hint="eastAsia" w:ascii="宋体" w:hAnsi="宋体" w:cs="宋体"/>
          <w:sz w:val="24"/>
          <w:szCs w:val="21"/>
          <w:u w:val="single"/>
        </w:rPr>
        <w:t xml:space="preserve">                     </w:t>
      </w:r>
    </w:p>
    <w:p>
      <w:pPr>
        <w:spacing w:line="500" w:lineRule="exact"/>
        <w:rPr>
          <w:rFonts w:ascii="宋体" w:hAnsi="宋体" w:cs="宋体"/>
          <w:sz w:val="24"/>
          <w:szCs w:val="21"/>
        </w:rPr>
      </w:pPr>
      <w:r>
        <w:rPr>
          <w:rFonts w:hint="eastAsia" w:ascii="宋体" w:hAnsi="宋体" w:cs="宋体"/>
          <w:sz w:val="24"/>
          <w:szCs w:val="21"/>
        </w:rPr>
        <w:t xml:space="preserve">                            电话：</w:t>
      </w:r>
    </w:p>
    <w:p>
      <w:pPr>
        <w:tabs>
          <w:tab w:val="left" w:pos="540"/>
          <w:tab w:val="left" w:pos="900"/>
        </w:tabs>
        <w:autoSpaceDE w:val="0"/>
        <w:autoSpaceDN w:val="0"/>
        <w:spacing w:line="500" w:lineRule="exact"/>
        <w:ind w:firstLine="4560" w:firstLineChars="1900"/>
        <w:textAlignment w:val="bottom"/>
        <w:rPr>
          <w:rFonts w:ascii="宋体" w:hAnsi="宋体" w:cs="宋体"/>
          <w:sz w:val="24"/>
        </w:rPr>
      </w:pPr>
      <w:r>
        <w:rPr>
          <w:rFonts w:hint="eastAsia" w:ascii="宋体" w:hAnsi="宋体" w:cs="宋体"/>
          <w:sz w:val="24"/>
          <w:szCs w:val="21"/>
          <w:u w:val="single"/>
        </w:rPr>
        <w:t xml:space="preserve">         </w:t>
      </w:r>
      <w:r>
        <w:rPr>
          <w:rFonts w:hint="eastAsia" w:ascii="宋体" w:hAnsi="宋体" w:cs="宋体"/>
          <w:sz w:val="24"/>
          <w:szCs w:val="21"/>
        </w:rPr>
        <w:t>年</w:t>
      </w:r>
      <w:r>
        <w:rPr>
          <w:rFonts w:hint="eastAsia" w:ascii="宋体" w:hAnsi="宋体" w:cs="宋体"/>
          <w:sz w:val="24"/>
          <w:szCs w:val="21"/>
          <w:u w:val="single"/>
        </w:rPr>
        <w:t xml:space="preserve">        </w:t>
      </w:r>
      <w:r>
        <w:rPr>
          <w:rFonts w:hint="eastAsia" w:ascii="宋体" w:hAnsi="宋体" w:cs="宋体"/>
          <w:sz w:val="24"/>
          <w:szCs w:val="21"/>
        </w:rPr>
        <w:t>月</w:t>
      </w:r>
      <w:r>
        <w:rPr>
          <w:rFonts w:hint="eastAsia" w:ascii="宋体" w:hAnsi="宋体" w:cs="宋体"/>
          <w:sz w:val="24"/>
          <w:szCs w:val="21"/>
          <w:u w:val="single"/>
        </w:rPr>
        <w:t xml:space="preserve">        </w:t>
      </w:r>
      <w:r>
        <w:rPr>
          <w:rFonts w:hint="eastAsia" w:ascii="宋体" w:hAnsi="宋体" w:cs="宋体"/>
          <w:sz w:val="24"/>
          <w:szCs w:val="21"/>
        </w:rPr>
        <w:t>日</w:t>
      </w:r>
      <w:r>
        <w:rPr>
          <w:rFonts w:hint="eastAsia" w:ascii="宋体" w:hAnsi="宋体" w:cs="宋体"/>
          <w:sz w:val="24"/>
        </w:rPr>
        <w:br w:type="page"/>
      </w:r>
    </w:p>
    <w:p>
      <w:pPr>
        <w:widowControl/>
        <w:jc w:val="left"/>
        <w:rPr>
          <w:rFonts w:ascii="宋体" w:hAnsi="宋体" w:cs="宋体"/>
          <w:sz w:val="28"/>
          <w:szCs w:val="28"/>
        </w:rPr>
      </w:pPr>
      <w:r>
        <w:rPr>
          <w:rFonts w:hint="eastAsia" w:ascii="宋体" w:hAnsi="宋体" w:cs="宋体"/>
          <w:b/>
          <w:bCs/>
          <w:color w:val="000000"/>
          <w:kern w:val="0"/>
          <w:sz w:val="28"/>
          <w:szCs w:val="28"/>
        </w:rPr>
        <w:t>附件1-1                         承诺函</w:t>
      </w:r>
    </w:p>
    <w:p>
      <w:pPr>
        <w:widowControl/>
        <w:spacing w:line="264" w:lineRule="auto"/>
        <w:jc w:val="left"/>
        <w:rPr>
          <w:rFonts w:ascii="宋体" w:hAnsi="宋体" w:cs="宋体"/>
          <w:sz w:val="24"/>
          <w:u w:val="single"/>
        </w:rPr>
      </w:pPr>
      <w:r>
        <w:rPr>
          <w:rFonts w:hint="eastAsia" w:ascii="宋体" w:hAnsi="宋体" w:cs="宋体"/>
          <w:color w:val="000000"/>
          <w:kern w:val="0"/>
          <w:sz w:val="24"/>
        </w:rPr>
        <w:t xml:space="preserve">（采购代理机构名称）： </w:t>
      </w:r>
      <w:r>
        <w:rPr>
          <w:rFonts w:hint="eastAsia" w:ascii="宋体" w:hAnsi="宋体" w:cs="宋体"/>
          <w:color w:val="000000"/>
          <w:kern w:val="0"/>
          <w:sz w:val="24"/>
          <w:u w:val="single"/>
        </w:rPr>
        <w:t xml:space="preserve">       </w:t>
      </w:r>
    </w:p>
    <w:p>
      <w:pPr>
        <w:widowControl/>
        <w:spacing w:line="264" w:lineRule="auto"/>
        <w:jc w:val="left"/>
        <w:rPr>
          <w:rFonts w:ascii="宋体" w:hAnsi="宋体" w:cs="宋体"/>
          <w:sz w:val="24"/>
        </w:rPr>
      </w:pPr>
      <w:r>
        <w:rPr>
          <w:rFonts w:hint="eastAsia" w:ascii="宋体" w:hAnsi="宋体" w:cs="宋体"/>
          <w:color w:val="000000"/>
          <w:kern w:val="0"/>
          <w:sz w:val="24"/>
        </w:rPr>
        <w:t xml:space="preserve">我方作为本次采购项目的供应商，根据竞争性磋商文件要求，现郑重承诺如下： </w:t>
      </w:r>
    </w:p>
    <w:p>
      <w:pPr>
        <w:widowControl/>
        <w:spacing w:line="264" w:lineRule="auto"/>
        <w:jc w:val="left"/>
        <w:rPr>
          <w:rFonts w:ascii="宋体" w:hAnsi="宋体" w:cs="宋体"/>
          <w:sz w:val="24"/>
        </w:rPr>
      </w:pPr>
      <w:r>
        <w:rPr>
          <w:rFonts w:hint="eastAsia" w:ascii="宋体" w:hAnsi="宋体" w:cs="宋体"/>
          <w:color w:val="000000"/>
          <w:kern w:val="0"/>
          <w:sz w:val="24"/>
        </w:rPr>
        <w:t xml:space="preserve">一、我方已认真阅读本项目竞争性磋商文件，完全知晓和明白竞争性磋商文件所有采购需求及要求， </w:t>
      </w:r>
    </w:p>
    <w:p>
      <w:pPr>
        <w:widowControl/>
        <w:spacing w:line="264" w:lineRule="auto"/>
        <w:jc w:val="left"/>
        <w:rPr>
          <w:rFonts w:ascii="宋体" w:hAnsi="宋体" w:cs="宋体"/>
          <w:sz w:val="24"/>
        </w:rPr>
      </w:pPr>
      <w:r>
        <w:rPr>
          <w:rFonts w:hint="eastAsia" w:ascii="宋体" w:hAnsi="宋体" w:cs="宋体"/>
          <w:color w:val="000000"/>
          <w:kern w:val="0"/>
          <w:sz w:val="24"/>
        </w:rPr>
        <w:t xml:space="preserve">如对竞争性磋商文件有异议，已依法进行维权救济，不存在对竞争性磋商文件有异议的同时又参加投标 </w:t>
      </w:r>
    </w:p>
    <w:p>
      <w:pPr>
        <w:widowControl/>
        <w:spacing w:line="264" w:lineRule="auto"/>
        <w:jc w:val="left"/>
        <w:rPr>
          <w:rFonts w:ascii="宋体" w:hAnsi="宋体" w:cs="宋体"/>
          <w:sz w:val="24"/>
        </w:rPr>
      </w:pPr>
      <w:r>
        <w:rPr>
          <w:rFonts w:hint="eastAsia" w:ascii="宋体" w:hAnsi="宋体" w:cs="宋体"/>
          <w:color w:val="000000"/>
          <w:kern w:val="0"/>
          <w:sz w:val="24"/>
        </w:rPr>
        <w:t xml:space="preserve">以求侥幸中标或者为实现其他非法目的的行为。 </w:t>
      </w:r>
    </w:p>
    <w:p>
      <w:pPr>
        <w:widowControl/>
        <w:spacing w:line="264" w:lineRule="auto"/>
        <w:jc w:val="left"/>
        <w:rPr>
          <w:rFonts w:ascii="宋体" w:hAnsi="宋体" w:cs="宋体"/>
          <w:sz w:val="24"/>
        </w:rPr>
      </w:pPr>
      <w:r>
        <w:rPr>
          <w:rFonts w:hint="eastAsia" w:ascii="宋体" w:hAnsi="宋体" w:cs="宋体"/>
          <w:color w:val="000000"/>
          <w:kern w:val="0"/>
          <w:sz w:val="24"/>
        </w:rPr>
        <w:t xml:space="preserve">二、我方已认真阅读并接受本项目竞争性磋商文件第二章的全部实质性要求。 </w:t>
      </w:r>
    </w:p>
    <w:p>
      <w:pPr>
        <w:widowControl/>
        <w:spacing w:line="264" w:lineRule="auto"/>
        <w:jc w:val="left"/>
        <w:rPr>
          <w:rFonts w:ascii="宋体" w:hAnsi="宋体" w:cs="宋体"/>
          <w:sz w:val="24"/>
        </w:rPr>
      </w:pPr>
      <w:r>
        <w:rPr>
          <w:rFonts w:hint="eastAsia" w:ascii="宋体" w:hAnsi="宋体" w:cs="宋体"/>
          <w:color w:val="000000"/>
          <w:kern w:val="0"/>
          <w:sz w:val="24"/>
        </w:rPr>
        <w:t xml:space="preserve">三、参加本次招标采购活动，不存在与单位负责人为同一人或者存在直接控股、管理关 </w:t>
      </w:r>
    </w:p>
    <w:p>
      <w:pPr>
        <w:widowControl/>
        <w:spacing w:line="264" w:lineRule="auto"/>
        <w:jc w:val="left"/>
        <w:rPr>
          <w:rFonts w:ascii="宋体" w:hAnsi="宋体" w:cs="宋体"/>
          <w:sz w:val="24"/>
        </w:rPr>
      </w:pPr>
      <w:r>
        <w:rPr>
          <w:rFonts w:hint="eastAsia" w:ascii="宋体" w:hAnsi="宋体" w:cs="宋体"/>
          <w:color w:val="000000"/>
          <w:kern w:val="0"/>
          <w:sz w:val="24"/>
        </w:rPr>
        <w:t xml:space="preserve">系的其他供应商参与同一合同项下的政府采购活动的行为。 </w:t>
      </w:r>
    </w:p>
    <w:p>
      <w:pPr>
        <w:widowControl/>
        <w:spacing w:line="264" w:lineRule="auto"/>
        <w:jc w:val="left"/>
        <w:rPr>
          <w:rFonts w:ascii="宋体" w:hAnsi="宋体" w:cs="宋体"/>
          <w:sz w:val="24"/>
        </w:rPr>
      </w:pPr>
      <w:r>
        <w:rPr>
          <w:rFonts w:hint="eastAsia" w:ascii="宋体" w:hAnsi="宋体" w:cs="宋体"/>
          <w:color w:val="000000"/>
          <w:kern w:val="0"/>
          <w:sz w:val="24"/>
        </w:rPr>
        <w:t xml:space="preserve">四、为采购项目提供整体设计、规范编制或者项目管理、监理、检测等服务的供应商， </w:t>
      </w:r>
    </w:p>
    <w:p>
      <w:pPr>
        <w:widowControl/>
        <w:spacing w:line="264" w:lineRule="auto"/>
        <w:jc w:val="left"/>
        <w:rPr>
          <w:rFonts w:ascii="宋体" w:hAnsi="宋体" w:cs="宋体"/>
          <w:sz w:val="24"/>
        </w:rPr>
      </w:pPr>
      <w:r>
        <w:rPr>
          <w:rFonts w:hint="eastAsia" w:ascii="宋体" w:hAnsi="宋体" w:cs="宋体"/>
          <w:color w:val="000000"/>
          <w:kern w:val="0"/>
          <w:sz w:val="24"/>
        </w:rPr>
        <w:t xml:space="preserve">不得再参加该采购项目的其他采购活动，我方承诺不属于此类禁止参加本项目的供应商。 </w:t>
      </w:r>
    </w:p>
    <w:p>
      <w:pPr>
        <w:widowControl/>
        <w:spacing w:line="264" w:lineRule="auto"/>
        <w:jc w:val="left"/>
        <w:rPr>
          <w:rFonts w:ascii="宋体" w:hAnsi="宋体" w:cs="宋体"/>
          <w:sz w:val="24"/>
        </w:rPr>
      </w:pPr>
      <w:r>
        <w:rPr>
          <w:rFonts w:hint="eastAsia" w:ascii="宋体" w:hAnsi="宋体" w:cs="宋体"/>
          <w:color w:val="000000"/>
          <w:kern w:val="0"/>
          <w:sz w:val="24"/>
        </w:rPr>
        <w:t xml:space="preserve">五、参加本次招标采购活动，不存在和其他供应商在同一合同项下的采购项目中，同时 </w:t>
      </w:r>
    </w:p>
    <w:p>
      <w:pPr>
        <w:widowControl/>
        <w:spacing w:line="264" w:lineRule="auto"/>
        <w:jc w:val="left"/>
        <w:rPr>
          <w:rFonts w:ascii="宋体" w:hAnsi="宋体" w:cs="宋体"/>
          <w:sz w:val="24"/>
        </w:rPr>
      </w:pPr>
      <w:r>
        <w:rPr>
          <w:rFonts w:hint="eastAsia" w:ascii="宋体" w:hAnsi="宋体" w:cs="宋体"/>
          <w:color w:val="000000"/>
          <w:kern w:val="0"/>
          <w:sz w:val="24"/>
        </w:rPr>
        <w:t xml:space="preserve">委托同一个自然人、同一家庭的人员、同一单位的人员作为代理人的行为。 </w:t>
      </w:r>
    </w:p>
    <w:p>
      <w:pPr>
        <w:widowControl/>
        <w:spacing w:line="264" w:lineRule="auto"/>
        <w:jc w:val="left"/>
        <w:rPr>
          <w:rFonts w:ascii="宋体" w:hAnsi="宋体" w:cs="宋体"/>
          <w:sz w:val="24"/>
        </w:rPr>
      </w:pPr>
      <w:r>
        <w:rPr>
          <w:rFonts w:hint="eastAsia" w:ascii="宋体" w:hAnsi="宋体" w:cs="宋体"/>
          <w:color w:val="000000"/>
          <w:kern w:val="0"/>
          <w:sz w:val="24"/>
        </w:rPr>
        <w:t xml:space="preserve">六、投标文件中提供的能够给予我方带来优惠、好处的任何材料资料和技术、服务、商 </w:t>
      </w:r>
    </w:p>
    <w:p>
      <w:pPr>
        <w:widowControl/>
        <w:spacing w:line="264" w:lineRule="auto"/>
        <w:jc w:val="left"/>
        <w:rPr>
          <w:rFonts w:ascii="宋体" w:hAnsi="宋体" w:cs="宋体"/>
          <w:sz w:val="24"/>
        </w:rPr>
      </w:pPr>
      <w:r>
        <w:rPr>
          <w:rFonts w:hint="eastAsia" w:ascii="宋体" w:hAnsi="宋体" w:cs="宋体"/>
          <w:color w:val="000000"/>
          <w:kern w:val="0"/>
          <w:sz w:val="24"/>
        </w:rPr>
        <w:t xml:space="preserve">务、响应产品等响应承诺情况都是真实的、有效的、合法的。 </w:t>
      </w:r>
    </w:p>
    <w:p>
      <w:pPr>
        <w:widowControl/>
        <w:spacing w:line="264" w:lineRule="auto"/>
        <w:jc w:val="left"/>
        <w:rPr>
          <w:rFonts w:ascii="宋体" w:hAnsi="宋体" w:cs="宋体"/>
          <w:sz w:val="24"/>
        </w:rPr>
      </w:pPr>
      <w:r>
        <w:rPr>
          <w:rFonts w:hint="eastAsia" w:ascii="宋体" w:hAnsi="宋体" w:cs="宋体"/>
          <w:color w:val="000000"/>
          <w:kern w:val="0"/>
          <w:sz w:val="24"/>
        </w:rPr>
        <w:t xml:space="preserve">七、如本项目评标过程中需要提供样品，则我方提供的样品即为中标后将要提供的中标 </w:t>
      </w:r>
    </w:p>
    <w:p>
      <w:pPr>
        <w:widowControl/>
        <w:spacing w:line="264" w:lineRule="auto"/>
        <w:jc w:val="left"/>
        <w:rPr>
          <w:rFonts w:ascii="宋体" w:hAnsi="宋体" w:cs="宋体"/>
          <w:sz w:val="24"/>
        </w:rPr>
      </w:pPr>
      <w:r>
        <w:rPr>
          <w:rFonts w:hint="eastAsia" w:ascii="宋体" w:hAnsi="宋体" w:cs="宋体"/>
          <w:color w:val="000000"/>
          <w:kern w:val="0"/>
          <w:sz w:val="24"/>
        </w:rPr>
        <w:t xml:space="preserve">产品，我方对提供样品的性能和质量负责，因样品存在缺陷或者不符合竞争性磋商文件要求导致 </w:t>
      </w:r>
    </w:p>
    <w:p>
      <w:pPr>
        <w:widowControl/>
        <w:spacing w:line="264" w:lineRule="auto"/>
        <w:jc w:val="left"/>
        <w:rPr>
          <w:rFonts w:ascii="宋体" w:hAnsi="宋体" w:cs="宋体"/>
          <w:sz w:val="24"/>
        </w:rPr>
      </w:pPr>
      <w:r>
        <w:rPr>
          <w:rFonts w:hint="eastAsia" w:ascii="宋体" w:hAnsi="宋体" w:cs="宋体"/>
          <w:color w:val="000000"/>
          <w:kern w:val="0"/>
          <w:sz w:val="24"/>
        </w:rPr>
        <w:t xml:space="preserve">未能中标的，我方愿意承担相应不利后果。 </w:t>
      </w:r>
    </w:p>
    <w:p>
      <w:pPr>
        <w:widowControl/>
        <w:spacing w:line="264" w:lineRule="auto"/>
        <w:jc w:val="left"/>
        <w:rPr>
          <w:rFonts w:ascii="宋体" w:hAnsi="宋体" w:cs="宋体"/>
          <w:sz w:val="24"/>
        </w:rPr>
      </w:pPr>
      <w:r>
        <w:rPr>
          <w:rFonts w:hint="eastAsia" w:ascii="宋体" w:hAnsi="宋体" w:cs="宋体"/>
          <w:color w:val="000000"/>
          <w:kern w:val="0"/>
          <w:sz w:val="24"/>
        </w:rPr>
        <w:t xml:space="preserve">八、国家或行业主管部门对采购产品的技术标准、质量标准和资格资质条件等有强制性 </w:t>
      </w:r>
    </w:p>
    <w:p>
      <w:pPr>
        <w:widowControl/>
        <w:spacing w:line="264" w:lineRule="auto"/>
        <w:jc w:val="left"/>
        <w:rPr>
          <w:rFonts w:ascii="宋体" w:hAnsi="宋体" w:cs="宋体"/>
          <w:sz w:val="24"/>
        </w:rPr>
      </w:pPr>
      <w:r>
        <w:rPr>
          <w:rFonts w:hint="eastAsia" w:ascii="宋体" w:hAnsi="宋体" w:cs="宋体"/>
          <w:color w:val="000000"/>
          <w:kern w:val="0"/>
          <w:sz w:val="24"/>
        </w:rPr>
        <w:t xml:space="preserve">规定的，我方承诺符合其要求。 </w:t>
      </w:r>
    </w:p>
    <w:p>
      <w:pPr>
        <w:widowControl/>
        <w:spacing w:line="264" w:lineRule="auto"/>
        <w:jc w:val="left"/>
        <w:rPr>
          <w:rFonts w:ascii="宋体" w:hAnsi="宋体" w:cs="宋体"/>
          <w:sz w:val="24"/>
        </w:rPr>
      </w:pPr>
      <w:r>
        <w:rPr>
          <w:rFonts w:hint="eastAsia" w:ascii="宋体" w:hAnsi="宋体" w:cs="宋体"/>
          <w:color w:val="000000"/>
          <w:kern w:val="0"/>
          <w:sz w:val="24"/>
        </w:rPr>
        <w:t xml:space="preserve">九、参加本次招标采购活动，我方完全同意竞争性磋商文件第二章关于“投标费用”、“合同 </w:t>
      </w:r>
    </w:p>
    <w:p>
      <w:pPr>
        <w:widowControl/>
        <w:spacing w:line="264" w:lineRule="auto"/>
        <w:jc w:val="left"/>
        <w:rPr>
          <w:rFonts w:ascii="宋体" w:hAnsi="宋体" w:cs="宋体"/>
          <w:sz w:val="24"/>
        </w:rPr>
      </w:pPr>
      <w:r>
        <w:rPr>
          <w:rFonts w:hint="eastAsia" w:ascii="宋体" w:hAnsi="宋体" w:cs="宋体"/>
          <w:color w:val="000000"/>
          <w:kern w:val="0"/>
          <w:sz w:val="24"/>
        </w:rPr>
        <w:t xml:space="preserve">分包”、“合同转包”的实质性要求，并承诺严格按照竞争性磋商文件要求履行。 </w:t>
      </w:r>
    </w:p>
    <w:p>
      <w:pPr>
        <w:widowControl/>
        <w:spacing w:line="264" w:lineRule="auto"/>
        <w:jc w:val="left"/>
        <w:rPr>
          <w:rFonts w:ascii="宋体" w:hAnsi="宋体" w:cs="宋体"/>
          <w:sz w:val="24"/>
        </w:rPr>
      </w:pPr>
      <w:r>
        <w:rPr>
          <w:rFonts w:hint="eastAsia" w:ascii="宋体" w:hAnsi="宋体" w:cs="宋体"/>
          <w:color w:val="000000"/>
          <w:kern w:val="0"/>
          <w:sz w:val="24"/>
        </w:rPr>
        <w:t xml:space="preserve">十、在本次投标之前一周年内，供应商本次投标中对同一品牌同一型号相同配置的产品 </w:t>
      </w:r>
    </w:p>
    <w:p>
      <w:pPr>
        <w:widowControl/>
        <w:spacing w:line="264" w:lineRule="auto"/>
        <w:jc w:val="left"/>
        <w:rPr>
          <w:rFonts w:ascii="宋体" w:hAnsi="宋体" w:cs="宋体"/>
          <w:sz w:val="24"/>
        </w:rPr>
      </w:pPr>
      <w:r>
        <w:rPr>
          <w:rFonts w:hint="eastAsia" w:ascii="宋体" w:hAnsi="宋体" w:cs="宋体"/>
          <w:color w:val="000000"/>
          <w:kern w:val="0"/>
          <w:sz w:val="24"/>
        </w:rPr>
        <w:t xml:space="preserve">报价与其在中国境内其他地方的最低报价比例不得高于 20%，我方承诺符合该要求。 </w:t>
      </w:r>
    </w:p>
    <w:p>
      <w:pPr>
        <w:widowControl/>
        <w:spacing w:line="264" w:lineRule="auto"/>
        <w:jc w:val="left"/>
        <w:rPr>
          <w:rFonts w:ascii="宋体" w:hAnsi="宋体" w:cs="宋体"/>
          <w:sz w:val="24"/>
        </w:rPr>
      </w:pPr>
      <w:r>
        <w:rPr>
          <w:rFonts w:hint="eastAsia" w:ascii="宋体" w:hAnsi="宋体" w:cs="宋体"/>
          <w:color w:val="000000"/>
          <w:kern w:val="0"/>
          <w:sz w:val="24"/>
        </w:rPr>
        <w:t xml:space="preserve">十一、我方保证在本项目使用的任何产品和服务（包括部分使用）时，不会产生因第三 </w:t>
      </w:r>
    </w:p>
    <w:p>
      <w:pPr>
        <w:widowControl/>
        <w:spacing w:line="264" w:lineRule="auto"/>
        <w:jc w:val="left"/>
        <w:rPr>
          <w:rFonts w:ascii="宋体" w:hAnsi="宋体" w:cs="宋体"/>
          <w:sz w:val="24"/>
        </w:rPr>
      </w:pPr>
      <w:r>
        <w:rPr>
          <w:rFonts w:hint="eastAsia" w:ascii="宋体" w:hAnsi="宋体" w:cs="宋体"/>
          <w:color w:val="000000"/>
          <w:kern w:val="0"/>
          <w:sz w:val="24"/>
        </w:rPr>
        <w:t xml:space="preserve">方提出侵犯其专利权、商标权或其它知识产权而引起的法律和经济纠纷，如因专利权、商 </w:t>
      </w:r>
    </w:p>
    <w:p>
      <w:pPr>
        <w:widowControl/>
        <w:spacing w:line="264" w:lineRule="auto"/>
        <w:jc w:val="left"/>
        <w:rPr>
          <w:rFonts w:ascii="宋体" w:hAnsi="宋体" w:cs="宋体"/>
          <w:sz w:val="24"/>
        </w:rPr>
      </w:pPr>
      <w:r>
        <w:rPr>
          <w:rFonts w:hint="eastAsia" w:ascii="宋体" w:hAnsi="宋体" w:cs="宋体"/>
          <w:color w:val="000000"/>
          <w:kern w:val="0"/>
          <w:sz w:val="24"/>
        </w:rPr>
        <w:t xml:space="preserve">标权或其它知识产权而引起法律和经济纠纷，由我方承担所有相关责任。采购人享有本项 </w:t>
      </w:r>
    </w:p>
    <w:p>
      <w:pPr>
        <w:widowControl/>
        <w:spacing w:line="264" w:lineRule="auto"/>
        <w:jc w:val="left"/>
        <w:rPr>
          <w:rFonts w:ascii="宋体" w:hAnsi="宋体" w:cs="宋体"/>
          <w:sz w:val="24"/>
        </w:rPr>
      </w:pPr>
      <w:r>
        <w:rPr>
          <w:rFonts w:hint="eastAsia" w:ascii="宋体" w:hAnsi="宋体" w:cs="宋体"/>
          <w:color w:val="000000"/>
          <w:kern w:val="0"/>
          <w:sz w:val="24"/>
        </w:rPr>
        <w:t xml:space="preserve">目实施过程中产生的知识成果及知识产权。如我方在项目实施过程中采用自有知识成果， </w:t>
      </w:r>
    </w:p>
    <w:p>
      <w:pPr>
        <w:widowControl/>
        <w:spacing w:line="264" w:lineRule="auto"/>
        <w:jc w:val="left"/>
        <w:rPr>
          <w:rFonts w:ascii="宋体" w:hAnsi="宋体" w:cs="宋体"/>
          <w:sz w:val="24"/>
        </w:rPr>
      </w:pPr>
      <w:r>
        <w:rPr>
          <w:rFonts w:hint="eastAsia" w:ascii="宋体" w:hAnsi="宋体" w:cs="宋体"/>
          <w:color w:val="000000"/>
          <w:kern w:val="0"/>
          <w:sz w:val="24"/>
        </w:rPr>
        <w:t xml:space="preserve">我方承诺提供开发接口和开发手册等技术文档，并提供无限期技术支持，采购人享有永久 </w:t>
      </w:r>
    </w:p>
    <w:p>
      <w:pPr>
        <w:widowControl/>
        <w:spacing w:line="264" w:lineRule="auto"/>
        <w:jc w:val="left"/>
        <w:rPr>
          <w:rFonts w:ascii="宋体" w:hAnsi="宋体" w:cs="宋体"/>
          <w:sz w:val="24"/>
        </w:rPr>
      </w:pPr>
      <w:r>
        <w:rPr>
          <w:rFonts w:hint="eastAsia" w:ascii="宋体" w:hAnsi="宋体" w:cs="宋体"/>
          <w:color w:val="000000"/>
          <w:kern w:val="0"/>
          <w:sz w:val="24"/>
        </w:rPr>
        <w:t xml:space="preserve">使用权（含采购人委托第三方在该项目后续开发的使用权）。如我方在项目实施过程中采 </w:t>
      </w:r>
    </w:p>
    <w:p>
      <w:pPr>
        <w:widowControl/>
        <w:spacing w:line="264" w:lineRule="auto"/>
        <w:jc w:val="left"/>
        <w:rPr>
          <w:rFonts w:ascii="宋体" w:hAnsi="宋体" w:cs="宋体"/>
          <w:sz w:val="24"/>
        </w:rPr>
      </w:pPr>
      <w:r>
        <w:rPr>
          <w:rFonts w:hint="eastAsia" w:ascii="宋体" w:hAnsi="宋体" w:cs="宋体"/>
          <w:color w:val="000000"/>
          <w:kern w:val="0"/>
          <w:sz w:val="24"/>
        </w:rPr>
        <w:t xml:space="preserve">用非自有的知识产权，则在投标报价中已包括合法获取该知识产权的相关费用。 </w:t>
      </w:r>
    </w:p>
    <w:p>
      <w:pPr>
        <w:widowControl/>
        <w:spacing w:line="264" w:lineRule="auto"/>
        <w:jc w:val="left"/>
        <w:rPr>
          <w:rFonts w:ascii="宋体" w:hAnsi="宋体" w:cs="宋体"/>
          <w:sz w:val="24"/>
        </w:rPr>
      </w:pPr>
      <w:r>
        <w:rPr>
          <w:rFonts w:hint="eastAsia" w:ascii="宋体" w:hAnsi="宋体" w:cs="宋体"/>
          <w:color w:val="000000"/>
          <w:kern w:val="0"/>
          <w:sz w:val="24"/>
        </w:rPr>
        <w:t xml:space="preserve">我方对上述承诺的内容事项真实性负责。如经查实上述承诺的内容事项存在虚假，我 </w:t>
      </w:r>
    </w:p>
    <w:p>
      <w:pPr>
        <w:widowControl/>
        <w:spacing w:line="264" w:lineRule="auto"/>
        <w:jc w:val="left"/>
        <w:rPr>
          <w:rFonts w:ascii="宋体" w:hAnsi="宋体" w:cs="宋体"/>
          <w:sz w:val="24"/>
        </w:rPr>
      </w:pPr>
      <w:r>
        <w:rPr>
          <w:rFonts w:hint="eastAsia" w:ascii="宋体" w:hAnsi="宋体" w:cs="宋体"/>
          <w:color w:val="000000"/>
          <w:kern w:val="0"/>
          <w:sz w:val="24"/>
        </w:rPr>
        <w:t xml:space="preserve">方愿意接受以提供虚假材料谋取中标追究法律责任。 </w:t>
      </w:r>
    </w:p>
    <w:p>
      <w:pPr>
        <w:widowControl/>
        <w:spacing w:line="264" w:lineRule="auto"/>
        <w:jc w:val="right"/>
      </w:pPr>
      <w:r>
        <w:rPr>
          <w:rFonts w:hint="eastAsia" w:ascii="宋体" w:hAnsi="宋体" w:cs="宋体"/>
          <w:color w:val="000000"/>
          <w:kern w:val="0"/>
          <w:sz w:val="24"/>
        </w:rPr>
        <w:t>供应商名称： （单位公章）</w:t>
      </w:r>
    </w:p>
    <w:p>
      <w:pPr>
        <w:widowControl/>
        <w:spacing w:line="264" w:lineRule="auto"/>
        <w:jc w:val="right"/>
        <w:rPr>
          <w:rFonts w:ascii="宋体" w:hAnsi="宋体" w:cs="宋体"/>
          <w:sz w:val="24"/>
        </w:rPr>
      </w:pPr>
      <w:r>
        <w:rPr>
          <w:rFonts w:hint="eastAsia" w:ascii="宋体" w:hAnsi="宋体" w:cs="宋体"/>
          <w:color w:val="000000"/>
          <w:kern w:val="0"/>
          <w:sz w:val="24"/>
        </w:rPr>
        <w:t xml:space="preserve">法定代表人/单位负责人或授权代表（签字或加盖个人名章）：  </w:t>
      </w:r>
    </w:p>
    <w:p>
      <w:pPr>
        <w:widowControl/>
        <w:spacing w:line="264" w:lineRule="auto"/>
        <w:jc w:val="right"/>
        <w:rPr>
          <w:rFonts w:ascii="宋体" w:hAnsi="宋体" w:cs="宋体"/>
          <w:color w:val="000000"/>
          <w:kern w:val="0"/>
          <w:sz w:val="24"/>
        </w:rPr>
      </w:pPr>
      <w:r>
        <w:rPr>
          <w:rFonts w:hint="eastAsia" w:ascii="宋体" w:hAnsi="宋体" w:cs="宋体"/>
          <w:color w:val="000000"/>
          <w:kern w:val="0"/>
          <w:sz w:val="24"/>
        </w:rPr>
        <w:t xml:space="preserve">日 期： 年 月 日 </w:t>
      </w:r>
    </w:p>
    <w:p>
      <w:pPr>
        <w:pStyle w:val="24"/>
        <w:ind w:left="400" w:hanging="400"/>
      </w:pPr>
    </w:p>
    <w:p>
      <w:pPr>
        <w:tabs>
          <w:tab w:val="left" w:pos="540"/>
          <w:tab w:val="left" w:pos="900"/>
        </w:tabs>
        <w:autoSpaceDE w:val="0"/>
        <w:autoSpaceDN w:val="0"/>
        <w:spacing w:line="500" w:lineRule="exact"/>
        <w:ind w:firstLine="4560" w:firstLineChars="1900"/>
        <w:textAlignment w:val="bottom"/>
        <w:rPr>
          <w:rFonts w:ascii="宋体" w:hAnsi="宋体" w:cs="宋体"/>
          <w:sz w:val="24"/>
        </w:rPr>
      </w:pPr>
    </w:p>
    <w:p>
      <w:pPr>
        <w:tabs>
          <w:tab w:val="left" w:pos="540"/>
          <w:tab w:val="left" w:pos="900"/>
        </w:tabs>
        <w:autoSpaceDE w:val="0"/>
        <w:autoSpaceDN w:val="0"/>
        <w:spacing w:line="720" w:lineRule="auto"/>
        <w:jc w:val="left"/>
        <w:textAlignment w:val="bottom"/>
        <w:rPr>
          <w:rFonts w:ascii="宋体" w:hAnsi="宋体"/>
          <w:b/>
          <w:bCs/>
          <w:color w:val="000000"/>
          <w:sz w:val="28"/>
          <w:szCs w:val="28"/>
        </w:rPr>
      </w:pPr>
      <w:r>
        <w:rPr>
          <w:rFonts w:hint="eastAsia" w:ascii="宋体" w:hAnsi="宋体"/>
          <w:b/>
          <w:bCs/>
          <w:color w:val="000000"/>
          <w:sz w:val="28"/>
          <w:szCs w:val="28"/>
        </w:rPr>
        <w:t>附件1-2                  响应供应商资格声明函</w:t>
      </w:r>
    </w:p>
    <w:p>
      <w:pPr>
        <w:pStyle w:val="31"/>
        <w:ind w:firstLine="602"/>
      </w:pPr>
    </w:p>
    <w:p>
      <w:pPr>
        <w:tabs>
          <w:tab w:val="left" w:pos="540"/>
          <w:tab w:val="left" w:pos="900"/>
        </w:tabs>
        <w:autoSpaceDE w:val="0"/>
        <w:autoSpaceDN w:val="0"/>
        <w:spacing w:line="360" w:lineRule="auto"/>
        <w:ind w:firstLine="480" w:firstLineChars="200"/>
        <w:textAlignment w:val="bottom"/>
        <w:rPr>
          <w:rFonts w:ascii="宋体" w:hAnsi="宋体"/>
          <w:color w:val="000000"/>
          <w:sz w:val="24"/>
        </w:rPr>
      </w:pPr>
      <w:r>
        <w:rPr>
          <w:rFonts w:hint="eastAsia" w:ascii="宋体" w:hAnsi="宋体"/>
          <w:color w:val="000000"/>
          <w:sz w:val="24"/>
        </w:rPr>
        <w:t>本公司郑重承诺，根据《中华人民共和国政府采购法》第二十二条的规定，本公司为参加政府采购活动的合格供应商。即本公司同时满足以下条件：</w:t>
      </w:r>
    </w:p>
    <w:p>
      <w:pPr>
        <w:tabs>
          <w:tab w:val="left" w:pos="540"/>
          <w:tab w:val="left" w:pos="900"/>
        </w:tabs>
        <w:autoSpaceDE w:val="0"/>
        <w:autoSpaceDN w:val="0"/>
        <w:spacing w:line="480" w:lineRule="auto"/>
        <w:textAlignment w:val="bottom"/>
        <w:rPr>
          <w:rFonts w:ascii="宋体" w:hAnsi="宋体"/>
          <w:color w:val="000000"/>
          <w:sz w:val="24"/>
        </w:rPr>
      </w:pPr>
      <w:r>
        <w:rPr>
          <w:rFonts w:hint="eastAsia" w:ascii="宋体" w:hAnsi="宋体"/>
          <w:color w:val="000000"/>
          <w:sz w:val="24"/>
        </w:rPr>
        <w:t>1.具有独立承担民事责任的能力。</w:t>
      </w:r>
    </w:p>
    <w:p>
      <w:pPr>
        <w:tabs>
          <w:tab w:val="left" w:pos="540"/>
          <w:tab w:val="left" w:pos="900"/>
        </w:tabs>
        <w:autoSpaceDE w:val="0"/>
        <w:autoSpaceDN w:val="0"/>
        <w:spacing w:line="480" w:lineRule="auto"/>
        <w:textAlignment w:val="bottom"/>
        <w:rPr>
          <w:rFonts w:ascii="宋体" w:hAnsi="宋体"/>
          <w:color w:val="000000"/>
          <w:sz w:val="24"/>
        </w:rPr>
      </w:pPr>
      <w:r>
        <w:rPr>
          <w:rFonts w:hint="eastAsia" w:ascii="宋体" w:hAnsi="宋体"/>
          <w:color w:val="000000"/>
          <w:sz w:val="24"/>
        </w:rPr>
        <w:t>2.具有良好的商业信誉和健全的财务会计制度。</w:t>
      </w:r>
    </w:p>
    <w:p>
      <w:pPr>
        <w:tabs>
          <w:tab w:val="left" w:pos="540"/>
          <w:tab w:val="left" w:pos="900"/>
        </w:tabs>
        <w:autoSpaceDE w:val="0"/>
        <w:autoSpaceDN w:val="0"/>
        <w:spacing w:line="480" w:lineRule="auto"/>
        <w:textAlignment w:val="bottom"/>
        <w:rPr>
          <w:rFonts w:ascii="宋体" w:hAnsi="宋体"/>
          <w:color w:val="000000"/>
          <w:sz w:val="24"/>
        </w:rPr>
      </w:pPr>
      <w:r>
        <w:rPr>
          <w:rFonts w:hint="eastAsia" w:ascii="宋体" w:hAnsi="宋体"/>
          <w:color w:val="000000"/>
          <w:sz w:val="24"/>
        </w:rPr>
        <w:t>3.具有履行合同所必需的设备和专业技术能力。</w:t>
      </w:r>
    </w:p>
    <w:p>
      <w:pPr>
        <w:tabs>
          <w:tab w:val="left" w:pos="540"/>
          <w:tab w:val="left" w:pos="900"/>
        </w:tabs>
        <w:autoSpaceDE w:val="0"/>
        <w:autoSpaceDN w:val="0"/>
        <w:spacing w:line="480" w:lineRule="auto"/>
        <w:textAlignment w:val="bottom"/>
        <w:rPr>
          <w:rFonts w:ascii="宋体" w:hAnsi="宋体"/>
          <w:color w:val="000000"/>
          <w:sz w:val="24"/>
        </w:rPr>
      </w:pPr>
      <w:r>
        <w:rPr>
          <w:rFonts w:hint="eastAsia" w:ascii="宋体" w:hAnsi="宋体"/>
          <w:color w:val="000000"/>
          <w:sz w:val="24"/>
        </w:rPr>
        <w:t>4.有依法缴纳税收和社会保障资金的良好记录。</w:t>
      </w:r>
    </w:p>
    <w:p>
      <w:pPr>
        <w:tabs>
          <w:tab w:val="left" w:pos="540"/>
          <w:tab w:val="left" w:pos="900"/>
        </w:tabs>
        <w:autoSpaceDE w:val="0"/>
        <w:autoSpaceDN w:val="0"/>
        <w:spacing w:line="480" w:lineRule="auto"/>
        <w:textAlignment w:val="bottom"/>
        <w:rPr>
          <w:rFonts w:ascii="宋体" w:hAnsi="宋体"/>
          <w:color w:val="000000"/>
          <w:sz w:val="24"/>
        </w:rPr>
      </w:pPr>
      <w:r>
        <w:rPr>
          <w:rFonts w:hint="eastAsia" w:ascii="宋体" w:hAnsi="宋体"/>
          <w:color w:val="000000"/>
          <w:sz w:val="24"/>
        </w:rPr>
        <w:t>5. 提交响应文件截止日期前三年内，在经营活动中没有重大违法记录。</w:t>
      </w:r>
    </w:p>
    <w:p>
      <w:pPr>
        <w:tabs>
          <w:tab w:val="left" w:pos="540"/>
          <w:tab w:val="left" w:pos="900"/>
        </w:tabs>
        <w:autoSpaceDE w:val="0"/>
        <w:autoSpaceDN w:val="0"/>
        <w:spacing w:line="480" w:lineRule="auto"/>
        <w:textAlignment w:val="bottom"/>
        <w:rPr>
          <w:rFonts w:ascii="宋体" w:hAnsi="宋体"/>
          <w:color w:val="000000"/>
          <w:sz w:val="24"/>
        </w:rPr>
      </w:pPr>
      <w:r>
        <w:rPr>
          <w:rFonts w:hint="eastAsia" w:ascii="宋体" w:hAnsi="宋体"/>
          <w:color w:val="000000"/>
          <w:sz w:val="24"/>
        </w:rPr>
        <w:t>本公司对上述承诺的真实性负责，并接受政府采购、税务、社会保障等监督管理部门、采购文件规定的资格审查机构、社会公众的监督和检查。如有虚假，将依法承担相应责任。</w:t>
      </w:r>
    </w:p>
    <w:p>
      <w:pPr>
        <w:tabs>
          <w:tab w:val="left" w:pos="540"/>
          <w:tab w:val="left" w:pos="900"/>
        </w:tabs>
        <w:autoSpaceDE w:val="0"/>
        <w:autoSpaceDN w:val="0"/>
        <w:spacing w:line="480" w:lineRule="auto"/>
        <w:textAlignment w:val="bottom"/>
        <w:rPr>
          <w:rFonts w:ascii="宋体" w:hAnsi="宋体"/>
          <w:color w:val="000000"/>
          <w:sz w:val="24"/>
        </w:rPr>
      </w:pPr>
      <w:r>
        <w:rPr>
          <w:rFonts w:hint="eastAsia" w:ascii="宋体" w:hAnsi="宋体"/>
          <w:color w:val="000000"/>
          <w:sz w:val="24"/>
        </w:rPr>
        <w:t xml:space="preserve"> </w:t>
      </w:r>
    </w:p>
    <w:p>
      <w:pPr>
        <w:tabs>
          <w:tab w:val="left" w:pos="540"/>
          <w:tab w:val="left" w:pos="900"/>
        </w:tabs>
        <w:autoSpaceDE w:val="0"/>
        <w:autoSpaceDN w:val="0"/>
        <w:spacing w:line="500" w:lineRule="exact"/>
        <w:jc w:val="right"/>
        <w:textAlignment w:val="bottom"/>
        <w:rPr>
          <w:rFonts w:ascii="宋体" w:hAnsi="宋体"/>
          <w:color w:val="000000"/>
          <w:sz w:val="24"/>
        </w:rPr>
      </w:pPr>
      <w:r>
        <w:rPr>
          <w:rFonts w:hint="eastAsia" w:ascii="宋体" w:hAnsi="宋体"/>
          <w:color w:val="000000"/>
          <w:sz w:val="24"/>
        </w:rPr>
        <w:t>企业名称（盖章）：</w:t>
      </w:r>
    </w:p>
    <w:p>
      <w:pPr>
        <w:tabs>
          <w:tab w:val="left" w:pos="540"/>
          <w:tab w:val="left" w:pos="900"/>
        </w:tabs>
        <w:autoSpaceDE w:val="0"/>
        <w:autoSpaceDN w:val="0"/>
        <w:spacing w:line="500" w:lineRule="exact"/>
        <w:jc w:val="right"/>
        <w:textAlignment w:val="bottom"/>
        <w:rPr>
          <w:rFonts w:ascii="宋体" w:hAnsi="宋体"/>
          <w:color w:val="000000"/>
          <w:sz w:val="24"/>
        </w:rPr>
      </w:pPr>
      <w:r>
        <w:rPr>
          <w:rFonts w:hint="eastAsia" w:ascii="宋体" w:hAnsi="宋体"/>
          <w:color w:val="000000"/>
          <w:sz w:val="24"/>
        </w:rPr>
        <w:t>法定代表人（签名）：</w:t>
      </w:r>
    </w:p>
    <w:p>
      <w:pPr>
        <w:tabs>
          <w:tab w:val="left" w:pos="540"/>
          <w:tab w:val="left" w:pos="900"/>
        </w:tabs>
        <w:autoSpaceDE w:val="0"/>
        <w:autoSpaceDN w:val="0"/>
        <w:spacing w:line="500" w:lineRule="exact"/>
        <w:jc w:val="right"/>
        <w:textAlignment w:val="bottom"/>
        <w:rPr>
          <w:rFonts w:ascii="宋体" w:hAnsi="宋体"/>
          <w:color w:val="000000"/>
          <w:sz w:val="24"/>
        </w:rPr>
      </w:pPr>
      <w:r>
        <w:rPr>
          <w:rFonts w:hint="eastAsia" w:ascii="宋体" w:hAnsi="宋体"/>
          <w:color w:val="000000"/>
          <w:sz w:val="24"/>
        </w:rPr>
        <w:t>日期： 年 月 日</w:t>
      </w:r>
    </w:p>
    <w:p>
      <w:pPr>
        <w:tabs>
          <w:tab w:val="left" w:pos="540"/>
          <w:tab w:val="left" w:pos="900"/>
        </w:tabs>
        <w:autoSpaceDE w:val="0"/>
        <w:autoSpaceDN w:val="0"/>
        <w:spacing w:line="500" w:lineRule="exact"/>
        <w:ind w:firstLine="5341" w:firstLineChars="1900"/>
        <w:textAlignment w:val="bottom"/>
        <w:rPr>
          <w:rFonts w:ascii="宋体" w:hAnsi="宋体"/>
          <w:b/>
          <w:bCs/>
          <w:color w:val="000000"/>
          <w:sz w:val="28"/>
          <w:szCs w:val="28"/>
        </w:rPr>
      </w:pPr>
    </w:p>
    <w:p>
      <w:pPr>
        <w:tabs>
          <w:tab w:val="left" w:pos="540"/>
          <w:tab w:val="left" w:pos="900"/>
        </w:tabs>
        <w:autoSpaceDE w:val="0"/>
        <w:autoSpaceDN w:val="0"/>
        <w:spacing w:line="500" w:lineRule="exact"/>
        <w:ind w:firstLine="5341" w:firstLineChars="1900"/>
        <w:textAlignment w:val="bottom"/>
        <w:rPr>
          <w:rFonts w:ascii="宋体" w:hAnsi="宋体"/>
          <w:b/>
          <w:bCs/>
          <w:color w:val="000000"/>
          <w:sz w:val="28"/>
          <w:szCs w:val="28"/>
        </w:rPr>
      </w:pPr>
    </w:p>
    <w:p>
      <w:pPr>
        <w:tabs>
          <w:tab w:val="left" w:pos="540"/>
          <w:tab w:val="left" w:pos="900"/>
        </w:tabs>
        <w:autoSpaceDE w:val="0"/>
        <w:autoSpaceDN w:val="0"/>
        <w:spacing w:line="500" w:lineRule="exact"/>
        <w:ind w:firstLine="5341" w:firstLineChars="1900"/>
        <w:textAlignment w:val="bottom"/>
        <w:rPr>
          <w:rFonts w:ascii="宋体" w:hAnsi="宋体"/>
          <w:b/>
          <w:bCs/>
          <w:color w:val="000000"/>
          <w:sz w:val="28"/>
          <w:szCs w:val="28"/>
        </w:rPr>
      </w:pPr>
    </w:p>
    <w:p>
      <w:pPr>
        <w:tabs>
          <w:tab w:val="left" w:pos="540"/>
          <w:tab w:val="left" w:pos="900"/>
        </w:tabs>
        <w:autoSpaceDE w:val="0"/>
        <w:autoSpaceDN w:val="0"/>
        <w:spacing w:line="500" w:lineRule="exact"/>
        <w:ind w:firstLine="5341" w:firstLineChars="1900"/>
        <w:textAlignment w:val="bottom"/>
        <w:rPr>
          <w:rFonts w:ascii="宋体" w:hAnsi="宋体"/>
          <w:b/>
          <w:bCs/>
          <w:color w:val="000000"/>
          <w:sz w:val="28"/>
          <w:szCs w:val="28"/>
        </w:rPr>
      </w:pPr>
    </w:p>
    <w:p>
      <w:pPr>
        <w:tabs>
          <w:tab w:val="left" w:pos="540"/>
          <w:tab w:val="left" w:pos="900"/>
        </w:tabs>
        <w:autoSpaceDE w:val="0"/>
        <w:autoSpaceDN w:val="0"/>
        <w:spacing w:line="500" w:lineRule="exact"/>
        <w:ind w:firstLine="5341" w:firstLineChars="1900"/>
        <w:textAlignment w:val="bottom"/>
        <w:rPr>
          <w:rFonts w:ascii="宋体" w:hAnsi="宋体"/>
          <w:b/>
          <w:bCs/>
          <w:color w:val="000000"/>
          <w:sz w:val="28"/>
          <w:szCs w:val="28"/>
        </w:rPr>
      </w:pPr>
    </w:p>
    <w:p>
      <w:pPr>
        <w:tabs>
          <w:tab w:val="left" w:pos="540"/>
          <w:tab w:val="left" w:pos="900"/>
        </w:tabs>
        <w:autoSpaceDE w:val="0"/>
        <w:autoSpaceDN w:val="0"/>
        <w:spacing w:line="500" w:lineRule="exact"/>
        <w:ind w:firstLine="5341" w:firstLineChars="1900"/>
        <w:textAlignment w:val="bottom"/>
        <w:rPr>
          <w:rFonts w:ascii="宋体" w:hAnsi="宋体"/>
          <w:b/>
          <w:bCs/>
          <w:color w:val="000000"/>
          <w:sz w:val="28"/>
          <w:szCs w:val="28"/>
        </w:rPr>
      </w:pPr>
    </w:p>
    <w:p>
      <w:pPr>
        <w:tabs>
          <w:tab w:val="left" w:pos="540"/>
          <w:tab w:val="left" w:pos="900"/>
        </w:tabs>
        <w:autoSpaceDE w:val="0"/>
        <w:autoSpaceDN w:val="0"/>
        <w:spacing w:line="500" w:lineRule="exact"/>
        <w:ind w:firstLine="5341" w:firstLineChars="1900"/>
        <w:textAlignment w:val="bottom"/>
        <w:rPr>
          <w:rFonts w:ascii="宋体" w:hAnsi="宋体"/>
          <w:b/>
          <w:bCs/>
          <w:color w:val="000000"/>
          <w:sz w:val="28"/>
          <w:szCs w:val="28"/>
        </w:rPr>
      </w:pPr>
    </w:p>
    <w:p>
      <w:pPr>
        <w:tabs>
          <w:tab w:val="left" w:pos="540"/>
          <w:tab w:val="left" w:pos="900"/>
        </w:tabs>
        <w:autoSpaceDE w:val="0"/>
        <w:autoSpaceDN w:val="0"/>
        <w:spacing w:line="500" w:lineRule="exact"/>
        <w:ind w:firstLine="5341" w:firstLineChars="1900"/>
        <w:textAlignment w:val="bottom"/>
        <w:rPr>
          <w:rFonts w:ascii="宋体" w:hAnsi="宋体"/>
          <w:b/>
          <w:bCs/>
          <w:color w:val="000000"/>
          <w:sz w:val="28"/>
          <w:szCs w:val="28"/>
        </w:rPr>
      </w:pPr>
    </w:p>
    <w:p>
      <w:pPr>
        <w:tabs>
          <w:tab w:val="left" w:pos="540"/>
          <w:tab w:val="left" w:pos="900"/>
        </w:tabs>
        <w:autoSpaceDE w:val="0"/>
        <w:autoSpaceDN w:val="0"/>
        <w:spacing w:line="500" w:lineRule="exact"/>
        <w:ind w:firstLine="5341" w:firstLineChars="1900"/>
        <w:textAlignment w:val="bottom"/>
        <w:rPr>
          <w:rFonts w:ascii="宋体" w:hAnsi="宋体"/>
          <w:b/>
          <w:bCs/>
          <w:color w:val="000000"/>
          <w:sz w:val="28"/>
          <w:szCs w:val="28"/>
        </w:rPr>
      </w:pPr>
    </w:p>
    <w:p>
      <w:pPr>
        <w:tabs>
          <w:tab w:val="left" w:pos="540"/>
          <w:tab w:val="left" w:pos="900"/>
        </w:tabs>
        <w:autoSpaceDE w:val="0"/>
        <w:autoSpaceDN w:val="0"/>
        <w:spacing w:line="500" w:lineRule="exact"/>
        <w:textAlignment w:val="bottom"/>
        <w:rPr>
          <w:rFonts w:ascii="宋体" w:hAnsi="宋体" w:cs="宋体"/>
          <w:b/>
          <w:bCs/>
          <w:sz w:val="28"/>
          <w:szCs w:val="28"/>
        </w:rPr>
      </w:pPr>
      <w:r>
        <w:rPr>
          <w:rFonts w:hint="eastAsia" w:ascii="宋体" w:hAnsi="宋体"/>
          <w:b/>
          <w:bCs/>
          <w:color w:val="000000"/>
          <w:sz w:val="28"/>
          <w:szCs w:val="28"/>
        </w:rPr>
        <w:t xml:space="preserve">附件2  </w:t>
      </w:r>
      <w:r>
        <w:rPr>
          <w:rFonts w:hint="eastAsia" w:ascii="宋体" w:hAnsi="宋体" w:cs="宋体"/>
          <w:b/>
          <w:bCs/>
          <w:sz w:val="28"/>
          <w:szCs w:val="28"/>
        </w:rPr>
        <w:t>法定代表人身份证明书、授权委托书</w:t>
      </w:r>
    </w:p>
    <w:p>
      <w:pPr>
        <w:spacing w:line="600" w:lineRule="exact"/>
        <w:jc w:val="center"/>
        <w:rPr>
          <w:rFonts w:ascii="宋体" w:hAnsi="宋体"/>
          <w:b/>
          <w:bCs/>
          <w:sz w:val="28"/>
          <w:szCs w:val="28"/>
        </w:rPr>
      </w:pPr>
      <w:bookmarkStart w:id="169" w:name="_Toc19614_WPSOffice_Level1"/>
      <w:r>
        <w:rPr>
          <w:rFonts w:hint="eastAsia" w:ascii="宋体" w:hAnsi="宋体"/>
          <w:b/>
          <w:bCs/>
          <w:sz w:val="28"/>
          <w:szCs w:val="28"/>
        </w:rPr>
        <w:t>法定代表人身份证明书</w:t>
      </w:r>
      <w:bookmarkEnd w:id="169"/>
    </w:p>
    <w:p>
      <w:pPr>
        <w:spacing w:line="600" w:lineRule="exact"/>
        <w:rPr>
          <w:rFonts w:ascii="宋体" w:hAnsi="宋体"/>
          <w:b/>
        </w:rPr>
      </w:pPr>
    </w:p>
    <w:p>
      <w:pPr>
        <w:spacing w:line="600" w:lineRule="exact"/>
        <w:ind w:firstLine="540"/>
        <w:rPr>
          <w:rFonts w:ascii="宋体" w:hAnsi="宋体"/>
          <w:sz w:val="24"/>
          <w:u w:val="single"/>
        </w:rPr>
      </w:pPr>
      <w:r>
        <w:rPr>
          <w:rFonts w:hint="eastAsia" w:ascii="宋体" w:hAnsi="宋体"/>
          <w:sz w:val="24"/>
        </w:rPr>
        <w:t>单位名称：</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pPr>
        <w:spacing w:line="600" w:lineRule="exact"/>
        <w:ind w:firstLine="540"/>
        <w:rPr>
          <w:rFonts w:ascii="宋体" w:hAnsi="宋体"/>
          <w:sz w:val="24"/>
        </w:rPr>
      </w:pPr>
      <w:r>
        <w:rPr>
          <w:rFonts w:hint="eastAsia" w:ascii="宋体" w:hAnsi="宋体"/>
          <w:sz w:val="24"/>
        </w:rPr>
        <w:t>单位性质：</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pPr>
        <w:spacing w:line="600" w:lineRule="exact"/>
        <w:ind w:firstLine="540"/>
        <w:rPr>
          <w:rFonts w:ascii="宋体" w:hAnsi="宋体"/>
          <w:sz w:val="24"/>
          <w:u w:val="single"/>
        </w:rPr>
      </w:pPr>
      <w:r>
        <w:rPr>
          <w:rFonts w:hint="eastAsia" w:ascii="宋体" w:hAnsi="宋体"/>
          <w:sz w:val="24"/>
        </w:rPr>
        <w:t>地    址：</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pPr>
        <w:spacing w:line="600" w:lineRule="exact"/>
        <w:ind w:firstLine="540"/>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600" w:lineRule="exact"/>
        <w:ind w:firstLine="540"/>
        <w:rPr>
          <w:rFonts w:ascii="宋体" w:hAnsi="宋体"/>
          <w:sz w:val="24"/>
        </w:rPr>
      </w:pPr>
      <w:r>
        <w:rPr>
          <w:rFonts w:hint="eastAsia" w:ascii="宋体" w:hAnsi="宋体"/>
          <w:sz w:val="24"/>
        </w:rPr>
        <w:t>经营期限：</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pPr>
        <w:spacing w:line="600" w:lineRule="exact"/>
        <w:ind w:firstLine="540"/>
        <w:rPr>
          <w:rFonts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性  别：</w:t>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r>
        <w:rPr>
          <w:rFonts w:hint="eastAsia" w:ascii="宋体" w:hAnsi="宋体"/>
          <w:sz w:val="24"/>
          <w:u w:val="single"/>
        </w:rPr>
        <w:t xml:space="preserve">       </w:t>
      </w:r>
    </w:p>
    <w:p>
      <w:pPr>
        <w:spacing w:line="600" w:lineRule="exact"/>
        <w:ind w:firstLine="540"/>
        <w:rPr>
          <w:rFonts w:ascii="宋体" w:hAnsi="宋体"/>
          <w:sz w:val="24"/>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 xml:space="preserve"> 职  务：</w:t>
      </w:r>
      <w:r>
        <w:rPr>
          <w:rFonts w:hint="eastAsia" w:ascii="宋体" w:hAnsi="宋体"/>
          <w:sz w:val="24"/>
          <w:u w:val="single"/>
        </w:rPr>
        <w:tab/>
      </w:r>
      <w:r>
        <w:rPr>
          <w:rFonts w:hint="eastAsia" w:ascii="宋体" w:hAnsi="宋体"/>
          <w:sz w:val="24"/>
          <w:u w:val="single"/>
        </w:rPr>
        <w:t xml:space="preserve">           </w:t>
      </w:r>
      <w:r>
        <w:rPr>
          <w:rFonts w:hint="eastAsia" w:ascii="宋体" w:hAnsi="宋体"/>
          <w:sz w:val="24"/>
          <w:u w:val="single"/>
        </w:rPr>
        <w:tab/>
      </w:r>
    </w:p>
    <w:p>
      <w:pPr>
        <w:spacing w:line="600" w:lineRule="exact"/>
        <w:rPr>
          <w:rFonts w:ascii="宋体" w:hAnsi="宋体"/>
          <w:sz w:val="24"/>
        </w:rPr>
      </w:pPr>
      <w:r>
        <w:rPr>
          <w:rFonts w:hint="eastAsia" w:ascii="宋体" w:hAnsi="宋体"/>
          <w:sz w:val="24"/>
        </w:rPr>
        <w:t xml:space="preserve">    系</w:t>
      </w:r>
      <w:r>
        <w:rPr>
          <w:rFonts w:hint="eastAsia" w:ascii="宋体" w:hAnsi="宋体"/>
          <w:sz w:val="24"/>
          <w:u w:val="single"/>
        </w:rPr>
        <w:t xml:space="preserve">                                      </w:t>
      </w:r>
      <w:r>
        <w:rPr>
          <w:rFonts w:hint="eastAsia" w:ascii="宋体" w:hAnsi="宋体"/>
          <w:sz w:val="24"/>
        </w:rPr>
        <w:t>的法定代表人。</w:t>
      </w:r>
    </w:p>
    <w:p>
      <w:pPr>
        <w:spacing w:line="600" w:lineRule="exact"/>
        <w:ind w:firstLine="480" w:firstLineChars="200"/>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p>
    <w:tbl>
      <w:tblPr>
        <w:tblStyle w:val="33"/>
        <w:tblpPr w:leftFromText="180" w:rightFromText="180" w:vertAnchor="text" w:horzAnchor="page" w:tblpX="2318" w:tblpY="311"/>
        <w:tblOverlap w:val="never"/>
        <w:tblW w:w="5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atLeast"/>
        </w:trPr>
        <w:tc>
          <w:tcPr>
            <w:tcW w:w="5560" w:type="dxa"/>
            <w:vAlign w:val="center"/>
          </w:tcPr>
          <w:p>
            <w:pPr>
              <w:spacing w:line="440" w:lineRule="exact"/>
              <w:jc w:val="center"/>
              <w:rPr>
                <w:rFonts w:ascii="宋体" w:hAnsi="宋体" w:cs="宋体"/>
                <w:color w:val="000000"/>
                <w:szCs w:val="21"/>
              </w:rPr>
            </w:pPr>
            <w:r>
              <w:rPr>
                <w:rFonts w:hint="eastAsia" w:ascii="宋体" w:hAnsi="宋体" w:cs="宋体"/>
                <w:color w:val="000000"/>
                <w:sz w:val="36"/>
                <w:szCs w:val="36"/>
              </w:rPr>
              <w:t>法定代表人身份证复印件正、反面</w:t>
            </w:r>
          </w:p>
        </w:tc>
      </w:tr>
    </w:tbl>
    <w:p>
      <w:pPr>
        <w:spacing w:line="600" w:lineRule="exact"/>
        <w:ind w:firstLine="610"/>
        <w:rPr>
          <w:rFonts w:ascii="宋体" w:hAnsi="宋体"/>
          <w:sz w:val="24"/>
          <w:u w:val="single"/>
        </w:rPr>
      </w:pPr>
    </w:p>
    <w:p>
      <w:pPr>
        <w:spacing w:line="600" w:lineRule="exact"/>
        <w:rPr>
          <w:rFonts w:ascii="宋体" w:hAnsi="宋体"/>
          <w:sz w:val="24"/>
        </w:rPr>
      </w:pPr>
      <w:r>
        <w:rPr>
          <w:rFonts w:hint="eastAsia" w:ascii="宋体" w:hAnsi="宋体"/>
          <w:sz w:val="24"/>
        </w:rPr>
        <w:t xml:space="preserve">   </w:t>
      </w:r>
    </w:p>
    <w:p>
      <w:pPr>
        <w:tabs>
          <w:tab w:val="left" w:pos="720"/>
          <w:tab w:val="left" w:pos="900"/>
        </w:tabs>
        <w:spacing w:line="600" w:lineRule="exact"/>
        <w:ind w:firstLine="2880" w:firstLineChars="1200"/>
        <w:rPr>
          <w:rFonts w:ascii="宋体" w:hAnsi="宋体"/>
          <w:sz w:val="24"/>
        </w:rPr>
      </w:pPr>
    </w:p>
    <w:p>
      <w:pPr>
        <w:tabs>
          <w:tab w:val="left" w:pos="720"/>
          <w:tab w:val="left" w:pos="900"/>
        </w:tabs>
        <w:spacing w:line="600" w:lineRule="exact"/>
        <w:ind w:firstLine="2880" w:firstLineChars="1200"/>
        <w:rPr>
          <w:rFonts w:ascii="宋体" w:hAnsi="宋体"/>
          <w:sz w:val="24"/>
        </w:rPr>
      </w:pPr>
    </w:p>
    <w:p>
      <w:pPr>
        <w:tabs>
          <w:tab w:val="left" w:pos="720"/>
          <w:tab w:val="left" w:pos="900"/>
        </w:tabs>
        <w:spacing w:line="600" w:lineRule="exact"/>
        <w:rPr>
          <w:rFonts w:ascii="宋体" w:hAnsi="宋体"/>
          <w:sz w:val="24"/>
        </w:rPr>
      </w:pPr>
    </w:p>
    <w:p>
      <w:pPr>
        <w:tabs>
          <w:tab w:val="left" w:pos="720"/>
          <w:tab w:val="left" w:pos="900"/>
        </w:tabs>
        <w:spacing w:line="600" w:lineRule="exact"/>
        <w:rPr>
          <w:rFonts w:ascii="宋体" w:hAnsi="宋体"/>
          <w:sz w:val="24"/>
        </w:rPr>
      </w:pPr>
      <w:r>
        <w:rPr>
          <w:rFonts w:hint="eastAsia" w:ascii="宋体" w:hAnsi="宋体"/>
          <w:sz w:val="24"/>
        </w:rPr>
        <w:t xml:space="preserve">特此证明。       </w:t>
      </w:r>
    </w:p>
    <w:p>
      <w:pPr>
        <w:tabs>
          <w:tab w:val="left" w:pos="720"/>
          <w:tab w:val="left" w:pos="900"/>
        </w:tabs>
        <w:spacing w:line="600" w:lineRule="exact"/>
        <w:ind w:firstLine="4800" w:firstLineChars="2000"/>
        <w:rPr>
          <w:rFonts w:ascii="宋体" w:hAnsi="宋体"/>
          <w:sz w:val="24"/>
          <w:u w:val="single"/>
        </w:rPr>
      </w:pPr>
      <w:r>
        <w:rPr>
          <w:rFonts w:hint="eastAsia" w:ascii="宋体" w:hAnsi="宋体"/>
          <w:sz w:val="24"/>
        </w:rPr>
        <w:t>投 标 人：（盖公章）</w:t>
      </w:r>
      <w:r>
        <w:rPr>
          <w:rFonts w:hint="eastAsia" w:ascii="宋体" w:hAnsi="宋体"/>
          <w:sz w:val="24"/>
          <w:u w:val="single"/>
        </w:rPr>
        <w:t xml:space="preserve">                  </w:t>
      </w:r>
    </w:p>
    <w:p>
      <w:pPr>
        <w:ind w:firstLine="4800" w:firstLineChars="2000"/>
        <w:rPr>
          <w:rFonts w:ascii="宋体" w:hAnsi="宋体"/>
          <w:sz w:val="24"/>
        </w:rPr>
      </w:pPr>
    </w:p>
    <w:p>
      <w:pPr>
        <w:ind w:firstLine="4800" w:firstLineChars="2000"/>
        <w:rPr>
          <w:rFonts w:ascii="宋体" w:hAnsi="宋体"/>
          <w:sz w:val="24"/>
        </w:rPr>
      </w:pPr>
      <w:r>
        <w:rPr>
          <w:rFonts w:hint="eastAsia" w:ascii="宋体" w:hAnsi="宋体"/>
          <w:sz w:val="24"/>
        </w:rPr>
        <w:t>法定代表人签字或盖章</w:t>
      </w:r>
      <w:r>
        <w:rPr>
          <w:rFonts w:hint="eastAsia" w:ascii="宋体" w:hAnsi="宋体"/>
          <w:sz w:val="24"/>
          <w:u w:val="single"/>
        </w:rPr>
        <w:t xml:space="preserve">                 </w:t>
      </w:r>
      <w:r>
        <w:rPr>
          <w:rFonts w:hint="eastAsia" w:ascii="宋体" w:hAnsi="宋体"/>
          <w:sz w:val="24"/>
        </w:rPr>
        <w:t xml:space="preserve">              </w:t>
      </w:r>
    </w:p>
    <w:p>
      <w:pPr>
        <w:rPr>
          <w:rFonts w:ascii="宋体" w:hAnsi="宋体"/>
          <w:sz w:val="24"/>
        </w:rPr>
      </w:pPr>
      <w:r>
        <w:rPr>
          <w:rFonts w:hint="eastAsia" w:ascii="宋体" w:hAnsi="宋体"/>
          <w:sz w:val="24"/>
        </w:rPr>
        <w:t xml:space="preserve">                                       </w:t>
      </w:r>
    </w:p>
    <w:p>
      <w:pPr>
        <w:ind w:firstLine="4800" w:firstLineChars="2000"/>
        <w:rPr>
          <w:rFonts w:ascii="宋体" w:hAnsi="宋体"/>
          <w:color w:val="FF0000"/>
          <w:sz w:val="24"/>
        </w:rPr>
      </w:pPr>
      <w:r>
        <w:rPr>
          <w:rFonts w:hint="eastAsia" w:ascii="宋体" w:hAnsi="宋体"/>
          <w:sz w:val="24"/>
        </w:rPr>
        <w:t xml:space="preserve"> 日    期： 　　  年     月     日</w:t>
      </w:r>
      <w:r>
        <w:rPr>
          <w:rFonts w:ascii="宋体" w:hAnsi="宋体"/>
          <w:b/>
        </w:rPr>
        <w:br w:type="page"/>
      </w:r>
    </w:p>
    <w:p>
      <w:pPr>
        <w:adjustRightInd w:val="0"/>
        <w:snapToGrid w:val="0"/>
        <w:spacing w:line="360" w:lineRule="auto"/>
        <w:jc w:val="center"/>
        <w:rPr>
          <w:rFonts w:ascii="宋体" w:hAnsi="宋体"/>
          <w:sz w:val="24"/>
          <w:u w:val="single"/>
        </w:rPr>
      </w:pPr>
      <w:bookmarkStart w:id="170" w:name="_Toc23410_WPSOffice_Level1"/>
      <w:r>
        <w:rPr>
          <w:rFonts w:hint="eastAsia" w:ascii="宋体" w:hAnsi="宋体"/>
          <w:b/>
          <w:bCs/>
          <w:sz w:val="28"/>
          <w:szCs w:val="28"/>
        </w:rPr>
        <w:t>授权委托书</w:t>
      </w:r>
      <w:bookmarkEnd w:id="170"/>
    </w:p>
    <w:p>
      <w:pPr>
        <w:pStyle w:val="56"/>
        <w:adjustRightInd w:val="0"/>
        <w:snapToGrid w:val="0"/>
        <w:spacing w:line="360" w:lineRule="auto"/>
        <w:ind w:left="0"/>
        <w:jc w:val="left"/>
        <w:textAlignment w:val="auto"/>
        <w:rPr>
          <w:rFonts w:ascii="宋体" w:hAnsi="宋体"/>
          <w:b/>
          <w:sz w:val="24"/>
          <w:u w:val="single"/>
        </w:rPr>
      </w:pPr>
    </w:p>
    <w:p>
      <w:pPr>
        <w:pStyle w:val="56"/>
        <w:adjustRightInd w:val="0"/>
        <w:snapToGrid w:val="0"/>
        <w:spacing w:line="360" w:lineRule="auto"/>
        <w:jc w:val="left"/>
        <w:textAlignment w:val="auto"/>
        <w:rPr>
          <w:rFonts w:ascii="宋体" w:hAnsi="宋体"/>
          <w:b/>
          <w:sz w:val="24"/>
          <w:u w:val="single"/>
        </w:rPr>
      </w:pPr>
      <w:r>
        <w:rPr>
          <w:rFonts w:hint="eastAsia" w:ascii="宋体" w:hAnsi="宋体"/>
          <w:b/>
          <w:sz w:val="24"/>
          <w:u w:val="single"/>
        </w:rPr>
        <w:t xml:space="preserve">致： </w:t>
      </w:r>
      <w:r>
        <w:rPr>
          <w:rFonts w:ascii="宋体" w:hAnsi="宋体"/>
          <w:b/>
          <w:sz w:val="24"/>
          <w:u w:val="single"/>
        </w:rPr>
        <w:t xml:space="preserve">   </w:t>
      </w:r>
    </w:p>
    <w:p>
      <w:pPr>
        <w:topLinePunct/>
        <w:spacing w:line="440" w:lineRule="exact"/>
        <w:ind w:firstLine="480" w:firstLineChars="200"/>
        <w:rPr>
          <w:rFonts w:ascii="宋体" w:hAnsi="宋体" w:cs="宋体"/>
          <w:color w:val="000000"/>
          <w:sz w:val="24"/>
        </w:rPr>
      </w:pPr>
      <w:r>
        <w:rPr>
          <w:rFonts w:hint="eastAsia" w:ascii="宋体" w:hAnsi="宋体" w:cs="宋体"/>
          <w:color w:val="000000"/>
          <w:sz w:val="24"/>
        </w:rPr>
        <w:t>本人</w:t>
      </w:r>
      <w:r>
        <w:rPr>
          <w:rFonts w:hint="eastAsia" w:ascii="宋体" w:hAnsi="宋体" w:cs="宋体"/>
          <w:color w:val="000000"/>
          <w:sz w:val="24"/>
          <w:u w:val="single"/>
        </w:rPr>
        <w:t xml:space="preserve">       </w:t>
      </w:r>
      <w:r>
        <w:rPr>
          <w:rFonts w:hint="eastAsia" w:ascii="宋体" w:hAnsi="宋体" w:cs="宋体"/>
          <w:color w:val="000000"/>
          <w:sz w:val="24"/>
        </w:rPr>
        <w:t>（姓名）系</w:t>
      </w:r>
      <w:r>
        <w:rPr>
          <w:rFonts w:hint="eastAsia" w:ascii="宋体" w:hAnsi="宋体" w:cs="宋体"/>
          <w:color w:val="000000"/>
          <w:sz w:val="24"/>
          <w:u w:val="single"/>
        </w:rPr>
        <w:t xml:space="preserve">        </w:t>
      </w:r>
      <w:r>
        <w:rPr>
          <w:rFonts w:hint="eastAsia" w:ascii="宋体" w:hAnsi="宋体" w:cs="宋体"/>
          <w:color w:val="000000"/>
          <w:sz w:val="24"/>
        </w:rPr>
        <w:t>（供应商名称）的法定代表人，现委托</w:t>
      </w:r>
      <w:r>
        <w:rPr>
          <w:rFonts w:hint="eastAsia" w:ascii="宋体" w:hAnsi="宋体" w:cs="宋体"/>
          <w:color w:val="000000"/>
          <w:sz w:val="24"/>
          <w:u w:val="single"/>
        </w:rPr>
        <w:t xml:space="preserve">        </w:t>
      </w:r>
      <w:r>
        <w:rPr>
          <w:rFonts w:hint="eastAsia" w:ascii="宋体" w:hAnsi="宋体" w:cs="宋体"/>
          <w:color w:val="000000"/>
          <w:sz w:val="24"/>
        </w:rPr>
        <w:t>（姓名）为我方代理人。代理人根据授权，以我方名义签署、澄清、说明、补正、递交、撤回、修改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项目(   标段）</w:t>
      </w:r>
      <w:r>
        <w:rPr>
          <w:rFonts w:hint="eastAsia" w:ascii="宋体" w:hAnsi="宋体" w:cs="宋体"/>
          <w:color w:val="000000"/>
          <w:sz w:val="24"/>
        </w:rPr>
        <w:t>投标文件、签订合同和处理有关事宜，其法律后果由我方承担。</w:t>
      </w:r>
    </w:p>
    <w:p>
      <w:pPr>
        <w:spacing w:line="440" w:lineRule="exact"/>
        <w:rPr>
          <w:rFonts w:ascii="宋体" w:hAnsi="宋体" w:cs="宋体"/>
          <w:color w:val="000000"/>
          <w:sz w:val="24"/>
        </w:rPr>
      </w:pPr>
      <w:r>
        <w:rPr>
          <w:rFonts w:hint="eastAsia" w:ascii="宋体" w:hAnsi="宋体" w:cs="宋体"/>
          <w:color w:val="000000"/>
          <w:sz w:val="24"/>
        </w:rPr>
        <w:t xml:space="preserve">    委托期限：</w:t>
      </w:r>
      <w:r>
        <w:rPr>
          <w:rFonts w:hint="eastAsia" w:ascii="宋体" w:hAnsi="宋体" w:cs="宋体"/>
          <w:color w:val="000000"/>
          <w:sz w:val="24"/>
          <w:u w:val="single"/>
        </w:rPr>
        <w:t xml:space="preserve">             </w:t>
      </w:r>
      <w:r>
        <w:rPr>
          <w:rFonts w:hint="eastAsia" w:ascii="宋体" w:hAnsi="宋体" w:cs="宋体"/>
          <w:color w:val="000000"/>
          <w:sz w:val="24"/>
        </w:rPr>
        <w:t>。</w:t>
      </w:r>
    </w:p>
    <w:p>
      <w:pPr>
        <w:spacing w:line="440" w:lineRule="exact"/>
        <w:ind w:firstLine="480" w:firstLineChars="200"/>
        <w:rPr>
          <w:rFonts w:ascii="宋体" w:hAnsi="宋体" w:cs="宋体"/>
          <w:color w:val="000000"/>
          <w:sz w:val="24"/>
        </w:rPr>
      </w:pPr>
      <w:r>
        <w:rPr>
          <w:rFonts w:hint="eastAsia" w:ascii="宋体" w:hAnsi="宋体" w:cs="宋体"/>
          <w:color w:val="000000"/>
          <w:sz w:val="24"/>
        </w:rPr>
        <w:t>代理人无转委托权。</w:t>
      </w:r>
    </w:p>
    <w:p>
      <w:pPr>
        <w:spacing w:line="440" w:lineRule="exact"/>
        <w:ind w:firstLine="480" w:firstLineChars="200"/>
        <w:rPr>
          <w:rFonts w:ascii="宋体" w:hAnsi="宋体" w:cs="宋体"/>
          <w:color w:val="000000"/>
          <w:sz w:val="24"/>
        </w:rPr>
      </w:pPr>
      <w:r>
        <w:rPr>
          <w:rFonts w:hint="eastAsia" w:ascii="宋体" w:hAnsi="宋体" w:cs="宋体"/>
          <w:color w:val="000000"/>
          <w:sz w:val="24"/>
        </w:rPr>
        <w:t>附：</w:t>
      </w:r>
    </w:p>
    <w:p>
      <w:pPr>
        <w:spacing w:line="440" w:lineRule="exact"/>
        <w:ind w:firstLine="480" w:firstLineChars="200"/>
        <w:rPr>
          <w:rFonts w:ascii="宋体" w:hAnsi="宋体" w:cs="宋体"/>
          <w:color w:val="000000"/>
          <w:sz w:val="24"/>
        </w:rPr>
      </w:pPr>
    </w:p>
    <w:tbl>
      <w:tblPr>
        <w:tblStyle w:val="33"/>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4383" w:type="dxa"/>
          </w:tcPr>
          <w:p>
            <w:pPr>
              <w:spacing w:line="560" w:lineRule="exact"/>
              <w:rPr>
                <w:rFonts w:ascii="宋体" w:hAnsi="宋体" w:cs="宋体"/>
                <w:color w:val="000000"/>
                <w:sz w:val="24"/>
              </w:rPr>
            </w:pPr>
          </w:p>
          <w:p>
            <w:pPr>
              <w:spacing w:line="560" w:lineRule="exact"/>
              <w:rPr>
                <w:rFonts w:ascii="宋体" w:hAnsi="宋体" w:cs="宋体"/>
                <w:color w:val="000000"/>
                <w:sz w:val="24"/>
              </w:rPr>
            </w:pPr>
            <w:r>
              <w:rPr>
                <w:rFonts w:hint="eastAsia" w:ascii="宋体" w:hAnsi="宋体" w:cs="宋体"/>
                <w:color w:val="000000"/>
                <w:sz w:val="24"/>
              </w:rPr>
              <w:t xml:space="preserve">   法定代表人身份证复印件(正反面)</w:t>
            </w:r>
          </w:p>
        </w:tc>
        <w:tc>
          <w:tcPr>
            <w:tcW w:w="4657" w:type="dxa"/>
          </w:tcPr>
          <w:p>
            <w:pPr>
              <w:spacing w:line="560" w:lineRule="exact"/>
              <w:rPr>
                <w:rFonts w:ascii="宋体" w:hAnsi="宋体" w:cs="宋体"/>
                <w:color w:val="000000"/>
                <w:sz w:val="24"/>
              </w:rPr>
            </w:pPr>
          </w:p>
          <w:p>
            <w:pPr>
              <w:spacing w:line="560" w:lineRule="exact"/>
              <w:rPr>
                <w:rFonts w:ascii="宋体" w:hAnsi="宋体" w:cs="宋体"/>
                <w:color w:val="000000"/>
                <w:sz w:val="24"/>
              </w:rPr>
            </w:pPr>
            <w:r>
              <w:rPr>
                <w:rFonts w:hint="eastAsia" w:ascii="宋体" w:hAnsi="宋体" w:cs="宋体"/>
                <w:color w:val="000000"/>
                <w:sz w:val="24"/>
              </w:rPr>
              <w:t xml:space="preserve">   授权委托人身份证复印件(正反面)</w:t>
            </w:r>
          </w:p>
        </w:tc>
      </w:tr>
    </w:tbl>
    <w:p>
      <w:pPr>
        <w:spacing w:line="440" w:lineRule="exact"/>
        <w:ind w:firstLine="480" w:firstLineChars="200"/>
        <w:rPr>
          <w:rFonts w:ascii="宋体" w:hAnsi="宋体" w:cs="宋体"/>
          <w:color w:val="000000"/>
          <w:sz w:val="24"/>
        </w:rPr>
      </w:pPr>
      <w:r>
        <w:rPr>
          <w:rFonts w:hint="eastAsia" w:ascii="宋体" w:hAnsi="宋体" w:cs="宋体"/>
          <w:color w:val="000000"/>
          <w:sz w:val="24"/>
        </w:rPr>
        <w:t>供应商：</w:t>
      </w:r>
      <w:r>
        <w:rPr>
          <w:rFonts w:hint="eastAsia" w:ascii="宋体" w:hAnsi="宋体" w:cs="宋体"/>
          <w:color w:val="000000"/>
          <w:sz w:val="24"/>
          <w:u w:val="single"/>
        </w:rPr>
        <w:t xml:space="preserve">                               </w:t>
      </w:r>
      <w:r>
        <w:rPr>
          <w:rFonts w:hint="eastAsia" w:ascii="宋体" w:hAnsi="宋体" w:cs="宋体"/>
          <w:color w:val="000000"/>
          <w:sz w:val="24"/>
        </w:rPr>
        <w:t>（盖单位章）</w:t>
      </w:r>
    </w:p>
    <w:p>
      <w:pPr>
        <w:spacing w:line="440" w:lineRule="exact"/>
        <w:rPr>
          <w:rFonts w:ascii="宋体" w:hAnsi="宋体" w:cs="宋体"/>
          <w:color w:val="000000"/>
          <w:sz w:val="24"/>
        </w:rPr>
      </w:pPr>
    </w:p>
    <w:p>
      <w:pPr>
        <w:spacing w:line="440" w:lineRule="exact"/>
        <w:ind w:firstLine="480" w:firstLineChars="200"/>
        <w:rPr>
          <w:rFonts w:ascii="宋体" w:hAnsi="宋体" w:cs="宋体"/>
          <w:color w:val="000000"/>
          <w:sz w:val="24"/>
        </w:rPr>
      </w:pPr>
      <w:r>
        <w:rPr>
          <w:rFonts w:hint="eastAsia" w:ascii="宋体" w:hAnsi="宋体" w:cs="宋体"/>
          <w:color w:val="000000"/>
          <w:sz w:val="24"/>
        </w:rPr>
        <w:t>法定代表人：</w:t>
      </w:r>
      <w:r>
        <w:rPr>
          <w:rFonts w:hint="eastAsia" w:ascii="宋体" w:hAnsi="宋体" w:cs="宋体"/>
          <w:color w:val="000000"/>
          <w:sz w:val="24"/>
          <w:u w:val="single"/>
        </w:rPr>
        <w:t xml:space="preserve">                               </w:t>
      </w:r>
      <w:r>
        <w:rPr>
          <w:rFonts w:hint="eastAsia" w:ascii="宋体" w:hAnsi="宋体" w:cs="宋体"/>
          <w:color w:val="000000"/>
          <w:sz w:val="24"/>
        </w:rPr>
        <w:t>（签字或盖章）</w:t>
      </w:r>
    </w:p>
    <w:p>
      <w:pPr>
        <w:spacing w:line="440" w:lineRule="exact"/>
        <w:rPr>
          <w:rFonts w:ascii="宋体" w:hAnsi="宋体" w:cs="宋体"/>
          <w:color w:val="000000"/>
          <w:sz w:val="24"/>
        </w:rPr>
      </w:pPr>
    </w:p>
    <w:p>
      <w:pPr>
        <w:spacing w:line="440" w:lineRule="exact"/>
        <w:ind w:firstLine="480" w:firstLineChars="200"/>
        <w:rPr>
          <w:rFonts w:ascii="宋体" w:hAnsi="宋体" w:cs="宋体"/>
          <w:color w:val="000000"/>
          <w:sz w:val="24"/>
        </w:rPr>
      </w:pPr>
      <w:r>
        <w:rPr>
          <w:rFonts w:hint="eastAsia" w:ascii="宋体" w:hAnsi="宋体" w:cs="宋体"/>
          <w:color w:val="000000"/>
          <w:sz w:val="24"/>
        </w:rPr>
        <w:t>身份证号码：</w:t>
      </w:r>
      <w:r>
        <w:rPr>
          <w:rFonts w:hint="eastAsia" w:ascii="宋体" w:hAnsi="宋体" w:cs="宋体"/>
          <w:color w:val="000000"/>
          <w:sz w:val="24"/>
          <w:u w:val="single"/>
        </w:rPr>
        <w:t xml:space="preserve">                                     </w:t>
      </w:r>
    </w:p>
    <w:p>
      <w:pPr>
        <w:spacing w:line="440" w:lineRule="exact"/>
        <w:rPr>
          <w:rFonts w:ascii="宋体" w:hAnsi="宋体" w:cs="宋体"/>
          <w:color w:val="000000"/>
          <w:sz w:val="24"/>
        </w:rPr>
      </w:pPr>
    </w:p>
    <w:p>
      <w:pPr>
        <w:spacing w:line="440" w:lineRule="exact"/>
        <w:ind w:firstLine="480" w:firstLineChars="200"/>
        <w:rPr>
          <w:rFonts w:ascii="宋体" w:hAnsi="宋体" w:cs="宋体"/>
          <w:color w:val="000000"/>
          <w:sz w:val="24"/>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sz w:val="24"/>
        </w:rPr>
        <w:t xml:space="preserve">（签字） </w:t>
      </w:r>
    </w:p>
    <w:p>
      <w:pPr>
        <w:spacing w:line="440" w:lineRule="exact"/>
        <w:rPr>
          <w:rFonts w:ascii="宋体" w:hAnsi="宋体" w:cs="宋体"/>
          <w:color w:val="000000"/>
          <w:sz w:val="24"/>
        </w:rPr>
      </w:pPr>
    </w:p>
    <w:p>
      <w:pPr>
        <w:spacing w:line="440" w:lineRule="exact"/>
        <w:ind w:firstLine="480" w:firstLineChars="200"/>
        <w:rPr>
          <w:rFonts w:ascii="宋体" w:hAnsi="宋体" w:cs="宋体"/>
          <w:color w:val="000000"/>
          <w:sz w:val="24"/>
        </w:rPr>
      </w:pPr>
      <w:r>
        <w:rPr>
          <w:rFonts w:hint="eastAsia" w:ascii="宋体" w:hAnsi="宋体" w:cs="宋体"/>
          <w:color w:val="000000"/>
          <w:sz w:val="24"/>
        </w:rPr>
        <w:t>身份证号码：</w:t>
      </w:r>
      <w:r>
        <w:rPr>
          <w:rFonts w:hint="eastAsia" w:ascii="宋体" w:hAnsi="宋体" w:cs="宋体"/>
          <w:color w:val="000000"/>
          <w:sz w:val="24"/>
          <w:u w:val="single"/>
        </w:rPr>
        <w:t xml:space="preserve">                                      </w:t>
      </w:r>
    </w:p>
    <w:p>
      <w:pPr>
        <w:spacing w:line="440" w:lineRule="exact"/>
        <w:rPr>
          <w:rFonts w:ascii="宋体" w:hAnsi="宋体" w:cs="宋体"/>
          <w:color w:val="000000"/>
          <w:sz w:val="24"/>
        </w:rPr>
      </w:pPr>
    </w:p>
    <w:p>
      <w:pPr>
        <w:spacing w:line="440" w:lineRule="exact"/>
        <w:rPr>
          <w:rFonts w:ascii="宋体" w:hAnsi="宋体" w:cs="宋体"/>
          <w:color w:val="000000"/>
          <w:sz w:val="24"/>
        </w:rPr>
      </w:pPr>
    </w:p>
    <w:p>
      <w:pPr>
        <w:adjustRightInd w:val="0"/>
        <w:snapToGrid w:val="0"/>
        <w:spacing w:line="360" w:lineRule="auto"/>
        <w:ind w:firstLine="5040" w:firstLineChars="2100"/>
        <w:rPr>
          <w:rFonts w:ascii="宋体" w:hAnsi="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pPr>
        <w:adjustRightInd w:val="0"/>
        <w:snapToGrid w:val="0"/>
        <w:spacing w:line="360" w:lineRule="auto"/>
        <w:ind w:firstLine="3132" w:firstLineChars="1300"/>
        <w:rPr>
          <w:rFonts w:ascii="宋体" w:hAnsi="宋体"/>
          <w:b/>
          <w:bCs/>
          <w:color w:val="000000"/>
          <w:sz w:val="24"/>
        </w:rPr>
      </w:pPr>
      <w:r>
        <w:rPr>
          <w:rFonts w:hint="eastAsia" w:ascii="宋体" w:hAnsi="宋体"/>
          <w:b/>
          <w:bCs/>
          <w:color w:val="000000"/>
          <w:sz w:val="24"/>
        </w:rPr>
        <w:t>备注：被授权人签名处必须由本人签字，不得以私章替代。</w:t>
      </w:r>
    </w:p>
    <w:p>
      <w:pPr>
        <w:adjustRightInd w:val="0"/>
        <w:snapToGrid w:val="0"/>
        <w:spacing w:line="360" w:lineRule="auto"/>
        <w:rPr>
          <w:rFonts w:ascii="宋体" w:hAnsi="宋体"/>
          <w:b/>
          <w:bCs/>
          <w:color w:val="000000"/>
          <w:sz w:val="24"/>
        </w:rPr>
      </w:pPr>
    </w:p>
    <w:p>
      <w:pPr>
        <w:adjustRightInd w:val="0"/>
        <w:snapToGrid w:val="0"/>
        <w:spacing w:line="360" w:lineRule="auto"/>
        <w:rPr>
          <w:rFonts w:ascii="宋体" w:hAnsi="宋体"/>
          <w:b/>
          <w:bCs/>
          <w:color w:val="000000"/>
          <w:sz w:val="24"/>
        </w:rPr>
      </w:pPr>
    </w:p>
    <w:p>
      <w:pPr>
        <w:pStyle w:val="25"/>
        <w:rPr>
          <w:rFonts w:ascii="宋体" w:hAnsi="宋体"/>
          <w:b/>
          <w:bCs/>
          <w:color w:val="000000"/>
          <w:sz w:val="24"/>
        </w:rPr>
      </w:pPr>
    </w:p>
    <w:p>
      <w:pPr>
        <w:adjustRightInd w:val="0"/>
        <w:snapToGrid w:val="0"/>
        <w:spacing w:line="360" w:lineRule="auto"/>
        <w:rPr>
          <w:rFonts w:ascii="宋体" w:hAnsi="宋体"/>
          <w:b/>
          <w:bCs/>
          <w:color w:val="000000"/>
          <w:sz w:val="28"/>
          <w:szCs w:val="28"/>
        </w:rPr>
      </w:pPr>
      <w:r>
        <w:rPr>
          <w:rFonts w:hint="eastAsia" w:ascii="宋体" w:hAnsi="宋体"/>
          <w:b/>
          <w:bCs/>
          <w:color w:val="000000"/>
          <w:sz w:val="28"/>
          <w:szCs w:val="28"/>
        </w:rPr>
        <w:t>附件3   投标保证金打款凭证</w:t>
      </w:r>
    </w:p>
    <w:p>
      <w:pPr>
        <w:spacing w:line="400" w:lineRule="atLeast"/>
        <w:ind w:left="2880" w:hanging="2880"/>
        <w:jc w:val="left"/>
        <w:rPr>
          <w:rFonts w:ascii="宋体" w:hAnsi="宋体"/>
          <w:b/>
          <w:bCs/>
          <w:sz w:val="24"/>
        </w:rPr>
      </w:pPr>
      <w:r>
        <w:rPr>
          <w:rFonts w:hint="eastAsia" w:ascii="宋体" w:hAnsi="宋体"/>
          <w:b/>
          <w:bCs/>
          <w:color w:val="000000"/>
          <w:sz w:val="28"/>
          <w:szCs w:val="28"/>
        </w:rPr>
        <w:t xml:space="preserve">附件4   </w:t>
      </w:r>
      <w:r>
        <w:rPr>
          <w:rFonts w:hint="eastAsia" w:ascii="宋体" w:hAnsi="宋体"/>
          <w:b/>
          <w:bCs/>
          <w:sz w:val="28"/>
          <w:szCs w:val="28"/>
        </w:rPr>
        <w:t>开标一览表、投标分项报价明细表</w:t>
      </w:r>
    </w:p>
    <w:p>
      <w:pPr>
        <w:jc w:val="center"/>
        <w:rPr>
          <w:rFonts w:cs="宋体"/>
          <w:b/>
          <w:sz w:val="32"/>
          <w:szCs w:val="32"/>
        </w:rPr>
      </w:pPr>
      <w:bookmarkStart w:id="171" w:name="_Toc27948_WPSOffice_Level1"/>
      <w:r>
        <w:rPr>
          <w:rFonts w:hint="eastAsia" w:cs="宋体"/>
          <w:b/>
          <w:sz w:val="32"/>
          <w:szCs w:val="32"/>
        </w:rPr>
        <w:t>开标一览表</w:t>
      </w:r>
    </w:p>
    <w:p>
      <w:pPr>
        <w:ind w:firstLine="560"/>
        <w:rPr>
          <w:rFonts w:cs="宋体"/>
          <w:bCs/>
          <w:szCs w:val="28"/>
        </w:rPr>
      </w:pPr>
      <w:r>
        <w:rPr>
          <w:rFonts w:hint="eastAsia" w:cs="宋体"/>
          <w:bCs/>
          <w:szCs w:val="28"/>
        </w:rPr>
        <w:t>供应商名称：</w:t>
      </w:r>
    </w:p>
    <w:p>
      <w:pPr>
        <w:ind w:firstLine="560"/>
        <w:rPr>
          <w:rFonts w:cs="宋体"/>
          <w:bCs/>
          <w:szCs w:val="28"/>
        </w:rPr>
      </w:pPr>
      <w:r>
        <w:rPr>
          <w:rFonts w:hint="eastAsia" w:cs="宋体"/>
          <w:bCs/>
          <w:szCs w:val="28"/>
        </w:rPr>
        <w:t>项目编号：</w:t>
      </w:r>
    </w:p>
    <w:tbl>
      <w:tblPr>
        <w:tblStyle w:val="33"/>
        <w:tblpPr w:leftFromText="180" w:rightFromText="180" w:vertAnchor="text" w:horzAnchor="page" w:tblpX="1738" w:tblpY="1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997"/>
        <w:gridCol w:w="840"/>
        <w:gridCol w:w="1260"/>
        <w:gridCol w:w="1305"/>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82" w:type="dxa"/>
            <w:vAlign w:val="center"/>
          </w:tcPr>
          <w:p>
            <w:pPr>
              <w:widowControl/>
              <w:jc w:val="center"/>
              <w:rPr>
                <w:rFonts w:cs="宋体"/>
                <w:b/>
                <w:bCs/>
                <w:sz w:val="24"/>
              </w:rPr>
            </w:pPr>
            <w:r>
              <w:rPr>
                <w:rFonts w:hint="eastAsia" w:cs="宋体"/>
                <w:b/>
                <w:bCs/>
                <w:sz w:val="24"/>
              </w:rPr>
              <w:t>序号</w:t>
            </w:r>
          </w:p>
        </w:tc>
        <w:tc>
          <w:tcPr>
            <w:tcW w:w="1997" w:type="dxa"/>
            <w:vAlign w:val="center"/>
          </w:tcPr>
          <w:p>
            <w:pPr>
              <w:widowControl/>
              <w:jc w:val="center"/>
              <w:rPr>
                <w:rFonts w:cs="宋体"/>
                <w:b/>
                <w:bCs/>
                <w:sz w:val="24"/>
              </w:rPr>
            </w:pPr>
            <w:r>
              <w:rPr>
                <w:rFonts w:hint="eastAsia" w:cs="宋体"/>
                <w:b/>
                <w:bCs/>
                <w:sz w:val="24"/>
              </w:rPr>
              <w:t>项目</w:t>
            </w:r>
          </w:p>
        </w:tc>
        <w:tc>
          <w:tcPr>
            <w:tcW w:w="840" w:type="dxa"/>
            <w:vAlign w:val="center"/>
          </w:tcPr>
          <w:p>
            <w:pPr>
              <w:widowControl/>
              <w:jc w:val="center"/>
              <w:rPr>
                <w:rFonts w:cs="宋体"/>
                <w:b/>
                <w:bCs/>
                <w:sz w:val="24"/>
              </w:rPr>
            </w:pPr>
            <w:r>
              <w:rPr>
                <w:rFonts w:hint="eastAsia" w:cs="宋体"/>
                <w:b/>
                <w:bCs/>
                <w:sz w:val="24"/>
              </w:rPr>
              <w:t>数量</w:t>
            </w:r>
          </w:p>
        </w:tc>
        <w:tc>
          <w:tcPr>
            <w:tcW w:w="1260" w:type="dxa"/>
            <w:vAlign w:val="center"/>
          </w:tcPr>
          <w:p>
            <w:pPr>
              <w:widowControl/>
              <w:jc w:val="center"/>
              <w:rPr>
                <w:rFonts w:cs="宋体"/>
                <w:b/>
                <w:bCs/>
                <w:sz w:val="24"/>
              </w:rPr>
            </w:pPr>
            <w:r>
              <w:rPr>
                <w:rFonts w:hint="eastAsia" w:cs="宋体"/>
                <w:b/>
                <w:bCs/>
                <w:sz w:val="24"/>
              </w:rPr>
              <w:t>计量单位</w:t>
            </w:r>
          </w:p>
        </w:tc>
        <w:tc>
          <w:tcPr>
            <w:tcW w:w="1305" w:type="dxa"/>
            <w:vAlign w:val="center"/>
          </w:tcPr>
          <w:p>
            <w:pPr>
              <w:widowControl/>
              <w:jc w:val="center"/>
              <w:rPr>
                <w:rFonts w:cs="宋体"/>
                <w:b/>
                <w:bCs/>
                <w:sz w:val="24"/>
              </w:rPr>
            </w:pPr>
            <w:r>
              <w:rPr>
                <w:rFonts w:hint="eastAsia" w:cs="宋体"/>
                <w:b/>
                <w:bCs/>
                <w:sz w:val="24"/>
              </w:rPr>
              <w:t>单价（元）</w:t>
            </w:r>
          </w:p>
        </w:tc>
        <w:tc>
          <w:tcPr>
            <w:tcW w:w="2672" w:type="dxa"/>
            <w:vAlign w:val="center"/>
          </w:tcPr>
          <w:p>
            <w:pPr>
              <w:widowControl/>
              <w:jc w:val="center"/>
              <w:rPr>
                <w:rFonts w:cs="宋体"/>
                <w:b/>
                <w:bCs/>
                <w:sz w:val="24"/>
              </w:rPr>
            </w:pPr>
            <w:r>
              <w:rPr>
                <w:rFonts w:hint="eastAsia" w:cs="宋体"/>
                <w:b/>
                <w:bCs/>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2" w:type="dxa"/>
            <w:vAlign w:val="center"/>
          </w:tcPr>
          <w:p>
            <w:pPr>
              <w:widowControl/>
              <w:jc w:val="center"/>
              <w:rPr>
                <w:rFonts w:cs="宋体"/>
                <w:szCs w:val="28"/>
              </w:rPr>
            </w:pPr>
            <w:r>
              <w:rPr>
                <w:rFonts w:hint="eastAsia" w:cs="宋体"/>
                <w:szCs w:val="28"/>
              </w:rPr>
              <w:t>1</w:t>
            </w:r>
          </w:p>
        </w:tc>
        <w:tc>
          <w:tcPr>
            <w:tcW w:w="1997" w:type="dxa"/>
            <w:vAlign w:val="center"/>
          </w:tcPr>
          <w:p>
            <w:pPr>
              <w:pStyle w:val="29"/>
              <w:spacing w:line="360" w:lineRule="exact"/>
              <w:jc w:val="center"/>
              <w:rPr>
                <w:rFonts w:cs="宋体"/>
                <w:szCs w:val="28"/>
              </w:rPr>
            </w:pPr>
          </w:p>
        </w:tc>
        <w:tc>
          <w:tcPr>
            <w:tcW w:w="840" w:type="dxa"/>
            <w:vAlign w:val="center"/>
          </w:tcPr>
          <w:p>
            <w:pPr>
              <w:widowControl/>
              <w:jc w:val="center"/>
              <w:rPr>
                <w:rFonts w:cs="宋体"/>
                <w:szCs w:val="28"/>
              </w:rPr>
            </w:pPr>
          </w:p>
        </w:tc>
        <w:tc>
          <w:tcPr>
            <w:tcW w:w="1260" w:type="dxa"/>
            <w:vAlign w:val="center"/>
          </w:tcPr>
          <w:p>
            <w:pPr>
              <w:widowControl/>
              <w:jc w:val="center"/>
              <w:rPr>
                <w:rFonts w:cs="宋体"/>
                <w:szCs w:val="28"/>
              </w:rPr>
            </w:pPr>
          </w:p>
        </w:tc>
        <w:tc>
          <w:tcPr>
            <w:tcW w:w="1305" w:type="dxa"/>
          </w:tcPr>
          <w:p>
            <w:pPr>
              <w:widowControl/>
              <w:jc w:val="center"/>
              <w:rPr>
                <w:rFonts w:cs="宋体"/>
                <w:szCs w:val="28"/>
              </w:rPr>
            </w:pPr>
          </w:p>
        </w:tc>
        <w:tc>
          <w:tcPr>
            <w:tcW w:w="2672" w:type="dxa"/>
          </w:tcPr>
          <w:p>
            <w:pPr>
              <w:widowControl/>
              <w:jc w:val="center"/>
              <w:rPr>
                <w:rFonts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2" w:type="dxa"/>
            <w:vAlign w:val="center"/>
          </w:tcPr>
          <w:p>
            <w:pPr>
              <w:widowControl/>
              <w:jc w:val="center"/>
              <w:rPr>
                <w:rFonts w:cs="宋体"/>
                <w:szCs w:val="28"/>
              </w:rPr>
            </w:pPr>
            <w:r>
              <w:rPr>
                <w:rFonts w:hint="eastAsia" w:cs="宋体"/>
                <w:szCs w:val="28"/>
              </w:rPr>
              <w:t>2</w:t>
            </w:r>
          </w:p>
        </w:tc>
        <w:tc>
          <w:tcPr>
            <w:tcW w:w="1997" w:type="dxa"/>
            <w:vAlign w:val="center"/>
          </w:tcPr>
          <w:p>
            <w:pPr>
              <w:widowControl/>
              <w:jc w:val="center"/>
              <w:rPr>
                <w:rFonts w:cs="宋体"/>
                <w:szCs w:val="28"/>
              </w:rPr>
            </w:pPr>
          </w:p>
        </w:tc>
        <w:tc>
          <w:tcPr>
            <w:tcW w:w="840" w:type="dxa"/>
            <w:vAlign w:val="center"/>
          </w:tcPr>
          <w:p>
            <w:pPr>
              <w:widowControl/>
              <w:jc w:val="center"/>
              <w:rPr>
                <w:rFonts w:cs="宋体"/>
                <w:szCs w:val="28"/>
              </w:rPr>
            </w:pPr>
          </w:p>
        </w:tc>
        <w:tc>
          <w:tcPr>
            <w:tcW w:w="1260" w:type="dxa"/>
            <w:vAlign w:val="center"/>
          </w:tcPr>
          <w:p>
            <w:pPr>
              <w:widowControl/>
              <w:jc w:val="center"/>
              <w:rPr>
                <w:rFonts w:cs="宋体"/>
                <w:szCs w:val="28"/>
              </w:rPr>
            </w:pPr>
          </w:p>
        </w:tc>
        <w:tc>
          <w:tcPr>
            <w:tcW w:w="1305" w:type="dxa"/>
          </w:tcPr>
          <w:p>
            <w:pPr>
              <w:widowControl/>
              <w:jc w:val="center"/>
              <w:rPr>
                <w:rFonts w:cs="宋体"/>
                <w:szCs w:val="28"/>
              </w:rPr>
            </w:pPr>
          </w:p>
        </w:tc>
        <w:tc>
          <w:tcPr>
            <w:tcW w:w="2672" w:type="dxa"/>
          </w:tcPr>
          <w:p>
            <w:pPr>
              <w:widowControl/>
              <w:jc w:val="center"/>
              <w:rPr>
                <w:rFonts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2" w:type="dxa"/>
            <w:vAlign w:val="center"/>
          </w:tcPr>
          <w:p>
            <w:pPr>
              <w:widowControl/>
              <w:jc w:val="center"/>
              <w:rPr>
                <w:rFonts w:cs="宋体"/>
                <w:szCs w:val="28"/>
              </w:rPr>
            </w:pPr>
            <w:r>
              <w:rPr>
                <w:rFonts w:hint="eastAsia" w:cs="宋体"/>
                <w:szCs w:val="28"/>
              </w:rPr>
              <w:t>3</w:t>
            </w:r>
          </w:p>
        </w:tc>
        <w:tc>
          <w:tcPr>
            <w:tcW w:w="1997" w:type="dxa"/>
            <w:vAlign w:val="center"/>
          </w:tcPr>
          <w:p>
            <w:pPr>
              <w:widowControl/>
              <w:jc w:val="center"/>
              <w:rPr>
                <w:rFonts w:cs="宋体"/>
                <w:szCs w:val="28"/>
              </w:rPr>
            </w:pPr>
            <w:r>
              <w:rPr>
                <w:rFonts w:hint="eastAsia" w:cs="宋体"/>
                <w:bCs/>
                <w:sz w:val="24"/>
              </w:rPr>
              <w:t>服务期</w:t>
            </w:r>
          </w:p>
        </w:tc>
        <w:tc>
          <w:tcPr>
            <w:tcW w:w="6077" w:type="dxa"/>
            <w:gridSpan w:val="4"/>
            <w:vAlign w:val="center"/>
          </w:tcPr>
          <w:p>
            <w:pPr>
              <w:widowControl/>
              <w:jc w:val="center"/>
              <w:rPr>
                <w:rFonts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2" w:type="dxa"/>
            <w:vAlign w:val="center"/>
          </w:tcPr>
          <w:p>
            <w:pPr>
              <w:widowControl/>
              <w:jc w:val="center"/>
              <w:rPr>
                <w:rFonts w:cs="宋体"/>
                <w:szCs w:val="28"/>
              </w:rPr>
            </w:pPr>
            <w:r>
              <w:rPr>
                <w:rFonts w:hint="eastAsia" w:cs="宋体"/>
                <w:szCs w:val="28"/>
              </w:rPr>
              <w:t>4</w:t>
            </w:r>
          </w:p>
        </w:tc>
        <w:tc>
          <w:tcPr>
            <w:tcW w:w="1997" w:type="dxa"/>
            <w:vAlign w:val="center"/>
          </w:tcPr>
          <w:p>
            <w:pPr>
              <w:widowControl/>
              <w:jc w:val="center"/>
              <w:rPr>
                <w:rFonts w:cs="宋体"/>
                <w:szCs w:val="28"/>
              </w:rPr>
            </w:pPr>
            <w:r>
              <w:rPr>
                <w:rFonts w:hint="eastAsia" w:cs="宋体"/>
                <w:bCs/>
                <w:sz w:val="24"/>
              </w:rPr>
              <w:t>质量等级</w:t>
            </w:r>
          </w:p>
        </w:tc>
        <w:tc>
          <w:tcPr>
            <w:tcW w:w="6077" w:type="dxa"/>
            <w:gridSpan w:val="4"/>
            <w:vAlign w:val="center"/>
          </w:tcPr>
          <w:p>
            <w:pPr>
              <w:widowControl/>
              <w:jc w:val="center"/>
              <w:rPr>
                <w:rFonts w:cs="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779" w:type="dxa"/>
            <w:gridSpan w:val="2"/>
            <w:vAlign w:val="center"/>
          </w:tcPr>
          <w:p>
            <w:pPr>
              <w:jc w:val="center"/>
              <w:rPr>
                <w:rFonts w:cs="宋体"/>
                <w:bCs/>
                <w:sz w:val="24"/>
              </w:rPr>
            </w:pPr>
            <w:r>
              <w:rPr>
                <w:rFonts w:hint="eastAsia" w:cs="宋体"/>
                <w:bCs/>
                <w:sz w:val="24"/>
              </w:rPr>
              <w:t>投标总报价</w:t>
            </w:r>
          </w:p>
          <w:p>
            <w:pPr>
              <w:jc w:val="center"/>
              <w:rPr>
                <w:rFonts w:cs="宋体"/>
                <w:szCs w:val="28"/>
              </w:rPr>
            </w:pPr>
            <w:r>
              <w:rPr>
                <w:rFonts w:hint="eastAsia" w:cs="宋体"/>
                <w:bCs/>
                <w:sz w:val="24"/>
              </w:rPr>
              <w:t>(元)</w:t>
            </w:r>
          </w:p>
        </w:tc>
        <w:tc>
          <w:tcPr>
            <w:tcW w:w="6077" w:type="dxa"/>
            <w:gridSpan w:val="4"/>
            <w:vAlign w:val="center"/>
          </w:tcPr>
          <w:p>
            <w:pPr>
              <w:ind w:firstLine="480"/>
              <w:rPr>
                <w:rFonts w:cs="宋体"/>
                <w:bCs/>
                <w:sz w:val="24"/>
              </w:rPr>
            </w:pPr>
            <w:r>
              <w:rPr>
                <w:rFonts w:hint="eastAsia" w:cs="宋体"/>
                <w:bCs/>
                <w:sz w:val="24"/>
              </w:rPr>
              <w:t>小写：</w:t>
            </w:r>
          </w:p>
          <w:p>
            <w:pPr>
              <w:ind w:firstLine="480" w:firstLineChars="200"/>
              <w:rPr>
                <w:rFonts w:cs="宋体"/>
                <w:szCs w:val="28"/>
              </w:rPr>
            </w:pPr>
            <w:r>
              <w:rPr>
                <w:rFonts w:hint="eastAsia" w:cs="宋体"/>
                <w:bCs/>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856" w:type="dxa"/>
            <w:gridSpan w:val="6"/>
            <w:vAlign w:val="center"/>
          </w:tcPr>
          <w:p>
            <w:pPr>
              <w:spacing w:line="400" w:lineRule="exact"/>
              <w:ind w:left="420" w:leftChars="200"/>
              <w:rPr>
                <w:rFonts w:cs="宋体"/>
                <w:bCs/>
                <w:sz w:val="24"/>
                <w:lang w:val="zh-CN"/>
              </w:rPr>
            </w:pPr>
            <w:r>
              <w:rPr>
                <w:rFonts w:hint="eastAsia" w:cs="宋体"/>
                <w:bCs/>
                <w:sz w:val="24"/>
              </w:rPr>
              <w:t>1、投标总报价不得超过本项目的预算金额</w:t>
            </w:r>
          </w:p>
          <w:p>
            <w:pPr>
              <w:spacing w:line="400" w:lineRule="exact"/>
              <w:ind w:left="420" w:leftChars="200"/>
              <w:rPr>
                <w:rFonts w:cs="宋体"/>
                <w:szCs w:val="28"/>
              </w:rPr>
            </w:pPr>
            <w:r>
              <w:rPr>
                <w:rFonts w:hint="eastAsia" w:cs="宋体"/>
                <w:bCs/>
                <w:sz w:val="24"/>
              </w:rPr>
              <w:t>2、</w:t>
            </w:r>
            <w:r>
              <w:rPr>
                <w:rFonts w:hint="eastAsia" w:cs="宋体"/>
                <w:bCs/>
                <w:sz w:val="24"/>
                <w:lang w:val="zh-CN"/>
              </w:rPr>
              <w:t>报价应包括为</w:t>
            </w:r>
            <w:r>
              <w:rPr>
                <w:rFonts w:hint="eastAsia" w:cs="宋体"/>
                <w:bCs/>
                <w:sz w:val="24"/>
              </w:rPr>
              <w:t>本项目提供货物及服务所需的全部费用</w:t>
            </w:r>
            <w:r>
              <w:rPr>
                <w:rFonts w:hint="eastAsia" w:cs="宋体"/>
                <w:bCs/>
                <w:sz w:val="24"/>
                <w:lang w:val="zh-CN"/>
              </w:rPr>
              <w:t>。</w:t>
            </w:r>
          </w:p>
        </w:tc>
      </w:tr>
    </w:tbl>
    <w:p>
      <w:pPr>
        <w:rPr>
          <w:rFonts w:cs="宋体"/>
          <w:bCs/>
          <w:szCs w:val="28"/>
        </w:rPr>
      </w:pPr>
    </w:p>
    <w:p>
      <w:pPr>
        <w:rPr>
          <w:rFonts w:cs="宋体"/>
          <w:bCs/>
          <w:szCs w:val="28"/>
        </w:rPr>
      </w:pPr>
      <w:r>
        <w:rPr>
          <w:rFonts w:hint="eastAsia" w:cs="宋体"/>
          <w:bCs/>
          <w:szCs w:val="28"/>
        </w:rPr>
        <w:t>供应商（公章）：</w:t>
      </w:r>
    </w:p>
    <w:p>
      <w:pPr>
        <w:rPr>
          <w:rFonts w:cs="宋体"/>
          <w:bCs/>
          <w:szCs w:val="28"/>
        </w:rPr>
      </w:pPr>
      <w:r>
        <w:rPr>
          <w:rFonts w:hint="eastAsia" w:cs="宋体"/>
          <w:bCs/>
          <w:szCs w:val="28"/>
        </w:rPr>
        <w:t>法定代表人或授权代理人（</w:t>
      </w:r>
      <w:r>
        <w:rPr>
          <w:rFonts w:hint="eastAsia" w:cs="宋体"/>
          <w:szCs w:val="28"/>
        </w:rPr>
        <w:t>签章</w:t>
      </w:r>
      <w:r>
        <w:rPr>
          <w:rFonts w:hint="eastAsia" w:cs="宋体"/>
          <w:bCs/>
          <w:szCs w:val="28"/>
        </w:rPr>
        <w:t>）：</w:t>
      </w:r>
    </w:p>
    <w:p>
      <w:pPr>
        <w:rPr>
          <w:rFonts w:cs="宋体"/>
          <w:bCs/>
          <w:szCs w:val="28"/>
        </w:rPr>
      </w:pPr>
      <w:r>
        <w:rPr>
          <w:rFonts w:hint="eastAsia" w:cs="宋体"/>
          <w:bCs/>
          <w:szCs w:val="28"/>
        </w:rPr>
        <w:t xml:space="preserve">日      期：        年  月  日       </w:t>
      </w:r>
    </w:p>
    <w:p>
      <w:pPr>
        <w:rPr>
          <w:rFonts w:cs="宋体"/>
          <w:bCs/>
          <w:szCs w:val="28"/>
        </w:rPr>
      </w:pPr>
    </w:p>
    <w:p>
      <w:pPr>
        <w:pStyle w:val="81"/>
        <w:ind w:firstLine="240" w:firstLineChars="100"/>
        <w:jc w:val="left"/>
        <w:rPr>
          <w:sz w:val="24"/>
          <w:szCs w:val="24"/>
        </w:rPr>
      </w:pPr>
      <w:r>
        <w:rPr>
          <w:rFonts w:hint="eastAsia"/>
          <w:sz w:val="24"/>
          <w:szCs w:val="24"/>
        </w:rPr>
        <w:t>注：1、此开标一览表还需单独密封一份，随响应文件一同递交；</w:t>
      </w:r>
    </w:p>
    <w:p>
      <w:pPr>
        <w:pStyle w:val="81"/>
        <w:ind w:firstLine="720" w:firstLineChars="300"/>
        <w:jc w:val="left"/>
        <w:rPr>
          <w:sz w:val="24"/>
          <w:szCs w:val="24"/>
        </w:rPr>
      </w:pPr>
      <w:r>
        <w:rPr>
          <w:rFonts w:hint="eastAsia"/>
          <w:sz w:val="24"/>
          <w:szCs w:val="24"/>
        </w:rPr>
        <w:t>2、大写金额和小写金额不一致的以大写金额为准；</w:t>
      </w:r>
    </w:p>
    <w:p>
      <w:pPr>
        <w:pStyle w:val="81"/>
        <w:ind w:firstLine="720" w:firstLineChars="300"/>
        <w:jc w:val="left"/>
        <w:rPr>
          <w:sz w:val="24"/>
          <w:szCs w:val="24"/>
        </w:rPr>
      </w:pPr>
      <w:r>
        <w:rPr>
          <w:rFonts w:hint="eastAsia"/>
          <w:sz w:val="24"/>
          <w:szCs w:val="24"/>
        </w:rPr>
        <w:t>3、“开标一览表”中的投标总报价与“报价明细一览表”中的合计不一致时，以开标一览表中的投标总报价为准；</w:t>
      </w:r>
    </w:p>
    <w:p>
      <w:pPr>
        <w:spacing w:line="400" w:lineRule="atLeast"/>
        <w:ind w:left="2880" w:hanging="2880"/>
        <w:jc w:val="center"/>
        <w:rPr>
          <w:rFonts w:ascii="宋体" w:hAnsi="宋体"/>
          <w:b/>
          <w:bCs/>
          <w:sz w:val="28"/>
          <w:szCs w:val="28"/>
        </w:rPr>
      </w:pPr>
    </w:p>
    <w:p>
      <w:pPr>
        <w:pStyle w:val="25"/>
        <w:rPr>
          <w:rFonts w:ascii="宋体" w:hAnsi="宋体"/>
          <w:b/>
          <w:bCs/>
          <w:sz w:val="28"/>
          <w:szCs w:val="28"/>
        </w:rPr>
      </w:pPr>
    </w:p>
    <w:p>
      <w:pPr>
        <w:pStyle w:val="25"/>
        <w:rPr>
          <w:rFonts w:ascii="宋体" w:hAnsi="宋体"/>
          <w:b/>
          <w:bCs/>
          <w:sz w:val="28"/>
          <w:szCs w:val="28"/>
        </w:rPr>
      </w:pPr>
    </w:p>
    <w:p>
      <w:pPr>
        <w:pStyle w:val="25"/>
        <w:rPr>
          <w:rFonts w:ascii="宋体" w:hAnsi="宋体"/>
          <w:b/>
          <w:bCs/>
          <w:sz w:val="28"/>
          <w:szCs w:val="28"/>
        </w:rPr>
      </w:pPr>
    </w:p>
    <w:p>
      <w:pPr>
        <w:pStyle w:val="25"/>
        <w:rPr>
          <w:rFonts w:ascii="宋体" w:hAnsi="宋体"/>
          <w:b/>
          <w:bCs/>
          <w:sz w:val="28"/>
          <w:szCs w:val="28"/>
        </w:rPr>
      </w:pPr>
    </w:p>
    <w:p>
      <w:pPr>
        <w:pStyle w:val="25"/>
        <w:rPr>
          <w:rFonts w:ascii="宋体" w:hAnsi="宋体"/>
          <w:b/>
          <w:bCs/>
          <w:sz w:val="28"/>
          <w:szCs w:val="28"/>
        </w:rPr>
      </w:pPr>
    </w:p>
    <w:p>
      <w:pPr>
        <w:pStyle w:val="25"/>
        <w:rPr>
          <w:rFonts w:ascii="宋体" w:hAnsi="宋体"/>
          <w:b/>
          <w:bCs/>
          <w:sz w:val="28"/>
          <w:szCs w:val="28"/>
        </w:rPr>
      </w:pPr>
    </w:p>
    <w:p>
      <w:pPr>
        <w:pStyle w:val="31"/>
        <w:ind w:firstLine="321"/>
        <w:rPr>
          <w:rFonts w:ascii="宋体" w:hAnsi="宋体"/>
          <w:sz w:val="28"/>
          <w:szCs w:val="28"/>
        </w:rPr>
      </w:pPr>
    </w:p>
    <w:p>
      <w:pPr>
        <w:rPr>
          <w:rFonts w:ascii="宋体" w:hAnsi="宋体"/>
          <w:b/>
          <w:bCs/>
          <w:sz w:val="28"/>
          <w:szCs w:val="28"/>
        </w:rPr>
      </w:pPr>
    </w:p>
    <w:p>
      <w:pPr>
        <w:spacing w:line="520" w:lineRule="exact"/>
        <w:ind w:firstLine="562"/>
        <w:jc w:val="center"/>
        <w:rPr>
          <w:rFonts w:cs="宋体"/>
          <w:b/>
          <w:sz w:val="32"/>
          <w:szCs w:val="32"/>
        </w:rPr>
      </w:pPr>
    </w:p>
    <w:p>
      <w:pPr>
        <w:spacing w:line="520" w:lineRule="exact"/>
        <w:ind w:firstLine="562"/>
        <w:jc w:val="center"/>
        <w:rPr>
          <w:rFonts w:cs="宋体"/>
          <w:b/>
          <w:sz w:val="32"/>
          <w:szCs w:val="32"/>
        </w:rPr>
      </w:pPr>
    </w:p>
    <w:p>
      <w:pPr>
        <w:spacing w:line="520" w:lineRule="exact"/>
        <w:ind w:firstLine="562"/>
        <w:jc w:val="center"/>
        <w:rPr>
          <w:rFonts w:cs="宋体"/>
          <w:b/>
          <w:sz w:val="32"/>
          <w:szCs w:val="32"/>
        </w:rPr>
      </w:pPr>
      <w:r>
        <w:rPr>
          <w:rFonts w:hint="eastAsia" w:cs="宋体"/>
          <w:b/>
          <w:sz w:val="32"/>
          <w:szCs w:val="32"/>
        </w:rPr>
        <w:t>磋商报价表（第二轮报价）</w:t>
      </w:r>
    </w:p>
    <w:p>
      <w:pPr>
        <w:autoSpaceDE w:val="0"/>
        <w:autoSpaceDN w:val="0"/>
        <w:spacing w:line="360" w:lineRule="auto"/>
        <w:rPr>
          <w:rFonts w:ascii="宋体" w:hAnsi="宋体" w:cs="宋体"/>
          <w:sz w:val="24"/>
        </w:rPr>
      </w:pPr>
    </w:p>
    <w:p>
      <w:pPr>
        <w:autoSpaceDE w:val="0"/>
        <w:autoSpaceDN w:val="0"/>
        <w:spacing w:line="360" w:lineRule="auto"/>
        <w:rPr>
          <w:rFonts w:ascii="宋体" w:hAnsi="宋体" w:cs="宋体"/>
          <w:sz w:val="24"/>
          <w:lang w:val="zh-CN"/>
        </w:rPr>
      </w:pPr>
      <w:r>
        <w:rPr>
          <w:rFonts w:hint="eastAsia" w:ascii="宋体" w:hAnsi="宋体" w:cs="宋体"/>
          <w:sz w:val="24"/>
        </w:rPr>
        <w:t xml:space="preserve">项目名称：            </w:t>
      </w:r>
      <w:r>
        <w:rPr>
          <w:rFonts w:hint="eastAsia" w:ascii="宋体" w:hAnsi="宋体" w:cs="宋体"/>
          <w:sz w:val="24"/>
          <w:lang w:val="zh-CN"/>
        </w:rPr>
        <w:t>招标编号：</w:t>
      </w:r>
      <w:r>
        <w:rPr>
          <w:rFonts w:hint="eastAsia" w:ascii="宋体" w:hAnsi="宋体" w:cs="宋体"/>
          <w:sz w:val="24"/>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2074"/>
        <w:gridCol w:w="2699"/>
        <w:gridCol w:w="2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lang w:val="zh-CN"/>
              </w:rPr>
            </w:pPr>
            <w:r>
              <w:rPr>
                <w:rFonts w:hint="eastAsia" w:ascii="宋体" w:hAnsi="宋体" w:cs="宋体"/>
                <w:sz w:val="24"/>
                <w:lang w:val="zh-CN"/>
              </w:rPr>
              <w:t>序号</w:t>
            </w:r>
          </w:p>
        </w:tc>
        <w:tc>
          <w:tcPr>
            <w:tcW w:w="207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lang w:val="zh-CN"/>
              </w:rPr>
            </w:pPr>
            <w:r>
              <w:rPr>
                <w:rFonts w:hint="eastAsia" w:ascii="宋体" w:hAnsi="宋体" w:cs="宋体"/>
                <w:sz w:val="24"/>
                <w:lang w:val="zh-CN"/>
              </w:rPr>
              <w:t>条款名称</w:t>
            </w:r>
          </w:p>
        </w:tc>
        <w:tc>
          <w:tcPr>
            <w:tcW w:w="56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lang w:val="zh-CN"/>
              </w:rPr>
            </w:pPr>
            <w:r>
              <w:rPr>
                <w:rFonts w:hint="eastAsia" w:ascii="宋体" w:hAnsi="宋体" w:cs="宋体"/>
                <w:sz w:val="24"/>
                <w:lang w:val="zh-CN"/>
              </w:rPr>
              <w:t>内</w:t>
            </w:r>
            <w:r>
              <w:rPr>
                <w:rFonts w:hint="eastAsia" w:ascii="宋体" w:hAnsi="宋体" w:cs="宋体"/>
                <w:sz w:val="24"/>
              </w:rPr>
              <w:t xml:space="preserve">  </w:t>
            </w:r>
            <w:r>
              <w:rPr>
                <w:rFonts w:hint="eastAsia" w:ascii="宋体" w:hAnsi="宋体" w:cs="宋体"/>
                <w:sz w:val="24"/>
                <w:lang w:val="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lang w:val="zh-CN"/>
              </w:rPr>
            </w:pPr>
            <w:r>
              <w:rPr>
                <w:rFonts w:hint="eastAsia" w:ascii="宋体" w:hAnsi="宋体" w:cs="宋体"/>
                <w:sz w:val="24"/>
              </w:rPr>
              <w:t>1</w:t>
            </w:r>
          </w:p>
        </w:tc>
        <w:tc>
          <w:tcPr>
            <w:tcW w:w="207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lang w:val="zh-CN"/>
              </w:rPr>
            </w:pPr>
            <w:r>
              <w:rPr>
                <w:rFonts w:hint="eastAsia" w:ascii="宋体" w:hAnsi="宋体" w:cs="宋体"/>
                <w:sz w:val="24"/>
                <w:lang w:val="zh-CN"/>
              </w:rPr>
              <w:t>质量目标</w:t>
            </w:r>
          </w:p>
        </w:tc>
        <w:tc>
          <w:tcPr>
            <w:tcW w:w="56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lang w:val="zh-CN"/>
              </w:rPr>
            </w:pPr>
            <w:r>
              <w:rPr>
                <w:rFonts w:hint="eastAsia" w:ascii="宋体" w:hAnsi="宋体" w:cs="宋体"/>
                <w:sz w:val="24"/>
              </w:rPr>
              <w:t>2</w:t>
            </w:r>
          </w:p>
        </w:tc>
        <w:tc>
          <w:tcPr>
            <w:tcW w:w="207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lang w:val="zh-CN"/>
              </w:rPr>
            </w:pPr>
            <w:r>
              <w:rPr>
                <w:rFonts w:hint="eastAsia" w:ascii="宋体" w:hAnsi="宋体" w:cs="宋体"/>
                <w:sz w:val="24"/>
                <w:lang w:val="zh-CN"/>
              </w:rPr>
              <w:t>项目负责人</w:t>
            </w:r>
          </w:p>
        </w:tc>
        <w:tc>
          <w:tcPr>
            <w:tcW w:w="56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lang w:val="zh-CN"/>
              </w:rPr>
            </w:pPr>
            <w:r>
              <w:rPr>
                <w:rFonts w:hint="eastAsia" w:ascii="宋体" w:hAnsi="宋体" w:cs="宋体"/>
                <w:sz w:val="24"/>
              </w:rPr>
              <w:t>3</w:t>
            </w:r>
          </w:p>
        </w:tc>
        <w:tc>
          <w:tcPr>
            <w:tcW w:w="207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highlight w:val="yellow"/>
              </w:rPr>
            </w:pPr>
            <w:r>
              <w:rPr>
                <w:rFonts w:hint="eastAsia" w:ascii="宋体" w:hAnsi="宋体" w:cs="宋体"/>
                <w:sz w:val="24"/>
              </w:rPr>
              <w:t>服务周期</w:t>
            </w:r>
          </w:p>
        </w:tc>
        <w:tc>
          <w:tcPr>
            <w:tcW w:w="56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rPr>
            </w:pPr>
            <w:r>
              <w:rPr>
                <w:rFonts w:hint="eastAsia" w:ascii="宋体" w:hAnsi="宋体" w:cs="宋体"/>
                <w:sz w:val="24"/>
              </w:rPr>
              <w:t>4</w:t>
            </w:r>
          </w:p>
        </w:tc>
        <w:tc>
          <w:tcPr>
            <w:tcW w:w="207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highlight w:val="yellow"/>
                <w:lang w:val="zh-CN"/>
              </w:rPr>
            </w:pPr>
            <w:r>
              <w:rPr>
                <w:rFonts w:hint="eastAsia" w:ascii="宋体" w:hAnsi="宋体" w:cs="宋体"/>
                <w:sz w:val="24"/>
              </w:rPr>
              <w:t>服务地点</w:t>
            </w:r>
          </w:p>
        </w:tc>
        <w:tc>
          <w:tcPr>
            <w:tcW w:w="566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rPr>
            </w:pPr>
            <w:r>
              <w:rPr>
                <w:rFonts w:hint="eastAsia" w:ascii="宋体" w:hAnsi="宋体" w:cs="宋体"/>
                <w:sz w:val="24"/>
              </w:rPr>
              <w:t>5</w:t>
            </w:r>
          </w:p>
        </w:tc>
        <w:tc>
          <w:tcPr>
            <w:tcW w:w="207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rPr>
            </w:pPr>
            <w:r>
              <w:rPr>
                <w:rFonts w:hint="eastAsia" w:ascii="宋体" w:hAnsi="宋体" w:cs="宋体"/>
                <w:sz w:val="24"/>
                <w:lang w:val="zh-CN"/>
              </w:rPr>
              <w:t>投标总价</w:t>
            </w:r>
          </w:p>
        </w:tc>
        <w:tc>
          <w:tcPr>
            <w:tcW w:w="2699"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lang w:val="zh-CN"/>
              </w:rPr>
            </w:pPr>
            <w:r>
              <w:rPr>
                <w:rFonts w:hint="eastAsia" w:hAnsi="宋体" w:cs="宋体"/>
                <w:sz w:val="24"/>
              </w:rPr>
              <w:t>大写：</w:t>
            </w:r>
            <w:r>
              <w:rPr>
                <w:rFonts w:hint="eastAsia" w:hAnsi="宋体" w:cs="宋体"/>
                <w:sz w:val="24"/>
                <w:u w:val="single"/>
              </w:rPr>
              <w:t xml:space="preserve">       </w:t>
            </w:r>
            <w:r>
              <w:rPr>
                <w:rFonts w:hint="eastAsia" w:hAnsi="宋体" w:cs="宋体"/>
                <w:sz w:val="24"/>
              </w:rPr>
              <w:t xml:space="preserve"> 元</w:t>
            </w:r>
          </w:p>
        </w:tc>
        <w:tc>
          <w:tcPr>
            <w:tcW w:w="296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lang w:val="zh-CN"/>
              </w:rPr>
            </w:pPr>
            <w:r>
              <w:rPr>
                <w:rFonts w:hint="eastAsia" w:hAnsi="宋体" w:cs="宋体"/>
                <w:sz w:val="24"/>
              </w:rPr>
              <w:t>￥</w:t>
            </w:r>
            <w:r>
              <w:rPr>
                <w:rFonts w:hint="eastAsia" w:hAnsi="宋体" w:cs="宋体"/>
                <w:sz w:val="24"/>
                <w:u w:val="single"/>
              </w:rPr>
              <w:t xml:space="preserve">        </w:t>
            </w:r>
            <w:r>
              <w:rPr>
                <w:rFonts w:hint="eastAsia"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宋体" w:hAnsi="宋体" w:cs="宋体"/>
                <w:sz w:val="24"/>
              </w:rPr>
            </w:pPr>
            <w:r>
              <w:rPr>
                <w:rFonts w:hint="eastAsia" w:ascii="宋体" w:hAnsi="宋体" w:cs="宋体"/>
                <w:sz w:val="24"/>
              </w:rPr>
              <w:t>备注：</w:t>
            </w:r>
          </w:p>
        </w:tc>
        <w:tc>
          <w:tcPr>
            <w:tcW w:w="774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hAnsi="宋体" w:cs="宋体"/>
                <w:sz w:val="24"/>
              </w:rPr>
            </w:pPr>
          </w:p>
        </w:tc>
      </w:tr>
    </w:tbl>
    <w:p>
      <w:pPr>
        <w:autoSpaceDE w:val="0"/>
        <w:autoSpaceDN w:val="0"/>
        <w:spacing w:line="360" w:lineRule="auto"/>
        <w:rPr>
          <w:rFonts w:ascii="宋体" w:hAnsi="宋体" w:cs="宋体"/>
          <w:b/>
          <w:sz w:val="24"/>
          <w:lang w:val="zh-CN"/>
        </w:rPr>
      </w:pPr>
    </w:p>
    <w:p>
      <w:pPr>
        <w:pStyle w:val="80"/>
        <w:spacing w:line="360" w:lineRule="auto"/>
        <w:ind w:firstLine="522" w:firstLineChars="200"/>
        <w:rPr>
          <w:rFonts w:ascii="宋体" w:hAnsi="宋体" w:cs="宋体"/>
          <w:b/>
        </w:rPr>
      </w:pPr>
    </w:p>
    <w:p>
      <w:pPr>
        <w:spacing w:line="360" w:lineRule="auto"/>
        <w:ind w:firstLine="480" w:firstLineChars="200"/>
        <w:jc w:val="left"/>
        <w:rPr>
          <w:rFonts w:ascii="宋体" w:hAnsi="宋体" w:cs="宋体"/>
          <w:sz w:val="24"/>
        </w:rPr>
      </w:pPr>
      <w:r>
        <w:rPr>
          <w:rFonts w:hint="eastAsia" w:ascii="宋体" w:hAnsi="宋体" w:cs="宋体"/>
          <w:sz w:val="24"/>
        </w:rPr>
        <w:t>投标单位（公章）：</w:t>
      </w:r>
    </w:p>
    <w:p>
      <w:pPr>
        <w:pStyle w:val="25"/>
      </w:pPr>
    </w:p>
    <w:p>
      <w:pPr>
        <w:spacing w:line="360" w:lineRule="auto"/>
        <w:ind w:firstLine="480" w:firstLineChars="200"/>
        <w:jc w:val="left"/>
        <w:rPr>
          <w:rFonts w:ascii="宋体" w:hAnsi="宋体" w:cs="宋体"/>
          <w:sz w:val="24"/>
        </w:rPr>
      </w:pPr>
      <w:r>
        <w:rPr>
          <w:rFonts w:hint="eastAsia" w:ascii="宋体" w:hAnsi="宋体" w:cs="宋体"/>
          <w:sz w:val="24"/>
        </w:rPr>
        <w:t>法定代表人（或授权委托人）签字：</w:t>
      </w:r>
    </w:p>
    <w:p>
      <w:pPr>
        <w:spacing w:line="360" w:lineRule="auto"/>
        <w:ind w:firstLine="480" w:firstLineChars="200"/>
        <w:jc w:val="right"/>
        <w:rPr>
          <w:rFonts w:ascii="宋体" w:hAnsi="宋体" w:cs="宋体"/>
          <w:sz w:val="24"/>
          <w:lang w:val="zh-CN"/>
        </w:rPr>
      </w:pPr>
      <w:r>
        <w:rPr>
          <w:rFonts w:hint="eastAsia" w:ascii="宋体" w:hAnsi="宋体" w:cs="宋体"/>
          <w:bCs/>
          <w:kern w:val="44"/>
          <w:sz w:val="24"/>
        </w:rPr>
        <w:t>年  月  日</w:t>
      </w:r>
    </w:p>
    <w:p>
      <w:pPr>
        <w:spacing w:beforeLines="100"/>
        <w:rPr>
          <w:rFonts w:cs="宋体"/>
          <w:sz w:val="24"/>
        </w:rPr>
      </w:pPr>
      <w:r>
        <w:rPr>
          <w:rFonts w:hint="eastAsia" w:cs="宋体"/>
          <w:b/>
          <w:color w:val="000000"/>
          <w:sz w:val="24"/>
        </w:rPr>
        <w:t>注：</w:t>
      </w:r>
      <w:r>
        <w:rPr>
          <w:rFonts w:hint="eastAsia" w:cs="宋体"/>
          <w:sz w:val="24"/>
        </w:rPr>
        <w:t>磋商人须按要求填写所有信息，不得随意更改本表格式。</w:t>
      </w:r>
    </w:p>
    <w:p>
      <w:pPr>
        <w:pStyle w:val="25"/>
        <w:rPr>
          <w:rFonts w:ascii="宋体" w:hAnsi="宋体"/>
          <w:b/>
        </w:rPr>
      </w:pPr>
    </w:p>
    <w:p>
      <w:pPr>
        <w:spacing w:line="400" w:lineRule="exact"/>
        <w:rPr>
          <w:rFonts w:ascii="宋体" w:hAnsi="宋体"/>
          <w:b/>
          <w:bCs/>
          <w:sz w:val="24"/>
          <w:szCs w:val="22"/>
        </w:rPr>
      </w:pPr>
      <w:r>
        <w:rPr>
          <w:rFonts w:hint="eastAsia" w:ascii="宋体" w:hAnsi="宋体"/>
          <w:b/>
          <w:bCs/>
          <w:sz w:val="24"/>
        </w:rPr>
        <w:t>1、上述报价为提供本次采购</w:t>
      </w:r>
      <w:r>
        <w:rPr>
          <w:rFonts w:hint="eastAsia" w:ascii="宋体" w:hAnsi="宋体"/>
          <w:b/>
          <w:bCs/>
          <w:sz w:val="24"/>
          <w:szCs w:val="22"/>
        </w:rPr>
        <w:t>项目所有内容的总价格</w:t>
      </w:r>
      <w:r>
        <w:rPr>
          <w:rFonts w:hint="eastAsia" w:ascii="宋体" w:hAnsi="宋体" w:cs="宋体"/>
          <w:b/>
          <w:bCs/>
          <w:kern w:val="44"/>
          <w:sz w:val="24"/>
        </w:rPr>
        <w:t>（含税金</w:t>
      </w:r>
      <w:r>
        <w:rPr>
          <w:rFonts w:hint="eastAsia" w:cs="宋体"/>
          <w:b/>
          <w:bCs/>
          <w:kern w:val="44"/>
          <w:sz w:val="24"/>
        </w:rPr>
        <w:t>、</w:t>
      </w:r>
      <w:r>
        <w:rPr>
          <w:rFonts w:hint="eastAsia" w:ascii="宋体" w:hAnsi="宋体" w:cs="宋体"/>
          <w:b/>
          <w:bCs/>
          <w:kern w:val="44"/>
          <w:sz w:val="24"/>
        </w:rPr>
        <w:t>后续服务等的全部费用）</w:t>
      </w:r>
      <w:r>
        <w:rPr>
          <w:rFonts w:hint="eastAsia" w:ascii="宋体" w:hAnsi="宋体"/>
          <w:b/>
          <w:bCs/>
          <w:sz w:val="24"/>
          <w:szCs w:val="22"/>
        </w:rPr>
        <w:t>；</w:t>
      </w:r>
    </w:p>
    <w:p>
      <w:pPr>
        <w:spacing w:line="400" w:lineRule="exact"/>
        <w:rPr>
          <w:rFonts w:ascii="宋体" w:hAnsi="宋体"/>
          <w:b/>
          <w:sz w:val="24"/>
        </w:rPr>
      </w:pPr>
      <w:r>
        <w:rPr>
          <w:rFonts w:hint="eastAsia" w:ascii="宋体" w:hAnsi="宋体"/>
          <w:b/>
          <w:bCs/>
          <w:sz w:val="24"/>
          <w:szCs w:val="22"/>
        </w:rPr>
        <w:t>2、请将本磋商响应二次报价表单独打印</w:t>
      </w:r>
      <w:r>
        <w:rPr>
          <w:rFonts w:hint="eastAsia"/>
          <w:b/>
          <w:sz w:val="24"/>
        </w:rPr>
        <w:t>二</w:t>
      </w:r>
      <w:r>
        <w:rPr>
          <w:rFonts w:hint="eastAsia" w:ascii="宋体" w:hAnsi="宋体"/>
          <w:b/>
          <w:sz w:val="24"/>
        </w:rPr>
        <w:t>份盖章后随身携带，二次报价在现场填写。</w:t>
      </w:r>
    </w:p>
    <w:p>
      <w:pPr>
        <w:pStyle w:val="42"/>
        <w:ind w:firstLine="420"/>
      </w:pPr>
    </w:p>
    <w:p>
      <w:pPr>
        <w:pStyle w:val="42"/>
        <w:ind w:firstLine="420"/>
      </w:pPr>
    </w:p>
    <w:p>
      <w:pPr>
        <w:pStyle w:val="42"/>
        <w:ind w:firstLine="420"/>
      </w:pPr>
    </w:p>
    <w:p>
      <w:pPr>
        <w:pStyle w:val="42"/>
        <w:ind w:firstLine="420"/>
      </w:pPr>
    </w:p>
    <w:p>
      <w:pPr>
        <w:pStyle w:val="42"/>
        <w:ind w:firstLine="420"/>
      </w:pPr>
    </w:p>
    <w:p>
      <w:pPr>
        <w:pStyle w:val="42"/>
        <w:ind w:firstLine="420"/>
      </w:pPr>
    </w:p>
    <w:p>
      <w:pPr>
        <w:pStyle w:val="42"/>
        <w:ind w:firstLine="420"/>
      </w:pPr>
    </w:p>
    <w:p>
      <w:pPr>
        <w:pStyle w:val="42"/>
        <w:ind w:firstLine="420"/>
      </w:pPr>
    </w:p>
    <w:p>
      <w:pPr>
        <w:pStyle w:val="42"/>
        <w:ind w:firstLine="420"/>
      </w:pPr>
    </w:p>
    <w:p>
      <w:pPr>
        <w:spacing w:line="400" w:lineRule="atLeast"/>
        <w:ind w:left="2880" w:hanging="2880"/>
        <w:jc w:val="left"/>
        <w:rPr>
          <w:rFonts w:ascii="宋体" w:hAnsi="宋体"/>
          <w:b/>
          <w:bCs/>
          <w:sz w:val="28"/>
          <w:szCs w:val="28"/>
        </w:rPr>
      </w:pPr>
      <w:r>
        <w:rPr>
          <w:rFonts w:hint="eastAsia" w:ascii="宋体" w:hAnsi="宋体"/>
          <w:b/>
          <w:bCs/>
          <w:color w:val="000000"/>
          <w:sz w:val="28"/>
          <w:szCs w:val="28"/>
        </w:rPr>
        <w:t xml:space="preserve">附件4 -1                 </w:t>
      </w:r>
      <w:r>
        <w:rPr>
          <w:rFonts w:hint="eastAsia" w:ascii="宋体" w:hAnsi="宋体"/>
          <w:b/>
          <w:bCs/>
          <w:sz w:val="28"/>
          <w:szCs w:val="28"/>
        </w:rPr>
        <w:t>投标分项报价明细表</w:t>
      </w:r>
      <w:bookmarkEnd w:id="171"/>
    </w:p>
    <w:p>
      <w:pPr>
        <w:spacing w:line="400" w:lineRule="atLeast"/>
        <w:rPr>
          <w:rFonts w:ascii="宋体" w:hAnsi="宋体"/>
          <w:sz w:val="24"/>
        </w:rPr>
      </w:pPr>
    </w:p>
    <w:p>
      <w:pPr>
        <w:pStyle w:val="50"/>
        <w:snapToGrid w:val="0"/>
        <w:spacing w:line="360" w:lineRule="auto"/>
        <w:rPr>
          <w:rFonts w:ascii="宋体" w:hAnsi="宋体"/>
          <w:sz w:val="24"/>
          <w:szCs w:val="24"/>
        </w:rPr>
      </w:pPr>
      <w:r>
        <w:rPr>
          <w:rFonts w:hint="eastAsia" w:ascii="宋体" w:hAnsi="宋体"/>
          <w:sz w:val="24"/>
          <w:szCs w:val="24"/>
        </w:rPr>
        <w:t>供应商名称：</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单位：元</w:t>
      </w:r>
    </w:p>
    <w:p>
      <w:pPr>
        <w:pStyle w:val="50"/>
        <w:snapToGrid w:val="0"/>
        <w:spacing w:line="360" w:lineRule="auto"/>
        <w:rPr>
          <w:rFonts w:ascii="宋体" w:hAnsi="宋体"/>
          <w:sz w:val="24"/>
          <w:szCs w:val="24"/>
        </w:rPr>
      </w:pPr>
      <w:r>
        <w:rPr>
          <w:rFonts w:hint="eastAsia" w:ascii="宋体" w:hAnsi="宋体"/>
          <w:sz w:val="24"/>
          <w:szCs w:val="24"/>
        </w:rPr>
        <w:t>项目名称及标段：</w:t>
      </w:r>
    </w:p>
    <w:tbl>
      <w:tblPr>
        <w:tblStyle w:val="33"/>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666"/>
        <w:gridCol w:w="1189"/>
        <w:gridCol w:w="1610"/>
        <w:gridCol w:w="1035"/>
        <w:gridCol w:w="911"/>
        <w:gridCol w:w="1384"/>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587" w:type="dxa"/>
            <w:vAlign w:val="center"/>
          </w:tcPr>
          <w:p>
            <w:pPr>
              <w:spacing w:line="400" w:lineRule="atLeast"/>
              <w:jc w:val="center"/>
              <w:rPr>
                <w:rFonts w:ascii="宋体" w:hAnsi="宋体"/>
                <w:sz w:val="24"/>
              </w:rPr>
            </w:pPr>
            <w:r>
              <w:rPr>
                <w:rFonts w:hint="eastAsia" w:ascii="宋体" w:hAnsi="宋体"/>
                <w:sz w:val="24"/>
              </w:rPr>
              <w:t>序号</w:t>
            </w:r>
          </w:p>
        </w:tc>
        <w:tc>
          <w:tcPr>
            <w:tcW w:w="1666" w:type="dxa"/>
            <w:vAlign w:val="center"/>
          </w:tcPr>
          <w:p>
            <w:pPr>
              <w:spacing w:line="400" w:lineRule="atLeast"/>
              <w:jc w:val="center"/>
              <w:rPr>
                <w:rFonts w:ascii="宋体" w:hAnsi="宋体"/>
                <w:sz w:val="24"/>
              </w:rPr>
            </w:pPr>
            <w:r>
              <w:rPr>
                <w:rFonts w:hint="eastAsia" w:ascii="宋体" w:hAnsi="宋体"/>
                <w:sz w:val="24"/>
              </w:rPr>
              <w:t>名称</w:t>
            </w:r>
          </w:p>
        </w:tc>
        <w:tc>
          <w:tcPr>
            <w:tcW w:w="1189" w:type="dxa"/>
            <w:vAlign w:val="center"/>
          </w:tcPr>
          <w:p>
            <w:pPr>
              <w:spacing w:line="400" w:lineRule="atLeast"/>
              <w:jc w:val="center"/>
              <w:rPr>
                <w:rFonts w:ascii="宋体" w:hAnsi="宋体"/>
                <w:sz w:val="24"/>
              </w:rPr>
            </w:pPr>
            <w:r>
              <w:rPr>
                <w:rFonts w:hint="eastAsia" w:ascii="宋体" w:hAnsi="宋体"/>
                <w:sz w:val="24"/>
              </w:rPr>
              <w:t>内容</w:t>
            </w:r>
          </w:p>
        </w:tc>
        <w:tc>
          <w:tcPr>
            <w:tcW w:w="1610" w:type="dxa"/>
            <w:vAlign w:val="center"/>
          </w:tcPr>
          <w:p>
            <w:pPr>
              <w:spacing w:line="400" w:lineRule="atLeast"/>
              <w:jc w:val="center"/>
              <w:rPr>
                <w:rFonts w:ascii="宋体" w:hAnsi="宋体"/>
                <w:sz w:val="24"/>
              </w:rPr>
            </w:pPr>
            <w:r>
              <w:rPr>
                <w:rFonts w:hint="eastAsia" w:ascii="宋体" w:hAnsi="宋体"/>
                <w:sz w:val="24"/>
              </w:rPr>
              <w:t>制造厂家</w:t>
            </w:r>
          </w:p>
        </w:tc>
        <w:tc>
          <w:tcPr>
            <w:tcW w:w="1035" w:type="dxa"/>
            <w:vAlign w:val="center"/>
          </w:tcPr>
          <w:p>
            <w:pPr>
              <w:spacing w:line="400" w:lineRule="atLeast"/>
              <w:jc w:val="center"/>
              <w:rPr>
                <w:rFonts w:ascii="宋体" w:hAnsi="宋体"/>
                <w:sz w:val="24"/>
              </w:rPr>
            </w:pPr>
            <w:r>
              <w:rPr>
                <w:rFonts w:hint="eastAsia" w:ascii="宋体" w:hAnsi="宋体"/>
                <w:sz w:val="24"/>
              </w:rPr>
              <w:t>品牌</w:t>
            </w:r>
          </w:p>
        </w:tc>
        <w:tc>
          <w:tcPr>
            <w:tcW w:w="911" w:type="dxa"/>
            <w:vAlign w:val="center"/>
          </w:tcPr>
          <w:p>
            <w:pPr>
              <w:spacing w:line="400" w:lineRule="atLeast"/>
              <w:jc w:val="center"/>
              <w:rPr>
                <w:rFonts w:ascii="宋体" w:hAnsi="宋体"/>
                <w:sz w:val="24"/>
              </w:rPr>
            </w:pPr>
            <w:r>
              <w:rPr>
                <w:rFonts w:hint="eastAsia" w:ascii="宋体" w:hAnsi="宋体"/>
                <w:sz w:val="24"/>
              </w:rPr>
              <w:t>数量</w:t>
            </w:r>
          </w:p>
        </w:tc>
        <w:tc>
          <w:tcPr>
            <w:tcW w:w="1384" w:type="dxa"/>
            <w:vAlign w:val="center"/>
          </w:tcPr>
          <w:p>
            <w:pPr>
              <w:spacing w:line="400" w:lineRule="atLeast"/>
              <w:jc w:val="center"/>
              <w:rPr>
                <w:rFonts w:ascii="宋体" w:hAnsi="宋体"/>
                <w:sz w:val="24"/>
              </w:rPr>
            </w:pPr>
            <w:r>
              <w:rPr>
                <w:rFonts w:hint="eastAsia" w:ascii="宋体" w:hAnsi="宋体"/>
                <w:sz w:val="24"/>
              </w:rPr>
              <w:t>单价</w:t>
            </w:r>
          </w:p>
          <w:p>
            <w:pPr>
              <w:spacing w:line="400" w:lineRule="atLeast"/>
              <w:jc w:val="center"/>
              <w:rPr>
                <w:rFonts w:ascii="宋体" w:hAnsi="宋体"/>
                <w:sz w:val="24"/>
              </w:rPr>
            </w:pPr>
            <w:r>
              <w:rPr>
                <w:rFonts w:hint="eastAsia" w:ascii="宋体" w:hAnsi="宋体"/>
                <w:sz w:val="24"/>
              </w:rPr>
              <w:t>（元）</w:t>
            </w:r>
          </w:p>
        </w:tc>
        <w:tc>
          <w:tcPr>
            <w:tcW w:w="1218" w:type="dxa"/>
            <w:vAlign w:val="center"/>
          </w:tcPr>
          <w:p>
            <w:pPr>
              <w:spacing w:line="400" w:lineRule="atLeast"/>
              <w:jc w:val="center"/>
              <w:rPr>
                <w:rFonts w:ascii="宋体" w:hAnsi="宋体"/>
                <w:sz w:val="24"/>
              </w:rPr>
            </w:pPr>
            <w:r>
              <w:rPr>
                <w:rFonts w:hint="eastAsia" w:ascii="宋体" w:hAnsi="宋体"/>
                <w:sz w:val="24"/>
              </w:rPr>
              <w:t>总价</w:t>
            </w:r>
          </w:p>
          <w:p>
            <w:pPr>
              <w:spacing w:line="400" w:lineRule="atLeast"/>
              <w:jc w:val="center"/>
              <w:rPr>
                <w:rFonts w:ascii="宋体" w:hAnsi="宋体"/>
                <w:sz w:val="24"/>
              </w:rPr>
            </w:pPr>
            <w:r>
              <w:rPr>
                <w:rFonts w:hint="eastAsia" w:ascii="宋体" w:hAnsi="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587" w:type="dxa"/>
            <w:vAlign w:val="center"/>
          </w:tcPr>
          <w:p>
            <w:pPr>
              <w:spacing w:line="400" w:lineRule="atLeast"/>
              <w:jc w:val="center"/>
              <w:rPr>
                <w:rFonts w:ascii="宋体" w:hAnsi="宋体"/>
                <w:sz w:val="24"/>
              </w:rPr>
            </w:pPr>
            <w:r>
              <w:rPr>
                <w:rFonts w:hint="eastAsia" w:ascii="宋体" w:hAnsi="宋体"/>
                <w:sz w:val="24"/>
              </w:rPr>
              <w:t>1</w:t>
            </w:r>
          </w:p>
        </w:tc>
        <w:tc>
          <w:tcPr>
            <w:tcW w:w="1666" w:type="dxa"/>
            <w:vAlign w:val="center"/>
          </w:tcPr>
          <w:p>
            <w:pPr>
              <w:spacing w:line="400" w:lineRule="atLeast"/>
              <w:jc w:val="center"/>
              <w:rPr>
                <w:rFonts w:ascii="宋体" w:hAnsi="宋体"/>
                <w:sz w:val="24"/>
              </w:rPr>
            </w:pP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87" w:type="dxa"/>
            <w:vAlign w:val="center"/>
          </w:tcPr>
          <w:p>
            <w:pPr>
              <w:spacing w:line="400" w:lineRule="atLeast"/>
              <w:jc w:val="center"/>
              <w:rPr>
                <w:rFonts w:ascii="宋体" w:hAnsi="宋体"/>
                <w:sz w:val="24"/>
              </w:rPr>
            </w:pPr>
            <w:r>
              <w:rPr>
                <w:rFonts w:hint="eastAsia" w:ascii="宋体" w:hAnsi="宋体"/>
                <w:sz w:val="24"/>
              </w:rPr>
              <w:t>2</w:t>
            </w:r>
          </w:p>
        </w:tc>
        <w:tc>
          <w:tcPr>
            <w:tcW w:w="1666" w:type="dxa"/>
            <w:vAlign w:val="center"/>
          </w:tcPr>
          <w:p>
            <w:pPr>
              <w:spacing w:line="400" w:lineRule="atLeast"/>
              <w:jc w:val="center"/>
              <w:rPr>
                <w:rFonts w:ascii="宋体" w:hAnsi="宋体"/>
                <w:sz w:val="24"/>
              </w:rPr>
            </w:pP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87" w:type="dxa"/>
            <w:vAlign w:val="center"/>
          </w:tcPr>
          <w:p>
            <w:pPr>
              <w:spacing w:line="400" w:lineRule="atLeast"/>
              <w:jc w:val="center"/>
              <w:rPr>
                <w:rFonts w:ascii="宋体" w:hAnsi="宋体"/>
                <w:sz w:val="24"/>
              </w:rPr>
            </w:pPr>
            <w:r>
              <w:rPr>
                <w:rFonts w:hint="eastAsia" w:ascii="宋体" w:hAnsi="宋体"/>
                <w:sz w:val="24"/>
              </w:rPr>
              <w:t>3</w:t>
            </w:r>
          </w:p>
        </w:tc>
        <w:tc>
          <w:tcPr>
            <w:tcW w:w="1666" w:type="dxa"/>
            <w:vAlign w:val="center"/>
          </w:tcPr>
          <w:p>
            <w:pPr>
              <w:spacing w:line="400" w:lineRule="atLeast"/>
              <w:jc w:val="center"/>
              <w:rPr>
                <w:rFonts w:ascii="宋体" w:hAnsi="宋体"/>
                <w:sz w:val="24"/>
              </w:rPr>
            </w:pP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87" w:type="dxa"/>
            <w:vAlign w:val="center"/>
          </w:tcPr>
          <w:p>
            <w:pPr>
              <w:spacing w:line="400" w:lineRule="atLeast"/>
              <w:jc w:val="center"/>
              <w:rPr>
                <w:rFonts w:ascii="宋体" w:hAnsi="宋体"/>
                <w:sz w:val="24"/>
              </w:rPr>
            </w:pPr>
            <w:r>
              <w:rPr>
                <w:rFonts w:hint="eastAsia" w:ascii="宋体" w:hAnsi="宋体"/>
                <w:sz w:val="24"/>
              </w:rPr>
              <w:t>...</w:t>
            </w:r>
          </w:p>
        </w:tc>
        <w:tc>
          <w:tcPr>
            <w:tcW w:w="1666" w:type="dxa"/>
            <w:vAlign w:val="center"/>
          </w:tcPr>
          <w:p>
            <w:pPr>
              <w:spacing w:line="400" w:lineRule="atLeast"/>
              <w:jc w:val="center"/>
              <w:rPr>
                <w:rFonts w:ascii="宋体" w:hAnsi="宋体"/>
                <w:sz w:val="24"/>
              </w:rPr>
            </w:pP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587" w:type="dxa"/>
            <w:vAlign w:val="center"/>
          </w:tcPr>
          <w:p>
            <w:pPr>
              <w:spacing w:line="400" w:lineRule="atLeast"/>
              <w:rPr>
                <w:rFonts w:ascii="宋体" w:hAnsi="宋体"/>
                <w:sz w:val="24"/>
              </w:rPr>
            </w:pPr>
          </w:p>
        </w:tc>
        <w:tc>
          <w:tcPr>
            <w:tcW w:w="1666" w:type="dxa"/>
            <w:vAlign w:val="center"/>
          </w:tcPr>
          <w:p>
            <w:pPr>
              <w:spacing w:line="400" w:lineRule="atLeast"/>
              <w:jc w:val="center"/>
              <w:rPr>
                <w:rFonts w:ascii="宋体" w:hAnsi="宋体"/>
                <w:sz w:val="24"/>
              </w:rPr>
            </w:pP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87" w:type="dxa"/>
            <w:vAlign w:val="center"/>
          </w:tcPr>
          <w:p>
            <w:pPr>
              <w:spacing w:line="400" w:lineRule="atLeast"/>
              <w:rPr>
                <w:rFonts w:ascii="宋体" w:hAnsi="宋体"/>
                <w:sz w:val="24"/>
              </w:rPr>
            </w:pPr>
          </w:p>
        </w:tc>
        <w:tc>
          <w:tcPr>
            <w:tcW w:w="1666" w:type="dxa"/>
            <w:vAlign w:val="center"/>
          </w:tcPr>
          <w:p>
            <w:pPr>
              <w:spacing w:line="400" w:lineRule="atLeast"/>
              <w:jc w:val="center"/>
              <w:rPr>
                <w:rFonts w:ascii="宋体" w:hAnsi="宋体"/>
                <w:sz w:val="24"/>
              </w:rPr>
            </w:pP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587" w:type="dxa"/>
            <w:vAlign w:val="center"/>
          </w:tcPr>
          <w:p>
            <w:pPr>
              <w:spacing w:line="400" w:lineRule="atLeast"/>
              <w:jc w:val="center"/>
              <w:rPr>
                <w:rFonts w:ascii="宋体" w:hAnsi="宋体"/>
                <w:sz w:val="24"/>
              </w:rPr>
            </w:pPr>
          </w:p>
        </w:tc>
        <w:tc>
          <w:tcPr>
            <w:tcW w:w="1666" w:type="dxa"/>
            <w:vAlign w:val="center"/>
          </w:tcPr>
          <w:p>
            <w:pPr>
              <w:spacing w:line="400" w:lineRule="atLeast"/>
              <w:jc w:val="center"/>
              <w:rPr>
                <w:rFonts w:ascii="宋体" w:hAnsi="宋体"/>
                <w:sz w:val="24"/>
              </w:rPr>
            </w:pPr>
            <w:r>
              <w:rPr>
                <w:rFonts w:hint="eastAsia" w:ascii="宋体" w:hAnsi="宋体"/>
                <w:sz w:val="24"/>
              </w:rPr>
              <w:t>总价</w:t>
            </w:r>
          </w:p>
        </w:tc>
        <w:tc>
          <w:tcPr>
            <w:tcW w:w="1189" w:type="dxa"/>
            <w:vAlign w:val="center"/>
          </w:tcPr>
          <w:p>
            <w:pPr>
              <w:spacing w:line="400" w:lineRule="atLeast"/>
              <w:jc w:val="center"/>
              <w:rPr>
                <w:rFonts w:ascii="宋体" w:hAnsi="宋体"/>
                <w:sz w:val="24"/>
              </w:rPr>
            </w:pPr>
          </w:p>
        </w:tc>
        <w:tc>
          <w:tcPr>
            <w:tcW w:w="1610" w:type="dxa"/>
            <w:vAlign w:val="center"/>
          </w:tcPr>
          <w:p>
            <w:pPr>
              <w:spacing w:line="400" w:lineRule="atLeast"/>
              <w:jc w:val="center"/>
              <w:rPr>
                <w:rFonts w:ascii="宋体" w:hAnsi="宋体"/>
                <w:sz w:val="24"/>
              </w:rPr>
            </w:pPr>
          </w:p>
        </w:tc>
        <w:tc>
          <w:tcPr>
            <w:tcW w:w="1035" w:type="dxa"/>
            <w:vAlign w:val="center"/>
          </w:tcPr>
          <w:p>
            <w:pPr>
              <w:spacing w:line="400" w:lineRule="atLeast"/>
              <w:jc w:val="center"/>
              <w:rPr>
                <w:rFonts w:ascii="宋体" w:hAnsi="宋体"/>
                <w:sz w:val="24"/>
              </w:rPr>
            </w:pPr>
          </w:p>
        </w:tc>
        <w:tc>
          <w:tcPr>
            <w:tcW w:w="911" w:type="dxa"/>
            <w:vAlign w:val="center"/>
          </w:tcPr>
          <w:p>
            <w:pPr>
              <w:spacing w:line="400" w:lineRule="atLeast"/>
              <w:jc w:val="center"/>
              <w:rPr>
                <w:rFonts w:ascii="宋体" w:hAnsi="宋体"/>
                <w:sz w:val="24"/>
              </w:rPr>
            </w:pPr>
          </w:p>
        </w:tc>
        <w:tc>
          <w:tcPr>
            <w:tcW w:w="1384" w:type="dxa"/>
            <w:vAlign w:val="center"/>
          </w:tcPr>
          <w:p>
            <w:pPr>
              <w:spacing w:line="400" w:lineRule="atLeast"/>
              <w:jc w:val="center"/>
              <w:rPr>
                <w:rFonts w:ascii="宋体" w:hAnsi="宋体"/>
                <w:sz w:val="24"/>
              </w:rPr>
            </w:pPr>
          </w:p>
        </w:tc>
        <w:tc>
          <w:tcPr>
            <w:tcW w:w="1218" w:type="dxa"/>
            <w:vAlign w:val="center"/>
          </w:tcPr>
          <w:p>
            <w:pPr>
              <w:spacing w:line="400" w:lineRule="atLeast"/>
              <w:jc w:val="center"/>
              <w:rPr>
                <w:rFonts w:ascii="宋体" w:hAnsi="宋体"/>
                <w:sz w:val="24"/>
              </w:rPr>
            </w:pPr>
          </w:p>
        </w:tc>
      </w:tr>
    </w:tbl>
    <w:p>
      <w:pPr>
        <w:spacing w:line="400" w:lineRule="atLeast"/>
        <w:rPr>
          <w:rFonts w:ascii="宋体" w:hAnsi="宋体"/>
          <w:sz w:val="24"/>
        </w:rPr>
      </w:pPr>
    </w:p>
    <w:p>
      <w:pPr>
        <w:spacing w:line="360" w:lineRule="auto"/>
        <w:rPr>
          <w:rFonts w:ascii="宋体" w:hAnsi="宋体"/>
          <w:sz w:val="24"/>
        </w:rPr>
      </w:pPr>
      <w:r>
        <w:rPr>
          <w:rFonts w:hint="eastAsia" w:ascii="宋体" w:hAnsi="宋体"/>
          <w:sz w:val="24"/>
        </w:rPr>
        <w:t xml:space="preserve">注：1.此表需详列投标的每种设备、材料。 </w:t>
      </w:r>
    </w:p>
    <w:p>
      <w:pPr>
        <w:spacing w:line="360" w:lineRule="auto"/>
        <w:rPr>
          <w:rFonts w:ascii="宋体" w:hAnsi="宋体"/>
          <w:sz w:val="24"/>
        </w:rPr>
      </w:pPr>
      <w:r>
        <w:rPr>
          <w:rFonts w:hint="eastAsia" w:ascii="宋体" w:hAnsi="宋体"/>
          <w:sz w:val="24"/>
        </w:rPr>
        <w:t xml:space="preserve">    </w:t>
      </w:r>
      <w:bookmarkStart w:id="172" w:name="_Toc27735_WPSOffice_Level1"/>
      <w:r>
        <w:rPr>
          <w:rFonts w:hint="eastAsia" w:ascii="宋体" w:hAnsi="宋体"/>
          <w:sz w:val="24"/>
        </w:rPr>
        <w:t>2.如果按单价计算的结果与总价不一致，以总价为准。</w:t>
      </w:r>
      <w:bookmarkEnd w:id="172"/>
    </w:p>
    <w:p>
      <w:pPr>
        <w:spacing w:line="360" w:lineRule="auto"/>
        <w:ind w:firstLine="480" w:firstLineChars="200"/>
        <w:rPr>
          <w:rFonts w:ascii="宋体" w:hAnsi="宋体"/>
          <w:sz w:val="24"/>
        </w:rPr>
      </w:pPr>
      <w:bookmarkStart w:id="173" w:name="_Toc21808_WPSOffice_Level1"/>
      <w:r>
        <w:rPr>
          <w:rFonts w:hint="eastAsia" w:ascii="宋体" w:hAnsi="宋体"/>
          <w:sz w:val="24"/>
        </w:rPr>
        <w:t>3.如果不提供详细分项报价将视为没有实质性响应竞争性磋商文件。</w:t>
      </w:r>
      <w:bookmarkEnd w:id="173"/>
    </w:p>
    <w:p>
      <w:pPr>
        <w:pStyle w:val="24"/>
        <w:ind w:left="479" w:leftChars="228" w:firstLine="0" w:firstLineChars="0"/>
      </w:pPr>
      <w:r>
        <w:rPr>
          <w:rFonts w:hint="eastAsia" w:ascii="宋体" w:hAnsi="宋体"/>
          <w:sz w:val="24"/>
        </w:rPr>
        <w:t>4.服务内容不用填写制造厂家、品牌</w:t>
      </w:r>
    </w:p>
    <w:p>
      <w:pPr>
        <w:pStyle w:val="24"/>
        <w:ind w:left="400" w:hanging="400"/>
      </w:pPr>
    </w:p>
    <w:p>
      <w:pPr>
        <w:spacing w:line="400" w:lineRule="atLeast"/>
        <w:rPr>
          <w:rFonts w:ascii="宋体" w:hAnsi="宋体"/>
          <w:sz w:val="24"/>
        </w:rPr>
      </w:pPr>
    </w:p>
    <w:p>
      <w:pPr>
        <w:spacing w:line="400" w:lineRule="atLeast"/>
        <w:ind w:left="2880" w:hanging="2880"/>
        <w:rPr>
          <w:rFonts w:ascii="宋体" w:hAnsi="宋体"/>
          <w:sz w:val="24"/>
        </w:rPr>
      </w:pPr>
    </w:p>
    <w:p>
      <w:pPr>
        <w:pStyle w:val="50"/>
        <w:snapToGrid w:val="0"/>
        <w:spacing w:line="360" w:lineRule="auto"/>
        <w:ind w:firstLine="4080" w:firstLineChars="1700"/>
        <w:rPr>
          <w:rFonts w:ascii="宋体" w:hAnsi="宋体"/>
          <w:sz w:val="24"/>
          <w:szCs w:val="24"/>
          <w:shd w:val="pct10" w:color="auto" w:fill="FFFFFF"/>
        </w:rPr>
      </w:pPr>
      <w:r>
        <w:rPr>
          <w:rFonts w:hint="eastAsia" w:ascii="宋体" w:hAnsi="宋体"/>
          <w:sz w:val="24"/>
          <w:szCs w:val="24"/>
        </w:rPr>
        <w:t>供应商公章：</w:t>
      </w:r>
    </w:p>
    <w:p>
      <w:pPr>
        <w:pStyle w:val="50"/>
        <w:snapToGrid w:val="0"/>
        <w:spacing w:line="360" w:lineRule="auto"/>
        <w:ind w:firstLine="4080" w:firstLineChars="1700"/>
        <w:rPr>
          <w:rFonts w:ascii="宋体" w:hAnsi="宋体"/>
          <w:sz w:val="24"/>
          <w:szCs w:val="24"/>
        </w:rPr>
      </w:pPr>
      <w:r>
        <w:rPr>
          <w:rFonts w:hint="eastAsia" w:ascii="宋体" w:hAnsi="宋体"/>
          <w:sz w:val="24"/>
          <w:szCs w:val="24"/>
        </w:rPr>
        <w:t>法定代表人签字或盖章/授权委托人签字：</w:t>
      </w:r>
      <w:r>
        <w:rPr>
          <w:rFonts w:hint="eastAsia" w:ascii="宋体" w:hAnsi="宋体"/>
          <w:sz w:val="24"/>
          <w:szCs w:val="24"/>
          <w:u w:val="single"/>
        </w:rPr>
        <w:t xml:space="preserve">              </w:t>
      </w:r>
      <w:r>
        <w:rPr>
          <w:rFonts w:hint="eastAsia" w:ascii="宋体" w:hAnsi="宋体"/>
          <w:sz w:val="24"/>
          <w:szCs w:val="24"/>
        </w:rPr>
        <w:t xml:space="preserve">   </w:t>
      </w:r>
    </w:p>
    <w:p>
      <w:pPr>
        <w:adjustRightInd w:val="0"/>
        <w:snapToGrid w:val="0"/>
        <w:spacing w:line="360" w:lineRule="auto"/>
        <w:jc w:val="right"/>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line="360" w:lineRule="auto"/>
        <w:rPr>
          <w:rFonts w:ascii="宋体" w:hAnsi="宋体" w:cs="宋体"/>
          <w:color w:val="000000"/>
          <w:sz w:val="28"/>
          <w:szCs w:val="28"/>
        </w:rPr>
      </w:pPr>
    </w:p>
    <w:p>
      <w:pPr>
        <w:adjustRightInd w:val="0"/>
        <w:snapToGrid w:val="0"/>
        <w:spacing w:line="360" w:lineRule="auto"/>
        <w:rPr>
          <w:rFonts w:ascii="宋体" w:hAnsi="宋体" w:cs="宋体"/>
          <w:color w:val="000000"/>
          <w:sz w:val="28"/>
          <w:szCs w:val="28"/>
        </w:rPr>
      </w:pPr>
    </w:p>
    <w:p>
      <w:pPr>
        <w:pStyle w:val="31"/>
        <w:ind w:firstLine="321"/>
        <w:rPr>
          <w:rFonts w:ascii="宋体" w:hAnsi="宋体" w:cs="宋体"/>
          <w:color w:val="000000"/>
          <w:sz w:val="28"/>
          <w:szCs w:val="28"/>
        </w:rPr>
      </w:pPr>
    </w:p>
    <w:p>
      <w:pPr>
        <w:rPr>
          <w:rFonts w:ascii="宋体" w:hAnsi="宋体" w:cs="宋体"/>
          <w:color w:val="000000"/>
          <w:sz w:val="28"/>
          <w:szCs w:val="28"/>
        </w:rPr>
      </w:pPr>
    </w:p>
    <w:p>
      <w:pPr>
        <w:adjustRightInd w:val="0"/>
        <w:snapToGrid w:val="0"/>
        <w:spacing w:line="360" w:lineRule="auto"/>
        <w:rPr>
          <w:rFonts w:ascii="宋体" w:hAnsi="宋体" w:cs="宋体"/>
          <w:sz w:val="24"/>
        </w:rPr>
      </w:pPr>
      <w:r>
        <w:rPr>
          <w:rFonts w:hint="eastAsia" w:ascii="宋体" w:hAnsi="宋体" w:cs="宋体"/>
          <w:b/>
          <w:bCs/>
          <w:color w:val="000000"/>
          <w:sz w:val="28"/>
          <w:szCs w:val="28"/>
        </w:rPr>
        <w:t xml:space="preserve">附件5  </w:t>
      </w:r>
      <w:r>
        <w:rPr>
          <w:rFonts w:hint="eastAsia" w:ascii="宋体" w:hAnsi="宋体" w:cs="宋体"/>
          <w:b/>
          <w:bCs/>
          <w:sz w:val="28"/>
          <w:szCs w:val="28"/>
        </w:rPr>
        <w:t>企业营业执照、企业税务登记证、企业组织机构代码证（如已三证合一的供应商仅需提供营业执照）（复印件加盖公章）</w:t>
      </w:r>
    </w:p>
    <w:p>
      <w:pPr>
        <w:adjustRightInd w:val="0"/>
        <w:snapToGrid w:val="0"/>
        <w:spacing w:line="360" w:lineRule="auto"/>
        <w:rPr>
          <w:rFonts w:ascii="宋体" w:hAnsi="宋体" w:cs="宋体"/>
          <w:b/>
          <w:bCs/>
          <w:sz w:val="28"/>
          <w:szCs w:val="28"/>
        </w:rPr>
      </w:pPr>
      <w:r>
        <w:rPr>
          <w:rFonts w:hint="eastAsia" w:ascii="宋体" w:hAnsi="宋体" w:cs="宋体"/>
          <w:b/>
          <w:bCs/>
          <w:sz w:val="28"/>
          <w:szCs w:val="28"/>
        </w:rPr>
        <w:t xml:space="preserve">附件6  </w:t>
      </w:r>
    </w:p>
    <w:p>
      <w:pPr>
        <w:adjustRightInd w:val="0"/>
        <w:snapToGrid w:val="0"/>
        <w:spacing w:line="360" w:lineRule="auto"/>
        <w:jc w:val="center"/>
        <w:rPr>
          <w:rFonts w:ascii="宋体" w:hAnsi="宋体"/>
          <w:b/>
          <w:bCs/>
          <w:sz w:val="28"/>
          <w:szCs w:val="28"/>
        </w:rPr>
      </w:pPr>
      <w:bookmarkStart w:id="174" w:name="_Toc4112_WPSOffice_Level1"/>
      <w:r>
        <w:rPr>
          <w:rFonts w:hint="eastAsia" w:ascii="宋体" w:hAnsi="宋体"/>
          <w:b/>
          <w:bCs/>
          <w:sz w:val="28"/>
          <w:szCs w:val="28"/>
        </w:rPr>
        <w:t>安全运营责任书</w:t>
      </w:r>
      <w:bookmarkEnd w:id="174"/>
    </w:p>
    <w:p>
      <w:pPr>
        <w:adjustRightInd w:val="0"/>
        <w:snapToGrid w:val="0"/>
        <w:spacing w:line="360" w:lineRule="auto"/>
        <w:jc w:val="center"/>
        <w:rPr>
          <w:rFonts w:ascii="宋体" w:hAnsi="宋体"/>
          <w:b/>
          <w:bCs/>
          <w:sz w:val="24"/>
        </w:rPr>
      </w:pPr>
    </w:p>
    <w:p>
      <w:pPr>
        <w:adjustRightInd w:val="0"/>
        <w:snapToGrid w:val="0"/>
        <w:spacing w:line="360" w:lineRule="auto"/>
        <w:jc w:val="left"/>
        <w:rPr>
          <w:rFonts w:ascii="宋体" w:hAnsi="宋体"/>
          <w:sz w:val="24"/>
        </w:rPr>
      </w:pPr>
      <w:r>
        <w:rPr>
          <w:rFonts w:hint="eastAsia" w:ascii="宋体" w:hAnsi="宋体"/>
          <w:sz w:val="24"/>
        </w:rPr>
        <w:t>（</w:t>
      </w:r>
      <w:r>
        <w:rPr>
          <w:rFonts w:hint="eastAsia" w:ascii="宋体" w:hAnsi="宋体"/>
          <w:sz w:val="24"/>
          <w:u w:val="single"/>
        </w:rPr>
        <w:t>采购人</w:t>
      </w:r>
      <w:r>
        <w:rPr>
          <w:rFonts w:hint="eastAsia" w:ascii="宋体" w:hAnsi="宋体"/>
          <w:sz w:val="24"/>
        </w:rPr>
        <w:t>）：</w:t>
      </w:r>
    </w:p>
    <w:p>
      <w:pPr>
        <w:adjustRightInd w:val="0"/>
        <w:snapToGrid w:val="0"/>
        <w:spacing w:line="360" w:lineRule="auto"/>
        <w:jc w:val="left"/>
        <w:rPr>
          <w:rFonts w:ascii="宋体" w:hAnsi="宋体"/>
          <w:sz w:val="24"/>
        </w:rPr>
      </w:pPr>
      <w:r>
        <w:rPr>
          <w:rFonts w:hint="eastAsia" w:ascii="宋体" w:hAnsi="宋体"/>
          <w:sz w:val="24"/>
        </w:rPr>
        <w:t>我公司</w:t>
      </w:r>
      <w:r>
        <w:rPr>
          <w:rFonts w:hint="eastAsia" w:ascii="宋体" w:hAnsi="宋体"/>
          <w:sz w:val="24"/>
          <w:u w:val="single"/>
        </w:rPr>
        <w:t xml:space="preserve">                             </w:t>
      </w:r>
      <w:r>
        <w:rPr>
          <w:rFonts w:hint="eastAsia" w:ascii="宋体" w:hAnsi="宋体"/>
          <w:sz w:val="24"/>
        </w:rPr>
        <w:t>（供应商名称）已详细阅读了</w:t>
      </w:r>
      <w:r>
        <w:rPr>
          <w:rFonts w:hint="eastAsia" w:ascii="宋体" w:hAnsi="宋体"/>
          <w:sz w:val="24"/>
          <w:u w:val="single"/>
        </w:rPr>
        <w:t xml:space="preserve">                   </w:t>
      </w:r>
      <w:r>
        <w:rPr>
          <w:rFonts w:hint="eastAsia" w:ascii="宋体" w:hAnsi="宋体"/>
          <w:sz w:val="24"/>
        </w:rPr>
        <w:t xml:space="preserve"> 项目（项目编号：</w:t>
      </w:r>
      <w:r>
        <w:rPr>
          <w:rFonts w:hint="eastAsia" w:ascii="宋体" w:hAnsi="宋体"/>
          <w:sz w:val="24"/>
          <w:u w:val="single"/>
        </w:rPr>
        <w:t xml:space="preserve">              </w:t>
      </w:r>
      <w:r>
        <w:rPr>
          <w:rFonts w:hint="eastAsia" w:ascii="宋体" w:hAnsi="宋体"/>
          <w:sz w:val="24"/>
        </w:rPr>
        <w:t xml:space="preserve"> ）  竞争性磋商文件，现就安全运营事项保证如下：</w:t>
      </w:r>
    </w:p>
    <w:p>
      <w:pPr>
        <w:numPr>
          <w:ilvl w:val="0"/>
          <w:numId w:val="11"/>
        </w:numPr>
        <w:adjustRightInd w:val="0"/>
        <w:snapToGrid w:val="0"/>
        <w:spacing w:line="360" w:lineRule="auto"/>
        <w:jc w:val="left"/>
        <w:rPr>
          <w:rFonts w:ascii="宋体" w:hAnsi="宋体"/>
          <w:sz w:val="24"/>
        </w:rPr>
      </w:pPr>
      <w:r>
        <w:rPr>
          <w:rFonts w:hint="eastAsia" w:ascii="宋体" w:hAnsi="宋体"/>
          <w:sz w:val="24"/>
        </w:rPr>
        <w:t>我方所有运营车辆及设备按采购人要求购买相关保险。</w:t>
      </w:r>
    </w:p>
    <w:p>
      <w:pPr>
        <w:numPr>
          <w:ilvl w:val="0"/>
          <w:numId w:val="11"/>
        </w:numPr>
        <w:adjustRightInd w:val="0"/>
        <w:snapToGrid w:val="0"/>
        <w:spacing w:line="360" w:lineRule="auto"/>
        <w:jc w:val="left"/>
        <w:rPr>
          <w:rFonts w:ascii="宋体" w:hAnsi="宋体"/>
          <w:sz w:val="24"/>
        </w:rPr>
      </w:pPr>
      <w:r>
        <w:rPr>
          <w:rFonts w:hint="eastAsia" w:ascii="宋体" w:hAnsi="宋体"/>
          <w:sz w:val="24"/>
        </w:rPr>
        <w:t>我方对所有车辆和设备，以及自有人员和相关第三者的安全承担全部责任，包括法律责任及民事赔偿责任。</w:t>
      </w:r>
    </w:p>
    <w:p>
      <w:pPr>
        <w:adjustRightInd w:val="0"/>
        <w:snapToGrid w:val="0"/>
        <w:spacing w:line="360" w:lineRule="auto"/>
        <w:jc w:val="left"/>
        <w:rPr>
          <w:rFonts w:ascii="宋体" w:hAnsi="宋体"/>
          <w:sz w:val="24"/>
        </w:rPr>
      </w:pPr>
      <w:r>
        <w:rPr>
          <w:rFonts w:hint="eastAsia" w:ascii="宋体" w:hAnsi="宋体"/>
          <w:sz w:val="24"/>
        </w:rPr>
        <w:t xml:space="preserve">     </w:t>
      </w: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sz w:val="24"/>
        </w:rPr>
      </w:pPr>
      <w:r>
        <w:rPr>
          <w:rFonts w:hint="eastAsia" w:ascii="宋体" w:hAnsi="宋体"/>
          <w:sz w:val="24"/>
        </w:rPr>
        <w:t>供应商名称（公章）：</w:t>
      </w:r>
    </w:p>
    <w:p>
      <w:pPr>
        <w:adjustRightInd w:val="0"/>
        <w:snapToGrid w:val="0"/>
        <w:spacing w:line="360" w:lineRule="auto"/>
        <w:jc w:val="left"/>
        <w:rPr>
          <w:rFonts w:ascii="宋体" w:hAnsi="宋体"/>
          <w:sz w:val="24"/>
        </w:rPr>
      </w:pPr>
      <w:r>
        <w:rPr>
          <w:rFonts w:hint="eastAsia" w:ascii="宋体" w:hAnsi="宋体"/>
          <w:sz w:val="24"/>
        </w:rPr>
        <w:t>法定代表人签字或盖章/授权委托人签字：</w:t>
      </w:r>
    </w:p>
    <w:p>
      <w:pPr>
        <w:adjustRightInd w:val="0"/>
        <w:snapToGrid w:val="0"/>
        <w:spacing w:line="360" w:lineRule="auto"/>
        <w:jc w:val="left"/>
        <w:rPr>
          <w:rFonts w:ascii="宋体" w:hAnsi="宋体"/>
          <w:sz w:val="24"/>
        </w:rPr>
      </w:pPr>
      <w:r>
        <w:rPr>
          <w:rFonts w:hint="eastAsia" w:ascii="宋体" w:hAnsi="宋体"/>
          <w:sz w:val="24"/>
        </w:rPr>
        <w:t xml:space="preserve">日期：     年    月   日 </w:t>
      </w: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b/>
          <w:bCs/>
          <w:color w:val="000000"/>
          <w:sz w:val="24"/>
        </w:rPr>
      </w:pPr>
      <w:r>
        <w:rPr>
          <w:rFonts w:hint="eastAsia" w:ascii="宋体" w:hAnsi="宋体"/>
          <w:b/>
          <w:bCs/>
          <w:sz w:val="24"/>
        </w:rPr>
        <w:t>注：本责任书作为投标文件的必备条件，</w:t>
      </w:r>
      <w:r>
        <w:rPr>
          <w:rFonts w:hint="eastAsia" w:ascii="宋体" w:hAnsi="宋体"/>
          <w:b/>
          <w:bCs/>
          <w:color w:val="000000"/>
          <w:sz w:val="24"/>
        </w:rPr>
        <w:t>否则视为未</w:t>
      </w:r>
      <w:r>
        <w:rPr>
          <w:rFonts w:hint="eastAsia" w:ascii="宋体" w:hAnsi="宋体"/>
          <w:b/>
          <w:bCs/>
          <w:sz w:val="24"/>
        </w:rPr>
        <w:t>实质性响</w:t>
      </w:r>
      <w:r>
        <w:rPr>
          <w:rFonts w:hint="eastAsia" w:ascii="宋体" w:hAnsi="宋体"/>
          <w:b/>
          <w:bCs/>
          <w:color w:val="000000"/>
          <w:sz w:val="24"/>
        </w:rPr>
        <w:t>应竞争性磋商文件，由供应商承担由此造成的一切后果和损失。</w:t>
      </w:r>
    </w:p>
    <w:p>
      <w:pPr>
        <w:adjustRightInd w:val="0"/>
        <w:snapToGrid w:val="0"/>
        <w:spacing w:line="360" w:lineRule="auto"/>
        <w:jc w:val="left"/>
        <w:rPr>
          <w:rFonts w:ascii="宋体" w:hAnsi="宋体"/>
          <w:b/>
          <w:bCs/>
          <w:color w:val="000000"/>
          <w:sz w:val="24"/>
        </w:rPr>
      </w:pPr>
    </w:p>
    <w:p>
      <w:pPr>
        <w:adjustRightInd w:val="0"/>
        <w:snapToGrid w:val="0"/>
        <w:spacing w:line="360" w:lineRule="auto"/>
        <w:jc w:val="left"/>
        <w:rPr>
          <w:rFonts w:ascii="宋体" w:hAnsi="宋体"/>
          <w:b/>
          <w:bCs/>
          <w:color w:val="000000"/>
          <w:sz w:val="24"/>
        </w:rPr>
      </w:pPr>
    </w:p>
    <w:p>
      <w:pPr>
        <w:adjustRightInd w:val="0"/>
        <w:snapToGrid w:val="0"/>
        <w:spacing w:line="360" w:lineRule="auto"/>
        <w:jc w:val="left"/>
        <w:rPr>
          <w:rFonts w:ascii="宋体" w:hAnsi="宋体"/>
          <w:b/>
          <w:bCs/>
          <w:color w:val="000000"/>
          <w:sz w:val="24"/>
        </w:rPr>
      </w:pPr>
    </w:p>
    <w:p>
      <w:pPr>
        <w:adjustRightInd w:val="0"/>
        <w:snapToGrid w:val="0"/>
        <w:spacing w:line="360" w:lineRule="auto"/>
        <w:jc w:val="left"/>
        <w:rPr>
          <w:rFonts w:ascii="宋体" w:hAnsi="宋体"/>
          <w:b/>
          <w:bCs/>
          <w:color w:val="000000"/>
          <w:sz w:val="24"/>
        </w:rPr>
        <w:sectPr>
          <w:headerReference r:id="rId9" w:type="default"/>
          <w:footerReference r:id="rId10" w:type="default"/>
          <w:pgSz w:w="11906" w:h="16838"/>
          <w:pgMar w:top="1440" w:right="1366" w:bottom="1440" w:left="1300" w:header="851" w:footer="794" w:gutter="0"/>
          <w:cols w:space="720" w:num="1"/>
          <w:docGrid w:type="lines" w:linePitch="312" w:charSpace="0"/>
        </w:sectPr>
      </w:pPr>
    </w:p>
    <w:p>
      <w:pPr>
        <w:adjustRightInd w:val="0"/>
        <w:snapToGrid w:val="0"/>
        <w:spacing w:line="360" w:lineRule="auto"/>
        <w:jc w:val="left"/>
        <w:rPr>
          <w:rFonts w:ascii="宋体" w:hAnsi="宋体"/>
          <w:b/>
          <w:bCs/>
          <w:color w:val="000000"/>
          <w:sz w:val="28"/>
          <w:szCs w:val="28"/>
        </w:rPr>
      </w:pPr>
      <w:bookmarkStart w:id="175" w:name="_Toc21185_WPSOffice_Level1"/>
      <w:r>
        <w:rPr>
          <w:rFonts w:hint="eastAsia" w:ascii="宋体" w:hAnsi="宋体"/>
          <w:b/>
          <w:bCs/>
          <w:color w:val="000000"/>
          <w:sz w:val="28"/>
          <w:szCs w:val="28"/>
        </w:rPr>
        <w:t>附件7                      业绩情况表</w:t>
      </w:r>
    </w:p>
    <w:tbl>
      <w:tblPr>
        <w:tblStyle w:val="33"/>
        <w:tblW w:w="967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09"/>
        <w:gridCol w:w="1509"/>
        <w:gridCol w:w="1509"/>
        <w:gridCol w:w="1509"/>
        <w:gridCol w:w="1509"/>
        <w:gridCol w:w="213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24" w:hRule="atLeast"/>
        </w:trPr>
        <w:tc>
          <w:tcPr>
            <w:tcW w:w="1509" w:type="dxa"/>
            <w:vAlign w:val="center"/>
          </w:tcPr>
          <w:p>
            <w:pPr>
              <w:jc w:val="center"/>
              <w:rPr>
                <w:sz w:val="24"/>
              </w:rPr>
            </w:pPr>
            <w:r>
              <w:rPr>
                <w:sz w:val="24"/>
              </w:rPr>
              <w:t>序号</w:t>
            </w:r>
          </w:p>
        </w:tc>
        <w:tc>
          <w:tcPr>
            <w:tcW w:w="1509" w:type="dxa"/>
            <w:vAlign w:val="center"/>
          </w:tcPr>
          <w:p>
            <w:pPr>
              <w:jc w:val="center"/>
              <w:rPr>
                <w:sz w:val="24"/>
              </w:rPr>
            </w:pPr>
            <w:r>
              <w:rPr>
                <w:sz w:val="24"/>
              </w:rPr>
              <w:t>客户名称</w:t>
            </w:r>
          </w:p>
        </w:tc>
        <w:tc>
          <w:tcPr>
            <w:tcW w:w="1509" w:type="dxa"/>
            <w:vAlign w:val="center"/>
          </w:tcPr>
          <w:p>
            <w:pPr>
              <w:jc w:val="center"/>
              <w:rPr>
                <w:sz w:val="24"/>
              </w:rPr>
            </w:pPr>
            <w:r>
              <w:rPr>
                <w:sz w:val="24"/>
              </w:rPr>
              <w:t>项目名称及合同金额（万元）</w:t>
            </w:r>
          </w:p>
        </w:tc>
        <w:tc>
          <w:tcPr>
            <w:tcW w:w="1509" w:type="dxa"/>
            <w:vAlign w:val="center"/>
          </w:tcPr>
          <w:p>
            <w:pPr>
              <w:jc w:val="center"/>
              <w:rPr>
                <w:sz w:val="24"/>
              </w:rPr>
            </w:pPr>
            <w:r>
              <w:rPr>
                <w:sz w:val="24"/>
              </w:rPr>
              <w:t>签订合同时间</w:t>
            </w:r>
          </w:p>
        </w:tc>
        <w:tc>
          <w:tcPr>
            <w:tcW w:w="1509" w:type="dxa"/>
            <w:vAlign w:val="center"/>
          </w:tcPr>
          <w:p>
            <w:pPr>
              <w:jc w:val="center"/>
              <w:rPr>
                <w:sz w:val="24"/>
              </w:rPr>
            </w:pPr>
            <w:r>
              <w:rPr>
                <w:rFonts w:hint="eastAsia"/>
                <w:sz w:val="24"/>
              </w:rPr>
              <w:t>交货</w:t>
            </w:r>
            <w:r>
              <w:rPr>
                <w:sz w:val="24"/>
              </w:rPr>
              <w:t>验收报告时间</w:t>
            </w:r>
          </w:p>
        </w:tc>
        <w:tc>
          <w:tcPr>
            <w:tcW w:w="2130" w:type="dxa"/>
            <w:vAlign w:val="center"/>
          </w:tcPr>
          <w:p>
            <w:pPr>
              <w:jc w:val="center"/>
              <w:rPr>
                <w:sz w:val="24"/>
              </w:rPr>
            </w:pPr>
            <w:r>
              <w:rPr>
                <w:sz w:val="24"/>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13" w:hRule="atLeast"/>
        </w:trPr>
        <w:tc>
          <w:tcPr>
            <w:tcW w:w="1509" w:type="dxa"/>
            <w:vAlign w:val="center"/>
          </w:tcPr>
          <w:p>
            <w:pPr>
              <w:jc w:val="center"/>
              <w:rPr>
                <w:sz w:val="24"/>
              </w:rPr>
            </w:pPr>
            <w:r>
              <w:rPr>
                <w:sz w:val="24"/>
              </w:rPr>
              <w:t>1</w:t>
            </w:r>
          </w:p>
        </w:tc>
        <w:tc>
          <w:tcPr>
            <w:tcW w:w="1509" w:type="dxa"/>
          </w:tcPr>
          <w:p>
            <w:pPr>
              <w:jc w:val="center"/>
              <w:rPr>
                <w:sz w:val="24"/>
              </w:rPr>
            </w:pPr>
          </w:p>
        </w:tc>
        <w:tc>
          <w:tcPr>
            <w:tcW w:w="1509" w:type="dxa"/>
          </w:tcPr>
          <w:p>
            <w:pPr>
              <w:jc w:val="center"/>
              <w:rPr>
                <w:sz w:val="24"/>
              </w:rPr>
            </w:pPr>
          </w:p>
        </w:tc>
        <w:tc>
          <w:tcPr>
            <w:tcW w:w="1509" w:type="dxa"/>
          </w:tcPr>
          <w:p>
            <w:pPr>
              <w:jc w:val="center"/>
              <w:rPr>
                <w:sz w:val="24"/>
              </w:rPr>
            </w:pPr>
          </w:p>
        </w:tc>
        <w:tc>
          <w:tcPr>
            <w:tcW w:w="1509" w:type="dxa"/>
          </w:tcPr>
          <w:p>
            <w:pPr>
              <w:jc w:val="center"/>
              <w:rPr>
                <w:sz w:val="24"/>
              </w:rPr>
            </w:pPr>
          </w:p>
        </w:tc>
        <w:tc>
          <w:tcPr>
            <w:tcW w:w="2130" w:type="dxa"/>
          </w:tcPr>
          <w:p>
            <w:pPr>
              <w:jc w:val="center"/>
              <w:rPr>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13" w:hRule="atLeast"/>
        </w:trPr>
        <w:tc>
          <w:tcPr>
            <w:tcW w:w="1509" w:type="dxa"/>
            <w:vAlign w:val="center"/>
          </w:tcPr>
          <w:p>
            <w:pPr>
              <w:jc w:val="center"/>
              <w:rPr>
                <w:sz w:val="24"/>
              </w:rPr>
            </w:pPr>
            <w:r>
              <w:rPr>
                <w:sz w:val="24"/>
              </w:rPr>
              <w:t>2</w:t>
            </w:r>
          </w:p>
        </w:tc>
        <w:tc>
          <w:tcPr>
            <w:tcW w:w="1509" w:type="dxa"/>
          </w:tcPr>
          <w:p>
            <w:pPr>
              <w:jc w:val="center"/>
              <w:rPr>
                <w:sz w:val="24"/>
              </w:rPr>
            </w:pPr>
          </w:p>
        </w:tc>
        <w:tc>
          <w:tcPr>
            <w:tcW w:w="1509" w:type="dxa"/>
          </w:tcPr>
          <w:p>
            <w:pPr>
              <w:jc w:val="center"/>
              <w:rPr>
                <w:sz w:val="24"/>
              </w:rPr>
            </w:pPr>
          </w:p>
        </w:tc>
        <w:tc>
          <w:tcPr>
            <w:tcW w:w="1509" w:type="dxa"/>
          </w:tcPr>
          <w:p>
            <w:pPr>
              <w:jc w:val="center"/>
              <w:rPr>
                <w:sz w:val="24"/>
              </w:rPr>
            </w:pPr>
          </w:p>
        </w:tc>
        <w:tc>
          <w:tcPr>
            <w:tcW w:w="1509" w:type="dxa"/>
          </w:tcPr>
          <w:p>
            <w:pPr>
              <w:jc w:val="center"/>
              <w:rPr>
                <w:sz w:val="24"/>
              </w:rPr>
            </w:pPr>
          </w:p>
        </w:tc>
        <w:tc>
          <w:tcPr>
            <w:tcW w:w="2130" w:type="dxa"/>
          </w:tcPr>
          <w:p>
            <w:pPr>
              <w:jc w:val="center"/>
              <w:rPr>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13" w:hRule="atLeast"/>
        </w:trPr>
        <w:tc>
          <w:tcPr>
            <w:tcW w:w="1509" w:type="dxa"/>
            <w:vAlign w:val="center"/>
          </w:tcPr>
          <w:p>
            <w:pPr>
              <w:jc w:val="center"/>
              <w:rPr>
                <w:sz w:val="24"/>
              </w:rPr>
            </w:pPr>
            <w:r>
              <w:rPr>
                <w:sz w:val="24"/>
              </w:rPr>
              <w:t>3</w:t>
            </w:r>
          </w:p>
        </w:tc>
        <w:tc>
          <w:tcPr>
            <w:tcW w:w="1509" w:type="dxa"/>
          </w:tcPr>
          <w:p>
            <w:pPr>
              <w:jc w:val="center"/>
              <w:rPr>
                <w:sz w:val="24"/>
              </w:rPr>
            </w:pPr>
          </w:p>
        </w:tc>
        <w:tc>
          <w:tcPr>
            <w:tcW w:w="1509" w:type="dxa"/>
          </w:tcPr>
          <w:p>
            <w:pPr>
              <w:jc w:val="center"/>
              <w:rPr>
                <w:sz w:val="24"/>
              </w:rPr>
            </w:pPr>
          </w:p>
        </w:tc>
        <w:tc>
          <w:tcPr>
            <w:tcW w:w="1509" w:type="dxa"/>
          </w:tcPr>
          <w:p>
            <w:pPr>
              <w:jc w:val="center"/>
              <w:rPr>
                <w:sz w:val="24"/>
              </w:rPr>
            </w:pPr>
          </w:p>
        </w:tc>
        <w:tc>
          <w:tcPr>
            <w:tcW w:w="1509" w:type="dxa"/>
          </w:tcPr>
          <w:p>
            <w:pPr>
              <w:jc w:val="center"/>
              <w:rPr>
                <w:sz w:val="24"/>
              </w:rPr>
            </w:pPr>
          </w:p>
        </w:tc>
        <w:tc>
          <w:tcPr>
            <w:tcW w:w="2130" w:type="dxa"/>
          </w:tcPr>
          <w:p>
            <w:pPr>
              <w:jc w:val="center"/>
              <w:rPr>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13" w:hRule="atLeast"/>
        </w:trPr>
        <w:tc>
          <w:tcPr>
            <w:tcW w:w="1509" w:type="dxa"/>
            <w:vAlign w:val="center"/>
          </w:tcPr>
          <w:p>
            <w:pPr>
              <w:jc w:val="center"/>
              <w:rPr>
                <w:sz w:val="24"/>
              </w:rPr>
            </w:pPr>
            <w:r>
              <w:rPr>
                <w:sz w:val="24"/>
              </w:rPr>
              <w:t>4</w:t>
            </w:r>
          </w:p>
        </w:tc>
        <w:tc>
          <w:tcPr>
            <w:tcW w:w="1509" w:type="dxa"/>
          </w:tcPr>
          <w:p>
            <w:pPr>
              <w:jc w:val="center"/>
              <w:rPr>
                <w:sz w:val="24"/>
              </w:rPr>
            </w:pPr>
          </w:p>
        </w:tc>
        <w:tc>
          <w:tcPr>
            <w:tcW w:w="1509" w:type="dxa"/>
          </w:tcPr>
          <w:p>
            <w:pPr>
              <w:jc w:val="center"/>
              <w:rPr>
                <w:sz w:val="24"/>
              </w:rPr>
            </w:pPr>
          </w:p>
        </w:tc>
        <w:tc>
          <w:tcPr>
            <w:tcW w:w="1509" w:type="dxa"/>
          </w:tcPr>
          <w:p>
            <w:pPr>
              <w:jc w:val="center"/>
              <w:rPr>
                <w:sz w:val="24"/>
              </w:rPr>
            </w:pPr>
          </w:p>
        </w:tc>
        <w:tc>
          <w:tcPr>
            <w:tcW w:w="1509" w:type="dxa"/>
          </w:tcPr>
          <w:p>
            <w:pPr>
              <w:jc w:val="center"/>
              <w:rPr>
                <w:sz w:val="24"/>
              </w:rPr>
            </w:pPr>
          </w:p>
        </w:tc>
        <w:tc>
          <w:tcPr>
            <w:tcW w:w="2130" w:type="dxa"/>
          </w:tcPr>
          <w:p>
            <w:pPr>
              <w:jc w:val="center"/>
              <w:rPr>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9" w:hRule="atLeast"/>
        </w:trPr>
        <w:tc>
          <w:tcPr>
            <w:tcW w:w="1509" w:type="dxa"/>
            <w:vAlign w:val="center"/>
          </w:tcPr>
          <w:p>
            <w:pPr>
              <w:jc w:val="center"/>
            </w:pPr>
            <w:r>
              <w:t>…</w:t>
            </w:r>
          </w:p>
        </w:tc>
        <w:tc>
          <w:tcPr>
            <w:tcW w:w="1509" w:type="dxa"/>
          </w:tcPr>
          <w:p/>
        </w:tc>
        <w:tc>
          <w:tcPr>
            <w:tcW w:w="1509" w:type="dxa"/>
          </w:tcPr>
          <w:p/>
        </w:tc>
        <w:tc>
          <w:tcPr>
            <w:tcW w:w="1509" w:type="dxa"/>
          </w:tcPr>
          <w:p/>
        </w:tc>
        <w:tc>
          <w:tcPr>
            <w:tcW w:w="1509" w:type="dxa"/>
          </w:tcPr>
          <w:p/>
        </w:tc>
        <w:tc>
          <w:tcPr>
            <w:tcW w:w="2130" w:type="dxa"/>
          </w:tcPr>
          <w:p/>
        </w:tc>
      </w:tr>
    </w:tbl>
    <w:p>
      <w:pPr>
        <w:adjustRightInd w:val="0"/>
        <w:snapToGrid w:val="0"/>
        <w:spacing w:line="360" w:lineRule="auto"/>
        <w:rPr>
          <w:rFonts w:ascii="宋体" w:hAnsi="宋体"/>
          <w:b/>
          <w:bCs/>
          <w:color w:val="000000"/>
          <w:sz w:val="28"/>
          <w:szCs w:val="28"/>
        </w:rPr>
      </w:pPr>
    </w:p>
    <w:p>
      <w:pPr>
        <w:adjustRightInd w:val="0"/>
        <w:snapToGrid w:val="0"/>
        <w:spacing w:line="360" w:lineRule="auto"/>
        <w:rPr>
          <w:rFonts w:ascii="宋体" w:hAnsi="宋体"/>
          <w:b/>
          <w:bCs/>
          <w:color w:val="000000"/>
          <w:sz w:val="28"/>
          <w:szCs w:val="28"/>
        </w:rPr>
      </w:pPr>
      <w:r>
        <w:rPr>
          <w:rFonts w:hint="eastAsia" w:ascii="宋体" w:hAnsi="宋体"/>
          <w:b/>
          <w:bCs/>
          <w:color w:val="000000"/>
          <w:sz w:val="28"/>
          <w:szCs w:val="28"/>
        </w:rPr>
        <w:t xml:space="preserve">                    </w:t>
      </w:r>
    </w:p>
    <w:p>
      <w:pPr>
        <w:adjustRightInd w:val="0"/>
        <w:snapToGrid w:val="0"/>
        <w:spacing w:line="360" w:lineRule="auto"/>
        <w:rPr>
          <w:rFonts w:ascii="宋体" w:hAnsi="宋体"/>
          <w:b/>
          <w:bCs/>
          <w:sz w:val="28"/>
          <w:szCs w:val="28"/>
        </w:rPr>
      </w:pPr>
      <w:r>
        <w:rPr>
          <w:rFonts w:hint="eastAsia" w:ascii="宋体" w:hAnsi="宋体"/>
          <w:b/>
          <w:bCs/>
          <w:color w:val="000000"/>
          <w:sz w:val="28"/>
          <w:szCs w:val="28"/>
        </w:rPr>
        <w:t xml:space="preserve">附件8                       </w:t>
      </w:r>
      <w:r>
        <w:rPr>
          <w:rFonts w:hint="eastAsia" w:ascii="宋体" w:hAnsi="宋体"/>
          <w:b/>
          <w:bCs/>
          <w:sz w:val="28"/>
          <w:szCs w:val="28"/>
        </w:rPr>
        <w:t>商务条款偏离表</w:t>
      </w:r>
      <w:bookmarkEnd w:id="175"/>
    </w:p>
    <w:p>
      <w:pPr>
        <w:keepNext/>
        <w:keepLines/>
        <w:spacing w:line="360" w:lineRule="auto"/>
        <w:ind w:firstLine="486" w:firstLineChars="200"/>
        <w:outlineLvl w:val="1"/>
        <w:rPr>
          <w:rFonts w:ascii="宋体" w:hAnsi="宋体"/>
          <w:sz w:val="24"/>
        </w:rPr>
      </w:pPr>
      <w:r>
        <w:rPr>
          <w:rFonts w:hint="eastAsia" w:ascii="宋体" w:hAnsi="宋体"/>
          <w:sz w:val="24"/>
        </w:rPr>
        <w:t xml:space="preserve">项目名称：                                          </w:t>
      </w:r>
      <w:r>
        <w:rPr>
          <w:rFonts w:hint="eastAsia" w:ascii="宋体" w:hAnsi="宋体" w:cs="宋体"/>
          <w:sz w:val="24"/>
        </w:rPr>
        <w:t xml:space="preserve"> 项目编号：</w:t>
      </w:r>
    </w:p>
    <w:tbl>
      <w:tblPr>
        <w:tblStyle w:val="33"/>
        <w:tblpPr w:leftFromText="180" w:rightFromText="180" w:vertAnchor="text" w:horzAnchor="page" w:tblpX="1428" w:tblpY="625"/>
        <w:tblOverlap w:val="never"/>
        <w:tblW w:w="9317" w:type="dxa"/>
        <w:tblInd w:w="0" w:type="dxa"/>
        <w:tblLayout w:type="fixed"/>
        <w:tblCellMar>
          <w:top w:w="0" w:type="dxa"/>
          <w:left w:w="108" w:type="dxa"/>
          <w:bottom w:w="0" w:type="dxa"/>
          <w:right w:w="108" w:type="dxa"/>
        </w:tblCellMar>
      </w:tblPr>
      <w:tblGrid>
        <w:gridCol w:w="1193"/>
        <w:gridCol w:w="1744"/>
        <w:gridCol w:w="2080"/>
        <w:gridCol w:w="2150"/>
        <w:gridCol w:w="2150"/>
      </w:tblGrid>
      <w:tr>
        <w:tblPrEx>
          <w:tblCellMar>
            <w:top w:w="0" w:type="dxa"/>
            <w:left w:w="108" w:type="dxa"/>
            <w:bottom w:w="0" w:type="dxa"/>
            <w:right w:w="108" w:type="dxa"/>
          </w:tblCellMar>
        </w:tblPrEx>
        <w:trPr>
          <w:cantSplit/>
          <w:trHeight w:val="733"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序 号</w:t>
            </w:r>
          </w:p>
        </w:tc>
        <w:tc>
          <w:tcPr>
            <w:tcW w:w="1744"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条款</w:t>
            </w: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招标规格</w:t>
            </w: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投标规格</w:t>
            </w: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备注</w:t>
            </w:r>
          </w:p>
        </w:tc>
      </w:tr>
      <w:tr>
        <w:tblPrEx>
          <w:tblCellMar>
            <w:top w:w="0" w:type="dxa"/>
            <w:left w:w="108" w:type="dxa"/>
            <w:bottom w:w="0" w:type="dxa"/>
            <w:right w:w="108" w:type="dxa"/>
          </w:tblCellMar>
        </w:tblPrEx>
        <w:trPr>
          <w:cantSplit/>
          <w:trHeight w:val="733"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1</w:t>
            </w:r>
          </w:p>
        </w:tc>
        <w:tc>
          <w:tcPr>
            <w:tcW w:w="17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733"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2</w:t>
            </w:r>
          </w:p>
        </w:tc>
        <w:tc>
          <w:tcPr>
            <w:tcW w:w="17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733"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3</w:t>
            </w:r>
          </w:p>
        </w:tc>
        <w:tc>
          <w:tcPr>
            <w:tcW w:w="17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733"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4</w:t>
            </w:r>
          </w:p>
        </w:tc>
        <w:tc>
          <w:tcPr>
            <w:tcW w:w="17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733"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5</w:t>
            </w:r>
          </w:p>
        </w:tc>
        <w:tc>
          <w:tcPr>
            <w:tcW w:w="174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733"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w:t>
            </w:r>
          </w:p>
          <w:p>
            <w:pPr>
              <w:spacing w:line="360" w:lineRule="auto"/>
              <w:ind w:firstLine="99"/>
              <w:jc w:val="center"/>
              <w:rPr>
                <w:rFonts w:ascii="宋体" w:hAnsi="宋体" w:cs="宋体"/>
                <w:sz w:val="24"/>
              </w:rPr>
            </w:pPr>
            <w:r>
              <w:rPr>
                <w:rFonts w:hint="eastAsia" w:ascii="宋体" w:hAnsi="宋体" w:cs="宋体"/>
                <w:sz w:val="24"/>
              </w:rPr>
              <w:t>…..</w:t>
            </w:r>
          </w:p>
        </w:tc>
        <w:tc>
          <w:tcPr>
            <w:tcW w:w="1744"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733"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1744"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733"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1744"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752" w:hRule="exact"/>
        </w:trPr>
        <w:tc>
          <w:tcPr>
            <w:tcW w:w="1193"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1744"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0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5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bl>
    <w:p>
      <w:pPr>
        <w:adjustRightInd w:val="0"/>
        <w:snapToGrid w:val="0"/>
        <w:spacing w:line="360" w:lineRule="auto"/>
        <w:rPr>
          <w:rFonts w:ascii="宋体" w:hAnsi="宋体"/>
          <w:color w:val="000000"/>
          <w:sz w:val="28"/>
          <w:szCs w:val="28"/>
        </w:rPr>
      </w:pPr>
    </w:p>
    <w:p>
      <w:pPr>
        <w:adjustRightInd w:val="0"/>
        <w:snapToGrid w:val="0"/>
        <w:spacing w:line="360" w:lineRule="auto"/>
        <w:rPr>
          <w:rFonts w:ascii="宋体" w:hAnsi="宋体"/>
          <w:color w:val="000000"/>
          <w:sz w:val="28"/>
          <w:szCs w:val="28"/>
        </w:rPr>
      </w:pP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供应商（盖公章）：</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法定代表人（签字或盖章）：</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授权代理人（签字）：</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日期：  年  月  日</w:t>
      </w:r>
    </w:p>
    <w:p>
      <w:pPr>
        <w:pStyle w:val="24"/>
        <w:ind w:left="568" w:hanging="568"/>
        <w:rPr>
          <w:rFonts w:ascii="宋体" w:hAnsi="宋体"/>
          <w:color w:val="000000"/>
          <w:sz w:val="28"/>
          <w:szCs w:val="28"/>
        </w:rPr>
      </w:pPr>
    </w:p>
    <w:p>
      <w:pPr>
        <w:pStyle w:val="24"/>
        <w:ind w:left="568" w:hanging="568"/>
        <w:rPr>
          <w:rFonts w:ascii="宋体" w:hAnsi="宋体"/>
          <w:color w:val="000000"/>
          <w:sz w:val="28"/>
          <w:szCs w:val="28"/>
        </w:rPr>
      </w:pPr>
    </w:p>
    <w:p>
      <w:pPr>
        <w:pStyle w:val="24"/>
        <w:ind w:left="568" w:hanging="568"/>
        <w:rPr>
          <w:rFonts w:ascii="宋体" w:hAnsi="宋体"/>
          <w:color w:val="000000"/>
          <w:sz w:val="28"/>
          <w:szCs w:val="28"/>
        </w:rPr>
      </w:pPr>
    </w:p>
    <w:tbl>
      <w:tblPr>
        <w:tblStyle w:val="33"/>
        <w:tblpPr w:leftFromText="180" w:rightFromText="180" w:vertAnchor="text" w:horzAnchor="page" w:tblpX="1428" w:tblpY="625"/>
        <w:tblOverlap w:val="never"/>
        <w:tblW w:w="9214" w:type="dxa"/>
        <w:tblInd w:w="0" w:type="dxa"/>
        <w:tblLayout w:type="fixed"/>
        <w:tblCellMar>
          <w:top w:w="0" w:type="dxa"/>
          <w:left w:w="108" w:type="dxa"/>
          <w:bottom w:w="0" w:type="dxa"/>
          <w:right w:w="108" w:type="dxa"/>
        </w:tblCellMar>
      </w:tblPr>
      <w:tblGrid>
        <w:gridCol w:w="1180"/>
        <w:gridCol w:w="1725"/>
        <w:gridCol w:w="2057"/>
        <w:gridCol w:w="2126"/>
        <w:gridCol w:w="2126"/>
      </w:tblGrid>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序 号</w:t>
            </w:r>
          </w:p>
        </w:tc>
        <w:tc>
          <w:tcPr>
            <w:tcW w:w="1725"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条款</w:t>
            </w: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招标规格</w:t>
            </w: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投标规格</w:t>
            </w: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r>
              <w:rPr>
                <w:rFonts w:hint="eastAsia" w:ascii="宋体" w:hAnsi="宋体" w:cs="宋体"/>
                <w:sz w:val="24"/>
              </w:rPr>
              <w:t>备注</w:t>
            </w:r>
          </w:p>
        </w:tc>
      </w:tr>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1</w:t>
            </w:r>
          </w:p>
        </w:tc>
        <w:tc>
          <w:tcPr>
            <w:tcW w:w="1725"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2</w:t>
            </w:r>
          </w:p>
        </w:tc>
        <w:tc>
          <w:tcPr>
            <w:tcW w:w="1725"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3</w:t>
            </w:r>
          </w:p>
        </w:tc>
        <w:tc>
          <w:tcPr>
            <w:tcW w:w="1725"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4</w:t>
            </w:r>
          </w:p>
        </w:tc>
        <w:tc>
          <w:tcPr>
            <w:tcW w:w="1725"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5</w:t>
            </w:r>
          </w:p>
        </w:tc>
        <w:tc>
          <w:tcPr>
            <w:tcW w:w="1725"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s="宋体"/>
                <w:sz w:val="24"/>
              </w:rPr>
            </w:pP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jc w:val="center"/>
              <w:rPr>
                <w:rFonts w:ascii="宋体" w:hAnsi="宋体" w:cs="宋体"/>
                <w:sz w:val="24"/>
              </w:rPr>
            </w:pPr>
            <w:r>
              <w:rPr>
                <w:rFonts w:hint="eastAsia" w:ascii="宋体" w:hAnsi="宋体" w:cs="宋体"/>
                <w:sz w:val="24"/>
              </w:rPr>
              <w:t>…</w:t>
            </w:r>
          </w:p>
          <w:p>
            <w:pPr>
              <w:spacing w:line="360" w:lineRule="auto"/>
              <w:ind w:firstLine="99"/>
              <w:jc w:val="center"/>
              <w:rPr>
                <w:rFonts w:ascii="宋体" w:hAnsi="宋体" w:cs="宋体"/>
                <w:sz w:val="24"/>
              </w:rPr>
            </w:pPr>
            <w:r>
              <w:rPr>
                <w:rFonts w:hint="eastAsia" w:ascii="宋体" w:hAnsi="宋体" w:cs="宋体"/>
                <w:sz w:val="24"/>
              </w:rPr>
              <w:t>…..</w:t>
            </w:r>
          </w:p>
        </w:tc>
        <w:tc>
          <w:tcPr>
            <w:tcW w:w="1725"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1725"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1725"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r>
        <w:tblPrEx>
          <w:tblCellMar>
            <w:top w:w="0" w:type="dxa"/>
            <w:left w:w="108" w:type="dxa"/>
            <w:bottom w:w="0" w:type="dxa"/>
            <w:right w:w="108" w:type="dxa"/>
          </w:tblCellMar>
        </w:tblPrEx>
        <w:trPr>
          <w:cantSplit/>
          <w:trHeight w:val="567" w:hRule="exact"/>
        </w:trPr>
        <w:tc>
          <w:tcPr>
            <w:tcW w:w="1180"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1725"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057"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c>
          <w:tcPr>
            <w:tcW w:w="2126" w:type="dxa"/>
            <w:tcBorders>
              <w:top w:val="single" w:color="auto" w:sz="6" w:space="0"/>
              <w:left w:val="single" w:color="auto" w:sz="6" w:space="0"/>
              <w:bottom w:val="single" w:color="auto" w:sz="6" w:space="0"/>
              <w:right w:val="single" w:color="auto" w:sz="6" w:space="0"/>
            </w:tcBorders>
          </w:tcPr>
          <w:p>
            <w:pPr>
              <w:spacing w:line="360" w:lineRule="auto"/>
              <w:ind w:firstLine="99"/>
              <w:rPr>
                <w:rFonts w:ascii="宋体" w:hAnsi="宋体" w:cs="宋体"/>
                <w:sz w:val="24"/>
              </w:rPr>
            </w:pPr>
          </w:p>
        </w:tc>
      </w:tr>
    </w:tbl>
    <w:p>
      <w:pPr>
        <w:pStyle w:val="24"/>
        <w:ind w:left="570" w:hanging="570"/>
        <w:jc w:val="left"/>
        <w:rPr>
          <w:rFonts w:ascii="宋体" w:hAnsi="宋体"/>
          <w:color w:val="000000"/>
          <w:sz w:val="28"/>
          <w:szCs w:val="28"/>
        </w:rPr>
      </w:pPr>
      <w:r>
        <w:rPr>
          <w:rFonts w:hint="eastAsia" w:ascii="宋体" w:hAnsi="宋体"/>
          <w:b/>
          <w:bCs/>
          <w:color w:val="000000"/>
          <w:sz w:val="28"/>
          <w:szCs w:val="28"/>
        </w:rPr>
        <w:t xml:space="preserve">附件8-1  </w:t>
      </w:r>
      <w:r>
        <w:rPr>
          <w:rFonts w:hint="eastAsia" w:ascii="宋体" w:hAnsi="宋体"/>
          <w:color w:val="000000"/>
          <w:sz w:val="28"/>
          <w:szCs w:val="28"/>
        </w:rPr>
        <w:t xml:space="preserve">                   技术条款偏离表</w:t>
      </w:r>
    </w:p>
    <w:p>
      <w:pPr>
        <w:adjustRightInd w:val="0"/>
        <w:snapToGrid w:val="0"/>
        <w:spacing w:line="360" w:lineRule="auto"/>
        <w:rPr>
          <w:rFonts w:ascii="宋体" w:hAnsi="宋体"/>
          <w:color w:val="000000"/>
          <w:sz w:val="28"/>
          <w:szCs w:val="28"/>
        </w:rPr>
      </w:pPr>
    </w:p>
    <w:p>
      <w:pPr>
        <w:adjustRightInd w:val="0"/>
        <w:snapToGrid w:val="0"/>
        <w:spacing w:line="360" w:lineRule="auto"/>
        <w:rPr>
          <w:rFonts w:ascii="宋体" w:hAnsi="宋体"/>
          <w:color w:val="000000"/>
          <w:sz w:val="28"/>
          <w:szCs w:val="28"/>
        </w:rPr>
      </w:pP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供应商（盖公章）：</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法定代表人（签字或盖章）：</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授权代理人（签字）：</w:t>
      </w:r>
    </w:p>
    <w:p>
      <w:pPr>
        <w:adjustRightInd w:val="0"/>
        <w:snapToGrid w:val="0"/>
        <w:spacing w:line="360" w:lineRule="auto"/>
        <w:rPr>
          <w:rFonts w:ascii="宋体" w:hAnsi="宋体"/>
          <w:color w:val="000000"/>
          <w:sz w:val="28"/>
          <w:szCs w:val="28"/>
        </w:rPr>
      </w:pPr>
      <w:r>
        <w:rPr>
          <w:rFonts w:hint="eastAsia" w:ascii="宋体" w:hAnsi="宋体"/>
          <w:color w:val="000000"/>
          <w:sz w:val="28"/>
          <w:szCs w:val="28"/>
        </w:rPr>
        <w:t>日期：  年  月  日</w:t>
      </w:r>
    </w:p>
    <w:p>
      <w:pPr>
        <w:adjustRightInd w:val="0"/>
        <w:snapToGrid w:val="0"/>
        <w:spacing w:line="360" w:lineRule="auto"/>
        <w:rPr>
          <w:rFonts w:ascii="宋体" w:hAnsi="宋体"/>
          <w:color w:val="000000"/>
          <w:sz w:val="28"/>
          <w:szCs w:val="28"/>
        </w:rPr>
      </w:pPr>
    </w:p>
    <w:p>
      <w:pPr>
        <w:adjustRightInd w:val="0"/>
        <w:snapToGrid w:val="0"/>
        <w:spacing w:line="360" w:lineRule="auto"/>
        <w:rPr>
          <w:rFonts w:ascii="宋体" w:hAnsi="宋体"/>
          <w:color w:val="000000"/>
          <w:sz w:val="28"/>
          <w:szCs w:val="28"/>
        </w:rPr>
      </w:pPr>
    </w:p>
    <w:p>
      <w:pPr>
        <w:adjustRightInd w:val="0"/>
        <w:snapToGrid w:val="0"/>
        <w:spacing w:line="360" w:lineRule="auto"/>
        <w:rPr>
          <w:rFonts w:ascii="宋体" w:hAnsi="宋体"/>
          <w:color w:val="000000"/>
          <w:sz w:val="28"/>
          <w:szCs w:val="28"/>
        </w:rPr>
      </w:pPr>
    </w:p>
    <w:p>
      <w:pPr>
        <w:adjustRightInd w:val="0"/>
        <w:snapToGrid w:val="0"/>
        <w:spacing w:line="360" w:lineRule="auto"/>
        <w:rPr>
          <w:rFonts w:ascii="宋体" w:hAnsi="宋体"/>
          <w:color w:val="000000"/>
          <w:sz w:val="28"/>
          <w:szCs w:val="28"/>
        </w:rPr>
      </w:pPr>
    </w:p>
    <w:p>
      <w:pPr>
        <w:pStyle w:val="24"/>
        <w:ind w:left="568" w:hanging="568"/>
        <w:rPr>
          <w:rFonts w:ascii="宋体" w:hAnsi="宋体"/>
          <w:color w:val="000000"/>
          <w:sz w:val="28"/>
          <w:szCs w:val="28"/>
        </w:rPr>
      </w:pPr>
    </w:p>
    <w:p>
      <w:pPr>
        <w:pStyle w:val="24"/>
        <w:ind w:left="568" w:hanging="568"/>
        <w:rPr>
          <w:rFonts w:ascii="宋体" w:hAnsi="宋体"/>
          <w:color w:val="000000"/>
          <w:sz w:val="28"/>
          <w:szCs w:val="28"/>
        </w:rPr>
      </w:pPr>
    </w:p>
    <w:p>
      <w:pPr>
        <w:adjustRightInd w:val="0"/>
        <w:snapToGrid w:val="0"/>
        <w:spacing w:line="360" w:lineRule="auto"/>
        <w:rPr>
          <w:rFonts w:ascii="宋体" w:hAnsi="宋体"/>
          <w:color w:val="000000"/>
          <w:sz w:val="28"/>
          <w:szCs w:val="28"/>
        </w:rPr>
      </w:pPr>
    </w:p>
    <w:p>
      <w:pPr>
        <w:pStyle w:val="24"/>
        <w:ind w:left="408" w:hanging="408"/>
      </w:pPr>
    </w:p>
    <w:p>
      <w:pPr>
        <w:adjustRightInd w:val="0"/>
        <w:snapToGrid w:val="0"/>
        <w:spacing w:line="360" w:lineRule="auto"/>
        <w:rPr>
          <w:rFonts w:ascii="宋体" w:hAnsi="宋体"/>
          <w:color w:val="FF0000"/>
          <w:sz w:val="28"/>
          <w:szCs w:val="28"/>
        </w:rPr>
      </w:pPr>
      <w:r>
        <w:rPr>
          <w:rFonts w:hint="eastAsia" w:ascii="宋体" w:hAnsi="宋体"/>
          <w:color w:val="000000"/>
          <w:sz w:val="28"/>
          <w:szCs w:val="28"/>
        </w:rPr>
        <w:t>附件9</w:t>
      </w:r>
    </w:p>
    <w:p>
      <w:pPr>
        <w:autoSpaceDE w:val="0"/>
        <w:autoSpaceDN w:val="0"/>
        <w:adjustRightInd w:val="0"/>
        <w:spacing w:line="400" w:lineRule="exact"/>
        <w:jc w:val="center"/>
        <w:rPr>
          <w:rFonts w:ascii="新宋体" w:hAnsi="新宋体" w:eastAsia="新宋体" w:cs="宋体"/>
          <w:b/>
          <w:bCs/>
          <w:sz w:val="28"/>
          <w:szCs w:val="28"/>
          <w:lang w:val="zh-CN"/>
        </w:rPr>
      </w:pPr>
      <w:bookmarkStart w:id="176" w:name="_Toc1260_WPSOffice_Level1"/>
      <w:r>
        <w:rPr>
          <w:rFonts w:hint="eastAsia" w:ascii="新宋体" w:hAnsi="新宋体" w:eastAsia="新宋体" w:cs="宋体"/>
          <w:b/>
          <w:bCs/>
          <w:sz w:val="28"/>
          <w:szCs w:val="28"/>
          <w:lang w:val="zh-CN"/>
        </w:rPr>
        <w:t>供应商诚信保证书</w:t>
      </w:r>
      <w:bookmarkEnd w:id="176"/>
    </w:p>
    <w:p>
      <w:pPr>
        <w:autoSpaceDE w:val="0"/>
        <w:autoSpaceDN w:val="0"/>
        <w:adjustRightInd w:val="0"/>
        <w:spacing w:line="400" w:lineRule="exact"/>
        <w:rPr>
          <w:rFonts w:ascii="新宋体" w:hAnsi="新宋体" w:eastAsia="新宋体" w:cs="宋体"/>
          <w:sz w:val="28"/>
          <w:szCs w:val="28"/>
          <w:lang w:val="zh-CN"/>
        </w:rPr>
      </w:pPr>
    </w:p>
    <w:p>
      <w:pPr>
        <w:autoSpaceDE w:val="0"/>
        <w:autoSpaceDN w:val="0"/>
        <w:adjustRightInd w:val="0"/>
        <w:spacing w:line="400" w:lineRule="exact"/>
        <w:rPr>
          <w:rFonts w:ascii="宋体" w:hAnsi="宋体"/>
          <w:sz w:val="24"/>
        </w:rPr>
      </w:pPr>
      <w:r>
        <w:rPr>
          <w:rFonts w:hint="eastAsia" w:ascii="宋体" w:hAnsi="宋体"/>
          <w:sz w:val="24"/>
        </w:rPr>
        <w:t>致（采购人名称）</w:t>
      </w:r>
    </w:p>
    <w:p>
      <w:pPr>
        <w:autoSpaceDE w:val="0"/>
        <w:autoSpaceDN w:val="0"/>
        <w:adjustRightInd w:val="0"/>
        <w:spacing w:line="400" w:lineRule="exact"/>
        <w:rPr>
          <w:rFonts w:ascii="新宋体" w:hAnsi="新宋体" w:eastAsia="新宋体" w:cs="宋体"/>
          <w:sz w:val="28"/>
          <w:szCs w:val="28"/>
          <w:lang w:val="zh-CN"/>
        </w:rPr>
      </w:pPr>
    </w:p>
    <w:p>
      <w:pPr>
        <w:autoSpaceDE w:val="0"/>
        <w:autoSpaceDN w:val="0"/>
        <w:adjustRightInd w:val="0"/>
        <w:spacing w:line="400" w:lineRule="exact"/>
        <w:ind w:firstLine="480"/>
        <w:rPr>
          <w:rFonts w:ascii="宋体" w:hAnsi="宋体" w:cs="宋体"/>
          <w:sz w:val="24"/>
          <w:lang w:val="zh-CN"/>
        </w:rPr>
      </w:pPr>
      <w:r>
        <w:rPr>
          <w:rFonts w:hint="eastAsia" w:ascii="宋体" w:hAnsi="宋体" w:cs="宋体"/>
          <w:sz w:val="24"/>
          <w:lang w:val="zh-CN"/>
        </w:rPr>
        <w:t>为了诚实、客观、有序地参与</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cs="宋体"/>
          <w:sz w:val="24"/>
          <w:lang w:val="zh-CN"/>
        </w:rPr>
        <w:t>招标投标活动，愿就以下内容作出保证：</w:t>
      </w:r>
    </w:p>
    <w:p>
      <w:pPr>
        <w:autoSpaceDE w:val="0"/>
        <w:autoSpaceDN w:val="0"/>
        <w:adjustRightInd w:val="0"/>
        <w:spacing w:line="400" w:lineRule="exact"/>
        <w:ind w:firstLine="480"/>
        <w:rPr>
          <w:rFonts w:ascii="宋体" w:hAnsi="宋体" w:cs="宋体"/>
          <w:sz w:val="24"/>
          <w:lang w:val="zh-CN"/>
        </w:rPr>
      </w:pPr>
      <w:r>
        <w:rPr>
          <w:rFonts w:hint="eastAsia" w:ascii="宋体" w:hAnsi="宋体" w:cs="宋体"/>
          <w:sz w:val="24"/>
          <w:lang w:val="zh-CN"/>
        </w:rPr>
        <w:t>一、自觉遵守各项法律、法规、规章、制度以及社会公德，维护廉洁环境，与同场竞争的供应商平等参加政府采购活动。</w:t>
      </w:r>
    </w:p>
    <w:p>
      <w:pPr>
        <w:autoSpaceDE w:val="0"/>
        <w:autoSpaceDN w:val="0"/>
        <w:adjustRightInd w:val="0"/>
        <w:spacing w:line="400" w:lineRule="exact"/>
        <w:ind w:firstLine="480"/>
        <w:rPr>
          <w:rFonts w:ascii="宋体" w:hAnsi="宋体" w:cs="宋体"/>
          <w:sz w:val="24"/>
          <w:lang w:val="zh-CN"/>
        </w:rPr>
      </w:pPr>
      <w:r>
        <w:rPr>
          <w:rFonts w:hint="eastAsia" w:ascii="宋体" w:hAnsi="宋体" w:cs="宋体"/>
          <w:sz w:val="24"/>
          <w:lang w:val="zh-CN"/>
        </w:rPr>
        <w:t>二、参加采购人组织的投标活动时，严格按照竞争性磋商文件的规定和要求提供所需的相关材料，并对所提供的各类资料的真实性负责，不虚假应标，不虚列业绩。</w:t>
      </w:r>
    </w:p>
    <w:p>
      <w:pPr>
        <w:autoSpaceDE w:val="0"/>
        <w:autoSpaceDN w:val="0"/>
        <w:adjustRightInd w:val="0"/>
        <w:spacing w:line="400" w:lineRule="exact"/>
        <w:ind w:firstLine="480"/>
        <w:rPr>
          <w:rFonts w:ascii="宋体" w:hAnsi="宋体" w:cs="宋体"/>
          <w:sz w:val="24"/>
          <w:lang w:val="zh-CN"/>
        </w:rPr>
      </w:pPr>
      <w:r>
        <w:rPr>
          <w:rFonts w:hint="eastAsia" w:ascii="宋体" w:hAnsi="宋体" w:cs="宋体"/>
          <w:sz w:val="24"/>
          <w:lang w:val="zh-CN"/>
        </w:rPr>
        <w:t>三、尊重参与招标投标各相关方的合法行为，接受招标投标活动依法形成的意见、结果。</w:t>
      </w:r>
    </w:p>
    <w:p>
      <w:pPr>
        <w:autoSpaceDE w:val="0"/>
        <w:autoSpaceDN w:val="0"/>
        <w:adjustRightInd w:val="0"/>
        <w:spacing w:line="400" w:lineRule="exact"/>
        <w:ind w:firstLine="480"/>
        <w:rPr>
          <w:rFonts w:ascii="宋体" w:hAnsi="宋体" w:cs="宋体"/>
          <w:sz w:val="24"/>
          <w:lang w:val="zh-CN"/>
        </w:rPr>
      </w:pPr>
      <w:r>
        <w:rPr>
          <w:rFonts w:hint="eastAsia" w:ascii="宋体" w:hAnsi="宋体" w:cs="宋体"/>
          <w:sz w:val="24"/>
          <w:lang w:val="zh-CN"/>
        </w:rPr>
        <w:t>四、依法参加招标投标活动，不围标、串标，维护市场秩序，不提供</w:t>
      </w:r>
      <w:r>
        <w:rPr>
          <w:rFonts w:ascii="宋体" w:hAnsi="宋体" w:cs="宋体"/>
          <w:sz w:val="24"/>
          <w:lang w:val="zh-CN"/>
        </w:rPr>
        <w:t>“</w:t>
      </w:r>
      <w:r>
        <w:rPr>
          <w:rFonts w:hint="eastAsia" w:ascii="宋体" w:hAnsi="宋体" w:cs="宋体"/>
          <w:sz w:val="24"/>
          <w:lang w:val="zh-CN"/>
        </w:rPr>
        <w:t>三无</w:t>
      </w:r>
      <w:r>
        <w:rPr>
          <w:rFonts w:ascii="宋体" w:hAnsi="宋体" w:cs="宋体"/>
          <w:sz w:val="24"/>
          <w:lang w:val="zh-CN"/>
        </w:rPr>
        <w:t>”</w:t>
      </w:r>
      <w:r>
        <w:rPr>
          <w:rFonts w:hint="eastAsia" w:ascii="宋体" w:hAnsi="宋体" w:cs="宋体"/>
          <w:sz w:val="24"/>
          <w:lang w:val="zh-CN"/>
        </w:rPr>
        <w:t>产品、以次充好。</w:t>
      </w:r>
    </w:p>
    <w:p>
      <w:pPr>
        <w:autoSpaceDE w:val="0"/>
        <w:autoSpaceDN w:val="0"/>
        <w:adjustRightInd w:val="0"/>
        <w:spacing w:line="400" w:lineRule="exact"/>
        <w:ind w:firstLine="480"/>
        <w:rPr>
          <w:rFonts w:ascii="宋体" w:hAnsi="宋体" w:cs="宋体"/>
          <w:sz w:val="24"/>
          <w:lang w:val="zh-CN"/>
        </w:rPr>
      </w:pPr>
      <w:r>
        <w:rPr>
          <w:rFonts w:hint="eastAsia" w:ascii="宋体" w:hAnsi="宋体" w:cs="宋体"/>
          <w:sz w:val="24"/>
          <w:lang w:val="zh-CN"/>
        </w:rPr>
        <w:t>五、积极推动招标投标活动健康开展，对招标投标活动有疑问、异议时，按法律规定的程序实名（加盖单位章和法定代表人签名）反映情况，不恶意中伤、无事生非，以和谐、平等的心态参加此次投标。</w:t>
      </w:r>
    </w:p>
    <w:p>
      <w:pPr>
        <w:autoSpaceDE w:val="0"/>
        <w:autoSpaceDN w:val="0"/>
        <w:adjustRightInd w:val="0"/>
        <w:spacing w:line="400" w:lineRule="exact"/>
        <w:ind w:firstLine="480"/>
        <w:rPr>
          <w:rFonts w:ascii="宋体" w:hAnsi="宋体" w:cs="宋体"/>
          <w:sz w:val="24"/>
          <w:lang w:val="zh-CN"/>
        </w:rPr>
      </w:pPr>
      <w:r>
        <w:rPr>
          <w:rFonts w:hint="eastAsia" w:ascii="宋体" w:hAnsi="宋体" w:cs="宋体"/>
          <w:sz w:val="24"/>
          <w:lang w:val="zh-CN"/>
        </w:rPr>
        <w:t>六、认真履行中标人应承担的责任和义务，全面执行采购合同规定的各项内容，保质保量地按时提供货物及服务。</w:t>
      </w:r>
    </w:p>
    <w:p>
      <w:pPr>
        <w:autoSpaceDE w:val="0"/>
        <w:autoSpaceDN w:val="0"/>
        <w:adjustRightInd w:val="0"/>
        <w:spacing w:line="400" w:lineRule="exact"/>
        <w:ind w:firstLine="486" w:firstLineChars="200"/>
        <w:rPr>
          <w:rFonts w:ascii="宋体" w:hAnsi="宋体" w:cs="宋体"/>
          <w:sz w:val="24"/>
          <w:lang w:val="zh-CN"/>
        </w:rPr>
      </w:pPr>
      <w:r>
        <w:rPr>
          <w:rFonts w:hint="eastAsia" w:ascii="宋体" w:hAnsi="宋体" w:cs="宋体"/>
          <w:sz w:val="24"/>
          <w:lang w:val="zh-CN"/>
        </w:rPr>
        <w:t>若本企业（单位）发生有悖于上述保证的行为，愿意接受法律法规中对供应商的相关处理。</w:t>
      </w:r>
    </w:p>
    <w:p>
      <w:pPr>
        <w:autoSpaceDE w:val="0"/>
        <w:autoSpaceDN w:val="0"/>
        <w:adjustRightInd w:val="0"/>
        <w:spacing w:line="400" w:lineRule="exact"/>
        <w:ind w:firstLine="486" w:firstLineChars="200"/>
        <w:rPr>
          <w:rFonts w:ascii="宋体" w:hAnsi="宋体" w:cs="宋体"/>
          <w:sz w:val="24"/>
          <w:lang w:val="zh-CN"/>
        </w:rPr>
      </w:pPr>
      <w:r>
        <w:rPr>
          <w:rFonts w:hint="eastAsia" w:ascii="宋体" w:hAnsi="宋体" w:cs="宋体"/>
          <w:sz w:val="24"/>
          <w:lang w:val="zh-CN"/>
        </w:rPr>
        <w:t>本保证书是本项目投标文件的组成部分。</w:t>
      </w:r>
    </w:p>
    <w:p>
      <w:pPr>
        <w:autoSpaceDE w:val="0"/>
        <w:autoSpaceDN w:val="0"/>
        <w:adjustRightInd w:val="0"/>
        <w:spacing w:line="400" w:lineRule="exact"/>
        <w:rPr>
          <w:rFonts w:ascii="宋体" w:hAnsi="宋体" w:cs="宋体"/>
          <w:sz w:val="24"/>
          <w:lang w:val="zh-CN"/>
        </w:rPr>
      </w:pPr>
    </w:p>
    <w:p>
      <w:pPr>
        <w:autoSpaceDE w:val="0"/>
        <w:autoSpaceDN w:val="0"/>
        <w:adjustRightInd w:val="0"/>
        <w:spacing w:line="400" w:lineRule="exact"/>
        <w:rPr>
          <w:rFonts w:ascii="宋体" w:hAnsi="宋体" w:cs="宋体"/>
          <w:sz w:val="24"/>
          <w:lang w:val="zh-CN"/>
        </w:rPr>
      </w:pPr>
    </w:p>
    <w:p>
      <w:pPr>
        <w:autoSpaceDE w:val="0"/>
        <w:autoSpaceDN w:val="0"/>
        <w:adjustRightInd w:val="0"/>
        <w:spacing w:line="400" w:lineRule="exact"/>
        <w:rPr>
          <w:rFonts w:ascii="宋体" w:hAnsi="宋体" w:cs="宋体"/>
          <w:sz w:val="24"/>
          <w:lang w:val="zh-CN"/>
        </w:rPr>
      </w:pPr>
    </w:p>
    <w:p>
      <w:pPr>
        <w:autoSpaceDE w:val="0"/>
        <w:autoSpaceDN w:val="0"/>
        <w:adjustRightInd w:val="0"/>
        <w:spacing w:line="400" w:lineRule="exact"/>
        <w:jc w:val="right"/>
        <w:rPr>
          <w:rFonts w:ascii="宋体" w:hAnsi="宋体" w:cs="宋体"/>
          <w:sz w:val="24"/>
          <w:lang w:val="zh-CN"/>
        </w:rPr>
      </w:pPr>
      <w:r>
        <w:rPr>
          <w:rFonts w:hint="eastAsia" w:ascii="宋体" w:hAnsi="宋体" w:cs="宋体"/>
          <w:sz w:val="24"/>
          <w:lang w:val="zh-CN"/>
        </w:rPr>
        <w:t>供应商：（公章）</w:t>
      </w:r>
    </w:p>
    <w:p>
      <w:pPr>
        <w:autoSpaceDE w:val="0"/>
        <w:autoSpaceDN w:val="0"/>
        <w:adjustRightInd w:val="0"/>
        <w:spacing w:line="400" w:lineRule="exact"/>
        <w:jc w:val="center"/>
        <w:rPr>
          <w:rFonts w:ascii="宋体" w:hAnsi="宋体"/>
          <w:sz w:val="24"/>
        </w:rPr>
      </w:pPr>
      <w:r>
        <w:rPr>
          <w:rFonts w:hint="eastAsia" w:ascii="宋体" w:hAnsi="宋体"/>
          <w:sz w:val="24"/>
        </w:rPr>
        <w:t>法定代表人签字或盖章/授权委托人签字：</w:t>
      </w:r>
    </w:p>
    <w:p>
      <w:pPr>
        <w:autoSpaceDE w:val="0"/>
        <w:autoSpaceDN w:val="0"/>
        <w:adjustRightInd w:val="0"/>
        <w:spacing w:line="400" w:lineRule="exact"/>
        <w:jc w:val="right"/>
        <w:rPr>
          <w:rFonts w:ascii="宋体" w:hAnsi="宋体" w:cs="宋体"/>
          <w:sz w:val="24"/>
          <w:lang w:val="zh-CN"/>
        </w:rPr>
      </w:pPr>
      <w:r>
        <w:rPr>
          <w:rFonts w:hint="eastAsia" w:ascii="宋体" w:hAnsi="宋体" w:cs="宋体"/>
          <w:sz w:val="24"/>
          <w:lang w:val="zh-CN"/>
        </w:rPr>
        <w:t>年月日</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pStyle w:val="24"/>
        <w:ind w:left="408" w:hanging="408"/>
      </w:pPr>
    </w:p>
    <w:p>
      <w:pPr>
        <w:jc w:val="left"/>
        <w:rPr>
          <w:rFonts w:ascii="宋体" w:hAnsi="宋体" w:cs="宋体"/>
          <w:b/>
          <w:color w:val="000000"/>
          <w:sz w:val="24"/>
        </w:rPr>
      </w:pPr>
    </w:p>
    <w:p>
      <w:pPr>
        <w:adjustRightInd w:val="0"/>
        <w:snapToGrid w:val="0"/>
        <w:spacing w:line="360" w:lineRule="auto"/>
        <w:rPr>
          <w:rFonts w:ascii="宋体" w:hAnsi="宋体" w:cs="宋体"/>
          <w:b/>
          <w:bCs/>
          <w:color w:val="000000"/>
          <w:sz w:val="28"/>
          <w:szCs w:val="28"/>
        </w:rPr>
      </w:pPr>
      <w:r>
        <w:rPr>
          <w:rFonts w:hint="eastAsia" w:ascii="宋体" w:hAnsi="宋体" w:cs="宋体"/>
          <w:b/>
          <w:bCs/>
          <w:color w:val="000000"/>
          <w:sz w:val="28"/>
          <w:szCs w:val="28"/>
        </w:rPr>
        <w:t xml:space="preserve">附件10  </w:t>
      </w:r>
    </w:p>
    <w:p>
      <w:pPr>
        <w:jc w:val="center"/>
        <w:rPr>
          <w:rFonts w:ascii="宋体" w:hAnsi="宋体" w:cs="宋体"/>
          <w:sz w:val="24"/>
        </w:rPr>
      </w:pPr>
      <w:r>
        <w:rPr>
          <w:rFonts w:hint="eastAsia" w:ascii="宋体" w:hAnsi="宋体" w:cs="宋体"/>
          <w:b/>
          <w:sz w:val="36"/>
          <w:szCs w:val="36"/>
        </w:rPr>
        <w:t>中小企业声明函</w:t>
      </w:r>
    </w:p>
    <w:p>
      <w:pPr>
        <w:snapToGrid w:val="0"/>
        <w:spacing w:line="600" w:lineRule="auto"/>
        <w:ind w:firstLine="486" w:firstLineChars="200"/>
        <w:jc w:val="left"/>
        <w:rPr>
          <w:rFonts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lang w:eastAsia="zh-CN"/>
        </w:rPr>
        <w:t>特克斯县林业和草原局</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600" w:lineRule="auto"/>
        <w:ind w:firstLine="486" w:firstLineChars="200"/>
        <w:jc w:val="left"/>
        <w:rPr>
          <w:rFonts w:ascii="宋体" w:hAnsi="宋体" w:cs="宋体"/>
          <w:sz w:val="24"/>
        </w:rPr>
      </w:pPr>
      <w:r>
        <w:rPr>
          <w:rFonts w:hint="eastAsia" w:ascii="宋体" w:hAnsi="宋体" w:cs="宋体"/>
          <w:sz w:val="24"/>
          <w:u w:val="single"/>
        </w:rPr>
        <w:t>（项目名称）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rPr>
          <w:rStyle w:val="39"/>
          <w:rFonts w:hint="eastAsia" w:ascii="宋体" w:hAnsi="宋体" w:cs="宋体"/>
          <w:sz w:val="24"/>
        </w:rPr>
        <w:footnoteReference w:id="0"/>
      </w:r>
      <w:r>
        <w:rPr>
          <w:rFonts w:hint="eastAsia" w:ascii="宋体" w:hAnsi="宋体" w:cs="宋体"/>
          <w:sz w:val="24"/>
        </w:rPr>
        <w:t>，属于</w:t>
      </w:r>
      <w:r>
        <w:rPr>
          <w:rFonts w:hint="eastAsia" w:ascii="宋体" w:hAnsi="宋体" w:cs="宋体"/>
          <w:sz w:val="24"/>
          <w:u w:val="single"/>
        </w:rPr>
        <w:t>（中型企业、小型企业、微型企业）</w:t>
      </w:r>
      <w:r>
        <w:rPr>
          <w:rFonts w:hint="eastAsia" w:ascii="宋体" w:hAnsi="宋体" w:cs="宋体"/>
          <w:sz w:val="24"/>
        </w:rPr>
        <w:t>；</w:t>
      </w:r>
    </w:p>
    <w:p>
      <w:pPr>
        <w:snapToGrid w:val="0"/>
        <w:spacing w:line="600" w:lineRule="auto"/>
        <w:ind w:firstLine="486"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napToGrid w:val="0"/>
        <w:spacing w:line="600" w:lineRule="auto"/>
        <w:ind w:firstLine="486"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pPr>
        <w:snapToGrid w:val="0"/>
        <w:spacing w:line="600" w:lineRule="auto"/>
        <w:ind w:firstLine="486" w:firstLineChars="200"/>
        <w:jc w:val="right"/>
        <w:rPr>
          <w:rFonts w:ascii="宋体" w:hAnsi="宋体" w:cs="宋体"/>
          <w:sz w:val="24"/>
        </w:rPr>
      </w:pPr>
      <w:r>
        <w:rPr>
          <w:rFonts w:hint="eastAsia" w:ascii="宋体" w:hAnsi="宋体" w:cs="宋体"/>
          <w:sz w:val="24"/>
        </w:rPr>
        <w:t xml:space="preserve">                      企业名称（盖章）：</w:t>
      </w:r>
    </w:p>
    <w:p>
      <w:pPr>
        <w:snapToGrid w:val="0"/>
        <w:spacing w:line="600" w:lineRule="auto"/>
        <w:ind w:firstLine="486" w:firstLineChars="200"/>
        <w:jc w:val="right"/>
        <w:rPr>
          <w:rFonts w:ascii="宋体" w:hAnsi="宋体" w:cs="宋体"/>
          <w:sz w:val="24"/>
        </w:rPr>
      </w:pPr>
      <w:r>
        <w:rPr>
          <w:rFonts w:hint="eastAsia" w:ascii="宋体" w:hAnsi="宋体" w:cs="宋体"/>
          <w:sz w:val="24"/>
        </w:rPr>
        <w:t xml:space="preserve">                      日期： 年  月  日</w:t>
      </w:r>
    </w:p>
    <w:p>
      <w:pPr>
        <w:spacing w:line="600" w:lineRule="auto"/>
        <w:rPr>
          <w:rFonts w:ascii="仿宋_GB2312" w:hAnsi="仿宋_GB2312" w:eastAsia="仿宋_GB2312" w:cs="仿宋_GB2312"/>
          <w:kern w:val="0"/>
          <w:sz w:val="24"/>
        </w:rPr>
      </w:pPr>
      <w:r>
        <w:rPr>
          <w:rFonts w:hint="eastAsia" w:ascii="宋体" w:hAnsi="宋体" w:cs="宋体"/>
          <w:b/>
          <w:bCs/>
          <w:sz w:val="24"/>
        </w:rPr>
        <w:t>说明:</w:t>
      </w:r>
      <w:r>
        <w:rPr>
          <w:rFonts w:hint="eastAsia" w:ascii="宋体" w:hAnsi="宋体" w:cs="宋体"/>
          <w:spacing w:val="5"/>
          <w:kern w:val="0"/>
          <w:sz w:val="24"/>
        </w:rPr>
        <w:t>1、《政府采购促进中小企业发展管理办法》（财库[2020]46号）</w:t>
      </w:r>
      <w:r>
        <w:rPr>
          <w:rFonts w:hint="eastAsia" w:ascii="宋体" w:hAnsi="宋体" w:cs="宋体"/>
          <w:kern w:val="0"/>
          <w:sz w:val="24"/>
        </w:rPr>
        <w:t>。</w:t>
      </w:r>
    </w:p>
    <w:p>
      <w:pPr>
        <w:pStyle w:val="24"/>
        <w:ind w:left="0" w:firstLine="0" w:firstLineChars="0"/>
      </w:pPr>
    </w:p>
    <w:p>
      <w:pPr>
        <w:pStyle w:val="24"/>
        <w:ind w:left="0" w:firstLine="0" w:firstLineChars="0"/>
      </w:pPr>
    </w:p>
    <w:p>
      <w:pPr>
        <w:pStyle w:val="24"/>
        <w:ind w:left="0" w:firstLine="0" w:firstLineChars="0"/>
      </w:pPr>
    </w:p>
    <w:p>
      <w:pPr>
        <w:widowControl/>
        <w:spacing w:line="720" w:lineRule="auto"/>
        <w:jc w:val="left"/>
        <w:rPr>
          <w:rFonts w:ascii="宋体" w:hAnsi="宋体" w:cs="宋体"/>
          <w:sz w:val="28"/>
          <w:szCs w:val="28"/>
        </w:rPr>
      </w:pPr>
      <w:r>
        <w:rPr>
          <w:rFonts w:hint="eastAsia"/>
          <w:b/>
          <w:bCs/>
          <w:sz w:val="28"/>
          <w:szCs w:val="36"/>
        </w:rPr>
        <w:t xml:space="preserve">附件 10-1               </w:t>
      </w:r>
      <w:r>
        <w:rPr>
          <w:rFonts w:hint="eastAsia" w:ascii="宋体" w:hAnsi="宋体" w:cs="宋体"/>
          <w:b/>
          <w:bCs/>
          <w:color w:val="000000"/>
          <w:kern w:val="0"/>
          <w:sz w:val="28"/>
          <w:szCs w:val="28"/>
        </w:rPr>
        <w:t>监狱企业相关证明材料（如有）</w:t>
      </w:r>
    </w:p>
    <w:p>
      <w:pPr>
        <w:widowControl/>
        <w:spacing w:line="720" w:lineRule="auto"/>
        <w:jc w:val="left"/>
        <w:rPr>
          <w:rFonts w:ascii="宋体" w:hAnsi="宋体" w:cs="宋体"/>
          <w:sz w:val="24"/>
        </w:rPr>
      </w:pPr>
      <w:r>
        <w:rPr>
          <w:rFonts w:hint="eastAsia" w:ascii="宋体" w:hAnsi="宋体" w:cs="宋体"/>
          <w:color w:val="000000"/>
          <w:kern w:val="0"/>
          <w:sz w:val="24"/>
        </w:rPr>
        <w:t xml:space="preserve">1、监狱企业参加政府采购活动时，应当提供由省级以上监狱管理局、戒毒管理局（含新疆生产建设兵团）出具的属于监狱企业的证明文件。 </w:t>
      </w:r>
    </w:p>
    <w:p>
      <w:pPr>
        <w:widowControl/>
        <w:spacing w:line="720" w:lineRule="auto"/>
        <w:jc w:val="left"/>
        <w:rPr>
          <w:rFonts w:ascii="宋体" w:hAnsi="宋体" w:cs="宋体"/>
          <w:color w:val="000000"/>
          <w:kern w:val="0"/>
          <w:sz w:val="24"/>
        </w:rPr>
      </w:pPr>
      <w:r>
        <w:rPr>
          <w:rFonts w:hint="eastAsia" w:ascii="宋体" w:hAnsi="宋体" w:cs="宋体"/>
          <w:color w:val="000000"/>
          <w:kern w:val="0"/>
          <w:sz w:val="24"/>
        </w:rPr>
        <w:t xml:space="preserve">2、非监狱企业无需提供证明材料。 </w:t>
      </w:r>
    </w:p>
    <w:p>
      <w:pPr>
        <w:widowControl/>
        <w:spacing w:line="360" w:lineRule="auto"/>
        <w:jc w:val="left"/>
        <w:rPr>
          <w:rFonts w:ascii="宋体" w:hAnsi="宋体" w:cs="宋体"/>
          <w:sz w:val="28"/>
          <w:szCs w:val="28"/>
        </w:rPr>
      </w:pPr>
      <w:r>
        <w:rPr>
          <w:rFonts w:hint="eastAsia"/>
          <w:b/>
          <w:bCs/>
          <w:sz w:val="28"/>
          <w:szCs w:val="36"/>
        </w:rPr>
        <w:t xml:space="preserve">附件 10-2               </w:t>
      </w:r>
      <w:r>
        <w:rPr>
          <w:rFonts w:hint="eastAsia" w:ascii="宋体" w:hAnsi="宋体" w:cs="宋体"/>
          <w:b/>
          <w:bCs/>
          <w:color w:val="000000"/>
          <w:kern w:val="0"/>
          <w:sz w:val="28"/>
          <w:szCs w:val="28"/>
        </w:rPr>
        <w:t>残疾人福利性单位声明函（如有）</w:t>
      </w:r>
    </w:p>
    <w:p>
      <w:pPr>
        <w:widowControl/>
        <w:spacing w:line="600" w:lineRule="auto"/>
        <w:ind w:firstLine="486" w:firstLineChars="200"/>
        <w:jc w:val="left"/>
        <w:rPr>
          <w:rFonts w:ascii="宋体" w:hAnsi="宋体" w:cs="宋体"/>
          <w:sz w:val="24"/>
        </w:rPr>
      </w:pPr>
      <w:r>
        <w:rPr>
          <w:rFonts w:hint="eastAsia" w:ascii="宋体" w:hAnsi="宋体" w:cs="宋体"/>
          <w:color w:val="000000"/>
          <w:kern w:val="0"/>
          <w:sz w:val="24"/>
        </w:rPr>
        <w:t xml:space="preserve">本单位郑重声明，根据《财政部 民政部 中国残疾人联合会关于促进残疾人就业政府采购政策的通知》（财库〔2017〕 141 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 本单位对上述声明的真实性负责。如有虚假，将依法承担相应责任。 </w:t>
      </w:r>
    </w:p>
    <w:p>
      <w:pPr>
        <w:widowControl/>
        <w:spacing w:line="600" w:lineRule="auto"/>
        <w:jc w:val="left"/>
        <w:rPr>
          <w:rFonts w:ascii="宋体" w:hAnsi="宋体" w:cs="宋体"/>
          <w:sz w:val="24"/>
        </w:rPr>
      </w:pPr>
      <w:r>
        <w:rPr>
          <w:rFonts w:hint="eastAsia" w:ascii="宋体" w:hAnsi="宋体" w:cs="宋体"/>
          <w:color w:val="000000"/>
          <w:kern w:val="0"/>
          <w:sz w:val="24"/>
        </w:rPr>
        <w:t xml:space="preserve">单位名称（盖章）： </w:t>
      </w:r>
    </w:p>
    <w:p>
      <w:pPr>
        <w:widowControl/>
        <w:spacing w:line="600" w:lineRule="auto"/>
        <w:jc w:val="left"/>
        <w:rPr>
          <w:rFonts w:ascii="宋体" w:hAnsi="宋体" w:cs="宋体"/>
          <w:sz w:val="24"/>
        </w:rPr>
      </w:pPr>
      <w:r>
        <w:rPr>
          <w:rFonts w:hint="eastAsia" w:ascii="宋体" w:hAnsi="宋体" w:cs="宋体"/>
          <w:color w:val="000000"/>
          <w:kern w:val="0"/>
          <w:sz w:val="24"/>
        </w:rPr>
        <w:t xml:space="preserve">日 期： </w:t>
      </w:r>
    </w:p>
    <w:p>
      <w:pPr>
        <w:widowControl/>
        <w:spacing w:line="600" w:lineRule="auto"/>
        <w:jc w:val="left"/>
        <w:rPr>
          <w:rFonts w:ascii="宋体" w:hAnsi="宋体" w:cs="宋体"/>
          <w:sz w:val="24"/>
        </w:rPr>
      </w:pPr>
      <w:r>
        <w:rPr>
          <w:rFonts w:hint="eastAsia" w:ascii="宋体" w:hAnsi="宋体" w:cs="宋体"/>
          <w:color w:val="000000"/>
          <w:kern w:val="0"/>
          <w:sz w:val="24"/>
        </w:rPr>
        <w:t xml:space="preserve">年 月 日 </w:t>
      </w:r>
    </w:p>
    <w:p>
      <w:pPr>
        <w:widowControl/>
        <w:spacing w:line="600" w:lineRule="auto"/>
        <w:jc w:val="left"/>
        <w:rPr>
          <w:rFonts w:ascii="宋体" w:hAnsi="宋体" w:cs="宋体"/>
          <w:sz w:val="24"/>
        </w:rPr>
      </w:pPr>
      <w:r>
        <w:rPr>
          <w:rFonts w:hint="eastAsia" w:ascii="宋体" w:hAnsi="宋体" w:cs="宋体"/>
          <w:color w:val="000000"/>
          <w:kern w:val="0"/>
          <w:sz w:val="24"/>
        </w:rPr>
        <w:t>注：</w:t>
      </w:r>
    </w:p>
    <w:p>
      <w:pPr>
        <w:widowControl/>
        <w:spacing w:line="600" w:lineRule="auto"/>
        <w:jc w:val="left"/>
        <w:rPr>
          <w:rFonts w:ascii="宋体" w:hAnsi="宋体" w:cs="宋体"/>
          <w:sz w:val="24"/>
        </w:rPr>
      </w:pPr>
      <w:r>
        <w:rPr>
          <w:rFonts w:hint="eastAsia" w:ascii="宋体" w:hAnsi="宋体" w:cs="宋体"/>
          <w:color w:val="000000"/>
          <w:kern w:val="0"/>
          <w:sz w:val="24"/>
        </w:rPr>
        <w:t xml:space="preserve">1、残疾人福利性单位视同小型、微型企业，享受预留份额、评审中价格扣除等促进中小企业发展的政府采购政策。残疾人福利性单位属于小型、微型企业的，不重复享受政策。 </w:t>
      </w:r>
    </w:p>
    <w:p>
      <w:pPr>
        <w:widowControl/>
        <w:spacing w:line="600" w:lineRule="auto"/>
        <w:jc w:val="left"/>
        <w:rPr>
          <w:rFonts w:ascii="宋体" w:hAnsi="宋体" w:cs="宋体"/>
          <w:sz w:val="24"/>
        </w:rPr>
      </w:pPr>
      <w:r>
        <w:rPr>
          <w:rFonts w:hint="eastAsia" w:ascii="宋体" w:hAnsi="宋体" w:cs="宋体"/>
          <w:color w:val="000000"/>
          <w:kern w:val="0"/>
          <w:sz w:val="24"/>
        </w:rPr>
        <w:t>2、供应商为非残疾人福利性单位的，可不提供此声明</w:t>
      </w:r>
    </w:p>
    <w:p>
      <w:pPr>
        <w:spacing w:line="600" w:lineRule="auto"/>
        <w:rPr>
          <w:b/>
          <w:bCs/>
          <w:sz w:val="28"/>
          <w:szCs w:val="36"/>
        </w:rPr>
      </w:pPr>
      <w:r>
        <w:rPr>
          <w:rFonts w:hint="eastAsia"/>
          <w:b/>
          <w:bCs/>
          <w:sz w:val="28"/>
          <w:szCs w:val="36"/>
        </w:rPr>
        <w:t>附件11                        反商业贿赂承诺书</w:t>
      </w:r>
    </w:p>
    <w:p>
      <w:pPr>
        <w:spacing w:line="360" w:lineRule="auto"/>
        <w:rPr>
          <w:sz w:val="24"/>
        </w:rPr>
      </w:pPr>
      <w:r>
        <w:rPr>
          <w:rFonts w:hint="eastAsia"/>
          <w:sz w:val="24"/>
        </w:rPr>
        <w:t xml:space="preserve">致：（采购人） </w:t>
      </w:r>
    </w:p>
    <w:p>
      <w:pPr>
        <w:spacing w:line="360" w:lineRule="auto"/>
        <w:rPr>
          <w:sz w:val="24"/>
        </w:rPr>
      </w:pPr>
      <w:r>
        <w:rPr>
          <w:rFonts w:hint="eastAsia"/>
          <w:sz w:val="24"/>
        </w:rPr>
        <w:t xml:space="preserve">为了进一步营造公平竞争的市场环境，维保市场秩序，我方在政府采购活动 </w:t>
      </w:r>
    </w:p>
    <w:p>
      <w:pPr>
        <w:spacing w:line="360" w:lineRule="auto"/>
        <w:rPr>
          <w:sz w:val="24"/>
        </w:rPr>
      </w:pPr>
      <w:r>
        <w:rPr>
          <w:rFonts w:hint="eastAsia"/>
          <w:sz w:val="24"/>
        </w:rPr>
        <w:t xml:space="preserve">中郑重承诺： </w:t>
      </w:r>
    </w:p>
    <w:p>
      <w:pPr>
        <w:spacing w:line="360" w:lineRule="auto"/>
        <w:rPr>
          <w:sz w:val="24"/>
        </w:rPr>
      </w:pPr>
      <w:r>
        <w:rPr>
          <w:rFonts w:hint="eastAsia"/>
          <w:sz w:val="24"/>
        </w:rPr>
        <w:t xml:space="preserve">一、依法参与政府采购活动，遵纪守法，诚信经营，公平竞争。 </w:t>
      </w:r>
    </w:p>
    <w:p>
      <w:pPr>
        <w:spacing w:line="360" w:lineRule="auto"/>
        <w:rPr>
          <w:sz w:val="24"/>
        </w:rPr>
      </w:pPr>
      <w:r>
        <w:rPr>
          <w:rFonts w:hint="eastAsia"/>
          <w:sz w:val="24"/>
        </w:rPr>
        <w:t xml:space="preserve">二、不向采购单位、集中采购机构和政府采购评审专家提供任何形式的商业贿赂；对索取或接受商业贿赂的单位和个人，及时向财政部门或纪检监察机关举 </w:t>
      </w:r>
    </w:p>
    <w:p>
      <w:pPr>
        <w:spacing w:line="360" w:lineRule="auto"/>
        <w:rPr>
          <w:sz w:val="24"/>
        </w:rPr>
      </w:pPr>
      <w:r>
        <w:rPr>
          <w:rFonts w:hint="eastAsia"/>
          <w:sz w:val="24"/>
        </w:rPr>
        <w:t xml:space="preserve">报。 </w:t>
      </w:r>
    </w:p>
    <w:p>
      <w:pPr>
        <w:spacing w:line="360" w:lineRule="auto"/>
        <w:rPr>
          <w:sz w:val="24"/>
        </w:rPr>
      </w:pPr>
      <w:r>
        <w:rPr>
          <w:rFonts w:hint="eastAsia"/>
          <w:sz w:val="24"/>
        </w:rPr>
        <w:t xml:space="preserve">三、坚决做到不提供虚假资质文件和虚假材料谋取中标。 </w:t>
      </w:r>
    </w:p>
    <w:p>
      <w:pPr>
        <w:spacing w:line="360" w:lineRule="auto"/>
        <w:rPr>
          <w:sz w:val="24"/>
        </w:rPr>
      </w:pPr>
      <w:r>
        <w:rPr>
          <w:rFonts w:hint="eastAsia"/>
          <w:sz w:val="24"/>
        </w:rPr>
        <w:t xml:space="preserve">四、不采取不正当手段诋毁、排挤其他供应商，与其他供应商保持公平的竞 </w:t>
      </w:r>
    </w:p>
    <w:p>
      <w:pPr>
        <w:spacing w:line="360" w:lineRule="auto"/>
        <w:rPr>
          <w:sz w:val="24"/>
        </w:rPr>
      </w:pPr>
      <w:r>
        <w:rPr>
          <w:rFonts w:hint="eastAsia"/>
          <w:sz w:val="24"/>
        </w:rPr>
        <w:t xml:space="preserve">争关系。 </w:t>
      </w:r>
    </w:p>
    <w:p>
      <w:pPr>
        <w:spacing w:line="360" w:lineRule="auto"/>
        <w:rPr>
          <w:sz w:val="24"/>
        </w:rPr>
      </w:pPr>
      <w:r>
        <w:rPr>
          <w:rFonts w:hint="eastAsia"/>
          <w:sz w:val="24"/>
        </w:rPr>
        <w:t xml:space="preserve">五、不与采购单位、集中采购机构和政府采购评审专家串通，自觉维保政府 </w:t>
      </w:r>
    </w:p>
    <w:p>
      <w:pPr>
        <w:spacing w:line="360" w:lineRule="auto"/>
        <w:rPr>
          <w:sz w:val="24"/>
        </w:rPr>
      </w:pPr>
      <w:r>
        <w:rPr>
          <w:rFonts w:hint="eastAsia"/>
          <w:sz w:val="24"/>
        </w:rPr>
        <w:t xml:space="preserve">采购公平竞争的市场秩序。 </w:t>
      </w:r>
    </w:p>
    <w:p>
      <w:pPr>
        <w:spacing w:line="360" w:lineRule="auto"/>
        <w:rPr>
          <w:sz w:val="24"/>
        </w:rPr>
      </w:pPr>
      <w:r>
        <w:rPr>
          <w:rFonts w:hint="eastAsia"/>
          <w:sz w:val="24"/>
        </w:rPr>
        <w:t xml:space="preserve">六、不与其他供应商串通采取围标、陪标等商业欺诈手段谋取中标，积极维 </w:t>
      </w:r>
    </w:p>
    <w:p>
      <w:pPr>
        <w:spacing w:line="360" w:lineRule="auto"/>
        <w:rPr>
          <w:sz w:val="24"/>
        </w:rPr>
      </w:pPr>
      <w:r>
        <w:rPr>
          <w:rFonts w:hint="eastAsia"/>
          <w:sz w:val="24"/>
        </w:rPr>
        <w:t xml:space="preserve">保国家利益、社会公共利益和采购单位的合法权益。 </w:t>
      </w:r>
    </w:p>
    <w:p>
      <w:pPr>
        <w:spacing w:line="360" w:lineRule="auto"/>
        <w:rPr>
          <w:sz w:val="24"/>
        </w:rPr>
      </w:pPr>
      <w:r>
        <w:rPr>
          <w:rFonts w:hint="eastAsia"/>
          <w:sz w:val="24"/>
        </w:rPr>
        <w:t xml:space="preserve">七、严格履行政府采购合同约定的责任和义务，保质保量地完成采购合同规 </w:t>
      </w:r>
    </w:p>
    <w:p>
      <w:pPr>
        <w:spacing w:line="360" w:lineRule="auto"/>
        <w:rPr>
          <w:sz w:val="24"/>
        </w:rPr>
      </w:pPr>
      <w:r>
        <w:rPr>
          <w:rFonts w:hint="eastAsia"/>
          <w:sz w:val="24"/>
        </w:rPr>
        <w:t xml:space="preserve">定的任务，准确兑现售后服务承诺。 </w:t>
      </w:r>
    </w:p>
    <w:p>
      <w:pPr>
        <w:spacing w:line="360" w:lineRule="auto"/>
        <w:rPr>
          <w:sz w:val="24"/>
        </w:rPr>
      </w:pPr>
      <w:r>
        <w:rPr>
          <w:rFonts w:hint="eastAsia"/>
          <w:sz w:val="24"/>
        </w:rPr>
        <w:t xml:space="preserve">八、自觉接受并积极配合财政部门和纪检监察机关依法实施的监督检查，如 </w:t>
      </w:r>
    </w:p>
    <w:p>
      <w:pPr>
        <w:spacing w:line="360" w:lineRule="auto"/>
        <w:rPr>
          <w:sz w:val="24"/>
        </w:rPr>
      </w:pPr>
      <w:r>
        <w:rPr>
          <w:rFonts w:hint="eastAsia"/>
          <w:sz w:val="24"/>
        </w:rPr>
        <w:t xml:space="preserve">实反映情况，及时提供有关证明材料。 </w:t>
      </w:r>
    </w:p>
    <w:p>
      <w:pPr>
        <w:spacing w:line="600" w:lineRule="auto"/>
        <w:jc w:val="right"/>
        <w:rPr>
          <w:sz w:val="24"/>
        </w:rPr>
      </w:pPr>
      <w:r>
        <w:rPr>
          <w:rFonts w:hint="eastAsia"/>
          <w:sz w:val="24"/>
        </w:rPr>
        <w:t xml:space="preserve">投标单位全称： </w:t>
      </w:r>
    </w:p>
    <w:p>
      <w:pPr>
        <w:spacing w:line="600" w:lineRule="auto"/>
        <w:jc w:val="right"/>
        <w:rPr>
          <w:sz w:val="24"/>
        </w:rPr>
      </w:pPr>
      <w:r>
        <w:rPr>
          <w:rFonts w:hint="eastAsia"/>
          <w:sz w:val="24"/>
        </w:rPr>
        <w:t xml:space="preserve">（加盖单位公章） </w:t>
      </w:r>
    </w:p>
    <w:p>
      <w:pPr>
        <w:spacing w:line="600" w:lineRule="auto"/>
        <w:jc w:val="right"/>
        <w:rPr>
          <w:sz w:val="24"/>
        </w:rPr>
      </w:pPr>
      <w:r>
        <w:rPr>
          <w:rFonts w:hint="eastAsia"/>
          <w:sz w:val="24"/>
        </w:rPr>
        <w:t>签署日期： 年 月 日</w:t>
      </w:r>
    </w:p>
    <w:p>
      <w:pPr>
        <w:pStyle w:val="24"/>
        <w:ind w:left="0" w:firstLine="0" w:firstLineChars="0"/>
      </w:pPr>
    </w:p>
    <w:p>
      <w:pPr>
        <w:adjustRightInd w:val="0"/>
        <w:snapToGrid w:val="0"/>
        <w:spacing w:line="360" w:lineRule="auto"/>
        <w:rPr>
          <w:rFonts w:ascii="宋体" w:hAnsi="宋体" w:cs="宋体"/>
          <w:b/>
          <w:bCs/>
          <w:color w:val="000000"/>
          <w:sz w:val="28"/>
          <w:szCs w:val="28"/>
        </w:rPr>
      </w:pPr>
      <w:bookmarkStart w:id="177" w:name="_Toc19938_WPSOffice_Level1"/>
    </w:p>
    <w:p>
      <w:pPr>
        <w:adjustRightInd w:val="0"/>
        <w:snapToGrid w:val="0"/>
        <w:spacing w:line="360" w:lineRule="auto"/>
        <w:rPr>
          <w:rFonts w:ascii="宋体" w:hAnsi="宋体" w:cs="宋体"/>
          <w:b/>
          <w:bCs/>
          <w:color w:val="000000"/>
          <w:sz w:val="28"/>
          <w:szCs w:val="28"/>
        </w:rPr>
      </w:pPr>
    </w:p>
    <w:p>
      <w:pPr>
        <w:adjustRightInd w:val="0"/>
        <w:snapToGrid w:val="0"/>
        <w:spacing w:line="360" w:lineRule="auto"/>
        <w:rPr>
          <w:rFonts w:ascii="宋体" w:hAnsi="宋体" w:cs="宋体"/>
          <w:b/>
          <w:bCs/>
          <w:color w:val="000000"/>
          <w:sz w:val="28"/>
          <w:szCs w:val="28"/>
        </w:rPr>
      </w:pPr>
    </w:p>
    <w:p>
      <w:pPr>
        <w:adjustRightInd w:val="0"/>
        <w:snapToGrid w:val="0"/>
        <w:spacing w:line="360" w:lineRule="auto"/>
        <w:rPr>
          <w:rFonts w:ascii="宋体" w:hAnsi="宋体" w:cs="宋体"/>
          <w:b/>
          <w:bCs/>
          <w:color w:val="000000"/>
          <w:sz w:val="28"/>
          <w:szCs w:val="28"/>
        </w:rPr>
      </w:pPr>
    </w:p>
    <w:p>
      <w:pPr>
        <w:adjustRightInd w:val="0"/>
        <w:snapToGrid w:val="0"/>
        <w:spacing w:line="360" w:lineRule="auto"/>
        <w:rPr>
          <w:rFonts w:ascii="宋体" w:hAnsi="宋体" w:cs="宋体"/>
          <w:b/>
          <w:bCs/>
          <w:kern w:val="1"/>
          <w:sz w:val="28"/>
          <w:szCs w:val="28"/>
        </w:rPr>
      </w:pPr>
      <w:r>
        <w:rPr>
          <w:rFonts w:hint="eastAsia" w:ascii="宋体" w:hAnsi="宋体" w:cs="宋体"/>
          <w:b/>
          <w:bCs/>
          <w:color w:val="000000"/>
          <w:sz w:val="28"/>
          <w:szCs w:val="28"/>
        </w:rPr>
        <w:t xml:space="preserve">附件12  </w:t>
      </w:r>
      <w:r>
        <w:rPr>
          <w:rFonts w:hint="eastAsia" w:ascii="宋体" w:hAnsi="宋体" w:cs="宋体"/>
          <w:b/>
          <w:bCs/>
          <w:kern w:val="1"/>
          <w:sz w:val="28"/>
          <w:szCs w:val="28"/>
        </w:rPr>
        <w:t>其他相关证明材料</w:t>
      </w:r>
      <w:bookmarkEnd w:id="177"/>
    </w:p>
    <w:p>
      <w:pPr>
        <w:spacing w:line="320" w:lineRule="exact"/>
        <w:jc w:val="center"/>
        <w:rPr>
          <w:rFonts w:ascii="宋体" w:hAnsi="宋体"/>
          <w:b/>
          <w:sz w:val="30"/>
          <w:szCs w:val="30"/>
        </w:rPr>
      </w:pPr>
    </w:p>
    <w:p>
      <w:pPr>
        <w:pStyle w:val="24"/>
        <w:ind w:left="610" w:hanging="610"/>
        <w:rPr>
          <w:rFonts w:ascii="宋体" w:hAnsi="宋体"/>
          <w:b/>
          <w:sz w:val="30"/>
          <w:szCs w:val="30"/>
        </w:rPr>
      </w:pPr>
    </w:p>
    <w:p>
      <w:pPr>
        <w:pStyle w:val="24"/>
        <w:ind w:left="610" w:hanging="610"/>
        <w:rPr>
          <w:rFonts w:ascii="宋体" w:hAnsi="宋体"/>
          <w:b/>
          <w:sz w:val="30"/>
          <w:szCs w:val="30"/>
        </w:rPr>
      </w:pPr>
    </w:p>
    <w:p/>
    <w:p>
      <w:pPr>
        <w:spacing w:line="360" w:lineRule="auto"/>
        <w:rPr>
          <w:rFonts w:ascii="宋体" w:hAnsi="宋体"/>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60" w:lineRule="auto"/>
        <w:ind w:firstLine="486" w:firstLineChars="200"/>
        <w:rPr>
          <w:rFonts w:ascii="宋体" w:hAnsi="宋体" w:cs="宋体"/>
          <w:b/>
          <w:sz w:val="24"/>
        </w:rPr>
      </w:pPr>
    </w:p>
    <w:p>
      <w:pPr>
        <w:spacing w:line="320" w:lineRule="exact"/>
        <w:rPr>
          <w:rFonts w:ascii="宋体" w:hAnsi="宋体"/>
          <w:b/>
          <w:sz w:val="30"/>
          <w:szCs w:val="30"/>
        </w:rPr>
      </w:pPr>
    </w:p>
    <w:sectPr>
      <w:footerReference r:id="rId11" w:type="default"/>
      <w:pgSz w:w="11906" w:h="16838"/>
      <w:pgMar w:top="1440" w:right="1080" w:bottom="1440" w:left="1080" w:header="851" w:footer="992" w:gutter="0"/>
      <w:cols w:space="720" w:num="1"/>
      <w:docGrid w:type="linesAndChars" w:linePitch="312"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thinThickSmallGap" w:color="auto" w:sz="24" w:space="1"/>
      </w:pBdr>
      <w:rPr>
        <w:sz w:val="20"/>
      </w:rPr>
    </w:pPr>
    <w:r>
      <w:rPr>
        <w:rFonts w:hint="eastAsia"/>
        <w:sz w:val="20"/>
      </w:rPr>
      <w:t xml:space="preserve">  </w:t>
    </w:r>
  </w:p>
  <w:p>
    <w:pPr>
      <w:pStyle w:val="21"/>
      <w:pBdr>
        <w:top w:val="thinThickSmallGap" w:color="auto" w:sz="24" w:space="1"/>
      </w:pBdr>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7"/>
      </w:rPr>
    </w:pPr>
    <w:r>
      <w:fldChar w:fldCharType="begin"/>
    </w:r>
    <w:r>
      <w:rPr>
        <w:rStyle w:val="37"/>
      </w:rPr>
      <w:instrText xml:space="preserve">PAGE  </w:instrText>
    </w:r>
    <w:r>
      <w:fldChar w:fldCharType="end"/>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none" w:color="auto" w:sz="0" w:space="1"/>
      </w:pBdr>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21"/>
                    </w:pPr>
                  </w:p>
                </w:txbxContent>
              </v:textbox>
            </v:shape>
          </w:pict>
        </mc:Fallback>
      </mc:AlternateContent>
    </w:r>
    <w:r>
      <w:rPr>
        <w:rFonts w:hint="eastAsia"/>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40</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cqo7S0QEAAKUDAAAOAAAAAAAAAAEAIAAAACIB&#10;AABkcnMvZTJvRG9jLnhtbFBLBQYAAAAABgAGAFkBAABlBQ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40</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none" w:color="auto" w:sz="0" w:space="1"/>
      </w:pBd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1"/>
                          </w:pPr>
                          <w:r>
                            <w:fldChar w:fldCharType="begin"/>
                          </w:r>
                          <w:r>
                            <w:instrText xml:space="preserve"> PAGE  \* MERGEFORMAT </w:instrText>
                          </w:r>
                          <w:r>
                            <w:fldChar w:fldCharType="separate"/>
                          </w:r>
                          <w:r>
                            <w:t>43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5"/>
      </w:pPr>
      <w:r>
        <w:rPr>
          <w:rStyle w:val="39"/>
        </w:rPr>
        <w:footnoteRef/>
      </w:r>
      <w:r>
        <w:t xml:space="preserve"> </w:t>
      </w:r>
      <w:r>
        <w:rPr>
          <w:rFonts w:hint="eastAsia"/>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24" w:space="1"/>
      </w:pBdr>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thinThickSmallGap" w:color="auto" w:sz="24" w:space="1"/>
      </w:pBdr>
      <w:jc w:val="left"/>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r>
      <w:rPr>
        <w:rFonts w:hint="eastAsia"/>
      </w:rPr>
      <w:t xml:space="preserve"> </w:t>
    </w:r>
  </w:p>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38BDE8"/>
    <w:multiLevelType w:val="singleLevel"/>
    <w:tmpl w:val="C238BDE8"/>
    <w:lvl w:ilvl="0" w:tentative="0">
      <w:start w:val="5"/>
      <w:numFmt w:val="chineseCounting"/>
      <w:suff w:val="space"/>
      <w:lvlText w:val="第%1部分"/>
      <w:lvlJc w:val="left"/>
      <w:rPr>
        <w:rFonts w:hint="eastAsia"/>
        <w:sz w:val="36"/>
        <w:szCs w:val="36"/>
      </w:rPr>
    </w:lvl>
  </w:abstractNum>
  <w:abstractNum w:abstractNumId="1">
    <w:nsid w:val="CDF672B5"/>
    <w:multiLevelType w:val="singleLevel"/>
    <w:tmpl w:val="CDF672B5"/>
    <w:lvl w:ilvl="0" w:tentative="0">
      <w:start w:val="3"/>
      <w:numFmt w:val="chineseCounting"/>
      <w:suff w:val="nothing"/>
      <w:lvlText w:val="第%1条、"/>
      <w:lvlJc w:val="left"/>
      <w:rPr>
        <w:rFonts w:hint="eastAsia"/>
      </w:rPr>
    </w:lvl>
  </w:abstractNum>
  <w:abstractNum w:abstractNumId="2">
    <w:nsid w:val="FFFFFF80"/>
    <w:multiLevelType w:val="singleLevel"/>
    <w:tmpl w:val="FFFFFF80"/>
    <w:lvl w:ilvl="0" w:tentative="0">
      <w:start w:val="1"/>
      <w:numFmt w:val="bullet"/>
      <w:pStyle w:val="17"/>
      <w:lvlText w:val=""/>
      <w:lvlJc w:val="left"/>
      <w:pPr>
        <w:tabs>
          <w:tab w:val="left" w:pos="2040"/>
        </w:tabs>
        <w:ind w:left="2040" w:hanging="360"/>
      </w:pPr>
      <w:rPr>
        <w:rFonts w:hint="default" w:ascii="Wingdings" w:hAnsi="Wingdings"/>
      </w:rPr>
    </w:lvl>
  </w:abstractNum>
  <w:abstractNum w:abstractNumId="3">
    <w:nsid w:val="FFFFFF83"/>
    <w:multiLevelType w:val="singleLevel"/>
    <w:tmpl w:val="FFFFFF83"/>
    <w:lvl w:ilvl="0" w:tentative="0">
      <w:start w:val="1"/>
      <w:numFmt w:val="bullet"/>
      <w:pStyle w:val="14"/>
      <w:lvlText w:val=""/>
      <w:lvlJc w:val="left"/>
      <w:pPr>
        <w:tabs>
          <w:tab w:val="left" w:pos="780"/>
        </w:tabs>
        <w:ind w:left="780" w:hanging="360"/>
      </w:pPr>
      <w:rPr>
        <w:rFonts w:hint="default" w:ascii="Wingdings" w:hAnsi="Wingdings"/>
      </w:rPr>
    </w:lvl>
  </w:abstractNum>
  <w:abstractNum w:abstractNumId="4">
    <w:nsid w:val="00000007"/>
    <w:multiLevelType w:val="multilevel"/>
    <w:tmpl w:val="00000007"/>
    <w:lvl w:ilvl="0" w:tentative="0">
      <w:start w:val="1"/>
      <w:numFmt w:val="chineseCountingThousand"/>
      <w:suff w:val="nothing"/>
      <w:lvlText w:val="(%1)"/>
      <w:lvlJc w:val="left"/>
      <w:pPr>
        <w:ind w:left="420" w:hanging="420"/>
      </w:pPr>
      <w:rPr>
        <w:rFonts w:hint="eastAsia"/>
        <w:sz w:val="21"/>
        <w:szCs w:val="21"/>
      </w:rPr>
    </w:lvl>
    <w:lvl w:ilvl="1" w:tentative="0">
      <w:start w:val="2"/>
      <w:numFmt w:val="decimal"/>
      <w:lvlText w:val="%2、"/>
      <w:lvlJc w:val="left"/>
      <w:pPr>
        <w:tabs>
          <w:tab w:val="left" w:pos="780"/>
        </w:tabs>
        <w:ind w:left="780" w:hanging="360"/>
      </w:pPr>
      <w:rPr>
        <w:rFonts w:hint="default"/>
      </w:rPr>
    </w:lvl>
    <w:lvl w:ilvl="2" w:tentative="0">
      <w:start w:val="1"/>
      <w:numFmt w:val="japaneseCounting"/>
      <w:lvlText w:val="%3、"/>
      <w:lvlJc w:val="left"/>
      <w:pPr>
        <w:tabs>
          <w:tab w:val="left" w:pos="1560"/>
        </w:tabs>
        <w:ind w:left="1560" w:hanging="720"/>
      </w:pPr>
      <w:rPr>
        <w:rFonts w:hint="default"/>
      </w:rPr>
    </w:lvl>
    <w:lvl w:ilvl="3" w:tentative="0">
      <w:start w:val="1"/>
      <w:numFmt w:val="decimal"/>
      <w:lvlRestart w:val="0"/>
      <w:lvlText w:val="%4."/>
      <w:lvlJc w:val="left"/>
      <w:pPr>
        <w:ind w:left="1680" w:hanging="420"/>
      </w:pPr>
    </w:lvl>
    <w:lvl w:ilvl="4" w:tentative="0">
      <w:start w:val="1"/>
      <w:numFmt w:val="lowerLetter"/>
      <w:lvlRestart w:val="0"/>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abstractNum w:abstractNumId="5">
    <w:nsid w:val="1548A4B5"/>
    <w:multiLevelType w:val="singleLevel"/>
    <w:tmpl w:val="1548A4B5"/>
    <w:lvl w:ilvl="0" w:tentative="0">
      <w:start w:val="6"/>
      <w:numFmt w:val="chineseCounting"/>
      <w:suff w:val="nothing"/>
      <w:lvlText w:val="（%1）"/>
      <w:lvlJc w:val="left"/>
      <w:rPr>
        <w:rFonts w:hint="eastAsia"/>
      </w:rPr>
    </w:lvl>
  </w:abstractNum>
  <w:abstractNum w:abstractNumId="6">
    <w:nsid w:val="2339F79C"/>
    <w:multiLevelType w:val="singleLevel"/>
    <w:tmpl w:val="2339F79C"/>
    <w:lvl w:ilvl="0" w:tentative="0">
      <w:start w:val="1"/>
      <w:numFmt w:val="chineseCounting"/>
      <w:suff w:val="nothing"/>
      <w:lvlText w:val="%1、"/>
      <w:lvlJc w:val="left"/>
      <w:rPr>
        <w:rFonts w:hint="eastAsia"/>
      </w:rPr>
    </w:lvl>
  </w:abstractNum>
  <w:abstractNum w:abstractNumId="7">
    <w:nsid w:val="372B3324"/>
    <w:multiLevelType w:val="multilevel"/>
    <w:tmpl w:val="372B3324"/>
    <w:lvl w:ilvl="0" w:tentative="0">
      <w:start w:val="1"/>
      <w:numFmt w:val="decimalEnclosedCircle"/>
      <w:lvlText w:val="%1"/>
      <w:lvlJc w:val="left"/>
      <w:pPr>
        <w:ind w:left="360" w:hanging="360"/>
      </w:pPr>
      <w:rPr>
        <w:rFonts w:hint="default" w:ascii="Times New Roman" w:hAnsi="Times New Roman"/>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9">
    <w:nsid w:val="556D1A20"/>
    <w:multiLevelType w:val="singleLevel"/>
    <w:tmpl w:val="556D1A20"/>
    <w:lvl w:ilvl="0" w:tentative="0">
      <w:start w:val="2"/>
      <w:numFmt w:val="decimal"/>
      <w:suff w:val="nothing"/>
      <w:lvlText w:val="%1、"/>
      <w:lvlJc w:val="left"/>
    </w:lvl>
  </w:abstractNum>
  <w:abstractNum w:abstractNumId="10">
    <w:nsid w:val="63557B35"/>
    <w:multiLevelType w:val="singleLevel"/>
    <w:tmpl w:val="63557B35"/>
    <w:lvl w:ilvl="0" w:tentative="0">
      <w:start w:val="1"/>
      <w:numFmt w:val="upperLetter"/>
      <w:pStyle w:val="6"/>
      <w:lvlText w:val="%1、"/>
      <w:lvlJc w:val="left"/>
      <w:pPr>
        <w:tabs>
          <w:tab w:val="left" w:pos="1035"/>
        </w:tabs>
        <w:ind w:left="1035" w:hanging="420"/>
      </w:pPr>
      <w:rPr>
        <w:rFonts w:hint="eastAsia"/>
      </w:rPr>
    </w:lvl>
  </w:abstractNum>
  <w:num w:numId="1">
    <w:abstractNumId w:val="8"/>
  </w:num>
  <w:num w:numId="2">
    <w:abstractNumId w:val="10"/>
  </w:num>
  <w:num w:numId="3">
    <w:abstractNumId w:val="3"/>
  </w:num>
  <w:num w:numId="4">
    <w:abstractNumId w:val="2"/>
  </w:num>
  <w:num w:numId="5">
    <w:abstractNumId w:val="9"/>
  </w:num>
  <w:num w:numId="6">
    <w:abstractNumId w:val="7"/>
  </w:num>
  <w:num w:numId="7">
    <w:abstractNumId w:val="5"/>
  </w:num>
  <w:num w:numId="8">
    <w:abstractNumId w:val="1"/>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7"/>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1OWJkN2NkMWU3OTUwZjk4ZTExMDYzNDEyOThiNDIifQ=="/>
  </w:docVars>
  <w:rsids>
    <w:rsidRoot w:val="00CA3E05"/>
    <w:rsid w:val="00004475"/>
    <w:rsid w:val="00014871"/>
    <w:rsid w:val="000273D7"/>
    <w:rsid w:val="00032D4C"/>
    <w:rsid w:val="000455D7"/>
    <w:rsid w:val="0005086D"/>
    <w:rsid w:val="00053E8A"/>
    <w:rsid w:val="00054F0A"/>
    <w:rsid w:val="00067AC3"/>
    <w:rsid w:val="00070950"/>
    <w:rsid w:val="000824F3"/>
    <w:rsid w:val="000859E1"/>
    <w:rsid w:val="000862BE"/>
    <w:rsid w:val="000A1E79"/>
    <w:rsid w:val="000B3D95"/>
    <w:rsid w:val="000C4545"/>
    <w:rsid w:val="000E3154"/>
    <w:rsid w:val="00103A9E"/>
    <w:rsid w:val="0012378C"/>
    <w:rsid w:val="00125AE4"/>
    <w:rsid w:val="00133A5D"/>
    <w:rsid w:val="00155F83"/>
    <w:rsid w:val="00163A59"/>
    <w:rsid w:val="00167B97"/>
    <w:rsid w:val="0017204D"/>
    <w:rsid w:val="00190701"/>
    <w:rsid w:val="00193B93"/>
    <w:rsid w:val="00195CB2"/>
    <w:rsid w:val="00195E8C"/>
    <w:rsid w:val="001A6CEF"/>
    <w:rsid w:val="001B279A"/>
    <w:rsid w:val="001C54A3"/>
    <w:rsid w:val="001C5C00"/>
    <w:rsid w:val="001E1E8D"/>
    <w:rsid w:val="001E684A"/>
    <w:rsid w:val="001F1EB7"/>
    <w:rsid w:val="001F3048"/>
    <w:rsid w:val="0020785E"/>
    <w:rsid w:val="002103B3"/>
    <w:rsid w:val="00217413"/>
    <w:rsid w:val="002257AA"/>
    <w:rsid w:val="002301A9"/>
    <w:rsid w:val="00240D01"/>
    <w:rsid w:val="0024502A"/>
    <w:rsid w:val="00250545"/>
    <w:rsid w:val="00257268"/>
    <w:rsid w:val="00263D88"/>
    <w:rsid w:val="00275816"/>
    <w:rsid w:val="002761C8"/>
    <w:rsid w:val="002774A7"/>
    <w:rsid w:val="00285660"/>
    <w:rsid w:val="0028747C"/>
    <w:rsid w:val="002A3133"/>
    <w:rsid w:val="002A5409"/>
    <w:rsid w:val="002A5532"/>
    <w:rsid w:val="002A5EFD"/>
    <w:rsid w:val="002B3606"/>
    <w:rsid w:val="002C5D35"/>
    <w:rsid w:val="002D6C22"/>
    <w:rsid w:val="002D6FF7"/>
    <w:rsid w:val="002E0CDB"/>
    <w:rsid w:val="002E285D"/>
    <w:rsid w:val="002E4EE0"/>
    <w:rsid w:val="002E657A"/>
    <w:rsid w:val="002F13C0"/>
    <w:rsid w:val="002F5BDD"/>
    <w:rsid w:val="003056BA"/>
    <w:rsid w:val="00317E5B"/>
    <w:rsid w:val="003214E5"/>
    <w:rsid w:val="00321BA9"/>
    <w:rsid w:val="00327E41"/>
    <w:rsid w:val="003433F4"/>
    <w:rsid w:val="00351E72"/>
    <w:rsid w:val="0035670E"/>
    <w:rsid w:val="00356DFD"/>
    <w:rsid w:val="00360F07"/>
    <w:rsid w:val="0036426B"/>
    <w:rsid w:val="003648A1"/>
    <w:rsid w:val="00365BCB"/>
    <w:rsid w:val="00372C69"/>
    <w:rsid w:val="00390FF0"/>
    <w:rsid w:val="003956EA"/>
    <w:rsid w:val="003A34A7"/>
    <w:rsid w:val="003B4A1A"/>
    <w:rsid w:val="003B4F9C"/>
    <w:rsid w:val="003D63A4"/>
    <w:rsid w:val="003D7F66"/>
    <w:rsid w:val="003E2650"/>
    <w:rsid w:val="003E33D4"/>
    <w:rsid w:val="003E5181"/>
    <w:rsid w:val="003E5F62"/>
    <w:rsid w:val="003F44B1"/>
    <w:rsid w:val="003F4D32"/>
    <w:rsid w:val="0040088F"/>
    <w:rsid w:val="00412CF0"/>
    <w:rsid w:val="00420CD1"/>
    <w:rsid w:val="004252C8"/>
    <w:rsid w:val="00433944"/>
    <w:rsid w:val="004426C8"/>
    <w:rsid w:val="00443B7B"/>
    <w:rsid w:val="0045049F"/>
    <w:rsid w:val="004667F0"/>
    <w:rsid w:val="00473F09"/>
    <w:rsid w:val="00474B7C"/>
    <w:rsid w:val="00477C28"/>
    <w:rsid w:val="00481CE3"/>
    <w:rsid w:val="004A2C96"/>
    <w:rsid w:val="004A3A79"/>
    <w:rsid w:val="004A435B"/>
    <w:rsid w:val="004C700E"/>
    <w:rsid w:val="004D58FF"/>
    <w:rsid w:val="004D72F3"/>
    <w:rsid w:val="004E0943"/>
    <w:rsid w:val="004E5CCF"/>
    <w:rsid w:val="004F3761"/>
    <w:rsid w:val="00501CF8"/>
    <w:rsid w:val="00501E9C"/>
    <w:rsid w:val="00503345"/>
    <w:rsid w:val="005059BF"/>
    <w:rsid w:val="00512F82"/>
    <w:rsid w:val="00520D97"/>
    <w:rsid w:val="0052232A"/>
    <w:rsid w:val="005225A2"/>
    <w:rsid w:val="00526422"/>
    <w:rsid w:val="00536609"/>
    <w:rsid w:val="005429DC"/>
    <w:rsid w:val="00551257"/>
    <w:rsid w:val="00551A62"/>
    <w:rsid w:val="00553D44"/>
    <w:rsid w:val="00560AE3"/>
    <w:rsid w:val="0056102E"/>
    <w:rsid w:val="00561DC4"/>
    <w:rsid w:val="00562167"/>
    <w:rsid w:val="005626D1"/>
    <w:rsid w:val="00564A53"/>
    <w:rsid w:val="00567881"/>
    <w:rsid w:val="00567CFA"/>
    <w:rsid w:val="005842D2"/>
    <w:rsid w:val="005933D3"/>
    <w:rsid w:val="00593806"/>
    <w:rsid w:val="005A3EE5"/>
    <w:rsid w:val="005B137D"/>
    <w:rsid w:val="005B1AE5"/>
    <w:rsid w:val="005B24AD"/>
    <w:rsid w:val="005C402D"/>
    <w:rsid w:val="005C4798"/>
    <w:rsid w:val="005C604E"/>
    <w:rsid w:val="005E68AC"/>
    <w:rsid w:val="005F103B"/>
    <w:rsid w:val="005F31B1"/>
    <w:rsid w:val="006242BC"/>
    <w:rsid w:val="006243CF"/>
    <w:rsid w:val="006269C6"/>
    <w:rsid w:val="00640F48"/>
    <w:rsid w:val="006440C3"/>
    <w:rsid w:val="00646DE0"/>
    <w:rsid w:val="00653024"/>
    <w:rsid w:val="00656CA9"/>
    <w:rsid w:val="006610E3"/>
    <w:rsid w:val="00680290"/>
    <w:rsid w:val="00680C35"/>
    <w:rsid w:val="006829FF"/>
    <w:rsid w:val="006865BA"/>
    <w:rsid w:val="0068683A"/>
    <w:rsid w:val="006901C0"/>
    <w:rsid w:val="006915CC"/>
    <w:rsid w:val="006B2678"/>
    <w:rsid w:val="006C2601"/>
    <w:rsid w:val="006C27BC"/>
    <w:rsid w:val="006C4604"/>
    <w:rsid w:val="006F26BE"/>
    <w:rsid w:val="007038AA"/>
    <w:rsid w:val="00705165"/>
    <w:rsid w:val="0071027C"/>
    <w:rsid w:val="00710CBC"/>
    <w:rsid w:val="00732126"/>
    <w:rsid w:val="007343B3"/>
    <w:rsid w:val="00740A05"/>
    <w:rsid w:val="00741E89"/>
    <w:rsid w:val="007450AE"/>
    <w:rsid w:val="00745F32"/>
    <w:rsid w:val="0075365E"/>
    <w:rsid w:val="007570CC"/>
    <w:rsid w:val="00760555"/>
    <w:rsid w:val="00764367"/>
    <w:rsid w:val="00774F27"/>
    <w:rsid w:val="00776381"/>
    <w:rsid w:val="00780AC3"/>
    <w:rsid w:val="007842B3"/>
    <w:rsid w:val="00785566"/>
    <w:rsid w:val="00796D65"/>
    <w:rsid w:val="00797170"/>
    <w:rsid w:val="007A1A36"/>
    <w:rsid w:val="007A38ED"/>
    <w:rsid w:val="007A5885"/>
    <w:rsid w:val="007A6479"/>
    <w:rsid w:val="007C7383"/>
    <w:rsid w:val="007D6910"/>
    <w:rsid w:val="007E0D18"/>
    <w:rsid w:val="007E31CE"/>
    <w:rsid w:val="007E6285"/>
    <w:rsid w:val="007F16BF"/>
    <w:rsid w:val="007F33CB"/>
    <w:rsid w:val="0082044E"/>
    <w:rsid w:val="008205D7"/>
    <w:rsid w:val="00825CEC"/>
    <w:rsid w:val="00827B40"/>
    <w:rsid w:val="00830C02"/>
    <w:rsid w:val="0085207C"/>
    <w:rsid w:val="0086700B"/>
    <w:rsid w:val="00870198"/>
    <w:rsid w:val="00875256"/>
    <w:rsid w:val="008758BE"/>
    <w:rsid w:val="008935F0"/>
    <w:rsid w:val="008A406A"/>
    <w:rsid w:val="008A6254"/>
    <w:rsid w:val="008B0A8A"/>
    <w:rsid w:val="008C2E0D"/>
    <w:rsid w:val="008C3EE0"/>
    <w:rsid w:val="008C712F"/>
    <w:rsid w:val="008F53E8"/>
    <w:rsid w:val="008F7ABC"/>
    <w:rsid w:val="0092091F"/>
    <w:rsid w:val="00937128"/>
    <w:rsid w:val="00942851"/>
    <w:rsid w:val="00947265"/>
    <w:rsid w:val="00951C14"/>
    <w:rsid w:val="00953D67"/>
    <w:rsid w:val="009602F7"/>
    <w:rsid w:val="00961178"/>
    <w:rsid w:val="009663DE"/>
    <w:rsid w:val="00971FE6"/>
    <w:rsid w:val="009804CC"/>
    <w:rsid w:val="009809ED"/>
    <w:rsid w:val="00981B92"/>
    <w:rsid w:val="00982DE4"/>
    <w:rsid w:val="0098727B"/>
    <w:rsid w:val="00997C16"/>
    <w:rsid w:val="009A13B3"/>
    <w:rsid w:val="009B119A"/>
    <w:rsid w:val="009B188A"/>
    <w:rsid w:val="009C3BE5"/>
    <w:rsid w:val="009D1647"/>
    <w:rsid w:val="009E0EBD"/>
    <w:rsid w:val="009F523D"/>
    <w:rsid w:val="009F79F4"/>
    <w:rsid w:val="00A03718"/>
    <w:rsid w:val="00A073B5"/>
    <w:rsid w:val="00A11E55"/>
    <w:rsid w:val="00A121D6"/>
    <w:rsid w:val="00A137B3"/>
    <w:rsid w:val="00A16C9E"/>
    <w:rsid w:val="00A258B8"/>
    <w:rsid w:val="00A25983"/>
    <w:rsid w:val="00A353E7"/>
    <w:rsid w:val="00A359E1"/>
    <w:rsid w:val="00A430D6"/>
    <w:rsid w:val="00A44557"/>
    <w:rsid w:val="00A44849"/>
    <w:rsid w:val="00A501CF"/>
    <w:rsid w:val="00A660CB"/>
    <w:rsid w:val="00A71716"/>
    <w:rsid w:val="00A72B0B"/>
    <w:rsid w:val="00A73BC0"/>
    <w:rsid w:val="00A73BDF"/>
    <w:rsid w:val="00A73D4A"/>
    <w:rsid w:val="00A82E01"/>
    <w:rsid w:val="00A905B0"/>
    <w:rsid w:val="00AA1767"/>
    <w:rsid w:val="00AA21DD"/>
    <w:rsid w:val="00AB1485"/>
    <w:rsid w:val="00AB2C30"/>
    <w:rsid w:val="00AB5C01"/>
    <w:rsid w:val="00AC3C97"/>
    <w:rsid w:val="00AC709F"/>
    <w:rsid w:val="00AE0633"/>
    <w:rsid w:val="00AE38BC"/>
    <w:rsid w:val="00AF0FC2"/>
    <w:rsid w:val="00AF19D2"/>
    <w:rsid w:val="00AF2BBF"/>
    <w:rsid w:val="00B074BC"/>
    <w:rsid w:val="00B22513"/>
    <w:rsid w:val="00B250E3"/>
    <w:rsid w:val="00B32D1E"/>
    <w:rsid w:val="00B33D98"/>
    <w:rsid w:val="00B447AD"/>
    <w:rsid w:val="00B449E1"/>
    <w:rsid w:val="00B456FA"/>
    <w:rsid w:val="00B51919"/>
    <w:rsid w:val="00B5642E"/>
    <w:rsid w:val="00B57BBB"/>
    <w:rsid w:val="00B649D4"/>
    <w:rsid w:val="00B66F33"/>
    <w:rsid w:val="00B7011D"/>
    <w:rsid w:val="00B71866"/>
    <w:rsid w:val="00B8321B"/>
    <w:rsid w:val="00B8483B"/>
    <w:rsid w:val="00B865F0"/>
    <w:rsid w:val="00B977D9"/>
    <w:rsid w:val="00B97B44"/>
    <w:rsid w:val="00BA31BE"/>
    <w:rsid w:val="00BC512C"/>
    <w:rsid w:val="00BD0B0C"/>
    <w:rsid w:val="00BD12F5"/>
    <w:rsid w:val="00BD15D0"/>
    <w:rsid w:val="00BE2B91"/>
    <w:rsid w:val="00BE59C9"/>
    <w:rsid w:val="00BF7285"/>
    <w:rsid w:val="00C057C9"/>
    <w:rsid w:val="00C25ABB"/>
    <w:rsid w:val="00C32DAE"/>
    <w:rsid w:val="00C46B4D"/>
    <w:rsid w:val="00C609D7"/>
    <w:rsid w:val="00C6260F"/>
    <w:rsid w:val="00C77053"/>
    <w:rsid w:val="00C91DAE"/>
    <w:rsid w:val="00C97D15"/>
    <w:rsid w:val="00CA0C22"/>
    <w:rsid w:val="00CA3E05"/>
    <w:rsid w:val="00CC1D22"/>
    <w:rsid w:val="00CC2E9A"/>
    <w:rsid w:val="00CC59FD"/>
    <w:rsid w:val="00CD040B"/>
    <w:rsid w:val="00CD6A00"/>
    <w:rsid w:val="00CE2070"/>
    <w:rsid w:val="00CE300E"/>
    <w:rsid w:val="00CE5284"/>
    <w:rsid w:val="00CE7BE0"/>
    <w:rsid w:val="00CF1E26"/>
    <w:rsid w:val="00CF281C"/>
    <w:rsid w:val="00CF6145"/>
    <w:rsid w:val="00D04DDE"/>
    <w:rsid w:val="00D0681D"/>
    <w:rsid w:val="00D11FF6"/>
    <w:rsid w:val="00D30753"/>
    <w:rsid w:val="00D513AE"/>
    <w:rsid w:val="00D524B2"/>
    <w:rsid w:val="00D61E8F"/>
    <w:rsid w:val="00D62F17"/>
    <w:rsid w:val="00D64FE1"/>
    <w:rsid w:val="00D66196"/>
    <w:rsid w:val="00D843DD"/>
    <w:rsid w:val="00D847BD"/>
    <w:rsid w:val="00D96BF1"/>
    <w:rsid w:val="00DA4AC2"/>
    <w:rsid w:val="00DA7219"/>
    <w:rsid w:val="00DB15AA"/>
    <w:rsid w:val="00DB7128"/>
    <w:rsid w:val="00DC1B45"/>
    <w:rsid w:val="00DD448E"/>
    <w:rsid w:val="00DD4847"/>
    <w:rsid w:val="00DD63D3"/>
    <w:rsid w:val="00DE7928"/>
    <w:rsid w:val="00DE79B2"/>
    <w:rsid w:val="00DF5F32"/>
    <w:rsid w:val="00E10DBB"/>
    <w:rsid w:val="00E23B4B"/>
    <w:rsid w:val="00E24009"/>
    <w:rsid w:val="00E2562C"/>
    <w:rsid w:val="00E31E5A"/>
    <w:rsid w:val="00E426FA"/>
    <w:rsid w:val="00E57DB1"/>
    <w:rsid w:val="00E70C9B"/>
    <w:rsid w:val="00E8123D"/>
    <w:rsid w:val="00E81A83"/>
    <w:rsid w:val="00EA211E"/>
    <w:rsid w:val="00EB0FC4"/>
    <w:rsid w:val="00EB6266"/>
    <w:rsid w:val="00EB6CD8"/>
    <w:rsid w:val="00EB7152"/>
    <w:rsid w:val="00EC0DBE"/>
    <w:rsid w:val="00EE26E5"/>
    <w:rsid w:val="00EF4B02"/>
    <w:rsid w:val="00F028C4"/>
    <w:rsid w:val="00F0697B"/>
    <w:rsid w:val="00F127C5"/>
    <w:rsid w:val="00F22148"/>
    <w:rsid w:val="00F3330A"/>
    <w:rsid w:val="00F33490"/>
    <w:rsid w:val="00F41AE5"/>
    <w:rsid w:val="00F5166C"/>
    <w:rsid w:val="00F6752D"/>
    <w:rsid w:val="00F86D96"/>
    <w:rsid w:val="00FA615D"/>
    <w:rsid w:val="00FB0F95"/>
    <w:rsid w:val="00FC1D44"/>
    <w:rsid w:val="00FD1222"/>
    <w:rsid w:val="00FD1690"/>
    <w:rsid w:val="00FD49E9"/>
    <w:rsid w:val="00FE3DDB"/>
    <w:rsid w:val="00FE4284"/>
    <w:rsid w:val="00FE7779"/>
    <w:rsid w:val="00FF1198"/>
    <w:rsid w:val="00FF2DEA"/>
    <w:rsid w:val="00FF3DDA"/>
    <w:rsid w:val="012707BF"/>
    <w:rsid w:val="015F6BF5"/>
    <w:rsid w:val="01810048"/>
    <w:rsid w:val="019E1F38"/>
    <w:rsid w:val="01BB3CD7"/>
    <w:rsid w:val="01C94645"/>
    <w:rsid w:val="022A4754"/>
    <w:rsid w:val="027D097E"/>
    <w:rsid w:val="02A24607"/>
    <w:rsid w:val="02C1356F"/>
    <w:rsid w:val="02C777E4"/>
    <w:rsid w:val="02CE2D69"/>
    <w:rsid w:val="02DA0501"/>
    <w:rsid w:val="02E34CF6"/>
    <w:rsid w:val="02FB6AB9"/>
    <w:rsid w:val="030D276E"/>
    <w:rsid w:val="033B24C8"/>
    <w:rsid w:val="03480458"/>
    <w:rsid w:val="035B6709"/>
    <w:rsid w:val="03734C3B"/>
    <w:rsid w:val="038D3DA7"/>
    <w:rsid w:val="03A1332A"/>
    <w:rsid w:val="03C75596"/>
    <w:rsid w:val="03DB58AE"/>
    <w:rsid w:val="03EB68B2"/>
    <w:rsid w:val="03EE1BDA"/>
    <w:rsid w:val="040F5911"/>
    <w:rsid w:val="04194CE4"/>
    <w:rsid w:val="04257D07"/>
    <w:rsid w:val="045138F0"/>
    <w:rsid w:val="04550D0B"/>
    <w:rsid w:val="04627A4C"/>
    <w:rsid w:val="04726B11"/>
    <w:rsid w:val="04755F9F"/>
    <w:rsid w:val="04A61A66"/>
    <w:rsid w:val="04D43351"/>
    <w:rsid w:val="050B047A"/>
    <w:rsid w:val="05403B58"/>
    <w:rsid w:val="05427727"/>
    <w:rsid w:val="055D5FD6"/>
    <w:rsid w:val="056C4884"/>
    <w:rsid w:val="057611E8"/>
    <w:rsid w:val="058E5ACF"/>
    <w:rsid w:val="05BB4CA3"/>
    <w:rsid w:val="05DE61E6"/>
    <w:rsid w:val="064402C5"/>
    <w:rsid w:val="06595862"/>
    <w:rsid w:val="066D4A02"/>
    <w:rsid w:val="06832719"/>
    <w:rsid w:val="069B5F6E"/>
    <w:rsid w:val="06A867C8"/>
    <w:rsid w:val="06C77EAF"/>
    <w:rsid w:val="06E16D1C"/>
    <w:rsid w:val="072440CC"/>
    <w:rsid w:val="076D436E"/>
    <w:rsid w:val="07727908"/>
    <w:rsid w:val="07CC3C9B"/>
    <w:rsid w:val="07EE4655"/>
    <w:rsid w:val="081F63D7"/>
    <w:rsid w:val="084359D7"/>
    <w:rsid w:val="08647983"/>
    <w:rsid w:val="088E718F"/>
    <w:rsid w:val="08AD23C0"/>
    <w:rsid w:val="08AD6BA5"/>
    <w:rsid w:val="08B207A0"/>
    <w:rsid w:val="08BD69CD"/>
    <w:rsid w:val="090C6220"/>
    <w:rsid w:val="092D733C"/>
    <w:rsid w:val="09315420"/>
    <w:rsid w:val="09784E8E"/>
    <w:rsid w:val="097D0541"/>
    <w:rsid w:val="097F4C57"/>
    <w:rsid w:val="09A96805"/>
    <w:rsid w:val="09C42CDA"/>
    <w:rsid w:val="09F1408A"/>
    <w:rsid w:val="0A00382D"/>
    <w:rsid w:val="0A031E7F"/>
    <w:rsid w:val="0A8F3391"/>
    <w:rsid w:val="0A981B48"/>
    <w:rsid w:val="0AA5763A"/>
    <w:rsid w:val="0AE21FC6"/>
    <w:rsid w:val="0B174A82"/>
    <w:rsid w:val="0B5120DC"/>
    <w:rsid w:val="0B5331D2"/>
    <w:rsid w:val="0B783F60"/>
    <w:rsid w:val="0BA534A3"/>
    <w:rsid w:val="0BB7512F"/>
    <w:rsid w:val="0BDC2811"/>
    <w:rsid w:val="0BE519B4"/>
    <w:rsid w:val="0C121C6B"/>
    <w:rsid w:val="0C170EE7"/>
    <w:rsid w:val="0C364685"/>
    <w:rsid w:val="0C9004D3"/>
    <w:rsid w:val="0CA710DF"/>
    <w:rsid w:val="0CBC72EB"/>
    <w:rsid w:val="0CE23675"/>
    <w:rsid w:val="0CE41855"/>
    <w:rsid w:val="0CF63318"/>
    <w:rsid w:val="0D0552EC"/>
    <w:rsid w:val="0D9E75F2"/>
    <w:rsid w:val="0DC01F09"/>
    <w:rsid w:val="0E286250"/>
    <w:rsid w:val="0E6403B4"/>
    <w:rsid w:val="0E661CC4"/>
    <w:rsid w:val="0ED41956"/>
    <w:rsid w:val="0EFB440F"/>
    <w:rsid w:val="0F446C73"/>
    <w:rsid w:val="0F735497"/>
    <w:rsid w:val="0FCA1EB5"/>
    <w:rsid w:val="0FCC3C49"/>
    <w:rsid w:val="0FD07E02"/>
    <w:rsid w:val="0FD348E1"/>
    <w:rsid w:val="100C2B59"/>
    <w:rsid w:val="103C5BB7"/>
    <w:rsid w:val="109041A4"/>
    <w:rsid w:val="10B9412D"/>
    <w:rsid w:val="10BF7674"/>
    <w:rsid w:val="110A0037"/>
    <w:rsid w:val="111B52E1"/>
    <w:rsid w:val="116B2F7D"/>
    <w:rsid w:val="116C5A95"/>
    <w:rsid w:val="117A14B8"/>
    <w:rsid w:val="11D97C8B"/>
    <w:rsid w:val="122C5669"/>
    <w:rsid w:val="123737A3"/>
    <w:rsid w:val="123A289C"/>
    <w:rsid w:val="125E594D"/>
    <w:rsid w:val="12621B7E"/>
    <w:rsid w:val="126844B3"/>
    <w:rsid w:val="126A56E6"/>
    <w:rsid w:val="12987433"/>
    <w:rsid w:val="129B0458"/>
    <w:rsid w:val="12C7222E"/>
    <w:rsid w:val="135E0806"/>
    <w:rsid w:val="13726ED1"/>
    <w:rsid w:val="13790C3F"/>
    <w:rsid w:val="139F2458"/>
    <w:rsid w:val="140B4BCE"/>
    <w:rsid w:val="1489188A"/>
    <w:rsid w:val="14DD43FF"/>
    <w:rsid w:val="155405F0"/>
    <w:rsid w:val="15656144"/>
    <w:rsid w:val="158362D6"/>
    <w:rsid w:val="15865D44"/>
    <w:rsid w:val="158F7130"/>
    <w:rsid w:val="15E72E94"/>
    <w:rsid w:val="162035F7"/>
    <w:rsid w:val="16342C9E"/>
    <w:rsid w:val="16504596"/>
    <w:rsid w:val="168D76CC"/>
    <w:rsid w:val="16A15E34"/>
    <w:rsid w:val="16B657ED"/>
    <w:rsid w:val="16D10C9D"/>
    <w:rsid w:val="16D36F5F"/>
    <w:rsid w:val="16EE18F3"/>
    <w:rsid w:val="16FE284F"/>
    <w:rsid w:val="17311BF3"/>
    <w:rsid w:val="17BB21E5"/>
    <w:rsid w:val="17CD1C16"/>
    <w:rsid w:val="184B033B"/>
    <w:rsid w:val="185764C0"/>
    <w:rsid w:val="186D6D45"/>
    <w:rsid w:val="18826540"/>
    <w:rsid w:val="189D6998"/>
    <w:rsid w:val="18B212B2"/>
    <w:rsid w:val="18B42A96"/>
    <w:rsid w:val="18DF0BAB"/>
    <w:rsid w:val="19214AFB"/>
    <w:rsid w:val="194C0873"/>
    <w:rsid w:val="19A704B1"/>
    <w:rsid w:val="19C46EB8"/>
    <w:rsid w:val="19C775C9"/>
    <w:rsid w:val="19D2666F"/>
    <w:rsid w:val="19DB3E23"/>
    <w:rsid w:val="1A274A7E"/>
    <w:rsid w:val="1A42425D"/>
    <w:rsid w:val="1A7942E1"/>
    <w:rsid w:val="1AEC0E05"/>
    <w:rsid w:val="1B277B17"/>
    <w:rsid w:val="1B337606"/>
    <w:rsid w:val="1B844DE8"/>
    <w:rsid w:val="1BA46A93"/>
    <w:rsid w:val="1BBE63C9"/>
    <w:rsid w:val="1BC254CD"/>
    <w:rsid w:val="1BC341C2"/>
    <w:rsid w:val="1BC91CE0"/>
    <w:rsid w:val="1C1D13BE"/>
    <w:rsid w:val="1C2F4558"/>
    <w:rsid w:val="1C5564A5"/>
    <w:rsid w:val="1C60574F"/>
    <w:rsid w:val="1C6B4262"/>
    <w:rsid w:val="1CDC7415"/>
    <w:rsid w:val="1D551D5E"/>
    <w:rsid w:val="1D684031"/>
    <w:rsid w:val="1D787952"/>
    <w:rsid w:val="1D957C82"/>
    <w:rsid w:val="1DC71242"/>
    <w:rsid w:val="1DD8618C"/>
    <w:rsid w:val="1DE075B2"/>
    <w:rsid w:val="1DE40E1B"/>
    <w:rsid w:val="1DE43C6F"/>
    <w:rsid w:val="1E547BF9"/>
    <w:rsid w:val="1E6E4153"/>
    <w:rsid w:val="1E996BA5"/>
    <w:rsid w:val="1EAF4C54"/>
    <w:rsid w:val="1EBC2CF3"/>
    <w:rsid w:val="1EE32A34"/>
    <w:rsid w:val="1F000175"/>
    <w:rsid w:val="1F3142BA"/>
    <w:rsid w:val="1F6E5797"/>
    <w:rsid w:val="1F824222"/>
    <w:rsid w:val="1F860315"/>
    <w:rsid w:val="1F9A163F"/>
    <w:rsid w:val="1FB378EB"/>
    <w:rsid w:val="1FB42039"/>
    <w:rsid w:val="1FCB0685"/>
    <w:rsid w:val="1FDA769D"/>
    <w:rsid w:val="1FE11926"/>
    <w:rsid w:val="201166D8"/>
    <w:rsid w:val="20250841"/>
    <w:rsid w:val="202C3B58"/>
    <w:rsid w:val="20364688"/>
    <w:rsid w:val="204752C1"/>
    <w:rsid w:val="20745557"/>
    <w:rsid w:val="20813275"/>
    <w:rsid w:val="20AF7176"/>
    <w:rsid w:val="20B64CAB"/>
    <w:rsid w:val="211446E7"/>
    <w:rsid w:val="211A4033"/>
    <w:rsid w:val="215B27CD"/>
    <w:rsid w:val="21763684"/>
    <w:rsid w:val="217F14CB"/>
    <w:rsid w:val="218C1266"/>
    <w:rsid w:val="218D3CF5"/>
    <w:rsid w:val="21AE0FDC"/>
    <w:rsid w:val="21AE4D52"/>
    <w:rsid w:val="21B3166A"/>
    <w:rsid w:val="2218772F"/>
    <w:rsid w:val="221C2A22"/>
    <w:rsid w:val="22391B83"/>
    <w:rsid w:val="2252342F"/>
    <w:rsid w:val="22617D7D"/>
    <w:rsid w:val="22982FDF"/>
    <w:rsid w:val="22C02AD6"/>
    <w:rsid w:val="22C5090B"/>
    <w:rsid w:val="22D1692E"/>
    <w:rsid w:val="22DB7576"/>
    <w:rsid w:val="22F442FB"/>
    <w:rsid w:val="23087A91"/>
    <w:rsid w:val="231942A8"/>
    <w:rsid w:val="233B0B3D"/>
    <w:rsid w:val="23404050"/>
    <w:rsid w:val="235962B5"/>
    <w:rsid w:val="237B182D"/>
    <w:rsid w:val="23883153"/>
    <w:rsid w:val="2392606A"/>
    <w:rsid w:val="23E00D50"/>
    <w:rsid w:val="23E2743F"/>
    <w:rsid w:val="23F14ED1"/>
    <w:rsid w:val="2412373B"/>
    <w:rsid w:val="242D4E53"/>
    <w:rsid w:val="244B5C59"/>
    <w:rsid w:val="245A5790"/>
    <w:rsid w:val="248518FC"/>
    <w:rsid w:val="249D6B11"/>
    <w:rsid w:val="24A155EA"/>
    <w:rsid w:val="24E548B3"/>
    <w:rsid w:val="24E836EF"/>
    <w:rsid w:val="250B50C3"/>
    <w:rsid w:val="25183D5F"/>
    <w:rsid w:val="251F692C"/>
    <w:rsid w:val="252F1B2B"/>
    <w:rsid w:val="25323346"/>
    <w:rsid w:val="255A71A1"/>
    <w:rsid w:val="2565553E"/>
    <w:rsid w:val="256C0881"/>
    <w:rsid w:val="256E0C59"/>
    <w:rsid w:val="2598202D"/>
    <w:rsid w:val="25D82543"/>
    <w:rsid w:val="25F44FFF"/>
    <w:rsid w:val="26341FA7"/>
    <w:rsid w:val="265713E4"/>
    <w:rsid w:val="26662365"/>
    <w:rsid w:val="267A6C66"/>
    <w:rsid w:val="26831829"/>
    <w:rsid w:val="268A7E13"/>
    <w:rsid w:val="269E6717"/>
    <w:rsid w:val="26D33082"/>
    <w:rsid w:val="26D36577"/>
    <w:rsid w:val="26ED5AAF"/>
    <w:rsid w:val="26F653F0"/>
    <w:rsid w:val="271D6716"/>
    <w:rsid w:val="273C1869"/>
    <w:rsid w:val="27414938"/>
    <w:rsid w:val="27510D0C"/>
    <w:rsid w:val="278649C6"/>
    <w:rsid w:val="27BC069B"/>
    <w:rsid w:val="27D61EB1"/>
    <w:rsid w:val="27D77F0D"/>
    <w:rsid w:val="27E07417"/>
    <w:rsid w:val="27E927A7"/>
    <w:rsid w:val="27ED47D2"/>
    <w:rsid w:val="27F852B6"/>
    <w:rsid w:val="28095B17"/>
    <w:rsid w:val="2828642F"/>
    <w:rsid w:val="283508B2"/>
    <w:rsid w:val="283E5DC2"/>
    <w:rsid w:val="284D195C"/>
    <w:rsid w:val="28616B74"/>
    <w:rsid w:val="28BA6221"/>
    <w:rsid w:val="291F1951"/>
    <w:rsid w:val="295C4883"/>
    <w:rsid w:val="2969682C"/>
    <w:rsid w:val="299E0AF9"/>
    <w:rsid w:val="29CC61D1"/>
    <w:rsid w:val="2A196435"/>
    <w:rsid w:val="2A493DB0"/>
    <w:rsid w:val="2A691F2C"/>
    <w:rsid w:val="2A997DCB"/>
    <w:rsid w:val="2B132258"/>
    <w:rsid w:val="2B6808D6"/>
    <w:rsid w:val="2B893FA0"/>
    <w:rsid w:val="2BAA3763"/>
    <w:rsid w:val="2BBD358C"/>
    <w:rsid w:val="2BE11CDE"/>
    <w:rsid w:val="2C0321A2"/>
    <w:rsid w:val="2C0E5F0A"/>
    <w:rsid w:val="2C901E63"/>
    <w:rsid w:val="2CCD70A6"/>
    <w:rsid w:val="2CE81170"/>
    <w:rsid w:val="2D1C4469"/>
    <w:rsid w:val="2D75404D"/>
    <w:rsid w:val="2D8E74E3"/>
    <w:rsid w:val="2DF373B6"/>
    <w:rsid w:val="2E2F631E"/>
    <w:rsid w:val="2E854675"/>
    <w:rsid w:val="2EA56D66"/>
    <w:rsid w:val="2EAA6A2B"/>
    <w:rsid w:val="2EBA0451"/>
    <w:rsid w:val="2EBF6C57"/>
    <w:rsid w:val="2F136229"/>
    <w:rsid w:val="2F310306"/>
    <w:rsid w:val="2F5A71B4"/>
    <w:rsid w:val="2FC1397D"/>
    <w:rsid w:val="30163DE1"/>
    <w:rsid w:val="304E4546"/>
    <w:rsid w:val="30B60F3C"/>
    <w:rsid w:val="30F35862"/>
    <w:rsid w:val="316513E5"/>
    <w:rsid w:val="31865A2C"/>
    <w:rsid w:val="3189393D"/>
    <w:rsid w:val="319A54FF"/>
    <w:rsid w:val="31E87796"/>
    <w:rsid w:val="31F84F28"/>
    <w:rsid w:val="32C72CB3"/>
    <w:rsid w:val="32D62A33"/>
    <w:rsid w:val="32D85851"/>
    <w:rsid w:val="331A1FDA"/>
    <w:rsid w:val="33232EDB"/>
    <w:rsid w:val="333B2739"/>
    <w:rsid w:val="33410F35"/>
    <w:rsid w:val="33792FD5"/>
    <w:rsid w:val="337C585D"/>
    <w:rsid w:val="33895A48"/>
    <w:rsid w:val="339748CC"/>
    <w:rsid w:val="33D67040"/>
    <w:rsid w:val="33F15CC8"/>
    <w:rsid w:val="340210E9"/>
    <w:rsid w:val="346374EB"/>
    <w:rsid w:val="346E05DF"/>
    <w:rsid w:val="34773A3A"/>
    <w:rsid w:val="347E5035"/>
    <w:rsid w:val="348265FE"/>
    <w:rsid w:val="34B22B1D"/>
    <w:rsid w:val="35135298"/>
    <w:rsid w:val="35253D5C"/>
    <w:rsid w:val="354D3F48"/>
    <w:rsid w:val="35654EF5"/>
    <w:rsid w:val="35A91168"/>
    <w:rsid w:val="35B71C5A"/>
    <w:rsid w:val="35DA7332"/>
    <w:rsid w:val="3608378A"/>
    <w:rsid w:val="363C3EC8"/>
    <w:rsid w:val="36742935"/>
    <w:rsid w:val="36947014"/>
    <w:rsid w:val="369A15E0"/>
    <w:rsid w:val="36C45D08"/>
    <w:rsid w:val="36D84883"/>
    <w:rsid w:val="36F400FC"/>
    <w:rsid w:val="3709441E"/>
    <w:rsid w:val="375F17B4"/>
    <w:rsid w:val="379956ED"/>
    <w:rsid w:val="37A35B65"/>
    <w:rsid w:val="37A46319"/>
    <w:rsid w:val="37B82BF2"/>
    <w:rsid w:val="37BC12D9"/>
    <w:rsid w:val="37CA3DC3"/>
    <w:rsid w:val="37DC1CD5"/>
    <w:rsid w:val="38531D76"/>
    <w:rsid w:val="385E638F"/>
    <w:rsid w:val="386F54ED"/>
    <w:rsid w:val="3891147F"/>
    <w:rsid w:val="38AB4082"/>
    <w:rsid w:val="38B728E5"/>
    <w:rsid w:val="38C94B28"/>
    <w:rsid w:val="38DF7CCF"/>
    <w:rsid w:val="38E11849"/>
    <w:rsid w:val="38E44F25"/>
    <w:rsid w:val="38E62B32"/>
    <w:rsid w:val="38E9007B"/>
    <w:rsid w:val="3953276B"/>
    <w:rsid w:val="395E054A"/>
    <w:rsid w:val="396B2E36"/>
    <w:rsid w:val="398227C4"/>
    <w:rsid w:val="39910DC6"/>
    <w:rsid w:val="39981C2C"/>
    <w:rsid w:val="399C1E73"/>
    <w:rsid w:val="39DB6A81"/>
    <w:rsid w:val="3A10210A"/>
    <w:rsid w:val="3A3A65D2"/>
    <w:rsid w:val="3A417000"/>
    <w:rsid w:val="3A6944B3"/>
    <w:rsid w:val="3A891FE6"/>
    <w:rsid w:val="3AAC3BE1"/>
    <w:rsid w:val="3AB918AA"/>
    <w:rsid w:val="3AE2695E"/>
    <w:rsid w:val="3B104A64"/>
    <w:rsid w:val="3B6D7A2D"/>
    <w:rsid w:val="3B8930CD"/>
    <w:rsid w:val="3B8E1539"/>
    <w:rsid w:val="3BA23A99"/>
    <w:rsid w:val="3BA95865"/>
    <w:rsid w:val="3BC97ABF"/>
    <w:rsid w:val="3C1C06A4"/>
    <w:rsid w:val="3C6B77A0"/>
    <w:rsid w:val="3C702255"/>
    <w:rsid w:val="3D2156A5"/>
    <w:rsid w:val="3D2B18E5"/>
    <w:rsid w:val="3D39107E"/>
    <w:rsid w:val="3D4C54BE"/>
    <w:rsid w:val="3D752AFC"/>
    <w:rsid w:val="3D7824A2"/>
    <w:rsid w:val="3D9505A9"/>
    <w:rsid w:val="3D9951A8"/>
    <w:rsid w:val="3D9F3C8C"/>
    <w:rsid w:val="3DB52899"/>
    <w:rsid w:val="3DB81839"/>
    <w:rsid w:val="3DBD2847"/>
    <w:rsid w:val="3DD04D64"/>
    <w:rsid w:val="3DD11719"/>
    <w:rsid w:val="3E6072F4"/>
    <w:rsid w:val="3E642844"/>
    <w:rsid w:val="3EB85AAB"/>
    <w:rsid w:val="3ECB4547"/>
    <w:rsid w:val="3EFA221F"/>
    <w:rsid w:val="3EFD232F"/>
    <w:rsid w:val="3F0827BC"/>
    <w:rsid w:val="3F2D67A2"/>
    <w:rsid w:val="3F5E424F"/>
    <w:rsid w:val="3F5F6188"/>
    <w:rsid w:val="3FCD29EB"/>
    <w:rsid w:val="40022C7D"/>
    <w:rsid w:val="40155D49"/>
    <w:rsid w:val="401C1D92"/>
    <w:rsid w:val="404D6785"/>
    <w:rsid w:val="404E74E8"/>
    <w:rsid w:val="40646D0C"/>
    <w:rsid w:val="408B279B"/>
    <w:rsid w:val="40BE1DAE"/>
    <w:rsid w:val="40C91694"/>
    <w:rsid w:val="40D4166E"/>
    <w:rsid w:val="40F153DE"/>
    <w:rsid w:val="40FC085C"/>
    <w:rsid w:val="40FC484B"/>
    <w:rsid w:val="41221E0B"/>
    <w:rsid w:val="41490BBA"/>
    <w:rsid w:val="41606318"/>
    <w:rsid w:val="417317B0"/>
    <w:rsid w:val="417912E9"/>
    <w:rsid w:val="417B11B4"/>
    <w:rsid w:val="41852C2B"/>
    <w:rsid w:val="41B412AE"/>
    <w:rsid w:val="41D64028"/>
    <w:rsid w:val="41F7722C"/>
    <w:rsid w:val="420514DA"/>
    <w:rsid w:val="42057255"/>
    <w:rsid w:val="42094079"/>
    <w:rsid w:val="42495FC1"/>
    <w:rsid w:val="42845F56"/>
    <w:rsid w:val="4285342A"/>
    <w:rsid w:val="42DB441F"/>
    <w:rsid w:val="433B6A14"/>
    <w:rsid w:val="43486212"/>
    <w:rsid w:val="436723E3"/>
    <w:rsid w:val="4393656C"/>
    <w:rsid w:val="439E139C"/>
    <w:rsid w:val="43B31CFA"/>
    <w:rsid w:val="43BF7AD3"/>
    <w:rsid w:val="43C52637"/>
    <w:rsid w:val="43C77902"/>
    <w:rsid w:val="43C93B62"/>
    <w:rsid w:val="43DF3963"/>
    <w:rsid w:val="43F53589"/>
    <w:rsid w:val="43FD209B"/>
    <w:rsid w:val="4460707A"/>
    <w:rsid w:val="44682E92"/>
    <w:rsid w:val="44B013C8"/>
    <w:rsid w:val="44D051D2"/>
    <w:rsid w:val="450B1E4C"/>
    <w:rsid w:val="4525505E"/>
    <w:rsid w:val="45421BD8"/>
    <w:rsid w:val="45471090"/>
    <w:rsid w:val="457A6CD5"/>
    <w:rsid w:val="45913C6B"/>
    <w:rsid w:val="45AA2959"/>
    <w:rsid w:val="45D2660D"/>
    <w:rsid w:val="45D73FEB"/>
    <w:rsid w:val="45E5347F"/>
    <w:rsid w:val="45FF01FB"/>
    <w:rsid w:val="46015396"/>
    <w:rsid w:val="46154FF3"/>
    <w:rsid w:val="46272864"/>
    <w:rsid w:val="465F5404"/>
    <w:rsid w:val="468048DE"/>
    <w:rsid w:val="46DB7B8F"/>
    <w:rsid w:val="46FD4B04"/>
    <w:rsid w:val="470152B5"/>
    <w:rsid w:val="474033BC"/>
    <w:rsid w:val="47503B46"/>
    <w:rsid w:val="477D7B0C"/>
    <w:rsid w:val="47B72C93"/>
    <w:rsid w:val="47DA5F0F"/>
    <w:rsid w:val="47EC63CA"/>
    <w:rsid w:val="48114597"/>
    <w:rsid w:val="483152F8"/>
    <w:rsid w:val="48707F75"/>
    <w:rsid w:val="4883469C"/>
    <w:rsid w:val="488763F4"/>
    <w:rsid w:val="48A9419A"/>
    <w:rsid w:val="48B96189"/>
    <w:rsid w:val="48F13107"/>
    <w:rsid w:val="49061720"/>
    <w:rsid w:val="490D459F"/>
    <w:rsid w:val="49665CA8"/>
    <w:rsid w:val="49A26A0A"/>
    <w:rsid w:val="49E4596F"/>
    <w:rsid w:val="49F71626"/>
    <w:rsid w:val="4A0871C7"/>
    <w:rsid w:val="4A4C6847"/>
    <w:rsid w:val="4A6A10B1"/>
    <w:rsid w:val="4A7732E9"/>
    <w:rsid w:val="4AB33C37"/>
    <w:rsid w:val="4AD219AB"/>
    <w:rsid w:val="4AD732AB"/>
    <w:rsid w:val="4ADD7DE7"/>
    <w:rsid w:val="4AE27895"/>
    <w:rsid w:val="4AF75682"/>
    <w:rsid w:val="4AFA1B43"/>
    <w:rsid w:val="4B390BC3"/>
    <w:rsid w:val="4B5A5D55"/>
    <w:rsid w:val="4B61522E"/>
    <w:rsid w:val="4B9B7A78"/>
    <w:rsid w:val="4BBE3774"/>
    <w:rsid w:val="4BD74836"/>
    <w:rsid w:val="4BED0885"/>
    <w:rsid w:val="4C15752B"/>
    <w:rsid w:val="4C185720"/>
    <w:rsid w:val="4C413AF1"/>
    <w:rsid w:val="4C5D50C7"/>
    <w:rsid w:val="4CB16CF4"/>
    <w:rsid w:val="4CE4174B"/>
    <w:rsid w:val="4CFC2081"/>
    <w:rsid w:val="4D0E7B80"/>
    <w:rsid w:val="4D157BE4"/>
    <w:rsid w:val="4D2A6B58"/>
    <w:rsid w:val="4D5912F9"/>
    <w:rsid w:val="4D7D2AE1"/>
    <w:rsid w:val="4DAB01F7"/>
    <w:rsid w:val="4DAB1617"/>
    <w:rsid w:val="4DAD4B65"/>
    <w:rsid w:val="4DFA5445"/>
    <w:rsid w:val="4E0B0C4F"/>
    <w:rsid w:val="4E1E41CB"/>
    <w:rsid w:val="4E3E6CC6"/>
    <w:rsid w:val="4E4E3E5E"/>
    <w:rsid w:val="4E5D48E1"/>
    <w:rsid w:val="4E77200D"/>
    <w:rsid w:val="4E8D7918"/>
    <w:rsid w:val="4E9E28DA"/>
    <w:rsid w:val="4EB91B17"/>
    <w:rsid w:val="4F1142FB"/>
    <w:rsid w:val="4F1E51F9"/>
    <w:rsid w:val="4F2A077E"/>
    <w:rsid w:val="4F351522"/>
    <w:rsid w:val="4FF60890"/>
    <w:rsid w:val="4FFA5599"/>
    <w:rsid w:val="503618FE"/>
    <w:rsid w:val="505D367D"/>
    <w:rsid w:val="50B62E11"/>
    <w:rsid w:val="50C26BED"/>
    <w:rsid w:val="50D457E8"/>
    <w:rsid w:val="51240C72"/>
    <w:rsid w:val="51380E48"/>
    <w:rsid w:val="513A1B11"/>
    <w:rsid w:val="51713037"/>
    <w:rsid w:val="51AE47E0"/>
    <w:rsid w:val="51E132B5"/>
    <w:rsid w:val="51E6467A"/>
    <w:rsid w:val="51F06651"/>
    <w:rsid w:val="51FE12F8"/>
    <w:rsid w:val="520F6039"/>
    <w:rsid w:val="522F06C7"/>
    <w:rsid w:val="523B63AF"/>
    <w:rsid w:val="52481E9E"/>
    <w:rsid w:val="526D1A50"/>
    <w:rsid w:val="529D2ED1"/>
    <w:rsid w:val="52CE77BE"/>
    <w:rsid w:val="52D00092"/>
    <w:rsid w:val="52F43835"/>
    <w:rsid w:val="531A0730"/>
    <w:rsid w:val="536074BE"/>
    <w:rsid w:val="537C6D56"/>
    <w:rsid w:val="53A73EA0"/>
    <w:rsid w:val="53E16835"/>
    <w:rsid w:val="5407324D"/>
    <w:rsid w:val="545C7FCE"/>
    <w:rsid w:val="546711A6"/>
    <w:rsid w:val="547A19A0"/>
    <w:rsid w:val="54B704CA"/>
    <w:rsid w:val="54D53585"/>
    <w:rsid w:val="552705DC"/>
    <w:rsid w:val="556C5ABD"/>
    <w:rsid w:val="557430F6"/>
    <w:rsid w:val="55C61A4F"/>
    <w:rsid w:val="55F04624"/>
    <w:rsid w:val="55FD6E62"/>
    <w:rsid w:val="56037677"/>
    <w:rsid w:val="562D3245"/>
    <w:rsid w:val="562F2EA1"/>
    <w:rsid w:val="564E3947"/>
    <w:rsid w:val="565A053D"/>
    <w:rsid w:val="5693327C"/>
    <w:rsid w:val="56DB3ED8"/>
    <w:rsid w:val="56EA73B6"/>
    <w:rsid w:val="57153820"/>
    <w:rsid w:val="57166942"/>
    <w:rsid w:val="571953EB"/>
    <w:rsid w:val="571A7346"/>
    <w:rsid w:val="574D00A2"/>
    <w:rsid w:val="57AC2301"/>
    <w:rsid w:val="57CF56B2"/>
    <w:rsid w:val="57D650EC"/>
    <w:rsid w:val="57FB5A6D"/>
    <w:rsid w:val="58466129"/>
    <w:rsid w:val="584A50E2"/>
    <w:rsid w:val="585950D6"/>
    <w:rsid w:val="588B3746"/>
    <w:rsid w:val="58CA653E"/>
    <w:rsid w:val="58D81237"/>
    <w:rsid w:val="58F21B94"/>
    <w:rsid w:val="58F41067"/>
    <w:rsid w:val="58FB5E7F"/>
    <w:rsid w:val="595560D2"/>
    <w:rsid w:val="599B5031"/>
    <w:rsid w:val="59CE111C"/>
    <w:rsid w:val="59F942D3"/>
    <w:rsid w:val="59FD003F"/>
    <w:rsid w:val="5A3205CE"/>
    <w:rsid w:val="5A341FE6"/>
    <w:rsid w:val="5A5A057A"/>
    <w:rsid w:val="5A5F62BF"/>
    <w:rsid w:val="5A747AF3"/>
    <w:rsid w:val="5A8010AA"/>
    <w:rsid w:val="5A9131DE"/>
    <w:rsid w:val="5AE17011"/>
    <w:rsid w:val="5B1D05E4"/>
    <w:rsid w:val="5B490FE5"/>
    <w:rsid w:val="5B5F4EE8"/>
    <w:rsid w:val="5B65745A"/>
    <w:rsid w:val="5BD45A38"/>
    <w:rsid w:val="5BF9424D"/>
    <w:rsid w:val="5C0D70DF"/>
    <w:rsid w:val="5C2A5B4F"/>
    <w:rsid w:val="5C4F4CBC"/>
    <w:rsid w:val="5C526E7F"/>
    <w:rsid w:val="5C6921EC"/>
    <w:rsid w:val="5CAB0AB2"/>
    <w:rsid w:val="5CCF5979"/>
    <w:rsid w:val="5CE433DB"/>
    <w:rsid w:val="5CED0A8C"/>
    <w:rsid w:val="5CF6011B"/>
    <w:rsid w:val="5CFD2099"/>
    <w:rsid w:val="5D062E92"/>
    <w:rsid w:val="5D192F00"/>
    <w:rsid w:val="5D526229"/>
    <w:rsid w:val="5D937DEF"/>
    <w:rsid w:val="5DBE6F04"/>
    <w:rsid w:val="5DC50992"/>
    <w:rsid w:val="5DCF0D29"/>
    <w:rsid w:val="5DD25EAE"/>
    <w:rsid w:val="5DEC2D9B"/>
    <w:rsid w:val="5E270648"/>
    <w:rsid w:val="5E321D91"/>
    <w:rsid w:val="5E566713"/>
    <w:rsid w:val="5E5D7081"/>
    <w:rsid w:val="5E7D4DED"/>
    <w:rsid w:val="5EDD6FFA"/>
    <w:rsid w:val="5EEB754B"/>
    <w:rsid w:val="5EEE23DC"/>
    <w:rsid w:val="5F301C33"/>
    <w:rsid w:val="5F3B12C7"/>
    <w:rsid w:val="5F472A0A"/>
    <w:rsid w:val="5F485D0B"/>
    <w:rsid w:val="5F4B4EC7"/>
    <w:rsid w:val="5F506C8D"/>
    <w:rsid w:val="5F5E109E"/>
    <w:rsid w:val="5F7071D5"/>
    <w:rsid w:val="5F9F2BFA"/>
    <w:rsid w:val="5FB27801"/>
    <w:rsid w:val="5FC82B94"/>
    <w:rsid w:val="5FFF7B51"/>
    <w:rsid w:val="60172FFB"/>
    <w:rsid w:val="603E77F8"/>
    <w:rsid w:val="604D13CC"/>
    <w:rsid w:val="60801CEA"/>
    <w:rsid w:val="60A40532"/>
    <w:rsid w:val="60E124D1"/>
    <w:rsid w:val="60FB7B3F"/>
    <w:rsid w:val="61016585"/>
    <w:rsid w:val="611F1708"/>
    <w:rsid w:val="612A2FB0"/>
    <w:rsid w:val="613D7563"/>
    <w:rsid w:val="619333FC"/>
    <w:rsid w:val="61CD418E"/>
    <w:rsid w:val="61D855F2"/>
    <w:rsid w:val="622E2FDF"/>
    <w:rsid w:val="6242614D"/>
    <w:rsid w:val="62535468"/>
    <w:rsid w:val="62605CC7"/>
    <w:rsid w:val="626C3AD2"/>
    <w:rsid w:val="6272119A"/>
    <w:rsid w:val="62D5741A"/>
    <w:rsid w:val="62F23834"/>
    <w:rsid w:val="631676D2"/>
    <w:rsid w:val="63365613"/>
    <w:rsid w:val="638246CF"/>
    <w:rsid w:val="639C1EBC"/>
    <w:rsid w:val="639E5C10"/>
    <w:rsid w:val="63A149EE"/>
    <w:rsid w:val="63C80690"/>
    <w:rsid w:val="63CE3265"/>
    <w:rsid w:val="63DB3056"/>
    <w:rsid w:val="63F0603D"/>
    <w:rsid w:val="63FB5A47"/>
    <w:rsid w:val="64640924"/>
    <w:rsid w:val="647139EB"/>
    <w:rsid w:val="648A0240"/>
    <w:rsid w:val="648C3270"/>
    <w:rsid w:val="64EE4563"/>
    <w:rsid w:val="65176EFD"/>
    <w:rsid w:val="654C14C3"/>
    <w:rsid w:val="657F6ACF"/>
    <w:rsid w:val="6586754B"/>
    <w:rsid w:val="65895D4F"/>
    <w:rsid w:val="658B36E0"/>
    <w:rsid w:val="659D498D"/>
    <w:rsid w:val="65B70516"/>
    <w:rsid w:val="65F71905"/>
    <w:rsid w:val="663F565B"/>
    <w:rsid w:val="66662BA6"/>
    <w:rsid w:val="66B3750C"/>
    <w:rsid w:val="66C25B0D"/>
    <w:rsid w:val="66CC02D7"/>
    <w:rsid w:val="67082DC2"/>
    <w:rsid w:val="673D3E05"/>
    <w:rsid w:val="6796514D"/>
    <w:rsid w:val="6820642D"/>
    <w:rsid w:val="684F18A7"/>
    <w:rsid w:val="685E30E8"/>
    <w:rsid w:val="68A51AEC"/>
    <w:rsid w:val="68D73DD9"/>
    <w:rsid w:val="68DD7D54"/>
    <w:rsid w:val="68E51CF1"/>
    <w:rsid w:val="68F24605"/>
    <w:rsid w:val="68FC7A99"/>
    <w:rsid w:val="691005C2"/>
    <w:rsid w:val="693A5BF1"/>
    <w:rsid w:val="698D7DC1"/>
    <w:rsid w:val="69A14B31"/>
    <w:rsid w:val="69A822E3"/>
    <w:rsid w:val="69C84D01"/>
    <w:rsid w:val="69E62297"/>
    <w:rsid w:val="69EF2DA6"/>
    <w:rsid w:val="6A1168C6"/>
    <w:rsid w:val="6A2F5B5B"/>
    <w:rsid w:val="6A454A53"/>
    <w:rsid w:val="6A5D2B5E"/>
    <w:rsid w:val="6A7468C0"/>
    <w:rsid w:val="6A794F63"/>
    <w:rsid w:val="6A851C9A"/>
    <w:rsid w:val="6B00047B"/>
    <w:rsid w:val="6B0A79AA"/>
    <w:rsid w:val="6B427AC6"/>
    <w:rsid w:val="6B4A425A"/>
    <w:rsid w:val="6B966A50"/>
    <w:rsid w:val="6BAF5CE8"/>
    <w:rsid w:val="6BB7245D"/>
    <w:rsid w:val="6C601264"/>
    <w:rsid w:val="6C630756"/>
    <w:rsid w:val="6C64151F"/>
    <w:rsid w:val="6CF238AD"/>
    <w:rsid w:val="6CFE1E02"/>
    <w:rsid w:val="6D8118D5"/>
    <w:rsid w:val="6D8372EF"/>
    <w:rsid w:val="6DB35AB6"/>
    <w:rsid w:val="6DBC1089"/>
    <w:rsid w:val="6E2F54D8"/>
    <w:rsid w:val="6E554279"/>
    <w:rsid w:val="6EA02752"/>
    <w:rsid w:val="6EEF0E32"/>
    <w:rsid w:val="6EF2710D"/>
    <w:rsid w:val="6F223D31"/>
    <w:rsid w:val="6F375468"/>
    <w:rsid w:val="6F4821FE"/>
    <w:rsid w:val="6F724D55"/>
    <w:rsid w:val="6FA33181"/>
    <w:rsid w:val="6FA377AE"/>
    <w:rsid w:val="6FAE4E69"/>
    <w:rsid w:val="7020038D"/>
    <w:rsid w:val="70286BFC"/>
    <w:rsid w:val="703F324A"/>
    <w:rsid w:val="704876EA"/>
    <w:rsid w:val="705A6889"/>
    <w:rsid w:val="706866C9"/>
    <w:rsid w:val="706E20EE"/>
    <w:rsid w:val="70AB7837"/>
    <w:rsid w:val="70B32E6B"/>
    <w:rsid w:val="70D91986"/>
    <w:rsid w:val="713F5D46"/>
    <w:rsid w:val="71A11EE4"/>
    <w:rsid w:val="71C216AC"/>
    <w:rsid w:val="71DD30B2"/>
    <w:rsid w:val="721E49CC"/>
    <w:rsid w:val="72756D22"/>
    <w:rsid w:val="727A13AF"/>
    <w:rsid w:val="7307599A"/>
    <w:rsid w:val="730C17D2"/>
    <w:rsid w:val="731659F4"/>
    <w:rsid w:val="7346566F"/>
    <w:rsid w:val="736635FE"/>
    <w:rsid w:val="73817D6F"/>
    <w:rsid w:val="73B4206A"/>
    <w:rsid w:val="73F2123E"/>
    <w:rsid w:val="740069AE"/>
    <w:rsid w:val="740658FD"/>
    <w:rsid w:val="7407365B"/>
    <w:rsid w:val="74110171"/>
    <w:rsid w:val="741D2B59"/>
    <w:rsid w:val="74457D08"/>
    <w:rsid w:val="74637B89"/>
    <w:rsid w:val="748608A0"/>
    <w:rsid w:val="748D212D"/>
    <w:rsid w:val="74904F8B"/>
    <w:rsid w:val="74DC08D1"/>
    <w:rsid w:val="74E8777C"/>
    <w:rsid w:val="74EB364B"/>
    <w:rsid w:val="74ED6C0A"/>
    <w:rsid w:val="74F85BF6"/>
    <w:rsid w:val="752B264C"/>
    <w:rsid w:val="756D1E27"/>
    <w:rsid w:val="75800FA2"/>
    <w:rsid w:val="758D1900"/>
    <w:rsid w:val="758F4735"/>
    <w:rsid w:val="75D37ED6"/>
    <w:rsid w:val="76096FE4"/>
    <w:rsid w:val="760D226D"/>
    <w:rsid w:val="760F16DA"/>
    <w:rsid w:val="76A41635"/>
    <w:rsid w:val="77120ABF"/>
    <w:rsid w:val="771C7BB8"/>
    <w:rsid w:val="774A049F"/>
    <w:rsid w:val="77600712"/>
    <w:rsid w:val="77813E35"/>
    <w:rsid w:val="77A613DD"/>
    <w:rsid w:val="77AB3C5C"/>
    <w:rsid w:val="77C60C50"/>
    <w:rsid w:val="77E15FCD"/>
    <w:rsid w:val="7851254A"/>
    <w:rsid w:val="7889734F"/>
    <w:rsid w:val="78B74F24"/>
    <w:rsid w:val="78BC6EEB"/>
    <w:rsid w:val="78C53AE4"/>
    <w:rsid w:val="78C84BF2"/>
    <w:rsid w:val="78E26444"/>
    <w:rsid w:val="793140C2"/>
    <w:rsid w:val="79433D25"/>
    <w:rsid w:val="79474766"/>
    <w:rsid w:val="79627232"/>
    <w:rsid w:val="798C3107"/>
    <w:rsid w:val="799077DD"/>
    <w:rsid w:val="7A8F7DBA"/>
    <w:rsid w:val="7A906188"/>
    <w:rsid w:val="7A971EEA"/>
    <w:rsid w:val="7AD959D2"/>
    <w:rsid w:val="7B7277B9"/>
    <w:rsid w:val="7B8004C9"/>
    <w:rsid w:val="7B8E6419"/>
    <w:rsid w:val="7B901E4C"/>
    <w:rsid w:val="7B9574AF"/>
    <w:rsid w:val="7BCC4228"/>
    <w:rsid w:val="7CAC7C15"/>
    <w:rsid w:val="7CEC3436"/>
    <w:rsid w:val="7CF60469"/>
    <w:rsid w:val="7D26545A"/>
    <w:rsid w:val="7D295040"/>
    <w:rsid w:val="7D877487"/>
    <w:rsid w:val="7DAE2052"/>
    <w:rsid w:val="7DCC033E"/>
    <w:rsid w:val="7DD87E16"/>
    <w:rsid w:val="7E332D18"/>
    <w:rsid w:val="7E387C61"/>
    <w:rsid w:val="7E4202F4"/>
    <w:rsid w:val="7E4F3798"/>
    <w:rsid w:val="7E6A462C"/>
    <w:rsid w:val="7E9B69E8"/>
    <w:rsid w:val="7EBC4D20"/>
    <w:rsid w:val="7EE73431"/>
    <w:rsid w:val="7EFC3729"/>
    <w:rsid w:val="7F04496C"/>
    <w:rsid w:val="7F0F041A"/>
    <w:rsid w:val="7F643282"/>
    <w:rsid w:val="7FB7456E"/>
    <w:rsid w:val="7FBA5216"/>
    <w:rsid w:val="7FE364AB"/>
    <w:rsid w:val="7FFF7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
    <w:qFormat/>
    <w:uiPriority w:val="0"/>
    <w:pPr>
      <w:keepNext/>
      <w:spacing w:line="216" w:lineRule="auto"/>
      <w:outlineLvl w:val="0"/>
    </w:pPr>
    <w:rPr>
      <w:rFonts w:ascii="宋体"/>
      <w:b/>
      <w:kern w:val="0"/>
      <w:sz w:val="30"/>
      <w:szCs w:val="20"/>
    </w:rPr>
  </w:style>
  <w:style w:type="paragraph" w:styleId="4">
    <w:name w:val="heading 2"/>
    <w:basedOn w:val="1"/>
    <w:next w:val="1"/>
    <w:link w:val="64"/>
    <w:qFormat/>
    <w:uiPriority w:val="0"/>
    <w:pPr>
      <w:keepNext/>
      <w:spacing w:line="216" w:lineRule="auto"/>
      <w:outlineLvl w:val="1"/>
    </w:pPr>
    <w:rPr>
      <w:rFonts w:ascii="宋体"/>
      <w:b/>
      <w:kern w:val="0"/>
      <w:sz w:val="28"/>
      <w:szCs w:val="20"/>
    </w:rPr>
  </w:style>
  <w:style w:type="paragraph" w:styleId="5">
    <w:name w:val="heading 3"/>
    <w:basedOn w:val="1"/>
    <w:next w:val="1"/>
    <w:qFormat/>
    <w:uiPriority w:val="0"/>
    <w:pPr>
      <w:keepNext/>
      <w:numPr>
        <w:ilvl w:val="0"/>
        <w:numId w:val="1"/>
      </w:numPr>
      <w:spacing w:line="216" w:lineRule="auto"/>
      <w:outlineLvl w:val="2"/>
    </w:pPr>
    <w:rPr>
      <w:rFonts w:ascii="宋体"/>
      <w:bCs/>
      <w:sz w:val="28"/>
      <w:szCs w:val="20"/>
    </w:rPr>
  </w:style>
  <w:style w:type="paragraph" w:styleId="6">
    <w:name w:val="heading 4"/>
    <w:basedOn w:val="1"/>
    <w:next w:val="1"/>
    <w:qFormat/>
    <w:uiPriority w:val="0"/>
    <w:pPr>
      <w:keepNext/>
      <w:numPr>
        <w:ilvl w:val="0"/>
        <w:numId w:val="2"/>
      </w:numPr>
      <w:spacing w:line="216" w:lineRule="auto"/>
      <w:outlineLvl w:val="3"/>
    </w:pPr>
    <w:rPr>
      <w:rFonts w:ascii="黑体" w:eastAsia="黑体"/>
      <w:sz w:val="24"/>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styleId="7">
    <w:name w:val="Normal Indent"/>
    <w:basedOn w:val="1"/>
    <w:qFormat/>
    <w:uiPriority w:val="0"/>
    <w:pPr>
      <w:ind w:firstLine="420"/>
    </w:pPr>
    <w:rPr>
      <w:szCs w:val="20"/>
    </w:rPr>
  </w:style>
  <w:style w:type="paragraph" w:styleId="8">
    <w:name w:val="caption"/>
    <w:basedOn w:val="1"/>
    <w:next w:val="1"/>
    <w:unhideWhenUsed/>
    <w:qFormat/>
    <w:uiPriority w:val="35"/>
    <w:pPr>
      <w:spacing w:afterLines="50"/>
      <w:jc w:val="center"/>
    </w:pPr>
    <w:rPr>
      <w:rFonts w:cstheme="majorBidi"/>
      <w:b/>
      <w:sz w:val="22"/>
      <w:szCs w:val="20"/>
    </w:rPr>
  </w:style>
  <w:style w:type="paragraph" w:styleId="9">
    <w:name w:val="Document Map"/>
    <w:basedOn w:val="1"/>
    <w:semiHidden/>
    <w:qFormat/>
    <w:uiPriority w:val="0"/>
    <w:pPr>
      <w:shd w:val="clear" w:color="auto" w:fill="000080"/>
    </w:pPr>
  </w:style>
  <w:style w:type="paragraph" w:styleId="10">
    <w:name w:val="annotation text"/>
    <w:basedOn w:val="1"/>
    <w:unhideWhenUsed/>
    <w:qFormat/>
    <w:uiPriority w:val="99"/>
    <w:pPr>
      <w:jc w:val="left"/>
    </w:pPr>
  </w:style>
  <w:style w:type="paragraph" w:styleId="11">
    <w:name w:val="Body Text"/>
    <w:basedOn w:val="1"/>
    <w:next w:val="1"/>
    <w:qFormat/>
    <w:uiPriority w:val="0"/>
    <w:rPr>
      <w:rFonts w:eastAsia="黑体"/>
      <w:b/>
      <w:bCs/>
      <w:spacing w:val="20"/>
      <w:kern w:val="52"/>
      <w:sz w:val="56"/>
    </w:rPr>
  </w:style>
  <w:style w:type="paragraph" w:styleId="12">
    <w:name w:val="Body Text Indent"/>
    <w:basedOn w:val="1"/>
    <w:next w:val="6"/>
    <w:qFormat/>
    <w:uiPriority w:val="0"/>
    <w:pPr>
      <w:spacing w:line="360" w:lineRule="auto"/>
      <w:ind w:firstLine="435"/>
    </w:pPr>
    <w:rPr>
      <w:sz w:val="28"/>
    </w:rPr>
  </w:style>
  <w:style w:type="paragraph" w:styleId="13">
    <w:name w:val="List 2"/>
    <w:basedOn w:val="1"/>
    <w:qFormat/>
    <w:uiPriority w:val="0"/>
    <w:pPr>
      <w:ind w:left="100" w:leftChars="200" w:hanging="200" w:hangingChars="200"/>
    </w:pPr>
  </w:style>
  <w:style w:type="paragraph" w:styleId="14">
    <w:name w:val="List Bullet 2"/>
    <w:basedOn w:val="1"/>
    <w:qFormat/>
    <w:uiPriority w:val="0"/>
    <w:pPr>
      <w:numPr>
        <w:ilvl w:val="0"/>
        <w:numId w:val="3"/>
      </w:numPr>
    </w:pPr>
  </w:style>
  <w:style w:type="paragraph" w:styleId="15">
    <w:name w:val="toc 3"/>
    <w:basedOn w:val="1"/>
    <w:next w:val="1"/>
    <w:qFormat/>
    <w:uiPriority w:val="0"/>
    <w:pPr>
      <w:ind w:left="840" w:leftChars="400"/>
    </w:pPr>
  </w:style>
  <w:style w:type="paragraph" w:styleId="16">
    <w:name w:val="Plain Text"/>
    <w:basedOn w:val="1"/>
    <w:link w:val="63"/>
    <w:qFormat/>
    <w:uiPriority w:val="0"/>
    <w:rPr>
      <w:rFonts w:ascii="宋体" w:hAnsi="Courier New" w:cs="Courier New"/>
      <w:szCs w:val="21"/>
    </w:rPr>
  </w:style>
  <w:style w:type="paragraph" w:styleId="17">
    <w:name w:val="List Bullet 5"/>
    <w:basedOn w:val="1"/>
    <w:qFormat/>
    <w:uiPriority w:val="0"/>
    <w:pPr>
      <w:numPr>
        <w:ilvl w:val="0"/>
        <w:numId w:val="4"/>
      </w:numPr>
    </w:pPr>
  </w:style>
  <w:style w:type="paragraph" w:styleId="18">
    <w:name w:val="Date"/>
    <w:basedOn w:val="1"/>
    <w:next w:val="1"/>
    <w:link w:val="57"/>
    <w:qFormat/>
    <w:uiPriority w:val="0"/>
    <w:rPr>
      <w:sz w:val="24"/>
      <w:szCs w:val="20"/>
    </w:rPr>
  </w:style>
  <w:style w:type="paragraph" w:styleId="19">
    <w:name w:val="Body Text Indent 2"/>
    <w:basedOn w:val="1"/>
    <w:qFormat/>
    <w:uiPriority w:val="0"/>
    <w:pPr>
      <w:spacing w:line="432" w:lineRule="auto"/>
      <w:ind w:firstLine="480" w:firstLineChars="200"/>
    </w:pPr>
    <w:rPr>
      <w:sz w:val="24"/>
      <w:szCs w:val="21"/>
    </w:rPr>
  </w:style>
  <w:style w:type="paragraph" w:styleId="20">
    <w:name w:val="Balloon Text"/>
    <w:basedOn w:val="1"/>
    <w:link w:val="82"/>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unhideWhenUsed/>
    <w:qFormat/>
    <w:uiPriority w:val="0"/>
    <w:pPr>
      <w:ind w:left="200" w:hanging="200" w:hangingChars="200"/>
      <w:contextualSpacing/>
    </w:pPr>
    <w:rPr>
      <w:sz w:val="20"/>
      <w:szCs w:val="20"/>
    </w:rPr>
  </w:style>
  <w:style w:type="paragraph" w:styleId="25">
    <w:name w:val="footnote text"/>
    <w:basedOn w:val="1"/>
    <w:unhideWhenUsed/>
    <w:qFormat/>
    <w:uiPriority w:val="99"/>
    <w:pPr>
      <w:snapToGrid w:val="0"/>
      <w:jc w:val="left"/>
    </w:pPr>
    <w:rPr>
      <w:sz w:val="18"/>
      <w:szCs w:val="18"/>
    </w:rPr>
  </w:style>
  <w:style w:type="paragraph" w:styleId="26">
    <w:name w:val="Body Text Indent 3"/>
    <w:basedOn w:val="1"/>
    <w:qFormat/>
    <w:uiPriority w:val="0"/>
    <w:pPr>
      <w:adjustRightInd w:val="0"/>
      <w:snapToGrid w:val="0"/>
      <w:ind w:firstLine="482"/>
    </w:pPr>
    <w:rPr>
      <w:sz w:val="24"/>
      <w:szCs w:val="21"/>
    </w:rPr>
  </w:style>
  <w:style w:type="paragraph" w:styleId="27">
    <w:name w:val="toc 2"/>
    <w:basedOn w:val="1"/>
    <w:next w:val="1"/>
    <w:qFormat/>
    <w:uiPriority w:val="0"/>
    <w:pPr>
      <w:ind w:left="420" w:leftChars="200"/>
    </w:pPr>
  </w:style>
  <w:style w:type="paragraph" w:styleId="28">
    <w:name w:val="Body Text 2"/>
    <w:basedOn w:val="1"/>
    <w:qFormat/>
    <w:uiPriority w:val="0"/>
    <w:pPr>
      <w:spacing w:line="360" w:lineRule="auto"/>
    </w:pPr>
    <w:rPr>
      <w:sz w:val="24"/>
    </w:rPr>
  </w:style>
  <w:style w:type="paragraph" w:styleId="29">
    <w:name w:val="Normal (Web)"/>
    <w:basedOn w:val="1"/>
    <w:qFormat/>
    <w:uiPriority w:val="0"/>
    <w:pPr>
      <w:widowControl/>
      <w:spacing w:before="100" w:beforeAutospacing="1" w:after="100" w:afterAutospacing="1"/>
      <w:jc w:val="left"/>
    </w:pPr>
    <w:rPr>
      <w:rFonts w:ascii="宋体" w:hAnsi="宋体"/>
      <w:kern w:val="0"/>
      <w:sz w:val="24"/>
    </w:rPr>
  </w:style>
  <w:style w:type="paragraph" w:styleId="30">
    <w:name w:val="Title"/>
    <w:basedOn w:val="1"/>
    <w:next w:val="1"/>
    <w:link w:val="61"/>
    <w:qFormat/>
    <w:uiPriority w:val="0"/>
    <w:pPr>
      <w:spacing w:before="240" w:after="60"/>
      <w:jc w:val="center"/>
      <w:outlineLvl w:val="0"/>
    </w:pPr>
    <w:rPr>
      <w:rFonts w:ascii="Cambria" w:hAnsi="Cambria"/>
      <w:b/>
      <w:bCs/>
      <w:sz w:val="32"/>
      <w:szCs w:val="32"/>
    </w:rPr>
  </w:style>
  <w:style w:type="paragraph" w:styleId="31">
    <w:name w:val="Body Text First Indent"/>
    <w:basedOn w:val="11"/>
    <w:next w:val="1"/>
    <w:qFormat/>
    <w:uiPriority w:val="99"/>
    <w:pPr>
      <w:ind w:firstLine="100" w:firstLineChars="100"/>
    </w:pPr>
  </w:style>
  <w:style w:type="paragraph" w:styleId="32">
    <w:name w:val="Body Text First Indent 2"/>
    <w:basedOn w:val="12"/>
    <w:next w:val="1"/>
    <w:unhideWhenUsed/>
    <w:qFormat/>
    <w:uiPriority w:val="99"/>
    <w:pPr>
      <w:ind w:firstLine="42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99"/>
    <w:rPr>
      <w:rFonts w:cs="Times New Roman"/>
      <w:b/>
      <w:bCs/>
    </w:rPr>
  </w:style>
  <w:style w:type="character" w:styleId="37">
    <w:name w:val="page number"/>
    <w:basedOn w:val="35"/>
    <w:qFormat/>
    <w:uiPriority w:val="0"/>
  </w:style>
  <w:style w:type="character" w:styleId="38">
    <w:name w:val="Hyperlink"/>
    <w:basedOn w:val="35"/>
    <w:qFormat/>
    <w:uiPriority w:val="0"/>
    <w:rPr>
      <w:color w:val="000000"/>
      <w:sz w:val="18"/>
      <w:szCs w:val="18"/>
      <w:u w:val="none"/>
    </w:rPr>
  </w:style>
  <w:style w:type="character" w:styleId="39">
    <w:name w:val="footnote reference"/>
    <w:basedOn w:val="35"/>
    <w:unhideWhenUsed/>
    <w:qFormat/>
    <w:uiPriority w:val="99"/>
    <w:rPr>
      <w:vertAlign w:val="superscript"/>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天创内容"/>
    <w:basedOn w:val="1"/>
    <w:qFormat/>
    <w:uiPriority w:val="0"/>
    <w:pPr>
      <w:ind w:firstLine="200" w:firstLineChars="200"/>
    </w:pPr>
  </w:style>
  <w:style w:type="paragraph" w:customStyle="1" w:styleId="42">
    <w:name w:val="4正文"/>
    <w:basedOn w:val="1"/>
    <w:qFormat/>
    <w:uiPriority w:val="0"/>
    <w:pPr>
      <w:spacing w:line="360" w:lineRule="auto"/>
      <w:ind w:firstLine="200" w:firstLineChars="200"/>
    </w:pPr>
  </w:style>
  <w:style w:type="paragraph" w:customStyle="1" w:styleId="43">
    <w:name w:val="Char Char Char"/>
    <w:basedOn w:val="1"/>
    <w:qFormat/>
    <w:uiPriority w:val="0"/>
  </w:style>
  <w:style w:type="paragraph" w:customStyle="1" w:styleId="4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5">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46">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7">
    <w:name w:val="Char"/>
    <w:basedOn w:val="1"/>
    <w:qFormat/>
    <w:uiPriority w:val="0"/>
  </w:style>
  <w:style w:type="paragraph" w:customStyle="1" w:styleId="48">
    <w:name w:val="表题"/>
    <w:basedOn w:val="1"/>
    <w:qFormat/>
    <w:uiPriority w:val="0"/>
    <w:pPr>
      <w:spacing w:beforeLines="50" w:afterLines="50"/>
      <w:jc w:val="center"/>
    </w:pPr>
    <w:rPr>
      <w:b/>
      <w:sz w:val="24"/>
      <w:szCs w:val="22"/>
    </w:rPr>
  </w:style>
  <w:style w:type="paragraph" w:customStyle="1" w:styleId="49">
    <w:name w:val="正文格式"/>
    <w:basedOn w:val="1"/>
    <w:next w:val="1"/>
    <w:qFormat/>
    <w:uiPriority w:val="0"/>
    <w:pPr>
      <w:ind w:firstLine="720"/>
    </w:pPr>
  </w:style>
  <w:style w:type="paragraph" w:customStyle="1" w:styleId="50">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51">
    <w:name w:val="样式1"/>
    <w:basedOn w:val="4"/>
    <w:qFormat/>
    <w:uiPriority w:val="0"/>
    <w:pPr>
      <w:keepLines/>
      <w:spacing w:before="260" w:after="260" w:line="416" w:lineRule="auto"/>
      <w:jc w:val="center"/>
    </w:pPr>
    <w:rPr>
      <w:rFonts w:hAnsi="宋体" w:eastAsia="黑体"/>
      <w:bCs/>
      <w:sz w:val="36"/>
      <w:szCs w:val="36"/>
    </w:rPr>
  </w:style>
  <w:style w:type="paragraph" w:customStyle="1" w:styleId="52">
    <w:name w:val="Table Paragraph"/>
    <w:basedOn w:val="1"/>
    <w:qFormat/>
    <w:uiPriority w:val="0"/>
  </w:style>
  <w:style w:type="paragraph" w:customStyle="1" w:styleId="53">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bCs w:val="0"/>
      <w:sz w:val="24"/>
    </w:rPr>
  </w:style>
  <w:style w:type="paragraph" w:customStyle="1" w:styleId="54">
    <w:name w:val="样式 标题 2 + Times New Roman 四号 非加粗 段前: 5 磅 段后: 0 磅 行距: 固定值 20..."/>
    <w:basedOn w:val="4"/>
    <w:qFormat/>
    <w:uiPriority w:val="0"/>
    <w:pPr>
      <w:spacing w:before="100" w:line="400" w:lineRule="exact"/>
    </w:pPr>
    <w:rPr>
      <w:rFonts w:ascii="Times New Roman" w:cs="宋体"/>
      <w:b w:val="0"/>
    </w:rPr>
  </w:style>
  <w:style w:type="paragraph" w:customStyle="1" w:styleId="55">
    <w:name w:val="WPS Plain"/>
    <w:qFormat/>
    <w:uiPriority w:val="0"/>
    <w:rPr>
      <w:rFonts w:ascii="Times New Roman" w:hAnsi="Times New Roman" w:eastAsia="宋体" w:cs="Times New Roman"/>
      <w:lang w:val="en-US" w:eastAsia="zh-CN" w:bidi="ar-SA"/>
    </w:rPr>
  </w:style>
  <w:style w:type="paragraph" w:customStyle="1" w:styleId="56">
    <w:name w:val="0"/>
    <w:basedOn w:val="1"/>
    <w:qFormat/>
    <w:uiPriority w:val="0"/>
    <w:pPr>
      <w:widowControl/>
      <w:spacing w:line="408" w:lineRule="auto"/>
      <w:ind w:left="1"/>
      <w:textAlignment w:val="bottom"/>
    </w:pPr>
    <w:rPr>
      <w:color w:val="000000"/>
      <w:kern w:val="0"/>
    </w:rPr>
  </w:style>
  <w:style w:type="character" w:customStyle="1" w:styleId="57">
    <w:name w:val="日期 Char"/>
    <w:basedOn w:val="35"/>
    <w:link w:val="18"/>
    <w:qFormat/>
    <w:uiPriority w:val="0"/>
    <w:rPr>
      <w:rFonts w:eastAsia="宋体"/>
      <w:kern w:val="2"/>
      <w:sz w:val="24"/>
      <w:lang w:val="en-US" w:eastAsia="zh-CN" w:bidi="ar-SA"/>
    </w:rPr>
  </w:style>
  <w:style w:type="character" w:customStyle="1" w:styleId="58">
    <w:name w:val="标题 1 Char"/>
    <w:qFormat/>
    <w:uiPriority w:val="0"/>
    <w:rPr>
      <w:rFonts w:ascii="宋体"/>
      <w:b/>
      <w:sz w:val="30"/>
      <w:szCs w:val="20"/>
    </w:rPr>
  </w:style>
  <w:style w:type="character" w:customStyle="1" w:styleId="59">
    <w:name w:val="div_class_1_rtcscls1_r_13"/>
    <w:basedOn w:val="35"/>
    <w:qFormat/>
    <w:uiPriority w:val="0"/>
    <w:rPr>
      <w:rFonts w:ascii="Times New Roman" w:hAnsi="Times New Roman" w:eastAsia="宋体" w:cs="Times New Roman"/>
    </w:rPr>
  </w:style>
  <w:style w:type="character" w:customStyle="1" w:styleId="60">
    <w:name w:val="div_class_1_rtcscls1_r_15"/>
    <w:basedOn w:val="35"/>
    <w:qFormat/>
    <w:uiPriority w:val="0"/>
    <w:rPr>
      <w:rFonts w:ascii="Times New Roman" w:hAnsi="Times New Roman" w:eastAsia="宋体" w:cs="Times New Roman"/>
      <w:b/>
      <w:bCs/>
    </w:rPr>
  </w:style>
  <w:style w:type="character" w:customStyle="1" w:styleId="61">
    <w:name w:val="标题 Char"/>
    <w:basedOn w:val="35"/>
    <w:link w:val="30"/>
    <w:qFormat/>
    <w:uiPriority w:val="0"/>
    <w:rPr>
      <w:rFonts w:ascii="Cambria" w:hAnsi="Cambria" w:eastAsia="宋体"/>
      <w:b/>
      <w:bCs/>
      <w:kern w:val="2"/>
      <w:sz w:val="32"/>
      <w:szCs w:val="32"/>
      <w:lang w:val="en-US" w:eastAsia="zh-CN" w:bidi="ar-SA"/>
    </w:rPr>
  </w:style>
  <w:style w:type="character" w:customStyle="1" w:styleId="62">
    <w:name w:val="标题 2 Char"/>
    <w:basedOn w:val="35"/>
    <w:qFormat/>
    <w:uiPriority w:val="0"/>
    <w:rPr>
      <w:rFonts w:ascii="宋体" w:hAnsi="宋体" w:eastAsia="黑体"/>
      <w:b/>
      <w:bCs/>
      <w:kern w:val="2"/>
      <w:sz w:val="24"/>
      <w:szCs w:val="32"/>
      <w:lang w:val="en-US" w:eastAsia="zh-CN" w:bidi="ar-SA"/>
    </w:rPr>
  </w:style>
  <w:style w:type="character" w:customStyle="1" w:styleId="63">
    <w:name w:val="纯文本 Char"/>
    <w:basedOn w:val="35"/>
    <w:link w:val="16"/>
    <w:qFormat/>
    <w:uiPriority w:val="0"/>
    <w:rPr>
      <w:rFonts w:ascii="宋体" w:hAnsi="Courier New" w:eastAsia="宋体" w:cs="Courier New"/>
      <w:kern w:val="2"/>
      <w:sz w:val="21"/>
      <w:szCs w:val="21"/>
      <w:lang w:val="en-US" w:eastAsia="zh-CN" w:bidi="ar-SA"/>
    </w:rPr>
  </w:style>
  <w:style w:type="character" w:customStyle="1" w:styleId="64">
    <w:name w:val="标题 2 Char1"/>
    <w:link w:val="4"/>
    <w:qFormat/>
    <w:uiPriority w:val="0"/>
    <w:rPr>
      <w:rFonts w:ascii="宋体"/>
      <w:b/>
      <w:sz w:val="28"/>
      <w:szCs w:val="20"/>
    </w:rPr>
  </w:style>
  <w:style w:type="character" w:customStyle="1" w:styleId="65">
    <w:name w:val="ca-1"/>
    <w:basedOn w:val="35"/>
    <w:qFormat/>
    <w:uiPriority w:val="0"/>
  </w:style>
  <w:style w:type="paragraph" w:styleId="66">
    <w:name w:val="List Paragraph"/>
    <w:basedOn w:val="1"/>
    <w:qFormat/>
    <w:uiPriority w:val="1"/>
    <w:pPr>
      <w:ind w:left="1038" w:hanging="632"/>
    </w:pPr>
    <w:rPr>
      <w:rFonts w:ascii="宋体" w:hAnsi="宋体" w:cs="宋体"/>
      <w:lang w:val="zh-CN" w:bidi="zh-CN"/>
    </w:rPr>
  </w:style>
  <w:style w:type="paragraph" w:customStyle="1" w:styleId="67">
    <w:name w:val="WPSOffice手动目录 1"/>
    <w:qFormat/>
    <w:uiPriority w:val="0"/>
    <w:rPr>
      <w:rFonts w:asciiTheme="minorHAnsi" w:hAnsiTheme="minorHAnsi" w:eastAsiaTheme="minorHAnsi" w:cstheme="minorBidi"/>
      <w:lang w:val="en-US" w:eastAsia="zh-CN" w:bidi="ar-SA"/>
    </w:rPr>
  </w:style>
  <w:style w:type="paragraph" w:customStyle="1" w:styleId="68">
    <w:name w:val="普通正文"/>
    <w:basedOn w:val="1"/>
    <w:link w:val="73"/>
    <w:qFormat/>
    <w:uiPriority w:val="0"/>
    <w:pPr>
      <w:adjustRightInd w:val="0"/>
      <w:spacing w:before="120" w:after="120" w:line="360" w:lineRule="auto"/>
      <w:ind w:firstLine="480"/>
      <w:jc w:val="left"/>
      <w:textAlignment w:val="baseline"/>
    </w:pPr>
    <w:rPr>
      <w:rFonts w:ascii="Arial" w:hAnsi="Arial"/>
      <w:kern w:val="0"/>
      <w:sz w:val="24"/>
    </w:rPr>
  </w:style>
  <w:style w:type="table" w:customStyle="1" w:styleId="69">
    <w:name w:val="Table Normal"/>
    <w:unhideWhenUsed/>
    <w:qFormat/>
    <w:uiPriority w:val="0"/>
    <w:tblPr>
      <w:tblCellMar>
        <w:top w:w="0" w:type="dxa"/>
        <w:left w:w="0" w:type="dxa"/>
        <w:bottom w:w="0" w:type="dxa"/>
        <w:right w:w="0" w:type="dxa"/>
      </w:tblCellMar>
    </w:tblPr>
  </w:style>
  <w:style w:type="paragraph" w:customStyle="1" w:styleId="70">
    <w:name w:val="段落"/>
    <w:basedOn w:val="1"/>
    <w:qFormat/>
    <w:uiPriority w:val="0"/>
    <w:rPr>
      <w:sz w:val="28"/>
    </w:rPr>
  </w:style>
  <w:style w:type="paragraph" w:customStyle="1" w:styleId="71">
    <w:name w:val="正文（仿宋4号）"/>
    <w:basedOn w:val="70"/>
    <w:qFormat/>
    <w:uiPriority w:val="0"/>
    <w:pPr>
      <w:ind w:firstLine="560"/>
    </w:pPr>
  </w:style>
  <w:style w:type="paragraph" w:customStyle="1" w:styleId="72">
    <w:name w:val="正文（规范）"/>
    <w:basedOn w:val="1"/>
    <w:qFormat/>
    <w:uiPriority w:val="0"/>
    <w:pPr>
      <w:widowControl/>
      <w:ind w:firstLine="480"/>
    </w:pPr>
    <w:rPr>
      <w:kern w:val="0"/>
    </w:rPr>
  </w:style>
  <w:style w:type="character" w:customStyle="1" w:styleId="73">
    <w:name w:val="普通正文 Char"/>
    <w:link w:val="68"/>
    <w:qFormat/>
    <w:uiPriority w:val="0"/>
    <w:rPr>
      <w:rFonts w:ascii="Arial" w:hAnsi="Arial"/>
      <w:kern w:val="0"/>
      <w:sz w:val="24"/>
    </w:rPr>
  </w:style>
  <w:style w:type="paragraph" w:customStyle="1" w:styleId="74">
    <w:name w:val="图题"/>
    <w:basedOn w:val="48"/>
    <w:qFormat/>
    <w:uiPriority w:val="0"/>
    <w:pPr>
      <w:spacing w:beforeLines="0"/>
    </w:pPr>
  </w:style>
  <w:style w:type="paragraph" w:customStyle="1" w:styleId="75">
    <w:name w:val="paragraph"/>
    <w:basedOn w:val="1"/>
    <w:qFormat/>
    <w:uiPriority w:val="0"/>
    <w:pPr>
      <w:widowControl/>
      <w:spacing w:before="100" w:beforeAutospacing="1" w:after="100" w:afterAutospacing="1"/>
      <w:jc w:val="left"/>
    </w:pPr>
    <w:rPr>
      <w:rFonts w:ascii="宋体" w:hAnsi="宋体" w:cs="宋体"/>
      <w:kern w:val="0"/>
    </w:rPr>
  </w:style>
  <w:style w:type="paragraph" w:customStyle="1" w:styleId="76">
    <w:name w:val="Char1"/>
    <w:qFormat/>
    <w:uiPriority w:val="99"/>
    <w:pPr>
      <w:spacing w:after="160" w:line="240" w:lineRule="exact"/>
    </w:pPr>
    <w:rPr>
      <w:rFonts w:ascii="Verdana" w:hAnsi="Verdana" w:eastAsia="仿宋_GB2312" w:cs="Verdana"/>
      <w:sz w:val="24"/>
      <w:szCs w:val="24"/>
      <w:lang w:val="en-US" w:eastAsia="en-US" w:bidi="ar-SA"/>
    </w:rPr>
  </w:style>
  <w:style w:type="paragraph" w:customStyle="1" w:styleId="77">
    <w:name w:val="默认段落字体 Para Char"/>
    <w:basedOn w:val="1"/>
    <w:qFormat/>
    <w:uiPriority w:val="99"/>
    <w:pPr>
      <w:adjustRightInd w:val="0"/>
      <w:spacing w:line="360" w:lineRule="auto"/>
    </w:pPr>
    <w:rPr>
      <w:rFonts w:ascii="宋体" w:hAnsi="宋体" w:cs="宋体"/>
      <w:kern w:val="0"/>
      <w:sz w:val="24"/>
      <w:szCs w:val="20"/>
    </w:rPr>
  </w:style>
  <w:style w:type="character" w:customStyle="1" w:styleId="78">
    <w:name w:val="标题 1 Char1"/>
    <w:link w:val="3"/>
    <w:qFormat/>
    <w:uiPriority w:val="0"/>
    <w:rPr>
      <w:rFonts w:ascii="宋体"/>
      <w:b/>
      <w:sz w:val="30"/>
      <w:szCs w:val="20"/>
    </w:rPr>
  </w:style>
  <w:style w:type="paragraph" w:customStyle="1" w:styleId="79">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80">
    <w:name w:val="表格文字"/>
    <w:basedOn w:val="1"/>
    <w:unhideWhenUsed/>
    <w:qFormat/>
    <w:uiPriority w:val="0"/>
    <w:pPr>
      <w:jc w:val="left"/>
    </w:pPr>
    <w:rPr>
      <w:rFonts w:ascii="Calibri" w:hAnsi="Calibri"/>
      <w:spacing w:val="10"/>
      <w:kern w:val="0"/>
      <w:sz w:val="24"/>
    </w:rPr>
  </w:style>
  <w:style w:type="paragraph" w:customStyle="1" w:styleId="81">
    <w:name w:val="正文空2格  1."/>
    <w:basedOn w:val="1"/>
    <w:qFormat/>
    <w:uiPriority w:val="0"/>
    <w:pPr>
      <w:ind w:firstLine="480" w:firstLineChars="200"/>
    </w:pPr>
    <w:rPr>
      <w:rFonts w:cs="宋体"/>
      <w:szCs w:val="20"/>
    </w:rPr>
  </w:style>
  <w:style w:type="character" w:customStyle="1" w:styleId="82">
    <w:name w:val="批注框文本 Char"/>
    <w:basedOn w:val="35"/>
    <w:link w:val="2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1e7c7d5-5560-4eee-bea0-9d4f08cecd48}"/>
        <w:style w:val=""/>
        <w:category>
          <w:name w:val="常规"/>
          <w:gallery w:val="placeholder"/>
        </w:category>
        <w:types>
          <w:type w:val="bbPlcHdr"/>
        </w:types>
        <w:behaviors>
          <w:behavior w:val="content"/>
        </w:behaviors>
        <w:description w:val=""/>
        <w:guid w:val="{51E7C7D5-5560-4EEE-BEA0-9D4F08CECD48}"/>
      </w:docPartPr>
      <w:docPartBody>
        <w:p>
          <w:r>
            <w:rPr>
              <w:color w:val="808080"/>
            </w:rPr>
            <w:t>单击此处输入文字。</w:t>
          </w:r>
        </w:p>
      </w:docPartBody>
    </w:docPart>
    <w:docPart>
      <w:docPartPr>
        <w:name w:val="{7c5ca767-e857-44b0-9870-b55e33e9c132}"/>
        <w:style w:val=""/>
        <w:category>
          <w:name w:val="常规"/>
          <w:gallery w:val="placeholder"/>
        </w:category>
        <w:types>
          <w:type w:val="bbPlcHdr"/>
        </w:types>
        <w:behaviors>
          <w:behavior w:val="content"/>
        </w:behaviors>
        <w:description w:val=""/>
        <w:guid w:val="{7C5CA767-E857-44B0-9870-B55E33E9C132}"/>
      </w:docPartPr>
      <w:docPartBody>
        <w:p>
          <w:r>
            <w:rPr>
              <w:color w:val="808080"/>
            </w:rPr>
            <w:t>单击此处输入文字。</w:t>
          </w:r>
        </w:p>
      </w:docPartBody>
    </w:docPart>
    <w:docPart>
      <w:docPartPr>
        <w:name w:val="{a02810eb-bf80-4a59-9b6b-a088f64b40b6}"/>
        <w:style w:val=""/>
        <w:category>
          <w:name w:val="常规"/>
          <w:gallery w:val="placeholder"/>
        </w:category>
        <w:types>
          <w:type w:val="bbPlcHdr"/>
        </w:types>
        <w:behaviors>
          <w:behavior w:val="content"/>
        </w:behaviors>
        <w:description w:val=""/>
        <w:guid w:val="{A02810EB-BF80-4A59-9B6B-A088F64B40B6}"/>
      </w:docPartPr>
      <w:docPartBody>
        <w:p>
          <w:r>
            <w:rPr>
              <w:color w:val="808080"/>
            </w:rPr>
            <w:t>单击此处输入文字。</w:t>
          </w:r>
        </w:p>
      </w:docPartBody>
    </w:docPart>
    <w:docPart>
      <w:docPartPr>
        <w:name w:val="{c31b7628-3956-40c7-9a2b-dd3c684bc2d4}"/>
        <w:style w:val=""/>
        <w:category>
          <w:name w:val="常规"/>
          <w:gallery w:val="placeholder"/>
        </w:category>
        <w:types>
          <w:type w:val="bbPlcHdr"/>
        </w:types>
        <w:behaviors>
          <w:behavior w:val="content"/>
        </w:behaviors>
        <w:description w:val=""/>
        <w:guid w:val="{C31B7628-3956-40C7-9A2B-DD3C684BC2D4}"/>
      </w:docPartPr>
      <w:docPartBody>
        <w:p>
          <w:r>
            <w:rPr>
              <w:color w:val="808080"/>
            </w:rPr>
            <w:t>单击此处输入文字。</w:t>
          </w:r>
        </w:p>
      </w:docPartBody>
    </w:docPart>
    <w:docPart>
      <w:docPartPr>
        <w:name w:val="{98d1b265-f5be-4f70-9a5b-e238fdd45aec}"/>
        <w:style w:val=""/>
        <w:category>
          <w:name w:val="常规"/>
          <w:gallery w:val="placeholder"/>
        </w:category>
        <w:types>
          <w:type w:val="bbPlcHdr"/>
        </w:types>
        <w:behaviors>
          <w:behavior w:val="content"/>
        </w:behaviors>
        <w:description w:val=""/>
        <w:guid w:val="{98D1B265-F5BE-4F70-9A5B-E238FDD45AE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641621"/>
    <w:rsid w:val="001D272E"/>
    <w:rsid w:val="00566C01"/>
    <w:rsid w:val="006123D9"/>
    <w:rsid w:val="00641621"/>
    <w:rsid w:val="008D3704"/>
    <w:rsid w:val="009958B4"/>
    <w:rsid w:val="00C964F3"/>
    <w:rsid w:val="00D50225"/>
    <w:rsid w:val="00DC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20562</Words>
  <Characters>21983</Characters>
  <Lines>184</Lines>
  <Paragraphs>51</Paragraphs>
  <TotalTime>26</TotalTime>
  <ScaleCrop>false</ScaleCrop>
  <LinksUpToDate>false</LinksUpToDate>
  <CharactersWithSpaces>24109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2011-06-24T03:20:00Z</dcterms:created>
  <dc:creator>fyh</dc:creator>
  <cp:lastModifiedBy>哦.这样啊</cp:lastModifiedBy>
  <cp:lastPrinted>2022-09-14T11:24:00Z</cp:lastPrinted>
  <dcterms:modified xsi:type="dcterms:W3CDTF">2023-06-05T09:12:19Z</dcterms:modified>
  <dc:title>博乐市2010年天然草原退木还草工程围栏材料采购招标文件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FE10EAFEBDA147928202098AFDB0B96C_13</vt:lpwstr>
  </property>
</Properties>
</file>