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both"/>
        <w:rPr>
          <w:rFonts w:hint="eastAsia" w:ascii="黑体" w:hAnsi="黑体" w:eastAsia="黑体"/>
          <w:sz w:val="10"/>
          <w:szCs w:val="10"/>
        </w:rPr>
      </w:pPr>
      <w:bookmarkStart w:id="341" w:name="_GoBack"/>
      <w:bookmarkEnd w:id="341"/>
    </w:p>
    <w:p>
      <w:pPr>
        <w:jc w:val="left"/>
        <w:rPr>
          <w:rFonts w:hint="eastAsia" w:ascii="宋体" w:hAnsi="宋体" w:cs="宋体"/>
          <w:b/>
          <w:sz w:val="36"/>
          <w:szCs w:val="36"/>
          <w:lang w:val="en-US" w:eastAsia="zh-CN"/>
        </w:rPr>
      </w:pPr>
    </w:p>
    <w:p>
      <w:pPr>
        <w:jc w:val="center"/>
        <w:rPr>
          <w:rFonts w:hint="eastAsia" w:ascii="宋体" w:hAnsi="宋体" w:eastAsia="宋体" w:cs="宋体"/>
          <w:b/>
          <w:sz w:val="36"/>
          <w:szCs w:val="36"/>
          <w:lang w:eastAsia="zh-CN"/>
        </w:rPr>
      </w:pPr>
      <w:r>
        <w:rPr>
          <w:rFonts w:hint="eastAsia" w:ascii="宋体" w:hAnsi="宋体" w:cs="宋体"/>
          <w:b/>
          <w:sz w:val="36"/>
          <w:szCs w:val="36"/>
          <w:lang w:val="en-US" w:eastAsia="zh-CN"/>
        </w:rPr>
        <w:t>2023年度耕地资源质量分类监测工作项目</w:t>
      </w:r>
    </w:p>
    <w:p>
      <w:pPr>
        <w:rPr>
          <w:rFonts w:hint="eastAsia" w:ascii="宋体" w:hAnsi="宋体" w:eastAsia="宋体" w:cs="宋体"/>
          <w:b/>
          <w:sz w:val="84"/>
          <w:szCs w:val="84"/>
        </w:rPr>
      </w:pPr>
    </w:p>
    <w:p>
      <w:pPr>
        <w:pStyle w:val="2"/>
        <w:rPr>
          <w:rFonts w:hint="eastAsia"/>
        </w:rPr>
      </w:pPr>
    </w:p>
    <w:p>
      <w:pPr>
        <w:rPr>
          <w:rFonts w:hint="eastAsia"/>
        </w:rPr>
      </w:pPr>
    </w:p>
    <w:p>
      <w:pPr>
        <w:pStyle w:val="2"/>
        <w:rPr>
          <w:rFonts w:hint="eastAsia"/>
        </w:rPr>
      </w:pPr>
    </w:p>
    <w:p>
      <w:pPr>
        <w:pStyle w:val="31"/>
        <w:rPr>
          <w:rFonts w:hint="eastAsia"/>
        </w:rPr>
      </w:pPr>
    </w:p>
    <w:p>
      <w:pPr>
        <w:jc w:val="center"/>
        <w:rPr>
          <w:rFonts w:hint="eastAsia" w:ascii="宋体" w:hAnsi="宋体" w:eastAsia="宋体" w:cs="宋体"/>
          <w:b/>
          <w:sz w:val="96"/>
          <w:szCs w:val="96"/>
        </w:rPr>
      </w:pPr>
      <w:r>
        <w:rPr>
          <w:rFonts w:hint="eastAsia" w:ascii="宋体" w:hAnsi="宋体" w:cs="宋体"/>
          <w:b/>
          <w:sz w:val="96"/>
          <w:szCs w:val="96"/>
          <w:lang w:eastAsia="zh-CN"/>
        </w:rPr>
        <w:t>竞争性磋商</w:t>
      </w:r>
      <w:r>
        <w:rPr>
          <w:rFonts w:hint="eastAsia" w:ascii="宋体" w:hAnsi="宋体" w:eastAsia="宋体" w:cs="宋体"/>
          <w:b/>
          <w:sz w:val="96"/>
          <w:szCs w:val="96"/>
        </w:rPr>
        <w:t>文件</w:t>
      </w:r>
    </w:p>
    <w:p>
      <w:pPr>
        <w:jc w:val="center"/>
        <w:rPr>
          <w:rFonts w:hint="eastAsia" w:ascii="宋体" w:hAnsi="宋体" w:eastAsia="宋体" w:cs="宋体"/>
          <w:sz w:val="32"/>
          <w:szCs w:val="32"/>
        </w:rPr>
      </w:pPr>
    </w:p>
    <w:p>
      <w:pPr>
        <w:jc w:val="both"/>
        <w:rPr>
          <w:rFonts w:hint="eastAsia" w:ascii="宋体" w:hAnsi="宋体" w:eastAsia="宋体" w:cs="宋体"/>
          <w:sz w:val="32"/>
          <w:szCs w:val="32"/>
        </w:rPr>
      </w:pPr>
    </w:p>
    <w:p>
      <w:pPr>
        <w:jc w:val="both"/>
        <w:rPr>
          <w:rFonts w:hint="eastAsia" w:ascii="宋体" w:hAnsi="宋体" w:eastAsia="宋体" w:cs="宋体"/>
          <w:sz w:val="32"/>
          <w:szCs w:val="32"/>
        </w:rPr>
      </w:pPr>
    </w:p>
    <w:p>
      <w:pPr>
        <w:pStyle w:val="31"/>
        <w:ind w:left="0" w:leftChars="0" w:firstLine="0" w:firstLineChars="0"/>
        <w:rPr>
          <w:rFonts w:hint="eastAsia" w:ascii="宋体" w:hAnsi="宋体" w:eastAsia="宋体" w:cs="宋体"/>
          <w:sz w:val="32"/>
          <w:szCs w:val="32"/>
        </w:rPr>
      </w:pPr>
    </w:p>
    <w:p>
      <w:pPr>
        <w:pStyle w:val="31"/>
        <w:rPr>
          <w:rFonts w:hint="eastAsia" w:ascii="宋体" w:hAnsi="宋体" w:eastAsia="宋体" w:cs="宋体"/>
          <w:sz w:val="32"/>
          <w:szCs w:val="32"/>
        </w:rPr>
      </w:pPr>
    </w:p>
    <w:p>
      <w:pPr>
        <w:pStyle w:val="31"/>
        <w:rPr>
          <w:rFonts w:hint="eastAsia" w:ascii="宋体" w:hAnsi="宋体" w:eastAsia="宋体" w:cs="宋体"/>
          <w:sz w:val="32"/>
          <w:szCs w:val="32"/>
        </w:rPr>
      </w:pPr>
    </w:p>
    <w:p>
      <w:pPr>
        <w:pStyle w:val="31"/>
        <w:rPr>
          <w:rFonts w:hint="eastAsia" w:ascii="宋体" w:hAnsi="宋体" w:eastAsia="宋体" w:cs="宋体"/>
          <w:sz w:val="32"/>
          <w:szCs w:val="32"/>
        </w:rPr>
      </w:pPr>
    </w:p>
    <w:p>
      <w:pPr>
        <w:pStyle w:val="31"/>
        <w:rPr>
          <w:rFonts w:hint="eastAsia" w:ascii="宋体" w:hAnsi="宋体" w:eastAsia="宋体" w:cs="宋体"/>
          <w:sz w:val="32"/>
          <w:szCs w:val="32"/>
        </w:rPr>
      </w:pPr>
    </w:p>
    <w:p>
      <w:pPr>
        <w:pStyle w:val="31"/>
        <w:rPr>
          <w:rFonts w:hint="eastAsia" w:ascii="宋体" w:hAnsi="宋体" w:eastAsia="宋体" w:cs="宋体"/>
          <w:sz w:val="32"/>
          <w:szCs w:val="32"/>
        </w:rPr>
      </w:pPr>
    </w:p>
    <w:p>
      <w:pPr>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color w:val="auto"/>
          <w:sz w:val="32"/>
          <w:szCs w:val="32"/>
        </w:rPr>
      </w:pPr>
      <w:r>
        <w:rPr>
          <w:rFonts w:hint="eastAsia" w:ascii="宋体" w:hAnsi="宋体" w:cs="宋体"/>
          <w:b/>
          <w:sz w:val="32"/>
          <w:szCs w:val="32"/>
          <w:lang w:eastAsia="zh-CN"/>
        </w:rPr>
        <w:t>采购</w:t>
      </w:r>
      <w:r>
        <w:rPr>
          <w:rFonts w:hint="eastAsia" w:ascii="宋体" w:hAnsi="宋体" w:eastAsia="宋体" w:cs="宋体"/>
          <w:b/>
          <w:sz w:val="32"/>
          <w:szCs w:val="32"/>
        </w:rPr>
        <w:t>人：</w:t>
      </w:r>
      <w:r>
        <w:rPr>
          <w:rFonts w:hint="eastAsia" w:ascii="宋体" w:hAnsi="宋体" w:eastAsia="宋体" w:cs="宋体"/>
          <w:b/>
          <w:sz w:val="32"/>
          <w:szCs w:val="32"/>
          <w:lang w:val="en-US"/>
        </w:rPr>
        <w:t>沙雅县自然资源局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项目编</w:t>
      </w:r>
      <w:r>
        <w:rPr>
          <w:rFonts w:hint="eastAsia" w:ascii="宋体" w:hAnsi="宋体" w:cs="宋体"/>
          <w:b/>
          <w:color w:val="auto"/>
          <w:sz w:val="32"/>
          <w:szCs w:val="32"/>
          <w:lang w:eastAsia="zh-CN"/>
        </w:rPr>
        <w:t>号</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eastAsia="zh-CN"/>
        </w:rPr>
        <w:fldChar w:fldCharType="begin"/>
      </w:r>
      <w:r>
        <w:rPr>
          <w:rFonts w:hint="eastAsia" w:ascii="宋体" w:hAnsi="宋体" w:eastAsia="宋体" w:cs="宋体"/>
          <w:b/>
          <w:color w:val="auto"/>
          <w:sz w:val="32"/>
          <w:szCs w:val="32"/>
          <w:lang w:eastAsia="zh-CN"/>
        </w:rPr>
        <w:instrText xml:space="preserve"> HYPERLINK "https://www.zcygov.cn/project-center/project-result-detail/6957612983392399402" \t "https://www.zcygov.cn/project-center/self-project/_blank" </w:instrText>
      </w:r>
      <w:r>
        <w:rPr>
          <w:rFonts w:hint="eastAsia" w:ascii="宋体" w:hAnsi="宋体" w:eastAsia="宋体" w:cs="宋体"/>
          <w:b/>
          <w:color w:val="auto"/>
          <w:sz w:val="32"/>
          <w:szCs w:val="32"/>
          <w:lang w:eastAsia="zh-CN"/>
        </w:rPr>
        <w:fldChar w:fldCharType="separate"/>
      </w:r>
      <w:r>
        <w:rPr>
          <w:rFonts w:hint="eastAsia" w:ascii="宋体" w:hAnsi="宋体" w:eastAsia="宋体" w:cs="宋体"/>
          <w:b/>
          <w:color w:val="auto"/>
          <w:sz w:val="32"/>
          <w:szCs w:val="32"/>
          <w:lang w:eastAsia="zh-CN"/>
        </w:rPr>
        <w:t>XJYC-ZFCG-202</w:t>
      </w:r>
      <w:r>
        <w:rPr>
          <w:rFonts w:hint="eastAsia" w:ascii="宋体" w:hAnsi="宋体" w:cs="宋体"/>
          <w:b/>
          <w:color w:val="auto"/>
          <w:sz w:val="32"/>
          <w:szCs w:val="32"/>
          <w:lang w:val="en-US" w:eastAsia="zh-CN"/>
        </w:rPr>
        <w:t>3</w:t>
      </w:r>
      <w:r>
        <w:rPr>
          <w:rFonts w:hint="eastAsia" w:ascii="宋体" w:hAnsi="宋体" w:eastAsia="宋体" w:cs="宋体"/>
          <w:b/>
          <w:color w:val="auto"/>
          <w:sz w:val="32"/>
          <w:szCs w:val="32"/>
          <w:lang w:eastAsia="zh-CN"/>
        </w:rPr>
        <w:t>（</w:t>
      </w:r>
      <w:r>
        <w:rPr>
          <w:rFonts w:hint="eastAsia" w:ascii="宋体" w:hAnsi="宋体" w:cs="宋体"/>
          <w:b/>
          <w:color w:val="auto"/>
          <w:sz w:val="32"/>
          <w:szCs w:val="32"/>
          <w:lang w:val="en-US" w:eastAsia="zh-CN"/>
        </w:rPr>
        <w:t>JZXCS</w:t>
      </w:r>
      <w:r>
        <w:rPr>
          <w:rFonts w:hint="eastAsia" w:ascii="宋体" w:hAnsi="宋体" w:eastAsia="宋体" w:cs="宋体"/>
          <w:b/>
          <w:color w:val="auto"/>
          <w:sz w:val="32"/>
          <w:szCs w:val="32"/>
          <w:lang w:eastAsia="zh-CN"/>
        </w:rPr>
        <w:t>）-0</w:t>
      </w:r>
      <w:r>
        <w:rPr>
          <w:rFonts w:hint="eastAsia" w:ascii="宋体" w:hAnsi="宋体" w:cs="宋体"/>
          <w:b/>
          <w:color w:val="auto"/>
          <w:sz w:val="32"/>
          <w:szCs w:val="32"/>
          <w:lang w:val="en-US" w:eastAsia="zh-CN"/>
        </w:rPr>
        <w:t>2</w:t>
      </w:r>
      <w:r>
        <w:rPr>
          <w:rFonts w:hint="eastAsia" w:ascii="宋体" w:hAnsi="宋体" w:eastAsia="宋体" w:cs="宋体"/>
          <w:b/>
          <w:color w:val="auto"/>
          <w:sz w:val="32"/>
          <w:szCs w:val="32"/>
          <w:lang w:eastAsia="zh-CN"/>
        </w:rPr>
        <w:t>号</w:t>
      </w:r>
      <w:r>
        <w:rPr>
          <w:rFonts w:hint="eastAsia" w:ascii="宋体" w:hAnsi="宋体" w:eastAsia="宋体" w:cs="宋体"/>
          <w:b/>
          <w:color w:val="auto"/>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sz w:val="32"/>
          <w:szCs w:val="32"/>
          <w:lang w:eastAsia="zh-CN"/>
        </w:rPr>
      </w:pPr>
      <w:r>
        <w:rPr>
          <w:rFonts w:hint="eastAsia" w:ascii="宋体" w:hAnsi="宋体" w:cs="宋体"/>
          <w:b/>
          <w:sz w:val="32"/>
          <w:szCs w:val="32"/>
          <w:lang w:eastAsia="zh-CN"/>
        </w:rPr>
        <w:t>采购</w:t>
      </w:r>
      <w:r>
        <w:rPr>
          <w:rFonts w:hint="eastAsia" w:ascii="宋体" w:hAnsi="宋体" w:eastAsia="宋体" w:cs="宋体"/>
          <w:b/>
          <w:sz w:val="32"/>
          <w:szCs w:val="32"/>
        </w:rPr>
        <w:t>代理机构：</w:t>
      </w:r>
      <w:r>
        <w:rPr>
          <w:rFonts w:hint="eastAsia" w:ascii="宋体" w:hAnsi="宋体" w:cs="宋体"/>
          <w:b/>
          <w:sz w:val="32"/>
          <w:szCs w:val="32"/>
          <w:lang w:eastAsia="zh-CN"/>
        </w:rPr>
        <w:t>新疆源川工程项目管理有限公司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sz w:val="32"/>
          <w:szCs w:val="32"/>
        </w:rPr>
      </w:pPr>
      <w:r>
        <w:rPr>
          <w:rFonts w:hint="eastAsia" w:ascii="宋体" w:hAnsi="宋体" w:eastAsia="宋体" w:cs="宋体"/>
          <w:b/>
          <w:sz w:val="32"/>
          <w:szCs w:val="32"/>
        </w:rPr>
        <w:t>二Ｏ</w:t>
      </w:r>
      <w:r>
        <w:rPr>
          <w:rFonts w:hint="eastAsia" w:ascii="宋体" w:hAnsi="宋体" w:cs="宋体"/>
          <w:b/>
          <w:sz w:val="32"/>
          <w:szCs w:val="32"/>
          <w:lang w:eastAsia="zh-CN"/>
        </w:rPr>
        <w:t>二三</w:t>
      </w:r>
      <w:r>
        <w:rPr>
          <w:rFonts w:hint="eastAsia" w:ascii="宋体" w:hAnsi="宋体" w:eastAsia="宋体" w:cs="宋体"/>
          <w:b/>
          <w:sz w:val="32"/>
          <w:szCs w:val="32"/>
        </w:rPr>
        <w:t>年</w:t>
      </w:r>
      <w:r>
        <w:rPr>
          <w:rFonts w:hint="eastAsia" w:ascii="宋体" w:hAnsi="宋体" w:cs="宋体"/>
          <w:b/>
          <w:sz w:val="32"/>
          <w:szCs w:val="32"/>
          <w:lang w:val="en-US" w:eastAsia="zh-CN"/>
        </w:rPr>
        <w:t>六</w:t>
      </w:r>
      <w:r>
        <w:rPr>
          <w:rFonts w:hint="eastAsia" w:ascii="宋体" w:hAnsi="宋体" w:eastAsia="宋体" w:cs="宋体"/>
          <w:b/>
          <w:sz w:val="32"/>
          <w:szCs w:val="32"/>
        </w:rPr>
        <w:t>月</w:t>
      </w:r>
    </w:p>
    <w:p>
      <w:pPr>
        <w:pStyle w:val="31"/>
        <w:rPr>
          <w:rFonts w:hint="eastAsia" w:ascii="宋体" w:hAnsi="宋体" w:eastAsia="宋体" w:cs="宋体"/>
          <w:color w:val="auto"/>
          <w:sz w:val="36"/>
          <w:szCs w:val="36"/>
          <w:highlight w:val="none"/>
        </w:rPr>
      </w:pPr>
    </w:p>
    <w:p>
      <w:pPr>
        <w:pStyle w:val="31"/>
        <w:rPr>
          <w:rFonts w:hint="eastAsia" w:ascii="宋体" w:hAnsi="宋体" w:eastAsia="宋体" w:cs="宋体"/>
          <w:color w:val="auto"/>
          <w:sz w:val="36"/>
          <w:szCs w:val="36"/>
          <w:highlight w:val="none"/>
        </w:rPr>
      </w:pPr>
    </w:p>
    <w:p>
      <w:pPr>
        <w:adjustRightInd w:val="0"/>
        <w:snapToGrid w:val="0"/>
        <w:spacing w:line="360" w:lineRule="auto"/>
        <w:jc w:val="both"/>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rPr>
          <w:rFonts w:hint="eastAsia" w:ascii="宋体" w:hAnsi="宋体" w:eastAsia="宋体" w:cs="宋体"/>
          <w:color w:val="auto"/>
          <w:highlight w:val="none"/>
        </w:rPr>
      </w:pPr>
    </w:p>
    <w:p>
      <w:pPr>
        <w:pStyle w:val="31"/>
        <w:ind w:left="0" w:leftChars="0" w:firstLine="0" w:firstLineChars="0"/>
        <w:rPr>
          <w:rFonts w:hint="eastAsia" w:ascii="宋体" w:hAnsi="宋体" w:eastAsia="宋体" w:cs="宋体"/>
        </w:rPr>
      </w:pPr>
    </w:p>
    <w:p>
      <w:pPr>
        <w:pStyle w:val="31"/>
        <w:ind w:left="0" w:leftChars="0" w:firstLine="0" w:firstLineChars="0"/>
        <w:rPr>
          <w:rFonts w:hint="eastAsia" w:ascii="宋体" w:hAnsi="宋体" w:eastAsia="宋体" w:cs="宋体"/>
        </w:rPr>
      </w:pPr>
    </w:p>
    <w:p>
      <w:pPr>
        <w:pStyle w:val="31"/>
        <w:ind w:left="0" w:leftChars="0" w:firstLine="0" w:firstLineChars="0"/>
        <w:rPr>
          <w:rFonts w:hint="eastAsia" w:ascii="宋体" w:hAnsi="宋体" w:eastAsia="宋体" w:cs="宋体"/>
        </w:rPr>
      </w:pPr>
    </w:p>
    <w:p>
      <w:pPr>
        <w:ind w:left="0" w:leftChars="0" w:right="0" w:rightChars="0" w:firstLine="0" w:firstLineChars="0"/>
        <w:jc w:val="center"/>
        <w:rPr>
          <w:rFonts w:hint="eastAsia" w:ascii="宋体" w:hAnsi="宋体" w:eastAsia="宋体" w:cs="宋体"/>
          <w:b/>
          <w:color w:val="auto"/>
          <w:sz w:val="40"/>
          <w:szCs w:val="20"/>
          <w:highlight w:val="none"/>
        </w:rPr>
      </w:pPr>
      <w:r>
        <w:rPr>
          <w:rFonts w:hint="eastAsia" w:ascii="宋体" w:hAnsi="宋体" w:cs="宋体"/>
          <w:b/>
          <w:color w:val="auto"/>
          <w:sz w:val="40"/>
          <w:szCs w:val="20"/>
          <w:highlight w:val="none"/>
          <w:lang w:eastAsia="zh-CN"/>
        </w:rPr>
        <w:t>服务</w:t>
      </w:r>
      <w:r>
        <w:rPr>
          <w:rFonts w:hint="eastAsia" w:ascii="宋体" w:hAnsi="宋体" w:eastAsia="宋体" w:cs="宋体"/>
          <w:b/>
          <w:color w:val="auto"/>
          <w:sz w:val="40"/>
          <w:szCs w:val="20"/>
          <w:highlight w:val="none"/>
          <w:lang w:eastAsia="zh-CN"/>
        </w:rPr>
        <w:t>磋商</w:t>
      </w:r>
      <w:r>
        <w:rPr>
          <w:rFonts w:hint="eastAsia" w:ascii="宋体" w:hAnsi="宋体" w:eastAsia="宋体" w:cs="宋体"/>
          <w:b/>
          <w:color w:val="auto"/>
          <w:sz w:val="40"/>
          <w:szCs w:val="20"/>
          <w:highlight w:val="none"/>
        </w:rPr>
        <w:t>文件</w:t>
      </w:r>
    </w:p>
    <w:p>
      <w:pPr>
        <w:spacing w:line="600" w:lineRule="exact"/>
        <w:rPr>
          <w:rFonts w:hint="eastAsia" w:ascii="宋体" w:hAnsi="宋体" w:eastAsia="宋体" w:cs="宋体"/>
          <w:color w:val="auto"/>
          <w:sz w:val="28"/>
          <w:szCs w:val="28"/>
          <w:highlight w:val="none"/>
          <w:lang w:eastAsia="zh-CN"/>
        </w:rPr>
      </w:pPr>
    </w:p>
    <w:p>
      <w:pPr>
        <w:spacing w:line="60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项目名称：</w:t>
      </w:r>
      <w:r>
        <w:rPr>
          <w:rFonts w:hint="eastAsia" w:ascii="宋体" w:hAnsi="宋体" w:eastAsia="宋体" w:cs="宋体"/>
          <w:color w:val="auto"/>
          <w:sz w:val="28"/>
          <w:szCs w:val="28"/>
          <w:highlight w:val="none"/>
          <w:lang w:val="en-US" w:eastAsia="zh-CN"/>
        </w:rPr>
        <w:t>2023年度耕地资源质量分类监测工作项目</w:t>
      </w:r>
      <w:r>
        <w:rPr>
          <w:rFonts w:hint="eastAsia" w:ascii="宋体" w:hAnsi="宋体" w:cs="宋体"/>
          <w:color w:val="auto"/>
          <w:sz w:val="28"/>
          <w:szCs w:val="28"/>
          <w:highlight w:val="none"/>
          <w:lang w:val="en-US" w:eastAsia="zh-CN"/>
        </w:rPr>
        <w:t xml:space="preserve"> </w:t>
      </w:r>
    </w:p>
    <w:p>
      <w:pPr>
        <w:spacing w:line="60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招标人（公章）：</w:t>
      </w:r>
      <w:r>
        <w:rPr>
          <w:rFonts w:hint="eastAsia" w:ascii="宋体" w:hAnsi="宋体" w:eastAsia="宋体" w:cs="宋体"/>
          <w:color w:val="auto"/>
          <w:sz w:val="28"/>
          <w:szCs w:val="28"/>
          <w:highlight w:val="none"/>
          <w:lang w:val="en-US" w:eastAsia="zh-CN"/>
        </w:rPr>
        <w:t xml:space="preserve">沙雅县自然资源局 </w:t>
      </w:r>
    </w:p>
    <w:p>
      <w:pPr>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法定代表人（签章）：</w:t>
      </w:r>
    </w:p>
    <w:p>
      <w:pPr>
        <w:spacing w:line="6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联系人：任</w:t>
      </w:r>
      <w:r>
        <w:rPr>
          <w:rFonts w:hint="eastAsia" w:ascii="宋体" w:hAnsi="宋体" w:cs="宋体"/>
          <w:color w:val="auto"/>
          <w:sz w:val="28"/>
          <w:szCs w:val="28"/>
          <w:highlight w:val="none"/>
          <w:lang w:val="en-US" w:eastAsia="zh-CN"/>
        </w:rPr>
        <w:t xml:space="preserve"> 工</w:t>
      </w:r>
    </w:p>
    <w:p>
      <w:pPr>
        <w:spacing w:line="600" w:lineRule="exac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val="en-US" w:eastAsia="zh-CN"/>
        </w:rPr>
        <w:t>15099359067</w:t>
      </w:r>
    </w:p>
    <w:p>
      <w:pPr>
        <w:spacing w:line="500" w:lineRule="exact"/>
        <w:ind w:left="2413" w:leftChars="337" w:hanging="1705" w:hangingChars="609"/>
        <w:rPr>
          <w:rFonts w:hint="eastAsia" w:ascii="宋体" w:hAnsi="宋体" w:eastAsia="宋体" w:cs="宋体"/>
          <w:color w:val="auto"/>
          <w:sz w:val="28"/>
          <w:szCs w:val="28"/>
          <w:highlight w:val="none"/>
        </w:rPr>
      </w:pPr>
    </w:p>
    <w:p>
      <w:pPr>
        <w:spacing w:line="500" w:lineRule="exact"/>
        <w:rPr>
          <w:rFonts w:hint="eastAsia" w:ascii="宋体" w:hAnsi="宋体" w:eastAsia="宋体" w:cs="宋体"/>
          <w:color w:val="auto"/>
          <w:sz w:val="28"/>
          <w:szCs w:val="28"/>
          <w:highlight w:val="none"/>
        </w:rPr>
      </w:pPr>
    </w:p>
    <w:p>
      <w:pPr>
        <w:spacing w:line="500" w:lineRule="exact"/>
        <w:rPr>
          <w:rFonts w:hint="eastAsia" w:ascii="宋体" w:hAnsi="宋体" w:eastAsia="宋体" w:cs="宋体"/>
          <w:color w:val="auto"/>
          <w:sz w:val="28"/>
          <w:szCs w:val="28"/>
          <w:highlight w:val="none"/>
        </w:rPr>
      </w:pPr>
    </w:p>
    <w:p>
      <w:pPr>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代理机构（公章）：</w:t>
      </w:r>
      <w:r>
        <w:rPr>
          <w:rFonts w:hint="eastAsia" w:ascii="宋体" w:hAnsi="宋体" w:cs="宋体"/>
          <w:color w:val="auto"/>
          <w:sz w:val="28"/>
          <w:szCs w:val="28"/>
          <w:highlight w:val="none"/>
          <w:lang w:eastAsia="zh-CN"/>
        </w:rPr>
        <w:t>新疆源川工程项目管理有限公司</w:t>
      </w:r>
    </w:p>
    <w:p>
      <w:pPr>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法定代表人（签章）：</w:t>
      </w:r>
    </w:p>
    <w:p>
      <w:pPr>
        <w:spacing w:line="60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房燕</w:t>
      </w:r>
      <w:r>
        <w:rPr>
          <w:rFonts w:hint="eastAsia" w:ascii="宋体" w:hAnsi="宋体" w:cs="宋体"/>
          <w:color w:val="auto"/>
          <w:sz w:val="28"/>
          <w:szCs w:val="28"/>
          <w:highlight w:val="none"/>
          <w:lang w:val="en-US" w:eastAsia="zh-CN"/>
        </w:rPr>
        <w:t xml:space="preserve"> </w:t>
      </w:r>
    </w:p>
    <w:p>
      <w:pPr>
        <w:spacing w:line="600" w:lineRule="exact"/>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val="en-US" w:eastAsia="zh-CN"/>
        </w:rPr>
        <w:t xml:space="preserve">15292316246 </w:t>
      </w:r>
    </w:p>
    <w:p>
      <w:pPr>
        <w:widowControl/>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p>
    <w:p>
      <w:pPr>
        <w:jc w:val="both"/>
        <w:rPr>
          <w:rFonts w:hint="eastAsia" w:ascii="宋体" w:hAnsi="宋体" w:eastAsia="宋体" w:cs="宋体"/>
          <w:color w:val="auto"/>
          <w:sz w:val="28"/>
          <w:szCs w:val="28"/>
          <w:highlight w:val="none"/>
        </w:rPr>
      </w:pPr>
    </w:p>
    <w:p>
      <w:pPr>
        <w:jc w:val="both"/>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 xml:space="preserve">     </w:t>
      </w:r>
    </w:p>
    <w:p>
      <w:pPr>
        <w:jc w:val="both"/>
        <w:rPr>
          <w:rFonts w:hint="eastAsia" w:ascii="宋体" w:hAnsi="宋体" w:eastAsia="宋体" w:cs="宋体"/>
          <w:b w:val="0"/>
          <w:bCs/>
          <w:color w:val="auto"/>
          <w:sz w:val="28"/>
          <w:szCs w:val="28"/>
          <w:highlight w:val="none"/>
          <w:lang w:eastAsia="zh-CN"/>
        </w:rPr>
      </w:pPr>
    </w:p>
    <w:p>
      <w:pPr>
        <w:pStyle w:val="31"/>
        <w:rPr>
          <w:rFonts w:hint="eastAsia"/>
          <w:lang w:eastAsia="zh-CN"/>
        </w:rPr>
      </w:pPr>
    </w:p>
    <w:p>
      <w:pPr>
        <w:jc w:val="center"/>
        <w:rPr>
          <w:rFonts w:hint="eastAsia" w:ascii="宋体" w:hAnsi="宋体" w:eastAsia="宋体" w:cs="宋体"/>
          <w:b w:val="0"/>
          <w:bCs/>
          <w:color w:val="auto"/>
          <w:sz w:val="28"/>
          <w:szCs w:val="28"/>
          <w:highlight w:val="none"/>
        </w:rPr>
      </w:pPr>
      <w:r>
        <w:rPr>
          <w:rFonts w:hint="eastAsia" w:ascii="宋体" w:hAnsi="宋体" w:cs="宋体"/>
          <w:b w:val="0"/>
          <w:bCs/>
          <w:color w:val="auto"/>
          <w:sz w:val="28"/>
          <w:szCs w:val="28"/>
          <w:highlight w:val="none"/>
          <w:lang w:eastAsia="zh-CN"/>
        </w:rPr>
        <w:t>202</w:t>
      </w:r>
      <w:r>
        <w:rPr>
          <w:rFonts w:hint="eastAsia" w:ascii="宋体" w:hAnsi="宋体" w:cs="宋体"/>
          <w:b w:val="0"/>
          <w:bCs/>
          <w:color w:val="auto"/>
          <w:sz w:val="28"/>
          <w:szCs w:val="28"/>
          <w:highlight w:val="none"/>
          <w:lang w:val="en-US" w:eastAsia="zh-CN"/>
        </w:rPr>
        <w:t>3</w:t>
      </w:r>
      <w:r>
        <w:rPr>
          <w:rFonts w:hint="eastAsia" w:ascii="宋体" w:hAnsi="宋体" w:eastAsia="宋体" w:cs="宋体"/>
          <w:b w:val="0"/>
          <w:bCs/>
          <w:color w:val="auto"/>
          <w:sz w:val="28"/>
          <w:szCs w:val="28"/>
          <w:highlight w:val="none"/>
        </w:rPr>
        <w:t>年</w:t>
      </w:r>
      <w:r>
        <w:rPr>
          <w:rFonts w:hint="eastAsia" w:ascii="宋体" w:hAnsi="宋体" w:cs="宋体"/>
          <w:b w:val="0"/>
          <w:bCs/>
          <w:color w:val="auto"/>
          <w:sz w:val="28"/>
          <w:szCs w:val="28"/>
          <w:highlight w:val="none"/>
          <w:lang w:val="en-US" w:eastAsia="zh-CN"/>
        </w:rPr>
        <w:t>6</w:t>
      </w:r>
      <w:r>
        <w:rPr>
          <w:rFonts w:hint="eastAsia" w:ascii="宋体" w:hAnsi="宋体" w:eastAsia="宋体" w:cs="宋体"/>
          <w:b w:val="0"/>
          <w:bCs/>
          <w:color w:val="auto"/>
          <w:sz w:val="28"/>
          <w:szCs w:val="28"/>
          <w:highlight w:val="none"/>
        </w:rPr>
        <w:t>月</w:t>
      </w:r>
    </w:p>
    <w:p>
      <w:pPr>
        <w:jc w:val="center"/>
        <w:rPr>
          <w:rFonts w:hint="eastAsia" w:ascii="宋体" w:hAnsi="宋体" w:eastAsia="宋体" w:cs="宋体"/>
          <w:b w:val="0"/>
          <w:bCs/>
          <w:color w:val="auto"/>
          <w:sz w:val="28"/>
          <w:szCs w:val="28"/>
          <w:highlight w:val="none"/>
        </w:rPr>
      </w:pPr>
    </w:p>
    <w:p>
      <w:pPr>
        <w:pStyle w:val="31"/>
        <w:rPr>
          <w:rFonts w:hint="eastAsia" w:ascii="宋体" w:hAnsi="宋体" w:eastAsia="宋体" w:cs="宋体"/>
          <w:b w:val="0"/>
          <w:bCs/>
          <w:color w:val="auto"/>
          <w:sz w:val="28"/>
          <w:szCs w:val="28"/>
          <w:highlight w:val="none"/>
        </w:rPr>
      </w:pPr>
    </w:p>
    <w:p>
      <w:pPr>
        <w:spacing w:line="500" w:lineRule="exact"/>
        <w:ind w:left="849" w:hanging="853" w:hangingChars="193"/>
        <w:jc w:val="both"/>
        <w:rPr>
          <w:rFonts w:hint="eastAsia" w:ascii="宋体" w:hAnsi="宋体"/>
          <w:b/>
          <w:color w:val="000000"/>
          <w:sz w:val="44"/>
          <w:highlight w:val="white"/>
          <w:lang w:val="zh-CN"/>
        </w:rPr>
      </w:pPr>
    </w:p>
    <w:p>
      <w:pPr>
        <w:pStyle w:val="31"/>
        <w:rPr>
          <w:rFonts w:hint="eastAsia" w:ascii="宋体" w:hAnsi="宋体"/>
          <w:b/>
          <w:color w:val="000000"/>
          <w:sz w:val="44"/>
          <w:highlight w:val="white"/>
          <w:lang w:val="zh-CN"/>
        </w:rPr>
      </w:pPr>
    </w:p>
    <w:p>
      <w:pPr>
        <w:pStyle w:val="31"/>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31"/>
        <w:ind w:left="0" w:leftChars="0" w:firstLine="0" w:firstLineChars="0"/>
        <w:rPr>
          <w:rFonts w:hint="eastAsia" w:ascii="宋体" w:hAnsi="宋体"/>
          <w:b/>
          <w:color w:val="000000"/>
          <w:sz w:val="44"/>
          <w:highlight w:val="white"/>
          <w:lang w:val="zh-CN"/>
        </w:rPr>
      </w:pPr>
    </w:p>
    <w:p>
      <w:pPr>
        <w:pStyle w:val="20"/>
        <w:adjustRightInd w:val="0"/>
        <w:snapToGrid w:val="0"/>
        <w:spacing w:line="360" w:lineRule="auto"/>
        <w:jc w:val="center"/>
        <w:rPr>
          <w:rFonts w:hint="eastAsia" w:hAnsi="宋体" w:cs="宋体"/>
          <w:b/>
          <w:spacing w:val="160"/>
          <w:sz w:val="36"/>
          <w:szCs w:val="36"/>
        </w:rPr>
      </w:pPr>
      <w:r>
        <w:rPr>
          <w:rFonts w:hint="eastAsia" w:hAnsi="宋体" w:cs="宋体"/>
          <w:b/>
          <w:spacing w:val="160"/>
          <w:sz w:val="36"/>
          <w:szCs w:val="36"/>
        </w:rPr>
        <w:t>目录</w:t>
      </w:r>
    </w:p>
    <w:p>
      <w:pPr>
        <w:autoSpaceDE w:val="0"/>
        <w:autoSpaceDN w:val="0"/>
        <w:adjustRightInd w:val="0"/>
        <w:snapToGrid w:val="0"/>
        <w:spacing w:line="360" w:lineRule="auto"/>
        <w:rPr>
          <w:rFonts w:hint="eastAsia" w:ascii="宋体" w:hAnsi="宋体" w:cs="宋体"/>
          <w:szCs w:val="21"/>
        </w:rPr>
      </w:pPr>
    </w:p>
    <w:p>
      <w:pPr>
        <w:pStyle w:val="25"/>
        <w:keepNext w:val="0"/>
        <w:keepLines w:val="0"/>
        <w:pageBreakBefore w:val="0"/>
        <w:widowControl w:val="0"/>
        <w:tabs>
          <w:tab w:val="right" w:leader="dot" w:pos="9746"/>
          <w:tab w:val="clear" w:pos="8222"/>
        </w:tabs>
        <w:kinsoku/>
        <w:wordWrap/>
        <w:overflowPunct/>
        <w:topLinePunct w:val="0"/>
        <w:autoSpaceDE/>
        <w:autoSpaceDN/>
        <w:bidi w:val="0"/>
        <w:adjustRightInd/>
        <w:snapToGrid/>
        <w:spacing w:line="360" w:lineRule="auto"/>
        <w:textAlignment w:val="auto"/>
        <w:rPr>
          <w:sz w:val="24"/>
          <w:szCs w:val="21"/>
          <w:highlight w:val="none"/>
        </w:rPr>
      </w:pPr>
      <w:r>
        <w:rPr>
          <w:rFonts w:hint="eastAsia" w:ascii="宋体" w:hAnsi="宋体" w:cs="宋体"/>
          <w:spacing w:val="160"/>
          <w:sz w:val="24"/>
          <w:szCs w:val="22"/>
          <w:highlight w:val="none"/>
        </w:rPr>
        <w:fldChar w:fldCharType="begin"/>
      </w:r>
      <w:r>
        <w:rPr>
          <w:rFonts w:hint="eastAsia" w:ascii="宋体" w:hAnsi="宋体" w:cs="宋体"/>
          <w:spacing w:val="160"/>
          <w:sz w:val="24"/>
          <w:szCs w:val="22"/>
          <w:highlight w:val="none"/>
        </w:rPr>
        <w:instrText xml:space="preserve">TOC \o "1-1" \h \u </w:instrText>
      </w:r>
      <w:r>
        <w:rPr>
          <w:rFonts w:hint="eastAsia" w:ascii="宋体" w:hAnsi="宋体" w:cs="宋体"/>
          <w:spacing w:val="160"/>
          <w:sz w:val="24"/>
          <w:szCs w:val="22"/>
          <w:highlight w:val="none"/>
        </w:rPr>
        <w:fldChar w:fldCharType="separate"/>
      </w:r>
      <w:r>
        <w:rPr>
          <w:rFonts w:hint="eastAsia" w:ascii="宋体" w:hAnsi="宋体" w:cs="宋体"/>
          <w:spacing w:val="160"/>
          <w:sz w:val="24"/>
          <w:szCs w:val="22"/>
          <w:highlight w:val="none"/>
        </w:rPr>
        <w:fldChar w:fldCharType="begin"/>
      </w:r>
      <w:r>
        <w:rPr>
          <w:rFonts w:hint="eastAsia" w:ascii="宋体" w:hAnsi="宋体" w:cs="宋体"/>
          <w:spacing w:val="160"/>
          <w:sz w:val="24"/>
          <w:szCs w:val="22"/>
          <w:highlight w:val="none"/>
        </w:rPr>
        <w:instrText xml:space="preserve"> HYPERLINK \l _Toc6006 </w:instrText>
      </w:r>
      <w:r>
        <w:rPr>
          <w:rFonts w:hint="eastAsia" w:ascii="宋体" w:hAnsi="宋体" w:cs="宋体"/>
          <w:spacing w:val="160"/>
          <w:sz w:val="24"/>
          <w:szCs w:val="22"/>
          <w:highlight w:val="none"/>
        </w:rPr>
        <w:fldChar w:fldCharType="separate"/>
      </w:r>
      <w:r>
        <w:rPr>
          <w:rFonts w:hint="eastAsia"/>
          <w:sz w:val="24"/>
          <w:szCs w:val="21"/>
          <w:highlight w:val="none"/>
        </w:rPr>
        <w:t>第一章 竞争性磋商</w:t>
      </w:r>
      <w:r>
        <w:rPr>
          <w:rFonts w:hint="eastAsia"/>
          <w:sz w:val="24"/>
          <w:szCs w:val="21"/>
          <w:highlight w:val="none"/>
          <w:lang w:eastAsia="zh-CN"/>
        </w:rPr>
        <w:t>公告</w:t>
      </w:r>
      <w:r>
        <w:rPr>
          <w:sz w:val="24"/>
          <w:szCs w:val="21"/>
          <w:highlight w:val="none"/>
        </w:rPr>
        <w:tab/>
      </w:r>
      <w:r>
        <w:rPr>
          <w:sz w:val="24"/>
          <w:szCs w:val="21"/>
          <w:highlight w:val="none"/>
        </w:rPr>
        <w:fldChar w:fldCharType="begin"/>
      </w:r>
      <w:r>
        <w:rPr>
          <w:sz w:val="24"/>
          <w:szCs w:val="21"/>
          <w:highlight w:val="none"/>
        </w:rPr>
        <w:instrText xml:space="preserve"> PAGEREF _Toc6006 </w:instrText>
      </w:r>
      <w:r>
        <w:rPr>
          <w:sz w:val="24"/>
          <w:szCs w:val="21"/>
          <w:highlight w:val="none"/>
        </w:rPr>
        <w:fldChar w:fldCharType="separate"/>
      </w:r>
      <w:r>
        <w:rPr>
          <w:sz w:val="24"/>
          <w:szCs w:val="21"/>
          <w:highlight w:val="none"/>
        </w:rPr>
        <w:t>1</w:t>
      </w:r>
      <w:r>
        <w:rPr>
          <w:sz w:val="24"/>
          <w:szCs w:val="21"/>
          <w:highlight w:val="none"/>
        </w:rPr>
        <w:fldChar w:fldCharType="end"/>
      </w:r>
      <w:r>
        <w:rPr>
          <w:rFonts w:hint="eastAsia" w:ascii="宋体" w:hAnsi="宋体" w:cs="宋体"/>
          <w:spacing w:val="160"/>
          <w:sz w:val="24"/>
          <w:szCs w:val="22"/>
          <w:highlight w:val="none"/>
        </w:rPr>
        <w:fldChar w:fldCharType="end"/>
      </w:r>
    </w:p>
    <w:p>
      <w:pPr>
        <w:pStyle w:val="25"/>
        <w:keepNext w:val="0"/>
        <w:keepLines w:val="0"/>
        <w:pageBreakBefore w:val="0"/>
        <w:widowControl w:val="0"/>
        <w:tabs>
          <w:tab w:val="right" w:leader="dot" w:pos="9746"/>
          <w:tab w:val="clear" w:pos="8222"/>
        </w:tabs>
        <w:kinsoku/>
        <w:wordWrap/>
        <w:overflowPunct/>
        <w:topLinePunct w:val="0"/>
        <w:autoSpaceDE/>
        <w:autoSpaceDN/>
        <w:bidi w:val="0"/>
        <w:adjustRightInd/>
        <w:snapToGrid/>
        <w:spacing w:line="360" w:lineRule="auto"/>
        <w:textAlignment w:val="auto"/>
        <w:rPr>
          <w:sz w:val="24"/>
          <w:szCs w:val="21"/>
          <w:highlight w:val="none"/>
        </w:rPr>
      </w:pPr>
      <w:r>
        <w:rPr>
          <w:rFonts w:hint="eastAsia" w:ascii="宋体" w:hAnsi="宋体" w:cs="宋体"/>
          <w:spacing w:val="160"/>
          <w:sz w:val="24"/>
          <w:szCs w:val="22"/>
          <w:highlight w:val="none"/>
        </w:rPr>
        <w:fldChar w:fldCharType="begin"/>
      </w:r>
      <w:r>
        <w:rPr>
          <w:rFonts w:hint="eastAsia" w:ascii="宋体" w:hAnsi="宋体" w:cs="宋体"/>
          <w:spacing w:val="160"/>
          <w:sz w:val="24"/>
          <w:szCs w:val="22"/>
          <w:highlight w:val="none"/>
        </w:rPr>
        <w:instrText xml:space="preserve"> HYPERLINK \l _Toc21077 </w:instrText>
      </w:r>
      <w:r>
        <w:rPr>
          <w:rFonts w:hint="eastAsia" w:ascii="宋体" w:hAnsi="宋体" w:cs="宋体"/>
          <w:spacing w:val="160"/>
          <w:sz w:val="24"/>
          <w:szCs w:val="22"/>
          <w:highlight w:val="none"/>
        </w:rPr>
        <w:fldChar w:fldCharType="separate"/>
      </w:r>
      <w:r>
        <w:rPr>
          <w:rFonts w:hint="eastAsia"/>
          <w:sz w:val="24"/>
          <w:szCs w:val="21"/>
          <w:highlight w:val="none"/>
          <w:lang w:val="en-US" w:eastAsia="zh-CN"/>
        </w:rPr>
        <w:t xml:space="preserve">第二章 </w:t>
      </w:r>
      <w:r>
        <w:rPr>
          <w:rFonts w:hint="eastAsia"/>
          <w:sz w:val="24"/>
          <w:szCs w:val="21"/>
          <w:highlight w:val="none"/>
        </w:rPr>
        <w:t>供应商须知</w:t>
      </w:r>
      <w:r>
        <w:rPr>
          <w:sz w:val="24"/>
          <w:szCs w:val="21"/>
          <w:highlight w:val="none"/>
        </w:rPr>
        <w:tab/>
      </w:r>
      <w:r>
        <w:rPr>
          <w:sz w:val="24"/>
          <w:szCs w:val="21"/>
          <w:highlight w:val="none"/>
        </w:rPr>
        <w:fldChar w:fldCharType="begin"/>
      </w:r>
      <w:r>
        <w:rPr>
          <w:sz w:val="24"/>
          <w:szCs w:val="21"/>
          <w:highlight w:val="none"/>
        </w:rPr>
        <w:instrText xml:space="preserve"> PAGEREF _Toc21077 </w:instrText>
      </w:r>
      <w:r>
        <w:rPr>
          <w:sz w:val="24"/>
          <w:szCs w:val="21"/>
          <w:highlight w:val="none"/>
        </w:rPr>
        <w:fldChar w:fldCharType="separate"/>
      </w:r>
      <w:r>
        <w:rPr>
          <w:sz w:val="24"/>
          <w:szCs w:val="21"/>
          <w:highlight w:val="none"/>
        </w:rPr>
        <w:t>3</w:t>
      </w:r>
      <w:r>
        <w:rPr>
          <w:sz w:val="24"/>
          <w:szCs w:val="21"/>
          <w:highlight w:val="none"/>
        </w:rPr>
        <w:fldChar w:fldCharType="end"/>
      </w:r>
      <w:r>
        <w:rPr>
          <w:rFonts w:hint="eastAsia" w:ascii="宋体" w:hAnsi="宋体" w:cs="宋体"/>
          <w:spacing w:val="160"/>
          <w:sz w:val="24"/>
          <w:szCs w:val="22"/>
          <w:highlight w:val="none"/>
        </w:rPr>
        <w:fldChar w:fldCharType="end"/>
      </w:r>
    </w:p>
    <w:p>
      <w:pPr>
        <w:pStyle w:val="25"/>
        <w:keepNext w:val="0"/>
        <w:keepLines w:val="0"/>
        <w:pageBreakBefore w:val="0"/>
        <w:widowControl w:val="0"/>
        <w:tabs>
          <w:tab w:val="right" w:leader="dot" w:pos="9746"/>
          <w:tab w:val="clear" w:pos="8222"/>
        </w:tabs>
        <w:kinsoku/>
        <w:wordWrap/>
        <w:overflowPunct/>
        <w:topLinePunct w:val="0"/>
        <w:autoSpaceDE/>
        <w:autoSpaceDN/>
        <w:bidi w:val="0"/>
        <w:adjustRightInd/>
        <w:snapToGrid/>
        <w:spacing w:line="360" w:lineRule="auto"/>
        <w:textAlignment w:val="auto"/>
        <w:rPr>
          <w:sz w:val="24"/>
          <w:szCs w:val="21"/>
          <w:highlight w:val="none"/>
        </w:rPr>
      </w:pPr>
      <w:r>
        <w:rPr>
          <w:rFonts w:hint="eastAsia" w:ascii="宋体" w:hAnsi="宋体" w:cs="宋体"/>
          <w:spacing w:val="160"/>
          <w:sz w:val="24"/>
          <w:szCs w:val="22"/>
          <w:highlight w:val="none"/>
        </w:rPr>
        <w:fldChar w:fldCharType="begin"/>
      </w:r>
      <w:r>
        <w:rPr>
          <w:rFonts w:hint="eastAsia" w:ascii="宋体" w:hAnsi="宋体" w:cs="宋体"/>
          <w:spacing w:val="160"/>
          <w:sz w:val="24"/>
          <w:szCs w:val="22"/>
          <w:highlight w:val="none"/>
        </w:rPr>
        <w:instrText xml:space="preserve"> HYPERLINK \l _Toc15716 </w:instrText>
      </w:r>
      <w:r>
        <w:rPr>
          <w:rFonts w:hint="eastAsia" w:ascii="宋体" w:hAnsi="宋体" w:cs="宋体"/>
          <w:spacing w:val="160"/>
          <w:sz w:val="24"/>
          <w:szCs w:val="22"/>
          <w:highlight w:val="none"/>
        </w:rPr>
        <w:fldChar w:fldCharType="separate"/>
      </w:r>
      <w:r>
        <w:rPr>
          <w:rFonts w:hint="eastAsia"/>
          <w:sz w:val="24"/>
          <w:szCs w:val="21"/>
          <w:highlight w:val="none"/>
        </w:rPr>
        <w:t>第三章 采购需求</w:t>
      </w:r>
      <w:r>
        <w:rPr>
          <w:sz w:val="24"/>
          <w:szCs w:val="21"/>
          <w:highlight w:val="none"/>
        </w:rPr>
        <w:tab/>
      </w:r>
      <w:r>
        <w:rPr>
          <w:sz w:val="24"/>
          <w:szCs w:val="21"/>
          <w:highlight w:val="none"/>
        </w:rPr>
        <w:fldChar w:fldCharType="begin"/>
      </w:r>
      <w:r>
        <w:rPr>
          <w:sz w:val="24"/>
          <w:szCs w:val="21"/>
          <w:highlight w:val="none"/>
        </w:rPr>
        <w:instrText xml:space="preserve"> PAGEREF _Toc15716 </w:instrText>
      </w:r>
      <w:r>
        <w:rPr>
          <w:sz w:val="24"/>
          <w:szCs w:val="21"/>
          <w:highlight w:val="none"/>
        </w:rPr>
        <w:fldChar w:fldCharType="separate"/>
      </w:r>
      <w:r>
        <w:rPr>
          <w:sz w:val="24"/>
          <w:szCs w:val="21"/>
          <w:highlight w:val="none"/>
        </w:rPr>
        <w:t>20</w:t>
      </w:r>
      <w:r>
        <w:rPr>
          <w:sz w:val="24"/>
          <w:szCs w:val="21"/>
          <w:highlight w:val="none"/>
        </w:rPr>
        <w:fldChar w:fldCharType="end"/>
      </w:r>
      <w:r>
        <w:rPr>
          <w:rFonts w:hint="eastAsia" w:ascii="宋体" w:hAnsi="宋体" w:cs="宋体"/>
          <w:spacing w:val="160"/>
          <w:sz w:val="24"/>
          <w:szCs w:val="22"/>
          <w:highlight w:val="none"/>
        </w:rPr>
        <w:fldChar w:fldCharType="end"/>
      </w:r>
    </w:p>
    <w:p>
      <w:pPr>
        <w:pStyle w:val="25"/>
        <w:keepNext w:val="0"/>
        <w:keepLines w:val="0"/>
        <w:pageBreakBefore w:val="0"/>
        <w:widowControl w:val="0"/>
        <w:tabs>
          <w:tab w:val="right" w:leader="dot" w:pos="9746"/>
          <w:tab w:val="clear" w:pos="8222"/>
        </w:tabs>
        <w:kinsoku/>
        <w:wordWrap/>
        <w:overflowPunct/>
        <w:topLinePunct w:val="0"/>
        <w:autoSpaceDE/>
        <w:autoSpaceDN/>
        <w:bidi w:val="0"/>
        <w:adjustRightInd/>
        <w:snapToGrid/>
        <w:spacing w:line="360" w:lineRule="auto"/>
        <w:textAlignment w:val="auto"/>
        <w:rPr>
          <w:sz w:val="24"/>
          <w:szCs w:val="21"/>
          <w:highlight w:val="none"/>
        </w:rPr>
      </w:pPr>
      <w:r>
        <w:rPr>
          <w:rFonts w:hint="eastAsia" w:ascii="宋体" w:hAnsi="宋体" w:cs="宋体"/>
          <w:spacing w:val="160"/>
          <w:sz w:val="24"/>
          <w:szCs w:val="22"/>
          <w:highlight w:val="none"/>
        </w:rPr>
        <w:fldChar w:fldCharType="begin"/>
      </w:r>
      <w:r>
        <w:rPr>
          <w:rFonts w:hint="eastAsia" w:ascii="宋体" w:hAnsi="宋体" w:cs="宋体"/>
          <w:spacing w:val="160"/>
          <w:sz w:val="24"/>
          <w:szCs w:val="22"/>
          <w:highlight w:val="none"/>
        </w:rPr>
        <w:instrText xml:space="preserve"> HYPERLINK \l _Toc5472 </w:instrText>
      </w:r>
      <w:r>
        <w:rPr>
          <w:rFonts w:hint="eastAsia" w:ascii="宋体" w:hAnsi="宋体" w:cs="宋体"/>
          <w:spacing w:val="160"/>
          <w:sz w:val="24"/>
          <w:szCs w:val="22"/>
          <w:highlight w:val="none"/>
        </w:rPr>
        <w:fldChar w:fldCharType="separate"/>
      </w:r>
      <w:r>
        <w:rPr>
          <w:rFonts w:hint="eastAsia"/>
          <w:sz w:val="24"/>
          <w:szCs w:val="21"/>
          <w:highlight w:val="none"/>
        </w:rPr>
        <w:t>第四章 评审方法</w:t>
      </w:r>
      <w:r>
        <w:rPr>
          <w:sz w:val="24"/>
          <w:szCs w:val="21"/>
          <w:highlight w:val="none"/>
        </w:rPr>
        <w:tab/>
      </w:r>
      <w:r>
        <w:rPr>
          <w:sz w:val="24"/>
          <w:szCs w:val="21"/>
          <w:highlight w:val="none"/>
        </w:rPr>
        <w:fldChar w:fldCharType="begin"/>
      </w:r>
      <w:r>
        <w:rPr>
          <w:sz w:val="24"/>
          <w:szCs w:val="21"/>
          <w:highlight w:val="none"/>
        </w:rPr>
        <w:instrText xml:space="preserve"> PAGEREF _Toc5472 </w:instrText>
      </w:r>
      <w:r>
        <w:rPr>
          <w:sz w:val="24"/>
          <w:szCs w:val="21"/>
          <w:highlight w:val="none"/>
        </w:rPr>
        <w:fldChar w:fldCharType="separate"/>
      </w:r>
      <w:r>
        <w:rPr>
          <w:sz w:val="24"/>
          <w:szCs w:val="21"/>
          <w:highlight w:val="none"/>
        </w:rPr>
        <w:t>22</w:t>
      </w:r>
      <w:r>
        <w:rPr>
          <w:sz w:val="24"/>
          <w:szCs w:val="21"/>
          <w:highlight w:val="none"/>
        </w:rPr>
        <w:fldChar w:fldCharType="end"/>
      </w:r>
      <w:r>
        <w:rPr>
          <w:rFonts w:hint="eastAsia" w:ascii="宋体" w:hAnsi="宋体" w:cs="宋体"/>
          <w:spacing w:val="160"/>
          <w:sz w:val="24"/>
          <w:szCs w:val="22"/>
          <w:highlight w:val="none"/>
        </w:rPr>
        <w:fldChar w:fldCharType="end"/>
      </w:r>
    </w:p>
    <w:p>
      <w:pPr>
        <w:pStyle w:val="25"/>
        <w:keepNext w:val="0"/>
        <w:keepLines w:val="0"/>
        <w:pageBreakBefore w:val="0"/>
        <w:widowControl w:val="0"/>
        <w:tabs>
          <w:tab w:val="right" w:leader="dot" w:pos="9746"/>
          <w:tab w:val="clear" w:pos="8222"/>
        </w:tabs>
        <w:kinsoku/>
        <w:wordWrap/>
        <w:overflowPunct/>
        <w:topLinePunct w:val="0"/>
        <w:autoSpaceDE/>
        <w:autoSpaceDN/>
        <w:bidi w:val="0"/>
        <w:adjustRightInd/>
        <w:snapToGrid/>
        <w:spacing w:line="360" w:lineRule="auto"/>
        <w:textAlignment w:val="auto"/>
        <w:rPr>
          <w:sz w:val="24"/>
          <w:szCs w:val="21"/>
          <w:highlight w:val="none"/>
        </w:rPr>
      </w:pPr>
      <w:r>
        <w:rPr>
          <w:rFonts w:hint="eastAsia" w:ascii="宋体" w:hAnsi="宋体" w:cs="宋体"/>
          <w:spacing w:val="160"/>
          <w:sz w:val="24"/>
          <w:szCs w:val="22"/>
          <w:highlight w:val="none"/>
        </w:rPr>
        <w:fldChar w:fldCharType="begin"/>
      </w:r>
      <w:r>
        <w:rPr>
          <w:rFonts w:hint="eastAsia" w:ascii="宋体" w:hAnsi="宋体" w:cs="宋体"/>
          <w:spacing w:val="160"/>
          <w:sz w:val="24"/>
          <w:szCs w:val="22"/>
          <w:highlight w:val="none"/>
        </w:rPr>
        <w:instrText xml:space="preserve"> HYPERLINK \l _Toc15715 </w:instrText>
      </w:r>
      <w:r>
        <w:rPr>
          <w:rFonts w:hint="eastAsia" w:ascii="宋体" w:hAnsi="宋体" w:cs="宋体"/>
          <w:spacing w:val="160"/>
          <w:sz w:val="24"/>
          <w:szCs w:val="22"/>
          <w:highlight w:val="none"/>
        </w:rPr>
        <w:fldChar w:fldCharType="separate"/>
      </w:r>
      <w:r>
        <w:rPr>
          <w:rFonts w:hint="eastAsia"/>
          <w:sz w:val="24"/>
          <w:szCs w:val="21"/>
          <w:highlight w:val="none"/>
        </w:rPr>
        <w:t>第五章 合同格式及合同条款</w:t>
      </w:r>
      <w:r>
        <w:rPr>
          <w:sz w:val="24"/>
          <w:szCs w:val="21"/>
          <w:highlight w:val="none"/>
        </w:rPr>
        <w:tab/>
      </w:r>
      <w:r>
        <w:rPr>
          <w:sz w:val="24"/>
          <w:szCs w:val="21"/>
          <w:highlight w:val="none"/>
        </w:rPr>
        <w:fldChar w:fldCharType="begin"/>
      </w:r>
      <w:r>
        <w:rPr>
          <w:sz w:val="24"/>
          <w:szCs w:val="21"/>
          <w:highlight w:val="none"/>
        </w:rPr>
        <w:instrText xml:space="preserve"> PAGEREF _Toc15715 </w:instrText>
      </w:r>
      <w:r>
        <w:rPr>
          <w:sz w:val="24"/>
          <w:szCs w:val="21"/>
          <w:highlight w:val="none"/>
        </w:rPr>
        <w:fldChar w:fldCharType="separate"/>
      </w:r>
      <w:r>
        <w:rPr>
          <w:sz w:val="24"/>
          <w:szCs w:val="21"/>
          <w:highlight w:val="none"/>
        </w:rPr>
        <w:t>30</w:t>
      </w:r>
      <w:r>
        <w:rPr>
          <w:sz w:val="24"/>
          <w:szCs w:val="21"/>
          <w:highlight w:val="none"/>
        </w:rPr>
        <w:fldChar w:fldCharType="end"/>
      </w:r>
      <w:r>
        <w:rPr>
          <w:rFonts w:hint="eastAsia" w:ascii="宋体" w:hAnsi="宋体" w:cs="宋体"/>
          <w:spacing w:val="160"/>
          <w:sz w:val="24"/>
          <w:szCs w:val="22"/>
          <w:highlight w:val="none"/>
        </w:rPr>
        <w:fldChar w:fldCharType="end"/>
      </w:r>
    </w:p>
    <w:p>
      <w:pPr>
        <w:pStyle w:val="25"/>
        <w:keepNext w:val="0"/>
        <w:keepLines w:val="0"/>
        <w:pageBreakBefore w:val="0"/>
        <w:widowControl w:val="0"/>
        <w:tabs>
          <w:tab w:val="right" w:leader="dot" w:pos="9746"/>
          <w:tab w:val="clear" w:pos="8222"/>
        </w:tabs>
        <w:kinsoku/>
        <w:wordWrap/>
        <w:overflowPunct/>
        <w:topLinePunct w:val="0"/>
        <w:autoSpaceDE/>
        <w:autoSpaceDN/>
        <w:bidi w:val="0"/>
        <w:adjustRightInd/>
        <w:snapToGrid/>
        <w:spacing w:line="360" w:lineRule="auto"/>
        <w:textAlignment w:val="auto"/>
        <w:rPr>
          <w:sz w:val="24"/>
          <w:szCs w:val="21"/>
          <w:highlight w:val="none"/>
        </w:rPr>
      </w:pPr>
      <w:r>
        <w:rPr>
          <w:rFonts w:hint="eastAsia" w:ascii="宋体" w:hAnsi="宋体" w:cs="宋体"/>
          <w:spacing w:val="160"/>
          <w:sz w:val="24"/>
          <w:szCs w:val="22"/>
          <w:highlight w:val="none"/>
        </w:rPr>
        <w:fldChar w:fldCharType="begin"/>
      </w:r>
      <w:r>
        <w:rPr>
          <w:rFonts w:hint="eastAsia" w:ascii="宋体" w:hAnsi="宋体" w:cs="宋体"/>
          <w:spacing w:val="160"/>
          <w:sz w:val="24"/>
          <w:szCs w:val="22"/>
          <w:highlight w:val="none"/>
        </w:rPr>
        <w:instrText xml:space="preserve"> HYPERLINK \l _Toc804 </w:instrText>
      </w:r>
      <w:r>
        <w:rPr>
          <w:rFonts w:hint="eastAsia" w:ascii="宋体" w:hAnsi="宋体" w:cs="宋体"/>
          <w:spacing w:val="160"/>
          <w:sz w:val="24"/>
          <w:szCs w:val="22"/>
          <w:highlight w:val="none"/>
        </w:rPr>
        <w:fldChar w:fldCharType="separate"/>
      </w:r>
      <w:r>
        <w:rPr>
          <w:rFonts w:hint="eastAsia"/>
          <w:sz w:val="24"/>
          <w:szCs w:val="21"/>
          <w:highlight w:val="none"/>
        </w:rPr>
        <w:t>第六章 响应文件格式</w:t>
      </w:r>
      <w:r>
        <w:rPr>
          <w:sz w:val="24"/>
          <w:szCs w:val="21"/>
          <w:highlight w:val="none"/>
        </w:rPr>
        <w:tab/>
      </w:r>
      <w:r>
        <w:rPr>
          <w:sz w:val="24"/>
          <w:szCs w:val="21"/>
          <w:highlight w:val="none"/>
        </w:rPr>
        <w:fldChar w:fldCharType="begin"/>
      </w:r>
      <w:r>
        <w:rPr>
          <w:sz w:val="24"/>
          <w:szCs w:val="21"/>
          <w:highlight w:val="none"/>
        </w:rPr>
        <w:instrText xml:space="preserve"> PAGEREF _Toc804 </w:instrText>
      </w:r>
      <w:r>
        <w:rPr>
          <w:sz w:val="24"/>
          <w:szCs w:val="21"/>
          <w:highlight w:val="none"/>
        </w:rPr>
        <w:fldChar w:fldCharType="separate"/>
      </w:r>
      <w:r>
        <w:rPr>
          <w:sz w:val="24"/>
          <w:szCs w:val="21"/>
          <w:highlight w:val="none"/>
        </w:rPr>
        <w:t>39</w:t>
      </w:r>
      <w:r>
        <w:rPr>
          <w:sz w:val="24"/>
          <w:szCs w:val="21"/>
          <w:highlight w:val="none"/>
        </w:rPr>
        <w:fldChar w:fldCharType="end"/>
      </w:r>
      <w:r>
        <w:rPr>
          <w:rFonts w:hint="eastAsia" w:ascii="宋体" w:hAnsi="宋体" w:cs="宋体"/>
          <w:spacing w:val="160"/>
          <w:sz w:val="24"/>
          <w:szCs w:val="22"/>
          <w:highlight w:val="none"/>
        </w:rPr>
        <w:fldChar w:fldCharType="end"/>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pacing w:val="160"/>
          <w:szCs w:val="24"/>
        </w:rPr>
      </w:pPr>
      <w:r>
        <w:rPr>
          <w:rFonts w:hint="eastAsia" w:ascii="宋体" w:hAnsi="宋体" w:cs="宋体"/>
          <w:spacing w:val="160"/>
          <w:sz w:val="28"/>
          <w:szCs w:val="22"/>
          <w:highlight w:val="none"/>
        </w:rPr>
        <w:fldChar w:fldCharType="end"/>
      </w: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pPr>
    </w:p>
    <w:p>
      <w:pPr>
        <w:pStyle w:val="31"/>
        <w:ind w:left="0" w:leftChars="0" w:firstLine="0" w:firstLineChars="0"/>
        <w:rPr>
          <w:rFonts w:hint="eastAsia" w:ascii="宋体" w:hAnsi="宋体" w:cs="宋体"/>
          <w:spacing w:val="160"/>
          <w:szCs w:val="24"/>
          <w:lang w:val="zh-CN"/>
        </w:rPr>
        <w:sectPr>
          <w:pgSz w:w="11906" w:h="16838"/>
          <w:pgMar w:top="1440" w:right="1080" w:bottom="1440" w:left="1080" w:header="851" w:footer="992" w:gutter="0"/>
          <w:pgNumType w:fmt="decimal" w:start="1"/>
          <w:cols w:space="425" w:num="1"/>
          <w:docGrid w:linePitch="312" w:charSpace="0"/>
        </w:sectPr>
      </w:pPr>
    </w:p>
    <w:p>
      <w:pPr>
        <w:pStyle w:val="5"/>
        <w:numPr>
          <w:ilvl w:val="0"/>
          <w:numId w:val="1"/>
        </w:numPr>
        <w:spacing w:before="0" w:after="0" w:line="240" w:lineRule="auto"/>
        <w:ind w:left="0" w:leftChars="0"/>
        <w:rPr>
          <w:rFonts w:hint="eastAsia"/>
        </w:rPr>
      </w:pPr>
      <w:bookmarkStart w:id="0" w:name="_Toc21151"/>
      <w:bookmarkStart w:id="1" w:name="_Toc456718476"/>
      <w:r>
        <w:rPr>
          <w:rFonts w:hint="eastAsia"/>
          <w:lang w:val="en-US" w:eastAsia="zh-CN"/>
        </w:rPr>
        <w:t xml:space="preserve"> </w:t>
      </w:r>
      <w:bookmarkStart w:id="2" w:name="_Toc4209"/>
      <w:bookmarkStart w:id="3" w:name="_Toc6006"/>
      <w:r>
        <w:rPr>
          <w:rFonts w:hint="eastAsia"/>
        </w:rPr>
        <w:t>竞争性磋商</w:t>
      </w:r>
      <w:bookmarkEnd w:id="0"/>
      <w:r>
        <w:rPr>
          <w:rFonts w:hint="eastAsia"/>
          <w:lang w:eastAsia="zh-CN"/>
        </w:rPr>
        <w:t>公告</w:t>
      </w:r>
      <w:bookmarkEnd w:id="2"/>
      <w:bookmarkEnd w:id="3"/>
    </w:p>
    <w:p>
      <w:pPr>
        <w:widowControl/>
        <w:jc w:val="left"/>
        <w:rPr>
          <w:color w:val="000000" w:themeColor="text1"/>
          <w:sz w:val="36"/>
          <w:szCs w:val="36"/>
          <w14:textFill>
            <w14:solidFill>
              <w14:schemeClr w14:val="tx1"/>
            </w14:solidFill>
          </w14:textFill>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bookmarkStart w:id="4" w:name="_Toc1347"/>
      <w:bookmarkStart w:id="5" w:name="_Toc10571"/>
      <w:r>
        <w:rPr>
          <w:rFonts w:hint="eastAsia" w:ascii="宋体" w:hAnsi="宋体" w:eastAsia="宋体" w:cs="宋体"/>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2023年度耕地资源质量分类监测工作项目的潜在供应商应在政采云平台线上获取采购文件，并于</w:t>
      </w:r>
      <w:r>
        <w:rPr>
          <w:rFonts w:hint="eastAsia" w:ascii="宋体" w:hAnsi="宋体" w:cs="宋体"/>
          <w:sz w:val="24"/>
          <w:szCs w:val="24"/>
          <w:u w:val="single"/>
          <w:lang w:val="en-US" w:eastAsia="zh-CN"/>
        </w:rPr>
        <w:t>2023年06月16日</w:t>
      </w:r>
      <w:r>
        <w:rPr>
          <w:rFonts w:hint="eastAsia" w:ascii="宋体" w:hAnsi="宋体" w:eastAsia="宋体" w:cs="宋体"/>
          <w:bCs/>
          <w:sz w:val="24"/>
          <w:szCs w:val="24"/>
          <w:u w:val="single"/>
          <w:lang w:val="en-US" w:eastAsia="zh-CN"/>
        </w:rPr>
        <w:t>10:30</w:t>
      </w:r>
      <w:r>
        <w:rPr>
          <w:rFonts w:hint="eastAsia" w:ascii="宋体" w:hAnsi="宋体" w:eastAsia="宋体" w:cs="宋体"/>
          <w:bCs/>
          <w:sz w:val="24"/>
          <w:szCs w:val="24"/>
          <w:u w:val="single"/>
        </w:rPr>
        <w:t>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bookmarkStart w:id="6" w:name="_Toc35393798"/>
      <w:bookmarkStart w:id="7" w:name="_Toc35393629"/>
      <w:bookmarkStart w:id="8" w:name="_Toc28359012"/>
      <w:bookmarkStart w:id="9" w:name="_Toc28359089"/>
      <w:r>
        <w:rPr>
          <w:rFonts w:hint="eastAsia" w:ascii="宋体" w:hAnsi="宋体" w:eastAsia="宋体" w:cs="宋体"/>
          <w:b/>
          <w:bCs/>
          <w:sz w:val="24"/>
          <w:szCs w:val="24"/>
        </w:rPr>
        <w:t>一、项目基本情况</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"https://www.zcygov.cn/project-center/project-result-detail/6957612983392399402" \t "https://www.zcygov.cn/project-center/self-project/_blank"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XJYC-ZFCG-202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JZXCS</w:t>
      </w:r>
      <w:r>
        <w:rPr>
          <w:rFonts w:hint="eastAsia" w:ascii="宋体" w:hAnsi="宋体" w:eastAsia="宋体" w:cs="宋体"/>
          <w:sz w:val="24"/>
          <w:szCs w:val="24"/>
          <w:lang w:eastAsia="zh-CN"/>
        </w:rPr>
        <w:t>）-0</w:t>
      </w:r>
      <w:r>
        <w:rPr>
          <w:rFonts w:hint="eastAsia" w:ascii="宋体" w:hAnsi="宋体" w:cs="宋体"/>
          <w:sz w:val="24"/>
          <w:szCs w:val="24"/>
          <w:lang w:val="en-US" w:eastAsia="zh-CN"/>
        </w:rPr>
        <w:t>2</w:t>
      </w:r>
      <w:r>
        <w:rPr>
          <w:rFonts w:hint="eastAsia" w:ascii="宋体" w:hAnsi="宋体" w:eastAsia="宋体" w:cs="宋体"/>
          <w:sz w:val="24"/>
          <w:szCs w:val="24"/>
          <w:lang w:eastAsia="zh-CN"/>
        </w:rPr>
        <w:t>号</w:t>
      </w:r>
      <w:r>
        <w:rPr>
          <w:rFonts w:hint="eastAsia" w:ascii="宋体" w:hAnsi="宋体" w:eastAsia="宋体" w:cs="宋体"/>
          <w:sz w:val="24"/>
          <w:szCs w:val="24"/>
          <w:lang w:eastAsia="zh-CN"/>
        </w:rPr>
        <w:fldChar w:fldCharType="end"/>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项目名称：2023年度耕地资源质量分类监测工作项目</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470000.00元</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最高限价：</w:t>
      </w:r>
      <w:r>
        <w:rPr>
          <w:rFonts w:hint="eastAsia" w:ascii="宋体" w:hAnsi="宋体" w:cs="宋体"/>
          <w:sz w:val="24"/>
          <w:szCs w:val="24"/>
          <w:lang w:val="en-US" w:eastAsia="zh-CN"/>
        </w:rPr>
        <w:t>47</w:t>
      </w:r>
      <w:r>
        <w:rPr>
          <w:rFonts w:hint="eastAsia" w:ascii="宋体" w:hAnsi="宋体" w:eastAsia="宋体" w:cs="宋体"/>
          <w:sz w:val="24"/>
          <w:szCs w:val="24"/>
          <w:lang w:val="en-US" w:eastAsia="zh-CN"/>
        </w:rPr>
        <w:t>0000.00元</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采购需求：耕地资源质量分类监测</w:t>
      </w:r>
      <w:r>
        <w:rPr>
          <w:rFonts w:hint="eastAsia" w:ascii="宋体" w:hAnsi="宋体" w:eastAsia="宋体" w:cs="宋体"/>
          <w:sz w:val="24"/>
          <w:szCs w:val="24"/>
          <w:lang w:eastAsia="zh-CN"/>
        </w:rPr>
        <w:t>（</w:t>
      </w:r>
      <w:r>
        <w:rPr>
          <w:rFonts w:hint="eastAsia" w:ascii="宋体" w:hAnsi="宋体" w:eastAsia="宋体" w:cs="宋体"/>
          <w:sz w:val="24"/>
          <w:szCs w:val="24"/>
        </w:rPr>
        <w:t>详见采购文件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合同履行期限：甲乙双方签订合同时自行约定</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本项目（否）接受联合体。</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bookmarkStart w:id="10" w:name="_Toc28359013"/>
      <w:bookmarkStart w:id="11" w:name="_Toc35393799"/>
      <w:bookmarkStart w:id="12" w:name="_Toc28359090"/>
      <w:bookmarkStart w:id="13" w:name="_Toc35393630"/>
      <w:r>
        <w:rPr>
          <w:rFonts w:hint="eastAsia" w:ascii="宋体" w:hAnsi="宋体" w:eastAsia="宋体" w:cs="宋体"/>
          <w:b/>
          <w:bCs/>
          <w:sz w:val="24"/>
          <w:szCs w:val="24"/>
        </w:rPr>
        <w:t>二、申请人的资格要求：</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bookmarkStart w:id="14" w:name="_Toc28359091"/>
      <w:bookmarkStart w:id="15" w:name="_Toc28359014"/>
      <w:r>
        <w:rPr>
          <w:rFonts w:hint="eastAsia" w:ascii="宋体" w:hAnsi="宋体" w:eastAsia="宋体" w:cs="宋体"/>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（1）财政部、国家发展改革委、生态环境部、市场监管总局《关于调整优化节能产品、环境标志产品政府采购执行机制的通知》（财库[2019]9号文）；</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（2）财政部、生态环境部《关于印发环境标志产品政府采购品目清单的通知》（财库[2019]18号文）；</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（3）财政部、发展改革委《关于印发节能产品政府采购品目清单的通知》（财库[2019]19号文）；</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（4）市场监管总局《市场监管总局关于发布参与实施政府采购节能产品、环境标志产品认证机构名录的公告》（2019年第16号）；</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（5）财政部、工业和信息化部《关于印发《政府采购促进中小企业发展管理办法》（财库[2020]46号文）、财政部《关于进一步加大政府采购支持中小企业力度的通知》（财库〔2022〕19号）；</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（6）财政部、民政部、中国残疾人联合会《关于促进残疾人就业政府采购政策的通知》（财库[2017]141号）</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3.本项目的特定资格要求：</w:t>
      </w:r>
      <w:r>
        <w:rPr>
          <w:rFonts w:hint="eastAsia" w:ascii="宋体" w:hAnsi="宋体" w:cs="宋体"/>
          <w:sz w:val="24"/>
          <w:szCs w:val="24"/>
          <w:lang w:val="en-US" w:eastAsia="zh-CN"/>
        </w:rPr>
        <w:t>须</w:t>
      </w:r>
      <w:r>
        <w:rPr>
          <w:rFonts w:hint="eastAsia" w:ascii="宋体" w:hAnsi="宋体" w:eastAsia="宋体" w:cs="宋体"/>
          <w:color w:val="000000" w:themeColor="text1"/>
          <w:sz w:val="24"/>
          <w:szCs w:val="24"/>
          <w:lang w:val="en-US" w:eastAsia="zh-CN"/>
          <w14:textFill>
            <w14:solidFill>
              <w14:schemeClr w14:val="tx1"/>
            </w14:solidFill>
          </w14:textFill>
        </w:rPr>
        <w:t>具有土地规划乙级及以上资质</w:t>
      </w:r>
      <w:r>
        <w:rPr>
          <w:rFonts w:hint="eastAsia" w:ascii="宋体" w:hAnsi="宋体" w:cs="宋体"/>
          <w:sz w:val="24"/>
          <w:szCs w:val="24"/>
          <w:lang w:val="en-US" w:eastAsia="zh-CN"/>
        </w:rPr>
        <w:t>还须具有自然资源与监测专业调查队伍资信评价合格证书（自然资源调查资质）</w:t>
      </w:r>
      <w:r>
        <w:rPr>
          <w:rFonts w:hint="eastAsia" w:ascii="宋体" w:hAnsi="宋体" w:eastAsia="宋体" w:cs="宋体"/>
          <w:sz w:val="24"/>
          <w:szCs w:val="24"/>
          <w:lang w:val="en-US" w:eastAsia="zh-CN"/>
        </w:rPr>
        <w:t>并在人员、设备、资金等方面具备该项目相关的服务能力</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4.供应商如在“信用中国”网站、中国政府采购网被列入严重违法失信行为记录名单的（尚在处罚期内的），将拒绝其参加本次政府采购活动；</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5.单位负责人为同一人或者存在直接控股、管理关系的不同供应商，不得参加本次采购活动；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kern w:val="2"/>
          <w:sz w:val="24"/>
          <w:szCs w:val="24"/>
          <w:lang w:val="en-US" w:eastAsia="zh-CN" w:bidi="ar-SA"/>
        </w:rPr>
      </w:pPr>
      <w:bookmarkStart w:id="16" w:name="_Toc35393631"/>
      <w:bookmarkStart w:id="17" w:name="_Toc35393800"/>
      <w:r>
        <w:rPr>
          <w:rFonts w:hint="eastAsia" w:ascii="宋体" w:hAnsi="宋体" w:eastAsia="宋体" w:cs="宋体"/>
          <w:b/>
          <w:bCs/>
          <w:kern w:val="2"/>
          <w:sz w:val="24"/>
          <w:szCs w:val="24"/>
          <w:lang w:val="en-US" w:eastAsia="zh-CN" w:bidi="ar-SA"/>
        </w:rPr>
        <w:t>三、获取采购文件</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cs="宋体"/>
          <w:sz w:val="24"/>
          <w:szCs w:val="24"/>
          <w:lang w:val="en-US" w:eastAsia="zh-CN"/>
        </w:rPr>
        <w:t>2023年06月06日</w:t>
      </w:r>
      <w:r>
        <w:rPr>
          <w:rFonts w:hint="eastAsia" w:ascii="宋体" w:hAnsi="宋体" w:eastAsia="宋体" w:cs="宋体"/>
          <w:sz w:val="24"/>
          <w:szCs w:val="24"/>
        </w:rPr>
        <w:t>至</w:t>
      </w:r>
      <w:r>
        <w:rPr>
          <w:rFonts w:hint="eastAsia" w:ascii="宋体" w:hAnsi="宋体" w:cs="宋体"/>
          <w:sz w:val="24"/>
          <w:szCs w:val="24"/>
          <w:lang w:val="en-US" w:eastAsia="zh-CN"/>
        </w:rPr>
        <w:t>2023年06月12日</w:t>
      </w:r>
      <w:r>
        <w:rPr>
          <w:rFonts w:hint="eastAsia" w:ascii="宋体" w:hAnsi="宋体" w:eastAsia="宋体" w:cs="宋体"/>
          <w:sz w:val="24"/>
          <w:szCs w:val="24"/>
        </w:rPr>
        <w:t>，每天上午10:00至14:00，下午1</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0</w:t>
      </w:r>
      <w:r>
        <w:rPr>
          <w:rFonts w:hint="eastAsia" w:ascii="宋体" w:hAnsi="宋体" w:eastAsia="宋体" w:cs="宋体"/>
          <w:sz w:val="24"/>
          <w:szCs w:val="24"/>
        </w:rPr>
        <w:t>0至</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cs="宋体"/>
          <w:sz w:val="24"/>
          <w:szCs w:val="24"/>
          <w:lang w:val="en-US" w:eastAsia="zh-CN"/>
        </w:rPr>
        <w:t>0</w:t>
      </w:r>
      <w:r>
        <w:rPr>
          <w:rFonts w:hint="eastAsia" w:ascii="宋体" w:hAnsi="宋体" w:eastAsia="宋体" w:cs="宋体"/>
          <w:sz w:val="24"/>
          <w:szCs w:val="24"/>
        </w:rPr>
        <w:t>0（北京时间，法定节假日除外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地点：政采云平台线上获取</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售价：</w:t>
      </w:r>
      <w:r>
        <w:rPr>
          <w:rFonts w:hint="eastAsia" w:ascii="宋体" w:hAnsi="宋体" w:eastAsia="宋体" w:cs="宋体"/>
          <w:sz w:val="24"/>
          <w:szCs w:val="24"/>
          <w:lang w:val="en-US" w:eastAsia="zh-CN"/>
        </w:rPr>
        <w:t>0</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bCs/>
          <w:sz w:val="24"/>
          <w:szCs w:val="24"/>
        </w:rPr>
      </w:pPr>
      <w:bookmarkStart w:id="18" w:name="_Toc28359092"/>
      <w:bookmarkStart w:id="19" w:name="_Toc35393632"/>
      <w:bookmarkStart w:id="20" w:name="_Toc35393801"/>
      <w:bookmarkStart w:id="21" w:name="_Toc28359015"/>
      <w:r>
        <w:rPr>
          <w:rFonts w:hint="eastAsia" w:ascii="宋体" w:hAnsi="宋体" w:eastAsia="宋体" w:cs="宋体"/>
          <w:b/>
          <w:bCs/>
          <w:sz w:val="24"/>
          <w:szCs w:val="24"/>
        </w:rPr>
        <w:t>四、响应文件提交</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cs="宋体"/>
          <w:sz w:val="24"/>
          <w:szCs w:val="24"/>
          <w:lang w:val="en-US" w:eastAsia="zh-CN"/>
        </w:rPr>
        <w:t>2023年06月16日</w:t>
      </w:r>
      <w:r>
        <w:rPr>
          <w:rFonts w:hint="eastAsia" w:ascii="宋体" w:hAnsi="宋体" w:eastAsia="宋体" w:cs="宋体"/>
          <w:sz w:val="24"/>
          <w:szCs w:val="24"/>
          <w:lang w:val="en-US" w:eastAsia="zh-CN"/>
        </w:rPr>
        <w:t>10:30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地点：请登录政采云投标客户端投标</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bookmarkStart w:id="22" w:name="_Toc28359093"/>
      <w:bookmarkStart w:id="23" w:name="_Toc28359016"/>
      <w:bookmarkStart w:id="24" w:name="_Toc35393633"/>
      <w:bookmarkStart w:id="25" w:name="_Toc35393802"/>
      <w:r>
        <w:rPr>
          <w:rFonts w:hint="eastAsia" w:ascii="宋体" w:hAnsi="宋体" w:eastAsia="宋体" w:cs="宋体"/>
          <w:b/>
          <w:bCs/>
          <w:sz w:val="24"/>
          <w:szCs w:val="24"/>
        </w:rPr>
        <w:t>五、响应文件开启</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cs="宋体"/>
          <w:sz w:val="24"/>
          <w:szCs w:val="24"/>
          <w:lang w:val="en-US" w:eastAsia="zh-CN"/>
        </w:rPr>
        <w:t>2023年06月16日</w:t>
      </w:r>
      <w:r>
        <w:rPr>
          <w:rFonts w:hint="eastAsia" w:ascii="宋体" w:hAnsi="宋体" w:eastAsia="宋体" w:cs="宋体"/>
          <w:sz w:val="24"/>
          <w:szCs w:val="24"/>
          <w:lang w:val="en-US" w:eastAsia="zh-CN"/>
        </w:rPr>
        <w:t>10:30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地点：沙雅县公共资源交易中心开标室</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bookmarkStart w:id="26" w:name="_Toc28359017"/>
      <w:bookmarkStart w:id="27" w:name="_Toc28359094"/>
      <w:bookmarkStart w:id="28" w:name="_Toc35393803"/>
      <w:bookmarkStart w:id="29" w:name="_Toc35393634"/>
      <w:r>
        <w:rPr>
          <w:rFonts w:hint="eastAsia" w:ascii="宋体" w:hAnsi="宋体" w:eastAsia="宋体" w:cs="宋体"/>
          <w:b/>
          <w:bCs/>
          <w:sz w:val="24"/>
          <w:szCs w:val="24"/>
        </w:rPr>
        <w:t>六、公告期限</w:t>
      </w:r>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cs="宋体"/>
          <w:sz w:val="24"/>
          <w:szCs w:val="24"/>
          <w:lang w:val="en-US" w:eastAsia="zh-CN"/>
        </w:rPr>
        <w:t>3</w:t>
      </w:r>
      <w:r>
        <w:rPr>
          <w:rFonts w:hint="eastAsia" w:ascii="宋体" w:hAnsi="宋体" w:eastAsia="宋体" w:cs="宋体"/>
          <w:sz w:val="24"/>
          <w:szCs w:val="24"/>
        </w:rPr>
        <w:t>个工作日。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lang w:eastAsia="zh-CN"/>
        </w:rPr>
      </w:pPr>
      <w:bookmarkStart w:id="30" w:name="_Toc35393635"/>
      <w:bookmarkStart w:id="31" w:name="_Toc35393804"/>
      <w:r>
        <w:rPr>
          <w:rFonts w:hint="eastAsia" w:ascii="宋体" w:hAnsi="宋体" w:eastAsia="宋体" w:cs="宋体"/>
          <w:b/>
          <w:bCs/>
          <w:sz w:val="24"/>
          <w:szCs w:val="24"/>
        </w:rPr>
        <w:t>七、其他补充事宜</w:t>
      </w:r>
      <w:bookmarkEnd w:id="30"/>
      <w:bookmarkEnd w:id="31"/>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本项目实行不见面开标（网上投标，网上开标、评标），投标人需办理CA锁。已办理CA锁的，需添加在政府采购云平台使用的功能。各供应商应在开标前确保是新疆维吾尔自治区政府采购网正式注册入库的供应商，并完成CA数字证书申领。因未注册入库、未办理CA数字证书等原因造成无法投标或投标失败等后果的由供应商自行承担。</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供应商在政府采购云平台实行不见面开标操作指南：请潜在供应商登录https://edu.zcygov.cn/live/hall/detail?id=afe2a098c89c426097379094cf6fec6f&amp;type=vod，观看政府采购云平台供应商电子标培训视频教程。如因供应商自身原因导致在规定时间内无法正常解密的（如：浏览器故障、未安装相关驱动、网络故障、加密CA与解密CA不一致等），视为供应商自动弃标。</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）本公告在新疆政府采购网发布</w:t>
      </w:r>
      <w:r>
        <w:rPr>
          <w:rFonts w:hint="eastAsia" w:ascii="宋体" w:hAnsi="宋体" w:eastAsia="宋体" w:cs="宋体"/>
          <w:sz w:val="24"/>
          <w:szCs w:val="24"/>
          <w:lang w:eastAsia="zh-CN"/>
        </w:rPr>
        <w:t>，</w:t>
      </w:r>
      <w:r>
        <w:rPr>
          <w:rFonts w:hint="eastAsia" w:ascii="宋体" w:hAnsi="宋体" w:eastAsia="宋体" w:cs="宋体"/>
          <w:sz w:val="24"/>
          <w:szCs w:val="24"/>
        </w:rPr>
        <w:t>请投标单位随时关注本项目的澄清、答疑、变更事项。</w:t>
      </w:r>
    </w:p>
    <w:p>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特别提示：</w:t>
      </w:r>
    </w:p>
    <w:p>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rPr>
      </w:pPr>
      <w:r>
        <w:rPr>
          <w:rFonts w:hint="eastAsia" w:ascii="宋体" w:hAnsi="宋体" w:eastAsia="宋体" w:cs="宋体"/>
          <w:kern w:val="2"/>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bCs/>
          <w:sz w:val="24"/>
          <w:szCs w:val="24"/>
        </w:rPr>
      </w:pPr>
      <w:bookmarkStart w:id="32" w:name="_Toc28359095"/>
      <w:bookmarkStart w:id="33" w:name="_Toc28359018"/>
      <w:bookmarkStart w:id="34" w:name="_Toc35393636"/>
      <w:bookmarkStart w:id="35" w:name="_Toc35393805"/>
      <w:r>
        <w:rPr>
          <w:rFonts w:hint="eastAsia" w:ascii="宋体" w:hAnsi="宋体" w:eastAsia="宋体" w:cs="宋体"/>
          <w:b/>
          <w:bCs/>
          <w:sz w:val="24"/>
          <w:szCs w:val="24"/>
        </w:rPr>
        <w:t>八、凡对本次采购提出询问，请按以下方式联系。</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bookmarkStart w:id="36" w:name="_Toc28359019"/>
      <w:bookmarkStart w:id="37" w:name="_Toc28359096"/>
      <w:bookmarkStart w:id="38" w:name="_Toc35393637"/>
      <w:bookmarkStart w:id="39" w:name="_Toc35393806"/>
      <w:r>
        <w:rPr>
          <w:rFonts w:hint="eastAsia" w:ascii="宋体" w:hAnsi="宋体" w:eastAsia="宋体" w:cs="宋体"/>
          <w:sz w:val="24"/>
          <w:szCs w:val="24"/>
        </w:rPr>
        <w:t>1.采购人信息</w:t>
      </w:r>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eastAsia="zh-CN"/>
        </w:rPr>
        <w:t>沙雅县自然资源局</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址：新疆阿克苏地区沙雅县北京路联合办公楼3号楼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联系方式：15099359067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bookmarkStart w:id="40" w:name="_Toc35393807"/>
      <w:bookmarkStart w:id="41" w:name="_Toc28359020"/>
      <w:bookmarkStart w:id="42" w:name="_Toc35393638"/>
      <w:bookmarkStart w:id="43" w:name="_Toc28359097"/>
      <w:r>
        <w:rPr>
          <w:rFonts w:hint="eastAsia" w:ascii="宋体" w:hAnsi="宋体" w:eastAsia="宋体" w:cs="宋体"/>
          <w:sz w:val="24"/>
          <w:szCs w:val="24"/>
        </w:rPr>
        <w:t>2.采购代理机构信息</w:t>
      </w:r>
      <w:bookmarkEnd w:id="40"/>
      <w:bookmarkEnd w:id="41"/>
      <w:bookmarkEnd w:id="42"/>
      <w:bookmarkEnd w:id="43"/>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称：新疆源川工程项目管理有限公司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val="en-US"/>
        </w:rPr>
        <w:t>阿克苏市明华大酒店</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15292316246</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bookmarkStart w:id="44" w:name="_Toc28359098"/>
      <w:bookmarkStart w:id="45" w:name="_Toc35393808"/>
      <w:bookmarkStart w:id="46" w:name="_Toc28359021"/>
      <w:bookmarkStart w:id="47" w:name="_Toc35393639"/>
      <w:r>
        <w:rPr>
          <w:rFonts w:hint="eastAsia" w:ascii="宋体" w:hAnsi="宋体" w:eastAsia="宋体" w:cs="宋体"/>
          <w:sz w:val="24"/>
          <w:szCs w:val="24"/>
        </w:rPr>
        <w:t>3.项目联系方式</w:t>
      </w:r>
      <w:bookmarkEnd w:id="44"/>
      <w:bookmarkEnd w:id="45"/>
      <w:bookmarkEnd w:id="46"/>
      <w:bookmarkEnd w:id="47"/>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szCs w:val="24"/>
          <w:lang w:eastAsia="zh-CN"/>
        </w:rPr>
        <w:t>房燕</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15292316246</w:t>
      </w:r>
    </w:p>
    <w:p/>
    <w:p>
      <w:pPr>
        <w:pStyle w:val="5"/>
        <w:numPr>
          <w:ilvl w:val="0"/>
          <w:numId w:val="1"/>
        </w:numPr>
        <w:spacing w:before="0" w:after="0" w:line="240" w:lineRule="auto"/>
        <w:ind w:left="0" w:leftChars="0"/>
        <w:rPr>
          <w:rFonts w:hint="eastAsia"/>
          <w:lang w:val="en-US" w:eastAsia="zh-CN"/>
        </w:rPr>
      </w:pPr>
      <w:r>
        <w:rPr>
          <w:rFonts w:hint="eastAsia"/>
          <w:lang w:val="en-US" w:eastAsia="zh-CN"/>
        </w:rPr>
        <w:t xml:space="preserve"> </w:t>
      </w:r>
      <w:bookmarkStart w:id="48" w:name="_Toc136"/>
      <w:bookmarkStart w:id="49" w:name="_Toc21077"/>
      <w:r>
        <w:rPr>
          <w:rFonts w:hint="eastAsia"/>
        </w:rPr>
        <w:t>供应商须知</w:t>
      </w:r>
      <w:bookmarkEnd w:id="4"/>
      <w:bookmarkEnd w:id="5"/>
      <w:bookmarkEnd w:id="48"/>
      <w:bookmarkEnd w:id="49"/>
      <w:bookmarkStart w:id="50" w:name="_Toc21720"/>
    </w:p>
    <w:p>
      <w:pPr>
        <w:pStyle w:val="6"/>
        <w:jc w:val="center"/>
        <w:rPr>
          <w:rFonts w:hint="eastAsia"/>
        </w:rPr>
      </w:pPr>
      <w:r>
        <w:rPr>
          <w:rFonts w:hint="eastAsia"/>
        </w:rPr>
        <w:t>供应商须知前附表</w:t>
      </w:r>
      <w:bookmarkEnd w:id="50"/>
    </w:p>
    <w:tbl>
      <w:tblPr>
        <w:tblStyle w:val="32"/>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blHeader/>
          <w:jc w:val="center"/>
        </w:trPr>
        <w:tc>
          <w:tcPr>
            <w:tcW w:w="1117"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序列号</w:t>
            </w:r>
          </w:p>
        </w:tc>
        <w:tc>
          <w:tcPr>
            <w:tcW w:w="2647"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条款名称</w:t>
            </w:r>
          </w:p>
        </w:tc>
        <w:tc>
          <w:tcPr>
            <w:tcW w:w="6038"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1.1.1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highlight w:val="green"/>
                <w:u w:val="none"/>
              </w:rPr>
            </w:pPr>
            <w:r>
              <w:rPr>
                <w:rFonts w:hint="eastAsia" w:ascii="宋体" w:hAnsi="宋体" w:eastAsia="宋体" w:cs="宋体"/>
                <w:b/>
                <w:bCs/>
                <w:color w:val="000000"/>
                <w:sz w:val="24"/>
                <w:szCs w:val="24"/>
                <w:u w:val="none"/>
              </w:rPr>
              <w:t>项目名称</w:t>
            </w:r>
          </w:p>
        </w:tc>
        <w:tc>
          <w:tcPr>
            <w:tcW w:w="6038"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green"/>
                <w:u w:val="none"/>
                <w:lang w:val="en-US" w:eastAsia="zh-CN"/>
              </w:rPr>
            </w:pPr>
            <w:r>
              <w:rPr>
                <w:rFonts w:hint="eastAsia" w:ascii="宋体" w:hAnsi="宋体" w:cs="宋体"/>
                <w:b w:val="0"/>
                <w:bCs w:val="0"/>
                <w:color w:val="000000"/>
                <w:sz w:val="24"/>
                <w:szCs w:val="24"/>
                <w:u w:val="none"/>
                <w:lang w:val="en-US" w:eastAsia="zh-CN"/>
              </w:rPr>
              <w:t>2023年度耕地资源质量分类监测工作项目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采购人</w:t>
            </w:r>
          </w:p>
        </w:tc>
        <w:tc>
          <w:tcPr>
            <w:tcW w:w="6038" w:type="dxa"/>
            <w:vAlign w:val="center"/>
          </w:tcPr>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名称：沙雅县自然资源局              </w:t>
            </w:r>
          </w:p>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地址：新疆阿克苏地区沙雅县北京路联合办公楼3号楼             </w:t>
            </w:r>
          </w:p>
          <w:p>
            <w:pPr>
              <w:pStyle w:val="31"/>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en-US" w:eastAsia="zh-CN"/>
              </w:rPr>
              <w:t xml:space="preserve">联系人：任 工      电话：15099359067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1.2.2</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采购代理机构</w:t>
            </w:r>
          </w:p>
        </w:tc>
        <w:tc>
          <w:tcPr>
            <w:tcW w:w="6038" w:type="dxa"/>
            <w:vAlign w:val="center"/>
          </w:tcPr>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名称：新疆源川工程项目管理有限公司</w:t>
            </w:r>
          </w:p>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地址：阿克苏市明华大酒店</w:t>
            </w:r>
          </w:p>
          <w:p>
            <w:pPr>
              <w:pStyle w:val="31"/>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en-US" w:eastAsia="zh-CN"/>
              </w:rPr>
              <w:t xml:space="preserve">联系人：房燕  电话：15292316246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1.2.3</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监管部门</w:t>
            </w:r>
          </w:p>
        </w:tc>
        <w:tc>
          <w:tcPr>
            <w:tcW w:w="6038" w:type="dxa"/>
            <w:vAlign w:val="center"/>
          </w:tcPr>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名  称：沙雅县财政局采购办                             </w:t>
            </w:r>
          </w:p>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地  址：沙雅县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1.4.1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供应商资格</w:t>
            </w:r>
            <w:r>
              <w:rPr>
                <w:rFonts w:hint="eastAsia" w:ascii="宋体" w:hAnsi="宋体" w:cs="宋体"/>
                <w:b/>
                <w:bCs/>
                <w:color w:val="000000"/>
                <w:sz w:val="24"/>
                <w:szCs w:val="24"/>
                <w:u w:val="none"/>
                <w:lang w:eastAsia="zh-CN"/>
              </w:rPr>
              <w:t>要求</w:t>
            </w:r>
          </w:p>
        </w:tc>
        <w:tc>
          <w:tcPr>
            <w:tcW w:w="6038" w:type="dxa"/>
            <w:vAlign w:val="center"/>
          </w:tcPr>
          <w:p>
            <w:pPr>
              <w:adjustRightInd w:val="0"/>
              <w:snapToGrid w:val="0"/>
              <w:spacing w:before="120" w:beforeLines="50" w:line="240" w:lineRule="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u w:val="none"/>
              </w:rPr>
              <w:t>2.落实政府采购政策需满足的资格要求：</w:t>
            </w:r>
            <w:r>
              <w:rPr>
                <w:rFonts w:hint="eastAsia" w:ascii="宋体" w:hAnsi="宋体" w:eastAsia="宋体" w:cs="宋体"/>
                <w:sz w:val="24"/>
                <w:szCs w:val="24"/>
              </w:rPr>
              <w:t>（1）财政部、国家发展改革委、生态环境部、市场监管总局《关于调整优化节能产品、环境标志产品政府采购执行机制的通知》（财库[2019]9号文）；</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（2）财政部、生态环境部《关于印发环境标志产品政府采购品目清单的通知》（财库[2019]18号文）；</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（3）财政部、发展改革委《关于印发节能产品政府采购品目清单的通知》（财库[2019]19号文）；</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（4）市场监管总局《市场监管总局关于发布参与实施政府采购节能产品、环境标志产品认证机构名录的公告》（2019年第16号）；</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（5）财政部、工业和信息化部《关于印发《政府采购促进中小企业发展管理办法》（财库[2020]46号文）、财政部《关于进一步加大政府采购支持中小企业力度的通知》（财库〔2022〕19号）；</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（6）财政部、民政部、中国残疾人联合会《关于促进残疾人就业政府采购政策的通知》（财库[2017]141号）</w:t>
            </w:r>
            <w:r>
              <w:rPr>
                <w:rFonts w:hint="eastAsia" w:ascii="宋体" w:hAnsi="宋体" w:cs="宋体"/>
                <w:sz w:val="24"/>
                <w:szCs w:val="24"/>
                <w:lang w:eastAsia="zh-CN"/>
              </w:rPr>
              <w:t>。</w:t>
            </w:r>
          </w:p>
          <w:p>
            <w:pPr>
              <w:adjustRightInd w:val="0"/>
              <w:snapToGrid w:val="0"/>
              <w:spacing w:before="120" w:beforeLines="50" w:line="24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rPr>
              <w:t>3.本项目的特定资格要求：</w:t>
            </w:r>
            <w:r>
              <w:rPr>
                <w:rFonts w:hint="eastAsia" w:ascii="宋体" w:hAnsi="宋体" w:cs="宋体"/>
                <w:sz w:val="24"/>
                <w:szCs w:val="24"/>
                <w:lang w:val="en-US" w:eastAsia="zh-CN"/>
              </w:rPr>
              <w:t>须</w:t>
            </w:r>
            <w:r>
              <w:rPr>
                <w:rFonts w:hint="eastAsia" w:ascii="宋体" w:hAnsi="宋体" w:eastAsia="宋体" w:cs="宋体"/>
                <w:color w:val="000000" w:themeColor="text1"/>
                <w:sz w:val="24"/>
                <w:szCs w:val="24"/>
                <w:lang w:val="en-US" w:eastAsia="zh-CN"/>
                <w14:textFill>
                  <w14:solidFill>
                    <w14:schemeClr w14:val="tx1"/>
                  </w14:solidFill>
                </w14:textFill>
              </w:rPr>
              <w:t>具有土地规划乙级及以上资质</w:t>
            </w:r>
            <w:r>
              <w:rPr>
                <w:rFonts w:hint="eastAsia" w:ascii="宋体" w:hAnsi="宋体" w:cs="宋体"/>
                <w:sz w:val="24"/>
                <w:szCs w:val="24"/>
                <w:lang w:val="en-US" w:eastAsia="zh-CN"/>
              </w:rPr>
              <w:t>还须具有自然资源与监测专业调查队伍资信评价合格证书（自然资源调查资质）</w:t>
            </w:r>
            <w:r>
              <w:rPr>
                <w:rFonts w:hint="eastAsia" w:ascii="宋体" w:hAnsi="宋体" w:eastAsia="宋体" w:cs="宋体"/>
                <w:sz w:val="24"/>
                <w:szCs w:val="24"/>
                <w:lang w:val="en-US" w:eastAsia="zh-CN"/>
              </w:rPr>
              <w:t>并在人员、设备、资金等方面具备该项目相关的服务能力</w:t>
            </w:r>
            <w:r>
              <w:rPr>
                <w:rFonts w:hint="eastAsia" w:ascii="宋体" w:hAnsi="宋体" w:eastAsia="宋体" w:cs="宋体"/>
                <w:sz w:val="24"/>
                <w:szCs w:val="24"/>
                <w:lang w:eastAsia="zh-CN"/>
              </w:rPr>
              <w:t>。</w:t>
            </w:r>
          </w:p>
          <w:p>
            <w:p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4.供应商如在“信用中国”网站、中国政府采购网被列入严重违法失信行为记录名单的（尚在处罚期内的），将拒绝其参加本次政府采购活动；</w:t>
            </w:r>
          </w:p>
          <w:p>
            <w:pPr>
              <w:adjustRightInd w:val="0"/>
              <w:snapToGrid w:val="0"/>
              <w:spacing w:before="120" w:beforeLines="50" w:line="240" w:lineRule="auto"/>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4"/>
                <w:szCs w:val="24"/>
                <w:u w:val="none"/>
                <w:lang w:val="en-US" w:eastAsia="zh-CN"/>
              </w:rPr>
              <w:t>5.单位负责人为同一人或者存在直接控股、管理关系的不同供应商，不得参加本次采购活动；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1.5</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highlight w:val="none"/>
                <w:lang w:eastAsia="zh-CN"/>
              </w:rPr>
              <w:t>是否接受联合体投标</w:t>
            </w:r>
          </w:p>
        </w:tc>
        <w:tc>
          <w:tcPr>
            <w:tcW w:w="6038" w:type="dxa"/>
            <w:vAlign w:val="center"/>
          </w:tcPr>
          <w:p>
            <w:pPr>
              <w:pStyle w:val="31"/>
              <w:spacing w:line="240" w:lineRule="auto"/>
              <w:ind w:left="0" w:leftChars="0" w:firstLine="0" w:firstLineChars="0"/>
              <w:rPr>
                <w:rFonts w:hint="eastAsia" w:ascii="宋体" w:hAnsi="宋体" w:eastAsia="宋体" w:cs="宋体"/>
                <w:color w:val="000000"/>
                <w:sz w:val="24"/>
                <w:szCs w:val="24"/>
                <w:u w:val="none"/>
              </w:rPr>
            </w:pPr>
            <w:r>
              <w:rPr>
                <w:rFonts w:hint="eastAsia" w:ascii="宋体" w:hAnsi="宋体" w:eastAsia="宋体" w:cs="宋体"/>
                <w:kern w:val="0"/>
                <w:sz w:val="24"/>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1.9.1</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cs="宋体"/>
                <w:b/>
                <w:bCs/>
                <w:color w:val="auto"/>
                <w:sz w:val="24"/>
                <w:szCs w:val="24"/>
                <w:u w:val="none"/>
                <w:lang w:eastAsia="zh-CN"/>
              </w:rPr>
              <w:t>是否组织</w:t>
            </w:r>
            <w:r>
              <w:rPr>
                <w:rFonts w:hint="eastAsia" w:ascii="宋体" w:hAnsi="宋体" w:eastAsia="宋体" w:cs="宋体"/>
                <w:b/>
                <w:bCs/>
                <w:color w:val="auto"/>
                <w:sz w:val="24"/>
                <w:szCs w:val="24"/>
                <w:u w:val="none"/>
                <w:lang w:eastAsia="zh-CN"/>
              </w:rPr>
              <w:t>现场考察</w:t>
            </w:r>
          </w:p>
        </w:tc>
        <w:tc>
          <w:tcPr>
            <w:tcW w:w="6038" w:type="dxa"/>
            <w:vAlign w:val="center"/>
          </w:tcPr>
          <w:p>
            <w:pPr>
              <w:pStyle w:val="31"/>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1.10.1</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u w:val="none"/>
                <w:lang w:eastAsia="zh-CN"/>
              </w:rPr>
              <w:t>分包</w:t>
            </w:r>
          </w:p>
        </w:tc>
        <w:tc>
          <w:tcPr>
            <w:tcW w:w="6038" w:type="dxa"/>
            <w:vAlign w:val="center"/>
          </w:tcPr>
          <w:p>
            <w:pPr>
              <w:pStyle w:val="31"/>
              <w:spacing w:line="240" w:lineRule="auto"/>
              <w:ind w:left="0" w:leftChars="0" w:firstLine="0" w:firstLineChars="0"/>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1.11.4</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u w:val="none"/>
                <w:lang w:eastAsia="zh-CN"/>
              </w:rPr>
              <w:t>非实质性要求和条件是否允许偏离</w:t>
            </w:r>
          </w:p>
        </w:tc>
        <w:tc>
          <w:tcPr>
            <w:tcW w:w="6038" w:type="dxa"/>
            <w:vAlign w:val="center"/>
          </w:tcPr>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允许，偏差范围：/</w:t>
            </w:r>
          </w:p>
          <w:p>
            <w:pPr>
              <w:adjustRightInd w:val="0"/>
              <w:snapToGrid w:val="0"/>
              <w:spacing w:before="120" w:beforeLines="50" w:line="240" w:lineRule="auto"/>
              <w:ind w:firstLine="960" w:firstLineChars="400"/>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auto"/>
                <w:sz w:val="24"/>
                <w:szCs w:val="24"/>
                <w:u w:val="none"/>
                <w:lang w:val="en-US" w:eastAsia="zh-CN"/>
              </w:rPr>
            </w:pPr>
            <w:r>
              <w:rPr>
                <w:rFonts w:hint="eastAsia" w:ascii="宋体" w:hAnsi="宋体" w:cs="宋体"/>
                <w:b/>
                <w:bCs/>
                <w:color w:val="auto"/>
                <w:sz w:val="24"/>
                <w:szCs w:val="24"/>
                <w:u w:val="none"/>
                <w:lang w:val="en-US" w:eastAsia="zh-CN"/>
              </w:rPr>
              <w:t>3.4.8</w:t>
            </w:r>
          </w:p>
        </w:tc>
        <w:tc>
          <w:tcPr>
            <w:tcW w:w="2647" w:type="dxa"/>
            <w:vAlign w:val="center"/>
          </w:tcPr>
          <w:p>
            <w:pPr>
              <w:adjustRightInd w:val="0"/>
              <w:snapToGrid w:val="0"/>
              <w:spacing w:before="156" w:beforeLines="50" w:line="240" w:lineRule="auto"/>
              <w:jc w:val="center"/>
              <w:rPr>
                <w:rFonts w:hint="eastAsia" w:ascii="宋体" w:hAnsi="宋体" w:eastAsia="宋体" w:cs="宋体"/>
                <w:b/>
                <w:bCs/>
                <w:color w:val="auto"/>
                <w:sz w:val="24"/>
                <w:szCs w:val="24"/>
                <w:u w:val="none"/>
                <w:lang w:eastAsia="zh-CN"/>
              </w:rPr>
            </w:pPr>
            <w:r>
              <w:rPr>
                <w:rFonts w:hint="eastAsia" w:ascii="宋体" w:hAnsi="宋体" w:eastAsia="宋体" w:cs="宋体"/>
                <w:b/>
                <w:bCs/>
                <w:color w:val="auto"/>
                <w:sz w:val="24"/>
                <w:szCs w:val="24"/>
                <w:u w:val="none"/>
                <w:lang w:eastAsia="zh-CN"/>
              </w:rPr>
              <w:t>★</w:t>
            </w:r>
            <w:r>
              <w:rPr>
                <w:rFonts w:hint="eastAsia" w:ascii="宋体" w:hAnsi="宋体" w:eastAsia="宋体" w:cs="宋体"/>
                <w:b/>
                <w:bCs/>
                <w:color w:val="auto"/>
                <w:sz w:val="24"/>
                <w:szCs w:val="24"/>
                <w:u w:val="none"/>
                <w:lang w:val="en-US" w:eastAsia="zh-CN"/>
              </w:rPr>
              <w:t>最高限价</w:t>
            </w:r>
          </w:p>
        </w:tc>
        <w:tc>
          <w:tcPr>
            <w:tcW w:w="6038" w:type="dxa"/>
            <w:vAlign w:val="center"/>
          </w:tcPr>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470000.00元（大写：肆拾柒万元整）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3.5.1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sz w:val="24"/>
                <w:szCs w:val="24"/>
                <w:u w:val="none"/>
              </w:rPr>
              <w:t>备选方案</w:t>
            </w:r>
          </w:p>
        </w:tc>
        <w:tc>
          <w:tcPr>
            <w:tcW w:w="6038" w:type="dxa"/>
            <w:vAlign w:val="center"/>
          </w:tcPr>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不接受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3.6.1</w:t>
            </w:r>
          </w:p>
        </w:tc>
        <w:tc>
          <w:tcPr>
            <w:tcW w:w="2647" w:type="dxa"/>
            <w:vAlign w:val="center"/>
          </w:tcPr>
          <w:p>
            <w:pPr>
              <w:adjustRightInd w:val="0"/>
              <w:snapToGrid w:val="0"/>
              <w:spacing w:before="120" w:beforeLines="50" w:line="240" w:lineRule="auto"/>
              <w:jc w:val="center"/>
              <w:rPr>
                <w:rFonts w:hint="eastAsia" w:ascii="宋体" w:hAnsi="宋体" w:cs="宋体" w:eastAsiaTheme="majorEastAsia"/>
                <w:b/>
                <w:bCs/>
                <w:color w:val="000000"/>
                <w:sz w:val="24"/>
                <w:szCs w:val="24"/>
                <w:u w:val="none"/>
                <w:lang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eastAsia="zh-CN"/>
              </w:rPr>
              <w:t>响应保证金</w:t>
            </w:r>
          </w:p>
        </w:tc>
        <w:tc>
          <w:tcPr>
            <w:tcW w:w="6038" w:type="dxa"/>
            <w:vAlign w:val="center"/>
          </w:tcPr>
          <w:p>
            <w:pPr>
              <w:pStyle w:val="31"/>
              <w:spacing w:line="240" w:lineRule="auto"/>
              <w:ind w:left="0" w:leftChars="0" w:firstLine="0" w:firstLineChars="0"/>
              <w:rPr>
                <w:rFonts w:hint="eastAsia" w:ascii="宋体" w:hAnsi="宋体" w:eastAsia="宋体" w:cs="宋体"/>
                <w:color w:val="000000"/>
                <w:sz w:val="24"/>
                <w:szCs w:val="24"/>
                <w:u w:val="none"/>
              </w:rPr>
            </w:pPr>
            <w:r>
              <w:rPr>
                <w:rFonts w:hint="eastAsia" w:ascii="宋体" w:hAnsi="宋体" w:eastAsia="宋体" w:cs="宋体"/>
                <w:kern w:val="0"/>
                <w:sz w:val="24"/>
                <w:lang w:val="en-US" w:eastAsia="zh-CN"/>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3.7.1</w:t>
            </w:r>
          </w:p>
        </w:tc>
        <w:tc>
          <w:tcPr>
            <w:tcW w:w="2647" w:type="dxa"/>
            <w:vAlign w:val="center"/>
          </w:tcPr>
          <w:p>
            <w:pPr>
              <w:adjustRightInd w:val="0"/>
              <w:snapToGrid w:val="0"/>
              <w:spacing w:before="120" w:beforeLines="50" w:line="240" w:lineRule="auto"/>
              <w:jc w:val="center"/>
              <w:rPr>
                <w:rFonts w:hint="eastAsia" w:cs="Times New Roman" w:asciiTheme="majorEastAsia" w:hAnsiTheme="majorEastAsia" w:eastAsiaTheme="majorEastAsia"/>
                <w:sz w:val="28"/>
                <w:szCs w:val="28"/>
                <w:lang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eastAsia="zh-CN"/>
              </w:rPr>
              <w:t>投标有效期</w:t>
            </w:r>
          </w:p>
        </w:tc>
        <w:tc>
          <w:tcPr>
            <w:tcW w:w="6038" w:type="dxa"/>
            <w:vAlign w:val="center"/>
          </w:tcPr>
          <w:p>
            <w:pPr>
              <w:spacing w:line="240" w:lineRule="auto"/>
              <w:ind w:left="520" w:leftChars="1" w:hanging="518" w:hangingChars="216"/>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cs="宋体"/>
                <w:color w:val="000000" w:themeColor="text1"/>
                <w:sz w:val="24"/>
                <w:szCs w:val="24"/>
                <w:u w:val="none"/>
                <w:lang w:val="en-US" w:eastAsia="zh-CN"/>
                <w14:textFill>
                  <w14:solidFill>
                    <w14:schemeClr w14:val="tx1"/>
                  </w14:solidFill>
                </w14:textFill>
              </w:rPr>
              <w:t>60</w:t>
            </w:r>
            <w:r>
              <w:rPr>
                <w:rFonts w:hint="eastAsia" w:ascii="宋体" w:hAnsi="宋体" w:eastAsia="宋体" w:cs="宋体"/>
                <w:color w:val="000000"/>
                <w:sz w:val="24"/>
                <w:szCs w:val="24"/>
                <w:u w:val="none"/>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4.1.1</w:t>
            </w:r>
          </w:p>
        </w:tc>
        <w:tc>
          <w:tcPr>
            <w:tcW w:w="2647" w:type="dxa"/>
            <w:vAlign w:val="center"/>
          </w:tcPr>
          <w:p>
            <w:pPr>
              <w:adjustRightInd w:val="0"/>
              <w:snapToGrid w:val="0"/>
              <w:spacing w:before="120" w:beforeLines="50" w:line="240" w:lineRule="auto"/>
              <w:jc w:val="center"/>
              <w:rPr>
                <w:rFonts w:hint="eastAsia" w:cs="Times New Roman" w:asciiTheme="majorEastAsia" w:hAnsiTheme="majorEastAsia" w:eastAsiaTheme="majorEastAsia"/>
                <w:sz w:val="28"/>
                <w:szCs w:val="28"/>
              </w:rPr>
            </w:pPr>
            <w:r>
              <w:rPr>
                <w:rFonts w:hint="eastAsia" w:ascii="宋体" w:hAnsi="宋体" w:cs="宋体"/>
                <w:b/>
                <w:bCs/>
                <w:color w:val="000000"/>
                <w:sz w:val="24"/>
                <w:szCs w:val="24"/>
                <w:u w:val="none"/>
                <w:lang w:val="en-US" w:eastAsia="zh-CN"/>
              </w:rPr>
              <w:t>响应</w:t>
            </w:r>
            <w:r>
              <w:rPr>
                <w:rFonts w:hint="eastAsia" w:ascii="宋体" w:hAnsi="宋体" w:eastAsia="宋体" w:cs="宋体"/>
                <w:b/>
                <w:bCs/>
                <w:color w:val="000000"/>
                <w:sz w:val="24"/>
                <w:szCs w:val="24"/>
                <w:u w:val="none"/>
              </w:rPr>
              <w:t>文件份数</w:t>
            </w:r>
          </w:p>
        </w:tc>
        <w:tc>
          <w:tcPr>
            <w:tcW w:w="6038" w:type="dxa"/>
            <w:vAlign w:val="center"/>
          </w:tcPr>
          <w:p>
            <w:pPr>
              <w:autoSpaceDE w:val="0"/>
              <w:autoSpaceDN w:val="0"/>
              <w:adjustRightInd w:val="0"/>
              <w:spacing w:line="240" w:lineRule="auto"/>
              <w:rPr>
                <w:rFonts w:hint="eastAsia"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正本一份，副本</w:t>
            </w:r>
            <w:r>
              <w:rPr>
                <w:rFonts w:hint="eastAsia" w:ascii="宋体" w:hAnsi="宋体" w:cs="宋体"/>
                <w:color w:val="000000"/>
                <w:kern w:val="0"/>
                <w:sz w:val="24"/>
                <w:szCs w:val="24"/>
                <w:u w:val="none"/>
                <w:lang w:val="en-US" w:eastAsia="zh-CN"/>
              </w:rPr>
              <w:t>三</w:t>
            </w:r>
            <w:r>
              <w:rPr>
                <w:rFonts w:hint="eastAsia" w:ascii="宋体" w:hAnsi="宋体" w:eastAsia="宋体" w:cs="宋体"/>
                <w:color w:val="000000"/>
                <w:kern w:val="0"/>
                <w:sz w:val="24"/>
                <w:szCs w:val="24"/>
                <w:u w:val="none"/>
                <w:lang w:val="en-US" w:eastAsia="zh-CN"/>
              </w:rPr>
              <w:t>份</w:t>
            </w:r>
            <w:r>
              <w:rPr>
                <w:rFonts w:hint="eastAsia" w:ascii="宋体" w:hAnsi="宋体" w:cs="宋体"/>
                <w:color w:val="000000"/>
                <w:kern w:val="0"/>
                <w:sz w:val="24"/>
                <w:szCs w:val="24"/>
                <w:u w:val="none"/>
                <w:lang w:val="en-US" w:eastAsia="zh-CN"/>
              </w:rPr>
              <w:t>；</w:t>
            </w:r>
          </w:p>
          <w:p>
            <w:pPr>
              <w:pStyle w:val="2"/>
              <w:rPr>
                <w:rFonts w:hint="eastAsia" w:ascii="宋体" w:hAnsi="宋体" w:eastAsia="宋体" w:cs="宋体"/>
                <w:color w:val="000000"/>
                <w:sz w:val="24"/>
                <w:szCs w:val="24"/>
                <w:u w:val="none"/>
              </w:rPr>
            </w:pPr>
            <w:r>
              <w:rPr>
                <w:rFonts w:hint="eastAsia" w:ascii="宋体" w:hAnsi="宋体" w:eastAsia="宋体" w:cs="宋体"/>
                <w:color w:val="000000"/>
                <w:kern w:val="0"/>
                <w:sz w:val="24"/>
                <w:szCs w:val="24"/>
                <w:u w:val="none"/>
                <w:lang w:val="en-US" w:eastAsia="zh-CN"/>
              </w:rPr>
              <w:t>注：本项目实行电子招投标，</w:t>
            </w:r>
            <w:r>
              <w:rPr>
                <w:rFonts w:hint="eastAsia" w:ascii="宋体" w:hAnsi="宋体" w:cs="宋体"/>
                <w:color w:val="000000"/>
                <w:kern w:val="0"/>
                <w:sz w:val="24"/>
                <w:szCs w:val="24"/>
                <w:u w:val="none"/>
                <w:lang w:val="en-US" w:eastAsia="zh-CN"/>
              </w:rPr>
              <w:t>开完标后供应商需提供纸质版</w:t>
            </w:r>
            <w:r>
              <w:rPr>
                <w:rFonts w:hint="eastAsia" w:ascii="宋体" w:hAnsi="宋体" w:eastAsia="宋体" w:cs="宋体"/>
                <w:color w:val="000000"/>
                <w:kern w:val="0"/>
                <w:sz w:val="24"/>
                <w:szCs w:val="24"/>
                <w:u w:val="none"/>
                <w:lang w:val="en-US" w:eastAsia="zh-CN" w:bidi="ar-SA"/>
              </w:rPr>
              <w:t>投标</w:t>
            </w:r>
            <w:r>
              <w:rPr>
                <w:rFonts w:hint="eastAsia" w:ascii="宋体" w:hAnsi="宋体" w:cs="宋体"/>
                <w:color w:val="000000"/>
                <w:kern w:val="0"/>
                <w:sz w:val="24"/>
                <w:szCs w:val="24"/>
                <w:u w:val="none"/>
                <w:lang w:val="en-US" w:eastAsia="zh-CN"/>
              </w:rPr>
              <w:t>文件，纸质版</w:t>
            </w:r>
            <w:r>
              <w:rPr>
                <w:rFonts w:hint="eastAsia" w:ascii="宋体" w:hAnsi="宋体" w:eastAsia="宋体" w:cs="宋体"/>
                <w:color w:val="000000"/>
                <w:kern w:val="0"/>
                <w:sz w:val="24"/>
                <w:szCs w:val="24"/>
                <w:u w:val="none"/>
                <w:lang w:val="en-US" w:eastAsia="zh-CN" w:bidi="ar-SA"/>
              </w:rPr>
              <w:t>投标</w:t>
            </w:r>
            <w:r>
              <w:rPr>
                <w:rFonts w:hint="eastAsia" w:ascii="宋体" w:hAnsi="宋体" w:cs="宋体"/>
                <w:color w:val="000000"/>
                <w:kern w:val="0"/>
                <w:sz w:val="24"/>
                <w:szCs w:val="24"/>
                <w:u w:val="none"/>
                <w:lang w:val="en-US" w:eastAsia="zh-CN"/>
              </w:rPr>
              <w:t>文件应</w:t>
            </w:r>
            <w:r>
              <w:rPr>
                <w:rFonts w:hint="eastAsia" w:ascii="宋体" w:hAnsi="宋体" w:eastAsia="宋体" w:cs="宋体"/>
                <w:color w:val="000000"/>
                <w:kern w:val="0"/>
                <w:sz w:val="24"/>
                <w:szCs w:val="24"/>
                <w:u w:val="none"/>
                <w:lang w:val="en-US" w:eastAsia="zh-CN"/>
              </w:rPr>
              <w:t>不分册装订，采用</w:t>
            </w:r>
            <w:r>
              <w:rPr>
                <w:rFonts w:hint="eastAsia" w:ascii="宋体" w:hAnsi="宋体" w:eastAsia="宋体" w:cs="宋体"/>
                <w:b/>
                <w:bCs/>
                <w:color w:val="000000"/>
                <w:kern w:val="0"/>
                <w:sz w:val="24"/>
                <w:szCs w:val="24"/>
                <w:u w:val="single"/>
                <w:lang w:val="en-US" w:eastAsia="zh-CN"/>
              </w:rPr>
              <w:t>死页胶装</w:t>
            </w:r>
            <w:r>
              <w:rPr>
                <w:rFonts w:hint="eastAsia" w:ascii="宋体" w:hAnsi="宋体" w:eastAsia="宋体" w:cs="宋体"/>
                <w:color w:val="000000"/>
                <w:kern w:val="0"/>
                <w:sz w:val="24"/>
                <w:szCs w:val="24"/>
                <w:u w:val="none"/>
                <w:lang w:val="en-US" w:eastAsia="zh-CN"/>
              </w:rPr>
              <w:t>方式装订,</w:t>
            </w:r>
            <w:r>
              <w:rPr>
                <w:rFonts w:hint="eastAsia" w:ascii="宋体" w:hAnsi="宋体" w:eastAsia="宋体" w:cs="宋体"/>
                <w:color w:val="000000"/>
                <w:kern w:val="0"/>
                <w:sz w:val="24"/>
                <w:szCs w:val="24"/>
                <w:u w:val="none"/>
                <w:lang w:val="en-US" w:eastAsia="zh-CN" w:bidi="ar-SA"/>
              </w:rPr>
              <w:t>装订应牢固、不易拆散和换页，不得采用活页装订</w:t>
            </w:r>
            <w:r>
              <w:rPr>
                <w:rFonts w:hint="eastAsia" w:ascii="宋体" w:hAnsi="宋体" w:cs="宋体"/>
                <w:color w:val="000000"/>
                <w:kern w:val="0"/>
                <w:sz w:val="24"/>
                <w:szCs w:val="24"/>
                <w:u w:val="none"/>
                <w:lang w:val="en-US" w:eastAsia="zh-CN" w:bidi="ar-SA"/>
              </w:rPr>
              <w:t>，</w:t>
            </w:r>
            <w:r>
              <w:rPr>
                <w:rFonts w:hint="eastAsia" w:ascii="宋体" w:hAnsi="宋体" w:eastAsia="宋体" w:cs="宋体"/>
                <w:color w:val="000000"/>
                <w:kern w:val="0"/>
                <w:sz w:val="24"/>
                <w:szCs w:val="24"/>
                <w:u w:val="none"/>
                <w:lang w:val="en-US" w:eastAsia="zh-CN" w:bidi="ar-SA"/>
              </w:rPr>
              <w:t>纸质版投标文件可通过加密电子版投标文件打印生成，应当与电子版投标文件一致，各投标单位须在一周内按招标文件要求将纸质版投标文件递交至招标代理处（所产生的的费用投标单位自理）。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4.2.2</w:t>
            </w:r>
          </w:p>
        </w:tc>
        <w:tc>
          <w:tcPr>
            <w:tcW w:w="2647"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r>
              <w:rPr>
                <w:rFonts w:hint="eastAsia" w:ascii="宋体" w:hAnsi="宋体" w:eastAsia="宋体" w:cs="宋体"/>
                <w:b/>
                <w:bCs/>
                <w:color w:val="000000"/>
                <w:sz w:val="24"/>
                <w:szCs w:val="24"/>
                <w:u w:val="none"/>
                <w:lang w:val="en-US" w:eastAsia="zh-CN"/>
              </w:rPr>
              <w:t>封套内容</w:t>
            </w:r>
          </w:p>
        </w:tc>
        <w:tc>
          <w:tcPr>
            <w:tcW w:w="6038" w:type="dxa"/>
            <w:vAlign w:val="center"/>
          </w:tcPr>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项目名称：</w:t>
            </w:r>
          </w:p>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项目编码：</w:t>
            </w:r>
          </w:p>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招标人名称：</w:t>
            </w:r>
          </w:p>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投标人名称：</w:t>
            </w:r>
          </w:p>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法定代表人：</w:t>
            </w:r>
          </w:p>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投标人地址：</w:t>
            </w:r>
          </w:p>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邮政编码：</w:t>
            </w:r>
          </w:p>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w:t>
            </w:r>
          </w:p>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联系电话：</w:t>
            </w:r>
          </w:p>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响应文件在2023年06月16日10:30 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4.3.2</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响应文件递交截止时间</w:t>
            </w:r>
            <w:r>
              <w:rPr>
                <w:rFonts w:hint="eastAsia" w:ascii="宋体" w:hAnsi="宋体" w:cs="宋体"/>
                <w:b/>
                <w:bCs/>
                <w:color w:val="000000"/>
                <w:sz w:val="24"/>
                <w:szCs w:val="24"/>
                <w:u w:val="none"/>
                <w:lang w:eastAsia="zh-CN"/>
              </w:rPr>
              <w:t>及地点</w:t>
            </w:r>
          </w:p>
        </w:tc>
        <w:tc>
          <w:tcPr>
            <w:tcW w:w="6038" w:type="dxa"/>
            <w:vAlign w:val="center"/>
          </w:tcPr>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时间：2023年06月16日10:30（北京时间）                        </w:t>
            </w:r>
          </w:p>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地点：政采云投标客户端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磋商时间</w:t>
            </w:r>
            <w:r>
              <w:rPr>
                <w:rFonts w:hint="eastAsia" w:ascii="宋体" w:hAnsi="宋体" w:cs="宋体"/>
                <w:b/>
                <w:bCs/>
                <w:color w:val="000000"/>
                <w:sz w:val="24"/>
                <w:szCs w:val="24"/>
                <w:u w:val="none"/>
                <w:lang w:eastAsia="zh-CN"/>
              </w:rPr>
              <w:t>及</w:t>
            </w:r>
            <w:r>
              <w:rPr>
                <w:rFonts w:hint="eastAsia" w:ascii="宋体" w:hAnsi="宋体" w:eastAsia="宋体" w:cs="宋体"/>
                <w:b/>
                <w:bCs/>
                <w:color w:val="000000"/>
                <w:sz w:val="24"/>
                <w:szCs w:val="24"/>
                <w:u w:val="none"/>
              </w:rPr>
              <w:t>地点</w:t>
            </w:r>
          </w:p>
        </w:tc>
        <w:tc>
          <w:tcPr>
            <w:tcW w:w="6038" w:type="dxa"/>
            <w:vAlign w:val="center"/>
          </w:tcPr>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时间：2023年06月16日10:30（北京时间）                         </w:t>
            </w:r>
          </w:p>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地点：政采云投标客户端</w:t>
            </w:r>
          </w:p>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注：投标人应于2023年06月16日10:30时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5.2</w:t>
            </w:r>
          </w:p>
        </w:tc>
        <w:tc>
          <w:tcPr>
            <w:tcW w:w="2647" w:type="dxa"/>
            <w:vAlign w:val="center"/>
          </w:tcPr>
          <w:p>
            <w:pPr>
              <w:spacing w:before="12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auto"/>
                <w:sz w:val="24"/>
                <w:szCs w:val="24"/>
                <w:highlight w:val="none"/>
                <w:u w:val="none"/>
                <w:lang w:eastAsia="zh-CN"/>
              </w:rPr>
              <w:t>是否公开开启响应文件</w:t>
            </w:r>
          </w:p>
        </w:tc>
        <w:tc>
          <w:tcPr>
            <w:tcW w:w="6038" w:type="dxa"/>
            <w:vAlign w:val="center"/>
          </w:tcPr>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5.3</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highlight w:val="none"/>
                <w:u w:val="none"/>
                <w:lang w:eastAsia="zh-CN"/>
              </w:rPr>
            </w:pPr>
            <w:r>
              <w:rPr>
                <w:rFonts w:hint="eastAsia" w:ascii="宋体" w:hAnsi="宋体" w:cs="宋体"/>
                <w:b/>
                <w:bCs/>
                <w:color w:val="000000"/>
                <w:sz w:val="24"/>
                <w:szCs w:val="24"/>
                <w:highlight w:val="none"/>
                <w:u w:val="none"/>
                <w:lang w:eastAsia="zh-CN"/>
              </w:rPr>
              <w:t>响应文件报价</w:t>
            </w:r>
          </w:p>
        </w:tc>
        <w:tc>
          <w:tcPr>
            <w:tcW w:w="6038" w:type="dxa"/>
            <w:vAlign w:val="center"/>
          </w:tcPr>
          <w:p>
            <w:pPr>
              <w:pStyle w:val="31"/>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color w:val="000000"/>
                <w:kern w:val="0"/>
                <w:sz w:val="24"/>
                <w:szCs w:val="24"/>
                <w:highlight w:val="none"/>
                <w:u w:val="none"/>
                <w:lang w:val="en-US" w:eastAsia="zh-CN" w:bidi="ar-SA"/>
              </w:rPr>
              <w:t>磋商小组开启供应商响应文件并进行初步审查和详细评审（只有初步审查合格的供应商，其竞争性磋商响应文件方可进入磋商阶段，将在政采云线上开启新一轮报价。）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6.1.1</w:t>
            </w:r>
          </w:p>
        </w:tc>
        <w:tc>
          <w:tcPr>
            <w:tcW w:w="2647"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000000"/>
                <w:sz w:val="24"/>
                <w:szCs w:val="24"/>
                <w:u w:val="none"/>
              </w:rPr>
              <w:t>磋商小组的组建及确定方式</w:t>
            </w:r>
          </w:p>
        </w:tc>
        <w:tc>
          <w:tcPr>
            <w:tcW w:w="6038" w:type="dxa"/>
            <w:vAlign w:val="center"/>
          </w:tcPr>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招标采购单位依法组建磋商小组共 3 人组成，其中采购人代表/人和专家评委 3 人。</w:t>
            </w:r>
          </w:p>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专家确定方式：</w:t>
            </w:r>
          </w:p>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□政府采购云平台线上自行抽取 </w:t>
            </w:r>
          </w:p>
          <w:p>
            <w:pPr>
              <w:pStyle w:val="31"/>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7.1.3</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成交结果公告媒介</w:t>
            </w:r>
          </w:p>
        </w:tc>
        <w:tc>
          <w:tcPr>
            <w:tcW w:w="6038"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cs="宋体"/>
                <w:kern w:val="0"/>
                <w:sz w:val="24"/>
                <w:lang w:val="en-US" w:eastAsia="zh-CN"/>
              </w:rPr>
              <w:t>新疆</w:t>
            </w:r>
            <w:r>
              <w:rPr>
                <w:rFonts w:hint="eastAsia" w:ascii="宋体" w:hAnsi="宋体" w:eastAsia="宋体" w:cs="宋体"/>
                <w:kern w:val="0"/>
                <w:sz w:val="24"/>
                <w:lang w:val="en-US" w:eastAsia="zh-CN"/>
              </w:rPr>
              <w:t>政府采购</w:t>
            </w:r>
            <w:r>
              <w:rPr>
                <w:rFonts w:hint="eastAsia" w:ascii="宋体" w:hAnsi="宋体" w:cs="宋体"/>
                <w:kern w:val="0"/>
                <w:sz w:val="24"/>
                <w:lang w:val="en-US" w:eastAsia="zh-CN"/>
              </w:rPr>
              <w:t>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2" w:type="dxa"/>
            <w:gridSpan w:val="3"/>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b/>
                <w:bCs/>
                <w:color w:val="auto"/>
                <w:sz w:val="24"/>
                <w:szCs w:val="24"/>
                <w:u w:val="none"/>
              </w:rPr>
              <w:t>采购人认为</w:t>
            </w:r>
            <w:r>
              <w:rPr>
                <w:rFonts w:hint="eastAsia" w:ascii="宋体" w:hAnsi="宋体" w:cs="宋体"/>
                <w:b/>
                <w:bCs/>
                <w:color w:val="auto"/>
                <w:sz w:val="24"/>
                <w:szCs w:val="24"/>
                <w:u w:val="none"/>
                <w:lang w:eastAsia="zh-CN"/>
              </w:rPr>
              <w:t>需要</w:t>
            </w:r>
            <w:r>
              <w:rPr>
                <w:rFonts w:hint="eastAsia" w:ascii="宋体" w:hAnsi="宋体" w:eastAsia="宋体" w:cs="宋体"/>
                <w:b/>
                <w:bCs/>
                <w:color w:val="auto"/>
                <w:sz w:val="24"/>
                <w:szCs w:val="24"/>
                <w:u w:val="none"/>
              </w:rPr>
              <w:t>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w:t>
            </w:r>
          </w:p>
        </w:tc>
        <w:tc>
          <w:tcPr>
            <w:tcW w:w="2647" w:type="dxa"/>
            <w:vAlign w:val="center"/>
          </w:tcPr>
          <w:p>
            <w:pPr>
              <w:spacing w:line="240" w:lineRule="auto"/>
              <w:jc w:val="center"/>
              <w:rPr>
                <w:rFonts w:hint="eastAsia" w:ascii="宋体" w:hAnsi="宋体" w:eastAsia="宋体" w:cs="宋体"/>
                <w:b/>
                <w:bCs/>
                <w:color w:val="auto"/>
                <w:kern w:val="0"/>
                <w:sz w:val="24"/>
                <w:szCs w:val="24"/>
                <w:highlight w:val="none"/>
                <w:u w:val="none"/>
                <w:lang w:val="en-US" w:eastAsia="zh-CN" w:bidi="ar-SA"/>
              </w:rPr>
            </w:pPr>
            <w:r>
              <w:rPr>
                <w:rFonts w:hint="eastAsia" w:cs="Times New Roman" w:asciiTheme="majorEastAsia" w:hAnsiTheme="majorEastAsia" w:eastAsiaTheme="majorEastAsia"/>
                <w:color w:val="auto"/>
                <w:sz w:val="28"/>
                <w:szCs w:val="28"/>
                <w:highlight w:val="none"/>
              </w:rPr>
              <w:t>★</w:t>
            </w:r>
            <w:r>
              <w:rPr>
                <w:rFonts w:hint="eastAsia" w:ascii="宋体" w:hAnsi="宋体" w:eastAsia="宋体" w:cs="宋体"/>
                <w:b/>
                <w:bCs/>
                <w:color w:val="auto"/>
                <w:kern w:val="0"/>
                <w:sz w:val="24"/>
                <w:szCs w:val="24"/>
                <w:highlight w:val="none"/>
                <w:u w:val="none"/>
              </w:rPr>
              <w:t>履约保证金</w:t>
            </w:r>
          </w:p>
        </w:tc>
        <w:tc>
          <w:tcPr>
            <w:tcW w:w="6038" w:type="dxa"/>
            <w:vAlign w:val="center"/>
          </w:tcPr>
          <w:p>
            <w:pPr>
              <w:spacing w:line="240" w:lineRule="auto"/>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与甲方签订合同后自行商议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2</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本项目是</w:t>
            </w:r>
            <w:r>
              <w:rPr>
                <w:rFonts w:hint="eastAsia" w:ascii="宋体" w:hAnsi="宋体" w:eastAsia="宋体" w:cs="宋体"/>
                <w:b/>
                <w:bCs/>
                <w:color w:val="000000"/>
                <w:kern w:val="0"/>
                <w:sz w:val="24"/>
                <w:szCs w:val="24"/>
                <w:u w:val="none"/>
                <w:lang w:val="en-US" w:eastAsia="zh-CN"/>
              </w:rPr>
              <w:t>否</w:t>
            </w:r>
            <w:r>
              <w:rPr>
                <w:rFonts w:hint="eastAsia" w:ascii="宋体" w:hAnsi="宋体" w:eastAsia="宋体" w:cs="宋体"/>
                <w:b/>
                <w:bCs/>
                <w:color w:val="000000"/>
                <w:kern w:val="0"/>
                <w:sz w:val="24"/>
                <w:szCs w:val="24"/>
                <w:u w:val="none"/>
                <w:lang w:eastAsia="zh-CN"/>
              </w:rPr>
              <w:t>专门面向中小企业</w:t>
            </w:r>
          </w:p>
        </w:tc>
        <w:tc>
          <w:tcPr>
            <w:tcW w:w="6038" w:type="dxa"/>
            <w:vAlign w:val="center"/>
          </w:tcPr>
          <w:p>
            <w:pPr>
              <w:pStyle w:val="69"/>
              <w:spacing w:line="240" w:lineRule="auto"/>
              <w:ind w:left="0" w:leftChars="0" w:firstLine="0" w:firstLineChars="0"/>
              <w:rPr>
                <w:rFonts w:hint="eastAsia" w:ascii="宋体" w:hAnsi="宋体" w:eastAsia="宋体" w:cs="宋体"/>
                <w:color w:val="000000"/>
                <w:kern w:val="0"/>
                <w:sz w:val="24"/>
                <w:szCs w:val="24"/>
                <w:highlight w:val="yellow"/>
                <w:u w:val="none"/>
                <w:lang w:eastAsia="zh-CN"/>
              </w:rPr>
            </w:pPr>
            <w:r>
              <w:rPr>
                <w:rFonts w:hint="eastAsia" w:ascii="宋体" w:hAnsi="宋体" w:eastAsia="宋体" w:cs="宋体"/>
                <w:kern w:val="0"/>
                <w:sz w:val="24"/>
                <w:highlight w:val="none"/>
                <w:u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rPr>
              <w:t>中小企业</w:t>
            </w:r>
            <w:r>
              <w:rPr>
                <w:rFonts w:hint="eastAsia" w:ascii="宋体" w:hAnsi="宋体" w:eastAsia="宋体" w:cs="宋体"/>
                <w:b/>
                <w:bCs/>
                <w:color w:val="000000"/>
                <w:kern w:val="0"/>
                <w:sz w:val="24"/>
                <w:szCs w:val="24"/>
                <w:u w:val="none"/>
                <w:lang w:eastAsia="zh-CN"/>
              </w:rPr>
              <w:t>扶持</w:t>
            </w:r>
            <w:r>
              <w:rPr>
                <w:rFonts w:hint="eastAsia" w:ascii="宋体" w:hAnsi="宋体" w:eastAsia="宋体" w:cs="宋体"/>
                <w:b/>
                <w:bCs/>
                <w:color w:val="000000"/>
                <w:kern w:val="0"/>
                <w:sz w:val="24"/>
                <w:szCs w:val="24"/>
                <w:u w:val="none"/>
              </w:rPr>
              <w:t>政策</w:t>
            </w:r>
          </w:p>
        </w:tc>
        <w:tc>
          <w:tcPr>
            <w:tcW w:w="6038" w:type="dxa"/>
            <w:vAlign w:val="center"/>
          </w:tcPr>
          <w:p>
            <w:pPr>
              <w:pStyle w:val="69"/>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4</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本项目所属行业</w:t>
            </w:r>
          </w:p>
        </w:tc>
        <w:tc>
          <w:tcPr>
            <w:tcW w:w="6038" w:type="dxa"/>
            <w:vAlign w:val="center"/>
          </w:tcPr>
          <w:p>
            <w:pPr>
              <w:pStyle w:val="69"/>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color w:val="000000" w:themeColor="text1"/>
                <w:kern w:val="0"/>
                <w:sz w:val="24"/>
                <w:highlight w:val="none"/>
                <w:lang w:eastAsia="zh-CN"/>
                <w14:textFill>
                  <w14:solidFill>
                    <w14:schemeClr w14:val="tx1"/>
                  </w14:solidFill>
                </w14:textFill>
              </w:rPr>
              <w:t>其他未列明行业（包括科学研究和技术服务业，水利、环境和公共设施管理业，居民服务、修理和其他服务业，社会工作，文化、体育和娱乐业等）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5</w:t>
            </w:r>
          </w:p>
        </w:tc>
        <w:tc>
          <w:tcPr>
            <w:tcW w:w="2647" w:type="dxa"/>
            <w:vAlign w:val="center"/>
          </w:tcPr>
          <w:p>
            <w:pPr>
              <w:spacing w:line="240" w:lineRule="auto"/>
              <w:jc w:val="center"/>
              <w:rPr>
                <w:rFonts w:hint="eastAsia" w:cs="Times New Roman" w:asciiTheme="majorEastAsia" w:hAnsiTheme="majorEastAsia" w:eastAsiaTheme="majorEastAsia"/>
                <w:kern w:val="2"/>
                <w:sz w:val="28"/>
                <w:szCs w:val="28"/>
                <w:lang w:val="en-US" w:eastAsia="zh-CN" w:bidi="ar-SA"/>
              </w:rPr>
            </w:pPr>
            <w:r>
              <w:rPr>
                <w:rFonts w:hint="eastAsia" w:ascii="宋体" w:hAnsi="宋体" w:eastAsia="宋体" w:cs="宋体"/>
                <w:b/>
                <w:bCs/>
                <w:color w:val="000000"/>
                <w:kern w:val="0"/>
                <w:sz w:val="24"/>
                <w:szCs w:val="24"/>
                <w:u w:val="none"/>
              </w:rPr>
              <w:t>重大违法记录</w:t>
            </w:r>
          </w:p>
        </w:tc>
        <w:tc>
          <w:tcPr>
            <w:tcW w:w="6038" w:type="dxa"/>
            <w:vAlign w:val="center"/>
          </w:tcPr>
          <w:p>
            <w:pPr>
              <w:pStyle w:val="69"/>
              <w:spacing w:line="240" w:lineRule="auto"/>
              <w:ind w:left="0" w:leftChars="0" w:firstLine="0" w:firstLineChars="0"/>
              <w:rPr>
                <w:rFonts w:hint="eastAsia" w:ascii="宋体" w:hAnsi="宋体" w:eastAsia="宋体" w:cs="宋体"/>
                <w:color w:val="000000"/>
                <w:kern w:val="0"/>
                <w:sz w:val="24"/>
                <w:szCs w:val="24"/>
                <w:u w:val="none"/>
                <w:lang w:val="en-US" w:eastAsia="zh-CN" w:bidi="ar-SA"/>
              </w:rPr>
            </w:pPr>
            <w:r>
              <w:rPr>
                <w:rFonts w:hint="eastAsia" w:ascii="宋体" w:hAnsi="宋体" w:eastAsia="宋体" w:cs="宋体"/>
                <w:color w:val="000000"/>
                <w:kern w:val="0"/>
                <w:sz w:val="24"/>
                <w:szCs w:val="24"/>
                <w:u w:val="none"/>
              </w:rPr>
              <w:t>供应商因违法经营受到刑事处罚或者责令停产停业、吊销许可证或者执照、较大数额罚款等行政处罚。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6</w:t>
            </w:r>
          </w:p>
        </w:tc>
        <w:tc>
          <w:tcPr>
            <w:tcW w:w="2647" w:type="dxa"/>
            <w:vAlign w:val="center"/>
          </w:tcPr>
          <w:p>
            <w:pPr>
              <w:spacing w:line="240" w:lineRule="auto"/>
              <w:jc w:val="center"/>
              <w:rPr>
                <w:rFonts w:hint="eastAsia" w:ascii="宋体" w:hAnsi="宋体" w:eastAsia="宋体" w:cs="宋体"/>
                <w:b/>
                <w:bCs/>
                <w:color w:val="000000"/>
                <w:kern w:val="0"/>
                <w:sz w:val="24"/>
                <w:szCs w:val="24"/>
                <w:u w:val="none"/>
                <w:lang w:val="en-US" w:eastAsia="zh-CN" w:bidi="ar-SA"/>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lang w:val="en-US" w:eastAsia="zh-CN"/>
              </w:rPr>
              <w:t>代理</w:t>
            </w:r>
            <w:r>
              <w:rPr>
                <w:rFonts w:hint="eastAsia" w:ascii="宋体" w:hAnsi="宋体" w:eastAsia="宋体" w:cs="宋体"/>
                <w:b/>
                <w:bCs/>
                <w:color w:val="000000"/>
                <w:sz w:val="24"/>
                <w:szCs w:val="24"/>
                <w:u w:val="none"/>
              </w:rPr>
              <w:t>服务费</w:t>
            </w:r>
          </w:p>
        </w:tc>
        <w:tc>
          <w:tcPr>
            <w:tcW w:w="6038" w:type="dxa"/>
            <w:vAlign w:val="center"/>
          </w:tcPr>
          <w:p>
            <w:pPr>
              <w:spacing w:line="240" w:lineRule="auto"/>
              <w:rPr>
                <w:rFonts w:hint="eastAsia" w:ascii="宋体" w:hAnsi="宋体" w:eastAsia="宋体" w:cs="宋体"/>
                <w:color w:val="000000"/>
                <w:kern w:val="0"/>
                <w:sz w:val="24"/>
                <w:szCs w:val="24"/>
                <w:u w:val="none"/>
                <w:lang w:val="en-US" w:eastAsia="zh-CN" w:bidi="ar-SA"/>
              </w:rPr>
            </w:pPr>
            <w:r>
              <w:rPr>
                <w:rFonts w:hint="eastAsia" w:ascii="宋体" w:hAnsi="宋体" w:cs="宋体"/>
                <w:color w:val="000000"/>
                <w:kern w:val="0"/>
                <w:sz w:val="24"/>
                <w:szCs w:val="24"/>
                <w:u w:val="none"/>
                <w:lang w:val="en-US" w:eastAsia="zh-CN" w:bidi="ar-SA"/>
              </w:rPr>
              <w:t>由中标人支付，</w:t>
            </w:r>
            <w:r>
              <w:rPr>
                <w:rFonts w:hint="eastAsia" w:ascii="宋体" w:hAnsi="宋体" w:eastAsia="宋体" w:cs="宋体"/>
                <w:color w:val="000000"/>
                <w:kern w:val="0"/>
                <w:sz w:val="24"/>
                <w:szCs w:val="24"/>
                <w:u w:val="none"/>
                <w:lang w:val="en-US" w:eastAsia="zh-CN" w:bidi="ar-SA"/>
              </w:rPr>
              <w:t>按照发改价格〔2015〕299号通知要求，参照国家计委计价格〔2002〕1980号文及发改价格〔2011〕534号文的差额定率累进法计算，以中标金额为基准价收取招标代理服务费</w:t>
            </w:r>
            <w:r>
              <w:rPr>
                <w:rFonts w:hint="eastAsia" w:ascii="宋体" w:hAnsi="宋体" w:cs="宋体"/>
                <w:color w:val="000000"/>
                <w:kern w:val="0"/>
                <w:sz w:val="24"/>
                <w:szCs w:val="24"/>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7</w:t>
            </w:r>
          </w:p>
        </w:tc>
        <w:tc>
          <w:tcPr>
            <w:tcW w:w="2647" w:type="dxa"/>
            <w:vAlign w:val="center"/>
          </w:tcPr>
          <w:p>
            <w:pPr>
              <w:spacing w:line="240" w:lineRule="auto"/>
              <w:jc w:val="center"/>
              <w:rPr>
                <w:rFonts w:hint="eastAsia" w:ascii="宋体" w:hAnsi="宋体" w:eastAsia="宋体" w:cs="宋体"/>
                <w:b/>
                <w:bCs/>
                <w:color w:val="000000"/>
                <w:kern w:val="2"/>
                <w:sz w:val="24"/>
                <w:szCs w:val="24"/>
                <w:u w:val="none"/>
                <w:lang w:val="en-US" w:eastAsia="zh-CN" w:bidi="ar-SA"/>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val="en-US" w:eastAsia="zh-CN"/>
              </w:rPr>
              <w:t>场地服务费</w:t>
            </w:r>
          </w:p>
        </w:tc>
        <w:tc>
          <w:tcPr>
            <w:tcW w:w="6038" w:type="dxa"/>
            <w:vAlign w:val="center"/>
          </w:tcPr>
          <w:p>
            <w:pPr>
              <w:spacing w:line="240" w:lineRule="auto"/>
              <w:rPr>
                <w:rFonts w:hint="eastAsia" w:ascii="宋体" w:hAnsi="宋体" w:eastAsia="宋体" w:cs="宋体"/>
                <w:color w:val="000000"/>
                <w:kern w:val="0"/>
                <w:sz w:val="24"/>
                <w:szCs w:val="24"/>
                <w:u w:val="none"/>
                <w:lang w:val="en-US" w:eastAsia="zh-CN" w:bidi="ar-SA"/>
              </w:rPr>
            </w:pPr>
            <w:r>
              <w:rPr>
                <w:rFonts w:hint="eastAsia" w:ascii="宋体" w:hAnsi="宋体" w:eastAsia="宋体" w:cs="宋体"/>
                <w:color w:val="000000"/>
                <w:kern w:val="0"/>
                <w:sz w:val="24"/>
                <w:szCs w:val="24"/>
                <w:u w:val="none"/>
                <w:lang w:val="en-US" w:eastAsia="zh-CN" w:bidi="ar-SA"/>
              </w:rPr>
              <w:t>投标人进入招标投标交易场所投标，应当按照规定向提供场地、设施及服务的交易场所经营机构交纳场地及设施服务费。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8</w:t>
            </w:r>
          </w:p>
        </w:tc>
        <w:tc>
          <w:tcPr>
            <w:tcW w:w="2647" w:type="dxa"/>
            <w:vAlign w:val="center"/>
          </w:tcPr>
          <w:p>
            <w:pPr>
              <w:spacing w:line="240" w:lineRule="auto"/>
              <w:jc w:val="center"/>
              <w:rPr>
                <w:rFonts w:hint="eastAsia" w:ascii="宋体" w:hAnsi="宋体" w:eastAsia="宋体" w:cs="宋体"/>
                <w:b/>
                <w:bCs/>
                <w:color w:val="000000"/>
                <w:kern w:val="2"/>
                <w:sz w:val="24"/>
                <w:szCs w:val="24"/>
                <w:u w:val="none"/>
                <w:lang w:val="en-US" w:eastAsia="zh-CN" w:bidi="ar-SA"/>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val="en-US" w:eastAsia="zh-CN"/>
              </w:rPr>
              <w:t>公证费</w:t>
            </w:r>
          </w:p>
        </w:tc>
        <w:tc>
          <w:tcPr>
            <w:tcW w:w="6038" w:type="dxa"/>
            <w:vAlign w:val="center"/>
          </w:tcPr>
          <w:p>
            <w:pPr>
              <w:spacing w:line="240" w:lineRule="auto"/>
              <w:rPr>
                <w:rFonts w:hint="eastAsia" w:ascii="宋体" w:hAnsi="宋体" w:eastAsia="宋体" w:cs="宋体"/>
                <w:color w:val="000000"/>
                <w:kern w:val="0"/>
                <w:sz w:val="24"/>
                <w:szCs w:val="24"/>
                <w:u w:val="none"/>
                <w:lang w:val="en-US" w:eastAsia="zh-CN" w:bidi="ar-SA"/>
              </w:rPr>
            </w:pPr>
            <w:r>
              <w:rPr>
                <w:rFonts w:hint="eastAsia" w:ascii="宋体" w:hAnsi="宋体" w:cs="宋体"/>
                <w:color w:val="000000"/>
                <w:kern w:val="0"/>
                <w:sz w:val="24"/>
                <w:szCs w:val="24"/>
                <w:u w:val="none"/>
                <w:lang w:val="en-US" w:eastAsia="zh-CN" w:bidi="ar-SA"/>
              </w:rPr>
              <w:t>中标单位</w:t>
            </w:r>
            <w:r>
              <w:rPr>
                <w:rFonts w:hint="eastAsia" w:ascii="宋体" w:hAnsi="宋体" w:eastAsia="宋体" w:cs="宋体"/>
                <w:kern w:val="0"/>
                <w:sz w:val="24"/>
                <w:szCs w:val="22"/>
                <w:lang w:val="en-US" w:eastAsia="zh-CN" w:bidi="ar-SA"/>
              </w:rPr>
              <w:t>根据公证处要求进行缴纳</w:t>
            </w:r>
            <w:r>
              <w:rPr>
                <w:rFonts w:hint="eastAsia"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9</w:t>
            </w:r>
          </w:p>
        </w:tc>
        <w:tc>
          <w:tcPr>
            <w:tcW w:w="2647" w:type="dxa"/>
            <w:vAlign w:val="center"/>
          </w:tcPr>
          <w:p>
            <w:pPr>
              <w:spacing w:line="240" w:lineRule="auto"/>
              <w:jc w:val="center"/>
              <w:rPr>
                <w:rFonts w:hint="eastAsia" w:cs="Times New Roman" w:asciiTheme="majorEastAsia" w:hAnsiTheme="majorEastAsia" w:eastAsiaTheme="majorEastAsia"/>
                <w:sz w:val="28"/>
                <w:szCs w:val="28"/>
                <w:lang w:eastAsia="zh-CN"/>
              </w:rPr>
            </w:pPr>
            <w:r>
              <w:rPr>
                <w:rFonts w:hint="eastAsia" w:cs="Times New Roman" w:asciiTheme="majorEastAsia" w:hAnsiTheme="majorEastAsia" w:eastAsiaTheme="majorEastAsia"/>
                <w:b/>
                <w:bCs/>
                <w:sz w:val="28"/>
                <w:szCs w:val="28"/>
                <w:lang w:eastAsia="zh-CN"/>
              </w:rPr>
              <w:t>其他</w:t>
            </w:r>
          </w:p>
        </w:tc>
        <w:tc>
          <w:tcPr>
            <w:tcW w:w="6038" w:type="dxa"/>
            <w:vAlign w:val="center"/>
          </w:tcPr>
          <w:p>
            <w:pPr>
              <w:spacing w:line="240" w:lineRule="auto"/>
              <w:rPr>
                <w:rFonts w:hint="eastAsia" w:ascii="宋体" w:hAnsi="宋体" w:eastAsia="宋体" w:cs="宋体"/>
                <w:color w:val="000000"/>
                <w:kern w:val="0"/>
                <w:sz w:val="24"/>
                <w:szCs w:val="24"/>
                <w:u w:val="none"/>
                <w:lang w:val="en-US" w:eastAsia="zh-CN" w:bidi="ar-SA"/>
              </w:rPr>
            </w:pPr>
            <w:r>
              <w:rPr>
                <w:rFonts w:hint="eastAsia" w:ascii="宋体" w:hAnsi="宋体" w:eastAsia="宋体" w:cs="宋体"/>
                <w:color w:val="000000"/>
                <w:kern w:val="0"/>
                <w:sz w:val="24"/>
                <w:szCs w:val="24"/>
                <w:u w:val="none"/>
                <w:lang w:val="en-US" w:eastAsia="zh-CN" w:bidi="ar-SA"/>
              </w:rPr>
              <w:t>（1）本项目实行不见面开标（网上投标，网上开标、评标），投标人需办理CA锁。已办理CA锁的，需添加在政府采购云平台使用的功能。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240" w:lineRule="auto"/>
              <w:rPr>
                <w:rFonts w:hint="eastAsia" w:ascii="宋体" w:hAnsi="宋体" w:eastAsia="宋体" w:cs="宋体"/>
                <w:color w:val="000000"/>
                <w:kern w:val="0"/>
                <w:sz w:val="24"/>
                <w:szCs w:val="24"/>
                <w:u w:val="none"/>
                <w:lang w:val="en-US" w:eastAsia="zh-CN" w:bidi="ar-SA"/>
              </w:rPr>
            </w:pPr>
            <w:r>
              <w:rPr>
                <w:rFonts w:hint="eastAsia" w:ascii="宋体" w:hAnsi="宋体" w:eastAsia="宋体" w:cs="宋体"/>
                <w:color w:val="000000"/>
                <w:kern w:val="0"/>
                <w:sz w:val="24"/>
                <w:szCs w:val="24"/>
                <w:u w:val="none"/>
                <w:lang w:val="en-US" w:eastAsia="zh-CN" w:bidi="ar-SA"/>
              </w:rPr>
              <w:t>（2）供应商在政府采购云平台实行不见面开标操作指南：请潜在供应商登录https://edu.zcygov.cn/live/hall/detail?id=afe2a098c89c426097379094cf6fec6f&amp;type=vod，观看政府采购云平台供应商电子标培训视频教程。如因供应商自身原因导致在规定时间内无法正常解密的（如：浏览器故障、未安装相关驱动、网络故障、加密CA与解密CA不一致等），视为供应商自动弃标。</w:t>
            </w:r>
          </w:p>
          <w:p>
            <w:pPr>
              <w:spacing w:line="240" w:lineRule="auto"/>
              <w:rPr>
                <w:rFonts w:hint="default" w:ascii="宋体" w:hAnsi="宋体" w:eastAsia="宋体" w:cs="宋体"/>
                <w:color w:val="000000"/>
                <w:kern w:val="0"/>
                <w:sz w:val="24"/>
                <w:szCs w:val="24"/>
                <w:u w:val="none"/>
                <w:lang w:val="en-US" w:eastAsia="zh-CN" w:bidi="ar-SA"/>
              </w:rPr>
            </w:pPr>
            <w:r>
              <w:rPr>
                <w:rFonts w:hint="eastAsia" w:ascii="宋体" w:hAnsi="宋体" w:eastAsia="宋体" w:cs="宋体"/>
                <w:color w:val="000000"/>
                <w:kern w:val="0"/>
                <w:sz w:val="24"/>
                <w:szCs w:val="24"/>
                <w:u w:val="none"/>
                <w:lang w:val="en-US" w:eastAsia="zh-CN" w:bidi="ar-SA"/>
              </w:rPr>
              <w:t>（3）投标供应商应当在投标截止时间前，将生成的“JMBS格式电子加密响应文件”上传递交至“政府采购云平台”，投标截止时间以后上传递交的响应文件将被“政府采购云平台”拒收。</w:t>
            </w:r>
          </w:p>
          <w:p>
            <w:pPr>
              <w:spacing w:line="240" w:lineRule="auto"/>
              <w:rPr>
                <w:rFonts w:hint="eastAsia" w:ascii="宋体" w:hAnsi="宋体" w:eastAsia="宋体" w:cs="宋体"/>
                <w:color w:val="000000"/>
                <w:kern w:val="0"/>
                <w:sz w:val="24"/>
                <w:szCs w:val="24"/>
                <w:u w:val="none"/>
                <w:lang w:val="en-US" w:eastAsia="zh-CN" w:bidi="ar-SA"/>
              </w:rPr>
            </w:pPr>
            <w:r>
              <w:rPr>
                <w:rFonts w:hint="eastAsia" w:ascii="宋体" w:hAnsi="宋体" w:eastAsia="宋体" w:cs="宋体"/>
                <w:color w:val="000000"/>
                <w:kern w:val="0"/>
                <w:sz w:val="24"/>
                <w:szCs w:val="24"/>
                <w:u w:val="none"/>
                <w:lang w:val="en-US" w:eastAsia="zh-CN" w:bidi="ar-SA"/>
              </w:rPr>
              <w:t>（4）响应文件开启时间后30分钟内供应商可以登录“政采云”平台，用“项目采购-开标评标”功能进行解密响应文件。若供应商在规定时间内未按时解密的，视为响应文件撤回。</w:t>
            </w:r>
          </w:p>
          <w:p>
            <w:pPr>
              <w:spacing w:line="240" w:lineRule="auto"/>
              <w:rPr>
                <w:rFonts w:hint="eastAsia"/>
                <w:lang w:val="en-US" w:eastAsia="zh-CN"/>
              </w:rPr>
            </w:pPr>
            <w:r>
              <w:rPr>
                <w:rFonts w:hint="eastAsia" w:ascii="宋体" w:hAnsi="宋体" w:eastAsia="宋体" w:cs="宋体"/>
                <w:color w:val="000000"/>
                <w:kern w:val="0"/>
                <w:sz w:val="24"/>
                <w:szCs w:val="24"/>
                <w:u w:val="none"/>
                <w:lang w:val="en-US" w:eastAsia="zh-CN" w:bidi="ar-SA"/>
              </w:rPr>
              <w:t>（5）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9802" w:type="dxa"/>
            <w:gridSpan w:val="3"/>
            <w:vAlign w:val="center"/>
          </w:tcPr>
          <w:p>
            <w:pPr>
              <w:spacing w:line="240" w:lineRule="auto"/>
              <w:ind w:firstLine="480" w:firstLineChars="20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0"/>
                <w:highlight w:val="none"/>
                <w:lang w:val="en-US" w:eastAsia="zh-CN" w:bidi="ar-SA"/>
              </w:rPr>
              <w:t>为方便广大中小企业、政府部门和社会公众识别企业规模类型，工业和信息化部组织开发了中小企业规模类型自测小程序，并于2020年2月27日上线运行，在国务院客户端和工业和信息化部网站（https://www.miit.gov.cn/）上均有链接，广大中小企业和各类社会机构填写企业所属的行业和指标数据自动生成企业规模类型测试结果。</w:t>
            </w:r>
          </w:p>
        </w:tc>
      </w:tr>
    </w:tbl>
    <w:p>
      <w:pPr>
        <w:spacing w:line="440" w:lineRule="exact"/>
        <w:rPr>
          <w:rFonts w:hint="eastAsia"/>
          <w:lang w:eastAsia="zh-CN"/>
        </w:rPr>
        <w:sectPr>
          <w:footerReference r:id="rId3" w:type="default"/>
          <w:pgSz w:w="11906" w:h="16838"/>
          <w:pgMar w:top="1440" w:right="1080" w:bottom="1440" w:left="1080" w:header="851" w:footer="992" w:gutter="0"/>
          <w:pgNumType w:fmt="decimal" w:start="1"/>
          <w:cols w:space="425" w:num="1"/>
          <w:docGrid w:linePitch="312" w:charSpace="0"/>
        </w:sectPr>
      </w:pPr>
      <w:r>
        <w:rPr>
          <w:rFonts w:hint="eastAsia" w:ascii="宋体" w:hAnsi="宋体" w:eastAsia="宋体" w:cs="宋体"/>
          <w:b/>
          <w:bCs/>
          <w:kern w:val="0"/>
          <w:sz w:val="24"/>
          <w:szCs w:val="22"/>
        </w:rPr>
        <w:t>注：</w:t>
      </w:r>
      <w:r>
        <w:rPr>
          <w:rFonts w:hint="eastAsia" w:ascii="宋体" w:hAnsi="宋体" w:eastAsia="宋体" w:cs="宋体"/>
          <w:sz w:val="24"/>
          <w:szCs w:val="22"/>
          <w:lang w:val="en-US" w:eastAsia="zh-CN"/>
        </w:rPr>
        <w:t>1</w:t>
      </w:r>
      <w:r>
        <w:rPr>
          <w:rFonts w:hint="eastAsia" w:ascii="宋体" w:hAnsi="宋体" w:eastAsia="宋体" w:cs="宋体"/>
          <w:sz w:val="24"/>
          <w:szCs w:val="22"/>
        </w:rPr>
        <w:t>、本表内容与</w:t>
      </w:r>
      <w:r>
        <w:rPr>
          <w:rFonts w:hint="eastAsia" w:ascii="宋体" w:hAnsi="宋体" w:cs="宋体"/>
          <w:sz w:val="24"/>
          <w:szCs w:val="22"/>
          <w:lang w:eastAsia="zh-CN"/>
        </w:rPr>
        <w:t>磋商</w:t>
      </w:r>
      <w:r>
        <w:rPr>
          <w:rFonts w:hint="eastAsia" w:ascii="宋体" w:hAnsi="宋体" w:eastAsia="宋体" w:cs="宋体"/>
          <w:sz w:val="24"/>
          <w:szCs w:val="22"/>
        </w:rPr>
        <w:t>文件其它内容不一致的，应当以本表内容为准。</w:t>
      </w:r>
      <w:r>
        <w:rPr>
          <w:rFonts w:hint="eastAsia" w:ascii="宋体" w:hAnsi="宋体" w:eastAsia="宋体" w:cs="宋体"/>
          <w:kern w:val="0"/>
          <w:sz w:val="24"/>
          <w:szCs w:val="22"/>
          <w:lang w:val="en-US" w:eastAsia="zh-CN"/>
        </w:rPr>
        <w:t>2</w:t>
      </w:r>
      <w:r>
        <w:rPr>
          <w:rFonts w:hint="eastAsia" w:ascii="宋体" w:hAnsi="宋体" w:eastAsia="宋体" w:cs="宋体"/>
          <w:kern w:val="0"/>
          <w:sz w:val="24"/>
          <w:szCs w:val="22"/>
        </w:rPr>
        <w:t>、本表中“</w:t>
      </w:r>
      <w:r>
        <w:rPr>
          <w:rFonts w:hint="eastAsia" w:ascii="宋体" w:hAnsi="宋体" w:eastAsia="宋体" w:cs="宋体"/>
          <w:kern w:val="0"/>
          <w:sz w:val="24"/>
          <w:szCs w:val="22"/>
        </w:rPr>
        <w:fldChar w:fldCharType="begin"/>
      </w:r>
      <w:r>
        <w:rPr>
          <w:rFonts w:hint="eastAsia" w:ascii="宋体" w:hAnsi="宋体" w:eastAsia="宋体" w:cs="宋体"/>
          <w:kern w:val="0"/>
          <w:sz w:val="22"/>
          <w:szCs w:val="22"/>
        </w:rPr>
        <w:instrText xml:space="preserve"> eq \o\ac(</w:instrText>
      </w:r>
      <w:r>
        <w:rPr>
          <w:rFonts w:hint="eastAsia" w:ascii="宋体" w:hAnsi="宋体" w:eastAsia="宋体" w:cs="宋体"/>
          <w:kern w:val="0"/>
          <w:position w:val="-4"/>
          <w:sz w:val="33"/>
          <w:szCs w:val="22"/>
        </w:rPr>
        <w:instrText xml:space="preserve">□</w:instrText>
      </w:r>
      <w:r>
        <w:rPr>
          <w:rFonts w:hint="eastAsia" w:ascii="宋体" w:hAnsi="宋体" w:eastAsia="宋体" w:cs="宋体"/>
          <w:kern w:val="0"/>
          <w:position w:val="0"/>
          <w:sz w:val="22"/>
          <w:szCs w:val="22"/>
        </w:rPr>
        <w:instrText xml:space="preserve">,√)</w:instrText>
      </w:r>
      <w:r>
        <w:rPr>
          <w:rFonts w:hint="eastAsia" w:ascii="宋体" w:hAnsi="宋体" w:eastAsia="宋体" w:cs="宋体"/>
          <w:kern w:val="0"/>
          <w:sz w:val="24"/>
          <w:szCs w:val="22"/>
        </w:rPr>
        <w:fldChar w:fldCharType="end"/>
      </w:r>
      <w:r>
        <w:rPr>
          <w:rFonts w:hint="eastAsia" w:ascii="宋体" w:hAnsi="宋体" w:eastAsia="宋体" w:cs="宋体"/>
          <w:kern w:val="0"/>
          <w:sz w:val="24"/>
          <w:szCs w:val="22"/>
        </w:rPr>
        <w:t>”标示选择使用该项</w:t>
      </w:r>
      <w:r>
        <w:rPr>
          <w:rFonts w:hint="eastAsia" w:ascii="宋体" w:hAnsi="宋体" w:cs="宋体"/>
          <w:kern w:val="0"/>
          <w:sz w:val="24"/>
          <w:szCs w:val="22"/>
          <w:lang w:eastAsia="zh-CN"/>
        </w:rPr>
        <w:t>。</w:t>
      </w:r>
    </w:p>
    <w:bookmarkEnd w:id="1"/>
    <w:p>
      <w:pPr>
        <w:pStyle w:val="6"/>
        <w:pageBreakBefore w:val="0"/>
        <w:kinsoku/>
        <w:overflowPunct/>
        <w:autoSpaceDE/>
        <w:autoSpaceDN/>
        <w:bidi w:val="0"/>
        <w:spacing w:line="400" w:lineRule="exact"/>
        <w:rPr>
          <w:rFonts w:hint="eastAsia"/>
        </w:rPr>
      </w:pPr>
      <w:bookmarkStart w:id="51" w:name="_Toc455227390"/>
      <w:bookmarkEnd w:id="51"/>
      <w:bookmarkStart w:id="52" w:name="_Toc16938518"/>
      <w:bookmarkEnd w:id="52"/>
      <w:bookmarkStart w:id="53" w:name="_Toc20823274"/>
      <w:bookmarkEnd w:id="53"/>
      <w:bookmarkStart w:id="54" w:name="_Toc120614213"/>
      <w:bookmarkEnd w:id="54"/>
      <w:bookmarkStart w:id="55" w:name="_Toc513029202"/>
      <w:bookmarkEnd w:id="55"/>
      <w:bookmarkStart w:id="56" w:name="_Toc1621"/>
      <w:bookmarkStart w:id="57" w:name="_Toc20759"/>
      <w:r>
        <w:rPr>
          <w:rFonts w:hint="eastAsia"/>
        </w:rPr>
        <w:t>一、说明</w:t>
      </w:r>
      <w:bookmarkEnd w:id="56"/>
      <w:bookmarkEnd w:id="57"/>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1.1适用范围</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1本磋商文件仅适用于本磋商</w:t>
      </w:r>
      <w:r>
        <w:rPr>
          <w:rFonts w:hint="eastAsia" w:ascii="宋体" w:hAnsi="宋体" w:eastAsia="宋体" w:cs="宋体"/>
          <w:sz w:val="24"/>
          <w:szCs w:val="24"/>
          <w:lang w:eastAsia="zh-CN"/>
        </w:rPr>
        <w:t>文件</w:t>
      </w:r>
      <w:r>
        <w:rPr>
          <w:rFonts w:hint="eastAsia" w:ascii="宋体" w:hAnsi="宋体" w:eastAsia="宋体" w:cs="宋体"/>
          <w:sz w:val="24"/>
          <w:szCs w:val="24"/>
        </w:rPr>
        <w:t>中所述项目的采购。</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1.2定义</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1.2.1“采购人”是指：详见</w:t>
      </w:r>
      <w:r>
        <w:rPr>
          <w:rFonts w:hint="eastAsia" w:ascii="宋体" w:hAnsi="宋体" w:eastAsia="宋体" w:cs="宋体"/>
          <w:sz w:val="24"/>
          <w:szCs w:val="24"/>
          <w:highlight w:val="none"/>
        </w:rPr>
        <w:t>供应商须知前附表</w:t>
      </w:r>
      <w:r>
        <w:rPr>
          <w:rFonts w:hint="eastAsia" w:ascii="宋体" w:hAnsi="宋体" w:eastAsia="宋体" w:cs="宋体"/>
          <w:sz w:val="24"/>
          <w:szCs w:val="24"/>
          <w:lang w:eastAsia="zh-CN"/>
        </w:rPr>
        <w:t>。</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1.2.2“采购代理机构”是指：详见供应商须知前附表</w:t>
      </w:r>
      <w:r>
        <w:rPr>
          <w:rFonts w:hint="eastAsia" w:ascii="宋体" w:hAnsi="宋体" w:eastAsia="宋体" w:cs="宋体"/>
          <w:sz w:val="24"/>
          <w:szCs w:val="24"/>
          <w:lang w:eastAsia="zh-CN"/>
        </w:rPr>
        <w:t>。</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1.2.3“监管部门”是指：详见供应商须知前附表</w:t>
      </w:r>
      <w:r>
        <w:rPr>
          <w:rFonts w:hint="eastAsia" w:ascii="宋体" w:hAnsi="宋体" w:eastAsia="宋体" w:cs="宋体"/>
          <w:sz w:val="24"/>
          <w:szCs w:val="24"/>
          <w:lang w:eastAsia="zh-CN"/>
        </w:rPr>
        <w:t>。</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1.2.4 “供应商”是指：响应磋商文件要求并且符合磋商文件规定资格条件和参加竞争性磋商的法人、其他组织或者自然人。</w:t>
      </w:r>
    </w:p>
    <w:p>
      <w:pPr>
        <w:pageBreakBefore w:val="0"/>
        <w:kinsoku/>
        <w:overflow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5</w:t>
      </w:r>
      <w:r>
        <w:rPr>
          <w:rFonts w:hint="eastAsia" w:ascii="宋体" w:hAnsi="宋体" w:eastAsia="宋体" w:cs="宋体"/>
          <w:sz w:val="24"/>
          <w:szCs w:val="24"/>
        </w:rPr>
        <w:t>“成交供应商”是指</w:t>
      </w:r>
      <w:r>
        <w:rPr>
          <w:rFonts w:hint="eastAsia" w:ascii="宋体" w:hAnsi="宋体" w:eastAsia="宋体" w:cs="宋体"/>
          <w:sz w:val="24"/>
          <w:szCs w:val="24"/>
          <w:lang w:eastAsia="zh-CN"/>
        </w:rPr>
        <w:t>：</w:t>
      </w:r>
      <w:r>
        <w:rPr>
          <w:rFonts w:hint="eastAsia" w:ascii="宋体" w:hAnsi="宋体" w:eastAsia="宋体" w:cs="宋体"/>
          <w:sz w:val="24"/>
          <w:szCs w:val="24"/>
        </w:rPr>
        <w:t>是指经磋商小组评审，授予合同的供应商。</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6</w:t>
      </w:r>
      <w:r>
        <w:rPr>
          <w:rFonts w:hint="eastAsia" w:ascii="宋体" w:hAnsi="宋体" w:eastAsia="宋体" w:cs="宋体"/>
          <w:sz w:val="24"/>
          <w:szCs w:val="24"/>
        </w:rPr>
        <w:t>采购人和采购代理机构统称为招标采购单位。</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1.3</w:t>
      </w:r>
      <w:r>
        <w:rPr>
          <w:rFonts w:hint="eastAsia" w:hAnsi="宋体" w:cs="宋体"/>
          <w:b/>
          <w:sz w:val="24"/>
          <w:szCs w:val="24"/>
          <w:highlight w:val="none"/>
          <w:lang w:eastAsia="zh-CN"/>
        </w:rPr>
        <w:t>服务</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1.3.1“服务”是指：除货物和工程以外的其他政府采购对象。包括：政府自身需要的服务和政府向社会公众提供的公共服务。</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1.4</w:t>
      </w:r>
      <w:r>
        <w:rPr>
          <w:rFonts w:hint="eastAsia" w:ascii="宋体" w:hAnsi="宋体" w:eastAsia="宋体" w:cs="宋体"/>
          <w:b/>
          <w:sz w:val="24"/>
          <w:szCs w:val="24"/>
          <w:lang w:eastAsia="zh-CN"/>
        </w:rPr>
        <w:t>磋商</w:t>
      </w:r>
      <w:r>
        <w:rPr>
          <w:rFonts w:hint="eastAsia" w:ascii="宋体" w:hAnsi="宋体" w:eastAsia="宋体" w:cs="宋体"/>
          <w:b/>
          <w:sz w:val="24"/>
          <w:szCs w:val="24"/>
        </w:rPr>
        <w:t>供应商资格要求</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1.4.1</w:t>
      </w:r>
      <w:r>
        <w:rPr>
          <w:rFonts w:hint="eastAsia" w:ascii="宋体" w:hAnsi="宋体" w:eastAsia="宋体" w:cs="宋体"/>
          <w:color w:val="auto"/>
          <w:sz w:val="24"/>
          <w:szCs w:val="24"/>
        </w:rPr>
        <w:t>符合供应商须知前附表所规定的供应商资格要求，并满足本文件实质性要求和条件的规定。</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1.4.2</w:t>
      </w:r>
      <w:r>
        <w:rPr>
          <w:rFonts w:hint="eastAsia" w:ascii="宋体" w:hAnsi="宋体" w:eastAsia="宋体" w:cs="宋体"/>
          <w:sz w:val="24"/>
          <w:szCs w:val="24"/>
        </w:rPr>
        <w:t>投标人或投标人之间如果存在下列情形之一的，不得同时参加同一包（标段）或者不分包（标段）的同一项目投标：</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（1）单位负责人为同一个人或者存在直接控股、管理关系的不同投标人；</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（2）母公司、全资子公司及其控股公司；</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（3）为本次采购项目提供整体设计、规范编制或者项目管理、监理、检测等服务的投标人；</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（4）参加投标的其他组织之间存在特殊的利害关系的；</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（5）法律法规规定的其他情形。</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1.4.3</w:t>
      </w:r>
      <w:r>
        <w:rPr>
          <w:rFonts w:hint="eastAsia" w:ascii="宋体" w:hAnsi="宋体" w:eastAsia="宋体" w:cs="宋体"/>
          <w:sz w:val="24"/>
          <w:szCs w:val="24"/>
        </w:rPr>
        <w:t>投标人不得存在下列情形之一：</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（1）被依法暂停或者取消投标资格；</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（2）被责令停产停业，暂扣或者吊销许可证，暂扣或者吊销执照；</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（3）进入清算程序，或被宣告破产，或其他丧失履约能力的情形；</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（4）在近三年内发生重大</w:t>
      </w:r>
      <w:r>
        <w:rPr>
          <w:rFonts w:hint="eastAsia" w:ascii="宋体" w:hAnsi="宋体" w:cs="宋体"/>
          <w:sz w:val="24"/>
          <w:szCs w:val="24"/>
          <w:lang w:eastAsia="zh-CN"/>
        </w:rPr>
        <w:t>服务</w:t>
      </w:r>
      <w:r>
        <w:rPr>
          <w:rFonts w:hint="eastAsia" w:ascii="宋体" w:hAnsi="宋体" w:eastAsia="宋体" w:cs="宋体"/>
          <w:sz w:val="24"/>
          <w:szCs w:val="24"/>
        </w:rPr>
        <w:t>质量问题（以相关行业主管部门的行政处罚决定或司法机关出具的有关法律文书为准）；</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（5）被工商行政管理机关在全国企业信用信息公示系统中列入严重违法失信企业名单；</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（6）被最高人民法院在“信用中国”网站（www.creditchina.gov.cn）或各级信用信息共享平台中列入失信被执行人名单；</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（7）在“中国政府采购网”网站（http://www.ccgp.gov.cn/）中列入政府采购严重违法失信行为信息记录名单；</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（8）法律法规规定的其他情形。</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1.4.4供应商应当按照采购代理机构规定的合法方式获得本项目磋商文件。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1.5联合体投标</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供应商须知前附表规定接受联合体投标的，联合体除应符合上述资格要求外，还应遵守以下规定：</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两个以上供应商可以组成一个联合体，以一个供应商的身份共同参与</w:t>
      </w:r>
      <w:r>
        <w:rPr>
          <w:rFonts w:hint="eastAsia" w:ascii="宋体" w:hAnsi="宋体" w:cs="宋体"/>
          <w:sz w:val="24"/>
          <w:szCs w:val="24"/>
          <w:lang w:eastAsia="zh-CN"/>
        </w:rPr>
        <w:t>投标</w:t>
      </w:r>
      <w:r>
        <w:rPr>
          <w:rFonts w:hint="eastAsia" w:ascii="宋体" w:hAnsi="宋体" w:eastAsia="宋体" w:cs="宋体"/>
          <w:sz w:val="24"/>
          <w:szCs w:val="24"/>
        </w:rPr>
        <w:t>。</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采取联合体形式</w:t>
      </w:r>
      <w:r>
        <w:rPr>
          <w:rFonts w:hint="eastAsia" w:ascii="宋体" w:hAnsi="宋体" w:cs="宋体"/>
          <w:sz w:val="24"/>
          <w:szCs w:val="24"/>
          <w:lang w:eastAsia="zh-CN"/>
        </w:rPr>
        <w:t>投标</w:t>
      </w:r>
      <w:r>
        <w:rPr>
          <w:rFonts w:hint="eastAsia" w:ascii="宋体" w:hAnsi="宋体" w:eastAsia="宋体" w:cs="宋体"/>
          <w:sz w:val="24"/>
          <w:szCs w:val="24"/>
        </w:rPr>
        <w:t>的，联合体各方均应当符合政府采购法第二十二条规定的条件。采购人根据采购项目的特殊要求规定供应商特定条件的，联合体各方中至少有一方符合磋商文件规定的特定条件。</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1.5.3</w:t>
      </w:r>
      <w:r>
        <w:rPr>
          <w:rFonts w:hint="eastAsia" w:ascii="宋体" w:hAnsi="宋体" w:eastAsia="宋体" w:cs="宋体"/>
          <w:sz w:val="24"/>
          <w:szCs w:val="24"/>
        </w:rPr>
        <w:t>联合体各方之间必须签订联合</w:t>
      </w:r>
      <w:r>
        <w:rPr>
          <w:rFonts w:hint="eastAsia" w:ascii="宋体" w:hAnsi="宋体" w:cs="宋体"/>
          <w:sz w:val="24"/>
          <w:szCs w:val="24"/>
          <w:lang w:eastAsia="zh-CN"/>
        </w:rPr>
        <w:t>投标</w:t>
      </w:r>
      <w:r>
        <w:rPr>
          <w:rFonts w:hint="eastAsia" w:ascii="宋体" w:hAnsi="宋体" w:eastAsia="宋体" w:cs="宋体"/>
          <w:sz w:val="24"/>
          <w:szCs w:val="24"/>
        </w:rPr>
        <w:t>协议，明确约定联合体主体及各方承担的工作和相应的责任，其响应文件中必须提供联合</w:t>
      </w:r>
      <w:r>
        <w:rPr>
          <w:rFonts w:hint="eastAsia" w:ascii="宋体" w:hAnsi="宋体" w:cs="宋体"/>
          <w:sz w:val="24"/>
          <w:szCs w:val="24"/>
          <w:lang w:eastAsia="zh-CN"/>
        </w:rPr>
        <w:t>投标</w:t>
      </w:r>
      <w:r>
        <w:rPr>
          <w:rFonts w:hint="eastAsia" w:ascii="宋体" w:hAnsi="宋体" w:eastAsia="宋体" w:cs="宋体"/>
          <w:sz w:val="24"/>
          <w:szCs w:val="24"/>
        </w:rPr>
        <w:t>协议。</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1.5.4</w:t>
      </w:r>
      <w:r>
        <w:rPr>
          <w:rFonts w:hint="eastAsia" w:ascii="宋体" w:hAnsi="宋体" w:eastAsia="宋体" w:cs="宋体"/>
          <w:sz w:val="24"/>
          <w:szCs w:val="24"/>
        </w:rPr>
        <w:t>以联合体形式参加政府采购活动的，联合体各方不得再单独参加或者与其他供应商另外组成联合体参加同一合同项下的政府采购活动。</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1.5.5</w:t>
      </w:r>
      <w:r>
        <w:rPr>
          <w:rFonts w:hint="eastAsia" w:ascii="宋体" w:hAnsi="宋体" w:eastAsia="宋体" w:cs="宋体"/>
          <w:sz w:val="24"/>
          <w:szCs w:val="24"/>
        </w:rPr>
        <w:t>采取联合体形式投标的，其响应文件必须由联合体所有成员或其各自正式书面授权的代表签署（盖章），以便对所有成员作为整体及作为个体均具有法律约束力。</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1.5.6</w:t>
      </w:r>
      <w:r>
        <w:rPr>
          <w:rFonts w:hint="eastAsia" w:ascii="宋体" w:hAnsi="宋体" w:eastAsia="宋体" w:cs="宋体"/>
          <w:sz w:val="24"/>
          <w:szCs w:val="24"/>
        </w:rPr>
        <w:t>联合体成交的，联合体各方应当共同与采购人签订采购合同。</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1.5.7</w:t>
      </w:r>
      <w:r>
        <w:rPr>
          <w:rFonts w:hint="eastAsia" w:ascii="宋体" w:hAnsi="宋体" w:eastAsia="宋体" w:cs="宋体"/>
          <w:sz w:val="24"/>
          <w:szCs w:val="24"/>
        </w:rPr>
        <w:t>联合体中有同类资质的供应商按照联合体分工承担相同工作的，应当按照资质等级较低的供应商确定资质等级。</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6</w:t>
      </w:r>
      <w:r>
        <w:rPr>
          <w:rFonts w:hint="eastAsia" w:ascii="宋体" w:hAnsi="宋体" w:eastAsia="宋体" w:cs="宋体"/>
          <w:b/>
          <w:sz w:val="24"/>
          <w:szCs w:val="24"/>
        </w:rPr>
        <w:t>磋商费用</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供应商应承担所有与准备和参加竞争性磋商有关的费用。不论磋商的结果如何，采购单位均无义务和责任承担这些费用。</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7</w:t>
      </w:r>
      <w:r>
        <w:rPr>
          <w:rFonts w:hint="eastAsia" w:ascii="宋体" w:hAnsi="宋体" w:eastAsia="宋体" w:cs="宋体"/>
          <w:b/>
          <w:sz w:val="24"/>
          <w:szCs w:val="24"/>
          <w:lang w:eastAsia="zh-CN"/>
        </w:rPr>
        <w:t>计量单位</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除技术要求中另有规定外，本文件所要求使用的计量单位均应采用国家法定计量单位。</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1.8</w:t>
      </w:r>
      <w:r>
        <w:rPr>
          <w:rFonts w:hint="eastAsia" w:ascii="宋体" w:hAnsi="宋体" w:eastAsia="宋体" w:cs="宋体"/>
          <w:b/>
          <w:sz w:val="24"/>
          <w:szCs w:val="24"/>
        </w:rPr>
        <w:t>竞争性</w:t>
      </w:r>
      <w:r>
        <w:rPr>
          <w:rFonts w:hint="eastAsia" w:hAnsi="宋体" w:cs="宋体"/>
          <w:b/>
          <w:color w:val="auto"/>
          <w:sz w:val="24"/>
          <w:szCs w:val="24"/>
          <w:lang w:eastAsia="zh-CN"/>
        </w:rPr>
        <w:t>磋商</w:t>
      </w:r>
      <w:r>
        <w:rPr>
          <w:rFonts w:hint="eastAsia" w:ascii="宋体" w:hAnsi="宋体" w:eastAsia="宋体" w:cs="宋体"/>
          <w:b/>
          <w:sz w:val="24"/>
          <w:szCs w:val="24"/>
        </w:rPr>
        <w:t>文件的约束力</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供应商一旦购买了本竞争性磋商文件并决定参加竞争性磋商，即被认为接受了本竞争性磋商文件的规定和约束。</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1.9现场考察</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1.9.1</w:t>
      </w:r>
      <w:r>
        <w:rPr>
          <w:rFonts w:hint="eastAsia" w:ascii="宋体" w:hAnsi="宋体" w:eastAsia="宋体" w:cs="宋体"/>
          <w:sz w:val="24"/>
          <w:szCs w:val="24"/>
        </w:rPr>
        <w:t>本项目是否统一组织投标人现场考察见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中的规定。无论是否统一组织，投标人应对供货现场和周围环境进行勘察，以获取编制</w:t>
      </w:r>
      <w:r>
        <w:rPr>
          <w:rFonts w:hint="eastAsia" w:ascii="宋体" w:hAnsi="宋体" w:eastAsia="宋体" w:cs="宋体"/>
          <w:sz w:val="24"/>
          <w:szCs w:val="24"/>
          <w:lang w:eastAsia="zh-CN"/>
        </w:rPr>
        <w:t>响应</w:t>
      </w:r>
      <w:r>
        <w:rPr>
          <w:rFonts w:hint="eastAsia" w:ascii="宋体" w:hAnsi="宋体" w:eastAsia="宋体" w:cs="宋体"/>
          <w:sz w:val="24"/>
          <w:szCs w:val="24"/>
        </w:rPr>
        <w:t>文件所需的资料。</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1.9.2</w:t>
      </w:r>
      <w:r>
        <w:rPr>
          <w:rFonts w:hint="eastAsia" w:ascii="宋体" w:hAnsi="宋体" w:eastAsia="宋体" w:cs="宋体"/>
          <w:sz w:val="24"/>
          <w:szCs w:val="24"/>
        </w:rPr>
        <w:t>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1.9.3</w:t>
      </w:r>
      <w:r>
        <w:rPr>
          <w:rFonts w:hint="eastAsia" w:ascii="宋体" w:hAnsi="宋体" w:eastAsia="宋体" w:cs="宋体"/>
          <w:sz w:val="24"/>
          <w:szCs w:val="24"/>
        </w:rPr>
        <w:t>除非有特殊要求，</w:t>
      </w:r>
      <w:r>
        <w:rPr>
          <w:rFonts w:hint="eastAsia" w:ascii="宋体" w:hAnsi="宋体" w:cs="宋体"/>
          <w:sz w:val="24"/>
          <w:szCs w:val="24"/>
          <w:lang w:eastAsia="zh-CN"/>
        </w:rPr>
        <w:t>磋商文件</w:t>
      </w:r>
      <w:r>
        <w:rPr>
          <w:rFonts w:hint="eastAsia" w:ascii="宋体" w:hAnsi="宋体" w:eastAsia="宋体" w:cs="宋体"/>
          <w:sz w:val="24"/>
          <w:szCs w:val="24"/>
        </w:rPr>
        <w:t>不单独提供供货使用地的自然环境、气候条件、公用设施等情况，投标人被视为熟悉上述与履行合同有关的一切情况。</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1.9.4</w:t>
      </w:r>
      <w:r>
        <w:rPr>
          <w:rFonts w:hint="eastAsia" w:ascii="宋体" w:hAnsi="宋体" w:eastAsia="宋体" w:cs="宋体"/>
          <w:sz w:val="24"/>
          <w:szCs w:val="24"/>
        </w:rPr>
        <w:t>除采购人原因外，投标人自行负责在现场考察中所发生的人员伤亡和财产损失。</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1.10分包</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1.10.1</w:t>
      </w:r>
      <w:r>
        <w:rPr>
          <w:rFonts w:hint="eastAsia" w:ascii="宋体" w:hAnsi="宋体" w:eastAsia="宋体" w:cs="宋体"/>
          <w:sz w:val="24"/>
          <w:szCs w:val="24"/>
        </w:rPr>
        <w:t>投标人拟在中标后将中标项目的非主体设备进行分包的，应符合</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须知前附表规定的分包内容、分包金额和资质要求等限制性条件，除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 xml:space="preserve">规定的非主体设备外，其他工作不得分包。 </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1.10.2</w:t>
      </w:r>
      <w:r>
        <w:rPr>
          <w:rFonts w:hint="eastAsia" w:ascii="宋体" w:hAnsi="宋体" w:eastAsia="宋体" w:cs="宋体"/>
          <w:sz w:val="24"/>
          <w:szCs w:val="24"/>
        </w:rPr>
        <w:t>中标人不得向他人转让中标项目，接受分包的人不得再次分包。中标人应当就分包项目向采购人负责，接受分包的人就分包项目承担连带责任。</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1.11偏离</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1.11.1</w:t>
      </w:r>
      <w:r>
        <w:rPr>
          <w:rFonts w:hint="eastAsia" w:ascii="宋体" w:hAnsi="宋体" w:eastAsia="宋体" w:cs="宋体"/>
          <w:sz w:val="24"/>
          <w:szCs w:val="24"/>
        </w:rPr>
        <w:t>除法律、法规和规章规定外，</w:t>
      </w:r>
      <w:r>
        <w:rPr>
          <w:rFonts w:hint="eastAsia" w:ascii="宋体" w:hAnsi="宋体" w:eastAsia="宋体" w:cs="宋体"/>
          <w:sz w:val="24"/>
          <w:szCs w:val="24"/>
          <w:lang w:eastAsia="zh-CN"/>
        </w:rPr>
        <w:t>磋商</w:t>
      </w:r>
      <w:r>
        <w:rPr>
          <w:rFonts w:hint="eastAsia" w:ascii="宋体" w:hAnsi="宋体" w:eastAsia="宋体" w:cs="宋体"/>
          <w:sz w:val="24"/>
          <w:szCs w:val="24"/>
        </w:rPr>
        <w:t>文件中用文字规定或标注“★”符号的条款为实质性要求和条件；未用文字规定或“★”符号标注的条款为非实质性要求和条件。</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1.11.2</w:t>
      </w:r>
      <w:r>
        <w:rPr>
          <w:rFonts w:hint="eastAsia" w:ascii="宋体" w:hAnsi="宋体" w:eastAsia="宋体" w:cs="宋体"/>
          <w:sz w:val="24"/>
          <w:szCs w:val="24"/>
        </w:rPr>
        <w:t>偏离是指</w:t>
      </w:r>
      <w:r>
        <w:rPr>
          <w:rFonts w:hint="eastAsia" w:ascii="宋体" w:hAnsi="宋体" w:eastAsia="宋体" w:cs="宋体"/>
          <w:sz w:val="24"/>
          <w:szCs w:val="24"/>
          <w:lang w:eastAsia="zh-CN"/>
        </w:rPr>
        <w:t>响应</w:t>
      </w:r>
      <w:r>
        <w:rPr>
          <w:rFonts w:hint="eastAsia" w:ascii="宋体" w:hAnsi="宋体" w:eastAsia="宋体" w:cs="宋体"/>
          <w:sz w:val="24"/>
          <w:szCs w:val="24"/>
        </w:rPr>
        <w:t>文件不满足或者不响应</w:t>
      </w:r>
      <w:r>
        <w:rPr>
          <w:rFonts w:hint="eastAsia" w:ascii="宋体" w:hAnsi="宋体" w:eastAsia="宋体" w:cs="宋体"/>
          <w:sz w:val="24"/>
          <w:szCs w:val="24"/>
          <w:lang w:eastAsia="zh-CN"/>
        </w:rPr>
        <w:t>磋商</w:t>
      </w:r>
      <w:r>
        <w:rPr>
          <w:rFonts w:hint="eastAsia" w:ascii="宋体" w:hAnsi="宋体" w:eastAsia="宋体" w:cs="宋体"/>
          <w:sz w:val="24"/>
          <w:szCs w:val="24"/>
        </w:rPr>
        <w:t>文件的要求。偏离分为偏离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文件的实质性要求和条件及偏离</w:t>
      </w:r>
      <w:r>
        <w:rPr>
          <w:rFonts w:hint="eastAsia" w:ascii="宋体" w:hAnsi="宋体" w:eastAsia="宋体" w:cs="宋体"/>
          <w:sz w:val="24"/>
          <w:szCs w:val="24"/>
          <w:lang w:eastAsia="zh-CN"/>
        </w:rPr>
        <w:t>磋商</w:t>
      </w:r>
      <w:r>
        <w:rPr>
          <w:rFonts w:hint="eastAsia" w:ascii="宋体" w:hAnsi="宋体" w:eastAsia="宋体" w:cs="宋体"/>
          <w:sz w:val="24"/>
          <w:szCs w:val="24"/>
        </w:rPr>
        <w:t>文件的非实质性要求和条件。</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1.11.3</w:t>
      </w:r>
      <w:r>
        <w:rPr>
          <w:rFonts w:hint="eastAsia" w:ascii="宋体" w:hAnsi="宋体" w:eastAsia="宋体" w:cs="宋体"/>
          <w:sz w:val="24"/>
          <w:szCs w:val="24"/>
          <w:lang w:eastAsia="zh-CN"/>
        </w:rPr>
        <w:t>响应</w:t>
      </w:r>
      <w:r>
        <w:rPr>
          <w:rFonts w:hint="eastAsia" w:ascii="宋体" w:hAnsi="宋体" w:eastAsia="宋体" w:cs="宋体"/>
          <w:sz w:val="24"/>
          <w:szCs w:val="24"/>
        </w:rPr>
        <w:t>文件偏离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文件的实质性要求和条件，在评标时其投标将被否决。</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1.11.4响应文件偏离磋商文件的非实质性要求和条件见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val="en-US" w:eastAsia="zh-CN"/>
        </w:rPr>
        <w:t>。</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1.12知识产权</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1.12.1</w:t>
      </w:r>
      <w:r>
        <w:rPr>
          <w:rFonts w:hint="eastAsia" w:ascii="宋体" w:hAnsi="宋体" w:eastAsia="宋体" w:cs="宋体"/>
          <w:sz w:val="24"/>
          <w:szCs w:val="24"/>
          <w:highlight w:val="none"/>
          <w:lang w:val="en-US" w:eastAsia="zh-CN"/>
        </w:rPr>
        <w:t>投标人应保证在本项目使用的任何服务（包括部分使用）时，不会产生因第三方提出侵犯其专利权、商标权或其它知识产权而引起的法律和经济纠纷，如因专利权、商标权或其它知识产权而引起法律和经济纠纷，由投标人承担所有相关责任。</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1.12.2</w:t>
      </w:r>
      <w:r>
        <w:rPr>
          <w:rFonts w:hint="eastAsia" w:ascii="宋体" w:hAnsi="宋体" w:eastAsia="宋体" w:cs="宋体"/>
          <w:sz w:val="24"/>
          <w:szCs w:val="24"/>
          <w:highlight w:val="none"/>
          <w:lang w:val="en-US" w:eastAsia="zh-CN"/>
        </w:rPr>
        <w:t>招标人享有本项目实施过程中产生的知识成果及知识产权。</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1.12.3</w:t>
      </w:r>
      <w:r>
        <w:rPr>
          <w:rFonts w:hint="eastAsia" w:ascii="宋体" w:hAnsi="宋体" w:eastAsia="宋体" w:cs="宋体"/>
          <w:sz w:val="24"/>
          <w:szCs w:val="24"/>
          <w:highlight w:val="none"/>
          <w:lang w:val="en-US" w:eastAsia="zh-CN"/>
        </w:rPr>
        <w:t>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1.12.4</w:t>
      </w:r>
      <w:r>
        <w:rPr>
          <w:rFonts w:hint="eastAsia" w:ascii="宋体" w:hAnsi="宋体" w:eastAsia="宋体" w:cs="宋体"/>
          <w:sz w:val="24"/>
          <w:szCs w:val="24"/>
          <w:highlight w:val="none"/>
          <w:lang w:val="en-US" w:eastAsia="zh-CN"/>
        </w:rPr>
        <w:t>如采用投标人所不拥有的知识产权，则在</w:t>
      </w:r>
      <w:r>
        <w:rPr>
          <w:rFonts w:hint="eastAsia" w:ascii="宋体" w:hAnsi="宋体" w:cs="宋体"/>
          <w:sz w:val="24"/>
          <w:szCs w:val="24"/>
          <w:highlight w:val="none"/>
          <w:lang w:val="en-US" w:eastAsia="zh-CN"/>
        </w:rPr>
        <w:t>投标报价</w:t>
      </w:r>
      <w:r>
        <w:rPr>
          <w:rFonts w:hint="eastAsia" w:ascii="宋体" w:hAnsi="宋体" w:eastAsia="宋体" w:cs="宋体"/>
          <w:sz w:val="24"/>
          <w:szCs w:val="24"/>
          <w:highlight w:val="none"/>
          <w:lang w:val="en-US" w:eastAsia="zh-CN"/>
        </w:rPr>
        <w:t>中必须包括合法获取该知识产权的相关费用。</w:t>
      </w:r>
    </w:p>
    <w:p>
      <w:pPr>
        <w:pStyle w:val="6"/>
        <w:pageBreakBefore w:val="0"/>
        <w:kinsoku/>
        <w:overflowPunct/>
        <w:autoSpaceDE/>
        <w:autoSpaceDN/>
        <w:bidi w:val="0"/>
        <w:spacing w:line="400" w:lineRule="exact"/>
      </w:pPr>
      <w:bookmarkStart w:id="58" w:name="_Toc446599311"/>
      <w:bookmarkStart w:id="59" w:name="_Toc293736054"/>
      <w:bookmarkStart w:id="60" w:name="_Toc3092"/>
      <w:bookmarkStart w:id="61" w:name="_Toc18317"/>
      <w:bookmarkStart w:id="62" w:name="_Toc293738992"/>
      <w:bookmarkStart w:id="63" w:name="_Toc293736011"/>
      <w:r>
        <w:rPr>
          <w:rFonts w:hint="eastAsia"/>
        </w:rPr>
        <w:t>二、磋商文件</w:t>
      </w:r>
      <w:bookmarkEnd w:id="58"/>
      <w:bookmarkEnd w:id="59"/>
      <w:bookmarkEnd w:id="60"/>
      <w:bookmarkEnd w:id="61"/>
      <w:bookmarkEnd w:id="62"/>
      <w:bookmarkEnd w:id="63"/>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2.1磋商文件的构成</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2.1.1磋商文件由下列文件以及在采购过程中发出的修正和补充文件组成：</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w:t>
      </w:r>
      <w:r>
        <w:rPr>
          <w:rFonts w:hint="eastAsia" w:ascii="宋体" w:hAnsi="宋体" w:cs="宋体"/>
          <w:sz w:val="24"/>
          <w:szCs w:val="24"/>
          <w:lang w:eastAsia="zh-CN"/>
        </w:rPr>
        <w:t>公告</w:t>
      </w:r>
      <w:r>
        <w:rPr>
          <w:rFonts w:hint="eastAsia" w:ascii="宋体" w:hAnsi="宋体" w:eastAsia="宋体" w:cs="宋体"/>
          <w:sz w:val="24"/>
          <w:szCs w:val="24"/>
        </w:rPr>
        <w:t>；</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(2)供应商须知；</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(3)采购</w:t>
      </w:r>
      <w:r>
        <w:rPr>
          <w:rFonts w:hint="eastAsia" w:ascii="宋体" w:hAnsi="宋体" w:eastAsia="宋体" w:cs="宋体"/>
          <w:sz w:val="24"/>
          <w:szCs w:val="24"/>
          <w:lang w:eastAsia="zh-CN"/>
        </w:rPr>
        <w:t>需求</w:t>
      </w:r>
      <w:r>
        <w:rPr>
          <w:rFonts w:hint="eastAsia" w:ascii="宋体" w:hAnsi="宋体" w:eastAsia="宋体" w:cs="宋体"/>
          <w:sz w:val="24"/>
          <w:szCs w:val="24"/>
        </w:rPr>
        <w:t>；</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(4)评审方法；</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(5)合同</w:t>
      </w:r>
      <w:r>
        <w:rPr>
          <w:rFonts w:hint="eastAsia" w:ascii="宋体" w:hAnsi="宋体" w:cs="宋体"/>
          <w:sz w:val="24"/>
          <w:szCs w:val="24"/>
          <w:lang w:eastAsia="zh-CN"/>
        </w:rPr>
        <w:t>文件</w:t>
      </w:r>
      <w:r>
        <w:rPr>
          <w:rFonts w:hint="eastAsia" w:ascii="宋体" w:hAnsi="宋体" w:eastAsia="宋体" w:cs="宋体"/>
          <w:sz w:val="24"/>
          <w:szCs w:val="24"/>
        </w:rPr>
        <w:t>；</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(6)响应文件格式；</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(7)在磋商过程中由采购单位发出的澄清和补充文件等。</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2.2磋商文件的澄清</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sz w:val="24"/>
          <w:szCs w:val="24"/>
        </w:rPr>
        <w:t>2.2.1供应商应仔细阅读和检查磋商文件的全部内容。供应商若对磋商文件有任何疑问，均应在响应文件递交截止时间5日</w:t>
      </w:r>
      <w:r>
        <w:rPr>
          <w:rFonts w:hint="eastAsia" w:ascii="宋体" w:hAnsi="宋体" w:eastAsia="宋体" w:cs="宋体"/>
          <w:color w:val="auto"/>
          <w:sz w:val="24"/>
          <w:szCs w:val="24"/>
        </w:rPr>
        <w:t>前</w:t>
      </w:r>
      <w:r>
        <w:rPr>
          <w:rFonts w:hint="eastAsia" w:ascii="宋体" w:hAnsi="宋体" w:eastAsia="宋体" w:cs="宋体"/>
          <w:color w:val="auto"/>
          <w:sz w:val="24"/>
          <w:szCs w:val="24"/>
          <w:lang w:eastAsia="zh-CN"/>
        </w:rPr>
        <w:t>递交书面文件或</w:t>
      </w:r>
      <w:r>
        <w:rPr>
          <w:rFonts w:hint="eastAsia" w:ascii="宋体" w:hAnsi="宋体" w:eastAsia="宋体" w:cs="宋体"/>
          <w:color w:val="auto"/>
          <w:sz w:val="24"/>
          <w:szCs w:val="24"/>
        </w:rPr>
        <w:t>进行网上提问。采购单位对供应商所要求澄清的内容均予以答复（答复中不包括问题的来源）。必要时，采购单位将组织相关专家召开答疑会，并</w:t>
      </w:r>
      <w:r>
        <w:rPr>
          <w:rFonts w:hint="eastAsia" w:ascii="宋体" w:hAnsi="宋体" w:eastAsia="宋体" w:cs="宋体"/>
          <w:color w:val="auto"/>
          <w:sz w:val="24"/>
          <w:szCs w:val="24"/>
          <w:lang w:eastAsia="zh-CN"/>
        </w:rPr>
        <w:t>以书面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z w:val="24"/>
          <w:szCs w:val="24"/>
        </w:rPr>
        <w:t>向所有供应商公布澄清文件。澄清文件作为磋商文件的组成部分，对供应商具有同等约束作用。</w:t>
      </w:r>
    </w:p>
    <w:p>
      <w:pPr>
        <w:pStyle w:val="8"/>
        <w:pageBreakBefore w:val="0"/>
        <w:kinsoku/>
        <w:overflowPunct/>
        <w:autoSpaceDE/>
        <w:autoSpaceDN/>
        <w:bidi w:val="0"/>
        <w:spacing w:line="400" w:lineRule="exact"/>
        <w:ind w:firstLine="460" w:firstLineChars="202"/>
        <w:jc w:val="left"/>
        <w:rPr>
          <w:rFonts w:hint="eastAsia" w:ascii="宋体" w:hAnsi="宋体" w:eastAsia="宋体" w:cs="宋体"/>
          <w:color w:val="auto"/>
          <w:sz w:val="24"/>
          <w:szCs w:val="24"/>
        </w:rPr>
      </w:pPr>
      <w:r>
        <w:rPr>
          <w:rFonts w:hint="eastAsia" w:ascii="宋体" w:hAnsi="宋体" w:eastAsia="宋体" w:cs="宋体"/>
          <w:color w:val="auto"/>
          <w:spacing w:val="-6"/>
          <w:sz w:val="24"/>
          <w:szCs w:val="24"/>
        </w:rPr>
        <w:t>2.2.2</w:t>
      </w:r>
      <w:r>
        <w:rPr>
          <w:rFonts w:hint="eastAsia" w:ascii="宋体" w:hAnsi="宋体" w:eastAsia="宋体" w:cs="宋体"/>
          <w:color w:val="auto"/>
          <w:sz w:val="24"/>
          <w:szCs w:val="24"/>
        </w:rPr>
        <w:t>供应商在本项目采购公告期限届满之日起</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个工作日内未对磋商文件提出异议的，采购单位将视其为同意。在规定的时间后就磋商文件内容提出的质疑将不予受理。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2.3磋商文件的修改</w:t>
      </w:r>
    </w:p>
    <w:p>
      <w:pPr>
        <w:pStyle w:val="8"/>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2.3.1采购单位可以对已发出的磋商文件进行必要的澄清或者修改。</w:t>
      </w:r>
      <w:r>
        <w:rPr>
          <w:rFonts w:hint="eastAsia" w:ascii="宋体" w:hAnsi="宋体" w:eastAsia="宋体" w:cs="宋体"/>
          <w:color w:val="auto"/>
          <w:sz w:val="24"/>
          <w:szCs w:val="24"/>
        </w:rPr>
        <w:t>澄清或者修改</w:t>
      </w:r>
      <w:r>
        <w:rPr>
          <w:rFonts w:hint="eastAsia" w:ascii="宋体" w:hAnsi="宋体" w:eastAsia="宋体" w:cs="宋体"/>
          <w:color w:val="auto"/>
          <w:spacing w:val="-6"/>
          <w:sz w:val="24"/>
          <w:szCs w:val="24"/>
        </w:rPr>
        <w:t>的内容可能影响响应文件编制的，采购单位将在响应文件递交截止时间</w:t>
      </w:r>
      <w:r>
        <w:rPr>
          <w:rFonts w:hint="eastAsia" w:ascii="宋体" w:hAnsi="宋体" w:eastAsia="宋体" w:cs="宋体"/>
          <w:color w:val="auto"/>
          <w:spacing w:val="-6"/>
          <w:sz w:val="24"/>
          <w:szCs w:val="24"/>
          <w:lang w:val="en-US" w:eastAsia="zh-CN"/>
        </w:rPr>
        <w:t>5</w:t>
      </w:r>
      <w:r>
        <w:rPr>
          <w:rFonts w:hint="eastAsia" w:ascii="宋体" w:hAnsi="宋体" w:eastAsia="宋体" w:cs="宋体"/>
          <w:color w:val="auto"/>
          <w:spacing w:val="-6"/>
          <w:sz w:val="24"/>
          <w:szCs w:val="24"/>
        </w:rPr>
        <w:t>日前</w:t>
      </w:r>
      <w:r>
        <w:rPr>
          <w:rFonts w:hint="eastAsia" w:ascii="宋体" w:hAnsi="宋体" w:eastAsia="宋体" w:cs="宋体"/>
          <w:color w:val="auto"/>
          <w:spacing w:val="-6"/>
          <w:sz w:val="24"/>
          <w:szCs w:val="24"/>
          <w:lang w:eastAsia="zh-CN"/>
        </w:rPr>
        <w:t>以</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 xml:space="preserve">发布更正公告。 </w:t>
      </w:r>
    </w:p>
    <w:p>
      <w:pPr>
        <w:pStyle w:val="8"/>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2.3.2澄清或者修改的内容是磋商文件的组成部分，将</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向所有供应商公布澄清或者修改文件，澄清或者修改文件对供应商具有约束力。</w:t>
      </w:r>
    </w:p>
    <w:p>
      <w:pPr>
        <w:pStyle w:val="8"/>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2.3.3为使供应商有充足的时间对磋商文件的修改部分进行研究，采购单位可适当推迟响应文件截止期，并通过</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发布公告通知所有</w:t>
      </w:r>
      <w:r>
        <w:rPr>
          <w:rFonts w:hint="eastAsia" w:ascii="宋体" w:hAnsi="宋体" w:eastAsia="宋体" w:cs="宋体"/>
          <w:color w:val="auto"/>
          <w:spacing w:val="-6"/>
          <w:sz w:val="24"/>
          <w:szCs w:val="24"/>
          <w:lang w:eastAsia="zh-CN"/>
        </w:rPr>
        <w:t>获取</w:t>
      </w:r>
      <w:r>
        <w:rPr>
          <w:rFonts w:hint="eastAsia" w:ascii="宋体" w:hAnsi="宋体" w:eastAsia="宋体" w:cs="宋体"/>
          <w:color w:val="auto"/>
          <w:spacing w:val="-6"/>
          <w:sz w:val="24"/>
          <w:szCs w:val="24"/>
        </w:rPr>
        <w:t>磋商文件的供应商。</w:t>
      </w:r>
    </w:p>
    <w:p>
      <w:pPr>
        <w:pStyle w:val="8"/>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color w:val="auto"/>
          <w:spacing w:val="-6"/>
          <w:sz w:val="24"/>
          <w:szCs w:val="24"/>
        </w:rPr>
        <w:t>2.3.4供应商应注意及时</w:t>
      </w:r>
      <w:r>
        <w:rPr>
          <w:rFonts w:hint="eastAsia" w:ascii="宋体" w:hAnsi="宋体" w:eastAsia="宋体" w:cs="宋体"/>
          <w:color w:val="auto"/>
          <w:spacing w:val="-6"/>
          <w:sz w:val="24"/>
          <w:szCs w:val="24"/>
          <w:lang w:eastAsia="zh-CN"/>
        </w:rPr>
        <w:t>接收或</w:t>
      </w:r>
      <w:r>
        <w:rPr>
          <w:rFonts w:hint="eastAsia" w:ascii="宋体" w:hAnsi="宋体" w:eastAsia="宋体" w:cs="宋体"/>
          <w:color w:val="auto"/>
          <w:spacing w:val="-6"/>
          <w:sz w:val="24"/>
          <w:szCs w:val="24"/>
        </w:rPr>
        <w:t>浏览网上发布的澄清或修改通知，因供应商原</w:t>
      </w:r>
      <w:r>
        <w:rPr>
          <w:rFonts w:hint="eastAsia" w:ascii="宋体" w:hAnsi="宋体" w:eastAsia="宋体" w:cs="宋体"/>
          <w:spacing w:val="-6"/>
          <w:sz w:val="24"/>
          <w:szCs w:val="24"/>
        </w:rPr>
        <w:t>因未及时获知澄清、修改或补充内容而导致的任何后果将由供应商自行承担。</w:t>
      </w:r>
    </w:p>
    <w:p>
      <w:pPr>
        <w:pStyle w:val="6"/>
        <w:pageBreakBefore w:val="0"/>
        <w:kinsoku/>
        <w:overflowPunct/>
        <w:autoSpaceDE/>
        <w:autoSpaceDN/>
        <w:bidi w:val="0"/>
        <w:spacing w:line="400" w:lineRule="exact"/>
      </w:pPr>
      <w:bookmarkStart w:id="64" w:name="_Toc293738993"/>
      <w:bookmarkStart w:id="65" w:name="_Toc1735"/>
      <w:bookmarkStart w:id="66" w:name="_Toc13231"/>
      <w:bookmarkStart w:id="67" w:name="_Toc293736012"/>
      <w:bookmarkStart w:id="68" w:name="_Toc293736055"/>
      <w:bookmarkStart w:id="69" w:name="_Toc446599312"/>
      <w:r>
        <w:rPr>
          <w:rFonts w:hint="eastAsia"/>
        </w:rPr>
        <w:t>三、响应文件的编制</w:t>
      </w:r>
      <w:bookmarkEnd w:id="64"/>
      <w:bookmarkEnd w:id="65"/>
      <w:bookmarkEnd w:id="66"/>
      <w:bookmarkEnd w:id="67"/>
      <w:bookmarkEnd w:id="68"/>
      <w:bookmarkEnd w:id="69"/>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3.1响应文件的语言</w:t>
      </w:r>
    </w:p>
    <w:p>
      <w:pPr>
        <w:pStyle w:val="8"/>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3.2响应文件的构成</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sz w:val="24"/>
          <w:szCs w:val="24"/>
        </w:rPr>
      </w:pPr>
      <w:r>
        <w:rPr>
          <w:rFonts w:hint="eastAsia" w:ascii="宋体" w:hAnsi="宋体" w:eastAsia="宋体" w:cs="宋体"/>
          <w:sz w:val="24"/>
          <w:szCs w:val="24"/>
        </w:rPr>
        <w:t>响应文件由</w:t>
      </w:r>
      <w:r>
        <w:rPr>
          <w:rFonts w:hint="eastAsia" w:ascii="宋体" w:hAnsi="宋体" w:eastAsia="宋体" w:cs="宋体"/>
          <w:b/>
          <w:bCs/>
          <w:sz w:val="24"/>
          <w:szCs w:val="24"/>
        </w:rPr>
        <w:t>“资格证明文件”、“商务技术文件”</w:t>
      </w:r>
      <w:r>
        <w:rPr>
          <w:rFonts w:hint="eastAsia" w:ascii="宋体" w:hAnsi="宋体" w:eastAsia="宋体" w:cs="宋体"/>
          <w:sz w:val="24"/>
          <w:szCs w:val="24"/>
        </w:rPr>
        <w:t>组成（具体内容要求详见第六章“响应文件格式”）。供应商在</w:t>
      </w:r>
      <w:r>
        <w:rPr>
          <w:rFonts w:hint="eastAsia" w:hAnsi="宋体" w:cs="宋体"/>
          <w:sz w:val="24"/>
          <w:szCs w:val="24"/>
          <w:lang w:eastAsia="zh-CN"/>
        </w:rPr>
        <w:t>磋商</w:t>
      </w:r>
      <w:r>
        <w:rPr>
          <w:rFonts w:hint="eastAsia" w:ascii="宋体" w:hAnsi="宋体" w:eastAsia="宋体" w:cs="宋体"/>
          <w:sz w:val="24"/>
          <w:szCs w:val="24"/>
        </w:rPr>
        <w:t>和评审过程中做出的符合竞争性</w:t>
      </w:r>
      <w:r>
        <w:rPr>
          <w:rFonts w:hint="eastAsia" w:hAnsi="宋体" w:cs="宋体"/>
          <w:sz w:val="24"/>
          <w:szCs w:val="24"/>
          <w:lang w:eastAsia="zh-CN"/>
        </w:rPr>
        <w:t>磋商</w:t>
      </w:r>
      <w:r>
        <w:rPr>
          <w:rFonts w:hint="eastAsia" w:ascii="宋体" w:hAnsi="宋体" w:eastAsia="宋体" w:cs="宋体"/>
          <w:sz w:val="24"/>
          <w:szCs w:val="24"/>
        </w:rPr>
        <w:t>文件要求的澄清、说明或补正，构成响应文件的组成部分。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3.3响应文件编制</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3.3.1</w:t>
      </w:r>
      <w:r>
        <w:rPr>
          <w:rFonts w:hint="eastAsia" w:ascii="宋体" w:hAnsi="宋体" w:eastAsia="宋体" w:cs="宋体"/>
          <w:kern w:val="0"/>
          <w:sz w:val="24"/>
          <w:szCs w:val="24"/>
          <w:lang w:val="en-US" w:eastAsia="zh-CN"/>
        </w:rPr>
        <w:t>响应文件应按照磋商文件要求进行制作编制，并对其提交的响应文件的真实性、合法性承担法律责任。保证目录清晰、内容完整。响应文件各类证件须与磋商供应商注册登记资料相一致。</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3.3.2响应文件应当对磋商文件有关</w:t>
      </w:r>
      <w:r>
        <w:rPr>
          <w:rFonts w:hint="eastAsia" w:ascii="宋体" w:hAnsi="宋体" w:cs="宋体"/>
          <w:b/>
          <w:bCs/>
          <w:kern w:val="0"/>
          <w:sz w:val="24"/>
          <w:szCs w:val="24"/>
          <w:highlight w:val="none"/>
          <w:lang w:val="en-US" w:eastAsia="zh-CN"/>
        </w:rPr>
        <w:t>服务</w:t>
      </w:r>
      <w:r>
        <w:rPr>
          <w:rFonts w:hint="eastAsia" w:ascii="宋体" w:hAnsi="宋体" w:eastAsia="宋体" w:cs="宋体"/>
          <w:b/>
          <w:bCs/>
          <w:kern w:val="0"/>
          <w:sz w:val="24"/>
          <w:szCs w:val="24"/>
          <w:highlight w:val="none"/>
          <w:lang w:val="en-US" w:eastAsia="zh-CN"/>
        </w:rPr>
        <w:t>要求、合同条件、投标有效期、</w:t>
      </w:r>
      <w:r>
        <w:rPr>
          <w:rFonts w:hint="eastAsia" w:ascii="宋体" w:hAnsi="宋体" w:cs="宋体"/>
          <w:b/>
          <w:bCs/>
          <w:kern w:val="0"/>
          <w:sz w:val="24"/>
          <w:szCs w:val="24"/>
          <w:highlight w:val="none"/>
          <w:lang w:val="en-US" w:eastAsia="zh-CN"/>
        </w:rPr>
        <w:t>响应保证金</w:t>
      </w:r>
      <w:r>
        <w:rPr>
          <w:rFonts w:hint="eastAsia" w:ascii="宋体" w:hAnsi="宋体" w:eastAsia="宋体" w:cs="宋体"/>
          <w:b/>
          <w:bCs/>
          <w:kern w:val="0"/>
          <w:sz w:val="24"/>
          <w:szCs w:val="24"/>
          <w:highlight w:val="none"/>
          <w:lang w:val="en-US" w:eastAsia="zh-CN"/>
        </w:rPr>
        <w:t>、投标报价、响应文件密封、响应文件签署盖章、响应文件格式等</w:t>
      </w:r>
      <w:r>
        <w:rPr>
          <w:rFonts w:hint="eastAsia" w:ascii="宋体" w:hAnsi="宋体" w:eastAsia="宋体" w:cs="宋体"/>
          <w:kern w:val="0"/>
          <w:sz w:val="24"/>
          <w:szCs w:val="24"/>
          <w:lang w:val="en-US" w:eastAsia="zh-CN"/>
        </w:rPr>
        <w:t>实质性内容作出响应。响应文件满足磋商文件实质性要求的基础上，可以提出比磋商文件要求更有利于采购人的承诺。</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3.3.3</w:t>
      </w:r>
      <w:r>
        <w:rPr>
          <w:rFonts w:hint="eastAsia" w:ascii="宋体" w:hAnsi="宋体" w:eastAsia="宋体" w:cs="宋体"/>
          <w:kern w:val="0"/>
          <w:sz w:val="24"/>
          <w:szCs w:val="24"/>
        </w:rPr>
        <w:t>供应商提交的响应文件以及供应商与采购代理机构和采购人就有关</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的所有来往函电均应使用中文。供应商提交的支持文件和印刷的文献可以使用别的语言，但其相应内容必须附有中文翻译文本，在解释响应文件时以翻译文本为主。</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3.3.4</w:t>
      </w:r>
      <w:r>
        <w:rPr>
          <w:rFonts w:hint="eastAsia" w:ascii="宋体" w:hAnsi="宋体" w:eastAsia="宋体" w:cs="宋体"/>
          <w:kern w:val="0"/>
          <w:sz w:val="24"/>
          <w:szCs w:val="24"/>
        </w:rPr>
        <w:t>供应商应认真阅读、并充分理解本文件的全部内容（包括所有的澄清、修改等内容），承诺并履行</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文件中各项条款规定及要求。</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3.3.5</w:t>
      </w:r>
      <w:r>
        <w:rPr>
          <w:rFonts w:hint="eastAsia" w:ascii="宋体" w:hAnsi="宋体" w:eastAsia="宋体" w:cs="宋体"/>
          <w:kern w:val="0"/>
          <w:sz w:val="24"/>
          <w:szCs w:val="24"/>
        </w:rPr>
        <w:t>响应文件必须按</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文件的全部内容，包括所有的澄清、修改等通知及附件进行编制。</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3.3.6</w:t>
      </w:r>
      <w:r>
        <w:rPr>
          <w:rFonts w:hint="eastAsia" w:ascii="宋体" w:hAnsi="宋体" w:eastAsia="宋体" w:cs="宋体"/>
          <w:kern w:val="0"/>
          <w:sz w:val="24"/>
          <w:szCs w:val="24"/>
        </w:rPr>
        <w:t>如因供应商只填写和提供了</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文件要求的部分内容和附件，而给评审造成困难，其可能导致的结果和责任由供应商自行承担。</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3.3.</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供应商必须保证响应文件所提供的全部资料真实可靠，并接受采购单位对其中任何资料进一步核实的要求。</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3.3.8</w:t>
      </w:r>
      <w:r>
        <w:rPr>
          <w:rFonts w:hint="eastAsia" w:ascii="宋体" w:hAnsi="宋体" w:eastAsia="宋体" w:cs="宋体"/>
          <w:kern w:val="0"/>
          <w:sz w:val="24"/>
          <w:szCs w:val="24"/>
          <w:lang w:val="en-US" w:eastAsia="zh-CN"/>
        </w:rPr>
        <w:t>证明供应商资格及符合</w:t>
      </w:r>
      <w:r>
        <w:rPr>
          <w:rFonts w:hint="eastAsia" w:ascii="宋体" w:hAnsi="宋体" w:cs="宋体"/>
          <w:kern w:val="0"/>
          <w:sz w:val="24"/>
          <w:szCs w:val="24"/>
          <w:lang w:val="en-US" w:eastAsia="zh-CN"/>
        </w:rPr>
        <w:t>磋商文件</w:t>
      </w:r>
      <w:r>
        <w:rPr>
          <w:rFonts w:hint="eastAsia" w:ascii="宋体" w:hAnsi="宋体" w:eastAsia="宋体" w:cs="宋体"/>
          <w:kern w:val="0"/>
          <w:sz w:val="24"/>
          <w:szCs w:val="24"/>
          <w:lang w:val="en-US" w:eastAsia="zh-CN"/>
        </w:rPr>
        <w:t>规定的文件：（1）供应商应按要求提交资格证明文件及符合</w:t>
      </w:r>
      <w:r>
        <w:rPr>
          <w:rFonts w:hint="eastAsia" w:ascii="宋体" w:hAnsi="宋体" w:cs="宋体"/>
          <w:kern w:val="0"/>
          <w:sz w:val="24"/>
          <w:szCs w:val="24"/>
          <w:lang w:val="en-US" w:eastAsia="zh-CN"/>
        </w:rPr>
        <w:t>磋商文件</w:t>
      </w:r>
      <w:r>
        <w:rPr>
          <w:rFonts w:hint="eastAsia" w:ascii="宋体" w:hAnsi="宋体" w:eastAsia="宋体" w:cs="宋体"/>
          <w:kern w:val="0"/>
          <w:sz w:val="24"/>
          <w:szCs w:val="24"/>
          <w:lang w:val="en-US" w:eastAsia="zh-CN"/>
        </w:rPr>
        <w:t>规定的文件</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（2）供应商应提交证明其有资格参加投标和中标后有能力独立履行合同的文件</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（3）供应商除必须具有履行合同所需提供的服务的能力外，还必须具备相应的财务、技术等方面的能力。</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sz w:val="24"/>
          <w:szCs w:val="24"/>
        </w:rPr>
        <w:t>3.4</w:t>
      </w:r>
      <w:r>
        <w:rPr>
          <w:rFonts w:hint="eastAsia" w:hAnsi="宋体" w:cs="宋体"/>
          <w:b/>
          <w:sz w:val="24"/>
          <w:szCs w:val="24"/>
          <w:lang w:eastAsia="zh-CN"/>
        </w:rPr>
        <w:t>投标报价</w:t>
      </w:r>
      <w:r>
        <w:rPr>
          <w:rFonts w:hint="eastAsia" w:ascii="宋体" w:hAnsi="宋体" w:eastAsia="宋体" w:cs="宋体"/>
          <w:b/>
          <w:sz w:val="24"/>
          <w:szCs w:val="24"/>
        </w:rPr>
        <w:t>要求</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3.4.1供应商所提供的</w:t>
      </w:r>
      <w:r>
        <w:rPr>
          <w:rFonts w:hint="eastAsia" w:ascii="宋体" w:hAnsi="宋体" w:cs="宋体"/>
          <w:color w:val="auto"/>
          <w:kern w:val="0"/>
          <w:sz w:val="24"/>
          <w:szCs w:val="24"/>
          <w:lang w:eastAsia="zh-CN"/>
        </w:rPr>
        <w:t>服务</w:t>
      </w:r>
      <w:r>
        <w:rPr>
          <w:rFonts w:hint="eastAsia" w:ascii="宋体" w:hAnsi="宋体" w:eastAsia="宋体" w:cs="宋体"/>
          <w:color w:val="auto"/>
          <w:kern w:val="0"/>
          <w:sz w:val="24"/>
          <w:szCs w:val="24"/>
        </w:rPr>
        <w:t>均以人民币报价。</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3.4.2供商应按照“第三章 采购需求”规定的</w:t>
      </w:r>
      <w:r>
        <w:rPr>
          <w:rFonts w:hint="eastAsia" w:ascii="宋体" w:hAnsi="宋体" w:eastAsia="宋体" w:cs="宋体"/>
          <w:kern w:val="0"/>
          <w:sz w:val="24"/>
          <w:szCs w:val="24"/>
          <w:highlight w:val="none"/>
        </w:rPr>
        <w:t>服务内容、责任范围以及合同条款进</w:t>
      </w:r>
      <w:r>
        <w:rPr>
          <w:rFonts w:hint="eastAsia" w:ascii="宋体" w:hAnsi="宋体" w:eastAsia="宋体" w:cs="宋体"/>
          <w:kern w:val="0"/>
          <w:sz w:val="24"/>
          <w:szCs w:val="24"/>
        </w:rPr>
        <w:t>行报价。并按</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eastAsia="zh-CN"/>
        </w:rPr>
        <w:t>报价一览表</w:t>
      </w:r>
      <w:r>
        <w:rPr>
          <w:rFonts w:hint="eastAsia" w:ascii="宋体" w:hAnsi="宋体" w:eastAsia="宋体" w:cs="宋体"/>
          <w:kern w:val="0"/>
          <w:sz w:val="24"/>
          <w:szCs w:val="24"/>
          <w:highlight w:val="none"/>
        </w:rPr>
        <w:t>》和《</w:t>
      </w:r>
      <w:r>
        <w:rPr>
          <w:rFonts w:hint="eastAsia" w:ascii="宋体" w:hAnsi="宋体" w:cs="宋体"/>
          <w:kern w:val="0"/>
          <w:sz w:val="24"/>
          <w:szCs w:val="24"/>
          <w:highlight w:val="none"/>
          <w:lang w:eastAsia="zh-CN"/>
        </w:rPr>
        <w:t>报价明细表</w:t>
      </w:r>
      <w:r>
        <w:rPr>
          <w:rFonts w:hint="eastAsia" w:ascii="宋体" w:hAnsi="宋体" w:eastAsia="宋体" w:cs="宋体"/>
          <w:kern w:val="0"/>
          <w:sz w:val="24"/>
          <w:szCs w:val="24"/>
          <w:highlight w:val="none"/>
        </w:rPr>
        <w:t>》</w:t>
      </w:r>
      <w:r>
        <w:rPr>
          <w:rFonts w:hint="eastAsia" w:ascii="宋体" w:hAnsi="宋体" w:eastAsia="宋体" w:cs="宋体"/>
          <w:kern w:val="0"/>
          <w:sz w:val="24"/>
          <w:szCs w:val="24"/>
        </w:rPr>
        <w:t>确定的格式报出分项价格和总价。</w:t>
      </w:r>
      <w:r>
        <w:rPr>
          <w:rFonts w:hint="eastAsia" w:ascii="宋体" w:hAnsi="宋体" w:cs="宋体"/>
          <w:kern w:val="0"/>
          <w:sz w:val="24"/>
          <w:szCs w:val="24"/>
          <w:lang w:eastAsia="zh-CN"/>
        </w:rPr>
        <w:t>投标报价</w:t>
      </w:r>
      <w:r>
        <w:rPr>
          <w:rFonts w:hint="eastAsia" w:ascii="宋体" w:hAnsi="宋体" w:eastAsia="宋体" w:cs="宋体"/>
          <w:kern w:val="0"/>
          <w:sz w:val="24"/>
          <w:szCs w:val="24"/>
        </w:rPr>
        <w:t>应为优惠后的报价，任何报价上的优惠应体现在各分项报价中，国家规定的各项税费不得优惠。</w:t>
      </w:r>
      <w:r>
        <w:rPr>
          <w:rFonts w:hint="eastAsia" w:ascii="宋体" w:hAnsi="宋体" w:cs="宋体"/>
          <w:kern w:val="0"/>
          <w:sz w:val="24"/>
          <w:szCs w:val="24"/>
          <w:lang w:eastAsia="zh-CN"/>
        </w:rPr>
        <w:t>投标报价</w:t>
      </w:r>
      <w:r>
        <w:rPr>
          <w:rFonts w:hint="eastAsia" w:ascii="宋体" w:hAnsi="宋体" w:eastAsia="宋体" w:cs="宋体"/>
          <w:kern w:val="0"/>
          <w:sz w:val="24"/>
          <w:szCs w:val="24"/>
        </w:rPr>
        <w:t>中不得包含磋商文件要求以外的内容，否则，在评审时不予核减。</w:t>
      </w:r>
      <w:r>
        <w:rPr>
          <w:rFonts w:hint="eastAsia" w:ascii="宋体" w:hAnsi="宋体" w:cs="宋体"/>
          <w:kern w:val="0"/>
          <w:sz w:val="24"/>
          <w:szCs w:val="24"/>
          <w:lang w:eastAsia="zh-CN"/>
        </w:rPr>
        <w:t>投标报价</w:t>
      </w:r>
      <w:r>
        <w:rPr>
          <w:rFonts w:hint="eastAsia" w:ascii="宋体" w:hAnsi="宋体" w:eastAsia="宋体" w:cs="宋体"/>
          <w:kern w:val="0"/>
          <w:sz w:val="24"/>
          <w:szCs w:val="24"/>
        </w:rPr>
        <w:t>中也不得缺漏磋商文件所要求的内容，否则，在评审时将被视为已包含在</w:t>
      </w:r>
      <w:r>
        <w:rPr>
          <w:rFonts w:hint="eastAsia" w:ascii="宋体" w:hAnsi="宋体" w:cs="宋体"/>
          <w:kern w:val="0"/>
          <w:sz w:val="24"/>
          <w:szCs w:val="24"/>
          <w:lang w:eastAsia="zh-CN"/>
        </w:rPr>
        <w:t>投标报价</w:t>
      </w:r>
      <w:r>
        <w:rPr>
          <w:rFonts w:hint="eastAsia" w:ascii="宋体" w:hAnsi="宋体" w:eastAsia="宋体" w:cs="宋体"/>
          <w:kern w:val="0"/>
          <w:sz w:val="24"/>
          <w:szCs w:val="24"/>
        </w:rPr>
        <w:t>中。</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3.4.3《</w:t>
      </w:r>
      <w:r>
        <w:rPr>
          <w:rFonts w:hint="eastAsia" w:ascii="宋体" w:hAnsi="宋体" w:cs="宋体"/>
          <w:kern w:val="0"/>
          <w:sz w:val="24"/>
          <w:szCs w:val="24"/>
          <w:lang w:eastAsia="zh-CN"/>
        </w:rPr>
        <w:t>报价明细表</w:t>
      </w:r>
      <w:r>
        <w:rPr>
          <w:rFonts w:hint="eastAsia" w:ascii="宋体" w:hAnsi="宋体" w:eastAsia="宋体" w:cs="宋体"/>
          <w:kern w:val="0"/>
          <w:sz w:val="24"/>
          <w:szCs w:val="24"/>
        </w:rPr>
        <w:t>》填写时应响应下列要求：</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（1）对于报价免费的项目应标明“免费”；</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（2）所有根据合同或其它原因应由供应商支付的税款和其它应交纳的费用都要包括在供应商提交的磋商总价中；</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3.4.5每一种</w:t>
      </w:r>
      <w:r>
        <w:rPr>
          <w:rFonts w:hint="eastAsia" w:ascii="宋体" w:hAnsi="宋体" w:cs="宋体"/>
          <w:kern w:val="0"/>
          <w:sz w:val="24"/>
          <w:szCs w:val="24"/>
          <w:lang w:eastAsia="zh-CN"/>
        </w:rPr>
        <w:t>服务</w:t>
      </w:r>
      <w:r>
        <w:rPr>
          <w:rFonts w:hint="eastAsia" w:ascii="宋体" w:hAnsi="宋体" w:eastAsia="宋体" w:cs="宋体"/>
          <w:kern w:val="0"/>
          <w:sz w:val="24"/>
          <w:szCs w:val="24"/>
        </w:rPr>
        <w:t>只允许有一个报价，否则将被视为无效投标。</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3.4.6供应商所报的总价在合同执行过程中是固定不变的，不得以任何理由予以变更。</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3.4.7供应商的最后</w:t>
      </w:r>
      <w:r>
        <w:rPr>
          <w:rFonts w:hint="eastAsia" w:ascii="宋体" w:hAnsi="宋体" w:cs="宋体"/>
          <w:color w:val="auto"/>
          <w:kern w:val="0"/>
          <w:sz w:val="24"/>
          <w:szCs w:val="24"/>
          <w:lang w:eastAsia="zh-CN"/>
        </w:rPr>
        <w:t>投标报价</w:t>
      </w:r>
      <w:r>
        <w:rPr>
          <w:rFonts w:hint="eastAsia" w:ascii="宋体" w:hAnsi="宋体" w:eastAsia="宋体" w:cs="宋体"/>
          <w:color w:val="auto"/>
          <w:kern w:val="0"/>
          <w:sz w:val="24"/>
          <w:szCs w:val="24"/>
        </w:rPr>
        <w:t>超过项目采购预算的为无效报价。</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3.4.8本项目预算金额见供应商须知前附表。采购人设有最高限价的，供应商的报价不得超过最高限价，否则其投标无效，最高限价在供应商须知前附表中载明。</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3.5备选方案</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3.5.1供应商应按</w:t>
      </w:r>
      <w:r>
        <w:rPr>
          <w:rFonts w:hint="eastAsia" w:ascii="宋体" w:hAnsi="宋体" w:eastAsia="宋体" w:cs="宋体"/>
          <w:kern w:val="0"/>
          <w:sz w:val="24"/>
          <w:szCs w:val="24"/>
          <w:highlight w:val="none"/>
        </w:rPr>
        <w:t>照供应商须知前附表要求编制磋商备选方案，否则将被视为无效响应文件。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3.</w:t>
      </w:r>
      <w:r>
        <w:rPr>
          <w:rFonts w:hint="eastAsia" w:ascii="宋体" w:hAnsi="宋体" w:eastAsia="宋体" w:cs="宋体"/>
          <w:b/>
          <w:sz w:val="24"/>
          <w:szCs w:val="24"/>
          <w:highlight w:val="none"/>
          <w:lang w:val="en-US" w:eastAsia="zh-CN"/>
        </w:rPr>
        <w:t>6</w:t>
      </w:r>
      <w:r>
        <w:rPr>
          <w:rFonts w:hint="eastAsia" w:hAnsi="宋体" w:cs="宋体"/>
          <w:b/>
          <w:sz w:val="24"/>
          <w:szCs w:val="24"/>
          <w:highlight w:val="none"/>
          <w:lang w:eastAsia="zh-CN"/>
        </w:rPr>
        <w:t>响应保证金（本项目不适用）</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本项目</w:t>
      </w:r>
      <w:r>
        <w:rPr>
          <w:rFonts w:hint="eastAsia" w:ascii="宋体" w:hAnsi="宋体" w:cs="宋体"/>
          <w:kern w:val="0"/>
          <w:sz w:val="24"/>
          <w:szCs w:val="24"/>
          <w:highlight w:val="none"/>
          <w:lang w:eastAsia="zh-CN"/>
        </w:rPr>
        <w:t>响应保证金</w:t>
      </w:r>
      <w:r>
        <w:rPr>
          <w:rFonts w:hint="eastAsia" w:ascii="宋体" w:hAnsi="宋体" w:eastAsia="宋体" w:cs="宋体"/>
          <w:kern w:val="0"/>
          <w:sz w:val="24"/>
          <w:szCs w:val="24"/>
          <w:highlight w:val="none"/>
        </w:rPr>
        <w:t>收取要求见供应商须知前附表，</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应在</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内有效。</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.2对于未按规定提交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的，即到响应文件递交截止时间前未提交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，提交的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形式、数量和有效期不满足</w:t>
      </w:r>
      <w:r>
        <w:rPr>
          <w:rFonts w:hint="eastAsia" w:ascii="宋体" w:hAnsi="宋体" w:cs="宋体"/>
          <w:kern w:val="0"/>
          <w:sz w:val="24"/>
          <w:szCs w:val="24"/>
          <w:lang w:eastAsia="zh-CN"/>
        </w:rPr>
        <w:t>磋商</w:t>
      </w:r>
      <w:r>
        <w:rPr>
          <w:rFonts w:hint="eastAsia" w:ascii="宋体" w:hAnsi="宋体" w:eastAsia="宋体" w:cs="宋体"/>
          <w:kern w:val="0"/>
          <w:sz w:val="24"/>
          <w:szCs w:val="24"/>
        </w:rPr>
        <w:t>文件要求的，其投标无效。</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.3未成交的供应商，其</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在成交公告公布后5个工作日内退还；成交供应商的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,在成交供应商与采购人签订合同后5个工作日内退还；如有质疑或投诉，采购代理机构将在质疑和投诉处理完毕后5个工作日内。</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有下列情形之一的，保证金将被没收：</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w:t>
      </w:r>
      <w:r>
        <w:rPr>
          <w:rFonts w:hint="eastAsia" w:hAnsi="宋体" w:cs="宋体"/>
          <w:color w:val="auto"/>
          <w:kern w:val="0"/>
          <w:sz w:val="24"/>
          <w:szCs w:val="24"/>
          <w:lang w:eastAsia="zh-CN"/>
        </w:rPr>
        <w:t>投标有效期</w:t>
      </w:r>
      <w:r>
        <w:rPr>
          <w:rFonts w:hint="eastAsia" w:ascii="宋体" w:hAnsi="宋体" w:eastAsia="宋体" w:cs="宋体"/>
          <w:color w:val="auto"/>
          <w:kern w:val="0"/>
          <w:sz w:val="24"/>
          <w:szCs w:val="24"/>
        </w:rPr>
        <w:t>内无正当理由撤回其</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响应文件或者在</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过程中无正当理由退出</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活动；</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（2）为谋取最终成交，</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供应商在整个</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过程中提供的相关文件被确认是虚假的、不真实的；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（3）参加</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的供应商之间被证实有串通、欺诈行为或者恶意进行竞争，影响采购人合法权益的。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（4）整个采购活动中采取不正当手段诋毁、排挤其他供应商的；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（5）与采购人相关工作人员恶意串通的；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（6）向采购人相关工作人员行贿或者提供其他不正当利益的；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（7）成交供应商在规定期限内未能根据规定签订合同；</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（8）成交供应商在规定期限内未能根据规定交纳履约保证金。</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3.</w:t>
      </w:r>
      <w:r>
        <w:rPr>
          <w:rFonts w:hint="eastAsia" w:hAnsi="宋体" w:cs="宋体"/>
          <w:b/>
          <w:sz w:val="24"/>
          <w:szCs w:val="24"/>
          <w:lang w:val="en-US" w:eastAsia="zh-CN"/>
        </w:rPr>
        <w:t>7</w:t>
      </w:r>
      <w:r>
        <w:rPr>
          <w:rFonts w:hint="eastAsia" w:hAnsi="宋体" w:cs="宋体"/>
          <w:b/>
          <w:sz w:val="24"/>
          <w:szCs w:val="24"/>
          <w:lang w:eastAsia="zh-CN"/>
        </w:rPr>
        <w:t>投标有效期</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.1</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详</w:t>
      </w:r>
      <w:r>
        <w:rPr>
          <w:rFonts w:hint="eastAsia" w:ascii="宋体" w:hAnsi="宋体" w:eastAsia="宋体" w:cs="宋体"/>
          <w:kern w:val="0"/>
          <w:sz w:val="24"/>
          <w:szCs w:val="24"/>
          <w:highlight w:val="none"/>
        </w:rPr>
        <w:t>见供应商须知前附表</w:t>
      </w:r>
      <w:r>
        <w:rPr>
          <w:rFonts w:hint="eastAsia" w:ascii="宋体" w:hAnsi="宋体" w:eastAsia="宋体" w:cs="宋体"/>
          <w:kern w:val="0"/>
          <w:sz w:val="24"/>
          <w:szCs w:val="24"/>
        </w:rPr>
        <w:t>。供应商响应文件中有效期不足的将被视为无效文件。</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.2 有效期内供应商未经采购结果确认</w:t>
      </w:r>
      <w:r>
        <w:rPr>
          <w:rFonts w:hint="eastAsia" w:ascii="宋体" w:hAnsi="宋体" w:cs="宋体"/>
          <w:kern w:val="0"/>
          <w:sz w:val="24"/>
          <w:szCs w:val="24"/>
          <w:lang w:eastAsia="zh-CN"/>
        </w:rPr>
        <w:t>磋商</w:t>
      </w:r>
      <w:r>
        <w:rPr>
          <w:rFonts w:hint="eastAsia" w:ascii="宋体" w:hAnsi="宋体" w:eastAsia="宋体" w:cs="宋体"/>
          <w:kern w:val="0"/>
          <w:sz w:val="24"/>
          <w:szCs w:val="24"/>
        </w:rPr>
        <w:t>达成一致不得改变其磋商最后报价及承诺的全部义务。</w:t>
      </w:r>
    </w:p>
    <w:p>
      <w:pPr>
        <w:pStyle w:val="6"/>
        <w:pageBreakBefore w:val="0"/>
        <w:kinsoku/>
        <w:overflowPunct/>
        <w:autoSpaceDE/>
        <w:autoSpaceDN/>
        <w:bidi w:val="0"/>
        <w:spacing w:line="400" w:lineRule="exact"/>
        <w:rPr>
          <w:rFonts w:hint="eastAsia" w:cs="Times New Roman"/>
        </w:rPr>
      </w:pPr>
      <w:bookmarkStart w:id="70" w:name="_Toc293738994"/>
      <w:bookmarkStart w:id="71" w:name="_Toc446599313"/>
      <w:bookmarkStart w:id="72" w:name="_Toc293736013"/>
      <w:bookmarkStart w:id="73" w:name="_Toc293736056"/>
      <w:r>
        <w:rPr>
          <w:rFonts w:hint="eastAsia" w:cs="Times New Roman"/>
        </w:rPr>
        <w:t>四、响应文件的递交</w:t>
      </w:r>
      <w:bookmarkEnd w:id="70"/>
      <w:bookmarkEnd w:id="71"/>
      <w:bookmarkEnd w:id="72"/>
      <w:bookmarkEnd w:id="73"/>
    </w:p>
    <w:p>
      <w:pPr>
        <w:pStyle w:val="8"/>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4.1</w:t>
      </w:r>
      <w:r>
        <w:rPr>
          <w:rFonts w:hint="eastAsia" w:ascii="宋体" w:hAnsi="宋体" w:eastAsia="宋体" w:cs="宋体"/>
          <w:b/>
          <w:bCs/>
          <w:kern w:val="0"/>
          <w:sz w:val="24"/>
          <w:szCs w:val="24"/>
        </w:rPr>
        <w:t>响应文件的份数</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4.1.1</w:t>
      </w:r>
      <w:r>
        <w:rPr>
          <w:rFonts w:hint="eastAsia" w:ascii="宋体" w:hAnsi="宋体" w:eastAsia="宋体" w:cs="宋体"/>
          <w:kern w:val="0"/>
          <w:sz w:val="24"/>
          <w:szCs w:val="24"/>
        </w:rPr>
        <w:t>响应文件正本</w:t>
      </w:r>
      <w:r>
        <w:rPr>
          <w:rFonts w:hint="eastAsia" w:ascii="宋体" w:hAnsi="宋体" w:cs="宋体"/>
          <w:kern w:val="0"/>
          <w:sz w:val="24"/>
          <w:szCs w:val="24"/>
          <w:lang w:eastAsia="zh-CN"/>
        </w:rPr>
        <w:t>一份</w:t>
      </w:r>
      <w:r>
        <w:rPr>
          <w:rFonts w:hint="eastAsia" w:ascii="宋体" w:hAnsi="宋体" w:eastAsia="宋体" w:cs="宋体"/>
          <w:kern w:val="0"/>
          <w:sz w:val="24"/>
          <w:szCs w:val="24"/>
        </w:rPr>
        <w:t>、副本份数要</w:t>
      </w:r>
      <w:r>
        <w:rPr>
          <w:rFonts w:hint="eastAsia" w:ascii="宋体" w:hAnsi="宋体" w:eastAsia="宋体" w:cs="宋体"/>
          <w:kern w:val="0"/>
          <w:sz w:val="24"/>
          <w:szCs w:val="24"/>
          <w:highlight w:val="none"/>
        </w:rPr>
        <w:t>求见供应商须知前附表。正本和副本的封面右上角上应清楚地标记“正本”或“副本”的字样。当副本和正本不一致时，以正本文件为准。 响应文件的正本与副本应分别装订，响应文件需分册装订的，具体分册装订要求供应商须知前附表。</w:t>
      </w:r>
    </w:p>
    <w:p>
      <w:pPr>
        <w:pStyle w:val="8"/>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4.</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响应文件的密封和标记</w:t>
      </w:r>
    </w:p>
    <w:p>
      <w:pPr>
        <w:pStyle w:val="8"/>
        <w:pageBreakBefore w:val="0"/>
        <w:kinsoku/>
        <w:overflowPunct/>
        <w:autoSpaceDE/>
        <w:autoSpaceDN/>
        <w:bidi w:val="0"/>
        <w:spacing w:line="400" w:lineRule="exact"/>
        <w:ind w:firstLine="487" w:firstLineChars="202"/>
        <w:jc w:val="left"/>
        <w:rPr>
          <w:rFonts w:hint="eastAsia" w:ascii="宋体" w:hAnsi="宋体" w:eastAsia="宋体" w:cs="宋体"/>
          <w:kern w:val="0"/>
          <w:sz w:val="24"/>
          <w:szCs w:val="24"/>
        </w:rPr>
      </w:pPr>
      <w:r>
        <w:rPr>
          <w:rFonts w:hint="eastAsia" w:ascii="宋体" w:hAnsi="宋体" w:eastAsia="宋体" w:cs="宋体"/>
          <w:b/>
          <w:bCs/>
          <w:color w:val="auto"/>
          <w:sz w:val="24"/>
          <w:szCs w:val="24"/>
          <w:highlight w:val="none"/>
          <w:lang w:eastAsia="zh-CN"/>
        </w:rPr>
        <w:t>★</w:t>
      </w:r>
      <w:r>
        <w:rPr>
          <w:rFonts w:hint="eastAsia" w:ascii="宋体" w:hAnsi="宋体" w:eastAsia="宋体" w:cs="宋体"/>
          <w:kern w:val="0"/>
          <w:sz w:val="24"/>
          <w:szCs w:val="24"/>
          <w:lang w:val="en-US" w:eastAsia="zh-CN"/>
        </w:rPr>
        <w:t>4.2.1</w:t>
      </w:r>
      <w:r>
        <w:rPr>
          <w:rFonts w:hint="eastAsia" w:ascii="宋体" w:hAnsi="宋体" w:eastAsia="宋体" w:cs="宋体"/>
          <w:kern w:val="0"/>
          <w:sz w:val="24"/>
          <w:szCs w:val="24"/>
        </w:rPr>
        <w:t>响应文件应用不褪色的材料书写或打印，并按第六章“响应文件格式”的要求进行签字和（或）盖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w:t>
      </w:r>
    </w:p>
    <w:p>
      <w:pPr>
        <w:pStyle w:val="8"/>
        <w:pageBreakBefore w:val="0"/>
        <w:kinsoku/>
        <w:overflowPunct/>
        <w:autoSpaceDE/>
        <w:autoSpaceDN/>
        <w:bidi w:val="0"/>
        <w:spacing w:line="400" w:lineRule="exact"/>
        <w:ind w:firstLine="487" w:firstLineChars="202"/>
        <w:jc w:val="left"/>
        <w:rPr>
          <w:rFonts w:hint="eastAsia" w:ascii="宋体" w:hAnsi="宋体" w:eastAsia="宋体" w:cs="宋体"/>
          <w:kern w:val="0"/>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kern w:val="0"/>
          <w:sz w:val="24"/>
          <w:szCs w:val="24"/>
          <w:lang w:val="en-US" w:eastAsia="zh-CN"/>
        </w:rPr>
        <w:t>4.2.2</w:t>
      </w:r>
      <w:r>
        <w:rPr>
          <w:rFonts w:hint="eastAsia" w:ascii="宋体" w:hAnsi="宋体" w:eastAsia="宋体" w:cs="宋体"/>
          <w:kern w:val="0"/>
          <w:sz w:val="24"/>
          <w:szCs w:val="24"/>
        </w:rPr>
        <w:t>响应文件应密封包装，并在封套的封口处加盖供应商单位章或由供应商的法定代表人（单位负责人）或其授权的代理人签字或盖章。响应文件封套上应写明的内容</w:t>
      </w:r>
      <w:r>
        <w:rPr>
          <w:rFonts w:hint="eastAsia" w:ascii="宋体" w:hAnsi="宋体" w:eastAsia="宋体" w:cs="宋体"/>
          <w:kern w:val="0"/>
          <w:sz w:val="24"/>
          <w:szCs w:val="24"/>
          <w:highlight w:val="none"/>
        </w:rPr>
        <w:t>见供应商须知前附表。未按要求密封的响应文件，采购人将予以拒收。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3</w:t>
      </w:r>
      <w:r>
        <w:rPr>
          <w:rFonts w:hint="eastAsia" w:ascii="宋体" w:hAnsi="宋体" w:eastAsia="宋体" w:cs="宋体"/>
          <w:b/>
          <w:color w:val="000000" w:themeColor="text1"/>
          <w:sz w:val="24"/>
          <w:szCs w:val="24"/>
          <w:highlight w:val="none"/>
          <w14:textFill>
            <w14:solidFill>
              <w14:schemeClr w14:val="tx1"/>
            </w14:solidFill>
          </w14:textFill>
        </w:rPr>
        <w:t>响</w:t>
      </w:r>
      <w:r>
        <w:rPr>
          <w:rFonts w:hint="eastAsia" w:ascii="宋体" w:hAnsi="宋体" w:eastAsia="宋体" w:cs="宋体"/>
          <w:b/>
          <w:sz w:val="24"/>
          <w:szCs w:val="24"/>
          <w:highlight w:val="none"/>
        </w:rPr>
        <w:t>应文件</w:t>
      </w:r>
      <w:r>
        <w:rPr>
          <w:rFonts w:hint="eastAsia" w:ascii="宋体" w:hAnsi="宋体" w:eastAsia="宋体" w:cs="宋体"/>
          <w:b/>
          <w:color w:val="000000" w:themeColor="text1"/>
          <w:sz w:val="24"/>
          <w:szCs w:val="24"/>
          <w:highlight w:val="none"/>
          <w14:textFill>
            <w14:solidFill>
              <w14:schemeClr w14:val="tx1"/>
            </w14:solidFill>
          </w14:textFill>
        </w:rPr>
        <w:t>的</w:t>
      </w:r>
      <w:r>
        <w:rPr>
          <w:rFonts w:hint="eastAsia" w:ascii="宋体" w:hAnsi="宋体" w:eastAsia="宋体" w:cs="宋体"/>
          <w:b/>
          <w:sz w:val="24"/>
          <w:szCs w:val="24"/>
          <w:highlight w:val="none"/>
        </w:rPr>
        <w:t>递交</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.1供应商应在供应商须知前附表规定的响应</w:t>
      </w:r>
      <w:r>
        <w:rPr>
          <w:rFonts w:hint="eastAsia" w:ascii="宋体" w:hAnsi="宋体" w:eastAsia="宋体" w:cs="宋体"/>
          <w:kern w:val="0"/>
          <w:sz w:val="24"/>
          <w:szCs w:val="24"/>
        </w:rPr>
        <w:t>文件递交截止时间前将响应文件</w:t>
      </w:r>
      <w:r>
        <w:rPr>
          <w:rFonts w:hint="eastAsia" w:ascii="宋体" w:hAnsi="宋体" w:eastAsia="宋体" w:cs="宋体"/>
          <w:kern w:val="0"/>
          <w:sz w:val="24"/>
          <w:szCs w:val="24"/>
          <w:lang w:eastAsia="zh-CN"/>
        </w:rPr>
        <w:t>递交至指定地点</w:t>
      </w:r>
      <w:r>
        <w:rPr>
          <w:rFonts w:hint="eastAsia" w:ascii="宋体" w:hAnsi="宋体" w:eastAsia="宋体" w:cs="宋体"/>
          <w:kern w:val="0"/>
          <w:sz w:val="24"/>
          <w:szCs w:val="24"/>
        </w:rPr>
        <w:t>。未在响应文件递交截止时间前</w:t>
      </w:r>
      <w:r>
        <w:rPr>
          <w:rFonts w:hint="eastAsia" w:ascii="宋体" w:hAnsi="宋体" w:eastAsia="宋体" w:cs="宋体"/>
          <w:kern w:val="0"/>
          <w:sz w:val="24"/>
          <w:szCs w:val="24"/>
          <w:lang w:eastAsia="zh-CN"/>
        </w:rPr>
        <w:t>递交的</w:t>
      </w:r>
      <w:r>
        <w:rPr>
          <w:rFonts w:hint="eastAsia" w:ascii="宋体" w:hAnsi="宋体" w:eastAsia="宋体" w:cs="宋体"/>
          <w:kern w:val="0"/>
          <w:sz w:val="24"/>
          <w:szCs w:val="24"/>
        </w:rPr>
        <w:t>响应文件视为逾期送达。逾期送达的或者未送达指定地点的响应文件，采购单位不予受理。</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采购</w:t>
      </w:r>
      <w:r>
        <w:rPr>
          <w:rFonts w:hint="eastAsia" w:ascii="宋体" w:hAnsi="宋体" w:eastAsia="宋体" w:cs="宋体"/>
          <w:kern w:val="0"/>
          <w:sz w:val="24"/>
          <w:szCs w:val="24"/>
        </w:rPr>
        <w:t>单位将拒绝并原封退回在规定的响应文件递交截止期后送达的任何响应文件。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color w:val="000000"/>
          <w:kern w:val="0"/>
          <w:sz w:val="24"/>
          <w:szCs w:val="24"/>
        </w:rPr>
      </w:pPr>
      <w:r>
        <w:rPr>
          <w:rFonts w:hint="eastAsia" w:ascii="宋体" w:hAnsi="宋体" w:eastAsia="宋体" w:cs="宋体"/>
          <w:b/>
          <w:sz w:val="24"/>
          <w:szCs w:val="24"/>
        </w:rPr>
        <w:t>4.4响应文件的修改和撤回</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4.4.2供应商所提交的响应文件在评审结束后，无论中标与否都不退还。</w:t>
      </w:r>
    </w:p>
    <w:p>
      <w:pPr>
        <w:pStyle w:val="6"/>
        <w:pageBreakBefore w:val="0"/>
        <w:kinsoku/>
        <w:overflowPunct/>
        <w:autoSpaceDE/>
        <w:autoSpaceDN/>
        <w:bidi w:val="0"/>
        <w:spacing w:line="400" w:lineRule="exact"/>
        <w:rPr>
          <w:rFonts w:hint="eastAsia" w:cs="Times New Roman"/>
          <w:color w:val="auto"/>
          <w:lang w:eastAsia="zh-CN"/>
        </w:rPr>
      </w:pPr>
      <w:r>
        <w:rPr>
          <w:rFonts w:hint="eastAsia" w:cs="Times New Roman"/>
          <w:color w:val="auto"/>
          <w:lang w:val="en-US" w:eastAsia="zh-CN"/>
        </w:rPr>
        <w:t>五</w:t>
      </w:r>
      <w:r>
        <w:rPr>
          <w:rFonts w:hint="eastAsia" w:cs="Times New Roman"/>
          <w:color w:val="auto"/>
        </w:rPr>
        <w:t>、</w:t>
      </w:r>
      <w:r>
        <w:rPr>
          <w:rFonts w:hint="eastAsia" w:cs="Times New Roman"/>
          <w:color w:val="auto"/>
          <w:lang w:eastAsia="zh-CN"/>
        </w:rPr>
        <w:t>开启响应文件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hAnsi="宋体" w:cs="宋体"/>
          <w:b/>
          <w:sz w:val="24"/>
          <w:szCs w:val="24"/>
          <w:lang w:val="en-US" w:eastAsia="zh-CN"/>
        </w:rPr>
        <w:t>5</w:t>
      </w:r>
      <w:r>
        <w:rPr>
          <w:rFonts w:hint="eastAsia" w:ascii="宋体" w:hAnsi="宋体" w:eastAsia="宋体" w:cs="宋体"/>
          <w:b/>
          <w:sz w:val="24"/>
          <w:szCs w:val="24"/>
          <w:lang w:val="en-US" w:eastAsia="zh-CN"/>
        </w:rPr>
        <w:t>.会议仪式</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1采购人将在供应商须知前附表规定的时间和地点组织开启响应文件会议，邀请供应商法定代表人（单位负责人）或其授权代表携带有效证件准时参加，参加会议的代表需签名以证明其出席。未参加开启会议，视同认可会议结果。采购代理机构主持会议。</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.2主持人按下列程序主持仪式：</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（1）宣布会议纪律；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（2）宣布会议参会人员姓名；</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（3）公布在响应文件递交截止时间前递交响应文件的供应商名称；</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（4）由采购人代表、监督人员及公证人员现场查验供应商须知前附表规定内容；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（5）由供应商代表检查确认响应文件的密封情况；</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（6）按供应商须知前附表规定是否公开开启响应文件；；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（7）供应商代表、采购人代表、监督人员、公证人员、记录人等有关人员在开启记录上签字确认；</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（8）会议结束。</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.3会议异议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代表对会议过程和会议记录有异议的，以及认为采购人、采购代理机构相关工作人员有需要回避的情形，应当场提出询问或者回避申请，采购人、采购代理机构对投标人代表提出询问或者回避申请，当场作出答复，并制作记录。</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.4在政府采购活动中，采购人员及相关人员与投标人有下列利害关系之一的，应当回避：</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（一）参加采购活动前3年内与投标人存在劳动关系；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（二）参加采购活动前3年内担任投标人的董事、监事；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（三）参加采购活动前3年内是投标人的控股股东或者实际控制人；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（四）与投标人的法定代表人或者负责人有夫妻、直系血亲、三代以内旁系血亲或者近姻亲关系；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（五）与投标人有其他可能影响政府采购活动公平、公正进行的关系。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6"/>
        <w:pageBreakBefore w:val="0"/>
        <w:kinsoku/>
        <w:overflowPunct/>
        <w:autoSpaceDE/>
        <w:autoSpaceDN/>
        <w:bidi w:val="0"/>
        <w:spacing w:line="400" w:lineRule="exact"/>
        <w:rPr>
          <w:rFonts w:hint="eastAsia"/>
          <w:color w:val="auto"/>
          <w:lang w:val="en-US" w:eastAsia="zh-CN"/>
        </w:rPr>
      </w:pPr>
      <w:r>
        <w:rPr>
          <w:rFonts w:hint="eastAsia" w:cs="Times New Roman"/>
          <w:color w:val="auto"/>
          <w:lang w:val="en-US" w:eastAsia="zh-CN"/>
        </w:rPr>
        <w:t>六</w:t>
      </w:r>
      <w:r>
        <w:rPr>
          <w:rFonts w:hint="eastAsia" w:cs="Times New Roman"/>
          <w:color w:val="auto"/>
        </w:rPr>
        <w:t>、</w:t>
      </w:r>
      <w:r>
        <w:rPr>
          <w:rFonts w:hint="eastAsia" w:cs="Times New Roman"/>
          <w:color w:val="auto"/>
          <w:lang w:eastAsia="zh-CN"/>
        </w:rPr>
        <w:t>磋商和评审</w:t>
      </w:r>
    </w:p>
    <w:p>
      <w:pPr>
        <w:pageBreakBefore w:val="0"/>
        <w:widowControl/>
        <w:kinsoku/>
        <w:overflowPunct/>
        <w:autoSpaceDE/>
        <w:autoSpaceDN/>
        <w:bidi w:val="0"/>
        <w:spacing w:line="400" w:lineRule="exact"/>
        <w:ind w:firstLine="482" w:firstLineChars="200"/>
        <w:textAlignment w:val="baseline"/>
        <w:rPr>
          <w:rFonts w:hint="eastAsia" w:ascii="宋体" w:hAnsi="宋体" w:eastAsia="宋体" w:cs="宋体"/>
          <w:b/>
          <w:sz w:val="24"/>
          <w:szCs w:val="24"/>
        </w:rPr>
      </w:pPr>
      <w:r>
        <w:rPr>
          <w:rFonts w:hint="eastAsia" w:ascii="宋体" w:hAnsi="宋体" w:cs="宋体"/>
          <w:b/>
          <w:sz w:val="24"/>
          <w:szCs w:val="24"/>
          <w:lang w:val="en-US" w:eastAsia="zh-CN"/>
        </w:rPr>
        <w:t>6.1</w:t>
      </w:r>
      <w:r>
        <w:rPr>
          <w:rFonts w:hint="eastAsia" w:ascii="宋体" w:hAnsi="宋体" w:eastAsia="宋体" w:cs="宋体"/>
          <w:b/>
          <w:sz w:val="24"/>
          <w:szCs w:val="24"/>
        </w:rPr>
        <w:t>磋商小组的组成</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w:t>
      </w:r>
      <w:r>
        <w:rPr>
          <w:rFonts w:hint="eastAsia" w:ascii="宋体" w:hAnsi="宋体" w:eastAsia="宋体" w:cs="宋体"/>
          <w:kern w:val="0"/>
          <w:sz w:val="24"/>
          <w:szCs w:val="24"/>
        </w:rPr>
        <w:t>.1除</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须知前附表规定外，</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小组由采购人代表和评审专家共3人以上单数组成，其中评审专家的人数不得少于</w:t>
      </w: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小组成员总数的2/3。</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小组成员由采购人依法组建,采购人代表不得担任</w:t>
      </w:r>
      <w:r>
        <w:rPr>
          <w:rFonts w:hint="eastAsia" w:ascii="宋体" w:hAnsi="宋体" w:cs="宋体"/>
          <w:kern w:val="0"/>
          <w:sz w:val="24"/>
          <w:szCs w:val="24"/>
          <w:lang w:eastAsia="zh-CN"/>
        </w:rPr>
        <w:t>磋商</w:t>
      </w:r>
      <w:r>
        <w:rPr>
          <w:rFonts w:hint="eastAsia" w:ascii="宋体" w:hAnsi="宋体" w:eastAsia="宋体" w:cs="宋体"/>
          <w:kern w:val="0"/>
          <w:sz w:val="24"/>
          <w:szCs w:val="24"/>
        </w:rPr>
        <w:t>小组组长,不得以评审专家身份参加采购项目的评审。</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6.1.2</w:t>
      </w:r>
      <w:r>
        <w:rPr>
          <w:rFonts w:hint="eastAsia" w:ascii="宋体" w:hAnsi="宋体" w:cs="宋体"/>
          <w:kern w:val="0"/>
          <w:sz w:val="24"/>
          <w:szCs w:val="24"/>
          <w:lang w:eastAsia="zh-CN"/>
        </w:rPr>
        <w:t>磋商</w:t>
      </w:r>
      <w:r>
        <w:rPr>
          <w:rFonts w:hint="eastAsia" w:ascii="宋体" w:hAnsi="宋体" w:eastAsia="宋体" w:cs="宋体"/>
          <w:kern w:val="0"/>
          <w:sz w:val="24"/>
          <w:szCs w:val="24"/>
        </w:rPr>
        <w:t>小组应以科学、公正的态度参加评审工作并推荐成交候选人。评审专家在评审过程中不受任何干扰，独立、负责地提出评审意见，并对自己的评审意见承担责任。</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6.1.3</w:t>
      </w:r>
      <w:r>
        <w:rPr>
          <w:rFonts w:hint="eastAsia" w:ascii="宋体" w:hAnsi="宋体" w:eastAsia="宋体" w:cs="宋体"/>
          <w:kern w:val="0"/>
          <w:sz w:val="24"/>
          <w:szCs w:val="24"/>
        </w:rPr>
        <w:t>回避情形</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小组成员有下列情形之一的，应当回避：</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（1）参加采购活动前三年内,与供应商存在劳动关系,或者担任过供应商的董事、监事,或者是供应商的控股股东或实际控制人；</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（2）与供应商的法定代表人或者负责人有夫妻、直系血亲、三代以内旁系血亲或者近姻亲关系；</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（3）与供应商有其他可能影响政府采购活动公平、公正进行的关系。</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小组发现本人与参加本项目的供应商有利害关系的,应当主动提出回避。采购人或者采购代理机构发现</w:t>
      </w:r>
      <w:r>
        <w:rPr>
          <w:rFonts w:hint="eastAsia" w:ascii="宋体" w:hAnsi="宋体" w:cs="宋体"/>
          <w:kern w:val="0"/>
          <w:sz w:val="24"/>
          <w:szCs w:val="24"/>
          <w:lang w:eastAsia="zh-CN"/>
        </w:rPr>
        <w:t>磋商</w:t>
      </w:r>
      <w:r>
        <w:rPr>
          <w:rFonts w:hint="eastAsia" w:ascii="宋体" w:hAnsi="宋体" w:eastAsia="宋体" w:cs="宋体"/>
          <w:kern w:val="0"/>
          <w:sz w:val="24"/>
          <w:szCs w:val="24"/>
        </w:rPr>
        <w:t>小组与参加采购活动的供应商有利害关系的,应当要求其回避。</w:t>
      </w:r>
    </w:p>
    <w:p>
      <w:pPr>
        <w:pStyle w:val="8"/>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6.2</w:t>
      </w:r>
      <w:r>
        <w:rPr>
          <w:rFonts w:hint="eastAsia" w:ascii="宋体" w:hAnsi="宋体" w:eastAsia="宋体" w:cs="宋体"/>
          <w:b/>
          <w:bCs/>
          <w:kern w:val="0"/>
          <w:sz w:val="24"/>
          <w:szCs w:val="24"/>
        </w:rPr>
        <w:t>磋商方法</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bookmarkStart w:id="74" w:name="_Toc293738996"/>
      <w:bookmarkStart w:id="75" w:name="_Toc21441"/>
      <w:bookmarkStart w:id="76" w:name="_Toc293736058"/>
      <w:bookmarkStart w:id="77" w:name="_Toc293736015"/>
      <w:bookmarkStart w:id="78" w:name="_Toc446599315"/>
      <w:bookmarkStart w:id="79" w:name="_Toc10373"/>
      <w:r>
        <w:rPr>
          <w:rFonts w:hint="eastAsia" w:ascii="宋体" w:hAnsi="宋体" w:eastAsia="宋体" w:cs="宋体"/>
          <w:color w:val="auto"/>
          <w:sz w:val="24"/>
          <w:szCs w:val="24"/>
          <w:lang w:val="en-US" w:eastAsia="zh-CN"/>
        </w:rPr>
        <w:t>6.2.1初步评审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color w:val="auto"/>
          <w:lang w:val="en-US" w:eastAsia="zh-CN"/>
        </w:rPr>
      </w:pPr>
      <w:r>
        <w:rPr>
          <w:rFonts w:hint="eastAsia" w:ascii="宋体" w:hAnsi="宋体" w:eastAsia="宋体" w:cs="宋体"/>
          <w:color w:val="auto"/>
          <w:sz w:val="24"/>
          <w:szCs w:val="24"/>
          <w:lang w:val="en-US" w:eastAsia="zh-CN"/>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6.2.2磋商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磋商小组按照第四章“评审办法”规定的评审程序和评审标准对供应商递交的响应文件进行评审和比较，第四章“评审办法”没有规定的内容，不作为评审依据。</w:t>
      </w:r>
    </w:p>
    <w:p>
      <w:pPr>
        <w:pStyle w:val="6"/>
        <w:pageBreakBefore w:val="0"/>
        <w:kinsoku/>
        <w:overflowPunct/>
        <w:autoSpaceDE/>
        <w:autoSpaceDN/>
        <w:bidi w:val="0"/>
        <w:spacing w:line="400" w:lineRule="exact"/>
        <w:rPr>
          <w:rFonts w:hint="eastAsia" w:cs="Times New Roman"/>
          <w:lang w:eastAsia="zh-CN"/>
        </w:rPr>
      </w:pPr>
      <w:bookmarkStart w:id="80" w:name="_Toc29411"/>
      <w:bookmarkStart w:id="81" w:name="_Toc2"/>
      <w:bookmarkStart w:id="82" w:name="_Toc456291274"/>
      <w:bookmarkStart w:id="83" w:name="_Toc456291159"/>
      <w:bookmarkStart w:id="84" w:name="_Toc456291531"/>
      <w:bookmarkStart w:id="85" w:name="_Toc456291473"/>
      <w:bookmarkStart w:id="86" w:name="_Toc456291348"/>
      <w:bookmarkStart w:id="87" w:name="_Toc456291254"/>
      <w:r>
        <w:rPr>
          <w:rFonts w:hint="eastAsia" w:cs="Times New Roman"/>
          <w:lang w:eastAsia="zh-CN"/>
        </w:rPr>
        <w:t>七、推荐成交供应商</w:t>
      </w:r>
      <w:bookmarkEnd w:id="80"/>
      <w:bookmarkEnd w:id="81"/>
      <w:bookmarkEnd w:id="82"/>
      <w:bookmarkEnd w:id="83"/>
      <w:bookmarkEnd w:id="84"/>
      <w:bookmarkEnd w:id="85"/>
      <w:bookmarkEnd w:id="86"/>
      <w:bookmarkEnd w:id="87"/>
    </w:p>
    <w:p>
      <w:pPr>
        <w:pStyle w:val="8"/>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7.1推荐成交供应商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7.1.1磋商小组应当根据综合评分情况，按照评审得分由高到低的顺序推荐3名成交候选人，并编写评审报告。</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7.1</w:t>
      </w:r>
      <w:r>
        <w:rPr>
          <w:rFonts w:hint="eastAsia" w:ascii="宋体" w:hAnsi="宋体" w:eastAsia="宋体" w:cs="宋体"/>
          <w:color w:val="auto"/>
          <w:sz w:val="24"/>
          <w:szCs w:val="24"/>
          <w:lang w:val="en-US" w:eastAsia="zh-CN"/>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7.1.3成交供应商确定后，采购代理机构将在供应商须知前附表规定的媒介发布成交公告，公告期为1个工作日，同时向成交供应商发出《成交通知书》。《成交通知书》是合同的组成部分,对成交供应商和采购人具有同等法律效力。</w:t>
      </w:r>
    </w:p>
    <w:p>
      <w:pPr>
        <w:pStyle w:val="6"/>
        <w:pageBreakBefore w:val="0"/>
        <w:kinsoku/>
        <w:overflowPunct/>
        <w:autoSpaceDE/>
        <w:autoSpaceDN/>
        <w:bidi w:val="0"/>
        <w:spacing w:line="400" w:lineRule="exact"/>
        <w:rPr>
          <w:rFonts w:asciiTheme="majorEastAsia" w:hAnsiTheme="majorEastAsia" w:eastAsiaTheme="majorEastAsia"/>
          <w:b/>
          <w:sz w:val="28"/>
          <w:szCs w:val="28"/>
          <w:highlight w:val="green"/>
        </w:rPr>
      </w:pPr>
      <w:r>
        <w:rPr>
          <w:rFonts w:hint="eastAsia"/>
          <w:lang w:eastAsia="zh-CN"/>
        </w:rPr>
        <w:t>八</w:t>
      </w:r>
      <w:r>
        <w:rPr>
          <w:rFonts w:hint="eastAsia"/>
        </w:rPr>
        <w:t>、</w:t>
      </w:r>
      <w:r>
        <w:rPr>
          <w:rFonts w:hint="eastAsia"/>
          <w:lang w:eastAsia="zh-CN"/>
        </w:rPr>
        <w:t>签订</w:t>
      </w:r>
      <w:r>
        <w:rPr>
          <w:rFonts w:hint="eastAsia"/>
        </w:rPr>
        <w:t>合同</w:t>
      </w:r>
      <w:bookmarkEnd w:id="74"/>
      <w:bookmarkEnd w:id="75"/>
      <w:bookmarkEnd w:id="76"/>
      <w:bookmarkEnd w:id="77"/>
      <w:bookmarkEnd w:id="78"/>
      <w:bookmarkEnd w:id="79"/>
    </w:p>
    <w:p>
      <w:pPr>
        <w:pStyle w:val="8"/>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8</w:t>
      </w:r>
      <w:r>
        <w:rPr>
          <w:rFonts w:hint="eastAsia" w:ascii="宋体" w:hAnsi="宋体" w:eastAsia="宋体" w:cs="宋体"/>
          <w:b/>
          <w:bCs/>
          <w:kern w:val="0"/>
          <w:sz w:val="24"/>
          <w:szCs w:val="24"/>
          <w:lang w:val="en-US" w:eastAsia="zh-CN"/>
        </w:rPr>
        <w:t>.1 签订合同</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.1.1采购人应在成交通知书发出后30日内，根据成交结果和磋商文件、响应文件及有关补遗文件和确认</w:t>
      </w:r>
      <w:r>
        <w:rPr>
          <w:rFonts w:hint="eastAsia" w:ascii="宋体" w:hAnsi="宋体" w:cs="宋体"/>
          <w:kern w:val="0"/>
          <w:sz w:val="24"/>
          <w:szCs w:val="24"/>
          <w:lang w:val="en-US" w:eastAsia="zh-CN"/>
        </w:rPr>
        <w:t>磋商</w:t>
      </w:r>
      <w:r>
        <w:rPr>
          <w:rFonts w:hint="eastAsia" w:ascii="宋体" w:hAnsi="宋体" w:eastAsia="宋体" w:cs="宋体"/>
          <w:kern w:val="0"/>
          <w:sz w:val="24"/>
          <w:szCs w:val="24"/>
          <w:lang w:val="en-US" w:eastAsia="zh-CN"/>
        </w:rPr>
        <w:t>备忘录拟定的合同文本与成交供应商签订项目合同。</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.1.2采购人应按磋商文件要求和中标人的响应文件承诺订立书面合同，不得超出磋商文件和中标人响应文件的范围，也不得再另行订立背离合同实质性内容的其他协议。</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.1.3采购人应在《中标通知书》发出之日起30天内与中标人签订政府采购合同。签订政府采购合同后7个工作日内，采购人应将政府采购合同副本报政府采购监管部门备案。</w:t>
      </w:r>
    </w:p>
    <w:p>
      <w:pPr>
        <w:pStyle w:val="8"/>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8.1.4</w:t>
      </w:r>
      <w:r>
        <w:rPr>
          <w:rFonts w:hint="eastAsia" w:ascii="宋体" w:hAnsi="宋体" w:eastAsia="宋体" w:cs="宋体"/>
          <w:kern w:val="0"/>
          <w:sz w:val="24"/>
          <w:szCs w:val="24"/>
          <w:lang w:val="en-US" w:eastAsia="zh-CN"/>
        </w:rPr>
        <w:t>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6"/>
        <w:pageBreakBefore w:val="0"/>
        <w:kinsoku/>
        <w:overflowPunct/>
        <w:autoSpaceDE/>
        <w:autoSpaceDN/>
        <w:bidi w:val="0"/>
        <w:spacing w:line="400" w:lineRule="exact"/>
        <w:rPr>
          <w:rFonts w:hint="eastAsia" w:cs="Times New Roman"/>
          <w:lang w:eastAsia="zh-CN"/>
        </w:rPr>
      </w:pPr>
      <w:bookmarkStart w:id="88" w:name="_Toc456291475"/>
      <w:bookmarkStart w:id="89" w:name="_Toc456291276"/>
      <w:bookmarkStart w:id="90" w:name="_Toc456291161"/>
      <w:bookmarkStart w:id="91" w:name="_Toc456291350"/>
      <w:bookmarkStart w:id="92" w:name="_Toc5694"/>
      <w:bookmarkStart w:id="93" w:name="_Toc456291256"/>
      <w:bookmarkStart w:id="94" w:name="_Toc456291533"/>
      <w:bookmarkStart w:id="95" w:name="_Toc7269"/>
      <w:r>
        <w:rPr>
          <w:rFonts w:hint="eastAsia" w:cs="Times New Roman"/>
          <w:lang w:eastAsia="zh-CN"/>
        </w:rPr>
        <w:t>九、质疑</w:t>
      </w:r>
      <w:bookmarkEnd w:id="88"/>
      <w:bookmarkEnd w:id="89"/>
      <w:bookmarkEnd w:id="90"/>
      <w:bookmarkEnd w:id="91"/>
      <w:bookmarkEnd w:id="92"/>
      <w:bookmarkEnd w:id="93"/>
      <w:bookmarkEnd w:id="94"/>
      <w:bookmarkEnd w:id="95"/>
    </w:p>
    <w:p>
      <w:pPr>
        <w:pStyle w:val="8"/>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9.1质疑</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9.1.1如果</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对此次采购活动有疑问，可依据《政府采购法》、《政府采购质疑和投诉办法》等相关规定，在规定时间内以书面形式向采购人和采购代理机构提出质疑。质疑书应当包括下列主要内容（质疑函格式见附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①质疑人的名称、地址、电话等；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②质疑人法人签章和单位公章；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③具体的质疑事项及事实依据；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④明确的请求和必要（合法来源）的证明材料；</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⑤以联合体形式参与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的，则必须联合体各方共同签署、盖章；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⑥提起质疑的日期。</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特注：未按上述程序规定的必备内容进行质疑的，政府采购机构将不予以受理。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9.1.2成交公告期限届满之日起7个工作日内如有质疑的，采购人或采购代理机构将依法给与答复，并将结果告知所有当事人。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9.1.3质疑供应商对采购人或采购代理机构答复不满意，可在15个工作日内向监管部门投诉。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9.1.4</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供应商的质疑和投诉应有事实依据，若为无效投诉，监管部门将按有关规定给予处罚。</w:t>
      </w:r>
    </w:p>
    <w:p>
      <w:pPr>
        <w:pStyle w:val="6"/>
        <w:pageBreakBefore w:val="0"/>
        <w:kinsoku/>
        <w:overflowPunct/>
        <w:autoSpaceDE/>
        <w:autoSpaceDN/>
        <w:bidi w:val="0"/>
        <w:spacing w:line="400" w:lineRule="exact"/>
        <w:rPr>
          <w:rFonts w:hint="eastAsia" w:cs="Times New Roman"/>
          <w:lang w:eastAsia="zh-CN"/>
        </w:rPr>
      </w:pPr>
      <w:bookmarkStart w:id="96" w:name="_Toc456291162"/>
      <w:bookmarkStart w:id="97" w:name="_Toc25716"/>
      <w:bookmarkStart w:id="98" w:name="_Toc456291476"/>
      <w:bookmarkStart w:id="99" w:name="_Toc456291534"/>
      <w:bookmarkStart w:id="100" w:name="_Toc11180"/>
      <w:bookmarkStart w:id="101" w:name="_Toc456291351"/>
      <w:bookmarkStart w:id="102" w:name="_Toc456291277"/>
      <w:bookmarkStart w:id="103" w:name="_Toc456291257"/>
      <w:r>
        <w:rPr>
          <w:rFonts w:hint="eastAsia" w:cs="Times New Roman"/>
          <w:lang w:eastAsia="zh-CN"/>
        </w:rPr>
        <w:t>十、</w:t>
      </w:r>
      <w:bookmarkEnd w:id="96"/>
      <w:bookmarkEnd w:id="97"/>
      <w:bookmarkEnd w:id="98"/>
      <w:bookmarkEnd w:id="99"/>
      <w:bookmarkEnd w:id="100"/>
      <w:bookmarkEnd w:id="101"/>
      <w:bookmarkEnd w:id="102"/>
      <w:bookmarkEnd w:id="103"/>
      <w:r>
        <w:rPr>
          <w:rFonts w:hint="eastAsia" w:cs="Times New Roman"/>
          <w:lang w:eastAsia="zh-CN"/>
        </w:rPr>
        <w:t>纪律要求</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10.1对采购人的纪律要求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采购人不得泄露</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采购活动中应当保密的情况和资料，不得与供应商串通损害国家利益、社会公共利益或者他人合法权益。</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10.2对供应商的纪律要求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供应商不得相互串通或者与采购人串通，不得向采购人或者</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lang w:val="en-US" w:eastAsia="zh-CN"/>
        </w:rPr>
        <w:t>成员行贿谋取成交，不得以他人名义参加</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采购活动或者以其他方式弄虚作假骗取成交；供应商不得以任何方式干扰、影响评审工作。</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10.3对</w:t>
      </w:r>
      <w:r>
        <w:rPr>
          <w:rFonts w:hint="eastAsia" w:ascii="宋体" w:hAnsi="宋体" w:cs="宋体"/>
          <w:b/>
          <w:bCs/>
          <w:color w:val="auto"/>
          <w:sz w:val="24"/>
          <w:szCs w:val="24"/>
          <w:lang w:val="en-US" w:eastAsia="zh-CN"/>
        </w:rPr>
        <w:t>磋商小组</w:t>
      </w:r>
      <w:r>
        <w:rPr>
          <w:rFonts w:hint="eastAsia" w:ascii="宋体" w:hAnsi="宋体" w:eastAsia="宋体" w:cs="宋体"/>
          <w:b/>
          <w:bCs/>
          <w:color w:val="auto"/>
          <w:sz w:val="24"/>
          <w:szCs w:val="24"/>
          <w:lang w:val="en-US" w:eastAsia="zh-CN"/>
        </w:rPr>
        <w:t>成员的纪律要求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lang w:val="en-US" w:eastAsia="zh-CN"/>
        </w:rPr>
        <w:t>成员不得收受他人的财务或者其他好处，不得向他人透露对响应文件的评审和比较、候选成交供应商的推荐情况以及评审有关的其他情况。在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lang w:val="en-US" w:eastAsia="zh-CN"/>
        </w:rPr>
        <w:t>成员应当客观、公正地履行职责，遵守职业道德，不得擅离职守、影响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工作的正常进行，不得使用第四章“评审办法”没有规定的评审因素和标准进行评审。</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10.4对与</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活动有关的工作人员的纪律要求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w:t>
      </w:r>
      <w:r>
        <w:rPr>
          <w:rFonts w:hint="eastAsia" w:ascii="宋体" w:hAnsi="宋体" w:eastAsia="宋体" w:cs="宋体"/>
          <w:color w:val="auto"/>
          <w:kern w:val="2"/>
          <w:sz w:val="24"/>
          <w:szCs w:val="24"/>
          <w:lang w:val="en-US" w:eastAsia="zh-CN" w:bidi="ar-SA"/>
        </w:rPr>
        <w:t xml:space="preserve">    </w:t>
      </w:r>
    </w:p>
    <w:p>
      <w:pPr>
        <w:pStyle w:val="6"/>
        <w:pageBreakBefore w:val="0"/>
        <w:kinsoku/>
        <w:overflowPunct/>
        <w:autoSpaceDE/>
        <w:autoSpaceDN/>
        <w:bidi w:val="0"/>
        <w:spacing w:line="400" w:lineRule="exact"/>
        <w:rPr>
          <w:rFonts w:hint="eastAsia" w:cs="Times New Roman"/>
          <w:lang w:eastAsia="zh-CN"/>
        </w:rPr>
      </w:pPr>
      <w:r>
        <w:rPr>
          <w:rFonts w:hint="eastAsia" w:cs="Times New Roman"/>
          <w:lang w:eastAsia="zh-CN"/>
        </w:rPr>
        <w:t>十一、需要补充的其他内容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需要补充的其他内容：详见供应商须知前附表。</w:t>
      </w:r>
    </w:p>
    <w:p>
      <w:pPr>
        <w:rPr>
          <w:rFonts w:hint="eastAsia" w:ascii="宋体" w:hAnsi="宋体" w:eastAsia="宋体" w:cs="宋体"/>
          <w:color w:val="auto"/>
          <w:sz w:val="28"/>
          <w:highlight w:val="cyan"/>
        </w:rPr>
      </w:pPr>
    </w:p>
    <w:p>
      <w:pPr>
        <w:pStyle w:val="31"/>
        <w:rPr>
          <w:rFonts w:hint="eastAsia" w:ascii="宋体" w:hAnsi="宋体" w:eastAsia="宋体" w:cs="宋体"/>
          <w:color w:val="auto"/>
          <w:sz w:val="28"/>
          <w:highlight w:val="cyan"/>
        </w:rPr>
      </w:pPr>
    </w:p>
    <w:p>
      <w:pPr>
        <w:pStyle w:val="31"/>
        <w:rPr>
          <w:rFonts w:hint="eastAsia" w:ascii="宋体" w:hAnsi="宋体" w:eastAsia="宋体" w:cs="宋体"/>
          <w:color w:val="auto"/>
          <w:sz w:val="28"/>
          <w:highlight w:val="cyan"/>
        </w:rPr>
      </w:pPr>
    </w:p>
    <w:p>
      <w:pPr>
        <w:pStyle w:val="31"/>
        <w:rPr>
          <w:rFonts w:hint="eastAsia" w:ascii="宋体" w:hAnsi="宋体" w:eastAsia="宋体" w:cs="宋体"/>
          <w:color w:val="auto"/>
          <w:sz w:val="28"/>
          <w:highlight w:val="cyan"/>
        </w:rPr>
      </w:pPr>
    </w:p>
    <w:p>
      <w:pPr>
        <w:pStyle w:val="31"/>
        <w:rPr>
          <w:rFonts w:hint="eastAsia" w:ascii="宋体" w:hAnsi="宋体" w:eastAsia="宋体" w:cs="宋体"/>
          <w:color w:val="auto"/>
          <w:sz w:val="28"/>
          <w:highlight w:val="cyan"/>
        </w:rPr>
      </w:pPr>
    </w:p>
    <w:p>
      <w:pPr>
        <w:pStyle w:val="31"/>
        <w:rPr>
          <w:rFonts w:hint="eastAsia" w:ascii="宋体" w:hAnsi="宋体" w:eastAsia="宋体" w:cs="宋体"/>
          <w:color w:val="auto"/>
          <w:sz w:val="28"/>
          <w:highlight w:val="cyan"/>
        </w:rPr>
      </w:pPr>
    </w:p>
    <w:p>
      <w:pPr>
        <w:pStyle w:val="31"/>
        <w:rPr>
          <w:rFonts w:hint="eastAsia" w:ascii="宋体" w:hAnsi="宋体" w:eastAsia="宋体" w:cs="宋体"/>
          <w:color w:val="auto"/>
          <w:sz w:val="28"/>
          <w:highlight w:val="cyan"/>
        </w:rPr>
      </w:pPr>
    </w:p>
    <w:p>
      <w:pPr>
        <w:pStyle w:val="31"/>
        <w:ind w:left="0" w:leftChars="0" w:firstLine="0" w:firstLineChars="0"/>
        <w:rPr>
          <w:rFonts w:hint="eastAsia" w:ascii="宋体" w:hAnsi="宋体" w:eastAsia="宋体" w:cs="宋体"/>
          <w:color w:val="auto"/>
          <w:sz w:val="28"/>
          <w:highlight w:val="cyan"/>
        </w:rPr>
      </w:pPr>
    </w:p>
    <w:p>
      <w:pPr>
        <w:pStyle w:val="31"/>
        <w:ind w:left="0" w:leftChars="0" w:firstLine="0" w:firstLineChars="0"/>
        <w:rPr>
          <w:rFonts w:hint="eastAsia" w:ascii="宋体" w:hAnsi="宋体" w:eastAsia="宋体" w:cs="宋体"/>
          <w:color w:val="auto"/>
          <w:sz w:val="28"/>
          <w:highlight w:val="cyan"/>
        </w:rPr>
      </w:pPr>
    </w:p>
    <w:p>
      <w:pPr>
        <w:pStyle w:val="31"/>
        <w:ind w:left="0" w:leftChars="0" w:firstLine="0" w:firstLineChars="0"/>
        <w:rPr>
          <w:rFonts w:hint="eastAsia" w:ascii="宋体" w:hAnsi="宋体" w:eastAsia="宋体" w:cs="宋体"/>
          <w:color w:val="auto"/>
          <w:sz w:val="28"/>
          <w:highlight w:val="cyan"/>
        </w:rPr>
      </w:pPr>
    </w:p>
    <w:p>
      <w:pPr>
        <w:pStyle w:val="31"/>
        <w:ind w:left="0" w:leftChars="0" w:firstLine="0" w:firstLineChars="0"/>
        <w:rPr>
          <w:rFonts w:hint="eastAsia" w:ascii="宋体" w:hAnsi="宋体" w:eastAsia="宋体" w:cs="宋体"/>
          <w:color w:val="auto"/>
          <w:sz w:val="28"/>
          <w:highlight w:val="cyan"/>
        </w:rPr>
      </w:pPr>
    </w:p>
    <w:p>
      <w:pPr>
        <w:pStyle w:val="31"/>
        <w:ind w:left="0" w:leftChars="0" w:firstLine="0" w:firstLineChars="0"/>
        <w:rPr>
          <w:rFonts w:hint="eastAsia" w:ascii="宋体" w:hAnsi="宋体" w:eastAsia="宋体" w:cs="宋体"/>
          <w:color w:val="auto"/>
          <w:sz w:val="28"/>
          <w:highlight w:val="cyan"/>
        </w:rPr>
      </w:pPr>
    </w:p>
    <w:p>
      <w:pPr>
        <w:pStyle w:val="31"/>
        <w:ind w:left="0" w:leftChars="0" w:firstLine="0" w:firstLineChars="0"/>
        <w:rPr>
          <w:rFonts w:hint="eastAsia" w:ascii="宋体" w:hAnsi="宋体" w:eastAsia="宋体" w:cs="宋体"/>
          <w:color w:val="auto"/>
          <w:sz w:val="28"/>
          <w:highlight w:val="cyan"/>
        </w:rPr>
      </w:pPr>
    </w:p>
    <w:p>
      <w:pPr>
        <w:pStyle w:val="31"/>
        <w:ind w:left="0" w:leftChars="0" w:firstLine="0" w:firstLineChars="0"/>
        <w:rPr>
          <w:rFonts w:hint="eastAsia" w:ascii="宋体" w:hAnsi="宋体" w:eastAsia="宋体" w:cs="宋体"/>
          <w:color w:val="auto"/>
          <w:sz w:val="28"/>
          <w:highlight w:val="cyan"/>
        </w:rPr>
      </w:pPr>
    </w:p>
    <w:p>
      <w:pPr>
        <w:pStyle w:val="31"/>
        <w:ind w:left="0" w:leftChars="0" w:firstLine="0" w:firstLineChars="0"/>
        <w:rPr>
          <w:rFonts w:hint="eastAsia" w:ascii="宋体" w:hAnsi="宋体" w:eastAsia="宋体" w:cs="宋体"/>
          <w:color w:val="auto"/>
          <w:sz w:val="28"/>
          <w:highlight w:val="cyan"/>
        </w:rPr>
      </w:pPr>
    </w:p>
    <w:p>
      <w:pPr>
        <w:pStyle w:val="31"/>
        <w:ind w:left="0" w:leftChars="0" w:firstLine="0" w:firstLineChars="0"/>
        <w:rPr>
          <w:rFonts w:hint="eastAsia" w:ascii="宋体" w:hAnsi="宋体" w:eastAsia="宋体" w:cs="宋体"/>
          <w:color w:val="auto"/>
          <w:sz w:val="28"/>
          <w:highlight w:val="cyan"/>
        </w:rPr>
      </w:pPr>
    </w:p>
    <w:p>
      <w:pPr>
        <w:pStyle w:val="31"/>
        <w:ind w:left="0" w:leftChars="0" w:firstLine="0" w:firstLineChars="0"/>
        <w:rPr>
          <w:rFonts w:hint="eastAsia" w:ascii="宋体" w:hAnsi="宋体" w:eastAsia="宋体" w:cs="宋体"/>
          <w:color w:val="auto"/>
          <w:sz w:val="28"/>
          <w:highlight w:val="cyan"/>
        </w:rPr>
      </w:pPr>
    </w:p>
    <w:p>
      <w:pPr>
        <w:pStyle w:val="31"/>
        <w:ind w:left="0" w:leftChars="0" w:firstLine="0" w:firstLineChars="0"/>
        <w:rPr>
          <w:rFonts w:hint="eastAsia" w:ascii="宋体" w:hAnsi="宋体" w:eastAsia="宋体" w:cs="宋体"/>
          <w:color w:val="auto"/>
          <w:sz w:val="28"/>
          <w:highlight w:val="cyan"/>
        </w:rPr>
      </w:pPr>
    </w:p>
    <w:p>
      <w:pPr>
        <w:pStyle w:val="31"/>
        <w:ind w:left="0" w:leftChars="0" w:firstLine="0" w:firstLineChars="0"/>
        <w:rPr>
          <w:rFonts w:hint="eastAsia" w:ascii="宋体" w:hAnsi="宋体" w:eastAsia="宋体" w:cs="宋体"/>
          <w:color w:val="auto"/>
          <w:sz w:val="28"/>
          <w:highlight w:val="cyan"/>
        </w:rPr>
      </w:pPr>
    </w:p>
    <w:p>
      <w:pPr>
        <w:pStyle w:val="31"/>
        <w:ind w:left="0" w:leftChars="0" w:firstLine="0" w:firstLineChars="0"/>
        <w:rPr>
          <w:rFonts w:hint="eastAsia" w:ascii="宋体" w:hAnsi="宋体" w:eastAsia="宋体" w:cs="宋体"/>
          <w:color w:val="auto"/>
          <w:sz w:val="28"/>
          <w:highlight w:val="cyan"/>
        </w:rPr>
      </w:pPr>
    </w:p>
    <w:p>
      <w:pPr>
        <w:pStyle w:val="31"/>
        <w:ind w:left="0" w:leftChars="0" w:firstLine="0" w:firstLineChars="0"/>
        <w:rPr>
          <w:rFonts w:hint="eastAsia" w:ascii="宋体" w:hAnsi="宋体" w:eastAsia="宋体" w:cs="宋体"/>
          <w:color w:val="auto"/>
          <w:sz w:val="28"/>
          <w:highlight w:val="cyan"/>
        </w:rPr>
      </w:pPr>
    </w:p>
    <w:p>
      <w:pPr>
        <w:pStyle w:val="31"/>
        <w:ind w:left="0" w:leftChars="0" w:firstLine="0" w:firstLineChars="0"/>
        <w:rPr>
          <w:rFonts w:hint="eastAsia" w:ascii="宋体" w:hAnsi="宋体" w:eastAsia="宋体" w:cs="宋体"/>
          <w:color w:val="auto"/>
          <w:sz w:val="28"/>
          <w:highlight w:val="cyan"/>
        </w:rPr>
      </w:pPr>
    </w:p>
    <w:p>
      <w:pPr>
        <w:pStyle w:val="31"/>
        <w:ind w:left="0" w:leftChars="0" w:firstLine="0" w:firstLineChars="0"/>
        <w:rPr>
          <w:rFonts w:hint="eastAsia" w:ascii="宋体" w:hAnsi="宋体" w:eastAsia="宋体" w:cs="宋体"/>
          <w:color w:val="auto"/>
          <w:sz w:val="28"/>
          <w:highlight w:val="cyan"/>
        </w:rPr>
      </w:pPr>
    </w:p>
    <w:p>
      <w:pPr>
        <w:pStyle w:val="31"/>
        <w:ind w:left="0" w:leftChars="0" w:firstLine="0" w:firstLineChars="0"/>
        <w:rPr>
          <w:rFonts w:hint="eastAsia" w:ascii="宋体" w:hAnsi="宋体" w:eastAsia="宋体" w:cs="宋体"/>
          <w:color w:val="auto"/>
          <w:sz w:val="28"/>
          <w:highlight w:val="cyan"/>
        </w:rPr>
      </w:pPr>
    </w:p>
    <w:p>
      <w:pPr>
        <w:pStyle w:val="31"/>
        <w:ind w:left="0" w:leftChars="0" w:firstLine="0" w:firstLineChars="0"/>
        <w:rPr>
          <w:rFonts w:hint="eastAsia"/>
        </w:rPr>
      </w:pPr>
    </w:p>
    <w:p>
      <w:pPr>
        <w:pStyle w:val="78"/>
        <w:rPr>
          <w:rFonts w:hint="eastAsia" w:ascii="宋体" w:hAnsi="宋体" w:eastAsia="宋体" w:cs="宋体"/>
          <w:color w:val="auto"/>
          <w:sz w:val="24"/>
          <w:lang w:eastAsia="zh-CN"/>
        </w:rPr>
      </w:pPr>
      <w:r>
        <w:rPr>
          <w:rFonts w:hint="eastAsia" w:ascii="宋体" w:hAnsi="宋体" w:eastAsia="宋体" w:cs="宋体"/>
          <w:color w:val="auto"/>
          <w:sz w:val="24"/>
          <w:lang w:eastAsia="zh-CN"/>
        </w:rPr>
        <w:t>附件：</w:t>
      </w: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质疑函范本</w:t>
      </w:r>
    </w:p>
    <w:p>
      <w:pPr>
        <w:adjustRightInd w:val="0"/>
        <w:snapToGrid w:val="0"/>
        <w:spacing w:before="312" w:beforeLines="10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获取日期：</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质疑函制作说明：</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1.供应商提出质疑时，应提交质疑函和必要的证明材料。</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3.质疑供应商若对项目的某一分包进行质疑，质疑函中应列明具体分包号。</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6.质疑供应商为自然人的，质疑函应由本人签字；质疑供应商为法人或者其他组织的，质疑函应由法定代表人、主要负责人，或者其授权代表签字或者盖章，并加盖公章。</w:t>
      </w: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8"/>
        <w:spacing w:line="500" w:lineRule="exact"/>
        <w:ind w:left="0" w:leftChars="0" w:firstLine="0" w:firstLineChars="0"/>
        <w:jc w:val="left"/>
        <w:rPr>
          <w:rFonts w:hint="eastAsia" w:asciiTheme="majorEastAsia" w:hAnsiTheme="majorEastAsia" w:eastAsiaTheme="majorEastAsia"/>
          <w:sz w:val="28"/>
          <w:szCs w:val="28"/>
        </w:rPr>
      </w:pPr>
    </w:p>
    <w:p>
      <w:pPr>
        <w:pStyle w:val="5"/>
        <w:numPr>
          <w:ilvl w:val="0"/>
          <w:numId w:val="1"/>
        </w:numPr>
        <w:spacing w:before="0" w:after="0" w:line="240" w:lineRule="auto"/>
        <w:ind w:left="0" w:leftChars="0"/>
        <w:rPr>
          <w:rFonts w:hint="eastAsia"/>
        </w:rPr>
      </w:pPr>
      <w:bookmarkStart w:id="104" w:name="_Toc293736062"/>
      <w:bookmarkStart w:id="105" w:name="_Toc293736019"/>
      <w:bookmarkStart w:id="106" w:name="_Toc293739000"/>
      <w:bookmarkStart w:id="107" w:name="_Toc28752"/>
      <w:bookmarkStart w:id="108" w:name="_Toc28105"/>
      <w:bookmarkStart w:id="109" w:name="_Toc446599321"/>
      <w:bookmarkStart w:id="110" w:name="_Toc446599322"/>
      <w:bookmarkStart w:id="111" w:name="_Toc293736063"/>
      <w:bookmarkStart w:id="112" w:name="_Toc293739001"/>
      <w:bookmarkStart w:id="113" w:name="_Toc293736020"/>
      <w:r>
        <w:rPr>
          <w:rFonts w:hint="eastAsia"/>
          <w:lang w:val="en-US" w:eastAsia="zh-CN"/>
        </w:rPr>
        <w:t xml:space="preserve"> </w:t>
      </w:r>
      <w:bookmarkStart w:id="114" w:name="_Toc15716"/>
      <w:bookmarkStart w:id="115" w:name="_Toc21897"/>
      <w:r>
        <w:rPr>
          <w:rFonts w:hint="eastAsia"/>
        </w:rPr>
        <w:t>采购</w:t>
      </w:r>
      <w:bookmarkEnd w:id="104"/>
      <w:bookmarkEnd w:id="105"/>
      <w:bookmarkEnd w:id="106"/>
      <w:bookmarkStart w:id="116" w:name="_Toc294515580"/>
      <w:r>
        <w:rPr>
          <w:rFonts w:hint="eastAsia"/>
        </w:rPr>
        <w:t>需求</w:t>
      </w:r>
      <w:bookmarkEnd w:id="107"/>
      <w:bookmarkEnd w:id="108"/>
      <w:bookmarkEnd w:id="109"/>
      <w:bookmarkEnd w:id="114"/>
      <w:bookmarkEnd w:id="115"/>
    </w:p>
    <w:bookmarkEnd w:id="116"/>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一、采购项目概况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沙雅县2023年耕地资源质量分类监测工作服务项目；工作内容：2023年耕地资源质量分类监测样点布设、土样采集、化验，以及更新与监测文字报告编制、更新与监测数据库建库等工作。</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color w:val="auto"/>
          <w:sz w:val="24"/>
          <w:szCs w:val="24"/>
          <w:lang w:val="en-US" w:eastAsia="zh-CN"/>
        </w:rPr>
      </w:pPr>
      <w:r>
        <w:rPr>
          <w:rFonts w:hint="eastAsia" w:ascii="宋体" w:hAnsi="宋体" w:cs="宋体"/>
          <w:b/>
          <w:bCs/>
          <w:color w:val="auto"/>
          <w:sz w:val="24"/>
          <w:szCs w:val="24"/>
          <w:lang w:val="en-US" w:eastAsia="zh-CN"/>
        </w:rPr>
        <w:t>具体工作内容</w:t>
      </w:r>
      <w:r>
        <w:rPr>
          <w:rFonts w:hint="eastAsia" w:ascii="宋体" w:hAnsi="宋体" w:cs="宋体"/>
          <w:color w:val="auto"/>
          <w:sz w:val="24"/>
          <w:szCs w:val="24"/>
          <w:lang w:val="en-US" w:eastAsia="zh-CN"/>
        </w:rPr>
        <w:t xml:space="preserve">:2023年耕地资源质量分类监测样点布设、土样采集、化验，以及更新与监测文字报告编制、更新与监测数据库建库等工作。工作内容：按照技术方案要求，首先在沙雅县全域耕地规划布设70个耕地资源质量分类监测样点；对70个监测样点进行土样采集；将土壤样本送至有资质的检测单位检测，获取每个样点的土壤质地、土壤有机质含量、土壤PH值等土壤条件指标属性信息；以国家下发的年度变更调查数据库的耕地和恢复地类图层为基础库，建设耕地资源质量分类更新与监测数据库；编制文字报告；将成果提交自治区自然资源厅审查。   </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color w:val="auto"/>
          <w:sz w:val="24"/>
          <w:szCs w:val="24"/>
          <w:lang w:val="en-US" w:eastAsia="zh-CN"/>
        </w:rPr>
      </w:pPr>
      <w:r>
        <w:rPr>
          <w:rFonts w:hint="eastAsia" w:ascii="宋体" w:hAnsi="宋体" w:cs="宋体"/>
          <w:b/>
          <w:bCs/>
          <w:color w:val="auto"/>
          <w:sz w:val="24"/>
          <w:szCs w:val="24"/>
          <w:lang w:val="en-US" w:eastAsia="zh-CN"/>
        </w:rPr>
        <w:t>具体工作要求</w:t>
      </w:r>
      <w:r>
        <w:rPr>
          <w:rFonts w:hint="eastAsia" w:ascii="宋体" w:hAnsi="宋体" w:cs="宋体"/>
          <w:color w:val="auto"/>
          <w:sz w:val="24"/>
          <w:szCs w:val="24"/>
          <w:lang w:val="en-US" w:eastAsia="zh-CN"/>
        </w:rPr>
        <w:t>：按照自治区自然资源厅《关于印发&lt;2021年度自治区耕地资源质量分类年度更新与监测实施方案&gt;的通知》（新自然资办发〔2022〕5号）的文件要求，全面掌握沙雅县耕地质量建设引起的耕地质量变化情况，保持耕地质量分类成果的现势性，为落实耕地数量、质量、生态“三位一体”保护提供支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二、项目验收和服务要求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1、项目验收方式:由自治区自然资源厅组织有关专业人员按相关国家标准、质量标准和采购文件所列的各项要求进行验收。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服务质量标准、售后、维修等服务要求:2023年耕地资源质量分类监测样点布设、土样采集、化验，以及更新与监测文字报告编制、更新与监测数据库建库等工作。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三</w:t>
      </w:r>
      <w:r>
        <w:rPr>
          <w:rFonts w:hint="eastAsia" w:ascii="宋体" w:hAnsi="宋体" w:eastAsia="宋体" w:cs="宋体"/>
          <w:color w:val="auto"/>
          <w:sz w:val="24"/>
          <w:szCs w:val="24"/>
          <w:lang w:val="en-US" w:eastAsia="zh-CN"/>
        </w:rPr>
        <w:t>、商务需求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（一）服务</w:t>
      </w:r>
      <w:r>
        <w:rPr>
          <w:rFonts w:hint="eastAsia" w:ascii="宋体" w:hAnsi="宋体" w:cs="宋体"/>
          <w:color w:val="auto"/>
          <w:sz w:val="24"/>
          <w:szCs w:val="24"/>
          <w:lang w:val="en-US" w:eastAsia="zh-CN"/>
        </w:rPr>
        <w:t>期限</w:t>
      </w:r>
      <w:r>
        <w:rPr>
          <w:rFonts w:hint="eastAsia" w:ascii="宋体" w:hAnsi="宋体" w:eastAsia="宋体" w:cs="宋体"/>
          <w:color w:val="auto"/>
          <w:sz w:val="24"/>
          <w:szCs w:val="24"/>
          <w:lang w:val="en-US" w:eastAsia="zh-CN"/>
        </w:rPr>
        <w:t>：甲乙双方签订合同时自行约定。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（二）服务地点：</w:t>
      </w:r>
      <w:r>
        <w:rPr>
          <w:rFonts w:hint="eastAsia" w:ascii="宋体" w:hAnsi="宋体" w:cs="宋体"/>
          <w:color w:val="auto"/>
          <w:sz w:val="24"/>
          <w:szCs w:val="24"/>
          <w:lang w:val="en-US" w:eastAsia="zh-CN"/>
        </w:rPr>
        <w:t>沙雅县</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（三）报价要求：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本项目服务费采用包干制，应包括服务成本、法定税费和企业的利润。由投标供应商根据</w:t>
      </w:r>
      <w:r>
        <w:rPr>
          <w:rFonts w:hint="eastAsia" w:ascii="宋体" w:hAnsi="宋体" w:cs="宋体"/>
          <w:color w:val="auto"/>
          <w:sz w:val="24"/>
          <w:szCs w:val="24"/>
          <w:lang w:val="en-US" w:eastAsia="zh-CN"/>
        </w:rPr>
        <w:t>磋商文件</w:t>
      </w:r>
      <w:r>
        <w:rPr>
          <w:rFonts w:hint="eastAsia" w:ascii="宋体" w:hAnsi="宋体" w:eastAsia="宋体" w:cs="宋体"/>
          <w:color w:val="auto"/>
          <w:sz w:val="24"/>
          <w:szCs w:val="24"/>
          <w:lang w:val="en-US" w:eastAsia="zh-CN"/>
        </w:rPr>
        <w:t>所提供的资料自行测算投标报价；一经中标，报价总价作为中标供应商与采购人签定的合同金额，合同期限内不做调整。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投标供应商应当根据本企业的成本自行决定报价，但不得以低于其企业成本的报价投标。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投标供应商的报价不得超过项目预算金额。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 投标供应商的报价，应当是本项目采购范围和</w:t>
      </w:r>
      <w:r>
        <w:rPr>
          <w:rFonts w:hint="eastAsia" w:ascii="宋体" w:hAnsi="宋体" w:cs="宋体"/>
          <w:color w:val="auto"/>
          <w:sz w:val="24"/>
          <w:szCs w:val="24"/>
          <w:lang w:val="en-US" w:eastAsia="zh-CN"/>
        </w:rPr>
        <w:t>磋商文件</w:t>
      </w:r>
      <w:r>
        <w:rPr>
          <w:rFonts w:hint="eastAsia" w:ascii="宋体" w:hAnsi="宋体" w:eastAsia="宋体" w:cs="宋体"/>
          <w:color w:val="auto"/>
          <w:sz w:val="24"/>
          <w:szCs w:val="24"/>
          <w:lang w:val="en-US" w:eastAsia="zh-CN"/>
        </w:rPr>
        <w:t>及合同条款上所列的各项内容中所述的全部，不得以任何理由予以重复。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 除非采购人通过修改</w:t>
      </w:r>
      <w:r>
        <w:rPr>
          <w:rFonts w:hint="eastAsia" w:ascii="宋体" w:hAnsi="宋体" w:cs="宋体"/>
          <w:color w:val="auto"/>
          <w:sz w:val="24"/>
          <w:szCs w:val="24"/>
          <w:lang w:val="en-US" w:eastAsia="zh-CN"/>
        </w:rPr>
        <w:t>磋商文件</w:t>
      </w:r>
      <w:r>
        <w:rPr>
          <w:rFonts w:hint="eastAsia" w:ascii="宋体" w:hAnsi="宋体" w:eastAsia="宋体" w:cs="宋体"/>
          <w:color w:val="auto"/>
          <w:sz w:val="24"/>
          <w:szCs w:val="24"/>
          <w:lang w:val="en-US" w:eastAsia="zh-CN"/>
        </w:rPr>
        <w:t>予以更正，否则，投标供应商必须按响应文件所列的清单中项目和数量填报综合单价和合价。投标供应商未填综合单价或合价的项目，在实施后，将不得以支付，并视作该项费用已包括在其它有价款的综合单价或合价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 投标供应商应先到项目地点踏勘以充分了解项目的位置、情况、道路及任何其它足以影响投标报价的情况，任何因忽视或误解项目情况而导致的索赔或服务期限延长申请将不获批准。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 投标供应商不得期望通过索赔等方式获取补偿，否则，除可能遭到拒绝外，还可能将被作为不良行为记录在案，并可能影响其以后参加政府采购的项目投标。各投标供应商在报价时，应充分考虑报价的风险。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highlight w:val="none"/>
          <w:lang w:val="en-US" w:eastAsia="zh-CN"/>
        </w:rPr>
        <w:t>付款方式：</w:t>
      </w:r>
      <w:r>
        <w:rPr>
          <w:rFonts w:hint="eastAsia" w:ascii="宋体" w:hAnsi="宋体" w:eastAsia="宋体" w:cs="宋体"/>
          <w:color w:val="auto"/>
          <w:sz w:val="24"/>
          <w:szCs w:val="24"/>
          <w:lang w:val="en-US" w:eastAsia="zh-CN"/>
        </w:rPr>
        <w:t>按照完成服务工作进度和工作量制定分期付款方式</w:t>
      </w:r>
      <w:r>
        <w:rPr>
          <w:rFonts w:hint="eastAsia" w:ascii="宋体" w:hAnsi="宋体" w:eastAsia="宋体" w:cs="宋体"/>
          <w:color w:val="auto"/>
          <w:sz w:val="24"/>
          <w:szCs w:val="24"/>
          <w:highlight w:val="none"/>
          <w:lang w:val="en-US" w:eastAsia="zh-CN"/>
        </w:rPr>
        <w:t>。</w:t>
      </w:r>
    </w:p>
    <w:p>
      <w:pPr>
        <w:pStyle w:val="8"/>
        <w:spacing w:line="500" w:lineRule="exact"/>
        <w:jc w:val="left"/>
        <w:rPr>
          <w:b/>
          <w:bCs/>
          <w:sz w:val="24"/>
        </w:rPr>
      </w:pPr>
    </w:p>
    <w:p>
      <w:pPr>
        <w:rPr>
          <w:rFonts w:hint="eastAsia"/>
        </w:rPr>
      </w:pPr>
      <w:bookmarkStart w:id="117" w:name="_Toc20816"/>
      <w:bookmarkStart w:id="118" w:name="_Toc10724"/>
      <w:r>
        <w:rPr>
          <w:rFonts w:hint="eastAsia"/>
          <w:lang w:val="en-US" w:eastAsia="zh-CN"/>
        </w:rPr>
        <w:br w:type="page"/>
      </w:r>
    </w:p>
    <w:p>
      <w:pPr>
        <w:pStyle w:val="5"/>
        <w:numPr>
          <w:ilvl w:val="0"/>
          <w:numId w:val="1"/>
        </w:numPr>
        <w:spacing w:before="0" w:after="0" w:line="240" w:lineRule="auto"/>
        <w:ind w:left="0" w:leftChars="0"/>
        <w:rPr>
          <w:rFonts w:hint="eastAsia"/>
        </w:rPr>
      </w:pPr>
      <w:r>
        <w:rPr>
          <w:rFonts w:hint="eastAsia"/>
          <w:lang w:val="en-US" w:eastAsia="zh-CN"/>
        </w:rPr>
        <w:t xml:space="preserve"> </w:t>
      </w:r>
      <w:bookmarkStart w:id="119" w:name="_Toc5472"/>
      <w:bookmarkStart w:id="120" w:name="_Toc23076"/>
      <w:r>
        <w:rPr>
          <w:rFonts w:hint="eastAsia"/>
        </w:rPr>
        <w:t>评审方法</w:t>
      </w:r>
      <w:bookmarkEnd w:id="110"/>
      <w:bookmarkEnd w:id="111"/>
      <w:bookmarkEnd w:id="112"/>
      <w:bookmarkEnd w:id="113"/>
      <w:bookmarkEnd w:id="117"/>
      <w:bookmarkEnd w:id="118"/>
      <w:bookmarkEnd w:id="119"/>
      <w:bookmarkEnd w:id="120"/>
    </w:p>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bookmarkStart w:id="121" w:name="_Toc293736024"/>
      <w:bookmarkStart w:id="122" w:name="_Toc293739005"/>
      <w:bookmarkStart w:id="123" w:name="_Toc293736067"/>
      <w:bookmarkStart w:id="124" w:name="_Toc446599330"/>
    </w:p>
    <w:p>
      <w:pPr>
        <w:spacing w:line="500" w:lineRule="exact"/>
        <w:outlineLvl w:val="1"/>
        <w:rPr>
          <w:rFonts w:hint="eastAsia" w:ascii="宋体" w:hAnsi="宋体"/>
          <w:b/>
          <w:sz w:val="28"/>
          <w:szCs w:val="24"/>
          <w:highlight w:val="white"/>
          <w:lang w:val="en-US" w:eastAsia="zh-CN"/>
        </w:rPr>
      </w:pPr>
      <w:bookmarkStart w:id="125" w:name="_Toc16809"/>
      <w:bookmarkStart w:id="126" w:name="_Toc12926"/>
      <w:r>
        <w:rPr>
          <w:rFonts w:hint="eastAsia" w:ascii="宋体" w:hAnsi="宋体" w:eastAsia="宋体" w:cs="宋体"/>
          <w:b/>
          <w:sz w:val="28"/>
          <w:szCs w:val="28"/>
          <w:lang w:eastAsia="zh-CN"/>
        </w:rPr>
        <w:t>一、评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w:t>
      </w:r>
      <w:r>
        <w:rPr>
          <w:rFonts w:hint="eastAsia" w:ascii="宋体" w:hAnsi="宋体" w:eastAsia="宋体" w:cs="宋体"/>
          <w:b/>
          <w:sz w:val="28"/>
          <w:szCs w:val="28"/>
        </w:rPr>
        <w:t>前附表</w:t>
      </w:r>
      <w:bookmarkEnd w:id="125"/>
      <w:bookmarkEnd w:id="126"/>
    </w:p>
    <w:tbl>
      <w:tblPr>
        <w:tblStyle w:val="3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2910" w:type="dxa"/>
            <w:gridSpan w:val="2"/>
            <w:noWrap w:val="0"/>
            <w:vAlign w:val="center"/>
          </w:tcPr>
          <w:p>
            <w:pPr>
              <w:spacing w:line="360" w:lineRule="auto"/>
              <w:ind w:firstLine="649" w:firstLineChars="294"/>
              <w:jc w:val="both"/>
              <w:rPr>
                <w:rFonts w:hint="eastAsia" w:ascii="宋体" w:hAnsi="宋体" w:eastAsia="宋体" w:cs="宋体"/>
                <w:b/>
                <w:sz w:val="22"/>
                <w:szCs w:val="22"/>
              </w:rPr>
            </w:pPr>
            <w:r>
              <w:rPr>
                <w:rFonts w:hint="eastAsia" w:ascii="宋体" w:hAnsi="宋体" w:eastAsia="宋体" w:cs="宋体"/>
                <w:b/>
                <w:sz w:val="22"/>
                <w:szCs w:val="22"/>
              </w:rPr>
              <w:t>评分因素</w:t>
            </w:r>
          </w:p>
        </w:tc>
        <w:tc>
          <w:tcPr>
            <w:tcW w:w="5845" w:type="dxa"/>
            <w:noWrap w:val="0"/>
            <w:vAlign w:val="center"/>
          </w:tcPr>
          <w:p>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评分标准</w:t>
            </w:r>
          </w:p>
        </w:tc>
        <w:tc>
          <w:tcPr>
            <w:tcW w:w="1235" w:type="dxa"/>
            <w:noWrap w:val="0"/>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b/>
                <w:sz w:val="22"/>
                <w:szCs w:val="22"/>
              </w:rPr>
              <w:t>评审</w:t>
            </w:r>
            <w:r>
              <w:rPr>
                <w:rFonts w:hint="eastAsia" w:ascii="宋体" w:hAnsi="宋体" w:eastAsia="宋体" w:cs="宋体"/>
                <w:b/>
                <w:sz w:val="22"/>
                <w:szCs w:val="22"/>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spacing w:line="360" w:lineRule="auto"/>
              <w:ind w:firstLine="110" w:firstLineChars="50"/>
              <w:jc w:val="both"/>
              <w:rPr>
                <w:rFonts w:hint="eastAsia" w:ascii="宋体" w:hAnsi="宋体" w:eastAsia="宋体" w:cs="宋体"/>
                <w:sz w:val="22"/>
                <w:szCs w:val="22"/>
              </w:rPr>
            </w:pPr>
            <w:r>
              <w:rPr>
                <w:rFonts w:hint="eastAsia" w:ascii="宋体" w:hAnsi="宋体" w:eastAsia="宋体" w:cs="宋体"/>
                <w:sz w:val="22"/>
                <w:szCs w:val="22"/>
              </w:rPr>
              <w:t>初步评审</w:t>
            </w:r>
          </w:p>
        </w:tc>
        <w:tc>
          <w:tcPr>
            <w:tcW w:w="1708" w:type="dxa"/>
            <w:noWrap w:val="0"/>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sz w:val="22"/>
                <w:szCs w:val="22"/>
                <w:highlight w:val="none"/>
              </w:rPr>
              <w:t>资格</w:t>
            </w:r>
            <w:r>
              <w:rPr>
                <w:rFonts w:hint="eastAsia" w:ascii="宋体" w:hAnsi="宋体" w:eastAsia="宋体" w:cs="宋体"/>
                <w:sz w:val="22"/>
                <w:szCs w:val="22"/>
                <w:highlight w:val="none"/>
                <w:lang w:eastAsia="zh-CN"/>
              </w:rPr>
              <w:t>审查</w:t>
            </w:r>
          </w:p>
        </w:tc>
        <w:tc>
          <w:tcPr>
            <w:tcW w:w="5845" w:type="dxa"/>
            <w:vMerge w:val="restart"/>
            <w:noWrap w:val="0"/>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一</w:t>
            </w:r>
          </w:p>
        </w:tc>
        <w:tc>
          <w:tcPr>
            <w:tcW w:w="1235" w:type="dxa"/>
            <w:vMerge w:val="restart"/>
            <w:noWrap w:val="0"/>
            <w:vAlign w:val="top"/>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eastAsia="宋体" w:cs="宋体"/>
                <w:sz w:val="22"/>
                <w:szCs w:val="22"/>
              </w:rPr>
            </w:pPr>
          </w:p>
        </w:tc>
        <w:tc>
          <w:tcPr>
            <w:tcW w:w="1708" w:type="dxa"/>
            <w:noWrap w:val="0"/>
            <w:vAlign w:val="center"/>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符合性</w:t>
            </w:r>
            <w:r>
              <w:rPr>
                <w:rFonts w:hint="eastAsia" w:ascii="宋体" w:hAnsi="宋体" w:eastAsia="宋体" w:cs="宋体"/>
                <w:sz w:val="22"/>
                <w:szCs w:val="22"/>
                <w:lang w:eastAsia="zh-CN"/>
              </w:rPr>
              <w:t>审查</w:t>
            </w:r>
          </w:p>
        </w:tc>
        <w:tc>
          <w:tcPr>
            <w:tcW w:w="5845" w:type="dxa"/>
            <w:vMerge w:val="continue"/>
            <w:noWrap w:val="0"/>
            <w:vAlign w:val="center"/>
          </w:tcPr>
          <w:p>
            <w:pPr>
              <w:spacing w:line="440" w:lineRule="exact"/>
              <w:jc w:val="left"/>
              <w:rPr>
                <w:rFonts w:hint="eastAsia" w:ascii="宋体" w:hAnsi="宋体" w:eastAsia="宋体" w:cs="宋体"/>
                <w:sz w:val="22"/>
                <w:szCs w:val="22"/>
              </w:rPr>
            </w:pPr>
          </w:p>
        </w:tc>
        <w:tc>
          <w:tcPr>
            <w:tcW w:w="1235" w:type="dxa"/>
            <w:vMerge w:val="continue"/>
            <w:noWrap w:val="0"/>
            <w:vAlign w:val="top"/>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说明：</w:t>
            </w:r>
            <w:r>
              <w:rPr>
                <w:rFonts w:hint="eastAsia" w:ascii="宋体" w:hAnsi="宋体" w:eastAsia="宋体" w:cs="宋体"/>
                <w:sz w:val="22"/>
                <w:szCs w:val="22"/>
              </w:rPr>
              <w:t>初步评审</w:t>
            </w:r>
            <w:r>
              <w:rPr>
                <w:rFonts w:hint="eastAsia" w:ascii="宋体" w:hAnsi="宋体" w:eastAsia="宋体" w:cs="宋体"/>
                <w:sz w:val="22"/>
                <w:szCs w:val="22"/>
                <w:lang w:eastAsia="zh-CN"/>
              </w:rPr>
              <w:t>不通过的</w:t>
            </w:r>
            <w:r>
              <w:rPr>
                <w:rFonts w:hint="eastAsia" w:ascii="宋体" w:hAnsi="宋体" w:eastAsia="宋体" w:cs="宋体"/>
                <w:sz w:val="22"/>
                <w:szCs w:val="22"/>
                <w:lang w:val="en-US" w:eastAsia="zh-CN"/>
              </w:rPr>
              <w:t>不</w:t>
            </w:r>
            <w:r>
              <w:rPr>
                <w:rFonts w:hint="eastAsia" w:ascii="宋体" w:hAnsi="宋体" w:eastAsia="宋体" w:cs="宋体"/>
                <w:color w:val="auto"/>
                <w:sz w:val="22"/>
                <w:szCs w:val="22"/>
                <w:lang w:val="en-US" w:eastAsia="zh-CN"/>
              </w:rPr>
              <w:t>再进入详细评审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910" w:type="dxa"/>
            <w:gridSpan w:val="2"/>
            <w:noWrap w:val="0"/>
            <w:vAlign w:val="top"/>
          </w:tcPr>
          <w:p>
            <w:pPr>
              <w:spacing w:line="360" w:lineRule="auto"/>
              <w:ind w:firstLine="541" w:firstLineChars="245"/>
              <w:rPr>
                <w:rFonts w:hint="eastAsia" w:ascii="宋体" w:hAnsi="宋体" w:eastAsia="宋体" w:cs="宋体"/>
                <w:sz w:val="22"/>
                <w:szCs w:val="22"/>
              </w:rPr>
            </w:pPr>
            <w:r>
              <w:rPr>
                <w:rFonts w:hint="eastAsia" w:ascii="宋体" w:hAnsi="宋体" w:eastAsia="宋体" w:cs="宋体"/>
                <w:b/>
                <w:sz w:val="22"/>
                <w:szCs w:val="22"/>
              </w:rPr>
              <w:t>评分因素</w:t>
            </w:r>
          </w:p>
        </w:tc>
        <w:tc>
          <w:tcPr>
            <w:tcW w:w="5845" w:type="dxa"/>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评分标准</w:t>
            </w:r>
          </w:p>
        </w:tc>
        <w:tc>
          <w:tcPr>
            <w:tcW w:w="1235" w:type="dxa"/>
            <w:noWrap w:val="0"/>
            <w:vAlign w:val="top"/>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90" w:hRule="atLeast"/>
          <w:jc w:val="center"/>
        </w:trPr>
        <w:tc>
          <w:tcPr>
            <w:tcW w:w="1202" w:type="dxa"/>
            <w:vMerge w:val="restart"/>
            <w:noWrap w:val="0"/>
            <w:vAlign w:val="center"/>
          </w:tcPr>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详细评审</w:t>
            </w:r>
          </w:p>
        </w:tc>
        <w:tc>
          <w:tcPr>
            <w:tcW w:w="1708" w:type="dxa"/>
            <w:noWrap w:val="0"/>
            <w:vAlign w:val="center"/>
          </w:tcPr>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投标报价评审</w:t>
            </w:r>
          </w:p>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10</w:t>
            </w:r>
            <w:r>
              <w:rPr>
                <w:rFonts w:hint="eastAsia" w:ascii="宋体" w:hAnsi="宋体" w:eastAsia="宋体" w:cs="宋体"/>
                <w:sz w:val="22"/>
                <w:szCs w:val="22"/>
                <w:highlight w:val="none"/>
              </w:rPr>
              <w:t>分）</w:t>
            </w:r>
          </w:p>
        </w:tc>
        <w:tc>
          <w:tcPr>
            <w:tcW w:w="5845" w:type="dxa"/>
            <w:noWrap w:val="0"/>
            <w:vAlign w:val="center"/>
          </w:tcPr>
          <w:p>
            <w:pPr>
              <w:spacing w:line="360" w:lineRule="auto"/>
              <w:rPr>
                <w:rFonts w:hint="eastAsia" w:ascii="宋体" w:hAnsi="宋体" w:eastAsia="宋体" w:cs="宋体"/>
                <w:sz w:val="28"/>
                <w:szCs w:val="18"/>
                <w:highlight w:val="none"/>
                <w:lang w:eastAsia="zh-CN"/>
              </w:rPr>
            </w:pPr>
            <w:r>
              <w:rPr>
                <w:rFonts w:hint="eastAsia" w:ascii="宋体" w:hAnsi="宋体" w:eastAsia="宋体" w:cs="宋体"/>
                <w:kern w:val="2"/>
                <w:sz w:val="22"/>
                <w:szCs w:val="22"/>
                <w:highlight w:val="none"/>
                <w:lang w:val="en-US" w:eastAsia="zh-CN" w:bidi="ar-SA"/>
              </w:rPr>
              <w:t>评标基准价=有效投标报价的最低值，有效投标报价等于基准值的得满分，投标报价得分=（评标基准价/投标报价）×价格权重×100。有效投标报价为通过初步审查的供应商报价</w:t>
            </w:r>
          </w:p>
        </w:tc>
        <w:tc>
          <w:tcPr>
            <w:tcW w:w="1235" w:type="dxa"/>
            <w:noWrap w:val="0"/>
            <w:vAlign w:val="center"/>
          </w:tcPr>
          <w:p>
            <w:pPr>
              <w:spacing w:line="360" w:lineRule="auto"/>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10</w:t>
            </w:r>
            <w:r>
              <w:rPr>
                <w:rFonts w:hint="eastAsia" w:ascii="宋体" w:hAnsi="宋体" w:eastAsia="宋体" w:cs="宋体"/>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eastAsia="宋体" w:cs="宋体"/>
                <w:sz w:val="22"/>
                <w:szCs w:val="22"/>
                <w:highlight w:val="none"/>
              </w:rPr>
            </w:pPr>
          </w:p>
        </w:tc>
        <w:tc>
          <w:tcPr>
            <w:tcW w:w="1708" w:type="dxa"/>
            <w:noWrap w:val="0"/>
            <w:vAlign w:val="center"/>
          </w:tcPr>
          <w:p>
            <w:pPr>
              <w:spacing w:line="360" w:lineRule="auto"/>
              <w:jc w:val="center"/>
              <w:rPr>
                <w:rFonts w:hint="eastAsia" w:ascii="宋体" w:hAnsi="宋体" w:eastAsia="宋体" w:cs="宋体"/>
                <w:sz w:val="22"/>
                <w:szCs w:val="22"/>
                <w:highlight w:val="none"/>
              </w:rPr>
            </w:pPr>
            <w:r>
              <w:rPr>
                <w:rFonts w:hint="eastAsia" w:ascii="宋体" w:hAnsi="宋体" w:cs="宋体"/>
                <w:sz w:val="22"/>
                <w:szCs w:val="22"/>
                <w:highlight w:val="none"/>
                <w:lang w:eastAsia="zh-CN"/>
              </w:rPr>
              <w:t>商务</w:t>
            </w:r>
            <w:r>
              <w:rPr>
                <w:rFonts w:hint="eastAsia" w:ascii="宋体" w:hAnsi="宋体" w:eastAsia="宋体" w:cs="宋体"/>
                <w:sz w:val="22"/>
                <w:szCs w:val="22"/>
                <w:highlight w:val="none"/>
              </w:rPr>
              <w:t>技术标评审</w:t>
            </w:r>
          </w:p>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90</w:t>
            </w:r>
            <w:r>
              <w:rPr>
                <w:rFonts w:hint="eastAsia" w:ascii="宋体" w:hAnsi="宋体" w:eastAsia="宋体" w:cs="宋体"/>
                <w:sz w:val="22"/>
                <w:szCs w:val="22"/>
                <w:highlight w:val="none"/>
              </w:rPr>
              <w:t>分）</w:t>
            </w:r>
          </w:p>
        </w:tc>
        <w:tc>
          <w:tcPr>
            <w:tcW w:w="5845" w:type="dxa"/>
            <w:noWrap w:val="0"/>
            <w:vAlign w:val="center"/>
          </w:tcPr>
          <w:p>
            <w:pP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详见附表</w:t>
            </w:r>
            <w:r>
              <w:rPr>
                <w:rFonts w:hint="eastAsia" w:ascii="宋体" w:hAnsi="宋体" w:cs="宋体"/>
                <w:sz w:val="22"/>
                <w:szCs w:val="22"/>
                <w:highlight w:val="none"/>
                <w:lang w:eastAsia="zh-CN"/>
              </w:rPr>
              <w:t>二</w:t>
            </w:r>
          </w:p>
        </w:tc>
        <w:tc>
          <w:tcPr>
            <w:tcW w:w="1235" w:type="dxa"/>
            <w:noWrap w:val="0"/>
            <w:vAlign w:val="center"/>
          </w:tcPr>
          <w:p>
            <w:pPr>
              <w:spacing w:line="360" w:lineRule="auto"/>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90</w:t>
            </w:r>
            <w:r>
              <w:rPr>
                <w:rFonts w:hint="eastAsia" w:ascii="宋体" w:hAnsi="宋体" w:eastAsia="宋体" w:cs="宋体"/>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noWrap w:val="0"/>
            <w:vAlign w:val="top"/>
          </w:tcPr>
          <w:p>
            <w:pPr>
              <w:spacing w:line="360"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合计</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100分</w:t>
            </w:r>
            <w:r>
              <w:rPr>
                <w:rFonts w:hint="eastAsia" w:ascii="宋体" w:hAnsi="宋体" w:eastAsia="宋体" w:cs="宋体"/>
                <w:sz w:val="22"/>
                <w:szCs w:val="22"/>
                <w:highlight w:val="none"/>
                <w:lang w:eastAsia="zh-CN"/>
              </w:rPr>
              <w:t>）</w:t>
            </w:r>
          </w:p>
        </w:tc>
        <w:tc>
          <w:tcPr>
            <w:tcW w:w="5845" w:type="dxa"/>
            <w:noWrap w:val="0"/>
            <w:vAlign w:val="center"/>
          </w:tcPr>
          <w:p>
            <w:pPr>
              <w:spacing w:line="360" w:lineRule="auto"/>
              <w:jc w:val="center"/>
              <w:rPr>
                <w:rFonts w:hint="eastAsia" w:ascii="宋体" w:hAnsi="宋体" w:eastAsia="宋体" w:cs="宋体"/>
                <w:sz w:val="22"/>
                <w:szCs w:val="22"/>
                <w:highlight w:val="none"/>
              </w:rPr>
            </w:pPr>
          </w:p>
        </w:tc>
        <w:tc>
          <w:tcPr>
            <w:tcW w:w="1235" w:type="dxa"/>
            <w:noWrap w:val="0"/>
            <w:vAlign w:val="top"/>
          </w:tcPr>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jc w:val="both"/>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注</w:t>
            </w:r>
            <w:r>
              <w:rPr>
                <w:rFonts w:hint="eastAsia" w:ascii="宋体" w:hAnsi="宋体" w:eastAsia="宋体" w:cs="宋体"/>
                <w:sz w:val="22"/>
                <w:szCs w:val="22"/>
                <w:highlight w:val="none"/>
              </w:rPr>
              <w:t>：</w:t>
            </w:r>
            <w:r>
              <w:rPr>
                <w:rFonts w:hint="eastAsia" w:ascii="宋体" w:hAnsi="宋体" w:eastAsia="宋体" w:cs="宋体"/>
                <w:color w:val="000000"/>
                <w:sz w:val="22"/>
                <w:szCs w:val="22"/>
                <w:highlight w:val="none"/>
              </w:rPr>
              <w:t>评分分值计算保留小数点后两位，小数点后第三位“四舍五入”</w:t>
            </w:r>
          </w:p>
        </w:tc>
      </w:tr>
    </w:tbl>
    <w:p>
      <w:pPr>
        <w:pStyle w:val="31"/>
        <w:ind w:left="0" w:leftChars="0" w:firstLine="0" w:firstLineChars="0"/>
        <w:rPr>
          <w:rFonts w:hint="eastAsia" w:ascii="宋体" w:hAnsi="宋体" w:eastAsia="宋体" w:cs="Times New Roman"/>
          <w:kern w:val="2"/>
          <w:sz w:val="28"/>
          <w:szCs w:val="24"/>
          <w:highlight w:val="none"/>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highlight w:val="none"/>
          <w:lang w:eastAsia="zh-CN"/>
        </w:rPr>
      </w:pPr>
      <w:r>
        <w:rPr>
          <w:rFonts w:hint="eastAsia" w:ascii="宋体" w:hAnsi="宋体" w:eastAsia="宋体" w:cs="宋体"/>
          <w:b/>
          <w:bCs/>
          <w:sz w:val="24"/>
          <w:highlight w:val="none"/>
          <w:lang w:eastAsia="zh-CN"/>
        </w:rPr>
        <w:t>政府采购政策功能落实：</w:t>
      </w: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一、关于中小企业、</w:t>
      </w:r>
      <w:r>
        <w:rPr>
          <w:rFonts w:hint="eastAsia" w:ascii="宋体" w:hAnsi="宋体" w:eastAsia="宋体" w:cs="宋体"/>
          <w:sz w:val="24"/>
          <w:szCs w:val="24"/>
          <w:highlight w:val="none"/>
        </w:rPr>
        <w:t>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监狱企业</w:t>
      </w:r>
      <w:r>
        <w:rPr>
          <w:rFonts w:hint="eastAsia" w:ascii="宋体" w:hAnsi="宋体" w:eastAsia="宋体" w:cs="宋体"/>
          <w:sz w:val="24"/>
          <w:szCs w:val="24"/>
          <w:highlight w:val="none"/>
          <w:lang w:eastAsia="zh-CN"/>
        </w:rPr>
        <w:t>扶持政策落实的规定：</w:t>
      </w: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小企业</w:t>
      </w:r>
      <w:r>
        <w:rPr>
          <w:rFonts w:hint="eastAsia" w:ascii="宋体" w:hAnsi="宋体" w:eastAsia="宋体" w:cs="宋体"/>
          <w:sz w:val="24"/>
          <w:szCs w:val="24"/>
          <w:highlight w:val="none"/>
          <w:lang w:val="en-US" w:eastAsia="zh-CN"/>
        </w:rPr>
        <w:t>报价的</w:t>
      </w:r>
      <w:r>
        <w:rPr>
          <w:rFonts w:hint="eastAsia" w:ascii="宋体" w:hAnsi="宋体" w:eastAsia="宋体" w:cs="宋体"/>
          <w:sz w:val="24"/>
          <w:szCs w:val="24"/>
          <w:highlight w:val="none"/>
        </w:rPr>
        <w:t>价格扣除</w:t>
      </w: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小企业</w:t>
      </w:r>
      <w:r>
        <w:rPr>
          <w:rFonts w:hint="eastAsia" w:ascii="宋体" w:hAnsi="宋体" w:eastAsia="宋体" w:cs="宋体"/>
          <w:sz w:val="24"/>
          <w:szCs w:val="24"/>
          <w:highlight w:val="none"/>
          <w:lang w:val="en-US" w:eastAsia="zh-CN"/>
        </w:rPr>
        <w:t>报价的</w:t>
      </w:r>
      <w:r>
        <w:rPr>
          <w:rFonts w:hint="eastAsia" w:ascii="宋体" w:hAnsi="宋体" w:eastAsia="宋体" w:cs="宋体"/>
          <w:sz w:val="24"/>
          <w:szCs w:val="24"/>
          <w:highlight w:val="none"/>
          <w:lang w:eastAsia="zh-CN"/>
        </w:rPr>
        <w:t>价格</w:t>
      </w:r>
      <w:r>
        <w:rPr>
          <w:rFonts w:hint="eastAsia" w:ascii="宋体" w:hAnsi="宋体" w:eastAsia="宋体" w:cs="宋体"/>
          <w:sz w:val="24"/>
          <w:szCs w:val="24"/>
          <w:highlight w:val="none"/>
        </w:rPr>
        <w:t>给予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bCs/>
          <w:sz w:val="24"/>
          <w:szCs w:val="24"/>
          <w:highlight w:val="none"/>
          <w:u w:val="single"/>
          <w:lang w:val="en-US" w:eastAsia="zh-CN"/>
        </w:rPr>
        <w:t>10</w:t>
      </w:r>
      <w:r>
        <w:rPr>
          <w:rFonts w:hint="eastAsia" w:ascii="宋体" w:hAnsi="宋体" w:eastAsia="宋体" w:cs="宋体"/>
          <w:b/>
          <w:bCs/>
          <w:sz w:val="24"/>
          <w:szCs w:val="24"/>
          <w:highlight w:val="none"/>
          <w:u w:val="single"/>
        </w:rPr>
        <w:t>%</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4"/>
          <w:highlight w:val="none"/>
        </w:rPr>
        <w:t>的扣除，用扣除后的价格参与评审。</w:t>
      </w: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（2）供应商需按照</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的要求提供《</w:t>
      </w:r>
      <w:r>
        <w:rPr>
          <w:rFonts w:hint="eastAsia" w:ascii="宋体" w:hAnsi="宋体" w:eastAsia="宋体" w:cs="宋体"/>
          <w:sz w:val="24"/>
          <w:szCs w:val="24"/>
          <w:highlight w:val="none"/>
          <w:lang w:eastAsia="zh-CN"/>
        </w:rPr>
        <w:t>中小</w:t>
      </w:r>
      <w:r>
        <w:rPr>
          <w:rFonts w:hint="eastAsia" w:ascii="宋体" w:hAnsi="宋体" w:eastAsia="宋体" w:cs="宋体"/>
          <w:sz w:val="24"/>
          <w:szCs w:val="24"/>
          <w:highlight w:val="none"/>
        </w:rPr>
        <w:t>企业声明函》</w:t>
      </w:r>
      <w:r>
        <w:rPr>
          <w:rFonts w:hint="eastAsia" w:ascii="宋体" w:hAnsi="宋体" w:eastAsia="宋体" w:cs="宋体"/>
          <w:sz w:val="24"/>
          <w:szCs w:val="24"/>
          <w:highlight w:val="none"/>
          <w:lang w:eastAsia="zh-CN"/>
        </w:rPr>
        <w:t>，详见第六章“响应文件格式”附件八</w:t>
      </w:r>
      <w:r>
        <w:rPr>
          <w:rFonts w:hint="eastAsia" w:ascii="宋体" w:hAnsi="宋体" w:eastAsia="宋体" w:cs="宋体"/>
          <w:sz w:val="24"/>
          <w:szCs w:val="24"/>
          <w:highlight w:val="none"/>
        </w:rPr>
        <w:t>。</w:t>
      </w: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（3）企业标准请参照《关于印发中小企业划型标准规定的通知》（工信部联企业[2011]300号）文件规定自行填写。</w:t>
      </w: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val="en-US" w:eastAsia="zh-CN"/>
        </w:rPr>
        <w:t>报价的</w:t>
      </w:r>
      <w:r>
        <w:rPr>
          <w:rFonts w:hint="eastAsia" w:ascii="宋体" w:hAnsi="宋体" w:eastAsia="宋体" w:cs="宋体"/>
          <w:sz w:val="24"/>
          <w:szCs w:val="24"/>
          <w:highlight w:val="none"/>
        </w:rPr>
        <w:t>价格扣除</w:t>
      </w: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（1）本项目对残疾人福利性单位视同小型、微型企业，给予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bCs/>
          <w:sz w:val="24"/>
          <w:szCs w:val="24"/>
          <w:highlight w:val="none"/>
          <w:u w:val="single"/>
          <w:lang w:val="en-US" w:eastAsia="zh-CN"/>
        </w:rPr>
        <w:t>10</w:t>
      </w:r>
      <w:r>
        <w:rPr>
          <w:rFonts w:hint="eastAsia" w:ascii="宋体" w:hAnsi="宋体" w:eastAsia="宋体" w:cs="宋体"/>
          <w:b/>
          <w:bCs/>
          <w:sz w:val="24"/>
          <w:szCs w:val="24"/>
          <w:highlight w:val="none"/>
          <w:u w:val="single"/>
        </w:rPr>
        <w:t>%</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4"/>
          <w:highlight w:val="none"/>
        </w:rPr>
        <w:t>的价格扣除，用扣除后的价格参与评审。</w:t>
      </w: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单位需按照</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的要求提供《残疾人福利性单位声明函》。</w:t>
      </w: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单位标准请参照《关于促进残疾人就业政府采购政策的通知》（财库〔2017〕141号）。</w:t>
      </w: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3、监狱和戒毒企业</w:t>
      </w:r>
      <w:r>
        <w:rPr>
          <w:rFonts w:hint="eastAsia" w:ascii="宋体" w:hAnsi="宋体" w:eastAsia="宋体" w:cs="宋体"/>
          <w:sz w:val="24"/>
          <w:szCs w:val="24"/>
          <w:highlight w:val="none"/>
          <w:lang w:val="en-US" w:eastAsia="zh-CN"/>
        </w:rPr>
        <w:t>报价的</w:t>
      </w:r>
      <w:r>
        <w:rPr>
          <w:rFonts w:hint="eastAsia" w:ascii="宋体" w:hAnsi="宋体" w:eastAsia="宋体" w:cs="宋体"/>
          <w:sz w:val="24"/>
          <w:szCs w:val="24"/>
          <w:highlight w:val="none"/>
        </w:rPr>
        <w:t>价格扣除</w:t>
      </w: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（1）本项目对监狱和戒毒企业（简称监狱企业）视同小型、微型企业，给予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bCs/>
          <w:sz w:val="24"/>
          <w:szCs w:val="24"/>
          <w:highlight w:val="none"/>
          <w:u w:val="single"/>
          <w:lang w:val="en-US" w:eastAsia="zh-CN"/>
        </w:rPr>
        <w:t>10</w:t>
      </w:r>
      <w:r>
        <w:rPr>
          <w:rFonts w:hint="eastAsia" w:ascii="宋体" w:hAnsi="宋体" w:eastAsia="宋体" w:cs="宋体"/>
          <w:b/>
          <w:bCs/>
          <w:sz w:val="24"/>
          <w:szCs w:val="24"/>
          <w:highlight w:val="none"/>
          <w:u w:val="single"/>
        </w:rPr>
        <w:t>%</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4"/>
          <w:highlight w:val="none"/>
        </w:rPr>
        <w:t>的价格扣除，用扣除后的价格参与评审。</w:t>
      </w: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（3）监狱企业标准请参照《关于政府采购支持监狱企业发展有关问题的通知》（财库[2014]68号）。</w:t>
      </w: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4、残疾人福利单位、监狱企业属于小型、微型企业的，不重复享受政策。</w:t>
      </w: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r>
        <w:rPr>
          <w:rFonts w:hint="eastAsia" w:ascii="宋体" w:hAnsi="宋体" w:eastAsia="宋体" w:cs="宋体"/>
          <w:sz w:val="24"/>
          <w:szCs w:val="24"/>
          <w:highlight w:val="none"/>
          <w:lang w:eastAsia="zh-CN"/>
        </w:rPr>
        <w:t>（注意：组成联合体的中小</w:t>
      </w: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eastAsia="zh-CN"/>
        </w:rPr>
        <w:t>与联合体内其他</w:t>
      </w: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eastAsia="zh-CN"/>
        </w:rPr>
        <w:t>之间不得存在直接控股、管理关系）</w:t>
      </w: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6、联合体各方均为小型、微型企业（残疾人福利单位、监狱企业）的，联合体享受</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bCs/>
          <w:sz w:val="24"/>
          <w:szCs w:val="24"/>
          <w:highlight w:val="none"/>
          <w:u w:val="single"/>
          <w:lang w:val="en-US" w:eastAsia="zh-CN"/>
        </w:rPr>
        <w:t>10</w:t>
      </w:r>
      <w:r>
        <w:rPr>
          <w:rFonts w:hint="eastAsia" w:ascii="宋体" w:hAnsi="宋体" w:eastAsia="宋体" w:cs="宋体"/>
          <w:b/>
          <w:bCs/>
          <w:sz w:val="24"/>
          <w:szCs w:val="24"/>
          <w:highlight w:val="none"/>
          <w:u w:val="single"/>
        </w:rPr>
        <w:t>%</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4"/>
          <w:highlight w:val="none"/>
        </w:rPr>
        <w:t>价格扣除，用扣除后的价格参与评审。</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7、符合中小企业划型标准的个体工商户视同中小企业。</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8、若本项目所有投标人均属中小企业、残疾人福利性单位、监狱企业的，按原报价进行评审。</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二、优先采购（含强制采购）政策落实的规定：</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1、现行的政策文件：</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（1）关于印发《节能产品政府采购实施意见》的通知 财库[2004]185号 </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 xml:space="preserve">（2）《关于环境标志产品政府采购实施的意见》财库[2006]90号 </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（3）关于建立政府强制采购节能产品制度的通知 国办发〔2007〕51号</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（4）关于发布参与实施政府采购节能产品、环境标志产品认证机构名录的公告2019年第16号</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（5）关于调整优化节能产品、环境标志产品政府采购执行机制的通知 财库[2019]9号</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（6）关于印发环境标志产品政府采购品目清单的通知 财库[2019]18号</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（7）关于印发节能产品政府采购品目清单的通知 财库[2019]19号</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提供的货物属于节能产品、环境标志产品品目清单里的产品，提供产品取得国家确定的认证机构出具的、处于有效期之内的节能产品、环境标志产品认证证书（认证证书不能反映具体产品的，需提供认证证书附件），享受给予产品价格 4%  的扣除，用扣除后的价格参与评审。</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一合同包内的节能、环境标志产品部分属于品目清单内的产品，则只对该部分属于品目清单内的非强制类产品进行价格扣除，强制类产品已作为投标时强制性要求不再给予价格扣除。若节能、环境标志品目清单内的产品仅是构成投标产品的部件、组件或零件的，则该投标产品不予价格扣除。</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节能品目清单产品价格扣除后的报价=投标报价×（4%）</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环境标志品目清单产品价格扣除后的报价=投标报价×（4%）</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节能品目清单部分产品价格扣除后的报价=投标报价－部分产品价格×4%</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环境标志品目清单部分产品价格扣除后的报价=投标报价－部分产品价格×4%</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注：供应商须单独提供所投节能、环境标志产品部分属于品目清单内产品的价格，便于价格扣除计算，未能提供导致无法享受价格扣除的，由供应商自行承担后果。</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三、落实政府采购政策过程中特殊情况的处理</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1、供应商所提供产品既属于节能产品，又属于环境标志产品的，将分别给予价格评审优惠，累加计算。</w:t>
      </w:r>
    </w:p>
    <w:p>
      <w:pPr>
        <w:pStyle w:val="8"/>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2、供应商既符合中小企业，又提供优先采购产品，将分别给予评审优惠，累加计算。</w:t>
      </w:r>
    </w:p>
    <w:p>
      <w:pPr>
        <w:rPr>
          <w:rFonts w:hint="eastAsia" w:ascii="宋体" w:hAnsi="宋体" w:eastAsia="宋体" w:cs="宋体"/>
          <w:sz w:val="22"/>
          <w:szCs w:val="22"/>
          <w:highlight w:val="white"/>
          <w:lang w:eastAsia="zh-CN"/>
        </w:rPr>
      </w:pPr>
      <w:r>
        <w:rPr>
          <w:rFonts w:hint="eastAsia" w:ascii="宋体" w:hAnsi="宋体" w:eastAsia="宋体" w:cs="宋体"/>
          <w:sz w:val="22"/>
          <w:szCs w:val="22"/>
          <w:highlight w:val="white"/>
          <w:lang w:eastAsia="zh-CN"/>
        </w:rPr>
        <w:br w:type="page"/>
      </w:r>
    </w:p>
    <w:p>
      <w:pPr>
        <w:pStyle w:val="78"/>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一</w:t>
      </w:r>
      <w:r>
        <w:rPr>
          <w:rFonts w:hint="eastAsia" w:ascii="宋体" w:hAnsi="宋体" w:eastAsia="宋体" w:cs="宋体"/>
          <w:sz w:val="22"/>
          <w:szCs w:val="22"/>
          <w:highlight w:val="white"/>
          <w:lang w:val="en-US" w:eastAsia="zh-CN"/>
        </w:rPr>
        <w:t>：</w:t>
      </w:r>
    </w:p>
    <w:p>
      <w:pPr>
        <w:pStyle w:val="78"/>
        <w:jc w:val="center"/>
        <w:rPr>
          <w:rFonts w:hint="eastAsia" w:ascii="宋体" w:hAnsi="宋体" w:eastAsia="宋体" w:cs="宋体"/>
          <w:sz w:val="28"/>
          <w:szCs w:val="28"/>
          <w:highlight w:val="white"/>
          <w:lang w:val="en-US" w:eastAsia="zh-CN"/>
        </w:rPr>
      </w:pPr>
      <w:r>
        <w:rPr>
          <w:rFonts w:hint="eastAsia" w:ascii="宋体" w:hAnsi="宋体" w:eastAsia="宋体" w:cs="宋体"/>
          <w:b/>
          <w:bCs/>
          <w:sz w:val="28"/>
          <w:szCs w:val="32"/>
          <w:highlight w:val="white"/>
          <w:lang w:eastAsia="zh-CN"/>
        </w:rPr>
        <w:t>初步评审－资格、符合性审查表</w:t>
      </w:r>
    </w:p>
    <w:tbl>
      <w:tblPr>
        <w:tblStyle w:val="3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noWrap w:val="0"/>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w:t>
            </w:r>
            <w:r>
              <w:rPr>
                <w:rFonts w:hint="eastAsia" w:ascii="宋体" w:hAnsi="宋体" w:eastAsia="宋体" w:cs="宋体"/>
                <w:b/>
                <w:sz w:val="21"/>
                <w:szCs w:val="21"/>
                <w:lang w:eastAsia="zh-CN"/>
              </w:rPr>
              <w:t>审</w:t>
            </w:r>
            <w:r>
              <w:rPr>
                <w:rFonts w:hint="eastAsia" w:ascii="宋体" w:hAnsi="宋体" w:eastAsia="宋体" w:cs="宋体"/>
                <w:b/>
                <w:sz w:val="21"/>
                <w:szCs w:val="21"/>
              </w:rPr>
              <w:t>因素</w:t>
            </w:r>
          </w:p>
        </w:tc>
        <w:tc>
          <w:tcPr>
            <w:tcW w:w="3016" w:type="dxa"/>
            <w:noWrap w:val="0"/>
            <w:vAlign w:val="center"/>
          </w:tcPr>
          <w:p>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评</w:t>
            </w:r>
            <w:r>
              <w:rPr>
                <w:rFonts w:hint="eastAsia" w:ascii="宋体" w:hAnsi="宋体" w:eastAsia="宋体" w:cs="宋体"/>
                <w:b/>
                <w:sz w:val="21"/>
                <w:szCs w:val="21"/>
                <w:lang w:eastAsia="zh-CN"/>
              </w:rPr>
              <w:t>审内容</w:t>
            </w:r>
          </w:p>
        </w:tc>
        <w:tc>
          <w:tcPr>
            <w:tcW w:w="4946" w:type="dxa"/>
            <w:noWrap w:val="0"/>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highlight w:val="none"/>
              </w:rPr>
              <w:t>评</w:t>
            </w:r>
            <w:r>
              <w:rPr>
                <w:rFonts w:hint="eastAsia" w:ascii="宋体" w:hAnsi="宋体" w:eastAsia="宋体" w:cs="宋体"/>
                <w:b/>
                <w:sz w:val="21"/>
                <w:szCs w:val="21"/>
                <w:highlight w:val="none"/>
                <w:lang w:eastAsia="zh-CN"/>
              </w:rPr>
              <w:t>审</w:t>
            </w:r>
            <w:r>
              <w:rPr>
                <w:rFonts w:hint="eastAsia" w:ascii="宋体" w:hAnsi="宋体" w:eastAsia="宋体" w:cs="宋体"/>
                <w:b/>
                <w:sz w:val="21"/>
                <w:szCs w:val="21"/>
                <w:highlight w:val="none"/>
              </w:rPr>
              <w:t>标准</w:t>
            </w:r>
          </w:p>
        </w:tc>
        <w:tc>
          <w:tcPr>
            <w:tcW w:w="933" w:type="dxa"/>
            <w:noWrap w:val="0"/>
            <w:vAlign w:val="top"/>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7" w:hRule="atLeast"/>
          <w:jc w:val="center"/>
        </w:trPr>
        <w:tc>
          <w:tcPr>
            <w:tcW w:w="556" w:type="dxa"/>
            <w:vMerge w:val="restart"/>
            <w:noWrap w:val="0"/>
            <w:vAlign w:val="top"/>
          </w:tcPr>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初</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步</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审</w:t>
            </w:r>
          </w:p>
        </w:tc>
        <w:tc>
          <w:tcPr>
            <w:tcW w:w="539" w:type="dxa"/>
            <w:vMerge w:val="restart"/>
            <w:noWrap w:val="0"/>
            <w:vAlign w:val="center"/>
          </w:tcPr>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格</w:t>
            </w:r>
          </w:p>
          <w:p>
            <w:pPr>
              <w:spacing w:line="240" w:lineRule="auto"/>
              <w:ind w:firstLine="105" w:firstLineChars="5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审</w:t>
            </w:r>
          </w:p>
          <w:p>
            <w:pPr>
              <w:spacing w:line="240" w:lineRule="auto"/>
              <w:ind w:firstLine="105" w:firstLineChars="50"/>
              <w:jc w:val="center"/>
              <w:rPr>
                <w:rFonts w:hint="eastAsia" w:ascii="宋体" w:hAnsi="宋体" w:eastAsia="宋体" w:cs="宋体"/>
                <w:b/>
                <w:sz w:val="21"/>
                <w:szCs w:val="21"/>
              </w:rPr>
            </w:pPr>
            <w:r>
              <w:rPr>
                <w:rFonts w:hint="eastAsia" w:ascii="宋体" w:hAnsi="宋体" w:eastAsia="宋体" w:cs="宋体"/>
                <w:sz w:val="21"/>
                <w:szCs w:val="21"/>
              </w:rPr>
              <w:t>查</w:t>
            </w:r>
          </w:p>
        </w:tc>
        <w:tc>
          <w:tcPr>
            <w:tcW w:w="301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具有独立承担民事责任的能力</w:t>
            </w:r>
          </w:p>
        </w:tc>
        <w:tc>
          <w:tcPr>
            <w:tcW w:w="494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提供法人或者其他组织的营业执照等证明文件，自然人的身份证明</w:t>
            </w:r>
            <w:r>
              <w:rPr>
                <w:rFonts w:hint="eastAsia" w:ascii="宋体" w:hAnsi="宋体" w:cs="宋体"/>
                <w:sz w:val="21"/>
                <w:szCs w:val="21"/>
                <w:lang w:val="en-US" w:eastAsia="zh-CN"/>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46"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具有良好的商业信誉和健全的财务会计制度</w:t>
            </w:r>
          </w:p>
        </w:tc>
        <w:tc>
          <w:tcPr>
            <w:tcW w:w="494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w:t>
            </w:r>
            <w:r>
              <w:rPr>
                <w:rFonts w:hint="eastAsia" w:ascii="宋体" w:hAnsi="宋体" w:cs="宋体"/>
                <w:sz w:val="21"/>
                <w:szCs w:val="21"/>
                <w:lang w:val="en-US" w:eastAsia="zh-CN"/>
              </w:rPr>
              <w:t>近三年任意年度</w:t>
            </w:r>
            <w:r>
              <w:rPr>
                <w:rFonts w:hint="eastAsia" w:ascii="宋体" w:hAnsi="宋体" w:eastAsia="宋体" w:cs="宋体"/>
                <w:sz w:val="21"/>
                <w:szCs w:val="21"/>
                <w:lang w:val="en-US" w:eastAsia="zh-CN"/>
              </w:rPr>
              <w:t>经审计财务报告</w:t>
            </w:r>
            <w:r>
              <w:rPr>
                <w:rFonts w:hint="eastAsia" w:ascii="宋体" w:hAnsi="宋体" w:cs="宋体"/>
                <w:sz w:val="21"/>
                <w:szCs w:val="21"/>
                <w:lang w:val="en-US" w:eastAsia="zh-CN"/>
              </w:rPr>
              <w:t>或财务报表</w:t>
            </w:r>
            <w:r>
              <w:rPr>
                <w:rFonts w:hint="eastAsia" w:ascii="宋体" w:hAnsi="宋体" w:eastAsia="宋体" w:cs="宋体"/>
                <w:sz w:val="21"/>
                <w:szCs w:val="21"/>
                <w:lang w:val="en-US" w:eastAsia="zh-CN"/>
              </w:rPr>
              <w:t>或银行出具的资信证明。（成立时间不足的按企业实际情况提供）；</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1"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具有履行合同所必需的设备和专业技术能力</w:t>
            </w:r>
          </w:p>
        </w:tc>
        <w:tc>
          <w:tcPr>
            <w:tcW w:w="494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提供书面声明；</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9"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有依法缴纳税收和社会保障资金的良好记录</w:t>
            </w:r>
          </w:p>
        </w:tc>
        <w:tc>
          <w:tcPr>
            <w:tcW w:w="494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提供近半年任意时段的缴纳税收的凭证以及缴纳社会保险的凭证（专用收据或社会保险缴纳清单）；依法免税或不需要缴纳社会保障资金的，提供相应文件证明原件；</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参加政府采购活动前三年内，在经营活动中没有重大违法记录</w:t>
            </w:r>
          </w:p>
        </w:tc>
        <w:tc>
          <w:tcPr>
            <w:tcW w:w="494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提供书面声明；</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vMerge w:val="restart"/>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其他要求</w:t>
            </w:r>
          </w:p>
        </w:tc>
        <w:tc>
          <w:tcPr>
            <w:tcW w:w="494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提供土地规划乙级及以上资质和自然资源调查资质复印件并加盖公章；</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8"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p>
        </w:tc>
        <w:tc>
          <w:tcPr>
            <w:tcW w:w="494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提供信用中国及中国政府采购网查询记录并加盖公章；</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p>
            <w:pPr>
              <w:pStyle w:val="31"/>
              <w:spacing w:line="240" w:lineRule="auto"/>
              <w:rPr>
                <w:rFonts w:hint="eastAsia" w:ascii="宋体" w:hAnsi="宋体" w:eastAsia="宋体" w:cs="宋体"/>
                <w:sz w:val="21"/>
                <w:szCs w:val="21"/>
              </w:rPr>
            </w:pPr>
          </w:p>
        </w:tc>
        <w:tc>
          <w:tcPr>
            <w:tcW w:w="539" w:type="dxa"/>
            <w:vMerge w:val="restart"/>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w:t>
            </w:r>
          </w:p>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w:t>
            </w:r>
          </w:p>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w:t>
            </w:r>
          </w:p>
          <w:p>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审</w:t>
            </w:r>
          </w:p>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w:t>
            </w:r>
          </w:p>
        </w:tc>
        <w:tc>
          <w:tcPr>
            <w:tcW w:w="7962"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供应商名称与购买文件时一致且有有效变更证明的；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color w:val="auto"/>
                <w:sz w:val="21"/>
                <w:szCs w:val="21"/>
              </w:rPr>
            </w:pPr>
          </w:p>
        </w:tc>
        <w:tc>
          <w:tcPr>
            <w:tcW w:w="7962"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按照</w:t>
            </w: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文件规定要求签署、盖章的；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color w:val="auto"/>
                <w:sz w:val="21"/>
                <w:szCs w:val="21"/>
              </w:rPr>
            </w:pPr>
          </w:p>
        </w:tc>
        <w:tc>
          <w:tcPr>
            <w:tcW w:w="7962"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供应商报价低于磋商文件规定的预算金额（最高限价）；</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color w:val="auto"/>
                <w:sz w:val="21"/>
                <w:szCs w:val="21"/>
              </w:rPr>
            </w:pPr>
          </w:p>
        </w:tc>
        <w:tc>
          <w:tcPr>
            <w:tcW w:w="7962"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投标有效期</w:t>
            </w:r>
            <w:r>
              <w:rPr>
                <w:rFonts w:hint="eastAsia" w:ascii="宋体" w:hAnsi="宋体" w:eastAsia="宋体" w:cs="宋体"/>
                <w:color w:val="auto"/>
                <w:sz w:val="21"/>
                <w:szCs w:val="21"/>
              </w:rPr>
              <w:t>符合</w:t>
            </w: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文件中规定</w:t>
            </w:r>
            <w:r>
              <w:rPr>
                <w:rFonts w:hint="eastAsia" w:ascii="宋体" w:hAnsi="宋体" w:eastAsia="宋体" w:cs="宋体"/>
                <w:color w:val="auto"/>
                <w:sz w:val="21"/>
                <w:szCs w:val="21"/>
                <w:lang w:eastAsia="zh-CN"/>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color w:val="auto"/>
                <w:sz w:val="21"/>
                <w:szCs w:val="21"/>
              </w:rPr>
            </w:pPr>
          </w:p>
        </w:tc>
        <w:tc>
          <w:tcPr>
            <w:tcW w:w="7962"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文件中规定的实质性要求和条件</w:t>
            </w:r>
            <w:r>
              <w:rPr>
                <w:rFonts w:hint="eastAsia" w:ascii="宋体" w:hAnsi="宋体" w:eastAsia="宋体" w:cs="宋体"/>
                <w:color w:val="auto"/>
                <w:sz w:val="21"/>
                <w:szCs w:val="21"/>
                <w:lang w:eastAsia="zh-CN"/>
              </w:rPr>
              <w:t>（磋商文件中标注“★”符号的所有条款）</w:t>
            </w:r>
            <w:r>
              <w:rPr>
                <w:rFonts w:hint="eastAsia" w:ascii="宋体" w:hAnsi="宋体" w:eastAsia="宋体" w:cs="宋体"/>
                <w:color w:val="auto"/>
                <w:sz w:val="21"/>
                <w:szCs w:val="21"/>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color w:val="auto"/>
                <w:sz w:val="21"/>
                <w:szCs w:val="21"/>
              </w:rPr>
            </w:pPr>
          </w:p>
        </w:tc>
        <w:tc>
          <w:tcPr>
            <w:tcW w:w="7962"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文件中</w:t>
            </w:r>
            <w:r>
              <w:rPr>
                <w:rFonts w:hint="eastAsia" w:ascii="宋体" w:hAnsi="宋体" w:eastAsia="宋体" w:cs="宋体"/>
                <w:color w:val="auto"/>
                <w:sz w:val="21"/>
                <w:szCs w:val="21"/>
                <w:lang w:eastAsia="zh-CN"/>
              </w:rPr>
              <w:t>没</w:t>
            </w:r>
            <w:r>
              <w:rPr>
                <w:rFonts w:hint="eastAsia" w:ascii="宋体" w:hAnsi="宋体" w:eastAsia="宋体" w:cs="宋体"/>
                <w:color w:val="auto"/>
                <w:sz w:val="21"/>
                <w:szCs w:val="21"/>
              </w:rPr>
              <w:t>有采购人不能接受的附加条件的；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不存在不符合</w:t>
            </w:r>
            <w:r>
              <w:rPr>
                <w:rFonts w:hint="eastAsia" w:ascii="宋体" w:hAnsi="宋体" w:eastAsia="宋体" w:cs="宋体"/>
                <w:sz w:val="21"/>
                <w:szCs w:val="21"/>
              </w:rPr>
              <w:t>法律、法规及本</w:t>
            </w:r>
            <w:r>
              <w:rPr>
                <w:rFonts w:hint="eastAsia" w:ascii="宋体" w:hAnsi="宋体" w:eastAsia="宋体" w:cs="宋体"/>
                <w:sz w:val="21"/>
                <w:szCs w:val="21"/>
                <w:lang w:eastAsia="zh-CN"/>
              </w:rPr>
              <w:t>磋商</w:t>
            </w:r>
            <w:r>
              <w:rPr>
                <w:rFonts w:hint="eastAsia" w:ascii="宋体" w:hAnsi="宋体" w:eastAsia="宋体" w:cs="宋体"/>
                <w:sz w:val="21"/>
                <w:szCs w:val="21"/>
              </w:rPr>
              <w:t>文件规定的其他情形</w:t>
            </w:r>
            <w:r>
              <w:rPr>
                <w:rFonts w:hint="eastAsia" w:ascii="宋体" w:hAnsi="宋体" w:eastAsia="宋体" w:cs="宋体"/>
                <w:sz w:val="21"/>
                <w:szCs w:val="21"/>
                <w:lang w:eastAsia="zh-CN"/>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noWrap w:val="0"/>
            <w:vAlign w:val="center"/>
          </w:tcPr>
          <w:p>
            <w:pPr>
              <w:spacing w:line="240" w:lineRule="auto"/>
              <w:jc w:val="both"/>
              <w:rPr>
                <w:rFonts w:hint="eastAsia" w:ascii="宋体" w:hAnsi="宋体" w:eastAsia="宋体" w:cs="宋体"/>
                <w:b/>
                <w:sz w:val="21"/>
                <w:szCs w:val="21"/>
              </w:rPr>
            </w:pPr>
            <w:r>
              <w:rPr>
                <w:rFonts w:hint="eastAsia" w:ascii="宋体" w:hAnsi="宋体" w:eastAsia="宋体" w:cs="宋体"/>
                <w:b/>
                <w:sz w:val="21"/>
                <w:szCs w:val="21"/>
              </w:rPr>
              <w:t>注：以上检查内容必须全部</w:t>
            </w:r>
            <w:r>
              <w:rPr>
                <w:rFonts w:hint="eastAsia" w:ascii="宋体" w:hAnsi="宋体" w:eastAsia="宋体" w:cs="宋体"/>
                <w:b/>
                <w:sz w:val="21"/>
                <w:szCs w:val="21"/>
                <w:lang w:eastAsia="zh-CN"/>
              </w:rPr>
              <w:t>满足</w:t>
            </w:r>
            <w:r>
              <w:rPr>
                <w:rFonts w:hint="eastAsia" w:ascii="宋体" w:hAnsi="宋体" w:eastAsia="宋体" w:cs="宋体"/>
                <w:b/>
                <w:sz w:val="21"/>
                <w:szCs w:val="21"/>
              </w:rPr>
              <w:t>检查标准，否则</w:t>
            </w:r>
            <w:r>
              <w:rPr>
                <w:rFonts w:hint="eastAsia" w:ascii="宋体" w:hAnsi="宋体" w:eastAsia="宋体" w:cs="宋体"/>
                <w:b/>
                <w:sz w:val="21"/>
                <w:szCs w:val="21"/>
                <w:lang w:eastAsia="zh-CN"/>
              </w:rPr>
              <w:t>视</w:t>
            </w:r>
            <w:r>
              <w:rPr>
                <w:rFonts w:hint="eastAsia" w:ascii="宋体" w:hAnsi="宋体" w:eastAsia="宋体" w:cs="宋体"/>
                <w:b/>
                <w:sz w:val="21"/>
                <w:szCs w:val="21"/>
              </w:rPr>
              <w:t>为无效</w:t>
            </w:r>
            <w:r>
              <w:rPr>
                <w:rFonts w:hint="eastAsia" w:ascii="宋体" w:hAnsi="宋体" w:eastAsia="宋体" w:cs="宋体"/>
                <w:b/>
                <w:sz w:val="21"/>
                <w:szCs w:val="21"/>
                <w:lang w:eastAsia="zh-CN"/>
              </w:rPr>
              <w:t>投</w:t>
            </w:r>
            <w:r>
              <w:rPr>
                <w:rFonts w:hint="eastAsia" w:ascii="宋体" w:hAnsi="宋体" w:eastAsia="宋体" w:cs="宋体"/>
                <w:b/>
                <w:sz w:val="21"/>
                <w:szCs w:val="21"/>
              </w:rPr>
              <w:t>标。</w:t>
            </w:r>
          </w:p>
        </w:tc>
      </w:tr>
    </w:tbl>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p>
    <w:p>
      <w:pPr>
        <w:pStyle w:val="31"/>
        <w:rPr>
          <w:rFonts w:hint="eastAsia"/>
          <w:lang w:val="en-US" w:eastAsia="zh-CN"/>
        </w:rPr>
      </w:pPr>
    </w:p>
    <w:p>
      <w:pPr>
        <w:pStyle w:val="31"/>
        <w:ind w:left="0" w:leftChars="0" w:firstLine="0" w:firstLineChars="0"/>
        <w:rPr>
          <w:rFonts w:hint="eastAsia"/>
          <w:lang w:val="en-US" w:eastAsia="zh-CN"/>
        </w:rPr>
      </w:pPr>
    </w:p>
    <w:p>
      <w:pPr>
        <w:pStyle w:val="31"/>
        <w:ind w:left="0" w:leftChars="0" w:firstLine="0" w:firstLineChars="0"/>
        <w:rPr>
          <w:rFonts w:hint="eastAsia"/>
          <w:lang w:val="en-US" w:eastAsia="zh-CN"/>
        </w:rPr>
      </w:pPr>
    </w:p>
    <w:p>
      <w:pPr>
        <w:rPr>
          <w:rFonts w:hint="eastAsia" w:ascii="宋体" w:hAnsi="宋体" w:eastAsia="宋体" w:cs="宋体"/>
          <w:sz w:val="22"/>
          <w:szCs w:val="22"/>
          <w:highlight w:val="white"/>
          <w:lang w:eastAsia="zh-CN"/>
        </w:rPr>
      </w:pPr>
      <w:r>
        <w:rPr>
          <w:rFonts w:hint="eastAsia" w:ascii="宋体" w:hAnsi="宋体" w:eastAsia="宋体" w:cs="宋体"/>
          <w:sz w:val="22"/>
          <w:szCs w:val="22"/>
          <w:highlight w:val="white"/>
          <w:lang w:eastAsia="zh-CN"/>
        </w:rPr>
        <w:br w:type="page"/>
      </w:r>
    </w:p>
    <w:p>
      <w:pPr>
        <w:pStyle w:val="78"/>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二</w:t>
      </w:r>
      <w:r>
        <w:rPr>
          <w:rFonts w:hint="eastAsia" w:ascii="宋体" w:hAnsi="宋体" w:eastAsia="宋体" w:cs="宋体"/>
          <w:sz w:val="22"/>
          <w:szCs w:val="22"/>
          <w:highlight w:val="white"/>
          <w:lang w:val="en-US" w:eastAsia="zh-CN"/>
        </w:rPr>
        <w:t>：</w:t>
      </w:r>
    </w:p>
    <w:p>
      <w:pPr>
        <w:pStyle w:val="78"/>
        <w:jc w:val="center"/>
        <w:rPr>
          <w:rFonts w:hint="eastAsia" w:ascii="宋体" w:hAnsi="宋体" w:eastAsia="宋体" w:cs="宋体"/>
          <w:sz w:val="22"/>
          <w:szCs w:val="22"/>
          <w:highlight w:val="white"/>
          <w:lang w:val="en-US" w:eastAsia="zh-CN"/>
        </w:rPr>
      </w:pPr>
      <w:r>
        <w:rPr>
          <w:rFonts w:hint="eastAsia" w:ascii="宋体" w:hAnsi="宋体" w:cs="宋体"/>
          <w:b/>
          <w:bCs/>
          <w:sz w:val="28"/>
          <w:szCs w:val="32"/>
          <w:highlight w:val="white"/>
          <w:lang w:eastAsia="zh-CN"/>
        </w:rPr>
        <w:t>商务技术标详细评审</w:t>
      </w:r>
      <w:r>
        <w:rPr>
          <w:rFonts w:hint="eastAsia" w:ascii="宋体" w:hAnsi="宋体" w:eastAsia="宋体" w:cs="宋体"/>
          <w:b/>
          <w:bCs/>
          <w:sz w:val="28"/>
          <w:szCs w:val="32"/>
          <w:highlight w:val="white"/>
          <w:lang w:eastAsia="zh-CN"/>
        </w:rPr>
        <w:t>表</w:t>
      </w:r>
    </w:p>
    <w:tbl>
      <w:tblPr>
        <w:tblStyle w:val="32"/>
        <w:tblW w:w="97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1"/>
        <w:gridCol w:w="1150"/>
        <w:gridCol w:w="775"/>
        <w:gridCol w:w="71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661" w:type="dxa"/>
            <w:noWrap w:val="0"/>
            <w:vAlign w:val="center"/>
          </w:tcPr>
          <w:p>
            <w:pPr>
              <w:pStyle w:val="79"/>
              <w:spacing w:before="0" w:after="0" w:line="240" w:lineRule="auto"/>
              <w:ind w:firstLine="0"/>
              <w:jc w:val="center"/>
              <w:rPr>
                <w:rFonts w:hint="eastAsia" w:ascii="宋体" w:hAnsi="宋体" w:eastAsia="宋体" w:cs="宋体"/>
                <w:b/>
                <w:color w:val="auto"/>
                <w:sz w:val="21"/>
                <w:szCs w:val="21"/>
                <w:highlight w:val="none"/>
              </w:rPr>
            </w:pPr>
            <w:bookmarkStart w:id="127" w:name="_Toc14001"/>
            <w:bookmarkStart w:id="128" w:name="_Toc25362"/>
            <w:r>
              <w:rPr>
                <w:rFonts w:hint="eastAsia" w:ascii="宋体" w:hAnsi="宋体" w:eastAsia="宋体" w:cs="宋体"/>
                <w:b/>
                <w:color w:val="auto"/>
                <w:sz w:val="21"/>
                <w:szCs w:val="21"/>
                <w:highlight w:val="none"/>
              </w:rPr>
              <w:t>序号</w:t>
            </w:r>
          </w:p>
        </w:tc>
        <w:tc>
          <w:tcPr>
            <w:tcW w:w="1150" w:type="dxa"/>
            <w:noWrap w:val="0"/>
            <w:vAlign w:val="center"/>
          </w:tcPr>
          <w:p>
            <w:pPr>
              <w:pStyle w:val="79"/>
              <w:spacing w:before="0" w:after="0" w:line="240"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评审</w:t>
            </w:r>
            <w:r>
              <w:rPr>
                <w:rFonts w:hint="eastAsia" w:ascii="宋体" w:hAnsi="宋体" w:eastAsia="宋体" w:cs="宋体"/>
                <w:b/>
                <w:color w:val="auto"/>
                <w:sz w:val="21"/>
                <w:szCs w:val="21"/>
                <w:highlight w:val="none"/>
              </w:rPr>
              <w:t>项目</w:t>
            </w:r>
          </w:p>
        </w:tc>
        <w:tc>
          <w:tcPr>
            <w:tcW w:w="775" w:type="dxa"/>
            <w:noWrap w:val="0"/>
            <w:vAlign w:val="center"/>
          </w:tcPr>
          <w:p>
            <w:pPr>
              <w:pStyle w:val="79"/>
              <w:spacing w:before="0" w:after="0" w:line="240" w:lineRule="auto"/>
              <w:ind w:firstLine="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值</w:t>
            </w:r>
          </w:p>
        </w:tc>
        <w:tc>
          <w:tcPr>
            <w:tcW w:w="7140" w:type="dxa"/>
            <w:noWrap w:val="0"/>
            <w:vAlign w:val="center"/>
          </w:tcPr>
          <w:p>
            <w:pPr>
              <w:pStyle w:val="79"/>
              <w:spacing w:before="0" w:after="0" w:line="240" w:lineRule="auto"/>
              <w:ind w:firstLine="2176" w:firstLineChars="103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3" w:hRule="atLeast"/>
          <w:jc w:val="center"/>
        </w:trPr>
        <w:tc>
          <w:tcPr>
            <w:tcW w:w="661" w:type="dxa"/>
            <w:tcBorders>
              <w:top w:val="single" w:color="auto" w:sz="4" w:space="0"/>
              <w:bottom w:val="single" w:color="auto"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150" w:type="dxa"/>
            <w:tcBorders>
              <w:top w:val="single" w:color="auto" w:sz="4" w:space="0"/>
              <w:bottom w:val="single" w:color="auto"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企业业绩</w:t>
            </w:r>
          </w:p>
        </w:tc>
        <w:tc>
          <w:tcPr>
            <w:tcW w:w="775" w:type="dxa"/>
            <w:tcBorders>
              <w:top w:val="single" w:color="auto" w:sz="4" w:space="0"/>
              <w:bottom w:val="single" w:color="auto"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0～4</w:t>
            </w:r>
          </w:p>
        </w:tc>
        <w:tc>
          <w:tcPr>
            <w:tcW w:w="7140" w:type="dxa"/>
            <w:tcBorders>
              <w:top w:val="single" w:color="auto" w:sz="4" w:space="0"/>
              <w:bottom w:val="single" w:color="auto" w:sz="4" w:space="0"/>
            </w:tcBorders>
            <w:noWrap w:val="0"/>
            <w:vAlign w:val="center"/>
          </w:tcPr>
          <w:p>
            <w:pPr>
              <w:spacing w:line="3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供应商近三年</w:t>
            </w:r>
            <w:r>
              <w:rPr>
                <w:rFonts w:hint="eastAsia" w:ascii="宋体" w:hAnsi="宋体" w:cs="宋体"/>
                <w:color w:val="auto"/>
                <w:kern w:val="2"/>
                <w:sz w:val="21"/>
                <w:szCs w:val="21"/>
                <w:lang w:val="en-US" w:eastAsia="zh-CN" w:bidi="ar-SA"/>
              </w:rPr>
              <w:t>来</w:t>
            </w:r>
            <w:r>
              <w:rPr>
                <w:rFonts w:hint="eastAsia" w:ascii="宋体" w:hAnsi="宋体" w:eastAsia="宋体" w:cs="宋体"/>
                <w:color w:val="auto"/>
                <w:kern w:val="2"/>
                <w:sz w:val="21"/>
                <w:szCs w:val="21"/>
                <w:lang w:val="en-US" w:eastAsia="zh-CN" w:bidi="ar-SA"/>
              </w:rPr>
              <w:t>具有</w:t>
            </w:r>
            <w:r>
              <w:rPr>
                <w:rFonts w:hint="eastAsia" w:ascii="宋体" w:hAnsi="宋体" w:cs="宋体"/>
                <w:color w:val="auto"/>
                <w:kern w:val="2"/>
                <w:sz w:val="21"/>
                <w:szCs w:val="21"/>
                <w:lang w:val="en-US" w:eastAsia="zh-CN" w:bidi="ar-SA"/>
              </w:rPr>
              <w:t>与</w:t>
            </w:r>
            <w:r>
              <w:rPr>
                <w:rFonts w:hint="eastAsia" w:ascii="宋体" w:hAnsi="宋体" w:eastAsia="宋体" w:cs="宋体"/>
                <w:color w:val="auto"/>
                <w:kern w:val="2"/>
                <w:sz w:val="21"/>
                <w:szCs w:val="21"/>
                <w:lang w:val="en-US" w:eastAsia="zh-CN" w:bidi="ar-SA"/>
              </w:rPr>
              <w:t>土地规划相关</w:t>
            </w:r>
            <w:r>
              <w:rPr>
                <w:rFonts w:hint="eastAsia" w:ascii="宋体" w:hAnsi="宋体" w:cs="宋体"/>
                <w:color w:val="auto"/>
                <w:kern w:val="2"/>
                <w:sz w:val="21"/>
                <w:szCs w:val="21"/>
                <w:lang w:val="en-US" w:eastAsia="zh-CN" w:bidi="ar-SA"/>
              </w:rPr>
              <w:t>的</w:t>
            </w:r>
            <w:r>
              <w:rPr>
                <w:rFonts w:hint="eastAsia" w:ascii="宋体" w:hAnsi="宋体" w:eastAsia="宋体" w:cs="宋体"/>
                <w:color w:val="auto"/>
                <w:kern w:val="2"/>
                <w:sz w:val="21"/>
                <w:szCs w:val="21"/>
                <w:lang w:val="en-US" w:eastAsia="zh-CN" w:bidi="ar-SA"/>
              </w:rPr>
              <w:t>业绩，每一项类似业绩得1分，最高得</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分。（提供中标通知书和合同并加盖公章，未提供或提供不全不得分）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32" w:hRule="atLeast"/>
          <w:jc w:val="center"/>
        </w:trPr>
        <w:tc>
          <w:tcPr>
            <w:tcW w:w="661" w:type="dxa"/>
            <w:tcBorders>
              <w:top w:val="single" w:color="auto"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1150" w:type="dxa"/>
            <w:tcBorders>
              <w:top w:val="single" w:color="auto"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拟选派本项目人员情况</w:t>
            </w:r>
          </w:p>
        </w:tc>
        <w:tc>
          <w:tcPr>
            <w:tcW w:w="775" w:type="dxa"/>
            <w:tcBorders>
              <w:top w:val="single" w:color="auto" w:sz="4" w:space="0"/>
              <w:bottom w:val="single" w:color="auto" w:sz="4" w:space="0"/>
            </w:tcBorders>
            <w:noWrap w:val="0"/>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0～20</w:t>
            </w:r>
          </w:p>
        </w:tc>
        <w:tc>
          <w:tcPr>
            <w:tcW w:w="7140" w:type="dxa"/>
            <w:tcBorders>
              <w:top w:val="single" w:color="auto" w:sz="4" w:space="0"/>
              <w:bottom w:val="single" w:color="auto" w:sz="4" w:space="0"/>
            </w:tcBorders>
            <w:noWrap w:val="0"/>
            <w:vAlign w:val="center"/>
          </w:tcPr>
          <w:p>
            <w:pPr>
              <w:spacing w:line="3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拟投入项目组专业技术人员结构合理，项目组人员具有相关专业职称，</w:t>
            </w:r>
            <w:r>
              <w:rPr>
                <w:rFonts w:hint="eastAsia" w:ascii="宋体" w:hAnsi="宋体" w:cs="宋体"/>
                <w:color w:val="auto"/>
                <w:kern w:val="2"/>
                <w:sz w:val="21"/>
                <w:szCs w:val="21"/>
                <w:lang w:val="en-US" w:eastAsia="zh-CN" w:bidi="ar-SA"/>
              </w:rPr>
              <w:t>高</w:t>
            </w:r>
            <w:r>
              <w:rPr>
                <w:rFonts w:hint="eastAsia" w:ascii="宋体" w:hAnsi="宋体" w:eastAsia="宋体" w:cs="宋体"/>
                <w:color w:val="auto"/>
                <w:kern w:val="2"/>
                <w:sz w:val="21"/>
                <w:szCs w:val="21"/>
                <w:lang w:val="en-US" w:eastAsia="zh-CN" w:bidi="ar-SA"/>
              </w:rPr>
              <w:t>级职称每有1人得</w:t>
            </w: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w:t>
            </w:r>
            <w:r>
              <w:rPr>
                <w:rFonts w:hint="eastAsia" w:ascii="宋体" w:hAnsi="宋体" w:cs="宋体"/>
                <w:color w:val="auto"/>
                <w:kern w:val="2"/>
                <w:sz w:val="21"/>
                <w:szCs w:val="21"/>
                <w:lang w:val="en-US" w:eastAsia="zh-CN" w:bidi="ar-SA"/>
              </w:rPr>
              <w:t>中</w:t>
            </w:r>
            <w:r>
              <w:rPr>
                <w:rFonts w:hint="eastAsia" w:ascii="宋体" w:hAnsi="宋体" w:eastAsia="宋体" w:cs="宋体"/>
                <w:color w:val="auto"/>
                <w:kern w:val="2"/>
                <w:sz w:val="21"/>
                <w:szCs w:val="21"/>
                <w:lang w:val="en-US" w:eastAsia="zh-CN" w:bidi="ar-SA"/>
              </w:rPr>
              <w:t>级职称每有1人得</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分。（需提供职称证明材料）最高得</w:t>
            </w:r>
            <w:r>
              <w:rPr>
                <w:rFonts w:hint="eastAsia" w:ascii="宋体" w:hAnsi="宋体" w:cs="宋体"/>
                <w:color w:val="auto"/>
                <w:kern w:val="2"/>
                <w:sz w:val="21"/>
                <w:szCs w:val="21"/>
                <w:lang w:val="en-US" w:eastAsia="zh-CN" w:bidi="ar-SA"/>
              </w:rPr>
              <w:t>20</w:t>
            </w:r>
            <w:r>
              <w:rPr>
                <w:rFonts w:hint="eastAsia" w:ascii="宋体" w:hAnsi="宋体" w:eastAsia="宋体" w:cs="宋体"/>
                <w:color w:val="auto"/>
                <w:kern w:val="2"/>
                <w:sz w:val="21"/>
                <w:szCs w:val="21"/>
                <w:lang w:val="en-US" w:eastAsia="zh-CN" w:bidi="ar-SA"/>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56" w:hRule="atLeast"/>
          <w:jc w:val="center"/>
        </w:trPr>
        <w:tc>
          <w:tcPr>
            <w:tcW w:w="661" w:type="dxa"/>
            <w:tcBorders>
              <w:top w:val="single" w:color="auto"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1150" w:type="dxa"/>
            <w:tcBorders>
              <w:top w:val="single" w:color="auto"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投入设备</w:t>
            </w:r>
          </w:p>
        </w:tc>
        <w:tc>
          <w:tcPr>
            <w:tcW w:w="775" w:type="dxa"/>
            <w:tcBorders>
              <w:top w:val="single" w:color="auto" w:sz="4" w:space="0"/>
              <w:bottom w:val="single" w:color="auto" w:sz="4" w:space="0"/>
            </w:tcBorders>
            <w:noWrap w:val="0"/>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0～10</w:t>
            </w:r>
          </w:p>
        </w:tc>
        <w:tc>
          <w:tcPr>
            <w:tcW w:w="7140" w:type="dxa"/>
            <w:tcBorders>
              <w:top w:val="single" w:color="auto" w:sz="4" w:space="0"/>
              <w:bottom w:val="single" w:color="auto" w:sz="4" w:space="0"/>
            </w:tcBorders>
            <w:noWrap w:val="0"/>
            <w:vAlign w:val="center"/>
          </w:tcPr>
          <w:p>
            <w:pPr>
              <w:spacing w:line="3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拟投入用于业务的</w:t>
            </w:r>
            <w:r>
              <w:rPr>
                <w:rFonts w:hint="eastAsia" w:ascii="宋体" w:hAnsi="宋体" w:cs="宋体"/>
                <w:color w:val="auto"/>
                <w:kern w:val="2"/>
                <w:sz w:val="21"/>
                <w:szCs w:val="21"/>
                <w:lang w:val="en-US" w:eastAsia="zh-CN" w:bidi="ar-SA"/>
              </w:rPr>
              <w:t>设备器材</w:t>
            </w:r>
            <w:r>
              <w:rPr>
                <w:rFonts w:hint="eastAsia" w:ascii="宋体" w:hAnsi="宋体" w:eastAsia="宋体" w:cs="宋体"/>
                <w:color w:val="auto"/>
                <w:kern w:val="2"/>
                <w:sz w:val="21"/>
                <w:szCs w:val="21"/>
                <w:lang w:val="en-US" w:eastAsia="zh-CN" w:bidi="ar-SA"/>
              </w:rPr>
              <w:t>，每提供一</w:t>
            </w:r>
            <w:r>
              <w:rPr>
                <w:rFonts w:hint="eastAsia" w:ascii="宋体" w:hAnsi="宋体" w:cs="宋体"/>
                <w:color w:val="auto"/>
                <w:kern w:val="2"/>
                <w:sz w:val="21"/>
                <w:szCs w:val="21"/>
                <w:lang w:val="en-US" w:eastAsia="zh-CN" w:bidi="ar-SA"/>
              </w:rPr>
              <w:t>项</w:t>
            </w:r>
            <w:r>
              <w:rPr>
                <w:rFonts w:hint="eastAsia" w:ascii="宋体" w:hAnsi="宋体" w:eastAsia="宋体" w:cs="宋体"/>
                <w:color w:val="auto"/>
                <w:kern w:val="2"/>
                <w:sz w:val="21"/>
                <w:szCs w:val="21"/>
                <w:lang w:val="en-US" w:eastAsia="zh-CN" w:bidi="ar-SA"/>
              </w:rPr>
              <w:t>得2分，本项最多得</w:t>
            </w:r>
            <w:r>
              <w:rPr>
                <w:rFonts w:hint="eastAsia" w:ascii="宋体" w:hAnsi="宋体" w:cs="宋体"/>
                <w:color w:val="auto"/>
                <w:kern w:val="2"/>
                <w:sz w:val="21"/>
                <w:szCs w:val="21"/>
                <w:lang w:val="en-US" w:eastAsia="zh-CN" w:bidi="ar-SA"/>
              </w:rPr>
              <w:t>10</w:t>
            </w:r>
            <w:r>
              <w:rPr>
                <w:rFonts w:hint="eastAsia" w:ascii="宋体" w:hAnsi="宋体" w:eastAsia="宋体" w:cs="宋体"/>
                <w:color w:val="auto"/>
                <w:kern w:val="2"/>
                <w:sz w:val="21"/>
                <w:szCs w:val="21"/>
                <w:lang w:val="en-US" w:eastAsia="zh-CN" w:bidi="ar-SA"/>
              </w:rPr>
              <w:t xml:space="preserve">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45" w:hRule="atLeast"/>
          <w:jc w:val="center"/>
        </w:trPr>
        <w:tc>
          <w:tcPr>
            <w:tcW w:w="661" w:type="dxa"/>
            <w:tcBorders>
              <w:top w:val="single" w:color="auto" w:sz="4" w:space="0"/>
              <w:bottom w:val="single" w:color="auto"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1150" w:type="dxa"/>
            <w:tcBorders>
              <w:top w:val="single" w:color="auto" w:sz="4" w:space="0"/>
              <w:bottom w:val="single" w:color="auto"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服务质量保障措施</w:t>
            </w:r>
          </w:p>
        </w:tc>
        <w:tc>
          <w:tcPr>
            <w:tcW w:w="775" w:type="dxa"/>
            <w:tcBorders>
              <w:top w:val="single" w:color="auto" w:sz="4" w:space="0"/>
              <w:bottom w:val="single" w:color="auto" w:sz="4" w:space="0"/>
            </w:tcBorders>
            <w:noWrap w:val="0"/>
            <w:vAlign w:val="center"/>
          </w:tcPr>
          <w:p>
            <w:pPr>
              <w:spacing w:line="32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0～12</w:t>
            </w:r>
          </w:p>
        </w:tc>
        <w:tc>
          <w:tcPr>
            <w:tcW w:w="7140" w:type="dxa"/>
            <w:tcBorders>
              <w:top w:val="single" w:color="auto" w:sz="4" w:space="0"/>
              <w:bottom w:val="single" w:color="auto" w:sz="4" w:space="0"/>
            </w:tcBorders>
            <w:noWrap w:val="0"/>
            <w:vAlign w:val="center"/>
          </w:tcPr>
          <w:p>
            <w:pPr>
              <w:spacing w:line="3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根据供应商针对本项目的服务质量保障措施进行评审：</w:t>
            </w:r>
          </w:p>
          <w:p>
            <w:pPr>
              <w:spacing w:line="3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对整个项目质量管理有具体的保障制度和措施，针对性强，能很好的保证项目质量的</w:t>
            </w:r>
            <w:r>
              <w:rPr>
                <w:rFonts w:hint="eastAsia" w:ascii="宋体" w:hAnsi="宋体" w:eastAsia="宋体" w:cs="宋体"/>
                <w:color w:val="auto"/>
                <w:kern w:val="2"/>
                <w:sz w:val="21"/>
                <w:szCs w:val="21"/>
                <w:rtl w:val="0"/>
                <w:lang w:val="en-US" w:eastAsia="zh-CN" w:bidi="ar-SA"/>
              </w:rPr>
              <w:t>12分（含）～8分</w:t>
            </w:r>
            <w:r>
              <w:rPr>
                <w:rFonts w:hint="eastAsia" w:ascii="宋体" w:hAnsi="宋体" w:eastAsia="宋体" w:cs="宋体"/>
                <w:color w:val="auto"/>
                <w:kern w:val="2"/>
                <w:sz w:val="21"/>
                <w:szCs w:val="21"/>
                <w:lang w:val="en-US" w:eastAsia="zh-CN" w:bidi="ar-SA"/>
              </w:rPr>
              <w:t>；</w:t>
            </w:r>
          </w:p>
          <w:p>
            <w:pPr>
              <w:spacing w:line="3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提供有质量保证及质量承诺符合项目需求的4</w:t>
            </w:r>
            <w:r>
              <w:rPr>
                <w:rFonts w:hint="eastAsia" w:ascii="宋体" w:hAnsi="宋体" w:eastAsia="宋体" w:cs="宋体"/>
                <w:color w:val="auto"/>
                <w:kern w:val="2"/>
                <w:sz w:val="21"/>
                <w:szCs w:val="21"/>
                <w:rtl w:val="0"/>
                <w:lang w:val="en-US" w:eastAsia="zh-CN" w:bidi="ar-SA"/>
              </w:rPr>
              <w:t>～</w:t>
            </w:r>
            <w:r>
              <w:rPr>
                <w:rFonts w:hint="eastAsia" w:ascii="宋体" w:hAnsi="宋体" w:eastAsia="宋体" w:cs="宋体"/>
                <w:color w:val="auto"/>
                <w:kern w:val="2"/>
                <w:sz w:val="21"/>
                <w:szCs w:val="21"/>
                <w:lang w:val="en-US" w:eastAsia="zh-CN" w:bidi="ar-SA"/>
              </w:rPr>
              <w:t>8</w:t>
            </w:r>
            <w:r>
              <w:rPr>
                <w:rFonts w:hint="eastAsia" w:ascii="宋体" w:hAnsi="宋体" w:eastAsia="宋体" w:cs="宋体"/>
                <w:color w:val="auto"/>
                <w:kern w:val="2"/>
                <w:sz w:val="21"/>
                <w:szCs w:val="21"/>
                <w:rtl w:val="0"/>
                <w:lang w:val="en-US" w:eastAsia="zh-CN" w:bidi="ar-SA"/>
              </w:rPr>
              <w:t>分</w:t>
            </w:r>
            <w:r>
              <w:rPr>
                <w:rFonts w:hint="eastAsia" w:ascii="宋体" w:hAnsi="宋体" w:eastAsia="宋体" w:cs="宋体"/>
                <w:color w:val="auto"/>
                <w:kern w:val="2"/>
                <w:sz w:val="21"/>
                <w:szCs w:val="21"/>
                <w:lang w:val="en-US" w:eastAsia="zh-CN" w:bidi="ar-SA"/>
              </w:rPr>
              <w:t>；</w:t>
            </w:r>
          </w:p>
          <w:p>
            <w:pPr>
              <w:spacing w:line="320" w:lineRule="exact"/>
              <w:jc w:val="lef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提供相对简单的质量保证措施，没有针对性的1</w:t>
            </w:r>
            <w:r>
              <w:rPr>
                <w:rFonts w:hint="eastAsia" w:ascii="宋体" w:hAnsi="宋体" w:eastAsia="宋体" w:cs="宋体"/>
                <w:color w:val="auto"/>
                <w:kern w:val="2"/>
                <w:sz w:val="21"/>
                <w:szCs w:val="21"/>
                <w:rtl w:val="0"/>
                <w:lang w:val="en-US" w:eastAsia="zh-CN" w:bidi="ar-SA"/>
              </w:rPr>
              <w:t>～</w:t>
            </w: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kern w:val="2"/>
                <w:sz w:val="21"/>
                <w:szCs w:val="21"/>
                <w:rtl w:val="0"/>
                <w:lang w:val="en-US" w:eastAsia="zh-CN" w:bidi="ar-SA"/>
              </w:rPr>
              <w:t>分</w:t>
            </w:r>
            <w:r>
              <w:rPr>
                <w:rFonts w:hint="eastAsia" w:ascii="宋体" w:hAnsi="宋体" w:eastAsia="宋体" w:cs="宋体"/>
                <w:color w:val="auto"/>
                <w:kern w:val="2"/>
                <w:sz w:val="21"/>
                <w:szCs w:val="21"/>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40" w:hRule="atLeast"/>
          <w:jc w:val="center"/>
        </w:trPr>
        <w:tc>
          <w:tcPr>
            <w:tcW w:w="661" w:type="dxa"/>
            <w:tcBorders>
              <w:top w:val="single" w:color="auto" w:sz="4" w:space="0"/>
              <w:bottom w:val="single" w:color="auto" w:sz="4" w:space="0"/>
            </w:tcBorders>
            <w:noWrap w:val="0"/>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1150" w:type="dxa"/>
            <w:tcBorders>
              <w:top w:val="single" w:color="auto" w:sz="4" w:space="0"/>
              <w:bottom w:val="single" w:color="auto"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技术服务方案</w:t>
            </w:r>
          </w:p>
        </w:tc>
        <w:tc>
          <w:tcPr>
            <w:tcW w:w="775" w:type="dxa"/>
            <w:tcBorders>
              <w:top w:val="single" w:color="auto" w:sz="4" w:space="0"/>
              <w:bottom w:val="single" w:color="auto" w:sz="4" w:space="0"/>
            </w:tcBorders>
            <w:noWrap w:val="0"/>
            <w:vAlign w:val="center"/>
          </w:tcPr>
          <w:p>
            <w:pPr>
              <w:spacing w:line="320" w:lineRule="exact"/>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0～20</w:t>
            </w:r>
          </w:p>
        </w:tc>
        <w:tc>
          <w:tcPr>
            <w:tcW w:w="7140" w:type="dxa"/>
            <w:tcBorders>
              <w:top w:val="single" w:color="auto" w:sz="4" w:space="0"/>
              <w:bottom w:val="single" w:color="auto" w:sz="4" w:space="0"/>
            </w:tcBorders>
            <w:noWrap w:val="0"/>
            <w:vAlign w:val="center"/>
          </w:tcPr>
          <w:p>
            <w:pPr>
              <w:spacing w:line="320" w:lineRule="exact"/>
              <w:jc w:val="left"/>
              <w:rPr>
                <w:rFonts w:hint="eastAsia" w:ascii="宋体" w:hAnsi="宋体" w:eastAsia="宋体" w:cs="宋体"/>
                <w:color w:val="auto"/>
                <w:kern w:val="2"/>
                <w:sz w:val="21"/>
                <w:szCs w:val="21"/>
                <w:rtl w:val="0"/>
                <w:lang w:val="en-US" w:eastAsia="zh-CN" w:bidi="ar-SA"/>
              </w:rPr>
            </w:pPr>
            <w:r>
              <w:rPr>
                <w:rFonts w:hint="eastAsia" w:ascii="宋体" w:hAnsi="宋体" w:eastAsia="宋体" w:cs="宋体"/>
                <w:color w:val="auto"/>
                <w:kern w:val="2"/>
                <w:sz w:val="21"/>
                <w:szCs w:val="21"/>
                <w:rtl w:val="0"/>
                <w:lang w:val="en-US" w:eastAsia="zh-CN" w:bidi="ar-SA"/>
              </w:rPr>
              <w:t>包括工作主要内容，可操作性、实用性阐述详细完整</w:t>
            </w:r>
            <w:r>
              <w:rPr>
                <w:rFonts w:hint="eastAsia" w:ascii="宋体" w:hAnsi="宋体" w:cs="宋体"/>
                <w:color w:val="auto"/>
                <w:kern w:val="2"/>
                <w:sz w:val="21"/>
                <w:szCs w:val="21"/>
                <w:rtl w:val="0"/>
                <w:lang w:val="en-US" w:eastAsia="zh-CN" w:bidi="ar-SA"/>
              </w:rPr>
              <w:t>。</w:t>
            </w:r>
            <w:r>
              <w:rPr>
                <w:rFonts w:hint="eastAsia" w:ascii="宋体" w:hAnsi="宋体" w:eastAsia="宋体" w:cs="宋体"/>
                <w:color w:val="auto"/>
                <w:kern w:val="2"/>
                <w:sz w:val="21"/>
                <w:szCs w:val="21"/>
                <w:rtl w:val="0"/>
                <w:lang w:val="en-US" w:eastAsia="zh-CN" w:bidi="ar-SA"/>
              </w:rPr>
              <w:t>内容详尽，可操作性强、实用性强的</w:t>
            </w:r>
            <w:r>
              <w:rPr>
                <w:rFonts w:hint="eastAsia" w:ascii="宋体" w:hAnsi="宋体" w:cs="宋体"/>
                <w:color w:val="auto"/>
                <w:kern w:val="2"/>
                <w:sz w:val="21"/>
                <w:szCs w:val="21"/>
                <w:rtl w:val="0"/>
                <w:lang w:val="en-US" w:eastAsia="zh-CN" w:bidi="ar-SA"/>
              </w:rPr>
              <w:t>20</w:t>
            </w:r>
            <w:r>
              <w:rPr>
                <w:rFonts w:hint="eastAsia" w:ascii="宋体" w:hAnsi="宋体" w:eastAsia="宋体" w:cs="宋体"/>
                <w:color w:val="auto"/>
                <w:kern w:val="2"/>
                <w:sz w:val="21"/>
                <w:szCs w:val="21"/>
                <w:rtl w:val="0"/>
                <w:lang w:val="en-US" w:eastAsia="zh-CN" w:bidi="ar-SA"/>
              </w:rPr>
              <w:t>分（含）～</w:t>
            </w:r>
            <w:r>
              <w:rPr>
                <w:rFonts w:hint="eastAsia" w:ascii="宋体" w:hAnsi="宋体" w:cs="宋体"/>
                <w:color w:val="auto"/>
                <w:kern w:val="2"/>
                <w:sz w:val="21"/>
                <w:szCs w:val="21"/>
                <w:rtl w:val="0"/>
                <w:lang w:val="en-US" w:eastAsia="zh-CN" w:bidi="ar-SA"/>
              </w:rPr>
              <w:t>10</w:t>
            </w:r>
            <w:r>
              <w:rPr>
                <w:rFonts w:hint="eastAsia" w:ascii="宋体" w:hAnsi="宋体" w:eastAsia="宋体" w:cs="宋体"/>
                <w:color w:val="auto"/>
                <w:kern w:val="2"/>
                <w:sz w:val="21"/>
                <w:szCs w:val="21"/>
                <w:rtl w:val="0"/>
                <w:lang w:val="en-US" w:eastAsia="zh-CN" w:bidi="ar-SA"/>
              </w:rPr>
              <w:t>分；</w:t>
            </w:r>
          </w:p>
          <w:p>
            <w:pPr>
              <w:spacing w:line="320" w:lineRule="exact"/>
              <w:jc w:val="left"/>
              <w:rPr>
                <w:rFonts w:hint="eastAsia" w:ascii="宋体" w:hAnsi="宋体" w:eastAsia="宋体" w:cs="宋体"/>
                <w:color w:val="auto"/>
                <w:kern w:val="2"/>
                <w:sz w:val="21"/>
                <w:szCs w:val="21"/>
                <w:rtl w:val="0"/>
                <w:lang w:val="en-US" w:eastAsia="zh-CN" w:bidi="ar-SA"/>
              </w:rPr>
            </w:pPr>
            <w:r>
              <w:rPr>
                <w:rFonts w:hint="eastAsia" w:ascii="宋体" w:hAnsi="宋体" w:eastAsia="宋体" w:cs="宋体"/>
                <w:color w:val="auto"/>
                <w:kern w:val="2"/>
                <w:sz w:val="21"/>
                <w:szCs w:val="21"/>
                <w:rtl w:val="0"/>
                <w:lang w:val="en-US" w:eastAsia="zh-CN" w:bidi="ar-SA"/>
              </w:rPr>
              <w:t>阐述基本完整，内容基本完整，具有一定的可操作性、实用性一般的</w:t>
            </w:r>
            <w:r>
              <w:rPr>
                <w:rFonts w:hint="eastAsia" w:ascii="宋体" w:hAnsi="宋体" w:cs="宋体"/>
                <w:color w:val="auto"/>
                <w:kern w:val="2"/>
                <w:sz w:val="21"/>
                <w:szCs w:val="21"/>
                <w:rtl w:val="0"/>
                <w:lang w:val="en-US" w:eastAsia="zh-CN" w:bidi="ar-SA"/>
              </w:rPr>
              <w:t>5</w:t>
            </w:r>
            <w:r>
              <w:rPr>
                <w:rFonts w:hint="eastAsia" w:ascii="宋体" w:hAnsi="宋体" w:eastAsia="宋体" w:cs="宋体"/>
                <w:color w:val="auto"/>
                <w:kern w:val="2"/>
                <w:sz w:val="21"/>
                <w:szCs w:val="21"/>
                <w:rtl w:val="0"/>
                <w:lang w:val="en-US" w:eastAsia="zh-CN" w:bidi="ar-SA"/>
              </w:rPr>
              <w:t>～</w:t>
            </w:r>
            <w:r>
              <w:rPr>
                <w:rFonts w:hint="eastAsia" w:ascii="宋体" w:hAnsi="宋体" w:cs="宋体"/>
                <w:color w:val="auto"/>
                <w:kern w:val="2"/>
                <w:sz w:val="21"/>
                <w:szCs w:val="21"/>
                <w:rtl w:val="0"/>
                <w:lang w:val="en-US" w:eastAsia="zh-CN" w:bidi="ar-SA"/>
              </w:rPr>
              <w:t>10</w:t>
            </w:r>
            <w:r>
              <w:rPr>
                <w:rFonts w:hint="eastAsia" w:ascii="宋体" w:hAnsi="宋体" w:eastAsia="宋体" w:cs="宋体"/>
                <w:color w:val="auto"/>
                <w:kern w:val="2"/>
                <w:sz w:val="21"/>
                <w:szCs w:val="21"/>
                <w:rtl w:val="0"/>
                <w:lang w:val="en-US" w:eastAsia="zh-CN" w:bidi="ar-SA"/>
              </w:rPr>
              <w:t>分；</w:t>
            </w:r>
          </w:p>
          <w:p>
            <w:pPr>
              <w:spacing w:line="320" w:lineRule="exact"/>
              <w:jc w:val="left"/>
              <w:rPr>
                <w:rFonts w:hint="eastAsia" w:ascii="宋体" w:hAnsi="宋体" w:eastAsia="宋体" w:cs="宋体"/>
                <w:color w:val="auto"/>
                <w:kern w:val="2"/>
                <w:sz w:val="21"/>
                <w:szCs w:val="21"/>
                <w:rtl w:val="0"/>
                <w:lang w:val="en-US" w:eastAsia="zh-CN" w:bidi="ar-SA"/>
              </w:rPr>
            </w:pPr>
            <w:r>
              <w:rPr>
                <w:rFonts w:hint="eastAsia" w:ascii="宋体" w:hAnsi="宋体" w:eastAsia="宋体" w:cs="宋体"/>
                <w:color w:val="auto"/>
                <w:kern w:val="2"/>
                <w:sz w:val="21"/>
                <w:szCs w:val="21"/>
                <w:rtl w:val="0"/>
                <w:lang w:val="en-US" w:eastAsia="zh-CN" w:bidi="ar-SA"/>
              </w:rPr>
              <w:t>阐述不详细完整，实施细则条理不清晰，内容不全面，无可操作性、实用性差的1～</w:t>
            </w:r>
            <w:r>
              <w:rPr>
                <w:rFonts w:hint="eastAsia" w:ascii="宋体" w:hAnsi="宋体" w:cs="宋体"/>
                <w:color w:val="auto"/>
                <w:kern w:val="2"/>
                <w:sz w:val="21"/>
                <w:szCs w:val="21"/>
                <w:rtl w:val="0"/>
                <w:lang w:val="en-US" w:eastAsia="zh-CN" w:bidi="ar-SA"/>
              </w:rPr>
              <w:t>5</w:t>
            </w:r>
            <w:r>
              <w:rPr>
                <w:rFonts w:hint="eastAsia" w:ascii="宋体" w:hAnsi="宋体" w:eastAsia="宋体" w:cs="宋体"/>
                <w:color w:val="auto"/>
                <w:kern w:val="2"/>
                <w:sz w:val="21"/>
                <w:szCs w:val="21"/>
                <w:rtl w:val="0"/>
                <w:lang w:val="en-US" w:eastAsia="zh-CN" w:bidi="ar-SA"/>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90" w:hRule="atLeast"/>
          <w:jc w:val="center"/>
        </w:trPr>
        <w:tc>
          <w:tcPr>
            <w:tcW w:w="661"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1150" w:type="dxa"/>
            <w:tcBorders>
              <w:top w:val="single" w:color="auto" w:sz="4" w:space="0"/>
              <w:bottom w:val="single" w:color="auto"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项目实施进度计划</w:t>
            </w:r>
          </w:p>
        </w:tc>
        <w:tc>
          <w:tcPr>
            <w:tcW w:w="775" w:type="dxa"/>
            <w:tcBorders>
              <w:top w:val="single" w:color="auto" w:sz="4" w:space="0"/>
              <w:bottom w:val="single" w:color="auto" w:sz="4" w:space="0"/>
            </w:tcBorders>
            <w:noWrap w:val="0"/>
            <w:vAlign w:val="center"/>
          </w:tcPr>
          <w:p>
            <w:pPr>
              <w:spacing w:line="32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0～12</w:t>
            </w:r>
          </w:p>
        </w:tc>
        <w:tc>
          <w:tcPr>
            <w:tcW w:w="7140" w:type="dxa"/>
            <w:tcBorders>
              <w:top w:val="single" w:color="auto" w:sz="4" w:space="0"/>
              <w:bottom w:val="single" w:color="auto" w:sz="4" w:space="0"/>
            </w:tcBorders>
            <w:noWrap w:val="0"/>
            <w:vAlign w:val="center"/>
          </w:tcPr>
          <w:p>
            <w:pPr>
              <w:spacing w:line="3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根据各投标人提供的计划安排的合理性、方案进行综合评审：</w:t>
            </w:r>
          </w:p>
          <w:p>
            <w:pPr>
              <w:spacing w:line="3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严格把握提交时限，根据本项目工作的关键时间点有序推进，项目进度控制科学，时间节点清晰合理，并附有详细的确保完成工作措施的</w:t>
            </w:r>
            <w:r>
              <w:rPr>
                <w:rFonts w:hint="eastAsia" w:ascii="宋体" w:hAnsi="宋体" w:eastAsia="宋体" w:cs="宋体"/>
                <w:color w:val="auto"/>
                <w:kern w:val="2"/>
                <w:sz w:val="21"/>
                <w:szCs w:val="21"/>
                <w:rtl w:val="0"/>
                <w:lang w:val="en-US" w:eastAsia="zh-CN" w:bidi="ar-SA"/>
              </w:rPr>
              <w:t>12分（含）～7</w:t>
            </w:r>
            <w:r>
              <w:rPr>
                <w:rFonts w:hint="eastAsia" w:ascii="宋体" w:hAnsi="宋体" w:eastAsia="宋体" w:cs="宋体"/>
                <w:color w:val="auto"/>
                <w:kern w:val="2"/>
                <w:sz w:val="21"/>
                <w:szCs w:val="21"/>
                <w:lang w:val="en-US" w:eastAsia="zh-CN" w:bidi="ar-SA"/>
              </w:rPr>
              <w:t>分；</w:t>
            </w:r>
          </w:p>
          <w:p>
            <w:pPr>
              <w:spacing w:line="3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满足招标文件中规定的服务期限要求，各阶段时间节点较为明确，并附有较详细的确保完成工作措施的4</w:t>
            </w:r>
            <w:r>
              <w:rPr>
                <w:rFonts w:hint="eastAsia" w:ascii="宋体" w:hAnsi="宋体" w:eastAsia="宋体" w:cs="宋体"/>
                <w:color w:val="auto"/>
                <w:kern w:val="2"/>
                <w:sz w:val="21"/>
                <w:szCs w:val="21"/>
                <w:rtl w:val="0"/>
                <w:lang w:val="en-US" w:eastAsia="zh-CN" w:bidi="ar-SA"/>
              </w:rPr>
              <w:t>～7分</w:t>
            </w:r>
            <w:r>
              <w:rPr>
                <w:rFonts w:hint="eastAsia" w:ascii="宋体" w:hAnsi="宋体" w:eastAsia="宋体" w:cs="宋体"/>
                <w:color w:val="auto"/>
                <w:kern w:val="2"/>
                <w:sz w:val="21"/>
                <w:szCs w:val="21"/>
                <w:lang w:val="en-US" w:eastAsia="zh-CN" w:bidi="ar-SA"/>
              </w:rPr>
              <w:t>；</w:t>
            </w:r>
          </w:p>
          <w:p>
            <w:pPr>
              <w:spacing w:line="320" w:lineRule="exact"/>
              <w:jc w:val="left"/>
              <w:rPr>
                <w:rFonts w:hint="eastAsia" w:ascii="宋体" w:hAnsi="宋体" w:eastAsia="宋体" w:cs="宋体"/>
                <w:color w:val="auto"/>
                <w:kern w:val="2"/>
                <w:sz w:val="21"/>
                <w:szCs w:val="21"/>
                <w:rtl w:val="0"/>
                <w:lang w:val="en-US" w:eastAsia="zh-CN" w:bidi="ar-SA"/>
              </w:rPr>
            </w:pPr>
            <w:r>
              <w:rPr>
                <w:rFonts w:hint="eastAsia" w:ascii="宋体" w:hAnsi="宋体" w:eastAsia="宋体" w:cs="宋体"/>
                <w:color w:val="auto"/>
                <w:kern w:val="2"/>
                <w:sz w:val="21"/>
                <w:szCs w:val="21"/>
                <w:lang w:val="en-US" w:eastAsia="zh-CN" w:bidi="ar-SA"/>
              </w:rPr>
              <w:t>只承诺满足招标文件中规定的服务期限以内完成的，时间节点划分照搬招标文件或较为简单的1</w:t>
            </w:r>
            <w:r>
              <w:rPr>
                <w:rFonts w:hint="eastAsia" w:ascii="宋体" w:hAnsi="宋体" w:eastAsia="宋体" w:cs="宋体"/>
                <w:color w:val="auto"/>
                <w:kern w:val="2"/>
                <w:sz w:val="21"/>
                <w:szCs w:val="21"/>
                <w:rtl w:val="0"/>
                <w:lang w:val="en-US" w:eastAsia="zh-CN" w:bidi="ar-SA"/>
              </w:rPr>
              <w:t>～4</w:t>
            </w:r>
            <w:r>
              <w:rPr>
                <w:rFonts w:hint="eastAsia" w:ascii="宋体" w:hAnsi="宋体" w:eastAsia="宋体" w:cs="宋体"/>
                <w:color w:val="auto"/>
                <w:kern w:val="2"/>
                <w:sz w:val="21"/>
                <w:szCs w:val="21"/>
                <w:lang w:val="en-US" w:eastAsia="zh-CN" w:bidi="ar-SA"/>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7" w:hRule="atLeast"/>
          <w:jc w:val="center"/>
        </w:trPr>
        <w:tc>
          <w:tcPr>
            <w:tcW w:w="661" w:type="dxa"/>
            <w:tcBorders>
              <w:top w:val="single" w:color="auto" w:sz="4" w:space="0"/>
              <w:bottom w:val="single" w:color="auto" w:sz="4" w:space="0"/>
            </w:tcBorders>
            <w:noWrap w:val="0"/>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1150" w:type="dxa"/>
            <w:tcBorders>
              <w:top w:val="single" w:color="auto" w:sz="4" w:space="0"/>
              <w:bottom w:val="single" w:color="auto"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后期服务承诺</w:t>
            </w:r>
          </w:p>
        </w:tc>
        <w:tc>
          <w:tcPr>
            <w:tcW w:w="775" w:type="dxa"/>
            <w:tcBorders>
              <w:top w:val="single" w:color="auto" w:sz="4" w:space="0"/>
              <w:bottom w:val="single" w:color="auto" w:sz="4" w:space="0"/>
            </w:tcBorders>
            <w:noWrap w:val="0"/>
            <w:vAlign w:val="center"/>
          </w:tcPr>
          <w:p>
            <w:pPr>
              <w:spacing w:line="320" w:lineRule="exact"/>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rtl w:val="0"/>
                <w:lang w:val="en-US" w:eastAsia="zh-CN" w:bidi="ar-SA"/>
              </w:rPr>
              <w:t>0～12</w:t>
            </w:r>
          </w:p>
        </w:tc>
        <w:tc>
          <w:tcPr>
            <w:tcW w:w="7140" w:type="dxa"/>
            <w:tcBorders>
              <w:top w:val="single" w:color="auto" w:sz="4" w:space="0"/>
              <w:bottom w:val="single" w:color="auto" w:sz="4" w:space="0"/>
            </w:tcBorders>
            <w:noWrap w:val="0"/>
            <w:vAlign w:val="center"/>
          </w:tcPr>
          <w:p>
            <w:pPr>
              <w:spacing w:line="3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tl w:val="0"/>
                <w:lang w:val="en-US" w:eastAsia="zh-CN" w:bidi="ar-SA"/>
              </w:rPr>
              <w:t>根据投标供应商提供后期保障服务及承诺进行综合打分；优质12分（含）～7</w:t>
            </w:r>
            <w:r>
              <w:rPr>
                <w:rFonts w:hint="eastAsia" w:ascii="宋体" w:hAnsi="宋体" w:eastAsia="宋体" w:cs="宋体"/>
                <w:color w:val="auto"/>
                <w:kern w:val="2"/>
                <w:sz w:val="21"/>
                <w:szCs w:val="21"/>
                <w:lang w:val="en-US" w:eastAsia="zh-CN" w:bidi="ar-SA"/>
              </w:rPr>
              <w:t>分</w:t>
            </w:r>
            <w:r>
              <w:rPr>
                <w:rFonts w:hint="eastAsia" w:ascii="宋体" w:hAnsi="宋体" w:eastAsia="宋体" w:cs="宋体"/>
                <w:color w:val="auto"/>
                <w:kern w:val="2"/>
                <w:sz w:val="21"/>
                <w:szCs w:val="21"/>
                <w:rtl w:val="0"/>
                <w:lang w:val="en-US" w:eastAsia="zh-CN" w:bidi="ar-SA"/>
              </w:rPr>
              <w:t>、良好4</w:t>
            </w:r>
            <w:r>
              <w:rPr>
                <w:rFonts w:hint="eastAsia" w:ascii="宋体" w:hAnsi="宋体" w:eastAsia="宋体" w:cs="宋体"/>
                <w:color w:val="auto"/>
                <w:kern w:val="2"/>
                <w:sz w:val="21"/>
                <w:szCs w:val="21"/>
                <w:lang w:val="en-US" w:eastAsia="zh-CN" w:bidi="ar-SA"/>
              </w:rPr>
              <w:t>～7</w:t>
            </w:r>
            <w:r>
              <w:rPr>
                <w:rFonts w:hint="eastAsia" w:ascii="宋体" w:hAnsi="宋体" w:eastAsia="宋体" w:cs="宋体"/>
                <w:color w:val="auto"/>
                <w:kern w:val="2"/>
                <w:sz w:val="21"/>
                <w:szCs w:val="21"/>
                <w:rtl w:val="0"/>
                <w:lang w:val="en-US" w:eastAsia="zh-CN" w:bidi="ar-SA"/>
              </w:rPr>
              <w:t>分、一般1</w:t>
            </w: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kern w:val="2"/>
                <w:sz w:val="21"/>
                <w:szCs w:val="21"/>
                <w:rtl w:val="0"/>
                <w:lang w:val="en-US" w:eastAsia="zh-CN" w:bidi="ar-SA"/>
              </w:rPr>
              <w:t>分。</w:t>
            </w:r>
          </w:p>
        </w:tc>
      </w:tr>
    </w:tbl>
    <w:p>
      <w:pPr>
        <w:rPr>
          <w:rFonts w:hint="eastAsia" w:ascii="宋体" w:hAnsi="宋体" w:eastAsia="宋体" w:cs="宋体"/>
          <w:b/>
          <w:sz w:val="28"/>
          <w:szCs w:val="28"/>
          <w:lang w:eastAsia="zh-CN"/>
        </w:rPr>
      </w:pPr>
      <w:r>
        <w:rPr>
          <w:rFonts w:hint="eastAsia" w:ascii="宋体" w:hAnsi="宋体" w:eastAsia="宋体" w:cs="宋体"/>
          <w:b/>
          <w:sz w:val="28"/>
          <w:szCs w:val="28"/>
          <w:lang w:eastAsia="zh-CN"/>
        </w:rPr>
        <w:br w:type="page"/>
      </w:r>
    </w:p>
    <w:p>
      <w:pPr>
        <w:keepNext w:val="0"/>
        <w:keepLines w:val="0"/>
        <w:pageBreakBefore w:val="0"/>
        <w:widowControl w:val="0"/>
        <w:kinsoku/>
        <w:wordWrap/>
        <w:overflowPunct/>
        <w:topLinePunct w:val="0"/>
        <w:autoSpaceDE/>
        <w:autoSpaceDN/>
        <w:bidi w:val="0"/>
        <w:adjustRightInd/>
        <w:snapToGrid/>
        <w:spacing w:line="398" w:lineRule="exact"/>
        <w:textAlignment w:val="auto"/>
        <w:outlineLvl w:val="1"/>
        <w:rPr>
          <w:rFonts w:hint="eastAsia" w:ascii="宋体" w:hAnsi="宋体" w:eastAsia="宋体" w:cs="宋体"/>
          <w:kern w:val="0"/>
          <w:sz w:val="24"/>
          <w:lang w:eastAsia="zh-CN"/>
        </w:rPr>
      </w:pPr>
      <w:r>
        <w:rPr>
          <w:rFonts w:hint="eastAsia" w:ascii="宋体" w:hAnsi="宋体" w:eastAsia="宋体" w:cs="宋体"/>
          <w:b/>
          <w:sz w:val="28"/>
          <w:szCs w:val="28"/>
          <w:lang w:eastAsia="zh-CN"/>
        </w:rPr>
        <w:t>二、评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办法正文部分</w:t>
      </w:r>
      <w:bookmarkEnd w:id="127"/>
      <w:bookmarkEnd w:id="128"/>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综合评分法，是指响应文件满足磋商文件全部实质性要求且按评审因素的量化指标评审得分最高的供应商为成交候选供应商的评审方法。</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评审时，磋商小组各成员应当独立对每个有效响应的文件进行评价、打分，然后汇总每个供应商每项评分因素的得分。</w:t>
      </w:r>
    </w:p>
    <w:p>
      <w:pPr>
        <w:pStyle w:val="8"/>
        <w:keepNext w:val="0"/>
        <w:keepLines w:val="0"/>
        <w:pageBreakBefore w:val="0"/>
        <w:widowControl w:val="0"/>
        <w:kinsoku/>
        <w:wordWrap/>
        <w:overflowPunct/>
        <w:topLinePunct w:val="0"/>
        <w:autoSpaceDE/>
        <w:autoSpaceDN/>
        <w:bidi w:val="0"/>
        <w:adjustRightInd/>
        <w:snapToGrid/>
        <w:spacing w:line="398"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响应文件的初审</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初审分为资格审查和符合性审查。</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资格审查</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办法前附表规定的评审因素和评审标准，对供应商的响应文件进行资格评审。资格审查不合格的供应商的响应文件作无效文件处理。</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（2）磋商小组在进行资格检查时，不得改变磋商文件中已载明的资格条件、标准和办法。资格审查不合格的供应商的响应文件作无效文件处理。</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）磋商小组在评审中必要时可按供应商提供的联系方式就有关问题进行查询核实，或要求供应商做出书面澄清，查询及澄清结果将作为审查的依据。</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）通过全部资格审查条件合格的供应商才能通过资格审查，其响应文件方可进入下一个检查阶段。</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符合性审查</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办法前附表规定的评审因素和评审标准，对供应商的响应文件进行符合性审查。符合性审查不合格的供应商的响应文件作无效文件处理。</w:t>
      </w:r>
    </w:p>
    <w:p>
      <w:pPr>
        <w:pStyle w:val="8"/>
        <w:keepNext w:val="0"/>
        <w:keepLines w:val="0"/>
        <w:pageBreakBefore w:val="0"/>
        <w:widowControl w:val="0"/>
        <w:kinsoku/>
        <w:wordWrap/>
        <w:overflowPunct/>
        <w:topLinePunct w:val="0"/>
        <w:autoSpaceDE/>
        <w:autoSpaceDN/>
        <w:bidi w:val="0"/>
        <w:adjustRightInd/>
        <w:snapToGrid/>
        <w:spacing w:line="398"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磋商小组审查响应文件是否完整、有无计算上的错误等。</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2.2.1</w:t>
      </w:r>
      <w:r>
        <w:rPr>
          <w:rFonts w:hint="eastAsia" w:ascii="宋体" w:hAnsi="宋体" w:eastAsia="宋体" w:cs="宋体"/>
          <w:sz w:val="24"/>
          <w:szCs w:val="24"/>
        </w:rPr>
        <w:t>响应文件的修正及澄清</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磋商小组对确定为实质上响应磋商文件要求的响应文件进行校核，看其是否有计算或表达上的错误，算术错误将按以下方法更正：</w:t>
      </w:r>
      <w:r>
        <w:rPr>
          <w:rFonts w:hint="eastAsia" w:ascii="宋体" w:hAnsi="宋体" w:eastAsia="宋体" w:cs="宋体"/>
          <w:sz w:val="24"/>
          <w:szCs w:val="24"/>
          <w:lang w:eastAsia="zh-CN"/>
        </w:rPr>
        <w:t>响应</w:t>
      </w:r>
      <w:r>
        <w:rPr>
          <w:rFonts w:hint="eastAsia" w:ascii="宋体" w:hAnsi="宋体" w:eastAsia="宋体" w:cs="宋体"/>
          <w:sz w:val="24"/>
          <w:szCs w:val="24"/>
        </w:rPr>
        <w:t>文件中</w:t>
      </w:r>
      <w:r>
        <w:rPr>
          <w:rFonts w:hint="eastAsia" w:ascii="宋体" w:hAnsi="宋体" w:cs="宋体"/>
          <w:sz w:val="24"/>
          <w:szCs w:val="24"/>
          <w:lang w:eastAsia="zh-CN"/>
        </w:rPr>
        <w:t>报价一览表</w:t>
      </w:r>
      <w:r>
        <w:rPr>
          <w:rFonts w:hint="eastAsia" w:ascii="宋体" w:hAnsi="宋体" w:eastAsia="宋体" w:cs="宋体"/>
          <w:sz w:val="24"/>
          <w:szCs w:val="24"/>
        </w:rPr>
        <w:t>内容与</w:t>
      </w:r>
      <w:r>
        <w:rPr>
          <w:rFonts w:hint="eastAsia" w:ascii="宋体" w:hAnsi="宋体" w:eastAsia="宋体" w:cs="宋体"/>
          <w:sz w:val="24"/>
          <w:szCs w:val="24"/>
          <w:lang w:eastAsia="zh-CN"/>
        </w:rPr>
        <w:t>响应</w:t>
      </w:r>
      <w:r>
        <w:rPr>
          <w:rFonts w:hint="eastAsia" w:ascii="宋体" w:hAnsi="宋体" w:eastAsia="宋体" w:cs="宋体"/>
          <w:sz w:val="24"/>
          <w:szCs w:val="24"/>
        </w:rPr>
        <w:t>文件中相应内容不一致的，以</w:t>
      </w:r>
      <w:r>
        <w:rPr>
          <w:rFonts w:hint="eastAsia" w:ascii="宋体" w:hAnsi="宋体" w:cs="宋体"/>
          <w:sz w:val="24"/>
          <w:szCs w:val="24"/>
          <w:lang w:eastAsia="zh-CN"/>
        </w:rPr>
        <w:t>报价一览表</w:t>
      </w:r>
      <w:r>
        <w:rPr>
          <w:rFonts w:hint="eastAsia" w:ascii="宋体" w:hAnsi="宋体" w:eastAsia="宋体" w:cs="宋体"/>
          <w:sz w:val="24"/>
          <w:szCs w:val="24"/>
        </w:rPr>
        <w:t>为准；大写金额和小写金额不一致的，以大写金额为准；单价金额小数点或者百分比有明显错位的，以</w:t>
      </w:r>
      <w:r>
        <w:rPr>
          <w:rFonts w:hint="eastAsia" w:ascii="宋体" w:hAnsi="宋体" w:cs="宋体"/>
          <w:sz w:val="24"/>
          <w:szCs w:val="24"/>
          <w:lang w:eastAsia="zh-CN"/>
        </w:rPr>
        <w:t>报价一览表</w:t>
      </w:r>
      <w:r>
        <w:rPr>
          <w:rFonts w:hint="eastAsia" w:ascii="宋体" w:hAnsi="宋体" w:eastAsia="宋体" w:cs="宋体"/>
          <w:sz w:val="24"/>
          <w:szCs w:val="24"/>
        </w:rPr>
        <w:t>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2.2.2</w:t>
      </w:r>
      <w:r>
        <w:rPr>
          <w:rFonts w:hint="eastAsia" w:ascii="宋体" w:hAnsi="宋体" w:eastAsia="宋体" w:cs="宋体"/>
          <w:sz w:val="24"/>
          <w:szCs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2.2.3</w:t>
      </w:r>
      <w:r>
        <w:rPr>
          <w:rFonts w:hint="eastAsia" w:ascii="宋体" w:hAnsi="宋体" w:eastAsia="宋体" w:cs="宋体"/>
          <w:sz w:val="24"/>
          <w:szCs w:val="24"/>
        </w:rPr>
        <w:t>实质上没有响应磋商文件要求的响应文件将被视为无效文件。供应商不得通过修正或撤销不合要求的偏离从而使其成为实质上响应的文件。</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2.2.5</w:t>
      </w:r>
      <w:r>
        <w:rPr>
          <w:rFonts w:hint="eastAsia" w:ascii="宋体" w:hAnsi="宋体" w:eastAsia="宋体" w:cs="宋体"/>
          <w:sz w:val="24"/>
          <w:szCs w:val="24"/>
        </w:rPr>
        <w:t>供应商的澄清文件是其响应文件的组成部分。</w:t>
      </w:r>
    </w:p>
    <w:p>
      <w:pPr>
        <w:pStyle w:val="8"/>
        <w:keepNext w:val="0"/>
        <w:keepLines w:val="0"/>
        <w:pageBreakBefore w:val="0"/>
        <w:widowControl w:val="0"/>
        <w:kinsoku/>
        <w:wordWrap/>
        <w:overflowPunct/>
        <w:topLinePunct w:val="0"/>
        <w:autoSpaceDE/>
        <w:autoSpaceDN/>
        <w:bidi w:val="0"/>
        <w:adjustRightInd/>
        <w:snapToGrid/>
        <w:spacing w:line="398"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3</w:t>
      </w:r>
      <w:r>
        <w:rPr>
          <w:rFonts w:hint="eastAsia" w:ascii="宋体" w:hAnsi="宋体" w:eastAsia="宋体" w:cs="宋体"/>
          <w:b/>
          <w:bCs/>
          <w:sz w:val="24"/>
          <w:szCs w:val="24"/>
        </w:rPr>
        <w:t>磋商</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.1磋商小组所有成员应当集中与单一供应商分别进行磋商，并给予所有参加磋商的供应商平等的磋商机会。</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.3对磋商文件作出的实质性变动是磋商文件的有效组成部分，磋商小组应当及时以书面形式同时通知所有参加磋商的供应商。</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eastAsia="宋体" w:cs="宋体"/>
          <w:sz w:val="24"/>
          <w:szCs w:val="24"/>
          <w:lang w:val="en-US" w:eastAsia="zh-CN"/>
        </w:rPr>
        <w:t>3</w:t>
      </w:r>
      <w:r>
        <w:rPr>
          <w:rFonts w:hint="eastAsia" w:ascii="宋体" w:hAnsi="宋体" w:eastAsia="宋体" w:cs="宋体"/>
          <w:sz w:val="24"/>
          <w:szCs w:val="24"/>
        </w:rPr>
        <w:t>家。</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.6磋商文件不能详细列明采购标的的技术、服务要求，需经磋商由供应商提供最终设计方案或解决方案的，磋商结束后，磋商小组应当按照少数服从多数的原则投票推荐</w:t>
      </w:r>
      <w:r>
        <w:rPr>
          <w:rFonts w:hint="eastAsia" w:ascii="宋体" w:hAnsi="宋体" w:eastAsia="宋体" w:cs="宋体"/>
          <w:sz w:val="24"/>
          <w:szCs w:val="24"/>
          <w:lang w:val="en-US" w:eastAsia="zh-CN"/>
        </w:rPr>
        <w:t>3</w:t>
      </w:r>
      <w:r>
        <w:rPr>
          <w:rFonts w:hint="eastAsia" w:ascii="宋体" w:hAnsi="宋体" w:eastAsia="宋体" w:cs="宋体"/>
          <w:sz w:val="24"/>
          <w:szCs w:val="24"/>
        </w:rPr>
        <w:t>家以上供应商的设计方案或者解决方案，并要求其在规定时间内提交最后报价。</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.7已提交响应文件的供应商，在提交最后报价之前，可以根据磋商情况退出磋商。其</w:t>
      </w:r>
      <w:r>
        <w:rPr>
          <w:rFonts w:hint="eastAsia" w:ascii="宋体" w:hAnsi="宋体" w:cs="宋体"/>
          <w:sz w:val="24"/>
          <w:szCs w:val="24"/>
          <w:lang w:eastAsia="zh-CN"/>
        </w:rPr>
        <w:t>响应保证金</w:t>
      </w:r>
      <w:r>
        <w:rPr>
          <w:rFonts w:hint="eastAsia" w:ascii="宋体" w:hAnsi="宋体" w:eastAsia="宋体" w:cs="宋体"/>
          <w:sz w:val="24"/>
          <w:szCs w:val="24"/>
        </w:rPr>
        <w:t>将予以退还。</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.8最后报价是供应商响应文件的有效组成部分。</w:t>
      </w: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eastAsia="zh-CN"/>
        </w:rPr>
        <w:t>《政府采购竞争性磋商采购方式管理暂行办法》</w:t>
      </w:r>
      <w:r>
        <w:rPr>
          <w:rFonts w:hint="eastAsia" w:ascii="宋体" w:hAnsi="宋体" w:eastAsia="宋体" w:cs="宋体"/>
          <w:sz w:val="24"/>
          <w:szCs w:val="24"/>
          <w:highlight w:val="none"/>
        </w:rPr>
        <w:t>第三条第四项情形</w:t>
      </w:r>
      <w:r>
        <w:rPr>
          <w:rFonts w:hint="eastAsia" w:ascii="宋体" w:hAnsi="宋体" w:eastAsia="宋体" w:cs="宋体"/>
          <w:sz w:val="24"/>
          <w:szCs w:val="24"/>
          <w:highlight w:val="none"/>
          <w:lang w:eastAsia="zh-CN"/>
        </w:rPr>
        <w:t>：市场竞争不充分的科研项目，以及需要扶持的科技成果转化项目</w:t>
      </w:r>
      <w:r>
        <w:rPr>
          <w:rFonts w:hint="eastAsia" w:ascii="宋体" w:hAnsi="宋体" w:eastAsia="宋体" w:cs="宋体"/>
          <w:sz w:val="24"/>
          <w:szCs w:val="24"/>
          <w:highlight w:val="none"/>
        </w:rPr>
        <w:t>，提交最后报价的供应商可</w:t>
      </w:r>
      <w:r>
        <w:rPr>
          <w:rFonts w:hint="eastAsia" w:ascii="宋体" w:hAnsi="宋体" w:eastAsia="宋体" w:cs="宋体"/>
          <w:sz w:val="24"/>
          <w:szCs w:val="24"/>
        </w:rPr>
        <w:t>以为2家。</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.9经磋商确定最终采购需求和提交最后报价的供应商后，由磋商小组采用综合评分法对提交最后报价的供应商的响应文件和最后报价进行综合评分。</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.10采购结果确认</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（1）磋商小组按照</w:t>
      </w:r>
      <w:r>
        <w:rPr>
          <w:rFonts w:hint="eastAsia" w:ascii="宋体" w:hAnsi="宋体" w:cs="宋体"/>
          <w:sz w:val="24"/>
          <w:szCs w:val="24"/>
          <w:lang w:eastAsia="zh-CN"/>
        </w:rPr>
        <w:t>磋商文件</w:t>
      </w:r>
      <w:r>
        <w:rPr>
          <w:rFonts w:hint="eastAsia" w:ascii="宋体" w:hAnsi="宋体" w:eastAsia="宋体" w:cs="宋体"/>
          <w:sz w:val="24"/>
          <w:szCs w:val="24"/>
        </w:rPr>
        <w:t>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（3）条款是指磋商过程中确定的最终采购需求及报价。</w:t>
      </w:r>
    </w:p>
    <w:p>
      <w:pPr>
        <w:pStyle w:val="8"/>
        <w:keepNext w:val="0"/>
        <w:keepLines w:val="0"/>
        <w:pageBreakBefore w:val="0"/>
        <w:widowControl w:val="0"/>
        <w:kinsoku/>
        <w:wordWrap/>
        <w:overflowPunct/>
        <w:topLinePunct w:val="0"/>
        <w:autoSpaceDE/>
        <w:autoSpaceDN/>
        <w:bidi w:val="0"/>
        <w:adjustRightInd/>
        <w:snapToGrid/>
        <w:spacing w:line="398"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推荐成交供应商</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8"/>
        <w:keepNext w:val="0"/>
        <w:keepLines w:val="0"/>
        <w:pageBreakBefore w:val="0"/>
        <w:widowControl w:val="0"/>
        <w:kinsoku/>
        <w:wordWrap/>
        <w:overflowPunct/>
        <w:topLinePunct w:val="0"/>
        <w:autoSpaceDE/>
        <w:autoSpaceDN/>
        <w:bidi w:val="0"/>
        <w:adjustRightInd/>
        <w:snapToGrid/>
        <w:spacing w:line="398"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确定成交供应商</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.1</w:t>
      </w:r>
      <w:r>
        <w:rPr>
          <w:rFonts w:hint="eastAsia" w:ascii="宋体" w:hAnsi="宋体" w:eastAsia="宋体" w:cs="宋体"/>
          <w:sz w:val="24"/>
          <w:szCs w:val="24"/>
        </w:rPr>
        <w:t>采购代理机构应当在评审结束后2个工作日内将评审报告送采购人确认。</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.2</w:t>
      </w:r>
      <w:r>
        <w:rPr>
          <w:rFonts w:hint="eastAsia" w:ascii="宋体" w:hAnsi="宋体" w:eastAsia="宋体" w:cs="宋体"/>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autoSpaceDE/>
        <w:autoSpaceDN/>
        <w:bidi w:val="0"/>
        <w:adjustRightInd/>
        <w:snapToGrid/>
        <w:spacing w:line="398" w:lineRule="exact"/>
        <w:textAlignment w:val="auto"/>
        <w:outlineLvl w:val="1"/>
        <w:rPr>
          <w:rFonts w:hint="eastAsia" w:ascii="宋体" w:hAnsi="宋体" w:eastAsia="宋体" w:cs="宋体"/>
          <w:b/>
          <w:sz w:val="28"/>
          <w:szCs w:val="28"/>
          <w:lang w:val="en-US" w:eastAsia="zh-CN"/>
        </w:rPr>
      </w:pPr>
      <w:bookmarkStart w:id="129" w:name="_Toc19418"/>
      <w:r>
        <w:rPr>
          <w:rFonts w:hint="eastAsia" w:ascii="宋体" w:hAnsi="宋体" w:eastAsia="宋体" w:cs="宋体"/>
          <w:b/>
          <w:sz w:val="28"/>
          <w:szCs w:val="28"/>
          <w:lang w:val="en-US" w:eastAsia="zh-CN"/>
        </w:rPr>
        <w:t>三、串通投标的情况</w:t>
      </w:r>
      <w:bookmarkEnd w:id="129"/>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有下列情形之一的，视为投标人串通投标，其投标无效：</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由同一单位或者个人编制；</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2、不同投标人委托同一单位或者个人办理投标事宜；</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载明的项目管理成员或者联系人员为同一人；</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异常一致或者投标报价呈规律性差异；</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相互混装；</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cs="Times New Roman" w:asciiTheme="majorEastAsia" w:hAnsiTheme="majorEastAsia" w:eastAsiaTheme="majorEastAsia"/>
          <w:sz w:val="28"/>
          <w:szCs w:val="28"/>
        </w:rPr>
      </w:pPr>
      <w:r>
        <w:rPr>
          <w:rFonts w:hint="eastAsia" w:ascii="宋体" w:hAnsi="宋体" w:eastAsia="宋体" w:cs="宋体"/>
          <w:sz w:val="24"/>
          <w:szCs w:val="24"/>
          <w:lang w:val="en-US" w:eastAsia="zh-CN"/>
        </w:rPr>
        <w:t>6、不同投标人的</w:t>
      </w:r>
      <w:r>
        <w:rPr>
          <w:rFonts w:hint="eastAsia" w:ascii="宋体" w:hAnsi="宋体" w:cs="宋体"/>
          <w:sz w:val="24"/>
          <w:szCs w:val="24"/>
          <w:lang w:val="en-US" w:eastAsia="zh-CN"/>
        </w:rPr>
        <w:t>响应保证金</w:t>
      </w:r>
      <w:r>
        <w:rPr>
          <w:rFonts w:hint="eastAsia" w:ascii="宋体" w:hAnsi="宋体" w:eastAsia="宋体" w:cs="宋体"/>
          <w:sz w:val="24"/>
          <w:szCs w:val="24"/>
          <w:lang w:val="en-US" w:eastAsia="zh-CN"/>
        </w:rPr>
        <w:t>从同一单位或者个人的账户转出。</w:t>
      </w:r>
    </w:p>
    <w:p>
      <w:pPr>
        <w:keepNext w:val="0"/>
        <w:keepLines w:val="0"/>
        <w:pageBreakBefore w:val="0"/>
        <w:widowControl w:val="0"/>
        <w:kinsoku/>
        <w:wordWrap/>
        <w:overflowPunct/>
        <w:topLinePunct w:val="0"/>
        <w:autoSpaceDE/>
        <w:autoSpaceDN/>
        <w:bidi w:val="0"/>
        <w:adjustRightInd/>
        <w:snapToGrid/>
        <w:spacing w:line="398" w:lineRule="exact"/>
        <w:textAlignment w:val="auto"/>
        <w:outlineLvl w:val="1"/>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、无效投标条款和废标条款</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4.1无效投标条款</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投标人不遵循公平竞争的原则，恶意串通，妨碍其他投标人的竞争，损害采购人或者其他投标人的合法权益，评标委员会应当认定其投标无效。</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4.2废标条款：</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4.2.1符合专业条件的供应商或者对磋商文件作实质响应的供应商不足三家的；</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4.2.2出现影响采购公正的违法、违规行为的；</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4.2.3投标人的报价均超过了采购预算，采购人不能支付的；</w:t>
      </w:r>
    </w:p>
    <w:p>
      <w:pPr>
        <w:pStyle w:val="8"/>
        <w:keepNext w:val="0"/>
        <w:keepLines w:val="0"/>
        <w:pageBreakBefore w:val="0"/>
        <w:widowControl w:val="0"/>
        <w:kinsoku/>
        <w:wordWrap/>
        <w:overflowPunct/>
        <w:topLinePunct w:val="0"/>
        <w:autoSpaceDE/>
        <w:autoSpaceDN/>
        <w:bidi w:val="0"/>
        <w:adjustRightInd/>
        <w:snapToGrid/>
        <w:spacing w:line="398"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4.2.4因重大变故，采购任务取消的。</w:t>
      </w:r>
    </w:p>
    <w:p>
      <w:pPr>
        <w:rPr>
          <w:rFonts w:hint="eastAsia"/>
        </w:rPr>
      </w:pPr>
      <w:bookmarkStart w:id="130" w:name="_Toc6170"/>
      <w:bookmarkStart w:id="131" w:name="_Toc22804"/>
    </w:p>
    <w:p>
      <w:pPr>
        <w:pStyle w:val="5"/>
        <w:numPr>
          <w:ilvl w:val="0"/>
          <w:numId w:val="1"/>
        </w:numPr>
        <w:spacing w:before="0" w:after="0" w:line="240" w:lineRule="auto"/>
        <w:ind w:left="0" w:leftChars="0"/>
        <w:rPr>
          <w:rFonts w:hint="eastAsia"/>
        </w:rPr>
      </w:pPr>
      <w:r>
        <w:rPr>
          <w:rFonts w:hint="eastAsia"/>
          <w:lang w:val="en-US" w:eastAsia="zh-CN"/>
        </w:rPr>
        <w:t xml:space="preserve"> </w:t>
      </w:r>
      <w:bookmarkStart w:id="132" w:name="_Toc15715"/>
      <w:bookmarkStart w:id="133" w:name="_Toc10028"/>
      <w:r>
        <w:rPr>
          <w:rFonts w:hint="eastAsia"/>
        </w:rPr>
        <w:t>合同</w:t>
      </w:r>
      <w:bookmarkEnd w:id="121"/>
      <w:bookmarkEnd w:id="122"/>
      <w:bookmarkEnd w:id="123"/>
      <w:bookmarkEnd w:id="124"/>
      <w:bookmarkEnd w:id="130"/>
      <w:bookmarkEnd w:id="131"/>
      <w:bookmarkEnd w:id="132"/>
      <w:bookmarkEnd w:id="133"/>
      <w:r>
        <w:rPr>
          <w:rFonts w:hint="eastAsia"/>
          <w:lang w:eastAsia="zh-CN"/>
        </w:rPr>
        <w:t>文件</w:t>
      </w:r>
    </w:p>
    <w:p>
      <w:pPr>
        <w:pStyle w:val="82"/>
        <w:jc w:val="center"/>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（仅供参考）</w:t>
      </w:r>
    </w:p>
    <w:p>
      <w:pPr>
        <w:pStyle w:val="82"/>
        <w:jc w:val="center"/>
        <w:rPr>
          <w:rFonts w:hint="eastAsia" w:ascii="宋体" w:hAnsi="宋体" w:eastAsia="宋体" w:cs="宋体"/>
          <w:b/>
          <w:color w:val="000000"/>
          <w:sz w:val="52"/>
          <w:szCs w:val="52"/>
        </w:rPr>
      </w:pPr>
    </w:p>
    <w:p>
      <w:pPr>
        <w:pStyle w:val="82"/>
        <w:jc w:val="center"/>
        <w:rPr>
          <w:rFonts w:hint="eastAsia" w:ascii="宋体" w:hAnsi="宋体" w:eastAsia="宋体" w:cs="宋体"/>
          <w:b/>
          <w:color w:val="000000"/>
          <w:sz w:val="52"/>
          <w:szCs w:val="52"/>
        </w:rPr>
      </w:pPr>
    </w:p>
    <w:p>
      <w:pPr>
        <w:pStyle w:val="82"/>
        <w:jc w:val="center"/>
        <w:rPr>
          <w:rFonts w:hint="eastAsia" w:ascii="宋体" w:hAnsi="宋体" w:eastAsia="宋体" w:cs="宋体"/>
          <w:b/>
          <w:color w:val="000000"/>
          <w:sz w:val="52"/>
          <w:szCs w:val="52"/>
        </w:rPr>
      </w:pPr>
    </w:p>
    <w:p>
      <w:pPr>
        <w:pStyle w:val="82"/>
        <w:jc w:val="center"/>
        <w:rPr>
          <w:rFonts w:hint="eastAsia" w:ascii="宋体" w:hAnsi="宋体" w:eastAsia="宋体" w:cs="宋体"/>
          <w:b/>
          <w:color w:val="000000"/>
          <w:sz w:val="52"/>
          <w:szCs w:val="52"/>
        </w:rPr>
      </w:pPr>
      <w:r>
        <w:rPr>
          <w:rFonts w:hint="eastAsia" w:ascii="宋体" w:hAnsi="宋体" w:eastAsia="宋体" w:cs="宋体"/>
          <w:b/>
          <w:color w:val="000000"/>
          <w:sz w:val="52"/>
          <w:szCs w:val="52"/>
        </w:rPr>
        <w:t>政府采购合同</w:t>
      </w:r>
    </w:p>
    <w:p>
      <w:pPr>
        <w:pStyle w:val="82"/>
        <w:jc w:val="center"/>
        <w:rPr>
          <w:rFonts w:hint="eastAsia" w:ascii="宋体" w:hAnsi="宋体" w:eastAsia="宋体" w:cs="宋体"/>
          <w:b/>
          <w:color w:val="000000"/>
          <w:sz w:val="52"/>
          <w:szCs w:val="52"/>
        </w:rPr>
      </w:pPr>
    </w:p>
    <w:p>
      <w:pPr>
        <w:rPr>
          <w:rFonts w:hint="eastAsia"/>
        </w:rPr>
      </w:pPr>
    </w:p>
    <w:p>
      <w:pPr>
        <w:rPr>
          <w:rFonts w:hint="eastAsia"/>
        </w:rPr>
      </w:pPr>
    </w:p>
    <w:p>
      <w:pPr>
        <w:rPr>
          <w:rFonts w:hint="eastAsia"/>
        </w:rPr>
      </w:pPr>
    </w:p>
    <w:p>
      <w:pPr>
        <w:pStyle w:val="82"/>
        <w:ind w:firstLine="1597" w:firstLineChars="497"/>
        <w:rPr>
          <w:rFonts w:hint="eastAsia" w:ascii="宋体" w:hAnsi="宋体" w:eastAsia="宋体" w:cs="宋体"/>
          <w:b/>
          <w:color w:val="000000"/>
          <w:sz w:val="32"/>
          <w:szCs w:val="32"/>
        </w:rPr>
      </w:pPr>
      <w:r>
        <w:rPr>
          <w:rFonts w:hint="eastAsia" w:ascii="宋体" w:hAnsi="宋体" w:eastAsia="宋体" w:cs="宋体"/>
          <w:b/>
          <w:color w:val="000000"/>
          <w:sz w:val="32"/>
          <w:szCs w:val="32"/>
        </w:rPr>
        <w:t>项目名称:</w:t>
      </w:r>
      <w:r>
        <w:rPr>
          <w:rFonts w:hint="eastAsia" w:ascii="宋体" w:hAnsi="宋体" w:eastAsia="宋体" w:cs="宋体"/>
          <w:b/>
          <w:color w:val="000000"/>
          <w:sz w:val="32"/>
          <w:szCs w:val="32"/>
          <w:u w:val="single"/>
        </w:rPr>
        <w:t xml:space="preserve">                    </w:t>
      </w:r>
    </w:p>
    <w:p>
      <w:pPr>
        <w:pStyle w:val="82"/>
        <w:spacing w:before="312" w:beforeLines="100"/>
        <w:ind w:firstLine="1597" w:firstLineChars="497"/>
        <w:rPr>
          <w:rFonts w:hint="eastAsia" w:ascii="宋体" w:hAnsi="宋体" w:eastAsia="宋体" w:cs="宋体"/>
          <w:b/>
          <w:color w:val="000000"/>
          <w:sz w:val="32"/>
          <w:szCs w:val="32"/>
          <w:u w:val="single"/>
        </w:rPr>
      </w:pPr>
      <w:r>
        <w:rPr>
          <w:rFonts w:hint="eastAsia" w:ascii="宋体" w:hAnsi="宋体" w:eastAsia="宋体" w:cs="宋体"/>
          <w:b/>
          <w:color w:val="000000"/>
          <w:sz w:val="32"/>
          <w:szCs w:val="32"/>
        </w:rPr>
        <w:t>项目编号:</w:t>
      </w:r>
      <w:r>
        <w:rPr>
          <w:rFonts w:hint="eastAsia" w:ascii="宋体" w:hAnsi="宋体" w:eastAsia="宋体" w:cs="宋体"/>
          <w:b/>
          <w:color w:val="000000"/>
          <w:sz w:val="32"/>
          <w:szCs w:val="32"/>
          <w:u w:val="single"/>
        </w:rPr>
        <w:t xml:space="preserve">                    </w:t>
      </w:r>
    </w:p>
    <w:p>
      <w:pPr>
        <w:pStyle w:val="82"/>
        <w:spacing w:before="312" w:beforeLines="100"/>
        <w:ind w:firstLine="1597" w:firstLineChars="497"/>
        <w:rPr>
          <w:rFonts w:hint="eastAsia" w:ascii="宋体" w:hAnsi="宋体" w:eastAsia="宋体" w:cs="宋体"/>
          <w:b/>
          <w:color w:val="000000"/>
          <w:sz w:val="32"/>
          <w:szCs w:val="32"/>
          <w:u w:val="single"/>
        </w:rPr>
      </w:pPr>
      <w:r>
        <w:rPr>
          <w:rFonts w:hint="eastAsia" w:ascii="宋体" w:hAnsi="宋体" w:eastAsia="宋体" w:cs="宋体"/>
          <w:b/>
          <w:bCs/>
          <w:color w:val="000000"/>
          <w:kern w:val="0"/>
          <w:sz w:val="32"/>
          <w:szCs w:val="32"/>
        </w:rPr>
        <w:t>合同编号:</w:t>
      </w:r>
      <w:r>
        <w:rPr>
          <w:rFonts w:hint="eastAsia" w:ascii="宋体" w:hAnsi="宋体" w:eastAsia="宋体" w:cs="宋体"/>
          <w:b/>
          <w:color w:val="000000"/>
          <w:sz w:val="32"/>
          <w:szCs w:val="32"/>
          <w:u w:val="single"/>
        </w:rPr>
        <w:t xml:space="preserve">                    </w:t>
      </w:r>
    </w:p>
    <w:p>
      <w:pPr>
        <w:pStyle w:val="82"/>
        <w:spacing w:before="312" w:beforeLines="100"/>
        <w:jc w:val="center"/>
        <w:rPr>
          <w:rFonts w:hint="eastAsia" w:ascii="宋体" w:hAnsi="宋体" w:eastAsia="宋体" w:cs="宋体"/>
          <w:b/>
          <w:color w:val="000000"/>
          <w:sz w:val="32"/>
          <w:szCs w:val="32"/>
          <w:u w:val="single"/>
        </w:rPr>
      </w:pPr>
    </w:p>
    <w:p>
      <w:pPr>
        <w:pStyle w:val="82"/>
        <w:spacing w:before="312" w:beforeLines="100"/>
        <w:jc w:val="center"/>
        <w:rPr>
          <w:rFonts w:hint="eastAsia" w:ascii="宋体" w:hAnsi="宋体" w:eastAsia="宋体" w:cs="宋体"/>
          <w:b/>
          <w:color w:val="000000"/>
          <w:sz w:val="32"/>
          <w:szCs w:val="32"/>
          <w:u w:val="single"/>
        </w:rPr>
      </w:pPr>
    </w:p>
    <w:p>
      <w:pPr>
        <w:pStyle w:val="82"/>
        <w:spacing w:before="312" w:beforeLines="100"/>
        <w:jc w:val="center"/>
        <w:rPr>
          <w:rFonts w:hint="eastAsia" w:ascii="宋体" w:hAnsi="宋体" w:eastAsia="宋体" w:cs="宋体"/>
          <w:b/>
          <w:color w:val="000000"/>
          <w:sz w:val="32"/>
          <w:szCs w:val="32"/>
          <w:u w:val="single"/>
        </w:rPr>
      </w:pPr>
    </w:p>
    <w:p>
      <w:pPr>
        <w:pStyle w:val="82"/>
        <w:spacing w:before="312" w:beforeLines="100"/>
        <w:jc w:val="center"/>
        <w:rPr>
          <w:rFonts w:hint="eastAsia" w:ascii="宋体" w:hAnsi="宋体" w:eastAsia="宋体" w:cs="宋体"/>
          <w:b/>
          <w:color w:val="000000"/>
          <w:sz w:val="32"/>
          <w:szCs w:val="32"/>
          <w:u w:val="single"/>
        </w:rPr>
      </w:pPr>
    </w:p>
    <w:p>
      <w:pPr>
        <w:pStyle w:val="82"/>
        <w:ind w:firstLine="1606" w:firstLineChars="500"/>
        <w:rPr>
          <w:rFonts w:hint="eastAsia" w:ascii="宋体" w:hAnsi="宋体" w:eastAsia="宋体" w:cs="宋体"/>
          <w:b/>
          <w:color w:val="000000"/>
          <w:sz w:val="32"/>
          <w:szCs w:val="32"/>
        </w:rPr>
      </w:pPr>
      <w:r>
        <w:rPr>
          <w:rFonts w:hint="eastAsia" w:ascii="宋体" w:hAnsi="宋体" w:eastAsia="宋体" w:cs="宋体"/>
          <w:b/>
          <w:color w:val="000000"/>
          <w:sz w:val="32"/>
          <w:szCs w:val="32"/>
        </w:rPr>
        <w:t>甲    方:</w:t>
      </w:r>
      <w:r>
        <w:rPr>
          <w:rFonts w:hint="eastAsia" w:ascii="宋体" w:hAnsi="宋体" w:eastAsia="宋体" w:cs="宋体"/>
          <w:b/>
          <w:color w:val="000000"/>
          <w:sz w:val="32"/>
          <w:szCs w:val="32"/>
          <w:u w:val="single"/>
        </w:rPr>
        <w:t xml:space="preserve">                    </w:t>
      </w:r>
    </w:p>
    <w:p>
      <w:pPr>
        <w:pStyle w:val="82"/>
        <w:spacing w:before="312" w:beforeLines="100"/>
        <w:ind w:firstLine="1606" w:firstLineChars="500"/>
        <w:rPr>
          <w:rFonts w:hint="eastAsia" w:ascii="宋体" w:hAnsi="宋体" w:eastAsia="宋体" w:cs="宋体"/>
          <w:b/>
          <w:color w:val="000000"/>
          <w:sz w:val="32"/>
          <w:szCs w:val="32"/>
          <w:u w:val="single"/>
        </w:rPr>
      </w:pPr>
      <w:r>
        <w:rPr>
          <w:rFonts w:hint="eastAsia" w:ascii="宋体" w:hAnsi="宋体" w:eastAsia="宋体" w:cs="宋体"/>
          <w:b/>
          <w:color w:val="000000"/>
          <w:sz w:val="32"/>
          <w:szCs w:val="32"/>
        </w:rPr>
        <w:t>乙    方:</w:t>
      </w:r>
      <w:r>
        <w:rPr>
          <w:rFonts w:hint="eastAsia" w:ascii="宋体" w:hAnsi="宋体" w:eastAsia="宋体" w:cs="宋体"/>
          <w:b/>
          <w:color w:val="000000"/>
          <w:sz w:val="32"/>
          <w:szCs w:val="32"/>
          <w:u w:val="single"/>
        </w:rPr>
        <w:t xml:space="preserve">                    </w:t>
      </w:r>
    </w:p>
    <w:p>
      <w:pPr>
        <w:rPr>
          <w:rFonts w:hint="eastAsia"/>
        </w:rPr>
      </w:pPr>
    </w:p>
    <w:p>
      <w:pPr>
        <w:rPr>
          <w:rFonts w:hint="eastAsia"/>
        </w:rPr>
      </w:pPr>
    </w:p>
    <w:p>
      <w:pPr>
        <w:pStyle w:val="31"/>
        <w:rPr>
          <w:rFonts w:hint="eastAsia"/>
        </w:rPr>
      </w:pPr>
    </w:p>
    <w:p>
      <w:pPr>
        <w:pStyle w:val="31"/>
        <w:rPr>
          <w:rFonts w:hint="eastAsia"/>
        </w:rPr>
      </w:pPr>
    </w:p>
    <w:p>
      <w:pPr>
        <w:pStyle w:val="31"/>
        <w:rPr>
          <w:rFonts w:hint="eastAsia"/>
        </w:rPr>
      </w:pPr>
    </w:p>
    <w:p>
      <w:pPr>
        <w:pStyle w:val="31"/>
        <w:rPr>
          <w:rFonts w:hint="eastAsia"/>
        </w:rPr>
      </w:pPr>
    </w:p>
    <w:p>
      <w:pPr>
        <w:pStyle w:val="31"/>
        <w:rPr>
          <w:rFonts w:hint="eastAsia"/>
        </w:rPr>
      </w:pPr>
    </w:p>
    <w:p>
      <w:pPr>
        <w:pStyle w:val="31"/>
        <w:rPr>
          <w:rFonts w:hint="eastAsia"/>
        </w:rPr>
      </w:pPr>
    </w:p>
    <w:p>
      <w:pPr>
        <w:pStyle w:val="31"/>
        <w:rPr>
          <w:rFonts w:hint="eastAsia"/>
        </w:rPr>
      </w:pPr>
    </w:p>
    <w:p>
      <w:pPr>
        <w:rPr>
          <w:rFonts w:hint="eastAsia" w:ascii="宋体" w:hAnsi="宋体" w:eastAsia="宋体" w:cs="宋体"/>
          <w:b/>
          <w:sz w:val="28"/>
          <w:szCs w:val="28"/>
          <w:lang w:val="zh-CN" w:eastAsia="zh-CN"/>
        </w:rPr>
      </w:pPr>
    </w:p>
    <w:p>
      <w:pPr>
        <w:pageBreakBefore w:val="0"/>
        <w:widowControl w:val="0"/>
        <w:numPr>
          <w:ilvl w:val="0"/>
          <w:numId w:val="2"/>
        </w:numPr>
        <w:kinsoku/>
        <w:wordWrap/>
        <w:overflowPunct/>
        <w:topLinePunct w:val="0"/>
        <w:autoSpaceDE/>
        <w:autoSpaceDN/>
        <w:bidi w:val="0"/>
        <w:snapToGrid/>
        <w:spacing w:line="400" w:lineRule="exact"/>
        <w:jc w:val="center"/>
        <w:outlineLvl w:val="1"/>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合同书</w:t>
      </w:r>
    </w:p>
    <w:p>
      <w:pPr>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rPr>
      </w:pP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rPr>
        <w:t>，</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rPr>
        <w:t>以</w:t>
      </w:r>
      <w:r>
        <w:rPr>
          <w:rFonts w:hint="eastAsia" w:ascii="宋体" w:hAnsi="宋体" w:eastAsia="宋体" w:cs="宋体"/>
          <w:sz w:val="24"/>
          <w:szCs w:val="24"/>
          <w:u w:val="single"/>
        </w:rPr>
        <w:t xml:space="preserve">   （政府采购方式）  </w:t>
      </w:r>
      <w:r>
        <w:rPr>
          <w:rFonts w:hint="eastAsia" w:ascii="宋体" w:hAnsi="宋体" w:eastAsia="宋体" w:cs="宋体"/>
          <w:sz w:val="24"/>
          <w:szCs w:val="24"/>
        </w:rPr>
        <w:t>对</w:t>
      </w:r>
      <w:r>
        <w:rPr>
          <w:rFonts w:hint="eastAsia" w:ascii="宋体" w:hAnsi="宋体" w:eastAsia="宋体" w:cs="宋体"/>
          <w:sz w:val="24"/>
          <w:szCs w:val="24"/>
          <w:u w:val="single"/>
        </w:rPr>
        <w:t xml:space="preserve">   （同前页项目名称）   </w:t>
      </w:r>
      <w:r>
        <w:rPr>
          <w:rFonts w:hint="eastAsia" w:ascii="宋体" w:hAnsi="宋体" w:eastAsia="宋体" w:cs="宋体"/>
          <w:sz w:val="24"/>
          <w:szCs w:val="24"/>
        </w:rPr>
        <w:t>项目进行了采购。经</w:t>
      </w:r>
      <w:r>
        <w:rPr>
          <w:rFonts w:hint="eastAsia" w:ascii="宋体" w:hAnsi="宋体" w:eastAsia="宋体" w:cs="宋体"/>
          <w:sz w:val="24"/>
          <w:szCs w:val="24"/>
          <w:u w:val="single"/>
        </w:rPr>
        <w:t xml:space="preserve">   （相关评定主体名称）   </w:t>
      </w:r>
      <w:r>
        <w:rPr>
          <w:rFonts w:hint="eastAsia" w:ascii="宋体" w:hAnsi="宋体" w:eastAsia="宋体" w:cs="宋体"/>
          <w:sz w:val="24"/>
          <w:szCs w:val="24"/>
        </w:rPr>
        <w:t>评定，</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rPr>
        <w:t>为该项目中标供应商。现于中标通知书发出之日起三十日内，按照采购文件确定的事项签订本合同。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lang w:val="zh-CN"/>
        </w:rPr>
        <w:t>(以下简称：甲方)和</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lang w:val="zh-CN"/>
        </w:rPr>
        <w:t>(以下简称：乙方)协商一致，约定以下合同</w:t>
      </w:r>
      <w:r>
        <w:rPr>
          <w:rFonts w:hint="eastAsia" w:ascii="宋体" w:hAnsi="宋体" w:eastAsia="宋体" w:cs="宋体"/>
          <w:sz w:val="24"/>
          <w:szCs w:val="24"/>
        </w:rPr>
        <w:t>条款，以兹共同遵守、全面履行。</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134" w:name="_Toc19273"/>
      <w:bookmarkStart w:id="135" w:name="_Toc15367"/>
      <w:bookmarkStart w:id="136" w:name="_Toc20421"/>
      <w:bookmarkStart w:id="137" w:name="_Toc22967"/>
      <w:bookmarkStart w:id="138" w:name="_Toc28855"/>
      <w:r>
        <w:rPr>
          <w:rFonts w:hint="eastAsia" w:ascii="宋体" w:hAnsi="宋体" w:eastAsia="宋体" w:cs="宋体"/>
          <w:b/>
          <w:bCs/>
          <w:sz w:val="24"/>
          <w:szCs w:val="24"/>
        </w:rPr>
        <w:t>1.1 合同组成部分</w:t>
      </w:r>
      <w:bookmarkEnd w:id="134"/>
      <w:bookmarkEnd w:id="135"/>
      <w:bookmarkEnd w:id="136"/>
      <w:bookmarkEnd w:id="137"/>
      <w:bookmarkEnd w:id="138"/>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中标通知书；</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投标文件（含澄清或者说明文件）；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招标文件（含澄清或者修改文件）；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其他相关采购文件。</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139" w:name="_Toc22185"/>
      <w:bookmarkStart w:id="140" w:name="_Toc2918"/>
      <w:bookmarkStart w:id="141" w:name="_Toc6773"/>
      <w:bookmarkStart w:id="142" w:name="_Toc6311"/>
      <w:bookmarkStart w:id="143" w:name="_Toc18585"/>
      <w:r>
        <w:rPr>
          <w:rFonts w:hint="eastAsia" w:ascii="宋体" w:hAnsi="宋体" w:eastAsia="宋体" w:cs="宋体"/>
          <w:b/>
          <w:bCs/>
          <w:sz w:val="24"/>
          <w:szCs w:val="24"/>
        </w:rPr>
        <w:t>1.2 标的</w:t>
      </w:r>
      <w:bookmarkEnd w:id="139"/>
      <w:bookmarkEnd w:id="140"/>
      <w:bookmarkEnd w:id="141"/>
      <w:bookmarkEnd w:id="142"/>
      <w:bookmarkEnd w:id="143"/>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1.2.1 标的名称：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1.2.2 标的数量：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1.2.3 标的质量：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144" w:name="_Toc13918"/>
      <w:bookmarkStart w:id="145" w:name="_Toc4929"/>
      <w:bookmarkStart w:id="146" w:name="_Toc1386"/>
      <w:bookmarkStart w:id="147" w:name="_Toc21124"/>
      <w:bookmarkStart w:id="148" w:name="_Toc5635"/>
      <w:r>
        <w:rPr>
          <w:rFonts w:hint="eastAsia" w:ascii="宋体" w:hAnsi="宋体" w:eastAsia="宋体" w:cs="宋体"/>
          <w:b/>
          <w:bCs/>
          <w:sz w:val="24"/>
          <w:szCs w:val="24"/>
        </w:rPr>
        <w:t>1.3 价款</w:t>
      </w:r>
      <w:bookmarkEnd w:id="144"/>
      <w:bookmarkEnd w:id="145"/>
      <w:bookmarkEnd w:id="146"/>
      <w:bookmarkEnd w:id="147"/>
      <w:bookmarkEnd w:id="148"/>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90"/>
              <w:keepNext w:val="0"/>
              <w:keepLines w:val="0"/>
              <w:pageBreakBefore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402" w:type="dxa"/>
            <w:noWrap w:val="0"/>
            <w:vAlign w:val="center"/>
          </w:tcPr>
          <w:p>
            <w:pPr>
              <w:pStyle w:val="90"/>
              <w:keepNext w:val="0"/>
              <w:keepLines w:val="0"/>
              <w:pageBreakBefore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分项名称</w:t>
            </w:r>
          </w:p>
        </w:tc>
        <w:tc>
          <w:tcPr>
            <w:tcW w:w="2552" w:type="dxa"/>
            <w:noWrap w:val="0"/>
            <w:vAlign w:val="center"/>
          </w:tcPr>
          <w:p>
            <w:pPr>
              <w:pStyle w:val="90"/>
              <w:keepNext w:val="0"/>
              <w:keepLines w:val="0"/>
              <w:pageBreakBefore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90"/>
              <w:keepNext w:val="0"/>
              <w:keepLines w:val="0"/>
              <w:pageBreakBefore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sz w:val="24"/>
                <w:szCs w:val="24"/>
              </w:rPr>
            </w:pPr>
          </w:p>
        </w:tc>
        <w:tc>
          <w:tcPr>
            <w:tcW w:w="3402" w:type="dxa"/>
            <w:noWrap w:val="0"/>
            <w:vAlign w:val="center"/>
          </w:tcPr>
          <w:p>
            <w:pPr>
              <w:pStyle w:val="90"/>
              <w:keepNext w:val="0"/>
              <w:keepLines w:val="0"/>
              <w:pageBreakBefore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sz w:val="24"/>
                <w:szCs w:val="24"/>
              </w:rPr>
            </w:pPr>
          </w:p>
        </w:tc>
        <w:tc>
          <w:tcPr>
            <w:tcW w:w="2552" w:type="dxa"/>
            <w:noWrap w:val="0"/>
            <w:vAlign w:val="center"/>
          </w:tcPr>
          <w:p>
            <w:pPr>
              <w:pStyle w:val="90"/>
              <w:keepNext w:val="0"/>
              <w:keepLines w:val="0"/>
              <w:pageBreakBefore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90"/>
              <w:keepNext w:val="0"/>
              <w:keepLines w:val="0"/>
              <w:pageBreakBefore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sz w:val="24"/>
                <w:szCs w:val="24"/>
              </w:rPr>
            </w:pPr>
          </w:p>
        </w:tc>
        <w:tc>
          <w:tcPr>
            <w:tcW w:w="3402" w:type="dxa"/>
            <w:noWrap w:val="0"/>
            <w:vAlign w:val="center"/>
          </w:tcPr>
          <w:p>
            <w:pPr>
              <w:pStyle w:val="90"/>
              <w:keepNext w:val="0"/>
              <w:keepLines w:val="0"/>
              <w:pageBreakBefore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sz w:val="24"/>
                <w:szCs w:val="24"/>
              </w:rPr>
            </w:pPr>
          </w:p>
        </w:tc>
        <w:tc>
          <w:tcPr>
            <w:tcW w:w="2552" w:type="dxa"/>
            <w:noWrap w:val="0"/>
            <w:vAlign w:val="center"/>
          </w:tcPr>
          <w:p>
            <w:pPr>
              <w:pStyle w:val="90"/>
              <w:keepNext w:val="0"/>
              <w:keepLines w:val="0"/>
              <w:pageBreakBefore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90"/>
              <w:keepNext w:val="0"/>
              <w:keepLines w:val="0"/>
              <w:pageBreakBefore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sz w:val="24"/>
                <w:szCs w:val="24"/>
              </w:rPr>
            </w:pPr>
          </w:p>
        </w:tc>
        <w:tc>
          <w:tcPr>
            <w:tcW w:w="3402" w:type="dxa"/>
            <w:noWrap w:val="0"/>
            <w:vAlign w:val="center"/>
          </w:tcPr>
          <w:p>
            <w:pPr>
              <w:pStyle w:val="90"/>
              <w:keepNext w:val="0"/>
              <w:keepLines w:val="0"/>
              <w:pageBreakBefore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sz w:val="24"/>
                <w:szCs w:val="24"/>
              </w:rPr>
            </w:pPr>
          </w:p>
        </w:tc>
        <w:tc>
          <w:tcPr>
            <w:tcW w:w="2552" w:type="dxa"/>
            <w:noWrap w:val="0"/>
            <w:vAlign w:val="center"/>
          </w:tcPr>
          <w:p>
            <w:pPr>
              <w:pStyle w:val="90"/>
              <w:keepNext w:val="0"/>
              <w:keepLines w:val="0"/>
              <w:pageBreakBefore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90"/>
              <w:keepNext w:val="0"/>
              <w:keepLines w:val="0"/>
              <w:pageBreakBefore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sz w:val="24"/>
                <w:szCs w:val="24"/>
              </w:rPr>
            </w:pPr>
          </w:p>
        </w:tc>
        <w:tc>
          <w:tcPr>
            <w:tcW w:w="3402" w:type="dxa"/>
            <w:noWrap w:val="0"/>
            <w:vAlign w:val="center"/>
          </w:tcPr>
          <w:p>
            <w:pPr>
              <w:pStyle w:val="90"/>
              <w:keepNext w:val="0"/>
              <w:keepLines w:val="0"/>
              <w:pageBreakBefore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sz w:val="24"/>
                <w:szCs w:val="24"/>
              </w:rPr>
            </w:pPr>
          </w:p>
        </w:tc>
        <w:tc>
          <w:tcPr>
            <w:tcW w:w="2552" w:type="dxa"/>
            <w:noWrap w:val="0"/>
            <w:vAlign w:val="center"/>
          </w:tcPr>
          <w:p>
            <w:pPr>
              <w:pStyle w:val="90"/>
              <w:keepNext w:val="0"/>
              <w:keepLines w:val="0"/>
              <w:pageBreakBefore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90"/>
              <w:keepNext w:val="0"/>
              <w:keepLines w:val="0"/>
              <w:pageBreakBefore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总价</w:t>
            </w:r>
          </w:p>
        </w:tc>
        <w:tc>
          <w:tcPr>
            <w:tcW w:w="2552" w:type="dxa"/>
            <w:noWrap w:val="0"/>
            <w:vAlign w:val="center"/>
          </w:tcPr>
          <w:p>
            <w:pPr>
              <w:pStyle w:val="90"/>
              <w:keepNext w:val="0"/>
              <w:keepLines w:val="0"/>
              <w:pageBreakBefore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sz w:val="24"/>
                <w:szCs w:val="24"/>
              </w:rPr>
            </w:pPr>
          </w:p>
        </w:tc>
      </w:tr>
    </w:tbl>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149" w:name="_Toc30158"/>
      <w:bookmarkStart w:id="150" w:name="_Toc3654"/>
      <w:bookmarkStart w:id="151" w:name="_Toc14993"/>
      <w:bookmarkStart w:id="152" w:name="_Toc26916"/>
      <w:bookmarkStart w:id="153" w:name="_Toc30506"/>
      <w:r>
        <w:rPr>
          <w:rFonts w:hint="eastAsia" w:ascii="宋体" w:hAnsi="宋体" w:eastAsia="宋体" w:cs="宋体"/>
          <w:b/>
          <w:bCs/>
          <w:sz w:val="24"/>
          <w:szCs w:val="24"/>
        </w:rPr>
        <w:t>1.4 付款方式和发票开具方式</w:t>
      </w:r>
      <w:bookmarkEnd w:id="149"/>
      <w:bookmarkEnd w:id="150"/>
      <w:bookmarkEnd w:id="151"/>
      <w:bookmarkEnd w:id="152"/>
      <w:bookmarkEnd w:id="153"/>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1.4.1付款方式：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1.4.2 发票开具方式：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154" w:name="_Toc8772"/>
      <w:bookmarkStart w:id="155" w:name="_Toc11108"/>
      <w:bookmarkStart w:id="156" w:name="_Toc4760"/>
      <w:bookmarkStart w:id="157" w:name="_Toc3625"/>
      <w:bookmarkStart w:id="158" w:name="_Toc31421"/>
      <w:r>
        <w:rPr>
          <w:rFonts w:hint="eastAsia" w:ascii="宋体" w:hAnsi="宋体" w:eastAsia="宋体" w:cs="宋体"/>
          <w:b/>
          <w:bCs/>
          <w:sz w:val="24"/>
          <w:szCs w:val="24"/>
        </w:rPr>
        <w:t>1.5 履行期限、地点和方式</w:t>
      </w:r>
      <w:bookmarkEnd w:id="154"/>
      <w:bookmarkEnd w:id="155"/>
      <w:bookmarkEnd w:id="156"/>
      <w:bookmarkEnd w:id="157"/>
      <w:bookmarkEnd w:id="158"/>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1.5.1 履行期限：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1.5.2 履行地点：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1.5.3 履行方式：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159" w:name="_Toc2375"/>
      <w:bookmarkStart w:id="160" w:name="_Toc24662"/>
      <w:bookmarkStart w:id="161" w:name="_Toc8586"/>
      <w:bookmarkStart w:id="162" w:name="_Toc5698"/>
      <w:bookmarkStart w:id="163" w:name="_Toc3079"/>
      <w:r>
        <w:rPr>
          <w:rFonts w:hint="eastAsia" w:ascii="宋体" w:hAnsi="宋体" w:eastAsia="宋体" w:cs="宋体"/>
          <w:b/>
          <w:bCs/>
          <w:sz w:val="24"/>
          <w:szCs w:val="24"/>
        </w:rPr>
        <w:t>1.6 违约责任</w:t>
      </w:r>
      <w:bookmarkEnd w:id="159"/>
      <w:bookmarkEnd w:id="160"/>
      <w:bookmarkEnd w:id="161"/>
      <w:bookmarkEnd w:id="162"/>
      <w:bookmarkEnd w:id="163"/>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%；迟延履行的违约金计算数额达到前述最高限额之日起，甲方有权在要求乙方支付违约金的同时，书面通知乙方解除本合同；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%；迟延付款的违约金计算数额达到前述最高限额之日起，乙方有权在要求甲方支付违约金的同时，书面通知甲方解除本合同；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164" w:name="_Toc26807"/>
      <w:bookmarkStart w:id="165" w:name="_Toc32454"/>
      <w:bookmarkStart w:id="166" w:name="_Toc30329"/>
      <w:bookmarkStart w:id="167" w:name="_Toc9497"/>
      <w:bookmarkStart w:id="168" w:name="_Toc18683"/>
      <w:r>
        <w:rPr>
          <w:rFonts w:hint="eastAsia" w:ascii="宋体" w:hAnsi="宋体" w:eastAsia="宋体" w:cs="宋体"/>
          <w:b/>
          <w:bCs/>
          <w:sz w:val="24"/>
          <w:szCs w:val="24"/>
        </w:rPr>
        <w:t>1.7 合同争议的解决</w:t>
      </w:r>
      <w:bookmarkEnd w:id="164"/>
      <w:bookmarkEnd w:id="165"/>
      <w:bookmarkEnd w:id="166"/>
      <w:bookmarkEnd w:id="167"/>
      <w:bookmarkEnd w:id="168"/>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1.7.1 将争议提交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仲裁委员会依申请仲裁时其现行有效的仲裁规则裁决；</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1.7.2 向</w:t>
      </w:r>
      <w:r>
        <w:rPr>
          <w:rFonts w:hint="eastAsia" w:ascii="宋体" w:hAnsi="宋体" w:eastAsia="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rPr>
        <w:t>人民法院起诉。</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169" w:name="_Toc26227"/>
      <w:bookmarkStart w:id="170" w:name="_Toc16417"/>
      <w:bookmarkStart w:id="171" w:name="_Toc12273"/>
      <w:bookmarkStart w:id="172" w:name="_Toc23784"/>
      <w:bookmarkStart w:id="173" w:name="_Toc15827"/>
      <w:r>
        <w:rPr>
          <w:rFonts w:hint="eastAsia" w:ascii="宋体" w:hAnsi="宋体" w:eastAsia="宋体" w:cs="宋体"/>
          <w:b/>
          <w:bCs/>
          <w:sz w:val="24"/>
          <w:szCs w:val="24"/>
        </w:rPr>
        <w:t>1.8 合同生效</w:t>
      </w:r>
      <w:bookmarkEnd w:id="169"/>
      <w:bookmarkEnd w:id="170"/>
      <w:bookmarkEnd w:id="171"/>
      <w:bookmarkEnd w:id="172"/>
      <w:bookmarkEnd w:id="173"/>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本合同自双方当事人盖章或者签字时生效。</w:t>
      </w:r>
    </w:p>
    <w:p>
      <w:pPr>
        <w:keepNext w:val="0"/>
        <w:keepLines w:val="0"/>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p>
    <w:p>
      <w:pPr>
        <w:keepNext w:val="0"/>
        <w:keepLines w:val="0"/>
        <w:pageBreakBefore w:val="0"/>
        <w:kinsoku/>
        <w:wordWrap/>
        <w:overflowPunct/>
        <w:topLinePunct w:val="0"/>
        <w:autoSpaceDE w:val="0"/>
        <w:autoSpaceDN w:val="0"/>
        <w:bidi w:val="0"/>
        <w:adjustRightInd w:val="0"/>
        <w:snapToGrid/>
        <w:spacing w:line="400" w:lineRule="exact"/>
        <w:ind w:firstLine="482" w:firstLineChars="200"/>
        <w:textAlignment w:val="auto"/>
        <w:rPr>
          <w:rFonts w:hint="eastAsia"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pPr>
        <w:keepNext w:val="0"/>
        <w:keepLines w:val="0"/>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pPr>
        <w:keepNext w:val="0"/>
        <w:keepLines w:val="0"/>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p>
    <w:p>
      <w:pPr>
        <w:keepNext w:val="0"/>
        <w:keepLines w:val="0"/>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pPr>
        <w:keepNext w:val="0"/>
        <w:keepLines w:val="0"/>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pPr>
        <w:keepNext w:val="0"/>
        <w:keepLines w:val="0"/>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pPr>
        <w:keepNext w:val="0"/>
        <w:keepLines w:val="0"/>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pPr>
        <w:keepNext w:val="0"/>
        <w:keepLines w:val="0"/>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pPr>
        <w:keepNext w:val="0"/>
        <w:keepLines w:val="0"/>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pPr>
        <w:keepNext w:val="0"/>
        <w:keepLines w:val="0"/>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pPr>
        <w:keepNext w:val="0"/>
        <w:keepLines w:val="0"/>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pPr>
        <w:keepNext w:val="0"/>
        <w:keepLines w:val="0"/>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pPr>
        <w:keepNext w:val="0"/>
        <w:keepLines w:val="0"/>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pPr>
        <w:keepNext w:val="0"/>
        <w:keepLines w:val="0"/>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pPr>
        <w:keepNext w:val="0"/>
        <w:keepLines w:val="0"/>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pPr>
        <w:keepNext w:val="0"/>
        <w:keepLines w:val="0"/>
        <w:pageBreakBefore w:val="0"/>
        <w:widowControl/>
        <w:kinsoku/>
        <w:wordWrap/>
        <w:overflowPunct/>
        <w:topLinePunct w:val="0"/>
        <w:bidi w:val="0"/>
        <w:snapToGrid/>
        <w:spacing w:line="400" w:lineRule="exact"/>
        <w:ind w:firstLine="482" w:firstLineChars="200"/>
        <w:jc w:val="left"/>
        <w:textAlignment w:val="auto"/>
        <w:rPr>
          <w:rFonts w:hint="eastAsia" w:ascii="宋体" w:hAnsi="宋体" w:eastAsia="宋体" w:cs="宋体"/>
          <w:b/>
          <w:sz w:val="24"/>
          <w:szCs w:val="24"/>
        </w:rPr>
      </w:pPr>
      <w:bookmarkStart w:id="174" w:name="_Toc331685783"/>
    </w:p>
    <w:p>
      <w:pPr>
        <w:keepNext w:val="0"/>
        <w:keepLines w:val="0"/>
        <w:pageBreakBefore w:val="0"/>
        <w:widowControl/>
        <w:kinsoku/>
        <w:wordWrap/>
        <w:overflowPunct/>
        <w:topLinePunct w:val="0"/>
        <w:bidi w:val="0"/>
        <w:snapToGrid/>
        <w:spacing w:line="400" w:lineRule="exact"/>
        <w:ind w:firstLine="482" w:firstLineChars="200"/>
        <w:jc w:val="left"/>
        <w:textAlignment w:val="auto"/>
        <w:rPr>
          <w:rFonts w:hint="eastAsia" w:ascii="宋体" w:hAnsi="宋体" w:eastAsia="宋体" w:cs="宋体"/>
          <w:b/>
          <w:sz w:val="24"/>
          <w:szCs w:val="24"/>
        </w:rPr>
      </w:pPr>
    </w:p>
    <w:p>
      <w:pPr>
        <w:keepNext w:val="0"/>
        <w:keepLines w:val="0"/>
        <w:pageBreakBefore w:val="0"/>
        <w:widowControl/>
        <w:kinsoku/>
        <w:wordWrap/>
        <w:overflowPunct/>
        <w:topLinePunct w:val="0"/>
        <w:bidi w:val="0"/>
        <w:snapToGrid/>
        <w:spacing w:line="400" w:lineRule="exact"/>
        <w:ind w:firstLine="482" w:firstLineChars="200"/>
        <w:jc w:val="left"/>
        <w:textAlignment w:val="auto"/>
        <w:rPr>
          <w:rFonts w:hint="eastAsia" w:ascii="宋体" w:hAnsi="宋体" w:eastAsia="宋体" w:cs="宋体"/>
          <w:b/>
          <w:kern w:val="0"/>
          <w:sz w:val="24"/>
          <w:szCs w:val="24"/>
        </w:rPr>
      </w:pPr>
    </w:p>
    <w:p>
      <w:pPr>
        <w:keepNext w:val="0"/>
        <w:keepLines w:val="0"/>
        <w:pageBreakBefore w:val="0"/>
        <w:widowControl/>
        <w:kinsoku/>
        <w:wordWrap/>
        <w:overflowPunct/>
        <w:topLinePunct w:val="0"/>
        <w:bidi w:val="0"/>
        <w:snapToGrid/>
        <w:spacing w:line="400" w:lineRule="exact"/>
        <w:ind w:firstLine="482" w:firstLineChars="200"/>
        <w:jc w:val="left"/>
        <w:textAlignment w:val="auto"/>
        <w:rPr>
          <w:rFonts w:hint="eastAsia" w:ascii="宋体" w:hAnsi="宋体" w:eastAsia="宋体" w:cs="宋体"/>
          <w:b/>
          <w:kern w:val="0"/>
          <w:sz w:val="24"/>
          <w:szCs w:val="24"/>
        </w:rPr>
      </w:pPr>
    </w:p>
    <w:p>
      <w:pPr>
        <w:keepNext w:val="0"/>
        <w:keepLines w:val="0"/>
        <w:pageBreakBefore w:val="0"/>
        <w:widowControl/>
        <w:kinsoku/>
        <w:wordWrap/>
        <w:overflowPunct/>
        <w:topLinePunct w:val="0"/>
        <w:bidi w:val="0"/>
        <w:snapToGrid/>
        <w:spacing w:line="400" w:lineRule="exact"/>
        <w:ind w:firstLine="482" w:firstLineChars="200"/>
        <w:jc w:val="left"/>
        <w:textAlignment w:val="auto"/>
        <w:rPr>
          <w:rFonts w:hint="eastAsia" w:ascii="宋体" w:hAnsi="宋体" w:eastAsia="宋体" w:cs="宋体"/>
          <w:b/>
          <w:kern w:val="0"/>
          <w:sz w:val="24"/>
          <w:szCs w:val="24"/>
        </w:rPr>
      </w:pPr>
    </w:p>
    <w:p>
      <w:pPr>
        <w:pStyle w:val="31"/>
        <w:rPr>
          <w:rFonts w:hint="eastAsia" w:ascii="宋体" w:hAnsi="宋体" w:eastAsia="宋体" w:cs="宋体"/>
          <w:b/>
          <w:kern w:val="0"/>
          <w:sz w:val="24"/>
          <w:szCs w:val="24"/>
        </w:rPr>
      </w:pPr>
    </w:p>
    <w:p>
      <w:pPr>
        <w:pStyle w:val="31"/>
        <w:rPr>
          <w:rFonts w:hint="eastAsia" w:ascii="宋体" w:hAnsi="宋体" w:eastAsia="宋体" w:cs="宋体"/>
          <w:b/>
          <w:kern w:val="0"/>
          <w:sz w:val="24"/>
          <w:szCs w:val="24"/>
        </w:rPr>
      </w:pPr>
    </w:p>
    <w:p>
      <w:pPr>
        <w:pStyle w:val="31"/>
        <w:rPr>
          <w:rFonts w:hint="eastAsia" w:ascii="宋体" w:hAnsi="宋体" w:eastAsia="宋体" w:cs="宋体"/>
          <w:b/>
          <w:kern w:val="0"/>
          <w:sz w:val="24"/>
          <w:szCs w:val="24"/>
        </w:rPr>
      </w:pPr>
    </w:p>
    <w:p>
      <w:pPr>
        <w:pStyle w:val="31"/>
        <w:rPr>
          <w:rFonts w:hint="eastAsia" w:ascii="宋体" w:hAnsi="宋体" w:eastAsia="宋体" w:cs="宋体"/>
          <w:b/>
          <w:kern w:val="0"/>
          <w:sz w:val="24"/>
          <w:szCs w:val="24"/>
        </w:rPr>
      </w:pPr>
    </w:p>
    <w:p>
      <w:pPr>
        <w:pStyle w:val="31"/>
        <w:rPr>
          <w:rFonts w:hint="eastAsia" w:ascii="宋体" w:hAnsi="宋体" w:eastAsia="宋体" w:cs="宋体"/>
          <w:b/>
          <w:kern w:val="0"/>
          <w:sz w:val="24"/>
          <w:szCs w:val="24"/>
        </w:rPr>
      </w:pPr>
    </w:p>
    <w:p>
      <w:pPr>
        <w:pStyle w:val="31"/>
        <w:rPr>
          <w:rFonts w:hint="eastAsia" w:ascii="宋体" w:hAnsi="宋体" w:eastAsia="宋体" w:cs="宋体"/>
          <w:b/>
          <w:kern w:val="0"/>
          <w:sz w:val="24"/>
          <w:szCs w:val="24"/>
        </w:rPr>
      </w:pPr>
    </w:p>
    <w:p>
      <w:pPr>
        <w:pStyle w:val="31"/>
        <w:rPr>
          <w:rFonts w:hint="eastAsia" w:ascii="宋体" w:hAnsi="宋体" w:eastAsia="宋体" w:cs="宋体"/>
          <w:b/>
          <w:kern w:val="0"/>
          <w:sz w:val="24"/>
          <w:szCs w:val="24"/>
        </w:rPr>
      </w:pPr>
    </w:p>
    <w:p>
      <w:pPr>
        <w:pStyle w:val="31"/>
        <w:rPr>
          <w:rFonts w:hint="eastAsia" w:ascii="宋体" w:hAnsi="宋体" w:eastAsia="宋体" w:cs="宋体"/>
          <w:b/>
          <w:kern w:val="0"/>
          <w:sz w:val="24"/>
          <w:szCs w:val="24"/>
        </w:rPr>
      </w:pPr>
    </w:p>
    <w:p>
      <w:pPr>
        <w:keepNext w:val="0"/>
        <w:keepLines w:val="0"/>
        <w:pageBreakBefore w:val="0"/>
        <w:widowControl/>
        <w:kinsoku/>
        <w:wordWrap/>
        <w:overflowPunct/>
        <w:topLinePunct w:val="0"/>
        <w:bidi w:val="0"/>
        <w:snapToGrid/>
        <w:spacing w:line="400" w:lineRule="exact"/>
        <w:jc w:val="left"/>
        <w:textAlignment w:val="auto"/>
        <w:rPr>
          <w:rFonts w:hint="eastAsia" w:ascii="宋体" w:hAnsi="宋体" w:eastAsia="宋体" w:cs="宋体"/>
          <w:b/>
          <w:kern w:val="0"/>
          <w:sz w:val="24"/>
          <w:szCs w:val="24"/>
        </w:rPr>
      </w:pPr>
    </w:p>
    <w:p>
      <w:pPr>
        <w:pageBreakBefore w:val="0"/>
        <w:widowControl w:val="0"/>
        <w:numPr>
          <w:ilvl w:val="0"/>
          <w:numId w:val="2"/>
        </w:numPr>
        <w:kinsoku/>
        <w:wordWrap/>
        <w:overflowPunct/>
        <w:topLinePunct w:val="0"/>
        <w:autoSpaceDE/>
        <w:autoSpaceDN/>
        <w:bidi w:val="0"/>
        <w:snapToGrid/>
        <w:spacing w:line="400" w:lineRule="exact"/>
        <w:jc w:val="center"/>
        <w:outlineLvl w:val="1"/>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合同一般条款</w:t>
      </w:r>
      <w:bookmarkEnd w:id="174"/>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175" w:name="_Ref467379109"/>
      <w:bookmarkStart w:id="176" w:name="_Toc487900349"/>
      <w:bookmarkStart w:id="177" w:name="_Ref467379214"/>
      <w:bookmarkStart w:id="178" w:name="_Ref467378499"/>
      <w:bookmarkStart w:id="179" w:name="_Toc14021"/>
      <w:bookmarkStart w:id="180" w:name="_Ref467379225"/>
      <w:bookmarkStart w:id="181" w:name="_Toc31297"/>
      <w:bookmarkStart w:id="182" w:name="_Toc25079"/>
      <w:bookmarkStart w:id="183" w:name="_Ref467379205"/>
      <w:bookmarkStart w:id="184" w:name="_Toc259093669"/>
      <w:bookmarkStart w:id="185" w:name="_Toc5228"/>
      <w:bookmarkStart w:id="186" w:name="_Ref467379101"/>
      <w:bookmarkStart w:id="187" w:name="_Ref467378404"/>
      <w:bookmarkStart w:id="188" w:name="_Ref467378463"/>
      <w:bookmarkStart w:id="189" w:name="_Ref467379195"/>
      <w:bookmarkStart w:id="190" w:name="_Toc19680"/>
      <w:bookmarkStart w:id="191" w:name="_Toc279701240"/>
      <w:bookmarkStart w:id="192" w:name="_Ref467379094"/>
      <w:r>
        <w:rPr>
          <w:rFonts w:hint="eastAsia" w:ascii="宋体" w:hAnsi="宋体" w:eastAsia="宋体" w:cs="宋体"/>
          <w:b/>
          <w:bCs/>
          <w:sz w:val="24"/>
          <w:szCs w:val="24"/>
        </w:rPr>
        <w:t>2.1 定义</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 “合同”系指采购人和中标供应商签订的载明双方当事人所达成的协议，并包括所有的附件、附录和构成合同的其他文件。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“合同价”系指根据合同约定，中标供应商在完全履行合同义务后，采购人应支付给中标供应商的价格。</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 “服务”系指中标供应商根据合同约定应向采购人履行的除货物和工程以外的其他政府采购对象，包括采购人自身需要的服务和向社会公众提供的公共服务。</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bookmarkStart w:id="193" w:name="_Ref467378840"/>
      <w:r>
        <w:rPr>
          <w:rFonts w:hint="eastAsia" w:ascii="宋体" w:hAnsi="宋体" w:eastAsia="宋体" w:cs="宋体"/>
          <w:sz w:val="24"/>
          <w:szCs w:val="24"/>
        </w:rPr>
        <w:t>2.1.4 “甲方”系指与中标供应商签署合同的采购人</w:t>
      </w:r>
      <w:bookmarkEnd w:id="193"/>
      <w:r>
        <w:rPr>
          <w:rFonts w:hint="eastAsia" w:ascii="宋体" w:hAnsi="宋体" w:eastAsia="宋体" w:cs="宋体"/>
          <w:sz w:val="24"/>
          <w:szCs w:val="24"/>
        </w:rPr>
        <w:t>；采购人委托采购代理机构代表其与乙方签订合同的，采购人的授权委托书作为合同附件。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bookmarkStart w:id="194" w:name="_Ref467379400"/>
      <w:r>
        <w:rPr>
          <w:rFonts w:hint="eastAsia" w:ascii="宋体" w:hAnsi="宋体" w:eastAsia="宋体" w:cs="宋体"/>
          <w:sz w:val="24"/>
          <w:szCs w:val="24"/>
        </w:rPr>
        <w:t>2.1.5 “乙方”系指根据合同约定提供服务的中标供应商</w:t>
      </w:r>
      <w:bookmarkEnd w:id="194"/>
      <w:r>
        <w:rPr>
          <w:rFonts w:hint="eastAsia" w:ascii="宋体" w:hAnsi="宋体" w:eastAsia="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bookmarkStart w:id="195" w:name="_Ref467379436"/>
      <w:r>
        <w:rPr>
          <w:rFonts w:hint="eastAsia" w:ascii="宋体" w:hAnsi="宋体" w:eastAsia="宋体" w:cs="宋体"/>
          <w:sz w:val="24"/>
          <w:szCs w:val="24"/>
        </w:rPr>
        <w:t>2.1.6 “现场”系指合同约定提供服务的地点。</w:t>
      </w:r>
      <w:bookmarkEnd w:id="195"/>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196" w:name="_Toc19539"/>
      <w:bookmarkStart w:id="197" w:name="_Toc23289"/>
      <w:bookmarkStart w:id="198" w:name="_Toc31402"/>
      <w:bookmarkStart w:id="199" w:name="_Toc16752"/>
      <w:bookmarkStart w:id="200" w:name="_Toc259093670"/>
      <w:bookmarkStart w:id="201" w:name="_Toc279701241"/>
      <w:bookmarkStart w:id="202" w:name="_Toc3769"/>
      <w:bookmarkStart w:id="203" w:name="_Toc487900350"/>
      <w:r>
        <w:rPr>
          <w:rFonts w:hint="eastAsia" w:ascii="宋体" w:hAnsi="宋体" w:eastAsia="宋体" w:cs="宋体"/>
          <w:b/>
          <w:bCs/>
          <w:sz w:val="24"/>
          <w:szCs w:val="24"/>
        </w:rPr>
        <w:t>2.2 技术规范</w:t>
      </w:r>
      <w:bookmarkEnd w:id="196"/>
      <w:bookmarkEnd w:id="197"/>
      <w:bookmarkEnd w:id="198"/>
      <w:bookmarkEnd w:id="199"/>
      <w:bookmarkEnd w:id="200"/>
      <w:bookmarkEnd w:id="201"/>
      <w:bookmarkEnd w:id="202"/>
      <w:bookmarkEnd w:id="203"/>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204" w:name="_Toc27945"/>
      <w:bookmarkStart w:id="205" w:name="_Toc12412"/>
      <w:bookmarkStart w:id="206" w:name="_Toc4133"/>
      <w:bookmarkStart w:id="207" w:name="_Toc259093671"/>
      <w:bookmarkStart w:id="208" w:name="_Toc279701242"/>
      <w:bookmarkStart w:id="209" w:name="_Toc13673"/>
      <w:bookmarkStart w:id="210" w:name="_Toc487900351"/>
      <w:bookmarkStart w:id="211" w:name="_Toc9161"/>
      <w:r>
        <w:rPr>
          <w:rFonts w:hint="eastAsia" w:ascii="宋体" w:hAnsi="宋体" w:eastAsia="宋体" w:cs="宋体"/>
          <w:b/>
          <w:bCs/>
          <w:sz w:val="24"/>
          <w:szCs w:val="24"/>
        </w:rPr>
        <w:t>2.3 知识产权</w:t>
      </w:r>
      <w:bookmarkEnd w:id="204"/>
      <w:bookmarkEnd w:id="205"/>
      <w:bookmarkEnd w:id="206"/>
      <w:bookmarkEnd w:id="207"/>
      <w:bookmarkEnd w:id="208"/>
      <w:bookmarkEnd w:id="209"/>
      <w:bookmarkEnd w:id="210"/>
      <w:bookmarkEnd w:id="211"/>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 合同涉及技术成果的归属和收益的分成办法的，详见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2.4 履约检查和问题反馈</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bookmarkStart w:id="212" w:name="_Ref467379657"/>
      <w:r>
        <w:rPr>
          <w:rFonts w:hint="eastAsia" w:ascii="宋体" w:hAnsi="宋体" w:eastAsia="宋体" w:cs="宋体"/>
          <w:sz w:val="24"/>
          <w:szCs w:val="24"/>
        </w:rPr>
        <w:t>2.4.1</w:t>
      </w:r>
      <w:bookmarkEnd w:id="212"/>
      <w:bookmarkStart w:id="213" w:name="_Toc186431854"/>
      <w:bookmarkStart w:id="214" w:name="_Toc259093676"/>
      <w:bookmarkStart w:id="215" w:name="_Ref467379793"/>
      <w:bookmarkStart w:id="216" w:name="_Ref467379807"/>
      <w:bookmarkStart w:id="217" w:name="_Toc279701247"/>
      <w:bookmarkStart w:id="218" w:name="_Toc487900357"/>
      <w:r>
        <w:rPr>
          <w:rFonts w:hint="eastAsia" w:ascii="宋体" w:hAnsi="宋体" w:eastAsia="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2.4.2 合同履行期间，甲方有权将履行过程中出现的问题反馈给乙方，双方当事人应以书面形式约定需要完善和改进的内容</w:t>
      </w:r>
      <w:bookmarkEnd w:id="213"/>
      <w:bookmarkStart w:id="219" w:name="_Toc186431855"/>
      <w:r>
        <w:rPr>
          <w:rFonts w:hint="eastAsia" w:ascii="宋体" w:hAnsi="宋体" w:eastAsia="宋体" w:cs="宋体"/>
          <w:sz w:val="24"/>
          <w:szCs w:val="24"/>
        </w:rPr>
        <w:t>。</w:t>
      </w:r>
    </w:p>
    <w:bookmarkEnd w:id="219"/>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220" w:name="_Toc22011"/>
      <w:bookmarkStart w:id="221" w:name="_Toc15447"/>
      <w:bookmarkStart w:id="222" w:name="_Toc26555"/>
      <w:bookmarkStart w:id="223" w:name="_Toc32670"/>
      <w:bookmarkStart w:id="224" w:name="_Toc31233"/>
      <w:r>
        <w:rPr>
          <w:rFonts w:hint="eastAsia" w:ascii="宋体" w:hAnsi="宋体" w:eastAsia="宋体" w:cs="宋体"/>
          <w:b/>
          <w:bCs/>
          <w:sz w:val="24"/>
          <w:szCs w:val="24"/>
        </w:rPr>
        <w:t>2.5 结算方式和付款条件</w:t>
      </w:r>
      <w:bookmarkEnd w:id="214"/>
      <w:bookmarkEnd w:id="215"/>
      <w:bookmarkEnd w:id="216"/>
      <w:bookmarkEnd w:id="217"/>
      <w:bookmarkEnd w:id="218"/>
      <w:bookmarkEnd w:id="220"/>
      <w:bookmarkEnd w:id="221"/>
      <w:bookmarkEnd w:id="222"/>
      <w:bookmarkEnd w:id="223"/>
      <w:bookmarkEnd w:id="224"/>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225" w:name="_Toc279701248"/>
      <w:bookmarkStart w:id="226" w:name="_Toc259093677"/>
      <w:bookmarkStart w:id="227" w:name="_Toc487900358"/>
      <w:bookmarkStart w:id="228" w:name="_Ref467379923"/>
      <w:bookmarkStart w:id="229" w:name="_Ref467379863"/>
      <w:bookmarkStart w:id="230" w:name="_Ref467379852"/>
      <w:bookmarkStart w:id="231" w:name="_Toc16163"/>
      <w:bookmarkStart w:id="232" w:name="_Toc13154"/>
      <w:bookmarkStart w:id="233" w:name="_Toc30507"/>
      <w:bookmarkStart w:id="234" w:name="_Toc18990"/>
      <w:bookmarkStart w:id="235" w:name="_Toc13467"/>
      <w:r>
        <w:rPr>
          <w:rFonts w:hint="eastAsia" w:ascii="宋体" w:hAnsi="宋体" w:eastAsia="宋体" w:cs="宋体"/>
          <w:b/>
          <w:bCs/>
          <w:sz w:val="24"/>
          <w:szCs w:val="24"/>
        </w:rPr>
        <w:t>2.6 技术资料</w:t>
      </w:r>
      <w:bookmarkEnd w:id="225"/>
      <w:bookmarkEnd w:id="226"/>
      <w:bookmarkEnd w:id="227"/>
      <w:bookmarkEnd w:id="228"/>
      <w:bookmarkEnd w:id="229"/>
      <w:bookmarkEnd w:id="230"/>
      <w:r>
        <w:rPr>
          <w:rFonts w:hint="eastAsia" w:ascii="宋体" w:hAnsi="宋体" w:eastAsia="宋体" w:cs="宋体"/>
          <w:b/>
          <w:bCs/>
          <w:sz w:val="24"/>
          <w:szCs w:val="24"/>
        </w:rPr>
        <w:t>和保密义务</w:t>
      </w:r>
      <w:bookmarkEnd w:id="231"/>
      <w:bookmarkEnd w:id="232"/>
      <w:bookmarkEnd w:id="233"/>
      <w:bookmarkEnd w:id="234"/>
      <w:bookmarkEnd w:id="235"/>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2.6.1 乙方有权依据合同约定和项目需要，向甲方了解有关情况，调阅有关资料等，甲方应予积极配合；</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2.6.2 乙方有义务妥善保管和保护由甲方提供的前款信息和资料等；</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236" w:name="_Toc19069"/>
      <w:bookmarkStart w:id="237" w:name="_Toc259093681"/>
      <w:bookmarkStart w:id="238" w:name="_Toc487900362"/>
      <w:bookmarkStart w:id="239" w:name="_Toc279701252"/>
      <w:r>
        <w:rPr>
          <w:rFonts w:hint="eastAsia" w:ascii="宋体" w:hAnsi="宋体" w:eastAsia="宋体" w:cs="宋体"/>
          <w:b/>
          <w:bCs/>
          <w:sz w:val="24"/>
          <w:szCs w:val="24"/>
        </w:rPr>
        <w:t>2.7 质量保证</w:t>
      </w:r>
      <w:bookmarkEnd w:id="236"/>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2.7.1 乙方应建立和完善履行合同的内部质量保证体系，并提供相关内部规章制度给甲方，以便甲方进行监督检查；</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2.7.2 乙方应保证履行合同的人员数量和素质、软件和硬件设备的配置、场地、环境和设施等满足全面履行合同的要求，并应接受甲方的监督检查。</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240" w:name="_Toc22267"/>
      <w:r>
        <w:rPr>
          <w:rFonts w:hint="eastAsia" w:ascii="宋体" w:hAnsi="宋体" w:eastAsia="宋体" w:cs="宋体"/>
          <w:b/>
          <w:bCs/>
          <w:sz w:val="24"/>
          <w:szCs w:val="24"/>
        </w:rPr>
        <w:t>2.8 延迟</w:t>
      </w:r>
      <w:bookmarkEnd w:id="237"/>
      <w:bookmarkEnd w:id="238"/>
      <w:bookmarkEnd w:id="239"/>
      <w:r>
        <w:rPr>
          <w:rFonts w:hint="eastAsia" w:ascii="宋体" w:hAnsi="宋体" w:eastAsia="宋体" w:cs="宋体"/>
          <w:b/>
          <w:bCs/>
          <w:sz w:val="24"/>
          <w:szCs w:val="24"/>
        </w:rPr>
        <w:t>履行</w:t>
      </w:r>
      <w:bookmarkEnd w:id="240"/>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241" w:name="_Toc10611"/>
      <w:bookmarkStart w:id="242" w:name="_Toc487900364"/>
      <w:bookmarkStart w:id="243" w:name="_Toc279701254"/>
      <w:bookmarkStart w:id="244" w:name="_Toc259093683"/>
      <w:bookmarkStart w:id="245" w:name="_Ref467378121"/>
      <w:r>
        <w:rPr>
          <w:rFonts w:hint="eastAsia" w:ascii="宋体" w:hAnsi="宋体" w:eastAsia="宋体" w:cs="宋体"/>
          <w:b/>
          <w:bCs/>
          <w:sz w:val="24"/>
          <w:szCs w:val="24"/>
        </w:rPr>
        <w:t>2.9 合同变更</w:t>
      </w:r>
      <w:bookmarkEnd w:id="241"/>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2.9.2 合同继续履行将损害国家利益和社会公共利益的，双方当事人应当以书面形式变更合同。有过错的一方应当承担赔偿责任，双方当事人都有过错的，各自承担相应的责任。</w:t>
      </w:r>
      <w:bookmarkStart w:id="246" w:name="_Toc279701259"/>
      <w:bookmarkStart w:id="247" w:name="_Toc487900369"/>
      <w:bookmarkStart w:id="248" w:name="_Toc259093688"/>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249" w:name="_Toc26689"/>
      <w:bookmarkStart w:id="250" w:name="_Toc42"/>
      <w:bookmarkStart w:id="251" w:name="_Toc21830"/>
      <w:bookmarkStart w:id="252" w:name="_Toc10663"/>
      <w:bookmarkStart w:id="253" w:name="_Toc23368"/>
      <w:r>
        <w:rPr>
          <w:rFonts w:hint="eastAsia" w:ascii="宋体" w:hAnsi="宋体" w:eastAsia="宋体" w:cs="宋体"/>
          <w:b/>
          <w:bCs/>
          <w:sz w:val="24"/>
          <w:szCs w:val="24"/>
        </w:rPr>
        <w:t>2.10 合同转让</w:t>
      </w:r>
      <w:bookmarkEnd w:id="246"/>
      <w:bookmarkEnd w:id="247"/>
      <w:bookmarkEnd w:id="248"/>
      <w:r>
        <w:rPr>
          <w:rFonts w:hint="eastAsia" w:ascii="宋体" w:hAnsi="宋体" w:eastAsia="宋体" w:cs="宋体"/>
          <w:b/>
          <w:bCs/>
          <w:sz w:val="24"/>
          <w:szCs w:val="24"/>
        </w:rPr>
        <w:t>和分包</w:t>
      </w:r>
      <w:bookmarkEnd w:id="249"/>
      <w:bookmarkEnd w:id="250"/>
      <w:bookmarkEnd w:id="251"/>
      <w:bookmarkEnd w:id="252"/>
      <w:bookmarkEnd w:id="253"/>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254" w:name="_Toc32494"/>
      <w:bookmarkStart w:id="255" w:name="_Toc4720"/>
      <w:bookmarkStart w:id="256" w:name="_Toc25571"/>
      <w:bookmarkStart w:id="257" w:name="_Toc26633"/>
      <w:bookmarkStart w:id="258" w:name="_Toc14371"/>
      <w:r>
        <w:rPr>
          <w:rFonts w:hint="eastAsia" w:ascii="宋体" w:hAnsi="宋体" w:eastAsia="宋体" w:cs="宋体"/>
          <w:b/>
          <w:bCs/>
          <w:sz w:val="24"/>
          <w:szCs w:val="24"/>
        </w:rPr>
        <w:t>2.11 不可抗力</w:t>
      </w:r>
      <w:bookmarkEnd w:id="254"/>
      <w:bookmarkEnd w:id="255"/>
      <w:bookmarkEnd w:id="256"/>
      <w:bookmarkEnd w:id="257"/>
      <w:bookmarkEnd w:id="258"/>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2.11.1如果任何一方遭遇法律规定的不可抗力，致使合同履行受阻时，履行合同的期限应予延长，延长的期限应相当于不可抗力所影响的时间；</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2.11.2 因不可抗力致使不能实现合同目的的，当事人可以解除合同；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2.11.3 因不可抗力致使合同有变更必要的，双方当事人应在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约定时间内以书面形式变更合同；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2.11.4受不可抗力影响的一方在不可抗力发生后，应在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约定时间内，将有关部门出具的证明文件送达对方当事人。</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259" w:name="_Toc14115"/>
      <w:bookmarkStart w:id="260" w:name="_Toc487900365"/>
      <w:bookmarkStart w:id="261" w:name="_Toc279701255"/>
      <w:bookmarkStart w:id="262" w:name="_Toc25783"/>
      <w:bookmarkStart w:id="263" w:name="_Toc3638"/>
      <w:bookmarkStart w:id="264" w:name="_Toc24465"/>
      <w:bookmarkStart w:id="265" w:name="_Toc23854"/>
      <w:bookmarkStart w:id="266" w:name="_Toc259093684"/>
      <w:r>
        <w:rPr>
          <w:rFonts w:hint="eastAsia" w:ascii="宋体" w:hAnsi="宋体" w:eastAsia="宋体" w:cs="宋体"/>
          <w:b/>
          <w:bCs/>
          <w:sz w:val="24"/>
          <w:szCs w:val="24"/>
        </w:rPr>
        <w:t>2.12 税费</w:t>
      </w:r>
      <w:bookmarkEnd w:id="259"/>
      <w:bookmarkEnd w:id="260"/>
      <w:bookmarkEnd w:id="261"/>
      <w:bookmarkEnd w:id="262"/>
      <w:bookmarkEnd w:id="263"/>
      <w:bookmarkEnd w:id="264"/>
      <w:bookmarkEnd w:id="265"/>
      <w:bookmarkEnd w:id="266"/>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267" w:name="_Toc30105"/>
      <w:bookmarkStart w:id="268" w:name="_Toc25525"/>
      <w:bookmarkStart w:id="269" w:name="_Toc487900368"/>
      <w:bookmarkStart w:id="270" w:name="_Toc279701258"/>
      <w:bookmarkStart w:id="271" w:name="_Toc259093687"/>
      <w:bookmarkStart w:id="272" w:name="_Toc7315"/>
      <w:bookmarkStart w:id="273" w:name="_Toc14814"/>
      <w:bookmarkStart w:id="274" w:name="_Toc26883"/>
      <w:r>
        <w:rPr>
          <w:rFonts w:hint="eastAsia" w:ascii="宋体" w:hAnsi="宋体" w:eastAsia="宋体" w:cs="宋体"/>
          <w:b/>
          <w:bCs/>
          <w:sz w:val="24"/>
          <w:szCs w:val="24"/>
        </w:rPr>
        <w:t>2.13 乙方破产</w:t>
      </w:r>
      <w:bookmarkEnd w:id="267"/>
      <w:bookmarkEnd w:id="268"/>
      <w:bookmarkEnd w:id="269"/>
      <w:bookmarkEnd w:id="270"/>
      <w:bookmarkEnd w:id="271"/>
      <w:bookmarkEnd w:id="272"/>
      <w:bookmarkEnd w:id="273"/>
      <w:bookmarkEnd w:id="274"/>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275" w:name="_Toc23323"/>
      <w:bookmarkStart w:id="276" w:name="_Toc2016"/>
      <w:bookmarkStart w:id="277" w:name="_Toc1123"/>
      <w:r>
        <w:rPr>
          <w:rFonts w:hint="eastAsia" w:ascii="宋体" w:hAnsi="宋体" w:eastAsia="宋体" w:cs="宋体"/>
          <w:b/>
          <w:bCs/>
          <w:sz w:val="24"/>
          <w:szCs w:val="24"/>
        </w:rPr>
        <w:t>2.14 合同中止、终止</w:t>
      </w:r>
      <w:bookmarkEnd w:id="275"/>
      <w:bookmarkEnd w:id="276"/>
      <w:bookmarkEnd w:id="277"/>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2.14.1 双方当事人不得擅自中止或者终止合同；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2.14.2合同继续履行将损害国家利益和社会公共利益的，双方当事人应当中止或者终止合同。有过错的一方应当承担赔偿责任，双方当事人都有过错的，各自承担相应的责任。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278" w:name="_Toc17363"/>
      <w:bookmarkStart w:id="279" w:name="_Toc1969"/>
      <w:bookmarkStart w:id="280" w:name="_Toc14525"/>
      <w:r>
        <w:rPr>
          <w:rFonts w:hint="eastAsia" w:ascii="宋体" w:hAnsi="宋体" w:eastAsia="宋体" w:cs="宋体"/>
          <w:b/>
          <w:bCs/>
          <w:sz w:val="24"/>
          <w:szCs w:val="24"/>
        </w:rPr>
        <w:t>2.15 检验和验收</w:t>
      </w:r>
      <w:bookmarkEnd w:id="278"/>
      <w:bookmarkEnd w:id="279"/>
      <w:bookmarkEnd w:id="280"/>
    </w:p>
    <w:p>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2.15.1 乙方按照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的约定，定期提交服务报告，甲方按照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的约定进行定期验收；</w:t>
      </w:r>
    </w:p>
    <w:p>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2.15.3 检验和验收标准、程序等具体内容以及前述验收书的效力详见</w:t>
      </w:r>
      <w:r>
        <w:rPr>
          <w:rFonts w:hint="eastAsia" w:ascii="宋体" w:hAnsi="宋体" w:eastAsia="宋体" w:cs="宋体"/>
          <w:b/>
          <w:i/>
          <w:sz w:val="24"/>
          <w:szCs w:val="24"/>
          <w:u w:val="single"/>
        </w:rPr>
        <w:t>合同专用条款</w:t>
      </w:r>
      <w:r>
        <w:rPr>
          <w:rFonts w:hint="eastAsia" w:ascii="宋体" w:hAnsi="宋体" w:eastAsia="宋体" w:cs="宋体"/>
          <w:i/>
          <w:sz w:val="24"/>
          <w:szCs w:val="24"/>
        </w:rPr>
        <w:t>。</w:t>
      </w:r>
    </w:p>
    <w:bookmarkEnd w:id="242"/>
    <w:bookmarkEnd w:id="243"/>
    <w:bookmarkEnd w:id="244"/>
    <w:bookmarkEnd w:id="245"/>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281" w:name="_Toc259093690"/>
      <w:bookmarkStart w:id="282" w:name="_Toc487900371"/>
      <w:bookmarkStart w:id="283" w:name="_Toc279701261"/>
      <w:bookmarkStart w:id="284" w:name="_Toc31892"/>
      <w:bookmarkStart w:id="285" w:name="_Toc9808"/>
      <w:bookmarkStart w:id="286" w:name="_Toc12666"/>
      <w:bookmarkStart w:id="287" w:name="_Toc2308"/>
      <w:bookmarkStart w:id="288" w:name="_Toc25198"/>
      <w:r>
        <w:rPr>
          <w:rFonts w:hint="eastAsia" w:ascii="宋体" w:hAnsi="宋体" w:eastAsia="宋体" w:cs="宋体"/>
          <w:b/>
          <w:bCs/>
          <w:sz w:val="24"/>
          <w:szCs w:val="24"/>
        </w:rPr>
        <w:t>2.16 通知</w:t>
      </w:r>
      <w:bookmarkEnd w:id="281"/>
      <w:bookmarkEnd w:id="282"/>
      <w:bookmarkEnd w:id="283"/>
      <w:r>
        <w:rPr>
          <w:rFonts w:hint="eastAsia" w:ascii="宋体" w:hAnsi="宋体" w:eastAsia="宋体" w:cs="宋体"/>
          <w:b/>
          <w:bCs/>
          <w:sz w:val="24"/>
          <w:szCs w:val="24"/>
        </w:rPr>
        <w:t>和送达</w:t>
      </w:r>
      <w:bookmarkEnd w:id="284"/>
      <w:bookmarkEnd w:id="285"/>
      <w:bookmarkEnd w:id="286"/>
      <w:bookmarkEnd w:id="287"/>
      <w:bookmarkEnd w:id="288"/>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bookmarkStart w:id="289" w:name="_Toc7073"/>
      <w:bookmarkStart w:id="290" w:name="_Toc29220"/>
      <w:bookmarkStart w:id="291" w:name="_Toc259093691"/>
      <w:bookmarkStart w:id="292" w:name="_Toc279701262"/>
      <w:bookmarkStart w:id="293" w:name="_Toc487900372"/>
      <w:r>
        <w:rPr>
          <w:rFonts w:hint="eastAsia" w:ascii="宋体" w:hAnsi="宋体" w:eastAsia="宋体" w:cs="宋体"/>
          <w:sz w:val="24"/>
          <w:szCs w:val="24"/>
        </w:rPr>
        <w:t>2.16.1 任何一方因履行合同而以合同第一部分尾部所列明的</w:t>
      </w:r>
      <w:r>
        <w:rPr>
          <w:rFonts w:hint="eastAsia" w:ascii="宋体" w:hAnsi="宋体" w:eastAsia="宋体" w:cs="宋体"/>
          <w:sz w:val="24"/>
          <w:szCs w:val="24"/>
          <w:u w:val="single"/>
        </w:rPr>
        <w:t xml:space="preserve">          </w:t>
      </w:r>
      <w:r>
        <w:rPr>
          <w:rFonts w:hint="eastAsia" w:ascii="宋体" w:hAnsi="宋体" w:eastAsia="宋体" w:cs="宋体"/>
          <w:sz w:val="24"/>
          <w:szCs w:val="24"/>
        </w:rPr>
        <w:t>发出的所有通知、文件、材料，均视为已向对方当事人送达；任何一方变更上述送达方式或者地址的，应于</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个工作日内书面通知对方当事人，在对方当事人收到有关变更通知之前，变更前的约定送达方式或者地址仍视为有效。</w:t>
      </w:r>
      <w:bookmarkEnd w:id="289"/>
      <w:bookmarkEnd w:id="290"/>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bookmarkStart w:id="294" w:name="_Toc18401"/>
      <w:bookmarkStart w:id="295" w:name="_Toc27674"/>
      <w:r>
        <w:rPr>
          <w:rFonts w:hint="eastAsia" w:ascii="宋体" w:hAnsi="宋体" w:eastAsia="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94"/>
      <w:bookmarkEnd w:id="295"/>
    </w:p>
    <w:bookmarkEnd w:id="291"/>
    <w:bookmarkEnd w:id="292"/>
    <w:bookmarkEnd w:id="293"/>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296" w:name="_Toc28906"/>
      <w:bookmarkStart w:id="297" w:name="_Toc12254"/>
      <w:bookmarkStart w:id="298" w:name="_Toc259093692"/>
      <w:bookmarkStart w:id="299" w:name="_Toc27644"/>
      <w:bookmarkStart w:id="300" w:name="_Toc487900373"/>
      <w:bookmarkStart w:id="301" w:name="_Toc5063"/>
      <w:bookmarkStart w:id="302" w:name="_Toc279701263"/>
      <w:bookmarkStart w:id="303" w:name="_Toc20808"/>
      <w:r>
        <w:rPr>
          <w:rFonts w:hint="eastAsia" w:ascii="宋体" w:hAnsi="宋体" w:eastAsia="宋体" w:cs="宋体"/>
          <w:b/>
          <w:bCs/>
          <w:sz w:val="24"/>
          <w:szCs w:val="24"/>
        </w:rPr>
        <w:t>2.17 合同使用的文字和适用的法律</w:t>
      </w:r>
      <w:bookmarkEnd w:id="296"/>
      <w:bookmarkEnd w:id="297"/>
      <w:bookmarkEnd w:id="298"/>
      <w:bookmarkEnd w:id="299"/>
      <w:bookmarkEnd w:id="300"/>
      <w:bookmarkEnd w:id="301"/>
      <w:bookmarkEnd w:id="302"/>
      <w:bookmarkEnd w:id="303"/>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2.17.1 合同使用汉语书就、变更和解释；</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2.17.2 合同适用中华人民共和国法律。</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304" w:name="_Toc27127"/>
      <w:bookmarkStart w:id="305" w:name="_Toc22266"/>
      <w:bookmarkStart w:id="306" w:name="_Toc259093693"/>
      <w:bookmarkStart w:id="307" w:name="_Toc279701264"/>
      <w:bookmarkStart w:id="308" w:name="_Toc27403"/>
      <w:bookmarkStart w:id="309" w:name="_Toc1492"/>
      <w:bookmarkStart w:id="310" w:name="_Toc30096"/>
      <w:bookmarkStart w:id="311" w:name="_Toc487900374"/>
      <w:r>
        <w:rPr>
          <w:rFonts w:hint="eastAsia" w:ascii="宋体" w:hAnsi="宋体" w:eastAsia="宋体" w:cs="宋体"/>
          <w:b/>
          <w:bCs/>
          <w:sz w:val="24"/>
          <w:szCs w:val="24"/>
        </w:rPr>
        <w:t>2.18 履约保证金</w:t>
      </w:r>
      <w:bookmarkEnd w:id="304"/>
      <w:bookmarkEnd w:id="305"/>
      <w:bookmarkEnd w:id="306"/>
      <w:bookmarkEnd w:id="307"/>
      <w:bookmarkEnd w:id="308"/>
      <w:bookmarkEnd w:id="309"/>
      <w:bookmarkEnd w:id="310"/>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2.18.1 采购文件要求乙方提交履约保证金的，乙方应按</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约定的方式，以支票、汇票、本票或者金融机构、担保机构出具的保函等非现金形式，提交不超过合同价10%的履约保证金；</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2.18.2 履约保证金在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约定期间内不予退还或者应完全有效，前述约定期间届满之日起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个工作日内，甲方应将履约保证金退还乙方；</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11"/>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2.19 合同份数</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
          <w:sz w:val="24"/>
          <w:szCs w:val="24"/>
          <w:u w:val="single"/>
        </w:rPr>
        <w:t>合同专用条款</w:t>
      </w:r>
      <w:r>
        <w:rPr>
          <w:rFonts w:hint="eastAsia" w:ascii="宋体" w:hAnsi="宋体" w:eastAsia="宋体" w:cs="宋体"/>
          <w:sz w:val="24"/>
          <w:szCs w:val="24"/>
        </w:rPr>
        <w:t>规定，每份均具有同等法律效力。</w:t>
      </w:r>
    </w:p>
    <w:p>
      <w:pPr>
        <w:rPr>
          <w:rFonts w:hint="eastAsia" w:ascii="宋体" w:hAnsi="宋体" w:eastAsia="宋体" w:cs="宋体"/>
          <w:b/>
          <w:sz w:val="28"/>
          <w:szCs w:val="28"/>
          <w:lang w:val="zh-CN" w:eastAsia="zh-CN"/>
        </w:rPr>
      </w:pPr>
      <w:bookmarkStart w:id="312" w:name="_Toc30216"/>
      <w:bookmarkStart w:id="313" w:name="_Toc331685784"/>
    </w:p>
    <w:p>
      <w:pPr>
        <w:rPr>
          <w:rFonts w:hint="eastAsia" w:ascii="宋体" w:hAnsi="宋体" w:eastAsia="宋体" w:cs="宋体"/>
          <w:b/>
          <w:sz w:val="28"/>
          <w:szCs w:val="28"/>
          <w:lang w:val="zh-CN" w:eastAsia="zh-CN"/>
        </w:rPr>
      </w:pPr>
    </w:p>
    <w:p>
      <w:pPr>
        <w:rPr>
          <w:rFonts w:hint="eastAsia" w:ascii="宋体" w:hAnsi="宋体" w:eastAsia="宋体" w:cs="宋体"/>
          <w:b/>
          <w:sz w:val="28"/>
          <w:szCs w:val="28"/>
          <w:lang w:val="zh-CN" w:eastAsia="zh-CN"/>
        </w:rPr>
      </w:pPr>
    </w:p>
    <w:p>
      <w:pPr>
        <w:pStyle w:val="31"/>
        <w:rPr>
          <w:rFonts w:hint="eastAsia" w:ascii="宋体" w:hAnsi="宋体" w:eastAsia="宋体" w:cs="宋体"/>
          <w:b/>
          <w:sz w:val="28"/>
          <w:szCs w:val="28"/>
          <w:lang w:val="zh-CN" w:eastAsia="zh-CN"/>
        </w:rPr>
      </w:pPr>
    </w:p>
    <w:p>
      <w:pPr>
        <w:pStyle w:val="31"/>
        <w:rPr>
          <w:rFonts w:hint="eastAsia" w:ascii="宋体" w:hAnsi="宋体" w:eastAsia="宋体" w:cs="宋体"/>
          <w:b/>
          <w:sz w:val="28"/>
          <w:szCs w:val="28"/>
          <w:lang w:val="zh-CN" w:eastAsia="zh-CN"/>
        </w:rPr>
      </w:pPr>
    </w:p>
    <w:p>
      <w:pPr>
        <w:pStyle w:val="31"/>
        <w:rPr>
          <w:rFonts w:hint="eastAsia" w:ascii="宋体" w:hAnsi="宋体" w:eastAsia="宋体" w:cs="宋体"/>
          <w:b/>
          <w:sz w:val="28"/>
          <w:szCs w:val="28"/>
          <w:lang w:val="zh-CN" w:eastAsia="zh-CN"/>
        </w:rPr>
      </w:pPr>
    </w:p>
    <w:p>
      <w:pPr>
        <w:pStyle w:val="31"/>
        <w:rPr>
          <w:rFonts w:hint="eastAsia" w:ascii="宋体" w:hAnsi="宋体" w:eastAsia="宋体" w:cs="宋体"/>
          <w:b/>
          <w:sz w:val="28"/>
          <w:szCs w:val="28"/>
          <w:lang w:val="zh-CN" w:eastAsia="zh-CN"/>
        </w:rPr>
      </w:pPr>
    </w:p>
    <w:p>
      <w:pPr>
        <w:pStyle w:val="31"/>
        <w:rPr>
          <w:rFonts w:hint="eastAsia" w:ascii="宋体" w:hAnsi="宋体" w:eastAsia="宋体" w:cs="宋体"/>
          <w:b/>
          <w:sz w:val="28"/>
          <w:szCs w:val="28"/>
          <w:lang w:val="zh-CN" w:eastAsia="zh-CN"/>
        </w:rPr>
      </w:pPr>
    </w:p>
    <w:p>
      <w:pPr>
        <w:pStyle w:val="31"/>
        <w:rPr>
          <w:rFonts w:hint="eastAsia" w:ascii="宋体" w:hAnsi="宋体" w:eastAsia="宋体" w:cs="宋体"/>
          <w:b/>
          <w:sz w:val="28"/>
          <w:szCs w:val="28"/>
          <w:lang w:val="zh-CN" w:eastAsia="zh-CN"/>
        </w:rPr>
      </w:pPr>
    </w:p>
    <w:p>
      <w:pPr>
        <w:pStyle w:val="31"/>
        <w:rPr>
          <w:rFonts w:hint="eastAsia" w:ascii="宋体" w:hAnsi="宋体" w:eastAsia="宋体" w:cs="宋体"/>
          <w:b/>
          <w:sz w:val="28"/>
          <w:szCs w:val="28"/>
          <w:lang w:val="zh-CN" w:eastAsia="zh-CN"/>
        </w:rPr>
      </w:pPr>
    </w:p>
    <w:p>
      <w:pPr>
        <w:pStyle w:val="31"/>
        <w:rPr>
          <w:rFonts w:hint="eastAsia" w:ascii="宋体" w:hAnsi="宋体" w:eastAsia="宋体" w:cs="宋体"/>
          <w:b/>
          <w:sz w:val="28"/>
          <w:szCs w:val="28"/>
          <w:lang w:val="zh-CN" w:eastAsia="zh-CN"/>
        </w:rPr>
      </w:pPr>
    </w:p>
    <w:p>
      <w:pPr>
        <w:pStyle w:val="31"/>
        <w:rPr>
          <w:rFonts w:hint="eastAsia" w:ascii="宋体" w:hAnsi="宋体" w:eastAsia="宋体" w:cs="宋体"/>
          <w:b/>
          <w:sz w:val="28"/>
          <w:szCs w:val="28"/>
          <w:lang w:val="zh-CN" w:eastAsia="zh-CN"/>
        </w:rPr>
      </w:pPr>
    </w:p>
    <w:p>
      <w:pPr>
        <w:pStyle w:val="31"/>
        <w:rPr>
          <w:rFonts w:hint="eastAsia" w:ascii="宋体" w:hAnsi="宋体" w:eastAsia="宋体" w:cs="宋体"/>
          <w:b/>
          <w:sz w:val="28"/>
          <w:szCs w:val="28"/>
          <w:lang w:val="zh-CN" w:eastAsia="zh-CN"/>
        </w:rPr>
      </w:pPr>
    </w:p>
    <w:p>
      <w:pPr>
        <w:pStyle w:val="31"/>
        <w:rPr>
          <w:rFonts w:hint="eastAsia" w:ascii="宋体" w:hAnsi="宋体" w:eastAsia="宋体" w:cs="宋体"/>
          <w:b/>
          <w:sz w:val="28"/>
          <w:szCs w:val="28"/>
          <w:lang w:val="zh-CN" w:eastAsia="zh-CN"/>
        </w:rPr>
      </w:pPr>
    </w:p>
    <w:p>
      <w:pPr>
        <w:pStyle w:val="31"/>
        <w:rPr>
          <w:rFonts w:hint="eastAsia" w:ascii="宋体" w:hAnsi="宋体" w:eastAsia="宋体" w:cs="宋体"/>
          <w:b/>
          <w:sz w:val="28"/>
          <w:szCs w:val="28"/>
          <w:lang w:val="zh-CN" w:eastAsia="zh-CN"/>
        </w:rPr>
      </w:pPr>
    </w:p>
    <w:p>
      <w:pPr>
        <w:rPr>
          <w:rFonts w:hint="eastAsia" w:ascii="宋体" w:hAnsi="宋体" w:eastAsia="宋体" w:cs="宋体"/>
          <w:b/>
          <w:sz w:val="28"/>
          <w:szCs w:val="28"/>
          <w:lang w:val="zh-CN" w:eastAsia="zh-CN"/>
        </w:rPr>
      </w:pPr>
    </w:p>
    <w:p>
      <w:pPr>
        <w:rPr>
          <w:rFonts w:hint="eastAsia" w:ascii="宋体" w:hAnsi="宋体" w:eastAsia="宋体" w:cs="宋体"/>
          <w:b/>
          <w:sz w:val="28"/>
          <w:szCs w:val="28"/>
          <w:lang w:val="zh-CN" w:eastAsia="zh-CN"/>
        </w:rPr>
      </w:pPr>
    </w:p>
    <w:p>
      <w:pPr>
        <w:rPr>
          <w:rFonts w:hint="eastAsia" w:ascii="宋体" w:hAnsi="宋体" w:eastAsia="宋体" w:cs="宋体"/>
          <w:b/>
          <w:sz w:val="28"/>
          <w:szCs w:val="28"/>
          <w:lang w:val="zh-CN" w:eastAsia="zh-CN"/>
        </w:rPr>
      </w:pPr>
    </w:p>
    <w:p>
      <w:pPr>
        <w:rPr>
          <w:rFonts w:hint="eastAsia" w:ascii="宋体" w:hAnsi="宋体" w:eastAsia="宋体" w:cs="宋体"/>
          <w:b/>
          <w:sz w:val="28"/>
          <w:szCs w:val="28"/>
          <w:lang w:val="zh-CN" w:eastAsia="zh-CN"/>
        </w:rPr>
      </w:pPr>
    </w:p>
    <w:p>
      <w:pPr>
        <w:rPr>
          <w:rFonts w:hint="eastAsia" w:ascii="宋体" w:hAnsi="宋体" w:eastAsia="宋体" w:cs="宋体"/>
          <w:b/>
          <w:sz w:val="28"/>
          <w:szCs w:val="28"/>
          <w:lang w:val="zh-CN" w:eastAsia="zh-CN"/>
        </w:rPr>
      </w:pPr>
    </w:p>
    <w:p>
      <w:pPr>
        <w:rPr>
          <w:rFonts w:hint="eastAsia" w:ascii="宋体" w:hAnsi="宋体" w:eastAsia="宋体" w:cs="宋体"/>
          <w:b/>
          <w:sz w:val="28"/>
          <w:szCs w:val="28"/>
          <w:lang w:val="zh-CN" w:eastAsia="zh-CN"/>
        </w:rPr>
      </w:pPr>
    </w:p>
    <w:p>
      <w:pPr>
        <w:rPr>
          <w:rFonts w:hint="eastAsia" w:ascii="宋体" w:hAnsi="宋体" w:eastAsia="宋体" w:cs="宋体"/>
          <w:b/>
          <w:sz w:val="28"/>
          <w:szCs w:val="28"/>
          <w:lang w:val="zh-CN" w:eastAsia="zh-CN"/>
        </w:rPr>
      </w:pPr>
    </w:p>
    <w:p>
      <w:pPr>
        <w:rPr>
          <w:rFonts w:hint="eastAsia" w:ascii="宋体" w:hAnsi="宋体" w:eastAsia="宋体" w:cs="宋体"/>
          <w:b/>
          <w:sz w:val="28"/>
          <w:szCs w:val="28"/>
          <w:lang w:val="zh-CN" w:eastAsia="zh-CN"/>
        </w:rPr>
      </w:pPr>
    </w:p>
    <w:p>
      <w:pPr>
        <w:rPr>
          <w:rFonts w:hint="eastAsia" w:ascii="宋体" w:hAnsi="宋体" w:eastAsia="宋体" w:cs="宋体"/>
          <w:b/>
          <w:sz w:val="28"/>
          <w:szCs w:val="28"/>
          <w:lang w:val="zh-CN" w:eastAsia="zh-CN"/>
        </w:rPr>
      </w:pPr>
    </w:p>
    <w:p>
      <w:pPr>
        <w:rPr>
          <w:rFonts w:hint="eastAsia" w:ascii="宋体" w:hAnsi="宋体" w:eastAsia="宋体" w:cs="宋体"/>
          <w:b/>
          <w:sz w:val="28"/>
          <w:szCs w:val="28"/>
          <w:lang w:val="zh-CN" w:eastAsia="zh-CN"/>
        </w:rPr>
      </w:pPr>
    </w:p>
    <w:p>
      <w:pPr>
        <w:rPr>
          <w:rFonts w:hint="eastAsia" w:ascii="宋体" w:hAnsi="宋体" w:eastAsia="宋体" w:cs="宋体"/>
          <w:b/>
          <w:sz w:val="28"/>
          <w:szCs w:val="28"/>
          <w:lang w:val="zh-CN" w:eastAsia="zh-CN"/>
        </w:rPr>
      </w:pPr>
    </w:p>
    <w:p>
      <w:pPr>
        <w:rPr>
          <w:rFonts w:hint="eastAsia" w:ascii="宋体" w:hAnsi="宋体" w:eastAsia="宋体" w:cs="宋体"/>
          <w:b/>
          <w:sz w:val="28"/>
          <w:szCs w:val="28"/>
          <w:lang w:val="zh-CN" w:eastAsia="zh-CN"/>
        </w:rPr>
      </w:pPr>
    </w:p>
    <w:p>
      <w:pPr>
        <w:rPr>
          <w:rFonts w:hint="eastAsia" w:ascii="宋体" w:hAnsi="宋体" w:eastAsia="宋体" w:cs="宋体"/>
          <w:b/>
          <w:sz w:val="28"/>
          <w:szCs w:val="28"/>
          <w:lang w:val="zh-CN" w:eastAsia="zh-CN"/>
        </w:rPr>
      </w:pPr>
    </w:p>
    <w:p>
      <w:pPr>
        <w:rPr>
          <w:rFonts w:hint="eastAsia" w:ascii="宋体" w:hAnsi="宋体" w:eastAsia="宋体" w:cs="宋体"/>
          <w:b/>
          <w:sz w:val="28"/>
          <w:szCs w:val="28"/>
          <w:lang w:val="zh-CN" w:eastAsia="zh-CN"/>
        </w:rPr>
      </w:pPr>
    </w:p>
    <w:p>
      <w:pPr>
        <w:rPr>
          <w:rFonts w:hint="eastAsia" w:ascii="宋体" w:hAnsi="宋体" w:eastAsia="宋体" w:cs="宋体"/>
          <w:b/>
          <w:sz w:val="28"/>
          <w:szCs w:val="28"/>
          <w:lang w:val="zh-CN" w:eastAsia="zh-CN"/>
        </w:rPr>
      </w:pPr>
    </w:p>
    <w:p>
      <w:pPr>
        <w:pageBreakBefore w:val="0"/>
        <w:widowControl w:val="0"/>
        <w:numPr>
          <w:ilvl w:val="0"/>
          <w:numId w:val="2"/>
        </w:numPr>
        <w:kinsoku/>
        <w:wordWrap/>
        <w:overflowPunct/>
        <w:topLinePunct w:val="0"/>
        <w:autoSpaceDE/>
        <w:autoSpaceDN/>
        <w:bidi w:val="0"/>
        <w:snapToGrid/>
        <w:spacing w:line="400" w:lineRule="exact"/>
        <w:jc w:val="center"/>
        <w:outlineLvl w:val="1"/>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专用合同条款</w:t>
      </w:r>
      <w:bookmarkEnd w:id="312"/>
    </w:p>
    <w:bookmarkEnd w:id="313"/>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napToGrid/>
        <w:spacing w:line="400" w:lineRule="exact"/>
        <w:ind w:firstLine="480" w:firstLineChars="200"/>
        <w:textAlignment w:val="auto"/>
        <w:rPr>
          <w:rFonts w:hint="eastAsia"/>
        </w:rPr>
      </w:pPr>
      <w:r>
        <w:rPr>
          <w:rFonts w:hint="eastAsia" w:ascii="宋体" w:hAnsi="宋体" w:eastAsia="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pPr>
        <w:widowControl/>
        <w:jc w:val="left"/>
        <w:rPr>
          <w:rFonts w:asciiTheme="majorEastAsia" w:hAnsiTheme="majorEastAsia" w:eastAsiaTheme="majorEastAsia"/>
          <w:bCs/>
          <w:color w:val="000000" w:themeColor="text1"/>
          <w:sz w:val="28"/>
          <w:szCs w:val="28"/>
          <w14:textFill>
            <w14:solidFill>
              <w14:schemeClr w14:val="tx1"/>
            </w14:solidFill>
          </w14:textFill>
        </w:rPr>
      </w:pPr>
    </w:p>
    <w:p>
      <w:pPr>
        <w:widowControl/>
        <w:jc w:val="left"/>
        <w:rPr>
          <w:rFonts w:asciiTheme="majorEastAsia" w:hAnsiTheme="majorEastAsia" w:eastAsiaTheme="majorEastAsia"/>
          <w:bCs/>
          <w:color w:val="000000" w:themeColor="text1"/>
          <w:sz w:val="28"/>
          <w:szCs w:val="28"/>
          <w14:textFill>
            <w14:solidFill>
              <w14:schemeClr w14:val="tx1"/>
            </w14:solidFill>
          </w14:textFill>
        </w:rPr>
      </w:pPr>
      <w:r>
        <w:rPr>
          <w:rFonts w:asciiTheme="majorEastAsia" w:hAnsiTheme="majorEastAsia" w:eastAsiaTheme="majorEastAsia"/>
          <w:bCs/>
          <w:color w:val="000000" w:themeColor="text1"/>
          <w:sz w:val="28"/>
          <w:szCs w:val="28"/>
          <w14:textFill>
            <w14:solidFill>
              <w14:schemeClr w14:val="tx1"/>
            </w14:solidFill>
          </w14:textFill>
        </w:rPr>
        <w:br w:type="page"/>
      </w:r>
    </w:p>
    <w:p>
      <w:pPr>
        <w:widowControl/>
        <w:jc w:val="left"/>
        <w:rPr>
          <w:rFonts w:asciiTheme="majorEastAsia" w:hAnsiTheme="majorEastAsia" w:eastAsiaTheme="majorEastAsia"/>
          <w:bCs/>
          <w:color w:val="000000" w:themeColor="text1"/>
          <w:sz w:val="28"/>
          <w:szCs w:val="28"/>
          <w14:textFill>
            <w14:solidFill>
              <w14:schemeClr w14:val="tx1"/>
            </w14:solidFill>
          </w14:textFill>
        </w:rPr>
      </w:pPr>
    </w:p>
    <w:p>
      <w:pPr>
        <w:pStyle w:val="5"/>
        <w:numPr>
          <w:ilvl w:val="0"/>
          <w:numId w:val="1"/>
        </w:numPr>
        <w:spacing w:before="0" w:after="0" w:line="240" w:lineRule="auto"/>
        <w:ind w:left="0" w:leftChars="0"/>
        <w:rPr>
          <w:rFonts w:hint="eastAsia"/>
        </w:rPr>
      </w:pPr>
      <w:bookmarkStart w:id="314" w:name="_Toc7411"/>
      <w:bookmarkStart w:id="315" w:name="_Toc18901"/>
      <w:bookmarkStart w:id="316" w:name="_Toc257633148"/>
      <w:r>
        <w:rPr>
          <w:rFonts w:hint="eastAsia"/>
          <w:lang w:val="en-US" w:eastAsia="zh-CN"/>
        </w:rPr>
        <w:t xml:space="preserve"> </w:t>
      </w:r>
      <w:bookmarkStart w:id="317" w:name="_Toc804"/>
      <w:bookmarkStart w:id="318" w:name="_Toc16000"/>
      <w:r>
        <w:rPr>
          <w:rFonts w:hint="eastAsia"/>
        </w:rPr>
        <w:t>响应文件格式</w:t>
      </w:r>
      <w:bookmarkEnd w:id="314"/>
      <w:bookmarkEnd w:id="315"/>
      <w:bookmarkEnd w:id="317"/>
      <w:bookmarkEnd w:id="318"/>
    </w:p>
    <w:p>
      <w:pPr>
        <w:rPr>
          <w:rFonts w:hint="eastAsia"/>
          <w:sz w:val="24"/>
        </w:rPr>
      </w:pPr>
    </w:p>
    <w:p>
      <w:pPr>
        <w:spacing w:line="360" w:lineRule="auto"/>
        <w:jc w:val="center"/>
        <w:rPr>
          <w:rFonts w:hint="eastAsia" w:ascii="宋体" w:hAnsi="宋体"/>
          <w:b/>
          <w:sz w:val="28"/>
        </w:rPr>
      </w:pPr>
      <w:r>
        <w:rPr>
          <w:rFonts w:hint="eastAsia" w:ascii="宋体" w:hAnsi="宋体"/>
          <w:b/>
          <w:sz w:val="28"/>
          <w:lang w:eastAsia="zh-CN"/>
        </w:rPr>
        <w:t>响应</w:t>
      </w:r>
      <w:r>
        <w:rPr>
          <w:rFonts w:hint="eastAsia" w:ascii="宋体" w:hAnsi="宋体"/>
          <w:b/>
          <w:sz w:val="28"/>
        </w:rPr>
        <w:t>文件封面</w:t>
      </w:r>
    </w:p>
    <w:p>
      <w:pPr>
        <w:spacing w:line="360" w:lineRule="auto"/>
        <w:rPr>
          <w:rFonts w:hint="eastAsia" w:ascii="宋体" w:hAnsi="宋体"/>
          <w:b/>
          <w:sz w:val="28"/>
        </w:rPr>
      </w:pPr>
    </w:p>
    <w:p>
      <w:pPr>
        <w:spacing w:line="360" w:lineRule="auto"/>
        <w:jc w:val="center"/>
        <w:rPr>
          <w:rFonts w:hint="eastAsia" w:ascii="宋体" w:hAnsi="宋体"/>
          <w:sz w:val="28"/>
        </w:rPr>
      </w:pP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（项目名称）</w:t>
      </w: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（项目编号）</w:t>
      </w:r>
    </w:p>
    <w:p>
      <w:pPr>
        <w:spacing w:line="360" w:lineRule="auto"/>
        <w:jc w:val="center"/>
        <w:rPr>
          <w:rFonts w:hint="eastAsia" w:ascii="宋体" w:hAnsi="宋体"/>
          <w:sz w:val="28"/>
          <w:szCs w:val="28"/>
        </w:rPr>
      </w:pP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jc w:val="center"/>
        <w:rPr>
          <w:rFonts w:hint="eastAsia" w:ascii="宋体" w:hAnsi="宋体"/>
          <w:sz w:val="28"/>
        </w:rPr>
      </w:pPr>
    </w:p>
    <w:p>
      <w:pPr>
        <w:spacing w:line="360" w:lineRule="auto"/>
        <w:jc w:val="center"/>
        <w:rPr>
          <w:rFonts w:hint="eastAsia" w:ascii="宋体" w:hAnsi="宋体"/>
          <w:sz w:val="28"/>
        </w:rPr>
      </w:pPr>
    </w:p>
    <w:p>
      <w:pPr>
        <w:spacing w:line="360" w:lineRule="auto"/>
        <w:jc w:val="center"/>
        <w:rPr>
          <w:rFonts w:hint="eastAsia" w:eastAsia="黑体"/>
          <w:b/>
          <w:sz w:val="72"/>
          <w:szCs w:val="72"/>
        </w:rPr>
      </w:pPr>
      <w:r>
        <w:rPr>
          <w:rFonts w:hint="eastAsia" w:eastAsia="黑体"/>
          <w:b/>
          <w:sz w:val="72"/>
          <w:szCs w:val="72"/>
          <w:lang w:val="en-US" w:eastAsia="zh-CN"/>
        </w:rPr>
        <w:t>响应</w:t>
      </w:r>
      <w:r>
        <w:rPr>
          <w:rFonts w:hint="eastAsia" w:eastAsia="黑体"/>
          <w:b/>
          <w:sz w:val="72"/>
          <w:szCs w:val="72"/>
        </w:rPr>
        <w:t>文件</w:t>
      </w:r>
    </w:p>
    <w:p>
      <w:pPr>
        <w:spacing w:line="360" w:lineRule="auto"/>
        <w:jc w:val="center"/>
        <w:rPr>
          <w:rFonts w:hint="eastAsia" w:ascii="宋体" w:hAnsi="宋体"/>
          <w:sz w:val="28"/>
        </w:rPr>
      </w:pPr>
    </w:p>
    <w:p>
      <w:pPr>
        <w:spacing w:line="360" w:lineRule="auto"/>
        <w:jc w:val="both"/>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sz w:val="28"/>
          <w:szCs w:val="28"/>
          <w:u w:val="single"/>
        </w:rPr>
      </w:pPr>
      <w:r>
        <w:rPr>
          <w:rFonts w:hint="eastAsia" w:ascii="宋体" w:hAnsi="宋体"/>
          <w:sz w:val="28"/>
          <w:szCs w:val="28"/>
          <w:lang w:eastAsia="zh-CN"/>
        </w:rPr>
        <w:t>供应商：</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公</w:t>
      </w:r>
      <w:r>
        <w:rPr>
          <w:rFonts w:hint="eastAsia" w:ascii="宋体" w:hAnsi="宋体"/>
          <w:sz w:val="28"/>
          <w:szCs w:val="28"/>
        </w:rPr>
        <w:t>章）</w:t>
      </w:r>
    </w:p>
    <w:p>
      <w:pPr>
        <w:spacing w:line="360" w:lineRule="auto"/>
        <w:jc w:val="center"/>
        <w:rPr>
          <w:rFonts w:hint="eastAsia" w:ascii="宋体" w:hAnsi="宋体"/>
          <w:sz w:val="28"/>
          <w:szCs w:val="28"/>
        </w:rPr>
      </w:pPr>
      <w:r>
        <w:rPr>
          <w:rFonts w:hint="eastAsia" w:ascii="宋体" w:hAnsi="宋体"/>
          <w:sz w:val="28"/>
          <w:szCs w:val="28"/>
        </w:rPr>
        <w:t>法定代表人</w:t>
      </w:r>
      <w:r>
        <w:rPr>
          <w:rFonts w:hint="eastAsia" w:ascii="宋体" w:hAnsi="宋体" w:eastAsia="宋体" w:cs="宋体"/>
          <w:color w:val="auto"/>
          <w:sz w:val="28"/>
          <w:szCs w:val="28"/>
          <w:highlight w:val="none"/>
          <w:lang w:val="en-US" w:eastAsia="zh-CN"/>
        </w:rPr>
        <w:t>（单位负责人）</w:t>
      </w:r>
      <w:r>
        <w:rPr>
          <w:rFonts w:hint="eastAsia" w:ascii="宋体" w:hAnsi="宋体" w:eastAsia="宋体" w:cs="宋体"/>
          <w:color w:val="000000"/>
          <w:sz w:val="28"/>
          <w:szCs w:val="28"/>
          <w:lang w:eastAsia="zh-CN"/>
        </w:rPr>
        <w:t>或授权委托人</w:t>
      </w:r>
      <w:r>
        <w:rPr>
          <w:rFonts w:hint="eastAsia" w:ascii="宋体" w:hAnsi="宋体" w:cs="宋体"/>
          <w:color w:val="000000"/>
          <w:sz w:val="28"/>
          <w:szCs w:val="28"/>
          <w:lang w:eastAsia="zh-CN"/>
        </w:rPr>
        <w:t>：</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签字或盖章</w:t>
      </w:r>
      <w:r>
        <w:rPr>
          <w:rFonts w:hint="eastAsia" w:ascii="宋体" w:hAnsi="宋体"/>
          <w:sz w:val="28"/>
          <w:szCs w:val="28"/>
        </w:rPr>
        <w:t>）</w:t>
      </w:r>
    </w:p>
    <w:p>
      <w:pPr>
        <w:spacing w:line="360" w:lineRule="auto"/>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eastAsia="zh-CN"/>
        </w:rPr>
        <w:t>：</w:t>
      </w:r>
      <w:r>
        <w:rPr>
          <w:rFonts w:hint="eastAsia" w:ascii="宋体" w:hAnsi="宋体"/>
          <w:sz w:val="28"/>
          <w:szCs w:val="28"/>
          <w:u w:val="single"/>
        </w:rPr>
        <w:t xml:space="preserve">                   </w:t>
      </w:r>
      <w:r>
        <w:rPr>
          <w:rFonts w:hint="eastAsia" w:ascii="宋体" w:hAnsi="宋体"/>
          <w:sz w:val="28"/>
          <w:szCs w:val="28"/>
        </w:rPr>
        <w:t>（年/月/日）</w:t>
      </w: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pStyle w:val="31"/>
        <w:rPr>
          <w:rFonts w:hint="eastAsia"/>
        </w:rPr>
      </w:pPr>
    </w:p>
    <w:p>
      <w:pPr>
        <w:pStyle w:val="31"/>
        <w:rPr>
          <w:rFonts w:hint="eastAsia"/>
        </w:rPr>
      </w:pPr>
    </w:p>
    <w:p>
      <w:pPr>
        <w:pStyle w:val="7"/>
        <w:numPr>
          <w:ilvl w:val="2"/>
          <w:numId w:val="0"/>
        </w:numPr>
        <w:spacing w:before="145" w:beforeLines="50" w:after="145" w:afterLines="50" w:line="300" w:lineRule="auto"/>
        <w:ind w:leftChars="0"/>
        <w:jc w:val="center"/>
        <w:rPr>
          <w:rFonts w:hint="eastAsia" w:eastAsia="宋体"/>
          <w:lang w:eastAsia="zh-CN"/>
        </w:rPr>
      </w:pPr>
      <w:r>
        <w:rPr>
          <w:rFonts w:hint="eastAsia" w:ascii="宋体" w:eastAsia="宋体" w:cs="宋体"/>
          <w:b w:val="0"/>
          <w:bCs w:val="0"/>
          <w:sz w:val="30"/>
          <w:szCs w:val="30"/>
          <w:lang w:eastAsia="zh-CN"/>
        </w:rPr>
        <w:t>目录</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highlight w:val="red"/>
          <w:u w:val="none"/>
          <w:lang w:val="en-US" w:eastAsia="zh-CN" w:bidi="ar-SA"/>
        </w:rPr>
      </w:pPr>
      <w:r>
        <w:rPr>
          <w:rFonts w:hint="eastAsia" w:ascii="宋体" w:hAnsi="宋体" w:eastAsia="宋体" w:cs="宋体"/>
          <w:b/>
          <w:bCs/>
          <w:color w:val="auto"/>
          <w:kern w:val="2"/>
          <w:sz w:val="32"/>
          <w:szCs w:val="28"/>
          <w:highlight w:val="none"/>
          <w:u w:val="none"/>
          <w:lang w:val="en-US" w:eastAsia="zh-CN" w:bidi="ar-SA"/>
        </w:rPr>
        <w:t>一、资格证明文件</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sz w:val="24"/>
          <w:lang w:val="en-US" w:eastAsia="zh-CN"/>
        </w:rPr>
        <w:t>★</w:t>
      </w:r>
      <w:r>
        <w:rPr>
          <w:rFonts w:hint="eastAsia" w:ascii="宋体" w:hAnsi="宋体" w:eastAsia="宋体" w:cs="宋体"/>
          <w:kern w:val="2"/>
          <w:sz w:val="24"/>
          <w:szCs w:val="22"/>
          <w:u w:val="none"/>
          <w:lang w:val="en-US" w:eastAsia="zh-CN" w:bidi="ar-SA"/>
        </w:rPr>
        <w:t>符合《中华人民共和国政府采购法》第二十二条第一款规定的条件，提供下列材料：</w:t>
      </w:r>
    </w:p>
    <w:p>
      <w:pPr>
        <w:pStyle w:val="31"/>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具有独立承担民事责任的能力</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法人或其他组织提供营业执照等证明文件，自然人提供身份证明；</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注：提供材料为原件复印件并加盖公章，自然人身份证正反面复印件</w:t>
      </w:r>
    </w:p>
    <w:p>
      <w:pPr>
        <w:pStyle w:val="31"/>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具有良好的商业信誉和健全的财务会计制度</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提供近三年任意年度经审计财务报告或财务报表</w:t>
      </w:r>
      <w:r>
        <w:rPr>
          <w:rFonts w:hint="eastAsia" w:ascii="宋体" w:hAnsi="宋体" w:eastAsia="宋体" w:cs="宋体"/>
          <w:kern w:val="2"/>
          <w:sz w:val="24"/>
          <w:szCs w:val="22"/>
          <w:highlight w:val="none"/>
          <w:u w:val="none"/>
          <w:lang w:val="en-US" w:eastAsia="zh-CN" w:bidi="ar-SA"/>
        </w:rPr>
        <w:t>或</w:t>
      </w:r>
      <w:r>
        <w:rPr>
          <w:rFonts w:hint="eastAsia" w:ascii="宋体" w:hAnsi="宋体" w:eastAsia="宋体" w:cs="宋体"/>
          <w:kern w:val="2"/>
          <w:sz w:val="24"/>
          <w:szCs w:val="22"/>
          <w:u w:val="none"/>
          <w:lang w:val="en-US" w:eastAsia="zh-CN" w:bidi="ar-SA"/>
        </w:rPr>
        <w:t>银行出具的资信证明。</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注：提供的财务报告为原件复印件并加盖公章（成立时间不足一年的按企业实际情况提供），资信证明为原件</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3、有依法缴纳税收和社会保障资金的良好记录</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提供近半年任意时段的缴纳税收的凭证以及缴纳社会保险的凭证（专用收据或社会保险缴纳清单）；依法免税或不需要缴纳社会保障资金的，提供相应文件证明原件</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default"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注：提供材料为原件复印件并加盖公章</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4、具备履行合同所必需专业能力的书面声明（格式见附件一）</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5、参加政府采购活动前 3 年内在经营活动中没有重大违法记录的书面声明（格式见附件二）</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6、法律、行政法规规定的其他条件</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2"/>
          <w:u w:val="none"/>
          <w:lang w:val="en-US" w:eastAsia="zh-CN" w:bidi="ar-SA"/>
        </w:rPr>
      </w:pPr>
      <w:r>
        <w:rPr>
          <w:rFonts w:hint="eastAsia" w:ascii="宋体" w:hAnsi="宋体" w:eastAsia="宋体" w:cs="宋体"/>
          <w:b w:val="0"/>
          <w:bCs w:val="0"/>
          <w:kern w:val="2"/>
          <w:sz w:val="24"/>
          <w:szCs w:val="22"/>
          <w:u w:val="none"/>
          <w:lang w:val="en-US" w:eastAsia="zh-CN" w:bidi="ar-SA"/>
        </w:rPr>
        <w:t>资质证书、许可证书、认证证书等</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7、其它材料</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kern w:val="2"/>
          <w:sz w:val="24"/>
          <w:szCs w:val="22"/>
          <w:u w:val="none"/>
          <w:lang w:val="en-US" w:eastAsia="zh-CN" w:bidi="ar-SA"/>
        </w:rPr>
        <w:t>7.1</w:t>
      </w:r>
      <w:r>
        <w:rPr>
          <w:rFonts w:hint="eastAsia" w:ascii="宋体" w:hAnsi="宋体" w:eastAsia="宋体" w:cs="宋体"/>
          <w:kern w:val="2"/>
          <w:sz w:val="24"/>
          <w:szCs w:val="22"/>
          <w:u w:val="none"/>
          <w:lang w:val="en-US" w:eastAsia="zh-CN" w:bidi="ar-SA"/>
        </w:rPr>
        <w:t>书面声明：表示自己与其他参与同一合同项下的供应商，不存在《政府采购法实施条例》第十八条规定的关联关系。</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（1）简单的书面声明</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详细的书面声明包括如下内容：供应商法定代表人（单位负责人）在其单位外的其他单位担任法定代表人（单位负责人）的信息；供应商直接控股、存在管理关系的其他单位信息；供应商为本项目提供整体设计、规范编制或者项目管理、监理、检测等服务情形。</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7.2提供“信用中国”网站和“中国政府采购网”网站企业信用信息查询记录（复印件加盖公章）</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7.3供应商认为需要提供的其他材料</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u w:val="none"/>
          <w:lang w:val="en-US" w:eastAsia="zh-CN" w:bidi="ar-SA"/>
        </w:rPr>
      </w:pPr>
      <w:r>
        <w:rPr>
          <w:rFonts w:hint="eastAsia" w:ascii="宋体" w:hAnsi="宋体" w:eastAsia="宋体" w:cs="宋体"/>
          <w:b/>
          <w:bCs/>
          <w:kern w:val="2"/>
          <w:sz w:val="32"/>
          <w:szCs w:val="28"/>
          <w:u w:val="none"/>
          <w:lang w:val="en-US" w:eastAsia="zh-CN" w:bidi="ar-SA"/>
        </w:rPr>
        <w:t>二、商务技术文件</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u w:val="none"/>
          <w:lang w:val="en-US" w:eastAsia="zh-CN" w:bidi="ar-SA"/>
        </w:rPr>
        <w:t>（1）法定代表人（单位负责人）身份证明、授权委托书（格式见附件三）</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（2）响应函（格式见附件四）；</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（3）报价一览表（格式见附件五）；</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（4）报价明细表（格式见附件六）；</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w:t>
      </w:r>
      <w:r>
        <w:rPr>
          <w:rFonts w:hint="eastAsia" w:ascii="宋体" w:hAnsi="宋体" w:eastAsia="宋体" w:cs="宋体"/>
          <w:color w:val="auto"/>
          <w:kern w:val="2"/>
          <w:sz w:val="24"/>
          <w:szCs w:val="22"/>
          <w:highlight w:val="none"/>
          <w:u w:val="none"/>
          <w:lang w:val="en-US" w:eastAsia="zh-CN" w:bidi="ar-SA"/>
        </w:rPr>
        <w:t>商务（技术）条款偏离表</w:t>
      </w:r>
      <w:r>
        <w:rPr>
          <w:rFonts w:hint="eastAsia" w:ascii="宋体" w:hAnsi="宋体" w:eastAsia="宋体" w:cs="宋体"/>
          <w:color w:val="auto"/>
          <w:kern w:val="2"/>
          <w:sz w:val="24"/>
          <w:szCs w:val="22"/>
          <w:u w:val="none"/>
          <w:lang w:val="en-US" w:eastAsia="zh-CN" w:bidi="ar-SA"/>
        </w:rPr>
        <w:t>（格式见附件七）；</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 xml:space="preserve">（6）服务方案 </w:t>
      </w:r>
      <w:r>
        <w:rPr>
          <w:rFonts w:hint="eastAsia" w:ascii="宋体" w:hAnsi="宋体" w:eastAsia="宋体" w:cs="宋体"/>
          <w:color w:val="000000"/>
          <w:kern w:val="2"/>
          <w:sz w:val="24"/>
          <w:szCs w:val="22"/>
          <w:highlight w:val="none"/>
          <w:u w:val="none"/>
          <w:lang w:val="en-US" w:eastAsia="zh-CN" w:bidi="ar-SA"/>
        </w:rPr>
        <w:t>包括但不限于</w:t>
      </w:r>
      <w:r>
        <w:rPr>
          <w:rFonts w:hint="eastAsia" w:ascii="宋体" w:hAnsi="宋体" w:eastAsia="宋体" w:cs="宋体"/>
          <w:color w:val="auto"/>
          <w:kern w:val="2"/>
          <w:sz w:val="24"/>
          <w:szCs w:val="22"/>
          <w:u w:val="none"/>
          <w:lang w:val="en-US" w:eastAsia="zh-CN" w:bidi="ar-SA"/>
        </w:rPr>
        <w:t>（格式自拟）</w:t>
      </w:r>
      <w:r>
        <w:rPr>
          <w:rFonts w:hint="eastAsia" w:ascii="宋体" w:hAnsi="宋体" w:eastAsia="宋体" w:cs="宋体"/>
          <w:color w:val="000000"/>
          <w:kern w:val="2"/>
          <w:sz w:val="24"/>
          <w:szCs w:val="22"/>
          <w:highlight w:val="none"/>
          <w:u w:val="none"/>
          <w:lang w:val="en-US" w:eastAsia="zh-CN" w:bidi="ar-SA"/>
        </w:rPr>
        <w:t>：</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（7）其他需要提供的商务和技术文件（格式自拟）</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u w:val="none"/>
          <w:lang w:val="en-US" w:eastAsia="zh-CN" w:bidi="ar-SA"/>
        </w:rPr>
      </w:pPr>
      <w:r>
        <w:rPr>
          <w:rFonts w:hint="eastAsia" w:ascii="宋体" w:hAnsi="宋体" w:eastAsia="宋体" w:cs="宋体"/>
          <w:b/>
          <w:bCs/>
          <w:kern w:val="2"/>
          <w:sz w:val="32"/>
          <w:szCs w:val="28"/>
          <w:u w:val="none"/>
          <w:lang w:val="en-US" w:eastAsia="zh-CN" w:bidi="ar-SA"/>
        </w:rPr>
        <w:t>三、其他文件</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（1）中小企业声明函（格式见附件八）；</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（2）残疾人福利性单位声明函（格式见附件九）；</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（3）供应商认为需要提供的其他材料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sz w:val="28"/>
          <w:szCs w:val="28"/>
        </w:rPr>
      </w:pPr>
      <w:r>
        <w:rPr>
          <w:rFonts w:hint="eastAsia" w:ascii="宋体" w:hAnsi="宋体"/>
          <w:sz w:val="28"/>
          <w:szCs w:val="28"/>
        </w:rPr>
        <w:br w:type="page"/>
      </w:r>
    </w:p>
    <w:bookmarkEnd w:id="316"/>
    <w:p>
      <w:pPr>
        <w:pStyle w:val="7"/>
        <w:numPr>
          <w:ilvl w:val="2"/>
          <w:numId w:val="0"/>
        </w:numPr>
        <w:spacing w:before="145" w:beforeLines="50" w:after="145" w:afterLines="50" w:line="300" w:lineRule="auto"/>
        <w:ind w:leftChars="0"/>
        <w:jc w:val="both"/>
        <w:rPr>
          <w:rFonts w:hint="eastAsia" w:ascii="宋体" w:hAnsi="宋体" w:eastAsia="宋体" w:cs="宋体"/>
          <w:b w:val="0"/>
          <w:bCs w:val="0"/>
          <w:sz w:val="30"/>
          <w:szCs w:val="30"/>
        </w:rPr>
      </w:pPr>
      <w:bookmarkStart w:id="319" w:name="_Toc534725614"/>
      <w:bookmarkStart w:id="320" w:name="_Toc534816643"/>
      <w:bookmarkStart w:id="321" w:name="_Toc519111281"/>
      <w:r>
        <w:rPr>
          <w:rFonts w:hint="eastAsia" w:ascii="宋体" w:hAnsi="宋体" w:eastAsia="宋体" w:cs="宋体"/>
          <w:b w:val="0"/>
          <w:bCs w:val="0"/>
          <w:sz w:val="30"/>
          <w:szCs w:val="30"/>
          <w:lang w:eastAsia="zh-CN"/>
        </w:rPr>
        <w:t>附件一：</w:t>
      </w:r>
      <w:r>
        <w:rPr>
          <w:rFonts w:hint="eastAsia" w:ascii="宋体" w:hAnsi="宋体" w:eastAsia="宋体" w:cs="宋体"/>
          <w:b w:val="0"/>
          <w:bCs w:val="0"/>
          <w:sz w:val="30"/>
          <w:szCs w:val="30"/>
        </w:rPr>
        <w:t>具备履行合同所必需的设备和专业技术能力的书面声明</w:t>
      </w:r>
      <w:bookmarkEnd w:id="319"/>
      <w:bookmarkEnd w:id="320"/>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主要设备有：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主要专业技术能力有：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pStyle w:val="78"/>
        <w:rPr>
          <w:rFonts w:hint="eastAsia" w:ascii="宋体" w:hAnsi="宋体" w:eastAsia="宋体" w:cs="宋体"/>
        </w:rPr>
      </w:pPr>
    </w:p>
    <w:p>
      <w:pPr>
        <w:pStyle w:val="80"/>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0"/>
        <w:tabs>
          <w:tab w:val="left" w:pos="750"/>
        </w:tabs>
        <w:adjustRightInd w:val="0"/>
        <w:snapToGrid w:val="0"/>
        <w:spacing w:line="500" w:lineRule="exact"/>
        <w:rPr>
          <w:rFonts w:hint="eastAsia" w:ascii="宋体" w:hAnsi="宋体" w:eastAsia="宋体" w:cs="宋体"/>
          <w:sz w:val="24"/>
          <w:szCs w:val="24"/>
        </w:rPr>
      </w:pPr>
    </w:p>
    <w:p>
      <w:pPr>
        <w:pStyle w:val="80"/>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8"/>
        <w:rPr>
          <w:rFonts w:hint="eastAsia" w:ascii="宋体" w:hAnsi="宋体" w:eastAsia="宋体" w:cs="宋体"/>
        </w:rPr>
      </w:pPr>
    </w:p>
    <w:p>
      <w:pPr>
        <w:pStyle w:val="7"/>
        <w:numPr>
          <w:ilvl w:val="2"/>
          <w:numId w:val="0"/>
        </w:numPr>
        <w:spacing w:before="145" w:beforeLines="50" w:after="145" w:afterLines="50" w:line="300" w:lineRule="auto"/>
        <w:ind w:leftChars="0"/>
        <w:jc w:val="both"/>
        <w:rPr>
          <w:rFonts w:hint="eastAsia" w:ascii="宋体" w:hAnsi="宋体" w:eastAsia="宋体" w:cs="宋体"/>
          <w:b w:val="0"/>
          <w:bCs w:val="0"/>
          <w:sz w:val="30"/>
          <w:szCs w:val="30"/>
          <w:lang w:eastAsia="zh-CN"/>
        </w:rPr>
      </w:pPr>
      <w:bookmarkStart w:id="322" w:name="_Toc534725615"/>
      <w:bookmarkStart w:id="323" w:name="_Toc534816644"/>
      <w:r>
        <w:rPr>
          <w:rFonts w:hint="eastAsia" w:ascii="宋体" w:hAnsi="宋体" w:eastAsia="宋体" w:cs="宋体"/>
          <w:b w:val="0"/>
          <w:bCs w:val="0"/>
          <w:sz w:val="30"/>
          <w:szCs w:val="30"/>
          <w:lang w:eastAsia="zh-CN"/>
        </w:rPr>
        <w:t>附件二：参加政府采购活动前 3 年内在经营活动中没有重大违法记录的书面声明</w:t>
      </w:r>
      <w:bookmarkEnd w:id="322"/>
      <w:bookmarkEnd w:id="323"/>
    </w:p>
    <w:p>
      <w:pPr>
        <w:spacing w:before="145" w:beforeLines="50" w:after="145" w:afterLines="50" w:line="300" w:lineRule="auto"/>
        <w:rPr>
          <w:rFonts w:hint="eastAsia" w:ascii="宋体" w:hAnsi="宋体" w:eastAsia="宋体" w:cs="宋体"/>
          <w:b/>
          <w:bCs/>
          <w:sz w:val="44"/>
          <w:szCs w:val="44"/>
        </w:rPr>
      </w:pPr>
      <w:r>
        <w:rPr>
          <w:rFonts w:hint="eastAsia" w:ascii="宋体" w:hAnsi="宋体" w:eastAsia="宋体" w:cs="宋体"/>
          <w:b/>
          <w:bCs/>
          <w:sz w:val="44"/>
          <w:szCs w:val="44"/>
        </w:rPr>
        <w:t xml:space="preserve">                 声  明</w:t>
      </w:r>
    </w:p>
    <w:p>
      <w:pPr>
        <w:spacing w:before="145" w:beforeLines="50" w:after="145" w:afterLines="50" w:line="300" w:lineRule="auto"/>
        <w:rPr>
          <w:rFonts w:hint="eastAsia" w:ascii="宋体" w:hAnsi="宋体" w:eastAsia="宋体" w:cs="宋体"/>
          <w:bCs/>
          <w:sz w:val="24"/>
        </w:rPr>
      </w:pPr>
      <w:r>
        <w:rPr>
          <w:rFonts w:hint="eastAsia" w:ascii="宋体" w:hAnsi="宋体" w:eastAsia="宋体" w:cs="宋体"/>
          <w:b/>
          <w:bCs/>
          <w:sz w:val="24"/>
        </w:rPr>
        <w:t xml:space="preserve">    </w:t>
      </w:r>
      <w:r>
        <w:rPr>
          <w:rFonts w:hint="eastAsia" w:ascii="宋体" w:hAnsi="宋体" w:eastAsia="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rPr>
      </w:pPr>
    </w:p>
    <w:p>
      <w:pPr>
        <w:pStyle w:val="80"/>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eastAsia="宋体" w:cs="宋体"/>
          <w:bCs/>
          <w:lang w:val="en-US" w:eastAsia="zh-CN"/>
        </w:rPr>
        <w:t xml:space="preserve">                             </w:t>
      </w: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0"/>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8"/>
        <w:rPr>
          <w:rFonts w:hint="eastAsia" w:ascii="宋体" w:hAnsi="宋体" w:eastAsia="宋体" w:cs="宋体"/>
          <w:lang w:eastAsia="zh-CN"/>
        </w:rPr>
      </w:pPr>
    </w:p>
    <w:p>
      <w:pPr>
        <w:pStyle w:val="7"/>
        <w:numPr>
          <w:ilvl w:val="0"/>
          <w:numId w:val="0"/>
        </w:numPr>
        <w:spacing w:before="145" w:beforeLines="50" w:after="145" w:afterLines="50" w:line="300" w:lineRule="auto"/>
        <w:ind w:leftChars="0"/>
        <w:jc w:val="both"/>
        <w:rPr>
          <w:rFonts w:hint="eastAsia" w:ascii="宋体" w:hAnsi="宋体" w:eastAsia="宋体" w:cs="宋体"/>
          <w:b w:val="0"/>
          <w:bCs w:val="0"/>
          <w:sz w:val="30"/>
          <w:szCs w:val="30"/>
        </w:rPr>
      </w:pPr>
      <w:r>
        <w:rPr>
          <w:rFonts w:hint="eastAsia" w:ascii="宋体" w:hAnsi="宋体" w:eastAsia="宋体" w:cs="宋体"/>
          <w:b w:val="0"/>
          <w:bCs w:val="0"/>
          <w:sz w:val="30"/>
          <w:szCs w:val="30"/>
          <w:lang w:eastAsia="zh-CN"/>
        </w:rPr>
        <w:t>附件三：</w:t>
      </w:r>
      <w:r>
        <w:rPr>
          <w:rFonts w:hint="eastAsia" w:ascii="宋体" w:hAnsi="宋体" w:eastAsia="宋体" w:cs="宋体"/>
          <w:b w:val="0"/>
          <w:bCs w:val="0"/>
          <w:sz w:val="30"/>
          <w:szCs w:val="30"/>
        </w:rPr>
        <w:t>法定代表人（单位负责人）身份证明及授权委托书</w:t>
      </w:r>
      <w:bookmarkEnd w:id="321"/>
    </w:p>
    <w:p>
      <w:pPr>
        <w:rPr>
          <w:rFonts w:hint="eastAsia" w:ascii="宋体" w:hAnsi="宋体" w:eastAsia="宋体" w:cs="宋体"/>
        </w:rPr>
      </w:pPr>
    </w:p>
    <w:p>
      <w:pPr>
        <w:pStyle w:val="81"/>
        <w:jc w:val="center"/>
        <w:outlineLvl w:val="9"/>
        <w:rPr>
          <w:rFonts w:hint="eastAsia" w:ascii="宋体" w:hAnsi="宋体" w:eastAsia="宋体" w:cs="宋体"/>
          <w:b w:val="0"/>
          <w:sz w:val="24"/>
          <w:szCs w:val="24"/>
          <w:lang w:eastAsia="zh-CN"/>
        </w:rPr>
      </w:pPr>
      <w:bookmarkStart w:id="324" w:name="_Toc480368595"/>
      <w:bookmarkStart w:id="325" w:name="_Toc468535482"/>
      <w:bookmarkStart w:id="326" w:name="_Toc519111282"/>
      <w:bookmarkStart w:id="327" w:name="_Toc480368424"/>
      <w:bookmarkStart w:id="328" w:name="_Toc480371721"/>
      <w:bookmarkStart w:id="329" w:name="_Toc480368653"/>
      <w:r>
        <w:rPr>
          <w:rFonts w:hint="eastAsia" w:ascii="宋体" w:hAnsi="宋体" w:eastAsia="宋体" w:cs="宋体"/>
          <w:b w:val="0"/>
          <w:sz w:val="24"/>
          <w:szCs w:val="24"/>
        </w:rPr>
        <w:t>法定代表人（单位负责人）资格证明文件</w:t>
      </w:r>
      <w:bookmarkEnd w:id="324"/>
      <w:bookmarkEnd w:id="325"/>
      <w:bookmarkEnd w:id="326"/>
      <w:bookmarkEnd w:id="327"/>
      <w:bookmarkEnd w:id="328"/>
      <w:bookmarkEnd w:id="329"/>
    </w:p>
    <w:p>
      <w:pPr>
        <w:pStyle w:val="80"/>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 xml:space="preserve">          </w:t>
      </w:r>
      <w:r>
        <w:rPr>
          <w:rFonts w:hint="eastAsia" w:ascii="宋体" w:hAnsi="宋体" w:eastAsia="宋体" w:cs="宋体"/>
          <w:sz w:val="24"/>
          <w:szCs w:val="24"/>
        </w:rPr>
        <w:t>同志为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公司法定代表人（单位负责人），代表我公司办理一切社会公务事宜，具有法律效力。 </w:t>
      </w:r>
    </w:p>
    <w:p>
      <w:pPr>
        <w:pStyle w:val="8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附法定代表人（单位负责人）基本情况： </w:t>
      </w:r>
    </w:p>
    <w:p>
      <w:pPr>
        <w:pStyle w:val="80"/>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8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pStyle w:val="8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电话号码：</w:t>
      </w:r>
      <w:r>
        <w:rPr>
          <w:rFonts w:hint="eastAsia" w:ascii="宋体" w:hAnsi="宋体" w:eastAsia="宋体" w:cs="宋体"/>
          <w:sz w:val="24"/>
          <w:szCs w:val="24"/>
          <w:u w:val="single"/>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pStyle w:val="80"/>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32"/>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80"/>
              <w:adjustRightInd w:val="0"/>
              <w:snapToGrid w:val="0"/>
              <w:spacing w:line="500" w:lineRule="exact"/>
              <w:jc w:val="center"/>
              <w:rPr>
                <w:rFonts w:hint="eastAsia" w:ascii="宋体" w:hAnsi="宋体" w:eastAsia="宋体" w:cs="宋体"/>
                <w:sz w:val="24"/>
                <w:szCs w:val="24"/>
              </w:rPr>
            </w:pPr>
          </w:p>
          <w:p>
            <w:pPr>
              <w:pStyle w:val="80"/>
              <w:adjustRightInd w:val="0"/>
              <w:snapToGrid w:val="0"/>
              <w:spacing w:line="500" w:lineRule="exact"/>
              <w:jc w:val="center"/>
              <w:rPr>
                <w:rFonts w:hint="eastAsia" w:ascii="宋体" w:hAnsi="宋体" w:eastAsia="宋体" w:cs="宋体"/>
                <w:sz w:val="24"/>
                <w:szCs w:val="24"/>
              </w:rPr>
            </w:pPr>
          </w:p>
          <w:p>
            <w:pPr>
              <w:pStyle w:val="80"/>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法定代表人（单位负责人）《居民身份证》扫描件</w:t>
            </w:r>
          </w:p>
        </w:tc>
      </w:tr>
    </w:tbl>
    <w:p>
      <w:pPr>
        <w:pStyle w:val="80"/>
        <w:adjustRightInd w:val="0"/>
        <w:snapToGrid w:val="0"/>
        <w:spacing w:line="500" w:lineRule="exact"/>
        <w:rPr>
          <w:rFonts w:hint="eastAsia" w:ascii="宋体" w:hAnsi="宋体" w:eastAsia="宋体" w:cs="宋体"/>
          <w:sz w:val="24"/>
          <w:szCs w:val="24"/>
        </w:rPr>
      </w:pPr>
    </w:p>
    <w:p>
      <w:pPr>
        <w:pStyle w:val="80"/>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0"/>
        <w:tabs>
          <w:tab w:val="left" w:pos="750"/>
        </w:tabs>
        <w:adjustRightInd w:val="0"/>
        <w:snapToGrid w:val="0"/>
        <w:spacing w:line="500" w:lineRule="exact"/>
        <w:rPr>
          <w:rFonts w:hint="eastAsia" w:ascii="宋体" w:hAnsi="宋体" w:eastAsia="宋体" w:cs="宋体"/>
          <w:sz w:val="24"/>
          <w:szCs w:val="24"/>
        </w:rPr>
      </w:pPr>
    </w:p>
    <w:p>
      <w:pPr>
        <w:pStyle w:val="80"/>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p>
    <w:p>
      <w:pPr>
        <w:pStyle w:val="80"/>
        <w:tabs>
          <w:tab w:val="left" w:pos="750"/>
        </w:tabs>
        <w:adjustRightInd w:val="0"/>
        <w:snapToGrid w:val="0"/>
        <w:spacing w:line="500" w:lineRule="exact"/>
        <w:rPr>
          <w:rFonts w:hint="eastAsia" w:ascii="宋体" w:hAnsi="宋体" w:eastAsia="宋体" w:cs="宋体"/>
          <w:sz w:val="24"/>
          <w:szCs w:val="24"/>
        </w:rPr>
      </w:pPr>
    </w:p>
    <w:p>
      <w:pPr>
        <w:pStyle w:val="80"/>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rPr>
      </w:pPr>
    </w:p>
    <w:p>
      <w:pPr>
        <w:rPr>
          <w:rFonts w:hint="eastAsia"/>
          <w:lang w:eastAsia="zh-CN"/>
        </w:rPr>
      </w:pPr>
      <w:r>
        <w:rPr>
          <w:rFonts w:hint="eastAsia"/>
        </w:rPr>
        <w:t xml:space="preserve"> </w:t>
      </w:r>
      <w:bookmarkStart w:id="330" w:name="_Toc468535483"/>
    </w:p>
    <w:p>
      <w:pPr>
        <w:pStyle w:val="80"/>
        <w:rPr>
          <w:rFonts w:hint="eastAsia" w:ascii="宋体" w:hAnsi="宋体" w:eastAsia="宋体" w:cs="宋体"/>
          <w:lang w:eastAsia="zh-CN"/>
        </w:rPr>
      </w:pPr>
    </w:p>
    <w:p>
      <w:pPr>
        <w:pStyle w:val="81"/>
        <w:outlineLvl w:val="9"/>
        <w:rPr>
          <w:rFonts w:hint="eastAsia" w:ascii="宋体" w:hAnsi="宋体" w:eastAsia="宋体" w:cs="宋体"/>
          <w:b w:val="0"/>
          <w:sz w:val="24"/>
          <w:szCs w:val="24"/>
        </w:rPr>
      </w:pPr>
      <w:r>
        <w:rPr>
          <w:rFonts w:hint="eastAsia" w:ascii="宋体" w:hAnsi="宋体" w:eastAsia="宋体" w:cs="宋体"/>
          <w:b w:val="0"/>
        </w:rPr>
        <w:t xml:space="preserve"> </w:t>
      </w:r>
      <w:bookmarkStart w:id="331" w:name="_Toc519111283"/>
      <w:bookmarkStart w:id="332" w:name="_Toc480368425"/>
      <w:bookmarkStart w:id="333" w:name="_Toc480368654"/>
      <w:bookmarkStart w:id="334" w:name="_Toc480371722"/>
      <w:bookmarkStart w:id="335" w:name="_Toc480368596"/>
      <w:r>
        <w:rPr>
          <w:rFonts w:hint="eastAsia" w:ascii="宋体" w:hAnsi="宋体" w:eastAsia="宋体" w:cs="宋体"/>
          <w:b w:val="0"/>
          <w:sz w:val="24"/>
          <w:szCs w:val="24"/>
        </w:rPr>
        <w:t>法定代表人（单位负责人）授权书</w:t>
      </w:r>
      <w:bookmarkEnd w:id="330"/>
      <w:bookmarkEnd w:id="331"/>
      <w:bookmarkEnd w:id="332"/>
      <w:bookmarkEnd w:id="333"/>
      <w:bookmarkEnd w:id="334"/>
      <w:bookmarkEnd w:id="335"/>
    </w:p>
    <w:p>
      <w:pPr>
        <w:pStyle w:val="80"/>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同志为我公司参加贵单位组织的编号为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w:t>
      </w:r>
      <w:r>
        <w:rPr>
          <w:rFonts w:hint="eastAsia" w:ascii="宋体" w:hAnsi="宋体" w:eastAsia="宋体" w:cs="宋体"/>
          <w:sz w:val="24"/>
          <w:szCs w:val="24"/>
          <w:u w:val="single"/>
        </w:rPr>
        <w:t>（项 目 名 称）</w:t>
      </w:r>
      <w:r>
        <w:rPr>
          <w:rFonts w:hint="eastAsia" w:ascii="宋体" w:hAnsi="宋体" w:eastAsia="宋体" w:cs="宋体"/>
          <w:sz w:val="24"/>
          <w:szCs w:val="24"/>
        </w:rPr>
        <w:t>采购活动的投标代表人，全权代表我公司处理在该项目采购活动中的一切事宜。代理期限从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日止。 </w:t>
      </w:r>
    </w:p>
    <w:p>
      <w:pPr>
        <w:pStyle w:val="80"/>
        <w:spacing w:line="500" w:lineRule="exact"/>
        <w:rPr>
          <w:rFonts w:hint="eastAsia" w:ascii="宋体" w:hAnsi="宋体" w:eastAsia="宋体" w:cs="宋体"/>
          <w:sz w:val="24"/>
          <w:szCs w:val="24"/>
        </w:rPr>
      </w:pPr>
    </w:p>
    <w:p>
      <w:pPr>
        <w:pStyle w:val="80"/>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0"/>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cs="宋体"/>
          <w:sz w:val="24"/>
          <w:szCs w:val="24"/>
          <w:lang w:eastAsia="zh-CN"/>
        </w:rPr>
        <w:t>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0"/>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0"/>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p>
    <w:p>
      <w:pPr>
        <w:pStyle w:val="80"/>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w:t>
      </w:r>
    </w:p>
    <w:p>
      <w:pPr>
        <w:pStyle w:val="80"/>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代理人工作单位：</w:t>
      </w:r>
      <w:r>
        <w:rPr>
          <w:rFonts w:hint="eastAsia" w:ascii="宋体" w:hAnsi="宋体" w:eastAsia="宋体" w:cs="宋体"/>
          <w:sz w:val="24"/>
          <w:szCs w:val="24"/>
          <w:u w:val="single"/>
        </w:rPr>
        <w:t xml:space="preserve">                          </w:t>
      </w:r>
    </w:p>
    <w:p>
      <w:pPr>
        <w:pStyle w:val="80"/>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pStyle w:val="80"/>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0"/>
        <w:adjustRightInd w:val="0"/>
        <w:snapToGrid w:val="0"/>
        <w:spacing w:line="500" w:lineRule="exact"/>
        <w:ind w:left="-88" w:leftChars="-42" w:firstLine="600" w:firstLineChars="250"/>
        <w:rPr>
          <w:rFonts w:hint="eastAsia" w:ascii="宋体" w:hAnsi="宋体" w:eastAsia="宋体" w:cs="宋体"/>
          <w:sz w:val="24"/>
          <w:szCs w:val="24"/>
          <w:u w:val="singl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80"/>
              <w:spacing w:line="500" w:lineRule="exact"/>
              <w:rPr>
                <w:rFonts w:hint="eastAsia" w:ascii="宋体" w:hAnsi="宋体" w:eastAsia="宋体" w:cs="宋体"/>
                <w:sz w:val="24"/>
                <w:szCs w:val="24"/>
              </w:rPr>
            </w:pPr>
            <w:r>
              <w:rPr>
                <w:rFonts w:hint="eastAsia" w:ascii="宋体" w:hAnsi="宋体" w:eastAsia="宋体" w:cs="宋体"/>
                <w:sz w:val="24"/>
                <w:szCs w:val="24"/>
              </w:rPr>
              <w:t>粘贴被授权人身份证（扫描件）</w:t>
            </w:r>
          </w:p>
        </w:tc>
      </w:tr>
    </w:tbl>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88"/>
        <w:tabs>
          <w:tab w:val="left" w:pos="8786"/>
        </w:tabs>
        <w:spacing w:after="0" w:line="360" w:lineRule="auto"/>
        <w:rPr>
          <w:rFonts w:hint="eastAsia" w:ascii="宋体" w:hAnsi="宋体" w:eastAsia="宋体" w:cs="宋体"/>
          <w:b/>
          <w:color w:val="auto"/>
          <w:sz w:val="24"/>
          <w:lang w:eastAsia="zh-CN"/>
        </w:rPr>
      </w:pPr>
      <w:r>
        <w:rPr>
          <w:rFonts w:hint="eastAsia" w:ascii="宋体" w:hAnsi="宋体" w:cs="宋体"/>
          <w:b/>
          <w:color w:val="auto"/>
          <w:sz w:val="24"/>
          <w:lang w:eastAsia="zh-CN"/>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7"/>
        <w:numPr>
          <w:ilvl w:val="0"/>
          <w:numId w:val="0"/>
        </w:numPr>
        <w:spacing w:before="145" w:beforeLines="50" w:after="145" w:afterLines="50" w:line="300" w:lineRule="auto"/>
        <w:ind w:leftChars="0"/>
        <w:jc w:val="both"/>
        <w:rPr>
          <w:rFonts w:asciiTheme="majorEastAsia" w:hAnsiTheme="majorEastAsia" w:eastAsiaTheme="majorEastAsia"/>
          <w:b/>
          <w:kern w:val="0"/>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四</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响应函</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Cs/>
          <w:sz w:val="24"/>
        </w:rPr>
      </w:pPr>
      <w:r>
        <w:rPr>
          <w:rFonts w:hint="eastAsia" w:ascii="宋体" w:hAnsi="宋体" w:cs="宋体"/>
          <w:bCs/>
          <w:sz w:val="24"/>
          <w:lang w:eastAsia="zh-CN"/>
        </w:rPr>
        <w:t>响应函</w:t>
      </w:r>
    </w:p>
    <w:p>
      <w:pPr>
        <w:keepNext w:val="0"/>
        <w:keepLines w:val="0"/>
        <w:pageBreakBefore w:val="0"/>
        <w:widowControl w:val="0"/>
        <w:kinsoku/>
        <w:wordWrap/>
        <w:overflowPunct/>
        <w:topLinePunct w:val="0"/>
        <w:bidi w:val="0"/>
        <w:snapToGrid/>
        <w:spacing w:before="145" w:beforeLines="50" w:after="145" w:afterLines="50" w:line="400" w:lineRule="exact"/>
        <w:textAlignment w:val="auto"/>
        <w:rPr>
          <w:rFonts w:hint="eastAsia" w:ascii="宋体" w:hAnsi="宋体" w:eastAsia="宋体" w:cs="宋体"/>
          <w:bCs/>
          <w:sz w:val="24"/>
        </w:rPr>
      </w:pPr>
      <w:r>
        <w:rPr>
          <w:rFonts w:hint="eastAsia" w:ascii="宋体" w:hAnsi="宋体" w:eastAsia="宋体" w:cs="宋体"/>
          <w:bCs/>
          <w:sz w:val="24"/>
          <w:u w:val="single"/>
        </w:rPr>
        <w:t>（代理机构名称）</w:t>
      </w:r>
      <w:r>
        <w:rPr>
          <w:rFonts w:hint="eastAsia" w:ascii="宋体" w:hAnsi="宋体" w:eastAsia="宋体" w:cs="宋体"/>
          <w:bCs/>
          <w:sz w:val="24"/>
        </w:rPr>
        <w:t>：</w:t>
      </w:r>
    </w:p>
    <w:p>
      <w:pPr>
        <w:keepNext w:val="0"/>
        <w:keepLines w:val="0"/>
        <w:pageBreakBefore w:val="0"/>
        <w:widowControl w:val="0"/>
        <w:kinsoku/>
        <w:wordWrap/>
        <w:overflowPunct/>
        <w:topLinePunct w:val="0"/>
        <w:bidi w:val="0"/>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依据贵方</w:t>
      </w:r>
      <w:r>
        <w:rPr>
          <w:rFonts w:hint="eastAsia" w:ascii="宋体" w:hAnsi="宋体" w:eastAsia="宋体" w:cs="宋体"/>
          <w:bCs/>
          <w:sz w:val="24"/>
          <w:u w:val="single"/>
        </w:rPr>
        <w:t xml:space="preserve"> (采购项目名称/采购项目编号)</w:t>
      </w:r>
      <w:r>
        <w:rPr>
          <w:rFonts w:hint="eastAsia" w:ascii="宋体" w:hAnsi="宋体" w:eastAsia="宋体" w:cs="宋体"/>
          <w:bCs/>
          <w:sz w:val="24"/>
        </w:rPr>
        <w:t xml:space="preserve"> </w:t>
      </w:r>
      <w:r>
        <w:rPr>
          <w:rFonts w:hint="eastAsia" w:ascii="宋体" w:hAnsi="宋体" w:cs="宋体"/>
          <w:bCs/>
          <w:sz w:val="24"/>
          <w:lang w:val="en-US" w:eastAsia="zh-CN"/>
        </w:rPr>
        <w:t xml:space="preserve"> </w:t>
      </w:r>
      <w:r>
        <w:rPr>
          <w:rFonts w:hint="eastAsia" w:ascii="宋体" w:hAnsi="宋体" w:eastAsia="宋体" w:cs="宋体"/>
          <w:bCs/>
          <w:sz w:val="24"/>
        </w:rPr>
        <w:t>的磋商邀请，我方代表</w:t>
      </w:r>
      <w:r>
        <w:rPr>
          <w:rFonts w:hint="eastAsia" w:ascii="宋体" w:hAnsi="宋体" w:eastAsia="宋体" w:cs="宋体"/>
          <w:bCs/>
          <w:sz w:val="24"/>
          <w:u w:val="single"/>
        </w:rPr>
        <w:t>（姓名、职务）</w:t>
      </w:r>
      <w:r>
        <w:rPr>
          <w:rFonts w:hint="eastAsia" w:ascii="宋体" w:hAnsi="宋体" w:eastAsia="宋体" w:cs="宋体"/>
          <w:bCs/>
          <w:sz w:val="24"/>
        </w:rPr>
        <w:t>经正式授权并代表供应商</w:t>
      </w:r>
      <w:r>
        <w:rPr>
          <w:rFonts w:hint="eastAsia" w:ascii="宋体" w:hAnsi="宋体" w:eastAsia="宋体" w:cs="宋体"/>
          <w:bCs/>
          <w:sz w:val="24"/>
          <w:u w:val="single"/>
        </w:rPr>
        <w:t>（供应商名称、地址）</w:t>
      </w:r>
      <w:r>
        <w:rPr>
          <w:rFonts w:hint="eastAsia" w:ascii="宋体" w:hAnsi="宋体" w:eastAsia="宋体" w:cs="宋体"/>
          <w:bCs/>
          <w:sz w:val="24"/>
        </w:rPr>
        <w:t>提交下述响应文件。</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1．</w:t>
      </w:r>
      <w:r>
        <w:rPr>
          <w:rFonts w:hint="eastAsia" w:ascii="宋体" w:hAnsi="宋体" w:cs="宋体"/>
          <w:bCs/>
          <w:sz w:val="24"/>
          <w:lang w:eastAsia="zh-CN"/>
        </w:rPr>
        <w:t>报价一览表</w:t>
      </w:r>
      <w:r>
        <w:rPr>
          <w:rFonts w:hint="eastAsia" w:ascii="宋体" w:hAnsi="宋体" w:eastAsia="宋体" w:cs="宋体"/>
          <w:bCs/>
          <w:sz w:val="24"/>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2．</w:t>
      </w:r>
      <w:r>
        <w:rPr>
          <w:rFonts w:hint="eastAsia" w:ascii="宋体" w:hAnsi="宋体" w:cs="宋体"/>
          <w:bCs/>
          <w:sz w:val="24"/>
          <w:lang w:eastAsia="zh-CN"/>
        </w:rPr>
        <w:t>投标报价</w:t>
      </w:r>
      <w:r>
        <w:rPr>
          <w:rFonts w:hint="eastAsia" w:ascii="宋体" w:hAnsi="宋体" w:eastAsia="宋体" w:cs="宋体"/>
          <w:bCs/>
          <w:sz w:val="24"/>
        </w:rPr>
        <w:t>明细表；</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cs="宋体"/>
          <w:bCs/>
          <w:sz w:val="24"/>
          <w:lang w:val="en-US" w:eastAsia="zh-CN"/>
        </w:rPr>
        <w:t>3</w:t>
      </w:r>
      <w:r>
        <w:rPr>
          <w:rFonts w:hint="eastAsia" w:ascii="宋体" w:hAnsi="宋体" w:eastAsia="宋体" w:cs="宋体"/>
          <w:bCs/>
          <w:sz w:val="24"/>
        </w:rPr>
        <w:t>．按磋商文件供应商须知和技术规格要求提供的有关文件；</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cs="宋体"/>
          <w:bCs/>
          <w:sz w:val="24"/>
          <w:lang w:val="en-US" w:eastAsia="zh-CN"/>
        </w:rPr>
        <w:t>4</w:t>
      </w:r>
      <w:r>
        <w:rPr>
          <w:rFonts w:hint="eastAsia" w:ascii="宋体" w:hAnsi="宋体" w:eastAsia="宋体" w:cs="宋体"/>
          <w:bCs/>
          <w:sz w:val="24"/>
        </w:rPr>
        <w:t>．资格证明文件；</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cs="宋体"/>
          <w:bCs/>
          <w:sz w:val="24"/>
          <w:lang w:val="en-US" w:eastAsia="zh-CN"/>
        </w:rPr>
        <w:t>5</w:t>
      </w:r>
      <w:r>
        <w:rPr>
          <w:rFonts w:hint="eastAsia" w:ascii="宋体" w:hAnsi="宋体" w:eastAsia="宋体" w:cs="宋体"/>
          <w:bCs/>
          <w:sz w:val="24"/>
        </w:rPr>
        <w:t>．按磋商文件的规定递交的</w:t>
      </w:r>
      <w:r>
        <w:rPr>
          <w:rFonts w:hint="eastAsia" w:ascii="宋体" w:hAnsi="宋体" w:cs="宋体"/>
          <w:bCs/>
          <w:sz w:val="24"/>
          <w:lang w:eastAsia="zh-CN"/>
        </w:rPr>
        <w:t>响应保证金</w:t>
      </w:r>
      <w:r>
        <w:rPr>
          <w:rFonts w:hint="eastAsia" w:ascii="宋体" w:hAnsi="宋体" w:eastAsia="宋体" w:cs="宋体"/>
          <w:bCs/>
          <w:sz w:val="24"/>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在此，我方宣布同意如下：</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1．所附《</w:t>
      </w:r>
      <w:r>
        <w:rPr>
          <w:rFonts w:hint="eastAsia" w:ascii="宋体" w:hAnsi="宋体" w:cs="宋体"/>
          <w:bCs/>
          <w:sz w:val="24"/>
          <w:lang w:eastAsia="zh-CN"/>
        </w:rPr>
        <w:t>报价一览表</w:t>
      </w:r>
      <w:r>
        <w:rPr>
          <w:rFonts w:hint="eastAsia" w:ascii="宋体" w:hAnsi="宋体" w:eastAsia="宋体" w:cs="宋体"/>
          <w:bCs/>
          <w:sz w:val="24"/>
        </w:rPr>
        <w:t>》中规定的应提交和交付的</w:t>
      </w:r>
      <w:r>
        <w:rPr>
          <w:rFonts w:hint="eastAsia" w:ascii="宋体" w:hAnsi="宋体" w:eastAsia="宋体" w:cs="宋体"/>
          <w:bCs/>
          <w:sz w:val="24"/>
          <w:u w:val="single"/>
        </w:rPr>
        <w:t xml:space="preserve">  （包号） </w:t>
      </w:r>
      <w:r>
        <w:rPr>
          <w:rFonts w:hint="eastAsia" w:ascii="宋体" w:hAnsi="宋体" w:eastAsia="宋体" w:cs="宋体"/>
          <w:bCs/>
          <w:sz w:val="24"/>
        </w:rPr>
        <w:t>货物投标总价为</w:t>
      </w:r>
      <w:r>
        <w:rPr>
          <w:rFonts w:hint="eastAsia" w:ascii="宋体" w:hAnsi="宋体" w:cs="宋体"/>
          <w:bCs/>
          <w:sz w:val="24"/>
          <w:u w:val="single"/>
          <w:lang w:val="en-US" w:eastAsia="zh-CN"/>
        </w:rPr>
        <w:t xml:space="preserve">    </w:t>
      </w:r>
      <w:r>
        <w:rPr>
          <w:rFonts w:hint="eastAsia" w:ascii="宋体" w:hAnsi="宋体" w:eastAsia="宋体" w:cs="宋体"/>
          <w:bCs/>
          <w:sz w:val="24"/>
        </w:rPr>
        <w:t>（注明币种，并用文字和数字表示的投标总价）。</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2．将按磋商文件的约定履行合同责任和义务。</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3．已详细审查全部磋商文件，包括（修正或补充文件）（如有），对此无异议。</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4．本投标有效期为自开标日起，共</w:t>
      </w:r>
      <w:r>
        <w:rPr>
          <w:rFonts w:hint="eastAsia" w:ascii="宋体" w:hAnsi="宋体" w:cs="宋体"/>
          <w:bCs/>
          <w:sz w:val="24"/>
          <w:u w:val="single"/>
          <w:lang w:val="en-US" w:eastAsia="zh-CN"/>
        </w:rPr>
        <w:t xml:space="preserve">      </w:t>
      </w:r>
      <w:r>
        <w:rPr>
          <w:rFonts w:hint="eastAsia" w:ascii="宋体" w:hAnsi="宋体" w:eastAsia="宋体" w:cs="宋体"/>
          <w:bCs/>
          <w:sz w:val="24"/>
        </w:rPr>
        <w:t>个日历日。</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5．接受磋商文件关于没收</w:t>
      </w:r>
      <w:r>
        <w:rPr>
          <w:rFonts w:hint="eastAsia" w:ascii="宋体" w:hAnsi="宋体" w:cs="宋体"/>
          <w:bCs/>
          <w:sz w:val="24"/>
          <w:lang w:eastAsia="zh-CN"/>
        </w:rPr>
        <w:t>响应保证金</w:t>
      </w:r>
      <w:r>
        <w:rPr>
          <w:rFonts w:hint="eastAsia" w:ascii="宋体" w:hAnsi="宋体" w:eastAsia="宋体" w:cs="宋体"/>
          <w:bCs/>
          <w:sz w:val="24"/>
        </w:rPr>
        <w:t>的约定。</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6．同意提供按照贵方可能要求的与其投标有关的一切数据或资料。</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cs="宋体"/>
          <w:bCs/>
          <w:sz w:val="24"/>
          <w:lang w:val="en-US" w:eastAsia="zh-CN"/>
        </w:rPr>
        <w:t>7</w:t>
      </w:r>
      <w:r>
        <w:rPr>
          <w:rFonts w:hint="eastAsia" w:ascii="宋体" w:hAnsi="宋体" w:eastAsia="宋体" w:cs="宋体"/>
          <w:bCs/>
          <w:sz w:val="24"/>
        </w:rPr>
        <w:t>.其他：</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 xml:space="preserve">供应商名称(公章)： </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法定代表人</w:t>
      </w:r>
      <w:r>
        <w:rPr>
          <w:rFonts w:hint="eastAsia" w:ascii="宋体" w:hAnsi="宋体" w:eastAsia="宋体" w:cs="宋体"/>
          <w:kern w:val="2"/>
          <w:sz w:val="24"/>
          <w:szCs w:val="22"/>
          <w:u w:val="none"/>
          <w:lang w:val="en-US" w:eastAsia="zh-CN" w:bidi="ar-SA"/>
        </w:rPr>
        <w:t>（单位负责人）</w:t>
      </w:r>
      <w:r>
        <w:rPr>
          <w:rFonts w:hint="eastAsia" w:ascii="宋体" w:hAnsi="宋体" w:cs="宋体"/>
          <w:bCs/>
          <w:sz w:val="24"/>
          <w:lang w:eastAsia="zh-CN"/>
        </w:rPr>
        <w:t>（签字或盖章）</w:t>
      </w:r>
      <w:r>
        <w:rPr>
          <w:rFonts w:hint="eastAsia" w:ascii="宋体" w:hAnsi="宋体" w:eastAsia="宋体" w:cs="宋体"/>
          <w:bCs/>
          <w:sz w:val="24"/>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地    址：</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电    话：</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adjustRightInd w:val="0"/>
        <w:snapToGrid w:val="0"/>
        <w:spacing w:line="500" w:lineRule="exact"/>
        <w:rPr>
          <w:rFonts w:asciiTheme="minorEastAsia" w:hAnsiTheme="minorEastAsia" w:eastAsiaTheme="minorEastAsia"/>
          <w:b/>
          <w:sz w:val="28"/>
          <w:szCs w:val="28"/>
        </w:rPr>
      </w:pPr>
    </w:p>
    <w:p>
      <w:pPr>
        <w:adjustRightInd w:val="0"/>
        <w:snapToGrid w:val="0"/>
        <w:spacing w:line="500" w:lineRule="exact"/>
        <w:rPr>
          <w:rFonts w:asciiTheme="minorEastAsia" w:hAnsiTheme="minorEastAsia" w:eastAsiaTheme="minorEastAsia"/>
          <w:b/>
          <w:sz w:val="28"/>
          <w:szCs w:val="28"/>
        </w:rPr>
      </w:pPr>
    </w:p>
    <w:p>
      <w:pPr>
        <w:pStyle w:val="31"/>
      </w:pPr>
    </w:p>
    <w:p>
      <w:pPr>
        <w:pStyle w:val="7"/>
        <w:numPr>
          <w:ilvl w:val="0"/>
          <w:numId w:val="0"/>
        </w:numPr>
        <w:spacing w:before="145" w:beforeLines="50" w:after="145" w:afterLines="50" w:line="300" w:lineRule="auto"/>
        <w:ind w:leftChars="0"/>
        <w:jc w:val="both"/>
        <w:rPr>
          <w:rFonts w:asciiTheme="minorEastAsia" w:hAnsiTheme="minorEastAsia" w:eastAsiaTheme="minorEastAsia"/>
          <w:b/>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五</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报价一览表</w:t>
      </w:r>
    </w:p>
    <w:p>
      <w:pPr>
        <w:adjustRightInd w:val="0"/>
        <w:snapToGrid w:val="0"/>
        <w:spacing w:line="500" w:lineRule="exact"/>
        <w:jc w:val="center"/>
        <w:rPr>
          <w:rFonts w:hint="eastAsia"/>
          <w:sz w:val="28"/>
          <w:szCs w:val="32"/>
        </w:rPr>
      </w:pPr>
      <w:r>
        <w:rPr>
          <w:rFonts w:hint="eastAsia"/>
          <w:sz w:val="28"/>
          <w:szCs w:val="32"/>
          <w:lang w:val="en-US" w:eastAsia="zh-CN"/>
        </w:rPr>
        <w:t>报价一览表</w:t>
      </w:r>
    </w:p>
    <w:p>
      <w:pPr>
        <w:pStyle w:val="31"/>
      </w:pPr>
    </w:p>
    <w:p>
      <w:pPr>
        <w:pStyle w:val="83"/>
        <w:spacing w:line="360" w:lineRule="auto"/>
        <w:ind w:left="0" w:leftChars="0" w:firstLine="0" w:firstLineChars="0"/>
        <w:jc w:val="right"/>
        <w:rPr>
          <w:rFonts w:hint="eastAsia" w:ascii="宋体" w:hAnsi="宋体" w:eastAsia="宋体" w:cs="宋体"/>
        </w:rPr>
      </w:pPr>
      <w:bookmarkStart w:id="336" w:name="_Toc485895993"/>
      <w:r>
        <w:rPr>
          <w:rFonts w:hint="eastAsia" w:ascii="宋体" w:hAnsi="宋体" w:eastAsia="宋体" w:cs="宋体"/>
        </w:rPr>
        <w:t>价格单位：元</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Borders>
              <w:bottom w:val="single" w:color="auto" w:sz="4" w:space="0"/>
            </w:tcBorders>
            <w:noWrap w:val="0"/>
            <w:vAlign w:val="center"/>
          </w:tcPr>
          <w:p>
            <w:pPr>
              <w:pStyle w:val="8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bCs/>
                <w:color w:val="000000"/>
                <w:sz w:val="24"/>
                <w:lang w:eastAsia="zh-CN"/>
              </w:rPr>
              <w:t>项目</w:t>
            </w:r>
            <w:r>
              <w:rPr>
                <w:rFonts w:hint="eastAsia" w:ascii="宋体" w:hAnsi="宋体" w:eastAsia="宋体" w:cs="宋体"/>
                <w:bCs/>
                <w:color w:val="000000"/>
                <w:sz w:val="24"/>
              </w:rPr>
              <w:t>名称</w:t>
            </w:r>
          </w:p>
        </w:tc>
        <w:tc>
          <w:tcPr>
            <w:tcW w:w="3687" w:type="pct"/>
            <w:tcBorders>
              <w:bottom w:val="single" w:color="auto" w:sz="4" w:space="0"/>
            </w:tcBorders>
            <w:noWrap w:val="0"/>
            <w:vAlign w:val="center"/>
          </w:tcPr>
          <w:p>
            <w:pPr>
              <w:pStyle w:val="84"/>
              <w:tabs>
                <w:tab w:val="left" w:pos="1337"/>
              </w:tabs>
              <w:spacing w:line="360" w:lineRule="auto"/>
              <w:rPr>
                <w:rFonts w:hint="eastAsia" w:ascii="宋体" w:hAnsi="宋体" w:eastAsia="宋体" w:cs="宋体"/>
                <w:bCs/>
                <w:color w:val="FF0000"/>
                <w:sz w:val="24"/>
              </w:rPr>
            </w:pPr>
            <w:r>
              <w:rPr>
                <w:rFonts w:hint="eastAsia" w:ascii="宋体" w:hAnsi="宋体" w:eastAsia="宋体" w:cs="宋体"/>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Borders>
              <w:bottom w:val="single" w:color="auto" w:sz="4" w:space="0"/>
            </w:tcBorders>
            <w:noWrap w:val="0"/>
            <w:vAlign w:val="center"/>
          </w:tcPr>
          <w:p>
            <w:pPr>
              <w:pStyle w:val="84"/>
              <w:tabs>
                <w:tab w:val="left" w:pos="1337"/>
              </w:tabs>
              <w:spacing w:line="360" w:lineRule="auto"/>
              <w:jc w:val="center"/>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项目编号</w:t>
            </w:r>
          </w:p>
        </w:tc>
        <w:tc>
          <w:tcPr>
            <w:tcW w:w="3687" w:type="pct"/>
            <w:tcBorders>
              <w:bottom w:val="single" w:color="auto" w:sz="4" w:space="0"/>
            </w:tcBorders>
            <w:noWrap w:val="0"/>
            <w:vAlign w:val="center"/>
          </w:tcPr>
          <w:p>
            <w:pPr>
              <w:pStyle w:val="84"/>
              <w:tabs>
                <w:tab w:val="left" w:pos="1337"/>
              </w:tabs>
              <w:spacing w:line="360" w:lineRule="auto"/>
              <w:rPr>
                <w:rFonts w:hint="eastAsia" w:ascii="宋体" w:hAnsi="宋体" w:eastAsia="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312" w:type="pct"/>
            <w:noWrap w:val="0"/>
            <w:vAlign w:val="center"/>
          </w:tcPr>
          <w:p>
            <w:pPr>
              <w:pStyle w:val="8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bCs/>
                <w:color w:val="000000"/>
                <w:sz w:val="24"/>
              </w:rPr>
              <w:t>投 标 总 价</w:t>
            </w:r>
          </w:p>
        </w:tc>
        <w:tc>
          <w:tcPr>
            <w:tcW w:w="3687" w:type="pct"/>
            <w:noWrap w:val="0"/>
            <w:vAlign w:val="top"/>
          </w:tcPr>
          <w:p>
            <w:pPr>
              <w:pStyle w:val="84"/>
              <w:tabs>
                <w:tab w:val="left" w:pos="1337"/>
              </w:tabs>
              <w:spacing w:line="360" w:lineRule="auto"/>
              <w:rPr>
                <w:rFonts w:hint="eastAsia" w:ascii="宋体" w:hAnsi="宋体" w:eastAsia="宋体" w:cs="宋体"/>
                <w:bCs/>
                <w:color w:val="000000"/>
                <w:sz w:val="24"/>
              </w:rPr>
            </w:pPr>
          </w:p>
          <w:p>
            <w:pPr>
              <w:pStyle w:val="84"/>
              <w:tabs>
                <w:tab w:val="left" w:pos="1337"/>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小写：</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元</w:t>
            </w:r>
          </w:p>
          <w:p>
            <w:pPr>
              <w:pStyle w:val="84"/>
              <w:tabs>
                <w:tab w:val="left" w:pos="1337"/>
              </w:tabs>
              <w:spacing w:line="360" w:lineRule="auto"/>
              <w:rPr>
                <w:rFonts w:hint="eastAsia" w:ascii="宋体" w:hAnsi="宋体" w:eastAsia="宋体" w:cs="宋体"/>
                <w:bCs/>
                <w:color w:val="000000"/>
                <w:sz w:val="24"/>
              </w:rPr>
            </w:pPr>
          </w:p>
          <w:p>
            <w:pPr>
              <w:pStyle w:val="84"/>
              <w:tabs>
                <w:tab w:val="left" w:pos="1337"/>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大写：</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元</w:t>
            </w:r>
          </w:p>
          <w:p>
            <w:pPr>
              <w:pStyle w:val="84"/>
              <w:tabs>
                <w:tab w:val="left" w:pos="1337"/>
              </w:tabs>
              <w:spacing w:line="360" w:lineRule="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noWrap w:val="0"/>
            <w:vAlign w:val="top"/>
          </w:tcPr>
          <w:p>
            <w:pPr>
              <w:pStyle w:val="84"/>
              <w:tabs>
                <w:tab w:val="left" w:pos="1337"/>
              </w:tabs>
              <w:spacing w:line="360" w:lineRule="auto"/>
              <w:jc w:val="center"/>
              <w:rPr>
                <w:rFonts w:hint="eastAsia" w:ascii="宋体" w:hAnsi="宋体" w:eastAsia="宋体" w:cs="宋体"/>
                <w:color w:val="000000"/>
                <w:sz w:val="24"/>
                <w:lang w:eastAsia="zh-CN"/>
              </w:rPr>
            </w:pPr>
            <w:r>
              <w:rPr>
                <w:rFonts w:hint="eastAsia" w:ascii="宋体" w:hAnsi="宋体" w:cs="宋体"/>
                <w:bCs/>
                <w:color w:val="000000"/>
                <w:sz w:val="24"/>
                <w:highlight w:val="none"/>
                <w:lang w:eastAsia="zh-CN"/>
              </w:rPr>
              <w:t>服务期限</w:t>
            </w:r>
          </w:p>
        </w:tc>
        <w:tc>
          <w:tcPr>
            <w:tcW w:w="3687" w:type="pct"/>
            <w:noWrap w:val="0"/>
            <w:vAlign w:val="top"/>
          </w:tcPr>
          <w:p>
            <w:pPr>
              <w:pStyle w:val="84"/>
              <w:tabs>
                <w:tab w:val="left" w:pos="1337"/>
              </w:tabs>
              <w:spacing w:line="360" w:lineRule="auto"/>
              <w:rPr>
                <w:rFonts w:hint="eastAsia" w:ascii="宋体" w:hAnsi="宋体" w:eastAsia="宋体" w:cs="宋体"/>
                <w:color w:val="000000"/>
                <w:sz w:val="24"/>
              </w:rPr>
            </w:pPr>
            <w:r>
              <w:rPr>
                <w:rFonts w:hint="eastAsia" w:ascii="宋体" w:hAnsi="宋体" w:eastAsia="宋体" w:cs="宋体"/>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000" w:type="pct"/>
            <w:gridSpan w:val="2"/>
            <w:noWrap w:val="0"/>
            <w:vAlign w:val="top"/>
          </w:tcPr>
          <w:p>
            <w:pPr>
              <w:pStyle w:val="84"/>
              <w:tabs>
                <w:tab w:val="left" w:pos="1337"/>
              </w:tabs>
              <w:spacing w:line="360" w:lineRule="auto"/>
              <w:rPr>
                <w:rFonts w:hint="eastAsia" w:ascii="宋体" w:hAnsi="宋体" w:eastAsia="宋体" w:cs="宋体"/>
                <w:color w:val="000000"/>
                <w:sz w:val="24"/>
              </w:rPr>
            </w:pPr>
            <w:r>
              <w:rPr>
                <w:rFonts w:hint="eastAsia" w:ascii="宋体" w:hAnsi="宋体" w:eastAsia="宋体" w:cs="宋体"/>
                <w:bCs/>
                <w:color w:val="000000"/>
                <w:sz w:val="24"/>
              </w:rPr>
              <w:t>备注：</w:t>
            </w:r>
            <w:r>
              <w:rPr>
                <w:rFonts w:hint="eastAsia" w:ascii="宋体" w:hAnsi="宋体" w:eastAsia="宋体" w:cs="宋体"/>
              </w:rPr>
              <w:t xml:space="preserve"> </w:t>
            </w:r>
          </w:p>
        </w:tc>
      </w:tr>
    </w:tbl>
    <w:p>
      <w:pPr>
        <w:spacing w:line="360" w:lineRule="auto"/>
        <w:rPr>
          <w:rFonts w:hint="eastAsia" w:ascii="宋体" w:hAnsi="宋体"/>
          <w:sz w:val="28"/>
        </w:rPr>
      </w:pPr>
    </w:p>
    <w:p>
      <w:pPr>
        <w:spacing w:line="360" w:lineRule="auto"/>
        <w:rPr>
          <w:rFonts w:hint="eastAsia" w:ascii="宋体" w:hAnsi="宋体"/>
          <w:sz w:val="22"/>
          <w:szCs w:val="20"/>
        </w:rPr>
      </w:pPr>
      <w:r>
        <w:rPr>
          <w:rFonts w:hint="eastAsia" w:ascii="宋体" w:hAnsi="宋体"/>
          <w:sz w:val="22"/>
          <w:szCs w:val="20"/>
        </w:rPr>
        <w:t>说明：1、投标人严格按照规定的格式填写。 2、任何有选择或有条件的投标报价或表中某一包填写多个报价，均将导致投标被拒绝。</w:t>
      </w:r>
    </w:p>
    <w:p>
      <w:pPr>
        <w:spacing w:line="360" w:lineRule="auto"/>
        <w:ind w:firstLine="560" w:firstLineChars="200"/>
        <w:rPr>
          <w:rFonts w:hint="eastAsia" w:ascii="宋体" w:hAnsi="宋体"/>
          <w:sz w:val="28"/>
        </w:rPr>
      </w:pPr>
    </w:p>
    <w:p>
      <w:pPr>
        <w:spacing w:line="360" w:lineRule="auto"/>
        <w:ind w:firstLine="560" w:firstLineChars="200"/>
        <w:rPr>
          <w:rFonts w:hint="eastAsia"/>
          <w:sz w:val="28"/>
          <w:u w:val="single"/>
        </w:rPr>
      </w:pPr>
    </w:p>
    <w:p>
      <w:pPr>
        <w:pStyle w:val="80"/>
        <w:tabs>
          <w:tab w:val="left" w:pos="750"/>
        </w:tabs>
        <w:adjustRightInd w:val="0"/>
        <w:snapToGrid w:val="0"/>
        <w:spacing w:line="500" w:lineRule="exact"/>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0"/>
        <w:tabs>
          <w:tab w:val="left" w:pos="750"/>
        </w:tabs>
        <w:adjustRightInd w:val="0"/>
        <w:snapToGrid w:val="0"/>
        <w:spacing w:line="500" w:lineRule="exact"/>
        <w:ind w:firstLine="720" w:firstLineChars="300"/>
        <w:jc w:val="center"/>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kern w:val="2"/>
          <w:sz w:val="24"/>
          <w:szCs w:val="22"/>
          <w:u w:val="none"/>
          <w:lang w:val="en-US" w:eastAsia="zh-CN" w:bidi="ar-SA"/>
        </w:rPr>
        <w:t>（单位负责人）</w:t>
      </w:r>
      <w:r>
        <w:rPr>
          <w:rFonts w:hint="eastAsia" w:ascii="宋体" w:hAnsi="宋体" w:eastAsia="宋体" w:cs="宋体"/>
          <w:sz w:val="24"/>
          <w:szCs w:val="24"/>
          <w:lang w:eastAsia="zh-CN"/>
        </w:rPr>
        <w:t>或其授权委托人</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adjustRightInd w:val="0"/>
        <w:snapToGrid w:val="0"/>
        <w:spacing w:line="500" w:lineRule="exact"/>
        <w:ind w:left="-88" w:leftChars="-42"/>
        <w:jc w:val="right"/>
        <w:rPr>
          <w:rFonts w:hint="eastAsia" w:asciiTheme="minorEastAsia" w:hAnsiTheme="minorEastAsia" w:eastAsiaTheme="minorEastAsia"/>
          <w:sz w:val="28"/>
          <w:szCs w:val="28"/>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sz w:val="28"/>
        </w:rPr>
      </w:pPr>
    </w:p>
    <w:p>
      <w:pPr>
        <w:pStyle w:val="31"/>
        <w:rPr>
          <w:sz w:val="28"/>
        </w:rPr>
      </w:pPr>
    </w:p>
    <w:p>
      <w:pPr>
        <w:pStyle w:val="31"/>
        <w:ind w:left="0" w:leftChars="0" w:firstLine="0" w:firstLineChars="0"/>
        <w:rPr>
          <w:sz w:val="28"/>
        </w:rPr>
      </w:pPr>
    </w:p>
    <w:p>
      <w:pPr>
        <w:pStyle w:val="31"/>
        <w:ind w:left="0" w:leftChars="0" w:firstLine="0" w:firstLineChars="0"/>
        <w:rPr>
          <w:sz w:val="28"/>
        </w:rPr>
      </w:pPr>
    </w:p>
    <w:p>
      <w:pPr>
        <w:pStyle w:val="31"/>
        <w:ind w:left="0" w:leftChars="0" w:firstLine="0" w:firstLineChars="0"/>
        <w:rPr>
          <w:sz w:val="28"/>
        </w:rPr>
      </w:pPr>
    </w:p>
    <w:p>
      <w:pPr>
        <w:pStyle w:val="31"/>
        <w:ind w:left="0" w:leftChars="0" w:firstLine="0" w:firstLineChars="0"/>
        <w:rPr>
          <w:sz w:val="28"/>
        </w:rPr>
      </w:pPr>
    </w:p>
    <w:p>
      <w:pPr>
        <w:pStyle w:val="31"/>
        <w:ind w:left="0" w:leftChars="0" w:firstLine="0" w:firstLineChars="0"/>
        <w:rPr>
          <w:sz w:val="28"/>
        </w:rPr>
      </w:pPr>
    </w:p>
    <w:p>
      <w:pPr>
        <w:pStyle w:val="7"/>
        <w:numPr>
          <w:ilvl w:val="0"/>
          <w:numId w:val="0"/>
        </w:numPr>
        <w:spacing w:before="145" w:beforeLines="50" w:after="145" w:afterLines="50" w:line="300" w:lineRule="auto"/>
        <w:ind w:leftChars="0"/>
        <w:jc w:val="both"/>
        <w:rPr>
          <w:rFonts w:asciiTheme="minorEastAsia" w:hAnsiTheme="minorEastAsia" w:eastAsiaTheme="minorEastAsia"/>
          <w:b/>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六</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报价明细表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8"/>
          <w:szCs w:val="32"/>
          <w:lang w:eastAsia="zh-CN"/>
        </w:rPr>
      </w:pPr>
      <w:r>
        <w:rPr>
          <w:rFonts w:hint="eastAsia"/>
          <w:sz w:val="28"/>
          <w:szCs w:val="32"/>
          <w:lang w:eastAsia="zh-CN"/>
        </w:rPr>
        <w:t>报价明细表</w:t>
      </w:r>
    </w:p>
    <w:bookmarkEnd w:id="336"/>
    <w:p>
      <w:pPr>
        <w:pStyle w:val="8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u w:val="single"/>
          <w:lang w:val="en-US" w:eastAsia="zh-CN"/>
        </w:rPr>
      </w:pPr>
      <w:r>
        <w:rPr>
          <w:rFonts w:hint="eastAsia" w:ascii="宋体" w:hAnsi="宋体" w:eastAsia="宋体" w:cs="宋体"/>
          <w:lang w:eastAsia="zh-CN"/>
        </w:rPr>
        <w:t>项目名称：</w:t>
      </w:r>
      <w:r>
        <w:rPr>
          <w:rFonts w:hint="eastAsia" w:ascii="宋体" w:hAnsi="宋体" w:eastAsia="宋体" w:cs="宋体"/>
          <w:u w:val="single"/>
          <w:lang w:val="en-US" w:eastAsia="zh-CN"/>
        </w:rPr>
        <w:t xml:space="preserve">                     </w:t>
      </w:r>
    </w:p>
    <w:p>
      <w:pPr>
        <w:pStyle w:val="8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cs="宋体"/>
          <w:lang w:val="en-US" w:eastAsia="zh-CN"/>
        </w:rPr>
        <w:t xml:space="preserve">      </w:t>
      </w:r>
      <w:r>
        <w:rPr>
          <w:rFonts w:hint="eastAsia" w:ascii="宋体" w:hAnsi="宋体" w:eastAsia="宋体" w:cs="宋体"/>
        </w:rPr>
        <w:t>价格单位：元</w:t>
      </w:r>
    </w:p>
    <w:tbl>
      <w:tblPr>
        <w:tblStyle w:val="3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21"/>
        <w:gridCol w:w="1705"/>
        <w:gridCol w:w="2573"/>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35" w:type="pct"/>
            <w:noWrap w:val="0"/>
            <w:vAlign w:val="center"/>
          </w:tcPr>
          <w:p>
            <w:pPr>
              <w:pStyle w:val="86"/>
              <w:tabs>
                <w:tab w:val="left" w:pos="1337"/>
              </w:tabs>
              <w:spacing w:line="360" w:lineRule="auto"/>
              <w:ind w:left="-42" w:right="-42"/>
              <w:jc w:val="center"/>
              <w:rPr>
                <w:rFonts w:hint="eastAsia" w:ascii="宋体" w:hAnsi="宋体" w:eastAsia="宋体" w:cs="宋体"/>
                <w:color w:val="000000"/>
                <w:sz w:val="24"/>
              </w:rPr>
            </w:pPr>
            <w:r>
              <w:rPr>
                <w:rFonts w:hint="eastAsia" w:ascii="宋体" w:hAnsi="宋体" w:eastAsia="宋体" w:cs="宋体"/>
                <w:color w:val="000000"/>
                <w:sz w:val="24"/>
              </w:rPr>
              <w:t>项</w:t>
            </w:r>
          </w:p>
        </w:tc>
        <w:tc>
          <w:tcPr>
            <w:tcW w:w="864" w:type="pct"/>
            <w:noWrap w:val="0"/>
            <w:vAlign w:val="center"/>
          </w:tcPr>
          <w:p>
            <w:pPr>
              <w:pStyle w:val="86"/>
              <w:tabs>
                <w:tab w:val="left" w:pos="1337"/>
              </w:tabs>
              <w:spacing w:line="360" w:lineRule="auto"/>
              <w:ind w:left="-42" w:right="-42"/>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856" w:type="pct"/>
            <w:noWrap w:val="0"/>
            <w:vAlign w:val="center"/>
          </w:tcPr>
          <w:p>
            <w:pPr>
              <w:pStyle w:val="86"/>
              <w:tabs>
                <w:tab w:val="left" w:pos="1337"/>
              </w:tabs>
              <w:spacing w:line="360" w:lineRule="auto"/>
              <w:ind w:right="-42"/>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292" w:type="pct"/>
            <w:noWrap w:val="0"/>
            <w:vAlign w:val="center"/>
          </w:tcPr>
          <w:p>
            <w:pPr>
              <w:pStyle w:val="86"/>
              <w:tabs>
                <w:tab w:val="left" w:pos="1337"/>
              </w:tabs>
              <w:spacing w:line="360" w:lineRule="auto"/>
              <w:ind w:right="-42"/>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w:t>
            </w:r>
          </w:p>
        </w:tc>
        <w:tc>
          <w:tcPr>
            <w:tcW w:w="1451" w:type="pct"/>
            <w:noWrap w:val="0"/>
            <w:vAlign w:val="center"/>
          </w:tcPr>
          <w:p>
            <w:pPr>
              <w:pStyle w:val="86"/>
              <w:tabs>
                <w:tab w:val="left" w:pos="1337"/>
              </w:tabs>
              <w:spacing w:line="360" w:lineRule="auto"/>
              <w:ind w:right="-42"/>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535" w:type="pct"/>
            <w:noWrap w:val="0"/>
            <w:vAlign w:val="center"/>
          </w:tcPr>
          <w:p>
            <w:pPr>
              <w:pStyle w:val="86"/>
              <w:tabs>
                <w:tab w:val="left" w:pos="1337"/>
              </w:tabs>
              <w:spacing w:line="360" w:lineRule="auto"/>
              <w:ind w:left="-42" w:right="-42"/>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864" w:type="pct"/>
            <w:noWrap w:val="0"/>
            <w:vAlign w:val="center"/>
          </w:tcPr>
          <w:p>
            <w:pPr>
              <w:pStyle w:val="86"/>
              <w:tabs>
                <w:tab w:val="left" w:pos="1337"/>
              </w:tabs>
              <w:spacing w:line="360" w:lineRule="auto"/>
              <w:jc w:val="center"/>
              <w:rPr>
                <w:rFonts w:hint="eastAsia" w:ascii="宋体" w:hAnsi="宋体" w:eastAsia="宋体" w:cs="宋体"/>
                <w:color w:val="000000"/>
                <w:sz w:val="24"/>
              </w:rPr>
            </w:pPr>
            <w:r>
              <w:rPr>
                <w:rFonts w:hint="eastAsia" w:ascii="宋体" w:hAnsi="宋体" w:cs="宋体"/>
                <w:color w:val="000000"/>
                <w:sz w:val="24"/>
                <w:lang w:eastAsia="zh-CN"/>
              </w:rPr>
              <w:t>服务费用分项</w:t>
            </w:r>
            <w:r>
              <w:rPr>
                <w:rFonts w:hint="eastAsia" w:ascii="宋体" w:hAnsi="宋体" w:eastAsia="宋体" w:cs="宋体"/>
                <w:color w:val="000000"/>
                <w:sz w:val="24"/>
              </w:rPr>
              <w:t>名称</w:t>
            </w:r>
          </w:p>
        </w:tc>
        <w:tc>
          <w:tcPr>
            <w:tcW w:w="856" w:type="pct"/>
            <w:noWrap w:val="0"/>
            <w:vAlign w:val="center"/>
          </w:tcPr>
          <w:p>
            <w:pPr>
              <w:pStyle w:val="86"/>
              <w:tabs>
                <w:tab w:val="left" w:pos="1337"/>
              </w:tabs>
              <w:spacing w:line="360" w:lineRule="auto"/>
              <w:ind w:left="-42" w:right="-42"/>
              <w:jc w:val="center"/>
              <w:rPr>
                <w:rFonts w:hint="eastAsia" w:ascii="宋体" w:hAnsi="宋体" w:eastAsia="宋体" w:cs="宋体"/>
                <w:color w:val="000000"/>
                <w:sz w:val="24"/>
                <w:lang w:eastAsia="zh-CN"/>
              </w:rPr>
            </w:pPr>
            <w:r>
              <w:rPr>
                <w:rFonts w:hint="eastAsia" w:ascii="宋体" w:hAnsi="宋体" w:cs="宋体"/>
                <w:color w:val="000000"/>
                <w:sz w:val="24"/>
                <w:lang w:eastAsia="zh-CN"/>
              </w:rPr>
              <w:t>数量</w:t>
            </w:r>
          </w:p>
        </w:tc>
        <w:tc>
          <w:tcPr>
            <w:tcW w:w="1292" w:type="pct"/>
            <w:noWrap w:val="0"/>
            <w:vAlign w:val="center"/>
          </w:tcPr>
          <w:p>
            <w:pPr>
              <w:pStyle w:val="86"/>
              <w:tabs>
                <w:tab w:val="left" w:pos="1337"/>
              </w:tabs>
              <w:spacing w:line="360" w:lineRule="auto"/>
              <w:ind w:left="-42" w:right="-42"/>
              <w:jc w:val="center"/>
              <w:rPr>
                <w:rFonts w:hint="eastAsia" w:ascii="宋体" w:hAnsi="宋体" w:cs="宋体"/>
                <w:color w:val="000000"/>
                <w:sz w:val="24"/>
                <w:lang w:eastAsia="zh-CN"/>
              </w:rPr>
            </w:pPr>
            <w:r>
              <w:rPr>
                <w:rFonts w:hint="eastAsia" w:ascii="宋体" w:hAnsi="宋体" w:cs="宋体"/>
                <w:color w:val="000000"/>
                <w:sz w:val="24"/>
                <w:lang w:eastAsia="zh-CN"/>
              </w:rPr>
              <w:t>单价</w:t>
            </w:r>
          </w:p>
        </w:tc>
        <w:tc>
          <w:tcPr>
            <w:tcW w:w="1451" w:type="pct"/>
            <w:noWrap w:val="0"/>
            <w:vAlign w:val="center"/>
          </w:tcPr>
          <w:p>
            <w:pPr>
              <w:pStyle w:val="86"/>
              <w:tabs>
                <w:tab w:val="left" w:pos="1337"/>
              </w:tabs>
              <w:spacing w:line="360" w:lineRule="auto"/>
              <w:ind w:left="-42" w:right="-42"/>
              <w:jc w:val="center"/>
              <w:rPr>
                <w:rFonts w:hint="eastAsia" w:ascii="宋体" w:hAnsi="宋体" w:cs="宋体"/>
                <w:color w:val="000000"/>
                <w:sz w:val="24"/>
                <w:lang w:eastAsia="zh-CN"/>
              </w:rPr>
            </w:pPr>
            <w:r>
              <w:rPr>
                <w:rFonts w:hint="eastAsia" w:ascii="宋体" w:hAnsi="宋体" w:cs="宋体"/>
                <w:color w:val="000000"/>
                <w:sz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35" w:type="pct"/>
            <w:noWrap w:val="0"/>
            <w:vAlign w:val="center"/>
          </w:tcPr>
          <w:p>
            <w:pPr>
              <w:pStyle w:val="86"/>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864"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856"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1292"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1451"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35" w:type="pct"/>
            <w:noWrap w:val="0"/>
            <w:vAlign w:val="center"/>
          </w:tcPr>
          <w:p>
            <w:pPr>
              <w:pStyle w:val="86"/>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864"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856"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292"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451" w:type="pct"/>
            <w:noWrap w:val="0"/>
            <w:vAlign w:val="top"/>
          </w:tcPr>
          <w:p>
            <w:pPr>
              <w:pStyle w:val="86"/>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35" w:type="pct"/>
            <w:noWrap w:val="0"/>
            <w:vAlign w:val="center"/>
          </w:tcPr>
          <w:p>
            <w:pPr>
              <w:pStyle w:val="86"/>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864"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856"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292"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451" w:type="pct"/>
            <w:noWrap w:val="0"/>
            <w:vAlign w:val="top"/>
          </w:tcPr>
          <w:p>
            <w:pPr>
              <w:pStyle w:val="86"/>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35" w:type="pct"/>
            <w:noWrap w:val="0"/>
            <w:vAlign w:val="center"/>
          </w:tcPr>
          <w:p>
            <w:pPr>
              <w:pStyle w:val="86"/>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864"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856"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292"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451" w:type="pct"/>
            <w:noWrap w:val="0"/>
            <w:vAlign w:val="top"/>
          </w:tcPr>
          <w:p>
            <w:pPr>
              <w:pStyle w:val="86"/>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35" w:type="pct"/>
            <w:noWrap w:val="0"/>
            <w:vAlign w:val="center"/>
          </w:tcPr>
          <w:p>
            <w:pPr>
              <w:pStyle w:val="86"/>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864" w:type="pct"/>
            <w:noWrap w:val="0"/>
            <w:vAlign w:val="center"/>
          </w:tcPr>
          <w:p>
            <w:pPr>
              <w:pStyle w:val="86"/>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w:t>
            </w:r>
          </w:p>
        </w:tc>
        <w:tc>
          <w:tcPr>
            <w:tcW w:w="856"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292"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451" w:type="pct"/>
            <w:noWrap w:val="0"/>
            <w:vAlign w:val="top"/>
          </w:tcPr>
          <w:p>
            <w:pPr>
              <w:pStyle w:val="86"/>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35"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864"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856"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292"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451" w:type="pct"/>
            <w:noWrap w:val="0"/>
            <w:vAlign w:val="top"/>
          </w:tcPr>
          <w:p>
            <w:pPr>
              <w:pStyle w:val="86"/>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35"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864"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856"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292"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451" w:type="pct"/>
            <w:noWrap w:val="0"/>
            <w:vAlign w:val="top"/>
          </w:tcPr>
          <w:p>
            <w:pPr>
              <w:pStyle w:val="86"/>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35"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864"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856"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292"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451" w:type="pct"/>
            <w:noWrap w:val="0"/>
            <w:vAlign w:val="top"/>
          </w:tcPr>
          <w:p>
            <w:pPr>
              <w:pStyle w:val="86"/>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35"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864"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856"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292"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451" w:type="pct"/>
            <w:noWrap w:val="0"/>
            <w:vAlign w:val="top"/>
          </w:tcPr>
          <w:p>
            <w:pPr>
              <w:pStyle w:val="86"/>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35"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864"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856"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292"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451" w:type="pct"/>
            <w:noWrap w:val="0"/>
            <w:vAlign w:val="top"/>
          </w:tcPr>
          <w:p>
            <w:pPr>
              <w:pStyle w:val="86"/>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35"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864"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856"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292"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451" w:type="pct"/>
            <w:noWrap w:val="0"/>
            <w:vAlign w:val="top"/>
          </w:tcPr>
          <w:p>
            <w:pPr>
              <w:pStyle w:val="86"/>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35"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864" w:type="pct"/>
            <w:noWrap w:val="0"/>
            <w:vAlign w:val="center"/>
          </w:tcPr>
          <w:p>
            <w:pPr>
              <w:pStyle w:val="86"/>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其他</w:t>
            </w:r>
          </w:p>
        </w:tc>
        <w:tc>
          <w:tcPr>
            <w:tcW w:w="856"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292" w:type="pct"/>
            <w:noWrap w:val="0"/>
            <w:vAlign w:val="top"/>
          </w:tcPr>
          <w:p>
            <w:pPr>
              <w:pStyle w:val="86"/>
              <w:tabs>
                <w:tab w:val="left" w:pos="1337"/>
              </w:tabs>
              <w:spacing w:line="360" w:lineRule="auto"/>
              <w:jc w:val="center"/>
              <w:rPr>
                <w:rFonts w:hint="eastAsia" w:ascii="宋体" w:hAnsi="宋体" w:eastAsia="宋体" w:cs="宋体"/>
                <w:color w:val="000000"/>
                <w:sz w:val="24"/>
              </w:rPr>
            </w:pPr>
          </w:p>
        </w:tc>
        <w:tc>
          <w:tcPr>
            <w:tcW w:w="1451" w:type="pct"/>
            <w:noWrap w:val="0"/>
            <w:vAlign w:val="top"/>
          </w:tcPr>
          <w:p>
            <w:pPr>
              <w:pStyle w:val="86"/>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35" w:type="pct"/>
            <w:noWrap w:val="0"/>
            <w:vAlign w:val="center"/>
          </w:tcPr>
          <w:p>
            <w:pPr>
              <w:pStyle w:val="86"/>
              <w:tabs>
                <w:tab w:val="left" w:pos="1337"/>
              </w:tabs>
              <w:spacing w:line="360" w:lineRule="auto"/>
              <w:jc w:val="center"/>
              <w:rPr>
                <w:rFonts w:hint="eastAsia" w:ascii="宋体" w:hAnsi="宋体" w:eastAsia="宋体" w:cs="宋体"/>
                <w:color w:val="000000"/>
                <w:sz w:val="24"/>
              </w:rPr>
            </w:pPr>
          </w:p>
        </w:tc>
        <w:tc>
          <w:tcPr>
            <w:tcW w:w="864" w:type="pct"/>
            <w:noWrap w:val="0"/>
            <w:vAlign w:val="center"/>
          </w:tcPr>
          <w:p>
            <w:pPr>
              <w:pStyle w:val="86"/>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合计</w:t>
            </w:r>
          </w:p>
        </w:tc>
        <w:tc>
          <w:tcPr>
            <w:tcW w:w="3600" w:type="pct"/>
            <w:gridSpan w:val="3"/>
            <w:noWrap w:val="0"/>
            <w:vAlign w:val="top"/>
          </w:tcPr>
          <w:p>
            <w:pPr>
              <w:pStyle w:val="86"/>
              <w:tabs>
                <w:tab w:val="left" w:pos="1337"/>
              </w:tabs>
              <w:spacing w:line="360" w:lineRule="auto"/>
              <w:jc w:val="center"/>
              <w:rPr>
                <w:rFonts w:hint="eastAsia" w:ascii="宋体" w:hAnsi="宋体" w:eastAsia="宋体" w:cs="宋体"/>
                <w:color w:val="000000"/>
                <w:sz w:val="24"/>
              </w:rPr>
            </w:pPr>
          </w:p>
        </w:tc>
      </w:tr>
    </w:tbl>
    <w:p>
      <w:pPr>
        <w:pStyle w:val="8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说明：</w:t>
      </w:r>
      <w:r>
        <w:rPr>
          <w:rFonts w:hint="eastAsia" w:ascii="宋体" w:hAnsi="宋体" w:eastAsia="宋体" w:cs="宋体"/>
          <w:bCs/>
          <w:color w:val="000000"/>
          <w:sz w:val="21"/>
          <w:szCs w:val="21"/>
        </w:rPr>
        <w:t>报价明细表</w:t>
      </w:r>
      <w:r>
        <w:rPr>
          <w:rFonts w:hint="eastAsia" w:ascii="宋体" w:hAnsi="宋体" w:cs="宋体"/>
          <w:bCs/>
          <w:color w:val="000000"/>
          <w:sz w:val="21"/>
          <w:szCs w:val="21"/>
          <w:lang w:eastAsia="zh-CN"/>
        </w:rPr>
        <w:t>合</w:t>
      </w:r>
      <w:r>
        <w:rPr>
          <w:rFonts w:hint="eastAsia" w:ascii="宋体" w:hAnsi="宋体" w:eastAsia="宋体" w:cs="宋体"/>
          <w:bCs/>
          <w:color w:val="000000"/>
          <w:sz w:val="21"/>
          <w:szCs w:val="21"/>
        </w:rPr>
        <w:t>计价格必须与《</w:t>
      </w:r>
      <w:r>
        <w:rPr>
          <w:rFonts w:hint="eastAsia" w:ascii="宋体" w:hAnsi="宋体" w:cs="宋体"/>
          <w:bCs/>
          <w:color w:val="000000"/>
          <w:sz w:val="21"/>
          <w:szCs w:val="21"/>
          <w:lang w:eastAsia="zh-CN"/>
        </w:rPr>
        <w:t>报价一览表</w:t>
      </w:r>
      <w:r>
        <w:rPr>
          <w:rFonts w:hint="eastAsia" w:ascii="宋体" w:hAnsi="宋体" w:eastAsia="宋体" w:cs="宋体"/>
          <w:bCs/>
          <w:color w:val="000000"/>
          <w:sz w:val="21"/>
          <w:szCs w:val="21"/>
        </w:rPr>
        <w:t>》报价一致</w:t>
      </w:r>
      <w:r>
        <w:rPr>
          <w:rFonts w:hint="eastAsia" w:ascii="宋体" w:hAnsi="宋体" w:cs="宋体"/>
          <w:bCs/>
          <w:color w:val="000000"/>
          <w:sz w:val="21"/>
          <w:szCs w:val="21"/>
          <w:lang w:eastAsia="zh-CN"/>
        </w:rPr>
        <w:t>，如果不提供将被视为没有实质性响应磋商文件。以上表格形式只作为参考。</w:t>
      </w:r>
    </w:p>
    <w:p>
      <w:pPr>
        <w:pStyle w:val="80"/>
        <w:tabs>
          <w:tab w:val="left" w:pos="750"/>
        </w:tabs>
        <w:adjustRightInd w:val="0"/>
        <w:snapToGrid w:val="0"/>
        <w:spacing w:line="500" w:lineRule="exact"/>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0"/>
        <w:tabs>
          <w:tab w:val="left" w:pos="750"/>
        </w:tabs>
        <w:adjustRightInd w:val="0"/>
        <w:snapToGrid w:val="0"/>
        <w:spacing w:line="500" w:lineRule="exact"/>
        <w:ind w:firstLine="720" w:firstLineChars="300"/>
        <w:jc w:val="center"/>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kern w:val="2"/>
          <w:sz w:val="24"/>
          <w:szCs w:val="22"/>
          <w:u w:val="none"/>
          <w:lang w:val="en-US" w:eastAsia="zh-CN" w:bidi="ar-SA"/>
        </w:rPr>
        <w:t>（单位负责人）</w:t>
      </w:r>
      <w:r>
        <w:rPr>
          <w:rFonts w:hint="eastAsia" w:ascii="宋体" w:hAnsi="宋体" w:eastAsia="宋体" w:cs="宋体"/>
          <w:sz w:val="24"/>
          <w:szCs w:val="24"/>
          <w:lang w:eastAsia="zh-CN"/>
        </w:rPr>
        <w:t>或其授权委托人</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adjustRightInd w:val="0"/>
        <w:snapToGrid w:val="0"/>
        <w:spacing w:line="500" w:lineRule="exact"/>
        <w:ind w:left="-88" w:leftChars="-42"/>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31"/>
        <w:ind w:left="0" w:leftChars="0" w:firstLine="0" w:firstLineChars="0"/>
        <w:rPr>
          <w:rFonts w:hint="eastAsia" w:ascii="宋体" w:hAnsi="宋体" w:eastAsia="宋体" w:cs="宋体"/>
          <w:sz w:val="24"/>
          <w:szCs w:val="24"/>
        </w:rPr>
      </w:pPr>
    </w:p>
    <w:p>
      <w:pPr>
        <w:pStyle w:val="31"/>
        <w:ind w:left="0" w:leftChars="0" w:firstLine="0" w:firstLineChars="0"/>
        <w:rPr>
          <w:rFonts w:hint="eastAsia" w:ascii="宋体" w:hAnsi="宋体" w:eastAsia="宋体" w:cs="宋体"/>
          <w:sz w:val="24"/>
          <w:szCs w:val="24"/>
        </w:rPr>
      </w:pPr>
    </w:p>
    <w:p>
      <w:pPr>
        <w:pStyle w:val="31"/>
        <w:ind w:left="0" w:leftChars="0" w:firstLine="0" w:firstLineChars="0"/>
        <w:rPr>
          <w:rFonts w:hint="eastAsia" w:ascii="宋体" w:hAnsi="宋体" w:eastAsia="宋体" w:cs="宋体"/>
          <w:sz w:val="24"/>
          <w:szCs w:val="24"/>
        </w:rPr>
      </w:pPr>
    </w:p>
    <w:p>
      <w:pPr>
        <w:pStyle w:val="31"/>
        <w:ind w:left="0" w:leftChars="0" w:firstLine="0" w:firstLineChars="0"/>
        <w:rPr>
          <w:rFonts w:hint="eastAsia" w:ascii="宋体" w:hAnsi="宋体" w:eastAsia="宋体" w:cs="宋体"/>
          <w:sz w:val="24"/>
          <w:szCs w:val="24"/>
        </w:rPr>
      </w:pPr>
    </w:p>
    <w:p>
      <w:pPr>
        <w:pStyle w:val="31"/>
        <w:ind w:left="0" w:leftChars="0" w:firstLine="0" w:firstLineChars="0"/>
        <w:rPr>
          <w:rFonts w:hint="eastAsia" w:ascii="宋体" w:hAnsi="宋体" w:eastAsia="宋体" w:cs="宋体"/>
          <w:sz w:val="24"/>
          <w:szCs w:val="24"/>
        </w:rPr>
      </w:pPr>
    </w:p>
    <w:p>
      <w:pPr>
        <w:pStyle w:val="31"/>
        <w:ind w:left="0" w:leftChars="0" w:firstLine="0" w:firstLineChars="0"/>
        <w:rPr>
          <w:rFonts w:hint="eastAsia" w:ascii="宋体" w:hAnsi="宋体" w:eastAsia="宋体" w:cs="宋体"/>
          <w:sz w:val="24"/>
          <w:szCs w:val="24"/>
        </w:rPr>
      </w:pPr>
    </w:p>
    <w:p>
      <w:pPr>
        <w:pStyle w:val="87"/>
        <w:outlineLvl w:val="2"/>
        <w:rPr>
          <w:rFonts w:hint="eastAsia" w:ascii="宋体" w:hAnsi="宋体" w:eastAsia="宋体" w:cs="宋体"/>
          <w:b w:val="0"/>
          <w:bCs/>
          <w:lang w:val="en-US" w:eastAsia="zh-CN"/>
        </w:rPr>
      </w:pPr>
      <w:bookmarkStart w:id="337" w:name="_Toc13251"/>
      <w:bookmarkStart w:id="338" w:name="_Toc501460791"/>
      <w:r>
        <w:rPr>
          <w:rFonts w:hint="eastAsia" w:ascii="宋体" w:hAnsi="宋体" w:eastAsia="宋体" w:cs="宋体"/>
          <w:b w:val="0"/>
          <w:bCs/>
          <w:lang w:val="en-US" w:eastAsia="zh-CN"/>
        </w:rPr>
        <w:t>附件七：商务（技术）条款偏差表</w:t>
      </w:r>
      <w:bookmarkEnd w:id="337"/>
      <w:bookmarkEnd w:id="338"/>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3264"/>
        <w:gridCol w:w="360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kern w:val="0"/>
                <w:szCs w:val="21"/>
              </w:rPr>
            </w:pPr>
            <w:r>
              <w:rPr>
                <w:rFonts w:hint="eastAsia" w:ascii="宋体" w:hAnsi="宋体" w:eastAsia="宋体" w:cs="宋体"/>
                <w:b w:val="0"/>
                <w:bCs/>
                <w:kern w:val="0"/>
                <w:szCs w:val="21"/>
              </w:rPr>
              <w:t>序号</w:t>
            </w:r>
          </w:p>
        </w:tc>
        <w:tc>
          <w:tcPr>
            <w:tcW w:w="1638" w:type="pct"/>
            <w:noWrap w:val="0"/>
            <w:vAlign w:val="bottom"/>
          </w:tcPr>
          <w:p>
            <w:pPr>
              <w:widowControl/>
              <w:snapToGrid w:val="0"/>
              <w:jc w:val="center"/>
              <w:rPr>
                <w:rFonts w:hint="eastAsia" w:ascii="宋体" w:hAnsi="宋体" w:eastAsia="宋体" w:cs="宋体"/>
                <w:b w:val="0"/>
                <w:bCs/>
                <w:kern w:val="0"/>
                <w:szCs w:val="21"/>
              </w:rPr>
            </w:pPr>
            <w:r>
              <w:rPr>
                <w:rFonts w:hint="eastAsia" w:ascii="宋体" w:hAnsi="宋体" w:eastAsia="宋体" w:cs="宋体"/>
                <w:b w:val="0"/>
                <w:bCs/>
                <w:kern w:val="0"/>
                <w:szCs w:val="21"/>
                <w:lang w:eastAsia="zh-CN"/>
              </w:rPr>
              <w:t>磋商</w:t>
            </w:r>
            <w:r>
              <w:rPr>
                <w:rFonts w:hint="eastAsia" w:ascii="宋体" w:hAnsi="宋体" w:eastAsia="宋体" w:cs="宋体"/>
                <w:b w:val="0"/>
                <w:bCs/>
                <w:kern w:val="0"/>
                <w:szCs w:val="21"/>
              </w:rPr>
              <w:t>文件章节及条款号</w:t>
            </w:r>
          </w:p>
        </w:tc>
        <w:tc>
          <w:tcPr>
            <w:tcW w:w="1811" w:type="pct"/>
            <w:noWrap w:val="0"/>
            <w:vAlign w:val="bottom"/>
          </w:tcPr>
          <w:p>
            <w:pPr>
              <w:widowControl/>
              <w:snapToGrid w:val="0"/>
              <w:jc w:val="center"/>
              <w:rPr>
                <w:rFonts w:hint="eastAsia" w:ascii="宋体" w:hAnsi="宋体" w:eastAsia="宋体" w:cs="宋体"/>
                <w:b w:val="0"/>
                <w:bCs/>
                <w:kern w:val="0"/>
                <w:szCs w:val="21"/>
              </w:rPr>
            </w:pPr>
            <w:r>
              <w:rPr>
                <w:rFonts w:hint="eastAsia" w:ascii="宋体" w:hAnsi="宋体" w:eastAsia="宋体" w:cs="宋体"/>
                <w:b w:val="0"/>
                <w:bCs/>
                <w:kern w:val="0"/>
                <w:szCs w:val="21"/>
                <w:lang w:eastAsia="zh-CN"/>
              </w:rPr>
              <w:t>响应</w:t>
            </w:r>
            <w:r>
              <w:rPr>
                <w:rFonts w:hint="eastAsia" w:ascii="宋体" w:hAnsi="宋体" w:eastAsia="宋体" w:cs="宋体"/>
                <w:b w:val="0"/>
                <w:bCs/>
                <w:kern w:val="0"/>
                <w:szCs w:val="21"/>
              </w:rPr>
              <w:t>文件章节及条款号</w:t>
            </w:r>
          </w:p>
        </w:tc>
        <w:tc>
          <w:tcPr>
            <w:tcW w:w="987" w:type="pct"/>
            <w:noWrap w:val="0"/>
            <w:vAlign w:val="bottom"/>
          </w:tcPr>
          <w:p>
            <w:pPr>
              <w:widowControl/>
              <w:snapToGrid w:val="0"/>
              <w:jc w:val="center"/>
              <w:rPr>
                <w:rFonts w:hint="eastAsia" w:ascii="宋体" w:hAnsi="宋体" w:eastAsia="宋体" w:cs="宋体"/>
                <w:b w:val="0"/>
                <w:bCs/>
                <w:kern w:val="0"/>
                <w:szCs w:val="21"/>
              </w:rPr>
            </w:pPr>
            <w:r>
              <w:rPr>
                <w:rFonts w:hint="eastAsia" w:ascii="宋体" w:hAnsi="宋体" w:eastAsia="宋体" w:cs="宋体"/>
                <w:b w:val="0"/>
                <w:bCs/>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kern w:val="0"/>
                <w:szCs w:val="21"/>
              </w:rPr>
            </w:pPr>
            <w:r>
              <w:rPr>
                <w:rFonts w:hint="eastAsia" w:ascii="宋体" w:hAnsi="宋体" w:eastAsia="宋体" w:cs="宋体"/>
                <w:b w:val="0"/>
                <w:bCs/>
                <w:kern w:val="0"/>
                <w:szCs w:val="21"/>
              </w:rPr>
              <w:t>1</w:t>
            </w:r>
          </w:p>
        </w:tc>
        <w:tc>
          <w:tcPr>
            <w:tcW w:w="1638" w:type="pct"/>
            <w:noWrap w:val="0"/>
            <w:vAlign w:val="bottom"/>
          </w:tcPr>
          <w:p>
            <w:pPr>
              <w:widowControl/>
              <w:snapToGrid w:val="0"/>
              <w:jc w:val="center"/>
              <w:rPr>
                <w:rFonts w:hint="eastAsia" w:ascii="宋体" w:hAnsi="宋体" w:eastAsia="宋体" w:cs="宋体"/>
                <w:b w:val="0"/>
                <w:bCs/>
                <w:kern w:val="0"/>
                <w:szCs w:val="21"/>
              </w:rPr>
            </w:pPr>
          </w:p>
        </w:tc>
        <w:tc>
          <w:tcPr>
            <w:tcW w:w="1811" w:type="pct"/>
            <w:noWrap w:val="0"/>
            <w:vAlign w:val="bottom"/>
          </w:tcPr>
          <w:p>
            <w:pPr>
              <w:widowControl/>
              <w:snapToGrid w:val="0"/>
              <w:jc w:val="center"/>
              <w:rPr>
                <w:rFonts w:hint="eastAsia" w:ascii="宋体" w:hAnsi="宋体" w:eastAsia="宋体" w:cs="宋体"/>
                <w:b w:val="0"/>
                <w:bCs/>
                <w:kern w:val="0"/>
                <w:szCs w:val="21"/>
              </w:rPr>
            </w:pPr>
          </w:p>
        </w:tc>
        <w:tc>
          <w:tcPr>
            <w:tcW w:w="987" w:type="pct"/>
            <w:noWrap w:val="0"/>
            <w:vAlign w:val="bottom"/>
          </w:tcPr>
          <w:p>
            <w:pPr>
              <w:widowControl/>
              <w:snapToGrid w:val="0"/>
              <w:jc w:val="center"/>
              <w:rPr>
                <w:rFonts w:hint="eastAsia" w:ascii="宋体" w:hAnsi="宋体" w:eastAsia="宋体" w:cs="宋体"/>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kern w:val="0"/>
                <w:szCs w:val="21"/>
              </w:rPr>
            </w:pPr>
            <w:r>
              <w:rPr>
                <w:rFonts w:hint="eastAsia" w:ascii="宋体" w:hAnsi="宋体" w:eastAsia="宋体" w:cs="宋体"/>
                <w:b w:val="0"/>
                <w:bCs/>
                <w:kern w:val="0"/>
                <w:szCs w:val="21"/>
              </w:rPr>
              <w:t>2</w:t>
            </w:r>
          </w:p>
        </w:tc>
        <w:tc>
          <w:tcPr>
            <w:tcW w:w="1638" w:type="pct"/>
            <w:noWrap w:val="0"/>
            <w:vAlign w:val="bottom"/>
          </w:tcPr>
          <w:p>
            <w:pPr>
              <w:widowControl/>
              <w:snapToGrid w:val="0"/>
              <w:jc w:val="center"/>
              <w:rPr>
                <w:rFonts w:hint="eastAsia" w:ascii="宋体" w:hAnsi="宋体" w:eastAsia="宋体" w:cs="宋体"/>
                <w:b w:val="0"/>
                <w:bCs/>
                <w:kern w:val="0"/>
                <w:szCs w:val="21"/>
              </w:rPr>
            </w:pPr>
          </w:p>
        </w:tc>
        <w:tc>
          <w:tcPr>
            <w:tcW w:w="1811" w:type="pct"/>
            <w:noWrap w:val="0"/>
            <w:vAlign w:val="bottom"/>
          </w:tcPr>
          <w:p>
            <w:pPr>
              <w:widowControl/>
              <w:snapToGrid w:val="0"/>
              <w:jc w:val="center"/>
              <w:rPr>
                <w:rFonts w:hint="eastAsia" w:ascii="宋体" w:hAnsi="宋体" w:eastAsia="宋体" w:cs="宋体"/>
                <w:b w:val="0"/>
                <w:bCs/>
                <w:kern w:val="0"/>
                <w:szCs w:val="21"/>
              </w:rPr>
            </w:pPr>
          </w:p>
        </w:tc>
        <w:tc>
          <w:tcPr>
            <w:tcW w:w="987" w:type="pct"/>
            <w:noWrap w:val="0"/>
            <w:vAlign w:val="bottom"/>
          </w:tcPr>
          <w:p>
            <w:pPr>
              <w:widowControl/>
              <w:snapToGrid w:val="0"/>
              <w:jc w:val="center"/>
              <w:rPr>
                <w:rFonts w:hint="eastAsia" w:ascii="宋体" w:hAnsi="宋体" w:eastAsia="宋体" w:cs="宋体"/>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kern w:val="0"/>
                <w:szCs w:val="21"/>
              </w:rPr>
            </w:pPr>
            <w:r>
              <w:rPr>
                <w:rFonts w:hint="eastAsia" w:ascii="宋体" w:hAnsi="宋体" w:eastAsia="宋体" w:cs="宋体"/>
                <w:b w:val="0"/>
                <w:bCs/>
                <w:kern w:val="0"/>
                <w:szCs w:val="21"/>
              </w:rPr>
              <w:t>3</w:t>
            </w:r>
          </w:p>
        </w:tc>
        <w:tc>
          <w:tcPr>
            <w:tcW w:w="1638" w:type="pct"/>
            <w:noWrap w:val="0"/>
            <w:vAlign w:val="bottom"/>
          </w:tcPr>
          <w:p>
            <w:pPr>
              <w:widowControl/>
              <w:snapToGrid w:val="0"/>
              <w:jc w:val="center"/>
              <w:rPr>
                <w:rFonts w:hint="eastAsia" w:ascii="宋体" w:hAnsi="宋体" w:eastAsia="宋体" w:cs="宋体"/>
                <w:b w:val="0"/>
                <w:bCs/>
                <w:kern w:val="0"/>
                <w:szCs w:val="21"/>
              </w:rPr>
            </w:pPr>
          </w:p>
        </w:tc>
        <w:tc>
          <w:tcPr>
            <w:tcW w:w="1811" w:type="pct"/>
            <w:noWrap w:val="0"/>
            <w:vAlign w:val="bottom"/>
          </w:tcPr>
          <w:p>
            <w:pPr>
              <w:widowControl/>
              <w:snapToGrid w:val="0"/>
              <w:jc w:val="center"/>
              <w:rPr>
                <w:rFonts w:hint="eastAsia" w:ascii="宋体" w:hAnsi="宋体" w:eastAsia="宋体" w:cs="宋体"/>
                <w:b w:val="0"/>
                <w:bCs/>
                <w:kern w:val="0"/>
                <w:szCs w:val="21"/>
              </w:rPr>
            </w:pPr>
          </w:p>
        </w:tc>
        <w:tc>
          <w:tcPr>
            <w:tcW w:w="987" w:type="pct"/>
            <w:noWrap w:val="0"/>
            <w:vAlign w:val="bottom"/>
          </w:tcPr>
          <w:p>
            <w:pPr>
              <w:widowControl/>
              <w:snapToGrid w:val="0"/>
              <w:jc w:val="center"/>
              <w:rPr>
                <w:rFonts w:hint="eastAsia" w:ascii="宋体" w:hAnsi="宋体" w:eastAsia="宋体" w:cs="宋体"/>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kern w:val="0"/>
                <w:szCs w:val="21"/>
              </w:rPr>
            </w:pPr>
            <w:r>
              <w:rPr>
                <w:rFonts w:hint="eastAsia" w:ascii="宋体" w:hAnsi="宋体" w:eastAsia="宋体" w:cs="宋体"/>
                <w:b w:val="0"/>
                <w:bCs/>
                <w:kern w:val="0"/>
                <w:szCs w:val="21"/>
              </w:rPr>
              <w:t>4</w:t>
            </w:r>
          </w:p>
        </w:tc>
        <w:tc>
          <w:tcPr>
            <w:tcW w:w="1638" w:type="pct"/>
            <w:noWrap w:val="0"/>
            <w:vAlign w:val="bottom"/>
          </w:tcPr>
          <w:p>
            <w:pPr>
              <w:widowControl/>
              <w:snapToGrid w:val="0"/>
              <w:jc w:val="center"/>
              <w:rPr>
                <w:rFonts w:hint="eastAsia" w:ascii="宋体" w:hAnsi="宋体" w:eastAsia="宋体" w:cs="宋体"/>
                <w:b w:val="0"/>
                <w:bCs/>
                <w:kern w:val="0"/>
                <w:szCs w:val="21"/>
              </w:rPr>
            </w:pPr>
          </w:p>
        </w:tc>
        <w:tc>
          <w:tcPr>
            <w:tcW w:w="1811" w:type="pct"/>
            <w:noWrap w:val="0"/>
            <w:vAlign w:val="bottom"/>
          </w:tcPr>
          <w:p>
            <w:pPr>
              <w:widowControl/>
              <w:snapToGrid w:val="0"/>
              <w:jc w:val="center"/>
              <w:rPr>
                <w:rFonts w:hint="eastAsia" w:ascii="宋体" w:hAnsi="宋体" w:eastAsia="宋体" w:cs="宋体"/>
                <w:b w:val="0"/>
                <w:bCs/>
                <w:kern w:val="0"/>
                <w:szCs w:val="21"/>
              </w:rPr>
            </w:pPr>
          </w:p>
        </w:tc>
        <w:tc>
          <w:tcPr>
            <w:tcW w:w="987" w:type="pct"/>
            <w:noWrap w:val="0"/>
            <w:vAlign w:val="bottom"/>
          </w:tcPr>
          <w:p>
            <w:pPr>
              <w:widowControl/>
              <w:snapToGrid w:val="0"/>
              <w:jc w:val="center"/>
              <w:rPr>
                <w:rFonts w:hint="eastAsia" w:ascii="宋体" w:hAnsi="宋体" w:eastAsia="宋体" w:cs="宋体"/>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kern w:val="0"/>
                <w:szCs w:val="21"/>
              </w:rPr>
            </w:pPr>
            <w:r>
              <w:rPr>
                <w:rFonts w:hint="eastAsia" w:ascii="宋体" w:hAnsi="宋体" w:eastAsia="宋体" w:cs="宋体"/>
                <w:b w:val="0"/>
                <w:bCs/>
                <w:kern w:val="0"/>
                <w:szCs w:val="21"/>
              </w:rPr>
              <w:t>5</w:t>
            </w:r>
          </w:p>
        </w:tc>
        <w:tc>
          <w:tcPr>
            <w:tcW w:w="1638" w:type="pct"/>
            <w:noWrap w:val="0"/>
            <w:vAlign w:val="bottom"/>
          </w:tcPr>
          <w:p>
            <w:pPr>
              <w:widowControl/>
              <w:snapToGrid w:val="0"/>
              <w:jc w:val="center"/>
              <w:rPr>
                <w:rFonts w:hint="eastAsia" w:ascii="宋体" w:hAnsi="宋体" w:eastAsia="宋体" w:cs="宋体"/>
                <w:b w:val="0"/>
                <w:bCs/>
                <w:kern w:val="0"/>
                <w:szCs w:val="21"/>
              </w:rPr>
            </w:pPr>
          </w:p>
        </w:tc>
        <w:tc>
          <w:tcPr>
            <w:tcW w:w="1811" w:type="pct"/>
            <w:noWrap w:val="0"/>
            <w:vAlign w:val="bottom"/>
          </w:tcPr>
          <w:p>
            <w:pPr>
              <w:widowControl/>
              <w:snapToGrid w:val="0"/>
              <w:jc w:val="center"/>
              <w:rPr>
                <w:rFonts w:hint="eastAsia" w:ascii="宋体" w:hAnsi="宋体" w:eastAsia="宋体" w:cs="宋体"/>
                <w:b w:val="0"/>
                <w:bCs/>
                <w:kern w:val="0"/>
                <w:szCs w:val="21"/>
              </w:rPr>
            </w:pPr>
          </w:p>
        </w:tc>
        <w:tc>
          <w:tcPr>
            <w:tcW w:w="987" w:type="pct"/>
            <w:noWrap w:val="0"/>
            <w:vAlign w:val="bottom"/>
          </w:tcPr>
          <w:p>
            <w:pPr>
              <w:widowControl/>
              <w:snapToGrid w:val="0"/>
              <w:jc w:val="center"/>
              <w:rPr>
                <w:rFonts w:hint="eastAsia" w:ascii="宋体" w:hAnsi="宋体" w:eastAsia="宋体" w:cs="宋体"/>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kern w:val="0"/>
                <w:szCs w:val="21"/>
              </w:rPr>
            </w:pPr>
            <w:r>
              <w:rPr>
                <w:rFonts w:hint="eastAsia" w:ascii="宋体" w:hAnsi="宋体" w:eastAsia="宋体" w:cs="宋体"/>
                <w:b w:val="0"/>
                <w:bCs/>
                <w:kern w:val="0"/>
                <w:szCs w:val="21"/>
              </w:rPr>
              <w:t>……</w:t>
            </w:r>
          </w:p>
        </w:tc>
        <w:tc>
          <w:tcPr>
            <w:tcW w:w="1638" w:type="pct"/>
            <w:noWrap w:val="0"/>
            <w:vAlign w:val="bottom"/>
          </w:tcPr>
          <w:p>
            <w:pPr>
              <w:widowControl/>
              <w:snapToGrid w:val="0"/>
              <w:jc w:val="center"/>
              <w:rPr>
                <w:rFonts w:hint="eastAsia" w:ascii="宋体" w:hAnsi="宋体" w:eastAsia="宋体" w:cs="宋体"/>
                <w:b w:val="0"/>
                <w:bCs/>
                <w:kern w:val="0"/>
                <w:szCs w:val="21"/>
              </w:rPr>
            </w:pPr>
          </w:p>
        </w:tc>
        <w:tc>
          <w:tcPr>
            <w:tcW w:w="1811" w:type="pct"/>
            <w:noWrap w:val="0"/>
            <w:vAlign w:val="bottom"/>
          </w:tcPr>
          <w:p>
            <w:pPr>
              <w:widowControl/>
              <w:snapToGrid w:val="0"/>
              <w:jc w:val="center"/>
              <w:rPr>
                <w:rFonts w:hint="eastAsia" w:ascii="宋体" w:hAnsi="宋体" w:eastAsia="宋体" w:cs="宋体"/>
                <w:b w:val="0"/>
                <w:bCs/>
                <w:kern w:val="0"/>
                <w:szCs w:val="21"/>
              </w:rPr>
            </w:pPr>
          </w:p>
        </w:tc>
        <w:tc>
          <w:tcPr>
            <w:tcW w:w="987" w:type="pct"/>
            <w:noWrap w:val="0"/>
            <w:vAlign w:val="bottom"/>
          </w:tcPr>
          <w:p>
            <w:pPr>
              <w:widowControl/>
              <w:snapToGrid w:val="0"/>
              <w:jc w:val="center"/>
              <w:rPr>
                <w:rFonts w:hint="eastAsia" w:ascii="宋体" w:hAnsi="宋体" w:eastAsia="宋体" w:cs="宋体"/>
                <w:b w:val="0"/>
                <w:bCs/>
                <w:kern w:val="0"/>
                <w:szCs w:val="21"/>
              </w:rPr>
            </w:pPr>
          </w:p>
        </w:tc>
      </w:tr>
    </w:tbl>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投标人保证：除</w:t>
      </w:r>
      <w:r>
        <w:rPr>
          <w:rFonts w:hint="eastAsia" w:ascii="宋体" w:hAnsi="宋体" w:eastAsia="宋体" w:cs="宋体"/>
          <w:szCs w:val="21"/>
          <w:lang w:eastAsia="zh-CN"/>
        </w:rPr>
        <w:t>上</w:t>
      </w:r>
      <w:r>
        <w:rPr>
          <w:rFonts w:hint="eastAsia" w:ascii="宋体" w:hAnsi="宋体" w:eastAsia="宋体" w:cs="宋体"/>
          <w:szCs w:val="21"/>
        </w:rPr>
        <w:t>表列出的偏差外，投标人响应</w:t>
      </w:r>
      <w:r>
        <w:rPr>
          <w:rFonts w:hint="eastAsia" w:ascii="宋体" w:hAnsi="宋体" w:cs="宋体"/>
          <w:szCs w:val="21"/>
          <w:lang w:eastAsia="zh-CN"/>
        </w:rPr>
        <w:t>磋商</w:t>
      </w:r>
      <w:r>
        <w:rPr>
          <w:rFonts w:hint="eastAsia" w:ascii="宋体" w:hAnsi="宋体" w:eastAsia="宋体" w:cs="宋体"/>
          <w:szCs w:val="21"/>
        </w:rPr>
        <w:t>文件的全部要求。</w:t>
      </w:r>
    </w:p>
    <w:p>
      <w:pPr>
        <w:pStyle w:val="86"/>
        <w:spacing w:line="360" w:lineRule="auto"/>
        <w:ind w:right="480"/>
        <w:rPr>
          <w:rFonts w:hint="eastAsia" w:ascii="宋体" w:hAnsi="宋体" w:eastAsia="宋体" w:cs="宋体"/>
          <w:color w:val="000000"/>
          <w:sz w:val="24"/>
        </w:rPr>
      </w:pPr>
    </w:p>
    <w:p>
      <w:pPr>
        <w:spacing w:before="145" w:beforeLines="50" w:after="145" w:afterLines="50" w:line="300" w:lineRule="auto"/>
        <w:ind w:firstLine="360" w:firstLineChars="150"/>
        <w:jc w:val="center"/>
        <w:rPr>
          <w:rFonts w:hint="eastAsia" w:ascii="宋体" w:hAnsi="宋体" w:eastAsia="宋体" w:cs="宋体"/>
          <w:sz w:val="24"/>
        </w:rPr>
      </w:pPr>
      <w:r>
        <w:rPr>
          <w:rFonts w:hint="eastAsia" w:ascii="宋体" w:hAnsi="宋体" w:eastAsia="宋体" w:cs="宋体"/>
          <w:sz w:val="24"/>
        </w:rPr>
        <w:t>企业名称（</w:t>
      </w:r>
      <w:r>
        <w:rPr>
          <w:rFonts w:hint="eastAsia" w:ascii="宋体" w:hAnsi="宋体" w:eastAsia="宋体" w:cs="宋体"/>
          <w:sz w:val="24"/>
          <w:lang w:eastAsia="zh-CN"/>
        </w:rPr>
        <w:t>公</w:t>
      </w:r>
      <w:r>
        <w:rPr>
          <w:rFonts w:hint="eastAsia" w:ascii="宋体" w:hAnsi="宋体" w:eastAsia="宋体" w:cs="宋体"/>
          <w:sz w:val="24"/>
        </w:rPr>
        <w:t>章）：</w:t>
      </w:r>
    </w:p>
    <w:p>
      <w:pPr>
        <w:spacing w:before="145" w:beforeLines="50" w:after="145" w:afterLines="50" w:line="300" w:lineRule="auto"/>
        <w:ind w:right="480" w:firstLine="6960" w:firstLineChars="2900"/>
        <w:rPr>
          <w:rFonts w:hint="eastAsia" w:ascii="宋体" w:hAnsi="宋体" w:eastAsia="宋体" w:cs="宋体"/>
          <w:sz w:val="24"/>
        </w:rPr>
      </w:pPr>
      <w:r>
        <w:rPr>
          <w:rFonts w:hint="eastAsia" w:ascii="宋体" w:hAnsi="宋体" w:eastAsia="宋体" w:cs="宋体"/>
          <w:sz w:val="24"/>
        </w:rPr>
        <w:t>日  期：</w:t>
      </w:r>
    </w:p>
    <w:p>
      <w:pPr>
        <w:pStyle w:val="86"/>
        <w:spacing w:line="360" w:lineRule="auto"/>
        <w:ind w:right="480"/>
        <w:rPr>
          <w:rFonts w:hint="eastAsia" w:ascii="宋体" w:hAnsi="宋体" w:eastAsia="宋体" w:cs="宋体"/>
          <w:color w:val="000000"/>
          <w:sz w:val="24"/>
        </w:rPr>
      </w:pPr>
    </w:p>
    <w:p>
      <w:pPr>
        <w:pStyle w:val="86"/>
        <w:spacing w:line="360" w:lineRule="auto"/>
        <w:ind w:right="480"/>
        <w:rPr>
          <w:rFonts w:hint="eastAsia" w:ascii="宋体" w:hAnsi="宋体" w:eastAsia="宋体" w:cs="宋体"/>
          <w:color w:val="000000"/>
          <w:sz w:val="24"/>
        </w:rPr>
      </w:pPr>
    </w:p>
    <w:p>
      <w:pPr>
        <w:pStyle w:val="86"/>
        <w:spacing w:line="360" w:lineRule="auto"/>
        <w:ind w:right="480"/>
        <w:rPr>
          <w:rFonts w:hint="eastAsia" w:ascii="宋体" w:hAnsi="宋体" w:eastAsia="宋体" w:cs="宋体"/>
          <w:color w:val="000000"/>
          <w:sz w:val="24"/>
        </w:rPr>
      </w:pPr>
    </w:p>
    <w:p>
      <w:pPr>
        <w:pStyle w:val="86"/>
        <w:spacing w:line="360" w:lineRule="auto"/>
        <w:ind w:right="480"/>
        <w:rPr>
          <w:rFonts w:hint="eastAsia" w:ascii="宋体" w:hAnsi="宋体" w:eastAsia="宋体" w:cs="宋体"/>
          <w:color w:val="000000"/>
          <w:sz w:val="24"/>
        </w:rPr>
      </w:pPr>
    </w:p>
    <w:p>
      <w:pPr>
        <w:pStyle w:val="86"/>
        <w:spacing w:line="360" w:lineRule="auto"/>
        <w:ind w:right="480"/>
        <w:rPr>
          <w:rFonts w:hint="eastAsia" w:ascii="宋体" w:hAnsi="宋体" w:eastAsia="宋体" w:cs="宋体"/>
          <w:color w:val="000000"/>
          <w:sz w:val="24"/>
        </w:rPr>
      </w:pPr>
    </w:p>
    <w:p>
      <w:pPr>
        <w:pStyle w:val="86"/>
        <w:spacing w:line="360" w:lineRule="auto"/>
        <w:ind w:right="480"/>
        <w:rPr>
          <w:rFonts w:hint="eastAsia" w:ascii="宋体" w:hAnsi="宋体" w:eastAsia="宋体" w:cs="宋体"/>
          <w:color w:val="000000"/>
          <w:sz w:val="24"/>
        </w:rPr>
      </w:pPr>
    </w:p>
    <w:p>
      <w:pPr>
        <w:pStyle w:val="86"/>
        <w:spacing w:line="360" w:lineRule="auto"/>
        <w:ind w:right="480"/>
        <w:rPr>
          <w:rFonts w:hint="eastAsia" w:ascii="宋体" w:hAnsi="宋体" w:eastAsia="宋体" w:cs="宋体"/>
          <w:color w:val="000000"/>
          <w:sz w:val="24"/>
        </w:rPr>
      </w:pPr>
    </w:p>
    <w:p>
      <w:pPr>
        <w:pStyle w:val="86"/>
        <w:spacing w:line="360" w:lineRule="auto"/>
        <w:ind w:right="480"/>
        <w:rPr>
          <w:rFonts w:hint="eastAsia" w:ascii="宋体" w:hAnsi="宋体" w:eastAsia="宋体" w:cs="宋体"/>
          <w:color w:val="000000"/>
          <w:sz w:val="24"/>
        </w:rPr>
      </w:pPr>
    </w:p>
    <w:p>
      <w:pPr>
        <w:pStyle w:val="86"/>
        <w:spacing w:line="360" w:lineRule="auto"/>
        <w:ind w:right="480"/>
        <w:rPr>
          <w:rFonts w:hint="eastAsia" w:ascii="宋体" w:hAnsi="宋体" w:eastAsia="宋体" w:cs="宋体"/>
          <w:color w:val="000000"/>
          <w:sz w:val="24"/>
        </w:rPr>
      </w:pPr>
    </w:p>
    <w:p>
      <w:pPr>
        <w:pStyle w:val="86"/>
        <w:spacing w:line="360" w:lineRule="auto"/>
        <w:ind w:right="480"/>
        <w:rPr>
          <w:rFonts w:hint="eastAsia" w:ascii="宋体" w:hAnsi="宋体" w:eastAsia="宋体" w:cs="宋体"/>
          <w:color w:val="000000"/>
          <w:sz w:val="24"/>
        </w:rPr>
      </w:pPr>
    </w:p>
    <w:p>
      <w:pPr>
        <w:pStyle w:val="86"/>
        <w:spacing w:line="360" w:lineRule="auto"/>
        <w:ind w:right="480"/>
        <w:rPr>
          <w:rFonts w:hint="eastAsia" w:ascii="宋体" w:hAnsi="宋体" w:eastAsia="宋体" w:cs="宋体"/>
          <w:color w:val="000000"/>
          <w:sz w:val="24"/>
        </w:rPr>
      </w:pPr>
    </w:p>
    <w:p>
      <w:pPr>
        <w:pStyle w:val="86"/>
        <w:spacing w:line="360" w:lineRule="auto"/>
        <w:ind w:right="480"/>
        <w:rPr>
          <w:rFonts w:hint="eastAsia" w:ascii="宋体" w:hAnsi="宋体" w:eastAsia="宋体" w:cs="宋体"/>
          <w:color w:val="000000"/>
          <w:sz w:val="24"/>
        </w:rPr>
      </w:pPr>
    </w:p>
    <w:p>
      <w:pPr>
        <w:pStyle w:val="86"/>
        <w:spacing w:line="360" w:lineRule="auto"/>
        <w:ind w:right="480"/>
        <w:rPr>
          <w:rFonts w:hint="eastAsia" w:ascii="宋体" w:hAnsi="宋体" w:eastAsia="宋体" w:cs="宋体"/>
          <w:color w:val="000000"/>
          <w:sz w:val="24"/>
        </w:rPr>
      </w:pPr>
    </w:p>
    <w:p>
      <w:pPr>
        <w:pStyle w:val="86"/>
        <w:spacing w:line="360" w:lineRule="auto"/>
        <w:ind w:right="480"/>
        <w:rPr>
          <w:rFonts w:hint="eastAsia" w:ascii="宋体" w:hAnsi="宋体" w:eastAsia="宋体" w:cs="宋体"/>
          <w:color w:val="000000"/>
          <w:sz w:val="24"/>
        </w:rPr>
      </w:pPr>
    </w:p>
    <w:p>
      <w:pPr>
        <w:pStyle w:val="86"/>
        <w:spacing w:line="360" w:lineRule="auto"/>
        <w:ind w:right="480"/>
        <w:rPr>
          <w:rFonts w:hint="eastAsia" w:ascii="宋体" w:hAnsi="宋体" w:eastAsia="宋体" w:cs="宋体"/>
          <w:color w:val="000000"/>
          <w:sz w:val="24"/>
        </w:rPr>
      </w:pPr>
    </w:p>
    <w:p>
      <w:pPr>
        <w:pStyle w:val="86"/>
        <w:spacing w:line="360" w:lineRule="auto"/>
        <w:ind w:right="480"/>
        <w:rPr>
          <w:rFonts w:hint="eastAsia" w:ascii="宋体" w:hAnsi="宋体" w:eastAsia="宋体" w:cs="宋体"/>
          <w:color w:val="000000"/>
          <w:sz w:val="24"/>
        </w:rPr>
      </w:pPr>
    </w:p>
    <w:p>
      <w:pPr>
        <w:pStyle w:val="86"/>
        <w:spacing w:line="360" w:lineRule="auto"/>
        <w:ind w:right="480"/>
        <w:rPr>
          <w:rFonts w:hint="eastAsia" w:ascii="宋体" w:hAnsi="宋体" w:eastAsia="宋体" w:cs="宋体"/>
          <w:color w:val="000000"/>
          <w:sz w:val="24"/>
        </w:rPr>
      </w:pPr>
    </w:p>
    <w:p>
      <w:pPr>
        <w:pStyle w:val="87"/>
        <w:outlineLvl w:val="2"/>
        <w:rPr>
          <w:rFonts w:hint="eastAsia" w:ascii="宋体" w:hAnsi="宋体" w:eastAsia="宋体" w:cs="宋体"/>
          <w:b w:val="0"/>
          <w:bCs/>
          <w:highlight w:val="none"/>
          <w:lang w:val="en-US" w:eastAsia="zh-CN"/>
        </w:rPr>
      </w:pPr>
      <w:bookmarkStart w:id="339" w:name="_Toc18115"/>
      <w:r>
        <w:rPr>
          <w:rFonts w:hint="eastAsia" w:ascii="宋体" w:hAnsi="宋体" w:eastAsia="宋体" w:cs="宋体"/>
          <w:b w:val="0"/>
          <w:bCs/>
          <w:highlight w:val="none"/>
          <w:lang w:val="en-US" w:eastAsia="zh-CN"/>
        </w:rPr>
        <w:t>附件八：中小企业声明函</w:t>
      </w:r>
      <w:bookmarkEnd w:id="339"/>
      <w:r>
        <w:rPr>
          <w:rFonts w:hint="eastAsia" w:ascii="宋体" w:hAnsi="宋体" w:eastAsia="宋体" w:cs="宋体"/>
          <w:b w:val="0"/>
          <w:bCs/>
          <w:highlight w:val="none"/>
          <w:lang w:val="en-US" w:eastAsia="zh-CN"/>
        </w:rPr>
        <w:t>（服务）</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600" w:firstLineChars="250"/>
        <w:textAlignment w:val="auto"/>
        <w:rPr>
          <w:rFonts w:hint="eastAsia" w:ascii="宋体" w:hAnsi="宋体" w:eastAsia="宋体" w:cs="宋体"/>
          <w:sz w:val="24"/>
        </w:rPr>
      </w:pPr>
      <w:r>
        <w:rPr>
          <w:rFonts w:hint="eastAsia" w:ascii="宋体" w:hAnsi="宋体" w:eastAsia="宋体" w:cs="宋体"/>
          <w:sz w:val="24"/>
        </w:rPr>
        <w:t>本公司</w:t>
      </w:r>
      <w:r>
        <w:rPr>
          <w:rFonts w:hint="eastAsia" w:ascii="宋体" w:hAnsi="宋体" w:eastAsia="宋体" w:cs="宋体"/>
          <w:sz w:val="24"/>
          <w:lang w:eastAsia="zh-CN"/>
        </w:rPr>
        <w:t>（联合体）</w:t>
      </w:r>
      <w:r>
        <w:rPr>
          <w:rFonts w:hint="eastAsia" w:ascii="宋体" w:hAnsi="宋体" w:eastAsia="宋体" w:cs="宋体"/>
          <w:sz w:val="24"/>
        </w:rPr>
        <w:t>郑重声明，根据《政府采购促进中小企业发展</w:t>
      </w:r>
      <w:r>
        <w:rPr>
          <w:rFonts w:hint="eastAsia" w:ascii="宋体" w:hAnsi="宋体" w:eastAsia="宋体" w:cs="宋体"/>
          <w:sz w:val="24"/>
          <w:lang w:eastAsia="zh-CN"/>
        </w:rPr>
        <w:t>管理</w:t>
      </w:r>
      <w:r>
        <w:rPr>
          <w:rFonts w:hint="eastAsia" w:ascii="宋体" w:hAnsi="宋体" w:eastAsia="宋体" w:cs="宋体"/>
          <w:sz w:val="24"/>
        </w:rPr>
        <w:t>办法》(财库[20</w:t>
      </w:r>
      <w:r>
        <w:rPr>
          <w:rFonts w:hint="eastAsia" w:ascii="宋体" w:hAnsi="宋体" w:eastAsia="宋体" w:cs="宋体"/>
          <w:sz w:val="24"/>
          <w:lang w:val="en-US" w:eastAsia="zh-CN"/>
        </w:rPr>
        <w:t>20</w:t>
      </w:r>
      <w:r>
        <w:rPr>
          <w:rFonts w:hint="eastAsia" w:ascii="宋体" w:hAnsi="宋体" w:eastAsia="宋体" w:cs="宋体"/>
          <w:sz w:val="24"/>
        </w:rPr>
        <w:t>]</w:t>
      </w:r>
      <w:r>
        <w:rPr>
          <w:rFonts w:hint="eastAsia" w:ascii="宋体" w:hAnsi="宋体" w:eastAsia="宋体" w:cs="宋体"/>
          <w:sz w:val="24"/>
          <w:lang w:val="en-US" w:eastAsia="zh-CN"/>
        </w:rPr>
        <w:t>46</w:t>
      </w:r>
      <w:r>
        <w:rPr>
          <w:rFonts w:hint="eastAsia" w:ascii="宋体" w:hAnsi="宋体" w:eastAsia="宋体" w:cs="宋体"/>
          <w:sz w:val="24"/>
        </w:rPr>
        <w:t>号)的规定，本公司</w:t>
      </w:r>
      <w:r>
        <w:rPr>
          <w:rFonts w:hint="eastAsia" w:ascii="宋体" w:hAnsi="宋体" w:eastAsia="宋体" w:cs="宋体"/>
          <w:sz w:val="24"/>
          <w:lang w:eastAsia="zh-CN"/>
        </w:rPr>
        <w:t>（联合体）参加</w:t>
      </w:r>
      <w:r>
        <w:rPr>
          <w:rFonts w:hint="eastAsia" w:ascii="宋体" w:hAnsi="宋体" w:eastAsia="宋体" w:cs="宋体"/>
          <w:sz w:val="24"/>
        </w:rPr>
        <w:t>为</w:t>
      </w:r>
      <w:r>
        <w:rPr>
          <w:rFonts w:hint="eastAsia" w:ascii="宋体" w:hAnsi="宋体" w:eastAsia="宋体" w:cs="宋体"/>
          <w:sz w:val="24"/>
          <w:u w:val="single"/>
        </w:rPr>
        <w:t xml:space="preserve">    </w:t>
      </w:r>
      <w:r>
        <w:rPr>
          <w:rFonts w:hint="eastAsia" w:ascii="宋体" w:hAnsi="宋体" w:eastAsia="宋体" w:cs="宋体"/>
          <w:sz w:val="24"/>
          <w:u w:val="single"/>
          <w:lang w:eastAsia="zh-CN"/>
        </w:rPr>
        <w:t>（单位名称）</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eastAsia="zh-CN"/>
        </w:rPr>
        <w:t>的</w:t>
      </w:r>
      <w:r>
        <w:rPr>
          <w:rFonts w:hint="eastAsia" w:ascii="宋体" w:hAnsi="宋体" w:eastAsia="宋体" w:cs="宋体"/>
          <w:sz w:val="24"/>
          <w:lang w:val="en-US" w:eastAsia="zh-CN"/>
        </w:rPr>
        <w:t xml:space="preserve"> </w:t>
      </w:r>
      <w:r>
        <w:rPr>
          <w:rFonts w:hint="eastAsia" w:ascii="宋体" w:hAnsi="宋体" w:eastAsia="宋体" w:cs="宋体"/>
          <w:sz w:val="24"/>
          <w:u w:val="single"/>
          <w:lang w:eastAsia="zh-CN"/>
        </w:rPr>
        <w:t>（项目名称）</w:t>
      </w:r>
      <w:r>
        <w:rPr>
          <w:rFonts w:hint="eastAsia" w:ascii="宋体" w:hAnsi="宋体" w:eastAsia="宋体" w:cs="宋体"/>
          <w:sz w:val="24"/>
          <w:u w:val="none"/>
          <w:lang w:val="en-US" w:eastAsia="zh-CN"/>
        </w:rPr>
        <w:t xml:space="preserve"> 采购活动，</w:t>
      </w:r>
      <w:r>
        <w:rPr>
          <w:rFonts w:hint="eastAsia" w:ascii="宋体" w:hAnsi="宋体" w:cs="宋体"/>
          <w:sz w:val="24"/>
          <w:u w:val="none"/>
          <w:lang w:val="en-US" w:eastAsia="zh-CN"/>
        </w:rPr>
        <w:t>服务全部由符合政策要求的中小企业承接</w:t>
      </w:r>
      <w:r>
        <w:rPr>
          <w:rFonts w:hint="eastAsia" w:ascii="宋体" w:hAnsi="宋体" w:eastAsia="宋体" w:cs="宋体"/>
          <w:sz w:val="24"/>
          <w:u w:val="none"/>
          <w:lang w:val="en-US" w:eastAsia="zh-CN"/>
        </w:rPr>
        <w:t>。相关企业（含联合体中的中小企业、签订分包意向协议的中小企业）</w:t>
      </w:r>
      <w:r>
        <w:rPr>
          <w:rFonts w:hint="eastAsia" w:ascii="宋体" w:hAnsi="宋体" w:eastAsia="宋体" w:cs="宋体"/>
          <w:sz w:val="24"/>
          <w:lang w:eastAsia="zh-CN"/>
        </w:rPr>
        <w:t>具体情况如下</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u w:val="none"/>
          <w:lang w:val="en-US" w:eastAsia="zh-CN"/>
        </w:rPr>
        <w:t>1.</w:t>
      </w:r>
      <w:r>
        <w:rPr>
          <w:rFonts w:hint="eastAsia" w:ascii="宋体" w:hAnsi="宋体" w:eastAsia="宋体" w:cs="宋体"/>
          <w:sz w:val="24"/>
          <w:u w:val="single"/>
          <w:lang w:val="en-US" w:eastAsia="zh-CN"/>
        </w:rPr>
        <w:t xml:space="preserve">  （标的名称）  </w:t>
      </w:r>
      <w:r>
        <w:rPr>
          <w:rFonts w:hint="eastAsia" w:ascii="宋体" w:hAnsi="宋体" w:eastAsia="宋体" w:cs="宋体"/>
          <w:sz w:val="24"/>
          <w:u w:val="none"/>
          <w:lang w:val="en-US" w:eastAsia="zh-CN"/>
        </w:rPr>
        <w:t xml:space="preserve">，属于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行业</w:t>
      </w:r>
      <w:r>
        <w:rPr>
          <w:rFonts w:hint="eastAsia" w:ascii="宋体" w:hAnsi="宋体" w:eastAsia="宋体" w:cs="宋体"/>
          <w:sz w:val="24"/>
          <w:u w:val="none"/>
          <w:lang w:val="en-US" w:eastAsia="zh-CN"/>
        </w:rPr>
        <w:t xml:space="preserve"> ；</w:t>
      </w:r>
      <w:r>
        <w:rPr>
          <w:rFonts w:hint="eastAsia" w:ascii="宋体" w:hAnsi="宋体" w:cs="宋体"/>
          <w:sz w:val="24"/>
          <w:u w:val="none"/>
          <w:lang w:val="en-US" w:eastAsia="zh-CN"/>
        </w:rPr>
        <w:t>承接企业</w:t>
      </w:r>
      <w:r>
        <w:rPr>
          <w:rFonts w:hint="eastAsia" w:ascii="宋体" w:hAnsi="宋体" w:eastAsia="宋体" w:cs="宋体"/>
          <w:sz w:val="24"/>
          <w:u w:val="none"/>
          <w:lang w:val="en-US" w:eastAsia="zh-CN"/>
        </w:rPr>
        <w:t>为</w:t>
      </w:r>
      <w:r>
        <w:rPr>
          <w:rFonts w:hint="eastAsia" w:ascii="宋体" w:hAnsi="宋体" w:eastAsia="宋体" w:cs="宋体"/>
          <w:sz w:val="24"/>
          <w:u w:val="single"/>
          <w:lang w:val="en-US" w:eastAsia="zh-CN"/>
        </w:rPr>
        <w:t>（企业名称）</w:t>
      </w:r>
      <w:r>
        <w:rPr>
          <w:rFonts w:hint="eastAsia" w:ascii="宋体" w:hAnsi="宋体" w:eastAsia="宋体" w:cs="宋体"/>
          <w:sz w:val="24"/>
          <w:u w:val="none"/>
          <w:lang w:val="en-US" w:eastAsia="zh-CN"/>
        </w:rPr>
        <w:t>，从业人员</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人，营业收入为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万元，资产总额为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万元</w:t>
      </w:r>
      <w:r>
        <w:rPr>
          <w:rFonts w:hint="eastAsia" w:ascii="宋体" w:hAnsi="宋体" w:eastAsia="宋体" w:cs="宋体"/>
          <w:sz w:val="24"/>
          <w:u w:val="none"/>
          <w:vertAlign w:val="superscript"/>
          <w:lang w:val="en-US" w:eastAsia="zh-CN"/>
        </w:rPr>
        <w:t>1</w:t>
      </w:r>
      <w:r>
        <w:rPr>
          <w:rFonts w:hint="eastAsia" w:ascii="宋体" w:hAnsi="宋体" w:eastAsia="宋体" w:cs="宋体"/>
          <w:sz w:val="24"/>
          <w:u w:val="none"/>
          <w:lang w:val="en-US" w:eastAsia="zh-CN"/>
        </w:rPr>
        <w:t>，属于</w:t>
      </w:r>
      <w:r>
        <w:rPr>
          <w:rFonts w:hint="eastAsia" w:ascii="宋体" w:hAnsi="宋体" w:eastAsia="宋体" w:cs="宋体"/>
          <w:sz w:val="24"/>
          <w:u w:val="single"/>
          <w:lang w:val="en-US" w:eastAsia="zh-CN"/>
        </w:rPr>
        <w:t xml:space="preserve">   （中型企业、小型企业、微型企业）；</w:t>
      </w:r>
    </w:p>
    <w:p>
      <w:pPr>
        <w:keepNext w:val="0"/>
        <w:keepLines w:val="0"/>
        <w:pageBreakBefore w:val="0"/>
        <w:widowControl w:val="0"/>
        <w:numPr>
          <w:ilvl w:val="0"/>
          <w:numId w:val="0"/>
        </w:numPr>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u w:val="none"/>
          <w:lang w:val="en-US" w:eastAsia="zh-CN"/>
        </w:rPr>
        <w:t>2.</w:t>
      </w:r>
      <w:r>
        <w:rPr>
          <w:rFonts w:hint="eastAsia" w:ascii="宋体" w:hAnsi="宋体" w:eastAsia="宋体" w:cs="宋体"/>
          <w:sz w:val="24"/>
          <w:u w:val="single"/>
          <w:lang w:val="en-US" w:eastAsia="zh-CN"/>
        </w:rPr>
        <w:t xml:space="preserve">  （标的名称）  </w:t>
      </w:r>
      <w:r>
        <w:rPr>
          <w:rFonts w:hint="eastAsia" w:ascii="宋体" w:hAnsi="宋体" w:eastAsia="宋体" w:cs="宋体"/>
          <w:sz w:val="24"/>
          <w:u w:val="none"/>
          <w:lang w:val="en-US" w:eastAsia="zh-CN"/>
        </w:rPr>
        <w:t xml:space="preserve">，属于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行业</w:t>
      </w:r>
      <w:r>
        <w:rPr>
          <w:rFonts w:hint="eastAsia" w:ascii="宋体" w:hAnsi="宋体" w:eastAsia="宋体" w:cs="宋体"/>
          <w:sz w:val="24"/>
          <w:u w:val="none"/>
          <w:lang w:val="en-US" w:eastAsia="zh-CN"/>
        </w:rPr>
        <w:t xml:space="preserve"> ；</w:t>
      </w:r>
      <w:r>
        <w:rPr>
          <w:rFonts w:hint="eastAsia" w:ascii="宋体" w:hAnsi="宋体" w:cs="宋体"/>
          <w:sz w:val="24"/>
          <w:u w:val="none"/>
          <w:lang w:val="en-US" w:eastAsia="zh-CN"/>
        </w:rPr>
        <w:t>承接企业</w:t>
      </w:r>
      <w:r>
        <w:rPr>
          <w:rFonts w:hint="eastAsia" w:ascii="宋体" w:hAnsi="宋体" w:eastAsia="宋体" w:cs="宋体"/>
          <w:sz w:val="24"/>
          <w:u w:val="none"/>
          <w:lang w:val="en-US" w:eastAsia="zh-CN"/>
        </w:rPr>
        <w:t>为</w:t>
      </w:r>
      <w:r>
        <w:rPr>
          <w:rFonts w:hint="eastAsia" w:ascii="宋体" w:hAnsi="宋体" w:eastAsia="宋体" w:cs="宋体"/>
          <w:sz w:val="24"/>
          <w:u w:val="single"/>
          <w:lang w:val="en-US" w:eastAsia="zh-CN"/>
        </w:rPr>
        <w:t>（企业名称）</w:t>
      </w:r>
      <w:r>
        <w:rPr>
          <w:rFonts w:hint="eastAsia" w:ascii="宋体" w:hAnsi="宋体" w:eastAsia="宋体" w:cs="宋体"/>
          <w:sz w:val="24"/>
          <w:u w:val="none"/>
          <w:lang w:val="en-US" w:eastAsia="zh-CN"/>
        </w:rPr>
        <w:t>，从业人员</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人，营业收入为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万元，资产总额为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万元</w:t>
      </w:r>
      <w:r>
        <w:rPr>
          <w:rFonts w:hint="eastAsia" w:ascii="宋体" w:hAnsi="宋体" w:eastAsia="宋体" w:cs="宋体"/>
          <w:sz w:val="24"/>
          <w:u w:val="none"/>
          <w:vertAlign w:val="superscript"/>
          <w:lang w:val="en-US" w:eastAsia="zh-CN"/>
        </w:rPr>
        <w:t>1</w:t>
      </w:r>
      <w:r>
        <w:rPr>
          <w:rFonts w:hint="eastAsia" w:ascii="宋体" w:hAnsi="宋体" w:eastAsia="宋体" w:cs="宋体"/>
          <w:sz w:val="24"/>
          <w:u w:val="none"/>
          <w:lang w:val="en-US" w:eastAsia="zh-CN"/>
        </w:rPr>
        <w:t>，属于</w:t>
      </w:r>
      <w:r>
        <w:rPr>
          <w:rFonts w:hint="eastAsia" w:ascii="宋体" w:hAnsi="宋体" w:eastAsia="宋体" w:cs="宋体"/>
          <w:sz w:val="24"/>
          <w:u w:val="single"/>
          <w:lang w:val="en-US" w:eastAsia="zh-CN"/>
        </w:rPr>
        <w:t xml:space="preserve">   （中型企业、小型企业、微型企业）；</w:t>
      </w:r>
    </w:p>
    <w:p>
      <w:pPr>
        <w:pStyle w:val="31"/>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u w:val="none"/>
          <w:lang w:val="en-US"/>
        </w:rPr>
      </w:pPr>
      <w:r>
        <w:rPr>
          <w:rFonts w:hint="eastAsia" w:ascii="宋体" w:hAnsi="宋体" w:eastAsia="宋体" w:cs="宋体"/>
          <w:sz w:val="24"/>
          <w:u w:val="none"/>
          <w:lang w:val="en-US" w:eastAsia="zh-CN"/>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以上企业，不属于大企业的分支机构，不存在控股股东为大型企业的情形，也不存在与大企业的负责人为同一人的情形。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本企业对上述声明内容的真实性负责</w:t>
      </w:r>
      <w:r>
        <w:rPr>
          <w:rFonts w:hint="eastAsia" w:ascii="宋体" w:hAnsi="宋体" w:eastAsia="宋体" w:cs="宋体"/>
          <w:sz w:val="24"/>
        </w:rPr>
        <w:t>。</w:t>
      </w:r>
      <w:r>
        <w:rPr>
          <w:rFonts w:hint="eastAsia" w:ascii="宋体" w:hAnsi="宋体" w:eastAsia="宋体" w:cs="宋体"/>
          <w:sz w:val="24"/>
          <w:lang w:eastAsia="zh-CN"/>
        </w:rPr>
        <w:t>如有虚假，将依法承担相应责任。</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360" w:firstLineChars="150"/>
        <w:jc w:val="center"/>
        <w:textAlignment w:val="auto"/>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企业名称（</w:t>
      </w:r>
      <w:r>
        <w:rPr>
          <w:rFonts w:hint="eastAsia" w:ascii="宋体" w:hAnsi="宋体" w:eastAsia="宋体" w:cs="宋体"/>
          <w:sz w:val="24"/>
          <w:lang w:eastAsia="zh-CN"/>
        </w:rPr>
        <w:t>盖章</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360" w:firstLineChars="150"/>
        <w:jc w:val="center"/>
        <w:textAlignment w:val="auto"/>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日期：</w:t>
      </w:r>
    </w:p>
    <w:p>
      <w:pPr>
        <w:spacing w:before="145" w:beforeLines="50" w:after="145" w:afterLines="50" w:line="300" w:lineRule="auto"/>
        <w:ind w:firstLine="240" w:firstLineChars="100"/>
        <w:rPr>
          <w:rFonts w:hint="eastAsia" w:ascii="宋体" w:hAnsi="宋体" w:eastAsia="宋体" w:cs="宋体"/>
          <w:sz w:val="24"/>
        </w:rPr>
      </w:pPr>
    </w:p>
    <w:p>
      <w:pPr>
        <w:pStyle w:val="31"/>
        <w:ind w:left="0" w:leftChars="0" w:firstLine="0" w:firstLineChars="0"/>
        <w:rPr>
          <w:rFonts w:hint="eastAsia" w:ascii="宋体" w:hAnsi="宋体" w:eastAsia="宋体" w:cs="宋体"/>
          <w:sz w:val="24"/>
          <w:lang w:eastAsia="zh-CN"/>
        </w:rPr>
      </w:pPr>
      <w:r>
        <w:rPr>
          <w:rFonts w:hint="eastAsia" w:ascii="宋体" w:hAnsi="宋体" w:eastAsia="宋体" w:cs="宋体"/>
          <w:sz w:val="24"/>
          <w:u w:val="none"/>
          <w:vertAlign w:val="superscript"/>
          <w:lang w:val="en-US" w:eastAsia="zh-CN"/>
        </w:rPr>
        <w:t>1</w:t>
      </w:r>
      <w:r>
        <w:rPr>
          <w:rFonts w:hint="eastAsia" w:ascii="宋体" w:hAnsi="宋体" w:eastAsia="宋体" w:cs="宋体"/>
          <w:sz w:val="20"/>
          <w:szCs w:val="18"/>
          <w:lang w:eastAsia="zh-CN"/>
        </w:rPr>
        <w:t>从业人员、营业收入、资产总额填报上一年度数据，无上一年度数据的新成立企业可不填报。</w:t>
      </w:r>
    </w:p>
    <w:p>
      <w:pPr>
        <w:spacing w:before="145" w:beforeLines="50" w:after="145" w:afterLines="50" w:line="300" w:lineRule="auto"/>
        <w:rPr>
          <w:rFonts w:hint="eastAsia" w:ascii="宋体" w:hAnsi="宋体" w:eastAsia="宋体" w:cs="宋体"/>
          <w:bCs/>
          <w:sz w:val="24"/>
          <w:lang w:eastAsia="zh-CN"/>
        </w:rPr>
      </w:pPr>
      <w:r>
        <w:rPr>
          <w:rFonts w:hint="eastAsia" w:ascii="宋体" w:hAnsi="宋体" w:eastAsia="宋体" w:cs="宋体"/>
          <w:bCs/>
          <w:sz w:val="24"/>
          <w:lang w:eastAsia="zh-CN"/>
        </w:rPr>
        <w:t>注：符合中小企业划型标准的企业请提供本函，不符合的不提供本函。</w:t>
      </w:r>
    </w:p>
    <w:p>
      <w:pPr>
        <w:rPr>
          <w:rFonts w:hint="eastAsia"/>
          <w:lang w:eastAsia="zh-CN"/>
        </w:rPr>
      </w:pPr>
    </w:p>
    <w:p>
      <w:pPr>
        <w:spacing w:before="145" w:beforeLines="50" w:after="145" w:afterLines="50" w:line="300" w:lineRule="auto"/>
        <w:rPr>
          <w:rFonts w:hint="eastAsia" w:ascii="宋体" w:hAnsi="宋体" w:eastAsia="宋体" w:cs="宋体"/>
          <w:bCs/>
          <w:sz w:val="24"/>
        </w:rPr>
      </w:pPr>
    </w:p>
    <w:p>
      <w:pPr>
        <w:spacing w:before="145" w:beforeLines="50" w:after="145" w:afterLines="50" w:line="300" w:lineRule="auto"/>
        <w:rPr>
          <w:rFonts w:hint="eastAsia" w:ascii="宋体" w:hAnsi="宋体" w:eastAsia="宋体" w:cs="宋体"/>
          <w:bCs/>
          <w:sz w:val="24"/>
        </w:rPr>
      </w:pPr>
    </w:p>
    <w:p>
      <w:pPr>
        <w:spacing w:before="145" w:beforeLines="50" w:after="145" w:afterLines="50" w:line="300" w:lineRule="auto"/>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8"/>
          <w:szCs w:val="28"/>
        </w:rPr>
        <w:t>中小企业划型标准规定（工信部联企业[2011]300号）</w:t>
      </w:r>
    </w:p>
    <w:tbl>
      <w:tblPr>
        <w:tblStyle w:val="3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50"/>
        <w:gridCol w:w="762"/>
        <w:gridCol w:w="863"/>
        <w:gridCol w:w="814"/>
        <w:gridCol w:w="746"/>
        <w:gridCol w:w="911"/>
        <w:gridCol w:w="716"/>
        <w:gridCol w:w="764"/>
        <w:gridCol w:w="764"/>
        <w:gridCol w:w="681"/>
        <w:gridCol w:w="777"/>
        <w:gridCol w:w="696"/>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行业</w:t>
            </w:r>
          </w:p>
        </w:tc>
        <w:tc>
          <w:tcPr>
            <w:tcW w:w="2439"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中小微型企业（</w:t>
            </w:r>
            <w:r>
              <w:rPr>
                <w:rFonts w:hint="eastAsia" w:ascii="仿宋" w:hAnsi="仿宋" w:eastAsia="仿宋" w:cs="仿宋"/>
                <w:b/>
                <w:i w:val="0"/>
                <w:color w:val="auto"/>
                <w:kern w:val="0"/>
                <w:sz w:val="16"/>
                <w:szCs w:val="16"/>
                <w:u w:val="none"/>
                <w:lang w:val="en-US" w:eastAsia="zh-CN" w:bidi="ar"/>
              </w:rPr>
              <w:t>或</w:t>
            </w:r>
            <w:r>
              <w:rPr>
                <w:rStyle w:val="91"/>
                <w:color w:val="auto"/>
                <w:lang w:val="en-US" w:eastAsia="zh-CN" w:bidi="ar"/>
              </w:rPr>
              <w:t>）</w:t>
            </w:r>
          </w:p>
        </w:tc>
        <w:tc>
          <w:tcPr>
            <w:tcW w:w="2373"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中型企业（</w:t>
            </w:r>
            <w:r>
              <w:rPr>
                <w:rFonts w:hint="eastAsia" w:ascii="仿宋" w:hAnsi="仿宋" w:eastAsia="仿宋" w:cs="仿宋"/>
                <w:b/>
                <w:i w:val="0"/>
                <w:color w:val="auto"/>
                <w:kern w:val="0"/>
                <w:sz w:val="16"/>
                <w:szCs w:val="16"/>
                <w:u w:val="none"/>
                <w:lang w:val="en-US" w:eastAsia="zh-CN" w:bidi="ar"/>
              </w:rPr>
              <w:t>且</w:t>
            </w:r>
            <w:r>
              <w:rPr>
                <w:rStyle w:val="91"/>
                <w:color w:val="auto"/>
                <w:lang w:val="en-US" w:eastAsia="zh-CN" w:bidi="ar"/>
              </w:rPr>
              <w:t>）</w:t>
            </w:r>
          </w:p>
        </w:tc>
        <w:tc>
          <w:tcPr>
            <w:tcW w:w="2209"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小型企业（</w:t>
            </w:r>
            <w:r>
              <w:rPr>
                <w:rFonts w:hint="eastAsia" w:ascii="仿宋" w:hAnsi="仿宋" w:eastAsia="仿宋" w:cs="仿宋"/>
                <w:b/>
                <w:i w:val="0"/>
                <w:color w:val="auto"/>
                <w:kern w:val="0"/>
                <w:sz w:val="16"/>
                <w:szCs w:val="16"/>
                <w:u w:val="none"/>
                <w:lang w:val="en-US" w:eastAsia="zh-CN" w:bidi="ar"/>
              </w:rPr>
              <w:t>且</w:t>
            </w:r>
            <w:r>
              <w:rPr>
                <w:rStyle w:val="91"/>
                <w:color w:val="auto"/>
                <w:lang w:val="en-US" w:eastAsia="zh-CN" w:bidi="ar"/>
              </w:rPr>
              <w:t>）</w:t>
            </w:r>
          </w:p>
        </w:tc>
        <w:tc>
          <w:tcPr>
            <w:tcW w:w="2250"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ind w:right="-99" w:rightChars="-47"/>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微型企业（</w:t>
            </w:r>
            <w:r>
              <w:rPr>
                <w:rFonts w:hint="eastAsia" w:ascii="仿宋" w:hAnsi="仿宋" w:eastAsia="仿宋" w:cs="仿宋"/>
                <w:b/>
                <w:i w:val="0"/>
                <w:color w:val="auto"/>
                <w:kern w:val="0"/>
                <w:sz w:val="16"/>
                <w:szCs w:val="16"/>
                <w:u w:val="none"/>
                <w:lang w:val="en-US" w:eastAsia="zh-CN" w:bidi="ar"/>
              </w:rPr>
              <w:t>或</w:t>
            </w:r>
            <w:r>
              <w:rPr>
                <w:rStyle w:val="91"/>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continue"/>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农、林、牧、渔业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工业（包括采矿业，制造业，电力、热力、燃气及水生产和供应业）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建筑业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80000万元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6000万元及以上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批发业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零售业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交通运输业（不含铁路运输业）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30000万元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仓储业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邮政业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住宿业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餐饮业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信息传输业（包括电信、互联网和相关服务）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软件和信息技术服务业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房地产开发经营</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200000万元以下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物业管理</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租赁和商务服务业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120000万元以下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4" w:hRule="atLeast"/>
          <w:jc w:val="center"/>
        </w:trPr>
        <w:tc>
          <w:tcPr>
            <w:tcW w:w="1650"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其他未列明行业（包括科学研究和技术服务业，水利、环境和公共设施管理业，居民服务、修理和其他服务业，社会工作，文化、体育和娱乐业等）</w:t>
            </w:r>
          </w:p>
        </w:tc>
        <w:tc>
          <w:tcPr>
            <w:tcW w:w="762"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1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1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81"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12" w:space="0"/>
              <w:right w:val="single" w:color="000000" w:sz="12" w:space="0"/>
            </w:tcBorders>
            <w:noWrap w:val="0"/>
            <w:vAlign w:val="center"/>
          </w:tcPr>
          <w:p>
            <w:pPr>
              <w:rPr>
                <w:rFonts w:hint="eastAsia" w:ascii="仿宋" w:hAnsi="仿宋" w:eastAsia="仿宋" w:cs="仿宋"/>
                <w:i w:val="0"/>
                <w:color w:val="000000"/>
                <w:sz w:val="16"/>
                <w:szCs w:val="16"/>
                <w:u w:val="none"/>
              </w:rPr>
            </w:pPr>
          </w:p>
        </w:tc>
      </w:tr>
    </w:tbl>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78"/>
        <w:rPr>
          <w:rFonts w:hint="eastAsia" w:ascii="宋体" w:hAnsi="宋体" w:eastAsia="宋体" w:cs="宋体"/>
          <w:bCs/>
          <w:sz w:val="24"/>
        </w:rPr>
      </w:pPr>
    </w:p>
    <w:p>
      <w:pPr>
        <w:pStyle w:val="87"/>
        <w:outlineLvl w:val="2"/>
        <w:rPr>
          <w:rFonts w:hint="eastAsia" w:ascii="宋体" w:hAnsi="宋体" w:eastAsia="宋体" w:cs="宋体"/>
          <w:b w:val="0"/>
          <w:bCs/>
          <w:lang w:val="en-US" w:eastAsia="zh-CN"/>
        </w:rPr>
      </w:pPr>
      <w:bookmarkStart w:id="340" w:name="_Toc26894"/>
      <w:r>
        <w:rPr>
          <w:rFonts w:hint="eastAsia" w:ascii="宋体" w:hAnsi="宋体" w:eastAsia="宋体" w:cs="宋体"/>
          <w:b w:val="0"/>
          <w:bCs/>
          <w:lang w:val="en-US" w:eastAsia="zh-CN"/>
        </w:rPr>
        <w:t>附件九：残疾人福利性单位声明函</w:t>
      </w:r>
      <w:bookmarkEnd w:id="340"/>
      <w:r>
        <w:rPr>
          <w:rFonts w:hint="eastAsia" w:ascii="宋体" w:hAnsi="宋体" w:eastAsia="宋体" w:cs="宋体"/>
          <w:b w:val="0"/>
          <w:bCs/>
          <w:lang w:val="en-US" w:eastAsia="zh-CN"/>
        </w:rPr>
        <w:t>（若有）</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w:t>
      </w:r>
      <w:r>
        <w:rPr>
          <w:rFonts w:hint="eastAsia" w:ascii="宋体" w:hAnsi="宋体" w:cs="宋体"/>
          <w:sz w:val="24"/>
          <w:lang w:eastAsia="zh-CN"/>
        </w:rPr>
        <w:t>磋商文件</w:t>
      </w:r>
      <w:r>
        <w:rPr>
          <w:rFonts w:hint="eastAsia" w:ascii="宋体" w:hAnsi="宋体" w:eastAsia="宋体" w:cs="宋体"/>
          <w:sz w:val="24"/>
        </w:rPr>
        <w:t>编号为______的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项目采购活动提供本单位制造的服务或</w:t>
      </w:r>
      <w:r>
        <w:rPr>
          <w:rFonts w:hint="eastAsia" w:ascii="宋体" w:hAnsi="宋体" w:cs="宋体"/>
          <w:sz w:val="24"/>
          <w:lang w:eastAsia="zh-CN"/>
        </w:rPr>
        <w:t>服务</w:t>
      </w:r>
      <w:r>
        <w:rPr>
          <w:rFonts w:hint="eastAsia" w:ascii="宋体" w:hAnsi="宋体" w:eastAsia="宋体" w:cs="宋体"/>
          <w:sz w:val="24"/>
        </w:rPr>
        <w:t>（由本单位承担工程/提供服务），或者提供其他残疾人福利性单位制造的服务或</w:t>
      </w:r>
      <w:r>
        <w:rPr>
          <w:rFonts w:hint="eastAsia" w:ascii="宋体" w:hAnsi="宋体" w:cs="宋体"/>
          <w:sz w:val="24"/>
          <w:lang w:eastAsia="zh-CN"/>
        </w:rPr>
        <w:t>服务</w:t>
      </w:r>
      <w:r>
        <w:rPr>
          <w:rFonts w:hint="eastAsia" w:ascii="宋体" w:hAnsi="宋体" w:eastAsia="宋体" w:cs="宋体"/>
          <w:sz w:val="24"/>
        </w:rPr>
        <w:t>（不包括使用非残疾人福利性单位注册商标的服务或</w:t>
      </w:r>
      <w:r>
        <w:rPr>
          <w:rFonts w:hint="eastAsia" w:ascii="宋体" w:hAnsi="宋体" w:cs="宋体"/>
          <w:sz w:val="24"/>
          <w:lang w:eastAsia="zh-CN"/>
        </w:rPr>
        <w:t>服务</w:t>
      </w:r>
      <w:r>
        <w:rPr>
          <w:rFonts w:hint="eastAsia" w:ascii="宋体" w:hAnsi="宋体" w:eastAsia="宋体" w:cs="宋体"/>
          <w:sz w:val="24"/>
        </w:rPr>
        <w:t>）。</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本单位在本次政府采购活动中提供的残疾人福利单位</w:t>
      </w:r>
      <w:r>
        <w:rPr>
          <w:rFonts w:hint="eastAsia" w:ascii="宋体" w:hAnsi="宋体" w:cs="宋体"/>
          <w:sz w:val="24"/>
          <w:lang w:eastAsia="zh-CN"/>
        </w:rPr>
        <w:t>服务</w:t>
      </w:r>
      <w:r>
        <w:rPr>
          <w:rFonts w:hint="eastAsia" w:ascii="宋体" w:hAnsi="宋体" w:eastAsia="宋体" w:cs="宋体"/>
          <w:sz w:val="24"/>
        </w:rPr>
        <w:t>报价合计为人民币（大写）</w:t>
      </w:r>
      <w:r>
        <w:rPr>
          <w:rFonts w:hint="eastAsia" w:ascii="宋体" w:hAnsi="宋体" w:eastAsia="宋体" w:cs="宋体"/>
          <w:sz w:val="24"/>
          <w:u w:val="single"/>
        </w:rPr>
        <w:t xml:space="preserve">      </w:t>
      </w:r>
      <w:r>
        <w:rPr>
          <w:rFonts w:hint="eastAsia" w:ascii="宋体" w:hAnsi="宋体" w:eastAsia="宋体" w:cs="宋体"/>
          <w:sz w:val="24"/>
        </w:rPr>
        <w:t>圆整（￥：     ）。</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eastAsia="宋体" w:cs="宋体"/>
          <w:sz w:val="24"/>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（备注：1、供应商如不提供此声明函，价格将不做相应扣除。2、中标供应商为残疾人福利单位的，此声明函将随中标结果同时公告，接受社会监督）</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68" w:firstLineChars="150"/>
        <w:jc w:val="right"/>
        <w:rPr>
          <w:rFonts w:hint="eastAsia" w:ascii="宋体" w:hAnsi="宋体" w:eastAsia="宋体" w:cs="宋体"/>
          <w:sz w:val="24"/>
        </w:rPr>
      </w:pPr>
      <w:r>
        <w:rPr>
          <w:rFonts w:hint="eastAsia" w:ascii="宋体" w:hAnsi="宋体" w:eastAsia="宋体" w:cs="宋体"/>
          <w:spacing w:val="6"/>
          <w:sz w:val="30"/>
          <w:szCs w:val="30"/>
        </w:rPr>
        <w:t xml:space="preserve">             </w:t>
      </w:r>
      <w:r>
        <w:rPr>
          <w:rFonts w:hint="eastAsia" w:ascii="宋体" w:hAnsi="宋体" w:eastAsia="宋体" w:cs="宋体"/>
          <w:sz w:val="24"/>
        </w:rPr>
        <w:t xml:space="preserve">                  企业名称（</w:t>
      </w:r>
      <w:r>
        <w:rPr>
          <w:rFonts w:hint="eastAsia" w:ascii="宋体" w:hAnsi="宋体" w:eastAsia="宋体" w:cs="宋体"/>
          <w:sz w:val="24"/>
          <w:lang w:eastAsia="zh-CN"/>
        </w:rPr>
        <w:t>公</w:t>
      </w:r>
      <w:r>
        <w:rPr>
          <w:rFonts w:hint="eastAsia" w:ascii="宋体" w:hAnsi="宋体" w:eastAsia="宋体" w:cs="宋体"/>
          <w:sz w:val="24"/>
        </w:rPr>
        <w:t>章）：</w:t>
      </w:r>
    </w:p>
    <w:p>
      <w:pPr>
        <w:spacing w:before="145" w:beforeLines="50" w:after="145" w:afterLines="50" w:line="300" w:lineRule="auto"/>
        <w:ind w:right="480" w:firstLine="6960" w:firstLineChars="2900"/>
        <w:rPr>
          <w:rFonts w:hint="eastAsia" w:ascii="宋体" w:hAnsi="宋体" w:eastAsia="宋体" w:cs="宋体"/>
          <w:sz w:val="24"/>
        </w:rPr>
      </w:pPr>
      <w:r>
        <w:rPr>
          <w:rFonts w:hint="eastAsia" w:ascii="宋体" w:hAnsi="宋体" w:eastAsia="宋体" w:cs="宋体"/>
          <w:sz w:val="24"/>
        </w:rPr>
        <w:t>日  期：</w:t>
      </w:r>
    </w:p>
    <w:p>
      <w:pPr>
        <w:spacing w:before="145" w:beforeLines="50" w:after="145" w:afterLines="50" w:line="300" w:lineRule="auto"/>
        <w:rPr>
          <w:rFonts w:hint="eastAsia" w:ascii="宋体" w:hAnsi="宋体" w:eastAsia="宋体" w:cs="宋体"/>
          <w:bCs/>
          <w:sz w:val="24"/>
          <w:lang w:eastAsia="zh-CN"/>
        </w:rPr>
      </w:pPr>
      <w:r>
        <w:rPr>
          <w:rFonts w:hint="eastAsia" w:ascii="宋体" w:hAnsi="宋体" w:eastAsia="宋体" w:cs="宋体"/>
          <w:bCs/>
          <w:sz w:val="24"/>
          <w:lang w:eastAsia="zh-CN"/>
        </w:rPr>
        <w:t>注：符合条件的残疾人福利性单位请提供本函，不符合的不提供本函。</w:t>
      </w:r>
    </w:p>
    <w:p/>
    <w:sectPr>
      <w:headerReference r:id="rId4"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6C278"/>
    <w:multiLevelType w:val="singleLevel"/>
    <w:tmpl w:val="97F6C278"/>
    <w:lvl w:ilvl="0" w:tentative="0">
      <w:start w:val="1"/>
      <w:numFmt w:val="chineseCounting"/>
      <w:suff w:val="space"/>
      <w:lvlText w:val="第%1部分"/>
      <w:lvlJc w:val="left"/>
      <w:rPr>
        <w:rFonts w:hint="eastAsia"/>
      </w:rPr>
    </w:lvl>
  </w:abstractNum>
  <w:abstractNum w:abstractNumId="1">
    <w:nsid w:val="B321F74E"/>
    <w:multiLevelType w:val="singleLevel"/>
    <w:tmpl w:val="B321F74E"/>
    <w:lvl w:ilvl="0" w:tentative="0">
      <w:start w:val="1"/>
      <w:numFmt w:val="chineseCounting"/>
      <w:suff w:val="space"/>
      <w:lvlText w:val="第%1章"/>
      <w:lvlJc w:val="left"/>
      <w:rPr>
        <w:rFonts w:hint="eastAsia"/>
      </w:rPr>
    </w:lvl>
  </w:abstractNum>
  <w:abstractNum w:abstractNumId="2">
    <w:nsid w:val="0B6779C6"/>
    <w:multiLevelType w:val="singleLevel"/>
    <w:tmpl w:val="0B6779C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writeProtection w:cryptProviderType="rsaFull" w:cryptAlgorithmClass="hash" w:cryptAlgorithmType="typeAny" w:cryptAlgorithmSid="4" w:cryptSpinCount="100000" w:hash="vDSwPlUD9O+AhtcouWy3O1ILqtg=" w:salt="+RLe/8l8vVItcgg5XGFDnQ=="/>
  <w:documentProtection w:edit="forms" w:enforcement="1" w:cryptProviderType="rsaFull" w:cryptAlgorithmClass="hash" w:cryptAlgorithmType="typeAny" w:cryptAlgorithmSid="4" w:cryptSpinCount="0" w:hash="btSsEQUzOUWk8GOptpbuehI5U8I=" w:salt="ssy9L+KhWAW+MaFogeyt/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YzhiMmE3OGFjOTc1MWFiYWFhY2E2N2YxMjZmOWYifQ=="/>
  </w:docVars>
  <w:rsids>
    <w:rsidRoot w:val="0052125D"/>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9C6288"/>
    <w:rsid w:val="01B64983"/>
    <w:rsid w:val="027D5085"/>
    <w:rsid w:val="029017B5"/>
    <w:rsid w:val="03064AB8"/>
    <w:rsid w:val="03376F01"/>
    <w:rsid w:val="037844A1"/>
    <w:rsid w:val="03D625A5"/>
    <w:rsid w:val="03F93A73"/>
    <w:rsid w:val="042046F5"/>
    <w:rsid w:val="04B623B6"/>
    <w:rsid w:val="04C16888"/>
    <w:rsid w:val="05FF746E"/>
    <w:rsid w:val="06087B94"/>
    <w:rsid w:val="067435A8"/>
    <w:rsid w:val="068679BC"/>
    <w:rsid w:val="0698114A"/>
    <w:rsid w:val="07E147B8"/>
    <w:rsid w:val="08066F25"/>
    <w:rsid w:val="08712537"/>
    <w:rsid w:val="08C67B05"/>
    <w:rsid w:val="09045D6D"/>
    <w:rsid w:val="096961A1"/>
    <w:rsid w:val="096C7AFB"/>
    <w:rsid w:val="097B1267"/>
    <w:rsid w:val="097D611A"/>
    <w:rsid w:val="09D25006"/>
    <w:rsid w:val="09F340E8"/>
    <w:rsid w:val="0A732D15"/>
    <w:rsid w:val="0A757553"/>
    <w:rsid w:val="0B9E6FCA"/>
    <w:rsid w:val="0C4C65F8"/>
    <w:rsid w:val="0C564236"/>
    <w:rsid w:val="0C6057CE"/>
    <w:rsid w:val="0D1C451A"/>
    <w:rsid w:val="0D817CDD"/>
    <w:rsid w:val="0D952E82"/>
    <w:rsid w:val="0DCB2EC9"/>
    <w:rsid w:val="0DDB5519"/>
    <w:rsid w:val="0EDE7971"/>
    <w:rsid w:val="10CD3604"/>
    <w:rsid w:val="110342FF"/>
    <w:rsid w:val="1124137B"/>
    <w:rsid w:val="11252D83"/>
    <w:rsid w:val="113B48D5"/>
    <w:rsid w:val="121D6EB6"/>
    <w:rsid w:val="12391C5B"/>
    <w:rsid w:val="123E541D"/>
    <w:rsid w:val="127D2F5A"/>
    <w:rsid w:val="12843C37"/>
    <w:rsid w:val="13336E3E"/>
    <w:rsid w:val="13506828"/>
    <w:rsid w:val="13BA3963"/>
    <w:rsid w:val="13E75FD4"/>
    <w:rsid w:val="165C6DCA"/>
    <w:rsid w:val="16B308E9"/>
    <w:rsid w:val="17362443"/>
    <w:rsid w:val="177E44BC"/>
    <w:rsid w:val="18B0367F"/>
    <w:rsid w:val="196C3B96"/>
    <w:rsid w:val="19CD7761"/>
    <w:rsid w:val="19F66993"/>
    <w:rsid w:val="1A534805"/>
    <w:rsid w:val="1B2B711A"/>
    <w:rsid w:val="1B352404"/>
    <w:rsid w:val="1B583A4F"/>
    <w:rsid w:val="1BB66B0E"/>
    <w:rsid w:val="1C5E26D8"/>
    <w:rsid w:val="1CBF7BEB"/>
    <w:rsid w:val="1CFF6D7B"/>
    <w:rsid w:val="1D052C82"/>
    <w:rsid w:val="1D0D3CA0"/>
    <w:rsid w:val="1D3C38E1"/>
    <w:rsid w:val="1D4A5240"/>
    <w:rsid w:val="1E124F75"/>
    <w:rsid w:val="1E9E7BAF"/>
    <w:rsid w:val="1F8046B4"/>
    <w:rsid w:val="203931EC"/>
    <w:rsid w:val="20B117BA"/>
    <w:rsid w:val="20F87D45"/>
    <w:rsid w:val="21056406"/>
    <w:rsid w:val="210F67FD"/>
    <w:rsid w:val="213F2173"/>
    <w:rsid w:val="21FA7BC8"/>
    <w:rsid w:val="224F4AB9"/>
    <w:rsid w:val="22BC3C5C"/>
    <w:rsid w:val="22E12559"/>
    <w:rsid w:val="231F1167"/>
    <w:rsid w:val="235C2BD4"/>
    <w:rsid w:val="23627251"/>
    <w:rsid w:val="23FF4341"/>
    <w:rsid w:val="2414534A"/>
    <w:rsid w:val="2428259D"/>
    <w:rsid w:val="24846C5E"/>
    <w:rsid w:val="24F74EAA"/>
    <w:rsid w:val="252223C6"/>
    <w:rsid w:val="253446AE"/>
    <w:rsid w:val="2581038F"/>
    <w:rsid w:val="25B11518"/>
    <w:rsid w:val="25B86563"/>
    <w:rsid w:val="26913BAD"/>
    <w:rsid w:val="27715CCC"/>
    <w:rsid w:val="28197C97"/>
    <w:rsid w:val="28A54C15"/>
    <w:rsid w:val="28BC1F5F"/>
    <w:rsid w:val="28F03549"/>
    <w:rsid w:val="2938027B"/>
    <w:rsid w:val="29F10FDB"/>
    <w:rsid w:val="2A495030"/>
    <w:rsid w:val="2A676E5E"/>
    <w:rsid w:val="2B997798"/>
    <w:rsid w:val="2CA31F00"/>
    <w:rsid w:val="2CC20FAE"/>
    <w:rsid w:val="2CF47464"/>
    <w:rsid w:val="2D473B79"/>
    <w:rsid w:val="2DCA2DA2"/>
    <w:rsid w:val="2EE22F36"/>
    <w:rsid w:val="2F2C5253"/>
    <w:rsid w:val="2FBB4416"/>
    <w:rsid w:val="2FDB37C9"/>
    <w:rsid w:val="30BE3DCE"/>
    <w:rsid w:val="30C44045"/>
    <w:rsid w:val="31822DF7"/>
    <w:rsid w:val="31A072B4"/>
    <w:rsid w:val="32FB322A"/>
    <w:rsid w:val="33456856"/>
    <w:rsid w:val="344B01BC"/>
    <w:rsid w:val="34580F33"/>
    <w:rsid w:val="345D0D22"/>
    <w:rsid w:val="35315E89"/>
    <w:rsid w:val="353A77E0"/>
    <w:rsid w:val="354E03E2"/>
    <w:rsid w:val="36345EE6"/>
    <w:rsid w:val="36461A21"/>
    <w:rsid w:val="368A1319"/>
    <w:rsid w:val="369B1D40"/>
    <w:rsid w:val="36E91C86"/>
    <w:rsid w:val="37586120"/>
    <w:rsid w:val="37BC2078"/>
    <w:rsid w:val="386C58FB"/>
    <w:rsid w:val="386D15ED"/>
    <w:rsid w:val="386E74A0"/>
    <w:rsid w:val="389F7463"/>
    <w:rsid w:val="38E67B0E"/>
    <w:rsid w:val="38F83A90"/>
    <w:rsid w:val="3B6650C4"/>
    <w:rsid w:val="3BD66CA2"/>
    <w:rsid w:val="3C247E8C"/>
    <w:rsid w:val="3D811C0D"/>
    <w:rsid w:val="3E163583"/>
    <w:rsid w:val="3EE071AB"/>
    <w:rsid w:val="3EFC193A"/>
    <w:rsid w:val="3EFF2568"/>
    <w:rsid w:val="3F82769A"/>
    <w:rsid w:val="3F8975EE"/>
    <w:rsid w:val="3FCC5A47"/>
    <w:rsid w:val="406D1324"/>
    <w:rsid w:val="40C304AF"/>
    <w:rsid w:val="40D20F23"/>
    <w:rsid w:val="42162288"/>
    <w:rsid w:val="42AD648E"/>
    <w:rsid w:val="434754A7"/>
    <w:rsid w:val="44B91EEC"/>
    <w:rsid w:val="44BC3620"/>
    <w:rsid w:val="453E2BF0"/>
    <w:rsid w:val="45B51A05"/>
    <w:rsid w:val="45C41F63"/>
    <w:rsid w:val="46526FBB"/>
    <w:rsid w:val="467F70E2"/>
    <w:rsid w:val="468D2996"/>
    <w:rsid w:val="47EA62B9"/>
    <w:rsid w:val="47F765F5"/>
    <w:rsid w:val="48284861"/>
    <w:rsid w:val="49F84FFA"/>
    <w:rsid w:val="4A012E2B"/>
    <w:rsid w:val="4A340100"/>
    <w:rsid w:val="4A915202"/>
    <w:rsid w:val="4BB3139E"/>
    <w:rsid w:val="4BF6036F"/>
    <w:rsid w:val="4C7E1155"/>
    <w:rsid w:val="4D963478"/>
    <w:rsid w:val="4DEC6CD7"/>
    <w:rsid w:val="4E233D83"/>
    <w:rsid w:val="4FDD44A2"/>
    <w:rsid w:val="50E70F92"/>
    <w:rsid w:val="51082263"/>
    <w:rsid w:val="5198572E"/>
    <w:rsid w:val="51DE28FB"/>
    <w:rsid w:val="53574187"/>
    <w:rsid w:val="544E0F5E"/>
    <w:rsid w:val="54651927"/>
    <w:rsid w:val="54AF3253"/>
    <w:rsid w:val="55307659"/>
    <w:rsid w:val="55383F64"/>
    <w:rsid w:val="554876B4"/>
    <w:rsid w:val="55BC6160"/>
    <w:rsid w:val="55E0339D"/>
    <w:rsid w:val="56701600"/>
    <w:rsid w:val="56BF2F4B"/>
    <w:rsid w:val="56E83FA3"/>
    <w:rsid w:val="5723122F"/>
    <w:rsid w:val="572405D5"/>
    <w:rsid w:val="575A0C2E"/>
    <w:rsid w:val="58424AB5"/>
    <w:rsid w:val="58D05A14"/>
    <w:rsid w:val="59271254"/>
    <w:rsid w:val="5935653A"/>
    <w:rsid w:val="595455B5"/>
    <w:rsid w:val="598B7205"/>
    <w:rsid w:val="59F22154"/>
    <w:rsid w:val="5A074490"/>
    <w:rsid w:val="5B0E4FB1"/>
    <w:rsid w:val="5B5E7E0F"/>
    <w:rsid w:val="5BBA517C"/>
    <w:rsid w:val="5BC02519"/>
    <w:rsid w:val="5C554EC1"/>
    <w:rsid w:val="5C853C6B"/>
    <w:rsid w:val="5CC0147B"/>
    <w:rsid w:val="5D0114DD"/>
    <w:rsid w:val="5DDC1E78"/>
    <w:rsid w:val="5DE15411"/>
    <w:rsid w:val="5DF14806"/>
    <w:rsid w:val="5E834211"/>
    <w:rsid w:val="5EF76B53"/>
    <w:rsid w:val="5EFB35C8"/>
    <w:rsid w:val="5F2A7A3E"/>
    <w:rsid w:val="5F3D3DA3"/>
    <w:rsid w:val="5F3E0E69"/>
    <w:rsid w:val="5F9F32CB"/>
    <w:rsid w:val="60E070D8"/>
    <w:rsid w:val="61477D3C"/>
    <w:rsid w:val="627B2B44"/>
    <w:rsid w:val="63096F63"/>
    <w:rsid w:val="63A31AEE"/>
    <w:rsid w:val="63A43996"/>
    <w:rsid w:val="642D4AB7"/>
    <w:rsid w:val="646265C8"/>
    <w:rsid w:val="647D4DF6"/>
    <w:rsid w:val="64CE04C8"/>
    <w:rsid w:val="64E57C14"/>
    <w:rsid w:val="653E0CAA"/>
    <w:rsid w:val="65CA6952"/>
    <w:rsid w:val="663A25AC"/>
    <w:rsid w:val="663A71E2"/>
    <w:rsid w:val="677F5DB7"/>
    <w:rsid w:val="67CC40BC"/>
    <w:rsid w:val="691C67FD"/>
    <w:rsid w:val="6A5C18FD"/>
    <w:rsid w:val="6A6B167A"/>
    <w:rsid w:val="6A800F11"/>
    <w:rsid w:val="6A9F7173"/>
    <w:rsid w:val="6AA74561"/>
    <w:rsid w:val="6AD90BFC"/>
    <w:rsid w:val="6D2E6A4B"/>
    <w:rsid w:val="6D8E7684"/>
    <w:rsid w:val="6DD13669"/>
    <w:rsid w:val="6DE04C70"/>
    <w:rsid w:val="6E311B55"/>
    <w:rsid w:val="6F3829E8"/>
    <w:rsid w:val="708F3534"/>
    <w:rsid w:val="722F7768"/>
    <w:rsid w:val="7235211D"/>
    <w:rsid w:val="72D75763"/>
    <w:rsid w:val="73373EE4"/>
    <w:rsid w:val="73481186"/>
    <w:rsid w:val="735C324C"/>
    <w:rsid w:val="742B1FE0"/>
    <w:rsid w:val="750744E5"/>
    <w:rsid w:val="753161AE"/>
    <w:rsid w:val="76217F91"/>
    <w:rsid w:val="763C5D0A"/>
    <w:rsid w:val="76D80CE3"/>
    <w:rsid w:val="77027A18"/>
    <w:rsid w:val="773D0465"/>
    <w:rsid w:val="786B2585"/>
    <w:rsid w:val="7885743D"/>
    <w:rsid w:val="78C91418"/>
    <w:rsid w:val="78F2573D"/>
    <w:rsid w:val="791118EB"/>
    <w:rsid w:val="795C76D3"/>
    <w:rsid w:val="79671759"/>
    <w:rsid w:val="797075DA"/>
    <w:rsid w:val="7A1B3C8B"/>
    <w:rsid w:val="7A2B3F13"/>
    <w:rsid w:val="7A505630"/>
    <w:rsid w:val="7AB16DC3"/>
    <w:rsid w:val="7AE85868"/>
    <w:rsid w:val="7BB41C3D"/>
    <w:rsid w:val="7BDC50A2"/>
    <w:rsid w:val="7BE4546E"/>
    <w:rsid w:val="7BF13E9C"/>
    <w:rsid w:val="7BFD5649"/>
    <w:rsid w:val="7D0B0461"/>
    <w:rsid w:val="7D282903"/>
    <w:rsid w:val="7D401A7F"/>
    <w:rsid w:val="7D460091"/>
    <w:rsid w:val="7D9D0F95"/>
    <w:rsid w:val="7E015867"/>
    <w:rsid w:val="7E753116"/>
    <w:rsid w:val="7EC80556"/>
    <w:rsid w:val="7ED57CD1"/>
    <w:rsid w:val="7F827326"/>
    <w:rsid w:val="7F8E48CA"/>
    <w:rsid w:val="7FAB18EF"/>
    <w:rsid w:val="7FAC2E80"/>
    <w:rsid w:val="7FCA5213"/>
    <w:rsid w:val="7FF145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qFormat="1" w:unhideWhenUsed="0" w:uiPriority="99" w:semiHidden="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6"/>
    <w:next w:val="1"/>
    <w:link w:val="43"/>
    <w:qFormat/>
    <w:uiPriority w:val="9"/>
    <w:pPr>
      <w:keepNext/>
      <w:keepLines/>
      <w:spacing w:before="340" w:after="330" w:line="578" w:lineRule="auto"/>
      <w:jc w:val="center"/>
      <w:outlineLvl w:val="0"/>
    </w:pPr>
    <w:rPr>
      <w:bCs/>
      <w:kern w:val="44"/>
      <w:sz w:val="44"/>
      <w:szCs w:val="44"/>
    </w:rPr>
  </w:style>
  <w:style w:type="paragraph" w:styleId="6">
    <w:name w:val="heading 2"/>
    <w:basedOn w:val="1"/>
    <w:next w:val="1"/>
    <w:link w:val="46"/>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7">
    <w:name w:val="heading 3"/>
    <w:basedOn w:val="1"/>
    <w:next w:val="8"/>
    <w:link w:val="44"/>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9">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link w:val="45"/>
    <w:qFormat/>
    <w:uiPriority w:val="0"/>
    <w:pPr>
      <w:keepNext/>
      <w:keepLines/>
      <w:spacing w:before="280" w:after="290" w:line="376" w:lineRule="auto"/>
      <w:outlineLvl w:val="4"/>
    </w:pPr>
    <w:rPr>
      <w:b/>
      <w:bCs/>
      <w:sz w:val="28"/>
      <w:szCs w:val="28"/>
    </w:rPr>
  </w:style>
  <w:style w:type="paragraph" w:styleId="11">
    <w:name w:val="heading 6"/>
    <w:basedOn w:val="10"/>
    <w:next w:val="1"/>
    <w:link w:val="48"/>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2">
    <w:name w:val="heading 7"/>
    <w:basedOn w:val="11"/>
    <w:next w:val="1"/>
    <w:link w:val="49"/>
    <w:qFormat/>
    <w:uiPriority w:val="0"/>
    <w:pPr>
      <w:tabs>
        <w:tab w:val="left" w:pos="1800"/>
        <w:tab w:val="clear" w:pos="1440"/>
      </w:tabs>
      <w:ind w:left="1276" w:hanging="1276"/>
      <w:outlineLvl w:val="6"/>
    </w:pPr>
  </w:style>
  <w:style w:type="paragraph" w:styleId="13">
    <w:name w:val="heading 8"/>
    <w:basedOn w:val="12"/>
    <w:next w:val="1"/>
    <w:link w:val="50"/>
    <w:qFormat/>
    <w:uiPriority w:val="0"/>
    <w:pPr>
      <w:ind w:left="1418" w:hanging="1418"/>
      <w:outlineLvl w:val="7"/>
    </w:pPr>
  </w:style>
  <w:style w:type="paragraph" w:styleId="14">
    <w:name w:val="heading 9"/>
    <w:basedOn w:val="13"/>
    <w:next w:val="1"/>
    <w:link w:val="51"/>
    <w:qFormat/>
    <w:uiPriority w:val="0"/>
    <w:pPr>
      <w:tabs>
        <w:tab w:val="left" w:pos="2160"/>
        <w:tab w:val="clear" w:pos="1800"/>
      </w:tabs>
      <w:ind w:left="1559" w:hanging="1559"/>
      <w:outlineLvl w:val="8"/>
    </w:pPr>
  </w:style>
  <w:style w:type="character" w:default="1" w:styleId="34">
    <w:name w:val="Default Paragraph Font"/>
    <w:link w:val="35"/>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0"/>
    <w:pPr>
      <w:spacing w:after="120"/>
    </w:pPr>
  </w:style>
  <w:style w:type="paragraph" w:styleId="3">
    <w:name w:val="Body Text First Indent"/>
    <w:basedOn w:val="2"/>
    <w:next w:val="4"/>
    <w:qFormat/>
    <w:uiPriority w:val="0"/>
    <w:pPr>
      <w:spacing w:after="120"/>
      <w:ind w:firstLine="420" w:firstLineChars="100"/>
      <w:jc w:val="both"/>
    </w:pPr>
    <w:rPr>
      <w:sz w:val="21"/>
    </w:rPr>
  </w:style>
  <w:style w:type="paragraph" w:styleId="4">
    <w:name w:val="toc 6"/>
    <w:basedOn w:val="1"/>
    <w:next w:val="1"/>
    <w:qFormat/>
    <w:uiPriority w:val="99"/>
    <w:pPr>
      <w:ind w:left="2100" w:leftChars="1000"/>
    </w:pPr>
  </w:style>
  <w:style w:type="paragraph" w:styleId="8">
    <w:name w:val="Normal Indent"/>
    <w:basedOn w:val="1"/>
    <w:link w:val="58"/>
    <w:unhideWhenUsed/>
    <w:qFormat/>
    <w:uiPriority w:val="0"/>
    <w:pPr>
      <w:ind w:firstLine="420" w:firstLineChars="200"/>
    </w:pPr>
  </w:style>
  <w:style w:type="paragraph" w:styleId="15">
    <w:name w:val="Document Map"/>
    <w:basedOn w:val="1"/>
    <w:link w:val="63"/>
    <w:qFormat/>
    <w:uiPriority w:val="0"/>
    <w:rPr>
      <w:rFonts w:ascii="宋体"/>
      <w:sz w:val="18"/>
      <w:szCs w:val="18"/>
    </w:rPr>
  </w:style>
  <w:style w:type="paragraph" w:styleId="16">
    <w:name w:val="annotation text"/>
    <w:basedOn w:val="1"/>
    <w:link w:val="61"/>
    <w:qFormat/>
    <w:uiPriority w:val="0"/>
    <w:pPr>
      <w:jc w:val="left"/>
    </w:pPr>
  </w:style>
  <w:style w:type="paragraph" w:styleId="17">
    <w:name w:val="Body Text Indent"/>
    <w:basedOn w:val="1"/>
    <w:qFormat/>
    <w:uiPriority w:val="0"/>
    <w:pPr>
      <w:ind w:firstLine="830" w:firstLineChars="352"/>
    </w:pPr>
    <w:rPr>
      <w:rFonts w:ascii="仿宋_GB2312" w:eastAsia="仿宋_GB2312"/>
      <w:sz w:val="32"/>
      <w:szCs w:val="20"/>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unhideWhenUsed/>
    <w:qFormat/>
    <w:uiPriority w:val="39"/>
    <w:pPr>
      <w:ind w:left="840" w:leftChars="400"/>
    </w:pPr>
  </w:style>
  <w:style w:type="paragraph" w:styleId="20">
    <w:name w:val="Plain Text"/>
    <w:basedOn w:val="1"/>
    <w:link w:val="55"/>
    <w:qFormat/>
    <w:uiPriority w:val="0"/>
    <w:rPr>
      <w:rFonts w:ascii="宋体" w:hAnsi="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Body Text Indent 3"/>
    <w:basedOn w:val="1"/>
    <w:link w:val="71"/>
    <w:semiHidden/>
    <w:unhideWhenUsed/>
    <w:qFormat/>
    <w:uiPriority w:val="0"/>
    <w:pPr>
      <w:spacing w:after="120"/>
      <w:ind w:left="420" w:leftChars="200"/>
    </w:pPr>
    <w:rPr>
      <w:sz w:val="16"/>
      <w:szCs w:val="16"/>
    </w:rPr>
  </w:style>
  <w:style w:type="paragraph" w:styleId="27">
    <w:name w:val="toc 2"/>
    <w:basedOn w:val="1"/>
    <w:next w:val="1"/>
    <w:qFormat/>
    <w:uiPriority w:val="39"/>
    <w:pPr>
      <w:tabs>
        <w:tab w:val="right" w:leader="dot" w:pos="8222"/>
      </w:tabs>
      <w:ind w:left="420" w:leftChars="200"/>
      <w:jc w:val="left"/>
    </w:pPr>
    <w:rPr>
      <w:sz w:val="28"/>
    </w:r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Title"/>
    <w:basedOn w:val="6"/>
    <w:next w:val="1"/>
    <w:link w:val="42"/>
    <w:qFormat/>
    <w:uiPriority w:val="0"/>
    <w:pPr>
      <w:jc w:val="both"/>
    </w:pPr>
    <w:rPr>
      <w:rFonts w:ascii="宋体"/>
      <w:sz w:val="44"/>
    </w:rPr>
  </w:style>
  <w:style w:type="paragraph" w:styleId="30">
    <w:name w:val="annotation subject"/>
    <w:basedOn w:val="16"/>
    <w:next w:val="16"/>
    <w:link w:val="60"/>
    <w:qFormat/>
    <w:uiPriority w:val="99"/>
    <w:rPr>
      <w:rFonts w:ascii="Times New Roman" w:hAnsi="Times New Roman"/>
      <w:b/>
      <w:sz w:val="28"/>
      <w:szCs w:val="20"/>
    </w:rPr>
  </w:style>
  <w:style w:type="paragraph" w:styleId="31">
    <w:name w:val="Body Text First Indent 2"/>
    <w:basedOn w:val="17"/>
    <w:qFormat/>
    <w:uiPriority w:val="0"/>
    <w:pPr>
      <w:ind w:left="0" w:leftChars="0" w:firstLine="210"/>
    </w:pPr>
    <w:rPr>
      <w:szCs w:val="20"/>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5">
    <w:name w:val=" Char"/>
    <w:basedOn w:val="1"/>
    <w:link w:val="34"/>
    <w:qFormat/>
    <w:uiPriority w:val="0"/>
    <w:pPr>
      <w:tabs>
        <w:tab w:val="left" w:pos="432"/>
      </w:tabs>
      <w:spacing w:before="156" w:beforeLines="50" w:after="156" w:afterLines="50"/>
      <w:ind w:left="432" w:hanging="432"/>
    </w:pPr>
  </w:style>
  <w:style w:type="character" w:styleId="36">
    <w:name w:val="Strong"/>
    <w:qFormat/>
    <w:uiPriority w:val="0"/>
    <w:rPr>
      <w:b/>
      <w:bCs/>
    </w:rPr>
  </w:style>
  <w:style w:type="character" w:styleId="37">
    <w:name w:val="page number"/>
    <w:basedOn w:val="34"/>
    <w:qFormat/>
    <w:uiPriority w:val="0"/>
  </w:style>
  <w:style w:type="character" w:styleId="38">
    <w:name w:val="Hyperlink"/>
    <w:qFormat/>
    <w:uiPriority w:val="99"/>
    <w:rPr>
      <w:color w:val="0000FF"/>
      <w:u w:val="single"/>
    </w:rPr>
  </w:style>
  <w:style w:type="character" w:styleId="39">
    <w:name w:val="annotation reference"/>
    <w:basedOn w:val="34"/>
    <w:unhideWhenUsed/>
    <w:qFormat/>
    <w:uiPriority w:val="0"/>
    <w:rPr>
      <w:sz w:val="21"/>
      <w:szCs w:val="21"/>
    </w:rPr>
  </w:style>
  <w:style w:type="paragraph" w:customStyle="1" w:styleId="40">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1">
    <w:name w:val="case31"/>
    <w:qFormat/>
    <w:uiPriority w:val="0"/>
    <w:rPr>
      <w:rFonts w:hint="default"/>
      <w:spacing w:val="390"/>
      <w:sz w:val="21"/>
      <w:szCs w:val="21"/>
    </w:rPr>
  </w:style>
  <w:style w:type="character" w:customStyle="1" w:styleId="42">
    <w:name w:val="标题 Char"/>
    <w:link w:val="29"/>
    <w:qFormat/>
    <w:uiPriority w:val="0"/>
    <w:rPr>
      <w:rFonts w:ascii="宋体" w:hAnsiTheme="majorEastAsia" w:eastAsiaTheme="majorEastAsia"/>
      <w:b/>
      <w:kern w:val="2"/>
      <w:sz w:val="44"/>
      <w:szCs w:val="28"/>
    </w:rPr>
  </w:style>
  <w:style w:type="character" w:customStyle="1" w:styleId="43">
    <w:name w:val="标题 1 Char"/>
    <w:link w:val="5"/>
    <w:qFormat/>
    <w:uiPriority w:val="9"/>
    <w:rPr>
      <w:rFonts w:ascii="Calibri" w:hAnsi="Calibri"/>
      <w:b/>
      <w:bCs/>
      <w:kern w:val="44"/>
      <w:sz w:val="44"/>
      <w:szCs w:val="44"/>
    </w:rPr>
  </w:style>
  <w:style w:type="character" w:customStyle="1" w:styleId="44">
    <w:name w:val="标题 3 Char"/>
    <w:link w:val="7"/>
    <w:qFormat/>
    <w:uiPriority w:val="0"/>
    <w:rPr>
      <w:rFonts w:ascii="仿宋_GB2312" w:hAnsi="宋体" w:eastAsiaTheme="minorEastAsia"/>
      <w:b/>
      <w:kern w:val="2"/>
      <w:sz w:val="32"/>
      <w:szCs w:val="32"/>
    </w:rPr>
  </w:style>
  <w:style w:type="character" w:customStyle="1" w:styleId="45">
    <w:name w:val="标题 5 Char"/>
    <w:link w:val="10"/>
    <w:qFormat/>
    <w:uiPriority w:val="0"/>
    <w:rPr>
      <w:rFonts w:ascii="Calibri" w:hAnsi="Calibri"/>
      <w:b/>
      <w:bCs/>
      <w:kern w:val="2"/>
      <w:sz w:val="28"/>
      <w:szCs w:val="28"/>
    </w:rPr>
  </w:style>
  <w:style w:type="character" w:customStyle="1" w:styleId="46">
    <w:name w:val="标题 2 Char"/>
    <w:link w:val="6"/>
    <w:qFormat/>
    <w:uiPriority w:val="0"/>
    <w:rPr>
      <w:rFonts w:asciiTheme="majorEastAsia" w:hAnsiTheme="majorEastAsia" w:eastAsiaTheme="majorEastAsia"/>
      <w:b/>
      <w:kern w:val="2"/>
      <w:sz w:val="32"/>
      <w:szCs w:val="28"/>
    </w:rPr>
  </w:style>
  <w:style w:type="character" w:customStyle="1" w:styleId="47">
    <w:name w:val="标题 4 Char"/>
    <w:link w:val="9"/>
    <w:qFormat/>
    <w:uiPriority w:val="0"/>
    <w:rPr>
      <w:rFonts w:ascii="Arial" w:hAnsi="Arial" w:eastAsia="黑体"/>
      <w:b/>
      <w:bCs/>
      <w:kern w:val="2"/>
      <w:sz w:val="28"/>
      <w:szCs w:val="28"/>
    </w:rPr>
  </w:style>
  <w:style w:type="character" w:customStyle="1" w:styleId="48">
    <w:name w:val="标题 6 Char"/>
    <w:link w:val="11"/>
    <w:qFormat/>
    <w:uiPriority w:val="0"/>
    <w:rPr>
      <w:b/>
      <w:bCs/>
      <w:kern w:val="2"/>
      <w:sz w:val="30"/>
      <w:szCs w:val="18"/>
    </w:rPr>
  </w:style>
  <w:style w:type="character" w:customStyle="1" w:styleId="49">
    <w:name w:val="标题 7 Char"/>
    <w:link w:val="12"/>
    <w:qFormat/>
    <w:uiPriority w:val="0"/>
    <w:rPr>
      <w:b/>
      <w:bCs/>
      <w:kern w:val="2"/>
      <w:sz w:val="30"/>
      <w:szCs w:val="18"/>
    </w:rPr>
  </w:style>
  <w:style w:type="character" w:customStyle="1" w:styleId="50">
    <w:name w:val="标题 8 Char"/>
    <w:link w:val="13"/>
    <w:qFormat/>
    <w:uiPriority w:val="0"/>
    <w:rPr>
      <w:b/>
      <w:bCs/>
      <w:kern w:val="2"/>
      <w:sz w:val="30"/>
      <w:szCs w:val="18"/>
    </w:rPr>
  </w:style>
  <w:style w:type="character" w:customStyle="1" w:styleId="51">
    <w:name w:val="标题 9 Char"/>
    <w:link w:val="14"/>
    <w:qFormat/>
    <w:uiPriority w:val="0"/>
    <w:rPr>
      <w:b/>
      <w:bCs/>
      <w:kern w:val="2"/>
      <w:sz w:val="30"/>
      <w:szCs w:val="18"/>
    </w:rPr>
  </w:style>
  <w:style w:type="paragraph" w:customStyle="1" w:styleId="52">
    <w:name w:val="列出段落1"/>
    <w:basedOn w:val="1"/>
    <w:qFormat/>
    <w:uiPriority w:val="34"/>
    <w:pPr>
      <w:ind w:firstLine="420" w:firstLineChars="200"/>
    </w:pPr>
  </w:style>
  <w:style w:type="paragraph" w:customStyle="1" w:styleId="53">
    <w:name w:val="TOC 标题1"/>
    <w:basedOn w:val="5"/>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4">
    <w:name w:val="页眉 Char"/>
    <w:link w:val="24"/>
    <w:qFormat/>
    <w:uiPriority w:val="99"/>
    <w:rPr>
      <w:rFonts w:ascii="Calibri" w:hAnsi="Calibri" w:eastAsia="宋体" w:cs="Times New Roman"/>
      <w:kern w:val="2"/>
      <w:sz w:val="18"/>
      <w:szCs w:val="18"/>
    </w:rPr>
  </w:style>
  <w:style w:type="character" w:customStyle="1" w:styleId="55">
    <w:name w:val="纯文本 Char"/>
    <w:link w:val="20"/>
    <w:qFormat/>
    <w:locked/>
    <w:uiPriority w:val="0"/>
    <w:rPr>
      <w:rFonts w:ascii="宋体" w:hAnsi="Courier New" w:eastAsia="宋体" w:cs="Courier New"/>
      <w:kern w:val="2"/>
      <w:sz w:val="21"/>
      <w:szCs w:val="21"/>
    </w:rPr>
  </w:style>
  <w:style w:type="paragraph" w:customStyle="1" w:styleId="56">
    <w:name w:val="需求样式"/>
    <w:basedOn w:val="5"/>
    <w:link w:val="57"/>
    <w:qFormat/>
    <w:uiPriority w:val="0"/>
    <w:pPr>
      <w:spacing w:before="120" w:after="120" w:line="360" w:lineRule="auto"/>
      <w:ind w:left="425" w:hanging="425"/>
    </w:pPr>
    <w:rPr>
      <w:rFonts w:ascii="Times New Roman" w:hAnsi="Times New Roman"/>
      <w:sz w:val="32"/>
      <w:szCs w:val="28"/>
    </w:rPr>
  </w:style>
  <w:style w:type="character" w:customStyle="1" w:styleId="57">
    <w:name w:val="需求样式 Char"/>
    <w:link w:val="56"/>
    <w:qFormat/>
    <w:uiPriority w:val="0"/>
    <w:rPr>
      <w:b/>
      <w:bCs/>
      <w:kern w:val="44"/>
      <w:sz w:val="32"/>
      <w:szCs w:val="28"/>
    </w:rPr>
  </w:style>
  <w:style w:type="character" w:customStyle="1" w:styleId="58">
    <w:name w:val="正文缩进 Char"/>
    <w:link w:val="8"/>
    <w:qFormat/>
    <w:uiPriority w:val="0"/>
    <w:rPr>
      <w:rFonts w:ascii="Calibri" w:hAnsi="Calibri" w:eastAsia="宋体"/>
      <w:kern w:val="2"/>
      <w:sz w:val="21"/>
      <w:szCs w:val="22"/>
      <w:lang w:val="en-US" w:eastAsia="zh-CN" w:bidi="ar-SA"/>
    </w:rPr>
  </w:style>
  <w:style w:type="character" w:customStyle="1" w:styleId="59">
    <w:name w:val="普通文字 Char Char2"/>
    <w:qFormat/>
    <w:uiPriority w:val="0"/>
    <w:rPr>
      <w:rFonts w:ascii="宋体" w:hAnsi="Courier New" w:cs="Courier New"/>
      <w:kern w:val="2"/>
      <w:sz w:val="21"/>
      <w:szCs w:val="21"/>
    </w:rPr>
  </w:style>
  <w:style w:type="character" w:customStyle="1" w:styleId="60">
    <w:name w:val="批注主题 Char"/>
    <w:link w:val="30"/>
    <w:qFormat/>
    <w:uiPriority w:val="99"/>
    <w:rPr>
      <w:b/>
      <w:kern w:val="2"/>
      <w:sz w:val="28"/>
    </w:rPr>
  </w:style>
  <w:style w:type="character" w:customStyle="1" w:styleId="61">
    <w:name w:val="批注文字 Char"/>
    <w:basedOn w:val="34"/>
    <w:link w:val="16"/>
    <w:qFormat/>
    <w:uiPriority w:val="0"/>
    <w:rPr>
      <w:rFonts w:ascii="Calibri" w:hAnsi="Calibri"/>
      <w:kern w:val="2"/>
      <w:sz w:val="21"/>
      <w:szCs w:val="22"/>
    </w:rPr>
  </w:style>
  <w:style w:type="character" w:customStyle="1" w:styleId="62">
    <w:name w:val="批注主题 Char1"/>
    <w:basedOn w:val="61"/>
    <w:qFormat/>
    <w:uiPriority w:val="0"/>
    <w:rPr>
      <w:rFonts w:ascii="Calibri" w:hAnsi="Calibri"/>
      <w:b/>
      <w:bCs/>
      <w:kern w:val="2"/>
      <w:sz w:val="21"/>
      <w:szCs w:val="22"/>
    </w:rPr>
  </w:style>
  <w:style w:type="character" w:customStyle="1" w:styleId="63">
    <w:name w:val="文档结构图 Char"/>
    <w:basedOn w:val="34"/>
    <w:link w:val="15"/>
    <w:qFormat/>
    <w:uiPriority w:val="0"/>
    <w:rPr>
      <w:rFonts w:ascii="宋体" w:hAnsi="Calibri"/>
      <w:kern w:val="2"/>
      <w:sz w:val="18"/>
      <w:szCs w:val="18"/>
    </w:rPr>
  </w:style>
  <w:style w:type="paragraph" w:customStyle="1" w:styleId="64">
    <w:name w:val="修订1"/>
    <w:hidden/>
    <w:semiHidden/>
    <w:qFormat/>
    <w:uiPriority w:val="99"/>
    <w:rPr>
      <w:rFonts w:ascii="Calibri" w:hAnsi="Calibri" w:eastAsia="宋体" w:cs="Times New Roman"/>
      <w:kern w:val="2"/>
      <w:sz w:val="21"/>
      <w:szCs w:val="22"/>
      <w:lang w:val="en-US" w:eastAsia="zh-CN" w:bidi="ar-SA"/>
    </w:rPr>
  </w:style>
  <w:style w:type="paragraph" w:customStyle="1" w:styleId="65">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6">
    <w:name w:val="2册标题2 Char"/>
    <w:link w:val="67"/>
    <w:qFormat/>
    <w:uiPriority w:val="0"/>
    <w:rPr>
      <w:rFonts w:ascii="Arial" w:hAnsi="Arial" w:eastAsia="黑体"/>
      <w:kern w:val="2"/>
      <w:sz w:val="30"/>
    </w:rPr>
  </w:style>
  <w:style w:type="paragraph" w:customStyle="1" w:styleId="67">
    <w:name w:val="2册标题2"/>
    <w:basedOn w:val="1"/>
    <w:next w:val="1"/>
    <w:link w:val="66"/>
    <w:qFormat/>
    <w:uiPriority w:val="0"/>
    <w:pPr>
      <w:spacing w:beforeLines="50" w:afterLines="50" w:line="300" w:lineRule="auto"/>
      <w:outlineLvl w:val="1"/>
    </w:pPr>
    <w:rPr>
      <w:rFonts w:ascii="Arial" w:hAnsi="Arial" w:eastAsia="黑体"/>
      <w:sz w:val="30"/>
      <w:szCs w:val="20"/>
    </w:rPr>
  </w:style>
  <w:style w:type="paragraph" w:customStyle="1" w:styleId="6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9">
    <w:name w:val="List Paragraph"/>
    <w:basedOn w:val="1"/>
    <w:unhideWhenUsed/>
    <w:qFormat/>
    <w:uiPriority w:val="99"/>
    <w:pPr>
      <w:ind w:firstLine="420" w:firstLineChars="200"/>
    </w:pPr>
  </w:style>
  <w:style w:type="paragraph" w:customStyle="1" w:styleId="70">
    <w:name w:val="TOC Heading"/>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1">
    <w:name w:val="正文文本缩进 3 Char"/>
    <w:basedOn w:val="34"/>
    <w:link w:val="26"/>
    <w:semiHidden/>
    <w:qFormat/>
    <w:uiPriority w:val="0"/>
    <w:rPr>
      <w:rFonts w:ascii="Calibri" w:hAnsi="Calibri"/>
      <w:kern w:val="2"/>
      <w:sz w:val="16"/>
      <w:szCs w:val="16"/>
    </w:rPr>
  </w:style>
  <w:style w:type="paragraph" w:customStyle="1" w:styleId="7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4">
    <w:name w:val="font21"/>
    <w:qFormat/>
    <w:uiPriority w:val="0"/>
    <w:rPr>
      <w:rFonts w:ascii="Arial" w:hAnsi="Arial" w:cs="Arial"/>
      <w:color w:val="FF0000"/>
      <w:sz w:val="20"/>
      <w:szCs w:val="20"/>
      <w:u w:val="none"/>
    </w:rPr>
  </w:style>
  <w:style w:type="character" w:customStyle="1" w:styleId="75">
    <w:name w:val="font31"/>
    <w:qFormat/>
    <w:uiPriority w:val="0"/>
    <w:rPr>
      <w:rFonts w:hint="eastAsia" w:ascii="宋体" w:hAnsi="宋体" w:eastAsia="宋体" w:cs="宋体"/>
      <w:color w:val="FF0000"/>
      <w:sz w:val="20"/>
      <w:szCs w:val="20"/>
      <w:u w:val="none"/>
    </w:rPr>
  </w:style>
  <w:style w:type="character" w:customStyle="1" w:styleId="76">
    <w:name w:val="font01"/>
    <w:qFormat/>
    <w:uiPriority w:val="0"/>
    <w:rPr>
      <w:rFonts w:hint="eastAsia" w:ascii="宋体" w:hAnsi="宋体" w:eastAsia="宋体" w:cs="宋体"/>
      <w:color w:val="FF0000"/>
      <w:sz w:val="20"/>
      <w:szCs w:val="20"/>
      <w:u w:val="single"/>
    </w:rPr>
  </w:style>
  <w:style w:type="character" w:customStyle="1" w:styleId="77">
    <w:name w:val="font11"/>
    <w:qFormat/>
    <w:uiPriority w:val="0"/>
    <w:rPr>
      <w:rFonts w:hint="default" w:ascii="Arial" w:hAnsi="Arial" w:cs="Arial"/>
      <w:color w:val="FF0000"/>
      <w:sz w:val="20"/>
      <w:szCs w:val="20"/>
      <w:u w:val="single"/>
    </w:rPr>
  </w:style>
  <w:style w:type="paragraph" w:styleId="78">
    <w:name w:val="No Spacing"/>
    <w:basedOn w:val="1"/>
    <w:qFormat/>
    <w:uiPriority w:val="1"/>
    <w:pPr>
      <w:widowControl w:val="0"/>
      <w:jc w:val="both"/>
    </w:pPr>
    <w:rPr>
      <w:kern w:val="2"/>
      <w:sz w:val="21"/>
      <w:szCs w:val="24"/>
      <w:lang w:val="en-US" w:eastAsia="zh-CN" w:bidi="ar-SA"/>
    </w:rPr>
  </w:style>
  <w:style w:type="paragraph" w:customStyle="1" w:styleId="79">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0">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1">
    <w:name w:val="标题 3_0_0"/>
    <w:basedOn w:val="82"/>
    <w:next w:val="80"/>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2">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3">
    <w:name w:val="正文文本缩进_1"/>
    <w:basedOn w:val="84"/>
    <w:qFormat/>
    <w:uiPriority w:val="0"/>
    <w:pPr>
      <w:spacing w:line="500" w:lineRule="exact"/>
      <w:ind w:left="1588" w:leftChars="832" w:firstLine="433" w:firstLineChars="196"/>
    </w:pPr>
    <w:rPr>
      <w:kern w:val="0"/>
      <w:sz w:val="24"/>
    </w:rPr>
  </w:style>
  <w:style w:type="paragraph" w:customStyle="1" w:styleId="84">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正文文本缩进_2"/>
    <w:basedOn w:val="86"/>
    <w:qFormat/>
    <w:uiPriority w:val="0"/>
    <w:pPr>
      <w:spacing w:line="500" w:lineRule="exact"/>
      <w:ind w:left="1588" w:leftChars="832" w:firstLine="433" w:firstLineChars="196"/>
    </w:pPr>
    <w:rPr>
      <w:kern w:val="0"/>
      <w:sz w:val="24"/>
    </w:rPr>
  </w:style>
  <w:style w:type="paragraph" w:customStyle="1" w:styleId="86">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Normal_11"/>
    <w:qFormat/>
    <w:uiPriority w:val="0"/>
    <w:rPr>
      <w:rFonts w:ascii="黑体" w:hAnsi="黑体" w:eastAsia="黑体" w:cs="Times New Roman"/>
      <w:b/>
      <w:sz w:val="32"/>
      <w:szCs w:val="24"/>
      <w:lang w:bidi="ar-SA"/>
    </w:rPr>
  </w:style>
  <w:style w:type="paragraph" w:customStyle="1" w:styleId="88">
    <w:name w:val="正文文本_1"/>
    <w:basedOn w:val="89"/>
    <w:qFormat/>
    <w:uiPriority w:val="0"/>
    <w:pPr>
      <w:spacing w:after="120"/>
    </w:pPr>
    <w:rPr>
      <w:kern w:val="0"/>
      <w:sz w:val="20"/>
    </w:rPr>
  </w:style>
  <w:style w:type="paragraph" w:customStyle="1" w:styleId="89">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纯文本1"/>
    <w:basedOn w:val="1"/>
    <w:qFormat/>
    <w:uiPriority w:val="0"/>
    <w:rPr>
      <w:rFonts w:ascii="宋体" w:hAnsi="Courier New" w:eastAsia="宋体" w:cs="Times New Roman"/>
      <w:szCs w:val="22"/>
    </w:rPr>
  </w:style>
  <w:style w:type="character" w:customStyle="1" w:styleId="91">
    <w:name w:val="font61"/>
    <w:basedOn w:val="34"/>
    <w:qFormat/>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30235</Words>
  <Characters>32317</Characters>
  <Lines>189</Lines>
  <Paragraphs>53</Paragraphs>
  <TotalTime>2</TotalTime>
  <ScaleCrop>false</ScaleCrop>
  <LinksUpToDate>false</LinksUpToDate>
  <CharactersWithSpaces>36164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Administrator</cp:lastModifiedBy>
  <cp:lastPrinted>2023-04-25T08:30:00Z</cp:lastPrinted>
  <dcterms:modified xsi:type="dcterms:W3CDTF">2023-06-05T10:55:48Z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324F67D0132247BAADC948941D86436C_13</vt:lpwstr>
  </property>
</Properties>
</file>