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7"/>
        <w:spacing w:line="360" w:lineRule="auto"/>
        <w:jc w:val="center"/>
        <w:rPr>
          <w:rFonts w:ascii="宋体" w:hAnsi="宋体" w:cs="宋体"/>
          <w:b/>
          <w:bCs/>
          <w:color w:val="auto"/>
          <w:sz w:val="52"/>
          <w:szCs w:val="52"/>
        </w:rPr>
      </w:pPr>
    </w:p>
    <w:p>
      <w:pPr>
        <w:pStyle w:val="47"/>
        <w:spacing w:line="360" w:lineRule="auto"/>
        <w:jc w:val="center"/>
        <w:rPr>
          <w:rFonts w:ascii="宋体" w:hAnsi="宋体" w:cs="宋体"/>
          <w:b/>
          <w:bCs/>
          <w:color w:val="auto"/>
          <w:sz w:val="52"/>
          <w:szCs w:val="52"/>
        </w:rPr>
      </w:pPr>
      <w:r>
        <w:rPr>
          <w:rFonts w:hint="eastAsia" w:ascii="宋体" w:hAnsi="宋体" w:cs="宋体"/>
          <w:b/>
          <w:bCs/>
          <w:color w:val="auto"/>
          <w:sz w:val="52"/>
          <w:szCs w:val="52"/>
        </w:rPr>
        <w:t>2023年库尔勒经济技术开发区</w:t>
      </w:r>
    </w:p>
    <w:p>
      <w:pPr>
        <w:pStyle w:val="47"/>
        <w:spacing w:line="360" w:lineRule="auto"/>
        <w:jc w:val="center"/>
        <w:rPr>
          <w:rFonts w:ascii="宋体" w:hAnsi="宋体" w:cs="宋体"/>
          <w:b/>
          <w:bCs/>
          <w:color w:val="auto"/>
          <w:sz w:val="52"/>
          <w:szCs w:val="52"/>
        </w:rPr>
      </w:pPr>
      <w:r>
        <w:rPr>
          <w:rFonts w:hint="eastAsia" w:ascii="宋体" w:hAnsi="宋体" w:cs="宋体"/>
          <w:b/>
          <w:bCs/>
          <w:color w:val="auto"/>
          <w:sz w:val="52"/>
          <w:szCs w:val="52"/>
        </w:rPr>
        <w:t>园林绿地测绘项目</w:t>
      </w:r>
    </w:p>
    <w:p>
      <w:pPr>
        <w:pStyle w:val="47"/>
        <w:spacing w:line="360" w:lineRule="auto"/>
        <w:jc w:val="center"/>
        <w:rPr>
          <w:rFonts w:ascii="宋体" w:hAnsi="宋体" w:cs="宋体"/>
          <w:b/>
          <w:bCs/>
          <w:color w:val="auto"/>
          <w:sz w:val="28"/>
          <w:szCs w:val="28"/>
        </w:rPr>
      </w:pPr>
    </w:p>
    <w:p>
      <w:pPr>
        <w:pStyle w:val="47"/>
        <w:spacing w:line="360" w:lineRule="auto"/>
        <w:jc w:val="center"/>
        <w:rPr>
          <w:rFonts w:ascii="宋体" w:hAnsi="宋体" w:cs="宋体"/>
          <w:b/>
          <w:bCs/>
          <w:color w:val="auto"/>
          <w:sz w:val="72"/>
          <w:szCs w:val="72"/>
        </w:rPr>
      </w:pPr>
    </w:p>
    <w:p>
      <w:pPr>
        <w:pStyle w:val="47"/>
        <w:spacing w:line="360" w:lineRule="auto"/>
        <w:jc w:val="center"/>
        <w:rPr>
          <w:rFonts w:ascii="宋体" w:hAnsi="宋体" w:cs="宋体"/>
          <w:b/>
          <w:bCs/>
          <w:color w:val="auto"/>
          <w:sz w:val="72"/>
          <w:szCs w:val="72"/>
        </w:rPr>
      </w:pPr>
    </w:p>
    <w:p>
      <w:pPr>
        <w:pStyle w:val="47"/>
        <w:spacing w:line="360" w:lineRule="auto"/>
        <w:jc w:val="center"/>
        <w:outlineLvl w:val="0"/>
        <w:rPr>
          <w:rFonts w:ascii="宋体" w:hAnsi="宋体" w:cs="宋体"/>
          <w:b/>
          <w:bCs/>
          <w:color w:val="auto"/>
          <w:sz w:val="72"/>
          <w:szCs w:val="72"/>
        </w:rPr>
      </w:pPr>
      <w:bookmarkStart w:id="0" w:name="_Toc20930"/>
      <w:bookmarkStart w:id="1" w:name="_Toc137664487"/>
      <w:bookmarkStart w:id="2" w:name="_Toc22441"/>
      <w:bookmarkStart w:id="3" w:name="_Toc13291"/>
      <w:r>
        <w:rPr>
          <w:rFonts w:hint="eastAsia" w:ascii="宋体" w:hAnsi="宋体" w:cs="宋体"/>
          <w:b/>
          <w:bCs/>
          <w:color w:val="auto"/>
          <w:sz w:val="72"/>
          <w:szCs w:val="72"/>
        </w:rPr>
        <w:t>竞争性磋商文件</w:t>
      </w:r>
      <w:bookmarkEnd w:id="0"/>
      <w:bookmarkEnd w:id="1"/>
      <w:bookmarkEnd w:id="2"/>
      <w:bookmarkEnd w:id="3"/>
    </w:p>
    <w:p>
      <w:pPr>
        <w:pStyle w:val="47"/>
        <w:spacing w:line="360" w:lineRule="auto"/>
        <w:jc w:val="center"/>
        <w:rPr>
          <w:rFonts w:ascii="宋体" w:hAnsi="宋体" w:cs="宋体"/>
          <w:b/>
          <w:bCs/>
          <w:color w:val="auto"/>
          <w:sz w:val="36"/>
          <w:szCs w:val="36"/>
        </w:rPr>
      </w:pPr>
    </w:p>
    <w:p>
      <w:pPr>
        <w:pStyle w:val="47"/>
        <w:spacing w:line="360" w:lineRule="auto"/>
        <w:jc w:val="right"/>
        <w:rPr>
          <w:rFonts w:ascii="宋体" w:hAnsi="宋体" w:cs="宋体"/>
          <w:b/>
          <w:bCs/>
          <w:color w:val="auto"/>
          <w:sz w:val="28"/>
          <w:szCs w:val="28"/>
        </w:rPr>
      </w:pPr>
    </w:p>
    <w:p>
      <w:pPr>
        <w:pStyle w:val="47"/>
        <w:spacing w:line="360" w:lineRule="auto"/>
        <w:jc w:val="center"/>
        <w:rPr>
          <w:rFonts w:ascii="宋体" w:hAnsi="宋体" w:cs="宋体"/>
          <w:b/>
          <w:bCs/>
          <w:color w:val="auto"/>
          <w:sz w:val="28"/>
          <w:szCs w:val="28"/>
        </w:rPr>
      </w:pPr>
    </w:p>
    <w:p>
      <w:pPr>
        <w:pStyle w:val="47"/>
        <w:spacing w:line="360" w:lineRule="auto"/>
        <w:jc w:val="center"/>
        <w:rPr>
          <w:rFonts w:ascii="宋体" w:hAnsi="宋体" w:cs="宋体"/>
          <w:b/>
          <w:bCs/>
          <w:color w:val="auto"/>
          <w:sz w:val="28"/>
          <w:szCs w:val="28"/>
        </w:rPr>
      </w:pPr>
      <w:r>
        <w:rPr>
          <w:rFonts w:hint="eastAsia" w:ascii="宋体" w:hAnsi="宋体" w:cs="宋体"/>
          <w:b/>
          <w:bCs/>
          <w:color w:val="auto"/>
          <w:sz w:val="28"/>
          <w:szCs w:val="28"/>
        </w:rPr>
        <w:t>项目编号：ZQZ(CG)-2023-004</w:t>
      </w:r>
    </w:p>
    <w:p>
      <w:pPr>
        <w:pStyle w:val="47"/>
        <w:spacing w:line="360" w:lineRule="auto"/>
        <w:jc w:val="center"/>
        <w:rPr>
          <w:rFonts w:ascii="宋体" w:hAnsi="宋体" w:cs="宋体"/>
          <w:b/>
          <w:bCs/>
          <w:color w:val="auto"/>
          <w:sz w:val="28"/>
          <w:szCs w:val="28"/>
        </w:rPr>
      </w:pPr>
    </w:p>
    <w:p>
      <w:pPr>
        <w:pStyle w:val="47"/>
        <w:spacing w:line="360" w:lineRule="auto"/>
        <w:jc w:val="both"/>
        <w:rPr>
          <w:rFonts w:ascii="宋体" w:hAnsi="宋体" w:cs="宋体"/>
          <w:b/>
          <w:bCs/>
          <w:color w:val="auto"/>
          <w:sz w:val="28"/>
          <w:szCs w:val="28"/>
        </w:rPr>
      </w:pPr>
    </w:p>
    <w:p>
      <w:pPr>
        <w:pStyle w:val="47"/>
        <w:spacing w:line="360" w:lineRule="auto"/>
        <w:jc w:val="center"/>
        <w:rPr>
          <w:rFonts w:ascii="宋体" w:hAnsi="宋体" w:cs="宋体"/>
          <w:b/>
          <w:bCs/>
          <w:color w:val="auto"/>
          <w:sz w:val="28"/>
          <w:szCs w:val="28"/>
        </w:rPr>
      </w:pPr>
    </w:p>
    <w:p>
      <w:pPr>
        <w:pStyle w:val="15"/>
        <w:spacing w:line="720" w:lineRule="auto"/>
        <w:ind w:left="420" w:leftChars="200" w:firstLine="562" w:firstLineChars="200"/>
        <w:rPr>
          <w:rFonts w:ascii="宋体" w:hAnsi="宋体" w:cs="宋体"/>
          <w:b/>
          <w:sz w:val="28"/>
          <w:szCs w:val="28"/>
        </w:rPr>
      </w:pPr>
      <w:r>
        <w:rPr>
          <w:rFonts w:hint="eastAsia" w:ascii="宋体" w:hAnsi="宋体" w:cs="宋体"/>
          <w:b/>
          <w:sz w:val="28"/>
          <w:szCs w:val="28"/>
        </w:rPr>
        <w:t>采购人：库尔勒经济技术开发区园林环卫市政局</w:t>
      </w:r>
    </w:p>
    <w:p>
      <w:pPr>
        <w:pStyle w:val="15"/>
        <w:spacing w:line="720" w:lineRule="auto"/>
        <w:ind w:left="420" w:leftChars="200" w:firstLine="562" w:firstLineChars="200"/>
        <w:rPr>
          <w:rFonts w:ascii="宋体" w:hAnsi="宋体" w:cs="宋体"/>
          <w:b/>
          <w:sz w:val="28"/>
          <w:szCs w:val="28"/>
        </w:rPr>
      </w:pPr>
      <w:r>
        <w:rPr>
          <w:rFonts w:hint="eastAsia" w:ascii="宋体" w:hAnsi="宋体" w:cs="宋体"/>
          <w:b/>
          <w:sz w:val="28"/>
          <w:szCs w:val="28"/>
        </w:rPr>
        <w:t xml:space="preserve">采购代理机构：新疆中企正房地产评估有限公司 </w:t>
      </w:r>
    </w:p>
    <w:p>
      <w:pPr>
        <w:spacing w:line="720" w:lineRule="auto"/>
        <w:jc w:val="center"/>
        <w:rPr>
          <w:rFonts w:ascii="宋体" w:hAnsi="宋体" w:cs="宋体"/>
          <w:b/>
          <w:sz w:val="28"/>
          <w:szCs w:val="28"/>
        </w:rPr>
      </w:pPr>
      <w:r>
        <w:rPr>
          <w:rFonts w:hint="eastAsia" w:ascii="宋体" w:hAnsi="宋体" w:cs="宋体"/>
          <w:b/>
          <w:sz w:val="28"/>
          <w:szCs w:val="28"/>
        </w:rPr>
        <w:t>日期：2023年0</w:t>
      </w:r>
      <w:r>
        <w:rPr>
          <w:rFonts w:ascii="宋体" w:hAnsi="宋体" w:cs="宋体"/>
          <w:b/>
          <w:sz w:val="28"/>
          <w:szCs w:val="28"/>
        </w:rPr>
        <w:t>6</w:t>
      </w:r>
      <w:r>
        <w:rPr>
          <w:rFonts w:hint="eastAsia" w:ascii="宋体" w:hAnsi="宋体" w:cs="宋体"/>
          <w:b/>
          <w:sz w:val="28"/>
          <w:szCs w:val="28"/>
        </w:rPr>
        <w:t>月</w:t>
      </w:r>
    </w:p>
    <w:p>
      <w:pPr>
        <w:spacing w:line="720" w:lineRule="auto"/>
        <w:jc w:val="center"/>
        <w:rPr>
          <w:rFonts w:ascii="宋体" w:hAnsi="宋体" w:cs="宋体"/>
          <w:b/>
          <w:sz w:val="32"/>
          <w:szCs w:val="32"/>
        </w:rPr>
        <w:sectPr>
          <w:headerReference r:id="rId5" w:type="first"/>
          <w:headerReference r:id="rId4" w:type="default"/>
          <w:pgSz w:w="11906" w:h="16838"/>
          <w:pgMar w:top="1418" w:right="1701" w:bottom="1418" w:left="1701" w:header="851" w:footer="992" w:gutter="0"/>
          <w:pgNumType w:start="1"/>
          <w:cols w:space="720" w:num="1"/>
          <w:docGrid w:type="lines" w:linePitch="312" w:charSpace="0"/>
        </w:sectPr>
      </w:pPr>
    </w:p>
    <w:p>
      <w:pPr>
        <w:spacing w:line="360" w:lineRule="auto"/>
        <w:jc w:val="center"/>
        <w:rPr>
          <w:b/>
          <w:sz w:val="40"/>
          <w:szCs w:val="36"/>
        </w:rPr>
      </w:pPr>
      <w:bookmarkStart w:id="4" w:name="_Toc26663"/>
      <w:bookmarkStart w:id="5" w:name="_Toc8757"/>
      <w:bookmarkStart w:id="6" w:name="_Toc7471"/>
      <w:bookmarkStart w:id="7" w:name="_Toc24631"/>
      <w:bookmarkStart w:id="8" w:name="_Toc8184"/>
      <w:r>
        <w:rPr>
          <w:rFonts w:ascii="宋体" w:hAnsi="宋体"/>
          <w:b/>
          <w:bCs/>
          <w:sz w:val="40"/>
          <w:szCs w:val="36"/>
        </w:rPr>
        <w:t>目录</w:t>
      </w:r>
      <w:r>
        <w:rPr>
          <w:rFonts w:hint="eastAsia" w:ascii="宋体" w:hAnsi="宋体" w:cs="宋体"/>
          <w:b/>
          <w:sz w:val="44"/>
          <w:szCs w:val="44"/>
        </w:rPr>
        <w:fldChar w:fldCharType="begin"/>
      </w:r>
      <w:r>
        <w:rPr>
          <w:rFonts w:hint="eastAsia" w:ascii="宋体" w:hAnsi="宋体" w:cs="宋体"/>
          <w:b/>
          <w:sz w:val="44"/>
          <w:szCs w:val="44"/>
        </w:rPr>
        <w:instrText xml:space="preserve">TOC \o "1-2" \h \u </w:instrText>
      </w:r>
      <w:r>
        <w:rPr>
          <w:rFonts w:hint="eastAsia" w:ascii="宋体" w:hAnsi="宋体" w:cs="宋体"/>
          <w:b/>
          <w:sz w:val="44"/>
          <w:szCs w:val="44"/>
        </w:rPr>
        <w:fldChar w:fldCharType="separate"/>
      </w:r>
      <w:r>
        <w:fldChar w:fldCharType="begin"/>
      </w:r>
      <w:r>
        <w:instrText xml:space="preserve"> HYPERLINK \l "_Toc137664487" </w:instrText>
      </w:r>
      <w:r>
        <w:fldChar w:fldCharType="separate"/>
      </w:r>
      <w:r>
        <w:fldChar w:fldCharType="end"/>
      </w:r>
    </w:p>
    <w:p>
      <w:pPr>
        <w:pStyle w:val="24"/>
        <w:tabs>
          <w:tab w:val="right" w:leader="dot" w:pos="8494"/>
        </w:tabs>
        <w:spacing w:line="360" w:lineRule="auto"/>
        <w:rPr>
          <w:rFonts w:asciiTheme="minorHAnsi" w:hAnsiTheme="minorHAnsi" w:eastAsiaTheme="minorEastAsia" w:cstheme="minorBidi"/>
          <w:b/>
          <w:szCs w:val="22"/>
          <w14:ligatures w14:val="standardContextual"/>
        </w:rPr>
      </w:pPr>
      <w:r>
        <w:fldChar w:fldCharType="begin"/>
      </w:r>
      <w:r>
        <w:instrText xml:space="preserve"> HYPERLINK \l "_Toc137664488" </w:instrText>
      </w:r>
      <w:r>
        <w:fldChar w:fldCharType="separate"/>
      </w:r>
      <w:r>
        <w:rPr>
          <w:rStyle w:val="38"/>
          <w:rFonts w:hint="default" w:ascii="宋体" w:hAnsi="宋体" w:cs="宋体"/>
          <w:b/>
        </w:rPr>
        <w:t>第一章 竞争性磋商公告</w:t>
      </w:r>
      <w:r>
        <w:rPr>
          <w:b/>
        </w:rPr>
        <w:tab/>
      </w:r>
      <w:r>
        <w:rPr>
          <w:b/>
        </w:rPr>
        <w:fldChar w:fldCharType="begin"/>
      </w:r>
      <w:r>
        <w:rPr>
          <w:b/>
        </w:rPr>
        <w:instrText xml:space="preserve"> PAGEREF _Toc137664488 \h </w:instrText>
      </w:r>
      <w:r>
        <w:rPr>
          <w:b/>
        </w:rPr>
        <w:fldChar w:fldCharType="separate"/>
      </w:r>
      <w:r>
        <w:rPr>
          <w:b/>
        </w:rPr>
        <w:t>- 2 -</w:t>
      </w:r>
      <w:r>
        <w:rPr>
          <w:b/>
        </w:rPr>
        <w:fldChar w:fldCharType="end"/>
      </w:r>
      <w:r>
        <w:rPr>
          <w:b/>
        </w:rPr>
        <w:fldChar w:fldCharType="end"/>
      </w:r>
    </w:p>
    <w:p>
      <w:pPr>
        <w:pStyle w:val="24"/>
        <w:tabs>
          <w:tab w:val="right" w:leader="dot" w:pos="8494"/>
        </w:tabs>
        <w:spacing w:line="360" w:lineRule="auto"/>
        <w:rPr>
          <w:rFonts w:asciiTheme="minorHAnsi" w:hAnsiTheme="minorHAnsi" w:eastAsiaTheme="minorEastAsia" w:cstheme="minorBidi"/>
          <w:b/>
          <w:szCs w:val="22"/>
          <w14:ligatures w14:val="standardContextual"/>
        </w:rPr>
      </w:pPr>
      <w:r>
        <w:fldChar w:fldCharType="begin"/>
      </w:r>
      <w:r>
        <w:instrText xml:space="preserve"> HYPERLINK \l "_Toc137664497" </w:instrText>
      </w:r>
      <w:r>
        <w:fldChar w:fldCharType="separate"/>
      </w:r>
      <w:r>
        <w:rPr>
          <w:rStyle w:val="38"/>
          <w:rFonts w:hint="default" w:ascii="宋体" w:hAnsi="宋体" w:cs="宋体"/>
          <w:b/>
        </w:rPr>
        <w:t>第二章 供应商须知</w:t>
      </w:r>
      <w:r>
        <w:rPr>
          <w:b/>
        </w:rPr>
        <w:tab/>
      </w:r>
      <w:r>
        <w:rPr>
          <w:b/>
        </w:rPr>
        <w:fldChar w:fldCharType="begin"/>
      </w:r>
      <w:r>
        <w:rPr>
          <w:b/>
        </w:rPr>
        <w:instrText xml:space="preserve"> PAGEREF _Toc137664497 \h </w:instrText>
      </w:r>
      <w:r>
        <w:rPr>
          <w:b/>
        </w:rPr>
        <w:fldChar w:fldCharType="separate"/>
      </w:r>
      <w:r>
        <w:rPr>
          <w:b/>
        </w:rPr>
        <w:t>- 5 -</w:t>
      </w:r>
      <w:r>
        <w:rPr>
          <w:b/>
        </w:rPr>
        <w:fldChar w:fldCharType="end"/>
      </w:r>
      <w:r>
        <w:rPr>
          <w:b/>
        </w:rPr>
        <w:fldChar w:fldCharType="end"/>
      </w:r>
    </w:p>
    <w:p>
      <w:pPr>
        <w:pStyle w:val="24"/>
        <w:tabs>
          <w:tab w:val="right" w:leader="dot" w:pos="8494"/>
        </w:tabs>
        <w:spacing w:line="360" w:lineRule="auto"/>
        <w:ind w:firstLine="420" w:firstLineChars="200"/>
        <w:rPr>
          <w:rFonts w:asciiTheme="minorHAnsi" w:hAnsiTheme="minorHAnsi" w:eastAsiaTheme="minorEastAsia" w:cstheme="minorBidi"/>
          <w:b/>
          <w:szCs w:val="22"/>
          <w14:ligatures w14:val="standardContextual"/>
        </w:rPr>
      </w:pPr>
      <w:r>
        <w:fldChar w:fldCharType="begin"/>
      </w:r>
      <w:r>
        <w:instrText xml:space="preserve"> HYPERLINK \l "_Toc137664498" </w:instrText>
      </w:r>
      <w:r>
        <w:fldChar w:fldCharType="separate"/>
      </w:r>
      <w:r>
        <w:rPr>
          <w:rStyle w:val="38"/>
          <w:rFonts w:hint="default" w:ascii="宋体" w:hAnsi="宋体" w:eastAsia="宋体" w:cs="宋体"/>
          <w:b/>
        </w:rPr>
        <w:t>供应商须知前附表</w:t>
      </w:r>
      <w:r>
        <w:rPr>
          <w:b/>
        </w:rPr>
        <w:tab/>
      </w:r>
      <w:r>
        <w:rPr>
          <w:b/>
        </w:rPr>
        <w:fldChar w:fldCharType="begin"/>
      </w:r>
      <w:r>
        <w:rPr>
          <w:b/>
        </w:rPr>
        <w:instrText xml:space="preserve"> PAGEREF _Toc137664498 \h </w:instrText>
      </w:r>
      <w:r>
        <w:rPr>
          <w:b/>
        </w:rPr>
        <w:fldChar w:fldCharType="separate"/>
      </w:r>
      <w:r>
        <w:rPr>
          <w:b/>
        </w:rPr>
        <w:t>- 5 -</w:t>
      </w:r>
      <w:r>
        <w:rPr>
          <w:b/>
        </w:rPr>
        <w:fldChar w:fldCharType="end"/>
      </w:r>
      <w:r>
        <w:rPr>
          <w:b/>
        </w:rPr>
        <w:fldChar w:fldCharType="end"/>
      </w:r>
    </w:p>
    <w:p>
      <w:pPr>
        <w:pStyle w:val="24"/>
        <w:tabs>
          <w:tab w:val="right" w:leader="dot" w:pos="8494"/>
        </w:tabs>
        <w:spacing w:line="360" w:lineRule="auto"/>
        <w:ind w:firstLine="420" w:firstLineChars="200"/>
        <w:rPr>
          <w:rFonts w:asciiTheme="minorHAnsi" w:hAnsiTheme="minorHAnsi" w:eastAsiaTheme="minorEastAsia" w:cstheme="minorBidi"/>
          <w:b/>
          <w:szCs w:val="22"/>
          <w14:ligatures w14:val="standardContextual"/>
        </w:rPr>
      </w:pPr>
      <w:r>
        <w:fldChar w:fldCharType="begin"/>
      </w:r>
      <w:r>
        <w:instrText xml:space="preserve"> HYPERLINK \l "_Toc137664499" </w:instrText>
      </w:r>
      <w:r>
        <w:fldChar w:fldCharType="separate"/>
      </w:r>
      <w:r>
        <w:rPr>
          <w:rStyle w:val="38"/>
          <w:rFonts w:hint="default" w:ascii="宋体" w:hAnsi="宋体" w:eastAsia="宋体" w:cs="宋体"/>
          <w:b/>
        </w:rPr>
        <w:t>供应商须知正文部分</w:t>
      </w:r>
      <w:r>
        <w:rPr>
          <w:b/>
        </w:rPr>
        <w:tab/>
      </w:r>
      <w:r>
        <w:rPr>
          <w:b/>
        </w:rPr>
        <w:fldChar w:fldCharType="begin"/>
      </w:r>
      <w:r>
        <w:rPr>
          <w:b/>
        </w:rPr>
        <w:instrText xml:space="preserve"> PAGEREF _Toc137664499 \h </w:instrText>
      </w:r>
      <w:r>
        <w:rPr>
          <w:b/>
        </w:rPr>
        <w:fldChar w:fldCharType="separate"/>
      </w:r>
      <w:r>
        <w:rPr>
          <w:b/>
        </w:rPr>
        <w:t>- 10 -</w:t>
      </w:r>
      <w:r>
        <w:rPr>
          <w:b/>
        </w:rPr>
        <w:fldChar w:fldCharType="end"/>
      </w:r>
      <w:r>
        <w:rPr>
          <w:b/>
        </w:rPr>
        <w:fldChar w:fldCharType="end"/>
      </w:r>
    </w:p>
    <w:p>
      <w:pPr>
        <w:pStyle w:val="24"/>
        <w:tabs>
          <w:tab w:val="right" w:leader="dot" w:pos="8494"/>
        </w:tabs>
        <w:spacing w:line="360" w:lineRule="auto"/>
        <w:rPr>
          <w:rFonts w:asciiTheme="minorHAnsi" w:hAnsiTheme="minorHAnsi" w:eastAsiaTheme="minorEastAsia" w:cstheme="minorBidi"/>
          <w:b/>
          <w:szCs w:val="22"/>
          <w14:ligatures w14:val="standardContextual"/>
        </w:rPr>
      </w:pPr>
      <w:r>
        <w:fldChar w:fldCharType="begin"/>
      </w:r>
      <w:r>
        <w:instrText xml:space="preserve"> HYPERLINK \l "_Toc137664508" </w:instrText>
      </w:r>
      <w:r>
        <w:fldChar w:fldCharType="separate"/>
      </w:r>
      <w:r>
        <w:rPr>
          <w:rStyle w:val="38"/>
          <w:rFonts w:hint="default" w:ascii="宋体" w:hAnsi="宋体" w:cs="宋体"/>
          <w:b/>
        </w:rPr>
        <w:t>第三章 项目概况</w:t>
      </w:r>
      <w:r>
        <w:rPr>
          <w:b/>
        </w:rPr>
        <w:tab/>
      </w:r>
      <w:r>
        <w:rPr>
          <w:b/>
        </w:rPr>
        <w:fldChar w:fldCharType="begin"/>
      </w:r>
      <w:r>
        <w:rPr>
          <w:b/>
        </w:rPr>
        <w:instrText xml:space="preserve"> PAGEREF _Toc137664508 \h </w:instrText>
      </w:r>
      <w:r>
        <w:rPr>
          <w:b/>
        </w:rPr>
        <w:fldChar w:fldCharType="separate"/>
      </w:r>
      <w:r>
        <w:rPr>
          <w:b/>
        </w:rPr>
        <w:t>- 29 -</w:t>
      </w:r>
      <w:r>
        <w:rPr>
          <w:b/>
        </w:rPr>
        <w:fldChar w:fldCharType="end"/>
      </w:r>
      <w:r>
        <w:rPr>
          <w:b/>
        </w:rPr>
        <w:fldChar w:fldCharType="end"/>
      </w:r>
    </w:p>
    <w:p>
      <w:pPr>
        <w:pStyle w:val="24"/>
        <w:tabs>
          <w:tab w:val="right" w:leader="dot" w:pos="8494"/>
        </w:tabs>
        <w:spacing w:line="360" w:lineRule="auto"/>
        <w:rPr>
          <w:rFonts w:asciiTheme="minorHAnsi" w:hAnsiTheme="minorHAnsi" w:eastAsiaTheme="minorEastAsia" w:cstheme="minorBidi"/>
          <w:b/>
          <w:szCs w:val="22"/>
          <w14:ligatures w14:val="standardContextual"/>
        </w:rPr>
      </w:pPr>
      <w:r>
        <w:fldChar w:fldCharType="begin"/>
      </w:r>
      <w:r>
        <w:instrText xml:space="preserve"> HYPERLINK \l "_Toc137664509" </w:instrText>
      </w:r>
      <w:r>
        <w:fldChar w:fldCharType="separate"/>
      </w:r>
      <w:r>
        <w:rPr>
          <w:rStyle w:val="38"/>
          <w:rFonts w:hint="default" w:ascii="宋体" w:hAnsi="宋体" w:cs="宋体"/>
          <w:b/>
        </w:rPr>
        <w:t>第四章 合同（以最终签订合同为准）</w:t>
      </w:r>
      <w:r>
        <w:rPr>
          <w:b/>
        </w:rPr>
        <w:tab/>
      </w:r>
      <w:r>
        <w:rPr>
          <w:b/>
        </w:rPr>
        <w:fldChar w:fldCharType="begin"/>
      </w:r>
      <w:r>
        <w:rPr>
          <w:b/>
        </w:rPr>
        <w:instrText xml:space="preserve"> PAGEREF _Toc137664509 \h </w:instrText>
      </w:r>
      <w:r>
        <w:rPr>
          <w:b/>
        </w:rPr>
        <w:fldChar w:fldCharType="separate"/>
      </w:r>
      <w:r>
        <w:rPr>
          <w:b/>
        </w:rPr>
        <w:t>- 30 -</w:t>
      </w:r>
      <w:r>
        <w:rPr>
          <w:b/>
        </w:rPr>
        <w:fldChar w:fldCharType="end"/>
      </w:r>
      <w:r>
        <w:rPr>
          <w:b/>
        </w:rPr>
        <w:fldChar w:fldCharType="end"/>
      </w:r>
    </w:p>
    <w:p>
      <w:pPr>
        <w:pStyle w:val="24"/>
        <w:tabs>
          <w:tab w:val="right" w:leader="dot" w:pos="8494"/>
        </w:tabs>
        <w:spacing w:line="360" w:lineRule="auto"/>
        <w:rPr>
          <w:rFonts w:asciiTheme="minorHAnsi" w:hAnsiTheme="minorHAnsi" w:eastAsiaTheme="minorEastAsia" w:cstheme="minorBidi"/>
          <w:b/>
          <w:szCs w:val="22"/>
          <w14:ligatures w14:val="standardContextual"/>
        </w:rPr>
      </w:pPr>
      <w:r>
        <w:fldChar w:fldCharType="begin"/>
      </w:r>
      <w:r>
        <w:instrText xml:space="preserve"> HYPERLINK \l "_Toc137664511" </w:instrText>
      </w:r>
      <w:r>
        <w:fldChar w:fldCharType="separate"/>
      </w:r>
      <w:r>
        <w:rPr>
          <w:rStyle w:val="38"/>
          <w:rFonts w:hint="default" w:eastAsia="宋体"/>
          <w:b/>
        </w:rPr>
        <w:t>第五章 主要响应文件的格式及其内容</w:t>
      </w:r>
      <w:r>
        <w:rPr>
          <w:b/>
        </w:rPr>
        <w:tab/>
      </w:r>
      <w:r>
        <w:rPr>
          <w:b/>
        </w:rPr>
        <w:fldChar w:fldCharType="begin"/>
      </w:r>
      <w:r>
        <w:rPr>
          <w:b/>
        </w:rPr>
        <w:instrText xml:space="preserve"> PAGEREF _Toc137664511 \h </w:instrText>
      </w:r>
      <w:r>
        <w:rPr>
          <w:b/>
        </w:rPr>
        <w:fldChar w:fldCharType="separate"/>
      </w:r>
      <w:r>
        <w:rPr>
          <w:b/>
        </w:rPr>
        <w:t>- 33 -</w:t>
      </w:r>
      <w:r>
        <w:rPr>
          <w:b/>
        </w:rPr>
        <w:fldChar w:fldCharType="end"/>
      </w:r>
      <w:r>
        <w:rPr>
          <w:b/>
        </w:rPr>
        <w:fldChar w:fldCharType="end"/>
      </w:r>
    </w:p>
    <w:p>
      <w:pPr>
        <w:pStyle w:val="24"/>
        <w:tabs>
          <w:tab w:val="right" w:leader="dot" w:pos="8494"/>
        </w:tabs>
        <w:spacing w:line="360" w:lineRule="auto"/>
        <w:ind w:firstLine="420" w:firstLineChars="200"/>
        <w:jc w:val="left"/>
        <w:rPr>
          <w:rStyle w:val="38"/>
          <w:rFonts w:hint="default" w:ascii="宋体" w:hAnsi="宋体" w:eastAsia="宋体" w:cs="宋体"/>
          <w:b/>
        </w:rPr>
      </w:pPr>
      <w:r>
        <w:fldChar w:fldCharType="begin"/>
      </w:r>
      <w:r>
        <w:instrText xml:space="preserve"> HYPERLINK \l "_Toc137664512" </w:instrText>
      </w:r>
      <w:r>
        <w:fldChar w:fldCharType="separate"/>
      </w:r>
      <w:r>
        <w:rPr>
          <w:rStyle w:val="38"/>
          <w:rFonts w:hint="default" w:ascii="宋体" w:hAnsi="宋体" w:eastAsia="宋体" w:cs="宋体"/>
          <w:b/>
        </w:rPr>
        <w:t>附件1:</w:t>
      </w:r>
      <w:r>
        <w:rPr>
          <w:rStyle w:val="38"/>
          <w:rFonts w:hint="default" w:ascii="宋体" w:hAnsi="宋体" w:eastAsia="宋体" w:cs="宋体"/>
          <w:b/>
        </w:rPr>
        <w:fldChar w:fldCharType="end"/>
      </w:r>
      <w:r>
        <w:fldChar w:fldCharType="begin"/>
      </w:r>
      <w:r>
        <w:instrText xml:space="preserve"> HYPERLINK \l "_Toc137664513" </w:instrText>
      </w:r>
      <w:r>
        <w:fldChar w:fldCharType="separate"/>
      </w:r>
      <w:r>
        <w:rPr>
          <w:rStyle w:val="38"/>
          <w:rFonts w:hint="default" w:ascii="宋体" w:hAnsi="宋体" w:eastAsia="宋体" w:cs="宋体"/>
          <w:b/>
        </w:rPr>
        <w:t>投 标 函</w:t>
      </w:r>
      <w:r>
        <w:rPr>
          <w:rStyle w:val="38"/>
          <w:rFonts w:hint="default" w:ascii="宋体" w:hAnsi="宋体" w:eastAsia="宋体" w:cs="宋体"/>
          <w:b/>
        </w:rPr>
        <w:tab/>
      </w:r>
      <w:r>
        <w:rPr>
          <w:rStyle w:val="38"/>
          <w:rFonts w:hint="default" w:ascii="宋体" w:hAnsi="宋体" w:eastAsia="宋体" w:cs="宋体"/>
          <w:b/>
        </w:rPr>
        <w:fldChar w:fldCharType="begin"/>
      </w:r>
      <w:r>
        <w:rPr>
          <w:rStyle w:val="38"/>
          <w:rFonts w:hint="default" w:ascii="宋体" w:hAnsi="宋体" w:eastAsia="宋体" w:cs="宋体"/>
          <w:b/>
        </w:rPr>
        <w:instrText xml:space="preserve"> PAGEREF _Toc137664513 \h </w:instrText>
      </w:r>
      <w:r>
        <w:rPr>
          <w:rStyle w:val="38"/>
          <w:rFonts w:hint="default" w:ascii="宋体" w:hAnsi="宋体" w:eastAsia="宋体" w:cs="宋体"/>
          <w:b/>
        </w:rPr>
        <w:fldChar w:fldCharType="separate"/>
      </w:r>
      <w:r>
        <w:rPr>
          <w:rStyle w:val="38"/>
          <w:rFonts w:hint="default" w:ascii="宋体" w:hAnsi="宋体" w:eastAsia="宋体" w:cs="宋体"/>
          <w:b/>
        </w:rPr>
        <w:t>- 35 -</w:t>
      </w:r>
      <w:r>
        <w:rPr>
          <w:rStyle w:val="38"/>
          <w:rFonts w:hint="default" w:ascii="宋体" w:hAnsi="宋体" w:eastAsia="宋体" w:cs="宋体"/>
          <w:b/>
        </w:rPr>
        <w:fldChar w:fldCharType="end"/>
      </w:r>
      <w:r>
        <w:rPr>
          <w:rStyle w:val="38"/>
          <w:rFonts w:hint="default" w:ascii="宋体" w:hAnsi="宋体" w:eastAsia="宋体" w:cs="宋体"/>
          <w:b/>
        </w:rPr>
        <w:fldChar w:fldCharType="end"/>
      </w:r>
    </w:p>
    <w:p>
      <w:pPr>
        <w:pStyle w:val="24"/>
        <w:tabs>
          <w:tab w:val="right" w:leader="dot" w:pos="8494"/>
        </w:tabs>
        <w:spacing w:line="360" w:lineRule="auto"/>
        <w:ind w:firstLine="420" w:firstLineChars="200"/>
        <w:jc w:val="left"/>
        <w:rPr>
          <w:rStyle w:val="38"/>
          <w:rFonts w:hint="default" w:ascii="宋体" w:hAnsi="宋体" w:eastAsia="宋体" w:cs="宋体"/>
          <w:b/>
        </w:rPr>
      </w:pPr>
      <w:r>
        <w:fldChar w:fldCharType="begin"/>
      </w:r>
      <w:r>
        <w:instrText xml:space="preserve"> HYPERLINK \l "_Toc137664514" </w:instrText>
      </w:r>
      <w:r>
        <w:fldChar w:fldCharType="separate"/>
      </w:r>
      <w:r>
        <w:rPr>
          <w:rStyle w:val="38"/>
          <w:rFonts w:hint="default" w:ascii="宋体" w:hAnsi="宋体" w:eastAsia="宋体" w:cs="宋体"/>
          <w:b/>
        </w:rPr>
        <w:t>附件2:</w:t>
      </w:r>
      <w:r>
        <w:rPr>
          <w:rStyle w:val="38"/>
          <w:rFonts w:hint="default" w:ascii="宋体" w:hAnsi="宋体" w:eastAsia="宋体" w:cs="宋体"/>
          <w:b/>
        </w:rPr>
        <w:fldChar w:fldCharType="end"/>
      </w:r>
      <w:r>
        <w:fldChar w:fldCharType="begin"/>
      </w:r>
      <w:r>
        <w:instrText xml:space="preserve"> HYPERLINK \l "_Toc137664515" </w:instrText>
      </w:r>
      <w:r>
        <w:fldChar w:fldCharType="separate"/>
      </w:r>
      <w:r>
        <w:rPr>
          <w:rStyle w:val="38"/>
          <w:rFonts w:hint="default" w:ascii="宋体" w:hAnsi="宋体" w:eastAsia="宋体" w:cs="宋体"/>
          <w:b/>
        </w:rPr>
        <w:t>法定代表人身份证明书</w:t>
      </w:r>
      <w:r>
        <w:rPr>
          <w:rStyle w:val="38"/>
          <w:rFonts w:hint="default" w:ascii="宋体" w:hAnsi="宋体" w:eastAsia="宋体" w:cs="宋体"/>
          <w:b/>
        </w:rPr>
        <w:tab/>
      </w:r>
      <w:r>
        <w:rPr>
          <w:rStyle w:val="38"/>
          <w:rFonts w:hint="default" w:ascii="宋体" w:hAnsi="宋体" w:eastAsia="宋体" w:cs="宋体"/>
          <w:b/>
        </w:rPr>
        <w:fldChar w:fldCharType="begin"/>
      </w:r>
      <w:r>
        <w:rPr>
          <w:rStyle w:val="38"/>
          <w:rFonts w:hint="default" w:ascii="宋体" w:hAnsi="宋体" w:eastAsia="宋体" w:cs="宋体"/>
          <w:b/>
        </w:rPr>
        <w:instrText xml:space="preserve"> PAGEREF _Toc137664515 \h </w:instrText>
      </w:r>
      <w:r>
        <w:rPr>
          <w:rStyle w:val="38"/>
          <w:rFonts w:hint="default" w:ascii="宋体" w:hAnsi="宋体" w:eastAsia="宋体" w:cs="宋体"/>
          <w:b/>
        </w:rPr>
        <w:fldChar w:fldCharType="separate"/>
      </w:r>
      <w:r>
        <w:rPr>
          <w:rStyle w:val="38"/>
          <w:rFonts w:hint="default" w:ascii="宋体" w:hAnsi="宋体" w:eastAsia="宋体" w:cs="宋体"/>
          <w:b/>
        </w:rPr>
        <w:t>- 36 -</w:t>
      </w:r>
      <w:r>
        <w:rPr>
          <w:rStyle w:val="38"/>
          <w:rFonts w:hint="default" w:ascii="宋体" w:hAnsi="宋体" w:eastAsia="宋体" w:cs="宋体"/>
          <w:b/>
        </w:rPr>
        <w:fldChar w:fldCharType="end"/>
      </w:r>
      <w:r>
        <w:rPr>
          <w:rStyle w:val="38"/>
          <w:rFonts w:hint="default" w:ascii="宋体" w:hAnsi="宋体" w:eastAsia="宋体" w:cs="宋体"/>
          <w:b/>
        </w:rPr>
        <w:fldChar w:fldCharType="end"/>
      </w:r>
    </w:p>
    <w:p>
      <w:pPr>
        <w:pStyle w:val="24"/>
        <w:tabs>
          <w:tab w:val="right" w:leader="dot" w:pos="8494"/>
        </w:tabs>
        <w:spacing w:line="360" w:lineRule="auto"/>
        <w:ind w:firstLine="420" w:firstLineChars="200"/>
        <w:jc w:val="left"/>
        <w:rPr>
          <w:rStyle w:val="38"/>
          <w:rFonts w:hint="default" w:ascii="宋体" w:hAnsi="宋体" w:eastAsia="宋体" w:cs="宋体"/>
          <w:b/>
        </w:rPr>
      </w:pPr>
      <w:r>
        <w:fldChar w:fldCharType="begin"/>
      </w:r>
      <w:r>
        <w:instrText xml:space="preserve"> HYPERLINK \l "_Toc137664516" </w:instrText>
      </w:r>
      <w:r>
        <w:fldChar w:fldCharType="separate"/>
      </w:r>
      <w:r>
        <w:rPr>
          <w:rStyle w:val="38"/>
          <w:rFonts w:hint="default" w:ascii="宋体" w:hAnsi="宋体" w:eastAsia="宋体" w:cs="宋体"/>
          <w:b/>
        </w:rPr>
        <w:t>授权委托书</w:t>
      </w:r>
      <w:r>
        <w:rPr>
          <w:rStyle w:val="38"/>
          <w:rFonts w:hint="default" w:ascii="宋体" w:hAnsi="宋体" w:eastAsia="宋体" w:cs="宋体"/>
          <w:b/>
        </w:rPr>
        <w:tab/>
      </w:r>
      <w:r>
        <w:rPr>
          <w:rStyle w:val="38"/>
          <w:rFonts w:hint="default" w:ascii="宋体" w:hAnsi="宋体" w:eastAsia="宋体" w:cs="宋体"/>
          <w:b/>
        </w:rPr>
        <w:fldChar w:fldCharType="begin"/>
      </w:r>
      <w:r>
        <w:rPr>
          <w:rStyle w:val="38"/>
          <w:rFonts w:hint="default" w:ascii="宋体" w:hAnsi="宋体" w:eastAsia="宋体" w:cs="宋体"/>
          <w:b/>
        </w:rPr>
        <w:instrText xml:space="preserve"> PAGEREF _Toc137664516 \h </w:instrText>
      </w:r>
      <w:r>
        <w:rPr>
          <w:rStyle w:val="38"/>
          <w:rFonts w:hint="default" w:ascii="宋体" w:hAnsi="宋体" w:eastAsia="宋体" w:cs="宋体"/>
          <w:b/>
        </w:rPr>
        <w:fldChar w:fldCharType="separate"/>
      </w:r>
      <w:r>
        <w:rPr>
          <w:rStyle w:val="38"/>
          <w:rFonts w:hint="default" w:ascii="宋体" w:hAnsi="宋体" w:eastAsia="宋体" w:cs="宋体"/>
          <w:b/>
        </w:rPr>
        <w:t>- 37 -</w:t>
      </w:r>
      <w:r>
        <w:rPr>
          <w:rStyle w:val="38"/>
          <w:rFonts w:hint="default" w:ascii="宋体" w:hAnsi="宋体" w:eastAsia="宋体" w:cs="宋体"/>
          <w:b/>
        </w:rPr>
        <w:fldChar w:fldCharType="end"/>
      </w:r>
      <w:r>
        <w:rPr>
          <w:rStyle w:val="38"/>
          <w:rFonts w:hint="default" w:ascii="宋体" w:hAnsi="宋体" w:eastAsia="宋体" w:cs="宋体"/>
          <w:b/>
        </w:rPr>
        <w:fldChar w:fldCharType="end"/>
      </w:r>
    </w:p>
    <w:p>
      <w:pPr>
        <w:pStyle w:val="24"/>
        <w:tabs>
          <w:tab w:val="right" w:leader="dot" w:pos="8494"/>
        </w:tabs>
        <w:spacing w:line="360" w:lineRule="auto"/>
        <w:ind w:firstLine="420" w:firstLineChars="200"/>
        <w:jc w:val="left"/>
        <w:rPr>
          <w:rStyle w:val="38"/>
          <w:rFonts w:hint="default" w:ascii="宋体" w:hAnsi="宋体" w:eastAsia="宋体" w:cs="宋体"/>
          <w:b/>
        </w:rPr>
      </w:pPr>
      <w:r>
        <w:fldChar w:fldCharType="begin"/>
      </w:r>
      <w:r>
        <w:instrText xml:space="preserve"> HYPERLINK \l "_Toc137664517" </w:instrText>
      </w:r>
      <w:r>
        <w:fldChar w:fldCharType="separate"/>
      </w:r>
      <w:r>
        <w:rPr>
          <w:rStyle w:val="38"/>
          <w:rFonts w:hint="default" w:ascii="宋体" w:hAnsi="宋体" w:eastAsia="宋体" w:cs="宋体"/>
          <w:b/>
        </w:rPr>
        <w:t>附件3:</w:t>
      </w:r>
      <w:r>
        <w:rPr>
          <w:rStyle w:val="38"/>
          <w:rFonts w:hint="default" w:ascii="宋体" w:hAnsi="宋体" w:eastAsia="宋体" w:cs="宋体"/>
          <w:b/>
        </w:rPr>
        <w:fldChar w:fldCharType="end"/>
      </w:r>
      <w:r>
        <w:fldChar w:fldCharType="begin"/>
      </w:r>
      <w:r>
        <w:instrText xml:space="preserve"> HYPERLINK \l "_Toc137664518" </w:instrText>
      </w:r>
      <w:r>
        <w:fldChar w:fldCharType="separate"/>
      </w:r>
      <w:r>
        <w:rPr>
          <w:rStyle w:val="38"/>
          <w:rFonts w:hint="default" w:ascii="宋体" w:hAnsi="宋体" w:eastAsia="宋体" w:cs="宋体"/>
          <w:b/>
        </w:rPr>
        <w:t>投标一览表</w:t>
      </w:r>
      <w:r>
        <w:rPr>
          <w:rStyle w:val="38"/>
          <w:rFonts w:hint="default" w:ascii="宋体" w:hAnsi="宋体" w:eastAsia="宋体" w:cs="宋体"/>
          <w:b/>
        </w:rPr>
        <w:tab/>
      </w:r>
      <w:r>
        <w:rPr>
          <w:rStyle w:val="38"/>
          <w:rFonts w:hint="default" w:ascii="宋体" w:hAnsi="宋体" w:eastAsia="宋体" w:cs="宋体"/>
          <w:b/>
        </w:rPr>
        <w:fldChar w:fldCharType="begin"/>
      </w:r>
      <w:r>
        <w:rPr>
          <w:rStyle w:val="38"/>
          <w:rFonts w:hint="default" w:ascii="宋体" w:hAnsi="宋体" w:eastAsia="宋体" w:cs="宋体"/>
          <w:b/>
        </w:rPr>
        <w:instrText xml:space="preserve"> PAGEREF _Toc137664518 \h </w:instrText>
      </w:r>
      <w:r>
        <w:rPr>
          <w:rStyle w:val="38"/>
          <w:rFonts w:hint="default" w:ascii="宋体" w:hAnsi="宋体" w:eastAsia="宋体" w:cs="宋体"/>
          <w:b/>
        </w:rPr>
        <w:fldChar w:fldCharType="separate"/>
      </w:r>
      <w:r>
        <w:rPr>
          <w:rStyle w:val="38"/>
          <w:rFonts w:hint="default" w:ascii="宋体" w:hAnsi="宋体" w:eastAsia="宋体" w:cs="宋体"/>
          <w:b/>
        </w:rPr>
        <w:t>- 38 -</w:t>
      </w:r>
      <w:r>
        <w:rPr>
          <w:rStyle w:val="38"/>
          <w:rFonts w:hint="default" w:ascii="宋体" w:hAnsi="宋体" w:eastAsia="宋体" w:cs="宋体"/>
          <w:b/>
        </w:rPr>
        <w:fldChar w:fldCharType="end"/>
      </w:r>
      <w:r>
        <w:rPr>
          <w:rStyle w:val="38"/>
          <w:rFonts w:hint="default" w:ascii="宋体" w:hAnsi="宋体" w:eastAsia="宋体" w:cs="宋体"/>
          <w:b/>
        </w:rPr>
        <w:fldChar w:fldCharType="end"/>
      </w:r>
    </w:p>
    <w:p>
      <w:pPr>
        <w:pStyle w:val="24"/>
        <w:tabs>
          <w:tab w:val="right" w:leader="dot" w:pos="8494"/>
        </w:tabs>
        <w:spacing w:line="360" w:lineRule="auto"/>
        <w:ind w:firstLine="420" w:firstLineChars="200"/>
        <w:jc w:val="left"/>
        <w:rPr>
          <w:rStyle w:val="38"/>
          <w:rFonts w:hint="default" w:ascii="宋体" w:hAnsi="宋体" w:eastAsia="宋体" w:cs="宋体"/>
          <w:b/>
        </w:rPr>
      </w:pPr>
      <w:r>
        <w:fldChar w:fldCharType="begin"/>
      </w:r>
      <w:r>
        <w:instrText xml:space="preserve"> HYPERLINK \l "_Toc137664519" </w:instrText>
      </w:r>
      <w:r>
        <w:fldChar w:fldCharType="separate"/>
      </w:r>
      <w:r>
        <w:rPr>
          <w:rStyle w:val="38"/>
          <w:rFonts w:hint="default" w:ascii="宋体" w:hAnsi="宋体" w:eastAsia="宋体" w:cs="宋体"/>
          <w:b/>
        </w:rPr>
        <w:t>附件4:</w:t>
      </w:r>
      <w:r>
        <w:rPr>
          <w:rStyle w:val="38"/>
          <w:rFonts w:hint="default" w:ascii="宋体" w:hAnsi="宋体" w:eastAsia="宋体" w:cs="宋体"/>
          <w:b/>
        </w:rPr>
        <w:fldChar w:fldCharType="end"/>
      </w:r>
      <w:r>
        <w:rPr>
          <w:rStyle w:val="38"/>
          <w:rFonts w:hint="default" w:ascii="宋体" w:hAnsi="宋体" w:eastAsia="宋体" w:cs="宋体"/>
          <w:b/>
        </w:rPr>
        <w:t xml:space="preserve"> </w:t>
      </w:r>
      <w:r>
        <w:fldChar w:fldCharType="begin"/>
      </w:r>
      <w:r>
        <w:instrText xml:space="preserve"> HYPERLINK \l "_Toc137664520" </w:instrText>
      </w:r>
      <w:r>
        <w:fldChar w:fldCharType="separate"/>
      </w:r>
      <w:r>
        <w:rPr>
          <w:rStyle w:val="38"/>
          <w:rFonts w:hint="default" w:ascii="宋体" w:hAnsi="宋体" w:eastAsia="宋体" w:cs="宋体"/>
          <w:b/>
        </w:rPr>
        <w:t>供应商概况表</w:t>
      </w:r>
      <w:r>
        <w:rPr>
          <w:rStyle w:val="38"/>
          <w:rFonts w:hint="default" w:ascii="宋体" w:hAnsi="宋体" w:eastAsia="宋体" w:cs="宋体"/>
          <w:b/>
        </w:rPr>
        <w:tab/>
      </w:r>
      <w:r>
        <w:rPr>
          <w:rStyle w:val="38"/>
          <w:rFonts w:hint="default" w:ascii="宋体" w:hAnsi="宋体" w:eastAsia="宋体" w:cs="宋体"/>
          <w:b/>
        </w:rPr>
        <w:fldChar w:fldCharType="begin"/>
      </w:r>
      <w:r>
        <w:rPr>
          <w:rStyle w:val="38"/>
          <w:rFonts w:hint="default" w:ascii="宋体" w:hAnsi="宋体" w:eastAsia="宋体" w:cs="宋体"/>
          <w:b/>
        </w:rPr>
        <w:instrText xml:space="preserve"> PAGEREF _Toc137664520 \h </w:instrText>
      </w:r>
      <w:r>
        <w:rPr>
          <w:rStyle w:val="38"/>
          <w:rFonts w:hint="default" w:ascii="宋体" w:hAnsi="宋体" w:eastAsia="宋体" w:cs="宋体"/>
          <w:b/>
        </w:rPr>
        <w:fldChar w:fldCharType="separate"/>
      </w:r>
      <w:r>
        <w:rPr>
          <w:rStyle w:val="38"/>
          <w:rFonts w:hint="default" w:ascii="宋体" w:hAnsi="宋体" w:eastAsia="宋体" w:cs="宋体"/>
          <w:b/>
        </w:rPr>
        <w:t>- 39 -</w:t>
      </w:r>
      <w:r>
        <w:rPr>
          <w:rStyle w:val="38"/>
          <w:rFonts w:hint="default" w:ascii="宋体" w:hAnsi="宋体" w:eastAsia="宋体" w:cs="宋体"/>
          <w:b/>
        </w:rPr>
        <w:fldChar w:fldCharType="end"/>
      </w:r>
      <w:r>
        <w:rPr>
          <w:rStyle w:val="38"/>
          <w:rFonts w:hint="default" w:ascii="宋体" w:hAnsi="宋体" w:eastAsia="宋体" w:cs="宋体"/>
          <w:b/>
        </w:rPr>
        <w:fldChar w:fldCharType="end"/>
      </w:r>
    </w:p>
    <w:p>
      <w:pPr>
        <w:pStyle w:val="24"/>
        <w:tabs>
          <w:tab w:val="right" w:leader="dot" w:pos="8494"/>
        </w:tabs>
        <w:spacing w:line="360" w:lineRule="auto"/>
        <w:ind w:firstLine="420" w:firstLineChars="200"/>
        <w:jc w:val="left"/>
        <w:rPr>
          <w:rStyle w:val="38"/>
          <w:rFonts w:hint="default" w:ascii="宋体" w:hAnsi="宋体" w:eastAsia="宋体" w:cs="宋体"/>
          <w:b/>
        </w:rPr>
      </w:pPr>
      <w:r>
        <w:fldChar w:fldCharType="begin"/>
      </w:r>
      <w:r>
        <w:instrText xml:space="preserve"> HYPERLINK \l "_Toc137664522" </w:instrText>
      </w:r>
      <w:r>
        <w:fldChar w:fldCharType="separate"/>
      </w:r>
      <w:r>
        <w:rPr>
          <w:rStyle w:val="38"/>
          <w:rFonts w:hint="default" w:ascii="宋体" w:hAnsi="宋体" w:eastAsia="宋体" w:cs="宋体"/>
          <w:b/>
        </w:rPr>
        <w:t>附件5:</w:t>
      </w:r>
      <w:r>
        <w:rPr>
          <w:rStyle w:val="38"/>
          <w:rFonts w:hint="default" w:ascii="宋体" w:hAnsi="宋体" w:eastAsia="宋体" w:cs="宋体"/>
          <w:b/>
        </w:rPr>
        <w:fldChar w:fldCharType="end"/>
      </w:r>
      <w:r>
        <w:fldChar w:fldCharType="begin"/>
      </w:r>
      <w:r>
        <w:instrText xml:space="preserve"> HYPERLINK \l "_Toc137664523" </w:instrText>
      </w:r>
      <w:r>
        <w:fldChar w:fldCharType="separate"/>
      </w:r>
      <w:r>
        <w:rPr>
          <w:rStyle w:val="38"/>
          <w:rFonts w:hint="default" w:ascii="宋体" w:hAnsi="宋体" w:eastAsia="宋体" w:cs="宋体"/>
          <w:b/>
        </w:rPr>
        <w:t>资格证明文件</w:t>
      </w:r>
      <w:r>
        <w:rPr>
          <w:rStyle w:val="38"/>
          <w:rFonts w:hint="default" w:ascii="宋体" w:hAnsi="宋体" w:eastAsia="宋体" w:cs="宋体"/>
          <w:b/>
        </w:rPr>
        <w:tab/>
      </w:r>
      <w:r>
        <w:rPr>
          <w:rStyle w:val="38"/>
          <w:rFonts w:hint="default" w:ascii="宋体" w:hAnsi="宋体" w:eastAsia="宋体" w:cs="宋体"/>
          <w:b/>
        </w:rPr>
        <w:fldChar w:fldCharType="begin"/>
      </w:r>
      <w:r>
        <w:rPr>
          <w:rStyle w:val="38"/>
          <w:rFonts w:hint="default" w:ascii="宋体" w:hAnsi="宋体" w:eastAsia="宋体" w:cs="宋体"/>
          <w:b/>
        </w:rPr>
        <w:instrText xml:space="preserve"> PAGEREF _Toc137664523 \h </w:instrText>
      </w:r>
      <w:r>
        <w:rPr>
          <w:rStyle w:val="38"/>
          <w:rFonts w:hint="default" w:ascii="宋体" w:hAnsi="宋体" w:eastAsia="宋体" w:cs="宋体"/>
          <w:b/>
        </w:rPr>
        <w:fldChar w:fldCharType="separate"/>
      </w:r>
      <w:r>
        <w:rPr>
          <w:rStyle w:val="38"/>
          <w:rFonts w:hint="default" w:ascii="宋体" w:hAnsi="宋体" w:eastAsia="宋体" w:cs="宋体"/>
          <w:b/>
        </w:rPr>
        <w:t>- 40 -</w:t>
      </w:r>
      <w:r>
        <w:rPr>
          <w:rStyle w:val="38"/>
          <w:rFonts w:hint="default" w:ascii="宋体" w:hAnsi="宋体" w:eastAsia="宋体" w:cs="宋体"/>
          <w:b/>
        </w:rPr>
        <w:fldChar w:fldCharType="end"/>
      </w:r>
      <w:r>
        <w:rPr>
          <w:rStyle w:val="38"/>
          <w:rFonts w:hint="default" w:ascii="宋体" w:hAnsi="宋体" w:eastAsia="宋体" w:cs="宋体"/>
          <w:b/>
        </w:rPr>
        <w:fldChar w:fldCharType="end"/>
      </w:r>
    </w:p>
    <w:p>
      <w:pPr>
        <w:pStyle w:val="24"/>
        <w:tabs>
          <w:tab w:val="right" w:leader="dot" w:pos="8494"/>
        </w:tabs>
        <w:spacing w:line="360" w:lineRule="auto"/>
        <w:ind w:firstLine="420" w:firstLineChars="200"/>
        <w:jc w:val="left"/>
        <w:rPr>
          <w:rStyle w:val="38"/>
          <w:rFonts w:hint="default" w:ascii="宋体" w:hAnsi="宋体" w:eastAsia="宋体" w:cs="宋体"/>
          <w:b/>
        </w:rPr>
      </w:pPr>
      <w:r>
        <w:fldChar w:fldCharType="begin"/>
      </w:r>
      <w:r>
        <w:instrText xml:space="preserve"> HYPERLINK \l "_Toc137664524" </w:instrText>
      </w:r>
      <w:r>
        <w:fldChar w:fldCharType="separate"/>
      </w:r>
      <w:r>
        <w:rPr>
          <w:rStyle w:val="38"/>
          <w:rFonts w:hint="default" w:ascii="宋体" w:hAnsi="宋体" w:eastAsia="宋体" w:cs="宋体"/>
          <w:b/>
        </w:rPr>
        <w:t>附件6：</w:t>
      </w:r>
      <w:r>
        <w:rPr>
          <w:rStyle w:val="38"/>
          <w:rFonts w:hint="default" w:ascii="宋体" w:hAnsi="宋体" w:eastAsia="宋体" w:cs="宋体"/>
          <w:b/>
        </w:rPr>
        <w:fldChar w:fldCharType="end"/>
      </w:r>
      <w:r>
        <w:fldChar w:fldCharType="begin"/>
      </w:r>
      <w:r>
        <w:instrText xml:space="preserve"> HYPERLINK \l "_Toc137664525" </w:instrText>
      </w:r>
      <w:r>
        <w:fldChar w:fldCharType="separate"/>
      </w:r>
      <w:r>
        <w:rPr>
          <w:rStyle w:val="38"/>
          <w:rFonts w:hint="default" w:ascii="宋体" w:hAnsi="宋体" w:eastAsia="宋体" w:cs="宋体"/>
          <w:b/>
        </w:rPr>
        <w:t>无重大违法记录的书面声明</w:t>
      </w:r>
      <w:r>
        <w:rPr>
          <w:rStyle w:val="38"/>
          <w:rFonts w:hint="default" w:ascii="宋体" w:hAnsi="宋体" w:eastAsia="宋体" w:cs="宋体"/>
          <w:b/>
        </w:rPr>
        <w:tab/>
      </w:r>
      <w:r>
        <w:rPr>
          <w:rStyle w:val="38"/>
          <w:rFonts w:hint="default" w:ascii="宋体" w:hAnsi="宋体" w:eastAsia="宋体" w:cs="宋体"/>
          <w:b/>
        </w:rPr>
        <w:fldChar w:fldCharType="begin"/>
      </w:r>
      <w:r>
        <w:rPr>
          <w:rStyle w:val="38"/>
          <w:rFonts w:hint="default" w:ascii="宋体" w:hAnsi="宋体" w:eastAsia="宋体" w:cs="宋体"/>
          <w:b/>
        </w:rPr>
        <w:instrText xml:space="preserve"> PAGEREF _Toc137664525 \h </w:instrText>
      </w:r>
      <w:r>
        <w:rPr>
          <w:rStyle w:val="38"/>
          <w:rFonts w:hint="default" w:ascii="宋体" w:hAnsi="宋体" w:eastAsia="宋体" w:cs="宋体"/>
          <w:b/>
        </w:rPr>
        <w:fldChar w:fldCharType="separate"/>
      </w:r>
      <w:r>
        <w:rPr>
          <w:rStyle w:val="38"/>
          <w:rFonts w:hint="default" w:ascii="宋体" w:hAnsi="宋体" w:eastAsia="宋体" w:cs="宋体"/>
          <w:b/>
        </w:rPr>
        <w:t>- 41 -</w:t>
      </w:r>
      <w:r>
        <w:rPr>
          <w:rStyle w:val="38"/>
          <w:rFonts w:hint="default" w:ascii="宋体" w:hAnsi="宋体" w:eastAsia="宋体" w:cs="宋体"/>
          <w:b/>
        </w:rPr>
        <w:fldChar w:fldCharType="end"/>
      </w:r>
      <w:r>
        <w:rPr>
          <w:rStyle w:val="38"/>
          <w:rFonts w:hint="default" w:ascii="宋体" w:hAnsi="宋体" w:eastAsia="宋体" w:cs="宋体"/>
          <w:b/>
        </w:rPr>
        <w:fldChar w:fldCharType="end"/>
      </w:r>
    </w:p>
    <w:p>
      <w:pPr>
        <w:pStyle w:val="24"/>
        <w:tabs>
          <w:tab w:val="right" w:leader="dot" w:pos="8494"/>
        </w:tabs>
        <w:spacing w:line="360" w:lineRule="auto"/>
        <w:ind w:firstLine="420" w:firstLineChars="200"/>
        <w:jc w:val="left"/>
        <w:rPr>
          <w:rStyle w:val="38"/>
          <w:rFonts w:hint="default" w:ascii="宋体" w:hAnsi="宋体" w:eastAsia="宋体" w:cs="宋体"/>
          <w:b/>
        </w:rPr>
      </w:pPr>
      <w:r>
        <w:fldChar w:fldCharType="begin"/>
      </w:r>
      <w:r>
        <w:instrText xml:space="preserve"> HYPERLINK \l "_Toc137664526" </w:instrText>
      </w:r>
      <w:r>
        <w:fldChar w:fldCharType="separate"/>
      </w:r>
      <w:r>
        <w:rPr>
          <w:rStyle w:val="38"/>
          <w:rFonts w:hint="default" w:ascii="宋体" w:hAnsi="宋体" w:eastAsia="宋体" w:cs="宋体"/>
          <w:b/>
        </w:rPr>
        <w:t>附件7:</w:t>
      </w:r>
      <w:r>
        <w:rPr>
          <w:rStyle w:val="38"/>
          <w:rFonts w:hint="default" w:ascii="宋体" w:hAnsi="宋体" w:eastAsia="宋体" w:cs="宋体"/>
          <w:b/>
        </w:rPr>
        <w:fldChar w:fldCharType="end"/>
      </w:r>
      <w:r>
        <w:fldChar w:fldCharType="begin"/>
      </w:r>
      <w:r>
        <w:instrText xml:space="preserve"> HYPERLINK \l "_Toc137664527" </w:instrText>
      </w:r>
      <w:r>
        <w:fldChar w:fldCharType="separate"/>
      </w:r>
      <w:r>
        <w:rPr>
          <w:rStyle w:val="38"/>
          <w:rFonts w:hint="default" w:ascii="宋体" w:hAnsi="宋体" w:eastAsia="宋体" w:cs="宋体"/>
          <w:b/>
        </w:rPr>
        <w:t>企业2022年财务审计报告</w:t>
      </w:r>
      <w:r>
        <w:rPr>
          <w:rStyle w:val="38"/>
          <w:rFonts w:hint="default" w:ascii="宋体" w:hAnsi="宋体" w:eastAsia="宋体" w:cs="宋体"/>
          <w:b/>
        </w:rPr>
        <w:tab/>
      </w:r>
      <w:r>
        <w:rPr>
          <w:rStyle w:val="38"/>
          <w:rFonts w:hint="default" w:ascii="宋体" w:hAnsi="宋体" w:eastAsia="宋体" w:cs="宋体"/>
          <w:b/>
        </w:rPr>
        <w:fldChar w:fldCharType="begin"/>
      </w:r>
      <w:r>
        <w:rPr>
          <w:rStyle w:val="38"/>
          <w:rFonts w:hint="default" w:ascii="宋体" w:hAnsi="宋体" w:eastAsia="宋体" w:cs="宋体"/>
          <w:b/>
        </w:rPr>
        <w:instrText xml:space="preserve"> PAGEREF _Toc137664527 \h </w:instrText>
      </w:r>
      <w:r>
        <w:rPr>
          <w:rStyle w:val="38"/>
          <w:rFonts w:hint="default" w:ascii="宋体" w:hAnsi="宋体" w:eastAsia="宋体" w:cs="宋体"/>
          <w:b/>
        </w:rPr>
        <w:fldChar w:fldCharType="separate"/>
      </w:r>
      <w:r>
        <w:rPr>
          <w:rStyle w:val="38"/>
          <w:rFonts w:hint="default" w:ascii="宋体" w:hAnsi="宋体" w:eastAsia="宋体" w:cs="宋体"/>
          <w:b/>
        </w:rPr>
        <w:t>- 42 -</w:t>
      </w:r>
      <w:r>
        <w:rPr>
          <w:rStyle w:val="38"/>
          <w:rFonts w:hint="default" w:ascii="宋体" w:hAnsi="宋体" w:eastAsia="宋体" w:cs="宋体"/>
          <w:b/>
        </w:rPr>
        <w:fldChar w:fldCharType="end"/>
      </w:r>
      <w:r>
        <w:rPr>
          <w:rStyle w:val="38"/>
          <w:rFonts w:hint="default" w:ascii="宋体" w:hAnsi="宋体" w:eastAsia="宋体" w:cs="宋体"/>
          <w:b/>
        </w:rPr>
        <w:fldChar w:fldCharType="end"/>
      </w:r>
    </w:p>
    <w:p>
      <w:pPr>
        <w:pStyle w:val="24"/>
        <w:tabs>
          <w:tab w:val="right" w:leader="dot" w:pos="8494"/>
        </w:tabs>
        <w:spacing w:line="360" w:lineRule="auto"/>
        <w:ind w:firstLine="420" w:firstLineChars="200"/>
        <w:jc w:val="left"/>
        <w:rPr>
          <w:rStyle w:val="38"/>
          <w:rFonts w:hint="default" w:ascii="宋体" w:hAnsi="宋体" w:eastAsia="宋体" w:cs="宋体"/>
          <w:b/>
        </w:rPr>
      </w:pPr>
      <w:r>
        <w:fldChar w:fldCharType="begin"/>
      </w:r>
      <w:r>
        <w:instrText xml:space="preserve"> HYPERLINK \l "_Toc137664528" </w:instrText>
      </w:r>
      <w:r>
        <w:fldChar w:fldCharType="separate"/>
      </w:r>
      <w:r>
        <w:rPr>
          <w:rStyle w:val="38"/>
          <w:rFonts w:hint="default" w:ascii="宋体" w:hAnsi="宋体" w:eastAsia="宋体" w:cs="宋体"/>
          <w:b/>
        </w:rPr>
        <w:t>附件8:</w:t>
      </w:r>
      <w:r>
        <w:rPr>
          <w:rStyle w:val="38"/>
          <w:rFonts w:hint="default" w:ascii="宋体" w:hAnsi="宋体" w:eastAsia="宋体" w:cs="宋体"/>
          <w:b/>
        </w:rPr>
        <w:fldChar w:fldCharType="end"/>
      </w:r>
      <w:r>
        <w:fldChar w:fldCharType="begin"/>
      </w:r>
      <w:r>
        <w:instrText xml:space="preserve"> HYPERLINK \l "_Toc137664529" </w:instrText>
      </w:r>
      <w:r>
        <w:fldChar w:fldCharType="separate"/>
      </w:r>
      <w:r>
        <w:rPr>
          <w:rStyle w:val="38"/>
          <w:rFonts w:hint="default" w:ascii="宋体" w:hAnsi="宋体" w:eastAsia="宋体" w:cs="宋体"/>
          <w:b/>
        </w:rPr>
        <w:t>“重法纪、讲诚信”承诺书</w:t>
      </w:r>
      <w:r>
        <w:rPr>
          <w:rStyle w:val="38"/>
          <w:rFonts w:hint="default" w:ascii="宋体" w:hAnsi="宋体" w:eastAsia="宋体" w:cs="宋体"/>
          <w:b/>
        </w:rPr>
        <w:tab/>
      </w:r>
      <w:r>
        <w:rPr>
          <w:rStyle w:val="38"/>
          <w:rFonts w:hint="default" w:ascii="宋体" w:hAnsi="宋体" w:eastAsia="宋体" w:cs="宋体"/>
          <w:b/>
        </w:rPr>
        <w:fldChar w:fldCharType="begin"/>
      </w:r>
      <w:r>
        <w:rPr>
          <w:rStyle w:val="38"/>
          <w:rFonts w:hint="default" w:ascii="宋体" w:hAnsi="宋体" w:eastAsia="宋体" w:cs="宋体"/>
          <w:b/>
        </w:rPr>
        <w:instrText xml:space="preserve"> PAGEREF _Toc137664529 \h </w:instrText>
      </w:r>
      <w:r>
        <w:rPr>
          <w:rStyle w:val="38"/>
          <w:rFonts w:hint="default" w:ascii="宋体" w:hAnsi="宋体" w:eastAsia="宋体" w:cs="宋体"/>
          <w:b/>
        </w:rPr>
        <w:fldChar w:fldCharType="separate"/>
      </w:r>
      <w:r>
        <w:rPr>
          <w:rStyle w:val="38"/>
          <w:rFonts w:hint="default" w:ascii="宋体" w:hAnsi="宋体" w:eastAsia="宋体" w:cs="宋体"/>
          <w:b/>
        </w:rPr>
        <w:t>- 43 -</w:t>
      </w:r>
      <w:r>
        <w:rPr>
          <w:rStyle w:val="38"/>
          <w:rFonts w:hint="default" w:ascii="宋体" w:hAnsi="宋体" w:eastAsia="宋体" w:cs="宋体"/>
          <w:b/>
        </w:rPr>
        <w:fldChar w:fldCharType="end"/>
      </w:r>
      <w:r>
        <w:rPr>
          <w:rStyle w:val="38"/>
          <w:rFonts w:hint="default" w:ascii="宋体" w:hAnsi="宋体" w:eastAsia="宋体" w:cs="宋体"/>
          <w:b/>
        </w:rPr>
        <w:fldChar w:fldCharType="end"/>
      </w:r>
    </w:p>
    <w:p>
      <w:pPr>
        <w:pStyle w:val="24"/>
        <w:tabs>
          <w:tab w:val="right" w:leader="dot" w:pos="8494"/>
        </w:tabs>
        <w:spacing w:line="360" w:lineRule="auto"/>
        <w:ind w:firstLine="420" w:firstLineChars="200"/>
        <w:jc w:val="left"/>
        <w:rPr>
          <w:rStyle w:val="38"/>
          <w:rFonts w:hint="default" w:ascii="宋体" w:hAnsi="宋体" w:eastAsia="宋体" w:cs="宋体"/>
          <w:b/>
        </w:rPr>
      </w:pPr>
      <w:r>
        <w:fldChar w:fldCharType="begin"/>
      </w:r>
      <w:r>
        <w:instrText xml:space="preserve"> HYPERLINK \l "_Toc137664530" </w:instrText>
      </w:r>
      <w:r>
        <w:fldChar w:fldCharType="separate"/>
      </w:r>
      <w:r>
        <w:rPr>
          <w:rStyle w:val="38"/>
          <w:rFonts w:hint="default" w:ascii="宋体" w:hAnsi="宋体" w:eastAsia="宋体" w:cs="宋体"/>
          <w:b/>
        </w:rPr>
        <w:t>附件9:</w:t>
      </w:r>
      <w:r>
        <w:rPr>
          <w:rStyle w:val="38"/>
          <w:rFonts w:hint="default" w:ascii="宋体" w:hAnsi="宋体" w:eastAsia="宋体" w:cs="宋体"/>
          <w:b/>
        </w:rPr>
        <w:fldChar w:fldCharType="end"/>
      </w:r>
      <w:r>
        <w:fldChar w:fldCharType="begin"/>
      </w:r>
      <w:r>
        <w:instrText xml:space="preserve"> HYPERLINK \l "_Toc137664531" </w:instrText>
      </w:r>
      <w:r>
        <w:fldChar w:fldCharType="separate"/>
      </w:r>
      <w:r>
        <w:rPr>
          <w:rStyle w:val="38"/>
          <w:rFonts w:hint="default" w:ascii="宋体" w:hAnsi="宋体" w:eastAsia="宋体" w:cs="宋体"/>
          <w:b/>
        </w:rPr>
        <w:t>反商业贿赂承诺书</w:t>
      </w:r>
      <w:r>
        <w:rPr>
          <w:rStyle w:val="38"/>
          <w:rFonts w:hint="default" w:ascii="宋体" w:hAnsi="宋体" w:eastAsia="宋体" w:cs="宋体"/>
          <w:b/>
        </w:rPr>
        <w:tab/>
      </w:r>
      <w:r>
        <w:rPr>
          <w:rStyle w:val="38"/>
          <w:rFonts w:hint="default" w:ascii="宋体" w:hAnsi="宋体" w:eastAsia="宋体" w:cs="宋体"/>
          <w:b/>
        </w:rPr>
        <w:fldChar w:fldCharType="begin"/>
      </w:r>
      <w:r>
        <w:rPr>
          <w:rStyle w:val="38"/>
          <w:rFonts w:hint="default" w:ascii="宋体" w:hAnsi="宋体" w:eastAsia="宋体" w:cs="宋体"/>
          <w:b/>
        </w:rPr>
        <w:instrText xml:space="preserve"> PAGEREF _Toc137664531 \h </w:instrText>
      </w:r>
      <w:r>
        <w:rPr>
          <w:rStyle w:val="38"/>
          <w:rFonts w:hint="default" w:ascii="宋体" w:hAnsi="宋体" w:eastAsia="宋体" w:cs="宋体"/>
          <w:b/>
        </w:rPr>
        <w:fldChar w:fldCharType="separate"/>
      </w:r>
      <w:r>
        <w:rPr>
          <w:rStyle w:val="38"/>
          <w:rFonts w:hint="default" w:ascii="宋体" w:hAnsi="宋体" w:eastAsia="宋体" w:cs="宋体"/>
          <w:b/>
        </w:rPr>
        <w:t>- 45 -</w:t>
      </w:r>
      <w:r>
        <w:rPr>
          <w:rStyle w:val="38"/>
          <w:rFonts w:hint="default" w:ascii="宋体" w:hAnsi="宋体" w:eastAsia="宋体" w:cs="宋体"/>
          <w:b/>
        </w:rPr>
        <w:fldChar w:fldCharType="end"/>
      </w:r>
      <w:r>
        <w:rPr>
          <w:rStyle w:val="38"/>
          <w:rFonts w:hint="default" w:ascii="宋体" w:hAnsi="宋体" w:eastAsia="宋体" w:cs="宋体"/>
          <w:b/>
        </w:rPr>
        <w:fldChar w:fldCharType="end"/>
      </w:r>
    </w:p>
    <w:p>
      <w:pPr>
        <w:pStyle w:val="24"/>
        <w:tabs>
          <w:tab w:val="right" w:leader="dot" w:pos="8494"/>
        </w:tabs>
        <w:spacing w:line="360" w:lineRule="auto"/>
        <w:ind w:firstLine="420" w:firstLineChars="200"/>
        <w:jc w:val="left"/>
        <w:rPr>
          <w:rFonts w:asciiTheme="minorHAnsi" w:hAnsiTheme="minorHAnsi" w:eastAsiaTheme="minorEastAsia" w:cstheme="minorBidi"/>
          <w:b/>
          <w:szCs w:val="22"/>
          <w14:ligatures w14:val="standardContextual"/>
        </w:rPr>
      </w:pPr>
      <w:r>
        <w:fldChar w:fldCharType="begin"/>
      </w:r>
      <w:r>
        <w:instrText xml:space="preserve"> HYPERLINK \l "_Toc137664532" </w:instrText>
      </w:r>
      <w:r>
        <w:fldChar w:fldCharType="separate"/>
      </w:r>
      <w:r>
        <w:rPr>
          <w:rStyle w:val="38"/>
          <w:rFonts w:hint="default" w:ascii="宋体" w:hAnsi="宋体" w:eastAsia="宋体" w:cs="宋体"/>
          <w:b/>
        </w:rPr>
        <w:t>附件10:</w:t>
      </w:r>
      <w:r>
        <w:rPr>
          <w:rStyle w:val="38"/>
          <w:rFonts w:hint="default" w:ascii="宋体" w:hAnsi="宋体" w:eastAsia="宋体" w:cs="宋体"/>
          <w:b/>
        </w:rPr>
        <w:fldChar w:fldCharType="end"/>
      </w:r>
      <w:r>
        <w:fldChar w:fldCharType="begin"/>
      </w:r>
      <w:r>
        <w:instrText xml:space="preserve"> HYPERLINK \l "_Toc137664533" </w:instrText>
      </w:r>
      <w:r>
        <w:fldChar w:fldCharType="separate"/>
      </w:r>
      <w:r>
        <w:rPr>
          <w:rStyle w:val="38"/>
          <w:rFonts w:hint="default" w:ascii="宋体" w:hAnsi="宋体" w:eastAsia="宋体" w:cs="宋体"/>
          <w:b/>
        </w:rPr>
        <w:t>商务条款偏离表</w:t>
      </w:r>
      <w:r>
        <w:rPr>
          <w:b/>
        </w:rPr>
        <w:tab/>
      </w:r>
      <w:r>
        <w:rPr>
          <w:b/>
        </w:rPr>
        <w:fldChar w:fldCharType="begin"/>
      </w:r>
      <w:r>
        <w:rPr>
          <w:b/>
        </w:rPr>
        <w:instrText xml:space="preserve"> PAGEREF _Toc137664533 \h </w:instrText>
      </w:r>
      <w:r>
        <w:rPr>
          <w:b/>
        </w:rPr>
        <w:fldChar w:fldCharType="separate"/>
      </w:r>
      <w:r>
        <w:rPr>
          <w:b/>
        </w:rPr>
        <w:t>- 46 -</w:t>
      </w:r>
      <w:r>
        <w:rPr>
          <w:b/>
        </w:rPr>
        <w:fldChar w:fldCharType="end"/>
      </w:r>
      <w:r>
        <w:rPr>
          <w:b/>
        </w:rPr>
        <w:fldChar w:fldCharType="end"/>
      </w:r>
    </w:p>
    <w:p>
      <w:pPr>
        <w:pStyle w:val="24"/>
        <w:tabs>
          <w:tab w:val="right" w:leader="dot" w:pos="8494"/>
        </w:tabs>
        <w:spacing w:line="360" w:lineRule="auto"/>
        <w:ind w:firstLine="420" w:firstLineChars="200"/>
        <w:jc w:val="left"/>
        <w:rPr>
          <w:rFonts w:asciiTheme="minorHAnsi" w:hAnsiTheme="minorHAnsi" w:eastAsiaTheme="minorEastAsia" w:cstheme="minorBidi"/>
          <w:b/>
          <w:szCs w:val="22"/>
          <w14:ligatures w14:val="standardContextual"/>
        </w:rPr>
      </w:pPr>
      <w:r>
        <w:fldChar w:fldCharType="begin"/>
      </w:r>
      <w:r>
        <w:instrText xml:space="preserve"> HYPERLINK \l "_Toc137664534" </w:instrText>
      </w:r>
      <w:r>
        <w:fldChar w:fldCharType="separate"/>
      </w:r>
      <w:r>
        <w:rPr>
          <w:rStyle w:val="38"/>
          <w:rFonts w:hint="default" w:ascii="宋体" w:hAnsi="宋体" w:eastAsia="宋体" w:cs="宋体"/>
          <w:b/>
        </w:rPr>
        <w:t>附件11:</w:t>
      </w:r>
      <w:r>
        <w:rPr>
          <w:rStyle w:val="38"/>
          <w:rFonts w:hint="default" w:ascii="宋体" w:hAnsi="宋体" w:eastAsia="宋体" w:cs="宋体"/>
          <w:b/>
        </w:rPr>
        <w:fldChar w:fldCharType="end"/>
      </w:r>
      <w:r>
        <w:fldChar w:fldCharType="begin"/>
      </w:r>
      <w:r>
        <w:instrText xml:space="preserve"> HYPERLINK \l "_Toc137664535" </w:instrText>
      </w:r>
      <w:r>
        <w:fldChar w:fldCharType="separate"/>
      </w:r>
      <w:r>
        <w:rPr>
          <w:rStyle w:val="38"/>
          <w:rFonts w:hint="default" w:ascii="宋体" w:hAnsi="宋体" w:eastAsia="宋体" w:cs="宋体"/>
          <w:b/>
        </w:rPr>
        <w:t>技术规格偏离表</w:t>
      </w:r>
      <w:r>
        <w:rPr>
          <w:b/>
        </w:rPr>
        <w:tab/>
      </w:r>
      <w:r>
        <w:rPr>
          <w:b/>
        </w:rPr>
        <w:fldChar w:fldCharType="begin"/>
      </w:r>
      <w:r>
        <w:rPr>
          <w:b/>
        </w:rPr>
        <w:instrText xml:space="preserve"> PAGEREF _Toc137664535 \h </w:instrText>
      </w:r>
      <w:r>
        <w:rPr>
          <w:b/>
        </w:rPr>
        <w:fldChar w:fldCharType="separate"/>
      </w:r>
      <w:r>
        <w:rPr>
          <w:b/>
        </w:rPr>
        <w:t>- 47 -</w:t>
      </w:r>
      <w:r>
        <w:rPr>
          <w:b/>
        </w:rPr>
        <w:fldChar w:fldCharType="end"/>
      </w:r>
      <w:r>
        <w:rPr>
          <w:b/>
        </w:rPr>
        <w:fldChar w:fldCharType="end"/>
      </w:r>
    </w:p>
    <w:p>
      <w:pPr>
        <w:pStyle w:val="24"/>
        <w:tabs>
          <w:tab w:val="right" w:leader="dot" w:pos="8494"/>
        </w:tabs>
        <w:spacing w:line="360" w:lineRule="auto"/>
        <w:ind w:firstLine="420" w:firstLineChars="200"/>
        <w:rPr>
          <w:rFonts w:asciiTheme="minorHAnsi" w:hAnsiTheme="minorHAnsi" w:eastAsiaTheme="minorEastAsia" w:cstheme="minorBidi"/>
          <w:b/>
          <w:szCs w:val="22"/>
          <w14:ligatures w14:val="standardContextual"/>
        </w:rPr>
      </w:pPr>
      <w:r>
        <w:fldChar w:fldCharType="begin"/>
      </w:r>
      <w:r>
        <w:instrText xml:space="preserve"> HYPERLINK \l "_Toc137664536" </w:instrText>
      </w:r>
      <w:r>
        <w:fldChar w:fldCharType="separate"/>
      </w:r>
      <w:r>
        <w:rPr>
          <w:rStyle w:val="38"/>
          <w:rFonts w:hint="default" w:ascii="宋体" w:hAnsi="宋体" w:eastAsia="宋体" w:cs="宋体"/>
          <w:b/>
        </w:rPr>
        <w:t>附件12:</w:t>
      </w:r>
      <w:r>
        <w:rPr>
          <w:rStyle w:val="38"/>
          <w:rFonts w:hint="default" w:ascii="宋体" w:hAnsi="宋体" w:eastAsia="宋体" w:cs="宋体"/>
          <w:b/>
        </w:rPr>
        <w:fldChar w:fldCharType="end"/>
      </w:r>
      <w:r>
        <w:fldChar w:fldCharType="begin"/>
      </w:r>
      <w:r>
        <w:instrText xml:space="preserve"> HYPERLINK \l "_Toc137664537" </w:instrText>
      </w:r>
      <w:r>
        <w:fldChar w:fldCharType="separate"/>
      </w:r>
      <w:r>
        <w:rPr>
          <w:rStyle w:val="38"/>
          <w:rFonts w:hint="default" w:ascii="宋体" w:hAnsi="宋体" w:eastAsia="宋体" w:cs="宋体"/>
          <w:b/>
        </w:rPr>
        <w:t>近三年同类项目业绩表</w:t>
      </w:r>
      <w:r>
        <w:rPr>
          <w:b/>
        </w:rPr>
        <w:tab/>
      </w:r>
      <w:r>
        <w:rPr>
          <w:b/>
        </w:rPr>
        <w:fldChar w:fldCharType="begin"/>
      </w:r>
      <w:r>
        <w:rPr>
          <w:b/>
        </w:rPr>
        <w:instrText xml:space="preserve"> PAGEREF _Toc137664537 \h </w:instrText>
      </w:r>
      <w:r>
        <w:rPr>
          <w:b/>
        </w:rPr>
        <w:fldChar w:fldCharType="separate"/>
      </w:r>
      <w:r>
        <w:rPr>
          <w:b/>
        </w:rPr>
        <w:t>- 48 -</w:t>
      </w:r>
      <w:r>
        <w:rPr>
          <w:b/>
        </w:rPr>
        <w:fldChar w:fldCharType="end"/>
      </w:r>
      <w:r>
        <w:rPr>
          <w:b/>
        </w:rPr>
        <w:fldChar w:fldCharType="end"/>
      </w:r>
    </w:p>
    <w:p>
      <w:pPr>
        <w:pStyle w:val="24"/>
        <w:tabs>
          <w:tab w:val="right" w:leader="dot" w:pos="8494"/>
        </w:tabs>
        <w:spacing w:line="360" w:lineRule="auto"/>
        <w:ind w:firstLine="420" w:firstLineChars="200"/>
        <w:rPr>
          <w:rFonts w:asciiTheme="minorHAnsi" w:hAnsiTheme="minorHAnsi" w:eastAsiaTheme="minorEastAsia" w:cstheme="minorBidi"/>
          <w:b/>
          <w:szCs w:val="22"/>
          <w14:ligatures w14:val="standardContextual"/>
        </w:rPr>
      </w:pPr>
      <w:r>
        <w:fldChar w:fldCharType="begin"/>
      </w:r>
      <w:r>
        <w:instrText xml:space="preserve"> HYPERLINK \l "_Toc137664538" </w:instrText>
      </w:r>
      <w:r>
        <w:fldChar w:fldCharType="separate"/>
      </w:r>
      <w:r>
        <w:rPr>
          <w:rStyle w:val="38"/>
          <w:rFonts w:hint="default" w:ascii="宋体" w:hAnsi="宋体" w:eastAsia="宋体" w:cs="宋体"/>
          <w:b/>
        </w:rPr>
        <w:t>附件13:</w:t>
      </w:r>
      <w:r>
        <w:rPr>
          <w:rStyle w:val="38"/>
          <w:rFonts w:hint="default" w:ascii="宋体" w:hAnsi="宋体" w:eastAsia="宋体" w:cs="宋体"/>
          <w:b/>
        </w:rPr>
        <w:fldChar w:fldCharType="end"/>
      </w:r>
      <w:r>
        <w:fldChar w:fldCharType="begin"/>
      </w:r>
      <w:r>
        <w:instrText xml:space="preserve"> HYPERLINK \l "_Toc137664539" </w:instrText>
      </w:r>
      <w:r>
        <w:fldChar w:fldCharType="separate"/>
      </w:r>
      <w:r>
        <w:rPr>
          <w:rStyle w:val="38"/>
          <w:rFonts w:hint="default" w:ascii="宋体" w:hAnsi="宋体" w:eastAsia="宋体" w:cs="宋体"/>
          <w:b/>
        </w:rPr>
        <w:t>拟派项目负责人简历表</w:t>
      </w:r>
      <w:r>
        <w:rPr>
          <w:b/>
        </w:rPr>
        <w:tab/>
      </w:r>
      <w:r>
        <w:rPr>
          <w:b/>
        </w:rPr>
        <w:fldChar w:fldCharType="begin"/>
      </w:r>
      <w:r>
        <w:rPr>
          <w:b/>
        </w:rPr>
        <w:instrText xml:space="preserve"> PAGEREF _Toc137664539 \h </w:instrText>
      </w:r>
      <w:r>
        <w:rPr>
          <w:b/>
        </w:rPr>
        <w:fldChar w:fldCharType="separate"/>
      </w:r>
      <w:r>
        <w:rPr>
          <w:b/>
        </w:rPr>
        <w:t>- 49 -</w:t>
      </w:r>
      <w:r>
        <w:rPr>
          <w:b/>
        </w:rPr>
        <w:fldChar w:fldCharType="end"/>
      </w:r>
      <w:r>
        <w:rPr>
          <w:b/>
        </w:rPr>
        <w:fldChar w:fldCharType="end"/>
      </w:r>
    </w:p>
    <w:p>
      <w:pPr>
        <w:pStyle w:val="24"/>
        <w:tabs>
          <w:tab w:val="right" w:leader="dot" w:pos="8494"/>
        </w:tabs>
        <w:spacing w:line="360" w:lineRule="auto"/>
        <w:ind w:firstLine="420" w:firstLineChars="200"/>
        <w:jc w:val="left"/>
        <w:rPr>
          <w:rFonts w:asciiTheme="minorHAnsi" w:hAnsiTheme="minorHAnsi" w:eastAsiaTheme="minorEastAsia" w:cstheme="minorBidi"/>
          <w:b/>
          <w:szCs w:val="22"/>
          <w14:ligatures w14:val="standardContextual"/>
        </w:rPr>
      </w:pPr>
      <w:r>
        <w:fldChar w:fldCharType="begin"/>
      </w:r>
      <w:r>
        <w:instrText xml:space="preserve"> HYPERLINK \l "_Toc137664540" </w:instrText>
      </w:r>
      <w:r>
        <w:fldChar w:fldCharType="separate"/>
      </w:r>
      <w:r>
        <w:rPr>
          <w:rStyle w:val="38"/>
          <w:rFonts w:hint="default" w:ascii="宋体" w:hAnsi="宋体" w:eastAsia="宋体" w:cs="宋体"/>
          <w:b/>
        </w:rPr>
        <w:t>附件14:</w:t>
      </w:r>
      <w:r>
        <w:rPr>
          <w:rStyle w:val="38"/>
          <w:rFonts w:hint="default" w:ascii="宋体" w:hAnsi="宋体" w:eastAsia="宋体" w:cs="宋体"/>
          <w:b/>
        </w:rPr>
        <w:fldChar w:fldCharType="end"/>
      </w:r>
      <w:r>
        <w:fldChar w:fldCharType="begin"/>
      </w:r>
      <w:r>
        <w:instrText xml:space="preserve"> HYPERLINK \l "_Toc137664541" </w:instrText>
      </w:r>
      <w:r>
        <w:fldChar w:fldCharType="separate"/>
      </w:r>
      <w:r>
        <w:rPr>
          <w:rStyle w:val="38"/>
          <w:rFonts w:hint="default" w:ascii="宋体" w:hAnsi="宋体" w:eastAsia="宋体" w:cs="宋体"/>
          <w:b/>
        </w:rPr>
        <w:t>拟派本项目技术人员配置情况表</w:t>
      </w:r>
      <w:r>
        <w:rPr>
          <w:b/>
        </w:rPr>
        <w:tab/>
      </w:r>
      <w:r>
        <w:rPr>
          <w:b/>
        </w:rPr>
        <w:fldChar w:fldCharType="begin"/>
      </w:r>
      <w:r>
        <w:rPr>
          <w:b/>
        </w:rPr>
        <w:instrText xml:space="preserve"> PAGEREF _Toc137664541 \h </w:instrText>
      </w:r>
      <w:r>
        <w:rPr>
          <w:b/>
        </w:rPr>
        <w:fldChar w:fldCharType="separate"/>
      </w:r>
      <w:r>
        <w:rPr>
          <w:b/>
        </w:rPr>
        <w:t>- 50 -</w:t>
      </w:r>
      <w:r>
        <w:rPr>
          <w:b/>
        </w:rPr>
        <w:fldChar w:fldCharType="end"/>
      </w:r>
      <w:r>
        <w:rPr>
          <w:b/>
        </w:rPr>
        <w:fldChar w:fldCharType="end"/>
      </w:r>
    </w:p>
    <w:p>
      <w:pPr>
        <w:pStyle w:val="24"/>
        <w:tabs>
          <w:tab w:val="right" w:leader="dot" w:pos="8494"/>
        </w:tabs>
        <w:spacing w:line="360" w:lineRule="auto"/>
        <w:ind w:firstLine="420" w:firstLineChars="200"/>
        <w:rPr>
          <w:rFonts w:asciiTheme="minorHAnsi" w:hAnsiTheme="minorHAnsi" w:eastAsiaTheme="minorEastAsia" w:cstheme="minorBidi"/>
          <w:b/>
          <w:szCs w:val="22"/>
          <w14:ligatures w14:val="standardContextual"/>
        </w:rPr>
      </w:pPr>
      <w:r>
        <w:fldChar w:fldCharType="begin"/>
      </w:r>
      <w:r>
        <w:instrText xml:space="preserve"> HYPERLINK \l "_Toc137664543" </w:instrText>
      </w:r>
      <w:r>
        <w:fldChar w:fldCharType="separate"/>
      </w:r>
      <w:r>
        <w:rPr>
          <w:rStyle w:val="38"/>
          <w:rFonts w:hint="default" w:ascii="宋体" w:hAnsi="宋体" w:eastAsia="宋体" w:cs="宋体"/>
          <w:b/>
        </w:rPr>
        <w:t>附件15:</w:t>
      </w:r>
      <w:r>
        <w:rPr>
          <w:rStyle w:val="38"/>
          <w:rFonts w:hint="default" w:ascii="宋体" w:hAnsi="宋体" w:eastAsia="宋体" w:cs="宋体"/>
          <w:b/>
        </w:rPr>
        <w:fldChar w:fldCharType="end"/>
      </w:r>
      <w:r>
        <w:fldChar w:fldCharType="begin"/>
      </w:r>
      <w:r>
        <w:instrText xml:space="preserve"> HYPERLINK \l "_Toc137664544" </w:instrText>
      </w:r>
      <w:r>
        <w:fldChar w:fldCharType="separate"/>
      </w:r>
      <w:r>
        <w:rPr>
          <w:rStyle w:val="38"/>
          <w:rFonts w:hint="default" w:ascii="宋体" w:hAnsi="宋体" w:eastAsia="宋体" w:cs="宋体"/>
          <w:b/>
        </w:rPr>
        <w:t>拟投入本项目设备情况表</w:t>
      </w:r>
      <w:r>
        <w:rPr>
          <w:b/>
        </w:rPr>
        <w:tab/>
      </w:r>
      <w:r>
        <w:rPr>
          <w:b/>
        </w:rPr>
        <w:fldChar w:fldCharType="begin"/>
      </w:r>
      <w:r>
        <w:rPr>
          <w:b/>
        </w:rPr>
        <w:instrText xml:space="preserve"> PAGEREF _Toc137664544 \h </w:instrText>
      </w:r>
      <w:r>
        <w:rPr>
          <w:b/>
        </w:rPr>
        <w:fldChar w:fldCharType="separate"/>
      </w:r>
      <w:r>
        <w:rPr>
          <w:b/>
        </w:rPr>
        <w:t>- 51 -</w:t>
      </w:r>
      <w:r>
        <w:rPr>
          <w:b/>
        </w:rPr>
        <w:fldChar w:fldCharType="end"/>
      </w:r>
      <w:r>
        <w:rPr>
          <w:b/>
        </w:rPr>
        <w:fldChar w:fldCharType="end"/>
      </w:r>
    </w:p>
    <w:p>
      <w:pPr>
        <w:pStyle w:val="24"/>
        <w:tabs>
          <w:tab w:val="right" w:leader="dot" w:pos="8494"/>
        </w:tabs>
        <w:spacing w:line="360" w:lineRule="auto"/>
        <w:ind w:firstLine="420" w:firstLineChars="200"/>
        <w:jc w:val="left"/>
        <w:rPr>
          <w:rFonts w:asciiTheme="minorHAnsi" w:hAnsiTheme="minorHAnsi" w:eastAsiaTheme="minorEastAsia" w:cstheme="minorBidi"/>
          <w:b/>
          <w:szCs w:val="22"/>
          <w14:ligatures w14:val="standardContextual"/>
        </w:rPr>
      </w:pPr>
      <w:r>
        <w:fldChar w:fldCharType="begin"/>
      </w:r>
      <w:r>
        <w:instrText xml:space="preserve"> HYPERLINK \l "_Toc137664545" </w:instrText>
      </w:r>
      <w:r>
        <w:fldChar w:fldCharType="separate"/>
      </w:r>
      <w:r>
        <w:rPr>
          <w:rStyle w:val="38"/>
          <w:rFonts w:hint="default" w:ascii="宋体" w:hAnsi="宋体" w:eastAsia="宋体" w:cs="宋体"/>
          <w:b/>
        </w:rPr>
        <w:t>附件16:</w:t>
      </w:r>
      <w:r>
        <w:rPr>
          <w:rStyle w:val="38"/>
          <w:rFonts w:hint="default" w:ascii="宋体" w:hAnsi="宋体" w:eastAsia="宋体" w:cs="宋体"/>
          <w:b/>
        </w:rPr>
        <w:fldChar w:fldCharType="end"/>
      </w:r>
      <w:r>
        <w:fldChar w:fldCharType="begin"/>
      </w:r>
      <w:r>
        <w:instrText xml:space="preserve"> HYPERLINK \l "_Toc137664546" </w:instrText>
      </w:r>
      <w:r>
        <w:fldChar w:fldCharType="separate"/>
      </w:r>
      <w:r>
        <w:rPr>
          <w:rStyle w:val="38"/>
          <w:rFonts w:hint="default" w:ascii="宋体" w:hAnsi="宋体" w:eastAsia="宋体" w:cs="宋体"/>
          <w:b/>
        </w:rPr>
        <w:t>中小企业声明函(服务)</w:t>
      </w:r>
      <w:r>
        <w:rPr>
          <w:b/>
        </w:rPr>
        <w:tab/>
      </w:r>
      <w:r>
        <w:rPr>
          <w:b/>
        </w:rPr>
        <w:fldChar w:fldCharType="begin"/>
      </w:r>
      <w:r>
        <w:rPr>
          <w:b/>
        </w:rPr>
        <w:instrText xml:space="preserve"> PAGEREF _Toc137664546 \h </w:instrText>
      </w:r>
      <w:r>
        <w:rPr>
          <w:b/>
        </w:rPr>
        <w:fldChar w:fldCharType="separate"/>
      </w:r>
      <w:r>
        <w:rPr>
          <w:b/>
        </w:rPr>
        <w:t>- 53 -</w:t>
      </w:r>
      <w:r>
        <w:rPr>
          <w:b/>
        </w:rPr>
        <w:fldChar w:fldCharType="end"/>
      </w:r>
      <w:r>
        <w:rPr>
          <w:b/>
        </w:rPr>
        <w:fldChar w:fldCharType="end"/>
      </w:r>
    </w:p>
    <w:p>
      <w:pPr>
        <w:pStyle w:val="24"/>
        <w:tabs>
          <w:tab w:val="right" w:leader="dot" w:pos="8494"/>
        </w:tabs>
        <w:spacing w:line="360" w:lineRule="auto"/>
        <w:ind w:firstLine="420" w:firstLineChars="200"/>
        <w:rPr>
          <w:rFonts w:asciiTheme="minorHAnsi" w:hAnsiTheme="minorHAnsi" w:eastAsiaTheme="minorEastAsia" w:cstheme="minorBidi"/>
          <w:b/>
          <w:szCs w:val="22"/>
          <w14:ligatures w14:val="standardContextual"/>
        </w:rPr>
      </w:pPr>
      <w:r>
        <w:fldChar w:fldCharType="begin"/>
      </w:r>
      <w:r>
        <w:instrText xml:space="preserve"> HYPERLINK \l "_Toc137664547" </w:instrText>
      </w:r>
      <w:r>
        <w:fldChar w:fldCharType="separate"/>
      </w:r>
      <w:r>
        <w:rPr>
          <w:rStyle w:val="38"/>
          <w:rFonts w:hint="default" w:ascii="宋体" w:hAnsi="宋体" w:eastAsia="宋体" w:cs="宋体"/>
          <w:b/>
        </w:rPr>
        <w:t>附件17：</w:t>
      </w:r>
      <w:r>
        <w:rPr>
          <w:rStyle w:val="38"/>
          <w:rFonts w:hint="default" w:ascii="宋体" w:hAnsi="宋体" w:eastAsia="宋体" w:cs="宋体"/>
          <w:b/>
        </w:rPr>
        <w:fldChar w:fldCharType="end"/>
      </w:r>
      <w:r>
        <w:fldChar w:fldCharType="begin"/>
      </w:r>
      <w:r>
        <w:instrText xml:space="preserve"> HYPERLINK \l "_Toc137664548" </w:instrText>
      </w:r>
      <w:r>
        <w:fldChar w:fldCharType="separate"/>
      </w:r>
      <w:r>
        <w:rPr>
          <w:rStyle w:val="38"/>
          <w:rFonts w:hint="default" w:ascii="宋体" w:hAnsi="宋体" w:eastAsia="宋体" w:cs="宋体"/>
          <w:b/>
        </w:rPr>
        <w:t>服务方案</w:t>
      </w:r>
      <w:r>
        <w:rPr>
          <w:b/>
        </w:rPr>
        <w:tab/>
      </w:r>
      <w:r>
        <w:rPr>
          <w:b/>
        </w:rPr>
        <w:fldChar w:fldCharType="begin"/>
      </w:r>
      <w:r>
        <w:rPr>
          <w:b/>
        </w:rPr>
        <w:instrText xml:space="preserve"> PAGEREF _Toc137664548 \h </w:instrText>
      </w:r>
      <w:r>
        <w:rPr>
          <w:b/>
        </w:rPr>
        <w:fldChar w:fldCharType="separate"/>
      </w:r>
      <w:r>
        <w:rPr>
          <w:b/>
        </w:rPr>
        <w:t>- 54 -</w:t>
      </w:r>
      <w:r>
        <w:rPr>
          <w:b/>
        </w:rPr>
        <w:fldChar w:fldCharType="end"/>
      </w:r>
      <w:r>
        <w:rPr>
          <w:b/>
        </w:rPr>
        <w:fldChar w:fldCharType="end"/>
      </w:r>
    </w:p>
    <w:p>
      <w:pPr>
        <w:pStyle w:val="24"/>
        <w:tabs>
          <w:tab w:val="right" w:leader="dot" w:pos="8494"/>
        </w:tabs>
        <w:spacing w:line="360" w:lineRule="auto"/>
        <w:ind w:firstLine="420" w:firstLineChars="200"/>
        <w:rPr>
          <w:rFonts w:asciiTheme="minorHAnsi" w:hAnsiTheme="minorHAnsi" w:eastAsiaTheme="minorEastAsia" w:cstheme="minorBidi"/>
          <w:b/>
          <w:szCs w:val="22"/>
          <w14:ligatures w14:val="standardContextual"/>
        </w:rPr>
      </w:pPr>
      <w:r>
        <w:fldChar w:fldCharType="begin"/>
      </w:r>
      <w:r>
        <w:instrText xml:space="preserve"> HYPERLINK \l "_Toc137664550" </w:instrText>
      </w:r>
      <w:r>
        <w:fldChar w:fldCharType="separate"/>
      </w:r>
      <w:r>
        <w:rPr>
          <w:rStyle w:val="38"/>
          <w:rFonts w:hint="default" w:ascii="宋体" w:hAnsi="宋体" w:eastAsia="宋体" w:cs="宋体"/>
          <w:b/>
        </w:rPr>
        <w:t>附件18：</w:t>
      </w:r>
      <w:r>
        <w:rPr>
          <w:rStyle w:val="38"/>
          <w:rFonts w:hint="default" w:ascii="宋体" w:hAnsi="宋体" w:eastAsia="宋体" w:cs="宋体"/>
          <w:b/>
        </w:rPr>
        <w:fldChar w:fldCharType="end"/>
      </w:r>
      <w:r>
        <w:fldChar w:fldCharType="begin"/>
      </w:r>
      <w:r>
        <w:instrText xml:space="preserve"> HYPERLINK \l "_Toc137664551" </w:instrText>
      </w:r>
      <w:r>
        <w:fldChar w:fldCharType="separate"/>
      </w:r>
      <w:r>
        <w:rPr>
          <w:rStyle w:val="38"/>
          <w:rFonts w:hint="default" w:ascii="宋体" w:hAnsi="宋体" w:eastAsia="宋体" w:cs="宋体"/>
          <w:b/>
        </w:rPr>
        <w:t>要求提供的其它材料以及供应商认为需要提交的材料</w:t>
      </w:r>
      <w:r>
        <w:rPr>
          <w:b/>
        </w:rPr>
        <w:tab/>
      </w:r>
      <w:r>
        <w:rPr>
          <w:b/>
        </w:rPr>
        <w:fldChar w:fldCharType="begin"/>
      </w:r>
      <w:r>
        <w:rPr>
          <w:b/>
        </w:rPr>
        <w:instrText xml:space="preserve"> PAGEREF _Toc137664551 \h </w:instrText>
      </w:r>
      <w:r>
        <w:rPr>
          <w:b/>
        </w:rPr>
        <w:fldChar w:fldCharType="separate"/>
      </w:r>
      <w:r>
        <w:rPr>
          <w:b/>
        </w:rPr>
        <w:t>- 55 -</w:t>
      </w:r>
      <w:r>
        <w:rPr>
          <w:b/>
        </w:rPr>
        <w:fldChar w:fldCharType="end"/>
      </w:r>
      <w:r>
        <w:rPr>
          <w:b/>
        </w:rPr>
        <w:fldChar w:fldCharType="end"/>
      </w:r>
    </w:p>
    <w:p>
      <w:pPr>
        <w:spacing w:line="360" w:lineRule="auto"/>
        <w:jc w:val="center"/>
        <w:rPr>
          <w:rFonts w:ascii="宋体" w:hAnsi="宋体" w:cs="宋体"/>
          <w:b/>
          <w:sz w:val="44"/>
          <w:szCs w:val="44"/>
        </w:rPr>
        <w:sectPr>
          <w:pgSz w:w="11906" w:h="16838"/>
          <w:pgMar w:top="1418" w:right="1701" w:bottom="1418" w:left="1701" w:header="851" w:footer="992" w:gutter="0"/>
          <w:pgNumType w:start="1"/>
          <w:cols w:space="720" w:num="1"/>
          <w:docGrid w:type="lines" w:linePitch="312" w:charSpace="0"/>
        </w:sectPr>
      </w:pPr>
      <w:r>
        <w:rPr>
          <w:rFonts w:hint="eastAsia" w:ascii="宋体" w:hAnsi="宋体" w:cs="宋体"/>
          <w:b/>
          <w:szCs w:val="44"/>
        </w:rPr>
        <w:fldChar w:fldCharType="end"/>
      </w:r>
    </w:p>
    <w:p>
      <w:pPr>
        <w:spacing w:line="360" w:lineRule="auto"/>
        <w:jc w:val="center"/>
        <w:rPr>
          <w:rFonts w:ascii="宋体" w:hAnsi="宋体" w:cs="宋体"/>
          <w:b/>
          <w:sz w:val="36"/>
          <w:szCs w:val="36"/>
        </w:rPr>
      </w:pPr>
      <w:r>
        <w:rPr>
          <w:rFonts w:hint="eastAsia" w:ascii="宋体" w:hAnsi="宋体" w:cs="宋体"/>
          <w:b/>
          <w:sz w:val="44"/>
          <w:szCs w:val="44"/>
        </w:rPr>
        <w:t>特 别 提 示</w:t>
      </w:r>
      <w:bookmarkEnd w:id="4"/>
      <w:bookmarkEnd w:id="5"/>
      <w:bookmarkEnd w:id="6"/>
      <w:bookmarkEnd w:id="7"/>
      <w:bookmarkEnd w:id="8"/>
    </w:p>
    <w:p>
      <w:pPr>
        <w:rPr>
          <w:rFonts w:ascii="宋体" w:hAnsi="宋体" w:cs="宋体"/>
          <w:b/>
          <w:bCs/>
          <w:sz w:val="28"/>
          <w:szCs w:val="28"/>
        </w:rPr>
      </w:pPr>
      <w:r>
        <w:rPr>
          <w:rFonts w:hint="eastAsia" w:ascii="宋体" w:hAnsi="宋体" w:cs="宋体"/>
          <w:b/>
          <w:bCs/>
          <w:sz w:val="28"/>
          <w:szCs w:val="28"/>
        </w:rPr>
        <w:t>各供应商：</w:t>
      </w:r>
    </w:p>
    <w:p>
      <w:pPr>
        <w:rPr>
          <w:rFonts w:ascii="宋体" w:hAnsi="宋体" w:cs="宋体"/>
          <w:b/>
          <w:bCs/>
          <w:sz w:val="28"/>
          <w:szCs w:val="28"/>
        </w:rPr>
      </w:pPr>
      <w:r>
        <w:rPr>
          <w:rFonts w:hint="eastAsia" w:ascii="宋体" w:hAnsi="宋体" w:cs="宋体"/>
          <w:b/>
          <w:bCs/>
          <w:sz w:val="28"/>
          <w:szCs w:val="28"/>
        </w:rPr>
        <w:t xml:space="preserve">    在参与本次采购项目投标时，请按竞争性磋商文件中规定的可能导致无效投标、废标、黑体字要求的内容逐条响应,若不响应将导致投标失败。</w:t>
      </w:r>
      <w:bookmarkStart w:id="9" w:name="_Toc16329"/>
      <w:bookmarkStart w:id="10" w:name="_Toc10095"/>
      <w:bookmarkStart w:id="11" w:name="_Toc3329"/>
      <w:bookmarkStart w:id="12" w:name="_Toc22470"/>
    </w:p>
    <w:p>
      <w:pPr>
        <w:jc w:val="center"/>
        <w:rPr>
          <w:rFonts w:ascii="宋体" w:hAnsi="宋体" w:cs="宋体"/>
          <w:b/>
          <w:bCs/>
          <w:sz w:val="32"/>
          <w:szCs w:val="21"/>
        </w:rPr>
        <w:sectPr>
          <w:pgSz w:w="11906" w:h="16838"/>
          <w:pgMar w:top="1418" w:right="1701" w:bottom="1418" w:left="1701" w:header="851" w:footer="992" w:gutter="0"/>
          <w:pgNumType w:start="1"/>
          <w:cols w:space="720" w:num="1"/>
          <w:docGrid w:type="lines" w:linePitch="312" w:charSpace="0"/>
        </w:sectPr>
      </w:pPr>
    </w:p>
    <w:p>
      <w:pPr>
        <w:spacing w:line="360" w:lineRule="auto"/>
        <w:jc w:val="center"/>
        <w:outlineLvl w:val="0"/>
        <w:rPr>
          <w:rStyle w:val="67"/>
          <w:rFonts w:ascii="宋体" w:hAnsi="宋体" w:eastAsia="宋体" w:cs="宋体"/>
          <w:b/>
          <w:bCs/>
          <w:sz w:val="32"/>
          <w:szCs w:val="32"/>
        </w:rPr>
      </w:pPr>
      <w:bookmarkStart w:id="13" w:name="_Toc137664488"/>
      <w:r>
        <w:rPr>
          <w:rStyle w:val="67"/>
          <w:rFonts w:hint="eastAsia" w:ascii="宋体" w:hAnsi="宋体" w:eastAsia="宋体" w:cs="宋体"/>
          <w:b/>
          <w:bCs/>
          <w:sz w:val="32"/>
          <w:szCs w:val="32"/>
        </w:rPr>
        <w:t xml:space="preserve">第一章 </w:t>
      </w:r>
      <w:bookmarkEnd w:id="9"/>
      <w:bookmarkEnd w:id="10"/>
      <w:bookmarkEnd w:id="11"/>
      <w:bookmarkEnd w:id="12"/>
      <w:r>
        <w:rPr>
          <w:rStyle w:val="67"/>
          <w:rFonts w:hint="eastAsia" w:ascii="宋体" w:hAnsi="宋体" w:eastAsia="宋体" w:cs="宋体"/>
          <w:b/>
          <w:bCs/>
          <w:sz w:val="32"/>
          <w:szCs w:val="32"/>
        </w:rPr>
        <w:t>竞争性磋商公告</w:t>
      </w:r>
      <w:bookmarkEnd w:id="13"/>
    </w:p>
    <w:p>
      <w:pPr>
        <w:spacing w:line="360" w:lineRule="auto"/>
        <w:rPr>
          <w:rFonts w:ascii="宋体" w:hAnsi="宋体" w:cs="宋体"/>
          <w:sz w:val="24"/>
          <w:szCs w:val="24"/>
        </w:rPr>
      </w:pPr>
      <w:bookmarkStart w:id="14" w:name="_Toc31575"/>
      <w:bookmarkStart w:id="15" w:name="_Toc28183"/>
      <w:bookmarkStart w:id="16" w:name="_Toc21191"/>
      <w:bookmarkStart w:id="17" w:name="_Toc3183"/>
      <w:r>
        <w:rPr>
          <w:rFonts w:hint="eastAsia" w:ascii="宋体" w:hAnsi="宋体" w:cs="宋体"/>
          <w:b/>
          <w:bCs/>
          <w:sz w:val="24"/>
          <w:szCs w:val="24"/>
        </w:rPr>
        <w:t xml:space="preserve">项目概况    </w:t>
      </w:r>
      <w:r>
        <w:rPr>
          <w:rFonts w:hint="eastAsia" w:ascii="宋体" w:hAnsi="宋体" w:cs="宋体"/>
          <w:sz w:val="24"/>
          <w:szCs w:val="24"/>
        </w:rPr>
        <w:t>       </w:t>
      </w:r>
    </w:p>
    <w:p>
      <w:pPr>
        <w:spacing w:line="360" w:lineRule="auto"/>
        <w:rPr>
          <w:rFonts w:ascii="宋体" w:hAnsi="宋体" w:cs="宋体"/>
          <w:sz w:val="24"/>
          <w:szCs w:val="24"/>
        </w:rPr>
      </w:pPr>
      <w:r>
        <w:rPr>
          <w:rFonts w:hint="eastAsia" w:ascii="宋体" w:hAnsi="宋体" w:cs="宋体"/>
          <w:sz w:val="24"/>
          <w:szCs w:val="24"/>
        </w:rPr>
        <w:t>    2023年库尔勒经济技术开发区园林绿地测绘项目的潜在供应商应在政采云平台http://www.zcygov.cn/在线申请获取竞争性磋商文件，并于</w:t>
      </w:r>
      <w:r>
        <w:rPr>
          <w:rFonts w:hint="eastAsia" w:ascii="宋体" w:hAnsi="宋体" w:cs="宋体"/>
          <w:sz w:val="24"/>
          <w:szCs w:val="24"/>
          <w:lang w:eastAsia="zh-CN"/>
        </w:rPr>
        <w:t>2023年07月05日</w:t>
      </w:r>
      <w:r>
        <w:rPr>
          <w:rFonts w:hint="eastAsia" w:ascii="宋体" w:hAnsi="宋体" w:cs="宋体"/>
          <w:sz w:val="24"/>
          <w:szCs w:val="24"/>
        </w:rPr>
        <w:t>10时</w:t>
      </w:r>
      <w:r>
        <w:rPr>
          <w:rFonts w:ascii="宋体" w:hAnsi="宋体" w:cs="宋体"/>
          <w:sz w:val="24"/>
          <w:szCs w:val="24"/>
        </w:rPr>
        <w:t>3</w:t>
      </w:r>
      <w:r>
        <w:rPr>
          <w:rFonts w:hint="eastAsia" w:ascii="宋体" w:hAnsi="宋体" w:cs="宋体"/>
          <w:sz w:val="24"/>
          <w:szCs w:val="24"/>
        </w:rPr>
        <w:t>0分（北京时间）前递交响应文件。</w:t>
      </w:r>
    </w:p>
    <w:p>
      <w:pPr>
        <w:spacing w:line="360" w:lineRule="auto"/>
        <w:outlineLvl w:val="1"/>
        <w:rPr>
          <w:rFonts w:ascii="宋体" w:hAnsi="宋体" w:cs="宋体"/>
          <w:b/>
          <w:bCs/>
          <w:sz w:val="24"/>
          <w:szCs w:val="24"/>
        </w:rPr>
      </w:pPr>
      <w:bookmarkStart w:id="18" w:name="_Toc29932"/>
      <w:bookmarkStart w:id="19" w:name="_Toc8210"/>
      <w:bookmarkStart w:id="20" w:name="_Toc5280"/>
      <w:bookmarkStart w:id="21" w:name="_Toc137663939"/>
      <w:bookmarkStart w:id="22" w:name="_Toc137664489"/>
      <w:r>
        <w:rPr>
          <w:rFonts w:hint="eastAsia" w:ascii="宋体" w:hAnsi="宋体" w:cs="宋体"/>
          <w:b/>
          <w:bCs/>
          <w:sz w:val="24"/>
          <w:szCs w:val="24"/>
        </w:rPr>
        <w:t>一、项目基本情况</w:t>
      </w:r>
      <w:bookmarkEnd w:id="18"/>
      <w:bookmarkEnd w:id="19"/>
      <w:bookmarkEnd w:id="20"/>
      <w:bookmarkEnd w:id="21"/>
      <w:bookmarkEnd w:id="22"/>
    </w:p>
    <w:p>
      <w:pPr>
        <w:spacing w:line="360" w:lineRule="auto"/>
        <w:ind w:firstLine="484" w:firstLineChars="200"/>
        <w:rPr>
          <w:rFonts w:ascii="宋体" w:hAnsi="宋体" w:cs="宋体"/>
          <w:sz w:val="24"/>
          <w:szCs w:val="24"/>
        </w:rPr>
      </w:pPr>
      <w:r>
        <w:rPr>
          <w:rFonts w:hint="eastAsia" w:ascii="宋体" w:hAnsi="宋体" w:cs="宋体"/>
          <w:sz w:val="24"/>
          <w:szCs w:val="24"/>
        </w:rPr>
        <w:t>项目编号：ZQZ(CG)-2023-004</w:t>
      </w:r>
    </w:p>
    <w:p>
      <w:pPr>
        <w:spacing w:line="360" w:lineRule="auto"/>
        <w:ind w:firstLine="484" w:firstLineChars="200"/>
        <w:rPr>
          <w:rFonts w:ascii="宋体" w:hAnsi="宋体" w:cs="宋体"/>
          <w:sz w:val="24"/>
          <w:szCs w:val="24"/>
        </w:rPr>
      </w:pPr>
      <w:r>
        <w:rPr>
          <w:rFonts w:hint="eastAsia" w:ascii="宋体" w:hAnsi="宋体" w:cs="宋体"/>
          <w:sz w:val="24"/>
          <w:szCs w:val="24"/>
        </w:rPr>
        <w:t>项目名称：2023年库尔勒经济技术开发区园林绿地测绘项目</w:t>
      </w:r>
    </w:p>
    <w:p>
      <w:pPr>
        <w:pStyle w:val="29"/>
        <w:widowControl w:val="0"/>
        <w:spacing w:line="360" w:lineRule="auto"/>
        <w:ind w:firstLine="484" w:firstLineChars="200"/>
      </w:pPr>
      <w:r>
        <w:rPr>
          <w:rFonts w:hint="eastAsia"/>
        </w:rPr>
        <w:t>采购方式：竞争性磋商</w:t>
      </w:r>
    </w:p>
    <w:p>
      <w:pPr>
        <w:spacing w:line="360" w:lineRule="auto"/>
        <w:ind w:firstLine="484" w:firstLineChars="200"/>
        <w:rPr>
          <w:rFonts w:ascii="宋体" w:hAnsi="宋体" w:cs="宋体"/>
          <w:sz w:val="24"/>
          <w:szCs w:val="24"/>
        </w:rPr>
      </w:pPr>
      <w:r>
        <w:rPr>
          <w:rFonts w:hint="eastAsia" w:ascii="宋体" w:hAnsi="宋体" w:cs="宋体"/>
          <w:sz w:val="24"/>
          <w:szCs w:val="24"/>
        </w:rPr>
        <w:t>预算金额：</w:t>
      </w:r>
      <w:r>
        <w:rPr>
          <w:rFonts w:ascii="宋体" w:hAnsi="宋体" w:cs="宋体"/>
          <w:sz w:val="24"/>
          <w:szCs w:val="24"/>
        </w:rPr>
        <w:t>13</w:t>
      </w:r>
      <w:r>
        <w:rPr>
          <w:rFonts w:hint="eastAsia" w:ascii="宋体" w:hAnsi="宋体" w:cs="宋体"/>
          <w:sz w:val="24"/>
          <w:szCs w:val="24"/>
        </w:rPr>
        <w:t>万元</w:t>
      </w:r>
    </w:p>
    <w:p>
      <w:pPr>
        <w:spacing w:line="360" w:lineRule="auto"/>
        <w:ind w:firstLine="484" w:firstLineChars="200"/>
        <w:rPr>
          <w:rFonts w:ascii="宋体" w:hAnsi="宋体" w:cs="宋体"/>
          <w:sz w:val="24"/>
          <w:szCs w:val="24"/>
        </w:rPr>
      </w:pPr>
      <w:r>
        <w:rPr>
          <w:rFonts w:hint="eastAsia" w:ascii="宋体" w:hAnsi="宋体" w:cs="宋体"/>
          <w:sz w:val="24"/>
          <w:szCs w:val="24"/>
        </w:rPr>
        <w:t>采购需求：对二期道路绿化、白鹭河游步道、开发大道主入口及零星地块等区域进行测绘。</w:t>
      </w:r>
    </w:p>
    <w:p>
      <w:pPr>
        <w:spacing w:line="360" w:lineRule="auto"/>
        <w:ind w:firstLine="484" w:firstLineChars="200"/>
        <w:rPr>
          <w:rFonts w:ascii="宋体" w:hAnsi="宋体" w:cs="宋体"/>
          <w:sz w:val="24"/>
          <w:szCs w:val="24"/>
        </w:rPr>
      </w:pPr>
      <w:r>
        <w:rPr>
          <w:rFonts w:hint="eastAsia" w:ascii="宋体" w:hAnsi="宋体" w:cs="宋体"/>
          <w:sz w:val="24"/>
          <w:szCs w:val="24"/>
        </w:rPr>
        <w:t>合同履行期限：合同签订后</w:t>
      </w:r>
      <w:r>
        <w:rPr>
          <w:rFonts w:ascii="宋体" w:hAnsi="宋体" w:cs="宋体"/>
          <w:sz w:val="24"/>
          <w:szCs w:val="24"/>
        </w:rPr>
        <w:t>15</w:t>
      </w:r>
      <w:r>
        <w:rPr>
          <w:rFonts w:hint="eastAsia" w:ascii="宋体" w:hAnsi="宋体" w:cs="宋体"/>
          <w:sz w:val="24"/>
          <w:szCs w:val="24"/>
        </w:rPr>
        <w:t>日内完成。</w:t>
      </w:r>
    </w:p>
    <w:p>
      <w:pPr>
        <w:spacing w:line="360" w:lineRule="auto"/>
        <w:outlineLvl w:val="1"/>
        <w:rPr>
          <w:rFonts w:ascii="宋体" w:hAnsi="宋体" w:cs="宋体"/>
          <w:sz w:val="24"/>
          <w:szCs w:val="24"/>
        </w:rPr>
      </w:pPr>
      <w:bookmarkStart w:id="23" w:name="_Toc17633"/>
      <w:bookmarkStart w:id="24" w:name="_Toc137664490"/>
      <w:bookmarkStart w:id="25" w:name="_Toc8716"/>
      <w:bookmarkStart w:id="26" w:name="_Toc11731"/>
      <w:bookmarkStart w:id="27" w:name="_Toc137663940"/>
      <w:r>
        <w:rPr>
          <w:rFonts w:hint="eastAsia" w:ascii="宋体" w:hAnsi="宋体" w:cs="宋体"/>
          <w:sz w:val="24"/>
          <w:szCs w:val="24"/>
        </w:rPr>
        <w:t>二、申请人的资格要求：</w:t>
      </w:r>
      <w:bookmarkEnd w:id="23"/>
      <w:bookmarkEnd w:id="24"/>
      <w:bookmarkEnd w:id="25"/>
      <w:bookmarkEnd w:id="26"/>
      <w:bookmarkEnd w:id="27"/>
    </w:p>
    <w:p>
      <w:pPr>
        <w:spacing w:line="360" w:lineRule="auto"/>
        <w:ind w:firstLine="484" w:firstLineChars="200"/>
        <w:rPr>
          <w:rFonts w:ascii="宋体" w:hAnsi="宋体" w:cs="宋体"/>
          <w:b/>
          <w:bCs/>
          <w:sz w:val="24"/>
          <w:szCs w:val="24"/>
        </w:rPr>
      </w:pPr>
      <w:r>
        <w:rPr>
          <w:rFonts w:hint="eastAsia" w:ascii="宋体" w:hAnsi="宋体" w:cs="宋体"/>
          <w:b/>
          <w:bCs/>
          <w:sz w:val="24"/>
          <w:szCs w:val="24"/>
        </w:rPr>
        <w:t>1、满足《中华人民共和国政府采购法》第二十二条规定。</w:t>
      </w:r>
    </w:p>
    <w:p>
      <w:pPr>
        <w:spacing w:line="360" w:lineRule="auto"/>
        <w:ind w:firstLine="484" w:firstLineChars="200"/>
        <w:rPr>
          <w:rFonts w:ascii="宋体" w:hAnsi="宋体" w:cs="宋体"/>
          <w:sz w:val="24"/>
          <w:szCs w:val="24"/>
        </w:rPr>
      </w:pPr>
      <w:r>
        <w:rPr>
          <w:rFonts w:hint="eastAsia" w:ascii="宋体" w:hAnsi="宋体" w:cs="宋体"/>
          <w:sz w:val="24"/>
          <w:szCs w:val="24"/>
        </w:rPr>
        <w:t>（1）在中华人民共和国境内依法注册的、具有独立承担民事责任的能力；</w:t>
      </w:r>
    </w:p>
    <w:p>
      <w:pPr>
        <w:spacing w:line="360" w:lineRule="auto"/>
        <w:ind w:firstLine="484" w:firstLineChars="200"/>
        <w:rPr>
          <w:rFonts w:ascii="宋体" w:hAnsi="宋体" w:cs="宋体"/>
          <w:sz w:val="24"/>
          <w:szCs w:val="24"/>
        </w:rPr>
      </w:pPr>
      <w:r>
        <w:rPr>
          <w:rFonts w:hint="eastAsia" w:ascii="宋体" w:hAnsi="宋体" w:cs="宋体"/>
          <w:sz w:val="24"/>
          <w:szCs w:val="24"/>
        </w:rPr>
        <w:t>（2）具有良好的商业信誉和健全的财务会计制度；</w:t>
      </w:r>
    </w:p>
    <w:p>
      <w:pPr>
        <w:spacing w:line="360" w:lineRule="auto"/>
        <w:ind w:firstLine="484" w:firstLineChars="200"/>
        <w:rPr>
          <w:rFonts w:ascii="宋体" w:hAnsi="宋体" w:cs="宋体"/>
          <w:sz w:val="24"/>
          <w:szCs w:val="24"/>
        </w:rPr>
      </w:pPr>
      <w:r>
        <w:rPr>
          <w:rFonts w:hint="eastAsia" w:ascii="宋体" w:hAnsi="宋体" w:cs="宋体"/>
          <w:sz w:val="24"/>
          <w:szCs w:val="24"/>
        </w:rPr>
        <w:t>（3）具有依法缴纳税收和社会保障资金的良好记录；</w:t>
      </w:r>
    </w:p>
    <w:p>
      <w:pPr>
        <w:spacing w:line="360" w:lineRule="auto"/>
        <w:ind w:firstLine="484" w:firstLineChars="200"/>
        <w:rPr>
          <w:rFonts w:ascii="宋体" w:hAnsi="宋体" w:cs="宋体"/>
          <w:sz w:val="24"/>
          <w:szCs w:val="24"/>
        </w:rPr>
      </w:pPr>
      <w:r>
        <w:rPr>
          <w:rFonts w:hint="eastAsia" w:ascii="宋体" w:hAnsi="宋体" w:cs="宋体"/>
          <w:sz w:val="24"/>
          <w:szCs w:val="24"/>
        </w:rPr>
        <w:t>（4）参加政府采购活动前三年内，在经营活动中没有重大违法记录；</w:t>
      </w:r>
    </w:p>
    <w:p>
      <w:pPr>
        <w:spacing w:line="360" w:lineRule="auto"/>
        <w:ind w:firstLine="484" w:firstLineChars="200"/>
        <w:rPr>
          <w:rFonts w:ascii="宋体" w:hAnsi="宋体" w:cs="宋体"/>
          <w:sz w:val="24"/>
          <w:szCs w:val="24"/>
        </w:rPr>
      </w:pPr>
      <w:r>
        <w:rPr>
          <w:rFonts w:hint="eastAsia" w:ascii="宋体" w:hAnsi="宋体" w:cs="宋体"/>
          <w:sz w:val="24"/>
          <w:szCs w:val="24"/>
        </w:rPr>
        <w:t>（5）投标人不能是被列入“信用中国”网站(www.creditchina.gov.cn)失信被执行人、重大税收违法案件当事人名单的供应商，不能是被列入“中国政府采购网”网站（www.ccgp.gov.cn）政府采购严重违法失信行为记录名单中仍在处罚期被禁止参加政府采购活动的供应商；</w:t>
      </w:r>
    </w:p>
    <w:p>
      <w:pPr>
        <w:spacing w:line="360" w:lineRule="auto"/>
        <w:ind w:firstLine="484" w:firstLineChars="200"/>
        <w:rPr>
          <w:rFonts w:ascii="宋体" w:hAnsi="宋体" w:cs="宋体"/>
          <w:sz w:val="24"/>
          <w:szCs w:val="24"/>
        </w:rPr>
      </w:pPr>
      <w:r>
        <w:rPr>
          <w:rFonts w:hint="eastAsia" w:ascii="宋体" w:hAnsi="宋体" w:cs="宋体"/>
          <w:sz w:val="24"/>
          <w:szCs w:val="24"/>
        </w:rPr>
        <w:t>（6）单位负责人为同一人或者存在直接控股、管理关系的不同供应商，不得参加同一合同项下的政府采购活动；</w:t>
      </w:r>
    </w:p>
    <w:p>
      <w:pPr>
        <w:spacing w:line="360" w:lineRule="auto"/>
        <w:ind w:firstLine="484" w:firstLineChars="200"/>
        <w:rPr>
          <w:rFonts w:ascii="宋体" w:hAnsi="宋体" w:cs="宋体"/>
          <w:sz w:val="24"/>
          <w:szCs w:val="24"/>
        </w:rPr>
      </w:pPr>
      <w:r>
        <w:rPr>
          <w:rFonts w:hint="eastAsia" w:ascii="宋体" w:hAnsi="宋体" w:cs="宋体"/>
          <w:sz w:val="24"/>
          <w:szCs w:val="24"/>
        </w:rPr>
        <w:t>（7）为充分保证完善的售后服务，本项目不接受联合体投标。</w:t>
      </w:r>
    </w:p>
    <w:p>
      <w:pPr>
        <w:spacing w:line="360" w:lineRule="auto"/>
        <w:ind w:firstLine="484" w:firstLineChars="200"/>
        <w:rPr>
          <w:rFonts w:ascii="宋体" w:hAnsi="宋体" w:cs="宋体"/>
          <w:b/>
          <w:bCs/>
          <w:sz w:val="24"/>
          <w:szCs w:val="24"/>
        </w:rPr>
      </w:pPr>
      <w:r>
        <w:rPr>
          <w:rFonts w:hint="eastAsia" w:ascii="宋体" w:hAnsi="宋体" w:cs="宋体"/>
          <w:b/>
          <w:bCs/>
          <w:sz w:val="24"/>
          <w:szCs w:val="24"/>
        </w:rPr>
        <w:t>2、落实政府采购政策需满足的资格要求：</w:t>
      </w:r>
    </w:p>
    <w:p>
      <w:pPr>
        <w:spacing w:line="360" w:lineRule="auto"/>
        <w:ind w:firstLine="484" w:firstLineChars="200"/>
        <w:rPr>
          <w:rFonts w:ascii="宋体" w:hAnsi="宋体" w:cs="宋体"/>
          <w:b/>
          <w:bCs/>
          <w:sz w:val="24"/>
          <w:szCs w:val="24"/>
        </w:rPr>
      </w:pPr>
      <w:r>
        <w:rPr>
          <w:rFonts w:hint="eastAsia" w:ascii="宋体" w:hAnsi="宋体" w:cs="宋体"/>
          <w:sz w:val="24"/>
          <w:szCs w:val="24"/>
        </w:rPr>
        <w:t>本项目为专门面向中小企业采购项目</w:t>
      </w:r>
    </w:p>
    <w:p>
      <w:pPr>
        <w:spacing w:line="360" w:lineRule="auto"/>
        <w:ind w:firstLine="484" w:firstLineChars="200"/>
        <w:rPr>
          <w:rFonts w:ascii="宋体" w:hAnsi="宋体" w:cs="宋体"/>
          <w:b/>
          <w:bCs/>
          <w:sz w:val="24"/>
          <w:szCs w:val="24"/>
        </w:rPr>
      </w:pPr>
      <w:r>
        <w:rPr>
          <w:rFonts w:ascii="宋体" w:hAnsi="宋体" w:cs="宋体"/>
          <w:b/>
          <w:bCs/>
          <w:sz w:val="24"/>
          <w:szCs w:val="24"/>
        </w:rPr>
        <w:t>3</w:t>
      </w:r>
      <w:r>
        <w:rPr>
          <w:rFonts w:hint="eastAsia" w:ascii="宋体" w:hAnsi="宋体" w:cs="宋体"/>
          <w:b/>
          <w:bCs/>
          <w:sz w:val="24"/>
          <w:szCs w:val="24"/>
        </w:rPr>
        <w:t>、本项目的特定资格要求：</w:t>
      </w:r>
    </w:p>
    <w:p>
      <w:pPr>
        <w:spacing w:line="360" w:lineRule="auto"/>
        <w:ind w:firstLine="484" w:firstLineChars="200"/>
        <w:rPr>
          <w:rFonts w:ascii="宋体" w:hAnsi="宋体" w:cs="宋体"/>
          <w:color w:val="FF0000"/>
          <w:sz w:val="24"/>
          <w:szCs w:val="24"/>
        </w:rPr>
      </w:pPr>
      <w:r>
        <w:rPr>
          <w:rFonts w:hint="eastAsia" w:ascii="宋体" w:hAnsi="宋体" w:cs="宋体"/>
          <w:sz w:val="24"/>
          <w:szCs w:val="24"/>
        </w:rPr>
        <w:t>具有测绘乙级及以上资质。</w:t>
      </w:r>
    </w:p>
    <w:p>
      <w:pPr>
        <w:spacing w:line="360" w:lineRule="auto"/>
        <w:outlineLvl w:val="1"/>
        <w:rPr>
          <w:rFonts w:ascii="宋体" w:hAnsi="宋体" w:cs="宋体"/>
          <w:b/>
          <w:bCs/>
          <w:sz w:val="24"/>
          <w:szCs w:val="24"/>
        </w:rPr>
      </w:pPr>
      <w:bookmarkStart w:id="28" w:name="_Toc20229"/>
      <w:bookmarkStart w:id="29" w:name="_Toc28883"/>
      <w:bookmarkStart w:id="30" w:name="_Toc137663941"/>
      <w:bookmarkStart w:id="31" w:name="_Toc17714"/>
      <w:bookmarkStart w:id="32" w:name="_Toc137664491"/>
      <w:r>
        <w:rPr>
          <w:rFonts w:hint="eastAsia" w:ascii="宋体" w:hAnsi="宋体" w:cs="宋体"/>
          <w:b/>
          <w:bCs/>
          <w:sz w:val="24"/>
          <w:szCs w:val="24"/>
        </w:rPr>
        <w:t>三、获取竞争性磋商文件</w:t>
      </w:r>
      <w:bookmarkEnd w:id="28"/>
      <w:bookmarkEnd w:id="29"/>
      <w:bookmarkEnd w:id="30"/>
      <w:bookmarkEnd w:id="31"/>
      <w:bookmarkEnd w:id="32"/>
    </w:p>
    <w:p>
      <w:pPr>
        <w:spacing w:line="360" w:lineRule="auto"/>
        <w:ind w:firstLine="484" w:firstLineChars="200"/>
        <w:rPr>
          <w:rFonts w:ascii="宋体" w:hAnsi="宋体" w:cs="宋体"/>
          <w:sz w:val="24"/>
          <w:szCs w:val="24"/>
        </w:rPr>
      </w:pPr>
      <w:r>
        <w:rPr>
          <w:rFonts w:hint="eastAsia" w:ascii="宋体" w:hAnsi="宋体" w:cs="宋体"/>
          <w:sz w:val="24"/>
          <w:szCs w:val="24"/>
        </w:rPr>
        <w:t>时间：2023年0</w:t>
      </w:r>
      <w:r>
        <w:rPr>
          <w:rFonts w:ascii="宋体" w:hAnsi="宋体" w:cs="宋体"/>
          <w:sz w:val="24"/>
          <w:szCs w:val="24"/>
        </w:rPr>
        <w:t>6</w:t>
      </w:r>
      <w:r>
        <w:rPr>
          <w:rFonts w:hint="eastAsia" w:ascii="宋体" w:hAnsi="宋体" w:cs="宋体"/>
          <w:sz w:val="24"/>
          <w:szCs w:val="24"/>
        </w:rPr>
        <w:t>月</w:t>
      </w:r>
      <w:r>
        <w:rPr>
          <w:rFonts w:ascii="宋体" w:hAnsi="宋体" w:cs="宋体"/>
          <w:sz w:val="24"/>
          <w:szCs w:val="24"/>
        </w:rPr>
        <w:t>2</w:t>
      </w:r>
      <w:r>
        <w:rPr>
          <w:rFonts w:hint="eastAsia" w:ascii="宋体" w:hAnsi="宋体" w:cs="宋体"/>
          <w:sz w:val="24"/>
          <w:szCs w:val="24"/>
          <w:lang w:val="en-US" w:eastAsia="zh-CN"/>
        </w:rPr>
        <w:t>5</w:t>
      </w:r>
      <w:r>
        <w:rPr>
          <w:rFonts w:hint="eastAsia" w:ascii="宋体" w:hAnsi="宋体" w:cs="宋体"/>
          <w:sz w:val="24"/>
          <w:szCs w:val="24"/>
        </w:rPr>
        <w:t>日至</w:t>
      </w:r>
      <w:r>
        <w:rPr>
          <w:rFonts w:hint="eastAsia" w:ascii="宋体" w:hAnsi="宋体" w:cs="宋体"/>
          <w:sz w:val="24"/>
          <w:szCs w:val="24"/>
          <w:lang w:eastAsia="zh-CN"/>
        </w:rPr>
        <w:t>2023年07月05日</w:t>
      </w:r>
      <w:r>
        <w:rPr>
          <w:rFonts w:hint="eastAsia" w:ascii="宋体" w:hAnsi="宋体" w:cs="宋体"/>
          <w:sz w:val="24"/>
          <w:szCs w:val="24"/>
        </w:rPr>
        <w:t>（北京时间，法定节假日除外）；</w:t>
      </w:r>
    </w:p>
    <w:p>
      <w:pPr>
        <w:spacing w:line="360" w:lineRule="auto"/>
        <w:rPr>
          <w:rFonts w:ascii="宋体" w:hAnsi="宋体" w:cs="宋体"/>
          <w:sz w:val="24"/>
          <w:szCs w:val="24"/>
        </w:rPr>
      </w:pPr>
      <w:r>
        <w:rPr>
          <w:rFonts w:hint="eastAsia" w:ascii="宋体" w:hAnsi="宋体" w:cs="宋体"/>
          <w:sz w:val="24"/>
          <w:szCs w:val="24"/>
        </w:rPr>
        <w:t>   地点：登陆政采云平台http://www.zcygov.cn/在线申请获取；</w:t>
      </w:r>
    </w:p>
    <w:p>
      <w:pPr>
        <w:spacing w:line="348" w:lineRule="auto"/>
        <w:ind w:firstLine="484" w:firstLineChars="200"/>
        <w:rPr>
          <w:rFonts w:ascii="宋体" w:hAnsi="宋体" w:cs="宋体"/>
          <w:sz w:val="24"/>
          <w:szCs w:val="24"/>
        </w:rPr>
      </w:pPr>
      <w:r>
        <w:rPr>
          <w:rFonts w:hint="eastAsia" w:ascii="宋体" w:hAnsi="宋体" w:cs="宋体"/>
          <w:sz w:val="24"/>
          <w:szCs w:val="24"/>
        </w:rPr>
        <w:t>方式：供应商登录政采云平台</w:t>
      </w:r>
      <w:r>
        <w:rPr>
          <w:rFonts w:ascii="宋体" w:hAnsi="宋体" w:cs="宋体"/>
          <w:sz w:val="24"/>
          <w:szCs w:val="24"/>
        </w:rPr>
        <w:t>https://www.zcygov.cn/</w:t>
      </w:r>
      <w:r>
        <w:rPr>
          <w:rFonts w:hint="eastAsia" w:ascii="宋体" w:hAnsi="宋体" w:cs="宋体"/>
          <w:sz w:val="24"/>
          <w:szCs w:val="24"/>
        </w:rPr>
        <w:t>在线申请获取采购文件(进入“项目采购”应用，在获取采购文件菜单中选择项目，申请获取采购文件)</w:t>
      </w:r>
    </w:p>
    <w:p>
      <w:pPr>
        <w:spacing w:line="360" w:lineRule="auto"/>
        <w:ind w:firstLine="484" w:firstLineChars="200"/>
        <w:rPr>
          <w:rFonts w:ascii="宋体" w:hAnsi="宋体" w:cs="宋体"/>
          <w:sz w:val="24"/>
          <w:szCs w:val="24"/>
        </w:rPr>
      </w:pPr>
      <w:r>
        <w:rPr>
          <w:rFonts w:hint="eastAsia" w:ascii="宋体" w:hAnsi="宋体" w:cs="宋体"/>
          <w:sz w:val="24"/>
          <w:szCs w:val="24"/>
        </w:rPr>
        <w:t>售价：免费获取 </w:t>
      </w:r>
    </w:p>
    <w:p>
      <w:pPr>
        <w:spacing w:line="348" w:lineRule="auto"/>
        <w:outlineLvl w:val="1"/>
        <w:rPr>
          <w:rFonts w:ascii="宋体" w:hAnsi="宋体" w:cs="宋体"/>
          <w:b/>
          <w:bCs/>
          <w:sz w:val="24"/>
          <w:szCs w:val="24"/>
        </w:rPr>
      </w:pPr>
      <w:bookmarkStart w:id="33" w:name="_Toc137664492"/>
      <w:bookmarkStart w:id="34" w:name="_Toc10236"/>
      <w:bookmarkStart w:id="35" w:name="_Toc18162"/>
      <w:bookmarkStart w:id="36" w:name="_Toc137663942"/>
      <w:bookmarkStart w:id="37" w:name="_Toc695"/>
      <w:r>
        <w:rPr>
          <w:rFonts w:hint="eastAsia" w:ascii="宋体" w:hAnsi="宋体" w:cs="宋体"/>
          <w:b/>
          <w:bCs/>
          <w:sz w:val="24"/>
          <w:szCs w:val="24"/>
        </w:rPr>
        <w:t>四、响应文件提交</w:t>
      </w:r>
      <w:bookmarkEnd w:id="33"/>
      <w:bookmarkEnd w:id="34"/>
      <w:bookmarkEnd w:id="35"/>
      <w:bookmarkEnd w:id="36"/>
      <w:bookmarkEnd w:id="37"/>
    </w:p>
    <w:p>
      <w:pPr>
        <w:spacing w:line="348" w:lineRule="auto"/>
        <w:ind w:firstLine="484" w:firstLineChars="200"/>
        <w:rPr>
          <w:rFonts w:ascii="宋体" w:hAnsi="宋体" w:cs="宋体"/>
          <w:sz w:val="24"/>
          <w:szCs w:val="24"/>
        </w:rPr>
      </w:pPr>
      <w:r>
        <w:rPr>
          <w:rFonts w:hint="eastAsia" w:ascii="宋体" w:hAnsi="宋体" w:cs="宋体"/>
          <w:sz w:val="24"/>
          <w:szCs w:val="24"/>
        </w:rPr>
        <w:t>时间：</w:t>
      </w:r>
      <w:r>
        <w:rPr>
          <w:rFonts w:hint="eastAsia" w:ascii="宋体" w:hAnsi="宋体" w:cs="宋体"/>
          <w:sz w:val="24"/>
          <w:szCs w:val="24"/>
          <w:lang w:eastAsia="zh-CN"/>
        </w:rPr>
        <w:t>2023年07月05日</w:t>
      </w:r>
      <w:r>
        <w:rPr>
          <w:rFonts w:hint="eastAsia" w:ascii="宋体" w:hAnsi="宋体" w:cs="宋体"/>
          <w:sz w:val="24"/>
          <w:szCs w:val="24"/>
        </w:rPr>
        <w:t>10时</w:t>
      </w:r>
      <w:r>
        <w:rPr>
          <w:rFonts w:ascii="宋体" w:hAnsi="宋体" w:cs="宋体"/>
          <w:sz w:val="24"/>
          <w:szCs w:val="24"/>
        </w:rPr>
        <w:t>3</w:t>
      </w:r>
      <w:r>
        <w:rPr>
          <w:rFonts w:hint="eastAsia" w:ascii="宋体" w:hAnsi="宋体" w:cs="宋体"/>
          <w:sz w:val="24"/>
          <w:szCs w:val="24"/>
        </w:rPr>
        <w:t>0分（北京时间）</w:t>
      </w:r>
    </w:p>
    <w:p>
      <w:pPr>
        <w:spacing w:line="348" w:lineRule="auto"/>
        <w:ind w:firstLine="484" w:firstLineChars="200"/>
        <w:rPr>
          <w:rFonts w:ascii="宋体" w:hAnsi="宋体" w:cs="宋体"/>
          <w:sz w:val="24"/>
          <w:szCs w:val="24"/>
        </w:rPr>
      </w:pPr>
      <w:r>
        <w:rPr>
          <w:rFonts w:hint="eastAsia" w:ascii="宋体" w:hAnsi="宋体" w:cs="宋体"/>
          <w:sz w:val="24"/>
          <w:szCs w:val="24"/>
        </w:rPr>
        <w:t>地点：请登录政采云投标客户端投标 </w:t>
      </w:r>
    </w:p>
    <w:p>
      <w:pPr>
        <w:spacing w:line="348" w:lineRule="auto"/>
        <w:outlineLvl w:val="1"/>
        <w:rPr>
          <w:rFonts w:ascii="宋体" w:hAnsi="宋体" w:cs="宋体"/>
          <w:b/>
          <w:bCs/>
          <w:sz w:val="24"/>
          <w:szCs w:val="24"/>
        </w:rPr>
      </w:pPr>
      <w:bookmarkStart w:id="38" w:name="_Toc137663943"/>
      <w:bookmarkStart w:id="39" w:name="_Toc137664493"/>
      <w:bookmarkStart w:id="40" w:name="_Toc21409"/>
      <w:bookmarkStart w:id="41" w:name="_Toc4183"/>
      <w:bookmarkStart w:id="42" w:name="_Toc22476"/>
      <w:r>
        <w:rPr>
          <w:rFonts w:hint="eastAsia" w:ascii="宋体" w:hAnsi="宋体" w:cs="宋体"/>
          <w:b/>
          <w:bCs/>
          <w:sz w:val="24"/>
          <w:szCs w:val="24"/>
        </w:rPr>
        <w:t>五、响应文件开启</w:t>
      </w:r>
      <w:bookmarkEnd w:id="38"/>
      <w:bookmarkEnd w:id="39"/>
      <w:bookmarkEnd w:id="40"/>
      <w:bookmarkEnd w:id="41"/>
      <w:bookmarkEnd w:id="42"/>
    </w:p>
    <w:p>
      <w:pPr>
        <w:spacing w:line="348" w:lineRule="auto"/>
        <w:ind w:firstLine="484" w:firstLineChars="200"/>
        <w:rPr>
          <w:rFonts w:ascii="宋体" w:hAnsi="宋体" w:cs="宋体"/>
          <w:sz w:val="24"/>
          <w:szCs w:val="24"/>
        </w:rPr>
      </w:pPr>
      <w:r>
        <w:rPr>
          <w:rFonts w:hint="eastAsia" w:ascii="宋体" w:hAnsi="宋体" w:cs="宋体"/>
          <w:sz w:val="24"/>
          <w:szCs w:val="24"/>
        </w:rPr>
        <w:t>时间：</w:t>
      </w:r>
      <w:r>
        <w:rPr>
          <w:rFonts w:hint="eastAsia" w:ascii="宋体" w:hAnsi="宋体" w:cs="宋体"/>
          <w:sz w:val="24"/>
          <w:szCs w:val="24"/>
          <w:lang w:eastAsia="zh-CN"/>
        </w:rPr>
        <w:t>2023年07月05日</w:t>
      </w:r>
      <w:r>
        <w:rPr>
          <w:rFonts w:hint="eastAsia" w:ascii="宋体" w:hAnsi="宋体" w:cs="宋体"/>
          <w:sz w:val="24"/>
          <w:szCs w:val="24"/>
        </w:rPr>
        <w:t>10时</w:t>
      </w:r>
      <w:r>
        <w:rPr>
          <w:rFonts w:ascii="宋体" w:hAnsi="宋体" w:cs="宋体"/>
          <w:sz w:val="24"/>
          <w:szCs w:val="24"/>
        </w:rPr>
        <w:t>3</w:t>
      </w:r>
      <w:r>
        <w:rPr>
          <w:rFonts w:hint="eastAsia" w:ascii="宋体" w:hAnsi="宋体" w:cs="宋体"/>
          <w:sz w:val="24"/>
          <w:szCs w:val="24"/>
        </w:rPr>
        <w:t>0分（北京时间）</w:t>
      </w:r>
    </w:p>
    <w:p>
      <w:pPr>
        <w:spacing w:line="348" w:lineRule="auto"/>
        <w:ind w:firstLine="484" w:firstLineChars="200"/>
        <w:rPr>
          <w:rFonts w:ascii="宋体" w:hAnsi="宋体" w:cs="宋体"/>
          <w:sz w:val="24"/>
          <w:szCs w:val="24"/>
        </w:rPr>
      </w:pPr>
      <w:r>
        <w:rPr>
          <w:rFonts w:hint="eastAsia" w:ascii="宋体" w:hAnsi="宋体" w:cs="宋体"/>
          <w:sz w:val="24"/>
          <w:szCs w:val="24"/>
        </w:rPr>
        <w:t>地点：政采云平台http://www.zcygov.cn/ </w:t>
      </w:r>
    </w:p>
    <w:p>
      <w:pPr>
        <w:spacing w:line="348" w:lineRule="auto"/>
        <w:outlineLvl w:val="1"/>
        <w:rPr>
          <w:rFonts w:ascii="宋体" w:hAnsi="宋体" w:cs="宋体"/>
          <w:sz w:val="24"/>
          <w:szCs w:val="24"/>
        </w:rPr>
      </w:pPr>
      <w:bookmarkStart w:id="43" w:name="_Toc137663944"/>
      <w:bookmarkStart w:id="44" w:name="_Toc137664494"/>
      <w:bookmarkStart w:id="45" w:name="_Toc10378"/>
      <w:bookmarkStart w:id="46" w:name="_Toc18526"/>
      <w:bookmarkStart w:id="47" w:name="_Toc9155"/>
      <w:r>
        <w:rPr>
          <w:rFonts w:hint="eastAsia" w:ascii="宋体" w:hAnsi="宋体" w:cs="宋体"/>
          <w:b/>
          <w:bCs/>
          <w:sz w:val="24"/>
          <w:szCs w:val="24"/>
        </w:rPr>
        <w:t>六、公告期限</w:t>
      </w:r>
      <w:bookmarkEnd w:id="43"/>
      <w:bookmarkEnd w:id="44"/>
      <w:r>
        <w:rPr>
          <w:rFonts w:hint="eastAsia" w:ascii="宋体" w:hAnsi="宋体" w:cs="宋体"/>
          <w:sz w:val="24"/>
          <w:szCs w:val="24"/>
        </w:rPr>
        <w:t> </w:t>
      </w:r>
      <w:bookmarkEnd w:id="45"/>
      <w:bookmarkEnd w:id="46"/>
      <w:bookmarkEnd w:id="47"/>
    </w:p>
    <w:p>
      <w:pPr>
        <w:spacing w:line="348" w:lineRule="auto"/>
        <w:ind w:firstLine="440"/>
        <w:rPr>
          <w:rFonts w:ascii="宋体" w:hAnsi="宋体" w:cs="宋体"/>
          <w:sz w:val="24"/>
          <w:szCs w:val="24"/>
        </w:rPr>
      </w:pPr>
      <w:r>
        <w:rPr>
          <w:rFonts w:hint="eastAsia" w:ascii="宋体" w:hAnsi="宋体" w:cs="宋体"/>
          <w:sz w:val="24"/>
          <w:szCs w:val="24"/>
        </w:rPr>
        <w:t>自本公告发布之日起5个工作日。</w:t>
      </w:r>
    </w:p>
    <w:p>
      <w:pPr>
        <w:spacing w:line="360" w:lineRule="auto"/>
        <w:outlineLvl w:val="1"/>
        <w:rPr>
          <w:rFonts w:ascii="宋体" w:hAnsi="宋体" w:cs="宋体"/>
          <w:b/>
          <w:bCs/>
          <w:sz w:val="24"/>
          <w:szCs w:val="24"/>
        </w:rPr>
      </w:pPr>
      <w:bookmarkStart w:id="48" w:name="_Toc137664495"/>
      <w:bookmarkStart w:id="49" w:name="_Toc25096"/>
      <w:bookmarkStart w:id="50" w:name="_Toc28663"/>
      <w:bookmarkStart w:id="51" w:name="_Toc137663945"/>
      <w:bookmarkStart w:id="52" w:name="_Toc7416"/>
      <w:r>
        <w:rPr>
          <w:rFonts w:hint="eastAsia" w:ascii="宋体" w:hAnsi="宋体" w:cs="宋体"/>
          <w:b/>
          <w:bCs/>
          <w:sz w:val="24"/>
          <w:szCs w:val="24"/>
        </w:rPr>
        <w:t>七、其他补充事宜</w:t>
      </w:r>
      <w:bookmarkEnd w:id="48"/>
      <w:bookmarkEnd w:id="49"/>
      <w:bookmarkEnd w:id="50"/>
      <w:bookmarkEnd w:id="51"/>
      <w:bookmarkEnd w:id="52"/>
    </w:p>
    <w:p>
      <w:pPr>
        <w:spacing w:line="360" w:lineRule="auto"/>
        <w:ind w:firstLine="484" w:firstLineChars="200"/>
        <w:rPr>
          <w:rFonts w:ascii="宋体" w:hAnsi="宋体" w:cs="宋体"/>
          <w:sz w:val="24"/>
          <w:szCs w:val="24"/>
        </w:rPr>
      </w:pPr>
      <w:r>
        <w:rPr>
          <w:rFonts w:hint="eastAsia" w:ascii="宋体" w:hAnsi="宋体" w:cs="宋体"/>
          <w:sz w:val="24"/>
          <w:szCs w:val="24"/>
        </w:rPr>
        <w:t xml:space="preserve">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 </w:t>
      </w:r>
    </w:p>
    <w:p>
      <w:pPr>
        <w:spacing w:line="360" w:lineRule="auto"/>
        <w:ind w:firstLine="484" w:firstLineChars="200"/>
        <w:rPr>
          <w:rFonts w:ascii="宋体" w:hAnsi="宋体" w:cs="宋体"/>
          <w:sz w:val="24"/>
          <w:szCs w:val="24"/>
        </w:rPr>
      </w:pPr>
      <w:r>
        <w:rPr>
          <w:rFonts w:hint="eastAsia" w:ascii="宋体" w:hAnsi="宋体" w:cs="宋体"/>
          <w:sz w:val="24"/>
          <w:szCs w:val="24"/>
        </w:rPr>
        <w:t xml:space="preserve">2.本项目实行网上投标，采用电子响应文件(供应商须使用CA加密设备通过政采云电子投标客户端制作响应文件)。若供应商参与投标，自行承担投标一切费用。 </w:t>
      </w:r>
    </w:p>
    <w:p>
      <w:pPr>
        <w:spacing w:line="360" w:lineRule="auto"/>
        <w:ind w:firstLine="484" w:firstLineChars="200"/>
        <w:rPr>
          <w:rFonts w:ascii="宋体" w:hAnsi="宋体" w:cs="宋体"/>
          <w:sz w:val="24"/>
          <w:szCs w:val="24"/>
        </w:rPr>
      </w:pPr>
      <w:r>
        <w:rPr>
          <w:rFonts w:hint="eastAsia" w:ascii="宋体" w:hAnsi="宋体" w:cs="宋体"/>
          <w:sz w:val="24"/>
          <w:szCs w:val="24"/>
        </w:rPr>
        <w:t xml:space="preserve">3.各供应商应在开标前应确保成为新疆维吾尔自治区政府采购网正式注册入库供应商，并完成CA数字证书申领。因未注册入库、未办理CA数字证书等原因造成无法投标或投标失败等后果由供应商自行承担。 </w:t>
      </w:r>
    </w:p>
    <w:p>
      <w:pPr>
        <w:spacing w:line="360" w:lineRule="auto"/>
        <w:ind w:firstLine="484" w:firstLineChars="200"/>
        <w:rPr>
          <w:rFonts w:ascii="宋体" w:hAnsi="宋体" w:cs="宋体"/>
          <w:sz w:val="24"/>
          <w:szCs w:val="24"/>
        </w:rPr>
      </w:pPr>
      <w:r>
        <w:rPr>
          <w:rFonts w:hint="eastAsia" w:ascii="宋体" w:hAnsi="宋体" w:cs="宋体"/>
          <w:sz w:val="24"/>
          <w:szCs w:val="24"/>
        </w:rPr>
        <w:t xml:space="preserve">4.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400-881-7190进行咨询。 </w:t>
      </w:r>
    </w:p>
    <w:p>
      <w:pPr>
        <w:spacing w:line="360" w:lineRule="auto"/>
        <w:ind w:firstLine="484" w:firstLineChars="200"/>
        <w:rPr>
          <w:rFonts w:ascii="宋体" w:hAnsi="宋体" w:cs="宋体"/>
          <w:sz w:val="24"/>
          <w:szCs w:val="24"/>
        </w:rPr>
      </w:pPr>
      <w:r>
        <w:rPr>
          <w:rFonts w:hint="eastAsia" w:ascii="宋体" w:hAnsi="宋体" w:cs="宋体"/>
          <w:sz w:val="24"/>
          <w:szCs w:val="24"/>
        </w:rPr>
        <w:t xml:space="preserve">5.供应商在开标时须使用制作加密电子响应文件所使用的CA锁及电脑，电脑须提前配置好浏览器，以便开标时解锁。  </w:t>
      </w:r>
    </w:p>
    <w:p>
      <w:pPr>
        <w:spacing w:line="360" w:lineRule="auto"/>
        <w:ind w:firstLine="484" w:firstLineChars="200"/>
        <w:rPr>
          <w:rFonts w:ascii="宋体" w:hAnsi="宋体" w:cs="宋体"/>
          <w:sz w:val="24"/>
          <w:szCs w:val="24"/>
        </w:rPr>
      </w:pPr>
      <w:r>
        <w:rPr>
          <w:rFonts w:hint="eastAsia" w:ascii="宋体" w:hAnsi="宋体" w:cs="宋体"/>
          <w:sz w:val="24"/>
          <w:szCs w:val="24"/>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spacing w:line="360" w:lineRule="auto"/>
        <w:outlineLvl w:val="1"/>
        <w:rPr>
          <w:rFonts w:ascii="宋体" w:hAnsi="宋体" w:cs="宋体"/>
          <w:b/>
          <w:bCs/>
          <w:sz w:val="24"/>
          <w:szCs w:val="24"/>
        </w:rPr>
      </w:pPr>
      <w:bookmarkStart w:id="53" w:name="_Toc30027"/>
      <w:bookmarkStart w:id="54" w:name="_Toc15660"/>
      <w:bookmarkStart w:id="55" w:name="_Toc137663946"/>
      <w:bookmarkStart w:id="56" w:name="_Toc137664496"/>
      <w:bookmarkStart w:id="57" w:name="_Toc7716"/>
      <w:r>
        <w:rPr>
          <w:rFonts w:hint="eastAsia" w:ascii="宋体" w:hAnsi="宋体" w:cs="宋体"/>
          <w:b/>
          <w:bCs/>
          <w:sz w:val="24"/>
          <w:szCs w:val="24"/>
        </w:rPr>
        <w:t>八、对本次采购提出询问，请按以下方式联系</w:t>
      </w:r>
      <w:bookmarkEnd w:id="53"/>
      <w:bookmarkEnd w:id="54"/>
      <w:bookmarkEnd w:id="55"/>
      <w:bookmarkEnd w:id="56"/>
      <w:bookmarkEnd w:id="57"/>
    </w:p>
    <w:p>
      <w:pPr>
        <w:spacing w:line="360" w:lineRule="auto"/>
        <w:ind w:firstLine="484" w:firstLineChars="200"/>
        <w:rPr>
          <w:rFonts w:ascii="宋体" w:hAnsi="宋体" w:cs="宋体"/>
          <w:sz w:val="24"/>
          <w:szCs w:val="24"/>
        </w:rPr>
      </w:pPr>
      <w:r>
        <w:rPr>
          <w:rFonts w:hint="eastAsia" w:ascii="宋体" w:hAnsi="宋体" w:cs="宋体"/>
          <w:sz w:val="24"/>
          <w:szCs w:val="24"/>
        </w:rPr>
        <w:t>1.采购人信息</w:t>
      </w:r>
    </w:p>
    <w:p>
      <w:pPr>
        <w:spacing w:line="360" w:lineRule="auto"/>
        <w:ind w:firstLine="484" w:firstLineChars="200"/>
        <w:rPr>
          <w:rFonts w:ascii="宋体" w:hAnsi="宋体" w:cs="宋体"/>
          <w:sz w:val="24"/>
          <w:szCs w:val="24"/>
        </w:rPr>
      </w:pPr>
      <w:r>
        <w:rPr>
          <w:rFonts w:hint="eastAsia" w:ascii="宋体" w:hAnsi="宋体" w:cs="宋体"/>
          <w:sz w:val="24"/>
          <w:szCs w:val="24"/>
        </w:rPr>
        <w:t>名称：库尔勒经济技术开发区园林环卫市政局</w:t>
      </w:r>
    </w:p>
    <w:p>
      <w:pPr>
        <w:spacing w:line="360" w:lineRule="auto"/>
        <w:ind w:firstLine="484" w:firstLineChars="200"/>
        <w:rPr>
          <w:rFonts w:ascii="宋体" w:hAnsi="宋体" w:cs="宋体"/>
          <w:sz w:val="24"/>
          <w:szCs w:val="24"/>
        </w:rPr>
      </w:pPr>
      <w:r>
        <w:rPr>
          <w:rFonts w:hint="eastAsia" w:ascii="宋体" w:hAnsi="宋体" w:cs="宋体"/>
          <w:sz w:val="24"/>
          <w:szCs w:val="24"/>
        </w:rPr>
        <w:t>地址：库尔勒经济技术开发区</w:t>
      </w:r>
    </w:p>
    <w:p>
      <w:pPr>
        <w:spacing w:line="360" w:lineRule="auto"/>
        <w:ind w:firstLine="484" w:firstLineChars="200"/>
        <w:rPr>
          <w:rFonts w:ascii="宋体" w:hAnsi="宋体" w:cs="宋体"/>
          <w:sz w:val="24"/>
          <w:szCs w:val="24"/>
        </w:rPr>
      </w:pPr>
      <w:r>
        <w:rPr>
          <w:rFonts w:hint="eastAsia" w:ascii="宋体" w:hAnsi="宋体" w:cs="宋体"/>
          <w:sz w:val="24"/>
          <w:szCs w:val="24"/>
        </w:rPr>
        <w:t>联系人：吴女士</w:t>
      </w:r>
    </w:p>
    <w:p>
      <w:pPr>
        <w:spacing w:line="360" w:lineRule="auto"/>
        <w:ind w:firstLine="484" w:firstLineChars="200"/>
        <w:rPr>
          <w:rFonts w:ascii="宋体" w:hAnsi="宋体" w:cs="宋体"/>
          <w:sz w:val="24"/>
          <w:szCs w:val="24"/>
        </w:rPr>
      </w:pPr>
      <w:r>
        <w:rPr>
          <w:rFonts w:hint="eastAsia" w:ascii="宋体" w:hAnsi="宋体" w:cs="宋体"/>
          <w:sz w:val="24"/>
          <w:szCs w:val="24"/>
        </w:rPr>
        <w:t>联系方式：</w:t>
      </w:r>
      <w:r>
        <w:rPr>
          <w:rFonts w:ascii="宋体" w:hAnsi="宋体" w:cs="宋体"/>
          <w:sz w:val="24"/>
          <w:szCs w:val="24"/>
        </w:rPr>
        <w:t>18742878696</w:t>
      </w:r>
    </w:p>
    <w:p>
      <w:pPr>
        <w:spacing w:line="360" w:lineRule="auto"/>
        <w:ind w:firstLine="484" w:firstLineChars="200"/>
        <w:rPr>
          <w:rFonts w:ascii="宋体" w:hAnsi="宋体" w:cs="宋体"/>
          <w:sz w:val="24"/>
          <w:szCs w:val="24"/>
        </w:rPr>
      </w:pPr>
      <w:r>
        <w:rPr>
          <w:rFonts w:hint="eastAsia" w:ascii="宋体" w:hAnsi="宋体" w:cs="宋体"/>
          <w:sz w:val="24"/>
          <w:szCs w:val="24"/>
        </w:rPr>
        <w:t>2.采购代理机构信息            </w:t>
      </w:r>
    </w:p>
    <w:p>
      <w:pPr>
        <w:spacing w:line="360" w:lineRule="auto"/>
        <w:ind w:firstLine="484" w:firstLineChars="200"/>
        <w:rPr>
          <w:rFonts w:ascii="宋体" w:hAnsi="宋体" w:cs="宋体"/>
          <w:sz w:val="24"/>
          <w:szCs w:val="24"/>
        </w:rPr>
      </w:pPr>
      <w:r>
        <w:rPr>
          <w:rFonts w:hint="eastAsia" w:ascii="宋体" w:hAnsi="宋体" w:cs="宋体"/>
          <w:sz w:val="24"/>
          <w:szCs w:val="24"/>
        </w:rPr>
        <w:t>名称：新疆中企正房地产评估有限公司</w:t>
      </w:r>
    </w:p>
    <w:p>
      <w:pPr>
        <w:spacing w:line="360" w:lineRule="auto"/>
        <w:ind w:firstLine="484" w:firstLineChars="200"/>
        <w:rPr>
          <w:rFonts w:ascii="宋体" w:hAnsi="宋体" w:cs="宋体"/>
          <w:sz w:val="24"/>
          <w:szCs w:val="24"/>
        </w:rPr>
      </w:pPr>
      <w:r>
        <w:rPr>
          <w:rFonts w:hint="eastAsia" w:ascii="宋体" w:hAnsi="宋体" w:cs="宋体"/>
          <w:sz w:val="24"/>
          <w:szCs w:val="24"/>
        </w:rPr>
        <w:t xml:space="preserve">地址：库尔勒市石化大道靖祥大厦一单元501室 </w:t>
      </w:r>
    </w:p>
    <w:p>
      <w:pPr>
        <w:spacing w:line="360" w:lineRule="auto"/>
        <w:ind w:firstLine="484" w:firstLineChars="200"/>
        <w:rPr>
          <w:rFonts w:ascii="宋体" w:hAnsi="宋体" w:cs="宋体"/>
          <w:sz w:val="24"/>
          <w:szCs w:val="24"/>
        </w:rPr>
      </w:pPr>
      <w:r>
        <w:rPr>
          <w:rFonts w:hint="eastAsia" w:ascii="宋体" w:hAnsi="宋体" w:cs="宋体"/>
          <w:sz w:val="24"/>
          <w:szCs w:val="24"/>
        </w:rPr>
        <w:t>联系方式：18196220926</w:t>
      </w:r>
    </w:p>
    <w:p>
      <w:pPr>
        <w:spacing w:line="360" w:lineRule="auto"/>
        <w:ind w:firstLine="484" w:firstLineChars="200"/>
        <w:rPr>
          <w:rFonts w:ascii="宋体" w:hAnsi="宋体" w:cs="宋体"/>
          <w:sz w:val="24"/>
          <w:szCs w:val="24"/>
        </w:rPr>
      </w:pPr>
      <w:r>
        <w:rPr>
          <w:rFonts w:hint="eastAsia" w:ascii="宋体" w:hAnsi="宋体" w:cs="宋体"/>
          <w:sz w:val="24"/>
          <w:szCs w:val="24"/>
        </w:rPr>
        <w:t>3.项目联系方式</w:t>
      </w:r>
    </w:p>
    <w:p>
      <w:pPr>
        <w:spacing w:line="360" w:lineRule="auto"/>
        <w:ind w:firstLine="484" w:firstLineChars="200"/>
        <w:rPr>
          <w:rFonts w:ascii="宋体" w:hAnsi="宋体" w:cs="宋体"/>
          <w:sz w:val="24"/>
          <w:szCs w:val="24"/>
        </w:rPr>
      </w:pPr>
      <w:r>
        <w:rPr>
          <w:rFonts w:hint="eastAsia" w:ascii="宋体" w:hAnsi="宋体" w:cs="宋体"/>
          <w:sz w:val="24"/>
          <w:szCs w:val="24"/>
        </w:rPr>
        <w:t>联系人：张利</w:t>
      </w:r>
    </w:p>
    <w:p>
      <w:pPr>
        <w:spacing w:line="360" w:lineRule="auto"/>
        <w:ind w:firstLine="484" w:firstLineChars="200"/>
        <w:rPr>
          <w:rFonts w:ascii="宋体" w:hAnsi="宋体" w:cs="宋体"/>
          <w:sz w:val="24"/>
          <w:szCs w:val="24"/>
        </w:rPr>
      </w:pPr>
      <w:r>
        <w:rPr>
          <w:rFonts w:hint="eastAsia" w:ascii="宋体" w:hAnsi="宋体" w:cs="宋体"/>
          <w:sz w:val="24"/>
          <w:szCs w:val="24"/>
        </w:rPr>
        <w:t>电　话：18196220926</w:t>
      </w:r>
    </w:p>
    <w:p>
      <w:pPr>
        <w:spacing w:line="360" w:lineRule="auto"/>
        <w:jc w:val="center"/>
        <w:outlineLvl w:val="0"/>
        <w:rPr>
          <w:rStyle w:val="67"/>
          <w:rFonts w:ascii="宋体" w:hAnsi="宋体" w:eastAsia="宋体" w:cs="宋体"/>
          <w:b/>
          <w:bCs/>
          <w:sz w:val="32"/>
          <w:szCs w:val="32"/>
        </w:rPr>
      </w:pPr>
      <w:r>
        <w:rPr>
          <w:rStyle w:val="67"/>
          <w:rFonts w:hint="eastAsia" w:ascii="宋体" w:hAnsi="宋体" w:eastAsia="宋体" w:cs="宋体"/>
          <w:b/>
          <w:bCs/>
          <w:sz w:val="32"/>
          <w:szCs w:val="32"/>
        </w:rPr>
        <w:br w:type="page"/>
      </w:r>
      <w:bookmarkStart w:id="58" w:name="_Toc137664497"/>
      <w:bookmarkStart w:id="59" w:name="_Toc31194"/>
      <w:r>
        <w:rPr>
          <w:rStyle w:val="67"/>
          <w:rFonts w:hint="eastAsia" w:ascii="宋体" w:hAnsi="宋体" w:eastAsia="宋体" w:cs="宋体"/>
          <w:b/>
          <w:bCs/>
          <w:sz w:val="32"/>
          <w:szCs w:val="32"/>
        </w:rPr>
        <w:t>第二章 供应商须知</w:t>
      </w:r>
      <w:bookmarkEnd w:id="14"/>
      <w:bookmarkEnd w:id="15"/>
      <w:bookmarkEnd w:id="16"/>
      <w:bookmarkEnd w:id="17"/>
      <w:bookmarkEnd w:id="58"/>
    </w:p>
    <w:bookmarkEnd w:id="59"/>
    <w:p>
      <w:pPr>
        <w:pStyle w:val="3"/>
        <w:rPr>
          <w:rFonts w:ascii="宋体" w:hAnsi="宋体" w:eastAsia="宋体" w:cs="宋体"/>
          <w:b/>
          <w:bCs/>
          <w:sz w:val="30"/>
          <w:szCs w:val="30"/>
        </w:rPr>
      </w:pPr>
      <w:bookmarkStart w:id="60" w:name="_Toc137664498"/>
      <w:bookmarkStart w:id="61" w:name="_Toc14932"/>
      <w:bookmarkStart w:id="62" w:name="_Toc14856"/>
      <w:bookmarkStart w:id="63" w:name="_Toc12824"/>
      <w:r>
        <w:rPr>
          <w:rFonts w:hint="eastAsia" w:ascii="宋体" w:hAnsi="宋体" w:eastAsia="宋体" w:cs="宋体"/>
          <w:b/>
          <w:bCs/>
          <w:sz w:val="30"/>
          <w:szCs w:val="30"/>
        </w:rPr>
        <w:t>供应商须知前附表</w:t>
      </w:r>
      <w:bookmarkEnd w:id="60"/>
      <w:bookmarkEnd w:id="61"/>
      <w:bookmarkEnd w:id="62"/>
      <w:bookmarkEnd w:id="63"/>
    </w:p>
    <w:tbl>
      <w:tblPr>
        <w:tblStyle w:val="32"/>
        <w:tblW w:w="0" w:type="auto"/>
        <w:jc w:val="center"/>
        <w:tblLayout w:type="fixed"/>
        <w:tblCellMar>
          <w:top w:w="0" w:type="dxa"/>
          <w:left w:w="108" w:type="dxa"/>
          <w:bottom w:w="0" w:type="dxa"/>
          <w:right w:w="108" w:type="dxa"/>
        </w:tblCellMar>
      </w:tblPr>
      <w:tblGrid>
        <w:gridCol w:w="1022"/>
        <w:gridCol w:w="1937"/>
        <w:gridCol w:w="5758"/>
      </w:tblGrid>
      <w:tr>
        <w:tblPrEx>
          <w:tblCellMar>
            <w:top w:w="0" w:type="dxa"/>
            <w:left w:w="108" w:type="dxa"/>
            <w:bottom w:w="0" w:type="dxa"/>
            <w:right w:w="108" w:type="dxa"/>
          </w:tblCellMar>
        </w:tblPrEx>
        <w:trPr>
          <w:trHeight w:val="539" w:hRule="atLeast"/>
          <w:jc w:val="center"/>
        </w:trPr>
        <w:tc>
          <w:tcPr>
            <w:tcW w:w="10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4"/>
                <w:szCs w:val="24"/>
              </w:rPr>
            </w:pPr>
            <w:r>
              <w:rPr>
                <w:rFonts w:hint="eastAsia" w:ascii="宋体" w:hAnsi="宋体" w:cs="宋体"/>
                <w:b/>
                <w:bCs/>
                <w:sz w:val="24"/>
                <w:szCs w:val="24"/>
              </w:rPr>
              <w:t>条款号</w:t>
            </w:r>
          </w:p>
        </w:tc>
        <w:tc>
          <w:tcPr>
            <w:tcW w:w="19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4"/>
                <w:szCs w:val="24"/>
              </w:rPr>
            </w:pPr>
            <w:r>
              <w:rPr>
                <w:rFonts w:hint="eastAsia" w:ascii="宋体" w:hAnsi="宋体" w:cs="宋体"/>
                <w:b/>
                <w:bCs/>
                <w:sz w:val="24"/>
                <w:szCs w:val="24"/>
              </w:rPr>
              <w:t>条款名称</w:t>
            </w:r>
          </w:p>
        </w:tc>
        <w:tc>
          <w:tcPr>
            <w:tcW w:w="5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4"/>
                <w:szCs w:val="24"/>
              </w:rPr>
            </w:pPr>
            <w:r>
              <w:rPr>
                <w:rFonts w:hint="eastAsia" w:ascii="宋体" w:hAnsi="宋体" w:cs="宋体"/>
                <w:b/>
                <w:bCs/>
                <w:sz w:val="24"/>
                <w:szCs w:val="24"/>
              </w:rPr>
              <w:t>编 列 内 容</w:t>
            </w:r>
          </w:p>
        </w:tc>
      </w:tr>
      <w:tr>
        <w:tblPrEx>
          <w:tblCellMar>
            <w:top w:w="0" w:type="dxa"/>
            <w:left w:w="108" w:type="dxa"/>
            <w:bottom w:w="0" w:type="dxa"/>
            <w:right w:w="108" w:type="dxa"/>
          </w:tblCellMar>
        </w:tblPrEx>
        <w:trPr>
          <w:trHeight w:val="539" w:hRule="atLeast"/>
          <w:jc w:val="center"/>
        </w:trPr>
        <w:tc>
          <w:tcPr>
            <w:tcW w:w="10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1</w:t>
            </w:r>
          </w:p>
        </w:tc>
        <w:tc>
          <w:tcPr>
            <w:tcW w:w="19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采购人</w:t>
            </w:r>
          </w:p>
        </w:tc>
        <w:tc>
          <w:tcPr>
            <w:tcW w:w="575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r>
              <w:rPr>
                <w:rFonts w:hint="eastAsia" w:ascii="宋体" w:hAnsi="宋体" w:cs="宋体"/>
                <w:sz w:val="24"/>
                <w:szCs w:val="24"/>
              </w:rPr>
              <w:t>名  称：库尔勒经济技术开发区园林环卫市政局</w:t>
            </w:r>
          </w:p>
          <w:p>
            <w:pPr>
              <w:rPr>
                <w:rFonts w:ascii="宋体" w:hAnsi="宋体" w:cs="宋体"/>
                <w:sz w:val="24"/>
                <w:szCs w:val="24"/>
              </w:rPr>
            </w:pPr>
            <w:r>
              <w:rPr>
                <w:rFonts w:hint="eastAsia" w:ascii="宋体" w:hAnsi="宋体" w:cs="宋体"/>
                <w:sz w:val="24"/>
                <w:szCs w:val="24"/>
              </w:rPr>
              <w:t>地  址：库尔勒经济技术开发区</w:t>
            </w:r>
          </w:p>
          <w:p>
            <w:pPr>
              <w:rPr>
                <w:rFonts w:ascii="宋体" w:hAnsi="宋体" w:cs="宋体"/>
                <w:sz w:val="24"/>
                <w:szCs w:val="24"/>
              </w:rPr>
            </w:pPr>
            <w:r>
              <w:rPr>
                <w:rFonts w:hint="eastAsia" w:ascii="宋体" w:hAnsi="宋体" w:cs="宋体"/>
                <w:sz w:val="24"/>
                <w:szCs w:val="24"/>
              </w:rPr>
              <w:t>联系人：吴女士</w:t>
            </w:r>
          </w:p>
          <w:p>
            <w:pPr>
              <w:rPr>
                <w:rFonts w:ascii="宋体" w:hAnsi="宋体" w:cs="宋体"/>
                <w:sz w:val="24"/>
                <w:szCs w:val="24"/>
              </w:rPr>
            </w:pPr>
            <w:r>
              <w:rPr>
                <w:rFonts w:hint="eastAsia" w:ascii="宋体" w:hAnsi="宋体" w:cs="宋体"/>
                <w:sz w:val="24"/>
                <w:szCs w:val="24"/>
              </w:rPr>
              <w:t xml:space="preserve">电 </w:t>
            </w:r>
            <w:r>
              <w:rPr>
                <w:rFonts w:ascii="宋体" w:hAnsi="宋体" w:cs="宋体"/>
                <w:sz w:val="24"/>
                <w:szCs w:val="24"/>
              </w:rPr>
              <w:t xml:space="preserve"> </w:t>
            </w:r>
            <w:r>
              <w:rPr>
                <w:rFonts w:hint="eastAsia" w:ascii="宋体" w:hAnsi="宋体" w:cs="宋体"/>
                <w:sz w:val="24"/>
                <w:szCs w:val="24"/>
              </w:rPr>
              <w:t>话：18742878696</w:t>
            </w:r>
          </w:p>
        </w:tc>
      </w:tr>
      <w:tr>
        <w:tblPrEx>
          <w:tblCellMar>
            <w:top w:w="0" w:type="dxa"/>
            <w:left w:w="108" w:type="dxa"/>
            <w:bottom w:w="0" w:type="dxa"/>
            <w:right w:w="108" w:type="dxa"/>
          </w:tblCellMar>
        </w:tblPrEx>
        <w:trPr>
          <w:trHeight w:val="539" w:hRule="atLeast"/>
          <w:jc w:val="center"/>
        </w:trPr>
        <w:tc>
          <w:tcPr>
            <w:tcW w:w="10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2</w:t>
            </w:r>
          </w:p>
        </w:tc>
        <w:tc>
          <w:tcPr>
            <w:tcW w:w="19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采购代理机构</w:t>
            </w:r>
          </w:p>
        </w:tc>
        <w:tc>
          <w:tcPr>
            <w:tcW w:w="575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r>
              <w:rPr>
                <w:rFonts w:hint="eastAsia" w:ascii="宋体" w:hAnsi="宋体" w:cs="宋体"/>
                <w:sz w:val="24"/>
                <w:szCs w:val="24"/>
              </w:rPr>
              <w:t>名  称：新疆中企正房地产评估有限公司</w:t>
            </w:r>
          </w:p>
          <w:p>
            <w:pPr>
              <w:rPr>
                <w:rFonts w:ascii="宋体" w:hAnsi="宋体" w:cs="宋体"/>
                <w:sz w:val="24"/>
                <w:szCs w:val="24"/>
              </w:rPr>
            </w:pPr>
            <w:r>
              <w:rPr>
                <w:rFonts w:hint="eastAsia" w:ascii="宋体" w:hAnsi="宋体" w:cs="宋体"/>
                <w:sz w:val="24"/>
                <w:szCs w:val="24"/>
              </w:rPr>
              <w:t xml:space="preserve">地  址：库尔勒市石化大道靖祥大厦一单元501室  </w:t>
            </w:r>
          </w:p>
          <w:p>
            <w:pPr>
              <w:rPr>
                <w:rFonts w:ascii="宋体" w:hAnsi="宋体" w:cs="宋体"/>
                <w:sz w:val="24"/>
                <w:szCs w:val="24"/>
              </w:rPr>
            </w:pPr>
            <w:r>
              <w:rPr>
                <w:rFonts w:hint="eastAsia" w:ascii="宋体" w:hAnsi="宋体" w:cs="宋体"/>
                <w:sz w:val="24"/>
                <w:szCs w:val="24"/>
              </w:rPr>
              <w:t>联系人：张利</w:t>
            </w:r>
          </w:p>
          <w:p>
            <w:pPr>
              <w:rPr>
                <w:rFonts w:ascii="宋体" w:hAnsi="宋体" w:cs="宋体"/>
                <w:sz w:val="24"/>
                <w:szCs w:val="24"/>
              </w:rPr>
            </w:pPr>
            <w:r>
              <w:rPr>
                <w:rFonts w:hint="eastAsia" w:ascii="宋体" w:hAnsi="宋体" w:cs="宋体"/>
                <w:sz w:val="24"/>
                <w:szCs w:val="24"/>
              </w:rPr>
              <w:t>电  话：18196220926</w:t>
            </w:r>
          </w:p>
        </w:tc>
      </w:tr>
      <w:tr>
        <w:tblPrEx>
          <w:tblCellMar>
            <w:top w:w="0" w:type="dxa"/>
            <w:left w:w="108" w:type="dxa"/>
            <w:bottom w:w="0" w:type="dxa"/>
            <w:right w:w="108" w:type="dxa"/>
          </w:tblCellMar>
        </w:tblPrEx>
        <w:trPr>
          <w:trHeight w:val="539" w:hRule="atLeast"/>
          <w:jc w:val="center"/>
        </w:trPr>
        <w:tc>
          <w:tcPr>
            <w:tcW w:w="10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3</w:t>
            </w:r>
          </w:p>
        </w:tc>
        <w:tc>
          <w:tcPr>
            <w:tcW w:w="19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项目名称</w:t>
            </w:r>
          </w:p>
        </w:tc>
        <w:tc>
          <w:tcPr>
            <w:tcW w:w="575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r>
              <w:rPr>
                <w:rFonts w:hint="eastAsia" w:ascii="宋体" w:hAnsi="宋体" w:cs="宋体"/>
                <w:sz w:val="24"/>
                <w:szCs w:val="24"/>
              </w:rPr>
              <w:t>2023年库尔勒经济技术开发区园林绿地测绘项目</w:t>
            </w:r>
          </w:p>
        </w:tc>
      </w:tr>
      <w:tr>
        <w:tblPrEx>
          <w:tblCellMar>
            <w:top w:w="0" w:type="dxa"/>
            <w:left w:w="108" w:type="dxa"/>
            <w:bottom w:w="0" w:type="dxa"/>
            <w:right w:w="108" w:type="dxa"/>
          </w:tblCellMar>
        </w:tblPrEx>
        <w:trPr>
          <w:trHeight w:val="539" w:hRule="atLeast"/>
          <w:jc w:val="center"/>
        </w:trPr>
        <w:tc>
          <w:tcPr>
            <w:tcW w:w="10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4</w:t>
            </w:r>
          </w:p>
        </w:tc>
        <w:tc>
          <w:tcPr>
            <w:tcW w:w="19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项目地点</w:t>
            </w:r>
          </w:p>
        </w:tc>
        <w:tc>
          <w:tcPr>
            <w:tcW w:w="575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r>
              <w:rPr>
                <w:rFonts w:hint="eastAsia" w:ascii="宋体" w:hAnsi="宋体" w:cs="宋体"/>
                <w:sz w:val="24"/>
                <w:szCs w:val="24"/>
              </w:rPr>
              <w:t>库尔勒经济技术开发区</w:t>
            </w:r>
          </w:p>
        </w:tc>
      </w:tr>
      <w:tr>
        <w:tblPrEx>
          <w:tblCellMar>
            <w:top w:w="0" w:type="dxa"/>
            <w:left w:w="108" w:type="dxa"/>
            <w:bottom w:w="0" w:type="dxa"/>
            <w:right w:w="108" w:type="dxa"/>
          </w:tblCellMar>
        </w:tblPrEx>
        <w:trPr>
          <w:trHeight w:val="539" w:hRule="atLeast"/>
          <w:jc w:val="center"/>
        </w:trPr>
        <w:tc>
          <w:tcPr>
            <w:tcW w:w="10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5</w:t>
            </w:r>
          </w:p>
        </w:tc>
        <w:tc>
          <w:tcPr>
            <w:tcW w:w="19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资金来源</w:t>
            </w:r>
          </w:p>
        </w:tc>
        <w:tc>
          <w:tcPr>
            <w:tcW w:w="575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r>
              <w:rPr>
                <w:rFonts w:hint="eastAsia" w:ascii="宋体" w:hAnsi="宋体" w:cs="宋体"/>
                <w:sz w:val="24"/>
                <w:szCs w:val="24"/>
              </w:rPr>
              <w:t>预算金额：</w:t>
            </w:r>
            <w:r>
              <w:rPr>
                <w:rFonts w:ascii="宋体" w:hAnsi="宋体" w:cs="宋体"/>
                <w:sz w:val="24"/>
                <w:szCs w:val="24"/>
              </w:rPr>
              <w:t>13</w:t>
            </w:r>
            <w:r>
              <w:rPr>
                <w:rFonts w:hint="eastAsia" w:ascii="宋体" w:hAnsi="宋体" w:cs="宋体"/>
                <w:sz w:val="24"/>
                <w:szCs w:val="24"/>
              </w:rPr>
              <w:t>万元</w:t>
            </w:r>
          </w:p>
          <w:p>
            <w:pPr>
              <w:rPr>
                <w:rFonts w:ascii="宋体" w:hAnsi="宋体" w:cs="宋体"/>
                <w:sz w:val="24"/>
                <w:szCs w:val="24"/>
              </w:rPr>
            </w:pPr>
            <w:r>
              <w:rPr>
                <w:rFonts w:hint="eastAsia" w:ascii="宋体" w:hAnsi="宋体" w:cs="宋体"/>
                <w:sz w:val="24"/>
                <w:szCs w:val="24"/>
              </w:rPr>
              <w:t>资金来源：财政资金</w:t>
            </w:r>
          </w:p>
        </w:tc>
      </w:tr>
      <w:tr>
        <w:tblPrEx>
          <w:tblCellMar>
            <w:top w:w="0" w:type="dxa"/>
            <w:left w:w="108" w:type="dxa"/>
            <w:bottom w:w="0" w:type="dxa"/>
            <w:right w:w="108" w:type="dxa"/>
          </w:tblCellMar>
        </w:tblPrEx>
        <w:trPr>
          <w:trHeight w:val="539" w:hRule="atLeast"/>
          <w:jc w:val="center"/>
        </w:trPr>
        <w:tc>
          <w:tcPr>
            <w:tcW w:w="10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6</w:t>
            </w:r>
          </w:p>
        </w:tc>
        <w:tc>
          <w:tcPr>
            <w:tcW w:w="19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出资比例</w:t>
            </w:r>
          </w:p>
        </w:tc>
        <w:tc>
          <w:tcPr>
            <w:tcW w:w="575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r>
              <w:rPr>
                <w:rFonts w:hint="eastAsia" w:ascii="宋体" w:hAnsi="宋体" w:cs="宋体"/>
                <w:sz w:val="24"/>
                <w:szCs w:val="24"/>
              </w:rPr>
              <w:t>100%</w:t>
            </w:r>
          </w:p>
        </w:tc>
      </w:tr>
      <w:tr>
        <w:tblPrEx>
          <w:tblCellMar>
            <w:top w:w="0" w:type="dxa"/>
            <w:left w:w="108" w:type="dxa"/>
            <w:bottom w:w="0" w:type="dxa"/>
            <w:right w:w="108" w:type="dxa"/>
          </w:tblCellMar>
        </w:tblPrEx>
        <w:trPr>
          <w:trHeight w:val="539" w:hRule="atLeast"/>
          <w:jc w:val="center"/>
        </w:trPr>
        <w:tc>
          <w:tcPr>
            <w:tcW w:w="10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7</w:t>
            </w:r>
          </w:p>
        </w:tc>
        <w:tc>
          <w:tcPr>
            <w:tcW w:w="19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资金落实情况</w:t>
            </w:r>
          </w:p>
        </w:tc>
        <w:tc>
          <w:tcPr>
            <w:tcW w:w="575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r>
              <w:rPr>
                <w:rFonts w:hint="eastAsia" w:ascii="宋体" w:hAnsi="宋体" w:cs="宋体"/>
                <w:sz w:val="24"/>
                <w:szCs w:val="24"/>
              </w:rPr>
              <w:t>已落实</w:t>
            </w:r>
          </w:p>
        </w:tc>
      </w:tr>
      <w:tr>
        <w:tblPrEx>
          <w:tblCellMar>
            <w:top w:w="0" w:type="dxa"/>
            <w:left w:w="108" w:type="dxa"/>
            <w:bottom w:w="0" w:type="dxa"/>
            <w:right w:w="108" w:type="dxa"/>
          </w:tblCellMar>
        </w:tblPrEx>
        <w:trPr>
          <w:trHeight w:val="539" w:hRule="atLeast"/>
          <w:jc w:val="center"/>
        </w:trPr>
        <w:tc>
          <w:tcPr>
            <w:tcW w:w="10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8</w:t>
            </w:r>
          </w:p>
        </w:tc>
        <w:tc>
          <w:tcPr>
            <w:tcW w:w="19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采购内容</w:t>
            </w:r>
          </w:p>
        </w:tc>
        <w:tc>
          <w:tcPr>
            <w:tcW w:w="575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r>
              <w:rPr>
                <w:rFonts w:hint="eastAsia" w:ascii="宋体" w:hAnsi="宋体" w:cs="宋体"/>
                <w:sz w:val="24"/>
                <w:szCs w:val="24"/>
              </w:rPr>
              <w:t>对二期道路绿化、白鹭河游步道改造、开发大道主入口提升改造等区域进行测绘。</w:t>
            </w:r>
          </w:p>
        </w:tc>
      </w:tr>
      <w:tr>
        <w:tblPrEx>
          <w:tblCellMar>
            <w:top w:w="0" w:type="dxa"/>
            <w:left w:w="108" w:type="dxa"/>
            <w:bottom w:w="0" w:type="dxa"/>
            <w:right w:w="108" w:type="dxa"/>
          </w:tblCellMar>
        </w:tblPrEx>
        <w:trPr>
          <w:trHeight w:val="539" w:hRule="atLeast"/>
          <w:jc w:val="center"/>
        </w:trPr>
        <w:tc>
          <w:tcPr>
            <w:tcW w:w="10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9</w:t>
            </w:r>
          </w:p>
        </w:tc>
        <w:tc>
          <w:tcPr>
            <w:tcW w:w="19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服务期限</w:t>
            </w:r>
          </w:p>
        </w:tc>
        <w:tc>
          <w:tcPr>
            <w:tcW w:w="575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r>
              <w:rPr>
                <w:rFonts w:hint="eastAsia" w:ascii="宋体" w:hAnsi="宋体" w:cs="宋体"/>
                <w:sz w:val="24"/>
                <w:szCs w:val="24"/>
              </w:rPr>
              <w:t>合同签订后15日内完成</w:t>
            </w:r>
          </w:p>
        </w:tc>
      </w:tr>
      <w:tr>
        <w:tblPrEx>
          <w:tblCellMar>
            <w:top w:w="0" w:type="dxa"/>
            <w:left w:w="108" w:type="dxa"/>
            <w:bottom w:w="0" w:type="dxa"/>
            <w:right w:w="108" w:type="dxa"/>
          </w:tblCellMar>
        </w:tblPrEx>
        <w:trPr>
          <w:trHeight w:val="539" w:hRule="atLeast"/>
          <w:jc w:val="center"/>
        </w:trPr>
        <w:tc>
          <w:tcPr>
            <w:tcW w:w="10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10</w:t>
            </w:r>
          </w:p>
        </w:tc>
        <w:tc>
          <w:tcPr>
            <w:tcW w:w="19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val="0"/>
                <w:bCs w:val="0"/>
                <w:sz w:val="24"/>
                <w:szCs w:val="24"/>
              </w:rPr>
            </w:pPr>
            <w:r>
              <w:rPr>
                <w:rFonts w:hint="eastAsia" w:ascii="宋体" w:hAnsi="宋体" w:cs="宋体"/>
                <w:b w:val="0"/>
                <w:bCs w:val="0"/>
                <w:sz w:val="24"/>
                <w:szCs w:val="24"/>
                <w:lang w:val="en-US" w:eastAsia="zh-CN"/>
              </w:rPr>
              <w:t>服务</w:t>
            </w:r>
            <w:r>
              <w:rPr>
                <w:rFonts w:hint="eastAsia" w:ascii="宋体" w:hAnsi="宋体" w:cs="宋体"/>
                <w:b w:val="0"/>
                <w:bCs w:val="0"/>
                <w:sz w:val="24"/>
                <w:szCs w:val="24"/>
              </w:rPr>
              <w:t>要求</w:t>
            </w:r>
          </w:p>
        </w:tc>
        <w:tc>
          <w:tcPr>
            <w:tcW w:w="575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val="0"/>
                <w:bCs w:val="0"/>
                <w:sz w:val="24"/>
                <w:szCs w:val="24"/>
              </w:rPr>
            </w:pPr>
            <w:r>
              <w:rPr>
                <w:rFonts w:hint="eastAsia" w:ascii="宋体" w:hAnsi="宋体" w:cs="宋体"/>
                <w:b w:val="0"/>
                <w:bCs w:val="0"/>
                <w:sz w:val="24"/>
                <w:szCs w:val="24"/>
              </w:rPr>
              <w:t>达到国家及行业标准</w:t>
            </w:r>
          </w:p>
        </w:tc>
      </w:tr>
      <w:tr>
        <w:tblPrEx>
          <w:tblCellMar>
            <w:top w:w="0" w:type="dxa"/>
            <w:left w:w="108" w:type="dxa"/>
            <w:bottom w:w="0" w:type="dxa"/>
            <w:right w:w="108" w:type="dxa"/>
          </w:tblCellMar>
        </w:tblPrEx>
        <w:trPr>
          <w:trHeight w:val="539" w:hRule="atLeast"/>
          <w:jc w:val="center"/>
        </w:trPr>
        <w:tc>
          <w:tcPr>
            <w:tcW w:w="10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11</w:t>
            </w:r>
          </w:p>
        </w:tc>
        <w:tc>
          <w:tcPr>
            <w:tcW w:w="19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付款方式</w:t>
            </w:r>
          </w:p>
        </w:tc>
        <w:tc>
          <w:tcPr>
            <w:tcW w:w="575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r>
              <w:rPr>
                <w:rFonts w:hint="eastAsia" w:ascii="宋体" w:hAnsi="宋体" w:cs="宋体"/>
                <w:sz w:val="24"/>
                <w:szCs w:val="24"/>
              </w:rPr>
              <w:t>甲乙双方签订合同为准</w:t>
            </w:r>
          </w:p>
        </w:tc>
      </w:tr>
      <w:tr>
        <w:tblPrEx>
          <w:tblCellMar>
            <w:top w:w="0" w:type="dxa"/>
            <w:left w:w="108" w:type="dxa"/>
            <w:bottom w:w="0" w:type="dxa"/>
            <w:right w:w="108" w:type="dxa"/>
          </w:tblCellMar>
        </w:tblPrEx>
        <w:trPr>
          <w:trHeight w:val="539" w:hRule="atLeast"/>
          <w:jc w:val="center"/>
        </w:trPr>
        <w:tc>
          <w:tcPr>
            <w:tcW w:w="10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12</w:t>
            </w:r>
          </w:p>
        </w:tc>
        <w:tc>
          <w:tcPr>
            <w:tcW w:w="19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质保期</w:t>
            </w:r>
          </w:p>
        </w:tc>
        <w:tc>
          <w:tcPr>
            <w:tcW w:w="575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r>
              <w:rPr>
                <w:rFonts w:hint="eastAsia" w:ascii="宋体" w:hAnsi="宋体" w:cs="宋体"/>
                <w:sz w:val="24"/>
                <w:szCs w:val="24"/>
              </w:rPr>
              <w:t>按国家质量保修期标准规范执行</w:t>
            </w:r>
          </w:p>
        </w:tc>
      </w:tr>
      <w:tr>
        <w:tblPrEx>
          <w:tblCellMar>
            <w:top w:w="0" w:type="dxa"/>
            <w:left w:w="108" w:type="dxa"/>
            <w:bottom w:w="0" w:type="dxa"/>
            <w:right w:w="108" w:type="dxa"/>
          </w:tblCellMar>
        </w:tblPrEx>
        <w:trPr>
          <w:trHeight w:val="539" w:hRule="atLeast"/>
          <w:jc w:val="center"/>
        </w:trPr>
        <w:tc>
          <w:tcPr>
            <w:tcW w:w="10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13</w:t>
            </w:r>
          </w:p>
        </w:tc>
        <w:tc>
          <w:tcPr>
            <w:tcW w:w="19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项目概况</w:t>
            </w:r>
          </w:p>
        </w:tc>
        <w:tc>
          <w:tcPr>
            <w:tcW w:w="575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r>
              <w:rPr>
                <w:rFonts w:hint="eastAsia" w:ascii="宋体" w:hAnsi="宋体" w:cs="宋体"/>
                <w:sz w:val="24"/>
                <w:szCs w:val="24"/>
              </w:rPr>
              <w:t>详见第三章</w:t>
            </w:r>
          </w:p>
        </w:tc>
      </w:tr>
      <w:tr>
        <w:tblPrEx>
          <w:tblCellMar>
            <w:top w:w="0" w:type="dxa"/>
            <w:left w:w="108" w:type="dxa"/>
            <w:bottom w:w="0" w:type="dxa"/>
            <w:right w:w="108" w:type="dxa"/>
          </w:tblCellMar>
        </w:tblPrEx>
        <w:trPr>
          <w:trHeight w:val="539" w:hRule="atLeast"/>
          <w:jc w:val="center"/>
        </w:trPr>
        <w:tc>
          <w:tcPr>
            <w:tcW w:w="10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14</w:t>
            </w:r>
          </w:p>
        </w:tc>
        <w:tc>
          <w:tcPr>
            <w:tcW w:w="19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4"/>
                <w:szCs w:val="24"/>
              </w:rPr>
            </w:pPr>
            <w:r>
              <w:rPr>
                <w:rFonts w:hint="eastAsia" w:ascii="宋体" w:hAnsi="宋体" w:cs="宋体"/>
                <w:b/>
                <w:bCs/>
                <w:sz w:val="24"/>
                <w:szCs w:val="24"/>
              </w:rPr>
              <w:t>现场踏勘</w:t>
            </w:r>
          </w:p>
        </w:tc>
        <w:tc>
          <w:tcPr>
            <w:tcW w:w="575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sz w:val="24"/>
                <w:szCs w:val="24"/>
              </w:rPr>
            </w:pPr>
            <w:r>
              <w:rPr>
                <w:rFonts w:hint="eastAsia" w:ascii="宋体" w:hAnsi="宋体" w:cs="宋体"/>
                <w:b/>
                <w:bCs/>
                <w:sz w:val="24"/>
                <w:szCs w:val="24"/>
              </w:rPr>
              <w:t>√不组织</w:t>
            </w:r>
          </w:p>
          <w:p>
            <w:pPr>
              <w:rPr>
                <w:rFonts w:ascii="宋体" w:hAnsi="宋体" w:cs="宋体"/>
                <w:b/>
                <w:bCs/>
                <w:sz w:val="24"/>
                <w:szCs w:val="24"/>
              </w:rPr>
            </w:pPr>
            <w:r>
              <w:rPr>
                <w:rFonts w:hint="eastAsia" w:ascii="宋体" w:hAnsi="宋体" w:cs="宋体"/>
                <w:b/>
                <w:bCs/>
                <w:sz w:val="24"/>
                <w:szCs w:val="24"/>
              </w:rPr>
              <w:sym w:font="Wingdings" w:char="00A8"/>
            </w:r>
            <w:r>
              <w:rPr>
                <w:rFonts w:hint="eastAsia" w:ascii="宋体" w:hAnsi="宋体" w:cs="宋体"/>
                <w:b/>
                <w:bCs/>
                <w:sz w:val="24"/>
                <w:szCs w:val="24"/>
              </w:rPr>
              <w:t>组织</w:t>
            </w:r>
          </w:p>
        </w:tc>
      </w:tr>
      <w:tr>
        <w:tblPrEx>
          <w:tblCellMar>
            <w:top w:w="0" w:type="dxa"/>
            <w:left w:w="108" w:type="dxa"/>
            <w:bottom w:w="0" w:type="dxa"/>
            <w:right w:w="108" w:type="dxa"/>
          </w:tblCellMar>
        </w:tblPrEx>
        <w:trPr>
          <w:trHeight w:val="539" w:hRule="atLeast"/>
          <w:jc w:val="center"/>
        </w:trPr>
        <w:tc>
          <w:tcPr>
            <w:tcW w:w="10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15</w:t>
            </w:r>
          </w:p>
        </w:tc>
        <w:tc>
          <w:tcPr>
            <w:tcW w:w="19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4"/>
                <w:szCs w:val="24"/>
              </w:rPr>
            </w:pPr>
            <w:r>
              <w:rPr>
                <w:rFonts w:hint="eastAsia" w:ascii="宋体" w:hAnsi="宋体" w:cs="宋体"/>
                <w:b/>
                <w:bCs/>
                <w:sz w:val="24"/>
                <w:szCs w:val="24"/>
              </w:rPr>
              <w:t>响应文件有效期</w:t>
            </w:r>
          </w:p>
        </w:tc>
        <w:tc>
          <w:tcPr>
            <w:tcW w:w="575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sz w:val="24"/>
                <w:szCs w:val="24"/>
              </w:rPr>
            </w:pPr>
            <w:r>
              <w:rPr>
                <w:rFonts w:hint="eastAsia" w:ascii="宋体" w:hAnsi="宋体" w:cs="宋体"/>
                <w:b/>
                <w:bCs/>
                <w:sz w:val="24"/>
                <w:szCs w:val="24"/>
              </w:rPr>
              <w:t>提交响应文件的截止之日起90天</w:t>
            </w:r>
          </w:p>
        </w:tc>
      </w:tr>
      <w:tr>
        <w:tblPrEx>
          <w:tblCellMar>
            <w:top w:w="0" w:type="dxa"/>
            <w:left w:w="108" w:type="dxa"/>
            <w:bottom w:w="0" w:type="dxa"/>
            <w:right w:w="108" w:type="dxa"/>
          </w:tblCellMar>
        </w:tblPrEx>
        <w:trPr>
          <w:trHeight w:val="539" w:hRule="atLeast"/>
          <w:jc w:val="center"/>
        </w:trPr>
        <w:tc>
          <w:tcPr>
            <w:tcW w:w="10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16</w:t>
            </w:r>
          </w:p>
        </w:tc>
        <w:tc>
          <w:tcPr>
            <w:tcW w:w="19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投标报价</w:t>
            </w:r>
          </w:p>
        </w:tc>
        <w:tc>
          <w:tcPr>
            <w:tcW w:w="575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r>
              <w:rPr>
                <w:rFonts w:hint="eastAsia" w:ascii="宋体" w:hAnsi="宋体" w:cs="宋体"/>
                <w:sz w:val="24"/>
                <w:szCs w:val="24"/>
              </w:rPr>
              <w:t>投标报价应包含税金及本项目所产生的全部费用</w:t>
            </w:r>
          </w:p>
        </w:tc>
      </w:tr>
      <w:tr>
        <w:tblPrEx>
          <w:tblCellMar>
            <w:top w:w="0" w:type="dxa"/>
            <w:left w:w="108" w:type="dxa"/>
            <w:bottom w:w="0" w:type="dxa"/>
            <w:right w:w="108" w:type="dxa"/>
          </w:tblCellMar>
        </w:tblPrEx>
        <w:trPr>
          <w:trHeight w:val="539" w:hRule="atLeast"/>
          <w:jc w:val="center"/>
        </w:trPr>
        <w:tc>
          <w:tcPr>
            <w:tcW w:w="10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17</w:t>
            </w:r>
          </w:p>
        </w:tc>
        <w:tc>
          <w:tcPr>
            <w:tcW w:w="19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4"/>
                <w:szCs w:val="24"/>
              </w:rPr>
            </w:pPr>
            <w:r>
              <w:rPr>
                <w:rFonts w:hint="eastAsia" w:ascii="宋体" w:hAnsi="宋体" w:cs="宋体"/>
                <w:b/>
                <w:bCs/>
                <w:sz w:val="24"/>
                <w:szCs w:val="24"/>
              </w:rPr>
              <w:t>是否接受联合体</w:t>
            </w:r>
          </w:p>
          <w:p>
            <w:pPr>
              <w:jc w:val="center"/>
              <w:rPr>
                <w:rFonts w:ascii="宋体" w:hAnsi="宋体" w:cs="宋体"/>
                <w:b/>
                <w:bCs/>
                <w:sz w:val="24"/>
                <w:szCs w:val="24"/>
              </w:rPr>
            </w:pPr>
            <w:r>
              <w:rPr>
                <w:rFonts w:hint="eastAsia" w:ascii="宋体" w:hAnsi="宋体" w:cs="宋体"/>
                <w:b/>
                <w:bCs/>
                <w:sz w:val="24"/>
                <w:szCs w:val="24"/>
              </w:rPr>
              <w:t>投标</w:t>
            </w:r>
          </w:p>
        </w:tc>
        <w:tc>
          <w:tcPr>
            <w:tcW w:w="575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sz w:val="24"/>
                <w:szCs w:val="24"/>
              </w:rPr>
            </w:pPr>
            <w:r>
              <w:rPr>
                <w:rFonts w:hint="eastAsia" w:ascii="宋体" w:hAnsi="宋体" w:cs="宋体"/>
                <w:b/>
                <w:bCs/>
                <w:sz w:val="24"/>
                <w:szCs w:val="24"/>
              </w:rPr>
              <w:t>√不接受</w:t>
            </w:r>
          </w:p>
          <w:p>
            <w:pPr>
              <w:rPr>
                <w:rFonts w:ascii="宋体" w:hAnsi="宋体" w:cs="宋体"/>
                <w:b/>
                <w:bCs/>
                <w:sz w:val="24"/>
                <w:szCs w:val="24"/>
              </w:rPr>
            </w:pPr>
            <w:r>
              <w:rPr>
                <w:rFonts w:hint="eastAsia" w:ascii="宋体" w:hAnsi="宋体" w:cs="宋体"/>
                <w:b/>
                <w:bCs/>
                <w:sz w:val="24"/>
                <w:szCs w:val="24"/>
              </w:rPr>
              <w:sym w:font="Wingdings" w:char="00A8"/>
            </w:r>
            <w:r>
              <w:rPr>
                <w:rFonts w:hint="eastAsia" w:ascii="宋体" w:hAnsi="宋体" w:cs="宋体"/>
                <w:b/>
                <w:bCs/>
                <w:sz w:val="24"/>
                <w:szCs w:val="24"/>
              </w:rPr>
              <w:t>接受</w:t>
            </w:r>
          </w:p>
        </w:tc>
      </w:tr>
      <w:tr>
        <w:tblPrEx>
          <w:tblCellMar>
            <w:top w:w="0" w:type="dxa"/>
            <w:left w:w="108" w:type="dxa"/>
            <w:bottom w:w="0" w:type="dxa"/>
            <w:right w:w="108" w:type="dxa"/>
          </w:tblCellMar>
        </w:tblPrEx>
        <w:trPr>
          <w:trHeight w:val="510" w:hRule="atLeast"/>
          <w:jc w:val="center"/>
        </w:trPr>
        <w:tc>
          <w:tcPr>
            <w:tcW w:w="10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18</w:t>
            </w:r>
          </w:p>
        </w:tc>
        <w:tc>
          <w:tcPr>
            <w:tcW w:w="19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4"/>
                <w:szCs w:val="24"/>
              </w:rPr>
            </w:pPr>
            <w:r>
              <w:rPr>
                <w:rFonts w:hint="eastAsia" w:ascii="宋体" w:hAnsi="宋体" w:cs="宋体"/>
                <w:b/>
                <w:bCs/>
                <w:sz w:val="24"/>
                <w:szCs w:val="24"/>
              </w:rPr>
              <w:t>供应商资格条件</w:t>
            </w:r>
          </w:p>
        </w:tc>
        <w:tc>
          <w:tcPr>
            <w:tcW w:w="575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r>
              <w:rPr>
                <w:rFonts w:hint="eastAsia" w:ascii="宋体" w:hAnsi="宋体" w:cs="宋体"/>
                <w:sz w:val="24"/>
                <w:szCs w:val="24"/>
              </w:rPr>
              <w:t>1、满足《中华人民共和国政府采购法》第二十二条规定。</w:t>
            </w:r>
          </w:p>
          <w:p>
            <w:pPr>
              <w:rPr>
                <w:rFonts w:ascii="宋体" w:hAnsi="宋体" w:cs="宋体"/>
                <w:sz w:val="24"/>
                <w:szCs w:val="24"/>
              </w:rPr>
            </w:pPr>
            <w:r>
              <w:rPr>
                <w:rFonts w:hint="eastAsia" w:ascii="宋体" w:hAnsi="宋体" w:cs="宋体"/>
                <w:sz w:val="24"/>
                <w:szCs w:val="24"/>
              </w:rPr>
              <w:t>（1）在中华人民共和国境内依法注册的、具有独立承担民事责任的能力；</w:t>
            </w:r>
          </w:p>
          <w:p>
            <w:pPr>
              <w:rPr>
                <w:rFonts w:ascii="宋体" w:hAnsi="宋体" w:cs="宋体"/>
                <w:sz w:val="24"/>
                <w:szCs w:val="24"/>
              </w:rPr>
            </w:pPr>
            <w:r>
              <w:rPr>
                <w:rFonts w:hint="eastAsia" w:ascii="宋体" w:hAnsi="宋体" w:cs="宋体"/>
                <w:sz w:val="24"/>
                <w:szCs w:val="24"/>
              </w:rPr>
              <w:t>（2）具有良好的商业信誉和健全的财务会计制度；</w:t>
            </w:r>
          </w:p>
          <w:p>
            <w:pPr>
              <w:rPr>
                <w:rFonts w:ascii="宋体" w:hAnsi="宋体" w:cs="宋体"/>
                <w:sz w:val="24"/>
                <w:szCs w:val="24"/>
              </w:rPr>
            </w:pPr>
            <w:r>
              <w:rPr>
                <w:rFonts w:hint="eastAsia" w:ascii="宋体" w:hAnsi="宋体" w:cs="宋体"/>
                <w:sz w:val="24"/>
                <w:szCs w:val="24"/>
              </w:rPr>
              <w:t>（3）具有依法缴纳税收和社会保障资金的良好记录；</w:t>
            </w:r>
          </w:p>
          <w:p>
            <w:pPr>
              <w:rPr>
                <w:rFonts w:ascii="宋体" w:hAnsi="宋体" w:cs="宋体"/>
                <w:sz w:val="24"/>
                <w:szCs w:val="24"/>
              </w:rPr>
            </w:pPr>
            <w:r>
              <w:rPr>
                <w:rFonts w:hint="eastAsia" w:ascii="宋体" w:hAnsi="宋体" w:cs="宋体"/>
                <w:sz w:val="24"/>
                <w:szCs w:val="24"/>
              </w:rPr>
              <w:t>（4）参加政府采购活动前三年内，在经营活动中没有重大违法记录；</w:t>
            </w:r>
          </w:p>
          <w:p>
            <w:pPr>
              <w:rPr>
                <w:rFonts w:ascii="宋体" w:hAnsi="宋体" w:cs="宋体"/>
                <w:sz w:val="24"/>
                <w:szCs w:val="24"/>
              </w:rPr>
            </w:pPr>
            <w:r>
              <w:rPr>
                <w:rFonts w:hint="eastAsia" w:ascii="宋体" w:hAnsi="宋体" w:cs="宋体"/>
                <w:sz w:val="24"/>
                <w:szCs w:val="24"/>
              </w:rPr>
              <w:t>（5）投标人不能是被列入“信用中国”网站(www.creditchina.gov.cn)失信被执行人、重大税收违法案件当事人名单的供应商，不能是被列入“中国政府采购网”网站（www.ccgp.gov.cn）政府采购严重违法失信行为记录名单中仍在处罚期被禁止参加政府采购活动的供应商；</w:t>
            </w:r>
          </w:p>
          <w:p>
            <w:pPr>
              <w:rPr>
                <w:rFonts w:ascii="宋体" w:hAnsi="宋体" w:cs="宋体"/>
                <w:sz w:val="24"/>
                <w:szCs w:val="24"/>
              </w:rPr>
            </w:pPr>
            <w:r>
              <w:rPr>
                <w:rFonts w:hint="eastAsia" w:ascii="宋体" w:hAnsi="宋体" w:cs="宋体"/>
                <w:sz w:val="24"/>
                <w:szCs w:val="24"/>
              </w:rPr>
              <w:t>（6）单位负责人为同一人或者存在直接控股、管理关系的不同供应商，不得参加同一合同项下的政府采购活动；</w:t>
            </w:r>
          </w:p>
          <w:p>
            <w:pPr>
              <w:rPr>
                <w:rFonts w:ascii="宋体" w:hAnsi="宋体" w:cs="宋体"/>
                <w:sz w:val="24"/>
                <w:szCs w:val="24"/>
              </w:rPr>
            </w:pPr>
            <w:r>
              <w:rPr>
                <w:rFonts w:hint="eastAsia" w:ascii="宋体" w:hAnsi="宋体" w:cs="宋体"/>
                <w:sz w:val="24"/>
                <w:szCs w:val="24"/>
              </w:rPr>
              <w:t>（7）为充分保证完善的售后服务，本项目不接受联合体投标。</w:t>
            </w:r>
          </w:p>
          <w:p>
            <w:pPr>
              <w:rPr>
                <w:rFonts w:ascii="宋体" w:hAnsi="宋体" w:cs="宋体"/>
                <w:sz w:val="24"/>
                <w:szCs w:val="24"/>
              </w:rPr>
            </w:pPr>
            <w:r>
              <w:rPr>
                <w:rFonts w:hint="eastAsia" w:ascii="宋体" w:hAnsi="宋体" w:cs="宋体"/>
                <w:sz w:val="24"/>
                <w:szCs w:val="24"/>
              </w:rPr>
              <w:t>（8）供应商为中小企业</w:t>
            </w:r>
          </w:p>
          <w:p>
            <w:pPr>
              <w:rPr>
                <w:rFonts w:ascii="宋体" w:hAnsi="宋体" w:cs="宋体"/>
                <w:sz w:val="24"/>
                <w:szCs w:val="24"/>
              </w:rPr>
            </w:pPr>
            <w:r>
              <w:rPr>
                <w:rFonts w:hint="eastAsia" w:ascii="宋体" w:hAnsi="宋体" w:cs="宋体"/>
                <w:sz w:val="24"/>
                <w:szCs w:val="24"/>
              </w:rPr>
              <w:t>（9）供应商具有测绘乙级及以上资质。</w:t>
            </w:r>
          </w:p>
        </w:tc>
      </w:tr>
      <w:tr>
        <w:tblPrEx>
          <w:tblCellMar>
            <w:top w:w="0" w:type="dxa"/>
            <w:left w:w="108" w:type="dxa"/>
            <w:bottom w:w="0" w:type="dxa"/>
            <w:right w:w="108" w:type="dxa"/>
          </w:tblCellMar>
        </w:tblPrEx>
        <w:trPr>
          <w:trHeight w:val="510" w:hRule="atLeast"/>
          <w:jc w:val="center"/>
        </w:trPr>
        <w:tc>
          <w:tcPr>
            <w:tcW w:w="10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19</w:t>
            </w:r>
          </w:p>
        </w:tc>
        <w:tc>
          <w:tcPr>
            <w:tcW w:w="19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是否允许递交备选投标方案</w:t>
            </w:r>
          </w:p>
        </w:tc>
        <w:tc>
          <w:tcPr>
            <w:tcW w:w="575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r>
              <w:rPr>
                <w:rFonts w:hint="eastAsia" w:ascii="宋体" w:hAnsi="宋体" w:cs="宋体"/>
                <w:sz w:val="24"/>
                <w:szCs w:val="24"/>
              </w:rPr>
              <w:t>√不允许</w:t>
            </w:r>
          </w:p>
          <w:p>
            <w:pPr>
              <w:rPr>
                <w:rFonts w:ascii="宋体" w:hAnsi="宋体" w:cs="宋体"/>
                <w:sz w:val="24"/>
                <w:szCs w:val="24"/>
              </w:rPr>
            </w:pPr>
            <w:r>
              <w:rPr>
                <w:rFonts w:hint="eastAsia" w:ascii="宋体" w:hAnsi="宋体" w:cs="宋体"/>
                <w:sz w:val="24"/>
                <w:szCs w:val="24"/>
              </w:rPr>
              <w:t>□允许</w:t>
            </w:r>
          </w:p>
        </w:tc>
      </w:tr>
      <w:tr>
        <w:tblPrEx>
          <w:tblCellMar>
            <w:top w:w="0" w:type="dxa"/>
            <w:left w:w="108" w:type="dxa"/>
            <w:bottom w:w="0" w:type="dxa"/>
            <w:right w:w="108" w:type="dxa"/>
          </w:tblCellMar>
        </w:tblPrEx>
        <w:trPr>
          <w:trHeight w:val="510" w:hRule="atLeast"/>
          <w:jc w:val="center"/>
        </w:trPr>
        <w:tc>
          <w:tcPr>
            <w:tcW w:w="10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20</w:t>
            </w:r>
          </w:p>
        </w:tc>
        <w:tc>
          <w:tcPr>
            <w:tcW w:w="19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签字和（或）盖章要求</w:t>
            </w:r>
          </w:p>
        </w:tc>
        <w:tc>
          <w:tcPr>
            <w:tcW w:w="575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r>
              <w:rPr>
                <w:rFonts w:hint="eastAsia" w:ascii="宋体" w:hAnsi="宋体" w:cs="宋体"/>
                <w:sz w:val="24"/>
                <w:szCs w:val="24"/>
              </w:rPr>
              <w:t>企业公章、法人章</w:t>
            </w:r>
          </w:p>
          <w:p>
            <w:pPr>
              <w:rPr>
                <w:rFonts w:ascii="宋体" w:hAnsi="宋体" w:cs="宋体"/>
                <w:sz w:val="24"/>
                <w:szCs w:val="24"/>
              </w:rPr>
            </w:pPr>
            <w:r>
              <w:rPr>
                <w:rFonts w:hint="eastAsia" w:ascii="宋体" w:hAnsi="宋体" w:cs="宋体"/>
                <w:sz w:val="24"/>
                <w:szCs w:val="24"/>
              </w:rPr>
              <w:t>企业法定代表人或其委托代理人签字</w:t>
            </w:r>
          </w:p>
        </w:tc>
      </w:tr>
      <w:tr>
        <w:tblPrEx>
          <w:tblCellMar>
            <w:top w:w="0" w:type="dxa"/>
            <w:left w:w="108" w:type="dxa"/>
            <w:bottom w:w="0" w:type="dxa"/>
            <w:right w:w="108" w:type="dxa"/>
          </w:tblCellMar>
        </w:tblPrEx>
        <w:trPr>
          <w:trHeight w:val="510" w:hRule="atLeast"/>
          <w:jc w:val="center"/>
        </w:trPr>
        <w:tc>
          <w:tcPr>
            <w:tcW w:w="10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21</w:t>
            </w:r>
          </w:p>
        </w:tc>
        <w:tc>
          <w:tcPr>
            <w:tcW w:w="19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说明</w:t>
            </w:r>
          </w:p>
        </w:tc>
        <w:tc>
          <w:tcPr>
            <w:tcW w:w="575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r>
              <w:rPr>
                <w:rFonts w:hint="eastAsia" w:ascii="宋体" w:hAnsi="宋体" w:cs="宋体"/>
                <w:sz w:val="24"/>
                <w:szCs w:val="24"/>
              </w:rPr>
              <w:t>本竞争性磋商文件技术指标是作为功能性说明，不论任何情况，供应商在投标时必须达到或优于竞争性磋商文件要求。</w:t>
            </w:r>
          </w:p>
        </w:tc>
      </w:tr>
      <w:tr>
        <w:tblPrEx>
          <w:tblCellMar>
            <w:top w:w="0" w:type="dxa"/>
            <w:left w:w="108" w:type="dxa"/>
            <w:bottom w:w="0" w:type="dxa"/>
            <w:right w:w="108" w:type="dxa"/>
          </w:tblCellMar>
        </w:tblPrEx>
        <w:trPr>
          <w:trHeight w:val="510" w:hRule="atLeast"/>
          <w:jc w:val="center"/>
        </w:trPr>
        <w:tc>
          <w:tcPr>
            <w:tcW w:w="10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22</w:t>
            </w:r>
          </w:p>
        </w:tc>
        <w:tc>
          <w:tcPr>
            <w:tcW w:w="193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sz w:val="24"/>
                <w:szCs w:val="24"/>
              </w:rPr>
            </w:pPr>
            <w:r>
              <w:rPr>
                <w:rFonts w:hint="eastAsia" w:ascii="宋体" w:hAnsi="宋体" w:cs="宋体"/>
                <w:b/>
                <w:sz w:val="24"/>
                <w:szCs w:val="24"/>
              </w:rPr>
              <w:t>报价方式</w:t>
            </w:r>
          </w:p>
        </w:tc>
        <w:tc>
          <w:tcPr>
            <w:tcW w:w="575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b/>
                <w:sz w:val="24"/>
                <w:szCs w:val="24"/>
              </w:rPr>
            </w:pPr>
            <w:r>
              <w:rPr>
                <w:rFonts w:hint="eastAsia" w:ascii="宋体" w:hAnsi="宋体" w:cs="宋体"/>
                <w:b/>
                <w:spacing w:val="-1"/>
                <w:sz w:val="24"/>
                <w:szCs w:val="24"/>
              </w:rPr>
              <w:t>一轮磋商二次报价（第二次报价为最终报价）</w:t>
            </w:r>
          </w:p>
        </w:tc>
      </w:tr>
      <w:tr>
        <w:tblPrEx>
          <w:tblCellMar>
            <w:top w:w="0" w:type="dxa"/>
            <w:left w:w="108" w:type="dxa"/>
            <w:bottom w:w="0" w:type="dxa"/>
            <w:right w:w="108" w:type="dxa"/>
          </w:tblCellMar>
        </w:tblPrEx>
        <w:trPr>
          <w:trHeight w:val="510" w:hRule="atLeast"/>
          <w:jc w:val="center"/>
        </w:trPr>
        <w:tc>
          <w:tcPr>
            <w:tcW w:w="102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bCs/>
                <w:sz w:val="24"/>
                <w:szCs w:val="24"/>
              </w:rPr>
              <w:t>23</w:t>
            </w:r>
          </w:p>
        </w:tc>
        <w:tc>
          <w:tcPr>
            <w:tcW w:w="19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4"/>
                <w:szCs w:val="24"/>
              </w:rPr>
            </w:pPr>
            <w:r>
              <w:rPr>
                <w:rFonts w:hint="eastAsia" w:ascii="宋体" w:hAnsi="宋体" w:cs="宋体"/>
                <w:b/>
                <w:bCs/>
                <w:sz w:val="24"/>
                <w:szCs w:val="24"/>
              </w:rPr>
              <w:t>评标办法</w:t>
            </w:r>
          </w:p>
        </w:tc>
        <w:tc>
          <w:tcPr>
            <w:tcW w:w="575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sz w:val="24"/>
                <w:szCs w:val="24"/>
              </w:rPr>
            </w:pPr>
            <w:r>
              <w:rPr>
                <w:rFonts w:hint="eastAsia" w:ascii="宋体" w:hAnsi="宋体" w:cs="宋体"/>
                <w:b/>
                <w:bCs/>
                <w:sz w:val="24"/>
                <w:szCs w:val="24"/>
              </w:rPr>
              <w:t>综合评分法</w:t>
            </w:r>
          </w:p>
        </w:tc>
      </w:tr>
      <w:tr>
        <w:tblPrEx>
          <w:tblCellMar>
            <w:top w:w="0" w:type="dxa"/>
            <w:left w:w="108" w:type="dxa"/>
            <w:bottom w:w="0" w:type="dxa"/>
            <w:right w:w="108" w:type="dxa"/>
          </w:tblCellMar>
        </w:tblPrEx>
        <w:trPr>
          <w:trHeight w:val="510" w:hRule="atLeast"/>
          <w:jc w:val="center"/>
        </w:trPr>
        <w:tc>
          <w:tcPr>
            <w:tcW w:w="10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24</w:t>
            </w:r>
          </w:p>
        </w:tc>
        <w:tc>
          <w:tcPr>
            <w:tcW w:w="19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4"/>
                <w:szCs w:val="24"/>
              </w:rPr>
            </w:pPr>
            <w:r>
              <w:rPr>
                <w:rFonts w:hint="eastAsia" w:ascii="宋体" w:hAnsi="宋体" w:cs="宋体"/>
                <w:b/>
                <w:bCs/>
                <w:sz w:val="24"/>
                <w:szCs w:val="24"/>
              </w:rPr>
              <w:t>投标保证金</w:t>
            </w:r>
          </w:p>
        </w:tc>
        <w:tc>
          <w:tcPr>
            <w:tcW w:w="575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sz w:val="24"/>
                <w:szCs w:val="24"/>
              </w:rPr>
            </w:pPr>
            <w:r>
              <w:rPr>
                <w:rFonts w:hint="eastAsia" w:ascii="宋体" w:hAnsi="宋体" w:cs="宋体"/>
                <w:b/>
                <w:bCs/>
                <w:sz w:val="24"/>
                <w:szCs w:val="24"/>
              </w:rPr>
              <w:t>投标保证金金额：</w:t>
            </w:r>
            <w:r>
              <w:rPr>
                <w:rFonts w:ascii="宋体" w:hAnsi="宋体" w:cs="宋体"/>
                <w:b/>
                <w:bCs/>
                <w:sz w:val="24"/>
                <w:szCs w:val="24"/>
              </w:rPr>
              <w:t>2600</w:t>
            </w:r>
            <w:r>
              <w:rPr>
                <w:rFonts w:hint="eastAsia" w:ascii="宋体" w:hAnsi="宋体" w:cs="宋体"/>
                <w:b/>
                <w:bCs/>
                <w:sz w:val="24"/>
                <w:szCs w:val="24"/>
              </w:rPr>
              <w:t>.00元（贰仟陆佰元整）</w:t>
            </w:r>
          </w:p>
          <w:p>
            <w:pPr>
              <w:rPr>
                <w:rFonts w:ascii="宋体" w:hAnsi="宋体" w:cs="宋体"/>
                <w:b/>
                <w:bCs/>
                <w:sz w:val="24"/>
                <w:szCs w:val="24"/>
              </w:rPr>
            </w:pPr>
            <w:r>
              <w:rPr>
                <w:rFonts w:hint="eastAsia" w:ascii="宋体" w:hAnsi="宋体" w:cs="宋体"/>
                <w:b/>
                <w:bCs/>
                <w:sz w:val="24"/>
                <w:szCs w:val="24"/>
              </w:rPr>
              <w:t>投标保证金的形式：由供应商基本账户转账或电汇方式一次性汇入指定账户。</w:t>
            </w:r>
          </w:p>
          <w:p>
            <w:pPr>
              <w:rPr>
                <w:rFonts w:ascii="宋体" w:hAnsi="宋体" w:cs="宋体"/>
                <w:b/>
                <w:bCs/>
                <w:sz w:val="24"/>
                <w:szCs w:val="24"/>
              </w:rPr>
            </w:pPr>
            <w:r>
              <w:rPr>
                <w:rFonts w:hint="eastAsia" w:ascii="宋体" w:hAnsi="宋体" w:cs="宋体"/>
                <w:b/>
                <w:bCs/>
                <w:sz w:val="24"/>
                <w:szCs w:val="24"/>
              </w:rPr>
              <w:t>采购代理机构的开户银行及账号如下：</w:t>
            </w:r>
          </w:p>
          <w:p>
            <w:pPr>
              <w:rPr>
                <w:rFonts w:ascii="宋体" w:hAnsi="宋体" w:cs="宋体"/>
                <w:b/>
                <w:bCs/>
                <w:sz w:val="24"/>
                <w:szCs w:val="24"/>
                <w:lang w:val="zh-CN"/>
              </w:rPr>
            </w:pPr>
            <w:r>
              <w:rPr>
                <w:rFonts w:hint="eastAsia" w:ascii="宋体" w:hAnsi="宋体" w:cs="宋体"/>
                <w:b/>
                <w:bCs/>
                <w:sz w:val="24"/>
                <w:szCs w:val="24"/>
                <w:lang w:val="zh-CN"/>
              </w:rPr>
              <w:t>账户名称：新疆中企正房地产评估有限公司</w:t>
            </w:r>
          </w:p>
          <w:p>
            <w:pPr>
              <w:ind w:left="1218" w:hanging="1210" w:hangingChars="500"/>
              <w:rPr>
                <w:rFonts w:ascii="宋体" w:hAnsi="宋体" w:cs="宋体"/>
                <w:b/>
                <w:bCs/>
                <w:sz w:val="24"/>
                <w:szCs w:val="24"/>
                <w:lang w:val="zh-CN"/>
              </w:rPr>
            </w:pPr>
            <w:r>
              <w:rPr>
                <w:rFonts w:hint="eastAsia" w:ascii="宋体" w:hAnsi="宋体" w:cs="宋体"/>
                <w:b/>
                <w:bCs/>
                <w:sz w:val="24"/>
                <w:szCs w:val="24"/>
                <w:lang w:val="zh-CN"/>
              </w:rPr>
              <w:t>开户银行：中国建设银行股份有限公司库尔勒香梨大道支行</w:t>
            </w:r>
          </w:p>
          <w:p>
            <w:pPr>
              <w:rPr>
                <w:rFonts w:ascii="宋体" w:hAnsi="宋体" w:cs="宋体"/>
                <w:b/>
                <w:bCs/>
                <w:sz w:val="24"/>
                <w:szCs w:val="24"/>
                <w:lang w:val="zh-CN"/>
              </w:rPr>
            </w:pPr>
            <w:r>
              <w:rPr>
                <w:rFonts w:hint="eastAsia" w:ascii="宋体" w:hAnsi="宋体" w:cs="宋体"/>
                <w:b/>
                <w:bCs/>
                <w:sz w:val="24"/>
                <w:szCs w:val="24"/>
                <w:lang w:val="zh-CN"/>
              </w:rPr>
              <w:t>帐    号：65001700300052509531</w:t>
            </w:r>
          </w:p>
          <w:p>
            <w:pPr>
              <w:rPr>
                <w:rFonts w:ascii="宋体" w:hAnsi="宋体" w:cs="宋体"/>
                <w:b/>
                <w:bCs/>
                <w:sz w:val="24"/>
                <w:szCs w:val="24"/>
              </w:rPr>
            </w:pPr>
            <w:r>
              <w:rPr>
                <w:rFonts w:hint="eastAsia" w:ascii="宋体" w:hAnsi="宋体" w:cs="宋体"/>
                <w:b/>
                <w:bCs/>
                <w:sz w:val="24"/>
                <w:szCs w:val="24"/>
              </w:rPr>
              <w:t>投标保证金的递交截止时间：同开标时间（以银行记录确认到账为准），投标保证金汇款凭证上用途栏应注明:项目名称+投标保证金。未按以上要求递交投标保证金及提供保证金交纳凭证的视为无效，采购人将拒绝其投标。</w:t>
            </w:r>
          </w:p>
        </w:tc>
      </w:tr>
      <w:tr>
        <w:tblPrEx>
          <w:tblCellMar>
            <w:top w:w="0" w:type="dxa"/>
            <w:left w:w="108" w:type="dxa"/>
            <w:bottom w:w="0" w:type="dxa"/>
            <w:right w:w="108" w:type="dxa"/>
          </w:tblCellMar>
        </w:tblPrEx>
        <w:trPr>
          <w:trHeight w:val="510" w:hRule="atLeast"/>
          <w:jc w:val="center"/>
        </w:trPr>
        <w:tc>
          <w:tcPr>
            <w:tcW w:w="10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25</w:t>
            </w:r>
          </w:p>
        </w:tc>
        <w:tc>
          <w:tcPr>
            <w:tcW w:w="19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4"/>
                <w:szCs w:val="24"/>
              </w:rPr>
            </w:pPr>
            <w:r>
              <w:rPr>
                <w:rFonts w:hint="eastAsia" w:ascii="宋体" w:hAnsi="宋体" w:cs="宋体"/>
                <w:b/>
                <w:bCs/>
                <w:sz w:val="24"/>
                <w:szCs w:val="24"/>
              </w:rPr>
              <w:t>响应文件</w:t>
            </w:r>
          </w:p>
          <w:p>
            <w:pPr>
              <w:jc w:val="center"/>
              <w:rPr>
                <w:rFonts w:ascii="宋体" w:hAnsi="宋体" w:cs="宋体"/>
                <w:b/>
                <w:bCs/>
                <w:sz w:val="24"/>
                <w:szCs w:val="24"/>
              </w:rPr>
            </w:pPr>
            <w:r>
              <w:rPr>
                <w:rFonts w:hint="eastAsia" w:ascii="宋体" w:hAnsi="宋体" w:cs="宋体"/>
                <w:b/>
                <w:bCs/>
                <w:sz w:val="24"/>
                <w:szCs w:val="24"/>
              </w:rPr>
              <w:t>(电子加密文件)</w:t>
            </w:r>
          </w:p>
          <w:p>
            <w:pPr>
              <w:jc w:val="center"/>
              <w:rPr>
                <w:rFonts w:ascii="宋体" w:hAnsi="宋体" w:cs="宋体"/>
                <w:b/>
                <w:bCs/>
                <w:sz w:val="24"/>
                <w:szCs w:val="24"/>
              </w:rPr>
            </w:pPr>
            <w:r>
              <w:rPr>
                <w:rFonts w:hint="eastAsia" w:ascii="宋体" w:hAnsi="宋体" w:cs="宋体"/>
                <w:b/>
                <w:bCs/>
                <w:sz w:val="24"/>
                <w:szCs w:val="24"/>
              </w:rPr>
              <w:t>提交时间及地点</w:t>
            </w:r>
          </w:p>
        </w:tc>
        <w:tc>
          <w:tcPr>
            <w:tcW w:w="575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sz w:val="24"/>
                <w:szCs w:val="24"/>
              </w:rPr>
            </w:pPr>
            <w:r>
              <w:rPr>
                <w:rFonts w:hint="eastAsia" w:ascii="宋体" w:hAnsi="宋体" w:cs="宋体"/>
                <w:b/>
                <w:bCs/>
                <w:sz w:val="24"/>
                <w:szCs w:val="24"/>
              </w:rPr>
              <w:t>提交响应文件截止时间及开标时间：</w:t>
            </w:r>
            <w:r>
              <w:rPr>
                <w:rFonts w:hint="eastAsia" w:ascii="宋体" w:hAnsi="宋体" w:cs="宋体"/>
                <w:b/>
                <w:bCs/>
                <w:sz w:val="24"/>
                <w:szCs w:val="24"/>
                <w:lang w:eastAsia="zh-CN"/>
              </w:rPr>
              <w:t>2023年07月05日</w:t>
            </w:r>
            <w:r>
              <w:rPr>
                <w:rFonts w:ascii="宋体" w:hAnsi="宋体" w:cs="宋体"/>
                <w:b/>
                <w:bCs/>
                <w:sz w:val="24"/>
                <w:szCs w:val="24"/>
              </w:rPr>
              <w:t>10</w:t>
            </w:r>
            <w:r>
              <w:rPr>
                <w:rFonts w:hint="eastAsia" w:ascii="宋体" w:hAnsi="宋体" w:cs="宋体"/>
                <w:b/>
                <w:bCs/>
                <w:sz w:val="24"/>
                <w:szCs w:val="24"/>
              </w:rPr>
              <w:t>时</w:t>
            </w:r>
            <w:r>
              <w:rPr>
                <w:rFonts w:ascii="宋体" w:hAnsi="宋体" w:cs="宋体"/>
                <w:b/>
                <w:bCs/>
                <w:sz w:val="24"/>
                <w:szCs w:val="24"/>
              </w:rPr>
              <w:t>3</w:t>
            </w:r>
            <w:r>
              <w:rPr>
                <w:rFonts w:hint="eastAsia" w:ascii="宋体" w:hAnsi="宋体" w:cs="宋体"/>
                <w:b/>
                <w:bCs/>
                <w:sz w:val="24"/>
                <w:szCs w:val="24"/>
              </w:rPr>
              <w:t>0分（北京时间）</w:t>
            </w:r>
          </w:p>
          <w:p>
            <w:pPr>
              <w:rPr>
                <w:rFonts w:ascii="宋体" w:hAnsi="宋体" w:cs="宋体"/>
                <w:b/>
                <w:bCs/>
                <w:sz w:val="24"/>
                <w:szCs w:val="24"/>
              </w:rPr>
            </w:pPr>
            <w:r>
              <w:rPr>
                <w:rFonts w:hint="eastAsia" w:ascii="宋体" w:hAnsi="宋体" w:cs="宋体"/>
                <w:b/>
                <w:bCs/>
                <w:sz w:val="24"/>
                <w:szCs w:val="24"/>
              </w:rPr>
              <w:t>投标地点及开标地点：</w:t>
            </w:r>
            <w:r>
              <w:fldChar w:fldCharType="begin"/>
            </w:r>
            <w:r>
              <w:instrText xml:space="preserve"> HYPERLINK "https://www.zcygov.cn" </w:instrText>
            </w:r>
            <w:r>
              <w:fldChar w:fldCharType="separate"/>
            </w:r>
            <w:r>
              <w:rPr>
                <w:rFonts w:hint="eastAsia" w:ascii="宋体" w:hAnsi="宋体" w:cs="宋体"/>
                <w:b/>
                <w:bCs/>
                <w:sz w:val="24"/>
                <w:szCs w:val="24"/>
              </w:rPr>
              <w:t>https://www.zcygov.cn</w:t>
            </w:r>
            <w:r>
              <w:rPr>
                <w:rFonts w:hint="eastAsia" w:ascii="宋体" w:hAnsi="宋体" w:cs="宋体"/>
                <w:b/>
                <w:bCs/>
                <w:sz w:val="24"/>
                <w:szCs w:val="24"/>
              </w:rPr>
              <w:fldChar w:fldCharType="end"/>
            </w:r>
          </w:p>
        </w:tc>
      </w:tr>
      <w:tr>
        <w:tblPrEx>
          <w:tblCellMar>
            <w:top w:w="0" w:type="dxa"/>
            <w:left w:w="108" w:type="dxa"/>
            <w:bottom w:w="0" w:type="dxa"/>
            <w:right w:w="108" w:type="dxa"/>
          </w:tblCellMar>
        </w:tblPrEx>
        <w:trPr>
          <w:trHeight w:val="510" w:hRule="atLeast"/>
          <w:jc w:val="center"/>
        </w:trPr>
        <w:tc>
          <w:tcPr>
            <w:tcW w:w="10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26</w:t>
            </w:r>
          </w:p>
        </w:tc>
        <w:tc>
          <w:tcPr>
            <w:tcW w:w="19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4"/>
                <w:szCs w:val="24"/>
              </w:rPr>
            </w:pPr>
            <w:r>
              <w:rPr>
                <w:rFonts w:hint="eastAsia" w:ascii="宋体" w:hAnsi="宋体" w:cs="宋体"/>
                <w:b/>
                <w:bCs/>
                <w:sz w:val="24"/>
                <w:szCs w:val="24"/>
              </w:rPr>
              <w:t>响应文件的份数</w:t>
            </w:r>
          </w:p>
        </w:tc>
        <w:tc>
          <w:tcPr>
            <w:tcW w:w="575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sz w:val="24"/>
                <w:szCs w:val="24"/>
              </w:rPr>
            </w:pPr>
            <w:r>
              <w:rPr>
                <w:rFonts w:hint="eastAsia" w:ascii="宋体" w:hAnsi="宋体" w:cs="宋体"/>
                <w:b/>
                <w:bCs/>
                <w:sz w:val="24"/>
                <w:szCs w:val="24"/>
              </w:rPr>
              <w:t>投标供应商提供纸质版文件二份。</w:t>
            </w:r>
          </w:p>
          <w:p>
            <w:pPr>
              <w:rPr>
                <w:rFonts w:ascii="宋体" w:hAnsi="宋体" w:cs="宋体"/>
                <w:b/>
                <w:bCs/>
                <w:sz w:val="24"/>
                <w:szCs w:val="24"/>
              </w:rPr>
            </w:pPr>
            <w:r>
              <w:rPr>
                <w:rFonts w:hint="eastAsia" w:ascii="宋体" w:hAnsi="宋体" w:cs="宋体"/>
                <w:b/>
                <w:bCs/>
                <w:sz w:val="24"/>
                <w:szCs w:val="24"/>
              </w:rPr>
              <w:t>中标公示期后递交(寄送)至</w:t>
            </w:r>
            <w:r>
              <w:rPr>
                <w:rFonts w:hint="eastAsia" w:ascii="宋体" w:hAnsi="宋体" w:cs="宋体"/>
                <w:b/>
                <w:bCs/>
                <w:sz w:val="24"/>
                <w:szCs w:val="24"/>
                <w:lang w:val="zh-CN"/>
              </w:rPr>
              <w:t>新疆中企正房地产评估有限公司</w:t>
            </w:r>
          </w:p>
        </w:tc>
      </w:tr>
      <w:tr>
        <w:tblPrEx>
          <w:tblCellMar>
            <w:top w:w="0" w:type="dxa"/>
            <w:left w:w="108" w:type="dxa"/>
            <w:bottom w:w="0" w:type="dxa"/>
            <w:right w:w="108" w:type="dxa"/>
          </w:tblCellMar>
        </w:tblPrEx>
        <w:trPr>
          <w:trHeight w:val="510" w:hRule="atLeast"/>
          <w:jc w:val="center"/>
        </w:trPr>
        <w:tc>
          <w:tcPr>
            <w:tcW w:w="10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27</w:t>
            </w:r>
          </w:p>
        </w:tc>
        <w:tc>
          <w:tcPr>
            <w:tcW w:w="19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4"/>
                <w:szCs w:val="24"/>
              </w:rPr>
            </w:pPr>
            <w:r>
              <w:rPr>
                <w:rFonts w:hint="eastAsia" w:ascii="宋体" w:hAnsi="宋体" w:cs="宋体"/>
                <w:b/>
                <w:bCs/>
                <w:sz w:val="24"/>
                <w:szCs w:val="24"/>
              </w:rPr>
              <w:t>最高限价</w:t>
            </w:r>
          </w:p>
        </w:tc>
        <w:tc>
          <w:tcPr>
            <w:tcW w:w="575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sz w:val="24"/>
                <w:szCs w:val="24"/>
              </w:rPr>
            </w:pPr>
            <w:r>
              <w:rPr>
                <w:rFonts w:hint="eastAsia" w:ascii="宋体" w:hAnsi="宋体" w:cs="宋体"/>
                <w:b/>
                <w:bCs/>
                <w:sz w:val="24"/>
                <w:szCs w:val="24"/>
              </w:rPr>
              <w:t>最高限价：</w:t>
            </w:r>
            <w:r>
              <w:rPr>
                <w:rFonts w:ascii="宋体" w:hAnsi="宋体" w:cs="宋体"/>
                <w:b/>
                <w:bCs/>
                <w:sz w:val="24"/>
                <w:szCs w:val="24"/>
              </w:rPr>
              <w:t>13</w:t>
            </w:r>
            <w:r>
              <w:rPr>
                <w:rFonts w:hint="eastAsia" w:ascii="宋体" w:hAnsi="宋体" w:cs="宋体"/>
                <w:b/>
                <w:bCs/>
                <w:sz w:val="24"/>
                <w:szCs w:val="24"/>
              </w:rPr>
              <w:t xml:space="preserve">万元         </w:t>
            </w:r>
          </w:p>
          <w:p>
            <w:pPr>
              <w:rPr>
                <w:rFonts w:ascii="宋体" w:hAnsi="宋体" w:cs="宋体"/>
                <w:b/>
                <w:bCs/>
                <w:sz w:val="24"/>
                <w:szCs w:val="24"/>
              </w:rPr>
            </w:pPr>
            <w:r>
              <w:rPr>
                <w:rFonts w:hint="eastAsia" w:ascii="宋体" w:hAnsi="宋体" w:cs="宋体"/>
                <w:b/>
                <w:bCs/>
                <w:sz w:val="24"/>
                <w:szCs w:val="24"/>
              </w:rPr>
              <w:t>(投标报价不得等于或高于最高限价金额，否则将按无效投标处理)</w:t>
            </w:r>
          </w:p>
        </w:tc>
      </w:tr>
      <w:tr>
        <w:tblPrEx>
          <w:tblCellMar>
            <w:top w:w="0" w:type="dxa"/>
            <w:left w:w="108" w:type="dxa"/>
            <w:bottom w:w="0" w:type="dxa"/>
            <w:right w:w="108" w:type="dxa"/>
          </w:tblCellMar>
        </w:tblPrEx>
        <w:trPr>
          <w:trHeight w:val="510" w:hRule="atLeast"/>
          <w:jc w:val="center"/>
        </w:trPr>
        <w:tc>
          <w:tcPr>
            <w:tcW w:w="10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28</w:t>
            </w:r>
          </w:p>
        </w:tc>
        <w:tc>
          <w:tcPr>
            <w:tcW w:w="19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4"/>
                <w:szCs w:val="24"/>
              </w:rPr>
            </w:pPr>
            <w:r>
              <w:rPr>
                <w:rFonts w:hint="eastAsia" w:ascii="宋体" w:hAnsi="宋体" w:cs="宋体"/>
                <w:b/>
                <w:bCs/>
                <w:sz w:val="24"/>
                <w:szCs w:val="24"/>
              </w:rPr>
              <w:t>代理服务费</w:t>
            </w:r>
          </w:p>
        </w:tc>
        <w:tc>
          <w:tcPr>
            <w:tcW w:w="575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sz w:val="24"/>
                <w:szCs w:val="24"/>
              </w:rPr>
            </w:pPr>
            <w:r>
              <w:rPr>
                <w:rFonts w:hint="eastAsia" w:ascii="宋体" w:hAnsi="宋体" w:cs="宋体"/>
                <w:b/>
                <w:bCs/>
                <w:sz w:val="24"/>
                <w:szCs w:val="24"/>
              </w:rPr>
              <w:t>由采购人支付，收取标准参照国计委计价格[2002]1980号文下浮55%执行（中标金额为基准价计算）。</w:t>
            </w:r>
          </w:p>
        </w:tc>
      </w:tr>
      <w:tr>
        <w:tblPrEx>
          <w:tblCellMar>
            <w:top w:w="0" w:type="dxa"/>
            <w:left w:w="108" w:type="dxa"/>
            <w:bottom w:w="0" w:type="dxa"/>
            <w:right w:w="108" w:type="dxa"/>
          </w:tblCellMar>
        </w:tblPrEx>
        <w:trPr>
          <w:trHeight w:val="510" w:hRule="atLeast"/>
          <w:jc w:val="center"/>
        </w:trPr>
        <w:tc>
          <w:tcPr>
            <w:tcW w:w="10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29</w:t>
            </w:r>
          </w:p>
        </w:tc>
        <w:tc>
          <w:tcPr>
            <w:tcW w:w="1937" w:type="dxa"/>
            <w:tcBorders>
              <w:top w:val="single" w:color="auto" w:sz="4" w:space="0"/>
              <w:left w:val="single" w:color="auto" w:sz="4" w:space="0"/>
              <w:bottom w:val="single" w:color="auto" w:sz="4" w:space="0"/>
              <w:right w:val="single" w:color="auto" w:sz="4" w:space="0"/>
            </w:tcBorders>
            <w:vAlign w:val="center"/>
          </w:tcPr>
          <w:p>
            <w:pPr>
              <w:pStyle w:val="18"/>
              <w:jc w:val="center"/>
              <w:rPr>
                <w:rFonts w:cs="宋体"/>
                <w:b/>
                <w:bCs/>
                <w:sz w:val="24"/>
                <w:szCs w:val="24"/>
              </w:rPr>
            </w:pPr>
            <w:r>
              <w:rPr>
                <w:rFonts w:hint="eastAsia" w:cs="宋体"/>
                <w:b/>
                <w:bCs/>
                <w:sz w:val="24"/>
                <w:szCs w:val="24"/>
              </w:rPr>
              <w:t>评审专家劳务</w:t>
            </w:r>
          </w:p>
          <w:p>
            <w:pPr>
              <w:pStyle w:val="18"/>
              <w:jc w:val="center"/>
              <w:rPr>
                <w:rFonts w:cs="宋体"/>
                <w:b/>
                <w:bCs/>
                <w:sz w:val="24"/>
                <w:szCs w:val="24"/>
              </w:rPr>
            </w:pPr>
            <w:r>
              <w:rPr>
                <w:rFonts w:hint="eastAsia" w:cs="宋体"/>
                <w:b/>
                <w:bCs/>
                <w:sz w:val="24"/>
                <w:szCs w:val="24"/>
              </w:rPr>
              <w:t>报酬</w:t>
            </w:r>
          </w:p>
        </w:tc>
        <w:tc>
          <w:tcPr>
            <w:tcW w:w="5758" w:type="dxa"/>
            <w:tcBorders>
              <w:top w:val="single" w:color="auto" w:sz="4" w:space="0"/>
              <w:left w:val="single" w:color="auto" w:sz="4" w:space="0"/>
              <w:bottom w:val="single" w:color="auto" w:sz="4" w:space="0"/>
              <w:right w:val="single" w:color="auto" w:sz="4" w:space="0"/>
            </w:tcBorders>
            <w:vAlign w:val="center"/>
          </w:tcPr>
          <w:p>
            <w:pPr>
              <w:pStyle w:val="26"/>
              <w:snapToGrid/>
              <w:rPr>
                <w:rFonts w:ascii="宋体" w:hAnsi="宋体" w:eastAsia="宋体" w:cs="宋体"/>
                <w:b/>
                <w:sz w:val="24"/>
                <w:szCs w:val="24"/>
              </w:rPr>
            </w:pPr>
            <w:r>
              <w:rPr>
                <w:rFonts w:hint="eastAsia" w:ascii="宋体" w:hAnsi="宋体" w:eastAsia="宋体" w:cs="宋体"/>
                <w:b/>
                <w:sz w:val="24"/>
                <w:szCs w:val="24"/>
              </w:rPr>
              <w:t>由中标单位支付，计算方法及支付标准执行巴财购【2018】6号文《关于自治州政府采购专家评审费标准及支付方式的通知》。</w:t>
            </w:r>
          </w:p>
        </w:tc>
      </w:tr>
      <w:tr>
        <w:tblPrEx>
          <w:tblCellMar>
            <w:top w:w="0" w:type="dxa"/>
            <w:left w:w="108" w:type="dxa"/>
            <w:bottom w:w="0" w:type="dxa"/>
            <w:right w:w="108" w:type="dxa"/>
          </w:tblCellMar>
        </w:tblPrEx>
        <w:trPr>
          <w:trHeight w:val="340" w:hRule="atLeast"/>
          <w:jc w:val="center"/>
        </w:trPr>
        <w:tc>
          <w:tcPr>
            <w:tcW w:w="10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30</w:t>
            </w:r>
          </w:p>
        </w:tc>
        <w:tc>
          <w:tcPr>
            <w:tcW w:w="19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提出质疑的时间</w:t>
            </w:r>
          </w:p>
        </w:tc>
        <w:tc>
          <w:tcPr>
            <w:tcW w:w="575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r>
              <w:rPr>
                <w:rFonts w:hint="eastAsia" w:ascii="宋体" w:hAnsi="宋体" w:cs="宋体"/>
                <w:sz w:val="24"/>
                <w:szCs w:val="24"/>
              </w:rPr>
              <w:t>1、对竞争性磋商文件提出质疑的，应当在获取竞争性磋商文件或者竞争性磋商公告期限届满之日起7个工作日内提出。</w:t>
            </w:r>
          </w:p>
          <w:p>
            <w:pPr>
              <w:rPr>
                <w:rFonts w:ascii="宋体" w:hAnsi="宋体" w:cs="宋体"/>
                <w:sz w:val="24"/>
                <w:szCs w:val="24"/>
              </w:rPr>
            </w:pPr>
            <w:r>
              <w:rPr>
                <w:rFonts w:hint="eastAsia" w:ascii="宋体" w:hAnsi="宋体" w:cs="宋体"/>
                <w:sz w:val="24"/>
                <w:szCs w:val="24"/>
              </w:rPr>
              <w:t>2、供应商认为竞争性磋商文件、采购过程、中标或者成交结果使自己的权益受到损害的，可以在知道或者应知其权益受到损害之日起7个工作日内，以书面形式向采购人、采购代理机构提出质疑。</w:t>
            </w:r>
          </w:p>
        </w:tc>
      </w:tr>
      <w:tr>
        <w:tblPrEx>
          <w:tblCellMar>
            <w:top w:w="0" w:type="dxa"/>
            <w:left w:w="108" w:type="dxa"/>
            <w:bottom w:w="0" w:type="dxa"/>
            <w:right w:w="108" w:type="dxa"/>
          </w:tblCellMar>
        </w:tblPrEx>
        <w:trPr>
          <w:trHeight w:val="340" w:hRule="atLeast"/>
          <w:jc w:val="center"/>
        </w:trPr>
        <w:tc>
          <w:tcPr>
            <w:tcW w:w="10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31</w:t>
            </w:r>
          </w:p>
        </w:tc>
        <w:tc>
          <w:tcPr>
            <w:tcW w:w="19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备注</w:t>
            </w:r>
          </w:p>
        </w:tc>
        <w:tc>
          <w:tcPr>
            <w:tcW w:w="575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r>
              <w:rPr>
                <w:rFonts w:hint="eastAsia" w:ascii="宋体" w:hAnsi="宋体" w:cs="宋体"/>
                <w:sz w:val="24"/>
                <w:szCs w:val="24"/>
              </w:rPr>
              <w:t>1、竞争性磋商文件中所有偏离表，若有偏离,请将具体偏离条款在“偏离”一栏中详细说明；若无偏离，请在“偏离”一栏中标注“无”字样。如不填写将视为不响应竞争性磋商文件要求；</w:t>
            </w:r>
          </w:p>
          <w:p>
            <w:pPr>
              <w:rPr>
                <w:rFonts w:ascii="宋体" w:hAnsi="宋体" w:cs="宋体"/>
                <w:sz w:val="24"/>
                <w:szCs w:val="24"/>
              </w:rPr>
            </w:pPr>
            <w:r>
              <w:rPr>
                <w:rFonts w:hint="eastAsia" w:ascii="宋体" w:hAnsi="宋体" w:cs="宋体"/>
                <w:sz w:val="24"/>
                <w:szCs w:val="24"/>
              </w:rPr>
              <w:t>2、本次招标各供应商投标时以人民币报价。</w:t>
            </w:r>
          </w:p>
        </w:tc>
      </w:tr>
      <w:tr>
        <w:tblPrEx>
          <w:tblCellMar>
            <w:top w:w="0" w:type="dxa"/>
            <w:left w:w="108" w:type="dxa"/>
            <w:bottom w:w="0" w:type="dxa"/>
            <w:right w:w="108" w:type="dxa"/>
          </w:tblCellMar>
        </w:tblPrEx>
        <w:trPr>
          <w:trHeight w:val="340" w:hRule="atLeast"/>
          <w:jc w:val="center"/>
        </w:trPr>
        <w:tc>
          <w:tcPr>
            <w:tcW w:w="10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32</w:t>
            </w:r>
          </w:p>
        </w:tc>
        <w:tc>
          <w:tcPr>
            <w:tcW w:w="19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解释权</w:t>
            </w:r>
          </w:p>
        </w:tc>
        <w:tc>
          <w:tcPr>
            <w:tcW w:w="575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r>
              <w:rPr>
                <w:rFonts w:hint="eastAsia" w:ascii="宋体" w:hAnsi="宋体" w:cs="宋体"/>
                <w:sz w:val="24"/>
                <w:szCs w:val="24"/>
              </w:rPr>
              <w:t>构成本竞争性磋商文件的各个组成文件应互为解释，互为说明；如有不明确或不一致，构成合同文件组成内容，以合同文件约定内容为准，且以专用合同条款约定的合同文件优先顺序解释；除竞争性磋商文件中有特别规定外，仅适用于招标投标阶段的规定，按竞争性磋商公告、供应商须知、清单、响应文件格式的先后顺序解释；同一组成文件中就同一事项的规定或约定不一致的，以编排顺序在后者为准；同一组成文件不同版本之间有不一致的，以形成时间在后者为准。按本款前述规定仍不形成结论的，由采购人负责解释。</w:t>
            </w:r>
          </w:p>
        </w:tc>
      </w:tr>
      <w:tr>
        <w:tblPrEx>
          <w:tblCellMar>
            <w:top w:w="0" w:type="dxa"/>
            <w:left w:w="108" w:type="dxa"/>
            <w:bottom w:w="0" w:type="dxa"/>
            <w:right w:w="108" w:type="dxa"/>
          </w:tblCellMar>
        </w:tblPrEx>
        <w:trPr>
          <w:trHeight w:val="340" w:hRule="atLeast"/>
          <w:jc w:val="center"/>
        </w:trPr>
        <w:tc>
          <w:tcPr>
            <w:tcW w:w="10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33</w:t>
            </w:r>
          </w:p>
        </w:tc>
        <w:tc>
          <w:tcPr>
            <w:tcW w:w="19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知识产权</w:t>
            </w:r>
          </w:p>
        </w:tc>
        <w:tc>
          <w:tcPr>
            <w:tcW w:w="575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r>
              <w:rPr>
                <w:rFonts w:hint="eastAsia" w:ascii="宋体" w:hAnsi="宋体" w:cs="宋体"/>
                <w:sz w:val="24"/>
                <w:szCs w:val="24"/>
              </w:rPr>
              <w:t>1.供应商须保证，采购人在中华人民共和国境内使用投标设施设备、资料、技术、服务或其任何一部分时，享有不受限制的无偿使用权，不会产生因第三方提出侵犯其专利权、商标权或其它知识产权而引起的法律或经济纠纷。如供应商不拥有相应的知识产权，则在投标报价中必须包括合法获取该知识产权的一切相关费用。如因此导致采购人损失的，供应商须承担全部赔偿责任。</w:t>
            </w:r>
          </w:p>
          <w:p>
            <w:pPr>
              <w:rPr>
                <w:rFonts w:ascii="宋体" w:hAnsi="宋体" w:cs="宋体"/>
                <w:sz w:val="24"/>
                <w:szCs w:val="24"/>
              </w:rPr>
            </w:pPr>
            <w:r>
              <w:rPr>
                <w:rFonts w:hint="eastAsia" w:ascii="宋体" w:hAnsi="宋体" w:cs="宋体"/>
                <w:sz w:val="24"/>
                <w:szCs w:val="24"/>
              </w:rPr>
              <w:t>2.供应商如欲在项目实施过程中采用自有知识成果，须在响应文件中声明，并提供相关知识产权证明文件。使用该知识成果后，供应商须提供开发接口和开发手册等技术文档。</w:t>
            </w:r>
          </w:p>
        </w:tc>
      </w:tr>
      <w:tr>
        <w:tblPrEx>
          <w:tblCellMar>
            <w:top w:w="0" w:type="dxa"/>
            <w:left w:w="108" w:type="dxa"/>
            <w:bottom w:w="0" w:type="dxa"/>
            <w:right w:w="108" w:type="dxa"/>
          </w:tblCellMar>
        </w:tblPrEx>
        <w:trPr>
          <w:trHeight w:val="340" w:hRule="atLeast"/>
          <w:jc w:val="center"/>
        </w:trPr>
        <w:tc>
          <w:tcPr>
            <w:tcW w:w="10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34</w:t>
            </w:r>
          </w:p>
        </w:tc>
        <w:tc>
          <w:tcPr>
            <w:tcW w:w="19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政府采购</w:t>
            </w:r>
          </w:p>
          <w:p>
            <w:pPr>
              <w:jc w:val="center"/>
              <w:rPr>
                <w:rFonts w:ascii="宋体" w:hAnsi="宋体" w:cs="宋体"/>
                <w:sz w:val="24"/>
                <w:szCs w:val="24"/>
              </w:rPr>
            </w:pPr>
            <w:r>
              <w:rPr>
                <w:rFonts w:hint="eastAsia" w:ascii="宋体" w:hAnsi="宋体" w:cs="宋体"/>
                <w:sz w:val="24"/>
                <w:szCs w:val="24"/>
              </w:rPr>
              <w:t>政策支持</w:t>
            </w:r>
          </w:p>
        </w:tc>
        <w:tc>
          <w:tcPr>
            <w:tcW w:w="5758" w:type="dxa"/>
            <w:tcBorders>
              <w:top w:val="single" w:color="auto" w:sz="4" w:space="0"/>
              <w:left w:val="single" w:color="auto" w:sz="4" w:space="0"/>
              <w:bottom w:val="single" w:color="auto" w:sz="4" w:space="0"/>
              <w:right w:val="single" w:color="auto" w:sz="4" w:space="0"/>
            </w:tcBorders>
            <w:vAlign w:val="center"/>
          </w:tcPr>
          <w:p>
            <w:pPr>
              <w:bidi w:val="0"/>
              <w:spacing w:line="240" w:lineRule="auto"/>
              <w:rPr>
                <w:rFonts w:hint="eastAsia" w:ascii="宋体" w:hAnsi="宋体" w:eastAsia="宋体" w:cs="宋体"/>
                <w:spacing w:val="-6"/>
                <w:kern w:val="2"/>
                <w:sz w:val="24"/>
                <w:szCs w:val="24"/>
                <w:highlight w:val="none"/>
                <w:lang w:val="en-US" w:eastAsia="zh-CN" w:bidi="ar-SA"/>
              </w:rPr>
            </w:pPr>
            <w:r>
              <w:rPr>
                <w:rFonts w:hint="eastAsia" w:ascii="宋体" w:hAnsi="宋体" w:eastAsia="宋体" w:cs="宋体"/>
                <w:spacing w:val="-6"/>
                <w:kern w:val="2"/>
                <w:sz w:val="24"/>
                <w:szCs w:val="24"/>
                <w:highlight w:val="none"/>
                <w:lang w:val="en-US" w:eastAsia="zh-CN" w:bidi="ar-SA"/>
              </w:rPr>
              <w:t>1.根据工信部等部委发布的《关于印发中小企业划型标准规定的通知》（工信部联企业【2011】300号）、《政府采购促进中小企业发展管理办法》（财库【2020】46号）、《关于进一步加大政府采购支持中小企业力度的通知》（财库【2022】19号）</w:t>
            </w:r>
            <w:r>
              <w:rPr>
                <w:rFonts w:hint="eastAsia" w:ascii="宋体" w:hAnsi="宋体" w:cs="宋体"/>
                <w:spacing w:val="-6"/>
                <w:kern w:val="2"/>
                <w:sz w:val="24"/>
                <w:szCs w:val="24"/>
                <w:highlight w:val="none"/>
                <w:lang w:val="en-US" w:eastAsia="zh-CN" w:bidi="ar-SA"/>
              </w:rPr>
              <w:t>。</w:t>
            </w:r>
          </w:p>
          <w:p>
            <w:pPr>
              <w:bidi w:val="0"/>
              <w:spacing w:line="240" w:lineRule="auto"/>
              <w:rPr>
                <w:rFonts w:hint="eastAsia" w:ascii="宋体" w:hAnsi="宋体" w:eastAsia="宋体" w:cs="宋体"/>
                <w:spacing w:val="-6"/>
                <w:kern w:val="2"/>
                <w:sz w:val="24"/>
                <w:szCs w:val="24"/>
                <w:highlight w:val="none"/>
                <w:lang w:val="en-US" w:eastAsia="zh-CN" w:bidi="ar-SA"/>
              </w:rPr>
            </w:pPr>
            <w:r>
              <w:rPr>
                <w:rFonts w:hint="eastAsia" w:ascii="宋体" w:hAnsi="宋体" w:eastAsia="宋体" w:cs="宋体"/>
                <w:spacing w:val="-6"/>
                <w:kern w:val="2"/>
                <w:sz w:val="24"/>
                <w:szCs w:val="24"/>
                <w:highlight w:val="none"/>
                <w:lang w:val="en-US" w:eastAsia="zh-CN" w:bidi="ar-SA"/>
              </w:rPr>
              <w:t>（1）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r>
              <w:rPr>
                <w:rFonts w:hint="eastAsia" w:ascii="宋体" w:hAnsi="宋体" w:cs="宋体"/>
                <w:spacing w:val="-6"/>
                <w:kern w:val="2"/>
                <w:sz w:val="24"/>
                <w:szCs w:val="24"/>
                <w:highlight w:val="none"/>
                <w:lang w:val="en-US" w:eastAsia="zh-CN" w:bidi="ar-SA"/>
              </w:rPr>
              <w:t>；</w:t>
            </w:r>
          </w:p>
          <w:p>
            <w:pPr>
              <w:bidi w:val="0"/>
              <w:spacing w:line="240" w:lineRule="auto"/>
              <w:rPr>
                <w:rFonts w:hint="eastAsia" w:ascii="宋体" w:hAnsi="宋体" w:eastAsia="宋体" w:cs="宋体"/>
                <w:spacing w:val="-6"/>
                <w:kern w:val="2"/>
                <w:sz w:val="24"/>
                <w:szCs w:val="24"/>
                <w:highlight w:val="none"/>
                <w:lang w:val="en-US" w:eastAsia="zh-CN" w:bidi="ar-SA"/>
              </w:rPr>
            </w:pPr>
            <w:r>
              <w:rPr>
                <w:rFonts w:hint="eastAsia" w:ascii="宋体" w:hAnsi="宋体" w:eastAsia="宋体" w:cs="宋体"/>
                <w:spacing w:val="-6"/>
                <w:kern w:val="2"/>
                <w:sz w:val="24"/>
                <w:szCs w:val="24"/>
                <w:highlight w:val="none"/>
                <w:lang w:val="en-US" w:eastAsia="zh-CN" w:bidi="ar-SA"/>
              </w:rPr>
              <w:t>（2）本次投标供应商提供的货物由中小企业制造，即货物由中小企业生产且使用该中小企业商号或者注册商标；供应商提供的货物既有中小企业制造货物，也有大型企业制造货物的，不享受本办法规定的中小企业扶持政策</w:t>
            </w:r>
            <w:r>
              <w:rPr>
                <w:rFonts w:hint="eastAsia" w:ascii="宋体" w:hAnsi="宋体" w:cs="宋体"/>
                <w:spacing w:val="-6"/>
                <w:kern w:val="2"/>
                <w:sz w:val="24"/>
                <w:szCs w:val="24"/>
                <w:highlight w:val="none"/>
                <w:lang w:val="en-US" w:eastAsia="zh-CN" w:bidi="ar-SA"/>
              </w:rPr>
              <w:t>；</w:t>
            </w:r>
          </w:p>
          <w:p>
            <w:pPr>
              <w:bidi w:val="0"/>
              <w:spacing w:line="240" w:lineRule="auto"/>
              <w:rPr>
                <w:rFonts w:hint="eastAsia" w:ascii="宋体" w:hAnsi="宋体" w:eastAsia="宋体" w:cs="宋体"/>
                <w:spacing w:val="-6"/>
                <w:kern w:val="2"/>
                <w:sz w:val="24"/>
                <w:szCs w:val="24"/>
                <w:highlight w:val="none"/>
                <w:lang w:val="en-US" w:eastAsia="zh-CN" w:bidi="ar-SA"/>
              </w:rPr>
            </w:pPr>
            <w:r>
              <w:rPr>
                <w:rFonts w:hint="eastAsia" w:ascii="宋体" w:hAnsi="宋体" w:eastAsia="宋体" w:cs="宋体"/>
                <w:spacing w:val="-6"/>
                <w:kern w:val="2"/>
                <w:sz w:val="24"/>
                <w:szCs w:val="24"/>
                <w:highlight w:val="none"/>
                <w:lang w:val="en-US" w:eastAsia="zh-CN" w:bidi="ar-SA"/>
              </w:rPr>
              <w:t>（3）对满足以上（1）（2）两项条件并按照本文件规定格式提供《中小企业声明函》（内容须填写完整）</w:t>
            </w:r>
            <w:r>
              <w:rPr>
                <w:rFonts w:hint="eastAsia" w:ascii="宋体" w:hAnsi="宋体" w:cs="宋体"/>
                <w:spacing w:val="-6"/>
                <w:kern w:val="2"/>
                <w:sz w:val="24"/>
                <w:szCs w:val="24"/>
                <w:highlight w:val="none"/>
                <w:lang w:val="en-US" w:eastAsia="zh-CN" w:bidi="ar-SA"/>
              </w:rPr>
              <w:t>；</w:t>
            </w:r>
          </w:p>
          <w:p>
            <w:pPr>
              <w:bidi w:val="0"/>
              <w:spacing w:line="240" w:lineRule="auto"/>
              <w:rPr>
                <w:rFonts w:hint="eastAsia" w:ascii="宋体" w:hAnsi="宋体" w:eastAsia="宋体" w:cs="宋体"/>
                <w:spacing w:val="-6"/>
                <w:kern w:val="2"/>
                <w:sz w:val="24"/>
                <w:szCs w:val="24"/>
                <w:highlight w:val="none"/>
                <w:lang w:val="en-US" w:eastAsia="zh-CN" w:bidi="ar-SA"/>
              </w:rPr>
            </w:pPr>
            <w:r>
              <w:rPr>
                <w:rFonts w:hint="eastAsia" w:ascii="宋体" w:hAnsi="宋体" w:eastAsia="宋体" w:cs="宋体"/>
                <w:spacing w:val="-6"/>
                <w:kern w:val="2"/>
                <w:sz w:val="24"/>
                <w:szCs w:val="24"/>
                <w:highlight w:val="none"/>
                <w:lang w:val="en-US" w:eastAsia="zh-CN" w:bidi="ar-SA"/>
              </w:rPr>
              <w:t>（4）依据本办法规定享受扶持政策获得政府采购合同的，中、小型企业不得将合同分包给大型企业</w:t>
            </w:r>
            <w:r>
              <w:rPr>
                <w:rFonts w:hint="eastAsia" w:ascii="宋体" w:hAnsi="宋体" w:cs="宋体"/>
                <w:spacing w:val="-6"/>
                <w:kern w:val="2"/>
                <w:sz w:val="24"/>
                <w:szCs w:val="24"/>
                <w:highlight w:val="none"/>
                <w:lang w:val="en-US" w:eastAsia="zh-CN" w:bidi="ar-SA"/>
              </w:rPr>
              <w:t>；</w:t>
            </w:r>
          </w:p>
          <w:p>
            <w:pPr>
              <w:bidi w:val="0"/>
              <w:spacing w:line="240" w:lineRule="auto"/>
              <w:rPr>
                <w:rFonts w:hint="eastAsia" w:ascii="宋体" w:hAnsi="宋体" w:eastAsia="宋体" w:cs="宋体"/>
                <w:spacing w:val="-6"/>
                <w:kern w:val="2"/>
                <w:sz w:val="24"/>
                <w:szCs w:val="24"/>
                <w:highlight w:val="none"/>
                <w:lang w:val="en-US" w:eastAsia="zh-CN" w:bidi="ar-SA"/>
              </w:rPr>
            </w:pPr>
            <w:r>
              <w:rPr>
                <w:rFonts w:hint="eastAsia" w:ascii="宋体" w:hAnsi="宋体" w:eastAsia="宋体" w:cs="宋体"/>
                <w:spacing w:val="-6"/>
                <w:kern w:val="2"/>
                <w:sz w:val="24"/>
                <w:szCs w:val="24"/>
                <w:highlight w:val="none"/>
                <w:lang w:val="en-US" w:eastAsia="zh-CN" w:bidi="ar-SA"/>
              </w:rPr>
              <w:t>（5）提供由省级以上监狱管理局、戒毒管理局（含新疆生产建设兵团）出具的属于监狱企业证明文件（扫描件）的，视同为小型和微型企业</w:t>
            </w:r>
            <w:r>
              <w:rPr>
                <w:rFonts w:hint="eastAsia" w:ascii="宋体" w:hAnsi="宋体" w:cs="宋体"/>
                <w:spacing w:val="-6"/>
                <w:kern w:val="2"/>
                <w:sz w:val="24"/>
                <w:szCs w:val="24"/>
                <w:highlight w:val="none"/>
                <w:lang w:val="en-US" w:eastAsia="zh-CN" w:bidi="ar-SA"/>
              </w:rPr>
              <w:t>；</w:t>
            </w:r>
          </w:p>
          <w:p>
            <w:pPr>
              <w:bidi w:val="0"/>
              <w:spacing w:line="240" w:lineRule="auto"/>
              <w:rPr>
                <w:rFonts w:hint="eastAsia" w:ascii="宋体" w:hAnsi="宋体" w:eastAsia="宋体" w:cs="宋体"/>
                <w:spacing w:val="-6"/>
                <w:kern w:val="2"/>
                <w:sz w:val="24"/>
                <w:szCs w:val="24"/>
                <w:highlight w:val="none"/>
                <w:lang w:val="en-US" w:eastAsia="zh-CN" w:bidi="ar-SA"/>
              </w:rPr>
            </w:pPr>
            <w:r>
              <w:rPr>
                <w:rFonts w:hint="eastAsia" w:ascii="宋体" w:hAnsi="宋体" w:eastAsia="宋体" w:cs="宋体"/>
                <w:spacing w:val="-6"/>
                <w:kern w:val="2"/>
                <w:sz w:val="24"/>
                <w:szCs w:val="24"/>
                <w:highlight w:val="none"/>
                <w:lang w:val="en-US" w:eastAsia="zh-CN" w:bidi="ar-SA"/>
              </w:rPr>
              <w:t>（6）符合享受政府采购支持政策的残疾人福利性单位条件且提供《残疾人福利性单位声明函》的，视同为小型和微型企业。</w:t>
            </w:r>
          </w:p>
          <w:p>
            <w:pPr>
              <w:bidi w:val="0"/>
              <w:spacing w:line="240" w:lineRule="auto"/>
              <w:rPr>
                <w:rFonts w:hint="eastAsia" w:ascii="宋体" w:hAnsi="宋体" w:eastAsia="宋体" w:cs="宋体"/>
                <w:spacing w:val="-6"/>
                <w:kern w:val="2"/>
                <w:sz w:val="24"/>
                <w:szCs w:val="24"/>
                <w:highlight w:val="none"/>
                <w:lang w:val="en-US" w:eastAsia="zh-CN" w:bidi="ar-SA"/>
              </w:rPr>
            </w:pPr>
            <w:r>
              <w:rPr>
                <w:rFonts w:hint="eastAsia" w:ascii="宋体" w:hAnsi="宋体" w:eastAsia="宋体" w:cs="宋体"/>
                <w:spacing w:val="-6"/>
                <w:kern w:val="2"/>
                <w:sz w:val="24"/>
                <w:szCs w:val="24"/>
                <w:highlight w:val="none"/>
                <w:lang w:val="en-US" w:eastAsia="zh-CN" w:bidi="ar-SA"/>
              </w:rPr>
              <w:t>2.节能、环境标志产品评审优惠内容及加分幅度：</w:t>
            </w:r>
          </w:p>
          <w:p>
            <w:pPr>
              <w:rPr>
                <w:rFonts w:ascii="宋体" w:hAnsi="宋体" w:cs="宋体"/>
                <w:spacing w:val="-11"/>
                <w:sz w:val="24"/>
                <w:szCs w:val="24"/>
              </w:rPr>
            </w:pPr>
            <w:r>
              <w:rPr>
                <w:rFonts w:hint="eastAsia" w:ascii="宋体" w:hAnsi="宋体" w:eastAsia="宋体" w:cs="宋体"/>
                <w:spacing w:val="-6"/>
                <w:kern w:val="2"/>
                <w:sz w:val="24"/>
                <w:szCs w:val="24"/>
                <w:highlight w:val="none"/>
                <w:lang w:val="en-US" w:eastAsia="zh-CN" w:bidi="ar-SA"/>
              </w:rPr>
              <w:t>严格执行《财政部 发展改革委 生态环境部 市场监管总局关于调整优化节能产品、环境标志产品政府采购执行机制的通知》（财库【2019】9 号）。</w:t>
            </w:r>
          </w:p>
        </w:tc>
      </w:tr>
      <w:tr>
        <w:tblPrEx>
          <w:tblCellMar>
            <w:top w:w="0" w:type="dxa"/>
            <w:left w:w="108" w:type="dxa"/>
            <w:bottom w:w="0" w:type="dxa"/>
            <w:right w:w="108" w:type="dxa"/>
          </w:tblCellMar>
        </w:tblPrEx>
        <w:trPr>
          <w:trHeight w:val="340" w:hRule="atLeast"/>
          <w:jc w:val="center"/>
        </w:trPr>
        <w:tc>
          <w:tcPr>
            <w:tcW w:w="10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35</w:t>
            </w:r>
          </w:p>
        </w:tc>
        <w:tc>
          <w:tcPr>
            <w:tcW w:w="19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其他说明</w:t>
            </w:r>
          </w:p>
        </w:tc>
        <w:tc>
          <w:tcPr>
            <w:tcW w:w="575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pacing w:val="-11"/>
                <w:sz w:val="24"/>
                <w:szCs w:val="24"/>
              </w:rPr>
            </w:pPr>
            <w:r>
              <w:rPr>
                <w:rFonts w:hint="eastAsia" w:ascii="宋体" w:hAnsi="宋体" w:cs="宋体"/>
                <w:spacing w:val="-11"/>
                <w:sz w:val="24"/>
                <w:szCs w:val="24"/>
              </w:rPr>
              <w:t>1.请投标单位提前自学线上开标流程；投标截止时间当天，线上开标环节，响应文件解密时长30分钟，请各投标单位请自带笔记本电脑及CA锁网上进行文件解密以及操作投标事项，请供应商提前调试好在线参标电脑各项配置。</w:t>
            </w:r>
          </w:p>
          <w:p>
            <w:pPr>
              <w:rPr>
                <w:rFonts w:ascii="宋体" w:hAnsi="宋体" w:cs="宋体"/>
                <w:spacing w:val="-11"/>
                <w:sz w:val="24"/>
                <w:szCs w:val="24"/>
              </w:rPr>
            </w:pPr>
            <w:r>
              <w:rPr>
                <w:rFonts w:hint="eastAsia" w:ascii="宋体" w:hAnsi="宋体" w:cs="宋体"/>
                <w:spacing w:val="-11"/>
                <w:sz w:val="24"/>
                <w:szCs w:val="24"/>
              </w:rPr>
              <w:t>2.竞争性磋商文件中采购清单、技术需求等如有偏差，如有疑义请澄清中及时提出；否则视为充分理解竞争性磋商文件各项要求。</w:t>
            </w:r>
          </w:p>
          <w:p>
            <w:pPr>
              <w:rPr>
                <w:rFonts w:ascii="宋体" w:hAnsi="宋体" w:cs="宋体"/>
                <w:spacing w:val="-11"/>
                <w:sz w:val="24"/>
                <w:szCs w:val="24"/>
              </w:rPr>
            </w:pPr>
            <w:r>
              <w:rPr>
                <w:rFonts w:hint="eastAsia" w:ascii="宋体" w:hAnsi="宋体" w:cs="宋体"/>
                <w:spacing w:val="-11"/>
                <w:sz w:val="24"/>
                <w:szCs w:val="24"/>
              </w:rPr>
              <w:t>3.本次采用政府采购云平台线上招标、投标，请各潜在供应商及时办理CA锁和学习政府采购云平台线上投标相关知识。请在政府采购云平台登录后，进行下载竞争性磋商文件。请各供应商获取竞争性磋商文件后及时关注云平台答疑文件获取栏目。具体相关事宜见政府采购云平台。本项目采用资格后审，请供应商仔细阅读竞争性磋商文件和各项要求，制作文件及相关资料过程中，若因供应商资格条件不符、提供资料不全等原因导致响应文件予以退还，责任自负。</w:t>
            </w:r>
          </w:p>
          <w:p>
            <w:pPr>
              <w:rPr>
                <w:rFonts w:ascii="宋体" w:hAnsi="宋体" w:cs="宋体"/>
                <w:spacing w:val="-11"/>
                <w:sz w:val="24"/>
                <w:szCs w:val="24"/>
              </w:rPr>
            </w:pPr>
            <w:r>
              <w:rPr>
                <w:rFonts w:hint="eastAsia" w:ascii="宋体" w:hAnsi="宋体" w:cs="宋体"/>
                <w:spacing w:val="-11"/>
                <w:sz w:val="24"/>
                <w:szCs w:val="24"/>
              </w:rPr>
              <w:t>竞争性磋商文件中如有内容冲突的地方，以供应商须知要求为准。</w:t>
            </w:r>
          </w:p>
        </w:tc>
      </w:tr>
    </w:tbl>
    <w:p>
      <w:pPr>
        <w:pStyle w:val="47"/>
        <w:spacing w:line="360" w:lineRule="auto"/>
        <w:jc w:val="center"/>
        <w:rPr>
          <w:rStyle w:val="44"/>
          <w:rFonts w:ascii="宋体" w:hAnsi="宋体" w:cs="宋体"/>
          <w:color w:val="auto"/>
          <w:sz w:val="28"/>
          <w:szCs w:val="28"/>
        </w:rPr>
      </w:pPr>
      <w:r>
        <w:rPr>
          <w:rStyle w:val="43"/>
          <w:rFonts w:hint="eastAsia" w:ascii="宋体" w:hAnsi="宋体" w:cs="宋体"/>
          <w:color w:val="auto"/>
          <w:sz w:val="32"/>
          <w:szCs w:val="32"/>
        </w:rPr>
        <w:br w:type="page"/>
      </w:r>
      <w:bookmarkStart w:id="64" w:name="_Toc4866"/>
      <w:bookmarkStart w:id="65" w:name="_Toc137664499"/>
      <w:r>
        <w:rPr>
          <w:rStyle w:val="67"/>
          <w:rFonts w:hint="eastAsia" w:ascii="宋体" w:hAnsi="宋体" w:eastAsia="宋体" w:cs="宋体"/>
          <w:b/>
          <w:bCs/>
          <w:color w:val="auto"/>
          <w:sz w:val="30"/>
          <w:szCs w:val="30"/>
        </w:rPr>
        <w:t>供应商须知正文部分</w:t>
      </w:r>
      <w:bookmarkEnd w:id="64"/>
      <w:bookmarkEnd w:id="65"/>
    </w:p>
    <w:p>
      <w:pPr>
        <w:jc w:val="center"/>
        <w:outlineLvl w:val="1"/>
        <w:rPr>
          <w:rFonts w:ascii="宋体" w:hAnsi="宋体" w:cs="宋体"/>
          <w:b/>
          <w:bCs/>
          <w:sz w:val="28"/>
          <w:szCs w:val="28"/>
        </w:rPr>
      </w:pPr>
      <w:bookmarkStart w:id="66" w:name="_Toc25715"/>
      <w:bookmarkStart w:id="67" w:name="_Toc15639"/>
      <w:bookmarkStart w:id="68" w:name="_Toc18439"/>
      <w:bookmarkStart w:id="69" w:name="_Toc15356"/>
      <w:bookmarkStart w:id="70" w:name="_Toc5248"/>
      <w:bookmarkStart w:id="71" w:name="_Toc7140"/>
      <w:bookmarkStart w:id="72" w:name="_Toc23291"/>
      <w:bookmarkStart w:id="73" w:name="_Toc137663950"/>
      <w:bookmarkStart w:id="74" w:name="_Toc27410"/>
      <w:bookmarkStart w:id="75" w:name="_Toc6529"/>
      <w:bookmarkStart w:id="76" w:name="_Toc19272"/>
      <w:bookmarkStart w:id="77" w:name="_Toc21821"/>
      <w:bookmarkStart w:id="78" w:name="_Toc137664500"/>
      <w:bookmarkStart w:id="79" w:name="_Toc1706"/>
      <w:bookmarkStart w:id="80" w:name="_Toc12052"/>
      <w:r>
        <w:rPr>
          <w:rFonts w:hint="eastAsia" w:ascii="宋体" w:hAnsi="宋体" w:cs="宋体"/>
          <w:b/>
          <w:bCs/>
          <w:sz w:val="28"/>
          <w:szCs w:val="28"/>
        </w:rPr>
        <w:t>一、总  则</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pPr>
        <w:spacing w:line="360" w:lineRule="auto"/>
        <w:jc w:val="left"/>
        <w:rPr>
          <w:rFonts w:ascii="宋体" w:hAnsi="宋体" w:cs="宋体"/>
          <w:b/>
          <w:bCs/>
          <w:sz w:val="24"/>
          <w:szCs w:val="24"/>
        </w:rPr>
      </w:pPr>
      <w:bookmarkStart w:id="81" w:name="_Toc20661"/>
      <w:bookmarkStart w:id="82" w:name="_Toc2677"/>
      <w:bookmarkStart w:id="83" w:name="_Toc15894"/>
      <w:r>
        <w:rPr>
          <w:rFonts w:hint="eastAsia" w:ascii="宋体" w:hAnsi="宋体" w:cs="宋体"/>
          <w:b/>
          <w:bCs/>
          <w:sz w:val="24"/>
          <w:szCs w:val="24"/>
        </w:rPr>
        <w:t>1  合格的供应商</w:t>
      </w:r>
      <w:bookmarkEnd w:id="81"/>
      <w:bookmarkEnd w:id="82"/>
      <w:bookmarkEnd w:id="83"/>
    </w:p>
    <w:p>
      <w:pPr>
        <w:spacing w:line="360" w:lineRule="auto"/>
        <w:ind w:firstLine="484" w:firstLineChars="200"/>
        <w:jc w:val="left"/>
        <w:rPr>
          <w:rFonts w:ascii="宋体" w:hAnsi="宋体" w:cs="宋体"/>
          <w:sz w:val="24"/>
          <w:szCs w:val="24"/>
        </w:rPr>
      </w:pPr>
      <w:r>
        <w:rPr>
          <w:rFonts w:hint="eastAsia" w:ascii="宋体" w:hAnsi="宋体" w:cs="宋体"/>
          <w:sz w:val="24"/>
          <w:szCs w:val="24"/>
        </w:rPr>
        <w:t>1.1 供应商参加政府采购活动应当具备下列条件：</w:t>
      </w:r>
    </w:p>
    <w:p>
      <w:pPr>
        <w:spacing w:line="360" w:lineRule="auto"/>
        <w:ind w:firstLine="484" w:firstLineChars="200"/>
        <w:jc w:val="left"/>
        <w:rPr>
          <w:rFonts w:ascii="宋体" w:hAnsi="宋体" w:cs="宋体"/>
          <w:sz w:val="24"/>
          <w:szCs w:val="24"/>
        </w:rPr>
      </w:pPr>
      <w:r>
        <w:rPr>
          <w:rFonts w:hint="eastAsia" w:ascii="宋体" w:hAnsi="宋体" w:cs="宋体"/>
          <w:sz w:val="24"/>
          <w:szCs w:val="24"/>
        </w:rPr>
        <w:t>（一）具有独立承担民事责任的能力；</w:t>
      </w:r>
    </w:p>
    <w:p>
      <w:pPr>
        <w:spacing w:line="360" w:lineRule="auto"/>
        <w:ind w:firstLine="484" w:firstLineChars="200"/>
        <w:jc w:val="left"/>
        <w:rPr>
          <w:rFonts w:ascii="宋体" w:hAnsi="宋体" w:cs="宋体"/>
          <w:sz w:val="24"/>
          <w:szCs w:val="24"/>
        </w:rPr>
      </w:pPr>
      <w:r>
        <w:rPr>
          <w:rFonts w:hint="eastAsia" w:ascii="宋体" w:hAnsi="宋体" w:cs="宋体"/>
          <w:sz w:val="24"/>
          <w:szCs w:val="24"/>
        </w:rPr>
        <w:t>（二）具有良好的商业信誉和健全的财务会计制度；</w:t>
      </w:r>
    </w:p>
    <w:p>
      <w:pPr>
        <w:spacing w:line="360" w:lineRule="auto"/>
        <w:ind w:firstLine="484" w:firstLineChars="200"/>
        <w:jc w:val="left"/>
        <w:rPr>
          <w:rFonts w:ascii="宋体" w:hAnsi="宋体" w:cs="宋体"/>
          <w:sz w:val="24"/>
          <w:szCs w:val="24"/>
        </w:rPr>
      </w:pPr>
      <w:r>
        <w:rPr>
          <w:rFonts w:hint="eastAsia" w:ascii="宋体" w:hAnsi="宋体" w:cs="宋体"/>
          <w:sz w:val="24"/>
          <w:szCs w:val="24"/>
        </w:rPr>
        <w:t>（三）具有履行合同所必需的设备和专业技术能力；</w:t>
      </w:r>
    </w:p>
    <w:p>
      <w:pPr>
        <w:spacing w:line="360" w:lineRule="auto"/>
        <w:ind w:firstLine="484" w:firstLineChars="200"/>
        <w:jc w:val="left"/>
        <w:rPr>
          <w:rFonts w:ascii="宋体" w:hAnsi="宋体" w:cs="宋体"/>
          <w:sz w:val="24"/>
          <w:szCs w:val="24"/>
        </w:rPr>
      </w:pPr>
      <w:r>
        <w:rPr>
          <w:rFonts w:hint="eastAsia" w:ascii="宋体" w:hAnsi="宋体" w:cs="宋体"/>
          <w:sz w:val="24"/>
          <w:szCs w:val="24"/>
        </w:rPr>
        <w:t>（四）有依法缴纳税收和社会保障资金的良好记录；</w:t>
      </w:r>
    </w:p>
    <w:p>
      <w:pPr>
        <w:spacing w:line="360" w:lineRule="auto"/>
        <w:ind w:firstLine="484" w:firstLineChars="200"/>
        <w:jc w:val="left"/>
        <w:rPr>
          <w:rFonts w:ascii="宋体" w:hAnsi="宋体" w:cs="宋体"/>
          <w:sz w:val="24"/>
          <w:szCs w:val="24"/>
        </w:rPr>
      </w:pPr>
      <w:r>
        <w:rPr>
          <w:rFonts w:hint="eastAsia" w:ascii="宋体" w:hAnsi="宋体" w:cs="宋体"/>
          <w:sz w:val="24"/>
          <w:szCs w:val="24"/>
        </w:rPr>
        <w:t>（五）参加政府采购活动前三年内，在经营活动中没有重大违法记录；</w:t>
      </w:r>
    </w:p>
    <w:p>
      <w:pPr>
        <w:spacing w:line="360" w:lineRule="auto"/>
        <w:ind w:firstLine="484" w:firstLineChars="200"/>
        <w:jc w:val="left"/>
        <w:rPr>
          <w:rFonts w:ascii="宋体" w:hAnsi="宋体" w:cs="宋体"/>
          <w:sz w:val="24"/>
          <w:szCs w:val="24"/>
        </w:rPr>
      </w:pPr>
      <w:r>
        <w:rPr>
          <w:rFonts w:hint="eastAsia" w:ascii="宋体" w:hAnsi="宋体" w:cs="宋体"/>
          <w:sz w:val="24"/>
          <w:szCs w:val="24"/>
        </w:rPr>
        <w:t>（六）法律、行政法规规定的其他条件。</w:t>
      </w:r>
    </w:p>
    <w:p>
      <w:pPr>
        <w:spacing w:line="360" w:lineRule="auto"/>
        <w:ind w:firstLine="484" w:firstLineChars="200"/>
        <w:jc w:val="left"/>
        <w:rPr>
          <w:rFonts w:ascii="宋体" w:hAnsi="宋体" w:cs="宋体"/>
          <w:sz w:val="24"/>
          <w:szCs w:val="24"/>
        </w:rPr>
      </w:pPr>
      <w:r>
        <w:rPr>
          <w:rFonts w:hint="eastAsia" w:ascii="宋体" w:hAnsi="宋体" w:cs="宋体"/>
          <w:sz w:val="24"/>
          <w:szCs w:val="24"/>
        </w:rPr>
        <w:t>1.2 凡参加投标的供应商必须具有履行本竞争性磋商文件规定的有关要求的能力，信誉良好。</w:t>
      </w:r>
    </w:p>
    <w:p>
      <w:pPr>
        <w:spacing w:line="360" w:lineRule="auto"/>
        <w:ind w:firstLine="440" w:firstLineChars="200"/>
        <w:jc w:val="left"/>
        <w:rPr>
          <w:rFonts w:ascii="宋体" w:hAnsi="宋体" w:cs="宋体"/>
          <w:spacing w:val="-11"/>
          <w:sz w:val="24"/>
          <w:szCs w:val="24"/>
        </w:rPr>
      </w:pPr>
      <w:r>
        <w:rPr>
          <w:rFonts w:hint="eastAsia" w:ascii="宋体" w:hAnsi="宋体" w:cs="宋体"/>
          <w:spacing w:val="-11"/>
          <w:sz w:val="24"/>
          <w:szCs w:val="24"/>
        </w:rPr>
        <w:t>1.3 若采购人员及相关人员与供应商有下列利害关系之一的，应当回避：</w:t>
      </w:r>
    </w:p>
    <w:p>
      <w:pPr>
        <w:spacing w:line="360" w:lineRule="auto"/>
        <w:ind w:firstLine="484" w:firstLineChars="200"/>
        <w:jc w:val="left"/>
        <w:rPr>
          <w:rFonts w:ascii="宋体" w:hAnsi="宋体" w:cs="宋体"/>
          <w:sz w:val="24"/>
          <w:szCs w:val="24"/>
        </w:rPr>
      </w:pPr>
      <w:r>
        <w:rPr>
          <w:rFonts w:hint="eastAsia" w:ascii="宋体" w:hAnsi="宋体" w:cs="宋体"/>
          <w:sz w:val="24"/>
          <w:szCs w:val="24"/>
        </w:rPr>
        <w:t>1.3.1 参加采购活动前3年内与供应商存在劳动关系；</w:t>
      </w:r>
    </w:p>
    <w:p>
      <w:pPr>
        <w:spacing w:line="360" w:lineRule="auto"/>
        <w:ind w:firstLine="484" w:firstLineChars="200"/>
        <w:jc w:val="left"/>
        <w:rPr>
          <w:rFonts w:ascii="宋体" w:hAnsi="宋体" w:cs="宋体"/>
          <w:sz w:val="24"/>
          <w:szCs w:val="24"/>
        </w:rPr>
      </w:pPr>
      <w:r>
        <w:rPr>
          <w:rFonts w:hint="eastAsia" w:ascii="宋体" w:hAnsi="宋体" w:cs="宋体"/>
          <w:sz w:val="24"/>
          <w:szCs w:val="24"/>
        </w:rPr>
        <w:t>1.3.2 参加采购活动前3年内担任供应商的董事、监事；</w:t>
      </w:r>
    </w:p>
    <w:p>
      <w:pPr>
        <w:spacing w:line="360" w:lineRule="auto"/>
        <w:ind w:firstLine="484" w:firstLineChars="200"/>
        <w:jc w:val="left"/>
        <w:rPr>
          <w:rFonts w:ascii="宋体" w:hAnsi="宋体" w:cs="宋体"/>
          <w:sz w:val="24"/>
          <w:szCs w:val="24"/>
        </w:rPr>
      </w:pPr>
      <w:r>
        <w:rPr>
          <w:rFonts w:hint="eastAsia" w:ascii="宋体" w:hAnsi="宋体" w:cs="宋体"/>
          <w:sz w:val="24"/>
          <w:szCs w:val="24"/>
        </w:rPr>
        <w:t>1.3.3 参加采购活动前3年内是供应商的控股股东或者实际控制人；</w:t>
      </w:r>
    </w:p>
    <w:p>
      <w:pPr>
        <w:spacing w:line="360" w:lineRule="auto"/>
        <w:ind w:firstLine="484" w:firstLineChars="200"/>
        <w:jc w:val="left"/>
        <w:rPr>
          <w:rFonts w:ascii="宋体" w:hAnsi="宋体" w:cs="宋体"/>
          <w:sz w:val="24"/>
          <w:szCs w:val="24"/>
        </w:rPr>
      </w:pPr>
      <w:r>
        <w:rPr>
          <w:rFonts w:hint="eastAsia" w:ascii="宋体" w:hAnsi="宋体" w:cs="宋体"/>
          <w:sz w:val="24"/>
          <w:szCs w:val="24"/>
        </w:rPr>
        <w:t>1.3.4 与供应商的法定代表人或者负责人有夫妻、直系血亲、三代以内旁系血亲或者近姻亲关系；</w:t>
      </w:r>
    </w:p>
    <w:p>
      <w:pPr>
        <w:spacing w:line="360" w:lineRule="auto"/>
        <w:ind w:firstLine="484" w:firstLineChars="200"/>
        <w:jc w:val="left"/>
        <w:rPr>
          <w:rFonts w:ascii="宋体" w:hAnsi="宋体" w:cs="宋体"/>
          <w:sz w:val="24"/>
          <w:szCs w:val="24"/>
        </w:rPr>
      </w:pPr>
      <w:r>
        <w:rPr>
          <w:rFonts w:hint="eastAsia" w:ascii="宋体" w:hAnsi="宋体" w:cs="宋体"/>
          <w:sz w:val="24"/>
          <w:szCs w:val="24"/>
        </w:rPr>
        <w:t>1.3.5 与供应商有其他可能影响政府采购活动公平、公正进行的关系。</w:t>
      </w:r>
    </w:p>
    <w:p>
      <w:pPr>
        <w:spacing w:line="360" w:lineRule="auto"/>
        <w:ind w:firstLine="484" w:firstLineChars="200"/>
        <w:jc w:val="left"/>
        <w:rPr>
          <w:rFonts w:ascii="宋体" w:hAnsi="宋体" w:cs="宋体"/>
          <w:sz w:val="24"/>
          <w:szCs w:val="24"/>
        </w:rPr>
      </w:pPr>
      <w:r>
        <w:rPr>
          <w:rFonts w:hint="eastAsia" w:ascii="宋体" w:hAnsi="宋体" w:cs="宋体"/>
          <w:sz w:val="24"/>
          <w:szCs w:val="24"/>
        </w:rPr>
        <w:t>1.3.6 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360" w:lineRule="auto"/>
        <w:ind w:firstLine="484" w:firstLineChars="200"/>
        <w:jc w:val="left"/>
        <w:rPr>
          <w:rFonts w:ascii="宋体" w:hAnsi="宋体" w:cs="宋体"/>
          <w:sz w:val="24"/>
          <w:szCs w:val="24"/>
        </w:rPr>
      </w:pPr>
      <w:r>
        <w:rPr>
          <w:rFonts w:hint="eastAsia" w:ascii="宋体" w:hAnsi="宋体" w:cs="宋体"/>
          <w:sz w:val="24"/>
          <w:szCs w:val="24"/>
        </w:rPr>
        <w:t>1.4 采购人或者采购代理机构有下列情形之一的，属于以不合理的条件对供应商实行差别待遇或者歧视待遇：</w:t>
      </w:r>
    </w:p>
    <w:p>
      <w:pPr>
        <w:spacing w:line="360" w:lineRule="auto"/>
        <w:ind w:firstLine="484" w:firstLineChars="200"/>
        <w:jc w:val="left"/>
        <w:rPr>
          <w:rFonts w:ascii="宋体" w:hAnsi="宋体" w:cs="宋体"/>
          <w:sz w:val="24"/>
          <w:szCs w:val="24"/>
        </w:rPr>
      </w:pPr>
      <w:r>
        <w:rPr>
          <w:rFonts w:hint="eastAsia" w:ascii="宋体" w:hAnsi="宋体" w:cs="宋体"/>
          <w:sz w:val="24"/>
          <w:szCs w:val="24"/>
        </w:rPr>
        <w:t>1.4.1 就同一采购项目向供应商提供有差别的项目信息；</w:t>
      </w:r>
    </w:p>
    <w:p>
      <w:pPr>
        <w:spacing w:line="360" w:lineRule="auto"/>
        <w:ind w:firstLine="484" w:firstLineChars="200"/>
        <w:jc w:val="left"/>
        <w:rPr>
          <w:rFonts w:ascii="宋体" w:hAnsi="宋体" w:cs="宋体"/>
          <w:sz w:val="24"/>
          <w:szCs w:val="24"/>
        </w:rPr>
      </w:pPr>
      <w:r>
        <w:rPr>
          <w:rFonts w:hint="eastAsia" w:ascii="宋体" w:hAnsi="宋体" w:cs="宋体"/>
          <w:sz w:val="24"/>
          <w:szCs w:val="24"/>
        </w:rPr>
        <w:t>1.4.2 设定的资格、技术、商务条件与采购项目的具体特点和实际需要不相适应或者与合同履行无关；</w:t>
      </w:r>
    </w:p>
    <w:p>
      <w:pPr>
        <w:spacing w:line="360" w:lineRule="auto"/>
        <w:ind w:firstLine="484" w:firstLineChars="200"/>
        <w:jc w:val="left"/>
        <w:rPr>
          <w:rFonts w:ascii="宋体" w:hAnsi="宋体" w:cs="宋体"/>
          <w:sz w:val="24"/>
          <w:szCs w:val="24"/>
        </w:rPr>
      </w:pPr>
      <w:r>
        <w:rPr>
          <w:rFonts w:hint="eastAsia" w:ascii="宋体" w:hAnsi="宋体" w:cs="宋体"/>
          <w:sz w:val="24"/>
          <w:szCs w:val="24"/>
        </w:rPr>
        <w:t>1.4.3 采购需求中的技术、服务等要求指向特定供应商、特定产品；</w:t>
      </w:r>
    </w:p>
    <w:p>
      <w:pPr>
        <w:spacing w:line="360" w:lineRule="auto"/>
        <w:ind w:firstLine="440" w:firstLineChars="200"/>
        <w:jc w:val="left"/>
        <w:rPr>
          <w:rFonts w:ascii="宋体" w:hAnsi="宋体" w:cs="宋体"/>
          <w:spacing w:val="-11"/>
          <w:sz w:val="24"/>
          <w:szCs w:val="24"/>
        </w:rPr>
      </w:pPr>
      <w:r>
        <w:rPr>
          <w:rFonts w:hint="eastAsia" w:ascii="宋体" w:hAnsi="宋体" w:cs="宋体"/>
          <w:spacing w:val="-11"/>
          <w:sz w:val="24"/>
          <w:szCs w:val="24"/>
        </w:rPr>
        <w:t>1.4.4 以特定行政区域或者特定行业的业绩、奖项作为中标和成交条件；</w:t>
      </w:r>
    </w:p>
    <w:p>
      <w:pPr>
        <w:spacing w:line="360" w:lineRule="auto"/>
        <w:ind w:firstLine="484" w:firstLineChars="200"/>
        <w:jc w:val="left"/>
        <w:rPr>
          <w:rFonts w:ascii="宋体" w:hAnsi="宋体" w:cs="宋体"/>
          <w:sz w:val="24"/>
          <w:szCs w:val="24"/>
        </w:rPr>
      </w:pPr>
      <w:r>
        <w:rPr>
          <w:rFonts w:hint="eastAsia" w:ascii="宋体" w:hAnsi="宋体" w:cs="宋体"/>
          <w:sz w:val="24"/>
          <w:szCs w:val="24"/>
        </w:rPr>
        <w:t>1.4.5 对供应商采取不同的资格审查或者评审标准；</w:t>
      </w:r>
    </w:p>
    <w:p>
      <w:pPr>
        <w:spacing w:line="360" w:lineRule="auto"/>
        <w:ind w:firstLine="484" w:firstLineChars="200"/>
        <w:jc w:val="left"/>
        <w:rPr>
          <w:rFonts w:ascii="宋体" w:hAnsi="宋体" w:cs="宋体"/>
          <w:sz w:val="24"/>
          <w:szCs w:val="24"/>
        </w:rPr>
      </w:pPr>
      <w:r>
        <w:rPr>
          <w:rFonts w:hint="eastAsia" w:ascii="宋体" w:hAnsi="宋体" w:cs="宋体"/>
          <w:sz w:val="24"/>
          <w:szCs w:val="24"/>
        </w:rPr>
        <w:t>1.4.6 限定或者指定特定的专利、商标、品牌或者供应商；</w:t>
      </w:r>
    </w:p>
    <w:p>
      <w:pPr>
        <w:spacing w:line="360" w:lineRule="auto"/>
        <w:ind w:firstLine="484" w:firstLineChars="200"/>
        <w:jc w:val="left"/>
        <w:rPr>
          <w:rFonts w:ascii="宋体" w:hAnsi="宋体" w:cs="宋体"/>
          <w:sz w:val="24"/>
          <w:szCs w:val="24"/>
        </w:rPr>
      </w:pPr>
      <w:r>
        <w:rPr>
          <w:rFonts w:hint="eastAsia" w:ascii="宋体" w:hAnsi="宋体" w:cs="宋体"/>
          <w:sz w:val="24"/>
          <w:szCs w:val="24"/>
        </w:rPr>
        <w:t>1.4.7 非法限定供应商的所有制形式、组织形式或者所在地；</w:t>
      </w:r>
    </w:p>
    <w:p>
      <w:pPr>
        <w:spacing w:line="360" w:lineRule="auto"/>
        <w:ind w:firstLine="484" w:firstLineChars="200"/>
        <w:jc w:val="left"/>
        <w:rPr>
          <w:rFonts w:ascii="宋体" w:hAnsi="宋体" w:cs="宋体"/>
          <w:sz w:val="24"/>
          <w:szCs w:val="24"/>
        </w:rPr>
      </w:pPr>
      <w:r>
        <w:rPr>
          <w:rFonts w:hint="eastAsia" w:ascii="宋体" w:hAnsi="宋体" w:cs="宋体"/>
          <w:sz w:val="24"/>
          <w:szCs w:val="24"/>
        </w:rPr>
        <w:t>1.4.8 以其他不合理条件限制或者排斥潜在供应商。</w:t>
      </w:r>
    </w:p>
    <w:p>
      <w:pPr>
        <w:spacing w:line="360" w:lineRule="auto"/>
        <w:ind w:firstLine="484" w:firstLineChars="200"/>
        <w:jc w:val="left"/>
        <w:rPr>
          <w:rFonts w:ascii="宋体" w:hAnsi="宋体" w:cs="宋体"/>
          <w:sz w:val="24"/>
          <w:szCs w:val="24"/>
        </w:rPr>
      </w:pPr>
      <w:r>
        <w:rPr>
          <w:rFonts w:hint="eastAsia" w:ascii="宋体" w:hAnsi="宋体" w:cs="宋体"/>
          <w:sz w:val="24"/>
          <w:szCs w:val="24"/>
        </w:rPr>
        <w:t>1.5 有下列情形之一的，视为供应商串通投标，其投标无效：</w:t>
      </w:r>
    </w:p>
    <w:p>
      <w:pPr>
        <w:spacing w:line="360" w:lineRule="auto"/>
        <w:ind w:firstLine="484" w:firstLineChars="200"/>
        <w:jc w:val="left"/>
        <w:rPr>
          <w:rFonts w:ascii="宋体" w:hAnsi="宋体" w:cs="宋体"/>
          <w:sz w:val="24"/>
          <w:szCs w:val="24"/>
        </w:rPr>
      </w:pPr>
      <w:r>
        <w:rPr>
          <w:rFonts w:hint="eastAsia" w:ascii="宋体" w:hAnsi="宋体" w:cs="宋体"/>
          <w:sz w:val="24"/>
          <w:szCs w:val="24"/>
        </w:rPr>
        <w:t>1.5.1不同供应商的响应文件由同一单位或者个人编制；</w:t>
      </w:r>
    </w:p>
    <w:p>
      <w:pPr>
        <w:spacing w:line="360" w:lineRule="auto"/>
        <w:ind w:firstLine="484" w:firstLineChars="200"/>
        <w:jc w:val="left"/>
        <w:rPr>
          <w:rFonts w:ascii="宋体" w:hAnsi="宋体" w:cs="宋体"/>
          <w:sz w:val="24"/>
          <w:szCs w:val="24"/>
        </w:rPr>
      </w:pPr>
      <w:r>
        <w:rPr>
          <w:rFonts w:hint="eastAsia" w:ascii="宋体" w:hAnsi="宋体" w:cs="宋体"/>
          <w:sz w:val="24"/>
          <w:szCs w:val="24"/>
        </w:rPr>
        <w:t>1.5.2不同供应商委托同一单位或者个人办理投标事宜；</w:t>
      </w:r>
    </w:p>
    <w:p>
      <w:pPr>
        <w:spacing w:line="360" w:lineRule="auto"/>
        <w:ind w:firstLine="484" w:firstLineChars="200"/>
        <w:jc w:val="left"/>
        <w:rPr>
          <w:rFonts w:ascii="宋体" w:hAnsi="宋体" w:cs="宋体"/>
          <w:sz w:val="24"/>
          <w:szCs w:val="24"/>
        </w:rPr>
      </w:pPr>
      <w:r>
        <w:rPr>
          <w:rFonts w:hint="eastAsia" w:ascii="宋体" w:hAnsi="宋体" w:cs="宋体"/>
          <w:sz w:val="24"/>
          <w:szCs w:val="24"/>
        </w:rPr>
        <w:t>1.5.3不同供应商的响应文件载明的项目管理成员或者联系人员为同一人；</w:t>
      </w:r>
    </w:p>
    <w:p>
      <w:pPr>
        <w:spacing w:line="360" w:lineRule="auto"/>
        <w:jc w:val="left"/>
        <w:rPr>
          <w:rFonts w:ascii="宋体" w:hAnsi="宋体" w:cs="宋体"/>
          <w:sz w:val="24"/>
          <w:szCs w:val="24"/>
        </w:rPr>
      </w:pPr>
      <w:r>
        <w:rPr>
          <w:rFonts w:hint="eastAsia" w:ascii="宋体" w:hAnsi="宋体" w:cs="宋体"/>
          <w:sz w:val="24"/>
          <w:szCs w:val="24"/>
        </w:rPr>
        <w:t>　　1.5.4不同供应商的响应文件异常一致或者投标报价呈规律性差异；</w:t>
      </w:r>
    </w:p>
    <w:p>
      <w:pPr>
        <w:spacing w:line="360" w:lineRule="auto"/>
        <w:jc w:val="left"/>
        <w:rPr>
          <w:rFonts w:ascii="宋体" w:hAnsi="宋体" w:cs="宋体"/>
          <w:sz w:val="24"/>
          <w:szCs w:val="24"/>
        </w:rPr>
      </w:pPr>
      <w:r>
        <w:rPr>
          <w:rFonts w:hint="eastAsia" w:ascii="宋体" w:hAnsi="宋体" w:cs="宋体"/>
          <w:sz w:val="24"/>
          <w:szCs w:val="24"/>
        </w:rPr>
        <w:t>　　1.5.5不同供应商的响应文件相互混装；</w:t>
      </w:r>
    </w:p>
    <w:p>
      <w:pPr>
        <w:spacing w:line="360" w:lineRule="auto"/>
        <w:jc w:val="left"/>
        <w:rPr>
          <w:rFonts w:ascii="宋体" w:hAnsi="宋体" w:cs="宋体"/>
          <w:sz w:val="24"/>
          <w:szCs w:val="24"/>
        </w:rPr>
      </w:pPr>
      <w:r>
        <w:rPr>
          <w:rFonts w:hint="eastAsia" w:ascii="宋体" w:hAnsi="宋体" w:cs="宋体"/>
          <w:sz w:val="24"/>
          <w:szCs w:val="24"/>
        </w:rPr>
        <w:t>　　1.5.6不同供应商的投标保证金从同一单位或者个人的账户转出。</w:t>
      </w:r>
    </w:p>
    <w:p>
      <w:pPr>
        <w:spacing w:line="360" w:lineRule="auto"/>
        <w:ind w:firstLine="484" w:firstLineChars="200"/>
        <w:jc w:val="left"/>
        <w:rPr>
          <w:rFonts w:ascii="宋体" w:hAnsi="宋体" w:cs="宋体"/>
          <w:sz w:val="24"/>
          <w:szCs w:val="24"/>
        </w:rPr>
      </w:pPr>
      <w:r>
        <w:rPr>
          <w:rFonts w:hint="eastAsia" w:ascii="宋体" w:hAnsi="宋体" w:cs="宋体"/>
          <w:sz w:val="24"/>
          <w:szCs w:val="24"/>
        </w:rPr>
        <w:t>1.6 供应商在本次采购活动中，必须遵循《中华人民共和国政府采购法实施条例》等相关法令、法规的规定。</w:t>
      </w:r>
    </w:p>
    <w:p>
      <w:pPr>
        <w:spacing w:line="360" w:lineRule="auto"/>
        <w:jc w:val="left"/>
        <w:rPr>
          <w:rFonts w:ascii="宋体" w:hAnsi="宋体" w:cs="宋体"/>
          <w:b/>
          <w:bCs/>
          <w:sz w:val="24"/>
          <w:szCs w:val="24"/>
        </w:rPr>
      </w:pPr>
      <w:bookmarkStart w:id="84" w:name="_Toc21311"/>
      <w:bookmarkStart w:id="85" w:name="_Toc13508"/>
      <w:bookmarkStart w:id="86" w:name="_Toc21361"/>
      <w:r>
        <w:rPr>
          <w:rFonts w:hint="eastAsia" w:ascii="宋体" w:hAnsi="宋体" w:cs="宋体"/>
          <w:b/>
          <w:bCs/>
          <w:sz w:val="24"/>
          <w:szCs w:val="24"/>
        </w:rPr>
        <w:t>2  定义</w:t>
      </w:r>
      <w:bookmarkEnd w:id="84"/>
      <w:bookmarkEnd w:id="85"/>
      <w:bookmarkEnd w:id="86"/>
    </w:p>
    <w:p>
      <w:pPr>
        <w:spacing w:line="360" w:lineRule="auto"/>
        <w:ind w:firstLine="484" w:firstLineChars="200"/>
        <w:rPr>
          <w:rFonts w:ascii="宋体" w:hAnsi="宋体" w:cs="宋体"/>
          <w:sz w:val="24"/>
          <w:szCs w:val="24"/>
        </w:rPr>
      </w:pPr>
      <w:bookmarkStart w:id="87" w:name="_Toc9762"/>
      <w:bookmarkStart w:id="88" w:name="_Toc28507"/>
      <w:bookmarkStart w:id="89" w:name="_Toc8374"/>
      <w:r>
        <w:rPr>
          <w:rFonts w:hint="eastAsia" w:ascii="宋体" w:hAnsi="宋体" w:cs="宋体"/>
          <w:sz w:val="24"/>
          <w:szCs w:val="24"/>
        </w:rPr>
        <w:t>2.1“采购人”系指依法进行政府采购的国家机关、事业单位、团体组织。</w:t>
      </w:r>
    </w:p>
    <w:p>
      <w:pPr>
        <w:spacing w:line="360" w:lineRule="auto"/>
        <w:ind w:firstLine="484" w:firstLineChars="200"/>
        <w:rPr>
          <w:rFonts w:ascii="宋体" w:hAnsi="宋体" w:cs="宋体"/>
          <w:sz w:val="24"/>
          <w:szCs w:val="24"/>
        </w:rPr>
      </w:pPr>
      <w:r>
        <w:rPr>
          <w:rFonts w:hint="eastAsia" w:ascii="宋体" w:hAnsi="宋体" w:cs="宋体"/>
          <w:sz w:val="24"/>
          <w:szCs w:val="24"/>
        </w:rPr>
        <w:t>2.2“采购代理机构”系指具备一定条件，经政府有关部门批准而依法拥有政府采购代理资格的社会中介机构。</w:t>
      </w:r>
    </w:p>
    <w:p>
      <w:pPr>
        <w:spacing w:line="360" w:lineRule="auto"/>
        <w:ind w:firstLine="484" w:firstLineChars="200"/>
        <w:rPr>
          <w:rFonts w:ascii="宋体" w:hAnsi="宋体" w:cs="宋体"/>
          <w:sz w:val="24"/>
          <w:szCs w:val="24"/>
        </w:rPr>
      </w:pPr>
      <w:r>
        <w:rPr>
          <w:rFonts w:hint="eastAsia" w:ascii="宋体" w:hAnsi="宋体" w:cs="宋体"/>
          <w:sz w:val="24"/>
          <w:szCs w:val="24"/>
        </w:rPr>
        <w:t>2.3“供应商”系指参加政府采购市场的合法供应</w:t>
      </w:r>
      <w:r>
        <w:fldChar w:fldCharType="begin"/>
      </w:r>
      <w:r>
        <w:instrText xml:space="preserve"> HYPERLINK "https://baike.baidu.com/item/%E4%B8%BB%E4%BD%93/2888766" \t "https://baike.baidu.com/item/%E6%94%BF%E5%BA%9C%E9%87%87%E8%B4%AD%E4%BE%9B%E5%BA%94%E5%95%86/_blank" </w:instrText>
      </w:r>
      <w:r>
        <w:fldChar w:fldCharType="separate"/>
      </w:r>
      <w:r>
        <w:rPr>
          <w:rFonts w:hint="eastAsia" w:ascii="宋体" w:hAnsi="宋体" w:cs="宋体"/>
          <w:sz w:val="24"/>
          <w:szCs w:val="24"/>
        </w:rPr>
        <w:t>主体</w:t>
      </w:r>
      <w:r>
        <w:rPr>
          <w:rFonts w:hint="eastAsia" w:ascii="宋体" w:hAnsi="宋体" w:cs="宋体"/>
          <w:sz w:val="24"/>
          <w:szCs w:val="24"/>
        </w:rPr>
        <w:fldChar w:fldCharType="end"/>
      </w:r>
      <w:r>
        <w:rPr>
          <w:rFonts w:hint="eastAsia" w:ascii="宋体" w:hAnsi="宋体" w:cs="宋体"/>
          <w:sz w:val="24"/>
          <w:szCs w:val="24"/>
        </w:rPr>
        <w:t>，具体是指向采购人提供货物、工程或者服务的法人、其他组织或者</w:t>
      </w:r>
      <w:r>
        <w:fldChar w:fldCharType="begin"/>
      </w:r>
      <w:r>
        <w:instrText xml:space="preserve"> HYPERLINK "https://baike.baidu.com/item/%E8%87%AA%E7%84%B6%E4%BA%BA/1465" \t "https://baike.baidu.com/item/%E6%94%BF%E5%BA%9C%E9%87%87%E8%B4%AD%E4%BE%9B%E5%BA%94%E5%95%86/_blank" </w:instrText>
      </w:r>
      <w:r>
        <w:fldChar w:fldCharType="separate"/>
      </w:r>
      <w:r>
        <w:rPr>
          <w:rFonts w:hint="eastAsia" w:ascii="宋体" w:hAnsi="宋体" w:cs="宋体"/>
          <w:sz w:val="24"/>
          <w:szCs w:val="24"/>
        </w:rPr>
        <w:t>自然人</w:t>
      </w:r>
      <w:r>
        <w:rPr>
          <w:rFonts w:hint="eastAsia" w:ascii="宋体" w:hAnsi="宋体" w:cs="宋体"/>
          <w:sz w:val="24"/>
          <w:szCs w:val="24"/>
        </w:rPr>
        <w:fldChar w:fldCharType="end"/>
      </w:r>
      <w:r>
        <w:rPr>
          <w:rFonts w:hint="eastAsia" w:ascii="宋体" w:hAnsi="宋体" w:cs="宋体"/>
          <w:sz w:val="24"/>
          <w:szCs w:val="24"/>
        </w:rPr>
        <w:t>。</w:t>
      </w:r>
    </w:p>
    <w:p>
      <w:pPr>
        <w:spacing w:line="360" w:lineRule="auto"/>
        <w:ind w:firstLine="484" w:firstLineChars="200"/>
        <w:rPr>
          <w:rFonts w:ascii="宋体" w:hAnsi="宋体" w:cs="宋体"/>
          <w:sz w:val="24"/>
          <w:szCs w:val="24"/>
        </w:rPr>
      </w:pPr>
      <w:r>
        <w:rPr>
          <w:rFonts w:hint="eastAsia" w:ascii="宋体" w:hAnsi="宋体" w:cs="宋体"/>
          <w:sz w:val="24"/>
          <w:szCs w:val="24"/>
        </w:rPr>
        <w:t>2.4“采购”是指以合同方式有偿取得货物、工程或者服务的行为，包括购买、租赁、委托、雇用等。</w:t>
      </w:r>
    </w:p>
    <w:p>
      <w:pPr>
        <w:spacing w:line="360" w:lineRule="auto"/>
        <w:ind w:firstLine="484" w:firstLineChars="200"/>
        <w:rPr>
          <w:rFonts w:ascii="宋体" w:hAnsi="宋体" w:cs="宋体"/>
          <w:sz w:val="24"/>
          <w:szCs w:val="24"/>
        </w:rPr>
      </w:pPr>
      <w:r>
        <w:rPr>
          <w:rFonts w:hint="eastAsia" w:ascii="宋体" w:hAnsi="宋体" w:cs="宋体"/>
          <w:sz w:val="24"/>
          <w:szCs w:val="24"/>
        </w:rPr>
        <w:t>2.5“货物”是指各种形态和种类的物品，包括原材料、燃料、设备、产品等。</w:t>
      </w:r>
    </w:p>
    <w:p>
      <w:pPr>
        <w:spacing w:line="360" w:lineRule="auto"/>
        <w:ind w:firstLine="484" w:firstLineChars="200"/>
        <w:rPr>
          <w:rFonts w:ascii="宋体" w:hAnsi="宋体" w:cs="宋体"/>
          <w:sz w:val="24"/>
          <w:szCs w:val="24"/>
        </w:rPr>
      </w:pPr>
      <w:r>
        <w:rPr>
          <w:rFonts w:hint="eastAsia" w:ascii="宋体" w:hAnsi="宋体" w:cs="宋体"/>
          <w:sz w:val="24"/>
          <w:szCs w:val="24"/>
        </w:rPr>
        <w:t>2.6“工程”是指建设工程，包括建筑物和构筑物的新建、改建、扩建、装修、拆除、修缮等。</w:t>
      </w:r>
    </w:p>
    <w:p>
      <w:pPr>
        <w:spacing w:line="360" w:lineRule="auto"/>
        <w:ind w:firstLine="484" w:firstLineChars="200"/>
        <w:rPr>
          <w:rFonts w:ascii="宋体" w:hAnsi="宋体" w:cs="宋体"/>
          <w:sz w:val="24"/>
          <w:szCs w:val="24"/>
        </w:rPr>
      </w:pPr>
      <w:r>
        <w:rPr>
          <w:rFonts w:hint="eastAsia" w:ascii="宋体" w:hAnsi="宋体" w:cs="宋体"/>
          <w:sz w:val="24"/>
          <w:szCs w:val="24"/>
        </w:rPr>
        <w:t>2.7“服务”是指除货物和工程以外的其他政府采购对象，包括政府自身需要的服务和政府向社会公众提供的公共服务。</w:t>
      </w:r>
    </w:p>
    <w:p>
      <w:pPr>
        <w:spacing w:line="360" w:lineRule="auto"/>
        <w:ind w:firstLine="484" w:firstLineChars="200"/>
        <w:rPr>
          <w:rFonts w:ascii="宋体" w:hAnsi="宋体" w:cs="宋体"/>
          <w:sz w:val="24"/>
          <w:szCs w:val="24"/>
        </w:rPr>
      </w:pPr>
      <w:r>
        <w:rPr>
          <w:rFonts w:hint="eastAsia" w:ascii="宋体" w:hAnsi="宋体" w:cs="宋体"/>
          <w:sz w:val="24"/>
          <w:szCs w:val="24"/>
        </w:rPr>
        <w:t>2.8“竞争性磋商文件”系指由采购人向供应商发出的本采购项目的全部文件（包括修改文件、补充文件、答疑纪要、各种通知和附件等）。</w:t>
      </w:r>
    </w:p>
    <w:p>
      <w:pPr>
        <w:spacing w:line="360" w:lineRule="auto"/>
        <w:ind w:firstLine="484" w:firstLineChars="200"/>
        <w:rPr>
          <w:rFonts w:ascii="宋体" w:hAnsi="宋体" w:cs="宋体"/>
          <w:sz w:val="24"/>
          <w:szCs w:val="24"/>
        </w:rPr>
      </w:pPr>
      <w:r>
        <w:rPr>
          <w:rFonts w:hint="eastAsia" w:ascii="宋体" w:hAnsi="宋体" w:cs="宋体"/>
          <w:sz w:val="24"/>
          <w:szCs w:val="24"/>
        </w:rPr>
        <w:t>2.9“响应文件”系指供应商根据竞争性磋商文件提交的所有文件。</w:t>
      </w:r>
    </w:p>
    <w:p>
      <w:pPr>
        <w:spacing w:line="360" w:lineRule="auto"/>
        <w:jc w:val="left"/>
        <w:rPr>
          <w:rFonts w:ascii="宋体" w:hAnsi="宋体" w:cs="宋体"/>
          <w:b/>
          <w:bCs/>
          <w:sz w:val="24"/>
          <w:szCs w:val="24"/>
        </w:rPr>
      </w:pPr>
      <w:r>
        <w:rPr>
          <w:rFonts w:hint="eastAsia" w:ascii="宋体" w:hAnsi="宋体" w:cs="宋体"/>
          <w:b/>
          <w:bCs/>
          <w:sz w:val="24"/>
          <w:szCs w:val="24"/>
        </w:rPr>
        <w:t xml:space="preserve">3  </w:t>
      </w:r>
      <w:bookmarkEnd w:id="87"/>
      <w:bookmarkEnd w:id="88"/>
      <w:bookmarkEnd w:id="89"/>
      <w:bookmarkStart w:id="90" w:name="_Toc9236"/>
      <w:bookmarkStart w:id="91" w:name="_Toc26674"/>
      <w:bookmarkStart w:id="92" w:name="_Toc12273"/>
      <w:r>
        <w:rPr>
          <w:rFonts w:hint="eastAsia" w:ascii="宋体" w:hAnsi="宋体" w:cs="宋体"/>
          <w:b/>
          <w:bCs/>
          <w:sz w:val="24"/>
          <w:szCs w:val="24"/>
        </w:rPr>
        <w:t>采购内容</w:t>
      </w:r>
      <w:bookmarkEnd w:id="90"/>
      <w:bookmarkEnd w:id="91"/>
      <w:bookmarkEnd w:id="92"/>
    </w:p>
    <w:p>
      <w:pPr>
        <w:spacing w:line="360" w:lineRule="auto"/>
        <w:ind w:left="563" w:leftChars="266"/>
        <w:rPr>
          <w:rFonts w:ascii="宋体" w:hAnsi="宋体" w:cs="宋体"/>
          <w:sz w:val="24"/>
          <w:szCs w:val="24"/>
        </w:rPr>
      </w:pPr>
      <w:bookmarkStart w:id="93" w:name="_Toc2891"/>
      <w:bookmarkStart w:id="94" w:name="_Toc13918"/>
      <w:bookmarkStart w:id="95" w:name="_Toc30414"/>
      <w:r>
        <w:rPr>
          <w:rFonts w:hint="eastAsia" w:ascii="宋体" w:hAnsi="宋体" w:cs="宋体"/>
          <w:sz w:val="24"/>
          <w:szCs w:val="24"/>
        </w:rPr>
        <w:t>3.1 采购内容：详见供应商须知前附表。</w:t>
      </w:r>
    </w:p>
    <w:p>
      <w:pPr>
        <w:spacing w:line="360" w:lineRule="auto"/>
        <w:ind w:left="563" w:leftChars="266"/>
        <w:rPr>
          <w:rFonts w:ascii="宋体" w:hAnsi="宋体" w:cs="宋体"/>
          <w:sz w:val="24"/>
          <w:szCs w:val="24"/>
        </w:rPr>
      </w:pPr>
      <w:r>
        <w:rPr>
          <w:rFonts w:hint="eastAsia" w:ascii="宋体" w:hAnsi="宋体" w:cs="宋体"/>
          <w:sz w:val="24"/>
          <w:szCs w:val="24"/>
        </w:rPr>
        <w:t>3.2 采购项目名称、数量、技术规格要求详见第三章；</w:t>
      </w:r>
    </w:p>
    <w:p>
      <w:pPr>
        <w:spacing w:line="360" w:lineRule="auto"/>
        <w:ind w:firstLine="484" w:firstLineChars="200"/>
        <w:rPr>
          <w:rFonts w:ascii="宋体" w:hAnsi="宋体" w:cs="宋体"/>
          <w:sz w:val="24"/>
          <w:szCs w:val="24"/>
        </w:rPr>
      </w:pPr>
      <w:r>
        <w:rPr>
          <w:rFonts w:hint="eastAsia" w:ascii="宋体" w:hAnsi="宋体" w:cs="宋体"/>
          <w:sz w:val="24"/>
          <w:szCs w:val="24"/>
        </w:rPr>
        <w:t>3.3 在采购活动中的标准按国家现行规定（国际标准、国家标准或行业标准）执行。详细说明见第四章 质量标准和要求。</w:t>
      </w:r>
    </w:p>
    <w:bookmarkEnd w:id="93"/>
    <w:bookmarkEnd w:id="94"/>
    <w:bookmarkEnd w:id="95"/>
    <w:p>
      <w:pPr>
        <w:spacing w:line="360" w:lineRule="auto"/>
        <w:rPr>
          <w:rFonts w:ascii="宋体" w:hAnsi="宋体" w:cs="宋体"/>
          <w:b/>
          <w:bCs/>
          <w:sz w:val="24"/>
          <w:szCs w:val="24"/>
        </w:rPr>
      </w:pPr>
      <w:bookmarkStart w:id="96" w:name="_Toc4128"/>
      <w:bookmarkStart w:id="97" w:name="_Toc6626"/>
      <w:bookmarkStart w:id="98" w:name="_Toc17382"/>
      <w:bookmarkStart w:id="99" w:name="_Toc18640"/>
      <w:r>
        <w:rPr>
          <w:rFonts w:hint="eastAsia" w:ascii="宋体" w:hAnsi="宋体" w:cs="宋体"/>
          <w:b/>
          <w:bCs/>
          <w:sz w:val="24"/>
          <w:szCs w:val="24"/>
        </w:rPr>
        <w:t>4  有关说明</w:t>
      </w:r>
    </w:p>
    <w:p>
      <w:pPr>
        <w:spacing w:line="360" w:lineRule="auto"/>
        <w:ind w:firstLine="484" w:firstLineChars="200"/>
        <w:rPr>
          <w:rFonts w:ascii="宋体" w:hAnsi="宋体" w:cs="宋体"/>
          <w:sz w:val="24"/>
          <w:szCs w:val="24"/>
        </w:rPr>
      </w:pPr>
      <w:r>
        <w:rPr>
          <w:rFonts w:hint="eastAsia" w:ascii="宋体" w:hAnsi="宋体" w:cs="宋体"/>
          <w:sz w:val="24"/>
          <w:szCs w:val="24"/>
        </w:rPr>
        <w:t>4.1 规范要求和实际需要的内容，在竞争性磋商文件中有漏项，务请在响应文件中指出，并提供解决方案作实质性响应。</w:t>
      </w:r>
    </w:p>
    <w:p>
      <w:pPr>
        <w:spacing w:line="360" w:lineRule="auto"/>
        <w:ind w:firstLine="484" w:firstLineChars="200"/>
        <w:rPr>
          <w:rFonts w:ascii="宋体" w:hAnsi="宋体" w:cs="宋体"/>
          <w:sz w:val="24"/>
          <w:szCs w:val="24"/>
        </w:rPr>
      </w:pPr>
      <w:r>
        <w:rPr>
          <w:rFonts w:hint="eastAsia" w:ascii="宋体" w:hAnsi="宋体" w:cs="宋体"/>
          <w:sz w:val="24"/>
          <w:szCs w:val="24"/>
        </w:rPr>
        <w:t>4.2 供应商根据招标文件载明的标的采购项目实际情况，拟在中标后将中标项目的非主体、非关键性工作交由他人完成的，应当在投标文件中载明。</w:t>
      </w:r>
    </w:p>
    <w:p>
      <w:pPr>
        <w:spacing w:line="360" w:lineRule="auto"/>
        <w:ind w:firstLine="484" w:firstLineChars="200"/>
        <w:rPr>
          <w:rFonts w:ascii="宋体" w:hAnsi="宋体" w:cs="宋体"/>
          <w:sz w:val="24"/>
          <w:szCs w:val="24"/>
        </w:rPr>
      </w:pPr>
      <w:r>
        <w:rPr>
          <w:rFonts w:ascii="宋体" w:hAnsi="宋体" w:cs="宋体"/>
          <w:sz w:val="24"/>
          <w:szCs w:val="24"/>
        </w:rPr>
        <w:t>4</w:t>
      </w:r>
      <w:r>
        <w:rPr>
          <w:rFonts w:hint="eastAsia" w:ascii="宋体" w:hAnsi="宋体" w:cs="宋体"/>
          <w:sz w:val="24"/>
          <w:szCs w:val="24"/>
        </w:rPr>
        <w:t>.3 供应商应提供该项目技术支持和服务承诺书。</w:t>
      </w:r>
    </w:p>
    <w:bookmarkEnd w:id="96"/>
    <w:bookmarkEnd w:id="97"/>
    <w:bookmarkEnd w:id="98"/>
    <w:bookmarkEnd w:id="99"/>
    <w:p>
      <w:pPr>
        <w:spacing w:line="360" w:lineRule="auto"/>
        <w:jc w:val="center"/>
        <w:outlineLvl w:val="1"/>
        <w:rPr>
          <w:rFonts w:ascii="宋体" w:hAnsi="宋体" w:cs="宋体"/>
          <w:b/>
          <w:bCs/>
          <w:sz w:val="24"/>
          <w:szCs w:val="24"/>
        </w:rPr>
      </w:pPr>
      <w:bookmarkStart w:id="100" w:name="_Toc137664501"/>
      <w:bookmarkStart w:id="101" w:name="_Toc137663951"/>
      <w:bookmarkStart w:id="102" w:name="_Toc20950"/>
      <w:bookmarkStart w:id="103" w:name="_Toc22658"/>
      <w:bookmarkStart w:id="104" w:name="_Toc8820"/>
      <w:r>
        <w:rPr>
          <w:rFonts w:hint="eastAsia" w:ascii="宋体" w:hAnsi="宋体" w:cs="宋体"/>
          <w:b/>
          <w:bCs/>
          <w:sz w:val="24"/>
          <w:szCs w:val="24"/>
        </w:rPr>
        <w:t>二、竞争性磋商文件</w:t>
      </w:r>
      <w:bookmarkEnd w:id="100"/>
      <w:bookmarkEnd w:id="101"/>
      <w:bookmarkEnd w:id="102"/>
      <w:bookmarkEnd w:id="103"/>
      <w:bookmarkEnd w:id="104"/>
    </w:p>
    <w:p>
      <w:pPr>
        <w:spacing w:line="360" w:lineRule="auto"/>
        <w:rPr>
          <w:rFonts w:ascii="宋体" w:hAnsi="宋体" w:cs="宋体"/>
          <w:b/>
          <w:bCs/>
          <w:sz w:val="24"/>
          <w:szCs w:val="24"/>
        </w:rPr>
      </w:pPr>
      <w:r>
        <w:rPr>
          <w:rFonts w:hint="eastAsia" w:ascii="宋体" w:hAnsi="宋体" w:cs="宋体"/>
          <w:b/>
          <w:bCs/>
          <w:sz w:val="24"/>
          <w:szCs w:val="24"/>
        </w:rPr>
        <w:t>5  竞争性磋商文件</w:t>
      </w:r>
    </w:p>
    <w:p>
      <w:pPr>
        <w:spacing w:line="360" w:lineRule="auto"/>
        <w:ind w:firstLine="484" w:firstLineChars="200"/>
        <w:rPr>
          <w:rFonts w:ascii="宋体" w:hAnsi="宋体" w:cs="宋体"/>
          <w:sz w:val="24"/>
          <w:szCs w:val="24"/>
        </w:rPr>
      </w:pPr>
      <w:r>
        <w:rPr>
          <w:rFonts w:hint="eastAsia" w:ascii="宋体" w:hAnsi="宋体" w:cs="宋体"/>
          <w:sz w:val="24"/>
          <w:szCs w:val="24"/>
        </w:rPr>
        <w:t>5.1 竞争性磋商文件用以阐明所需货物、工程或者服务采购程序和商务合同主要条款，包括：</w:t>
      </w:r>
    </w:p>
    <w:p>
      <w:pPr>
        <w:spacing w:line="360" w:lineRule="auto"/>
        <w:ind w:firstLine="484" w:firstLineChars="200"/>
        <w:jc w:val="left"/>
        <w:rPr>
          <w:rFonts w:ascii="宋体" w:hAnsi="宋体" w:cs="宋体"/>
          <w:b/>
          <w:bCs/>
          <w:sz w:val="24"/>
          <w:szCs w:val="24"/>
        </w:rPr>
      </w:pPr>
      <w:r>
        <w:rPr>
          <w:rFonts w:hint="eastAsia" w:ascii="宋体" w:hAnsi="宋体" w:cs="宋体"/>
          <w:b/>
          <w:bCs/>
          <w:sz w:val="24"/>
          <w:szCs w:val="24"/>
        </w:rPr>
        <w:t>第一章 竞争性磋商公告</w:t>
      </w:r>
    </w:p>
    <w:p>
      <w:pPr>
        <w:spacing w:line="360" w:lineRule="auto"/>
        <w:ind w:firstLine="484" w:firstLineChars="200"/>
        <w:jc w:val="left"/>
        <w:rPr>
          <w:rFonts w:ascii="宋体" w:hAnsi="宋体" w:cs="宋体"/>
          <w:b/>
          <w:bCs/>
          <w:sz w:val="24"/>
          <w:szCs w:val="24"/>
        </w:rPr>
      </w:pPr>
      <w:r>
        <w:rPr>
          <w:rFonts w:hint="eastAsia" w:ascii="宋体" w:hAnsi="宋体" w:cs="宋体"/>
          <w:b/>
          <w:bCs/>
          <w:sz w:val="24"/>
          <w:szCs w:val="24"/>
        </w:rPr>
        <w:t>第二章 供应商须知</w:t>
      </w:r>
    </w:p>
    <w:p>
      <w:pPr>
        <w:spacing w:line="360" w:lineRule="auto"/>
        <w:jc w:val="left"/>
        <w:rPr>
          <w:rFonts w:ascii="宋体" w:hAnsi="宋体" w:cs="宋体"/>
          <w:b/>
          <w:bCs/>
          <w:sz w:val="24"/>
          <w:szCs w:val="24"/>
        </w:rPr>
      </w:pPr>
      <w:r>
        <w:rPr>
          <w:rFonts w:hint="eastAsia" w:ascii="宋体" w:hAnsi="宋体" w:cs="宋体"/>
          <w:b/>
          <w:bCs/>
          <w:sz w:val="24"/>
          <w:szCs w:val="24"/>
        </w:rPr>
        <w:t xml:space="preserve">           供应商须知前附表</w:t>
      </w:r>
    </w:p>
    <w:p>
      <w:pPr>
        <w:spacing w:line="360" w:lineRule="auto"/>
        <w:jc w:val="left"/>
        <w:rPr>
          <w:rFonts w:ascii="宋体" w:hAnsi="宋体" w:cs="宋体"/>
          <w:b/>
          <w:bCs/>
          <w:sz w:val="24"/>
          <w:szCs w:val="24"/>
        </w:rPr>
      </w:pPr>
      <w:r>
        <w:rPr>
          <w:rFonts w:hint="eastAsia" w:ascii="宋体" w:hAnsi="宋体" w:cs="宋体"/>
          <w:b/>
          <w:bCs/>
          <w:sz w:val="24"/>
          <w:szCs w:val="24"/>
        </w:rPr>
        <w:t xml:space="preserve">           供应商须知正文部分</w:t>
      </w:r>
    </w:p>
    <w:p>
      <w:pPr>
        <w:numPr>
          <w:ilvl w:val="0"/>
          <w:numId w:val="11"/>
        </w:numPr>
        <w:spacing w:line="360" w:lineRule="auto"/>
        <w:ind w:firstLine="484" w:firstLineChars="200"/>
        <w:jc w:val="left"/>
        <w:rPr>
          <w:rFonts w:ascii="宋体" w:hAnsi="宋体" w:cs="宋体"/>
          <w:b/>
          <w:bCs/>
          <w:sz w:val="24"/>
          <w:szCs w:val="24"/>
        </w:rPr>
      </w:pPr>
      <w:r>
        <w:rPr>
          <w:rFonts w:hint="eastAsia" w:ascii="宋体" w:hAnsi="宋体" w:cs="宋体"/>
          <w:b/>
          <w:bCs/>
          <w:sz w:val="24"/>
          <w:szCs w:val="24"/>
        </w:rPr>
        <w:t>项目概况</w:t>
      </w:r>
    </w:p>
    <w:p>
      <w:pPr>
        <w:numPr>
          <w:ilvl w:val="0"/>
          <w:numId w:val="11"/>
        </w:numPr>
        <w:spacing w:line="360" w:lineRule="auto"/>
        <w:ind w:firstLine="484" w:firstLineChars="200"/>
        <w:jc w:val="left"/>
        <w:rPr>
          <w:rFonts w:ascii="宋体" w:hAnsi="宋体" w:cs="宋体"/>
          <w:b/>
          <w:bCs/>
          <w:sz w:val="24"/>
          <w:szCs w:val="24"/>
        </w:rPr>
      </w:pPr>
      <w:r>
        <w:rPr>
          <w:rFonts w:hint="eastAsia" w:ascii="宋体" w:hAnsi="宋体" w:cs="宋体"/>
          <w:b/>
          <w:bCs/>
          <w:sz w:val="24"/>
          <w:szCs w:val="24"/>
        </w:rPr>
        <w:t>合同范本</w:t>
      </w:r>
    </w:p>
    <w:p>
      <w:pPr>
        <w:spacing w:line="360" w:lineRule="auto"/>
        <w:ind w:firstLine="484" w:firstLineChars="200"/>
        <w:jc w:val="left"/>
        <w:rPr>
          <w:rFonts w:ascii="宋体" w:hAnsi="宋体" w:cs="宋体"/>
          <w:b/>
          <w:bCs/>
          <w:sz w:val="24"/>
          <w:szCs w:val="24"/>
        </w:rPr>
      </w:pPr>
      <w:r>
        <w:rPr>
          <w:rFonts w:hint="eastAsia" w:ascii="宋体" w:hAnsi="宋体" w:cs="宋体"/>
          <w:b/>
          <w:bCs/>
          <w:sz w:val="24"/>
          <w:szCs w:val="24"/>
        </w:rPr>
        <w:t xml:space="preserve">第五章 主要响应文件的格式及其内容  </w:t>
      </w:r>
    </w:p>
    <w:p>
      <w:pPr>
        <w:spacing w:line="360" w:lineRule="auto"/>
        <w:ind w:firstLine="484" w:firstLineChars="200"/>
        <w:rPr>
          <w:rFonts w:ascii="宋体" w:hAnsi="宋体" w:cs="宋体"/>
          <w:sz w:val="24"/>
          <w:szCs w:val="24"/>
        </w:rPr>
      </w:pPr>
      <w:r>
        <w:rPr>
          <w:rFonts w:hint="eastAsia" w:ascii="宋体" w:hAnsi="宋体" w:cs="宋体"/>
          <w:sz w:val="24"/>
          <w:szCs w:val="24"/>
        </w:rPr>
        <w:t>5.2 供应商应认真阅读竞争性磋商文件中所有的事项、格式、条款和规范等要求。如果没有按照竞争性磋商文件要求提交全部资料或者响应文件没有对竞争性磋商文件做出实质性响应，其响应文件可能被拒绝。</w:t>
      </w:r>
    </w:p>
    <w:p>
      <w:pPr>
        <w:spacing w:line="360" w:lineRule="auto"/>
        <w:rPr>
          <w:rFonts w:ascii="宋体" w:hAnsi="宋体" w:cs="宋体"/>
          <w:b/>
          <w:bCs/>
          <w:sz w:val="24"/>
          <w:szCs w:val="24"/>
        </w:rPr>
      </w:pPr>
      <w:r>
        <w:rPr>
          <w:rFonts w:hint="eastAsia" w:ascii="宋体" w:hAnsi="宋体" w:cs="宋体"/>
          <w:b/>
          <w:bCs/>
          <w:sz w:val="24"/>
          <w:szCs w:val="24"/>
        </w:rPr>
        <w:t>6  竞争性磋商文件的澄清</w:t>
      </w:r>
    </w:p>
    <w:p>
      <w:pPr>
        <w:spacing w:line="360" w:lineRule="auto"/>
        <w:ind w:firstLine="484" w:firstLineChars="200"/>
        <w:jc w:val="left"/>
        <w:rPr>
          <w:rFonts w:ascii="宋体" w:hAnsi="宋体" w:cs="宋体"/>
          <w:sz w:val="24"/>
          <w:szCs w:val="24"/>
        </w:rPr>
      </w:pPr>
      <w:r>
        <w:rPr>
          <w:rFonts w:hint="eastAsia" w:ascii="宋体" w:hAnsi="宋体" w:cs="宋体"/>
          <w:sz w:val="24"/>
          <w:szCs w:val="24"/>
        </w:rPr>
        <w:t>6.1 采购人或者采购代理机构可以对已发出的竞争性磋商文件（资格预审文件、投标邀请书）进行必要的澄清或者修改，但不得改变采购标的和资格条件。澄清或者修改应当在原公告发布媒体上发布澄清公告。澄清或者修改的内容为竞争性磋商文件（资格预审文件、投标邀请书）的组成部分。</w:t>
      </w:r>
    </w:p>
    <w:p>
      <w:pPr>
        <w:spacing w:line="360" w:lineRule="auto"/>
        <w:ind w:firstLine="484" w:firstLineChars="200"/>
        <w:jc w:val="left"/>
        <w:rPr>
          <w:rFonts w:ascii="宋体" w:hAnsi="宋体" w:cs="宋体"/>
          <w:sz w:val="24"/>
          <w:szCs w:val="24"/>
        </w:rPr>
      </w:pPr>
      <w:r>
        <w:rPr>
          <w:rFonts w:hint="eastAsia" w:ascii="宋体" w:hAnsi="宋体" w:cs="宋体"/>
          <w:sz w:val="24"/>
          <w:szCs w:val="24"/>
        </w:rPr>
        <w:t>6.2 澄清或者修改的内容可能影响响应文件编制的，采购人或者采购代理机构应当在投标截止时间至少3日前，以书面形式通知所有获取竞争性磋商文件的潜在供应商；不足3日的，采购人或者采购代理机构可顺延提交响应文件的截止时间。</w:t>
      </w:r>
    </w:p>
    <w:p>
      <w:pPr>
        <w:spacing w:line="360" w:lineRule="auto"/>
        <w:rPr>
          <w:rFonts w:ascii="宋体" w:hAnsi="宋体" w:cs="宋体"/>
          <w:b/>
          <w:bCs/>
          <w:sz w:val="24"/>
          <w:szCs w:val="24"/>
        </w:rPr>
      </w:pPr>
      <w:bookmarkStart w:id="105" w:name="_Toc13169"/>
      <w:bookmarkStart w:id="106" w:name="_Toc7406"/>
      <w:bookmarkStart w:id="107" w:name="_Toc4140"/>
      <w:bookmarkStart w:id="108" w:name="_Toc8777"/>
      <w:bookmarkStart w:id="109" w:name="_Toc4805"/>
      <w:bookmarkStart w:id="110" w:name="_Toc29841"/>
      <w:bookmarkStart w:id="111" w:name="_Toc5967"/>
      <w:bookmarkStart w:id="112" w:name="_Toc32526"/>
      <w:bookmarkStart w:id="113" w:name="_Toc3540"/>
      <w:bookmarkStart w:id="114" w:name="_Toc26361"/>
      <w:r>
        <w:rPr>
          <w:rFonts w:hint="eastAsia" w:ascii="宋体" w:hAnsi="宋体" w:cs="宋体"/>
          <w:b/>
          <w:bCs/>
          <w:sz w:val="24"/>
          <w:szCs w:val="24"/>
        </w:rPr>
        <w:t>7  竞争性磋商文件的修改</w:t>
      </w:r>
    </w:p>
    <w:p>
      <w:pPr>
        <w:spacing w:line="360" w:lineRule="auto"/>
        <w:ind w:firstLine="484" w:firstLineChars="200"/>
        <w:rPr>
          <w:rFonts w:ascii="宋体" w:hAnsi="宋体" w:cs="宋体"/>
          <w:sz w:val="24"/>
          <w:szCs w:val="24"/>
        </w:rPr>
      </w:pPr>
      <w:r>
        <w:rPr>
          <w:rFonts w:hint="eastAsia" w:ascii="宋体" w:hAnsi="宋体" w:cs="宋体"/>
          <w:sz w:val="24"/>
          <w:szCs w:val="24"/>
        </w:rPr>
        <w:t>7.1 采购人可以视采购具体情况，延长投标截止时间和开标时间，但至少应当在竞争性磋商文件要求提交响应文件的截止时间3日前，将变更时间书面通知所有竞争性磋商文件收受人，并在财政部门指定的政府采购信息发布媒体上发布变更公告。</w:t>
      </w:r>
    </w:p>
    <w:p>
      <w:pPr>
        <w:spacing w:line="360" w:lineRule="auto"/>
        <w:ind w:firstLine="484" w:firstLineChars="200"/>
        <w:rPr>
          <w:rFonts w:ascii="宋体" w:hAnsi="宋体" w:cs="宋体"/>
          <w:sz w:val="24"/>
          <w:szCs w:val="24"/>
        </w:rPr>
      </w:pPr>
      <w:r>
        <w:rPr>
          <w:rFonts w:hint="eastAsia" w:ascii="宋体" w:hAnsi="宋体" w:cs="宋体"/>
          <w:sz w:val="24"/>
          <w:szCs w:val="24"/>
        </w:rPr>
        <w:t>7.2 竞争性磋商文件的修改将以书面通知所有竞争性磋商文件收受人，并对供应商具有约束力。</w:t>
      </w:r>
    </w:p>
    <w:p>
      <w:pPr>
        <w:spacing w:line="360" w:lineRule="auto"/>
        <w:jc w:val="left"/>
        <w:rPr>
          <w:rFonts w:ascii="宋体" w:hAnsi="宋体" w:cs="宋体"/>
          <w:sz w:val="24"/>
          <w:szCs w:val="24"/>
        </w:rPr>
      </w:pPr>
      <w:r>
        <w:rPr>
          <w:rFonts w:hint="eastAsia" w:ascii="宋体" w:hAnsi="宋体" w:cs="宋体"/>
          <w:b/>
          <w:bCs/>
          <w:sz w:val="24"/>
          <w:szCs w:val="24"/>
        </w:rPr>
        <w:t xml:space="preserve">三、 </w:t>
      </w:r>
      <w:bookmarkEnd w:id="105"/>
      <w:bookmarkEnd w:id="106"/>
      <w:bookmarkEnd w:id="107"/>
      <w:bookmarkEnd w:id="108"/>
      <w:bookmarkEnd w:id="109"/>
      <w:bookmarkEnd w:id="110"/>
      <w:r>
        <w:rPr>
          <w:rFonts w:hint="eastAsia" w:ascii="宋体" w:hAnsi="宋体" w:cs="宋体"/>
          <w:b/>
          <w:bCs/>
          <w:sz w:val="24"/>
          <w:szCs w:val="24"/>
        </w:rPr>
        <w:t>响应文件的编制</w:t>
      </w:r>
      <w:bookmarkEnd w:id="111"/>
      <w:bookmarkEnd w:id="112"/>
      <w:bookmarkEnd w:id="113"/>
      <w:bookmarkEnd w:id="114"/>
    </w:p>
    <w:p>
      <w:pPr>
        <w:spacing w:line="360" w:lineRule="auto"/>
        <w:jc w:val="center"/>
        <w:rPr>
          <w:rFonts w:ascii="宋体" w:hAnsi="宋体" w:cs="宋体"/>
          <w:sz w:val="24"/>
          <w:szCs w:val="24"/>
        </w:rPr>
      </w:pPr>
      <w:r>
        <w:rPr>
          <w:rFonts w:hint="eastAsia" w:ascii="宋体" w:hAnsi="宋体" w:cs="宋体"/>
          <w:b/>
          <w:bCs/>
          <w:sz w:val="24"/>
          <w:szCs w:val="24"/>
        </w:rPr>
        <w:t>三、 响应文件的编制</w:t>
      </w:r>
    </w:p>
    <w:p>
      <w:pPr>
        <w:spacing w:line="360" w:lineRule="auto"/>
        <w:rPr>
          <w:rFonts w:ascii="宋体" w:hAnsi="宋体" w:cs="宋体"/>
          <w:b/>
          <w:bCs/>
          <w:sz w:val="24"/>
          <w:szCs w:val="24"/>
        </w:rPr>
      </w:pPr>
      <w:r>
        <w:rPr>
          <w:rFonts w:hint="eastAsia" w:ascii="宋体" w:hAnsi="宋体" w:cs="宋体"/>
          <w:b/>
          <w:bCs/>
          <w:sz w:val="24"/>
          <w:szCs w:val="24"/>
        </w:rPr>
        <w:t>8  响应文件的编写</w:t>
      </w:r>
    </w:p>
    <w:p>
      <w:pPr>
        <w:spacing w:line="348" w:lineRule="auto"/>
        <w:ind w:firstLine="484" w:firstLineChars="200"/>
        <w:rPr>
          <w:rFonts w:ascii="宋体" w:hAnsi="宋体" w:cs="宋体"/>
          <w:sz w:val="24"/>
          <w:szCs w:val="24"/>
        </w:rPr>
      </w:pPr>
      <w:r>
        <w:rPr>
          <w:rFonts w:hint="eastAsia" w:ascii="宋体" w:hAnsi="宋体" w:cs="宋体"/>
          <w:sz w:val="24"/>
          <w:szCs w:val="24"/>
        </w:rPr>
        <w:t>8.1 供应商应仔细阅读竞争性磋商文件,了解竞争性磋商文件的要求。在充分理解竞争性磋商文件、技术规范及标准、项目采购需求、合同文本（主要内容）后编制响应文件。</w:t>
      </w:r>
    </w:p>
    <w:p>
      <w:pPr>
        <w:spacing w:line="348" w:lineRule="auto"/>
        <w:ind w:firstLine="484" w:firstLineChars="200"/>
        <w:rPr>
          <w:rFonts w:ascii="宋体" w:hAnsi="宋体" w:cs="宋体"/>
          <w:sz w:val="24"/>
          <w:szCs w:val="24"/>
        </w:rPr>
      </w:pPr>
      <w:r>
        <w:rPr>
          <w:rFonts w:hint="eastAsia" w:ascii="宋体" w:hAnsi="宋体" w:cs="宋体"/>
          <w:sz w:val="24"/>
          <w:szCs w:val="24"/>
        </w:rPr>
        <w:t>8.2 投标供应商编制电子响应文件可参考《政府采购项目电子交易管理操作指南-供应商》，在政采云《帮助文档》下载。</w:t>
      </w:r>
    </w:p>
    <w:p>
      <w:pPr>
        <w:spacing w:line="348" w:lineRule="auto"/>
        <w:ind w:firstLine="484" w:firstLineChars="200"/>
        <w:rPr>
          <w:rFonts w:ascii="宋体" w:hAnsi="宋体" w:cs="宋体"/>
          <w:sz w:val="24"/>
          <w:szCs w:val="24"/>
        </w:rPr>
      </w:pPr>
      <w:r>
        <w:rPr>
          <w:rFonts w:hint="eastAsia" w:ascii="宋体" w:hAnsi="宋体" w:cs="宋体"/>
          <w:sz w:val="24"/>
          <w:szCs w:val="24"/>
        </w:rPr>
        <w:t>8.3 响应文件中需要分别对资格审查要求、符合性审查要求、开标一览表、响应文件逐一关联响应。</w:t>
      </w:r>
    </w:p>
    <w:p>
      <w:pPr>
        <w:spacing w:line="360" w:lineRule="auto"/>
        <w:rPr>
          <w:rFonts w:ascii="宋体" w:hAnsi="宋体" w:cs="宋体"/>
          <w:b/>
          <w:bCs/>
          <w:sz w:val="24"/>
          <w:szCs w:val="24"/>
        </w:rPr>
      </w:pPr>
      <w:r>
        <w:rPr>
          <w:rFonts w:hint="eastAsia" w:ascii="宋体" w:hAnsi="宋体" w:cs="宋体"/>
          <w:b/>
          <w:bCs/>
          <w:sz w:val="24"/>
          <w:szCs w:val="24"/>
        </w:rPr>
        <w:t>9  响应文件的语言及计量单位</w:t>
      </w:r>
    </w:p>
    <w:p>
      <w:pPr>
        <w:spacing w:line="360" w:lineRule="auto"/>
        <w:ind w:firstLine="484" w:firstLineChars="200"/>
        <w:rPr>
          <w:rFonts w:ascii="宋体" w:hAnsi="宋体" w:cs="宋体"/>
          <w:sz w:val="24"/>
          <w:szCs w:val="24"/>
        </w:rPr>
      </w:pPr>
      <w:r>
        <w:rPr>
          <w:rFonts w:hint="eastAsia" w:ascii="宋体" w:hAnsi="宋体" w:cs="宋体"/>
          <w:sz w:val="24"/>
          <w:szCs w:val="24"/>
        </w:rPr>
        <w:t>9.1 响应文件以及供应商和采购人及采购代理机构就有关采购活动的所有文件和来往函件，应以中文书写。供应商可以提交用其他语言（原文）打印的资料，但必须翻译成中文，当原文和译文（中文）之间存有差异和/或矛盾时，以中文为准。</w:t>
      </w:r>
    </w:p>
    <w:p>
      <w:pPr>
        <w:spacing w:line="360" w:lineRule="auto"/>
        <w:ind w:firstLine="484" w:firstLineChars="200"/>
        <w:rPr>
          <w:rFonts w:ascii="宋体" w:hAnsi="宋体" w:cs="宋体"/>
          <w:sz w:val="24"/>
          <w:szCs w:val="24"/>
        </w:rPr>
      </w:pPr>
      <w:r>
        <w:rPr>
          <w:rFonts w:hint="eastAsia" w:ascii="宋体" w:hAnsi="宋体" w:cs="宋体"/>
          <w:sz w:val="24"/>
          <w:szCs w:val="24"/>
        </w:rPr>
        <w:t>9.2 响应文件中所使用的计量单位除竞争性磋商文件中有特殊规定外，一律使用法定计量单位。</w:t>
      </w:r>
    </w:p>
    <w:p>
      <w:pPr>
        <w:spacing w:line="360" w:lineRule="auto"/>
        <w:jc w:val="left"/>
        <w:rPr>
          <w:rFonts w:ascii="宋体" w:hAnsi="宋体" w:cs="宋体"/>
          <w:b/>
          <w:bCs/>
          <w:sz w:val="24"/>
          <w:szCs w:val="24"/>
        </w:rPr>
      </w:pPr>
      <w:r>
        <w:rPr>
          <w:rFonts w:hint="eastAsia" w:ascii="宋体" w:hAnsi="宋体" w:cs="宋体"/>
          <w:b/>
          <w:bCs/>
          <w:sz w:val="24"/>
          <w:szCs w:val="24"/>
        </w:rPr>
        <w:t>10  响应文件构成</w:t>
      </w:r>
    </w:p>
    <w:p>
      <w:pPr>
        <w:spacing w:line="360" w:lineRule="auto"/>
        <w:ind w:firstLine="484" w:firstLineChars="200"/>
        <w:jc w:val="left"/>
        <w:rPr>
          <w:rFonts w:ascii="宋体" w:hAnsi="宋体" w:cs="宋体"/>
          <w:sz w:val="24"/>
          <w:szCs w:val="24"/>
        </w:rPr>
      </w:pPr>
      <w:r>
        <w:rPr>
          <w:rFonts w:hint="eastAsia" w:ascii="宋体" w:hAnsi="宋体" w:cs="宋体"/>
          <w:sz w:val="24"/>
          <w:szCs w:val="24"/>
        </w:rPr>
        <w:t>供应商编写的响应文件应按下列顺序及内容提供:</w:t>
      </w:r>
    </w:p>
    <w:p>
      <w:pPr>
        <w:spacing w:line="360" w:lineRule="auto"/>
        <w:ind w:firstLine="484" w:firstLineChars="200"/>
        <w:jc w:val="left"/>
        <w:rPr>
          <w:rFonts w:ascii="宋体" w:hAnsi="宋体" w:cs="宋体"/>
          <w:b/>
          <w:bCs/>
          <w:sz w:val="24"/>
          <w:szCs w:val="24"/>
        </w:rPr>
      </w:pPr>
      <w:r>
        <w:rPr>
          <w:rFonts w:hint="eastAsia" w:ascii="宋体" w:hAnsi="宋体" w:cs="宋体"/>
          <w:b/>
          <w:bCs/>
          <w:sz w:val="24"/>
          <w:szCs w:val="24"/>
        </w:rPr>
        <w:t>（1）投标函（详见附件1）；</w:t>
      </w:r>
    </w:p>
    <w:p>
      <w:pPr>
        <w:spacing w:line="360" w:lineRule="auto"/>
        <w:ind w:firstLine="484" w:firstLineChars="200"/>
        <w:jc w:val="left"/>
        <w:rPr>
          <w:rFonts w:ascii="宋体" w:hAnsi="宋体" w:cs="宋体"/>
          <w:b/>
          <w:bCs/>
          <w:sz w:val="24"/>
          <w:szCs w:val="24"/>
        </w:rPr>
      </w:pPr>
      <w:r>
        <w:rPr>
          <w:rFonts w:hint="eastAsia" w:ascii="宋体" w:hAnsi="宋体" w:cs="宋体"/>
          <w:b/>
          <w:bCs/>
          <w:sz w:val="24"/>
          <w:szCs w:val="24"/>
        </w:rPr>
        <w:t>（2）法定代表人资格证明及授权委托书（详见附件2）；</w:t>
      </w:r>
    </w:p>
    <w:p>
      <w:pPr>
        <w:spacing w:line="360" w:lineRule="auto"/>
        <w:ind w:firstLine="484" w:firstLineChars="200"/>
        <w:jc w:val="left"/>
        <w:rPr>
          <w:rFonts w:ascii="宋体" w:hAnsi="宋体" w:cs="宋体"/>
          <w:b/>
          <w:bCs/>
          <w:sz w:val="24"/>
          <w:szCs w:val="24"/>
        </w:rPr>
      </w:pPr>
      <w:r>
        <w:rPr>
          <w:rFonts w:hint="eastAsia" w:ascii="宋体" w:hAnsi="宋体" w:cs="宋体"/>
          <w:b/>
          <w:bCs/>
          <w:sz w:val="24"/>
          <w:szCs w:val="24"/>
        </w:rPr>
        <w:t>（3）报价一览表（详见附件3）；</w:t>
      </w:r>
    </w:p>
    <w:p>
      <w:pPr>
        <w:spacing w:line="360" w:lineRule="auto"/>
        <w:ind w:firstLine="484" w:firstLineChars="200"/>
        <w:jc w:val="left"/>
        <w:rPr>
          <w:rFonts w:ascii="宋体" w:hAnsi="宋体" w:cs="宋体"/>
          <w:b/>
          <w:bCs/>
          <w:sz w:val="24"/>
          <w:szCs w:val="24"/>
        </w:rPr>
      </w:pPr>
      <w:r>
        <w:rPr>
          <w:rFonts w:hint="eastAsia" w:ascii="宋体" w:hAnsi="宋体" w:cs="宋体"/>
          <w:b/>
          <w:bCs/>
          <w:sz w:val="24"/>
          <w:szCs w:val="24"/>
        </w:rPr>
        <w:t>（4）供应商概况表（详见附件4）；</w:t>
      </w:r>
    </w:p>
    <w:p>
      <w:pPr>
        <w:spacing w:line="360" w:lineRule="auto"/>
        <w:ind w:firstLine="484" w:firstLineChars="200"/>
        <w:jc w:val="left"/>
        <w:rPr>
          <w:rFonts w:ascii="宋体" w:hAnsi="宋体" w:cs="宋体"/>
          <w:b/>
          <w:bCs/>
          <w:sz w:val="24"/>
          <w:szCs w:val="24"/>
        </w:rPr>
      </w:pPr>
      <w:r>
        <w:rPr>
          <w:rFonts w:hint="eastAsia" w:ascii="宋体" w:hAnsi="宋体" w:cs="宋体"/>
          <w:b/>
          <w:bCs/>
          <w:sz w:val="24"/>
          <w:szCs w:val="24"/>
        </w:rPr>
        <w:t>（5）资格证明文件（详见附件5）；</w:t>
      </w:r>
    </w:p>
    <w:p>
      <w:pPr>
        <w:spacing w:line="360" w:lineRule="auto"/>
        <w:ind w:firstLine="484" w:firstLineChars="200"/>
        <w:jc w:val="left"/>
        <w:rPr>
          <w:rFonts w:ascii="宋体" w:hAnsi="宋体" w:cs="宋体"/>
          <w:b/>
          <w:bCs/>
          <w:sz w:val="24"/>
          <w:szCs w:val="24"/>
        </w:rPr>
      </w:pPr>
      <w:r>
        <w:rPr>
          <w:rFonts w:hint="eastAsia" w:ascii="宋体" w:hAnsi="宋体" w:cs="宋体"/>
          <w:b/>
          <w:bCs/>
          <w:sz w:val="24"/>
          <w:szCs w:val="24"/>
        </w:rPr>
        <w:t>（6）无重大违法记录的书面声明（详见附件6）；</w:t>
      </w:r>
    </w:p>
    <w:p>
      <w:pPr>
        <w:spacing w:line="360" w:lineRule="auto"/>
        <w:ind w:firstLine="484" w:firstLineChars="200"/>
        <w:jc w:val="left"/>
        <w:rPr>
          <w:rFonts w:ascii="宋体" w:hAnsi="宋体" w:cs="宋体"/>
          <w:b/>
          <w:bCs/>
          <w:sz w:val="24"/>
          <w:szCs w:val="24"/>
        </w:rPr>
      </w:pPr>
      <w:r>
        <w:rPr>
          <w:rFonts w:hint="eastAsia" w:ascii="宋体" w:hAnsi="宋体" w:cs="宋体"/>
          <w:b/>
          <w:bCs/>
          <w:sz w:val="24"/>
          <w:szCs w:val="24"/>
        </w:rPr>
        <w:t>（7）企业</w:t>
      </w:r>
      <w:r>
        <w:rPr>
          <w:rFonts w:ascii="宋体" w:hAnsi="宋体" w:cs="宋体"/>
          <w:b/>
          <w:bCs/>
          <w:sz w:val="24"/>
          <w:szCs w:val="24"/>
        </w:rPr>
        <w:t>2022</w:t>
      </w:r>
      <w:r>
        <w:rPr>
          <w:rFonts w:hint="eastAsia" w:ascii="宋体" w:hAnsi="宋体" w:cs="宋体"/>
          <w:b/>
          <w:bCs/>
          <w:sz w:val="24"/>
          <w:szCs w:val="24"/>
        </w:rPr>
        <w:t>年财务审计报告（详见附件7）；</w:t>
      </w:r>
    </w:p>
    <w:p>
      <w:pPr>
        <w:spacing w:line="360" w:lineRule="auto"/>
        <w:ind w:firstLine="484" w:firstLineChars="200"/>
        <w:rPr>
          <w:rFonts w:ascii="宋体" w:hAnsi="宋体" w:cs="宋体"/>
          <w:b/>
          <w:bCs/>
          <w:sz w:val="24"/>
          <w:szCs w:val="24"/>
        </w:rPr>
      </w:pPr>
      <w:r>
        <w:rPr>
          <w:rFonts w:hint="eastAsia" w:ascii="宋体" w:hAnsi="宋体" w:cs="宋体"/>
          <w:b/>
          <w:bCs/>
          <w:sz w:val="24"/>
          <w:szCs w:val="24"/>
        </w:rPr>
        <w:t>（8）“重法纪、讲诚信”承诺书（详见附件8）；</w:t>
      </w:r>
    </w:p>
    <w:p>
      <w:pPr>
        <w:spacing w:line="360" w:lineRule="auto"/>
        <w:ind w:firstLine="484" w:firstLineChars="200"/>
        <w:rPr>
          <w:rFonts w:ascii="宋体" w:hAnsi="宋体" w:cs="宋体"/>
          <w:b/>
          <w:bCs/>
          <w:sz w:val="24"/>
          <w:szCs w:val="24"/>
        </w:rPr>
      </w:pPr>
      <w:r>
        <w:rPr>
          <w:rFonts w:hint="eastAsia" w:ascii="宋体" w:hAnsi="宋体" w:cs="宋体"/>
          <w:b/>
          <w:bCs/>
          <w:sz w:val="24"/>
          <w:szCs w:val="24"/>
        </w:rPr>
        <w:t>（9）反商业贿赂承诺书（详见附件9）；</w:t>
      </w:r>
    </w:p>
    <w:p>
      <w:pPr>
        <w:spacing w:line="360" w:lineRule="auto"/>
        <w:ind w:left="424" w:leftChars="200"/>
        <w:rPr>
          <w:rFonts w:ascii="宋体" w:hAnsi="宋体" w:cs="宋体"/>
          <w:b/>
          <w:bCs/>
          <w:sz w:val="24"/>
          <w:szCs w:val="24"/>
        </w:rPr>
      </w:pPr>
      <w:r>
        <w:rPr>
          <w:rFonts w:hint="eastAsia" w:ascii="宋体" w:hAnsi="宋体" w:cs="宋体"/>
          <w:b/>
          <w:bCs/>
          <w:sz w:val="24"/>
          <w:szCs w:val="24"/>
        </w:rPr>
        <w:t>（10）商务条款偏离表（详见附件10）；</w:t>
      </w:r>
    </w:p>
    <w:p>
      <w:pPr>
        <w:spacing w:line="360" w:lineRule="auto"/>
        <w:ind w:firstLine="484" w:firstLineChars="200"/>
        <w:rPr>
          <w:rFonts w:ascii="宋体" w:hAnsi="宋体" w:cs="宋体"/>
          <w:b/>
          <w:bCs/>
          <w:sz w:val="24"/>
          <w:szCs w:val="24"/>
        </w:rPr>
      </w:pPr>
      <w:r>
        <w:rPr>
          <w:rFonts w:hint="eastAsia" w:ascii="宋体" w:hAnsi="宋体" w:cs="宋体"/>
          <w:b/>
          <w:bCs/>
          <w:sz w:val="24"/>
          <w:szCs w:val="24"/>
        </w:rPr>
        <w:t>（11）技术规格偏离表（详见附件11）；</w:t>
      </w:r>
    </w:p>
    <w:p>
      <w:pPr>
        <w:spacing w:line="360" w:lineRule="auto"/>
        <w:ind w:firstLine="484" w:firstLineChars="200"/>
        <w:rPr>
          <w:rFonts w:ascii="宋体" w:hAnsi="宋体" w:cs="宋体"/>
          <w:b/>
          <w:bCs/>
          <w:sz w:val="24"/>
          <w:szCs w:val="24"/>
        </w:rPr>
      </w:pPr>
      <w:r>
        <w:rPr>
          <w:rFonts w:hint="eastAsia" w:ascii="宋体" w:hAnsi="宋体" w:cs="宋体"/>
          <w:b/>
          <w:bCs/>
          <w:sz w:val="24"/>
          <w:szCs w:val="24"/>
        </w:rPr>
        <w:t>（12）近三年同类项目业绩表（详见附件12）；</w:t>
      </w:r>
    </w:p>
    <w:p>
      <w:pPr>
        <w:spacing w:line="360" w:lineRule="auto"/>
        <w:ind w:firstLine="484" w:firstLineChars="200"/>
        <w:rPr>
          <w:rFonts w:ascii="宋体" w:hAnsi="宋体" w:cs="宋体"/>
          <w:b/>
          <w:bCs/>
          <w:sz w:val="24"/>
          <w:szCs w:val="24"/>
        </w:rPr>
      </w:pPr>
      <w:r>
        <w:rPr>
          <w:rFonts w:hint="eastAsia" w:ascii="宋体" w:hAnsi="宋体" w:cs="宋体"/>
          <w:b/>
          <w:bCs/>
          <w:sz w:val="24"/>
          <w:szCs w:val="24"/>
        </w:rPr>
        <w:t>（13）拟派项目负责人简历表（详见附件13）；</w:t>
      </w:r>
    </w:p>
    <w:p>
      <w:pPr>
        <w:spacing w:line="360" w:lineRule="auto"/>
        <w:ind w:firstLine="484" w:firstLineChars="200"/>
        <w:rPr>
          <w:rFonts w:ascii="宋体" w:hAnsi="宋体" w:cs="宋体"/>
          <w:b/>
          <w:bCs/>
          <w:sz w:val="24"/>
          <w:szCs w:val="24"/>
        </w:rPr>
      </w:pPr>
      <w:r>
        <w:rPr>
          <w:rFonts w:hint="eastAsia" w:ascii="宋体" w:hAnsi="宋体" w:cs="宋体"/>
          <w:b/>
          <w:bCs/>
          <w:sz w:val="24"/>
          <w:szCs w:val="24"/>
        </w:rPr>
        <w:t>（14）拟派本项目技术人员配置情况表（详见附件14）；</w:t>
      </w:r>
    </w:p>
    <w:p>
      <w:pPr>
        <w:spacing w:line="360" w:lineRule="auto"/>
        <w:ind w:firstLine="484" w:firstLineChars="200"/>
        <w:rPr>
          <w:rFonts w:ascii="宋体" w:hAnsi="宋体" w:cs="宋体"/>
          <w:b/>
          <w:bCs/>
          <w:sz w:val="24"/>
          <w:szCs w:val="24"/>
        </w:rPr>
      </w:pPr>
      <w:r>
        <w:rPr>
          <w:rFonts w:hint="eastAsia" w:ascii="宋体" w:hAnsi="宋体" w:cs="宋体"/>
          <w:b/>
          <w:bCs/>
          <w:sz w:val="24"/>
          <w:szCs w:val="24"/>
        </w:rPr>
        <w:t>（15）拟投入本项目设备情况（详见附件15）；</w:t>
      </w:r>
    </w:p>
    <w:p>
      <w:pPr>
        <w:spacing w:line="360" w:lineRule="auto"/>
        <w:ind w:firstLine="484" w:firstLineChars="200"/>
        <w:rPr>
          <w:rFonts w:ascii="宋体" w:hAnsi="宋体" w:cs="宋体"/>
          <w:b/>
          <w:bCs/>
          <w:sz w:val="24"/>
          <w:szCs w:val="24"/>
        </w:rPr>
      </w:pPr>
      <w:r>
        <w:rPr>
          <w:rFonts w:hint="eastAsia" w:ascii="宋体" w:hAnsi="宋体" w:cs="宋体"/>
          <w:b/>
          <w:bCs/>
          <w:sz w:val="24"/>
          <w:szCs w:val="24"/>
        </w:rPr>
        <w:t>（16）中小企业声明函（详见附件16）；</w:t>
      </w:r>
    </w:p>
    <w:p>
      <w:pPr>
        <w:spacing w:line="360" w:lineRule="auto"/>
        <w:ind w:firstLine="484" w:firstLineChars="200"/>
        <w:jc w:val="left"/>
        <w:rPr>
          <w:rFonts w:ascii="宋体" w:hAnsi="宋体" w:cs="宋体"/>
          <w:b/>
          <w:bCs/>
          <w:sz w:val="24"/>
          <w:szCs w:val="24"/>
        </w:rPr>
      </w:pPr>
      <w:r>
        <w:rPr>
          <w:rFonts w:hint="eastAsia" w:ascii="宋体" w:hAnsi="宋体" w:cs="宋体"/>
          <w:b/>
          <w:bCs/>
          <w:sz w:val="24"/>
          <w:szCs w:val="24"/>
        </w:rPr>
        <w:t xml:space="preserve">（17）服务方案（详见附件17）； </w:t>
      </w:r>
    </w:p>
    <w:p>
      <w:pPr>
        <w:spacing w:line="360" w:lineRule="auto"/>
        <w:ind w:firstLine="484" w:firstLineChars="200"/>
        <w:jc w:val="left"/>
        <w:rPr>
          <w:rFonts w:ascii="宋体" w:hAnsi="宋体" w:cs="宋体"/>
          <w:b/>
          <w:bCs/>
          <w:sz w:val="24"/>
          <w:szCs w:val="24"/>
        </w:rPr>
      </w:pPr>
      <w:r>
        <w:rPr>
          <w:rFonts w:hint="eastAsia" w:ascii="宋体" w:hAnsi="宋体" w:cs="宋体"/>
          <w:b/>
          <w:bCs/>
          <w:sz w:val="24"/>
          <w:szCs w:val="24"/>
        </w:rPr>
        <w:t>（18）要求提供的其它材料以及供应商认为需要提交的材料（详见附件18）。</w:t>
      </w:r>
    </w:p>
    <w:p>
      <w:pPr>
        <w:spacing w:line="360" w:lineRule="auto"/>
        <w:rPr>
          <w:rFonts w:ascii="宋体" w:hAnsi="宋体" w:cs="宋体"/>
          <w:b/>
          <w:bCs/>
          <w:sz w:val="24"/>
          <w:szCs w:val="24"/>
        </w:rPr>
      </w:pPr>
      <w:r>
        <w:rPr>
          <w:rFonts w:hint="eastAsia" w:ascii="宋体" w:hAnsi="宋体" w:cs="宋体"/>
          <w:b/>
          <w:bCs/>
          <w:sz w:val="24"/>
          <w:szCs w:val="24"/>
        </w:rPr>
        <w:t>11  响应文件的格式</w:t>
      </w:r>
    </w:p>
    <w:p>
      <w:pPr>
        <w:spacing w:line="360" w:lineRule="auto"/>
        <w:ind w:firstLine="484" w:firstLineChars="200"/>
        <w:rPr>
          <w:rFonts w:ascii="宋体" w:hAnsi="宋体" w:cs="宋体"/>
          <w:sz w:val="24"/>
          <w:szCs w:val="24"/>
        </w:rPr>
      </w:pPr>
      <w:r>
        <w:rPr>
          <w:rFonts w:hint="eastAsia" w:ascii="宋体" w:hAnsi="宋体" w:cs="宋体"/>
          <w:sz w:val="24"/>
          <w:szCs w:val="24"/>
        </w:rPr>
        <w:t>11.1 竞争性磋商文件附件及竞争性磋商文件各章节提供了一部分用于编制响应文件时必要的格式，供应商应按此格式编制响应文件。</w:t>
      </w:r>
    </w:p>
    <w:p>
      <w:pPr>
        <w:spacing w:line="360" w:lineRule="auto"/>
        <w:ind w:firstLine="484" w:firstLineChars="200"/>
        <w:rPr>
          <w:rFonts w:ascii="宋体" w:hAnsi="宋体" w:cs="宋体"/>
          <w:sz w:val="24"/>
          <w:szCs w:val="24"/>
        </w:rPr>
      </w:pPr>
      <w:r>
        <w:rPr>
          <w:rFonts w:hint="eastAsia" w:ascii="宋体" w:hAnsi="宋体" w:cs="宋体"/>
          <w:sz w:val="24"/>
          <w:szCs w:val="24"/>
        </w:rPr>
        <w:t>11.2 竞争性磋商文件中未提供格式的部分由供应商自行编制。</w:t>
      </w:r>
    </w:p>
    <w:p>
      <w:pPr>
        <w:spacing w:line="360" w:lineRule="auto"/>
        <w:rPr>
          <w:rFonts w:ascii="宋体" w:hAnsi="宋体" w:cs="宋体"/>
          <w:b/>
          <w:bCs/>
          <w:sz w:val="24"/>
          <w:szCs w:val="24"/>
        </w:rPr>
      </w:pPr>
      <w:r>
        <w:rPr>
          <w:rFonts w:hint="eastAsia" w:ascii="宋体" w:hAnsi="宋体" w:cs="宋体"/>
          <w:b/>
          <w:bCs/>
          <w:sz w:val="24"/>
          <w:szCs w:val="24"/>
        </w:rPr>
        <w:t>12  投标报价</w:t>
      </w:r>
    </w:p>
    <w:p>
      <w:pPr>
        <w:spacing w:line="360" w:lineRule="auto"/>
        <w:ind w:firstLine="484" w:firstLineChars="200"/>
        <w:rPr>
          <w:rFonts w:ascii="宋体" w:hAnsi="宋体" w:cs="宋体"/>
          <w:b/>
          <w:bCs/>
          <w:sz w:val="24"/>
          <w:szCs w:val="24"/>
        </w:rPr>
      </w:pPr>
      <w:r>
        <w:rPr>
          <w:rFonts w:hint="eastAsia" w:ascii="宋体" w:hAnsi="宋体" w:cs="宋体"/>
          <w:b/>
          <w:bCs/>
          <w:sz w:val="24"/>
          <w:szCs w:val="24"/>
        </w:rPr>
        <w:t>12.1 除本竞争性磋商文件另有规定外，供应商应按竞争性磋商文件所附相应的投标一览表格式标明投标报价等内容。报价以人民币报价。</w:t>
      </w:r>
    </w:p>
    <w:p>
      <w:pPr>
        <w:spacing w:line="360" w:lineRule="auto"/>
        <w:ind w:firstLine="484" w:firstLineChars="200"/>
        <w:rPr>
          <w:rFonts w:ascii="宋体" w:hAnsi="宋体" w:cs="宋体"/>
          <w:b/>
          <w:bCs/>
          <w:sz w:val="24"/>
          <w:szCs w:val="24"/>
        </w:rPr>
      </w:pPr>
      <w:r>
        <w:rPr>
          <w:rFonts w:hint="eastAsia" w:ascii="宋体" w:hAnsi="宋体" w:cs="宋体"/>
          <w:b/>
          <w:bCs/>
          <w:sz w:val="24"/>
          <w:szCs w:val="24"/>
        </w:rPr>
        <w:t>12.2 任何有选择性的报价将不予接受。</w:t>
      </w:r>
    </w:p>
    <w:p>
      <w:pPr>
        <w:spacing w:line="360" w:lineRule="auto"/>
        <w:ind w:firstLine="484" w:firstLineChars="200"/>
        <w:rPr>
          <w:rFonts w:ascii="宋体" w:hAnsi="宋体" w:cs="宋体"/>
          <w:sz w:val="24"/>
          <w:szCs w:val="24"/>
        </w:rPr>
      </w:pPr>
      <w:r>
        <w:rPr>
          <w:rFonts w:hint="eastAsia" w:ascii="宋体" w:hAnsi="宋体" w:cs="宋体"/>
          <w:sz w:val="24"/>
          <w:szCs w:val="24"/>
        </w:rPr>
        <w:t>12.3 供应商须充分注意并重视第三章“项目概况”的内容，并严格按该章的有关内容做出实质性响应。</w:t>
      </w:r>
    </w:p>
    <w:p>
      <w:pPr>
        <w:spacing w:line="360" w:lineRule="auto"/>
        <w:ind w:firstLine="484" w:firstLineChars="200"/>
        <w:rPr>
          <w:rFonts w:ascii="宋体" w:hAnsi="宋体" w:cs="宋体"/>
          <w:b/>
          <w:bCs/>
          <w:sz w:val="24"/>
          <w:szCs w:val="24"/>
        </w:rPr>
      </w:pPr>
      <w:r>
        <w:rPr>
          <w:rFonts w:hint="eastAsia" w:ascii="宋体" w:hAnsi="宋体" w:cs="宋体"/>
          <w:sz w:val="24"/>
          <w:szCs w:val="24"/>
        </w:rPr>
        <w:t>12.4 供应商可按竞争性磋商文件第三章“项目概况”的内容进行报价，投标报价应包含税金及本项目所产生的全部费用，</w:t>
      </w:r>
      <w:r>
        <w:rPr>
          <w:rFonts w:hint="eastAsia" w:ascii="宋体" w:hAnsi="宋体" w:cs="宋体"/>
          <w:b/>
          <w:bCs/>
          <w:sz w:val="24"/>
          <w:szCs w:val="24"/>
        </w:rPr>
        <w:t>且投标报价不得等于或高于最高限价金额，否则将按无效投标处理。</w:t>
      </w:r>
    </w:p>
    <w:p>
      <w:pPr>
        <w:spacing w:line="360" w:lineRule="auto"/>
        <w:ind w:firstLine="484" w:firstLineChars="200"/>
        <w:rPr>
          <w:rFonts w:ascii="宋体" w:hAnsi="宋体" w:cs="宋体"/>
          <w:sz w:val="24"/>
          <w:szCs w:val="24"/>
        </w:rPr>
      </w:pPr>
      <w:r>
        <w:rPr>
          <w:rFonts w:hint="eastAsia" w:ascii="宋体" w:hAnsi="宋体" w:cs="宋体"/>
          <w:sz w:val="24"/>
          <w:szCs w:val="24"/>
        </w:rPr>
        <w:t>12.5 供应商的报价在中标后的合同实施期间应保持不变，即不因市场价格或政策性价格的调整而增减。</w:t>
      </w:r>
    </w:p>
    <w:p>
      <w:pPr>
        <w:spacing w:line="360" w:lineRule="auto"/>
        <w:rPr>
          <w:rFonts w:ascii="宋体" w:hAnsi="宋体" w:cs="宋体"/>
          <w:b/>
          <w:bCs/>
          <w:sz w:val="24"/>
          <w:szCs w:val="24"/>
        </w:rPr>
      </w:pPr>
      <w:r>
        <w:rPr>
          <w:rFonts w:hint="eastAsia" w:ascii="宋体" w:hAnsi="宋体" w:cs="宋体"/>
          <w:b/>
          <w:bCs/>
          <w:sz w:val="24"/>
          <w:szCs w:val="24"/>
        </w:rPr>
        <w:t>13  证明供应商合格的资格证明文件</w:t>
      </w:r>
    </w:p>
    <w:p>
      <w:pPr>
        <w:spacing w:line="360" w:lineRule="auto"/>
        <w:ind w:firstLine="484" w:firstLineChars="200"/>
        <w:rPr>
          <w:rFonts w:ascii="宋体" w:hAnsi="宋体" w:cs="宋体"/>
          <w:sz w:val="24"/>
          <w:szCs w:val="24"/>
        </w:rPr>
      </w:pPr>
      <w:r>
        <w:rPr>
          <w:rFonts w:hint="eastAsia" w:ascii="宋体" w:hAnsi="宋体" w:cs="宋体"/>
          <w:sz w:val="24"/>
          <w:szCs w:val="24"/>
        </w:rPr>
        <w:t>按照供应商须知前附表规定，供应商应提交竞争性磋商文件所要求的资格证明文件。</w:t>
      </w:r>
    </w:p>
    <w:p>
      <w:pPr>
        <w:spacing w:line="360" w:lineRule="auto"/>
        <w:rPr>
          <w:rFonts w:ascii="宋体" w:hAnsi="宋体" w:cs="宋体"/>
          <w:b/>
          <w:bCs/>
          <w:sz w:val="24"/>
          <w:szCs w:val="24"/>
        </w:rPr>
      </w:pPr>
      <w:r>
        <w:rPr>
          <w:rFonts w:hint="eastAsia" w:ascii="宋体" w:hAnsi="宋体" w:cs="宋体"/>
          <w:b/>
          <w:bCs/>
          <w:sz w:val="24"/>
          <w:szCs w:val="24"/>
        </w:rPr>
        <w:t>14  证明符合竞争性磋商文件规定的文件</w:t>
      </w:r>
    </w:p>
    <w:p>
      <w:pPr>
        <w:spacing w:line="360" w:lineRule="auto"/>
        <w:ind w:firstLine="484" w:firstLineChars="200"/>
        <w:rPr>
          <w:rFonts w:ascii="宋体" w:hAnsi="宋体" w:cs="宋体"/>
          <w:b/>
          <w:bCs/>
          <w:sz w:val="24"/>
          <w:szCs w:val="24"/>
        </w:rPr>
      </w:pPr>
      <w:r>
        <w:rPr>
          <w:rFonts w:hint="eastAsia" w:ascii="宋体" w:hAnsi="宋体" w:cs="宋体"/>
          <w:sz w:val="24"/>
          <w:szCs w:val="24"/>
        </w:rPr>
        <w:t>供应商应逐条对竞争性磋商文件要求的内容做出实质性响应，认真填写竞争性磋商文件所附的“商务条款偏离表”、“技术规格偏离表”。</w:t>
      </w:r>
      <w:r>
        <w:rPr>
          <w:rFonts w:hint="eastAsia" w:ascii="宋体" w:hAnsi="宋体" w:cs="宋体"/>
          <w:b/>
          <w:bCs/>
          <w:sz w:val="24"/>
          <w:szCs w:val="24"/>
        </w:rPr>
        <w:t>若有偏离,请将具体偏离条款在“偏离”一栏中详细说明；若无偏离，请在“偏离”一栏中标注“无”字样。如不填写将视为不响应竞争性磋商文件要求。</w:t>
      </w:r>
    </w:p>
    <w:p>
      <w:pPr>
        <w:spacing w:line="360" w:lineRule="auto"/>
        <w:rPr>
          <w:rFonts w:ascii="宋体" w:hAnsi="宋体" w:cs="宋体"/>
          <w:b/>
          <w:bCs/>
          <w:sz w:val="24"/>
          <w:szCs w:val="24"/>
        </w:rPr>
      </w:pPr>
      <w:r>
        <w:rPr>
          <w:rFonts w:hint="eastAsia" w:ascii="宋体" w:hAnsi="宋体" w:cs="宋体"/>
          <w:b/>
          <w:bCs/>
          <w:sz w:val="24"/>
          <w:szCs w:val="24"/>
        </w:rPr>
        <w:t>15  电子响应文件的有效期</w:t>
      </w:r>
    </w:p>
    <w:p>
      <w:pPr>
        <w:spacing w:line="360" w:lineRule="auto"/>
        <w:ind w:firstLine="484" w:firstLineChars="200"/>
        <w:rPr>
          <w:rFonts w:ascii="宋体" w:hAnsi="宋体" w:cs="宋体"/>
          <w:sz w:val="24"/>
          <w:szCs w:val="24"/>
        </w:rPr>
      </w:pPr>
      <w:r>
        <w:rPr>
          <w:rFonts w:hint="eastAsia" w:ascii="宋体" w:hAnsi="宋体" w:cs="宋体"/>
          <w:sz w:val="24"/>
          <w:szCs w:val="24"/>
        </w:rPr>
        <w:t>15.1 响应文件有效期：详见供应商须知前附表。</w:t>
      </w:r>
    </w:p>
    <w:p>
      <w:pPr>
        <w:spacing w:line="360" w:lineRule="auto"/>
        <w:ind w:firstLine="484" w:firstLineChars="200"/>
        <w:rPr>
          <w:rFonts w:ascii="宋体" w:hAnsi="宋体" w:cs="宋体"/>
          <w:sz w:val="24"/>
          <w:szCs w:val="24"/>
        </w:rPr>
      </w:pPr>
      <w:r>
        <w:rPr>
          <w:rFonts w:hint="eastAsia" w:ascii="宋体" w:hAnsi="宋体" w:cs="宋体"/>
          <w:sz w:val="24"/>
          <w:szCs w:val="24"/>
        </w:rPr>
        <w:t>15.2 在特殊情况下, 在原响应文件有效期届满之前，采购人可与供应商协商延长响应文件的有效期，并经供应商确认。</w:t>
      </w:r>
    </w:p>
    <w:p>
      <w:pPr>
        <w:spacing w:line="360" w:lineRule="auto"/>
        <w:rPr>
          <w:rFonts w:ascii="宋体" w:hAnsi="宋体" w:cs="宋体"/>
          <w:b/>
          <w:bCs/>
          <w:sz w:val="24"/>
          <w:szCs w:val="24"/>
        </w:rPr>
      </w:pPr>
      <w:bookmarkStart w:id="115" w:name="_Toc28814"/>
      <w:bookmarkStart w:id="116" w:name="_Toc10478"/>
      <w:bookmarkStart w:id="117" w:name="_Toc5633"/>
      <w:bookmarkStart w:id="118" w:name="_Toc167"/>
      <w:bookmarkStart w:id="119" w:name="_Toc30175"/>
      <w:bookmarkStart w:id="120" w:name="_Toc20072"/>
      <w:bookmarkStart w:id="121" w:name="_Toc5423"/>
      <w:bookmarkStart w:id="122" w:name="_Toc20192"/>
      <w:bookmarkStart w:id="123" w:name="_Toc15133"/>
      <w:bookmarkStart w:id="124" w:name="_Toc19171"/>
      <w:r>
        <w:rPr>
          <w:rFonts w:hint="eastAsia" w:ascii="宋体" w:hAnsi="宋体" w:cs="宋体"/>
          <w:b/>
          <w:bCs/>
          <w:sz w:val="24"/>
          <w:szCs w:val="24"/>
        </w:rPr>
        <w:t>16  电子响应文件的格式要求及签署</w:t>
      </w:r>
    </w:p>
    <w:p>
      <w:pPr>
        <w:spacing w:line="360" w:lineRule="auto"/>
        <w:ind w:firstLine="484" w:firstLineChars="200"/>
        <w:rPr>
          <w:rFonts w:ascii="宋体" w:hAnsi="宋体" w:cs="宋体"/>
          <w:sz w:val="24"/>
          <w:szCs w:val="24"/>
        </w:rPr>
      </w:pPr>
      <w:r>
        <w:rPr>
          <w:rFonts w:hint="eastAsia" w:ascii="宋体" w:hAnsi="宋体" w:cs="宋体"/>
          <w:sz w:val="24"/>
          <w:szCs w:val="24"/>
        </w:rPr>
        <w:t>16.1 响应文件的格式应清楚工整，未实质性响应竞争性磋商文件、字迹潦草、表达不清、未按要求填写或可能导致非唯一理解的响应文件将按无效投标处理。</w:t>
      </w:r>
    </w:p>
    <w:p>
      <w:pPr>
        <w:spacing w:line="360" w:lineRule="auto"/>
        <w:ind w:firstLine="484" w:firstLineChars="200"/>
        <w:rPr>
          <w:rFonts w:ascii="宋体" w:hAnsi="宋体" w:cs="宋体"/>
          <w:sz w:val="24"/>
          <w:szCs w:val="24"/>
        </w:rPr>
      </w:pPr>
      <w:r>
        <w:rPr>
          <w:rFonts w:hint="eastAsia" w:ascii="宋体" w:hAnsi="宋体" w:cs="宋体"/>
          <w:sz w:val="24"/>
          <w:szCs w:val="24"/>
        </w:rPr>
        <w:t>16.2 响应文件应由供应商法定代表人或委托代理人在规定签章处逐一签署及加盖供应商的公章。</w:t>
      </w:r>
    </w:p>
    <w:p>
      <w:pPr>
        <w:spacing w:line="360" w:lineRule="auto"/>
        <w:rPr>
          <w:rFonts w:ascii="宋体" w:hAnsi="宋体" w:cs="宋体"/>
          <w:b/>
          <w:bCs/>
          <w:sz w:val="24"/>
          <w:szCs w:val="24"/>
        </w:rPr>
      </w:pPr>
      <w:r>
        <w:rPr>
          <w:rFonts w:hint="eastAsia" w:ascii="宋体" w:hAnsi="宋体" w:cs="宋体"/>
          <w:b/>
          <w:bCs/>
          <w:sz w:val="24"/>
          <w:szCs w:val="24"/>
        </w:rPr>
        <w:t>17  投标保证金</w:t>
      </w:r>
    </w:p>
    <w:p>
      <w:pPr>
        <w:spacing w:line="360" w:lineRule="auto"/>
        <w:ind w:firstLine="484" w:firstLineChars="200"/>
        <w:rPr>
          <w:rFonts w:ascii="宋体" w:hAnsi="宋体" w:cs="宋体"/>
          <w:sz w:val="24"/>
          <w:szCs w:val="24"/>
        </w:rPr>
      </w:pPr>
      <w:r>
        <w:rPr>
          <w:rFonts w:hint="eastAsia" w:ascii="宋体" w:hAnsi="宋体" w:cs="宋体"/>
          <w:sz w:val="24"/>
          <w:szCs w:val="24"/>
        </w:rPr>
        <w:t>17.1 投标保证金金额为前附表要求金额，各供应商必须在投标截止时间前提交。</w:t>
      </w:r>
    </w:p>
    <w:p>
      <w:pPr>
        <w:spacing w:line="360" w:lineRule="auto"/>
        <w:ind w:firstLine="484" w:firstLineChars="200"/>
        <w:rPr>
          <w:rFonts w:ascii="宋体" w:hAnsi="宋体" w:cs="宋体"/>
          <w:sz w:val="24"/>
          <w:szCs w:val="24"/>
        </w:rPr>
      </w:pPr>
      <w:r>
        <w:rPr>
          <w:rFonts w:hint="eastAsia" w:ascii="宋体" w:hAnsi="宋体" w:cs="宋体"/>
          <w:sz w:val="24"/>
          <w:szCs w:val="24"/>
        </w:rPr>
        <w:t>17.2 投标保证金用于保护本次招标免受供应商的违规、违约行为而引起的风险。</w:t>
      </w:r>
    </w:p>
    <w:p>
      <w:pPr>
        <w:spacing w:line="360" w:lineRule="auto"/>
        <w:ind w:firstLine="484" w:firstLineChars="200"/>
        <w:rPr>
          <w:rFonts w:ascii="宋体" w:hAnsi="宋体" w:cs="宋体"/>
          <w:sz w:val="24"/>
          <w:szCs w:val="24"/>
        </w:rPr>
      </w:pPr>
      <w:r>
        <w:rPr>
          <w:rFonts w:hint="eastAsia" w:ascii="宋体" w:hAnsi="宋体" w:cs="宋体"/>
          <w:sz w:val="24"/>
          <w:szCs w:val="24"/>
        </w:rPr>
        <w:t>17.3 发生以下情况投标保证金不予退还：</w:t>
      </w:r>
    </w:p>
    <w:p>
      <w:pPr>
        <w:spacing w:line="360" w:lineRule="auto"/>
        <w:ind w:firstLine="484" w:firstLineChars="200"/>
        <w:rPr>
          <w:rFonts w:ascii="宋体" w:hAnsi="宋体" w:cs="宋体"/>
          <w:sz w:val="24"/>
          <w:szCs w:val="24"/>
        </w:rPr>
      </w:pPr>
      <w:r>
        <w:rPr>
          <w:rFonts w:hint="eastAsia" w:ascii="宋体" w:hAnsi="宋体" w:cs="宋体"/>
          <w:sz w:val="24"/>
          <w:szCs w:val="24"/>
        </w:rPr>
        <w:t>17.3.1 如果供应商在投标有效期内撤回响应文件的；</w:t>
      </w:r>
    </w:p>
    <w:p>
      <w:pPr>
        <w:spacing w:line="360" w:lineRule="auto"/>
        <w:ind w:firstLine="484" w:firstLineChars="200"/>
        <w:rPr>
          <w:rFonts w:ascii="宋体" w:hAnsi="宋体" w:cs="宋体"/>
          <w:sz w:val="24"/>
          <w:szCs w:val="24"/>
        </w:rPr>
      </w:pPr>
      <w:r>
        <w:rPr>
          <w:rFonts w:hint="eastAsia" w:ascii="宋体" w:hAnsi="宋体" w:cs="宋体"/>
          <w:sz w:val="24"/>
          <w:szCs w:val="24"/>
        </w:rPr>
        <w:t>17.3.2 中标供应商有下列情形之一的，投标保证金不予退还；情节严重的，由财政部门将其列入不良行为记录名单，在一至三年内禁止参加政府采购活动，并予以通报：</w:t>
      </w:r>
    </w:p>
    <w:p>
      <w:pPr>
        <w:spacing w:line="360" w:lineRule="auto"/>
        <w:ind w:firstLine="484" w:firstLineChars="200"/>
        <w:rPr>
          <w:rFonts w:ascii="宋体" w:hAnsi="宋体" w:cs="宋体"/>
          <w:sz w:val="24"/>
          <w:szCs w:val="24"/>
        </w:rPr>
      </w:pPr>
      <w:r>
        <w:rPr>
          <w:rFonts w:hint="eastAsia" w:ascii="宋体" w:hAnsi="宋体" w:cs="宋体"/>
          <w:sz w:val="24"/>
          <w:szCs w:val="24"/>
        </w:rPr>
        <w:t>（一）中标后无正当理由不与采购人签订合同的；</w:t>
      </w:r>
    </w:p>
    <w:p>
      <w:pPr>
        <w:spacing w:line="360" w:lineRule="auto"/>
        <w:ind w:firstLine="484" w:firstLineChars="200"/>
        <w:rPr>
          <w:rFonts w:ascii="宋体" w:hAnsi="宋体" w:cs="宋体"/>
          <w:sz w:val="24"/>
          <w:szCs w:val="24"/>
        </w:rPr>
      </w:pPr>
      <w:r>
        <w:rPr>
          <w:rFonts w:hint="eastAsia" w:ascii="宋体" w:hAnsi="宋体" w:cs="宋体"/>
          <w:sz w:val="24"/>
          <w:szCs w:val="24"/>
        </w:rPr>
        <w:t>（二）未经采购人同意将中标项目转让给他人，或者将中标项目分包给他人的；</w:t>
      </w:r>
    </w:p>
    <w:p>
      <w:pPr>
        <w:spacing w:line="360" w:lineRule="auto"/>
        <w:ind w:firstLine="484" w:firstLineChars="200"/>
        <w:rPr>
          <w:rFonts w:ascii="宋体" w:hAnsi="宋体" w:cs="宋体"/>
          <w:sz w:val="24"/>
          <w:szCs w:val="24"/>
        </w:rPr>
      </w:pPr>
      <w:r>
        <w:rPr>
          <w:rFonts w:hint="eastAsia" w:ascii="宋体" w:hAnsi="宋体" w:cs="宋体"/>
          <w:sz w:val="24"/>
          <w:szCs w:val="24"/>
        </w:rPr>
        <w:t>（三）拒绝履行合同义务的。</w:t>
      </w:r>
    </w:p>
    <w:p>
      <w:pPr>
        <w:spacing w:line="360" w:lineRule="auto"/>
        <w:ind w:firstLine="484" w:firstLineChars="200"/>
        <w:rPr>
          <w:rFonts w:ascii="宋体" w:hAnsi="宋体" w:cs="宋体"/>
          <w:sz w:val="24"/>
          <w:szCs w:val="24"/>
        </w:rPr>
      </w:pPr>
      <w:r>
        <w:rPr>
          <w:rFonts w:hint="eastAsia" w:ascii="宋体" w:hAnsi="宋体" w:cs="宋体"/>
          <w:sz w:val="24"/>
          <w:szCs w:val="24"/>
        </w:rPr>
        <w:t>17.3.3 如果中标供应商放弃中标项目的，无正当理由不与采购人签订合同的，在签订合同时向采购人提出附加条件或者更改合同实质性内容的，或者拒不提交所要求的履约保证金的。</w:t>
      </w:r>
    </w:p>
    <w:bookmarkEnd w:id="115"/>
    <w:bookmarkEnd w:id="116"/>
    <w:bookmarkEnd w:id="117"/>
    <w:bookmarkEnd w:id="118"/>
    <w:bookmarkEnd w:id="119"/>
    <w:bookmarkEnd w:id="120"/>
    <w:bookmarkEnd w:id="121"/>
    <w:bookmarkEnd w:id="122"/>
    <w:bookmarkEnd w:id="123"/>
    <w:bookmarkEnd w:id="124"/>
    <w:p>
      <w:pPr>
        <w:spacing w:line="360" w:lineRule="auto"/>
        <w:jc w:val="center"/>
        <w:outlineLvl w:val="1"/>
        <w:rPr>
          <w:rFonts w:ascii="宋体" w:hAnsi="宋体" w:cs="宋体"/>
          <w:b/>
          <w:bCs/>
          <w:sz w:val="24"/>
          <w:szCs w:val="24"/>
        </w:rPr>
      </w:pPr>
      <w:bookmarkStart w:id="125" w:name="_Toc7497"/>
      <w:bookmarkStart w:id="126" w:name="_Toc137664502"/>
      <w:bookmarkStart w:id="127" w:name="_Toc137663952"/>
      <w:bookmarkStart w:id="128" w:name="_Toc387"/>
      <w:bookmarkStart w:id="129" w:name="_Toc25499"/>
      <w:bookmarkStart w:id="130" w:name="_Toc14795"/>
      <w:bookmarkStart w:id="131" w:name="_Toc21719"/>
      <w:bookmarkStart w:id="132" w:name="_Toc18583"/>
      <w:bookmarkStart w:id="133" w:name="_Toc24323"/>
      <w:bookmarkStart w:id="134" w:name="_Toc26952"/>
      <w:bookmarkStart w:id="135" w:name="_Toc10256"/>
      <w:bookmarkStart w:id="136" w:name="_Toc11186"/>
      <w:bookmarkStart w:id="137" w:name="_Toc25534"/>
      <w:bookmarkStart w:id="138" w:name="_Toc8730"/>
      <w:bookmarkStart w:id="139" w:name="_Toc30259"/>
      <w:r>
        <w:rPr>
          <w:rFonts w:hint="eastAsia" w:ascii="宋体" w:hAnsi="宋体" w:cs="宋体"/>
          <w:b/>
          <w:bCs/>
          <w:sz w:val="24"/>
          <w:szCs w:val="24"/>
        </w:rPr>
        <w:t>四、 响应文件的提交</w:t>
      </w:r>
      <w:bookmarkEnd w:id="125"/>
      <w:bookmarkEnd w:id="126"/>
      <w:bookmarkEnd w:id="127"/>
      <w:bookmarkEnd w:id="128"/>
      <w:bookmarkEnd w:id="129"/>
    </w:p>
    <w:p>
      <w:pPr>
        <w:pStyle w:val="47"/>
        <w:spacing w:line="360" w:lineRule="auto"/>
        <w:jc w:val="both"/>
        <w:rPr>
          <w:rFonts w:ascii="宋体" w:hAnsi="宋体" w:cs="宋体"/>
          <w:b/>
          <w:bCs/>
          <w:color w:val="auto"/>
        </w:rPr>
      </w:pPr>
      <w:r>
        <w:rPr>
          <w:rFonts w:hint="eastAsia" w:ascii="宋体" w:hAnsi="宋体" w:cs="宋体"/>
          <w:b/>
          <w:bCs/>
          <w:color w:val="auto"/>
        </w:rPr>
        <w:t>18  响应文件的递交详见供应商须知前附表。</w:t>
      </w:r>
    </w:p>
    <w:p>
      <w:pPr>
        <w:spacing w:line="360" w:lineRule="auto"/>
        <w:rPr>
          <w:rFonts w:ascii="宋体" w:hAnsi="宋体" w:cs="宋体"/>
          <w:b/>
          <w:bCs/>
          <w:sz w:val="24"/>
          <w:szCs w:val="24"/>
        </w:rPr>
      </w:pPr>
      <w:r>
        <w:rPr>
          <w:rFonts w:hint="eastAsia" w:ascii="宋体" w:hAnsi="宋体" w:cs="宋体"/>
          <w:b/>
          <w:bCs/>
          <w:sz w:val="24"/>
          <w:szCs w:val="24"/>
        </w:rPr>
        <w:t>19  响应文件递交的截止时间</w:t>
      </w:r>
    </w:p>
    <w:p>
      <w:pPr>
        <w:spacing w:line="360" w:lineRule="auto"/>
        <w:ind w:firstLine="484" w:firstLineChars="200"/>
        <w:rPr>
          <w:rFonts w:ascii="宋体" w:hAnsi="宋体" w:cs="宋体"/>
          <w:sz w:val="24"/>
          <w:szCs w:val="24"/>
        </w:rPr>
      </w:pPr>
      <w:r>
        <w:rPr>
          <w:rFonts w:hint="eastAsia" w:ascii="宋体" w:hAnsi="宋体" w:cs="宋体"/>
          <w:sz w:val="24"/>
          <w:szCs w:val="24"/>
        </w:rPr>
        <w:t>19.1 供应商必须在竞争性磋商文件要求递交响应文件的截止时间前提交。</w:t>
      </w:r>
    </w:p>
    <w:p>
      <w:pPr>
        <w:spacing w:line="360" w:lineRule="auto"/>
        <w:ind w:firstLine="484" w:firstLineChars="200"/>
        <w:rPr>
          <w:rFonts w:ascii="宋体" w:hAnsi="宋体" w:cs="宋体"/>
          <w:sz w:val="24"/>
          <w:szCs w:val="24"/>
        </w:rPr>
      </w:pPr>
      <w:r>
        <w:rPr>
          <w:rFonts w:hint="eastAsia" w:ascii="宋体" w:hAnsi="宋体" w:cs="宋体"/>
          <w:sz w:val="24"/>
          <w:szCs w:val="24"/>
        </w:rPr>
        <w:t>19.2 在竞争性磋商文件要求递交响应文件的截止时间之后送达的响应文件，为无效响应文件，采购人将不予接收。</w:t>
      </w:r>
    </w:p>
    <w:p>
      <w:pPr>
        <w:spacing w:line="360" w:lineRule="auto"/>
        <w:rPr>
          <w:rFonts w:ascii="宋体" w:hAnsi="宋体" w:cs="宋体"/>
          <w:b/>
          <w:bCs/>
          <w:sz w:val="24"/>
          <w:szCs w:val="24"/>
        </w:rPr>
      </w:pPr>
      <w:r>
        <w:rPr>
          <w:rFonts w:hint="eastAsia" w:ascii="宋体" w:hAnsi="宋体" w:cs="宋体"/>
          <w:b/>
          <w:bCs/>
          <w:sz w:val="24"/>
          <w:szCs w:val="24"/>
        </w:rPr>
        <w:t>20  响应文件的修改和撤回</w:t>
      </w:r>
    </w:p>
    <w:p>
      <w:pPr>
        <w:spacing w:line="360" w:lineRule="auto"/>
        <w:ind w:firstLine="484" w:firstLineChars="200"/>
        <w:rPr>
          <w:rFonts w:ascii="宋体" w:hAnsi="宋体" w:cs="宋体"/>
          <w:sz w:val="24"/>
          <w:szCs w:val="24"/>
        </w:rPr>
      </w:pPr>
      <w:r>
        <w:rPr>
          <w:rFonts w:hint="eastAsia" w:ascii="宋体" w:hAnsi="宋体" w:cs="宋体"/>
          <w:sz w:val="24"/>
          <w:szCs w:val="24"/>
        </w:rPr>
        <w:t>20.1 供应商在投标截止时间前，可以对所提交的响应文件进行补充、修改或者撤回。补充、修改的内容应当按竞争性磋商文件要求签署、盖章，并作为响应文件的组成部分。供应商对其响应文件进行的修改或撤回应在竞争性磋商文件规定的投标截止时间前送达。</w:t>
      </w:r>
    </w:p>
    <w:p>
      <w:pPr>
        <w:spacing w:line="360" w:lineRule="auto"/>
        <w:ind w:firstLine="484" w:firstLineChars="200"/>
        <w:rPr>
          <w:rFonts w:ascii="宋体" w:hAnsi="宋体" w:cs="宋体"/>
          <w:sz w:val="24"/>
          <w:szCs w:val="24"/>
        </w:rPr>
      </w:pPr>
      <w:r>
        <w:rPr>
          <w:rFonts w:hint="eastAsia" w:ascii="宋体" w:hAnsi="宋体" w:cs="宋体"/>
          <w:sz w:val="24"/>
          <w:szCs w:val="24"/>
        </w:rPr>
        <w:t>20.2 供应商根据竞争性磋商文件载明采购项目的实际情况，拟在中标后将中标项目的非主体、非关键性工作交由他人完成的，应当在响应文件中载明。</w:t>
      </w:r>
    </w:p>
    <w:p>
      <w:pPr>
        <w:spacing w:line="360" w:lineRule="auto"/>
        <w:ind w:firstLine="484" w:firstLineChars="200"/>
        <w:rPr>
          <w:rFonts w:ascii="宋体" w:hAnsi="宋体" w:cs="宋体"/>
          <w:sz w:val="24"/>
          <w:szCs w:val="24"/>
        </w:rPr>
      </w:pPr>
      <w:r>
        <w:rPr>
          <w:rFonts w:hint="eastAsia" w:ascii="宋体" w:hAnsi="宋体" w:cs="宋体"/>
          <w:sz w:val="24"/>
          <w:szCs w:val="24"/>
        </w:rPr>
        <w:t>20.3 投标截止时间后不得修改响应文件。</w:t>
      </w:r>
    </w:p>
    <w:p>
      <w:pPr>
        <w:spacing w:line="360" w:lineRule="auto"/>
        <w:ind w:firstLine="484" w:firstLineChars="200"/>
        <w:rPr>
          <w:rFonts w:ascii="宋体" w:hAnsi="宋体" w:cs="宋体"/>
          <w:sz w:val="24"/>
          <w:szCs w:val="24"/>
        </w:rPr>
      </w:pPr>
      <w:r>
        <w:rPr>
          <w:rFonts w:hint="eastAsia" w:ascii="宋体" w:hAnsi="宋体" w:cs="宋体"/>
          <w:sz w:val="24"/>
          <w:szCs w:val="24"/>
        </w:rPr>
        <w:t>20.4 供应商不得在投标有效期内撤销响应文件，否则采购人将不予退还其投标保证金。</w:t>
      </w:r>
    </w:p>
    <w:bookmarkEnd w:id="130"/>
    <w:bookmarkEnd w:id="131"/>
    <w:bookmarkEnd w:id="132"/>
    <w:bookmarkEnd w:id="133"/>
    <w:bookmarkEnd w:id="134"/>
    <w:bookmarkEnd w:id="135"/>
    <w:bookmarkEnd w:id="136"/>
    <w:bookmarkEnd w:id="137"/>
    <w:bookmarkEnd w:id="138"/>
    <w:bookmarkEnd w:id="139"/>
    <w:p>
      <w:pPr>
        <w:spacing w:line="360" w:lineRule="auto"/>
        <w:jc w:val="center"/>
        <w:outlineLvl w:val="1"/>
        <w:rPr>
          <w:rFonts w:ascii="宋体" w:hAnsi="宋体" w:cs="宋体"/>
          <w:b/>
          <w:bCs/>
          <w:sz w:val="24"/>
          <w:szCs w:val="24"/>
        </w:rPr>
      </w:pPr>
      <w:bookmarkStart w:id="140" w:name="_Toc137663953"/>
      <w:bookmarkStart w:id="141" w:name="_Toc6029"/>
      <w:bookmarkStart w:id="142" w:name="_Toc19719"/>
      <w:bookmarkStart w:id="143" w:name="_Toc137664503"/>
      <w:bookmarkStart w:id="144" w:name="_Toc11311"/>
      <w:bookmarkStart w:id="145" w:name="_Toc4557"/>
      <w:bookmarkStart w:id="146" w:name="_Toc24841"/>
      <w:bookmarkStart w:id="147" w:name="_Toc29037"/>
      <w:bookmarkStart w:id="148" w:name="_Toc17564"/>
      <w:bookmarkStart w:id="149" w:name="_Toc16195"/>
      <w:bookmarkStart w:id="150" w:name="_Toc27665"/>
      <w:bookmarkStart w:id="151" w:name="_Toc16901"/>
      <w:bookmarkStart w:id="152" w:name="_Toc12203"/>
      <w:bookmarkStart w:id="153" w:name="_Toc6415"/>
      <w:bookmarkStart w:id="154" w:name="_Toc32611"/>
      <w:r>
        <w:rPr>
          <w:rFonts w:hint="eastAsia" w:ascii="宋体" w:hAnsi="宋体" w:cs="宋体"/>
          <w:b/>
          <w:bCs/>
          <w:sz w:val="24"/>
          <w:szCs w:val="24"/>
        </w:rPr>
        <w:t>五、开   标</w:t>
      </w:r>
      <w:bookmarkEnd w:id="140"/>
      <w:bookmarkEnd w:id="141"/>
      <w:bookmarkEnd w:id="142"/>
      <w:bookmarkEnd w:id="143"/>
      <w:bookmarkEnd w:id="144"/>
    </w:p>
    <w:p>
      <w:pPr>
        <w:spacing w:line="360" w:lineRule="auto"/>
        <w:rPr>
          <w:rFonts w:ascii="宋体" w:hAnsi="宋体" w:cs="宋体"/>
          <w:b/>
          <w:bCs/>
          <w:sz w:val="24"/>
          <w:szCs w:val="24"/>
        </w:rPr>
      </w:pPr>
      <w:r>
        <w:rPr>
          <w:rFonts w:hint="eastAsia" w:ascii="宋体" w:hAnsi="宋体" w:cs="宋体"/>
          <w:b/>
          <w:bCs/>
          <w:sz w:val="24"/>
          <w:szCs w:val="24"/>
        </w:rPr>
        <w:t>21  开标</w:t>
      </w:r>
    </w:p>
    <w:p>
      <w:pPr>
        <w:spacing w:line="348" w:lineRule="auto"/>
        <w:ind w:firstLine="484" w:firstLineChars="200"/>
        <w:rPr>
          <w:rFonts w:ascii="宋体" w:hAnsi="宋体" w:cs="宋体"/>
          <w:sz w:val="24"/>
          <w:szCs w:val="24"/>
        </w:rPr>
      </w:pPr>
      <w:r>
        <w:rPr>
          <w:rFonts w:hint="eastAsia" w:ascii="宋体" w:hAnsi="宋体" w:cs="宋体"/>
          <w:sz w:val="24"/>
          <w:szCs w:val="24"/>
        </w:rPr>
        <w:t>21.1 开标时间为竞争性磋商文件中提交响应文件的截止时间；开标地点为竞争性磋商文件中预先确定的地点。</w:t>
      </w:r>
    </w:p>
    <w:p>
      <w:pPr>
        <w:spacing w:line="348" w:lineRule="auto"/>
        <w:ind w:firstLine="484" w:firstLineChars="200"/>
        <w:rPr>
          <w:rFonts w:ascii="宋体" w:hAnsi="宋体" w:cs="宋体"/>
          <w:sz w:val="24"/>
          <w:szCs w:val="24"/>
        </w:rPr>
      </w:pPr>
      <w:r>
        <w:rPr>
          <w:rFonts w:hint="eastAsia" w:ascii="宋体" w:hAnsi="宋体" w:cs="宋体"/>
          <w:sz w:val="24"/>
          <w:szCs w:val="24"/>
        </w:rPr>
        <w:t>21.2 采购代理机构主持，采购人、供应商和有关方面代表参加。投标供应商不足3家的，不得开标。</w:t>
      </w:r>
    </w:p>
    <w:p>
      <w:pPr>
        <w:spacing w:line="348" w:lineRule="auto"/>
        <w:ind w:firstLine="484" w:firstLineChars="200"/>
        <w:rPr>
          <w:rFonts w:ascii="宋体" w:hAnsi="宋体" w:cs="宋体"/>
          <w:sz w:val="24"/>
          <w:szCs w:val="24"/>
        </w:rPr>
      </w:pPr>
      <w:r>
        <w:rPr>
          <w:rFonts w:hint="eastAsia" w:ascii="宋体" w:hAnsi="宋体" w:cs="宋体"/>
          <w:sz w:val="24"/>
          <w:szCs w:val="24"/>
        </w:rPr>
        <w:t>21.3 开标方式：电子开评标</w:t>
      </w:r>
    </w:p>
    <w:p>
      <w:pPr>
        <w:spacing w:line="348" w:lineRule="auto"/>
        <w:ind w:firstLine="484" w:firstLineChars="200"/>
        <w:rPr>
          <w:rFonts w:ascii="宋体" w:hAnsi="宋体" w:cs="宋体"/>
          <w:sz w:val="24"/>
          <w:szCs w:val="24"/>
        </w:rPr>
      </w:pPr>
      <w:r>
        <w:rPr>
          <w:rFonts w:hint="eastAsia" w:ascii="宋体" w:hAnsi="宋体" w:cs="宋体"/>
          <w:sz w:val="24"/>
          <w:szCs w:val="24"/>
        </w:rPr>
        <w:t>21.3.1开标时间到达后，主持人开启解密标书后，供应商点击【CA解密】进行解密，超过解密时限，默认供应商自动放弃。解密成功的响应文件的可继续进行开标。</w:t>
      </w:r>
    </w:p>
    <w:p>
      <w:pPr>
        <w:spacing w:line="348" w:lineRule="auto"/>
        <w:ind w:firstLine="484" w:firstLineChars="200"/>
        <w:rPr>
          <w:rFonts w:ascii="宋体" w:hAnsi="宋体" w:cs="宋体"/>
          <w:sz w:val="24"/>
          <w:szCs w:val="24"/>
        </w:rPr>
      </w:pPr>
      <w:r>
        <w:rPr>
          <w:rFonts w:hint="eastAsia" w:ascii="宋体" w:hAnsi="宋体" w:cs="宋体"/>
          <w:sz w:val="24"/>
          <w:szCs w:val="24"/>
        </w:rPr>
        <w:t xml:space="preserve">21.3.2 若提交响应文件家数少于三家或者开标后成功解密的家数少于三家的，将终止该项目（标项）的开标。 </w:t>
      </w:r>
    </w:p>
    <w:p>
      <w:pPr>
        <w:spacing w:line="348" w:lineRule="auto"/>
        <w:ind w:firstLine="484" w:firstLineChars="200"/>
        <w:rPr>
          <w:rFonts w:ascii="宋体" w:hAnsi="宋体" w:cs="宋体"/>
          <w:sz w:val="24"/>
          <w:szCs w:val="24"/>
        </w:rPr>
      </w:pPr>
      <w:r>
        <w:rPr>
          <w:rFonts w:hint="eastAsia" w:ascii="宋体" w:hAnsi="宋体" w:cs="宋体"/>
          <w:sz w:val="24"/>
          <w:szCs w:val="24"/>
        </w:rPr>
        <w:t>21.4 响应文件报价出现前后不一致的，除竞争性磋商文件另有规定外，按照下列规定修正：</w:t>
      </w:r>
    </w:p>
    <w:p>
      <w:pPr>
        <w:spacing w:line="348" w:lineRule="auto"/>
        <w:ind w:firstLine="484" w:firstLineChars="200"/>
        <w:rPr>
          <w:rFonts w:ascii="宋体" w:hAnsi="宋体" w:cs="宋体"/>
          <w:sz w:val="24"/>
          <w:szCs w:val="24"/>
        </w:rPr>
      </w:pPr>
      <w:r>
        <w:rPr>
          <w:rFonts w:hint="eastAsia" w:ascii="宋体" w:hAnsi="宋体" w:cs="宋体"/>
          <w:sz w:val="24"/>
          <w:szCs w:val="24"/>
        </w:rPr>
        <w:t>21.4.1响应文件中开标一览表（报价一览表）内容与响应文件中相应内容不一致的，以开标一览表（报价一览表）为准；</w:t>
      </w:r>
    </w:p>
    <w:p>
      <w:pPr>
        <w:spacing w:line="348" w:lineRule="auto"/>
        <w:ind w:firstLine="484" w:firstLineChars="200"/>
        <w:rPr>
          <w:rFonts w:ascii="宋体" w:hAnsi="宋体" w:cs="宋体"/>
          <w:sz w:val="24"/>
          <w:szCs w:val="24"/>
        </w:rPr>
      </w:pPr>
      <w:r>
        <w:rPr>
          <w:rFonts w:hint="eastAsia" w:ascii="宋体" w:hAnsi="宋体" w:cs="宋体"/>
          <w:sz w:val="24"/>
          <w:szCs w:val="24"/>
        </w:rPr>
        <w:t>21.4.2大写金额和小写金额不一致的，以大写金额为准；</w:t>
      </w:r>
    </w:p>
    <w:p>
      <w:pPr>
        <w:spacing w:line="348" w:lineRule="auto"/>
        <w:ind w:firstLine="484" w:firstLineChars="200"/>
        <w:rPr>
          <w:rFonts w:ascii="宋体" w:hAnsi="宋体" w:cs="宋体"/>
          <w:sz w:val="24"/>
          <w:szCs w:val="24"/>
        </w:rPr>
      </w:pPr>
      <w:r>
        <w:rPr>
          <w:rFonts w:hint="eastAsia" w:ascii="宋体" w:hAnsi="宋体" w:cs="宋体"/>
          <w:sz w:val="24"/>
          <w:szCs w:val="24"/>
        </w:rPr>
        <w:t>21.4.3单价金额小数点或者百分比有明显错位的，以开标一览表（报价一览表）的总价为准，并修改单价；</w:t>
      </w:r>
    </w:p>
    <w:p>
      <w:pPr>
        <w:spacing w:line="348" w:lineRule="auto"/>
        <w:ind w:firstLine="484" w:firstLineChars="200"/>
        <w:rPr>
          <w:rFonts w:ascii="宋体" w:hAnsi="宋体" w:cs="宋体"/>
          <w:sz w:val="24"/>
          <w:szCs w:val="24"/>
        </w:rPr>
      </w:pPr>
      <w:r>
        <w:rPr>
          <w:rFonts w:hint="eastAsia" w:ascii="宋体" w:hAnsi="宋体" w:cs="宋体"/>
          <w:sz w:val="24"/>
          <w:szCs w:val="24"/>
        </w:rPr>
        <w:t>21.4.4总价金额与按单价汇总金额不一致的，以单价金额计算结果为准。</w:t>
      </w:r>
    </w:p>
    <w:p>
      <w:pPr>
        <w:spacing w:line="348" w:lineRule="auto"/>
        <w:ind w:firstLine="484" w:firstLineChars="200"/>
        <w:rPr>
          <w:rFonts w:ascii="宋体" w:hAnsi="宋体" w:cs="宋体"/>
          <w:sz w:val="24"/>
          <w:szCs w:val="24"/>
        </w:rPr>
      </w:pPr>
      <w:r>
        <w:rPr>
          <w:rFonts w:hint="eastAsia" w:ascii="宋体" w:hAnsi="宋体" w:cs="宋体"/>
          <w:sz w:val="24"/>
          <w:szCs w:val="24"/>
        </w:rPr>
        <w:t>21.4.5对不同文字文本响应文件的解释发生异议的，以中文文本为准。</w:t>
      </w:r>
    </w:p>
    <w:p>
      <w:pPr>
        <w:spacing w:line="348" w:lineRule="auto"/>
        <w:ind w:firstLine="484" w:firstLineChars="200"/>
        <w:rPr>
          <w:rFonts w:ascii="宋体" w:hAnsi="宋体" w:cs="宋体"/>
          <w:sz w:val="24"/>
          <w:szCs w:val="24"/>
        </w:rPr>
      </w:pPr>
      <w:r>
        <w:rPr>
          <w:rFonts w:hint="eastAsia" w:ascii="宋体" w:hAnsi="宋体" w:cs="宋体"/>
          <w:sz w:val="24"/>
          <w:szCs w:val="24"/>
        </w:rPr>
        <w:t>21.5 对未按照本竞争性磋商文件要求进行投标及资格审查不合格的供应商，其响应文件将按无效投标处理。</w:t>
      </w:r>
    </w:p>
    <w:p>
      <w:pPr>
        <w:spacing w:line="348" w:lineRule="auto"/>
        <w:ind w:firstLine="484" w:firstLineChars="200"/>
        <w:rPr>
          <w:rFonts w:ascii="宋体" w:hAnsi="宋体" w:cs="宋体"/>
          <w:sz w:val="24"/>
          <w:szCs w:val="24"/>
        </w:rPr>
      </w:pPr>
      <w:r>
        <w:rPr>
          <w:rFonts w:hint="eastAsia" w:ascii="宋体" w:hAnsi="宋体" w:cs="宋体"/>
          <w:sz w:val="24"/>
          <w:szCs w:val="24"/>
        </w:rPr>
        <w:t>21.6 供应商之间不得相互串通投标报价，不得妨碍其他供应商的公平竞争，不得损害采购人或者其他供应商的合法权益。</w:t>
      </w:r>
    </w:p>
    <w:p>
      <w:pPr>
        <w:spacing w:line="348" w:lineRule="auto"/>
        <w:ind w:firstLine="484" w:firstLineChars="200"/>
        <w:rPr>
          <w:rFonts w:ascii="宋体" w:hAnsi="宋体" w:cs="宋体"/>
          <w:sz w:val="24"/>
          <w:szCs w:val="24"/>
        </w:rPr>
      </w:pPr>
      <w:r>
        <w:rPr>
          <w:rFonts w:hint="eastAsia" w:ascii="宋体" w:hAnsi="宋体" w:cs="宋体"/>
          <w:sz w:val="24"/>
          <w:szCs w:val="24"/>
        </w:rPr>
        <w:t>21.7 供应商不得向采购人、磋商小组成员行贿或者采取其他不正当手段谋取中标。</w:t>
      </w:r>
    </w:p>
    <w:bookmarkEnd w:id="145"/>
    <w:bookmarkEnd w:id="146"/>
    <w:bookmarkEnd w:id="147"/>
    <w:bookmarkEnd w:id="148"/>
    <w:bookmarkEnd w:id="149"/>
    <w:bookmarkEnd w:id="150"/>
    <w:bookmarkEnd w:id="151"/>
    <w:bookmarkEnd w:id="152"/>
    <w:bookmarkEnd w:id="153"/>
    <w:bookmarkEnd w:id="154"/>
    <w:p>
      <w:pPr>
        <w:spacing w:line="360" w:lineRule="auto"/>
        <w:jc w:val="center"/>
        <w:outlineLvl w:val="1"/>
        <w:rPr>
          <w:rFonts w:ascii="宋体" w:hAnsi="宋体" w:cs="宋体"/>
          <w:b/>
          <w:bCs/>
          <w:sz w:val="24"/>
          <w:szCs w:val="24"/>
        </w:rPr>
      </w:pPr>
      <w:bookmarkStart w:id="155" w:name="_Toc26134"/>
      <w:bookmarkStart w:id="156" w:name="_Toc30139"/>
      <w:bookmarkStart w:id="157" w:name="_Toc137664504"/>
      <w:bookmarkStart w:id="158" w:name="_Toc137663954"/>
      <w:bookmarkStart w:id="159" w:name="_Toc26086"/>
      <w:bookmarkStart w:id="160" w:name="OLE_LINK1"/>
      <w:r>
        <w:rPr>
          <w:rFonts w:hint="eastAsia" w:ascii="宋体" w:hAnsi="宋体" w:cs="宋体"/>
          <w:b/>
          <w:bCs/>
          <w:sz w:val="24"/>
          <w:szCs w:val="24"/>
        </w:rPr>
        <w:t>六、 评标、定标</w:t>
      </w:r>
      <w:bookmarkEnd w:id="155"/>
      <w:bookmarkEnd w:id="156"/>
      <w:bookmarkEnd w:id="157"/>
      <w:bookmarkEnd w:id="158"/>
      <w:bookmarkEnd w:id="159"/>
    </w:p>
    <w:p>
      <w:pPr>
        <w:spacing w:line="360" w:lineRule="auto"/>
        <w:rPr>
          <w:rFonts w:ascii="宋体" w:hAnsi="宋体" w:cs="宋体"/>
          <w:b/>
          <w:bCs/>
          <w:sz w:val="24"/>
          <w:szCs w:val="24"/>
        </w:rPr>
      </w:pPr>
      <w:r>
        <w:rPr>
          <w:rFonts w:hint="eastAsia" w:ascii="宋体" w:hAnsi="宋体" w:cs="宋体"/>
          <w:b/>
          <w:bCs/>
          <w:sz w:val="24"/>
          <w:szCs w:val="24"/>
        </w:rPr>
        <w:t>22  评标</w:t>
      </w:r>
    </w:p>
    <w:p>
      <w:pPr>
        <w:spacing w:line="348" w:lineRule="auto"/>
        <w:ind w:firstLine="484" w:firstLineChars="200"/>
        <w:rPr>
          <w:rFonts w:ascii="宋体" w:hAnsi="宋体" w:cs="宋体"/>
          <w:sz w:val="24"/>
          <w:szCs w:val="24"/>
        </w:rPr>
      </w:pPr>
      <w:r>
        <w:rPr>
          <w:rFonts w:hint="eastAsia" w:ascii="宋体" w:hAnsi="宋体" w:cs="宋体"/>
          <w:sz w:val="24"/>
          <w:szCs w:val="24"/>
        </w:rPr>
        <w:t>22.1磋商小组</w:t>
      </w:r>
    </w:p>
    <w:p>
      <w:pPr>
        <w:spacing w:line="348" w:lineRule="auto"/>
        <w:ind w:firstLine="484" w:firstLineChars="200"/>
        <w:rPr>
          <w:rFonts w:hint="eastAsia" w:ascii="宋体" w:hAnsi="宋体" w:cs="宋体"/>
          <w:sz w:val="24"/>
          <w:szCs w:val="24"/>
        </w:rPr>
      </w:pPr>
      <w:r>
        <w:rPr>
          <w:rFonts w:hint="eastAsia" w:ascii="宋体" w:hAnsi="宋体" w:cs="宋体"/>
          <w:sz w:val="24"/>
          <w:szCs w:val="24"/>
        </w:rPr>
        <w:t>22.1.1 磋商小组由采购人代表和评审专家组成，成员人数应当为</w:t>
      </w:r>
      <w:r>
        <w:rPr>
          <w:rFonts w:ascii="宋体" w:hAnsi="宋体" w:cs="宋体"/>
          <w:sz w:val="24"/>
          <w:szCs w:val="24"/>
        </w:rPr>
        <w:t>3</w:t>
      </w:r>
      <w:r>
        <w:rPr>
          <w:rFonts w:hint="eastAsia" w:ascii="宋体" w:hAnsi="宋体" w:cs="宋体"/>
          <w:sz w:val="24"/>
          <w:szCs w:val="24"/>
        </w:rPr>
        <w:t>人以上单数，其中评审专家不得少于成员总数的三分之二。</w:t>
      </w:r>
    </w:p>
    <w:p>
      <w:pPr>
        <w:spacing w:line="348" w:lineRule="auto"/>
        <w:ind w:firstLine="484" w:firstLineChars="200"/>
        <w:rPr>
          <w:rFonts w:ascii="宋体" w:hAnsi="宋体" w:cs="宋体"/>
          <w:sz w:val="24"/>
          <w:szCs w:val="24"/>
        </w:rPr>
      </w:pPr>
      <w:r>
        <w:rPr>
          <w:rFonts w:hint="eastAsia" w:ascii="宋体" w:hAnsi="宋体" w:cs="宋体"/>
          <w:sz w:val="24"/>
          <w:szCs w:val="24"/>
        </w:rPr>
        <w:t>22.1.2 评审专家对本单位的采购项目只能作为采购人代表参与评标，采购代理机构工作人员不得参加由本机构代理的政府采购项目的评标。</w:t>
      </w:r>
    </w:p>
    <w:p>
      <w:pPr>
        <w:spacing w:line="348" w:lineRule="auto"/>
        <w:ind w:firstLine="484" w:firstLineChars="200"/>
        <w:rPr>
          <w:rFonts w:ascii="宋体" w:hAnsi="宋体" w:cs="宋体"/>
          <w:sz w:val="24"/>
          <w:szCs w:val="24"/>
        </w:rPr>
      </w:pPr>
      <w:r>
        <w:rPr>
          <w:rFonts w:hint="eastAsia" w:ascii="宋体" w:hAnsi="宋体" w:cs="宋体"/>
          <w:sz w:val="24"/>
          <w:szCs w:val="24"/>
        </w:rPr>
        <w:t>22.1.3 采购人就竞争性磋商文件征询过意见的专家，不得再作为评审专家参加评标。采购代理机构工作人员不得参加由本机构代理的政府采购项目的评标。</w:t>
      </w:r>
    </w:p>
    <w:p>
      <w:pPr>
        <w:spacing w:line="348" w:lineRule="auto"/>
        <w:ind w:firstLine="484" w:firstLineChars="200"/>
        <w:rPr>
          <w:rFonts w:ascii="宋体" w:hAnsi="宋体" w:cs="宋体"/>
          <w:sz w:val="24"/>
          <w:szCs w:val="24"/>
        </w:rPr>
      </w:pPr>
      <w:r>
        <w:rPr>
          <w:rFonts w:hint="eastAsia" w:ascii="宋体" w:hAnsi="宋体" w:cs="宋体"/>
          <w:b/>
          <w:bCs/>
          <w:sz w:val="24"/>
          <w:szCs w:val="24"/>
        </w:rPr>
        <w:t>22.1.4 采购人委托代表参加评审的，向采购代理机构出具授权函，采购人代表不得担任磋商小组组长。</w:t>
      </w:r>
    </w:p>
    <w:p>
      <w:pPr>
        <w:spacing w:line="348" w:lineRule="auto"/>
        <w:ind w:firstLine="484" w:firstLineChars="200"/>
        <w:rPr>
          <w:rFonts w:ascii="宋体" w:hAnsi="宋体" w:cs="宋体"/>
          <w:b/>
          <w:bCs/>
          <w:sz w:val="24"/>
          <w:szCs w:val="24"/>
        </w:rPr>
      </w:pPr>
      <w:r>
        <w:rPr>
          <w:rFonts w:hint="eastAsia" w:ascii="宋体" w:hAnsi="宋体" w:cs="宋体"/>
          <w:b/>
          <w:bCs/>
          <w:sz w:val="24"/>
          <w:szCs w:val="24"/>
        </w:rPr>
        <w:t>采购人委派的评审人员进入评标现场不得超过2人，其他无关人员不得进入评标现场。</w:t>
      </w:r>
    </w:p>
    <w:p>
      <w:pPr>
        <w:spacing w:line="348" w:lineRule="auto"/>
        <w:ind w:firstLine="484" w:firstLineChars="200"/>
        <w:rPr>
          <w:rFonts w:ascii="宋体" w:hAnsi="宋体" w:cs="宋体"/>
          <w:sz w:val="24"/>
          <w:szCs w:val="24"/>
        </w:rPr>
      </w:pPr>
      <w:r>
        <w:rPr>
          <w:rFonts w:hint="eastAsia" w:ascii="宋体" w:hAnsi="宋体" w:cs="宋体"/>
          <w:sz w:val="24"/>
          <w:szCs w:val="24"/>
        </w:rPr>
        <w:t xml:space="preserve">22.1.5 评审专家由采购代理在评审专家库中，通过随机方式抽取，磋商小组成员名单在评标结果公告前应当保密。 </w:t>
      </w:r>
    </w:p>
    <w:p>
      <w:pPr>
        <w:spacing w:line="348" w:lineRule="auto"/>
        <w:ind w:firstLine="484" w:firstLineChars="200"/>
        <w:rPr>
          <w:rFonts w:ascii="宋体" w:hAnsi="宋体" w:cs="宋体"/>
          <w:sz w:val="24"/>
          <w:szCs w:val="24"/>
        </w:rPr>
      </w:pPr>
      <w:r>
        <w:rPr>
          <w:rFonts w:hint="eastAsia" w:ascii="宋体" w:hAnsi="宋体" w:cs="宋体"/>
          <w:sz w:val="24"/>
          <w:szCs w:val="24"/>
        </w:rPr>
        <w:t>22.1.6 磋商小组成员应认真执行相关法规规定，同时维护采购人与供应商的合法权益。</w:t>
      </w:r>
    </w:p>
    <w:p>
      <w:pPr>
        <w:spacing w:line="348" w:lineRule="auto"/>
        <w:ind w:firstLine="484" w:firstLineChars="200"/>
        <w:rPr>
          <w:rFonts w:ascii="宋体" w:hAnsi="宋体" w:cs="宋体"/>
          <w:sz w:val="24"/>
          <w:szCs w:val="24"/>
        </w:rPr>
      </w:pPr>
      <w:r>
        <w:rPr>
          <w:rFonts w:hint="eastAsia" w:ascii="宋体" w:hAnsi="宋体" w:cs="宋体"/>
          <w:sz w:val="24"/>
          <w:szCs w:val="24"/>
        </w:rPr>
        <w:t>22.1.7 评标的依据为竞争性磋商文件和响应文件。</w:t>
      </w:r>
    </w:p>
    <w:p>
      <w:pPr>
        <w:spacing w:line="348" w:lineRule="auto"/>
        <w:ind w:firstLine="484" w:firstLineChars="200"/>
        <w:rPr>
          <w:rFonts w:ascii="宋体" w:hAnsi="宋体" w:cs="宋体"/>
          <w:sz w:val="24"/>
          <w:szCs w:val="24"/>
        </w:rPr>
      </w:pPr>
      <w:r>
        <w:rPr>
          <w:rFonts w:hint="eastAsia" w:ascii="宋体" w:hAnsi="宋体" w:cs="宋体"/>
          <w:sz w:val="24"/>
          <w:szCs w:val="24"/>
        </w:rPr>
        <w:t>22.1.6 评标中磋商小组成员若发生意见分歧，通过书面表决形式，以少数服从多数为原则决定。</w:t>
      </w:r>
    </w:p>
    <w:p>
      <w:pPr>
        <w:spacing w:line="348" w:lineRule="auto"/>
        <w:ind w:firstLine="484" w:firstLineChars="200"/>
        <w:rPr>
          <w:rFonts w:ascii="宋体" w:hAnsi="宋体" w:cs="宋体"/>
          <w:sz w:val="24"/>
          <w:szCs w:val="24"/>
        </w:rPr>
      </w:pPr>
      <w:r>
        <w:rPr>
          <w:rFonts w:hint="eastAsia" w:ascii="宋体" w:hAnsi="宋体" w:cs="宋体"/>
          <w:sz w:val="24"/>
          <w:szCs w:val="24"/>
        </w:rPr>
        <w:t>22.2 评标纪律</w:t>
      </w:r>
    </w:p>
    <w:p>
      <w:pPr>
        <w:spacing w:line="348" w:lineRule="auto"/>
        <w:ind w:firstLine="484" w:firstLineChars="200"/>
        <w:rPr>
          <w:rFonts w:ascii="宋体" w:hAnsi="宋体" w:cs="宋体"/>
          <w:sz w:val="24"/>
          <w:szCs w:val="24"/>
        </w:rPr>
      </w:pPr>
      <w:r>
        <w:rPr>
          <w:rFonts w:hint="eastAsia" w:ascii="宋体" w:hAnsi="宋体" w:cs="宋体"/>
          <w:sz w:val="24"/>
          <w:szCs w:val="24"/>
        </w:rPr>
        <w:t>22.2.1 要严格遵守评审时间，主动出具身份证明，遵守评审工作纪律和评审回避的相关规定。</w:t>
      </w:r>
    </w:p>
    <w:p>
      <w:pPr>
        <w:spacing w:line="348" w:lineRule="auto"/>
        <w:ind w:firstLine="484" w:firstLineChars="200"/>
        <w:rPr>
          <w:rFonts w:ascii="宋体" w:hAnsi="宋体" w:cs="宋体"/>
          <w:sz w:val="24"/>
          <w:szCs w:val="24"/>
        </w:rPr>
      </w:pPr>
      <w:r>
        <w:rPr>
          <w:rFonts w:hint="eastAsia" w:ascii="宋体" w:hAnsi="宋体" w:cs="宋体"/>
          <w:sz w:val="24"/>
          <w:szCs w:val="24"/>
        </w:rPr>
        <w:t>22.2.2 在评审工作开始前，将手机等通讯工具或相关电子设备交由采购人或采购代理机构统一保管，拒不上交的，采购人或采购代理机构可以拒绝其参加评审工作并向相关部门报告。</w:t>
      </w:r>
    </w:p>
    <w:p>
      <w:pPr>
        <w:spacing w:line="348" w:lineRule="auto"/>
        <w:ind w:firstLine="484" w:firstLineChars="200"/>
        <w:rPr>
          <w:rFonts w:ascii="宋体" w:hAnsi="宋体" w:cs="宋体"/>
          <w:sz w:val="24"/>
          <w:szCs w:val="24"/>
        </w:rPr>
      </w:pPr>
      <w:r>
        <w:rPr>
          <w:rFonts w:hint="eastAsia" w:ascii="宋体" w:hAnsi="宋体" w:cs="宋体"/>
          <w:sz w:val="24"/>
          <w:szCs w:val="24"/>
        </w:rPr>
        <w:t>22.2.3 磋商小组成员和评审工作有关人员不得干预或者影响正常评审工作，不得明示或者暗示其倾向性、引导性意见，不得修改或细化采购文件确定的评审程序、评审方法、评审因素和评审标准，不得接受供应商主动提出的澄清和解释，不得征询采购人代表的倾向性意见，不得协商评分，不得记录、复制或带走任何评审资料。</w:t>
      </w:r>
    </w:p>
    <w:p>
      <w:pPr>
        <w:spacing w:line="348" w:lineRule="auto"/>
        <w:ind w:firstLine="484" w:firstLineChars="200"/>
        <w:rPr>
          <w:rFonts w:ascii="宋体" w:hAnsi="宋体" w:cs="宋体"/>
          <w:sz w:val="24"/>
          <w:szCs w:val="24"/>
        </w:rPr>
      </w:pPr>
      <w:r>
        <w:rPr>
          <w:rFonts w:hint="eastAsia" w:ascii="宋体" w:hAnsi="宋体" w:cs="宋体"/>
          <w:sz w:val="24"/>
          <w:szCs w:val="24"/>
        </w:rPr>
        <w:t>22.2.4 评审结果汇总完成后，采购人、采购代理机构和磋商小组均不得修改评审结果或者要求重新评审，但资格性检查认定错误、分值汇总计算错误、分项评分超出评分标准范围、客观分评分不一致、经磋商小组一致认定评分畸高、畸低的情形除外。出现上述除外情形的，磋商小组应当现场修改评审结果，并在评审报告中明确记载。</w:t>
      </w:r>
    </w:p>
    <w:p>
      <w:pPr>
        <w:spacing w:line="348" w:lineRule="auto"/>
        <w:ind w:firstLine="484" w:firstLineChars="200"/>
        <w:rPr>
          <w:rFonts w:ascii="宋体" w:hAnsi="宋体" w:cs="宋体"/>
          <w:sz w:val="24"/>
          <w:szCs w:val="24"/>
        </w:rPr>
      </w:pPr>
      <w:r>
        <w:rPr>
          <w:rFonts w:hint="eastAsia" w:ascii="宋体" w:hAnsi="宋体" w:cs="宋体"/>
          <w:sz w:val="24"/>
          <w:szCs w:val="24"/>
        </w:rPr>
        <w:t>22.3 磋商小组负责具体评标事务，并独立履行下列职责：</w:t>
      </w:r>
    </w:p>
    <w:p>
      <w:pPr>
        <w:spacing w:line="348" w:lineRule="auto"/>
        <w:ind w:firstLine="484" w:firstLineChars="200"/>
        <w:rPr>
          <w:rFonts w:ascii="宋体" w:hAnsi="宋体" w:cs="宋体"/>
          <w:sz w:val="24"/>
          <w:szCs w:val="24"/>
        </w:rPr>
      </w:pPr>
      <w:r>
        <w:rPr>
          <w:rFonts w:hint="eastAsia" w:ascii="宋体" w:hAnsi="宋体" w:cs="宋体"/>
          <w:sz w:val="24"/>
          <w:szCs w:val="24"/>
        </w:rPr>
        <w:t>22.3.1 审查、评价响应文件是否符合竞争性磋商文件的商务、技术等实质性要求；</w:t>
      </w:r>
    </w:p>
    <w:p>
      <w:pPr>
        <w:spacing w:line="348" w:lineRule="auto"/>
        <w:ind w:firstLine="484" w:firstLineChars="200"/>
        <w:rPr>
          <w:rFonts w:ascii="宋体" w:hAnsi="宋体" w:cs="宋体"/>
          <w:sz w:val="24"/>
          <w:szCs w:val="24"/>
        </w:rPr>
      </w:pPr>
      <w:r>
        <w:rPr>
          <w:rFonts w:hint="eastAsia" w:ascii="宋体" w:hAnsi="宋体" w:cs="宋体"/>
          <w:sz w:val="24"/>
          <w:szCs w:val="24"/>
        </w:rPr>
        <w:t>22.3.2 要求供应商对响应文件有关事项作出澄清或者说明；</w:t>
      </w:r>
    </w:p>
    <w:p>
      <w:pPr>
        <w:spacing w:line="348" w:lineRule="auto"/>
        <w:ind w:firstLine="484" w:firstLineChars="200"/>
        <w:rPr>
          <w:rFonts w:ascii="宋体" w:hAnsi="宋体" w:cs="宋体"/>
          <w:sz w:val="24"/>
          <w:szCs w:val="24"/>
        </w:rPr>
      </w:pPr>
      <w:r>
        <w:rPr>
          <w:rFonts w:hint="eastAsia" w:ascii="宋体" w:hAnsi="宋体" w:cs="宋体"/>
          <w:sz w:val="24"/>
          <w:szCs w:val="24"/>
        </w:rPr>
        <w:t>22.3.3 对响应文件进行比较和评价；</w:t>
      </w:r>
    </w:p>
    <w:p>
      <w:pPr>
        <w:spacing w:line="348" w:lineRule="auto"/>
        <w:ind w:firstLine="484" w:firstLineChars="200"/>
        <w:rPr>
          <w:rFonts w:ascii="宋体" w:hAnsi="宋体" w:cs="宋体"/>
          <w:sz w:val="24"/>
          <w:szCs w:val="24"/>
        </w:rPr>
      </w:pPr>
      <w:r>
        <w:rPr>
          <w:rFonts w:hint="eastAsia" w:ascii="宋体" w:hAnsi="宋体" w:cs="宋体"/>
          <w:sz w:val="24"/>
          <w:szCs w:val="24"/>
        </w:rPr>
        <w:t>22.3.4 确定中标候选人名单，以及根据采购人委托直接确定中标人；</w:t>
      </w:r>
    </w:p>
    <w:p>
      <w:pPr>
        <w:spacing w:line="348" w:lineRule="auto"/>
        <w:ind w:firstLine="484" w:firstLineChars="200"/>
        <w:rPr>
          <w:rFonts w:ascii="宋体" w:hAnsi="宋体" w:cs="宋体"/>
          <w:sz w:val="24"/>
          <w:szCs w:val="24"/>
        </w:rPr>
      </w:pPr>
      <w:r>
        <w:rPr>
          <w:rFonts w:hint="eastAsia" w:ascii="宋体" w:hAnsi="宋体" w:cs="宋体"/>
          <w:sz w:val="24"/>
          <w:szCs w:val="24"/>
        </w:rPr>
        <w:t>22.3.5 向采购人、采购代理机构或者有关部门报告评标中发现的违法行为。</w:t>
      </w:r>
    </w:p>
    <w:p>
      <w:pPr>
        <w:spacing w:line="348" w:lineRule="auto"/>
        <w:ind w:firstLine="484" w:firstLineChars="200"/>
        <w:rPr>
          <w:rFonts w:ascii="宋体" w:hAnsi="宋体" w:cs="宋体"/>
          <w:sz w:val="24"/>
          <w:szCs w:val="24"/>
        </w:rPr>
      </w:pPr>
      <w:r>
        <w:rPr>
          <w:rFonts w:hint="eastAsia" w:ascii="宋体" w:hAnsi="宋体" w:cs="宋体"/>
          <w:sz w:val="24"/>
          <w:szCs w:val="24"/>
        </w:rPr>
        <w:t>22.4 磋商小组成员应当履行下列义务： </w:t>
      </w:r>
    </w:p>
    <w:p>
      <w:pPr>
        <w:spacing w:line="348" w:lineRule="auto"/>
        <w:ind w:firstLine="484" w:firstLineChars="200"/>
        <w:rPr>
          <w:rFonts w:ascii="宋体" w:hAnsi="宋体" w:cs="宋体"/>
          <w:sz w:val="24"/>
          <w:szCs w:val="24"/>
        </w:rPr>
      </w:pPr>
      <w:r>
        <w:rPr>
          <w:rFonts w:hint="eastAsia" w:ascii="宋体" w:hAnsi="宋体" w:cs="宋体"/>
          <w:sz w:val="24"/>
          <w:szCs w:val="24"/>
        </w:rPr>
        <w:t>22.4.1 遵纪守法，客观、公正、廉洁地履行职责；</w:t>
      </w:r>
    </w:p>
    <w:p>
      <w:pPr>
        <w:spacing w:line="348" w:lineRule="auto"/>
        <w:ind w:firstLine="484" w:firstLineChars="200"/>
        <w:rPr>
          <w:rFonts w:ascii="宋体" w:hAnsi="宋体" w:cs="宋体"/>
          <w:sz w:val="24"/>
          <w:szCs w:val="24"/>
        </w:rPr>
      </w:pPr>
      <w:r>
        <w:rPr>
          <w:rFonts w:hint="eastAsia" w:ascii="宋体" w:hAnsi="宋体" w:cs="宋体"/>
          <w:sz w:val="24"/>
          <w:szCs w:val="24"/>
        </w:rPr>
        <w:t>22.4.2 按照竞争性磋商文件规定的评标方法和评标标准进行评标，对评审意见承担个人责任；</w:t>
      </w:r>
    </w:p>
    <w:p>
      <w:pPr>
        <w:spacing w:line="348" w:lineRule="auto"/>
        <w:ind w:firstLine="484" w:firstLineChars="200"/>
        <w:rPr>
          <w:rFonts w:ascii="宋体" w:hAnsi="宋体" w:cs="宋体"/>
          <w:sz w:val="24"/>
          <w:szCs w:val="24"/>
        </w:rPr>
      </w:pPr>
      <w:r>
        <w:rPr>
          <w:rFonts w:hint="eastAsia" w:ascii="宋体" w:hAnsi="宋体" w:cs="宋体"/>
          <w:sz w:val="24"/>
          <w:szCs w:val="24"/>
        </w:rPr>
        <w:t>22.4.3 对评标过程和结果，以及供应商的商业秘密保密；</w:t>
      </w:r>
    </w:p>
    <w:p>
      <w:pPr>
        <w:spacing w:line="348" w:lineRule="auto"/>
        <w:ind w:firstLine="484" w:firstLineChars="200"/>
        <w:rPr>
          <w:rFonts w:ascii="宋体" w:hAnsi="宋体" w:cs="宋体"/>
          <w:sz w:val="24"/>
          <w:szCs w:val="24"/>
        </w:rPr>
      </w:pPr>
      <w:r>
        <w:rPr>
          <w:rFonts w:hint="eastAsia" w:ascii="宋体" w:hAnsi="宋体" w:cs="宋体"/>
          <w:sz w:val="24"/>
          <w:szCs w:val="24"/>
        </w:rPr>
        <w:t>22.4.4 参与评标报告的起草；</w:t>
      </w:r>
    </w:p>
    <w:p>
      <w:pPr>
        <w:spacing w:line="348" w:lineRule="auto"/>
        <w:ind w:firstLine="484" w:firstLineChars="200"/>
        <w:rPr>
          <w:rFonts w:ascii="宋体" w:hAnsi="宋体" w:cs="宋体"/>
          <w:sz w:val="24"/>
          <w:szCs w:val="24"/>
        </w:rPr>
      </w:pPr>
      <w:r>
        <w:rPr>
          <w:rFonts w:hint="eastAsia" w:ascii="宋体" w:hAnsi="宋体" w:cs="宋体"/>
          <w:sz w:val="24"/>
          <w:szCs w:val="24"/>
        </w:rPr>
        <w:t>22.4.5 配合财政部门的投诉处理工作；</w:t>
      </w:r>
    </w:p>
    <w:p>
      <w:pPr>
        <w:spacing w:line="348" w:lineRule="auto"/>
        <w:ind w:firstLine="484" w:firstLineChars="200"/>
        <w:rPr>
          <w:rFonts w:ascii="宋体" w:hAnsi="宋体" w:cs="宋体"/>
          <w:sz w:val="24"/>
          <w:szCs w:val="24"/>
        </w:rPr>
      </w:pPr>
      <w:r>
        <w:rPr>
          <w:rFonts w:hint="eastAsia" w:ascii="宋体" w:hAnsi="宋体" w:cs="宋体"/>
          <w:sz w:val="24"/>
          <w:szCs w:val="24"/>
        </w:rPr>
        <w:t>22.4.6 配合采购人答复投标供应商提出的质疑。</w:t>
      </w:r>
    </w:p>
    <w:p>
      <w:pPr>
        <w:spacing w:line="360" w:lineRule="auto"/>
        <w:rPr>
          <w:rFonts w:ascii="宋体" w:hAnsi="宋体" w:cs="宋体"/>
          <w:b/>
          <w:bCs/>
          <w:sz w:val="24"/>
          <w:szCs w:val="24"/>
        </w:rPr>
      </w:pPr>
      <w:r>
        <w:rPr>
          <w:rFonts w:hint="eastAsia" w:ascii="宋体" w:hAnsi="宋体" w:cs="宋体"/>
          <w:b/>
          <w:bCs/>
          <w:sz w:val="24"/>
          <w:szCs w:val="24"/>
        </w:rPr>
        <w:t>23  评标原则</w:t>
      </w:r>
    </w:p>
    <w:p>
      <w:pPr>
        <w:spacing w:line="360" w:lineRule="auto"/>
        <w:ind w:firstLine="484" w:firstLineChars="200"/>
        <w:rPr>
          <w:rFonts w:ascii="宋体" w:hAnsi="宋体" w:cs="宋体"/>
          <w:sz w:val="24"/>
          <w:szCs w:val="24"/>
        </w:rPr>
      </w:pPr>
      <w:r>
        <w:rPr>
          <w:rFonts w:hint="eastAsia" w:ascii="宋体" w:hAnsi="宋体" w:cs="宋体"/>
          <w:sz w:val="24"/>
          <w:szCs w:val="24"/>
        </w:rPr>
        <w:t>23.1 评审专家应当严格遵守评审工作纪律，按照客观、公正、审慎的原则，根据磋商文件规定的评审程序、评审方法和评审标准进行独立评审。未实质性响应磋商文件的响应文件按无效响应处理，评审专家应当告知提交响应文件的供应商。磋商文件内容违反国家有关强制性规定的，磋商小组应当停止评审并向采购人或者采购代理机构说明情况。</w:t>
      </w:r>
    </w:p>
    <w:p>
      <w:pPr>
        <w:spacing w:line="360" w:lineRule="auto"/>
        <w:ind w:firstLine="484" w:firstLineChars="200"/>
        <w:rPr>
          <w:rFonts w:ascii="宋体" w:hAnsi="宋体" w:cs="宋体"/>
          <w:sz w:val="24"/>
          <w:szCs w:val="24"/>
        </w:rPr>
      </w:pPr>
      <w:r>
        <w:rPr>
          <w:rFonts w:hint="eastAsia" w:ascii="宋体" w:hAnsi="宋体" w:cs="宋体"/>
          <w:sz w:val="24"/>
          <w:szCs w:val="24"/>
        </w:rPr>
        <w:t>23.2 评审专家应当在评审报告上签字,对自己的评审意见承担法律责任。对需要共同认定的事项存在争议的,按照少数服从多数的原则做出结论。对评审报告有异议的,应当在评审报告上签署不同意见并说明理由,否则视为同意评审报告。</w:t>
      </w:r>
    </w:p>
    <w:p>
      <w:pPr>
        <w:pStyle w:val="47"/>
        <w:spacing w:line="360" w:lineRule="auto"/>
        <w:jc w:val="both"/>
        <w:rPr>
          <w:rFonts w:ascii="宋体" w:hAnsi="宋体" w:cs="宋体"/>
          <w:b/>
          <w:color w:val="auto"/>
        </w:rPr>
      </w:pPr>
      <w:r>
        <w:rPr>
          <w:rFonts w:hint="eastAsia" w:ascii="宋体" w:hAnsi="宋体" w:cs="宋体"/>
          <w:b/>
          <w:color w:val="auto"/>
        </w:rPr>
        <w:t xml:space="preserve">24 详细评审 </w:t>
      </w:r>
    </w:p>
    <w:p>
      <w:pPr>
        <w:tabs>
          <w:tab w:val="left" w:pos="567"/>
        </w:tabs>
        <w:snapToGrid w:val="0"/>
        <w:spacing w:line="348" w:lineRule="auto"/>
        <w:ind w:firstLine="484" w:firstLineChars="200"/>
        <w:rPr>
          <w:rFonts w:ascii="宋体" w:hAnsi="宋体" w:cs="宋体"/>
          <w:b/>
          <w:sz w:val="24"/>
          <w:szCs w:val="24"/>
        </w:rPr>
      </w:pPr>
      <w:r>
        <w:rPr>
          <w:rFonts w:hint="eastAsia" w:ascii="宋体" w:hAnsi="宋体" w:cs="宋体"/>
          <w:b/>
          <w:sz w:val="24"/>
          <w:szCs w:val="24"/>
        </w:rPr>
        <w:t>24.1 首次报价</w:t>
      </w:r>
    </w:p>
    <w:p>
      <w:pPr>
        <w:tabs>
          <w:tab w:val="left" w:pos="567"/>
        </w:tabs>
        <w:snapToGrid w:val="0"/>
        <w:spacing w:line="348" w:lineRule="auto"/>
        <w:ind w:firstLine="484" w:firstLineChars="200"/>
        <w:rPr>
          <w:rFonts w:ascii="宋体" w:hAnsi="宋体" w:cs="宋体"/>
          <w:sz w:val="24"/>
          <w:szCs w:val="24"/>
        </w:rPr>
      </w:pPr>
      <w:r>
        <w:rPr>
          <w:rFonts w:hint="eastAsia" w:ascii="宋体" w:hAnsi="宋体" w:cs="宋体"/>
          <w:sz w:val="24"/>
          <w:szCs w:val="24"/>
        </w:rPr>
        <w:t>供应商的首次报价于提交首次响应文件截止时间开启，本环节由采购代理机构主持，采购人、供应商和有关方面代表参加。唱价过程由采购代理机构指定专人负责记录，并存档。</w:t>
      </w:r>
    </w:p>
    <w:p>
      <w:pPr>
        <w:tabs>
          <w:tab w:val="left" w:pos="567"/>
        </w:tabs>
        <w:snapToGrid w:val="0"/>
        <w:spacing w:line="348" w:lineRule="auto"/>
        <w:ind w:firstLine="484" w:firstLineChars="200"/>
        <w:rPr>
          <w:rFonts w:ascii="宋体" w:hAnsi="宋体" w:cs="宋体"/>
          <w:b/>
          <w:sz w:val="24"/>
          <w:szCs w:val="24"/>
        </w:rPr>
      </w:pPr>
      <w:r>
        <w:rPr>
          <w:rFonts w:hint="eastAsia" w:ascii="宋体" w:hAnsi="宋体" w:cs="宋体"/>
          <w:b/>
          <w:sz w:val="24"/>
          <w:szCs w:val="24"/>
        </w:rPr>
        <w:t>24.2 评审方法：综合评分法。</w:t>
      </w:r>
    </w:p>
    <w:p>
      <w:pPr>
        <w:tabs>
          <w:tab w:val="left" w:pos="567"/>
        </w:tabs>
        <w:snapToGrid w:val="0"/>
        <w:spacing w:line="348" w:lineRule="auto"/>
        <w:ind w:firstLine="484" w:firstLineChars="200"/>
        <w:rPr>
          <w:rFonts w:ascii="宋体" w:hAnsi="宋体" w:cs="宋体"/>
          <w:sz w:val="24"/>
          <w:szCs w:val="24"/>
          <w:lang w:eastAsia="zh-TW"/>
        </w:rPr>
      </w:pPr>
      <w:r>
        <w:rPr>
          <w:rFonts w:hint="eastAsia" w:ascii="宋体" w:hAnsi="宋体" w:cs="宋体"/>
          <w:b/>
          <w:sz w:val="24"/>
          <w:szCs w:val="24"/>
        </w:rPr>
        <w:t>24.3 评审程序</w:t>
      </w:r>
    </w:p>
    <w:p>
      <w:pPr>
        <w:tabs>
          <w:tab w:val="left" w:pos="567"/>
        </w:tabs>
        <w:snapToGrid w:val="0"/>
        <w:spacing w:line="348" w:lineRule="auto"/>
        <w:ind w:firstLine="484" w:firstLineChars="200"/>
        <w:rPr>
          <w:rFonts w:ascii="宋体" w:hAnsi="宋体" w:cs="宋体"/>
          <w:bCs/>
          <w:sz w:val="24"/>
          <w:szCs w:val="24"/>
        </w:rPr>
      </w:pPr>
      <w:r>
        <w:rPr>
          <w:rFonts w:hint="eastAsia" w:ascii="宋体" w:hAnsi="宋体" w:cs="宋体"/>
          <w:bCs/>
          <w:sz w:val="24"/>
          <w:szCs w:val="24"/>
        </w:rPr>
        <w:t>24.3.1 磋商小组确认磋商文件</w:t>
      </w:r>
    </w:p>
    <w:p>
      <w:pPr>
        <w:tabs>
          <w:tab w:val="left" w:pos="567"/>
        </w:tabs>
        <w:snapToGrid w:val="0"/>
        <w:spacing w:line="348" w:lineRule="auto"/>
        <w:ind w:firstLine="484" w:firstLineChars="200"/>
        <w:rPr>
          <w:rFonts w:ascii="宋体" w:hAnsi="宋体" w:cs="宋体"/>
          <w:bCs/>
          <w:sz w:val="24"/>
          <w:szCs w:val="24"/>
        </w:rPr>
      </w:pPr>
      <w:r>
        <w:rPr>
          <w:rFonts w:hint="eastAsia" w:ascii="宋体" w:hAnsi="宋体" w:cs="宋体"/>
          <w:bCs/>
          <w:sz w:val="24"/>
          <w:szCs w:val="24"/>
        </w:rPr>
        <w:t>24.3.2 资格性审查</w:t>
      </w:r>
    </w:p>
    <w:p>
      <w:pPr>
        <w:tabs>
          <w:tab w:val="left" w:pos="567"/>
        </w:tabs>
        <w:snapToGrid w:val="0"/>
        <w:spacing w:line="348" w:lineRule="auto"/>
        <w:ind w:firstLine="484" w:firstLineChars="200"/>
        <w:rPr>
          <w:rFonts w:ascii="宋体" w:hAnsi="宋体" w:cs="宋体"/>
          <w:bCs/>
          <w:sz w:val="24"/>
          <w:szCs w:val="24"/>
        </w:rPr>
      </w:pPr>
      <w:r>
        <w:rPr>
          <w:rFonts w:hint="eastAsia" w:ascii="宋体" w:hAnsi="宋体" w:cs="宋体"/>
          <w:bCs/>
          <w:color w:val="0000FF"/>
          <w:sz w:val="24"/>
          <w:szCs w:val="24"/>
          <w:lang w:val="en-US" w:eastAsia="zh-CN"/>
        </w:rPr>
        <w:t>资格审查</w:t>
      </w:r>
      <w:r>
        <w:rPr>
          <w:rFonts w:hint="eastAsia" w:ascii="宋体" w:hAnsi="宋体" w:cs="宋体"/>
          <w:bCs/>
          <w:sz w:val="24"/>
          <w:szCs w:val="24"/>
        </w:rPr>
        <w:t>小组对每个供应商的响应文件进行资格性审查。资格性审查是审查响应文件是否对磋商文件的资格及实质性条款作出响应。对资格性审查不通过的供应商，其响应文件作无效处理。</w:t>
      </w:r>
    </w:p>
    <w:p>
      <w:pPr>
        <w:tabs>
          <w:tab w:val="left" w:pos="567"/>
        </w:tabs>
        <w:snapToGrid w:val="0"/>
        <w:spacing w:line="348" w:lineRule="auto"/>
        <w:ind w:firstLine="484" w:firstLineChars="200"/>
        <w:rPr>
          <w:rFonts w:ascii="宋体" w:hAnsi="宋体" w:cs="宋体"/>
          <w:bCs/>
          <w:sz w:val="24"/>
          <w:szCs w:val="24"/>
        </w:rPr>
      </w:pPr>
      <w:r>
        <w:rPr>
          <w:rFonts w:hint="eastAsia" w:ascii="宋体" w:hAnsi="宋体" w:cs="宋体"/>
          <w:bCs/>
          <w:sz w:val="24"/>
          <w:szCs w:val="24"/>
        </w:rPr>
        <w:t>24.3.3符合性审查</w:t>
      </w:r>
    </w:p>
    <w:p>
      <w:pPr>
        <w:snapToGrid w:val="0"/>
        <w:spacing w:line="348" w:lineRule="auto"/>
        <w:ind w:firstLine="484" w:firstLineChars="200"/>
        <w:rPr>
          <w:rFonts w:ascii="宋体" w:hAnsi="宋体" w:cs="宋体"/>
          <w:bCs/>
          <w:sz w:val="24"/>
          <w:szCs w:val="24"/>
        </w:rPr>
      </w:pPr>
      <w:r>
        <w:rPr>
          <w:rFonts w:hint="eastAsia" w:ascii="宋体" w:hAnsi="宋体" w:cs="宋体"/>
          <w:bCs/>
          <w:sz w:val="24"/>
          <w:szCs w:val="24"/>
        </w:rPr>
        <w:t>磋商小组对每个供应商的响应文件进行符合性审查。符合性审查是审查响应文件是否对磋商文件的符合及实质性条款作出响应。对符合性审查不通过的供应商，其响应文件作无效处理。</w:t>
      </w:r>
    </w:p>
    <w:p>
      <w:pPr>
        <w:tabs>
          <w:tab w:val="left" w:pos="567"/>
        </w:tabs>
        <w:snapToGrid w:val="0"/>
        <w:spacing w:line="348" w:lineRule="auto"/>
        <w:ind w:firstLine="484" w:firstLineChars="200"/>
        <w:rPr>
          <w:rFonts w:ascii="宋体" w:hAnsi="宋体" w:cs="宋体"/>
          <w:b/>
          <w:sz w:val="24"/>
          <w:szCs w:val="24"/>
        </w:rPr>
      </w:pPr>
      <w:r>
        <w:rPr>
          <w:rFonts w:hint="eastAsia" w:ascii="宋体" w:hAnsi="宋体" w:cs="宋体"/>
          <w:b/>
          <w:sz w:val="24"/>
          <w:szCs w:val="24"/>
        </w:rPr>
        <w:t>24.4 磋商</w:t>
      </w:r>
    </w:p>
    <w:p>
      <w:pPr>
        <w:snapToGrid w:val="0"/>
        <w:spacing w:line="348" w:lineRule="auto"/>
        <w:ind w:firstLine="484" w:firstLineChars="200"/>
        <w:rPr>
          <w:rFonts w:ascii="宋体" w:hAnsi="宋体" w:cs="宋体"/>
          <w:sz w:val="24"/>
          <w:szCs w:val="24"/>
        </w:rPr>
      </w:pPr>
      <w:r>
        <w:rPr>
          <w:rFonts w:hint="eastAsia" w:ascii="宋体" w:hAnsi="宋体" w:cs="宋体"/>
          <w:sz w:val="24"/>
          <w:szCs w:val="24"/>
        </w:rPr>
        <w:t>24.4.1 磋商小组与每个供应商分别进行磋商，本次磋商采用一轮磋商，两次报价形式进行。</w:t>
      </w:r>
    </w:p>
    <w:p>
      <w:pPr>
        <w:snapToGrid w:val="0"/>
        <w:spacing w:line="348" w:lineRule="auto"/>
        <w:ind w:firstLine="484" w:firstLineChars="200"/>
        <w:rPr>
          <w:rFonts w:ascii="宋体" w:hAnsi="宋体" w:cs="宋体"/>
          <w:bCs/>
          <w:sz w:val="24"/>
          <w:szCs w:val="24"/>
        </w:rPr>
      </w:pPr>
      <w:r>
        <w:rPr>
          <w:rFonts w:hint="eastAsia" w:ascii="宋体" w:hAnsi="宋体" w:cs="宋体"/>
          <w:bCs/>
          <w:sz w:val="24"/>
          <w:szCs w:val="24"/>
        </w:rPr>
        <w:t>24.4.2 磋商文件未发生实质性变动的：</w:t>
      </w:r>
    </w:p>
    <w:p>
      <w:pPr>
        <w:snapToGrid w:val="0"/>
        <w:spacing w:line="348" w:lineRule="auto"/>
        <w:ind w:firstLine="484" w:firstLineChars="200"/>
        <w:rPr>
          <w:rFonts w:ascii="宋体" w:hAnsi="宋体" w:cs="宋体"/>
          <w:bCs/>
          <w:sz w:val="24"/>
          <w:szCs w:val="24"/>
        </w:rPr>
      </w:pPr>
      <w:r>
        <w:rPr>
          <w:rFonts w:hint="eastAsia" w:ascii="宋体" w:hAnsi="宋体" w:cs="宋体"/>
          <w:bCs/>
          <w:sz w:val="24"/>
          <w:szCs w:val="24"/>
        </w:rPr>
        <w:t>磋商小组没有对磋商文件作实质性变动增加新的需求，后一轮报价不得高于前一轮报价，否则将按响应无效处理。</w:t>
      </w:r>
    </w:p>
    <w:p>
      <w:pPr>
        <w:snapToGrid w:val="0"/>
        <w:spacing w:line="348" w:lineRule="auto"/>
        <w:ind w:firstLine="484" w:firstLineChars="200"/>
        <w:rPr>
          <w:rFonts w:ascii="宋体" w:hAnsi="宋体" w:cs="宋体"/>
          <w:bCs/>
          <w:sz w:val="24"/>
          <w:szCs w:val="24"/>
        </w:rPr>
      </w:pPr>
      <w:r>
        <w:rPr>
          <w:rFonts w:hint="eastAsia" w:ascii="宋体" w:hAnsi="宋体" w:cs="宋体"/>
          <w:bCs/>
          <w:sz w:val="24"/>
          <w:szCs w:val="24"/>
        </w:rPr>
        <w:t>24.4.3 磋商文件发生实质性变动的：</w:t>
      </w:r>
    </w:p>
    <w:p>
      <w:pPr>
        <w:snapToGrid w:val="0"/>
        <w:spacing w:line="348" w:lineRule="auto"/>
        <w:ind w:firstLine="484" w:firstLineChars="200"/>
        <w:rPr>
          <w:rFonts w:ascii="宋体" w:hAnsi="宋体" w:cs="宋体"/>
          <w:bCs/>
          <w:sz w:val="24"/>
          <w:szCs w:val="24"/>
        </w:rPr>
      </w:pPr>
      <w:r>
        <w:rPr>
          <w:rFonts w:hint="eastAsia" w:ascii="宋体" w:hAnsi="宋体" w:cs="宋体"/>
          <w:bCs/>
          <w:sz w:val="24"/>
          <w:szCs w:val="24"/>
        </w:rPr>
        <w:t>（1）书面通知变更内容</w:t>
      </w:r>
    </w:p>
    <w:p>
      <w:pPr>
        <w:snapToGrid w:val="0"/>
        <w:spacing w:line="348" w:lineRule="auto"/>
        <w:ind w:firstLine="484" w:firstLineChars="200"/>
        <w:rPr>
          <w:rFonts w:ascii="宋体" w:hAnsi="宋体" w:cs="宋体"/>
          <w:bCs/>
          <w:sz w:val="24"/>
          <w:szCs w:val="24"/>
        </w:rPr>
      </w:pPr>
      <w:r>
        <w:rPr>
          <w:rFonts w:hint="eastAsia" w:ascii="宋体" w:hAnsi="宋体" w:cs="宋体"/>
          <w:bCs/>
          <w:sz w:val="24"/>
          <w:szCs w:val="24"/>
        </w:rPr>
        <w:t>在磋商过程中，磋商小组可以根据磋商文件和磋商情况实质性变动采购需求中的技术、服务要求以及合同草案条款，但不得变动磋商文件中的其他内容。实质性变动的内容，须经采购人代表确认。实质性变动的内容，经采购人代表确认后，由磋商小组在政采云平台在线询标（谈判）--新增询标函方式通知所有供应商。对磋商文件作出的实质性变动是磋商文件的有效组成部分。</w:t>
      </w:r>
    </w:p>
    <w:p>
      <w:pPr>
        <w:snapToGrid w:val="0"/>
        <w:spacing w:line="348" w:lineRule="auto"/>
        <w:ind w:firstLine="484" w:firstLineChars="200"/>
        <w:rPr>
          <w:rFonts w:ascii="宋体" w:hAnsi="宋体" w:cs="宋体"/>
          <w:bCs/>
          <w:sz w:val="24"/>
          <w:szCs w:val="24"/>
        </w:rPr>
      </w:pPr>
      <w:r>
        <w:rPr>
          <w:rFonts w:hint="eastAsia" w:ascii="宋体" w:hAnsi="宋体" w:cs="宋体"/>
          <w:bCs/>
          <w:sz w:val="24"/>
          <w:szCs w:val="24"/>
        </w:rPr>
        <w:t>（2）磋商</w:t>
      </w:r>
    </w:p>
    <w:p>
      <w:pPr>
        <w:snapToGrid w:val="0"/>
        <w:spacing w:line="348" w:lineRule="auto"/>
        <w:ind w:firstLine="484" w:firstLineChars="200"/>
        <w:rPr>
          <w:rFonts w:ascii="宋体" w:hAnsi="宋体" w:cs="宋体"/>
          <w:bCs/>
          <w:sz w:val="24"/>
          <w:szCs w:val="24"/>
        </w:rPr>
      </w:pPr>
      <w:r>
        <w:rPr>
          <w:rFonts w:hint="eastAsia" w:ascii="宋体" w:hAnsi="宋体" w:cs="宋体"/>
          <w:bCs/>
          <w:sz w:val="24"/>
          <w:szCs w:val="24"/>
        </w:rPr>
        <w:t>磋商小组集中与接受磋商文件变更的每个供应商分别进行询标。磋商的内容主要是对响应文件的澄清、修正、补充、确认等。不接受磋商文件变更的供应商，视为自动退出磋商，其响应文件作无效处理。</w:t>
      </w:r>
    </w:p>
    <w:p>
      <w:pPr>
        <w:snapToGrid w:val="0"/>
        <w:spacing w:line="348" w:lineRule="auto"/>
        <w:ind w:firstLine="484" w:firstLineChars="200"/>
        <w:rPr>
          <w:rFonts w:ascii="宋体" w:hAnsi="宋体" w:cs="宋体"/>
          <w:bCs/>
          <w:sz w:val="24"/>
          <w:szCs w:val="24"/>
        </w:rPr>
      </w:pPr>
      <w:r>
        <w:rPr>
          <w:rFonts w:hint="eastAsia" w:ascii="宋体" w:hAnsi="宋体" w:cs="宋体"/>
          <w:bCs/>
          <w:sz w:val="24"/>
          <w:szCs w:val="24"/>
        </w:rPr>
        <w:t>（3）重新提交响应文件（含报价）</w:t>
      </w:r>
    </w:p>
    <w:p>
      <w:pPr>
        <w:snapToGrid w:val="0"/>
        <w:spacing w:line="348" w:lineRule="auto"/>
        <w:ind w:firstLine="484" w:firstLineChars="200"/>
        <w:rPr>
          <w:rFonts w:ascii="宋体" w:hAnsi="宋体" w:cs="宋体"/>
          <w:bCs/>
          <w:sz w:val="24"/>
          <w:szCs w:val="24"/>
        </w:rPr>
      </w:pPr>
      <w:r>
        <w:rPr>
          <w:rFonts w:hint="eastAsia" w:ascii="宋体" w:hAnsi="宋体" w:cs="宋体"/>
          <w:bCs/>
          <w:sz w:val="24"/>
          <w:szCs w:val="24"/>
        </w:rPr>
        <w:t>供应商应当按照磋商文件的变动情况和磋商小组的要求重新提交响应文件（指磋商结束后，在规定时间内填写《询标函》，在该文件上注明最后报价及有关承诺，并提交）。最终报价时间视磋商进程由磋商小组决定。《询标函》是响应文件的有效组成部分，须由供应商签章。</w:t>
      </w:r>
    </w:p>
    <w:p>
      <w:pPr>
        <w:snapToGrid w:val="0"/>
        <w:spacing w:line="348" w:lineRule="auto"/>
        <w:ind w:firstLine="484" w:firstLineChars="200"/>
        <w:rPr>
          <w:rFonts w:ascii="宋体" w:hAnsi="宋体" w:cs="宋体"/>
          <w:bCs/>
          <w:sz w:val="24"/>
          <w:szCs w:val="24"/>
        </w:rPr>
      </w:pPr>
      <w:r>
        <w:rPr>
          <w:rFonts w:hint="eastAsia" w:ascii="宋体" w:hAnsi="宋体" w:cs="宋体"/>
          <w:bCs/>
          <w:sz w:val="24"/>
          <w:szCs w:val="24"/>
        </w:rPr>
        <w:t>若供应商未按《询标函》的要求对相关问题进行响应的，视为非实质性响应磋商文件。</w:t>
      </w:r>
    </w:p>
    <w:p>
      <w:pPr>
        <w:snapToGrid w:val="0"/>
        <w:spacing w:line="348" w:lineRule="auto"/>
        <w:ind w:firstLine="484" w:firstLineChars="200"/>
        <w:rPr>
          <w:rFonts w:ascii="宋体" w:hAnsi="宋体" w:cs="宋体"/>
          <w:bCs/>
          <w:sz w:val="24"/>
          <w:szCs w:val="24"/>
        </w:rPr>
      </w:pPr>
      <w:r>
        <w:rPr>
          <w:rFonts w:hint="eastAsia" w:ascii="宋体" w:hAnsi="宋体" w:cs="宋体"/>
          <w:bCs/>
          <w:sz w:val="24"/>
          <w:szCs w:val="24"/>
        </w:rPr>
        <w:t>除非在磋商中磋商小组调整或修改采购需求内容，否则采购人不接受高于前面轮次磋商报价的最终报价。</w:t>
      </w:r>
    </w:p>
    <w:p>
      <w:pPr>
        <w:snapToGrid w:val="0"/>
        <w:spacing w:line="348" w:lineRule="auto"/>
        <w:ind w:firstLine="484" w:firstLineChars="200"/>
        <w:rPr>
          <w:rFonts w:ascii="宋体" w:hAnsi="宋体" w:cs="宋体"/>
          <w:bCs/>
          <w:sz w:val="24"/>
          <w:szCs w:val="24"/>
        </w:rPr>
      </w:pPr>
      <w:r>
        <w:rPr>
          <w:rFonts w:hint="eastAsia" w:ascii="宋体" w:hAnsi="宋体" w:cs="宋体"/>
          <w:bCs/>
          <w:sz w:val="24"/>
          <w:szCs w:val="24"/>
        </w:rPr>
        <w:t>24.4.4 综合评分法评审步骤</w:t>
      </w:r>
    </w:p>
    <w:p>
      <w:pPr>
        <w:snapToGrid w:val="0"/>
        <w:spacing w:line="348" w:lineRule="auto"/>
        <w:ind w:firstLine="484" w:firstLineChars="200"/>
        <w:rPr>
          <w:rFonts w:ascii="宋体" w:hAnsi="宋体" w:cs="宋体"/>
          <w:sz w:val="24"/>
          <w:szCs w:val="24"/>
        </w:rPr>
      </w:pPr>
      <w:r>
        <w:rPr>
          <w:rFonts w:hint="eastAsia" w:ascii="宋体" w:hAnsi="宋体" w:cs="宋体"/>
          <w:bCs/>
          <w:sz w:val="24"/>
          <w:szCs w:val="24"/>
        </w:rPr>
        <w:t>经磋商确定最终采购需求和提交最后</w:t>
      </w:r>
      <w:r>
        <w:rPr>
          <w:rFonts w:hint="eastAsia" w:ascii="宋体" w:hAnsi="宋体" w:cs="宋体"/>
          <w:sz w:val="24"/>
          <w:szCs w:val="24"/>
        </w:rPr>
        <w:t>报价的供应商后，由磋商小组采用综合评分法对提交最后报价的供应商的响应文件和最后报价进行综合评分。</w:t>
      </w:r>
      <w:r>
        <w:rPr>
          <w:rFonts w:hint="eastAsia" w:ascii="宋体" w:hAnsi="宋体" w:cs="宋体"/>
          <w:b/>
          <w:sz w:val="24"/>
          <w:szCs w:val="24"/>
        </w:rPr>
        <w:t>先进行资格、符合性审查，再进行技术、商务及价格的详细评审。</w:t>
      </w:r>
      <w:r>
        <w:rPr>
          <w:rFonts w:hint="eastAsia" w:ascii="宋体" w:hAnsi="宋体" w:cs="宋体"/>
          <w:sz w:val="24"/>
          <w:szCs w:val="24"/>
        </w:rPr>
        <w:t>只有通过资格、符合性审查的供应商才能进入下一步的详细评审。</w:t>
      </w:r>
    </w:p>
    <w:p>
      <w:pPr>
        <w:numPr>
          <w:ilvl w:val="1"/>
          <w:numId w:val="12"/>
        </w:numPr>
        <w:spacing w:line="348" w:lineRule="auto"/>
        <w:ind w:left="0" w:firstLine="484" w:firstLineChars="200"/>
        <w:rPr>
          <w:rFonts w:ascii="宋体" w:hAnsi="宋体" w:cs="宋体"/>
          <w:sz w:val="24"/>
          <w:szCs w:val="24"/>
        </w:rPr>
      </w:pPr>
      <w:r>
        <w:rPr>
          <w:rFonts w:hint="eastAsia" w:ascii="宋体" w:hAnsi="宋体" w:cs="宋体"/>
          <w:sz w:val="24"/>
          <w:szCs w:val="24"/>
        </w:rPr>
        <w:t>资格性审查表（详见附表一）</w:t>
      </w:r>
    </w:p>
    <w:p>
      <w:pPr>
        <w:numPr>
          <w:ilvl w:val="1"/>
          <w:numId w:val="12"/>
        </w:numPr>
        <w:spacing w:line="348" w:lineRule="auto"/>
        <w:ind w:left="0" w:firstLine="484" w:firstLineChars="200"/>
        <w:rPr>
          <w:rFonts w:ascii="宋体" w:hAnsi="宋体" w:cs="宋体"/>
          <w:sz w:val="24"/>
          <w:szCs w:val="24"/>
        </w:rPr>
      </w:pPr>
      <w:r>
        <w:rPr>
          <w:rFonts w:hint="eastAsia" w:ascii="宋体" w:hAnsi="宋体" w:cs="宋体"/>
          <w:sz w:val="24"/>
          <w:szCs w:val="24"/>
        </w:rPr>
        <w:t>符合性审查表（详见附表二）</w:t>
      </w:r>
    </w:p>
    <w:p>
      <w:pPr>
        <w:numPr>
          <w:ilvl w:val="1"/>
          <w:numId w:val="12"/>
        </w:numPr>
        <w:spacing w:line="348" w:lineRule="auto"/>
        <w:ind w:left="0" w:firstLine="484" w:firstLineChars="200"/>
        <w:rPr>
          <w:rFonts w:ascii="宋体" w:hAnsi="宋体" w:cs="宋体"/>
          <w:sz w:val="24"/>
          <w:szCs w:val="24"/>
        </w:rPr>
      </w:pPr>
      <w:r>
        <w:rPr>
          <w:rFonts w:hint="eastAsia" w:ascii="宋体" w:hAnsi="宋体" w:cs="宋体"/>
          <w:sz w:val="24"/>
          <w:szCs w:val="24"/>
        </w:rPr>
        <w:t>商务、技术评审表（详见附表三）</w:t>
      </w:r>
    </w:p>
    <w:p>
      <w:pPr>
        <w:numPr>
          <w:ilvl w:val="1"/>
          <w:numId w:val="12"/>
        </w:numPr>
        <w:spacing w:line="348" w:lineRule="auto"/>
        <w:ind w:left="0" w:firstLine="484" w:firstLineChars="200"/>
        <w:rPr>
          <w:rFonts w:ascii="宋体" w:hAnsi="宋体" w:cs="宋体"/>
          <w:sz w:val="24"/>
          <w:szCs w:val="24"/>
        </w:rPr>
      </w:pPr>
      <w:r>
        <w:rPr>
          <w:rFonts w:hint="eastAsia" w:ascii="宋体" w:hAnsi="宋体" w:cs="宋体"/>
          <w:sz w:val="24"/>
          <w:szCs w:val="24"/>
        </w:rPr>
        <w:t>价格评审</w:t>
      </w:r>
    </w:p>
    <w:p>
      <w:pPr>
        <w:snapToGrid w:val="0"/>
        <w:spacing w:line="348" w:lineRule="auto"/>
        <w:ind w:firstLine="484" w:firstLineChars="200"/>
        <w:rPr>
          <w:rFonts w:ascii="宋体" w:hAnsi="宋体" w:cs="宋体"/>
          <w:b/>
          <w:sz w:val="24"/>
          <w:szCs w:val="24"/>
        </w:rPr>
      </w:pPr>
      <w:r>
        <w:rPr>
          <w:rFonts w:hint="eastAsia" w:ascii="宋体" w:hAnsi="宋体" w:cs="宋体"/>
          <w:sz w:val="24"/>
          <w:szCs w:val="24"/>
        </w:rPr>
        <w:t>磋商小组按磋商文件中规定的评审方法和标准，对资格、符合性审查合格的响应文件进行商务和技术评估，综合比较与评价。技术、商务、价格部分分值分配如下：</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2777"/>
        <w:gridCol w:w="2042"/>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900" w:type="dxa"/>
            <w:vAlign w:val="center"/>
          </w:tcPr>
          <w:p>
            <w:pPr>
              <w:autoSpaceDE w:val="0"/>
              <w:autoSpaceDN w:val="0"/>
              <w:adjustRightInd w:val="0"/>
              <w:jc w:val="center"/>
              <w:rPr>
                <w:rFonts w:ascii="宋体" w:hAnsi="宋体" w:cs="宋体"/>
                <w:b/>
                <w:kern w:val="0"/>
                <w:sz w:val="24"/>
                <w:szCs w:val="24"/>
              </w:rPr>
            </w:pPr>
            <w:r>
              <w:rPr>
                <w:rFonts w:hint="eastAsia" w:ascii="宋体" w:hAnsi="宋体" w:cs="宋体"/>
                <w:b/>
                <w:kern w:val="0"/>
                <w:sz w:val="24"/>
                <w:szCs w:val="24"/>
              </w:rPr>
              <w:t>评分项目</w:t>
            </w:r>
          </w:p>
        </w:tc>
        <w:tc>
          <w:tcPr>
            <w:tcW w:w="2777" w:type="dxa"/>
            <w:vAlign w:val="center"/>
          </w:tcPr>
          <w:p>
            <w:pPr>
              <w:autoSpaceDE w:val="0"/>
              <w:autoSpaceDN w:val="0"/>
              <w:adjustRightInd w:val="0"/>
              <w:jc w:val="center"/>
              <w:rPr>
                <w:rFonts w:ascii="宋体" w:hAnsi="宋体" w:cs="宋体"/>
                <w:b/>
                <w:kern w:val="0"/>
                <w:sz w:val="24"/>
                <w:szCs w:val="24"/>
              </w:rPr>
            </w:pPr>
            <w:r>
              <w:rPr>
                <w:rFonts w:hint="eastAsia" w:ascii="宋体" w:hAnsi="宋体" w:cs="宋体"/>
                <w:b/>
                <w:kern w:val="0"/>
                <w:sz w:val="24"/>
                <w:szCs w:val="24"/>
              </w:rPr>
              <w:t>商务、技术评分</w:t>
            </w:r>
          </w:p>
        </w:tc>
        <w:tc>
          <w:tcPr>
            <w:tcW w:w="2042" w:type="dxa"/>
            <w:vAlign w:val="center"/>
          </w:tcPr>
          <w:p>
            <w:pPr>
              <w:autoSpaceDE w:val="0"/>
              <w:autoSpaceDN w:val="0"/>
              <w:adjustRightInd w:val="0"/>
              <w:ind w:left="15" w:leftChars="-51" w:hanging="123" w:hangingChars="51"/>
              <w:jc w:val="center"/>
              <w:rPr>
                <w:rFonts w:ascii="宋体" w:hAnsi="宋体" w:cs="宋体"/>
                <w:b/>
                <w:kern w:val="0"/>
                <w:sz w:val="24"/>
                <w:szCs w:val="24"/>
              </w:rPr>
            </w:pPr>
            <w:r>
              <w:rPr>
                <w:rFonts w:hint="eastAsia" w:ascii="宋体" w:hAnsi="宋体" w:cs="宋体"/>
                <w:b/>
                <w:kern w:val="0"/>
                <w:sz w:val="24"/>
                <w:szCs w:val="24"/>
              </w:rPr>
              <w:t>价格评分</w:t>
            </w:r>
          </w:p>
        </w:tc>
        <w:tc>
          <w:tcPr>
            <w:tcW w:w="1766" w:type="dxa"/>
            <w:vAlign w:val="center"/>
          </w:tcPr>
          <w:p>
            <w:pPr>
              <w:jc w:val="center"/>
              <w:rPr>
                <w:rFonts w:ascii="宋体" w:hAnsi="宋体" w:cs="宋体"/>
                <w:b/>
                <w:sz w:val="24"/>
                <w:szCs w:val="24"/>
              </w:rPr>
            </w:pPr>
            <w:r>
              <w:rPr>
                <w:rFonts w:hint="eastAsia" w:ascii="宋体" w:hAnsi="宋体" w:cs="宋体"/>
                <w:b/>
                <w:sz w:val="24"/>
                <w:szCs w:val="24"/>
              </w:rPr>
              <w:t>合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900" w:type="dxa"/>
            <w:vAlign w:val="center"/>
          </w:tcPr>
          <w:p>
            <w:pPr>
              <w:autoSpaceDE w:val="0"/>
              <w:autoSpaceDN w:val="0"/>
              <w:adjustRightInd w:val="0"/>
              <w:jc w:val="center"/>
              <w:rPr>
                <w:rFonts w:ascii="宋体" w:hAnsi="宋体" w:cs="宋体"/>
                <w:b/>
                <w:kern w:val="0"/>
                <w:sz w:val="24"/>
                <w:szCs w:val="24"/>
              </w:rPr>
            </w:pPr>
            <w:r>
              <w:rPr>
                <w:rFonts w:hint="eastAsia" w:ascii="宋体" w:hAnsi="宋体" w:cs="宋体"/>
                <w:b/>
                <w:kern w:val="0"/>
                <w:sz w:val="24"/>
                <w:szCs w:val="24"/>
              </w:rPr>
              <w:t>分值</w:t>
            </w:r>
          </w:p>
        </w:tc>
        <w:tc>
          <w:tcPr>
            <w:tcW w:w="2777" w:type="dxa"/>
            <w:vAlign w:val="center"/>
          </w:tcPr>
          <w:p>
            <w:pPr>
              <w:autoSpaceDE w:val="0"/>
              <w:autoSpaceDN w:val="0"/>
              <w:adjustRightInd w:val="0"/>
              <w:jc w:val="center"/>
              <w:rPr>
                <w:rFonts w:ascii="宋体" w:hAnsi="宋体" w:cs="宋体"/>
                <w:b/>
                <w:kern w:val="0"/>
                <w:sz w:val="24"/>
                <w:szCs w:val="24"/>
              </w:rPr>
            </w:pPr>
            <w:r>
              <w:rPr>
                <w:rFonts w:hint="eastAsia" w:ascii="宋体" w:hAnsi="宋体" w:cs="宋体"/>
                <w:b/>
                <w:kern w:val="0"/>
                <w:sz w:val="24"/>
                <w:szCs w:val="24"/>
              </w:rPr>
              <w:t>70分</w:t>
            </w:r>
          </w:p>
        </w:tc>
        <w:tc>
          <w:tcPr>
            <w:tcW w:w="2042" w:type="dxa"/>
            <w:vAlign w:val="center"/>
          </w:tcPr>
          <w:p>
            <w:pPr>
              <w:autoSpaceDE w:val="0"/>
              <w:autoSpaceDN w:val="0"/>
              <w:adjustRightInd w:val="0"/>
              <w:jc w:val="center"/>
              <w:rPr>
                <w:rFonts w:ascii="宋体" w:hAnsi="宋体" w:cs="宋体"/>
                <w:b/>
                <w:kern w:val="0"/>
                <w:sz w:val="24"/>
                <w:szCs w:val="24"/>
              </w:rPr>
            </w:pPr>
            <w:r>
              <w:rPr>
                <w:rFonts w:hint="eastAsia" w:ascii="宋体" w:hAnsi="宋体" w:cs="宋体"/>
                <w:b/>
                <w:kern w:val="0"/>
                <w:sz w:val="24"/>
                <w:szCs w:val="24"/>
              </w:rPr>
              <w:t>30分</w:t>
            </w:r>
          </w:p>
        </w:tc>
        <w:tc>
          <w:tcPr>
            <w:tcW w:w="1766" w:type="dxa"/>
            <w:vAlign w:val="center"/>
          </w:tcPr>
          <w:p>
            <w:pPr>
              <w:jc w:val="center"/>
              <w:rPr>
                <w:rFonts w:ascii="宋体" w:hAnsi="宋体" w:cs="宋体"/>
                <w:b/>
                <w:kern w:val="0"/>
                <w:sz w:val="24"/>
                <w:szCs w:val="24"/>
              </w:rPr>
            </w:pPr>
            <w:r>
              <w:rPr>
                <w:rFonts w:hint="eastAsia" w:ascii="宋体" w:hAnsi="宋体" w:cs="宋体"/>
                <w:b/>
                <w:kern w:val="0"/>
                <w:sz w:val="24"/>
                <w:szCs w:val="24"/>
              </w:rPr>
              <w:t>100分</w:t>
            </w:r>
          </w:p>
        </w:tc>
      </w:tr>
    </w:tbl>
    <w:p>
      <w:pPr>
        <w:snapToGrid w:val="0"/>
        <w:spacing w:before="156" w:beforeLines="50" w:line="348" w:lineRule="auto"/>
        <w:jc w:val="left"/>
        <w:rPr>
          <w:rFonts w:ascii="宋体" w:hAnsi="宋体" w:cs="宋体"/>
          <w:sz w:val="24"/>
          <w:szCs w:val="24"/>
        </w:rPr>
      </w:pPr>
      <w:r>
        <w:rPr>
          <w:rFonts w:hint="eastAsia" w:ascii="宋体" w:hAnsi="宋体" w:cs="宋体"/>
          <w:sz w:val="24"/>
          <w:szCs w:val="24"/>
        </w:rPr>
        <w:t>具体打分标准如下：</w:t>
      </w:r>
    </w:p>
    <w:p>
      <w:pPr>
        <w:snapToGrid w:val="0"/>
        <w:spacing w:line="348" w:lineRule="auto"/>
        <w:ind w:firstLine="484" w:firstLineChars="200"/>
        <w:rPr>
          <w:rFonts w:ascii="宋体" w:hAnsi="宋体" w:cs="宋体"/>
          <w:b/>
          <w:sz w:val="24"/>
          <w:szCs w:val="24"/>
        </w:rPr>
      </w:pPr>
      <w:r>
        <w:rPr>
          <w:rFonts w:hint="eastAsia" w:ascii="宋体" w:hAnsi="宋体" w:cs="宋体"/>
          <w:b/>
          <w:sz w:val="24"/>
          <w:szCs w:val="24"/>
        </w:rPr>
        <w:t>（1）</w:t>
      </w:r>
      <w:r>
        <w:rPr>
          <w:rFonts w:hint="eastAsia" w:ascii="宋体" w:hAnsi="宋体" w:cs="宋体"/>
          <w:b/>
          <w:bCs/>
          <w:sz w:val="24"/>
          <w:szCs w:val="24"/>
        </w:rPr>
        <w:t>商务、技术评分</w:t>
      </w:r>
    </w:p>
    <w:p>
      <w:pPr>
        <w:snapToGrid w:val="0"/>
        <w:spacing w:line="348" w:lineRule="auto"/>
        <w:ind w:firstLine="484" w:firstLineChars="200"/>
        <w:rPr>
          <w:rFonts w:ascii="宋体" w:hAnsi="宋体" w:cs="宋体"/>
          <w:sz w:val="24"/>
          <w:szCs w:val="24"/>
        </w:rPr>
      </w:pPr>
      <w:r>
        <w:rPr>
          <w:rFonts w:hint="eastAsia" w:ascii="宋体" w:hAnsi="宋体" w:cs="宋体"/>
          <w:sz w:val="24"/>
          <w:szCs w:val="24"/>
        </w:rPr>
        <w:t>磋商小组分别对各供应商的商务、技术响应文件中的各项内容进行评议比较，详细对比其商务、实施方案等各种因素方面是否满足磋商文件的要求。在商务、技术评审表的相应项各自记名打分。</w:t>
      </w:r>
    </w:p>
    <w:p>
      <w:pPr>
        <w:snapToGrid w:val="0"/>
        <w:spacing w:line="348" w:lineRule="auto"/>
        <w:ind w:firstLine="484" w:firstLineChars="200"/>
        <w:rPr>
          <w:rFonts w:ascii="宋体" w:hAnsi="宋体" w:cs="宋体"/>
          <w:b/>
          <w:sz w:val="24"/>
          <w:szCs w:val="24"/>
        </w:rPr>
      </w:pPr>
      <w:r>
        <w:rPr>
          <w:rFonts w:hint="eastAsia" w:ascii="宋体" w:hAnsi="宋体" w:cs="宋体"/>
          <w:b/>
          <w:sz w:val="24"/>
          <w:szCs w:val="24"/>
        </w:rPr>
        <w:t>（2）商务、技术得分统计</w:t>
      </w:r>
    </w:p>
    <w:p>
      <w:pPr>
        <w:spacing w:line="348" w:lineRule="auto"/>
        <w:ind w:firstLine="484" w:firstLineChars="200"/>
        <w:rPr>
          <w:rFonts w:ascii="宋体" w:hAnsi="宋体" w:cs="宋体"/>
          <w:sz w:val="24"/>
          <w:szCs w:val="24"/>
        </w:rPr>
      </w:pPr>
      <w:r>
        <w:rPr>
          <w:rFonts w:hint="eastAsia" w:ascii="宋体" w:hAnsi="宋体" w:cs="宋体"/>
          <w:sz w:val="24"/>
          <w:szCs w:val="24"/>
        </w:rPr>
        <w:t>将所有磋商小组的商务、技术评分的算术平均值即为每个有效供应商的技术得分（四舍五入后，精确到0.01）。</w:t>
      </w:r>
    </w:p>
    <w:p>
      <w:pPr>
        <w:spacing w:line="348" w:lineRule="auto"/>
        <w:ind w:firstLine="484" w:firstLineChars="200"/>
        <w:rPr>
          <w:rFonts w:ascii="宋体" w:hAnsi="宋体" w:cs="宋体"/>
          <w:sz w:val="24"/>
          <w:szCs w:val="24"/>
        </w:rPr>
      </w:pPr>
      <w:r>
        <w:rPr>
          <w:rFonts w:hint="eastAsia" w:ascii="宋体" w:hAnsi="宋体" w:cs="宋体"/>
          <w:b/>
          <w:sz w:val="24"/>
          <w:szCs w:val="24"/>
        </w:rPr>
        <w:t>（3）价格核准和评分</w:t>
      </w:r>
    </w:p>
    <w:p>
      <w:pPr>
        <w:pStyle w:val="83"/>
        <w:snapToGrid w:val="0"/>
        <w:spacing w:line="348" w:lineRule="auto"/>
        <w:ind w:firstLine="487"/>
        <w:rPr>
          <w:rFonts w:ascii="宋体" w:hAnsi="宋体" w:cs="宋体"/>
          <w:b/>
          <w:sz w:val="24"/>
        </w:rPr>
      </w:pPr>
      <w:r>
        <w:rPr>
          <w:rFonts w:hint="eastAsia" w:ascii="宋体" w:hAnsi="宋体" w:cs="宋体"/>
          <w:b/>
          <w:sz w:val="24"/>
        </w:rPr>
        <w:t>A、价格的核准</w:t>
      </w:r>
    </w:p>
    <w:p>
      <w:pPr>
        <w:snapToGrid w:val="0"/>
        <w:spacing w:line="348" w:lineRule="auto"/>
        <w:ind w:firstLine="473" w:firstLineChars="196"/>
        <w:rPr>
          <w:rFonts w:ascii="宋体" w:hAnsi="宋体" w:cs="宋体"/>
          <w:sz w:val="24"/>
          <w:szCs w:val="24"/>
        </w:rPr>
      </w:pPr>
      <w:r>
        <w:rPr>
          <w:rFonts w:hint="eastAsia" w:ascii="宋体" w:hAnsi="宋体" w:cs="宋体"/>
          <w:sz w:val="24"/>
          <w:szCs w:val="24"/>
        </w:rPr>
        <w:t>供应商不得以低于成本的报价竞争。如果磋商小组发现供应商的报价明显低于其他供应商的，使得其报价可能低于其个别成本的，将要求该供应商作书面说明并提供相关证明材料。供应商不能合理说明或不能提供相关证明材料的，磋商小组将认定该供应商以低于成本报价竞争，其响应文件作无效处理。</w:t>
      </w:r>
    </w:p>
    <w:p>
      <w:pPr>
        <w:snapToGrid w:val="0"/>
        <w:spacing w:line="348" w:lineRule="auto"/>
        <w:ind w:firstLine="473" w:firstLineChars="196"/>
        <w:rPr>
          <w:rFonts w:ascii="宋体" w:hAnsi="宋体" w:cs="宋体"/>
          <w:sz w:val="24"/>
          <w:szCs w:val="24"/>
        </w:rPr>
      </w:pPr>
      <w:r>
        <w:rPr>
          <w:rFonts w:hint="eastAsia" w:ascii="宋体" w:hAnsi="宋体" w:cs="宋体"/>
          <w:sz w:val="24"/>
          <w:szCs w:val="24"/>
        </w:rPr>
        <w:t>磋商小组先对入围供应商的最后报价进行复核，审查其是否有计算上的错误，修正错误的原则如下</w:t>
      </w:r>
    </w:p>
    <w:p>
      <w:pPr>
        <w:snapToGrid w:val="0"/>
        <w:spacing w:line="348" w:lineRule="auto"/>
        <w:ind w:firstLine="484" w:firstLineChars="200"/>
        <w:rPr>
          <w:rFonts w:ascii="宋体" w:hAnsi="宋体" w:cs="宋体"/>
          <w:sz w:val="24"/>
          <w:szCs w:val="24"/>
        </w:rPr>
      </w:pPr>
      <w:r>
        <w:rPr>
          <w:rFonts w:hint="eastAsia" w:ascii="宋体" w:hAnsi="宋体" w:cs="宋体"/>
          <w:sz w:val="24"/>
          <w:szCs w:val="24"/>
        </w:rPr>
        <w:t>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pPr>
        <w:snapToGrid w:val="0"/>
        <w:spacing w:line="348" w:lineRule="auto"/>
        <w:ind w:firstLine="484" w:firstLineChars="200"/>
        <w:rPr>
          <w:rFonts w:ascii="宋体" w:hAnsi="宋体" w:cs="宋体"/>
          <w:sz w:val="24"/>
          <w:szCs w:val="24"/>
        </w:rPr>
      </w:pPr>
      <w:r>
        <w:rPr>
          <w:rFonts w:hint="eastAsia" w:ascii="宋体" w:hAnsi="宋体" w:cs="宋体"/>
          <w:sz w:val="24"/>
          <w:szCs w:val="24"/>
        </w:rPr>
        <w:t>按上述修正错误的方法调整后的最后报价，对供应商具有约束力。如果供应商不接受修正后的价格，则其响应文件作无效处理。</w:t>
      </w:r>
    </w:p>
    <w:p>
      <w:pPr>
        <w:pStyle w:val="83"/>
        <w:tabs>
          <w:tab w:val="left" w:pos="426"/>
        </w:tabs>
        <w:snapToGrid w:val="0"/>
        <w:spacing w:line="348" w:lineRule="auto"/>
        <w:ind w:left="-2" w:leftChars="-1" w:firstLine="427" w:firstLineChars="177"/>
        <w:rPr>
          <w:rFonts w:ascii="宋体" w:hAnsi="宋体" w:cs="宋体"/>
          <w:b/>
          <w:sz w:val="24"/>
        </w:rPr>
      </w:pPr>
      <w:r>
        <w:rPr>
          <w:rFonts w:hint="eastAsia" w:ascii="宋体" w:hAnsi="宋体" w:cs="宋体"/>
          <w:b/>
          <w:sz w:val="24"/>
        </w:rPr>
        <w:t>B、政策价格扣除</w:t>
      </w:r>
    </w:p>
    <w:p>
      <w:pPr>
        <w:keepNext w:val="0"/>
        <w:keepLines w:val="0"/>
        <w:pageBreakBefore w:val="0"/>
        <w:widowControl w:val="0"/>
        <w:kinsoku/>
        <w:wordWrap/>
        <w:overflowPunct/>
        <w:topLinePunct w:val="0"/>
        <w:autoSpaceDE/>
        <w:autoSpaceDN/>
        <w:bidi w:val="0"/>
        <w:adjustRightInd/>
        <w:snapToGrid w:val="0"/>
        <w:spacing w:line="360" w:lineRule="auto"/>
        <w:ind w:firstLine="473"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1）中小企业</w:t>
      </w:r>
      <w:r>
        <w:rPr>
          <w:rFonts w:hint="eastAsia" w:ascii="宋体" w:hAnsi="宋体" w:eastAsia="宋体" w:cs="宋体"/>
          <w:color w:val="auto"/>
          <w:sz w:val="24"/>
          <w:szCs w:val="24"/>
          <w:highlight w:val="none"/>
        </w:rPr>
        <w:t>企业价格扣除</w:t>
      </w:r>
    </w:p>
    <w:p>
      <w:pPr>
        <w:keepNext w:val="0"/>
        <w:keepLines w:val="0"/>
        <w:pageBreakBefore w:val="0"/>
        <w:widowControl w:val="0"/>
        <w:kinsoku/>
        <w:wordWrap/>
        <w:overflowPunct/>
        <w:topLinePunct w:val="0"/>
        <w:autoSpaceDE/>
        <w:autoSpaceDN/>
        <w:bidi w:val="0"/>
        <w:adjustRightInd/>
        <w:snapToGrid w:val="0"/>
        <w:spacing w:line="360" w:lineRule="auto"/>
        <w:ind w:firstLine="473" w:firstLineChars="196"/>
        <w:textAlignment w:val="auto"/>
        <w:rPr>
          <w:rFonts w:hint="eastAsia" w:ascii="宋体" w:hAnsi="宋体" w:eastAsia="宋体" w:cs="宋体"/>
          <w:spacing w:val="-6"/>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w:t>
      </w:r>
      <w:r>
        <w:rPr>
          <w:rFonts w:hint="eastAsia" w:ascii="宋体" w:hAnsi="宋体" w:eastAsia="宋体" w:cs="宋体"/>
          <w:spacing w:val="-6"/>
          <w:kern w:val="2"/>
          <w:sz w:val="24"/>
          <w:szCs w:val="24"/>
          <w:highlight w:val="none"/>
          <w:lang w:val="en-US" w:eastAsia="zh-CN" w:bidi="ar-SA"/>
        </w:rPr>
        <w:t>根据工信部等部委发布的《关于印发中小企业划型标准规定的通知》（工信部联企业【2011】300号）、《政府采购促进中小企业发展管理办法》（财库【2020】46号）、《关于进一步加大政府采购支持中小企业力度的通知》（财库【2022】19号），</w:t>
      </w:r>
      <w:r>
        <w:rPr>
          <w:rFonts w:hint="eastAsia" w:ascii="宋体" w:hAnsi="宋体" w:eastAsia="宋体" w:cs="宋体"/>
          <w:color w:val="auto"/>
          <w:sz w:val="24"/>
          <w:szCs w:val="24"/>
          <w:highlight w:val="none"/>
        </w:rPr>
        <w:t>符合条件的中小企业在参加政府采购活动时，应当提供《中小企业声明函》（格式见第</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投标文件格式），并对声明的真实性负责。一旦中标将在中标公告中公告其声明函，接受社会监督。供应商提供的《中小企业声明函》与事实不符的，依照</w:t>
      </w:r>
      <w:r>
        <w:rPr>
          <w:rFonts w:hint="eastAsia" w:ascii="宋体" w:hAnsi="宋体" w:eastAsia="宋体" w:cs="宋体"/>
          <w:color w:val="auto"/>
          <w:sz w:val="24"/>
          <w:szCs w:val="24"/>
          <w:highlight w:val="none"/>
          <w:lang w:val="en-US" w:eastAsia="zh-CN"/>
        </w:rPr>
        <w:t>相关法律</w:t>
      </w:r>
      <w:r>
        <w:rPr>
          <w:rFonts w:hint="eastAsia" w:ascii="宋体" w:hAnsi="宋体" w:eastAsia="宋体" w:cs="宋体"/>
          <w:color w:val="auto"/>
          <w:sz w:val="24"/>
          <w:szCs w:val="24"/>
          <w:highlight w:val="none"/>
        </w:rPr>
        <w:t>追究法律责任。</w:t>
      </w:r>
    </w:p>
    <w:p>
      <w:pPr>
        <w:keepNext w:val="0"/>
        <w:keepLines w:val="0"/>
        <w:pageBreakBefore w:val="0"/>
        <w:widowControl w:val="0"/>
        <w:kinsoku/>
        <w:wordWrap/>
        <w:overflowPunct/>
        <w:topLinePunct w:val="0"/>
        <w:autoSpaceDE/>
        <w:autoSpaceDN/>
        <w:bidi w:val="0"/>
        <w:adjustRightInd/>
        <w:snapToGrid w:val="0"/>
        <w:spacing w:line="360" w:lineRule="auto"/>
        <w:ind w:firstLine="473" w:firstLineChars="196"/>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2）采购限额标准以上，200万元以下的货物和服务采购项目、400万元以下的工程采购项目，适宜由中小企业提供的，采购人应当专门面向中小企业采购。</w:t>
      </w:r>
    </w:p>
    <w:p>
      <w:pPr>
        <w:keepNext w:val="0"/>
        <w:keepLines w:val="0"/>
        <w:pageBreakBefore w:val="0"/>
        <w:widowControl w:val="0"/>
        <w:kinsoku/>
        <w:wordWrap/>
        <w:overflowPunct/>
        <w:topLinePunct w:val="0"/>
        <w:autoSpaceDE/>
        <w:autoSpaceDN/>
        <w:bidi w:val="0"/>
        <w:adjustRightInd/>
        <w:snapToGrid w:val="0"/>
        <w:spacing w:line="360" w:lineRule="auto"/>
        <w:ind w:firstLine="473" w:firstLineChars="196"/>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3）超过200万元的货物和服务采购项目、超过400万元的工程采购项目中适宜由中小企业提供的，预留该部分采购项目预算总额的30%以上专门面向中小企业采购，其中预留给小微企业的比例不低于60%。</w:t>
      </w:r>
    </w:p>
    <w:p>
      <w:pPr>
        <w:keepNext w:val="0"/>
        <w:keepLines w:val="0"/>
        <w:pageBreakBefore w:val="0"/>
        <w:widowControl w:val="0"/>
        <w:kinsoku/>
        <w:wordWrap/>
        <w:overflowPunct/>
        <w:topLinePunct w:val="0"/>
        <w:autoSpaceDE/>
        <w:autoSpaceDN/>
        <w:bidi w:val="0"/>
        <w:adjustRightInd/>
        <w:snapToGrid w:val="0"/>
        <w:spacing w:line="360" w:lineRule="auto"/>
        <w:ind w:firstLine="473" w:firstLineChars="196"/>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对于未预留份额专门面向中小企业的采购项目，以及预留份额项目中的非预留部分采购包，采购人、采购代理机构应当对符合规定的小微企业报价给予10%（工程项目为3%）的扣除，用扣除后的价格参加评审。适用招标投标法的政府采购工程建设项目，采用综合评估法但未采用低价优先法计算价格分的，评标时应当在采用原报价进行评分的基础上增加其价格得分的3%作为其价格分。</w:t>
      </w:r>
    </w:p>
    <w:p>
      <w:pPr>
        <w:keepNext w:val="0"/>
        <w:keepLines w:val="0"/>
        <w:pageBreakBefore w:val="0"/>
        <w:widowControl w:val="0"/>
        <w:kinsoku/>
        <w:wordWrap/>
        <w:overflowPunct/>
        <w:topLinePunct w:val="0"/>
        <w:autoSpaceDE/>
        <w:autoSpaceDN/>
        <w:bidi w:val="0"/>
        <w:adjustRightInd/>
        <w:snapToGrid w:val="0"/>
        <w:spacing w:line="360" w:lineRule="auto"/>
        <w:ind w:firstLine="473" w:firstLineChars="196"/>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工程项目为1%）的扣除，用扣除后的价格参加评审。适用招标投标法的政府采购工程建设项目，采用综合评估法但未采用低价优先法计算价格分的，评标时应当在采用原报价进行评分的基础上增加其价格得分的1%作为其价格分。</w:t>
      </w:r>
    </w:p>
    <w:p>
      <w:pPr>
        <w:keepNext w:val="0"/>
        <w:keepLines w:val="0"/>
        <w:pageBreakBefore w:val="0"/>
        <w:widowControl w:val="0"/>
        <w:kinsoku/>
        <w:wordWrap/>
        <w:overflowPunct/>
        <w:topLinePunct w:val="0"/>
        <w:autoSpaceDE/>
        <w:autoSpaceDN/>
        <w:bidi w:val="0"/>
        <w:adjustRightInd/>
        <w:snapToGrid w:val="0"/>
        <w:spacing w:line="360" w:lineRule="auto"/>
        <w:ind w:firstLine="473"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2）监狱企业产品价格扣除</w:t>
      </w:r>
    </w:p>
    <w:p>
      <w:pPr>
        <w:keepNext w:val="0"/>
        <w:keepLines w:val="0"/>
        <w:pageBreakBefore w:val="0"/>
        <w:widowControl w:val="0"/>
        <w:kinsoku/>
        <w:wordWrap/>
        <w:overflowPunct/>
        <w:topLinePunct w:val="0"/>
        <w:autoSpaceDE/>
        <w:autoSpaceDN/>
        <w:bidi w:val="0"/>
        <w:adjustRightInd/>
        <w:snapToGrid w:val="0"/>
        <w:spacing w:line="360" w:lineRule="auto"/>
        <w:ind w:firstLine="473"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）监狱企业视同小型、微型企业，按</w:t>
      </w:r>
      <w:r>
        <w:rPr>
          <w:rFonts w:hint="eastAsia" w:ascii="宋体" w:hAnsi="宋体" w:eastAsia="宋体" w:cs="宋体"/>
          <w:color w:val="auto"/>
          <w:sz w:val="24"/>
          <w:szCs w:val="24"/>
          <w:highlight w:val="none"/>
          <w:lang w:val="en-US" w:eastAsia="zh-CN"/>
        </w:rPr>
        <w:t>中小企业</w:t>
      </w:r>
      <w:r>
        <w:rPr>
          <w:rFonts w:hint="eastAsia" w:ascii="宋体" w:hAnsi="宋体" w:eastAsia="宋体" w:cs="宋体"/>
          <w:color w:val="auto"/>
          <w:sz w:val="24"/>
          <w:szCs w:val="24"/>
          <w:highlight w:val="none"/>
        </w:rPr>
        <w:t>企业享受评审中价格扣除。</w:t>
      </w:r>
    </w:p>
    <w:p>
      <w:pPr>
        <w:keepNext w:val="0"/>
        <w:keepLines w:val="0"/>
        <w:pageBreakBefore w:val="0"/>
        <w:widowControl w:val="0"/>
        <w:kinsoku/>
        <w:wordWrap/>
        <w:overflowPunct/>
        <w:topLinePunct w:val="0"/>
        <w:autoSpaceDE/>
        <w:autoSpaceDN/>
        <w:bidi w:val="0"/>
        <w:adjustRightInd/>
        <w:snapToGrid w:val="0"/>
        <w:spacing w:line="360" w:lineRule="auto"/>
        <w:ind w:firstLine="473" w:firstLineChars="196"/>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sz w:val="24"/>
          <w:szCs w:val="24"/>
          <w:highlight w:val="none"/>
        </w:rPr>
        <w:t>按照《财政部、司法部关于政府采购支持监狱企业发展有关问题的通知》（财库</w:t>
      </w:r>
      <w:r>
        <w:rPr>
          <w:rFonts w:hint="eastAsia" w:ascii="宋体" w:hAnsi="宋体" w:eastAsia="宋体" w:cs="宋体"/>
          <w:sz w:val="24"/>
          <w:szCs w:val="24"/>
          <w:highlight w:val="none"/>
          <w:lang w:eastAsia="zh-CN"/>
        </w:rPr>
        <w:t>【</w:t>
      </w:r>
      <w:r>
        <w:rPr>
          <w:rFonts w:hint="eastAsia" w:ascii="宋体" w:hAnsi="宋体" w:eastAsia="宋体" w:cs="宋体"/>
          <w:b w:val="0"/>
          <w:bCs w:val="0"/>
          <w:sz w:val="24"/>
          <w:szCs w:val="24"/>
          <w:highlight w:val="none"/>
        </w:rPr>
        <w:t>2014</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68号）的规定，</w:t>
      </w:r>
      <w:r>
        <w:rPr>
          <w:rFonts w:hint="eastAsia" w:ascii="宋体" w:hAnsi="宋体" w:eastAsia="宋体" w:cs="宋体"/>
          <w:b w:val="0"/>
          <w:bCs w:val="0"/>
          <w:color w:val="auto"/>
          <w:sz w:val="24"/>
          <w:szCs w:val="24"/>
          <w:highlight w:val="none"/>
        </w:rPr>
        <w:t>符合条件的监狱企业在参加政府采购活动时，应当提供《</w:t>
      </w:r>
      <w:r>
        <w:rPr>
          <w:rFonts w:hint="eastAsia" w:ascii="宋体" w:hAnsi="宋体" w:eastAsia="宋体" w:cs="宋体"/>
          <w:b w:val="0"/>
          <w:bCs w:val="0"/>
          <w:color w:val="auto"/>
          <w:spacing w:val="6"/>
          <w:kern w:val="0"/>
          <w:sz w:val="24"/>
          <w:szCs w:val="24"/>
          <w:highlight w:val="none"/>
        </w:rPr>
        <w:t>监狱企业证明材料</w:t>
      </w:r>
      <w:r>
        <w:rPr>
          <w:rFonts w:hint="eastAsia" w:ascii="宋体" w:hAnsi="宋体" w:eastAsia="宋体" w:cs="宋体"/>
          <w:b w:val="0"/>
          <w:bCs w:val="0"/>
          <w:color w:val="auto"/>
          <w:sz w:val="24"/>
          <w:szCs w:val="24"/>
          <w:highlight w:val="none"/>
        </w:rPr>
        <w:t>》（格式见第</w:t>
      </w:r>
      <w:r>
        <w:rPr>
          <w:rFonts w:hint="eastAsia" w:ascii="宋体" w:hAnsi="宋体" w:eastAsia="宋体" w:cs="宋体"/>
          <w:b w:val="0"/>
          <w:bCs w:val="0"/>
          <w:color w:val="auto"/>
          <w:sz w:val="24"/>
          <w:szCs w:val="24"/>
          <w:highlight w:val="none"/>
          <w:lang w:val="en-US" w:eastAsia="zh-CN"/>
        </w:rPr>
        <w:t>六</w:t>
      </w:r>
      <w:r>
        <w:rPr>
          <w:rFonts w:hint="eastAsia" w:ascii="宋体" w:hAnsi="宋体" w:eastAsia="宋体" w:cs="宋体"/>
          <w:b w:val="0"/>
          <w:bCs w:val="0"/>
          <w:color w:val="auto"/>
          <w:sz w:val="24"/>
          <w:szCs w:val="24"/>
          <w:highlight w:val="none"/>
        </w:rPr>
        <w:t>章</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投标文件格式），并对</w:t>
      </w:r>
      <w:r>
        <w:rPr>
          <w:rFonts w:hint="eastAsia" w:ascii="宋体" w:hAnsi="宋体" w:eastAsia="宋体" w:cs="宋体"/>
          <w:b w:val="0"/>
          <w:bCs w:val="0"/>
          <w:color w:val="auto"/>
          <w:sz w:val="24"/>
          <w:szCs w:val="24"/>
          <w:highlight w:val="none"/>
          <w:lang w:val="en-US" w:eastAsia="zh-CN"/>
        </w:rPr>
        <w:t>证明材料</w:t>
      </w:r>
      <w:r>
        <w:rPr>
          <w:rFonts w:hint="eastAsia" w:ascii="宋体" w:hAnsi="宋体" w:eastAsia="宋体" w:cs="宋体"/>
          <w:b w:val="0"/>
          <w:bCs w:val="0"/>
          <w:color w:val="auto"/>
          <w:sz w:val="24"/>
          <w:szCs w:val="24"/>
          <w:highlight w:val="none"/>
        </w:rPr>
        <w:t>的真实性负责。一旦中标将在中标公告中公告其</w:t>
      </w:r>
      <w:r>
        <w:rPr>
          <w:rFonts w:hint="eastAsia" w:ascii="宋体" w:hAnsi="宋体" w:eastAsia="宋体" w:cs="宋体"/>
          <w:b w:val="0"/>
          <w:bCs w:val="0"/>
          <w:color w:val="auto"/>
          <w:sz w:val="24"/>
          <w:szCs w:val="24"/>
          <w:highlight w:val="none"/>
          <w:lang w:val="en-US" w:eastAsia="zh-CN"/>
        </w:rPr>
        <w:t>证明材料</w:t>
      </w:r>
      <w:r>
        <w:rPr>
          <w:rFonts w:hint="eastAsia" w:ascii="宋体" w:hAnsi="宋体" w:eastAsia="宋体" w:cs="宋体"/>
          <w:b w:val="0"/>
          <w:bCs w:val="0"/>
          <w:color w:val="auto"/>
          <w:sz w:val="24"/>
          <w:szCs w:val="24"/>
          <w:highlight w:val="none"/>
        </w:rPr>
        <w:t>，接受社会监督。供应商提供的《</w:t>
      </w:r>
      <w:r>
        <w:rPr>
          <w:rFonts w:hint="eastAsia" w:ascii="宋体" w:hAnsi="宋体" w:eastAsia="宋体" w:cs="宋体"/>
          <w:b w:val="0"/>
          <w:bCs w:val="0"/>
          <w:color w:val="auto"/>
          <w:spacing w:val="6"/>
          <w:kern w:val="0"/>
          <w:sz w:val="24"/>
          <w:szCs w:val="24"/>
          <w:highlight w:val="none"/>
        </w:rPr>
        <w:t>监狱企业证明材料</w:t>
      </w:r>
      <w:r>
        <w:rPr>
          <w:rFonts w:hint="eastAsia" w:ascii="宋体" w:hAnsi="宋体" w:eastAsia="宋体" w:cs="宋体"/>
          <w:color w:val="auto"/>
          <w:sz w:val="24"/>
          <w:szCs w:val="24"/>
          <w:highlight w:val="none"/>
        </w:rPr>
        <w:t>》与事实不符的，依照</w:t>
      </w:r>
      <w:r>
        <w:rPr>
          <w:rFonts w:hint="eastAsia" w:ascii="宋体" w:hAnsi="宋体" w:eastAsia="宋体" w:cs="宋体"/>
          <w:color w:val="auto"/>
          <w:sz w:val="24"/>
          <w:szCs w:val="24"/>
          <w:highlight w:val="none"/>
          <w:lang w:val="en-US" w:eastAsia="zh-CN"/>
        </w:rPr>
        <w:t>相关法律</w:t>
      </w:r>
      <w:r>
        <w:rPr>
          <w:rFonts w:hint="eastAsia" w:ascii="宋体" w:hAnsi="宋体" w:eastAsia="宋体" w:cs="宋体"/>
          <w:color w:val="auto"/>
          <w:sz w:val="24"/>
          <w:szCs w:val="24"/>
          <w:highlight w:val="none"/>
        </w:rPr>
        <w:t>追究法律责任。</w:t>
      </w:r>
    </w:p>
    <w:p>
      <w:pPr>
        <w:keepNext w:val="0"/>
        <w:keepLines w:val="0"/>
        <w:pageBreakBefore w:val="0"/>
        <w:widowControl w:val="0"/>
        <w:kinsoku/>
        <w:wordWrap/>
        <w:overflowPunct/>
        <w:topLinePunct w:val="0"/>
        <w:autoSpaceDE/>
        <w:autoSpaceDN/>
        <w:bidi w:val="0"/>
        <w:adjustRightInd/>
        <w:snapToGrid w:val="0"/>
        <w:spacing w:line="360" w:lineRule="auto"/>
        <w:ind w:firstLine="473"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3）残疾人福利性单位产品价格扣除</w:t>
      </w:r>
    </w:p>
    <w:p>
      <w:pPr>
        <w:keepNext w:val="0"/>
        <w:keepLines w:val="0"/>
        <w:pageBreakBefore w:val="0"/>
        <w:widowControl w:val="0"/>
        <w:kinsoku/>
        <w:wordWrap/>
        <w:overflowPunct/>
        <w:topLinePunct w:val="0"/>
        <w:autoSpaceDE/>
        <w:autoSpaceDN/>
        <w:bidi w:val="0"/>
        <w:adjustRightInd/>
        <w:snapToGrid w:val="0"/>
        <w:spacing w:line="360" w:lineRule="auto"/>
        <w:ind w:firstLine="473"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）残疾人福利性单位视同小型、微型企业，按</w:t>
      </w:r>
      <w:r>
        <w:rPr>
          <w:rFonts w:hint="eastAsia" w:ascii="宋体" w:hAnsi="宋体" w:eastAsia="宋体" w:cs="宋体"/>
          <w:color w:val="auto"/>
          <w:sz w:val="24"/>
          <w:szCs w:val="24"/>
          <w:highlight w:val="none"/>
          <w:lang w:val="en-US" w:eastAsia="zh-CN"/>
        </w:rPr>
        <w:t>中小企业</w:t>
      </w:r>
      <w:r>
        <w:rPr>
          <w:rFonts w:hint="eastAsia" w:ascii="宋体" w:hAnsi="宋体" w:eastAsia="宋体" w:cs="宋体"/>
          <w:color w:val="auto"/>
          <w:sz w:val="24"/>
          <w:szCs w:val="24"/>
          <w:highlight w:val="none"/>
        </w:rPr>
        <w:t>企业享受评审中价格扣除。</w:t>
      </w:r>
    </w:p>
    <w:p>
      <w:pPr>
        <w:keepNext w:val="0"/>
        <w:keepLines w:val="0"/>
        <w:pageBreakBefore w:val="0"/>
        <w:widowControl w:val="0"/>
        <w:kinsoku/>
        <w:wordWrap/>
        <w:overflowPunct/>
        <w:topLinePunct w:val="0"/>
        <w:autoSpaceDE/>
        <w:autoSpaceDN/>
        <w:bidi w:val="0"/>
        <w:adjustRightInd/>
        <w:snapToGrid w:val="0"/>
        <w:spacing w:line="360" w:lineRule="auto"/>
        <w:ind w:firstLine="473" w:firstLineChars="196"/>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根据财政部、民政部、中国残疾人联合会印发的《关于促进残疾人就业政府采购政策的通知》（财库〔2017〕141号）的规定，符合条件的残疾人福利性单位在参加政府采购活动时，应当提供该通知规定的《残疾人福利性单位声明函》（格式见第五章投标文件格式），并对声明的真实性负责。一旦中标将在中标公告中公告其声明函，接受社会监督。供应商提供的《残疾人福利性单位声明函》与事实不符的，依照</w:t>
      </w:r>
      <w:r>
        <w:rPr>
          <w:rFonts w:hint="eastAsia" w:ascii="宋体" w:hAnsi="宋体" w:eastAsia="宋体" w:cs="宋体"/>
          <w:color w:val="auto"/>
          <w:sz w:val="24"/>
          <w:szCs w:val="24"/>
          <w:highlight w:val="none"/>
          <w:lang w:val="en-US" w:eastAsia="zh-CN"/>
        </w:rPr>
        <w:t>相关法律</w:t>
      </w:r>
      <w:r>
        <w:rPr>
          <w:rFonts w:hint="eastAsia" w:ascii="宋体" w:hAnsi="宋体" w:eastAsia="宋体" w:cs="宋体"/>
          <w:color w:val="auto"/>
          <w:sz w:val="24"/>
          <w:szCs w:val="24"/>
          <w:highlight w:val="none"/>
        </w:rPr>
        <w:t>追究法律责任。</w:t>
      </w:r>
    </w:p>
    <w:p>
      <w:pPr>
        <w:keepNext w:val="0"/>
        <w:keepLines w:val="0"/>
        <w:pageBreakBefore w:val="0"/>
        <w:widowControl w:val="0"/>
        <w:kinsoku/>
        <w:wordWrap/>
        <w:overflowPunct/>
        <w:topLinePunct w:val="0"/>
        <w:autoSpaceDE/>
        <w:autoSpaceDN/>
        <w:bidi w:val="0"/>
        <w:adjustRightInd/>
        <w:snapToGrid w:val="0"/>
        <w:spacing w:line="360" w:lineRule="auto"/>
        <w:ind w:firstLine="473"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4）供应商同时为小型、微型企业、监狱企业和残疾人福利性单位任两种或以上情况的，评审中只享受一次价格扣除。不重复进行价格扣除。</w:t>
      </w:r>
    </w:p>
    <w:p>
      <w:pPr>
        <w:keepNext w:val="0"/>
        <w:keepLines w:val="0"/>
        <w:pageBreakBefore w:val="0"/>
        <w:widowControl w:val="0"/>
        <w:kinsoku/>
        <w:wordWrap/>
        <w:overflowPunct/>
        <w:topLinePunct w:val="0"/>
        <w:autoSpaceDE/>
        <w:autoSpaceDN/>
        <w:bidi w:val="0"/>
        <w:adjustRightInd/>
        <w:snapToGrid w:val="0"/>
        <w:spacing w:line="360" w:lineRule="auto"/>
        <w:ind w:firstLine="449" w:firstLineChars="196"/>
        <w:textAlignment w:val="auto"/>
        <w:rPr>
          <w:rFonts w:hint="eastAsia" w:ascii="宋体" w:hAnsi="宋体" w:eastAsia="宋体" w:cs="宋体"/>
          <w:spacing w:val="-6"/>
          <w:kern w:val="2"/>
          <w:sz w:val="24"/>
          <w:szCs w:val="24"/>
          <w:highlight w:val="none"/>
          <w:lang w:val="en-US" w:eastAsia="zh-CN" w:bidi="ar-SA"/>
        </w:rPr>
      </w:pPr>
      <w:r>
        <w:rPr>
          <w:rFonts w:hint="eastAsia" w:ascii="宋体" w:hAnsi="宋体" w:eastAsia="宋体" w:cs="宋体"/>
          <w:spacing w:val="-6"/>
          <w:kern w:val="2"/>
          <w:sz w:val="24"/>
          <w:szCs w:val="24"/>
          <w:highlight w:val="none"/>
          <w:lang w:val="en-US" w:eastAsia="zh-CN" w:bidi="ar-SA"/>
        </w:rPr>
        <w:t>（5）节能、环境标志产品评审优惠内容及加分幅度：</w:t>
      </w:r>
    </w:p>
    <w:p>
      <w:pPr>
        <w:pStyle w:val="83"/>
        <w:keepNext w:val="0"/>
        <w:keepLines w:val="0"/>
        <w:pageBreakBefore w:val="0"/>
        <w:widowControl w:val="0"/>
        <w:kinsoku/>
        <w:wordWrap/>
        <w:overflowPunct/>
        <w:topLinePunct w:val="0"/>
        <w:autoSpaceDE/>
        <w:autoSpaceDN/>
        <w:bidi w:val="0"/>
        <w:adjustRightInd/>
        <w:snapToGrid w:val="0"/>
        <w:spacing w:line="360" w:lineRule="auto"/>
        <w:ind w:firstLine="562"/>
        <w:textAlignment w:val="auto"/>
        <w:rPr>
          <w:rFonts w:hint="eastAsia" w:ascii="宋体" w:hAnsi="宋体" w:eastAsia="宋体" w:cs="宋体"/>
          <w:spacing w:val="-6"/>
          <w:kern w:val="2"/>
          <w:sz w:val="24"/>
          <w:szCs w:val="24"/>
          <w:highlight w:val="none"/>
          <w:lang w:val="en-US" w:eastAsia="zh-CN" w:bidi="ar-SA"/>
        </w:rPr>
      </w:pPr>
      <w:r>
        <w:rPr>
          <w:rFonts w:hint="eastAsia" w:ascii="宋体" w:hAnsi="宋体" w:eastAsia="宋体" w:cs="宋体"/>
          <w:spacing w:val="-6"/>
          <w:kern w:val="2"/>
          <w:sz w:val="24"/>
          <w:szCs w:val="24"/>
          <w:highlight w:val="none"/>
          <w:lang w:val="en-US" w:eastAsia="zh-CN" w:bidi="ar-SA"/>
        </w:rPr>
        <w:t>严格执行</w:t>
      </w:r>
      <w:r>
        <w:rPr>
          <w:rFonts w:hint="eastAsia" w:ascii="宋体" w:hAnsi="宋体" w:eastAsia="宋体" w:cs="宋体"/>
          <w:sz w:val="24"/>
          <w:szCs w:val="24"/>
          <w:highlight w:val="none"/>
        </w:rPr>
        <w:t>《关于调整优化节能产品、环境标志产品政府采购执行机制的通知》（财库</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20</w:t>
      </w: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9号）的规定</w:t>
      </w:r>
      <w:r>
        <w:rPr>
          <w:rFonts w:hint="eastAsia" w:ascii="宋体" w:hAnsi="宋体" w:eastAsia="宋体" w:cs="宋体"/>
          <w:spacing w:val="-6"/>
          <w:kern w:val="2"/>
          <w:sz w:val="24"/>
          <w:szCs w:val="24"/>
          <w:highlight w:val="none"/>
          <w:lang w:val="en-US" w:eastAsia="zh-CN" w:bidi="ar-SA"/>
        </w:rPr>
        <w:t>。</w:t>
      </w:r>
    </w:p>
    <w:p>
      <w:pPr>
        <w:pStyle w:val="83"/>
        <w:snapToGrid w:val="0"/>
        <w:spacing w:line="348" w:lineRule="auto"/>
        <w:ind w:firstLine="487"/>
        <w:rPr>
          <w:rFonts w:ascii="宋体" w:hAnsi="宋体" w:cs="宋体"/>
          <w:b/>
          <w:sz w:val="24"/>
        </w:rPr>
      </w:pPr>
      <w:r>
        <w:rPr>
          <w:rFonts w:hint="eastAsia" w:ascii="宋体" w:hAnsi="宋体" w:cs="宋体"/>
          <w:b/>
          <w:sz w:val="24"/>
        </w:rPr>
        <w:t>C、价格评分</w:t>
      </w:r>
    </w:p>
    <w:p>
      <w:pPr>
        <w:snapToGrid w:val="0"/>
        <w:spacing w:line="348" w:lineRule="auto"/>
        <w:ind w:firstLine="473" w:firstLineChars="196"/>
        <w:rPr>
          <w:rFonts w:ascii="宋体" w:hAnsi="宋体" w:cs="宋体"/>
          <w:sz w:val="24"/>
          <w:szCs w:val="24"/>
        </w:rPr>
      </w:pPr>
      <w:r>
        <w:rPr>
          <w:rFonts w:hint="eastAsia" w:ascii="宋体" w:hAnsi="宋体" w:cs="宋体"/>
          <w:sz w:val="24"/>
          <w:szCs w:val="24"/>
        </w:rPr>
        <w:t>磋商小组对入围的供应商的最后价格进行修正及价格扣除得出评审价。综合评分法中的价格分统一采用低价优先法计算，即满足磋商文件要求（通过资格、符合性审查）且价格最低的有效最后报价（指修正后的价格，下同）为磋商基准价，其价格分为满分。其他供应商的价格分统一按照下列公式计算：</w:t>
      </w:r>
    </w:p>
    <w:p>
      <w:pPr>
        <w:snapToGrid w:val="0"/>
        <w:spacing w:line="348" w:lineRule="auto"/>
        <w:ind w:firstLine="484" w:firstLineChars="200"/>
        <w:rPr>
          <w:rFonts w:ascii="宋体" w:hAnsi="宋体" w:cs="宋体"/>
          <w:b/>
          <w:sz w:val="24"/>
          <w:szCs w:val="24"/>
        </w:rPr>
      </w:pPr>
      <w:r>
        <w:rPr>
          <w:rFonts w:hint="eastAsia" w:ascii="宋体" w:hAnsi="宋体" w:cs="宋体"/>
          <w:b/>
          <w:sz w:val="24"/>
          <w:szCs w:val="24"/>
        </w:rPr>
        <w:t>磋商报价得分＝（磋商基准价／最终磋商报价）x 分值。</w:t>
      </w:r>
    </w:p>
    <w:p>
      <w:pPr>
        <w:adjustRightInd w:val="0"/>
        <w:snapToGrid w:val="0"/>
        <w:spacing w:line="360" w:lineRule="auto"/>
        <w:outlineLvl w:val="2"/>
        <w:rPr>
          <w:rFonts w:ascii="宋体" w:hAnsi="宋体" w:cs="宋体"/>
          <w:b/>
          <w:sz w:val="24"/>
          <w:szCs w:val="24"/>
        </w:rPr>
      </w:pPr>
      <w:r>
        <w:rPr>
          <w:rFonts w:hint="eastAsia" w:ascii="宋体" w:hAnsi="宋体" w:cs="宋体"/>
          <w:b/>
          <w:sz w:val="24"/>
          <w:szCs w:val="24"/>
        </w:rPr>
        <w:br w:type="page"/>
      </w:r>
      <w:r>
        <w:rPr>
          <w:rFonts w:hint="eastAsia" w:ascii="宋体" w:hAnsi="宋体" w:cs="宋体"/>
          <w:b/>
          <w:sz w:val="24"/>
          <w:szCs w:val="24"/>
        </w:rPr>
        <w:t>附表一：</w:t>
      </w:r>
    </w:p>
    <w:p>
      <w:pPr>
        <w:adjustRightInd w:val="0"/>
        <w:snapToGrid w:val="0"/>
        <w:spacing w:line="360" w:lineRule="auto"/>
        <w:jc w:val="center"/>
        <w:outlineLvl w:val="2"/>
        <w:rPr>
          <w:rFonts w:ascii="宋体" w:hAnsi="宋体" w:cs="宋体"/>
          <w:b/>
          <w:bCs/>
          <w:sz w:val="28"/>
          <w:szCs w:val="28"/>
        </w:rPr>
      </w:pPr>
      <w:r>
        <w:rPr>
          <w:rFonts w:hint="eastAsia" w:ascii="宋体" w:hAnsi="宋体" w:cs="宋体"/>
          <w:b/>
          <w:sz w:val="28"/>
          <w:szCs w:val="28"/>
        </w:rPr>
        <w:t>资格性审查表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7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9" w:type="dxa"/>
            <w:vAlign w:val="center"/>
          </w:tcPr>
          <w:p>
            <w:pPr>
              <w:jc w:val="center"/>
              <w:rPr>
                <w:rFonts w:ascii="宋体" w:hAnsi="宋体" w:cs="宋体"/>
                <w:sz w:val="24"/>
                <w:szCs w:val="24"/>
              </w:rPr>
            </w:pPr>
            <w:r>
              <w:rPr>
                <w:rFonts w:hint="eastAsia" w:ascii="宋体" w:hAnsi="宋体" w:cs="宋体"/>
                <w:sz w:val="24"/>
                <w:szCs w:val="24"/>
              </w:rPr>
              <w:t>序号</w:t>
            </w:r>
          </w:p>
        </w:tc>
        <w:tc>
          <w:tcPr>
            <w:tcW w:w="7608" w:type="dxa"/>
            <w:vAlign w:val="center"/>
          </w:tcPr>
          <w:p>
            <w:pPr>
              <w:jc w:val="center"/>
              <w:rPr>
                <w:rFonts w:ascii="宋体" w:hAnsi="宋体" w:cs="宋体"/>
                <w:sz w:val="24"/>
                <w:szCs w:val="24"/>
              </w:rPr>
            </w:pPr>
            <w:r>
              <w:rPr>
                <w:rFonts w:hint="eastAsia" w:ascii="宋体" w:hAnsi="宋体" w:cs="宋体"/>
                <w:sz w:val="24"/>
                <w:szCs w:val="24"/>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9" w:type="dxa"/>
            <w:vAlign w:val="center"/>
          </w:tcPr>
          <w:p>
            <w:pPr>
              <w:jc w:val="center"/>
              <w:rPr>
                <w:rFonts w:ascii="宋体" w:hAnsi="宋体" w:cs="宋体"/>
                <w:sz w:val="24"/>
                <w:szCs w:val="24"/>
              </w:rPr>
            </w:pPr>
            <w:r>
              <w:rPr>
                <w:rFonts w:hint="eastAsia" w:ascii="宋体" w:hAnsi="宋体" w:cs="宋体"/>
                <w:sz w:val="24"/>
                <w:szCs w:val="24"/>
              </w:rPr>
              <w:t>1</w:t>
            </w:r>
          </w:p>
        </w:tc>
        <w:tc>
          <w:tcPr>
            <w:tcW w:w="7608" w:type="dxa"/>
            <w:vAlign w:val="center"/>
          </w:tcPr>
          <w:p>
            <w:pPr>
              <w:rPr>
                <w:rFonts w:ascii="宋体" w:hAnsi="宋体" w:cs="宋体"/>
                <w:sz w:val="24"/>
                <w:szCs w:val="24"/>
              </w:rPr>
            </w:pPr>
            <w:r>
              <w:rPr>
                <w:rFonts w:hint="eastAsia" w:ascii="宋体" w:hAnsi="宋体" w:cs="宋体"/>
                <w:sz w:val="24"/>
                <w:szCs w:val="24"/>
              </w:rPr>
              <w:t>在中华人民共和国境内依法注册的、具有独立承担民事责任的能力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9" w:type="dxa"/>
            <w:vAlign w:val="center"/>
          </w:tcPr>
          <w:p>
            <w:pPr>
              <w:jc w:val="center"/>
              <w:rPr>
                <w:rFonts w:ascii="宋体" w:hAnsi="宋体" w:cs="宋体"/>
                <w:sz w:val="24"/>
                <w:szCs w:val="24"/>
              </w:rPr>
            </w:pPr>
            <w:r>
              <w:rPr>
                <w:rFonts w:hint="eastAsia" w:ascii="宋体" w:hAnsi="宋体" w:cs="宋体"/>
                <w:sz w:val="24"/>
                <w:szCs w:val="24"/>
              </w:rPr>
              <w:t>2</w:t>
            </w:r>
          </w:p>
        </w:tc>
        <w:tc>
          <w:tcPr>
            <w:tcW w:w="7608" w:type="dxa"/>
            <w:vAlign w:val="center"/>
          </w:tcPr>
          <w:p>
            <w:pPr>
              <w:rPr>
                <w:rFonts w:ascii="宋体" w:hAnsi="宋体" w:cs="宋体"/>
                <w:sz w:val="24"/>
                <w:szCs w:val="24"/>
              </w:rPr>
            </w:pPr>
            <w:r>
              <w:rPr>
                <w:rFonts w:hint="eastAsia" w:ascii="宋体" w:hAnsi="宋体" w:cs="宋体"/>
                <w:sz w:val="24"/>
                <w:szCs w:val="24"/>
              </w:rPr>
              <w:t>法定代表人身份证明或授权委托书及代理人身份证明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9" w:type="dxa"/>
            <w:vAlign w:val="center"/>
          </w:tcPr>
          <w:p>
            <w:pPr>
              <w:jc w:val="center"/>
              <w:rPr>
                <w:rFonts w:ascii="宋体" w:hAnsi="宋体" w:cs="宋体"/>
                <w:sz w:val="24"/>
                <w:szCs w:val="24"/>
              </w:rPr>
            </w:pPr>
            <w:r>
              <w:rPr>
                <w:rFonts w:hint="eastAsia" w:ascii="宋体" w:hAnsi="宋体" w:cs="宋体"/>
                <w:sz w:val="24"/>
                <w:szCs w:val="24"/>
              </w:rPr>
              <w:t>3</w:t>
            </w:r>
          </w:p>
        </w:tc>
        <w:tc>
          <w:tcPr>
            <w:tcW w:w="7608" w:type="dxa"/>
            <w:vAlign w:val="center"/>
          </w:tcPr>
          <w:p>
            <w:pPr>
              <w:rPr>
                <w:rFonts w:ascii="宋体" w:hAnsi="宋体" w:cs="宋体"/>
                <w:bCs/>
                <w:sz w:val="24"/>
                <w:szCs w:val="24"/>
              </w:rPr>
            </w:pPr>
            <w:r>
              <w:rPr>
                <w:rFonts w:hint="eastAsia" w:ascii="宋体" w:hAnsi="宋体" w:cs="宋体"/>
                <w:sz w:val="24"/>
                <w:szCs w:val="24"/>
              </w:rPr>
              <w:t>未被“信用中国”、“中国政府采购网”列入失信被执行人、重大税收违法案件当事人名单、政府采购严重违法失信行为记录名单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9" w:type="dxa"/>
            <w:vAlign w:val="center"/>
          </w:tcPr>
          <w:p>
            <w:pPr>
              <w:jc w:val="center"/>
              <w:rPr>
                <w:rFonts w:ascii="宋体" w:hAnsi="宋体" w:cs="宋体"/>
                <w:sz w:val="24"/>
                <w:szCs w:val="24"/>
              </w:rPr>
            </w:pPr>
            <w:r>
              <w:rPr>
                <w:rFonts w:hint="eastAsia" w:ascii="宋体" w:hAnsi="宋体" w:cs="宋体"/>
                <w:sz w:val="24"/>
                <w:szCs w:val="24"/>
              </w:rPr>
              <w:t>4</w:t>
            </w:r>
          </w:p>
        </w:tc>
        <w:tc>
          <w:tcPr>
            <w:tcW w:w="7608" w:type="dxa"/>
            <w:vAlign w:val="center"/>
          </w:tcPr>
          <w:p>
            <w:pPr>
              <w:rPr>
                <w:rFonts w:ascii="宋体" w:hAnsi="宋体" w:cs="宋体"/>
                <w:sz w:val="24"/>
                <w:szCs w:val="24"/>
                <w:lang w:val="zh-CN"/>
              </w:rPr>
            </w:pPr>
            <w:r>
              <w:rPr>
                <w:rFonts w:hint="eastAsia" w:ascii="宋体" w:hAnsi="宋体" w:cs="宋体"/>
                <w:sz w:val="24"/>
                <w:szCs w:val="24"/>
                <w:lang w:val="zh-CN"/>
              </w:rPr>
              <w:t>投标保证金是否满足采购文件要求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9" w:type="dxa"/>
            <w:vAlign w:val="center"/>
          </w:tcPr>
          <w:p>
            <w:pPr>
              <w:jc w:val="center"/>
              <w:rPr>
                <w:rFonts w:ascii="宋体" w:hAnsi="宋体" w:cs="宋体"/>
                <w:sz w:val="24"/>
                <w:szCs w:val="24"/>
              </w:rPr>
            </w:pPr>
            <w:r>
              <w:rPr>
                <w:rFonts w:hint="eastAsia" w:ascii="宋体" w:hAnsi="宋体" w:cs="宋体"/>
                <w:sz w:val="24"/>
                <w:szCs w:val="24"/>
              </w:rPr>
              <w:t>5</w:t>
            </w:r>
          </w:p>
        </w:tc>
        <w:tc>
          <w:tcPr>
            <w:tcW w:w="7608" w:type="dxa"/>
            <w:vAlign w:val="center"/>
          </w:tcPr>
          <w:p>
            <w:pPr>
              <w:rPr>
                <w:rFonts w:ascii="宋体" w:hAnsi="宋体" w:cs="宋体"/>
                <w:sz w:val="24"/>
                <w:szCs w:val="24"/>
                <w:lang w:val="zh-CN"/>
              </w:rPr>
            </w:pPr>
            <w:r>
              <w:rPr>
                <w:rFonts w:hint="eastAsia" w:ascii="宋体" w:hAnsi="宋体" w:cs="宋体"/>
                <w:sz w:val="24"/>
                <w:szCs w:val="24"/>
                <w:lang w:val="zh-CN"/>
              </w:rPr>
              <w:t>具有测绘乙级及以上资质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9" w:type="dxa"/>
            <w:vAlign w:val="center"/>
          </w:tcPr>
          <w:p>
            <w:pPr>
              <w:jc w:val="center"/>
              <w:rPr>
                <w:rFonts w:ascii="宋体" w:hAnsi="宋体" w:cs="宋体"/>
                <w:sz w:val="24"/>
                <w:szCs w:val="24"/>
              </w:rPr>
            </w:pPr>
            <w:r>
              <w:rPr>
                <w:rFonts w:ascii="宋体" w:hAnsi="宋体" w:cs="宋体"/>
                <w:sz w:val="24"/>
                <w:szCs w:val="24"/>
              </w:rPr>
              <w:t>6</w:t>
            </w:r>
          </w:p>
        </w:tc>
        <w:tc>
          <w:tcPr>
            <w:tcW w:w="7608" w:type="dxa"/>
            <w:vAlign w:val="center"/>
          </w:tcPr>
          <w:p>
            <w:pPr>
              <w:rPr>
                <w:rFonts w:ascii="宋体" w:hAnsi="宋体" w:cs="宋体"/>
                <w:bCs/>
                <w:sz w:val="24"/>
                <w:szCs w:val="24"/>
              </w:rPr>
            </w:pPr>
            <w:r>
              <w:rPr>
                <w:rFonts w:hint="eastAsia" w:ascii="宋体" w:hAnsi="宋体" w:cs="宋体"/>
                <w:bCs/>
                <w:sz w:val="24"/>
                <w:szCs w:val="24"/>
              </w:rPr>
              <w:t>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9" w:type="dxa"/>
            <w:vAlign w:val="center"/>
          </w:tcPr>
          <w:p>
            <w:pPr>
              <w:jc w:val="center"/>
              <w:rPr>
                <w:rFonts w:ascii="宋体" w:hAnsi="宋体" w:cs="宋体"/>
                <w:sz w:val="24"/>
                <w:szCs w:val="24"/>
              </w:rPr>
            </w:pPr>
            <w:r>
              <w:rPr>
                <w:rFonts w:hint="eastAsia" w:ascii="宋体" w:hAnsi="宋体" w:cs="宋体"/>
                <w:sz w:val="24"/>
                <w:szCs w:val="24"/>
              </w:rPr>
              <w:t>结论</w:t>
            </w:r>
          </w:p>
        </w:tc>
        <w:tc>
          <w:tcPr>
            <w:tcW w:w="7608" w:type="dxa"/>
            <w:vAlign w:val="center"/>
          </w:tcPr>
          <w:p>
            <w:pPr>
              <w:pStyle w:val="167"/>
              <w:spacing w:line="240" w:lineRule="auto"/>
              <w:ind w:firstLine="0" w:firstLineChars="0"/>
              <w:rPr>
                <w:rFonts w:ascii="宋体" w:hAnsi="宋体" w:cs="宋体"/>
                <w:szCs w:val="24"/>
              </w:rPr>
            </w:pPr>
            <w:r>
              <w:rPr>
                <w:rFonts w:hint="eastAsia" w:ascii="宋体" w:hAnsi="宋体" w:cs="宋体"/>
                <w:szCs w:val="24"/>
              </w:rPr>
              <w:t>是否实质性响应磋商文件</w:t>
            </w:r>
          </w:p>
        </w:tc>
      </w:tr>
    </w:tbl>
    <w:p>
      <w:pPr>
        <w:adjustRightInd w:val="0"/>
        <w:snapToGrid w:val="0"/>
        <w:spacing w:before="156" w:beforeLines="50" w:line="360" w:lineRule="auto"/>
        <w:outlineLvl w:val="2"/>
        <w:rPr>
          <w:rFonts w:ascii="宋体" w:hAnsi="宋体" w:cs="宋体"/>
          <w:b/>
          <w:sz w:val="24"/>
          <w:szCs w:val="24"/>
        </w:rPr>
      </w:pPr>
      <w:r>
        <w:rPr>
          <w:rFonts w:hint="eastAsia" w:ascii="宋体" w:hAnsi="宋体" w:cs="宋体"/>
          <w:b/>
          <w:sz w:val="24"/>
          <w:szCs w:val="24"/>
        </w:rPr>
        <w:t>备注：如有一项未通过，采购人将认定整个响应文件未响应竞争性磋商文件而予以废标处理。</w:t>
      </w:r>
    </w:p>
    <w:p>
      <w:pPr>
        <w:spacing w:line="360" w:lineRule="auto"/>
        <w:ind w:firstLine="484" w:firstLineChars="200"/>
        <w:jc w:val="left"/>
        <w:rPr>
          <w:rFonts w:ascii="宋体" w:hAnsi="宋体" w:cs="宋体"/>
          <w:b/>
          <w:sz w:val="24"/>
          <w:szCs w:val="24"/>
        </w:rPr>
      </w:pPr>
    </w:p>
    <w:p>
      <w:pPr>
        <w:adjustRightInd w:val="0"/>
        <w:snapToGrid w:val="0"/>
        <w:spacing w:line="360" w:lineRule="auto"/>
        <w:outlineLvl w:val="2"/>
        <w:rPr>
          <w:rFonts w:ascii="宋体" w:hAnsi="宋体" w:cs="宋体"/>
          <w:b/>
          <w:sz w:val="24"/>
          <w:szCs w:val="24"/>
        </w:rPr>
      </w:pPr>
      <w:r>
        <w:rPr>
          <w:rFonts w:hint="eastAsia" w:ascii="宋体" w:hAnsi="宋体" w:cs="宋体"/>
          <w:b/>
          <w:sz w:val="24"/>
          <w:szCs w:val="24"/>
        </w:rPr>
        <w:t>附表二：</w:t>
      </w:r>
    </w:p>
    <w:p>
      <w:pPr>
        <w:adjustRightInd w:val="0"/>
        <w:snapToGrid w:val="0"/>
        <w:spacing w:line="360" w:lineRule="auto"/>
        <w:jc w:val="center"/>
        <w:outlineLvl w:val="2"/>
        <w:rPr>
          <w:rFonts w:ascii="宋体" w:hAnsi="宋体" w:cs="宋体"/>
          <w:b/>
          <w:bCs/>
          <w:sz w:val="28"/>
          <w:szCs w:val="28"/>
        </w:rPr>
      </w:pPr>
      <w:r>
        <w:rPr>
          <w:rFonts w:hint="eastAsia" w:ascii="宋体" w:hAnsi="宋体" w:cs="宋体"/>
          <w:b/>
          <w:sz w:val="28"/>
          <w:szCs w:val="28"/>
        </w:rPr>
        <w:t>符合性审查表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4" w:type="dxa"/>
            <w:vAlign w:val="center"/>
          </w:tcPr>
          <w:p>
            <w:pPr>
              <w:jc w:val="center"/>
              <w:rPr>
                <w:rFonts w:ascii="宋体" w:hAnsi="宋体" w:cs="宋体"/>
                <w:b/>
                <w:sz w:val="24"/>
                <w:szCs w:val="24"/>
              </w:rPr>
            </w:pPr>
            <w:r>
              <w:rPr>
                <w:rFonts w:hint="eastAsia" w:ascii="宋体" w:hAnsi="宋体" w:cs="宋体"/>
                <w:b/>
                <w:sz w:val="24"/>
                <w:szCs w:val="24"/>
              </w:rPr>
              <w:t>序号</w:t>
            </w:r>
          </w:p>
        </w:tc>
        <w:tc>
          <w:tcPr>
            <w:tcW w:w="7380" w:type="dxa"/>
            <w:vAlign w:val="center"/>
          </w:tcPr>
          <w:p>
            <w:pPr>
              <w:jc w:val="center"/>
              <w:rPr>
                <w:rFonts w:ascii="宋体" w:hAnsi="宋体" w:cs="宋体"/>
                <w:b/>
                <w:sz w:val="24"/>
                <w:szCs w:val="24"/>
              </w:rPr>
            </w:pPr>
            <w:r>
              <w:rPr>
                <w:rFonts w:hint="eastAsia" w:ascii="宋体" w:hAnsi="宋体" w:cs="宋体"/>
                <w:b/>
                <w:sz w:val="24"/>
                <w:szCs w:val="24"/>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4" w:type="dxa"/>
            <w:vAlign w:val="center"/>
          </w:tcPr>
          <w:p>
            <w:pPr>
              <w:jc w:val="center"/>
              <w:rPr>
                <w:rFonts w:ascii="宋体" w:hAnsi="宋体" w:cs="宋体"/>
                <w:sz w:val="24"/>
                <w:szCs w:val="24"/>
              </w:rPr>
            </w:pPr>
            <w:r>
              <w:rPr>
                <w:rFonts w:hint="eastAsia" w:ascii="宋体" w:hAnsi="宋体" w:cs="宋体"/>
                <w:sz w:val="24"/>
                <w:szCs w:val="24"/>
              </w:rPr>
              <w:t>1</w:t>
            </w:r>
          </w:p>
        </w:tc>
        <w:tc>
          <w:tcPr>
            <w:tcW w:w="7380" w:type="dxa"/>
            <w:vAlign w:val="center"/>
          </w:tcPr>
          <w:p>
            <w:pPr>
              <w:rPr>
                <w:rFonts w:ascii="宋体" w:hAnsi="宋体" w:cs="宋体"/>
                <w:sz w:val="24"/>
                <w:szCs w:val="24"/>
              </w:rPr>
            </w:pPr>
            <w:r>
              <w:rPr>
                <w:rFonts w:hint="eastAsia" w:ascii="宋体" w:hAnsi="宋体" w:cs="宋体"/>
                <w:sz w:val="24"/>
                <w:szCs w:val="24"/>
              </w:rPr>
              <w:t>最后报价是否固定唯一，且各报价没有超过最高限价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4" w:type="dxa"/>
            <w:vAlign w:val="center"/>
          </w:tcPr>
          <w:p>
            <w:pPr>
              <w:jc w:val="center"/>
              <w:rPr>
                <w:rFonts w:ascii="宋体" w:hAnsi="宋体" w:cs="宋体"/>
                <w:sz w:val="24"/>
                <w:szCs w:val="24"/>
              </w:rPr>
            </w:pPr>
            <w:r>
              <w:rPr>
                <w:rFonts w:hint="eastAsia" w:ascii="宋体" w:hAnsi="宋体" w:cs="宋体"/>
                <w:sz w:val="24"/>
                <w:szCs w:val="24"/>
              </w:rPr>
              <w:t>2</w:t>
            </w:r>
          </w:p>
        </w:tc>
        <w:tc>
          <w:tcPr>
            <w:tcW w:w="7380" w:type="dxa"/>
            <w:vAlign w:val="center"/>
          </w:tcPr>
          <w:p>
            <w:pPr>
              <w:rPr>
                <w:rFonts w:ascii="宋体" w:hAnsi="宋体" w:cs="宋体"/>
                <w:sz w:val="24"/>
                <w:szCs w:val="24"/>
              </w:rPr>
            </w:pPr>
            <w:r>
              <w:rPr>
                <w:rFonts w:hint="eastAsia" w:ascii="宋体" w:hAnsi="宋体" w:cs="宋体"/>
                <w:sz w:val="24"/>
                <w:szCs w:val="24"/>
              </w:rPr>
              <w:t>是否满足项目的服务期限要求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4" w:type="dxa"/>
            <w:vAlign w:val="center"/>
          </w:tcPr>
          <w:p>
            <w:pPr>
              <w:jc w:val="center"/>
              <w:rPr>
                <w:rFonts w:ascii="宋体" w:hAnsi="宋体" w:cs="宋体"/>
                <w:sz w:val="24"/>
                <w:szCs w:val="24"/>
              </w:rPr>
            </w:pPr>
            <w:r>
              <w:rPr>
                <w:rFonts w:hint="eastAsia" w:ascii="宋体" w:hAnsi="宋体" w:cs="宋体"/>
                <w:sz w:val="24"/>
                <w:szCs w:val="24"/>
              </w:rPr>
              <w:t>3</w:t>
            </w:r>
          </w:p>
        </w:tc>
        <w:tc>
          <w:tcPr>
            <w:tcW w:w="7380" w:type="dxa"/>
            <w:vAlign w:val="center"/>
          </w:tcPr>
          <w:p>
            <w:pPr>
              <w:rPr>
                <w:rFonts w:ascii="宋体" w:hAnsi="宋体" w:cs="宋体"/>
                <w:sz w:val="24"/>
                <w:szCs w:val="24"/>
              </w:rPr>
            </w:pPr>
            <w:r>
              <w:rPr>
                <w:rFonts w:hint="eastAsia" w:ascii="宋体" w:hAnsi="宋体" w:cs="宋体"/>
                <w:sz w:val="24"/>
                <w:szCs w:val="24"/>
              </w:rPr>
              <w:t>是否符合磋商文件的签署盖章要求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4" w:type="dxa"/>
            <w:vAlign w:val="center"/>
          </w:tcPr>
          <w:p>
            <w:pPr>
              <w:jc w:val="center"/>
              <w:rPr>
                <w:rFonts w:ascii="宋体" w:hAnsi="宋体" w:cs="宋体"/>
                <w:sz w:val="24"/>
                <w:szCs w:val="24"/>
              </w:rPr>
            </w:pPr>
            <w:r>
              <w:rPr>
                <w:rFonts w:hint="eastAsia" w:ascii="宋体" w:hAnsi="宋体" w:cs="宋体"/>
                <w:sz w:val="24"/>
                <w:szCs w:val="24"/>
              </w:rPr>
              <w:t>4</w:t>
            </w:r>
          </w:p>
        </w:tc>
        <w:tc>
          <w:tcPr>
            <w:tcW w:w="7380" w:type="dxa"/>
            <w:vAlign w:val="center"/>
          </w:tcPr>
          <w:p>
            <w:pPr>
              <w:rPr>
                <w:rFonts w:ascii="宋体" w:hAnsi="宋体" w:cs="宋体"/>
                <w:sz w:val="24"/>
                <w:szCs w:val="24"/>
              </w:rPr>
            </w:pPr>
            <w:r>
              <w:rPr>
                <w:rFonts w:hint="eastAsia" w:ascii="宋体" w:hAnsi="宋体" w:cs="宋体"/>
                <w:sz w:val="24"/>
                <w:szCs w:val="24"/>
              </w:rPr>
              <w:t>响应文件有效期是否为90天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4" w:type="dxa"/>
            <w:vAlign w:val="center"/>
          </w:tcPr>
          <w:p>
            <w:pPr>
              <w:jc w:val="center"/>
              <w:rPr>
                <w:rFonts w:ascii="宋体" w:hAnsi="宋体" w:cs="宋体"/>
                <w:sz w:val="24"/>
                <w:szCs w:val="24"/>
              </w:rPr>
            </w:pPr>
            <w:bookmarkStart w:id="438" w:name="_GoBack"/>
            <w:r>
              <w:rPr>
                <w:rFonts w:ascii="宋体" w:hAnsi="宋体" w:cs="宋体"/>
                <w:sz w:val="24"/>
                <w:szCs w:val="24"/>
              </w:rPr>
              <w:t>5</w:t>
            </w:r>
          </w:p>
        </w:tc>
        <w:tc>
          <w:tcPr>
            <w:tcW w:w="7380" w:type="dxa"/>
            <w:vAlign w:val="center"/>
          </w:tcPr>
          <w:p>
            <w:pPr>
              <w:rPr>
                <w:rFonts w:ascii="宋体" w:hAnsi="宋体" w:cs="宋体"/>
                <w:sz w:val="24"/>
                <w:szCs w:val="24"/>
              </w:rPr>
            </w:pPr>
            <w:r>
              <w:rPr>
                <w:rFonts w:hint="eastAsia" w:ascii="宋体" w:hAnsi="宋体" w:cs="宋体"/>
                <w:kern w:val="1"/>
                <w:sz w:val="24"/>
                <w:szCs w:val="24"/>
              </w:rPr>
              <w:t>响应文件是否满足采购人需求的要求，</w:t>
            </w:r>
            <w:r>
              <w:rPr>
                <w:rFonts w:hint="eastAsia" w:ascii="宋体" w:hAnsi="宋体" w:cs="宋体"/>
                <w:sz w:val="24"/>
                <w:szCs w:val="24"/>
              </w:rPr>
              <w:t>且没有重大偏离</w:t>
            </w:r>
          </w:p>
        </w:tc>
      </w:tr>
      <w:bookmarkEnd w:id="4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4" w:type="dxa"/>
            <w:vAlign w:val="center"/>
          </w:tcPr>
          <w:p>
            <w:pPr>
              <w:jc w:val="center"/>
              <w:rPr>
                <w:rFonts w:ascii="宋体" w:hAnsi="宋体" w:cs="宋体"/>
                <w:sz w:val="24"/>
                <w:szCs w:val="24"/>
              </w:rPr>
            </w:pPr>
            <w:r>
              <w:rPr>
                <w:rFonts w:ascii="宋体" w:hAnsi="宋体" w:cs="宋体"/>
                <w:sz w:val="24"/>
                <w:szCs w:val="24"/>
              </w:rPr>
              <w:t>6</w:t>
            </w:r>
          </w:p>
        </w:tc>
        <w:tc>
          <w:tcPr>
            <w:tcW w:w="7380" w:type="dxa"/>
            <w:vAlign w:val="center"/>
          </w:tcPr>
          <w:p>
            <w:pPr>
              <w:rPr>
                <w:rFonts w:ascii="宋体" w:hAnsi="宋体" w:cs="宋体"/>
                <w:sz w:val="24"/>
                <w:szCs w:val="24"/>
              </w:rPr>
            </w:pPr>
            <w:r>
              <w:rPr>
                <w:rFonts w:hint="eastAsia" w:ascii="宋体" w:hAnsi="宋体" w:cs="宋体"/>
                <w:sz w:val="24"/>
                <w:szCs w:val="24"/>
              </w:rPr>
              <w:t>没有其它未实质性响应磋商文件的要求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4" w:type="dxa"/>
            <w:vAlign w:val="center"/>
          </w:tcPr>
          <w:p>
            <w:pPr>
              <w:jc w:val="center"/>
              <w:rPr>
                <w:rFonts w:ascii="宋体" w:hAnsi="宋体" w:cs="宋体"/>
                <w:sz w:val="24"/>
                <w:szCs w:val="24"/>
              </w:rPr>
            </w:pPr>
            <w:r>
              <w:rPr>
                <w:rFonts w:hint="eastAsia" w:ascii="宋体" w:hAnsi="宋体" w:cs="宋体"/>
                <w:sz w:val="24"/>
                <w:szCs w:val="24"/>
              </w:rPr>
              <w:t>结论</w:t>
            </w:r>
          </w:p>
        </w:tc>
        <w:tc>
          <w:tcPr>
            <w:tcW w:w="7380" w:type="dxa"/>
            <w:vAlign w:val="center"/>
          </w:tcPr>
          <w:p>
            <w:pPr>
              <w:pStyle w:val="167"/>
              <w:spacing w:line="240" w:lineRule="auto"/>
              <w:ind w:firstLine="0" w:firstLineChars="0"/>
              <w:rPr>
                <w:rFonts w:ascii="宋体" w:hAnsi="宋体" w:cs="宋体"/>
                <w:szCs w:val="24"/>
              </w:rPr>
            </w:pPr>
            <w:r>
              <w:rPr>
                <w:rFonts w:hint="eastAsia" w:ascii="宋体" w:hAnsi="宋体" w:cs="宋体"/>
                <w:szCs w:val="24"/>
              </w:rPr>
              <w:t>是否实质性响应磋商文件</w:t>
            </w:r>
          </w:p>
        </w:tc>
      </w:tr>
    </w:tbl>
    <w:p>
      <w:pPr>
        <w:spacing w:line="360" w:lineRule="auto"/>
        <w:rPr>
          <w:rFonts w:ascii="宋体" w:hAnsi="宋体" w:cs="宋体"/>
          <w:b/>
          <w:sz w:val="24"/>
          <w:szCs w:val="24"/>
        </w:rPr>
      </w:pPr>
      <w:r>
        <w:rPr>
          <w:rFonts w:hint="eastAsia" w:ascii="宋体" w:hAnsi="宋体" w:cs="宋体"/>
          <w:b/>
          <w:sz w:val="24"/>
          <w:szCs w:val="24"/>
        </w:rPr>
        <w:t>备注：如有一项未通过，磋商小组将认定整个响应文件未响应竞争性磋商文件而予以废标处理。</w:t>
      </w:r>
    </w:p>
    <w:p>
      <w:pPr>
        <w:spacing w:line="360" w:lineRule="auto"/>
        <w:rPr>
          <w:rFonts w:ascii="宋体" w:hAnsi="宋体" w:cs="宋体"/>
          <w:b/>
          <w:bCs/>
          <w:sz w:val="28"/>
          <w:szCs w:val="28"/>
        </w:rPr>
      </w:pPr>
      <w:r>
        <w:rPr>
          <w:rFonts w:hint="eastAsia" w:ascii="宋体" w:hAnsi="宋体" w:cs="宋体"/>
          <w:b/>
          <w:sz w:val="24"/>
          <w:szCs w:val="24"/>
        </w:rPr>
        <w:br w:type="page"/>
      </w:r>
      <w:bookmarkStart w:id="161" w:name="_Toc6957"/>
      <w:bookmarkStart w:id="162" w:name="_Toc13173"/>
      <w:bookmarkStart w:id="163" w:name="_Toc26085"/>
      <w:r>
        <w:rPr>
          <w:rFonts w:hint="eastAsia" w:ascii="宋体" w:hAnsi="宋体" w:cs="宋体"/>
          <w:b/>
          <w:bCs/>
          <w:sz w:val="24"/>
          <w:szCs w:val="24"/>
        </w:rPr>
        <w:t>附表三：</w:t>
      </w:r>
    </w:p>
    <w:p>
      <w:pPr>
        <w:spacing w:line="360" w:lineRule="auto"/>
        <w:jc w:val="center"/>
        <w:rPr>
          <w:rFonts w:ascii="宋体" w:hAnsi="宋体" w:cs="宋体"/>
          <w:b/>
          <w:bCs/>
          <w:sz w:val="28"/>
          <w:szCs w:val="28"/>
        </w:rPr>
      </w:pPr>
      <w:r>
        <w:rPr>
          <w:rFonts w:hint="eastAsia" w:ascii="宋体" w:hAnsi="宋体" w:cs="宋体"/>
          <w:b/>
          <w:bCs/>
          <w:sz w:val="28"/>
          <w:szCs w:val="28"/>
        </w:rPr>
        <w:t>商务、技术评审表</w:t>
      </w:r>
    </w:p>
    <w:bookmarkEnd w:id="161"/>
    <w:bookmarkEnd w:id="162"/>
    <w:bookmarkEnd w:id="163"/>
    <w:tbl>
      <w:tblPr>
        <w:tblStyle w:val="32"/>
        <w:tblW w:w="5504"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78"/>
        <w:gridCol w:w="1163"/>
        <w:gridCol w:w="1309"/>
        <w:gridCol w:w="654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2" w:hRule="atLeast"/>
          <w:jc w:val="center"/>
        </w:trPr>
        <w:tc>
          <w:tcPr>
            <w:tcW w:w="301" w:type="pct"/>
            <w:noWrap/>
            <w:vAlign w:val="center"/>
          </w:tcPr>
          <w:p>
            <w:pPr>
              <w:spacing w:line="288"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606" w:type="pct"/>
            <w:noWrap/>
            <w:vAlign w:val="center"/>
          </w:tcPr>
          <w:p>
            <w:pPr>
              <w:spacing w:line="288"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评分因素及权重</w:t>
            </w:r>
          </w:p>
        </w:tc>
        <w:tc>
          <w:tcPr>
            <w:tcW w:w="682" w:type="pct"/>
            <w:noWrap/>
            <w:vAlign w:val="center"/>
          </w:tcPr>
          <w:p>
            <w:pPr>
              <w:spacing w:line="288"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具体指标</w:t>
            </w:r>
          </w:p>
        </w:tc>
        <w:tc>
          <w:tcPr>
            <w:tcW w:w="3411" w:type="pct"/>
            <w:noWrap/>
            <w:vAlign w:val="center"/>
          </w:tcPr>
          <w:p>
            <w:pPr>
              <w:spacing w:line="288"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60" w:hRule="atLeast"/>
          <w:jc w:val="center"/>
        </w:trPr>
        <w:tc>
          <w:tcPr>
            <w:tcW w:w="301" w:type="pct"/>
            <w:noWrap/>
            <w:vAlign w:val="center"/>
          </w:tcPr>
          <w:p>
            <w:pPr>
              <w:spacing w:line="288"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606" w:type="pct"/>
            <w:noWrap/>
            <w:vAlign w:val="center"/>
          </w:tcPr>
          <w:p>
            <w:pPr>
              <w:spacing w:line="288"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价格部分</w:t>
            </w:r>
            <w:r>
              <w:rPr>
                <w:rFonts w:ascii="宋体" w:hAnsi="宋体" w:cs="宋体"/>
                <w:color w:val="000000" w:themeColor="text1"/>
                <w:szCs w:val="21"/>
                <w14:textFill>
                  <w14:solidFill>
                    <w14:schemeClr w14:val="tx1"/>
                  </w14:solidFill>
                </w14:textFill>
              </w:rPr>
              <w:t>30</w:t>
            </w:r>
            <w:r>
              <w:rPr>
                <w:rFonts w:hint="eastAsia" w:ascii="宋体" w:hAnsi="宋体" w:cs="宋体"/>
                <w:color w:val="000000" w:themeColor="text1"/>
                <w:szCs w:val="21"/>
                <w14:textFill>
                  <w14:solidFill>
                    <w14:schemeClr w14:val="tx1"/>
                  </w14:solidFill>
                </w14:textFill>
              </w:rPr>
              <w:t>%</w:t>
            </w:r>
          </w:p>
        </w:tc>
        <w:tc>
          <w:tcPr>
            <w:tcW w:w="682" w:type="pct"/>
            <w:noWrap/>
            <w:vAlign w:val="center"/>
          </w:tcPr>
          <w:p>
            <w:pPr>
              <w:spacing w:line="288"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w:t>
            </w:r>
          </w:p>
          <w:p>
            <w:pPr>
              <w:spacing w:line="288"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30</w:t>
            </w:r>
            <w:r>
              <w:rPr>
                <w:rFonts w:hint="eastAsia" w:ascii="宋体" w:hAnsi="宋体" w:cs="宋体"/>
                <w:color w:val="000000" w:themeColor="text1"/>
                <w:szCs w:val="21"/>
                <w14:textFill>
                  <w14:solidFill>
                    <w14:schemeClr w14:val="tx1"/>
                  </w14:solidFill>
                </w14:textFill>
              </w:rPr>
              <w:t>分）</w:t>
            </w:r>
          </w:p>
        </w:tc>
        <w:tc>
          <w:tcPr>
            <w:tcW w:w="3411" w:type="pct"/>
            <w:noWrap/>
            <w:vAlign w:val="center"/>
          </w:tcPr>
          <w:p>
            <w:pPr>
              <w:spacing w:line="288"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（1）评标基准价</w:t>
            </w:r>
          </w:p>
          <w:p>
            <w:pPr>
              <w:spacing w:line="288"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满足采购文件要求的且价格最低的报价为评标基准价，其价格分为满分。</w:t>
            </w:r>
          </w:p>
          <w:p>
            <w:pPr>
              <w:spacing w:line="288"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（2）投标报价得分</w:t>
            </w:r>
          </w:p>
          <w:p>
            <w:pPr>
              <w:spacing w:line="288"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其他投标人的价格分按照下列公式计算：</w:t>
            </w:r>
          </w:p>
          <w:p>
            <w:pPr>
              <w:spacing w:line="288"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投标报价得分=(评标基准价/有效投标人投标报价)×</w:t>
            </w:r>
            <w:r>
              <w:rPr>
                <w:rFonts w:ascii="宋体" w:hAnsi="宋体" w:cs="宋体"/>
                <w:color w:val="000000" w:themeColor="text1"/>
                <w:szCs w:val="21"/>
                <w14:textFill>
                  <w14:solidFill>
                    <w14:schemeClr w14:val="tx1"/>
                  </w14:solidFill>
                </w14:textFill>
              </w:rPr>
              <w:t>30</w:t>
            </w:r>
            <w:r>
              <w:rPr>
                <w:rFonts w:hint="eastAsia" w:ascii="宋体" w:hAnsi="宋体" w:cs="宋体"/>
                <w:color w:val="000000" w:themeColor="text1"/>
                <w:szCs w:val="21"/>
                <w14:textFill>
                  <w14:solidFill>
                    <w14:schemeClr w14:val="tx1"/>
                  </w14:solidFill>
                </w14:textFill>
              </w:rPr>
              <w:t>（保留小数点后两位，第三位小数四舍五入）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88" w:hRule="atLeast"/>
          <w:jc w:val="center"/>
        </w:trPr>
        <w:tc>
          <w:tcPr>
            <w:tcW w:w="301" w:type="pct"/>
            <w:vMerge w:val="restart"/>
            <w:noWrap/>
            <w:vAlign w:val="center"/>
          </w:tcPr>
          <w:p>
            <w:pPr>
              <w:spacing w:line="288"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606" w:type="pct"/>
            <w:vMerge w:val="restart"/>
            <w:noWrap/>
            <w:vAlign w:val="center"/>
          </w:tcPr>
          <w:p>
            <w:pPr>
              <w:spacing w:line="288"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商务部分</w:t>
            </w:r>
            <w:r>
              <w:rPr>
                <w:rFonts w:ascii="宋体" w:hAnsi="宋体" w:cs="宋体"/>
                <w:color w:val="000000" w:themeColor="text1"/>
                <w:szCs w:val="21"/>
                <w14:textFill>
                  <w14:solidFill>
                    <w14:schemeClr w14:val="tx1"/>
                  </w14:solidFill>
                </w14:textFill>
              </w:rPr>
              <w:t>30</w:t>
            </w:r>
            <w:r>
              <w:rPr>
                <w:rFonts w:hint="eastAsia" w:ascii="宋体" w:hAnsi="宋体" w:cs="宋体"/>
                <w:color w:val="000000" w:themeColor="text1"/>
                <w:szCs w:val="21"/>
                <w14:textFill>
                  <w14:solidFill>
                    <w14:schemeClr w14:val="tx1"/>
                  </w14:solidFill>
                </w14:textFill>
              </w:rPr>
              <w:t>%</w:t>
            </w:r>
          </w:p>
        </w:tc>
        <w:tc>
          <w:tcPr>
            <w:tcW w:w="682" w:type="pct"/>
            <w:noWrap/>
          </w:tcPr>
          <w:p>
            <w:pPr>
              <w:rPr>
                <w:rFonts w:ascii="宋体" w:hAnsi="宋体"/>
                <w:szCs w:val="21"/>
              </w:rPr>
            </w:pPr>
            <w:r>
              <w:rPr>
                <w:rFonts w:hint="eastAsia" w:ascii="宋体" w:hAnsi="宋体"/>
                <w:szCs w:val="21"/>
              </w:rPr>
              <w:t>标书制作规范（0-3分）</w:t>
            </w:r>
          </w:p>
        </w:tc>
        <w:tc>
          <w:tcPr>
            <w:tcW w:w="3411" w:type="pct"/>
            <w:noWrap/>
          </w:tcPr>
          <w:p>
            <w:pPr>
              <w:rPr>
                <w:rFonts w:ascii="宋体" w:hAnsi="宋体"/>
                <w:szCs w:val="21"/>
              </w:rPr>
            </w:pPr>
            <w:r>
              <w:rPr>
                <w:rFonts w:hint="eastAsia" w:ascii="宋体" w:hAnsi="宋体"/>
                <w:szCs w:val="21"/>
              </w:rPr>
              <w:t>标书有目录索引、页码无错乱、标题、编号、正文、表格等排版规范,根据标书制作的质量进行综合评分，满分3分；每出现一项不规范，减0.5分，3分减完为止。</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3" w:hRule="atLeast"/>
          <w:jc w:val="center"/>
        </w:trPr>
        <w:tc>
          <w:tcPr>
            <w:tcW w:w="301" w:type="pct"/>
            <w:vMerge w:val="continue"/>
            <w:noWrap/>
            <w:vAlign w:val="center"/>
          </w:tcPr>
          <w:p>
            <w:pPr>
              <w:spacing w:line="288" w:lineRule="auto"/>
              <w:jc w:val="center"/>
              <w:rPr>
                <w:rFonts w:ascii="宋体" w:hAnsi="宋体" w:cs="宋体"/>
                <w:color w:val="000000" w:themeColor="text1"/>
                <w:szCs w:val="21"/>
                <w14:textFill>
                  <w14:solidFill>
                    <w14:schemeClr w14:val="tx1"/>
                  </w14:solidFill>
                </w14:textFill>
              </w:rPr>
            </w:pPr>
          </w:p>
        </w:tc>
        <w:tc>
          <w:tcPr>
            <w:tcW w:w="606" w:type="pct"/>
            <w:vMerge w:val="continue"/>
            <w:noWrap/>
            <w:vAlign w:val="center"/>
          </w:tcPr>
          <w:p>
            <w:pPr>
              <w:spacing w:line="288" w:lineRule="auto"/>
              <w:jc w:val="center"/>
              <w:rPr>
                <w:rFonts w:ascii="宋体" w:hAnsi="宋体" w:cs="宋体"/>
                <w:color w:val="000000" w:themeColor="text1"/>
                <w:szCs w:val="21"/>
                <w14:textFill>
                  <w14:solidFill>
                    <w14:schemeClr w14:val="tx1"/>
                  </w14:solidFill>
                </w14:textFill>
              </w:rPr>
            </w:pPr>
          </w:p>
        </w:tc>
        <w:tc>
          <w:tcPr>
            <w:tcW w:w="682" w:type="pct"/>
            <w:noWrap/>
            <w:vAlign w:val="center"/>
          </w:tcPr>
          <w:p>
            <w:pPr>
              <w:spacing w:line="288"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人员配置情况（1</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分）</w:t>
            </w:r>
          </w:p>
        </w:tc>
        <w:tc>
          <w:tcPr>
            <w:tcW w:w="3411" w:type="pct"/>
            <w:noWrap/>
            <w:vAlign w:val="center"/>
          </w:tcPr>
          <w:p>
            <w:pPr>
              <w:spacing w:line="288"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（1）项目负责人具备测绘专业高级工程师得</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分。</w:t>
            </w:r>
          </w:p>
          <w:p>
            <w:pPr>
              <w:spacing w:line="288"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（2）横向比较拟投入本项目组的成员（项目负责人除外），每增加一名测绘专业中级工程师得2分，最高得8分；</w:t>
            </w:r>
          </w:p>
          <w:p>
            <w:pPr>
              <w:spacing w:line="288"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注：须提供证书扫描件，同时提供项目负责人社保机构出具的在本企业最近3个月的社保缴纳证明或行政主管部门出具的证明材料，没有扫描件不得分。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86" w:hRule="atLeast"/>
          <w:jc w:val="center"/>
        </w:trPr>
        <w:tc>
          <w:tcPr>
            <w:tcW w:w="301" w:type="pct"/>
            <w:vMerge w:val="continue"/>
            <w:noWrap/>
            <w:vAlign w:val="center"/>
          </w:tcPr>
          <w:p>
            <w:pPr>
              <w:spacing w:line="288" w:lineRule="auto"/>
              <w:jc w:val="center"/>
              <w:rPr>
                <w:rFonts w:ascii="宋体" w:hAnsi="宋体" w:cs="宋体"/>
                <w:color w:val="000000" w:themeColor="text1"/>
                <w:szCs w:val="21"/>
                <w14:textFill>
                  <w14:solidFill>
                    <w14:schemeClr w14:val="tx1"/>
                  </w14:solidFill>
                </w14:textFill>
              </w:rPr>
            </w:pPr>
          </w:p>
        </w:tc>
        <w:tc>
          <w:tcPr>
            <w:tcW w:w="606" w:type="pct"/>
            <w:vMerge w:val="continue"/>
            <w:noWrap/>
            <w:vAlign w:val="center"/>
          </w:tcPr>
          <w:p>
            <w:pPr>
              <w:spacing w:line="288" w:lineRule="auto"/>
              <w:jc w:val="center"/>
              <w:rPr>
                <w:rFonts w:ascii="宋体" w:hAnsi="宋体" w:cs="宋体"/>
                <w:color w:val="000000" w:themeColor="text1"/>
                <w:szCs w:val="21"/>
                <w14:textFill>
                  <w14:solidFill>
                    <w14:schemeClr w14:val="tx1"/>
                  </w14:solidFill>
                </w14:textFill>
              </w:rPr>
            </w:pPr>
          </w:p>
        </w:tc>
        <w:tc>
          <w:tcPr>
            <w:tcW w:w="682" w:type="pct"/>
            <w:noWrap/>
            <w:vAlign w:val="center"/>
          </w:tcPr>
          <w:p>
            <w:pPr>
              <w:spacing w:line="288"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拟投入本项目设备情况（</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分）</w:t>
            </w:r>
          </w:p>
        </w:tc>
        <w:tc>
          <w:tcPr>
            <w:tcW w:w="3411" w:type="pct"/>
            <w:noWrap/>
            <w:vAlign w:val="center"/>
          </w:tcPr>
          <w:p>
            <w:pPr>
              <w:spacing w:line="288"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根据拟投入本项目的设备情况综合打分：最高得4分，未提供不得分。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jc w:val="center"/>
        </w:trPr>
        <w:tc>
          <w:tcPr>
            <w:tcW w:w="301" w:type="pct"/>
            <w:vMerge w:val="continue"/>
            <w:noWrap/>
            <w:vAlign w:val="center"/>
          </w:tcPr>
          <w:p>
            <w:pPr>
              <w:spacing w:line="288" w:lineRule="auto"/>
              <w:jc w:val="center"/>
              <w:rPr>
                <w:rFonts w:ascii="宋体" w:hAnsi="宋体" w:cs="宋体"/>
                <w:color w:val="000000" w:themeColor="text1"/>
                <w:szCs w:val="21"/>
                <w14:textFill>
                  <w14:solidFill>
                    <w14:schemeClr w14:val="tx1"/>
                  </w14:solidFill>
                </w14:textFill>
              </w:rPr>
            </w:pPr>
          </w:p>
        </w:tc>
        <w:tc>
          <w:tcPr>
            <w:tcW w:w="606" w:type="pct"/>
            <w:vMerge w:val="continue"/>
            <w:noWrap/>
            <w:vAlign w:val="center"/>
          </w:tcPr>
          <w:p>
            <w:pPr>
              <w:spacing w:line="288" w:lineRule="auto"/>
              <w:jc w:val="center"/>
              <w:rPr>
                <w:rFonts w:ascii="宋体" w:hAnsi="宋体" w:cs="宋体"/>
                <w:color w:val="000000" w:themeColor="text1"/>
                <w:szCs w:val="21"/>
                <w14:textFill>
                  <w14:solidFill>
                    <w14:schemeClr w14:val="tx1"/>
                  </w14:solidFill>
                </w14:textFill>
              </w:rPr>
            </w:pPr>
          </w:p>
        </w:tc>
        <w:tc>
          <w:tcPr>
            <w:tcW w:w="682" w:type="pct"/>
            <w:noWrap/>
            <w:vAlign w:val="center"/>
          </w:tcPr>
          <w:p>
            <w:pPr>
              <w:spacing w:line="288"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业绩情况（0-</w:t>
            </w:r>
            <w:r>
              <w:rPr>
                <w:rFonts w:ascii="宋体" w:hAnsi="宋体" w:cs="宋体"/>
                <w:color w:val="000000" w:themeColor="text1"/>
                <w:szCs w:val="21"/>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分）</w:t>
            </w:r>
          </w:p>
        </w:tc>
        <w:tc>
          <w:tcPr>
            <w:tcW w:w="3411" w:type="pct"/>
            <w:noWrap/>
            <w:vAlign w:val="center"/>
          </w:tcPr>
          <w:p>
            <w:pPr>
              <w:spacing w:line="280" w:lineRule="exact"/>
              <w:jc w:val="left"/>
            </w:pPr>
            <w:r>
              <w:rPr>
                <w:rFonts w:hint="eastAsia" w:ascii="宋体" w:hAnsi="宋体" w:cs="宋体"/>
                <w:szCs w:val="21"/>
              </w:rPr>
              <w:t>供应商近三年具有的类似测绘项目业绩，每项得2分，最高得10分，无业绩证明材料不得分。</w:t>
            </w:r>
          </w:p>
          <w:p>
            <w:pPr>
              <w:spacing w:line="288" w:lineRule="auto"/>
              <w:rPr>
                <w:rFonts w:ascii="宋体" w:hAnsi="宋体" w:cs="宋体"/>
                <w:color w:val="000000" w:themeColor="text1"/>
                <w:szCs w:val="21"/>
                <w14:textFill>
                  <w14:solidFill>
                    <w14:schemeClr w14:val="tx1"/>
                  </w14:solidFill>
                </w14:textFill>
              </w:rPr>
            </w:pPr>
            <w:r>
              <w:rPr>
                <w:rFonts w:hint="eastAsia" w:ascii="宋体" w:hAnsi="宋体" w:cs="宋体"/>
                <w:szCs w:val="21"/>
              </w:rPr>
              <w:t>注：提供上述项目的合同（要点包括签约时间、项目名称、金额和双方盖章）及中标通知书原件扫描件，否则该项业绩视为无效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301" w:type="pct"/>
            <w:vMerge w:val="continue"/>
            <w:noWrap/>
            <w:vAlign w:val="center"/>
          </w:tcPr>
          <w:p>
            <w:pPr>
              <w:spacing w:line="288" w:lineRule="auto"/>
              <w:jc w:val="center"/>
              <w:rPr>
                <w:rFonts w:ascii="宋体" w:hAnsi="宋体" w:cs="宋体"/>
                <w:color w:val="000000" w:themeColor="text1"/>
                <w:szCs w:val="21"/>
                <w14:textFill>
                  <w14:solidFill>
                    <w14:schemeClr w14:val="tx1"/>
                  </w14:solidFill>
                </w14:textFill>
              </w:rPr>
            </w:pPr>
          </w:p>
        </w:tc>
        <w:tc>
          <w:tcPr>
            <w:tcW w:w="606" w:type="pct"/>
            <w:vMerge w:val="continue"/>
            <w:noWrap/>
            <w:vAlign w:val="center"/>
          </w:tcPr>
          <w:p>
            <w:pPr>
              <w:spacing w:line="288" w:lineRule="auto"/>
              <w:jc w:val="center"/>
              <w:rPr>
                <w:rFonts w:ascii="宋体" w:hAnsi="宋体" w:cs="宋体"/>
                <w:color w:val="000000" w:themeColor="text1"/>
                <w:szCs w:val="21"/>
                <w14:textFill>
                  <w14:solidFill>
                    <w14:schemeClr w14:val="tx1"/>
                  </w14:solidFill>
                </w14:textFill>
              </w:rPr>
            </w:pPr>
          </w:p>
        </w:tc>
        <w:tc>
          <w:tcPr>
            <w:tcW w:w="682" w:type="pct"/>
            <w:noWrap/>
            <w:vAlign w:val="center"/>
          </w:tcPr>
          <w:p>
            <w:pPr>
              <w:spacing w:line="288"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财务能力和状况（0-</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分）</w:t>
            </w:r>
          </w:p>
        </w:tc>
        <w:tc>
          <w:tcPr>
            <w:tcW w:w="3411" w:type="pct"/>
            <w:noWrap/>
            <w:vAlign w:val="center"/>
          </w:tcPr>
          <w:p>
            <w:pPr>
              <w:spacing w:line="288"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经审计的2</w:t>
            </w:r>
            <w:r>
              <w:rPr>
                <w:rFonts w:ascii="宋体" w:hAnsi="宋体" w:cs="宋体"/>
                <w:color w:val="000000" w:themeColor="text1"/>
                <w:szCs w:val="21"/>
                <w14:textFill>
                  <w14:solidFill>
                    <w14:schemeClr w14:val="tx1"/>
                  </w14:solidFill>
                </w14:textFill>
              </w:rPr>
              <w:t>022</w:t>
            </w:r>
            <w:r>
              <w:rPr>
                <w:rFonts w:hint="eastAsia" w:ascii="宋体" w:hAnsi="宋体" w:cs="宋体"/>
                <w:color w:val="000000" w:themeColor="text1"/>
                <w:szCs w:val="21"/>
                <w14:textFill>
                  <w14:solidFill>
                    <w14:schemeClr w14:val="tx1"/>
                  </w14:solidFill>
                </w14:textFill>
              </w:rPr>
              <w:t>度会计报表显示资产负债率小于50%（不含）的得2分；≥50%得1分。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78" w:hRule="atLeast"/>
          <w:jc w:val="center"/>
        </w:trPr>
        <w:tc>
          <w:tcPr>
            <w:tcW w:w="301" w:type="pct"/>
            <w:vMerge w:val="restart"/>
            <w:noWrap/>
            <w:vAlign w:val="center"/>
          </w:tcPr>
          <w:p>
            <w:pPr>
              <w:spacing w:line="288"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606" w:type="pct"/>
            <w:vMerge w:val="restart"/>
            <w:noWrap/>
            <w:vAlign w:val="center"/>
          </w:tcPr>
          <w:p>
            <w:pPr>
              <w:spacing w:line="288"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技术部分</w:t>
            </w:r>
          </w:p>
          <w:p>
            <w:pPr>
              <w:spacing w:line="288" w:lineRule="auto"/>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w:t>
            </w:r>
          </w:p>
        </w:tc>
        <w:tc>
          <w:tcPr>
            <w:tcW w:w="682" w:type="pct"/>
            <w:noWrap/>
            <w:vAlign w:val="center"/>
          </w:tcPr>
          <w:p>
            <w:pPr>
              <w:spacing w:line="288"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服务方案</w:t>
            </w:r>
          </w:p>
          <w:p>
            <w:pPr>
              <w:spacing w:line="288"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20</w:t>
            </w:r>
            <w:r>
              <w:rPr>
                <w:rFonts w:hint="eastAsia" w:ascii="宋体" w:hAnsi="宋体" w:cs="宋体"/>
                <w:color w:val="000000" w:themeColor="text1"/>
                <w:szCs w:val="21"/>
                <w14:textFill>
                  <w14:solidFill>
                    <w14:schemeClr w14:val="tx1"/>
                  </w14:solidFill>
                </w14:textFill>
              </w:rPr>
              <w:t>分）</w:t>
            </w:r>
          </w:p>
        </w:tc>
        <w:tc>
          <w:tcPr>
            <w:tcW w:w="3411" w:type="pct"/>
            <w:noWrap/>
            <w:vAlign w:val="center"/>
          </w:tcPr>
          <w:p>
            <w:pPr>
              <w:spacing w:line="288"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项目特点阐述对本项目的理解，结合对实际情况的理解及项目实施规划经验，对测绘工作中难点及重点的分析和理解。投标人的总体服务方案的完整性和编制水平进行评价，包括方案内容结构是否齐全完整准确、条理是否清晰等。由评标委员会酌情打分，优得</w:t>
            </w:r>
            <w:r>
              <w:rPr>
                <w:rFonts w:ascii="宋体" w:hAnsi="宋体" w:cs="宋体"/>
                <w:color w:val="000000" w:themeColor="text1"/>
                <w:szCs w:val="21"/>
                <w14:textFill>
                  <w14:solidFill>
                    <w14:schemeClr w14:val="tx1"/>
                  </w14:solidFill>
                </w14:textFill>
              </w:rPr>
              <w:t>16-20</w:t>
            </w:r>
            <w:r>
              <w:rPr>
                <w:rFonts w:hint="eastAsia" w:ascii="宋体" w:hAnsi="宋体" w:cs="宋体"/>
                <w:color w:val="000000" w:themeColor="text1"/>
                <w:szCs w:val="21"/>
                <w14:textFill>
                  <w14:solidFill>
                    <w14:schemeClr w14:val="tx1"/>
                  </w14:solidFill>
                </w14:textFill>
              </w:rPr>
              <w:t>分，良得1</w:t>
            </w:r>
            <w:r>
              <w:rPr>
                <w:rFonts w:ascii="宋体" w:hAnsi="宋体" w:cs="宋体"/>
                <w:color w:val="000000" w:themeColor="text1"/>
                <w:szCs w:val="21"/>
                <w14:textFill>
                  <w14:solidFill>
                    <w14:schemeClr w14:val="tx1"/>
                  </w14:solidFill>
                </w14:textFill>
              </w:rPr>
              <w:t>1-15</w:t>
            </w:r>
            <w:r>
              <w:rPr>
                <w:rFonts w:hint="eastAsia" w:ascii="宋体" w:hAnsi="宋体" w:cs="宋体"/>
                <w:color w:val="000000" w:themeColor="text1"/>
                <w:szCs w:val="21"/>
                <w14:textFill>
                  <w14:solidFill>
                    <w14:schemeClr w14:val="tx1"/>
                  </w14:solidFill>
                </w14:textFill>
              </w:rPr>
              <w:t>分，一般</w:t>
            </w:r>
            <w:r>
              <w:rPr>
                <w:rFonts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-10分，差的</w:t>
            </w:r>
            <w:r>
              <w:rPr>
                <w:rFonts w:ascii="宋体" w:hAnsi="宋体" w:cs="宋体"/>
                <w:color w:val="000000" w:themeColor="text1"/>
                <w:szCs w:val="21"/>
                <w14:textFill>
                  <w14:solidFill>
                    <w14:schemeClr w14:val="tx1"/>
                  </w14:solidFill>
                </w14:textFill>
              </w:rPr>
              <w:t>1-5</w:t>
            </w:r>
            <w:r>
              <w:rPr>
                <w:rFonts w:hint="eastAsia" w:ascii="宋体" w:hAnsi="宋体" w:cs="宋体"/>
                <w:color w:val="000000" w:themeColor="text1"/>
                <w:szCs w:val="21"/>
                <w14:textFill>
                  <w14:solidFill>
                    <w14:schemeClr w14:val="tx1"/>
                  </w14:solidFill>
                </w14:textFill>
              </w:rPr>
              <w:t>分，不提供不得分。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80" w:hRule="atLeast"/>
          <w:jc w:val="center"/>
        </w:trPr>
        <w:tc>
          <w:tcPr>
            <w:tcW w:w="301" w:type="pct"/>
            <w:vMerge w:val="continue"/>
            <w:noWrap/>
            <w:vAlign w:val="center"/>
          </w:tcPr>
          <w:p>
            <w:pPr>
              <w:spacing w:line="288" w:lineRule="auto"/>
              <w:jc w:val="center"/>
              <w:rPr>
                <w:rFonts w:ascii="宋体" w:hAnsi="宋体" w:cs="宋体"/>
                <w:color w:val="000000" w:themeColor="text1"/>
                <w:szCs w:val="21"/>
                <w14:textFill>
                  <w14:solidFill>
                    <w14:schemeClr w14:val="tx1"/>
                  </w14:solidFill>
                </w14:textFill>
              </w:rPr>
            </w:pPr>
          </w:p>
        </w:tc>
        <w:tc>
          <w:tcPr>
            <w:tcW w:w="606" w:type="pct"/>
            <w:vMerge w:val="continue"/>
            <w:noWrap/>
            <w:vAlign w:val="center"/>
          </w:tcPr>
          <w:p>
            <w:pPr>
              <w:spacing w:line="288" w:lineRule="auto"/>
              <w:jc w:val="center"/>
              <w:rPr>
                <w:rFonts w:ascii="宋体" w:hAnsi="宋体" w:cs="宋体"/>
                <w:color w:val="000000" w:themeColor="text1"/>
                <w:szCs w:val="21"/>
                <w14:textFill>
                  <w14:solidFill>
                    <w14:schemeClr w14:val="tx1"/>
                  </w14:solidFill>
                </w14:textFill>
              </w:rPr>
            </w:pPr>
          </w:p>
        </w:tc>
        <w:tc>
          <w:tcPr>
            <w:tcW w:w="682" w:type="pct"/>
            <w:vMerge w:val="restart"/>
            <w:noWrap/>
            <w:vAlign w:val="center"/>
          </w:tcPr>
          <w:p>
            <w:pPr>
              <w:spacing w:line="288"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组织实施</w:t>
            </w:r>
          </w:p>
          <w:p>
            <w:pPr>
              <w:spacing w:line="288"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方案</w:t>
            </w:r>
          </w:p>
          <w:p>
            <w:pPr>
              <w:spacing w:line="288"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0分）</w:t>
            </w:r>
          </w:p>
        </w:tc>
        <w:tc>
          <w:tcPr>
            <w:tcW w:w="3411" w:type="pct"/>
            <w:noWrap/>
            <w:vAlign w:val="center"/>
          </w:tcPr>
          <w:p>
            <w:pPr>
              <w:spacing w:line="288"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日常管理。根据投标人的组织计划、项目进度安排、工作任务完成时限等的可行性和合理性进行评价。优得</w:t>
            </w:r>
            <w:r>
              <w:rPr>
                <w:rFonts w:ascii="宋体" w:hAnsi="宋体" w:cs="宋体"/>
                <w:color w:val="000000" w:themeColor="text1"/>
                <w:szCs w:val="21"/>
                <w14:textFill>
                  <w14:solidFill>
                    <w14:schemeClr w14:val="tx1"/>
                  </w14:solidFill>
                </w14:textFill>
              </w:rPr>
              <w:t>8</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0分，一般</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7</w:t>
            </w:r>
            <w:r>
              <w:rPr>
                <w:rFonts w:hint="eastAsia" w:ascii="宋体" w:hAnsi="宋体" w:cs="宋体"/>
                <w:color w:val="000000" w:themeColor="text1"/>
                <w:szCs w:val="21"/>
                <w14:textFill>
                  <w14:solidFill>
                    <w14:schemeClr w14:val="tx1"/>
                  </w14:solidFill>
                </w14:textFill>
              </w:rPr>
              <w:t>分，较差</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分，不提供不得分。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58" w:hRule="atLeast"/>
          <w:jc w:val="center"/>
        </w:trPr>
        <w:tc>
          <w:tcPr>
            <w:tcW w:w="301" w:type="pct"/>
            <w:vMerge w:val="continue"/>
            <w:noWrap/>
            <w:vAlign w:val="center"/>
          </w:tcPr>
          <w:p>
            <w:pPr>
              <w:spacing w:line="288" w:lineRule="auto"/>
              <w:jc w:val="center"/>
              <w:rPr>
                <w:rFonts w:ascii="宋体" w:hAnsi="宋体" w:cs="宋体"/>
                <w:color w:val="000000" w:themeColor="text1"/>
                <w:szCs w:val="21"/>
                <w14:textFill>
                  <w14:solidFill>
                    <w14:schemeClr w14:val="tx1"/>
                  </w14:solidFill>
                </w14:textFill>
              </w:rPr>
            </w:pPr>
          </w:p>
        </w:tc>
        <w:tc>
          <w:tcPr>
            <w:tcW w:w="606" w:type="pct"/>
            <w:vMerge w:val="continue"/>
            <w:noWrap/>
            <w:vAlign w:val="center"/>
          </w:tcPr>
          <w:p>
            <w:pPr>
              <w:spacing w:line="288" w:lineRule="auto"/>
              <w:jc w:val="center"/>
              <w:rPr>
                <w:rFonts w:ascii="宋体" w:hAnsi="宋体" w:cs="宋体"/>
                <w:color w:val="000000" w:themeColor="text1"/>
                <w:szCs w:val="21"/>
                <w14:textFill>
                  <w14:solidFill>
                    <w14:schemeClr w14:val="tx1"/>
                  </w14:solidFill>
                </w14:textFill>
              </w:rPr>
            </w:pPr>
          </w:p>
        </w:tc>
        <w:tc>
          <w:tcPr>
            <w:tcW w:w="682" w:type="pct"/>
            <w:vMerge w:val="continue"/>
            <w:noWrap/>
            <w:vAlign w:val="center"/>
          </w:tcPr>
          <w:p>
            <w:pPr>
              <w:spacing w:line="288" w:lineRule="auto"/>
              <w:jc w:val="center"/>
              <w:rPr>
                <w:rFonts w:ascii="宋体" w:hAnsi="宋体" w:cs="宋体"/>
                <w:color w:val="000000" w:themeColor="text1"/>
                <w:szCs w:val="21"/>
                <w14:textFill>
                  <w14:solidFill>
                    <w14:schemeClr w14:val="tx1"/>
                  </w14:solidFill>
                </w14:textFill>
              </w:rPr>
            </w:pPr>
          </w:p>
        </w:tc>
        <w:tc>
          <w:tcPr>
            <w:tcW w:w="3411" w:type="pct"/>
            <w:noWrap/>
            <w:vAlign w:val="center"/>
          </w:tcPr>
          <w:p>
            <w:pPr>
              <w:spacing w:line="288"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保障措施和服务承诺。对质量保证措施、服务承诺、保密措施、风险控制措施、安全生产保障机制等安排的可行性和合理性进行评价。优得</w:t>
            </w:r>
            <w:r>
              <w:rPr>
                <w:rFonts w:ascii="宋体" w:hAnsi="宋体" w:cs="宋体"/>
                <w:color w:val="000000" w:themeColor="text1"/>
                <w:szCs w:val="21"/>
                <w14:textFill>
                  <w14:solidFill>
                    <w14:schemeClr w14:val="tx1"/>
                  </w14:solidFill>
                </w14:textFill>
              </w:rPr>
              <w:t>8</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0分，一般</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7</w:t>
            </w:r>
            <w:r>
              <w:rPr>
                <w:rFonts w:hint="eastAsia" w:ascii="宋体" w:hAnsi="宋体" w:cs="宋体"/>
                <w:color w:val="000000" w:themeColor="text1"/>
                <w:szCs w:val="21"/>
                <w14:textFill>
                  <w14:solidFill>
                    <w14:schemeClr w14:val="tx1"/>
                  </w14:solidFill>
                </w14:textFill>
              </w:rPr>
              <w:t>分，较差</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分，不提供不得分。</w:t>
            </w:r>
          </w:p>
        </w:tc>
      </w:tr>
    </w:tbl>
    <w:p>
      <w:pPr>
        <w:spacing w:line="360" w:lineRule="auto"/>
        <w:ind w:firstLine="484" w:firstLineChars="200"/>
        <w:rPr>
          <w:rFonts w:ascii="宋体" w:hAnsi="宋体" w:cs="宋体"/>
          <w:sz w:val="24"/>
          <w:szCs w:val="24"/>
        </w:rPr>
      </w:pPr>
      <w:r>
        <w:rPr>
          <w:rFonts w:hint="eastAsia" w:ascii="宋体" w:hAnsi="宋体" w:cs="宋体"/>
          <w:sz w:val="24"/>
          <w:szCs w:val="24"/>
        </w:rPr>
        <w:br w:type="page"/>
      </w:r>
      <w:bookmarkEnd w:id="160"/>
      <w:r>
        <w:rPr>
          <w:rFonts w:hint="eastAsia" w:ascii="宋体" w:hAnsi="宋体" w:cs="宋体"/>
          <w:sz w:val="24"/>
          <w:szCs w:val="24"/>
        </w:rPr>
        <w:t>24.5 供应商在评标过程中，所进行的力图影响评标结果的不符合招标规则的活动，可能导致其被取消中标资格。</w:t>
      </w:r>
    </w:p>
    <w:p>
      <w:pPr>
        <w:spacing w:line="360" w:lineRule="auto"/>
        <w:ind w:firstLine="484" w:firstLineChars="200"/>
        <w:rPr>
          <w:rFonts w:ascii="宋体" w:hAnsi="宋体" w:cs="宋体"/>
          <w:sz w:val="24"/>
          <w:szCs w:val="24"/>
        </w:rPr>
      </w:pPr>
      <w:r>
        <w:rPr>
          <w:rFonts w:hint="eastAsia" w:ascii="宋体" w:hAnsi="宋体" w:cs="宋体"/>
          <w:sz w:val="24"/>
          <w:szCs w:val="24"/>
        </w:rPr>
        <w:t>24.6 与竞争性磋商文件有重大偏离的响应文件将被拒绝。</w:t>
      </w:r>
    </w:p>
    <w:p>
      <w:pPr>
        <w:spacing w:line="360" w:lineRule="auto"/>
        <w:rPr>
          <w:rFonts w:ascii="宋体" w:hAnsi="宋体" w:cs="宋体"/>
          <w:b/>
          <w:bCs/>
          <w:sz w:val="24"/>
          <w:szCs w:val="24"/>
        </w:rPr>
      </w:pPr>
      <w:bookmarkStart w:id="164" w:name="_Toc20139"/>
      <w:bookmarkStart w:id="165" w:name="_Toc18253"/>
      <w:bookmarkStart w:id="166" w:name="_Toc9748"/>
      <w:r>
        <w:rPr>
          <w:rFonts w:hint="eastAsia" w:ascii="宋体" w:hAnsi="宋体" w:cs="宋体"/>
          <w:b/>
          <w:bCs/>
          <w:sz w:val="24"/>
          <w:szCs w:val="24"/>
        </w:rPr>
        <w:t>25  中标供应商的确认</w:t>
      </w:r>
    </w:p>
    <w:p>
      <w:pPr>
        <w:spacing w:line="360" w:lineRule="auto"/>
        <w:ind w:firstLine="484" w:firstLineChars="200"/>
        <w:rPr>
          <w:rFonts w:ascii="宋体" w:hAnsi="宋体" w:cs="宋体"/>
          <w:sz w:val="24"/>
          <w:szCs w:val="24"/>
        </w:rPr>
      </w:pPr>
      <w:r>
        <w:rPr>
          <w:rFonts w:hint="eastAsia" w:ascii="宋体" w:hAnsi="宋体" w:cs="宋体"/>
          <w:sz w:val="24"/>
          <w:szCs w:val="24"/>
        </w:rPr>
        <w:t>25.1 磋商小组推荐得分最高的为第一中标候选人。采购人应当接受磋商小组推荐的中标候选人，不得在磋商小组推荐的中标候选人之外确定中标人。磋商小组无义务向供应商进行任何有关评标的解释工作。</w:t>
      </w:r>
    </w:p>
    <w:p>
      <w:pPr>
        <w:spacing w:line="360" w:lineRule="auto"/>
        <w:ind w:firstLine="484" w:firstLineChars="200"/>
        <w:rPr>
          <w:rFonts w:ascii="宋体" w:hAnsi="宋体" w:cs="宋体"/>
          <w:sz w:val="24"/>
          <w:szCs w:val="24"/>
        </w:rPr>
      </w:pPr>
      <w:r>
        <w:rPr>
          <w:rFonts w:hint="eastAsia" w:ascii="宋体" w:hAnsi="宋体" w:cs="宋体"/>
          <w:sz w:val="24"/>
          <w:szCs w:val="24"/>
        </w:rPr>
        <w:t>25.2 采购人应当确定排名第一的中标候选人为中标供应商。排名第一的中标候选人放弃中标、因不可抗力提出不能履行合同，或者竞争性磋商文件规定应当提交履约保证金而在规定的期限内未能提交的，采购人可以确定排名第二的中标候选人为中标供应商。</w:t>
      </w:r>
    </w:p>
    <w:p>
      <w:pPr>
        <w:spacing w:line="360" w:lineRule="auto"/>
        <w:ind w:firstLine="484" w:firstLineChars="200"/>
        <w:rPr>
          <w:rFonts w:ascii="宋体" w:hAnsi="宋体" w:cs="宋体"/>
          <w:sz w:val="24"/>
          <w:szCs w:val="24"/>
        </w:rPr>
      </w:pPr>
      <w:r>
        <w:rPr>
          <w:rFonts w:hint="eastAsia" w:ascii="宋体" w:hAnsi="宋体" w:cs="宋体"/>
          <w:sz w:val="24"/>
          <w:szCs w:val="24"/>
        </w:rPr>
        <w:t>25.3 在确定中标供应商前，采购人不得与投标供应商就投标价格、投标方案等实质性内容进行谈判。</w:t>
      </w:r>
    </w:p>
    <w:p>
      <w:pPr>
        <w:spacing w:line="360" w:lineRule="auto"/>
        <w:rPr>
          <w:rFonts w:ascii="宋体" w:hAnsi="宋体" w:cs="宋体"/>
          <w:b/>
          <w:bCs/>
          <w:sz w:val="24"/>
          <w:szCs w:val="24"/>
        </w:rPr>
      </w:pPr>
      <w:r>
        <w:rPr>
          <w:rFonts w:hint="eastAsia" w:ascii="宋体" w:hAnsi="宋体" w:cs="宋体"/>
          <w:b/>
          <w:bCs/>
          <w:sz w:val="24"/>
          <w:szCs w:val="24"/>
        </w:rPr>
        <w:t>26 中标通知</w:t>
      </w:r>
    </w:p>
    <w:p>
      <w:pPr>
        <w:spacing w:line="360" w:lineRule="auto"/>
        <w:ind w:firstLine="484" w:firstLineChars="200"/>
        <w:rPr>
          <w:rFonts w:ascii="宋体" w:hAnsi="宋体" w:cs="宋体"/>
          <w:sz w:val="24"/>
          <w:szCs w:val="24"/>
        </w:rPr>
      </w:pPr>
      <w:bookmarkStart w:id="167" w:name="_Toc13637"/>
      <w:bookmarkStart w:id="168" w:name="_Toc30172"/>
      <w:bookmarkStart w:id="169" w:name="_Toc3169"/>
      <w:bookmarkStart w:id="170" w:name="_Toc16205"/>
      <w:r>
        <w:rPr>
          <w:rFonts w:hint="eastAsia" w:ascii="宋体" w:hAnsi="宋体" w:cs="宋体"/>
          <w:sz w:val="24"/>
          <w:szCs w:val="24"/>
        </w:rPr>
        <w:t>26.1 采购人或者采购代理机构应当自中标供应商确定之日起2个工作日内，发出中标（成交）通知书，并在省级以上人民政府财政部门指定的媒体上公告中标结果。</w:t>
      </w:r>
    </w:p>
    <w:p>
      <w:pPr>
        <w:spacing w:line="360" w:lineRule="auto"/>
        <w:ind w:firstLine="484" w:firstLineChars="200"/>
        <w:rPr>
          <w:rFonts w:ascii="宋体" w:hAnsi="宋体" w:cs="宋体"/>
          <w:sz w:val="24"/>
          <w:szCs w:val="24"/>
        </w:rPr>
      </w:pPr>
      <w:r>
        <w:rPr>
          <w:rFonts w:hint="eastAsia" w:ascii="宋体" w:hAnsi="宋体" w:cs="宋体"/>
          <w:sz w:val="24"/>
          <w:szCs w:val="24"/>
        </w:rPr>
        <w:t>26.2</w:t>
      </w:r>
      <w:r>
        <w:rPr>
          <w:rFonts w:hint="eastAsia" w:ascii="宋体" w:hAnsi="宋体" w:cs="宋体"/>
          <w:b/>
          <w:bCs/>
          <w:sz w:val="24"/>
          <w:szCs w:val="24"/>
        </w:rPr>
        <w:t xml:space="preserve"> </w:t>
      </w:r>
      <w:bookmarkEnd w:id="167"/>
      <w:bookmarkEnd w:id="168"/>
      <w:bookmarkEnd w:id="169"/>
      <w:bookmarkEnd w:id="170"/>
      <w:r>
        <w:rPr>
          <w:rFonts w:hint="eastAsia" w:ascii="宋体" w:hAnsi="宋体" w:cs="宋体"/>
          <w:sz w:val="24"/>
          <w:szCs w:val="24"/>
        </w:rPr>
        <w:t>中标（成交）通知书对采购人和中标供应商均具有法律效力。中标（成交）通知书发出后，采购人改变中标结果的，或者中标供应商放弃中标项目的，应当依法承担法律责任。</w:t>
      </w:r>
    </w:p>
    <w:p>
      <w:pPr>
        <w:spacing w:line="360" w:lineRule="auto"/>
        <w:rPr>
          <w:rFonts w:ascii="宋体" w:hAnsi="宋体" w:cs="宋体"/>
          <w:b/>
          <w:bCs/>
          <w:sz w:val="24"/>
          <w:szCs w:val="24"/>
        </w:rPr>
      </w:pPr>
      <w:r>
        <w:rPr>
          <w:rFonts w:hint="eastAsia" w:ascii="宋体" w:hAnsi="宋体" w:cs="宋体"/>
          <w:b/>
          <w:bCs/>
          <w:sz w:val="24"/>
          <w:szCs w:val="24"/>
        </w:rPr>
        <w:t>27  拒绝投标的权力</w:t>
      </w:r>
    </w:p>
    <w:p>
      <w:pPr>
        <w:spacing w:line="360" w:lineRule="auto"/>
        <w:ind w:firstLine="484" w:firstLineChars="200"/>
        <w:rPr>
          <w:rFonts w:ascii="宋体" w:hAnsi="宋体" w:cs="宋体"/>
          <w:sz w:val="24"/>
          <w:szCs w:val="24"/>
        </w:rPr>
      </w:pPr>
      <w:r>
        <w:rPr>
          <w:rFonts w:hint="eastAsia" w:ascii="宋体" w:hAnsi="宋体" w:cs="宋体"/>
          <w:sz w:val="24"/>
          <w:szCs w:val="24"/>
        </w:rPr>
        <w:t>采购人有权在定标前拒绝任何有不正当行为或扰乱正常采购工作的供应商，由此对供应商造成的损失不负任何责任，同时对此也不做任何解释。</w:t>
      </w:r>
    </w:p>
    <w:p>
      <w:pPr>
        <w:spacing w:line="360" w:lineRule="auto"/>
        <w:jc w:val="center"/>
        <w:outlineLvl w:val="1"/>
        <w:rPr>
          <w:rFonts w:ascii="宋体" w:hAnsi="宋体" w:cs="宋体"/>
          <w:b/>
          <w:bCs/>
          <w:sz w:val="24"/>
          <w:szCs w:val="24"/>
        </w:rPr>
      </w:pPr>
      <w:bookmarkStart w:id="171" w:name="_Toc137664505"/>
      <w:bookmarkStart w:id="172" w:name="_Toc6254"/>
      <w:bookmarkStart w:id="173" w:name="_Toc137663955"/>
      <w:bookmarkStart w:id="174" w:name="_Toc18183"/>
      <w:bookmarkStart w:id="175" w:name="_Toc16028"/>
      <w:r>
        <w:rPr>
          <w:rFonts w:hint="eastAsia" w:ascii="宋体" w:hAnsi="宋体" w:cs="宋体"/>
          <w:b/>
          <w:bCs/>
          <w:sz w:val="24"/>
          <w:szCs w:val="24"/>
        </w:rPr>
        <w:t>七、 授予合同</w:t>
      </w:r>
      <w:bookmarkEnd w:id="164"/>
      <w:bookmarkEnd w:id="165"/>
      <w:bookmarkEnd w:id="166"/>
      <w:bookmarkEnd w:id="171"/>
      <w:bookmarkEnd w:id="172"/>
      <w:bookmarkEnd w:id="173"/>
      <w:bookmarkEnd w:id="174"/>
      <w:bookmarkEnd w:id="175"/>
    </w:p>
    <w:p>
      <w:pPr>
        <w:spacing w:line="360" w:lineRule="auto"/>
        <w:rPr>
          <w:rFonts w:ascii="宋体" w:hAnsi="宋体" w:cs="宋体"/>
          <w:b/>
          <w:bCs/>
          <w:sz w:val="24"/>
          <w:szCs w:val="24"/>
        </w:rPr>
      </w:pPr>
      <w:r>
        <w:rPr>
          <w:rFonts w:hint="eastAsia" w:ascii="宋体" w:hAnsi="宋体" w:cs="宋体"/>
          <w:b/>
          <w:bCs/>
          <w:sz w:val="24"/>
          <w:szCs w:val="24"/>
        </w:rPr>
        <w:t>28  签订商务合同</w:t>
      </w:r>
    </w:p>
    <w:p>
      <w:pPr>
        <w:spacing w:line="360" w:lineRule="auto"/>
        <w:ind w:firstLine="484" w:firstLineChars="200"/>
        <w:rPr>
          <w:rFonts w:ascii="宋体" w:hAnsi="宋体" w:cs="宋体"/>
          <w:sz w:val="24"/>
          <w:szCs w:val="24"/>
        </w:rPr>
      </w:pPr>
      <w:r>
        <w:rPr>
          <w:rFonts w:hint="eastAsia" w:ascii="宋体" w:hAnsi="宋体" w:cs="宋体"/>
          <w:sz w:val="24"/>
          <w:szCs w:val="24"/>
        </w:rPr>
        <w:t>28.1 采购人与中标供应商应当在中标（成交）通知书发出之日起30日内，按照竞争性磋商文件确定的事项签订政府采购合同。</w:t>
      </w:r>
    </w:p>
    <w:p>
      <w:pPr>
        <w:spacing w:line="360" w:lineRule="auto"/>
        <w:ind w:firstLine="484" w:firstLineChars="200"/>
        <w:rPr>
          <w:rFonts w:ascii="宋体" w:hAnsi="宋体" w:cs="宋体"/>
          <w:sz w:val="24"/>
          <w:szCs w:val="24"/>
        </w:rPr>
      </w:pPr>
      <w:r>
        <w:rPr>
          <w:rFonts w:hint="eastAsia" w:ascii="宋体" w:hAnsi="宋体" w:cs="宋体"/>
          <w:sz w:val="24"/>
          <w:szCs w:val="24"/>
        </w:rPr>
        <w:t>28.2 中标合同不得转让。经采购人同意，中标供应商可以依法采取分包方式履行合同。政府采购合同分包履行的，中标供应商就采购项目和分包项目向采购人负责，分包供应商就分包项目承担责任。</w:t>
      </w:r>
    </w:p>
    <w:p>
      <w:pPr>
        <w:spacing w:line="360" w:lineRule="auto"/>
        <w:ind w:firstLine="484" w:firstLineChars="200"/>
        <w:rPr>
          <w:rFonts w:ascii="宋体" w:hAnsi="宋体" w:cs="宋体"/>
          <w:sz w:val="24"/>
          <w:szCs w:val="24"/>
        </w:rPr>
      </w:pPr>
      <w:r>
        <w:rPr>
          <w:rFonts w:hint="eastAsia" w:ascii="宋体" w:hAnsi="宋体" w:cs="宋体"/>
          <w:sz w:val="24"/>
          <w:szCs w:val="24"/>
        </w:rPr>
        <w:t>28.3 竞争性磋商文件要求中标或者成交供应商提交履约保证金的，供应商应当以支票、汇票、本票或者金融机构、担保机构出具的保函等非现金形式提交。履约保证金的数额不得超过政府采购合同金额的10%。</w:t>
      </w:r>
    </w:p>
    <w:p>
      <w:pPr>
        <w:spacing w:line="360" w:lineRule="auto"/>
        <w:ind w:firstLine="484" w:firstLineChars="200"/>
        <w:rPr>
          <w:rFonts w:ascii="宋体" w:hAnsi="宋体" w:cs="宋体"/>
          <w:sz w:val="24"/>
          <w:szCs w:val="24"/>
        </w:rPr>
      </w:pPr>
      <w:r>
        <w:rPr>
          <w:rFonts w:hint="eastAsia" w:ascii="宋体" w:hAnsi="宋体" w:cs="宋体"/>
          <w:sz w:val="24"/>
          <w:szCs w:val="24"/>
        </w:rPr>
        <w:t>28.4 中标供应商拒绝与采购人签订合同的，采购人可以按照评审报告推荐的中标候选人名单排序，确定下一候选人为中标供应商，也可以重新开展政府采购活动。</w:t>
      </w:r>
    </w:p>
    <w:p>
      <w:pPr>
        <w:spacing w:line="360" w:lineRule="auto"/>
        <w:ind w:firstLine="484" w:firstLineChars="200"/>
        <w:rPr>
          <w:rFonts w:ascii="宋体" w:hAnsi="宋体" w:cs="宋体"/>
          <w:sz w:val="24"/>
          <w:szCs w:val="24"/>
        </w:rPr>
      </w:pPr>
      <w:r>
        <w:rPr>
          <w:rFonts w:hint="eastAsia" w:ascii="宋体" w:hAnsi="宋体" w:cs="宋体"/>
          <w:sz w:val="24"/>
          <w:szCs w:val="24"/>
        </w:rPr>
        <w:t>28.5 政府采购合同的双方当事人不得擅自变更、中止或者终止合同。</w:t>
      </w:r>
    </w:p>
    <w:p>
      <w:pPr>
        <w:spacing w:line="360" w:lineRule="auto"/>
        <w:ind w:firstLine="484" w:firstLineChars="200"/>
        <w:rPr>
          <w:rFonts w:ascii="宋体" w:hAnsi="宋体" w:cs="宋体"/>
          <w:sz w:val="24"/>
          <w:szCs w:val="24"/>
        </w:rPr>
      </w:pPr>
      <w:r>
        <w:rPr>
          <w:rFonts w:hint="eastAsia" w:ascii="宋体" w:hAnsi="宋体" w:cs="宋体"/>
          <w:sz w:val="24"/>
          <w:szCs w:val="24"/>
        </w:rPr>
        <w:t>政府采购合同继续履行将损害国家利益和社会公共利益的，双方当事人应当变更、中止或者终止合同。有过错的一方应当承担赔偿责任，双方都有过错的，各自承担相应的责任。</w:t>
      </w:r>
    </w:p>
    <w:p>
      <w:pPr>
        <w:spacing w:line="360" w:lineRule="auto"/>
        <w:rPr>
          <w:rFonts w:ascii="宋体" w:hAnsi="宋体" w:cs="宋体"/>
          <w:b/>
          <w:bCs/>
          <w:sz w:val="24"/>
          <w:szCs w:val="24"/>
        </w:rPr>
      </w:pPr>
      <w:r>
        <w:rPr>
          <w:rFonts w:hint="eastAsia" w:ascii="宋体" w:hAnsi="宋体" w:cs="宋体"/>
          <w:b/>
          <w:bCs/>
          <w:sz w:val="24"/>
          <w:szCs w:val="24"/>
        </w:rPr>
        <w:t>29  商务合同的组成</w:t>
      </w:r>
    </w:p>
    <w:p>
      <w:pPr>
        <w:spacing w:line="360" w:lineRule="auto"/>
        <w:ind w:firstLine="484" w:firstLineChars="200"/>
        <w:rPr>
          <w:rFonts w:ascii="宋体" w:hAnsi="宋体" w:cs="宋体"/>
          <w:sz w:val="24"/>
          <w:szCs w:val="24"/>
        </w:rPr>
      </w:pPr>
      <w:r>
        <w:rPr>
          <w:rFonts w:hint="eastAsia" w:ascii="宋体" w:hAnsi="宋体" w:cs="宋体"/>
          <w:sz w:val="24"/>
          <w:szCs w:val="24"/>
        </w:rPr>
        <w:t>29.1 下列文件均为商务合同不可分割的组成部分：</w:t>
      </w:r>
    </w:p>
    <w:p>
      <w:pPr>
        <w:spacing w:line="360" w:lineRule="auto"/>
        <w:ind w:firstLine="484" w:firstLineChars="200"/>
        <w:rPr>
          <w:rFonts w:ascii="宋体" w:hAnsi="宋体" w:cs="宋体"/>
          <w:sz w:val="24"/>
          <w:szCs w:val="24"/>
        </w:rPr>
      </w:pPr>
      <w:r>
        <w:rPr>
          <w:rFonts w:hint="eastAsia" w:ascii="宋体" w:hAnsi="宋体" w:cs="宋体"/>
          <w:sz w:val="24"/>
          <w:szCs w:val="24"/>
        </w:rPr>
        <w:t>29.1.1 中标（成交）通知书；</w:t>
      </w:r>
    </w:p>
    <w:p>
      <w:pPr>
        <w:spacing w:line="360" w:lineRule="auto"/>
        <w:ind w:firstLine="484" w:firstLineChars="200"/>
        <w:rPr>
          <w:rFonts w:ascii="宋体" w:hAnsi="宋体" w:cs="宋体"/>
          <w:sz w:val="24"/>
          <w:szCs w:val="24"/>
        </w:rPr>
      </w:pPr>
      <w:r>
        <w:rPr>
          <w:rFonts w:hint="eastAsia" w:ascii="宋体" w:hAnsi="宋体" w:cs="宋体"/>
          <w:sz w:val="24"/>
          <w:szCs w:val="24"/>
        </w:rPr>
        <w:t>29.1.2 中标供应商的响应文件；</w:t>
      </w:r>
    </w:p>
    <w:p>
      <w:pPr>
        <w:spacing w:line="360" w:lineRule="auto"/>
        <w:ind w:firstLine="484" w:firstLineChars="200"/>
        <w:rPr>
          <w:rFonts w:ascii="宋体" w:hAnsi="宋体" w:cs="宋体"/>
          <w:sz w:val="24"/>
          <w:szCs w:val="24"/>
        </w:rPr>
      </w:pPr>
      <w:r>
        <w:rPr>
          <w:rFonts w:hint="eastAsia" w:ascii="宋体" w:hAnsi="宋体" w:cs="宋体"/>
          <w:sz w:val="24"/>
          <w:szCs w:val="24"/>
        </w:rPr>
        <w:t>29.1.3 供应商澄清、说明或补正文件；</w:t>
      </w:r>
    </w:p>
    <w:p>
      <w:pPr>
        <w:spacing w:line="360" w:lineRule="auto"/>
        <w:ind w:firstLine="484" w:firstLineChars="200"/>
        <w:rPr>
          <w:rFonts w:ascii="宋体" w:hAnsi="宋体" w:cs="宋体"/>
          <w:sz w:val="24"/>
          <w:szCs w:val="24"/>
        </w:rPr>
      </w:pPr>
      <w:r>
        <w:rPr>
          <w:rFonts w:hint="eastAsia" w:ascii="宋体" w:hAnsi="宋体" w:cs="宋体"/>
          <w:sz w:val="24"/>
          <w:szCs w:val="24"/>
        </w:rPr>
        <w:t>29.1.4 竞争性磋商文件。</w:t>
      </w:r>
    </w:p>
    <w:p>
      <w:pPr>
        <w:spacing w:line="360" w:lineRule="auto"/>
        <w:jc w:val="center"/>
        <w:outlineLvl w:val="1"/>
        <w:rPr>
          <w:rFonts w:ascii="宋体" w:hAnsi="宋体" w:cs="宋体"/>
          <w:b/>
          <w:bCs/>
          <w:sz w:val="24"/>
          <w:szCs w:val="24"/>
        </w:rPr>
      </w:pPr>
      <w:bookmarkStart w:id="176" w:name="_Toc26147"/>
      <w:bookmarkStart w:id="177" w:name="_Toc3090"/>
      <w:bookmarkStart w:id="178" w:name="_Toc17298"/>
      <w:bookmarkStart w:id="179" w:name="_Toc7458"/>
      <w:bookmarkStart w:id="180" w:name="_Toc21514"/>
      <w:bookmarkStart w:id="181" w:name="_Toc24734"/>
      <w:bookmarkStart w:id="182" w:name="_Toc10488"/>
      <w:bookmarkStart w:id="183" w:name="_Toc9177"/>
      <w:bookmarkStart w:id="184" w:name="_Toc26655"/>
      <w:bookmarkStart w:id="185" w:name="_Toc23890"/>
      <w:bookmarkStart w:id="186" w:name="_Toc14018"/>
      <w:bookmarkStart w:id="187" w:name="_Toc137664506"/>
      <w:bookmarkStart w:id="188" w:name="_Toc776"/>
      <w:bookmarkStart w:id="189" w:name="_Toc137663956"/>
      <w:bookmarkStart w:id="190" w:name="_Toc14247"/>
      <w:r>
        <w:rPr>
          <w:rFonts w:hint="eastAsia" w:ascii="宋体" w:hAnsi="宋体" w:cs="宋体"/>
          <w:b/>
          <w:bCs/>
          <w:sz w:val="24"/>
          <w:szCs w:val="24"/>
        </w:rPr>
        <w:t>八、</w:t>
      </w:r>
      <w:bookmarkEnd w:id="176"/>
      <w:bookmarkEnd w:id="177"/>
      <w:bookmarkEnd w:id="178"/>
      <w:bookmarkEnd w:id="179"/>
      <w:bookmarkEnd w:id="180"/>
      <w:bookmarkEnd w:id="181"/>
      <w:bookmarkEnd w:id="182"/>
      <w:bookmarkEnd w:id="183"/>
      <w:bookmarkEnd w:id="184"/>
      <w:bookmarkEnd w:id="185"/>
      <w:r>
        <w:rPr>
          <w:rFonts w:hint="eastAsia" w:ascii="宋体" w:hAnsi="宋体" w:cs="宋体"/>
          <w:b/>
          <w:bCs/>
          <w:sz w:val="24"/>
          <w:szCs w:val="24"/>
        </w:rPr>
        <w:t>采购人更改货物、工程或者服务的权利</w:t>
      </w:r>
      <w:bookmarkEnd w:id="186"/>
      <w:bookmarkEnd w:id="187"/>
      <w:bookmarkEnd w:id="188"/>
      <w:bookmarkEnd w:id="189"/>
      <w:bookmarkEnd w:id="190"/>
    </w:p>
    <w:p>
      <w:pPr>
        <w:spacing w:line="360" w:lineRule="auto"/>
        <w:rPr>
          <w:rFonts w:ascii="宋体" w:hAnsi="宋体" w:cs="宋体"/>
          <w:sz w:val="24"/>
          <w:szCs w:val="24"/>
        </w:rPr>
      </w:pPr>
      <w:bookmarkStart w:id="191" w:name="_Toc27177"/>
      <w:bookmarkStart w:id="192" w:name="_Toc31334"/>
      <w:bookmarkStart w:id="193" w:name="_Toc31555"/>
      <w:bookmarkStart w:id="194" w:name="_Toc2769"/>
      <w:bookmarkStart w:id="195" w:name="_Toc16744"/>
      <w:bookmarkStart w:id="196" w:name="_Toc31453"/>
      <w:bookmarkStart w:id="197" w:name="_Toc23715"/>
      <w:bookmarkStart w:id="198" w:name="_Toc13025"/>
      <w:bookmarkStart w:id="199" w:name="_Toc13678"/>
      <w:bookmarkStart w:id="200" w:name="_Toc23616"/>
      <w:r>
        <w:rPr>
          <w:rFonts w:hint="eastAsia" w:ascii="宋体" w:hAnsi="宋体" w:cs="宋体"/>
          <w:sz w:val="24"/>
          <w:szCs w:val="24"/>
        </w:rPr>
        <w:t>3</w:t>
      </w:r>
      <w:r>
        <w:rPr>
          <w:rFonts w:ascii="宋体" w:hAnsi="宋体" w:cs="宋体"/>
          <w:sz w:val="24"/>
          <w:szCs w:val="24"/>
        </w:rPr>
        <w:t>0</w:t>
      </w:r>
      <w:r>
        <w:rPr>
          <w:rFonts w:hint="eastAsia" w:ascii="宋体" w:hAnsi="宋体" w:cs="宋体"/>
          <w:sz w:val="24"/>
          <w:szCs w:val="24"/>
        </w:rPr>
        <w:t xml:space="preserve">  政府采购合同履行中，采购人需追加与合同标的相同的货物、工程或者服务的，在不改变合同其他条款的前提下，可以与供应商协商签订补充合同，但所有补充合同的采购金额不得超过原合同采购金额的百分之十。</w:t>
      </w:r>
    </w:p>
    <w:p>
      <w:pPr>
        <w:spacing w:line="360" w:lineRule="auto"/>
        <w:jc w:val="center"/>
        <w:outlineLvl w:val="1"/>
        <w:rPr>
          <w:rFonts w:ascii="宋体" w:hAnsi="宋体" w:cs="宋体"/>
          <w:b/>
          <w:bCs/>
          <w:sz w:val="24"/>
          <w:szCs w:val="24"/>
        </w:rPr>
      </w:pPr>
      <w:bookmarkStart w:id="201" w:name="_Toc31535"/>
      <w:bookmarkStart w:id="202" w:name="_Toc137663957"/>
      <w:bookmarkStart w:id="203" w:name="_Toc18683"/>
      <w:bookmarkStart w:id="204" w:name="_Toc6062"/>
      <w:bookmarkStart w:id="205" w:name="_Toc137664507"/>
      <w:r>
        <w:rPr>
          <w:rFonts w:hint="eastAsia" w:ascii="宋体" w:hAnsi="宋体" w:cs="宋体"/>
          <w:b/>
          <w:bCs/>
          <w:sz w:val="24"/>
          <w:szCs w:val="24"/>
        </w:rPr>
        <w:t>九、其他事项</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pPr>
        <w:spacing w:line="360" w:lineRule="auto"/>
        <w:rPr>
          <w:rFonts w:ascii="宋体" w:hAnsi="宋体" w:cs="宋体"/>
          <w:sz w:val="24"/>
          <w:szCs w:val="24"/>
        </w:rPr>
      </w:pPr>
      <w:r>
        <w:rPr>
          <w:rFonts w:hint="eastAsia" w:ascii="宋体" w:hAnsi="宋体" w:cs="宋体"/>
          <w:sz w:val="24"/>
          <w:szCs w:val="24"/>
        </w:rPr>
        <w:t>31  采购代理服务费</w:t>
      </w:r>
    </w:p>
    <w:p>
      <w:pPr>
        <w:spacing w:line="360" w:lineRule="auto"/>
        <w:ind w:firstLine="484" w:firstLineChars="200"/>
        <w:rPr>
          <w:rFonts w:ascii="宋体" w:hAnsi="宋体" w:cs="宋体"/>
          <w:sz w:val="24"/>
          <w:szCs w:val="24"/>
        </w:rPr>
      </w:pPr>
      <w:r>
        <w:rPr>
          <w:rFonts w:hint="eastAsia" w:ascii="宋体" w:hAnsi="宋体" w:cs="宋体"/>
          <w:sz w:val="24"/>
          <w:szCs w:val="24"/>
        </w:rPr>
        <w:t>31.1采购代理服务费：详见供应商须知前附表。</w:t>
      </w:r>
    </w:p>
    <w:p>
      <w:pPr>
        <w:spacing w:line="360" w:lineRule="auto"/>
        <w:ind w:firstLine="484" w:firstLineChars="200"/>
        <w:rPr>
          <w:rFonts w:ascii="宋体" w:hAnsi="宋体" w:cs="宋体"/>
          <w:sz w:val="24"/>
          <w:szCs w:val="24"/>
        </w:rPr>
      </w:pPr>
      <w:r>
        <w:rPr>
          <w:rFonts w:hint="eastAsia" w:ascii="宋体" w:hAnsi="宋体" w:cs="宋体"/>
          <w:sz w:val="24"/>
          <w:szCs w:val="24"/>
        </w:rPr>
        <w:t>31.2 采购代理服务费的计算基数是</w:t>
      </w:r>
      <w:r>
        <w:rPr>
          <w:rFonts w:hint="eastAsia" w:ascii="宋体" w:hAnsi="宋体" w:cs="宋体"/>
          <w:b/>
          <w:bCs/>
          <w:sz w:val="24"/>
          <w:szCs w:val="24"/>
          <w:u w:val="single"/>
        </w:rPr>
        <w:t>中标（成交）通知书中载明的中标金额</w:t>
      </w:r>
      <w:r>
        <w:rPr>
          <w:rFonts w:hint="eastAsia" w:ascii="宋体" w:hAnsi="宋体" w:cs="宋体"/>
          <w:sz w:val="24"/>
          <w:szCs w:val="24"/>
        </w:rPr>
        <w:t>。</w:t>
      </w:r>
    </w:p>
    <w:p>
      <w:pPr>
        <w:spacing w:line="360" w:lineRule="auto"/>
        <w:rPr>
          <w:rFonts w:ascii="宋体" w:hAnsi="宋体" w:cs="宋体"/>
          <w:sz w:val="24"/>
          <w:szCs w:val="24"/>
        </w:rPr>
      </w:pPr>
      <w:r>
        <w:rPr>
          <w:rFonts w:hint="eastAsia" w:ascii="宋体" w:hAnsi="宋体" w:cs="宋体"/>
          <w:sz w:val="24"/>
          <w:szCs w:val="24"/>
        </w:rPr>
        <w:t>32  本竞争性磋商文件是根据《中华人民共和国政府采购法》、《中华人民共和国政府采购法实施条例》的规定编制，解释权属采购代理机构。</w:t>
      </w:r>
    </w:p>
    <w:p>
      <w:pPr>
        <w:spacing w:line="360" w:lineRule="auto"/>
        <w:rPr>
          <w:rFonts w:ascii="宋体" w:hAnsi="宋体" w:cs="宋体"/>
          <w:sz w:val="24"/>
          <w:szCs w:val="24"/>
        </w:rPr>
      </w:pPr>
      <w:r>
        <w:rPr>
          <w:rFonts w:hint="eastAsia" w:ascii="宋体" w:hAnsi="宋体" w:cs="宋体"/>
          <w:sz w:val="24"/>
          <w:szCs w:val="24"/>
        </w:rPr>
        <w:t>33  参与本次采购的供应商应当有商务、技术人员对磋商小组提出的商务、技术问题进行答疑。</w:t>
      </w:r>
    </w:p>
    <w:p>
      <w:pPr>
        <w:spacing w:line="360" w:lineRule="auto"/>
        <w:ind w:firstLine="484" w:firstLineChars="200"/>
        <w:jc w:val="left"/>
        <w:rPr>
          <w:rFonts w:ascii="宋体" w:hAnsi="宋体" w:cs="宋体"/>
          <w:sz w:val="24"/>
          <w:szCs w:val="24"/>
        </w:rPr>
      </w:pPr>
    </w:p>
    <w:p>
      <w:pPr>
        <w:spacing w:line="360" w:lineRule="auto"/>
        <w:jc w:val="center"/>
        <w:outlineLvl w:val="0"/>
        <w:rPr>
          <w:rFonts w:ascii="宋体" w:hAnsi="宋体" w:cs="宋体"/>
          <w:sz w:val="24"/>
          <w:szCs w:val="24"/>
        </w:rPr>
      </w:pPr>
      <w:bookmarkStart w:id="206" w:name="_Toc26511"/>
      <w:bookmarkStart w:id="207" w:name="_Toc29261"/>
      <w:bookmarkStart w:id="208" w:name="_Toc17267"/>
      <w:r>
        <w:rPr>
          <w:rStyle w:val="67"/>
          <w:rFonts w:hint="eastAsia" w:ascii="宋体" w:hAnsi="宋体" w:eastAsia="宋体" w:cs="宋体"/>
          <w:b/>
          <w:bCs/>
          <w:sz w:val="24"/>
          <w:szCs w:val="24"/>
        </w:rPr>
        <w:br w:type="page"/>
      </w:r>
      <w:bookmarkStart w:id="209" w:name="_Toc629"/>
      <w:bookmarkStart w:id="210" w:name="_Toc137664508"/>
      <w:r>
        <w:rPr>
          <w:rStyle w:val="67"/>
          <w:rFonts w:hint="eastAsia" w:ascii="宋体" w:hAnsi="宋体" w:eastAsia="宋体" w:cs="宋体"/>
          <w:b/>
          <w:bCs/>
          <w:sz w:val="32"/>
          <w:szCs w:val="32"/>
        </w:rPr>
        <w:t xml:space="preserve">第三章 </w:t>
      </w:r>
      <w:bookmarkEnd w:id="209"/>
      <w:r>
        <w:rPr>
          <w:rStyle w:val="67"/>
          <w:rFonts w:hint="eastAsia" w:ascii="宋体" w:hAnsi="宋体" w:eastAsia="宋体" w:cs="宋体"/>
          <w:b/>
          <w:bCs/>
          <w:sz w:val="32"/>
          <w:szCs w:val="32"/>
        </w:rPr>
        <w:t>项目概况</w:t>
      </w:r>
      <w:bookmarkEnd w:id="210"/>
    </w:p>
    <w:bookmarkEnd w:id="206"/>
    <w:bookmarkEnd w:id="207"/>
    <w:bookmarkEnd w:id="208"/>
    <w:p>
      <w:pPr>
        <w:spacing w:line="440" w:lineRule="exact"/>
        <w:ind w:firstLine="484" w:firstLineChars="200"/>
        <w:rPr>
          <w:rFonts w:ascii="宋体" w:hAnsi="宋体" w:cs="宋体"/>
          <w:b/>
          <w:bCs/>
          <w:sz w:val="24"/>
          <w:szCs w:val="24"/>
        </w:rPr>
      </w:pPr>
      <w:bookmarkStart w:id="211" w:name="_Toc21863"/>
      <w:bookmarkStart w:id="212" w:name="_Toc513029243"/>
      <w:bookmarkStart w:id="213" w:name="_Toc16938559"/>
      <w:bookmarkStart w:id="214" w:name="_Toc5864"/>
      <w:bookmarkStart w:id="215" w:name="_Toc27564"/>
      <w:bookmarkStart w:id="216" w:name="_Toc22740"/>
      <w:bookmarkStart w:id="217" w:name="_Toc20823315"/>
      <w:r>
        <w:rPr>
          <w:rFonts w:hint="eastAsia" w:ascii="宋体" w:hAnsi="宋体" w:cs="宋体"/>
          <w:b/>
          <w:bCs/>
          <w:sz w:val="24"/>
          <w:szCs w:val="24"/>
        </w:rPr>
        <w:t>一、项目概括</w:t>
      </w:r>
    </w:p>
    <w:p>
      <w:pPr>
        <w:spacing w:line="440" w:lineRule="exact"/>
        <w:ind w:firstLine="484" w:firstLineChars="200"/>
        <w:rPr>
          <w:rFonts w:ascii="宋体" w:hAnsi="宋体" w:cs="宋体"/>
          <w:sz w:val="24"/>
          <w:szCs w:val="24"/>
        </w:rPr>
      </w:pPr>
      <w:r>
        <w:rPr>
          <w:rFonts w:ascii="宋体" w:hAnsi="宋体" w:cs="宋体"/>
          <w:sz w:val="24"/>
          <w:szCs w:val="24"/>
        </w:rPr>
        <w:t>1</w:t>
      </w:r>
      <w:r>
        <w:rPr>
          <w:rFonts w:hint="eastAsia" w:ascii="宋体" w:hAnsi="宋体" w:cs="宋体"/>
          <w:sz w:val="24"/>
          <w:szCs w:val="24"/>
        </w:rPr>
        <w:t>、名称：2023年库尔勒经济技术开发区园林绿地测绘项目</w:t>
      </w:r>
    </w:p>
    <w:p>
      <w:pPr>
        <w:spacing w:line="440" w:lineRule="exact"/>
        <w:ind w:firstLine="484" w:firstLineChars="200"/>
        <w:rPr>
          <w:rFonts w:ascii="宋体" w:hAnsi="宋体" w:cs="宋体"/>
          <w:sz w:val="24"/>
          <w:szCs w:val="24"/>
        </w:rPr>
      </w:pPr>
      <w:r>
        <w:rPr>
          <w:rFonts w:hint="eastAsia" w:ascii="宋体" w:hAnsi="宋体" w:cs="宋体"/>
          <w:sz w:val="24"/>
          <w:szCs w:val="24"/>
        </w:rPr>
        <w:t>2、范围：库尔勒经济技术开发区</w:t>
      </w:r>
    </w:p>
    <w:p>
      <w:pPr>
        <w:spacing w:line="360" w:lineRule="auto"/>
        <w:ind w:firstLine="484" w:firstLineChars="200"/>
        <w:rPr>
          <w:rFonts w:ascii="宋体" w:hAnsi="宋体" w:cs="宋体"/>
          <w:sz w:val="24"/>
          <w:szCs w:val="24"/>
        </w:rPr>
      </w:pPr>
      <w:r>
        <w:rPr>
          <w:rFonts w:ascii="宋体" w:hAnsi="宋体" w:cs="宋体"/>
          <w:sz w:val="24"/>
          <w:szCs w:val="24"/>
        </w:rPr>
        <w:t>3</w:t>
      </w:r>
      <w:r>
        <w:rPr>
          <w:rFonts w:hint="eastAsia" w:ascii="宋体" w:hAnsi="宋体" w:cs="宋体"/>
          <w:sz w:val="24"/>
          <w:szCs w:val="24"/>
        </w:rPr>
        <w:t>、内容：对二期道路绿化、白鹭河游步道、开发大道主入口及零星地块等区域进行测绘。</w:t>
      </w:r>
    </w:p>
    <w:p>
      <w:pPr>
        <w:spacing w:line="440" w:lineRule="exact"/>
        <w:ind w:firstLine="484" w:firstLineChars="200"/>
        <w:rPr>
          <w:rFonts w:ascii="宋体" w:hAnsi="宋体" w:cs="宋体"/>
          <w:b/>
          <w:bCs/>
          <w:sz w:val="24"/>
          <w:szCs w:val="24"/>
        </w:rPr>
      </w:pPr>
      <w:r>
        <w:rPr>
          <w:rFonts w:hint="eastAsia" w:ascii="宋体" w:hAnsi="宋体" w:cs="宋体"/>
          <w:b/>
          <w:bCs/>
          <w:sz w:val="24"/>
          <w:szCs w:val="24"/>
        </w:rPr>
        <w:t>二、依据行业规范规程及引用文件</w:t>
      </w:r>
    </w:p>
    <w:p>
      <w:pPr>
        <w:spacing w:line="360" w:lineRule="auto"/>
        <w:ind w:firstLine="484" w:firstLineChars="200"/>
        <w:rPr>
          <w:rFonts w:hint="eastAsia" w:ascii="宋体" w:hAnsi="宋体" w:eastAsia="宋体" w:cs="宋体"/>
          <w:sz w:val="24"/>
          <w:szCs w:val="24"/>
        </w:rPr>
      </w:pPr>
      <w:r>
        <w:rPr>
          <w:rFonts w:hint="eastAsia" w:ascii="宋体" w:hAnsi="宋体" w:eastAsia="宋体" w:cs="宋体"/>
          <w:sz w:val="24"/>
          <w:szCs w:val="24"/>
        </w:rPr>
        <w:t>1、《城市测量规范》（CJJ/T8-2011）；</w:t>
      </w:r>
    </w:p>
    <w:p>
      <w:pPr>
        <w:spacing w:line="360" w:lineRule="auto"/>
        <w:ind w:firstLine="484" w:firstLineChars="200"/>
        <w:rPr>
          <w:rFonts w:hint="eastAsia" w:ascii="宋体" w:hAnsi="宋体" w:eastAsia="宋体" w:cs="宋体"/>
          <w:sz w:val="24"/>
          <w:szCs w:val="24"/>
        </w:rPr>
      </w:pPr>
      <w:r>
        <w:rPr>
          <w:rFonts w:hint="eastAsia" w:ascii="宋体" w:hAnsi="宋体" w:eastAsia="宋体" w:cs="宋体"/>
          <w:sz w:val="24"/>
          <w:szCs w:val="24"/>
        </w:rPr>
        <w:t>2、《卫星定位城市测量技术规范》（CJJ/T73-2010）；</w:t>
      </w:r>
    </w:p>
    <w:p>
      <w:pPr>
        <w:spacing w:line="360" w:lineRule="auto"/>
        <w:ind w:firstLine="484" w:firstLineChars="200"/>
        <w:rPr>
          <w:rFonts w:hint="eastAsia" w:ascii="宋体" w:hAnsi="宋体" w:eastAsia="宋体" w:cs="宋体"/>
          <w:sz w:val="24"/>
          <w:szCs w:val="24"/>
        </w:rPr>
      </w:pPr>
      <w:r>
        <w:rPr>
          <w:rFonts w:hint="eastAsia" w:ascii="宋体" w:hAnsi="宋体" w:eastAsia="宋体" w:cs="宋体"/>
          <w:sz w:val="24"/>
          <w:szCs w:val="24"/>
        </w:rPr>
        <w:t>3、《全球定位系统实施动态测量（RTK）技术规范》（CH/T2009-2010）；</w:t>
      </w:r>
    </w:p>
    <w:p>
      <w:pPr>
        <w:spacing w:line="360" w:lineRule="auto"/>
        <w:ind w:firstLine="484" w:firstLineChars="200"/>
        <w:rPr>
          <w:rFonts w:hint="eastAsia" w:ascii="宋体" w:hAnsi="宋体" w:eastAsia="宋体" w:cs="宋体"/>
          <w:sz w:val="24"/>
          <w:szCs w:val="24"/>
        </w:rPr>
      </w:pPr>
      <w:r>
        <w:rPr>
          <w:rFonts w:hint="eastAsia" w:ascii="宋体" w:hAnsi="宋体" w:eastAsia="宋体" w:cs="宋体"/>
          <w:sz w:val="24"/>
          <w:szCs w:val="24"/>
        </w:rPr>
        <w:t>4、《国家基本比例尺地图图式第1部分：1:500、1:1000、1:2000地形图图式》（GB/20257.1-2017）；</w:t>
      </w:r>
    </w:p>
    <w:p>
      <w:pPr>
        <w:spacing w:line="360" w:lineRule="auto"/>
        <w:ind w:firstLine="484" w:firstLineChars="200"/>
        <w:rPr>
          <w:rFonts w:hint="eastAsia" w:ascii="宋体" w:hAnsi="宋体" w:eastAsia="宋体" w:cs="宋体"/>
          <w:sz w:val="24"/>
          <w:szCs w:val="24"/>
        </w:rPr>
      </w:pPr>
      <w:r>
        <w:rPr>
          <w:rFonts w:hint="eastAsia" w:ascii="宋体" w:hAnsi="宋体" w:eastAsia="宋体" w:cs="宋体"/>
          <w:sz w:val="24"/>
          <w:szCs w:val="24"/>
        </w:rPr>
        <w:t>5、《测绘成果质量检查与验收》（GB/T24356-2009）；</w:t>
      </w:r>
    </w:p>
    <w:p>
      <w:pPr>
        <w:spacing w:line="360" w:lineRule="auto"/>
        <w:ind w:firstLine="484" w:firstLineChars="200"/>
        <w:rPr>
          <w:rFonts w:hint="eastAsia" w:ascii="宋体" w:hAnsi="宋体" w:eastAsia="宋体" w:cs="宋体"/>
          <w:sz w:val="24"/>
          <w:szCs w:val="24"/>
        </w:rPr>
      </w:pPr>
      <w:r>
        <w:rPr>
          <w:rFonts w:hint="eastAsia" w:ascii="宋体" w:hAnsi="宋体" w:eastAsia="宋体" w:cs="宋体"/>
          <w:sz w:val="24"/>
          <w:szCs w:val="24"/>
        </w:rPr>
        <w:t>6、《测绘技术设计规定》（CH/T 1004-2005）；</w:t>
      </w:r>
    </w:p>
    <w:p>
      <w:pPr>
        <w:spacing w:line="360" w:lineRule="auto"/>
        <w:ind w:firstLine="484" w:firstLineChars="200"/>
        <w:rPr>
          <w:rFonts w:hint="eastAsia" w:ascii="宋体" w:hAnsi="宋体" w:eastAsia="宋体" w:cs="宋体"/>
          <w:sz w:val="24"/>
          <w:szCs w:val="24"/>
        </w:rPr>
      </w:pPr>
      <w:r>
        <w:rPr>
          <w:rFonts w:hint="eastAsia" w:ascii="宋体" w:hAnsi="宋体" w:eastAsia="宋体" w:cs="宋体"/>
          <w:sz w:val="24"/>
          <w:szCs w:val="24"/>
        </w:rPr>
        <w:t>7、《测绘技术总结编写规定》(CH/T 1001-2005)；</w:t>
      </w:r>
    </w:p>
    <w:p>
      <w:pPr>
        <w:spacing w:line="360" w:lineRule="auto"/>
        <w:ind w:firstLine="484" w:firstLineChars="200"/>
        <w:rPr>
          <w:rFonts w:hint="eastAsia" w:ascii="宋体" w:hAnsi="宋体" w:eastAsia="宋体" w:cs="宋体"/>
          <w:sz w:val="24"/>
          <w:szCs w:val="24"/>
        </w:rPr>
      </w:pPr>
      <w:r>
        <w:rPr>
          <w:rFonts w:hint="eastAsia" w:ascii="宋体" w:hAnsi="宋体" w:eastAsia="宋体" w:cs="宋体"/>
          <w:b/>
          <w:bCs/>
          <w:sz w:val="24"/>
          <w:szCs w:val="24"/>
        </w:rPr>
        <w:t>三、提交成果资料</w:t>
      </w:r>
    </w:p>
    <w:p>
      <w:pPr>
        <w:spacing w:line="360" w:lineRule="auto"/>
        <w:ind w:firstLine="484" w:firstLineChars="200"/>
        <w:rPr>
          <w:rFonts w:hint="eastAsia" w:ascii="宋体" w:hAnsi="宋体" w:eastAsia="宋体" w:cs="宋体"/>
          <w:sz w:val="24"/>
          <w:szCs w:val="24"/>
        </w:rPr>
      </w:pPr>
      <w:r>
        <w:rPr>
          <w:rFonts w:hint="eastAsia" w:ascii="宋体" w:hAnsi="宋体" w:eastAsia="宋体" w:cs="宋体"/>
          <w:sz w:val="24"/>
          <w:szCs w:val="24"/>
        </w:rPr>
        <w:t>1、根据甲方需求提供各绿化区域的电子图（DWG、SHP）；</w:t>
      </w:r>
    </w:p>
    <w:p>
      <w:pPr>
        <w:spacing w:line="360" w:lineRule="auto"/>
        <w:ind w:firstLine="484" w:firstLineChars="200"/>
        <w:rPr>
          <w:rFonts w:hint="eastAsia" w:ascii="宋体" w:hAnsi="宋体" w:eastAsia="宋体" w:cs="宋体"/>
          <w:sz w:val="24"/>
          <w:szCs w:val="24"/>
        </w:rPr>
      </w:pPr>
      <w:r>
        <w:rPr>
          <w:rFonts w:hint="eastAsia" w:ascii="宋体" w:hAnsi="宋体" w:eastAsia="宋体" w:cs="宋体"/>
          <w:sz w:val="24"/>
          <w:szCs w:val="24"/>
        </w:rPr>
        <w:t>2、测绘报告书及图纸（纸质版）；</w:t>
      </w:r>
    </w:p>
    <w:p>
      <w:pPr>
        <w:spacing w:line="360" w:lineRule="auto"/>
        <w:ind w:firstLine="484" w:firstLineChars="200"/>
        <w:rPr>
          <w:rFonts w:hint="eastAsia" w:ascii="宋体" w:hAnsi="宋体" w:eastAsia="宋体" w:cs="宋体"/>
          <w:sz w:val="24"/>
          <w:szCs w:val="24"/>
        </w:rPr>
      </w:pPr>
      <w:r>
        <w:rPr>
          <w:rFonts w:hint="eastAsia" w:ascii="宋体" w:hAnsi="宋体" w:eastAsia="宋体" w:cs="宋体"/>
          <w:sz w:val="24"/>
          <w:szCs w:val="24"/>
        </w:rPr>
        <w:t>3、成图比例尺：根据甲方要求，比例尺从1:200-1:1000不等；</w:t>
      </w:r>
    </w:p>
    <w:p>
      <w:pPr>
        <w:spacing w:line="360" w:lineRule="auto"/>
        <w:ind w:firstLine="484" w:firstLineChars="200"/>
        <w:rPr>
          <w:rFonts w:hint="eastAsia" w:ascii="宋体" w:hAnsi="宋体" w:eastAsia="宋体" w:cs="宋体"/>
          <w:sz w:val="24"/>
          <w:szCs w:val="24"/>
        </w:rPr>
      </w:pPr>
      <w:r>
        <w:rPr>
          <w:rFonts w:hint="eastAsia" w:ascii="宋体" w:hAnsi="宋体" w:eastAsia="宋体" w:cs="宋体"/>
          <w:sz w:val="24"/>
          <w:szCs w:val="24"/>
        </w:rPr>
        <w:t>4、平面坐标系：2000国家大地坐标系</w:t>
      </w:r>
    </w:p>
    <w:p>
      <w:pPr>
        <w:spacing w:line="360" w:lineRule="auto"/>
        <w:ind w:firstLine="484" w:firstLineChars="200"/>
        <w:rPr>
          <w:rFonts w:hint="eastAsia" w:ascii="宋体" w:hAnsi="宋体" w:eastAsia="宋体" w:cs="宋体"/>
          <w:b/>
          <w:bCs/>
          <w:sz w:val="24"/>
          <w:szCs w:val="24"/>
        </w:rPr>
      </w:pPr>
      <w:r>
        <w:rPr>
          <w:rFonts w:hint="eastAsia" w:ascii="宋体" w:hAnsi="宋体" w:eastAsia="宋体" w:cs="宋体"/>
          <w:b/>
          <w:bCs/>
          <w:sz w:val="24"/>
          <w:szCs w:val="24"/>
        </w:rPr>
        <w:t>四、</w:t>
      </w:r>
      <w:r>
        <w:rPr>
          <w:rFonts w:hint="eastAsia" w:ascii="宋体" w:hAnsi="宋体" w:eastAsia="宋体" w:cs="宋体"/>
          <w:b/>
          <w:bCs/>
          <w:sz w:val="24"/>
          <w:szCs w:val="24"/>
          <w:lang w:val="en-US" w:eastAsia="zh-CN"/>
        </w:rPr>
        <w:t>服务</w:t>
      </w:r>
      <w:r>
        <w:rPr>
          <w:rFonts w:hint="eastAsia" w:ascii="宋体" w:hAnsi="宋体" w:eastAsia="宋体" w:cs="宋体"/>
          <w:b/>
          <w:bCs/>
          <w:sz w:val="24"/>
          <w:szCs w:val="24"/>
        </w:rPr>
        <w:t>要求</w:t>
      </w:r>
    </w:p>
    <w:p>
      <w:pPr>
        <w:spacing w:line="360" w:lineRule="auto"/>
        <w:ind w:firstLine="484" w:firstLineChars="200"/>
        <w:rPr>
          <w:rFonts w:hint="eastAsia" w:ascii="宋体" w:hAnsi="宋体" w:eastAsia="宋体" w:cs="宋体"/>
          <w:sz w:val="24"/>
          <w:szCs w:val="24"/>
        </w:rPr>
      </w:pPr>
      <w:r>
        <w:rPr>
          <w:rFonts w:hint="eastAsia" w:ascii="宋体" w:hAnsi="宋体" w:eastAsia="宋体" w:cs="宋体"/>
          <w:sz w:val="24"/>
          <w:szCs w:val="24"/>
        </w:rPr>
        <w:t>在平地地形点相对于最近野外控制点平面位置中误差，一般地区≤±0.15m，困难、隐蔽地区≤±0.23m，高程中误差不大于1/3等高距，困难地区放宽0.5倍。</w:t>
      </w:r>
    </w:p>
    <w:p>
      <w:pPr>
        <w:pStyle w:val="41"/>
      </w:pPr>
    </w:p>
    <w:p>
      <w:pPr>
        <w:pStyle w:val="41"/>
      </w:pPr>
    </w:p>
    <w:p>
      <w:pPr>
        <w:widowControl/>
        <w:jc w:val="left"/>
        <w:rPr>
          <w:rStyle w:val="67"/>
          <w:rFonts w:ascii="宋体" w:hAnsi="宋体" w:eastAsia="宋体" w:cs="宋体"/>
          <w:b/>
          <w:bCs/>
          <w:sz w:val="32"/>
          <w:szCs w:val="32"/>
        </w:rPr>
      </w:pPr>
      <w:r>
        <w:rPr>
          <w:rStyle w:val="67"/>
          <w:rFonts w:ascii="宋体" w:hAnsi="宋体" w:eastAsia="宋体" w:cs="宋体"/>
          <w:b/>
          <w:bCs/>
          <w:sz w:val="32"/>
          <w:szCs w:val="32"/>
        </w:rPr>
        <w:br w:type="page"/>
      </w:r>
    </w:p>
    <w:p>
      <w:pPr>
        <w:spacing w:line="360" w:lineRule="auto"/>
        <w:jc w:val="center"/>
        <w:outlineLvl w:val="0"/>
        <w:rPr>
          <w:rStyle w:val="67"/>
          <w:rFonts w:ascii="宋体" w:hAnsi="宋体" w:eastAsia="宋体" w:cs="宋体"/>
          <w:b/>
          <w:bCs/>
          <w:sz w:val="32"/>
          <w:szCs w:val="32"/>
        </w:rPr>
      </w:pPr>
      <w:bookmarkStart w:id="218" w:name="_Toc137664509"/>
      <w:r>
        <w:rPr>
          <w:rStyle w:val="67"/>
          <w:rFonts w:hint="eastAsia" w:ascii="宋体" w:hAnsi="宋体" w:eastAsia="宋体" w:cs="宋体"/>
          <w:b/>
          <w:bCs/>
          <w:sz w:val="32"/>
          <w:szCs w:val="32"/>
        </w:rPr>
        <w:t>第四章 合同</w:t>
      </w:r>
      <w:bookmarkEnd w:id="211"/>
      <w:bookmarkEnd w:id="212"/>
      <w:bookmarkEnd w:id="213"/>
      <w:bookmarkEnd w:id="214"/>
      <w:bookmarkEnd w:id="215"/>
      <w:bookmarkEnd w:id="216"/>
      <w:bookmarkEnd w:id="217"/>
      <w:bookmarkStart w:id="219" w:name="_Toc28246"/>
      <w:bookmarkStart w:id="220" w:name="_Toc20911"/>
      <w:bookmarkStart w:id="221" w:name="_Toc16272"/>
      <w:bookmarkStart w:id="222" w:name="_Toc16706"/>
      <w:r>
        <w:rPr>
          <w:rStyle w:val="67"/>
          <w:rFonts w:hint="eastAsia" w:ascii="宋体" w:hAnsi="宋体" w:eastAsia="宋体" w:cs="宋体"/>
          <w:b/>
          <w:bCs/>
          <w:sz w:val="32"/>
          <w:szCs w:val="32"/>
        </w:rPr>
        <w:t>（以最终签订合同为准）</w:t>
      </w:r>
      <w:bookmarkEnd w:id="218"/>
    </w:p>
    <w:p>
      <w:pPr>
        <w:spacing w:line="360" w:lineRule="auto"/>
        <w:rPr>
          <w:rFonts w:ascii="宋体" w:hAnsi="宋体" w:cs="宋体"/>
          <w:b/>
          <w:szCs w:val="21"/>
        </w:rPr>
      </w:pPr>
    </w:p>
    <w:p>
      <w:pPr>
        <w:pStyle w:val="41"/>
      </w:pPr>
    </w:p>
    <w:p>
      <w:pPr>
        <w:pStyle w:val="41"/>
      </w:pPr>
    </w:p>
    <w:p>
      <w:pPr>
        <w:pStyle w:val="41"/>
      </w:pPr>
    </w:p>
    <w:p>
      <w:pPr>
        <w:pStyle w:val="41"/>
      </w:pPr>
    </w:p>
    <w:p>
      <w:pPr>
        <w:pStyle w:val="41"/>
      </w:pPr>
    </w:p>
    <w:p>
      <w:pPr>
        <w:jc w:val="center"/>
        <w:rPr>
          <w:rFonts w:ascii="宋体" w:hAnsi="宋体" w:cs="宋体"/>
          <w:b/>
          <w:sz w:val="72"/>
          <w:szCs w:val="72"/>
        </w:rPr>
      </w:pPr>
      <w:r>
        <w:rPr>
          <w:rFonts w:hint="eastAsia" w:ascii="宋体" w:hAnsi="宋体" w:cs="宋体"/>
          <w:b/>
          <w:sz w:val="72"/>
          <w:szCs w:val="72"/>
        </w:rPr>
        <w:t>合</w:t>
      </w:r>
    </w:p>
    <w:p>
      <w:pPr>
        <w:pStyle w:val="41"/>
      </w:pPr>
    </w:p>
    <w:p>
      <w:pPr>
        <w:pStyle w:val="41"/>
      </w:pPr>
    </w:p>
    <w:p>
      <w:pPr>
        <w:pStyle w:val="41"/>
      </w:pPr>
    </w:p>
    <w:p>
      <w:pPr>
        <w:pStyle w:val="41"/>
      </w:pPr>
    </w:p>
    <w:p>
      <w:pPr>
        <w:pStyle w:val="41"/>
      </w:pPr>
    </w:p>
    <w:p>
      <w:pPr>
        <w:pStyle w:val="41"/>
      </w:pPr>
    </w:p>
    <w:p>
      <w:pPr>
        <w:pStyle w:val="41"/>
      </w:pPr>
    </w:p>
    <w:p>
      <w:pPr>
        <w:pStyle w:val="41"/>
      </w:pPr>
    </w:p>
    <w:p>
      <w:pPr>
        <w:pStyle w:val="41"/>
      </w:pPr>
    </w:p>
    <w:p>
      <w:pPr>
        <w:pStyle w:val="41"/>
      </w:pPr>
    </w:p>
    <w:p>
      <w:pPr>
        <w:jc w:val="center"/>
        <w:rPr>
          <w:rFonts w:ascii="宋体" w:hAnsi="宋体" w:cs="宋体"/>
          <w:b/>
          <w:sz w:val="72"/>
          <w:szCs w:val="72"/>
        </w:rPr>
      </w:pPr>
      <w:r>
        <w:rPr>
          <w:rFonts w:hint="eastAsia" w:ascii="宋体" w:hAnsi="宋体" w:cs="宋体"/>
          <w:b/>
          <w:sz w:val="72"/>
          <w:szCs w:val="72"/>
        </w:rPr>
        <w:t>同</w:t>
      </w:r>
    </w:p>
    <w:p>
      <w:pPr>
        <w:widowControl/>
        <w:adjustRightInd w:val="0"/>
        <w:snapToGrid w:val="0"/>
        <w:spacing w:line="360" w:lineRule="auto"/>
        <w:jc w:val="center"/>
        <w:outlineLvl w:val="0"/>
        <w:rPr>
          <w:rFonts w:ascii="宋体" w:hAnsi="宋体" w:cs="宋体"/>
          <w:b/>
          <w:bCs/>
          <w:color w:val="000000"/>
          <w:sz w:val="24"/>
          <w:szCs w:val="24"/>
        </w:rPr>
      </w:pPr>
      <w:r>
        <w:rPr>
          <w:rFonts w:hint="eastAsia" w:ascii="宋体" w:hAnsi="宋体" w:cs="宋体"/>
          <w:bCs/>
          <w:sz w:val="28"/>
          <w:szCs w:val="28"/>
        </w:rPr>
        <w:br w:type="page"/>
      </w:r>
      <w:bookmarkStart w:id="223" w:name="_Toc137664510"/>
      <w:r>
        <w:rPr>
          <w:rStyle w:val="181"/>
          <w:rFonts w:hint="eastAsia" w:ascii="宋体" w:hAnsi="宋体" w:cs="宋体"/>
          <w:sz w:val="24"/>
          <w:szCs w:val="24"/>
        </w:rPr>
        <w:t>政府采购合同(参考)</w:t>
      </w:r>
      <w:bookmarkEnd w:id="223"/>
    </w:p>
    <w:p>
      <w:pPr>
        <w:widowControl/>
        <w:adjustRightInd w:val="0"/>
        <w:snapToGrid w:val="0"/>
        <w:spacing w:line="360" w:lineRule="auto"/>
        <w:ind w:firstLine="605" w:firstLineChars="250"/>
        <w:jc w:val="left"/>
        <w:rPr>
          <w:rFonts w:ascii="宋体" w:hAnsi="宋体" w:cs="宋体"/>
          <w:sz w:val="24"/>
          <w:szCs w:val="24"/>
          <w:u w:val="single"/>
        </w:rPr>
      </w:pPr>
      <w:r>
        <w:rPr>
          <w:rFonts w:hint="eastAsia" w:ascii="宋体" w:hAnsi="宋体" w:cs="宋体"/>
          <w:color w:val="000000"/>
          <w:kern w:val="0"/>
          <w:sz w:val="24"/>
          <w:szCs w:val="24"/>
        </w:rPr>
        <w:t xml:space="preserve">甲方（买方）： </w:t>
      </w:r>
      <w:r>
        <w:rPr>
          <w:rFonts w:hint="eastAsia" w:ascii="宋体" w:hAnsi="宋体" w:cs="宋体"/>
          <w:color w:val="000000"/>
          <w:kern w:val="0"/>
          <w:sz w:val="24"/>
          <w:szCs w:val="24"/>
          <w:u w:val="single"/>
        </w:rPr>
        <w:t xml:space="preserve">                           </w:t>
      </w:r>
    </w:p>
    <w:p>
      <w:pPr>
        <w:widowControl/>
        <w:adjustRightInd w:val="0"/>
        <w:snapToGrid w:val="0"/>
        <w:spacing w:line="360" w:lineRule="auto"/>
        <w:ind w:firstLine="605" w:firstLineChars="250"/>
        <w:jc w:val="left"/>
        <w:rPr>
          <w:rFonts w:ascii="宋体" w:hAnsi="宋体" w:cs="宋体"/>
          <w:sz w:val="24"/>
          <w:szCs w:val="24"/>
          <w:u w:val="single"/>
        </w:rPr>
      </w:pPr>
      <w:r>
        <w:rPr>
          <w:rFonts w:hint="eastAsia" w:ascii="宋体" w:hAnsi="宋体" w:cs="宋体"/>
          <w:color w:val="000000"/>
          <w:kern w:val="0"/>
          <w:sz w:val="24"/>
          <w:szCs w:val="24"/>
        </w:rPr>
        <w:t xml:space="preserve">乙方（卖方）： </w:t>
      </w:r>
      <w:r>
        <w:rPr>
          <w:rFonts w:hint="eastAsia" w:ascii="宋体" w:hAnsi="宋体" w:cs="宋体"/>
          <w:color w:val="000000"/>
          <w:kern w:val="0"/>
          <w:sz w:val="24"/>
          <w:szCs w:val="24"/>
          <w:u w:val="single"/>
        </w:rPr>
        <w:t xml:space="preserve">                           </w:t>
      </w:r>
    </w:p>
    <w:p>
      <w:pPr>
        <w:widowControl/>
        <w:adjustRightInd w:val="0"/>
        <w:snapToGrid w:val="0"/>
        <w:spacing w:line="360" w:lineRule="auto"/>
        <w:ind w:firstLine="484" w:firstLineChars="200"/>
        <w:jc w:val="left"/>
        <w:rPr>
          <w:rFonts w:ascii="宋体" w:hAnsi="宋体" w:cs="宋体"/>
          <w:sz w:val="24"/>
          <w:szCs w:val="24"/>
        </w:rPr>
      </w:pPr>
      <w:r>
        <w:rPr>
          <w:rFonts w:hint="eastAsia" w:ascii="宋体" w:hAnsi="宋体" w:cs="宋体"/>
          <w:b/>
          <w:bCs/>
          <w:color w:val="000000"/>
          <w:kern w:val="0"/>
          <w:sz w:val="24"/>
          <w:szCs w:val="24"/>
        </w:rPr>
        <w:t xml:space="preserve">一、总则 </w:t>
      </w:r>
    </w:p>
    <w:p>
      <w:pPr>
        <w:widowControl/>
        <w:adjustRightInd w:val="0"/>
        <w:snapToGrid w:val="0"/>
        <w:spacing w:line="360" w:lineRule="auto"/>
        <w:ind w:firstLine="484" w:firstLineChars="200"/>
        <w:jc w:val="left"/>
        <w:rPr>
          <w:rFonts w:ascii="宋体" w:hAnsi="宋体" w:cs="宋体"/>
          <w:sz w:val="24"/>
          <w:szCs w:val="24"/>
        </w:rPr>
      </w:pPr>
      <w:r>
        <w:rPr>
          <w:rFonts w:hint="eastAsia" w:ascii="宋体" w:hAnsi="宋体" w:cs="宋体"/>
          <w:color w:val="000000"/>
          <w:kern w:val="0"/>
          <w:sz w:val="24"/>
          <w:szCs w:val="24"/>
        </w:rPr>
        <w:t xml:space="preserve">根据新疆政府采购 </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年 </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月</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日  关于“          ” （项目名称）招标项目的中标通知书要求，接受了卖方 </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（中标人名称） 为本项目所做的投标文件，依据《中华人民共和国民法典》的规定，合同双方同意按下述条款和条件签署本 合同书（以下简称“合同”）。 </w:t>
      </w:r>
    </w:p>
    <w:p>
      <w:pPr>
        <w:widowControl/>
        <w:adjustRightInd w:val="0"/>
        <w:snapToGrid w:val="0"/>
        <w:spacing w:line="360" w:lineRule="auto"/>
        <w:ind w:firstLine="484" w:firstLineChars="200"/>
        <w:jc w:val="left"/>
        <w:rPr>
          <w:rFonts w:ascii="宋体" w:hAnsi="宋体" w:cs="宋体"/>
          <w:sz w:val="24"/>
          <w:szCs w:val="24"/>
        </w:rPr>
      </w:pPr>
      <w:r>
        <w:rPr>
          <w:rFonts w:hint="eastAsia" w:ascii="宋体" w:hAnsi="宋体" w:cs="宋体"/>
          <w:color w:val="000000"/>
          <w:kern w:val="0"/>
          <w:sz w:val="24"/>
          <w:szCs w:val="24"/>
        </w:rPr>
        <w:t xml:space="preserve">1、本合同中提到的货物和服务以中标人所提交的经采购中心评标确认的投标文件为依据。 </w:t>
      </w:r>
    </w:p>
    <w:p>
      <w:pPr>
        <w:widowControl/>
        <w:adjustRightInd w:val="0"/>
        <w:snapToGrid w:val="0"/>
        <w:spacing w:line="360" w:lineRule="auto"/>
        <w:ind w:firstLine="484" w:firstLineChars="200"/>
        <w:jc w:val="left"/>
        <w:rPr>
          <w:rFonts w:ascii="宋体" w:hAnsi="宋体" w:cs="宋体"/>
          <w:sz w:val="24"/>
          <w:szCs w:val="24"/>
        </w:rPr>
      </w:pPr>
      <w:r>
        <w:rPr>
          <w:rFonts w:hint="eastAsia" w:ascii="宋体" w:hAnsi="宋体" w:cs="宋体"/>
          <w:color w:val="000000"/>
          <w:kern w:val="0"/>
          <w:sz w:val="24"/>
          <w:szCs w:val="24"/>
        </w:rPr>
        <w:t xml:space="preserve">2、乙方提供的货物和服务，应满足本合同的各项条款的要求。 </w:t>
      </w:r>
    </w:p>
    <w:p>
      <w:pPr>
        <w:widowControl/>
        <w:adjustRightInd w:val="0"/>
        <w:snapToGrid w:val="0"/>
        <w:spacing w:line="360" w:lineRule="auto"/>
        <w:ind w:firstLine="484" w:firstLineChars="200"/>
        <w:jc w:val="left"/>
        <w:rPr>
          <w:rFonts w:ascii="宋体" w:hAnsi="宋体" w:cs="宋体"/>
          <w:sz w:val="24"/>
          <w:szCs w:val="24"/>
        </w:rPr>
      </w:pPr>
      <w:r>
        <w:rPr>
          <w:rFonts w:hint="eastAsia" w:ascii="宋体" w:hAnsi="宋体" w:cs="宋体"/>
          <w:color w:val="000000"/>
          <w:kern w:val="0"/>
          <w:sz w:val="24"/>
          <w:szCs w:val="24"/>
        </w:rPr>
        <w:t xml:space="preserve">3、乙方在合同签订后为履行合同的真实性负责，甲方有权对合同的履行、项目的实 施提出质疑，甲方提出质疑后，乙方必须在二日内做出书面答疑和澄清。 </w:t>
      </w:r>
    </w:p>
    <w:p>
      <w:pPr>
        <w:widowControl/>
        <w:adjustRightInd w:val="0"/>
        <w:snapToGrid w:val="0"/>
        <w:spacing w:line="360" w:lineRule="auto"/>
        <w:ind w:firstLine="484" w:firstLineChars="200"/>
        <w:jc w:val="left"/>
        <w:rPr>
          <w:rFonts w:ascii="宋体" w:hAnsi="宋体" w:cs="宋体"/>
          <w:sz w:val="24"/>
          <w:szCs w:val="24"/>
        </w:rPr>
      </w:pPr>
      <w:r>
        <w:rPr>
          <w:rFonts w:hint="eastAsia" w:ascii="宋体" w:hAnsi="宋体" w:cs="宋体"/>
          <w:color w:val="000000"/>
          <w:kern w:val="0"/>
          <w:sz w:val="24"/>
          <w:szCs w:val="24"/>
        </w:rPr>
        <w:t xml:space="preserve">4、明确双方违约责任。 </w:t>
      </w:r>
    </w:p>
    <w:p>
      <w:pPr>
        <w:widowControl/>
        <w:adjustRightInd w:val="0"/>
        <w:snapToGrid w:val="0"/>
        <w:spacing w:line="360" w:lineRule="auto"/>
        <w:ind w:firstLine="484" w:firstLineChars="200"/>
        <w:jc w:val="left"/>
        <w:rPr>
          <w:rFonts w:ascii="宋体" w:hAnsi="宋体" w:cs="宋体"/>
          <w:sz w:val="24"/>
          <w:szCs w:val="24"/>
        </w:rPr>
      </w:pPr>
      <w:r>
        <w:rPr>
          <w:rFonts w:hint="eastAsia" w:ascii="宋体" w:hAnsi="宋体" w:cs="宋体"/>
          <w:color w:val="000000"/>
          <w:kern w:val="0"/>
          <w:sz w:val="24"/>
          <w:szCs w:val="24"/>
        </w:rPr>
        <w:t xml:space="preserve">5、适用法律：《中华人民共和国民法典》的有关规定进行解释。 </w:t>
      </w:r>
    </w:p>
    <w:p>
      <w:pPr>
        <w:widowControl/>
        <w:adjustRightInd w:val="0"/>
        <w:snapToGrid w:val="0"/>
        <w:spacing w:line="360" w:lineRule="auto"/>
        <w:ind w:firstLine="484" w:firstLineChars="200"/>
        <w:jc w:val="left"/>
        <w:rPr>
          <w:rFonts w:ascii="宋体" w:hAnsi="宋体" w:cs="宋体"/>
          <w:sz w:val="24"/>
          <w:szCs w:val="24"/>
        </w:rPr>
      </w:pPr>
      <w:r>
        <w:rPr>
          <w:rFonts w:hint="eastAsia" w:ascii="宋体" w:hAnsi="宋体" w:cs="宋体"/>
          <w:b/>
          <w:bCs/>
          <w:color w:val="000000"/>
          <w:kern w:val="0"/>
          <w:sz w:val="24"/>
          <w:szCs w:val="24"/>
        </w:rPr>
        <w:t xml:space="preserve">二、合同文件 </w:t>
      </w:r>
    </w:p>
    <w:p>
      <w:pPr>
        <w:widowControl/>
        <w:adjustRightInd w:val="0"/>
        <w:snapToGrid w:val="0"/>
        <w:spacing w:line="360" w:lineRule="auto"/>
        <w:ind w:firstLine="484" w:firstLineChars="200"/>
        <w:jc w:val="left"/>
        <w:rPr>
          <w:rFonts w:ascii="宋体" w:hAnsi="宋体" w:cs="宋体"/>
          <w:sz w:val="24"/>
          <w:szCs w:val="24"/>
        </w:rPr>
      </w:pPr>
      <w:r>
        <w:rPr>
          <w:rFonts w:hint="eastAsia" w:ascii="宋体" w:hAnsi="宋体" w:cs="宋体"/>
          <w:color w:val="000000"/>
          <w:kern w:val="0"/>
          <w:sz w:val="24"/>
          <w:szCs w:val="24"/>
        </w:rPr>
        <w:t xml:space="preserve">本合同所附下列文件是构成本合同不可分割的部分： </w:t>
      </w:r>
    </w:p>
    <w:p>
      <w:pPr>
        <w:widowControl/>
        <w:adjustRightInd w:val="0"/>
        <w:snapToGrid w:val="0"/>
        <w:spacing w:line="360" w:lineRule="auto"/>
        <w:ind w:firstLine="484" w:firstLineChars="200"/>
        <w:jc w:val="left"/>
        <w:rPr>
          <w:rFonts w:ascii="宋体" w:hAnsi="宋体" w:cs="宋体"/>
          <w:sz w:val="24"/>
          <w:szCs w:val="24"/>
        </w:rPr>
      </w:pPr>
      <w:r>
        <w:rPr>
          <w:rFonts w:hint="eastAsia" w:ascii="宋体" w:hAnsi="宋体" w:cs="宋体"/>
          <w:color w:val="000000"/>
          <w:kern w:val="0"/>
          <w:sz w:val="24"/>
          <w:szCs w:val="24"/>
        </w:rPr>
        <w:t xml:space="preserve">1、合同基本条款 </w:t>
      </w:r>
    </w:p>
    <w:p>
      <w:pPr>
        <w:widowControl/>
        <w:adjustRightInd w:val="0"/>
        <w:snapToGrid w:val="0"/>
        <w:spacing w:line="360" w:lineRule="auto"/>
        <w:ind w:firstLine="484" w:firstLineChars="200"/>
        <w:jc w:val="left"/>
        <w:rPr>
          <w:rFonts w:ascii="宋体" w:hAnsi="宋体" w:cs="宋体"/>
          <w:sz w:val="24"/>
          <w:szCs w:val="24"/>
        </w:rPr>
      </w:pPr>
      <w:r>
        <w:rPr>
          <w:rFonts w:hint="eastAsia" w:ascii="宋体" w:hAnsi="宋体" w:cs="宋体"/>
          <w:color w:val="000000"/>
          <w:kern w:val="0"/>
          <w:sz w:val="24"/>
          <w:szCs w:val="24"/>
        </w:rPr>
        <w:t xml:space="preserve">2、特殊条款 </w:t>
      </w:r>
    </w:p>
    <w:p>
      <w:pPr>
        <w:widowControl/>
        <w:adjustRightInd w:val="0"/>
        <w:snapToGrid w:val="0"/>
        <w:spacing w:line="360" w:lineRule="auto"/>
        <w:ind w:firstLine="484" w:firstLineChars="200"/>
        <w:jc w:val="left"/>
        <w:rPr>
          <w:rFonts w:ascii="宋体" w:hAnsi="宋体" w:cs="宋体"/>
          <w:sz w:val="24"/>
          <w:szCs w:val="24"/>
        </w:rPr>
      </w:pPr>
      <w:r>
        <w:rPr>
          <w:rFonts w:hint="eastAsia" w:ascii="宋体" w:hAnsi="宋体" w:cs="宋体"/>
          <w:color w:val="000000"/>
          <w:kern w:val="0"/>
          <w:sz w:val="24"/>
          <w:szCs w:val="24"/>
        </w:rPr>
        <w:t xml:space="preserve">3、投标人提交的投标文件、开标一览表和售后服务承诺 </w:t>
      </w:r>
    </w:p>
    <w:p>
      <w:pPr>
        <w:widowControl/>
        <w:adjustRightInd w:val="0"/>
        <w:snapToGrid w:val="0"/>
        <w:spacing w:line="360" w:lineRule="auto"/>
        <w:ind w:firstLine="484" w:firstLineChars="200"/>
        <w:jc w:val="left"/>
        <w:rPr>
          <w:rFonts w:ascii="宋体" w:hAnsi="宋体" w:cs="宋体"/>
          <w:sz w:val="24"/>
          <w:szCs w:val="24"/>
        </w:rPr>
      </w:pPr>
      <w:r>
        <w:rPr>
          <w:rFonts w:hint="eastAsia" w:ascii="宋体" w:hAnsi="宋体" w:cs="宋体"/>
          <w:color w:val="000000"/>
          <w:kern w:val="0"/>
          <w:sz w:val="24"/>
          <w:szCs w:val="24"/>
        </w:rPr>
        <w:t xml:space="preserve">4、供货一览表和产品技术规格说明书 </w:t>
      </w:r>
    </w:p>
    <w:p>
      <w:pPr>
        <w:widowControl/>
        <w:adjustRightInd w:val="0"/>
        <w:snapToGrid w:val="0"/>
        <w:spacing w:line="360" w:lineRule="auto"/>
        <w:ind w:firstLine="484" w:firstLineChars="200"/>
        <w:jc w:val="left"/>
        <w:rPr>
          <w:rFonts w:ascii="宋体" w:hAnsi="宋体" w:cs="宋体"/>
          <w:sz w:val="24"/>
          <w:szCs w:val="24"/>
        </w:rPr>
      </w:pPr>
      <w:r>
        <w:rPr>
          <w:rFonts w:hint="eastAsia" w:ascii="宋体" w:hAnsi="宋体" w:cs="宋体"/>
          <w:color w:val="000000"/>
          <w:kern w:val="0"/>
          <w:sz w:val="24"/>
          <w:szCs w:val="24"/>
        </w:rPr>
        <w:t xml:space="preserve">5、中标通知书 </w:t>
      </w:r>
    </w:p>
    <w:p>
      <w:pPr>
        <w:widowControl/>
        <w:adjustRightInd w:val="0"/>
        <w:snapToGrid w:val="0"/>
        <w:spacing w:line="360" w:lineRule="auto"/>
        <w:ind w:firstLine="484" w:firstLineChars="200"/>
        <w:jc w:val="left"/>
        <w:rPr>
          <w:rFonts w:ascii="宋体" w:hAnsi="宋体" w:cs="宋体"/>
          <w:sz w:val="24"/>
          <w:szCs w:val="24"/>
        </w:rPr>
      </w:pPr>
      <w:r>
        <w:rPr>
          <w:rFonts w:hint="eastAsia" w:ascii="宋体" w:hAnsi="宋体" w:cs="宋体"/>
          <w:b/>
          <w:bCs/>
          <w:color w:val="000000"/>
          <w:kern w:val="0"/>
          <w:sz w:val="24"/>
          <w:szCs w:val="24"/>
        </w:rPr>
        <w:t xml:space="preserve">三、合同范围和条件 </w:t>
      </w:r>
    </w:p>
    <w:p>
      <w:pPr>
        <w:widowControl/>
        <w:adjustRightInd w:val="0"/>
        <w:snapToGrid w:val="0"/>
        <w:spacing w:line="360" w:lineRule="auto"/>
        <w:ind w:firstLine="484" w:firstLineChars="200"/>
        <w:jc w:val="left"/>
        <w:rPr>
          <w:rFonts w:ascii="宋体" w:hAnsi="宋体" w:cs="宋体"/>
          <w:sz w:val="24"/>
          <w:szCs w:val="24"/>
        </w:rPr>
      </w:pPr>
      <w:r>
        <w:rPr>
          <w:rFonts w:hint="eastAsia" w:ascii="宋体" w:hAnsi="宋体" w:cs="宋体"/>
          <w:color w:val="000000"/>
          <w:kern w:val="0"/>
          <w:sz w:val="24"/>
          <w:szCs w:val="24"/>
        </w:rPr>
        <w:t xml:space="preserve">本合同的范围和条件应与上述合同文件的规定相一致。 </w:t>
      </w:r>
    </w:p>
    <w:p>
      <w:pPr>
        <w:widowControl/>
        <w:adjustRightInd w:val="0"/>
        <w:snapToGrid w:val="0"/>
        <w:spacing w:line="360" w:lineRule="auto"/>
        <w:ind w:firstLine="484" w:firstLineChars="200"/>
        <w:jc w:val="left"/>
        <w:rPr>
          <w:rFonts w:ascii="宋体" w:hAnsi="宋体" w:cs="宋体"/>
          <w:sz w:val="24"/>
          <w:szCs w:val="24"/>
        </w:rPr>
      </w:pPr>
      <w:r>
        <w:rPr>
          <w:rFonts w:hint="eastAsia" w:ascii="宋体" w:hAnsi="宋体" w:cs="宋体"/>
          <w:b/>
          <w:bCs/>
          <w:color w:val="000000"/>
          <w:kern w:val="0"/>
          <w:sz w:val="24"/>
          <w:szCs w:val="24"/>
        </w:rPr>
        <w:t xml:space="preserve">四、货物采购和服务内容 </w:t>
      </w:r>
    </w:p>
    <w:p>
      <w:pPr>
        <w:widowControl/>
        <w:adjustRightInd w:val="0"/>
        <w:snapToGrid w:val="0"/>
        <w:spacing w:line="360" w:lineRule="auto"/>
        <w:ind w:firstLine="484" w:firstLineChars="200"/>
        <w:jc w:val="left"/>
        <w:rPr>
          <w:rFonts w:ascii="宋体" w:hAnsi="宋体" w:cs="宋体"/>
          <w:sz w:val="24"/>
          <w:szCs w:val="24"/>
        </w:rPr>
      </w:pPr>
      <w:r>
        <w:rPr>
          <w:rFonts w:hint="eastAsia" w:ascii="宋体" w:hAnsi="宋体" w:cs="宋体"/>
          <w:color w:val="000000"/>
          <w:kern w:val="0"/>
          <w:sz w:val="24"/>
          <w:szCs w:val="24"/>
        </w:rPr>
        <w:t xml:space="preserve">本合同所涉及的买方应提供的货物或服务内容详见“供货一览表”（或“分项价格 表”）和“合同基本条款”。 </w:t>
      </w:r>
    </w:p>
    <w:p>
      <w:pPr>
        <w:widowControl/>
        <w:adjustRightInd w:val="0"/>
        <w:snapToGrid w:val="0"/>
        <w:spacing w:line="360" w:lineRule="auto"/>
        <w:ind w:firstLine="484" w:firstLineChars="200"/>
        <w:jc w:val="left"/>
        <w:rPr>
          <w:rFonts w:ascii="宋体" w:hAnsi="宋体" w:cs="宋体"/>
          <w:sz w:val="24"/>
          <w:szCs w:val="24"/>
        </w:rPr>
      </w:pPr>
      <w:r>
        <w:rPr>
          <w:rFonts w:hint="eastAsia" w:ascii="宋体" w:hAnsi="宋体" w:cs="宋体"/>
          <w:b/>
          <w:bCs/>
          <w:color w:val="000000"/>
          <w:kern w:val="0"/>
          <w:sz w:val="24"/>
          <w:szCs w:val="24"/>
        </w:rPr>
        <w:t xml:space="preserve">五、合同金额 </w:t>
      </w:r>
    </w:p>
    <w:p>
      <w:pPr>
        <w:widowControl/>
        <w:adjustRightInd w:val="0"/>
        <w:snapToGrid w:val="0"/>
        <w:spacing w:line="360" w:lineRule="auto"/>
        <w:ind w:firstLine="484" w:firstLineChars="200"/>
        <w:jc w:val="left"/>
        <w:rPr>
          <w:rFonts w:ascii="宋体" w:hAnsi="宋体" w:cs="宋体"/>
          <w:color w:val="000000"/>
          <w:kern w:val="0"/>
          <w:sz w:val="24"/>
          <w:szCs w:val="24"/>
        </w:rPr>
      </w:pPr>
      <w:r>
        <w:rPr>
          <w:rFonts w:hint="eastAsia" w:ascii="宋体" w:hAnsi="宋体" w:cs="宋体"/>
          <w:color w:val="000000"/>
          <w:kern w:val="0"/>
          <w:sz w:val="24"/>
          <w:szCs w:val="24"/>
        </w:rPr>
        <w:t xml:space="preserve">根据中标通知书的中标内容，合同的总金额为（大写）： </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元（小写：</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元）人民币。</w:t>
      </w:r>
    </w:p>
    <w:p>
      <w:pPr>
        <w:widowControl/>
        <w:adjustRightInd w:val="0"/>
        <w:snapToGrid w:val="0"/>
        <w:spacing w:line="360" w:lineRule="auto"/>
        <w:ind w:firstLine="484" w:firstLineChars="200"/>
        <w:jc w:val="left"/>
        <w:rPr>
          <w:rFonts w:ascii="宋体" w:hAnsi="宋体" w:cs="宋体"/>
          <w:sz w:val="24"/>
          <w:szCs w:val="24"/>
        </w:rPr>
      </w:pPr>
      <w:r>
        <w:rPr>
          <w:rFonts w:hint="eastAsia" w:ascii="宋体" w:hAnsi="宋体" w:cs="宋体"/>
          <w:b/>
          <w:bCs/>
          <w:color w:val="000000"/>
          <w:kern w:val="0"/>
          <w:sz w:val="24"/>
          <w:szCs w:val="24"/>
        </w:rPr>
        <w:t xml:space="preserve">六、付款方式 </w:t>
      </w:r>
    </w:p>
    <w:p>
      <w:pPr>
        <w:widowControl/>
        <w:adjustRightInd w:val="0"/>
        <w:snapToGrid w:val="0"/>
        <w:spacing w:line="360" w:lineRule="auto"/>
        <w:ind w:firstLine="484" w:firstLineChars="200"/>
        <w:jc w:val="left"/>
        <w:rPr>
          <w:rFonts w:ascii="宋体" w:hAnsi="宋体" w:cs="宋体"/>
          <w:sz w:val="24"/>
          <w:szCs w:val="24"/>
        </w:rPr>
      </w:pPr>
      <w:r>
        <w:rPr>
          <w:rFonts w:hint="eastAsia" w:ascii="宋体" w:hAnsi="宋体" w:cs="宋体"/>
          <w:color w:val="000000"/>
          <w:kern w:val="0"/>
          <w:sz w:val="24"/>
          <w:szCs w:val="24"/>
        </w:rPr>
        <w:t xml:space="preserve">若无特殊要求，本合同的付款方式采用分期支付。（此付款方式作为参考，具体实施 </w:t>
      </w:r>
    </w:p>
    <w:p>
      <w:pPr>
        <w:widowControl/>
        <w:adjustRightInd w:val="0"/>
        <w:snapToGrid w:val="0"/>
        <w:spacing w:line="360" w:lineRule="auto"/>
        <w:ind w:firstLine="484" w:firstLineChars="200"/>
        <w:jc w:val="left"/>
        <w:rPr>
          <w:rFonts w:ascii="宋体" w:hAnsi="宋体" w:cs="宋体"/>
          <w:sz w:val="24"/>
          <w:szCs w:val="24"/>
        </w:rPr>
      </w:pPr>
      <w:r>
        <w:rPr>
          <w:rFonts w:hint="eastAsia" w:ascii="宋体" w:hAnsi="宋体" w:cs="宋体"/>
          <w:color w:val="000000"/>
          <w:kern w:val="0"/>
          <w:sz w:val="24"/>
          <w:szCs w:val="24"/>
        </w:rPr>
        <w:t xml:space="preserve">由采购人和中标人合同约定） </w:t>
      </w:r>
    </w:p>
    <w:p>
      <w:pPr>
        <w:widowControl/>
        <w:adjustRightInd w:val="0"/>
        <w:snapToGrid w:val="0"/>
        <w:spacing w:line="360" w:lineRule="auto"/>
        <w:ind w:firstLine="484" w:firstLineChars="200"/>
        <w:jc w:val="left"/>
        <w:rPr>
          <w:rFonts w:ascii="宋体" w:hAnsi="宋体" w:cs="宋体"/>
          <w:sz w:val="24"/>
          <w:szCs w:val="24"/>
        </w:rPr>
      </w:pPr>
      <w:r>
        <w:rPr>
          <w:rFonts w:hint="eastAsia" w:ascii="宋体" w:hAnsi="宋体" w:cs="宋体"/>
          <w:color w:val="000000"/>
          <w:kern w:val="0"/>
          <w:sz w:val="24"/>
          <w:szCs w:val="24"/>
        </w:rPr>
        <w:t>1、合同生效之日起七个工作日内支付给乙方合同金额 %，金额为（大写）：</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元（小写：￥</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元）人民币。 </w:t>
      </w:r>
    </w:p>
    <w:p>
      <w:pPr>
        <w:widowControl/>
        <w:adjustRightInd w:val="0"/>
        <w:snapToGrid w:val="0"/>
        <w:spacing w:line="360" w:lineRule="auto"/>
        <w:ind w:firstLine="484" w:firstLineChars="200"/>
        <w:jc w:val="left"/>
        <w:rPr>
          <w:rFonts w:ascii="宋体" w:hAnsi="宋体" w:cs="宋体"/>
          <w:sz w:val="24"/>
          <w:szCs w:val="24"/>
        </w:rPr>
      </w:pPr>
      <w:r>
        <w:rPr>
          <w:rFonts w:hint="eastAsia" w:ascii="宋体" w:hAnsi="宋体" w:cs="宋体"/>
          <w:color w:val="000000"/>
          <w:kern w:val="0"/>
          <w:sz w:val="24"/>
          <w:szCs w:val="24"/>
        </w:rPr>
        <w:t xml:space="preserve">2、初步验收合格后，投入运行期满 </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天，若无重大问题，验收合格后，在 </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个工作日内支付给乙方合同金额 %的款项，金额为（大写）： </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元 （小写：￥</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元）人民币。 </w:t>
      </w:r>
    </w:p>
    <w:p>
      <w:pPr>
        <w:widowControl/>
        <w:adjustRightInd w:val="0"/>
        <w:snapToGrid w:val="0"/>
        <w:spacing w:line="360" w:lineRule="auto"/>
        <w:ind w:firstLine="484" w:firstLineChars="200"/>
        <w:jc w:val="left"/>
        <w:rPr>
          <w:rFonts w:ascii="宋体" w:hAnsi="宋体" w:cs="宋体"/>
          <w:sz w:val="24"/>
          <w:szCs w:val="24"/>
        </w:rPr>
      </w:pPr>
      <w:r>
        <w:rPr>
          <w:rFonts w:hint="eastAsia" w:ascii="宋体" w:hAnsi="宋体" w:cs="宋体"/>
          <w:color w:val="000000"/>
          <w:kern w:val="0"/>
          <w:sz w:val="24"/>
          <w:szCs w:val="24"/>
        </w:rPr>
        <w:t xml:space="preserve">3、将合同总额的 </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%，即金额为（大写）：</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元（小写：￥</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元）人民币作为本项目运行质保金，自项目验收合格之日起，质保期满后支付全额质保金款项。 </w:t>
      </w:r>
    </w:p>
    <w:p>
      <w:pPr>
        <w:widowControl/>
        <w:adjustRightInd w:val="0"/>
        <w:snapToGrid w:val="0"/>
        <w:spacing w:line="360" w:lineRule="auto"/>
        <w:ind w:firstLine="484" w:firstLineChars="200"/>
        <w:jc w:val="left"/>
        <w:rPr>
          <w:rFonts w:ascii="宋体" w:hAnsi="宋体" w:cs="宋体"/>
          <w:sz w:val="24"/>
          <w:szCs w:val="24"/>
        </w:rPr>
      </w:pPr>
      <w:r>
        <w:rPr>
          <w:rFonts w:hint="eastAsia" w:ascii="宋体" w:hAnsi="宋体" w:cs="宋体"/>
          <w:b/>
          <w:bCs/>
          <w:color w:val="000000"/>
          <w:kern w:val="0"/>
          <w:sz w:val="24"/>
          <w:szCs w:val="24"/>
        </w:rPr>
        <w:t xml:space="preserve">七、交货时间和验收方法 </w:t>
      </w:r>
    </w:p>
    <w:p>
      <w:pPr>
        <w:widowControl/>
        <w:adjustRightInd w:val="0"/>
        <w:snapToGrid w:val="0"/>
        <w:spacing w:line="360" w:lineRule="auto"/>
        <w:ind w:firstLine="484" w:firstLineChars="200"/>
        <w:jc w:val="left"/>
        <w:rPr>
          <w:rFonts w:ascii="宋体" w:hAnsi="宋体" w:cs="宋体"/>
          <w:sz w:val="24"/>
          <w:szCs w:val="24"/>
        </w:rPr>
      </w:pPr>
      <w:r>
        <w:rPr>
          <w:rFonts w:hint="eastAsia" w:ascii="宋体" w:hAnsi="宋体" w:cs="宋体"/>
          <w:color w:val="000000"/>
          <w:kern w:val="0"/>
          <w:sz w:val="24"/>
          <w:szCs w:val="24"/>
        </w:rPr>
        <w:t>1.交货期：合同生效之日起</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日内。 </w:t>
      </w:r>
    </w:p>
    <w:p>
      <w:pPr>
        <w:widowControl/>
        <w:adjustRightInd w:val="0"/>
        <w:snapToGrid w:val="0"/>
        <w:spacing w:line="360" w:lineRule="auto"/>
        <w:ind w:firstLine="484" w:firstLineChars="200"/>
        <w:jc w:val="left"/>
        <w:rPr>
          <w:rFonts w:ascii="宋体" w:hAnsi="宋体" w:cs="宋体"/>
          <w:sz w:val="24"/>
          <w:szCs w:val="24"/>
        </w:rPr>
      </w:pPr>
      <w:r>
        <w:rPr>
          <w:rFonts w:hint="eastAsia" w:ascii="宋体" w:hAnsi="宋体" w:cs="宋体"/>
          <w:color w:val="000000"/>
          <w:kern w:val="0"/>
          <w:sz w:val="24"/>
          <w:szCs w:val="24"/>
        </w:rPr>
        <w:t>2.交货地点：</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 </w:t>
      </w:r>
    </w:p>
    <w:p>
      <w:pPr>
        <w:widowControl/>
        <w:adjustRightInd w:val="0"/>
        <w:snapToGrid w:val="0"/>
        <w:spacing w:line="360" w:lineRule="auto"/>
        <w:ind w:firstLine="484" w:firstLineChars="200"/>
        <w:jc w:val="left"/>
        <w:rPr>
          <w:rFonts w:ascii="宋体" w:hAnsi="宋体" w:cs="宋体"/>
          <w:sz w:val="24"/>
          <w:szCs w:val="24"/>
        </w:rPr>
      </w:pPr>
      <w:r>
        <w:rPr>
          <w:rFonts w:hint="eastAsia" w:ascii="宋体" w:hAnsi="宋体" w:cs="宋体"/>
          <w:color w:val="000000"/>
          <w:kern w:val="0"/>
          <w:sz w:val="24"/>
          <w:szCs w:val="24"/>
        </w:rPr>
        <w:t xml:space="preserve">3.交货方式：由甲方（买方）、乙方（卖方）双方人员进行现场设备检测验收。 </w:t>
      </w:r>
    </w:p>
    <w:p>
      <w:pPr>
        <w:widowControl/>
        <w:adjustRightInd w:val="0"/>
        <w:snapToGrid w:val="0"/>
        <w:spacing w:line="360" w:lineRule="auto"/>
        <w:ind w:firstLine="484" w:firstLineChars="200"/>
        <w:jc w:val="left"/>
        <w:rPr>
          <w:rFonts w:ascii="宋体" w:hAnsi="宋体" w:cs="宋体"/>
          <w:sz w:val="24"/>
          <w:szCs w:val="24"/>
        </w:rPr>
      </w:pPr>
      <w:r>
        <w:rPr>
          <w:rFonts w:hint="eastAsia" w:ascii="宋体" w:hAnsi="宋体" w:cs="宋体"/>
          <w:color w:val="000000"/>
          <w:kern w:val="0"/>
          <w:sz w:val="24"/>
          <w:szCs w:val="24"/>
        </w:rPr>
        <w:t xml:space="preserve">4.项目验收方式：验收工作原则上由采购人组织进行，采购人应当按照政府采购合同 </w:t>
      </w:r>
    </w:p>
    <w:p>
      <w:pPr>
        <w:widowControl/>
        <w:adjustRightInd w:val="0"/>
        <w:snapToGrid w:val="0"/>
        <w:spacing w:line="360" w:lineRule="auto"/>
        <w:ind w:firstLine="484" w:firstLineChars="200"/>
        <w:jc w:val="left"/>
        <w:rPr>
          <w:rFonts w:ascii="宋体" w:hAnsi="宋体" w:cs="宋体"/>
          <w:sz w:val="24"/>
          <w:szCs w:val="24"/>
        </w:rPr>
      </w:pPr>
      <w:r>
        <w:rPr>
          <w:rFonts w:hint="eastAsia" w:ascii="宋体" w:hAnsi="宋体" w:cs="宋体"/>
          <w:color w:val="000000"/>
          <w:kern w:val="0"/>
          <w:sz w:val="24"/>
          <w:szCs w:val="24"/>
        </w:rPr>
        <w:t xml:space="preserve">规定的技术、服务、安全标准组织对供应商履约情况进行验收，并出具验收书。验收书应 </w:t>
      </w:r>
    </w:p>
    <w:p>
      <w:pPr>
        <w:widowControl/>
        <w:adjustRightInd w:val="0"/>
        <w:snapToGrid w:val="0"/>
        <w:spacing w:line="360" w:lineRule="auto"/>
        <w:ind w:firstLine="484" w:firstLineChars="200"/>
        <w:jc w:val="left"/>
        <w:rPr>
          <w:rFonts w:ascii="宋体" w:hAnsi="宋体" w:cs="宋体"/>
          <w:sz w:val="24"/>
          <w:szCs w:val="24"/>
        </w:rPr>
      </w:pPr>
      <w:r>
        <w:rPr>
          <w:rFonts w:hint="eastAsia" w:ascii="宋体" w:hAnsi="宋体" w:cs="宋体"/>
          <w:color w:val="000000"/>
          <w:kern w:val="0"/>
          <w:sz w:val="24"/>
          <w:szCs w:val="24"/>
        </w:rPr>
        <w:t xml:space="preserve">当包括每一项技术、服务、安全标准的履约情况。验收合格后在验收报告单上签字盖章， </w:t>
      </w:r>
    </w:p>
    <w:p>
      <w:pPr>
        <w:widowControl/>
        <w:adjustRightInd w:val="0"/>
        <w:snapToGrid w:val="0"/>
        <w:spacing w:line="360" w:lineRule="auto"/>
        <w:ind w:firstLine="484" w:firstLineChars="200"/>
        <w:jc w:val="left"/>
        <w:rPr>
          <w:rFonts w:ascii="宋体" w:hAnsi="宋体" w:cs="宋体"/>
          <w:sz w:val="24"/>
          <w:szCs w:val="24"/>
        </w:rPr>
      </w:pPr>
      <w:r>
        <w:rPr>
          <w:rFonts w:hint="eastAsia" w:ascii="宋体" w:hAnsi="宋体" w:cs="宋体"/>
          <w:color w:val="000000"/>
          <w:kern w:val="0"/>
          <w:sz w:val="24"/>
          <w:szCs w:val="24"/>
        </w:rPr>
        <w:t xml:space="preserve">将验收报告单由中标供应商在退还履约保证金时返还采购中心。采购数额较大且有特殊技 </w:t>
      </w:r>
    </w:p>
    <w:p>
      <w:pPr>
        <w:widowControl/>
        <w:adjustRightInd w:val="0"/>
        <w:snapToGrid w:val="0"/>
        <w:spacing w:line="360" w:lineRule="auto"/>
        <w:ind w:firstLine="484" w:firstLineChars="200"/>
        <w:jc w:val="left"/>
        <w:rPr>
          <w:rFonts w:ascii="宋体" w:hAnsi="宋体" w:cs="宋体"/>
          <w:sz w:val="24"/>
          <w:szCs w:val="24"/>
        </w:rPr>
      </w:pPr>
      <w:r>
        <w:rPr>
          <w:rFonts w:hint="eastAsia" w:ascii="宋体" w:hAnsi="宋体" w:cs="宋体"/>
          <w:color w:val="000000"/>
          <w:kern w:val="0"/>
          <w:sz w:val="24"/>
          <w:szCs w:val="24"/>
        </w:rPr>
        <w:t xml:space="preserve">术要求的采购项目，可根据实际情况由采购人提出申请，采购管理办公室抽取专家，成立 </w:t>
      </w:r>
    </w:p>
    <w:p>
      <w:pPr>
        <w:widowControl/>
        <w:adjustRightInd w:val="0"/>
        <w:snapToGrid w:val="0"/>
        <w:spacing w:line="360" w:lineRule="auto"/>
        <w:ind w:firstLine="484" w:firstLineChars="200"/>
        <w:jc w:val="left"/>
        <w:rPr>
          <w:rFonts w:ascii="宋体" w:hAnsi="宋体" w:cs="宋体"/>
          <w:sz w:val="24"/>
          <w:szCs w:val="24"/>
        </w:rPr>
      </w:pPr>
      <w:r>
        <w:rPr>
          <w:rFonts w:hint="eastAsia" w:ascii="宋体" w:hAnsi="宋体" w:cs="宋体"/>
          <w:color w:val="000000"/>
          <w:kern w:val="0"/>
          <w:sz w:val="24"/>
          <w:szCs w:val="24"/>
        </w:rPr>
        <w:t xml:space="preserve">验收小组配合采购人组织验收。 </w:t>
      </w:r>
    </w:p>
    <w:p>
      <w:pPr>
        <w:widowControl/>
        <w:adjustRightInd w:val="0"/>
        <w:snapToGrid w:val="0"/>
        <w:spacing w:line="360" w:lineRule="auto"/>
        <w:ind w:firstLine="484" w:firstLineChars="200"/>
        <w:jc w:val="left"/>
        <w:rPr>
          <w:rFonts w:ascii="宋体" w:hAnsi="宋体" w:cs="宋体"/>
          <w:sz w:val="24"/>
          <w:szCs w:val="24"/>
        </w:rPr>
      </w:pPr>
      <w:r>
        <w:rPr>
          <w:rFonts w:hint="eastAsia" w:ascii="宋体" w:hAnsi="宋体" w:cs="宋体"/>
          <w:b/>
          <w:bCs/>
          <w:color w:val="000000"/>
          <w:kern w:val="0"/>
          <w:sz w:val="24"/>
          <w:szCs w:val="24"/>
        </w:rPr>
        <w:t xml:space="preserve">八、人身安全 </w:t>
      </w:r>
    </w:p>
    <w:p>
      <w:pPr>
        <w:widowControl/>
        <w:adjustRightInd w:val="0"/>
        <w:snapToGrid w:val="0"/>
        <w:spacing w:line="360" w:lineRule="auto"/>
        <w:ind w:firstLine="484" w:firstLineChars="200"/>
        <w:jc w:val="left"/>
        <w:rPr>
          <w:rFonts w:ascii="宋体" w:hAnsi="宋体" w:cs="宋体"/>
          <w:sz w:val="24"/>
          <w:szCs w:val="24"/>
        </w:rPr>
      </w:pPr>
      <w:r>
        <w:rPr>
          <w:rFonts w:hint="eastAsia" w:ascii="宋体" w:hAnsi="宋体" w:cs="宋体"/>
          <w:color w:val="000000"/>
          <w:kern w:val="0"/>
          <w:sz w:val="24"/>
          <w:szCs w:val="24"/>
        </w:rPr>
        <w:t xml:space="preserve">乙方施工人员人身安全由乙方负责。 </w:t>
      </w:r>
    </w:p>
    <w:p>
      <w:pPr>
        <w:widowControl/>
        <w:adjustRightInd w:val="0"/>
        <w:snapToGrid w:val="0"/>
        <w:spacing w:line="360" w:lineRule="auto"/>
        <w:ind w:firstLine="484" w:firstLineChars="200"/>
        <w:jc w:val="left"/>
        <w:rPr>
          <w:rFonts w:ascii="宋体" w:hAnsi="宋体" w:cs="宋体"/>
          <w:sz w:val="24"/>
          <w:szCs w:val="24"/>
        </w:rPr>
      </w:pPr>
      <w:r>
        <w:rPr>
          <w:rFonts w:hint="eastAsia" w:ascii="宋体" w:hAnsi="宋体" w:cs="宋体"/>
          <w:b/>
          <w:bCs/>
          <w:color w:val="000000"/>
          <w:kern w:val="0"/>
          <w:sz w:val="24"/>
          <w:szCs w:val="24"/>
        </w:rPr>
        <w:t xml:space="preserve">九、合同生效 </w:t>
      </w:r>
    </w:p>
    <w:p>
      <w:pPr>
        <w:widowControl/>
        <w:adjustRightInd w:val="0"/>
        <w:snapToGrid w:val="0"/>
        <w:spacing w:line="360" w:lineRule="auto"/>
        <w:ind w:firstLine="484" w:firstLineChars="200"/>
        <w:jc w:val="left"/>
        <w:rPr>
          <w:rFonts w:ascii="宋体" w:hAnsi="宋体" w:cs="宋体"/>
          <w:sz w:val="24"/>
          <w:szCs w:val="24"/>
        </w:rPr>
      </w:pPr>
      <w:r>
        <w:rPr>
          <w:rFonts w:hint="eastAsia" w:ascii="宋体" w:hAnsi="宋体" w:cs="宋体"/>
          <w:color w:val="000000"/>
          <w:kern w:val="0"/>
          <w:sz w:val="24"/>
          <w:szCs w:val="24"/>
        </w:rPr>
        <w:t xml:space="preserve">本合同贰式肆份，由甲方、乙方心各执 </w:t>
      </w:r>
      <w:r>
        <w:rPr>
          <w:rFonts w:hint="eastAsia" w:ascii="宋体" w:hAnsi="宋体" w:cs="宋体"/>
          <w:color w:val="000000"/>
          <w:kern w:val="0"/>
          <w:sz w:val="24"/>
          <w:szCs w:val="24"/>
          <w:u w:val="single"/>
        </w:rPr>
        <w:t xml:space="preserve">贰 </w:t>
      </w:r>
      <w:r>
        <w:rPr>
          <w:rFonts w:hint="eastAsia" w:ascii="宋体" w:hAnsi="宋体" w:cs="宋体"/>
          <w:color w:val="000000"/>
          <w:kern w:val="0"/>
          <w:sz w:val="24"/>
          <w:szCs w:val="24"/>
        </w:rPr>
        <w:t xml:space="preserve">份，该合同经甲方、 乙方法定代表人或委托代理人签字并加盖公章后开始生效。 </w:t>
      </w:r>
    </w:p>
    <w:p>
      <w:pPr>
        <w:spacing w:line="360" w:lineRule="auto"/>
        <w:rPr>
          <w:rFonts w:ascii="宋体" w:hAnsi="宋体" w:cs="宋体"/>
          <w:sz w:val="24"/>
          <w:szCs w:val="24"/>
        </w:rPr>
      </w:pPr>
    </w:p>
    <w:p>
      <w:pPr>
        <w:widowControl/>
        <w:adjustRightInd w:val="0"/>
        <w:snapToGrid w:val="0"/>
        <w:spacing w:line="480" w:lineRule="auto"/>
        <w:ind w:firstLine="484" w:firstLineChars="200"/>
        <w:rPr>
          <w:rFonts w:ascii="宋体" w:hAnsi="宋体" w:cs="宋体"/>
          <w:sz w:val="24"/>
          <w:szCs w:val="24"/>
        </w:rPr>
      </w:pPr>
      <w:r>
        <w:rPr>
          <w:rFonts w:hint="eastAsia" w:ascii="宋体" w:hAnsi="宋体" w:cs="宋体"/>
          <w:color w:val="000000"/>
          <w:kern w:val="0"/>
          <w:sz w:val="24"/>
          <w:szCs w:val="24"/>
        </w:rPr>
        <w:t xml:space="preserve">甲方名称及公章：                   乙方名称及公章： </w:t>
      </w:r>
    </w:p>
    <w:p>
      <w:pPr>
        <w:widowControl/>
        <w:adjustRightInd w:val="0"/>
        <w:snapToGrid w:val="0"/>
        <w:spacing w:line="480" w:lineRule="auto"/>
        <w:ind w:firstLine="484" w:firstLineChars="200"/>
        <w:rPr>
          <w:rFonts w:ascii="宋体" w:hAnsi="宋体" w:cs="宋体"/>
          <w:sz w:val="24"/>
          <w:szCs w:val="24"/>
        </w:rPr>
      </w:pPr>
      <w:r>
        <w:rPr>
          <w:rFonts w:hint="eastAsia" w:ascii="宋体" w:hAnsi="宋体" w:cs="宋体"/>
          <w:color w:val="000000"/>
          <w:kern w:val="0"/>
          <w:sz w:val="24"/>
          <w:szCs w:val="24"/>
        </w:rPr>
        <w:t xml:space="preserve">法定代表人或委托代理人：            法定代表人或委托代理人： </w:t>
      </w:r>
    </w:p>
    <w:p>
      <w:pPr>
        <w:widowControl/>
        <w:adjustRightInd w:val="0"/>
        <w:snapToGrid w:val="0"/>
        <w:spacing w:line="480" w:lineRule="auto"/>
        <w:ind w:firstLine="484" w:firstLineChars="200"/>
        <w:rPr>
          <w:rFonts w:ascii="宋体" w:hAnsi="宋体" w:cs="宋体"/>
          <w:sz w:val="24"/>
          <w:szCs w:val="24"/>
        </w:rPr>
      </w:pPr>
      <w:r>
        <w:rPr>
          <w:rFonts w:hint="eastAsia" w:ascii="宋体" w:hAnsi="宋体" w:cs="宋体"/>
          <w:color w:val="000000"/>
          <w:kern w:val="0"/>
          <w:sz w:val="24"/>
          <w:szCs w:val="24"/>
        </w:rPr>
        <w:t xml:space="preserve">开户名称：                         开户名称： </w:t>
      </w:r>
    </w:p>
    <w:p>
      <w:pPr>
        <w:widowControl/>
        <w:adjustRightInd w:val="0"/>
        <w:snapToGrid w:val="0"/>
        <w:spacing w:line="480" w:lineRule="auto"/>
        <w:ind w:firstLine="484" w:firstLineChars="200"/>
        <w:rPr>
          <w:rFonts w:ascii="宋体" w:hAnsi="宋体" w:cs="宋体"/>
          <w:sz w:val="24"/>
          <w:szCs w:val="24"/>
        </w:rPr>
      </w:pPr>
      <w:r>
        <w:rPr>
          <w:rFonts w:hint="eastAsia" w:ascii="宋体" w:hAnsi="宋体" w:cs="宋体"/>
          <w:color w:val="000000"/>
          <w:kern w:val="0"/>
          <w:sz w:val="24"/>
          <w:szCs w:val="24"/>
        </w:rPr>
        <w:t xml:space="preserve">开户银行：                         开户银行： </w:t>
      </w:r>
    </w:p>
    <w:p>
      <w:pPr>
        <w:widowControl/>
        <w:adjustRightInd w:val="0"/>
        <w:snapToGrid w:val="0"/>
        <w:spacing w:line="480" w:lineRule="auto"/>
        <w:ind w:firstLine="484" w:firstLineChars="200"/>
        <w:rPr>
          <w:rFonts w:ascii="宋体" w:hAnsi="宋体" w:cs="宋体"/>
          <w:sz w:val="24"/>
          <w:szCs w:val="24"/>
        </w:rPr>
      </w:pPr>
      <w:r>
        <w:rPr>
          <w:rFonts w:hint="eastAsia" w:ascii="宋体" w:hAnsi="宋体" w:cs="宋体"/>
          <w:color w:val="000000"/>
          <w:kern w:val="0"/>
          <w:sz w:val="24"/>
          <w:szCs w:val="24"/>
        </w:rPr>
        <w:t xml:space="preserve">银行账号：                         银行账号： </w:t>
      </w:r>
    </w:p>
    <w:p>
      <w:pPr>
        <w:widowControl/>
        <w:adjustRightInd w:val="0"/>
        <w:snapToGrid w:val="0"/>
        <w:spacing w:line="480" w:lineRule="auto"/>
        <w:ind w:firstLine="484" w:firstLineChars="200"/>
        <w:rPr>
          <w:rFonts w:ascii="宋体" w:hAnsi="宋体" w:cs="宋体"/>
          <w:color w:val="000000"/>
          <w:kern w:val="0"/>
          <w:sz w:val="24"/>
          <w:szCs w:val="24"/>
        </w:rPr>
      </w:pPr>
      <w:r>
        <w:rPr>
          <w:rFonts w:hint="eastAsia" w:ascii="宋体" w:hAnsi="宋体" w:cs="宋体"/>
          <w:color w:val="000000"/>
          <w:kern w:val="0"/>
          <w:sz w:val="24"/>
          <w:szCs w:val="24"/>
        </w:rPr>
        <w:t>签字日期：                         签字日期：</w:t>
      </w:r>
    </w:p>
    <w:p>
      <w:pPr>
        <w:widowControl/>
        <w:adjustRightInd w:val="0"/>
        <w:snapToGrid w:val="0"/>
        <w:spacing w:line="360" w:lineRule="auto"/>
        <w:ind w:firstLine="484" w:firstLineChars="200"/>
        <w:jc w:val="center"/>
        <w:rPr>
          <w:rFonts w:ascii="宋体" w:hAnsi="宋体" w:cs="宋体"/>
          <w:b/>
          <w:sz w:val="24"/>
          <w:szCs w:val="24"/>
        </w:rPr>
      </w:pPr>
    </w:p>
    <w:p>
      <w:pPr>
        <w:pStyle w:val="3"/>
        <w:rPr>
          <w:rFonts w:eastAsia="宋体"/>
          <w:sz w:val="32"/>
          <w:szCs w:val="32"/>
        </w:rPr>
      </w:pPr>
      <w:bookmarkStart w:id="224" w:name="_Toc137664511"/>
      <w:r>
        <w:rPr>
          <w:rFonts w:hint="eastAsia"/>
        </w:rPr>
        <w:t>(以上为合同模板，具体以最终签订为准)</w:t>
      </w:r>
      <w:r>
        <w:rPr>
          <w:rFonts w:hint="eastAsia" w:eastAsia="宋体"/>
          <w:sz w:val="32"/>
          <w:szCs w:val="32"/>
        </w:rPr>
        <w:br w:type="page"/>
      </w:r>
      <w:bookmarkStart w:id="225" w:name="_Toc29931"/>
      <w:r>
        <w:rPr>
          <w:rFonts w:hint="eastAsia" w:eastAsia="宋体"/>
          <w:b/>
          <w:bCs/>
          <w:sz w:val="32"/>
          <w:szCs w:val="32"/>
        </w:rPr>
        <w:t>第五章 主要响应文件的格式及其内容</w:t>
      </w:r>
      <w:bookmarkEnd w:id="219"/>
      <w:bookmarkEnd w:id="220"/>
      <w:bookmarkEnd w:id="221"/>
      <w:bookmarkEnd w:id="222"/>
      <w:bookmarkEnd w:id="224"/>
      <w:bookmarkEnd w:id="225"/>
    </w:p>
    <w:p>
      <w:pPr>
        <w:adjustRightInd w:val="0"/>
        <w:snapToGrid w:val="0"/>
        <w:spacing w:line="360" w:lineRule="auto"/>
        <w:jc w:val="center"/>
        <w:rPr>
          <w:rFonts w:ascii="宋体" w:hAnsi="宋体" w:cs="宋体"/>
          <w:b/>
          <w:sz w:val="28"/>
          <w:szCs w:val="28"/>
        </w:rPr>
      </w:pPr>
    </w:p>
    <w:p>
      <w:pPr>
        <w:adjustRightInd w:val="0"/>
        <w:snapToGrid w:val="0"/>
        <w:spacing w:line="360" w:lineRule="auto"/>
        <w:rPr>
          <w:rFonts w:ascii="宋体" w:hAnsi="宋体" w:cs="宋体"/>
          <w:b/>
          <w:sz w:val="28"/>
          <w:szCs w:val="28"/>
        </w:rPr>
      </w:pPr>
    </w:p>
    <w:p>
      <w:pPr>
        <w:pStyle w:val="47"/>
        <w:spacing w:line="480" w:lineRule="exact"/>
        <w:jc w:val="center"/>
        <w:rPr>
          <w:rFonts w:ascii="宋体" w:hAnsi="宋体" w:cs="宋体"/>
          <w:b/>
          <w:color w:val="auto"/>
          <w:sz w:val="28"/>
          <w:szCs w:val="28"/>
        </w:rPr>
      </w:pPr>
    </w:p>
    <w:p>
      <w:pPr>
        <w:jc w:val="center"/>
        <w:rPr>
          <w:sz w:val="96"/>
          <w:szCs w:val="96"/>
        </w:rPr>
      </w:pPr>
      <w:bookmarkStart w:id="226" w:name="_Toc30405"/>
      <w:bookmarkStart w:id="227" w:name="_Toc25249"/>
      <w:bookmarkStart w:id="228" w:name="_Toc10519"/>
      <w:bookmarkStart w:id="229" w:name="_Toc8708"/>
      <w:bookmarkStart w:id="230" w:name="_Toc3083"/>
      <w:bookmarkStart w:id="231" w:name="_Toc5678"/>
      <w:bookmarkStart w:id="232" w:name="_Toc21730"/>
      <w:bookmarkStart w:id="233" w:name="_Toc137663961"/>
      <w:bookmarkStart w:id="234" w:name="_Toc5923"/>
      <w:bookmarkStart w:id="235" w:name="_Toc18213"/>
      <w:bookmarkStart w:id="236" w:name="_Toc20332"/>
      <w:bookmarkStart w:id="237" w:name="_Toc10223"/>
      <w:bookmarkStart w:id="238" w:name="_Toc29140"/>
      <w:bookmarkStart w:id="239" w:name="_Toc6629"/>
      <w:r>
        <w:rPr>
          <w:rFonts w:hint="eastAsia"/>
          <w:sz w:val="96"/>
          <w:szCs w:val="96"/>
        </w:rPr>
        <w:t>（项目名称）</w:t>
      </w:r>
      <w:bookmarkEnd w:id="226"/>
      <w:bookmarkEnd w:id="227"/>
      <w:bookmarkEnd w:id="228"/>
      <w:bookmarkEnd w:id="229"/>
      <w:bookmarkEnd w:id="230"/>
      <w:bookmarkEnd w:id="231"/>
      <w:bookmarkEnd w:id="232"/>
      <w:bookmarkEnd w:id="233"/>
      <w:bookmarkEnd w:id="234"/>
      <w:bookmarkEnd w:id="235"/>
      <w:bookmarkEnd w:id="236"/>
    </w:p>
    <w:p>
      <w:pPr>
        <w:pStyle w:val="47"/>
        <w:spacing w:line="480" w:lineRule="exact"/>
        <w:jc w:val="center"/>
        <w:rPr>
          <w:rFonts w:ascii="宋体" w:hAnsi="宋体" w:cs="宋体"/>
          <w:b/>
          <w:color w:val="auto"/>
          <w:sz w:val="44"/>
          <w:szCs w:val="44"/>
        </w:rPr>
      </w:pPr>
    </w:p>
    <w:p>
      <w:pPr>
        <w:pStyle w:val="47"/>
        <w:spacing w:line="480" w:lineRule="exact"/>
        <w:jc w:val="both"/>
        <w:rPr>
          <w:rFonts w:ascii="宋体" w:hAnsi="宋体" w:cs="宋体"/>
          <w:b/>
          <w:color w:val="auto"/>
          <w:sz w:val="44"/>
          <w:szCs w:val="44"/>
        </w:rPr>
      </w:pPr>
    </w:p>
    <w:p>
      <w:pPr>
        <w:pStyle w:val="47"/>
        <w:spacing w:line="480" w:lineRule="exact"/>
        <w:jc w:val="center"/>
        <w:rPr>
          <w:rFonts w:ascii="宋体" w:hAnsi="宋体" w:cs="宋体"/>
          <w:b/>
          <w:color w:val="auto"/>
          <w:sz w:val="44"/>
          <w:szCs w:val="44"/>
        </w:rPr>
      </w:pPr>
    </w:p>
    <w:p>
      <w:pPr>
        <w:pStyle w:val="47"/>
        <w:spacing w:line="360" w:lineRule="auto"/>
        <w:jc w:val="center"/>
        <w:rPr>
          <w:rFonts w:ascii="宋体" w:hAnsi="宋体" w:cs="宋体"/>
          <w:b/>
          <w:bCs/>
          <w:color w:val="auto"/>
          <w:kern w:val="2"/>
          <w:sz w:val="32"/>
          <w:szCs w:val="32"/>
        </w:rPr>
      </w:pPr>
      <w:r>
        <w:rPr>
          <w:rFonts w:hint="eastAsia" w:ascii="宋体" w:hAnsi="宋体" w:cs="宋体"/>
          <w:b/>
          <w:bCs/>
          <w:color w:val="auto"/>
          <w:sz w:val="32"/>
          <w:szCs w:val="32"/>
        </w:rPr>
        <w:t>项目编号</w:t>
      </w:r>
      <w:r>
        <w:rPr>
          <w:rFonts w:hint="eastAsia" w:ascii="宋体" w:hAnsi="宋体" w:cs="宋体"/>
          <w:b/>
          <w:bCs/>
          <w:color w:val="auto"/>
          <w:kern w:val="2"/>
          <w:sz w:val="32"/>
          <w:szCs w:val="32"/>
        </w:rPr>
        <w:t>：</w:t>
      </w:r>
    </w:p>
    <w:p>
      <w:pPr>
        <w:pStyle w:val="47"/>
        <w:spacing w:line="360" w:lineRule="auto"/>
        <w:jc w:val="center"/>
        <w:rPr>
          <w:rFonts w:ascii="宋体" w:hAnsi="宋体" w:cs="宋体"/>
          <w:b/>
          <w:bCs/>
          <w:color w:val="auto"/>
          <w:sz w:val="32"/>
          <w:szCs w:val="32"/>
        </w:rPr>
      </w:pPr>
    </w:p>
    <w:p>
      <w:pPr>
        <w:pStyle w:val="47"/>
        <w:spacing w:line="360" w:lineRule="auto"/>
        <w:jc w:val="center"/>
        <w:rPr>
          <w:rFonts w:ascii="宋体" w:hAnsi="宋体" w:cs="宋体"/>
          <w:b/>
          <w:bCs/>
          <w:color w:val="auto"/>
          <w:sz w:val="32"/>
          <w:szCs w:val="32"/>
        </w:rPr>
      </w:pPr>
    </w:p>
    <w:p>
      <w:pPr>
        <w:jc w:val="center"/>
        <w:rPr>
          <w:b/>
          <w:bCs/>
          <w:sz w:val="96"/>
          <w:szCs w:val="96"/>
        </w:rPr>
      </w:pPr>
      <w:bookmarkStart w:id="240" w:name="_Toc4162"/>
      <w:bookmarkStart w:id="241" w:name="_Toc19023"/>
      <w:bookmarkStart w:id="242" w:name="_Toc5595"/>
      <w:bookmarkStart w:id="243" w:name="_Toc4977"/>
      <w:bookmarkStart w:id="244" w:name="_Toc30409"/>
      <w:bookmarkStart w:id="245" w:name="_Toc9035"/>
      <w:bookmarkStart w:id="246" w:name="_Toc14350"/>
      <w:bookmarkStart w:id="247" w:name="_Toc6189"/>
      <w:bookmarkStart w:id="248" w:name="_Toc8517"/>
      <w:r>
        <w:rPr>
          <w:rFonts w:hint="eastAsia"/>
          <w:b/>
          <w:bCs/>
          <w:sz w:val="96"/>
          <w:szCs w:val="96"/>
        </w:rPr>
        <w:t>响应文件</w:t>
      </w:r>
      <w:bookmarkEnd w:id="240"/>
      <w:bookmarkEnd w:id="241"/>
      <w:bookmarkEnd w:id="242"/>
      <w:bookmarkEnd w:id="243"/>
      <w:bookmarkEnd w:id="244"/>
      <w:bookmarkEnd w:id="245"/>
      <w:bookmarkEnd w:id="246"/>
      <w:bookmarkEnd w:id="247"/>
      <w:bookmarkEnd w:id="248"/>
    </w:p>
    <w:p>
      <w:pPr>
        <w:pStyle w:val="47"/>
        <w:spacing w:line="480" w:lineRule="exact"/>
        <w:jc w:val="both"/>
        <w:rPr>
          <w:rFonts w:ascii="宋体" w:hAnsi="宋体" w:cs="宋体"/>
          <w:color w:val="auto"/>
          <w:sz w:val="28"/>
          <w:szCs w:val="28"/>
        </w:rPr>
      </w:pPr>
    </w:p>
    <w:p>
      <w:pPr>
        <w:pStyle w:val="47"/>
        <w:spacing w:line="480" w:lineRule="exact"/>
        <w:ind w:firstLine="567"/>
        <w:jc w:val="both"/>
        <w:rPr>
          <w:rFonts w:ascii="宋体" w:hAnsi="宋体" w:cs="宋体"/>
          <w:color w:val="auto"/>
          <w:sz w:val="28"/>
          <w:szCs w:val="28"/>
        </w:rPr>
      </w:pPr>
    </w:p>
    <w:p>
      <w:pPr>
        <w:pStyle w:val="47"/>
        <w:spacing w:line="480" w:lineRule="exact"/>
        <w:ind w:firstLine="567"/>
        <w:jc w:val="both"/>
        <w:rPr>
          <w:rFonts w:ascii="宋体" w:hAnsi="宋体" w:cs="宋体"/>
          <w:color w:val="auto"/>
          <w:sz w:val="28"/>
          <w:szCs w:val="28"/>
        </w:rPr>
      </w:pPr>
    </w:p>
    <w:p>
      <w:pPr>
        <w:pStyle w:val="47"/>
        <w:spacing w:line="480" w:lineRule="exact"/>
        <w:ind w:firstLine="567"/>
        <w:jc w:val="both"/>
        <w:rPr>
          <w:rFonts w:ascii="宋体" w:hAnsi="宋体" w:cs="宋体"/>
          <w:color w:val="auto"/>
          <w:sz w:val="28"/>
          <w:szCs w:val="28"/>
        </w:rPr>
      </w:pPr>
    </w:p>
    <w:p>
      <w:pPr>
        <w:pStyle w:val="47"/>
        <w:spacing w:line="480" w:lineRule="exact"/>
        <w:ind w:firstLine="567"/>
        <w:jc w:val="both"/>
        <w:rPr>
          <w:rFonts w:ascii="宋体" w:hAnsi="宋体" w:cs="宋体"/>
          <w:color w:val="auto"/>
          <w:sz w:val="28"/>
          <w:szCs w:val="28"/>
        </w:rPr>
      </w:pPr>
    </w:p>
    <w:p>
      <w:pPr>
        <w:pStyle w:val="47"/>
        <w:spacing w:line="480" w:lineRule="exact"/>
        <w:jc w:val="both"/>
        <w:rPr>
          <w:rFonts w:ascii="宋体" w:hAnsi="宋体" w:cs="宋体"/>
          <w:color w:val="auto"/>
          <w:sz w:val="28"/>
          <w:szCs w:val="28"/>
        </w:rPr>
      </w:pPr>
    </w:p>
    <w:p>
      <w:pPr>
        <w:pStyle w:val="47"/>
        <w:spacing w:line="360" w:lineRule="auto"/>
        <w:jc w:val="both"/>
        <w:rPr>
          <w:rFonts w:ascii="宋体" w:hAnsi="宋体" w:cs="宋体"/>
          <w:b/>
          <w:bCs/>
          <w:color w:val="auto"/>
          <w:sz w:val="32"/>
          <w:szCs w:val="32"/>
        </w:rPr>
      </w:pPr>
      <w:r>
        <w:rPr>
          <w:rFonts w:hint="eastAsia" w:ascii="宋体" w:hAnsi="宋体" w:cs="宋体"/>
          <w:b/>
          <w:bCs/>
          <w:color w:val="auto"/>
          <w:sz w:val="32"/>
          <w:szCs w:val="32"/>
        </w:rPr>
        <w:t>供应商名称（盖章）：</w:t>
      </w:r>
    </w:p>
    <w:p>
      <w:pPr>
        <w:pStyle w:val="47"/>
        <w:spacing w:line="360" w:lineRule="auto"/>
        <w:ind w:firstLine="567"/>
        <w:jc w:val="both"/>
        <w:rPr>
          <w:rFonts w:ascii="宋体" w:hAnsi="宋体" w:cs="宋体"/>
          <w:b/>
          <w:bCs/>
          <w:color w:val="auto"/>
          <w:sz w:val="32"/>
          <w:szCs w:val="32"/>
        </w:rPr>
      </w:pPr>
    </w:p>
    <w:p>
      <w:pPr>
        <w:pStyle w:val="47"/>
        <w:spacing w:line="360" w:lineRule="auto"/>
        <w:jc w:val="both"/>
        <w:rPr>
          <w:rFonts w:ascii="宋体" w:hAnsi="宋体" w:cs="宋体"/>
          <w:b/>
          <w:bCs/>
          <w:color w:val="auto"/>
          <w:sz w:val="32"/>
          <w:szCs w:val="32"/>
        </w:rPr>
      </w:pPr>
      <w:r>
        <w:rPr>
          <w:rFonts w:hint="eastAsia" w:ascii="宋体" w:hAnsi="宋体" w:cs="宋体"/>
          <w:b/>
          <w:bCs/>
          <w:color w:val="auto"/>
          <w:sz w:val="32"/>
          <w:szCs w:val="32"/>
        </w:rPr>
        <w:t>法定代表人或委托代理人（签字或盖章）：</w:t>
      </w:r>
    </w:p>
    <w:p>
      <w:pPr>
        <w:pStyle w:val="47"/>
        <w:spacing w:line="360" w:lineRule="auto"/>
        <w:ind w:firstLine="567"/>
        <w:jc w:val="both"/>
        <w:rPr>
          <w:rFonts w:ascii="宋体" w:hAnsi="宋体" w:cs="宋体"/>
          <w:b/>
          <w:bCs/>
          <w:color w:val="auto"/>
          <w:sz w:val="32"/>
          <w:szCs w:val="32"/>
        </w:rPr>
      </w:pPr>
      <w:r>
        <w:rPr>
          <w:rFonts w:hint="eastAsia" w:ascii="宋体" w:hAnsi="宋体" w:cs="宋体"/>
          <w:b/>
          <w:bCs/>
          <w:color w:val="auto"/>
          <w:sz w:val="32"/>
          <w:szCs w:val="32"/>
        </w:rPr>
        <w:t xml:space="preserve">                                </w:t>
      </w:r>
    </w:p>
    <w:p>
      <w:pPr>
        <w:pStyle w:val="47"/>
        <w:spacing w:line="360" w:lineRule="auto"/>
        <w:jc w:val="center"/>
        <w:rPr>
          <w:rFonts w:ascii="宋体" w:hAnsi="宋体" w:cs="宋体"/>
          <w:b/>
          <w:bCs/>
          <w:color w:val="auto"/>
          <w:sz w:val="32"/>
          <w:szCs w:val="32"/>
        </w:rPr>
      </w:pPr>
      <w:r>
        <w:rPr>
          <w:rFonts w:hint="eastAsia" w:ascii="宋体" w:hAnsi="宋体" w:cs="宋体"/>
          <w:b/>
          <w:bCs/>
          <w:color w:val="auto"/>
          <w:sz w:val="32"/>
          <w:szCs w:val="32"/>
        </w:rPr>
        <w:t>日期：     年   月   日</w:t>
      </w:r>
    </w:p>
    <w:p>
      <w:pPr>
        <w:pStyle w:val="4"/>
        <w:keepNext w:val="0"/>
        <w:numPr>
          <w:ilvl w:val="0"/>
          <w:numId w:val="0"/>
        </w:numPr>
        <w:rPr>
          <w:rFonts w:ascii="宋体" w:hAnsi="宋体" w:cs="宋体"/>
          <w:bCs/>
          <w:sz w:val="32"/>
          <w:szCs w:val="32"/>
        </w:rPr>
      </w:pPr>
      <w:r>
        <w:rPr>
          <w:rFonts w:hint="eastAsia" w:ascii="宋体" w:hAnsi="宋体" w:cs="宋体"/>
          <w:b w:val="0"/>
          <w:bCs/>
          <w:sz w:val="32"/>
          <w:szCs w:val="32"/>
        </w:rPr>
        <w:br w:type="page"/>
      </w:r>
      <w:bookmarkStart w:id="249" w:name="_Toc137664512"/>
      <w:r>
        <w:rPr>
          <w:rFonts w:hint="eastAsia" w:ascii="宋体" w:hAnsi="宋体" w:cs="宋体"/>
          <w:bCs/>
          <w:sz w:val="32"/>
          <w:szCs w:val="32"/>
        </w:rPr>
        <w:t>附件1</w:t>
      </w:r>
      <w:bookmarkEnd w:id="237"/>
      <w:bookmarkEnd w:id="238"/>
      <w:r>
        <w:rPr>
          <w:rFonts w:hint="eastAsia" w:ascii="宋体" w:hAnsi="宋体" w:cs="宋体"/>
          <w:bCs/>
          <w:sz w:val="32"/>
          <w:szCs w:val="32"/>
        </w:rPr>
        <w:t>:</w:t>
      </w:r>
      <w:bookmarkEnd w:id="239"/>
      <w:bookmarkEnd w:id="249"/>
    </w:p>
    <w:p>
      <w:pPr>
        <w:pStyle w:val="4"/>
        <w:keepNext w:val="0"/>
        <w:numPr>
          <w:ilvl w:val="0"/>
          <w:numId w:val="0"/>
        </w:numPr>
        <w:jc w:val="center"/>
        <w:rPr>
          <w:rFonts w:ascii="宋体" w:hAnsi="宋体" w:cs="宋体"/>
          <w:bCs/>
          <w:sz w:val="32"/>
          <w:szCs w:val="32"/>
        </w:rPr>
      </w:pPr>
      <w:bookmarkStart w:id="250" w:name="_Toc137664513"/>
      <w:bookmarkStart w:id="251" w:name="_Toc31789"/>
      <w:bookmarkStart w:id="252" w:name="_Toc18361"/>
      <w:r>
        <w:rPr>
          <w:rFonts w:hint="eastAsia" w:ascii="宋体" w:hAnsi="宋体" w:cs="宋体"/>
          <w:bCs/>
          <w:sz w:val="32"/>
          <w:szCs w:val="32"/>
        </w:rPr>
        <w:t>投 标 函</w:t>
      </w:r>
      <w:bookmarkEnd w:id="250"/>
      <w:bookmarkEnd w:id="251"/>
      <w:bookmarkEnd w:id="252"/>
    </w:p>
    <w:p>
      <w:pPr>
        <w:spacing w:line="360" w:lineRule="auto"/>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u w:val="single"/>
          <w:lang w:val="zh-CN"/>
        </w:rPr>
        <w:t>（采购人名称）</w:t>
      </w:r>
      <w:r>
        <w:rPr>
          <w:rFonts w:hint="eastAsia" w:ascii="宋体" w:hAnsi="宋体" w:cs="宋体"/>
          <w:sz w:val="24"/>
          <w:szCs w:val="24"/>
          <w:u w:val="single"/>
        </w:rPr>
        <w:t xml:space="preserve"> </w:t>
      </w:r>
      <w:r>
        <w:rPr>
          <w:rFonts w:hint="eastAsia" w:ascii="宋体" w:hAnsi="宋体" w:cs="宋体"/>
          <w:sz w:val="24"/>
          <w:szCs w:val="24"/>
        </w:rPr>
        <w:t>：</w:t>
      </w:r>
    </w:p>
    <w:p>
      <w:pPr>
        <w:spacing w:line="360" w:lineRule="auto"/>
        <w:ind w:firstLine="484" w:firstLineChars="200"/>
        <w:rPr>
          <w:rFonts w:ascii="宋体" w:hAnsi="宋体" w:cs="宋体"/>
          <w:sz w:val="24"/>
          <w:szCs w:val="24"/>
        </w:rPr>
      </w:pPr>
      <w:r>
        <w:rPr>
          <w:rFonts w:hint="eastAsia" w:ascii="宋体" w:hAnsi="宋体" w:cs="宋体"/>
          <w:sz w:val="24"/>
          <w:szCs w:val="24"/>
        </w:rPr>
        <w:t>我公司收到贵单位</w:t>
      </w:r>
      <w:r>
        <w:rPr>
          <w:rFonts w:hint="eastAsia" w:ascii="宋体" w:hAnsi="宋体" w:cs="宋体"/>
          <w:sz w:val="24"/>
          <w:szCs w:val="24"/>
          <w:u w:val="single"/>
        </w:rPr>
        <w:t xml:space="preserve">   （项目名称）  </w:t>
      </w:r>
      <w:r>
        <w:rPr>
          <w:rFonts w:hint="eastAsia" w:ascii="宋体" w:hAnsi="宋体" w:cs="宋体"/>
          <w:sz w:val="24"/>
          <w:szCs w:val="24"/>
        </w:rPr>
        <w:t>竞争性磋商文件，经认真研究，我们决定参加本项目投标。</w:t>
      </w:r>
    </w:p>
    <w:p>
      <w:pPr>
        <w:spacing w:line="360" w:lineRule="auto"/>
        <w:ind w:firstLine="484" w:firstLineChars="200"/>
        <w:rPr>
          <w:rFonts w:ascii="宋体" w:hAnsi="宋体" w:cs="宋体"/>
          <w:sz w:val="24"/>
          <w:szCs w:val="24"/>
        </w:rPr>
      </w:pPr>
      <w:r>
        <w:rPr>
          <w:rFonts w:hint="eastAsia" w:ascii="宋体" w:hAnsi="宋体" w:cs="宋体"/>
          <w:sz w:val="24"/>
          <w:szCs w:val="24"/>
        </w:rPr>
        <w:t>1.按照竞争性磋商文件中的一切要求，我方完全接受竞争性磋商文件的规定和要求愿以</w:t>
      </w:r>
      <w:r>
        <w:rPr>
          <w:rFonts w:hint="eastAsia" w:ascii="宋体" w:hAnsi="宋体" w:cs="宋体"/>
          <w:sz w:val="24"/>
          <w:szCs w:val="24"/>
          <w:u w:val="single"/>
        </w:rPr>
        <w:t xml:space="preserve">        </w:t>
      </w:r>
      <w:r>
        <w:rPr>
          <w:rFonts w:hint="eastAsia" w:ascii="宋体" w:hAnsi="宋体" w:cs="宋体"/>
          <w:sz w:val="24"/>
          <w:szCs w:val="24"/>
        </w:rPr>
        <w:t>元（大写：</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sz w:val="24"/>
          <w:szCs w:val="24"/>
          <w:lang w:val="en-US" w:eastAsia="zh-CN"/>
        </w:rPr>
        <w:t>服务</w:t>
      </w:r>
      <w:r>
        <w:rPr>
          <w:rFonts w:hint="eastAsia" w:ascii="宋体" w:hAnsi="宋体" w:cs="宋体"/>
          <w:sz w:val="24"/>
          <w:szCs w:val="24"/>
        </w:rPr>
        <w:t>期限：</w:t>
      </w:r>
      <w:r>
        <w:rPr>
          <w:rFonts w:hint="eastAsia" w:ascii="宋体" w:hAnsi="宋体" w:cs="宋体"/>
          <w:sz w:val="24"/>
          <w:szCs w:val="24"/>
          <w:u w:val="single"/>
        </w:rPr>
        <w:t xml:space="preserve">          </w:t>
      </w:r>
      <w:r>
        <w:rPr>
          <w:rFonts w:hint="eastAsia" w:ascii="宋体" w:hAnsi="宋体" w:cs="宋体"/>
          <w:sz w:val="24"/>
          <w:szCs w:val="24"/>
        </w:rPr>
        <w:t>，完成上述项目的所有工作。</w:t>
      </w:r>
    </w:p>
    <w:p>
      <w:pPr>
        <w:spacing w:line="360" w:lineRule="auto"/>
        <w:ind w:firstLine="484" w:firstLineChars="200"/>
        <w:rPr>
          <w:rFonts w:ascii="宋体" w:hAnsi="宋体" w:cs="宋体"/>
          <w:sz w:val="24"/>
          <w:szCs w:val="24"/>
        </w:rPr>
      </w:pPr>
      <w:bookmarkStart w:id="253" w:name="_Toc4872"/>
      <w:bookmarkStart w:id="254" w:name="_Toc4412"/>
      <w:bookmarkStart w:id="255" w:name="_Toc18057"/>
      <w:r>
        <w:rPr>
          <w:rFonts w:hint="eastAsia" w:ascii="宋体" w:hAnsi="宋体" w:cs="宋体"/>
          <w:sz w:val="24"/>
          <w:szCs w:val="24"/>
        </w:rPr>
        <w:t>2.如果我们的响应文件被接受，我们将履行竞争性磋商文件中规定的每一项要求，按期、按质、按量完成交货和完工任务。</w:t>
      </w:r>
    </w:p>
    <w:p>
      <w:pPr>
        <w:spacing w:line="360" w:lineRule="auto"/>
        <w:ind w:firstLine="484" w:firstLineChars="200"/>
        <w:rPr>
          <w:rFonts w:ascii="宋体" w:hAnsi="宋体" w:cs="宋体"/>
          <w:sz w:val="24"/>
          <w:szCs w:val="24"/>
        </w:rPr>
      </w:pPr>
      <w:r>
        <w:rPr>
          <w:rFonts w:hint="eastAsia" w:ascii="宋体" w:hAnsi="宋体" w:cs="宋体"/>
          <w:sz w:val="24"/>
          <w:szCs w:val="24"/>
        </w:rPr>
        <w:t>3.我们同意按竞争性磋商文件的规定，本响应文件的有效期为投标截止时间后 90 天。</w:t>
      </w:r>
    </w:p>
    <w:p>
      <w:pPr>
        <w:spacing w:line="360" w:lineRule="auto"/>
        <w:ind w:firstLine="484" w:firstLineChars="200"/>
        <w:rPr>
          <w:rFonts w:ascii="宋体" w:hAnsi="宋体" w:cs="宋体"/>
          <w:sz w:val="24"/>
          <w:szCs w:val="24"/>
        </w:rPr>
      </w:pPr>
      <w:bookmarkStart w:id="256" w:name="_Toc23340"/>
      <w:r>
        <w:rPr>
          <w:rFonts w:hint="eastAsia" w:ascii="宋体" w:hAnsi="宋体" w:cs="宋体"/>
          <w:sz w:val="24"/>
          <w:szCs w:val="24"/>
        </w:rPr>
        <w:t>4.我们愿意提供采购人在竞争性磋商文件中要求的所有资料。</w:t>
      </w:r>
      <w:bookmarkEnd w:id="256"/>
    </w:p>
    <w:p>
      <w:pPr>
        <w:spacing w:line="360" w:lineRule="auto"/>
        <w:ind w:firstLine="484" w:firstLineChars="200"/>
        <w:rPr>
          <w:rFonts w:ascii="宋体" w:hAnsi="宋体" w:cs="宋体"/>
          <w:sz w:val="24"/>
          <w:szCs w:val="24"/>
        </w:rPr>
      </w:pPr>
      <w:r>
        <w:rPr>
          <w:rFonts w:hint="eastAsia" w:ascii="宋体" w:hAnsi="宋体" w:cs="宋体"/>
          <w:sz w:val="24"/>
          <w:szCs w:val="24"/>
        </w:rPr>
        <w:t>5.我们认为采购人有选择或拒绝任何供应商中标的权力。我们理解，最低报价不是中标的唯一条件。</w:t>
      </w:r>
    </w:p>
    <w:p>
      <w:pPr>
        <w:spacing w:line="360" w:lineRule="auto"/>
        <w:ind w:firstLine="484" w:firstLineChars="200"/>
        <w:rPr>
          <w:rFonts w:ascii="宋体" w:hAnsi="宋体" w:cs="宋体"/>
          <w:sz w:val="24"/>
          <w:szCs w:val="24"/>
        </w:rPr>
      </w:pPr>
      <w:bookmarkStart w:id="257" w:name="_Toc3092"/>
      <w:r>
        <w:rPr>
          <w:rFonts w:hint="eastAsia" w:ascii="宋体" w:hAnsi="宋体" w:cs="宋体"/>
          <w:sz w:val="24"/>
          <w:szCs w:val="24"/>
        </w:rPr>
        <w:t>6.我们愿按合同法履行自己的全部责任。</w:t>
      </w:r>
      <w:bookmarkEnd w:id="257"/>
    </w:p>
    <w:p>
      <w:pPr>
        <w:spacing w:line="360" w:lineRule="auto"/>
        <w:ind w:firstLine="484" w:firstLineChars="200"/>
        <w:rPr>
          <w:rFonts w:ascii="宋体" w:hAnsi="宋体" w:cs="宋体"/>
          <w:sz w:val="24"/>
          <w:szCs w:val="24"/>
        </w:rPr>
      </w:pPr>
      <w:r>
        <w:rPr>
          <w:rFonts w:hint="eastAsia" w:ascii="宋体" w:hAnsi="宋体" w:cs="宋体"/>
          <w:sz w:val="24"/>
          <w:szCs w:val="24"/>
        </w:rPr>
        <w:t>7.我方愿意遵守竞争性磋商文件中规定的收费标准，承付采购代理服务费。</w:t>
      </w:r>
    </w:p>
    <w:p>
      <w:pPr>
        <w:spacing w:line="360" w:lineRule="auto"/>
        <w:ind w:firstLine="484" w:firstLineChars="200"/>
        <w:rPr>
          <w:rFonts w:ascii="宋体" w:hAnsi="宋体" w:cs="宋体"/>
          <w:sz w:val="24"/>
          <w:szCs w:val="24"/>
        </w:rPr>
      </w:pPr>
      <w:r>
        <w:rPr>
          <w:rFonts w:hint="eastAsia" w:ascii="宋体" w:hAnsi="宋体" w:cs="宋体"/>
          <w:sz w:val="24"/>
          <w:szCs w:val="24"/>
        </w:rPr>
        <w:t>8.该项投标在投标截止时间后的投标有效期内保持有效，不作任何更改和变动。</w:t>
      </w:r>
    </w:p>
    <w:p>
      <w:pPr>
        <w:spacing w:line="360" w:lineRule="auto"/>
        <w:ind w:firstLine="484" w:firstLineChars="200"/>
        <w:rPr>
          <w:rFonts w:ascii="宋体" w:hAnsi="宋体" w:cs="宋体"/>
          <w:sz w:val="24"/>
          <w:szCs w:val="24"/>
        </w:rPr>
      </w:pPr>
      <w:r>
        <w:rPr>
          <w:rFonts w:hint="eastAsia" w:ascii="宋体" w:hAnsi="宋体" w:cs="宋体"/>
          <w:sz w:val="24"/>
          <w:szCs w:val="24"/>
        </w:rPr>
        <w:t>9.我们同意按竞争性磋商文件规定，交纳   元（大写：   ）的投标保证金。</w:t>
      </w:r>
    </w:p>
    <w:p>
      <w:pPr>
        <w:spacing w:line="360" w:lineRule="auto"/>
        <w:ind w:firstLine="484" w:firstLineChars="200"/>
        <w:rPr>
          <w:rFonts w:ascii="宋体" w:hAnsi="宋体" w:cs="宋体"/>
          <w:sz w:val="24"/>
          <w:szCs w:val="24"/>
        </w:rPr>
      </w:pPr>
      <w:bookmarkStart w:id="258" w:name="_Toc2408"/>
      <w:r>
        <w:rPr>
          <w:rFonts w:hint="eastAsia" w:ascii="宋体" w:hAnsi="宋体" w:cs="宋体"/>
          <w:sz w:val="24"/>
          <w:szCs w:val="24"/>
        </w:rPr>
        <w:t>10.所有有关本响应文件的函电，请按下列地址联系：</w:t>
      </w:r>
      <w:bookmarkEnd w:id="258"/>
    </w:p>
    <w:p>
      <w:pPr>
        <w:spacing w:line="360" w:lineRule="auto"/>
        <w:ind w:firstLine="484" w:firstLineChars="200"/>
        <w:rPr>
          <w:rFonts w:ascii="宋体" w:hAnsi="宋体" w:cs="宋体"/>
          <w:sz w:val="24"/>
          <w:szCs w:val="24"/>
        </w:rPr>
      </w:pPr>
      <w:r>
        <w:rPr>
          <w:rFonts w:hint="eastAsia" w:ascii="宋体" w:hAnsi="宋体" w:cs="宋体"/>
          <w:sz w:val="24"/>
          <w:szCs w:val="24"/>
        </w:rPr>
        <w:t>单位名称：</w:t>
      </w:r>
    </w:p>
    <w:p>
      <w:pPr>
        <w:spacing w:line="360" w:lineRule="auto"/>
        <w:ind w:firstLine="484" w:firstLineChars="200"/>
        <w:rPr>
          <w:rFonts w:ascii="宋体" w:hAnsi="宋体" w:cs="宋体"/>
          <w:sz w:val="24"/>
          <w:szCs w:val="24"/>
        </w:rPr>
      </w:pPr>
      <w:r>
        <w:rPr>
          <w:rFonts w:hint="eastAsia" w:ascii="宋体" w:hAnsi="宋体" w:cs="宋体"/>
          <w:sz w:val="24"/>
          <w:szCs w:val="24"/>
        </w:rPr>
        <w:t>地    址：</w:t>
      </w:r>
    </w:p>
    <w:p>
      <w:pPr>
        <w:spacing w:line="360" w:lineRule="auto"/>
        <w:ind w:firstLine="484" w:firstLineChars="200"/>
        <w:rPr>
          <w:rFonts w:ascii="宋体" w:hAnsi="宋体" w:cs="宋体"/>
          <w:sz w:val="24"/>
          <w:szCs w:val="24"/>
        </w:rPr>
      </w:pPr>
      <w:r>
        <w:rPr>
          <w:rFonts w:hint="eastAsia" w:ascii="宋体" w:hAnsi="宋体" w:cs="宋体"/>
          <w:sz w:val="24"/>
          <w:szCs w:val="24"/>
        </w:rPr>
        <w:t>邮政编码：</w:t>
      </w:r>
    </w:p>
    <w:p>
      <w:pPr>
        <w:spacing w:line="360" w:lineRule="auto"/>
        <w:ind w:firstLine="484" w:firstLineChars="200"/>
        <w:rPr>
          <w:rFonts w:ascii="宋体" w:hAnsi="宋体" w:cs="宋体"/>
          <w:sz w:val="24"/>
          <w:szCs w:val="24"/>
        </w:rPr>
      </w:pPr>
      <w:r>
        <w:rPr>
          <w:rFonts w:hint="eastAsia" w:ascii="宋体" w:hAnsi="宋体" w:cs="宋体"/>
          <w:sz w:val="24"/>
          <w:szCs w:val="24"/>
        </w:rPr>
        <w:t>联 系 人：                   电    话：</w:t>
      </w:r>
    </w:p>
    <w:p>
      <w:pPr>
        <w:spacing w:line="360" w:lineRule="auto"/>
        <w:ind w:firstLine="484" w:firstLineChars="200"/>
        <w:rPr>
          <w:rFonts w:ascii="宋体" w:hAnsi="宋体" w:cs="宋体"/>
          <w:sz w:val="24"/>
          <w:szCs w:val="24"/>
        </w:rPr>
      </w:pPr>
      <w:r>
        <w:rPr>
          <w:rFonts w:hint="eastAsia" w:ascii="宋体" w:hAnsi="宋体" w:cs="宋体"/>
          <w:sz w:val="24"/>
          <w:szCs w:val="24"/>
        </w:rPr>
        <w:t>传    真：                   电子邮箱：</w:t>
      </w:r>
    </w:p>
    <w:p>
      <w:pPr>
        <w:spacing w:line="360" w:lineRule="auto"/>
        <w:jc w:val="center"/>
        <w:rPr>
          <w:rFonts w:ascii="宋体" w:hAnsi="宋体" w:cs="宋体"/>
          <w:sz w:val="24"/>
          <w:szCs w:val="24"/>
        </w:rPr>
      </w:pPr>
      <w:r>
        <w:rPr>
          <w:rFonts w:hint="eastAsia" w:ascii="宋体" w:hAnsi="宋体" w:cs="宋体"/>
          <w:sz w:val="24"/>
          <w:szCs w:val="24"/>
        </w:rPr>
        <w:t xml:space="preserve">                             供应商名称（盖章）：</w:t>
      </w:r>
    </w:p>
    <w:p>
      <w:pPr>
        <w:spacing w:line="360" w:lineRule="auto"/>
        <w:jc w:val="right"/>
        <w:rPr>
          <w:rFonts w:ascii="宋体" w:hAnsi="宋体" w:cs="宋体"/>
          <w:sz w:val="24"/>
          <w:szCs w:val="24"/>
        </w:rPr>
      </w:pPr>
      <w:r>
        <w:rPr>
          <w:rFonts w:hint="eastAsia" w:ascii="宋体" w:hAnsi="宋体" w:cs="宋体"/>
          <w:sz w:val="24"/>
          <w:szCs w:val="24"/>
        </w:rPr>
        <w:t>法定代表人或委托代理人（签字或盖章）：</w:t>
      </w:r>
    </w:p>
    <w:p>
      <w:pPr>
        <w:pStyle w:val="4"/>
        <w:keepNext w:val="0"/>
        <w:numPr>
          <w:ilvl w:val="0"/>
          <w:numId w:val="0"/>
        </w:numPr>
        <w:rPr>
          <w:rFonts w:ascii="宋体" w:hAnsi="宋体" w:cs="宋体"/>
          <w:bCs/>
          <w:sz w:val="32"/>
          <w:szCs w:val="32"/>
        </w:rPr>
      </w:pPr>
      <w:r>
        <w:rPr>
          <w:rFonts w:hint="eastAsia" w:ascii="宋体" w:hAnsi="宋体" w:cs="宋体"/>
        </w:rPr>
        <w:t xml:space="preserve">                                    </w:t>
      </w:r>
      <w:bookmarkStart w:id="259" w:name="_Toc137664514"/>
      <w:r>
        <w:rPr>
          <w:rFonts w:hint="eastAsia" w:ascii="宋体" w:hAnsi="宋体" w:cs="宋体"/>
        </w:rPr>
        <w:t>日期：     年   月   日</w:t>
      </w:r>
      <w:r>
        <w:rPr>
          <w:rFonts w:hint="eastAsia" w:ascii="宋体" w:hAnsi="宋体" w:cs="宋体"/>
          <w:b w:val="0"/>
          <w:bCs/>
          <w:kern w:val="2"/>
          <w:sz w:val="32"/>
          <w:szCs w:val="21"/>
        </w:rPr>
        <w:br w:type="page"/>
      </w:r>
      <w:bookmarkStart w:id="260" w:name="_Toc1144"/>
      <w:r>
        <w:rPr>
          <w:rFonts w:hint="eastAsia" w:ascii="宋体" w:hAnsi="宋体" w:cs="宋体"/>
          <w:bCs/>
          <w:sz w:val="32"/>
          <w:szCs w:val="32"/>
        </w:rPr>
        <w:t>附件2</w:t>
      </w:r>
      <w:bookmarkEnd w:id="253"/>
      <w:bookmarkEnd w:id="254"/>
      <w:r>
        <w:rPr>
          <w:rFonts w:hint="eastAsia" w:ascii="宋体" w:hAnsi="宋体" w:cs="宋体"/>
          <w:bCs/>
          <w:sz w:val="32"/>
          <w:szCs w:val="32"/>
        </w:rPr>
        <w:t>:</w:t>
      </w:r>
      <w:bookmarkEnd w:id="255"/>
      <w:bookmarkEnd w:id="259"/>
      <w:bookmarkEnd w:id="260"/>
    </w:p>
    <w:p>
      <w:pPr>
        <w:pStyle w:val="4"/>
        <w:keepNext w:val="0"/>
        <w:numPr>
          <w:ilvl w:val="0"/>
          <w:numId w:val="0"/>
        </w:numPr>
        <w:jc w:val="center"/>
        <w:rPr>
          <w:rFonts w:ascii="宋体" w:hAnsi="宋体" w:cs="宋体"/>
          <w:bCs/>
          <w:sz w:val="32"/>
          <w:szCs w:val="32"/>
        </w:rPr>
      </w:pPr>
      <w:bookmarkStart w:id="261" w:name="_Toc8165"/>
      <w:bookmarkStart w:id="262" w:name="_Toc13780"/>
      <w:bookmarkStart w:id="263" w:name="_Toc137664515"/>
      <w:r>
        <w:rPr>
          <w:rFonts w:hint="eastAsia" w:ascii="宋体" w:hAnsi="宋体" w:cs="宋体"/>
          <w:bCs/>
          <w:sz w:val="32"/>
          <w:szCs w:val="32"/>
        </w:rPr>
        <w:t>法定代表人</w:t>
      </w:r>
      <w:bookmarkEnd w:id="261"/>
      <w:r>
        <w:rPr>
          <w:rFonts w:hint="eastAsia" w:ascii="宋体" w:hAnsi="宋体" w:cs="宋体"/>
          <w:bCs/>
          <w:sz w:val="32"/>
          <w:szCs w:val="32"/>
        </w:rPr>
        <w:t>身份证明书</w:t>
      </w:r>
      <w:bookmarkEnd w:id="262"/>
      <w:bookmarkEnd w:id="263"/>
    </w:p>
    <w:p>
      <w:pPr>
        <w:spacing w:line="360" w:lineRule="auto"/>
        <w:ind w:firstLine="484" w:firstLineChars="200"/>
        <w:rPr>
          <w:rFonts w:ascii="宋体" w:hAnsi="宋体" w:cs="宋体"/>
          <w:sz w:val="24"/>
          <w:szCs w:val="24"/>
        </w:rPr>
      </w:pPr>
      <w:bookmarkStart w:id="264" w:name="_Toc1629"/>
      <w:r>
        <w:rPr>
          <w:rFonts w:hint="eastAsia" w:ascii="宋体" w:hAnsi="宋体" w:cs="宋体"/>
          <w:sz w:val="24"/>
          <w:szCs w:val="24"/>
        </w:rPr>
        <w:t xml:space="preserve">单位名称：                                            </w:t>
      </w:r>
    </w:p>
    <w:p>
      <w:pPr>
        <w:spacing w:line="360" w:lineRule="auto"/>
        <w:ind w:firstLine="484" w:firstLineChars="200"/>
        <w:rPr>
          <w:rFonts w:ascii="宋体" w:hAnsi="宋体" w:cs="宋体"/>
          <w:sz w:val="24"/>
          <w:szCs w:val="24"/>
        </w:rPr>
      </w:pPr>
      <w:r>
        <w:rPr>
          <w:rFonts w:hint="eastAsia" w:ascii="宋体" w:hAnsi="宋体" w:cs="宋体"/>
          <w:sz w:val="24"/>
          <w:szCs w:val="24"/>
        </w:rPr>
        <w:t xml:space="preserve">地    址：            </w:t>
      </w:r>
    </w:p>
    <w:p>
      <w:pPr>
        <w:spacing w:line="360" w:lineRule="auto"/>
        <w:ind w:firstLine="484" w:firstLineChars="200"/>
        <w:rPr>
          <w:rFonts w:ascii="宋体" w:hAnsi="宋体" w:cs="宋体"/>
          <w:sz w:val="24"/>
          <w:szCs w:val="24"/>
        </w:rPr>
      </w:pPr>
      <w:r>
        <w:rPr>
          <w:rFonts w:hint="eastAsia" w:ascii="宋体" w:hAnsi="宋体" w:cs="宋体"/>
          <w:sz w:val="24"/>
          <w:szCs w:val="24"/>
        </w:rPr>
        <w:t xml:space="preserve">姓    名：        性别：      年龄：       职务：                            </w:t>
      </w:r>
    </w:p>
    <w:p>
      <w:pPr>
        <w:spacing w:line="360" w:lineRule="auto"/>
        <w:ind w:firstLine="968" w:firstLineChars="400"/>
        <w:rPr>
          <w:rFonts w:ascii="宋体" w:hAnsi="宋体" w:cs="宋体"/>
          <w:sz w:val="24"/>
          <w:szCs w:val="24"/>
        </w:rPr>
      </w:pPr>
    </w:p>
    <w:p>
      <w:pPr>
        <w:spacing w:line="360" w:lineRule="auto"/>
        <w:ind w:firstLine="968" w:firstLineChars="400"/>
        <w:rPr>
          <w:rFonts w:ascii="宋体" w:hAnsi="宋体" w:cs="宋体"/>
          <w:sz w:val="24"/>
          <w:szCs w:val="24"/>
        </w:rPr>
      </w:pPr>
      <w:r>
        <w:rPr>
          <w:rFonts w:hint="eastAsia" w:ascii="宋体" w:hAnsi="宋体" w:cs="宋体"/>
          <w:sz w:val="24"/>
          <w:szCs w:val="24"/>
        </w:rPr>
        <w:t>系</w:t>
      </w:r>
      <w:r>
        <w:rPr>
          <w:rFonts w:hint="eastAsia" w:ascii="宋体" w:hAnsi="宋体" w:cs="宋体"/>
          <w:sz w:val="24"/>
          <w:szCs w:val="24"/>
          <w:u w:val="single"/>
        </w:rPr>
        <w:t xml:space="preserve">                     </w:t>
      </w:r>
      <w:r>
        <w:rPr>
          <w:rFonts w:hint="eastAsia" w:ascii="宋体" w:hAnsi="宋体" w:cs="宋体"/>
          <w:sz w:val="24"/>
          <w:szCs w:val="24"/>
        </w:rPr>
        <w:t>的法定代表人。</w:t>
      </w:r>
    </w:p>
    <w:p>
      <w:pPr>
        <w:spacing w:line="360" w:lineRule="auto"/>
        <w:ind w:firstLine="484" w:firstLineChars="200"/>
        <w:rPr>
          <w:rFonts w:ascii="宋体" w:hAnsi="宋体" w:cs="宋体"/>
          <w:sz w:val="24"/>
          <w:szCs w:val="24"/>
        </w:rPr>
      </w:pPr>
    </w:p>
    <w:p>
      <w:pPr>
        <w:spacing w:line="360" w:lineRule="auto"/>
        <w:ind w:firstLine="484" w:firstLineChars="200"/>
        <w:rPr>
          <w:rFonts w:ascii="宋体" w:hAnsi="宋体" w:cs="宋体"/>
          <w:sz w:val="24"/>
          <w:szCs w:val="24"/>
        </w:rPr>
      </w:pPr>
      <w:r>
        <w:rPr>
          <w:rFonts w:hint="eastAsia" w:ascii="宋体" w:hAnsi="宋体" w:cs="宋体"/>
          <w:sz w:val="24"/>
          <w:szCs w:val="24"/>
        </w:rPr>
        <w:t>特此证明。</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2"/>
        <w:gridCol w:w="3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3402" w:type="dxa"/>
            <w:vAlign w:val="center"/>
          </w:tcPr>
          <w:p>
            <w:pPr>
              <w:rPr>
                <w:rFonts w:ascii="宋体" w:hAnsi="宋体" w:cs="宋体"/>
                <w:sz w:val="24"/>
                <w:szCs w:val="24"/>
              </w:rPr>
            </w:pPr>
            <w:r>
              <w:rPr>
                <w:rFonts w:hint="eastAsia" w:ascii="宋体" w:hAnsi="宋体" w:cs="宋体"/>
                <w:sz w:val="24"/>
                <w:szCs w:val="24"/>
              </w:rPr>
              <w:t>法定代表人身份证（正面）</w:t>
            </w:r>
          </w:p>
        </w:tc>
        <w:tc>
          <w:tcPr>
            <w:tcW w:w="3439" w:type="dxa"/>
            <w:vAlign w:val="center"/>
          </w:tcPr>
          <w:p>
            <w:pPr>
              <w:rPr>
                <w:rFonts w:ascii="宋体" w:hAnsi="宋体" w:cs="宋体"/>
                <w:sz w:val="24"/>
                <w:szCs w:val="24"/>
              </w:rPr>
            </w:pPr>
            <w:r>
              <w:rPr>
                <w:rFonts w:hint="eastAsia" w:ascii="宋体" w:hAnsi="宋体" w:cs="宋体"/>
                <w:sz w:val="24"/>
                <w:szCs w:val="24"/>
              </w:rPr>
              <w:t>法定代表人身份证（背面）</w:t>
            </w:r>
          </w:p>
        </w:tc>
      </w:tr>
    </w:tbl>
    <w:p>
      <w:pPr>
        <w:pStyle w:val="25"/>
        <w:spacing w:line="312" w:lineRule="auto"/>
        <w:ind w:left="0" w:firstLine="0" w:firstLineChars="0"/>
        <w:rPr>
          <w:rFonts w:ascii="宋体" w:hAnsi="宋体" w:cs="宋体"/>
          <w:sz w:val="24"/>
        </w:rPr>
      </w:pPr>
    </w:p>
    <w:p>
      <w:pPr>
        <w:pStyle w:val="25"/>
        <w:spacing w:line="312" w:lineRule="auto"/>
        <w:ind w:left="0" w:firstLine="0" w:firstLineChars="0"/>
        <w:rPr>
          <w:rFonts w:ascii="宋体" w:hAnsi="宋体" w:cs="宋体"/>
          <w:sz w:val="24"/>
        </w:rPr>
      </w:pPr>
    </w:p>
    <w:p>
      <w:pPr>
        <w:pStyle w:val="25"/>
        <w:spacing w:line="312" w:lineRule="auto"/>
        <w:ind w:left="0" w:firstLine="0" w:firstLineChars="0"/>
        <w:rPr>
          <w:rFonts w:ascii="宋体" w:hAnsi="宋体" w:cs="宋体"/>
          <w:sz w:val="24"/>
        </w:rPr>
      </w:pPr>
    </w:p>
    <w:p>
      <w:pPr>
        <w:pStyle w:val="25"/>
        <w:spacing w:line="312" w:lineRule="auto"/>
        <w:ind w:left="0" w:firstLine="0" w:firstLineChars="0"/>
        <w:rPr>
          <w:rFonts w:ascii="宋体" w:hAnsi="宋体" w:cs="宋体"/>
          <w:sz w:val="24"/>
        </w:rPr>
      </w:pPr>
    </w:p>
    <w:p>
      <w:pPr>
        <w:pStyle w:val="25"/>
        <w:spacing w:line="312" w:lineRule="auto"/>
        <w:ind w:left="0" w:firstLine="0" w:firstLineChars="0"/>
        <w:rPr>
          <w:rFonts w:ascii="宋体" w:hAnsi="宋体" w:cs="宋体"/>
          <w:sz w:val="24"/>
        </w:rPr>
      </w:pPr>
    </w:p>
    <w:p>
      <w:pPr>
        <w:pStyle w:val="20"/>
        <w:ind w:left="838" w:firstLine="484" w:firstLineChars="200"/>
        <w:jc w:val="center"/>
        <w:rPr>
          <w:rFonts w:ascii="宋体" w:hAnsi="宋体" w:eastAsia="宋体" w:cs="宋体"/>
          <w:sz w:val="24"/>
          <w:szCs w:val="24"/>
        </w:rPr>
      </w:pPr>
      <w:r>
        <w:rPr>
          <w:rFonts w:hint="eastAsia" w:ascii="宋体" w:hAnsi="宋体" w:eastAsia="宋体" w:cs="宋体"/>
          <w:sz w:val="24"/>
          <w:szCs w:val="24"/>
        </w:rPr>
        <w:t xml:space="preserve">            供应商名称（盖章）：</w:t>
      </w:r>
    </w:p>
    <w:p>
      <w:pPr>
        <w:pStyle w:val="20"/>
        <w:ind w:left="838" w:firstLine="484" w:firstLineChars="200"/>
        <w:jc w:val="right"/>
        <w:rPr>
          <w:rFonts w:ascii="宋体" w:hAnsi="宋体" w:eastAsia="宋体" w:cs="宋体"/>
          <w:bCs/>
          <w:sz w:val="24"/>
          <w:szCs w:val="24"/>
        </w:rPr>
      </w:pPr>
    </w:p>
    <w:p>
      <w:pPr>
        <w:pStyle w:val="47"/>
        <w:wordWrap w:val="0"/>
        <w:spacing w:line="360" w:lineRule="auto"/>
        <w:ind w:firstLine="567"/>
        <w:jc w:val="right"/>
        <w:rPr>
          <w:rFonts w:ascii="宋体" w:hAnsi="宋体" w:cs="宋体"/>
          <w:color w:val="auto"/>
        </w:rPr>
      </w:pPr>
      <w:r>
        <w:rPr>
          <w:rFonts w:hint="eastAsia" w:ascii="宋体" w:hAnsi="宋体" w:cs="宋体"/>
          <w:color w:val="auto"/>
        </w:rPr>
        <w:t xml:space="preserve">                                </w:t>
      </w:r>
    </w:p>
    <w:p>
      <w:pPr>
        <w:pStyle w:val="47"/>
        <w:wordWrap w:val="0"/>
        <w:spacing w:line="360" w:lineRule="auto"/>
        <w:ind w:firstLine="567"/>
        <w:jc w:val="right"/>
        <w:rPr>
          <w:rFonts w:ascii="宋体" w:hAnsi="宋体" w:cs="宋体"/>
          <w:b/>
          <w:bCs/>
          <w:color w:val="auto"/>
        </w:rPr>
      </w:pPr>
      <w:r>
        <w:rPr>
          <w:rFonts w:hint="eastAsia" w:ascii="宋体" w:hAnsi="宋体" w:cs="宋体"/>
          <w:color w:val="auto"/>
        </w:rPr>
        <w:t xml:space="preserve"> 日期：     年   月   日</w:t>
      </w:r>
    </w:p>
    <w:p>
      <w:pPr>
        <w:pStyle w:val="4"/>
        <w:keepNext w:val="0"/>
        <w:numPr>
          <w:ilvl w:val="0"/>
          <w:numId w:val="0"/>
        </w:numPr>
        <w:jc w:val="center"/>
        <w:rPr>
          <w:rFonts w:ascii="宋体" w:hAnsi="宋体" w:cs="宋体"/>
          <w:sz w:val="30"/>
          <w:szCs w:val="30"/>
        </w:rPr>
      </w:pPr>
      <w:r>
        <w:rPr>
          <w:rStyle w:val="67"/>
          <w:rFonts w:hint="eastAsia" w:ascii="宋体" w:hAnsi="宋体" w:eastAsia="宋体" w:cs="宋体"/>
          <w:sz w:val="32"/>
          <w:szCs w:val="28"/>
        </w:rPr>
        <w:br w:type="page"/>
      </w:r>
      <w:bookmarkStart w:id="265" w:name="_Toc137664516"/>
      <w:bookmarkStart w:id="266" w:name="_Toc12410"/>
      <w:r>
        <w:rPr>
          <w:rFonts w:hint="eastAsia" w:ascii="宋体" w:hAnsi="宋体" w:cs="宋体"/>
          <w:bCs/>
          <w:sz w:val="32"/>
          <w:szCs w:val="32"/>
        </w:rPr>
        <w:t>授权委托书</w:t>
      </w:r>
      <w:bookmarkEnd w:id="264"/>
      <w:bookmarkEnd w:id="265"/>
      <w:bookmarkEnd w:id="266"/>
    </w:p>
    <w:p>
      <w:pPr>
        <w:spacing w:line="360" w:lineRule="auto"/>
        <w:ind w:firstLine="484" w:firstLineChars="200"/>
        <w:rPr>
          <w:rFonts w:ascii="宋体" w:hAnsi="宋体" w:cs="宋体"/>
          <w:sz w:val="24"/>
          <w:szCs w:val="22"/>
        </w:rPr>
      </w:pPr>
      <w:bookmarkStart w:id="267" w:name="_Toc23318"/>
      <w:bookmarkStart w:id="268" w:name="_Toc6017"/>
      <w:bookmarkStart w:id="269" w:name="_Toc24450"/>
      <w:r>
        <w:rPr>
          <w:rFonts w:hint="eastAsia" w:ascii="宋体" w:hAnsi="宋体" w:cs="宋体"/>
          <w:sz w:val="24"/>
          <w:szCs w:val="22"/>
        </w:rPr>
        <w:t>本授权委托书声明：我</w:t>
      </w:r>
      <w:r>
        <w:rPr>
          <w:rFonts w:hint="eastAsia" w:ascii="宋体" w:hAnsi="宋体" w:cs="宋体"/>
          <w:sz w:val="24"/>
          <w:szCs w:val="22"/>
          <w:u w:val="single"/>
        </w:rPr>
        <w:t xml:space="preserve"> （姓名） </w:t>
      </w:r>
      <w:r>
        <w:rPr>
          <w:rFonts w:hint="eastAsia" w:ascii="宋体" w:hAnsi="宋体" w:cs="宋体"/>
          <w:sz w:val="24"/>
          <w:szCs w:val="22"/>
        </w:rPr>
        <w:t>系</w:t>
      </w:r>
      <w:r>
        <w:rPr>
          <w:rFonts w:hint="eastAsia" w:ascii="宋体" w:hAnsi="宋体" w:cs="宋体"/>
          <w:sz w:val="24"/>
          <w:szCs w:val="22"/>
          <w:u w:val="single"/>
        </w:rPr>
        <w:t xml:space="preserve"> （供应商名称） </w:t>
      </w:r>
      <w:r>
        <w:rPr>
          <w:rFonts w:hint="eastAsia" w:ascii="宋体" w:hAnsi="宋体" w:cs="宋体"/>
          <w:sz w:val="24"/>
          <w:szCs w:val="22"/>
        </w:rPr>
        <w:t>的法定代表人，现授权委托</w:t>
      </w:r>
      <w:r>
        <w:rPr>
          <w:rFonts w:hint="eastAsia" w:ascii="宋体" w:hAnsi="宋体" w:cs="宋体"/>
          <w:sz w:val="24"/>
          <w:szCs w:val="22"/>
          <w:u w:val="single"/>
        </w:rPr>
        <w:t xml:space="preserve"> （供应商名称） </w:t>
      </w:r>
      <w:r>
        <w:rPr>
          <w:rFonts w:hint="eastAsia" w:ascii="宋体" w:hAnsi="宋体" w:cs="宋体"/>
          <w:sz w:val="24"/>
          <w:szCs w:val="22"/>
        </w:rPr>
        <w:t xml:space="preserve">的 </w:t>
      </w:r>
      <w:r>
        <w:rPr>
          <w:rFonts w:hint="eastAsia" w:ascii="宋体" w:hAnsi="宋体" w:cs="宋体"/>
          <w:sz w:val="24"/>
          <w:szCs w:val="22"/>
          <w:u w:val="single"/>
        </w:rPr>
        <w:t xml:space="preserve"> （姓名、身份证号） </w:t>
      </w:r>
      <w:r>
        <w:rPr>
          <w:rFonts w:hint="eastAsia" w:ascii="宋体" w:hAnsi="宋体" w:cs="宋体"/>
          <w:sz w:val="24"/>
          <w:szCs w:val="22"/>
        </w:rPr>
        <w:t>我公司代理人，以本公司的名义参加</w:t>
      </w:r>
      <w:r>
        <w:rPr>
          <w:rFonts w:hint="eastAsia" w:ascii="宋体" w:hAnsi="宋体" w:cs="宋体"/>
          <w:sz w:val="24"/>
          <w:szCs w:val="22"/>
          <w:u w:val="single"/>
        </w:rPr>
        <w:t xml:space="preserve"> （项目名称） </w:t>
      </w:r>
      <w:r>
        <w:rPr>
          <w:rFonts w:hint="eastAsia" w:ascii="宋体" w:hAnsi="宋体" w:cs="宋体"/>
          <w:sz w:val="24"/>
          <w:szCs w:val="22"/>
        </w:rPr>
        <w:t>的投标活动。</w:t>
      </w:r>
    </w:p>
    <w:p>
      <w:pPr>
        <w:spacing w:line="360" w:lineRule="auto"/>
        <w:ind w:firstLine="484" w:firstLineChars="200"/>
        <w:rPr>
          <w:rFonts w:ascii="宋体" w:hAnsi="宋体" w:cs="宋体"/>
          <w:sz w:val="24"/>
          <w:szCs w:val="22"/>
        </w:rPr>
      </w:pPr>
      <w:r>
        <w:rPr>
          <w:rFonts w:hint="eastAsia" w:ascii="宋体" w:hAnsi="宋体" w:cs="宋体"/>
          <w:sz w:val="24"/>
          <w:szCs w:val="22"/>
        </w:rPr>
        <w:t>代理人在处理投标的过程中所签署的一切文件和处理与之有关的一切事务，我均予以承认。</w:t>
      </w:r>
    </w:p>
    <w:p>
      <w:pPr>
        <w:spacing w:line="360" w:lineRule="auto"/>
        <w:ind w:firstLine="484" w:firstLineChars="200"/>
        <w:rPr>
          <w:rFonts w:ascii="宋体" w:hAnsi="宋体" w:cs="宋体"/>
          <w:sz w:val="24"/>
          <w:szCs w:val="22"/>
        </w:rPr>
      </w:pPr>
      <w:r>
        <w:rPr>
          <w:rFonts w:hint="eastAsia" w:ascii="宋体" w:hAnsi="宋体" w:cs="宋体"/>
          <w:sz w:val="24"/>
          <w:szCs w:val="22"/>
        </w:rPr>
        <w:t>授权期限:</w:t>
      </w:r>
      <w:r>
        <w:rPr>
          <w:rFonts w:hint="eastAsia" w:ascii="宋体" w:hAnsi="宋体" w:cs="宋体"/>
          <w:sz w:val="24"/>
          <w:szCs w:val="22"/>
          <w:u w:val="single"/>
        </w:rPr>
        <w:t xml:space="preserve">     </w:t>
      </w:r>
      <w:r>
        <w:rPr>
          <w:rFonts w:hint="eastAsia" w:ascii="宋体" w:hAnsi="宋体" w:cs="宋体"/>
          <w:sz w:val="24"/>
          <w:szCs w:val="22"/>
        </w:rPr>
        <w:t>年</w:t>
      </w:r>
      <w:r>
        <w:rPr>
          <w:rFonts w:hint="eastAsia" w:ascii="宋体" w:hAnsi="宋体" w:cs="宋体"/>
          <w:sz w:val="24"/>
          <w:szCs w:val="22"/>
          <w:u w:val="single"/>
        </w:rPr>
        <w:t xml:space="preserve">   </w:t>
      </w:r>
      <w:r>
        <w:rPr>
          <w:rFonts w:hint="eastAsia" w:ascii="宋体" w:hAnsi="宋体" w:cs="宋体"/>
          <w:sz w:val="24"/>
          <w:szCs w:val="22"/>
        </w:rPr>
        <w:t>月</w:t>
      </w:r>
      <w:r>
        <w:rPr>
          <w:rFonts w:hint="eastAsia" w:ascii="宋体" w:hAnsi="宋体" w:cs="宋体"/>
          <w:sz w:val="24"/>
          <w:szCs w:val="22"/>
          <w:u w:val="single"/>
        </w:rPr>
        <w:t xml:space="preserve">   </w:t>
      </w:r>
      <w:r>
        <w:rPr>
          <w:rFonts w:hint="eastAsia" w:ascii="宋体" w:hAnsi="宋体" w:cs="宋体"/>
          <w:sz w:val="24"/>
          <w:szCs w:val="22"/>
        </w:rPr>
        <w:t>日至</w:t>
      </w:r>
      <w:r>
        <w:rPr>
          <w:rFonts w:hint="eastAsia" w:ascii="宋体" w:hAnsi="宋体" w:cs="宋体"/>
          <w:sz w:val="24"/>
          <w:szCs w:val="22"/>
          <w:u w:val="single"/>
        </w:rPr>
        <w:t xml:space="preserve">     </w:t>
      </w:r>
      <w:r>
        <w:rPr>
          <w:rFonts w:hint="eastAsia" w:ascii="宋体" w:hAnsi="宋体" w:cs="宋体"/>
          <w:sz w:val="24"/>
          <w:szCs w:val="22"/>
        </w:rPr>
        <w:t>年</w:t>
      </w:r>
      <w:r>
        <w:rPr>
          <w:rFonts w:hint="eastAsia" w:ascii="宋体" w:hAnsi="宋体" w:cs="宋体"/>
          <w:sz w:val="24"/>
          <w:szCs w:val="22"/>
          <w:u w:val="single"/>
        </w:rPr>
        <w:t xml:space="preserve">   </w:t>
      </w:r>
      <w:r>
        <w:rPr>
          <w:rFonts w:hint="eastAsia" w:ascii="宋体" w:hAnsi="宋体" w:cs="宋体"/>
          <w:sz w:val="24"/>
          <w:szCs w:val="22"/>
        </w:rPr>
        <w:t>月</w:t>
      </w:r>
      <w:r>
        <w:rPr>
          <w:rFonts w:hint="eastAsia" w:ascii="宋体" w:hAnsi="宋体" w:cs="宋体"/>
          <w:sz w:val="24"/>
          <w:szCs w:val="22"/>
          <w:u w:val="single"/>
        </w:rPr>
        <w:t xml:space="preserve">   </w:t>
      </w:r>
      <w:r>
        <w:rPr>
          <w:rFonts w:hint="eastAsia" w:ascii="宋体" w:hAnsi="宋体" w:cs="宋体"/>
          <w:sz w:val="24"/>
          <w:szCs w:val="22"/>
        </w:rPr>
        <w:t>日</w:t>
      </w:r>
    </w:p>
    <w:p>
      <w:pPr>
        <w:spacing w:line="360" w:lineRule="auto"/>
        <w:ind w:firstLine="484" w:firstLineChars="200"/>
        <w:rPr>
          <w:rFonts w:ascii="宋体" w:hAnsi="宋体" w:cs="宋体"/>
          <w:sz w:val="24"/>
          <w:szCs w:val="22"/>
        </w:rPr>
      </w:pPr>
      <w:r>
        <w:rPr>
          <w:rFonts w:hint="eastAsia" w:ascii="宋体" w:hAnsi="宋体" w:cs="宋体"/>
          <w:sz w:val="24"/>
          <w:szCs w:val="22"/>
        </w:rPr>
        <w:t>委托代理人无转委权。特此委托。</w:t>
      </w:r>
    </w:p>
    <w:p>
      <w:pPr>
        <w:spacing w:line="360" w:lineRule="auto"/>
        <w:ind w:firstLine="484" w:firstLineChars="200"/>
        <w:rPr>
          <w:rFonts w:ascii="宋体" w:hAnsi="宋体" w:cs="宋体"/>
          <w:sz w:val="24"/>
          <w:szCs w:val="22"/>
        </w:rPr>
      </w:pPr>
      <w:r>
        <w:rPr>
          <w:rFonts w:hint="eastAsia" w:ascii="宋体" w:hAnsi="宋体" w:cs="宋体"/>
          <w:sz w:val="24"/>
          <w:szCs w:val="22"/>
        </w:rPr>
        <w:t>委托代理人：            性  别：</w:t>
      </w:r>
    </w:p>
    <w:p>
      <w:pPr>
        <w:spacing w:line="360" w:lineRule="auto"/>
        <w:ind w:firstLine="484" w:firstLineChars="200"/>
        <w:rPr>
          <w:rFonts w:ascii="宋体" w:hAnsi="宋体" w:cs="宋体"/>
          <w:sz w:val="24"/>
          <w:szCs w:val="22"/>
        </w:rPr>
      </w:pPr>
      <w:r>
        <w:rPr>
          <w:rFonts w:hint="eastAsia" w:ascii="宋体" w:hAnsi="宋体" w:cs="宋体"/>
          <w:sz w:val="24"/>
          <w:szCs w:val="22"/>
        </w:rPr>
        <w:t>身份证号码：            电  话：</w:t>
      </w:r>
    </w:p>
    <w:p>
      <w:pPr>
        <w:spacing w:line="360" w:lineRule="auto"/>
        <w:ind w:firstLine="484" w:firstLineChars="200"/>
        <w:rPr>
          <w:rFonts w:ascii="宋体" w:hAnsi="宋体" w:cs="宋体"/>
          <w:sz w:val="24"/>
          <w:szCs w:val="22"/>
        </w:rPr>
      </w:pPr>
      <w:r>
        <w:rPr>
          <w:rFonts w:hint="eastAsia" w:ascii="宋体" w:hAnsi="宋体" w:cs="宋体"/>
          <w:sz w:val="24"/>
          <w:szCs w:val="22"/>
        </w:rPr>
        <w:t xml:space="preserve">部  门：                职  务： </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2"/>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3402" w:type="dxa"/>
            <w:vAlign w:val="center"/>
          </w:tcPr>
          <w:p>
            <w:pPr>
              <w:spacing w:line="360" w:lineRule="auto"/>
              <w:rPr>
                <w:rFonts w:ascii="宋体" w:hAnsi="宋体" w:cs="宋体"/>
                <w:sz w:val="24"/>
                <w:szCs w:val="24"/>
              </w:rPr>
            </w:pPr>
            <w:r>
              <w:rPr>
                <w:rFonts w:hint="eastAsia" w:ascii="宋体" w:hAnsi="宋体" w:cs="宋体"/>
                <w:sz w:val="24"/>
                <w:szCs w:val="24"/>
              </w:rPr>
              <w:t>法定代表人身份证（正面）</w:t>
            </w:r>
          </w:p>
        </w:tc>
        <w:tc>
          <w:tcPr>
            <w:tcW w:w="3402" w:type="dxa"/>
            <w:vAlign w:val="center"/>
          </w:tcPr>
          <w:p>
            <w:pPr>
              <w:spacing w:line="360" w:lineRule="auto"/>
              <w:rPr>
                <w:rFonts w:ascii="宋体" w:hAnsi="宋体" w:cs="宋体"/>
                <w:sz w:val="24"/>
                <w:szCs w:val="24"/>
              </w:rPr>
            </w:pPr>
            <w:r>
              <w:rPr>
                <w:rFonts w:hint="eastAsia" w:ascii="宋体" w:hAnsi="宋体" w:cs="宋体"/>
                <w:sz w:val="24"/>
                <w:szCs w:val="24"/>
              </w:rPr>
              <w:t>法定代表人身份证（背面）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1" w:hRule="atLeast"/>
          <w:jc w:val="center"/>
        </w:trPr>
        <w:tc>
          <w:tcPr>
            <w:tcW w:w="3402" w:type="dxa"/>
            <w:vAlign w:val="center"/>
          </w:tcPr>
          <w:p>
            <w:pPr>
              <w:spacing w:line="360" w:lineRule="auto"/>
              <w:rPr>
                <w:rFonts w:ascii="宋体" w:hAnsi="宋体" w:cs="宋体"/>
                <w:sz w:val="24"/>
                <w:szCs w:val="24"/>
              </w:rPr>
            </w:pPr>
            <w:r>
              <w:rPr>
                <w:rFonts w:hint="eastAsia" w:ascii="宋体" w:hAnsi="宋体" w:cs="宋体"/>
                <w:sz w:val="24"/>
                <w:szCs w:val="24"/>
              </w:rPr>
              <w:t>委托代理人身份证（正面）</w:t>
            </w:r>
          </w:p>
        </w:tc>
        <w:tc>
          <w:tcPr>
            <w:tcW w:w="3402" w:type="dxa"/>
            <w:vAlign w:val="center"/>
          </w:tcPr>
          <w:p>
            <w:pPr>
              <w:spacing w:line="360" w:lineRule="auto"/>
              <w:rPr>
                <w:rFonts w:ascii="宋体" w:hAnsi="宋体" w:cs="宋体"/>
                <w:sz w:val="24"/>
                <w:szCs w:val="24"/>
              </w:rPr>
            </w:pPr>
            <w:r>
              <w:rPr>
                <w:rFonts w:hint="eastAsia" w:ascii="宋体" w:hAnsi="宋体" w:cs="宋体"/>
                <w:sz w:val="24"/>
                <w:szCs w:val="24"/>
              </w:rPr>
              <w:t>委托代理人身份证（背面）</w:t>
            </w:r>
          </w:p>
        </w:tc>
      </w:tr>
    </w:tbl>
    <w:p>
      <w:pPr>
        <w:spacing w:line="600" w:lineRule="auto"/>
        <w:jc w:val="center"/>
        <w:rPr>
          <w:rFonts w:ascii="宋体" w:hAnsi="宋体" w:cs="宋体"/>
          <w:sz w:val="24"/>
          <w:szCs w:val="24"/>
        </w:rPr>
      </w:pPr>
      <w:r>
        <w:rPr>
          <w:rFonts w:hint="eastAsia" w:ascii="宋体" w:hAnsi="宋体" w:cs="宋体"/>
          <w:sz w:val="24"/>
          <w:szCs w:val="24"/>
        </w:rPr>
        <w:t xml:space="preserve">                            </w:t>
      </w:r>
    </w:p>
    <w:p>
      <w:pPr>
        <w:spacing w:line="600" w:lineRule="auto"/>
        <w:jc w:val="center"/>
        <w:rPr>
          <w:rFonts w:ascii="宋体" w:hAnsi="宋体" w:cs="宋体"/>
          <w:sz w:val="24"/>
          <w:szCs w:val="24"/>
        </w:rPr>
      </w:pPr>
      <w:r>
        <w:rPr>
          <w:rFonts w:hint="eastAsia" w:ascii="宋体" w:hAnsi="宋体" w:cs="宋体"/>
          <w:sz w:val="24"/>
          <w:szCs w:val="24"/>
        </w:rPr>
        <w:t xml:space="preserve">                            供应商名称（盖章）：</w:t>
      </w:r>
    </w:p>
    <w:p>
      <w:pPr>
        <w:spacing w:line="600" w:lineRule="auto"/>
        <w:jc w:val="center"/>
        <w:rPr>
          <w:rFonts w:ascii="宋体" w:hAnsi="宋体" w:cs="宋体"/>
          <w:sz w:val="24"/>
          <w:szCs w:val="24"/>
        </w:rPr>
      </w:pPr>
      <w:r>
        <w:rPr>
          <w:rFonts w:hint="eastAsia" w:ascii="宋体" w:hAnsi="宋体" w:cs="宋体"/>
          <w:sz w:val="24"/>
          <w:szCs w:val="24"/>
        </w:rPr>
        <w:t xml:space="preserve">                                  法定代表人（签字或盖章）：</w:t>
      </w:r>
    </w:p>
    <w:p>
      <w:pPr>
        <w:spacing w:line="600" w:lineRule="auto"/>
        <w:jc w:val="center"/>
        <w:rPr>
          <w:rFonts w:ascii="宋体" w:hAnsi="宋体" w:cs="宋体"/>
          <w:sz w:val="24"/>
          <w:szCs w:val="24"/>
        </w:rPr>
      </w:pPr>
      <w:r>
        <w:rPr>
          <w:rFonts w:hint="eastAsia" w:ascii="宋体" w:hAnsi="宋体" w:cs="宋体"/>
          <w:sz w:val="24"/>
          <w:szCs w:val="24"/>
        </w:rPr>
        <w:t xml:space="preserve">                                  委托代理人（签字或盖章）：</w:t>
      </w:r>
    </w:p>
    <w:p>
      <w:pPr>
        <w:spacing w:line="600" w:lineRule="auto"/>
        <w:jc w:val="right"/>
        <w:rPr>
          <w:rFonts w:ascii="宋体" w:hAnsi="宋体" w:cs="宋体"/>
          <w:sz w:val="24"/>
          <w:szCs w:val="24"/>
        </w:rPr>
      </w:pPr>
      <w:r>
        <w:rPr>
          <w:rFonts w:hint="eastAsia" w:ascii="宋体" w:hAnsi="宋体" w:cs="宋体"/>
          <w:sz w:val="24"/>
          <w:szCs w:val="24"/>
        </w:rPr>
        <w:t>日期：     年   月   日</w:t>
      </w:r>
    </w:p>
    <w:p>
      <w:pPr>
        <w:pStyle w:val="4"/>
        <w:keepNext w:val="0"/>
        <w:numPr>
          <w:ilvl w:val="0"/>
          <w:numId w:val="0"/>
        </w:numPr>
        <w:rPr>
          <w:rFonts w:ascii="宋体" w:hAnsi="宋体" w:cs="宋体"/>
          <w:bCs/>
          <w:sz w:val="32"/>
          <w:szCs w:val="32"/>
        </w:rPr>
      </w:pPr>
      <w:r>
        <w:rPr>
          <w:rFonts w:hint="eastAsia" w:ascii="宋体" w:hAnsi="宋体" w:cs="宋体"/>
          <w:sz w:val="28"/>
          <w:szCs w:val="28"/>
        </w:rPr>
        <w:br w:type="page"/>
      </w:r>
      <w:bookmarkStart w:id="270" w:name="_Toc3082"/>
      <w:bookmarkStart w:id="271" w:name="_Toc137664517"/>
      <w:r>
        <w:rPr>
          <w:rFonts w:hint="eastAsia" w:ascii="宋体" w:hAnsi="宋体" w:cs="宋体"/>
          <w:bCs/>
          <w:sz w:val="32"/>
          <w:szCs w:val="32"/>
        </w:rPr>
        <w:t>附件3</w:t>
      </w:r>
      <w:bookmarkEnd w:id="267"/>
      <w:bookmarkEnd w:id="268"/>
      <w:bookmarkEnd w:id="270"/>
      <w:r>
        <w:rPr>
          <w:rFonts w:hint="eastAsia" w:ascii="宋体" w:hAnsi="宋体" w:cs="宋体"/>
          <w:bCs/>
          <w:sz w:val="32"/>
          <w:szCs w:val="32"/>
        </w:rPr>
        <w:t>:</w:t>
      </w:r>
      <w:bookmarkEnd w:id="269"/>
      <w:bookmarkEnd w:id="271"/>
    </w:p>
    <w:p>
      <w:pPr>
        <w:pStyle w:val="4"/>
        <w:keepNext w:val="0"/>
        <w:numPr>
          <w:ilvl w:val="0"/>
          <w:numId w:val="0"/>
        </w:numPr>
        <w:jc w:val="center"/>
        <w:rPr>
          <w:rFonts w:ascii="宋体" w:hAnsi="宋体" w:cs="宋体"/>
          <w:bCs/>
          <w:sz w:val="32"/>
          <w:szCs w:val="32"/>
        </w:rPr>
      </w:pPr>
      <w:bookmarkStart w:id="272" w:name="_Toc28612"/>
      <w:bookmarkStart w:id="273" w:name="_Toc16855"/>
      <w:bookmarkStart w:id="274" w:name="_Toc137664518"/>
      <w:r>
        <w:rPr>
          <w:rFonts w:hint="eastAsia" w:ascii="宋体" w:hAnsi="宋体" w:cs="宋体"/>
          <w:bCs/>
          <w:sz w:val="32"/>
          <w:szCs w:val="32"/>
        </w:rPr>
        <w:t>投标一览表</w:t>
      </w:r>
      <w:bookmarkEnd w:id="272"/>
      <w:bookmarkEnd w:id="273"/>
      <w:bookmarkEnd w:id="274"/>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998" w:type="dxa"/>
            <w:tcBorders>
              <w:bottom w:val="single" w:color="auto" w:sz="4" w:space="0"/>
            </w:tcBorders>
            <w:vAlign w:val="center"/>
          </w:tcPr>
          <w:p>
            <w:pPr>
              <w:jc w:val="center"/>
              <w:rPr>
                <w:rFonts w:ascii="宋体" w:hAnsi="宋体" w:cs="宋体"/>
                <w:b/>
                <w:bCs/>
                <w:sz w:val="24"/>
                <w:szCs w:val="24"/>
              </w:rPr>
            </w:pPr>
            <w:bookmarkStart w:id="275" w:name="_Toc3980"/>
            <w:bookmarkStart w:id="276" w:name="_Toc14063"/>
            <w:r>
              <w:rPr>
                <w:rFonts w:hint="eastAsia" w:ascii="宋体" w:hAnsi="宋体" w:cs="宋体"/>
                <w:b/>
                <w:bCs/>
                <w:sz w:val="24"/>
                <w:szCs w:val="24"/>
              </w:rPr>
              <w:t>供应商名称</w:t>
            </w:r>
          </w:p>
        </w:tc>
        <w:tc>
          <w:tcPr>
            <w:tcW w:w="6493" w:type="dxa"/>
            <w:tcBorders>
              <w:bottom w:val="single" w:color="auto" w:sz="4" w:space="0"/>
            </w:tcBorders>
            <w:vAlign w:val="center"/>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998" w:type="dxa"/>
            <w:tcBorders>
              <w:bottom w:val="single" w:color="auto" w:sz="4" w:space="0"/>
            </w:tcBorders>
            <w:vAlign w:val="center"/>
          </w:tcPr>
          <w:p>
            <w:pPr>
              <w:jc w:val="center"/>
              <w:rPr>
                <w:rFonts w:ascii="宋体" w:hAnsi="宋体" w:cs="宋体"/>
                <w:b/>
                <w:bCs/>
                <w:sz w:val="24"/>
                <w:szCs w:val="24"/>
              </w:rPr>
            </w:pPr>
            <w:r>
              <w:rPr>
                <w:rFonts w:hint="eastAsia" w:ascii="宋体" w:hAnsi="宋体" w:cs="宋体"/>
                <w:b/>
                <w:bCs/>
                <w:sz w:val="24"/>
                <w:szCs w:val="24"/>
              </w:rPr>
              <w:t>项目名称</w:t>
            </w:r>
          </w:p>
        </w:tc>
        <w:tc>
          <w:tcPr>
            <w:tcW w:w="6493" w:type="dxa"/>
            <w:tcBorders>
              <w:bottom w:val="single" w:color="auto" w:sz="4" w:space="0"/>
            </w:tcBorders>
            <w:vAlign w:val="center"/>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998" w:type="dxa"/>
            <w:vAlign w:val="center"/>
          </w:tcPr>
          <w:p>
            <w:pPr>
              <w:jc w:val="center"/>
              <w:rPr>
                <w:rFonts w:ascii="宋体" w:hAnsi="宋体" w:cs="宋体"/>
                <w:b/>
                <w:bCs/>
                <w:sz w:val="24"/>
                <w:szCs w:val="24"/>
              </w:rPr>
            </w:pPr>
            <w:r>
              <w:rPr>
                <w:rFonts w:hint="eastAsia" w:ascii="宋体" w:hAnsi="宋体" w:cs="宋体"/>
                <w:b/>
                <w:bCs/>
                <w:sz w:val="24"/>
                <w:szCs w:val="24"/>
              </w:rPr>
              <w:t>投标报价</w:t>
            </w:r>
          </w:p>
          <w:p>
            <w:pPr>
              <w:jc w:val="center"/>
              <w:rPr>
                <w:rFonts w:ascii="宋体" w:hAnsi="宋体" w:cs="宋体"/>
                <w:b/>
                <w:bCs/>
                <w:sz w:val="24"/>
                <w:szCs w:val="24"/>
              </w:rPr>
            </w:pPr>
            <w:r>
              <w:rPr>
                <w:rFonts w:hint="eastAsia" w:ascii="宋体" w:hAnsi="宋体" w:cs="宋体"/>
                <w:b/>
                <w:bCs/>
                <w:sz w:val="24"/>
                <w:szCs w:val="24"/>
              </w:rPr>
              <w:t>（元）</w:t>
            </w:r>
          </w:p>
        </w:tc>
        <w:tc>
          <w:tcPr>
            <w:tcW w:w="6493" w:type="dxa"/>
            <w:vAlign w:val="center"/>
          </w:tcPr>
          <w:p>
            <w:pPr>
              <w:rPr>
                <w:rFonts w:ascii="宋体" w:hAnsi="宋体" w:cs="宋体"/>
                <w:sz w:val="24"/>
                <w:szCs w:val="24"/>
              </w:rPr>
            </w:pPr>
            <w:r>
              <w:rPr>
                <w:rFonts w:hint="eastAsia" w:ascii="宋体" w:hAnsi="宋体" w:cs="宋体"/>
                <w:sz w:val="24"/>
                <w:szCs w:val="24"/>
              </w:rPr>
              <w:t>小写：</w:t>
            </w:r>
          </w:p>
          <w:p>
            <w:pPr>
              <w:rPr>
                <w:rFonts w:ascii="宋体" w:hAnsi="宋体" w:cs="宋体"/>
                <w:sz w:val="24"/>
                <w:szCs w:val="24"/>
              </w:rPr>
            </w:pPr>
            <w:r>
              <w:rPr>
                <w:rFonts w:hint="eastAsia" w:ascii="宋体" w:hAnsi="宋体" w:cs="宋体"/>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998" w:type="dxa"/>
            <w:vAlign w:val="center"/>
          </w:tcPr>
          <w:p>
            <w:pPr>
              <w:jc w:val="center"/>
              <w:rPr>
                <w:rFonts w:ascii="宋体" w:hAnsi="宋体" w:cs="宋体"/>
                <w:b/>
                <w:bCs/>
                <w:sz w:val="24"/>
                <w:szCs w:val="24"/>
              </w:rPr>
            </w:pPr>
            <w:r>
              <w:rPr>
                <w:rFonts w:hint="eastAsia" w:ascii="宋体" w:hAnsi="宋体" w:cs="宋体"/>
                <w:b/>
                <w:bCs/>
                <w:sz w:val="24"/>
                <w:szCs w:val="24"/>
                <w:lang w:val="en-US" w:eastAsia="zh-CN"/>
              </w:rPr>
              <w:t>服务</w:t>
            </w:r>
            <w:r>
              <w:rPr>
                <w:rFonts w:hint="eastAsia" w:ascii="宋体" w:hAnsi="宋体" w:cs="宋体"/>
                <w:b/>
                <w:bCs/>
                <w:sz w:val="24"/>
                <w:szCs w:val="24"/>
              </w:rPr>
              <w:t>期限</w:t>
            </w:r>
          </w:p>
        </w:tc>
        <w:tc>
          <w:tcPr>
            <w:tcW w:w="6493" w:type="dxa"/>
            <w:vAlign w:val="center"/>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998" w:type="dxa"/>
            <w:vAlign w:val="center"/>
          </w:tcPr>
          <w:p>
            <w:pPr>
              <w:jc w:val="center"/>
              <w:rPr>
                <w:rFonts w:ascii="宋体" w:hAnsi="宋体" w:cs="宋体"/>
                <w:b/>
                <w:bCs/>
                <w:sz w:val="24"/>
                <w:szCs w:val="24"/>
              </w:rPr>
            </w:pPr>
            <w:r>
              <w:rPr>
                <w:rFonts w:hint="eastAsia" w:ascii="宋体" w:hAnsi="宋体" w:cs="宋体"/>
                <w:b/>
                <w:bCs/>
                <w:sz w:val="24"/>
                <w:szCs w:val="24"/>
              </w:rPr>
              <w:t>备    注</w:t>
            </w:r>
          </w:p>
        </w:tc>
        <w:tc>
          <w:tcPr>
            <w:tcW w:w="6493" w:type="dxa"/>
            <w:vAlign w:val="center"/>
          </w:tcPr>
          <w:p>
            <w:pPr>
              <w:rPr>
                <w:rFonts w:ascii="宋体" w:hAnsi="宋体" w:cs="宋体"/>
                <w:sz w:val="24"/>
                <w:szCs w:val="24"/>
              </w:rPr>
            </w:pPr>
          </w:p>
        </w:tc>
      </w:tr>
    </w:tbl>
    <w:p>
      <w:pPr>
        <w:jc w:val="left"/>
        <w:rPr>
          <w:rFonts w:ascii="宋体" w:hAnsi="宋体" w:cs="宋体"/>
          <w:b/>
          <w:bCs/>
          <w:sz w:val="28"/>
          <w:szCs w:val="28"/>
        </w:rPr>
      </w:pPr>
    </w:p>
    <w:p>
      <w:pPr>
        <w:spacing w:line="600" w:lineRule="auto"/>
        <w:jc w:val="center"/>
        <w:rPr>
          <w:rFonts w:ascii="宋体" w:hAnsi="宋体" w:cs="宋体"/>
          <w:sz w:val="28"/>
          <w:szCs w:val="28"/>
        </w:rPr>
      </w:pPr>
      <w:r>
        <w:rPr>
          <w:rFonts w:hint="eastAsia" w:ascii="宋体" w:hAnsi="宋体" w:cs="宋体"/>
          <w:bCs/>
        </w:rPr>
        <w:t xml:space="preserve">    </w:t>
      </w:r>
      <w:r>
        <w:rPr>
          <w:rFonts w:hint="eastAsia" w:ascii="宋体" w:hAnsi="宋体" w:cs="宋体"/>
          <w:sz w:val="28"/>
          <w:szCs w:val="28"/>
        </w:rPr>
        <w:t>供应商名称（盖章）：</w:t>
      </w:r>
    </w:p>
    <w:p>
      <w:pPr>
        <w:spacing w:line="600" w:lineRule="auto"/>
        <w:jc w:val="right"/>
        <w:rPr>
          <w:rFonts w:ascii="宋体" w:hAnsi="宋体" w:cs="宋体"/>
          <w:sz w:val="28"/>
          <w:szCs w:val="28"/>
        </w:rPr>
      </w:pPr>
      <w:r>
        <w:rPr>
          <w:rFonts w:hint="eastAsia" w:ascii="宋体" w:hAnsi="宋体" w:cs="宋体"/>
          <w:sz w:val="28"/>
          <w:szCs w:val="28"/>
        </w:rPr>
        <w:t>法定代表人或委托代理人（签字或盖章）：</w:t>
      </w:r>
    </w:p>
    <w:p>
      <w:pPr>
        <w:spacing w:line="600" w:lineRule="auto"/>
        <w:jc w:val="right"/>
        <w:rPr>
          <w:rFonts w:ascii="宋体" w:hAnsi="宋体" w:cs="宋体"/>
          <w:sz w:val="28"/>
          <w:szCs w:val="28"/>
        </w:rPr>
      </w:pPr>
      <w:r>
        <w:rPr>
          <w:rFonts w:hint="eastAsia" w:ascii="宋体" w:hAnsi="宋体" w:cs="宋体"/>
          <w:sz w:val="28"/>
          <w:szCs w:val="28"/>
        </w:rPr>
        <w:t>日期：     年   月   日</w:t>
      </w:r>
    </w:p>
    <w:p>
      <w:pPr>
        <w:pStyle w:val="11"/>
        <w:ind w:firstLine="0"/>
        <w:jc w:val="right"/>
        <w:rPr>
          <w:rFonts w:ascii="宋体" w:hAnsi="宋体" w:cs="宋体"/>
        </w:rPr>
      </w:pPr>
    </w:p>
    <w:p>
      <w:pPr>
        <w:pStyle w:val="4"/>
        <w:keepNext w:val="0"/>
        <w:numPr>
          <w:ilvl w:val="0"/>
          <w:numId w:val="0"/>
        </w:numPr>
        <w:rPr>
          <w:rFonts w:ascii="宋体" w:hAnsi="宋体" w:cs="宋体"/>
          <w:bCs/>
          <w:sz w:val="32"/>
          <w:szCs w:val="32"/>
        </w:rPr>
      </w:pPr>
      <w:bookmarkStart w:id="277" w:name="_Toc22327"/>
      <w:r>
        <w:rPr>
          <w:rStyle w:val="67"/>
          <w:rFonts w:hint="eastAsia" w:ascii="宋体" w:hAnsi="宋体" w:eastAsia="宋体" w:cs="宋体"/>
          <w:sz w:val="32"/>
          <w:szCs w:val="28"/>
        </w:rPr>
        <w:br w:type="page"/>
      </w:r>
      <w:bookmarkEnd w:id="275"/>
      <w:bookmarkEnd w:id="276"/>
      <w:bookmarkEnd w:id="277"/>
      <w:bookmarkStart w:id="278" w:name="_Toc8623"/>
      <w:bookmarkStart w:id="279" w:name="_Toc10628"/>
      <w:bookmarkStart w:id="280" w:name="_Toc137664519"/>
      <w:bookmarkStart w:id="281" w:name="_Toc22472"/>
      <w:bookmarkStart w:id="282" w:name="_Toc5765"/>
      <w:bookmarkStart w:id="283" w:name="_Toc7675"/>
      <w:bookmarkStart w:id="284" w:name="_Toc21598"/>
      <w:r>
        <w:rPr>
          <w:rFonts w:hint="eastAsia" w:ascii="宋体" w:hAnsi="宋体" w:cs="宋体"/>
          <w:bCs/>
          <w:sz w:val="32"/>
          <w:szCs w:val="32"/>
        </w:rPr>
        <w:t>附件4:</w:t>
      </w:r>
      <w:bookmarkEnd w:id="278"/>
      <w:bookmarkEnd w:id="279"/>
      <w:bookmarkEnd w:id="280"/>
      <w:bookmarkEnd w:id="281"/>
    </w:p>
    <w:bookmarkEnd w:id="282"/>
    <w:p>
      <w:pPr>
        <w:pStyle w:val="4"/>
        <w:keepNext w:val="0"/>
        <w:numPr>
          <w:ilvl w:val="0"/>
          <w:numId w:val="0"/>
        </w:numPr>
        <w:jc w:val="center"/>
        <w:rPr>
          <w:rFonts w:ascii="宋体" w:hAnsi="宋体" w:cs="宋体"/>
          <w:bCs/>
          <w:sz w:val="32"/>
          <w:szCs w:val="32"/>
        </w:rPr>
      </w:pPr>
      <w:bookmarkStart w:id="285" w:name="_Toc13575"/>
      <w:bookmarkStart w:id="286" w:name="_Toc25246"/>
      <w:bookmarkStart w:id="287" w:name="_Toc11446"/>
      <w:bookmarkStart w:id="288" w:name="_Toc137664520"/>
      <w:bookmarkStart w:id="289" w:name="_Toc19690"/>
      <w:r>
        <w:rPr>
          <w:rFonts w:hint="eastAsia" w:ascii="宋体" w:hAnsi="宋体" w:cs="宋体"/>
          <w:bCs/>
          <w:sz w:val="32"/>
          <w:szCs w:val="32"/>
        </w:rPr>
        <w:t>供应商概况表</w:t>
      </w:r>
      <w:bookmarkEnd w:id="285"/>
      <w:bookmarkEnd w:id="286"/>
      <w:bookmarkEnd w:id="287"/>
      <w:bookmarkEnd w:id="288"/>
      <w:bookmarkEnd w:id="289"/>
    </w:p>
    <w:tbl>
      <w:tblPr>
        <w:tblStyle w:val="32"/>
        <w:tblW w:w="0" w:type="auto"/>
        <w:jc w:val="center"/>
        <w:tblLayout w:type="fixed"/>
        <w:tblCellMar>
          <w:top w:w="0" w:type="dxa"/>
          <w:left w:w="108" w:type="dxa"/>
          <w:bottom w:w="0" w:type="dxa"/>
          <w:right w:w="108" w:type="dxa"/>
        </w:tblCellMar>
      </w:tblPr>
      <w:tblGrid>
        <w:gridCol w:w="2075"/>
        <w:gridCol w:w="3000"/>
        <w:gridCol w:w="1463"/>
        <w:gridCol w:w="1886"/>
      </w:tblGrid>
      <w:tr>
        <w:tblPrEx>
          <w:tblCellMar>
            <w:top w:w="0" w:type="dxa"/>
            <w:left w:w="108" w:type="dxa"/>
            <w:bottom w:w="0" w:type="dxa"/>
            <w:right w:w="108"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sz w:val="24"/>
                <w:szCs w:val="24"/>
              </w:rPr>
            </w:pPr>
            <w:r>
              <w:rPr>
                <w:rFonts w:hint="eastAsia" w:ascii="宋体" w:hAnsi="宋体" w:cs="宋体"/>
                <w:sz w:val="24"/>
                <w:szCs w:val="24"/>
              </w:rPr>
              <w:t>企业名称</w:t>
            </w:r>
          </w:p>
        </w:tc>
        <w:tc>
          <w:tcPr>
            <w:tcW w:w="6349"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480"/>
              <w:jc w:val="center"/>
              <w:rPr>
                <w:rFonts w:ascii="宋体" w:hAnsi="宋体" w:cs="宋体"/>
                <w:sz w:val="24"/>
                <w:szCs w:val="24"/>
              </w:rPr>
            </w:pPr>
          </w:p>
        </w:tc>
      </w:tr>
      <w:tr>
        <w:tblPrEx>
          <w:tblCellMar>
            <w:top w:w="0" w:type="dxa"/>
            <w:left w:w="108" w:type="dxa"/>
            <w:bottom w:w="0" w:type="dxa"/>
            <w:right w:w="108"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4"/>
                <w:szCs w:val="24"/>
              </w:rPr>
            </w:pPr>
            <w:r>
              <w:rPr>
                <w:rFonts w:hint="eastAsia" w:ascii="宋体" w:hAnsi="宋体" w:cs="宋体"/>
                <w:sz w:val="24"/>
                <w:szCs w:val="24"/>
              </w:rPr>
              <w:t>企业法人营业</w:t>
            </w:r>
          </w:p>
          <w:p>
            <w:pPr>
              <w:widowControl/>
              <w:jc w:val="center"/>
              <w:rPr>
                <w:rFonts w:ascii="宋体" w:hAnsi="宋体" w:cs="宋体"/>
                <w:sz w:val="24"/>
                <w:szCs w:val="24"/>
              </w:rPr>
            </w:pPr>
            <w:r>
              <w:rPr>
                <w:rFonts w:hint="eastAsia" w:ascii="宋体" w:hAnsi="宋体" w:cs="宋体"/>
                <w:sz w:val="24"/>
                <w:szCs w:val="24"/>
              </w:rPr>
              <w:t>执照注册号</w:t>
            </w:r>
          </w:p>
        </w:tc>
        <w:tc>
          <w:tcPr>
            <w:tcW w:w="6349"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480"/>
              <w:jc w:val="center"/>
              <w:rPr>
                <w:rFonts w:ascii="宋体" w:hAnsi="宋体" w:cs="宋体"/>
                <w:sz w:val="24"/>
                <w:szCs w:val="24"/>
              </w:rPr>
            </w:pPr>
          </w:p>
        </w:tc>
      </w:tr>
      <w:tr>
        <w:tblPrEx>
          <w:tblCellMar>
            <w:top w:w="0" w:type="dxa"/>
            <w:left w:w="108" w:type="dxa"/>
            <w:bottom w:w="0" w:type="dxa"/>
            <w:right w:w="108"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sz w:val="24"/>
                <w:szCs w:val="24"/>
              </w:rPr>
            </w:pPr>
            <w:r>
              <w:rPr>
                <w:rFonts w:hint="eastAsia" w:ascii="宋体" w:hAnsi="宋体" w:cs="宋体"/>
                <w:sz w:val="24"/>
                <w:szCs w:val="24"/>
              </w:rPr>
              <w:t>地    址</w:t>
            </w:r>
          </w:p>
        </w:tc>
        <w:tc>
          <w:tcPr>
            <w:tcW w:w="6349"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480"/>
              <w:jc w:val="center"/>
              <w:rPr>
                <w:rFonts w:ascii="宋体" w:hAnsi="宋体" w:cs="宋体"/>
                <w:sz w:val="24"/>
                <w:szCs w:val="24"/>
              </w:rPr>
            </w:pPr>
          </w:p>
        </w:tc>
      </w:tr>
      <w:tr>
        <w:tblPrEx>
          <w:tblCellMar>
            <w:top w:w="0" w:type="dxa"/>
            <w:left w:w="108" w:type="dxa"/>
            <w:bottom w:w="0" w:type="dxa"/>
            <w:right w:w="108"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sz w:val="24"/>
                <w:szCs w:val="24"/>
              </w:rPr>
            </w:pPr>
            <w:r>
              <w:rPr>
                <w:rFonts w:hint="eastAsia" w:ascii="宋体" w:hAnsi="宋体" w:cs="宋体"/>
                <w:sz w:val="24"/>
                <w:szCs w:val="24"/>
              </w:rPr>
              <w:t>注册资本</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480"/>
              <w:jc w:val="center"/>
              <w:rPr>
                <w:rFonts w:ascii="宋体" w:hAnsi="宋体" w:cs="宋体"/>
                <w:sz w:val="24"/>
                <w:szCs w:val="24"/>
              </w:rPr>
            </w:pPr>
          </w:p>
        </w:tc>
        <w:tc>
          <w:tcPr>
            <w:tcW w:w="146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sz w:val="24"/>
                <w:szCs w:val="24"/>
              </w:rPr>
            </w:pPr>
            <w:r>
              <w:rPr>
                <w:rFonts w:hint="eastAsia" w:ascii="宋体" w:hAnsi="宋体" w:cs="宋体"/>
                <w:sz w:val="24"/>
                <w:szCs w:val="24"/>
              </w:rPr>
              <w:t>企业类型</w:t>
            </w:r>
          </w:p>
        </w:tc>
        <w:tc>
          <w:tcPr>
            <w:tcW w:w="188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480"/>
              <w:jc w:val="center"/>
              <w:rPr>
                <w:rFonts w:ascii="宋体" w:hAnsi="宋体" w:cs="宋体"/>
                <w:sz w:val="24"/>
                <w:szCs w:val="24"/>
              </w:rPr>
            </w:pPr>
          </w:p>
        </w:tc>
      </w:tr>
      <w:tr>
        <w:tblPrEx>
          <w:tblCellMar>
            <w:top w:w="0" w:type="dxa"/>
            <w:left w:w="108" w:type="dxa"/>
            <w:bottom w:w="0" w:type="dxa"/>
            <w:right w:w="108"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sz w:val="24"/>
                <w:szCs w:val="24"/>
              </w:rPr>
            </w:pPr>
            <w:r>
              <w:rPr>
                <w:rFonts w:hint="eastAsia" w:ascii="宋体" w:hAnsi="宋体" w:cs="宋体"/>
                <w:sz w:val="24"/>
                <w:szCs w:val="24"/>
              </w:rPr>
              <w:t>法定代表人</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480"/>
              <w:jc w:val="center"/>
              <w:rPr>
                <w:rFonts w:ascii="宋体" w:hAnsi="宋体" w:cs="宋体"/>
                <w:sz w:val="24"/>
                <w:szCs w:val="24"/>
              </w:rPr>
            </w:pPr>
          </w:p>
        </w:tc>
        <w:tc>
          <w:tcPr>
            <w:tcW w:w="146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sz w:val="24"/>
                <w:szCs w:val="24"/>
              </w:rPr>
            </w:pPr>
            <w:r>
              <w:rPr>
                <w:rFonts w:hint="eastAsia" w:ascii="宋体" w:hAnsi="宋体" w:cs="宋体"/>
                <w:sz w:val="24"/>
                <w:szCs w:val="24"/>
              </w:rPr>
              <w:t>成立时间</w:t>
            </w:r>
          </w:p>
        </w:tc>
        <w:tc>
          <w:tcPr>
            <w:tcW w:w="188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480"/>
              <w:jc w:val="center"/>
              <w:rPr>
                <w:rFonts w:ascii="宋体" w:hAnsi="宋体" w:cs="宋体"/>
                <w:sz w:val="24"/>
                <w:szCs w:val="24"/>
              </w:rPr>
            </w:pPr>
          </w:p>
        </w:tc>
      </w:tr>
      <w:tr>
        <w:tblPrEx>
          <w:tblCellMar>
            <w:top w:w="0" w:type="dxa"/>
            <w:left w:w="108" w:type="dxa"/>
            <w:bottom w:w="0" w:type="dxa"/>
            <w:right w:w="108"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sz w:val="24"/>
                <w:szCs w:val="24"/>
              </w:rPr>
            </w:pPr>
            <w:r>
              <w:rPr>
                <w:rFonts w:hint="eastAsia" w:ascii="宋体" w:hAnsi="宋体" w:cs="宋体"/>
                <w:sz w:val="24"/>
                <w:szCs w:val="24"/>
              </w:rPr>
              <w:t>资质类型</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480"/>
              <w:jc w:val="center"/>
              <w:rPr>
                <w:rFonts w:ascii="宋体" w:hAnsi="宋体" w:cs="宋体"/>
                <w:sz w:val="24"/>
                <w:szCs w:val="24"/>
              </w:rPr>
            </w:pPr>
          </w:p>
        </w:tc>
        <w:tc>
          <w:tcPr>
            <w:tcW w:w="146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sz w:val="24"/>
                <w:szCs w:val="24"/>
              </w:rPr>
            </w:pPr>
            <w:r>
              <w:rPr>
                <w:rFonts w:hint="eastAsia" w:ascii="宋体" w:hAnsi="宋体" w:cs="宋体"/>
                <w:sz w:val="24"/>
                <w:szCs w:val="24"/>
              </w:rPr>
              <w:t>资质等级</w:t>
            </w:r>
          </w:p>
        </w:tc>
        <w:tc>
          <w:tcPr>
            <w:tcW w:w="188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480"/>
              <w:rPr>
                <w:rFonts w:ascii="宋体" w:hAnsi="宋体" w:cs="宋体"/>
                <w:sz w:val="24"/>
                <w:szCs w:val="24"/>
              </w:rPr>
            </w:pPr>
          </w:p>
        </w:tc>
      </w:tr>
      <w:tr>
        <w:tblPrEx>
          <w:tblCellMar>
            <w:top w:w="0" w:type="dxa"/>
            <w:left w:w="108" w:type="dxa"/>
            <w:bottom w:w="0" w:type="dxa"/>
            <w:right w:w="108"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sz w:val="24"/>
                <w:szCs w:val="24"/>
              </w:rPr>
            </w:pPr>
            <w:r>
              <w:rPr>
                <w:rFonts w:hint="eastAsia" w:ascii="宋体" w:hAnsi="宋体" w:cs="宋体"/>
                <w:sz w:val="24"/>
                <w:szCs w:val="24"/>
              </w:rPr>
              <w:t>开户银行</w:t>
            </w:r>
          </w:p>
        </w:tc>
        <w:tc>
          <w:tcPr>
            <w:tcW w:w="6349"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480"/>
              <w:jc w:val="center"/>
              <w:rPr>
                <w:rFonts w:ascii="宋体" w:hAnsi="宋体" w:cs="宋体"/>
                <w:sz w:val="24"/>
                <w:szCs w:val="24"/>
              </w:rPr>
            </w:pPr>
          </w:p>
        </w:tc>
      </w:tr>
      <w:tr>
        <w:tblPrEx>
          <w:tblCellMar>
            <w:top w:w="0" w:type="dxa"/>
            <w:left w:w="108" w:type="dxa"/>
            <w:bottom w:w="0" w:type="dxa"/>
            <w:right w:w="108"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sz w:val="24"/>
                <w:szCs w:val="24"/>
              </w:rPr>
            </w:pPr>
            <w:r>
              <w:rPr>
                <w:rFonts w:hint="eastAsia" w:ascii="宋体" w:hAnsi="宋体" w:cs="宋体"/>
                <w:sz w:val="24"/>
                <w:szCs w:val="24"/>
              </w:rPr>
              <w:t>开户行号</w:t>
            </w:r>
          </w:p>
        </w:tc>
        <w:tc>
          <w:tcPr>
            <w:tcW w:w="6349"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480"/>
              <w:jc w:val="center"/>
              <w:rPr>
                <w:rFonts w:ascii="宋体" w:hAnsi="宋体" w:cs="宋体"/>
                <w:sz w:val="24"/>
                <w:szCs w:val="24"/>
              </w:rPr>
            </w:pPr>
          </w:p>
        </w:tc>
      </w:tr>
      <w:tr>
        <w:tblPrEx>
          <w:tblCellMar>
            <w:top w:w="0" w:type="dxa"/>
            <w:left w:w="108" w:type="dxa"/>
            <w:bottom w:w="0" w:type="dxa"/>
            <w:right w:w="108"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sz w:val="24"/>
                <w:szCs w:val="24"/>
              </w:rPr>
            </w:pPr>
            <w:r>
              <w:rPr>
                <w:rFonts w:hint="eastAsia" w:ascii="宋体" w:hAnsi="宋体" w:cs="宋体"/>
                <w:sz w:val="24"/>
                <w:szCs w:val="24"/>
              </w:rPr>
              <w:t>银行账号</w:t>
            </w:r>
          </w:p>
        </w:tc>
        <w:tc>
          <w:tcPr>
            <w:tcW w:w="6349"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480"/>
              <w:jc w:val="center"/>
              <w:rPr>
                <w:rFonts w:ascii="宋体" w:hAnsi="宋体" w:cs="宋体"/>
                <w:sz w:val="24"/>
                <w:szCs w:val="24"/>
              </w:rPr>
            </w:pPr>
          </w:p>
        </w:tc>
      </w:tr>
      <w:tr>
        <w:tblPrEx>
          <w:tblCellMar>
            <w:top w:w="0" w:type="dxa"/>
            <w:left w:w="108" w:type="dxa"/>
            <w:bottom w:w="0" w:type="dxa"/>
            <w:right w:w="108"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sz w:val="24"/>
                <w:szCs w:val="24"/>
              </w:rPr>
            </w:pPr>
            <w:r>
              <w:rPr>
                <w:rFonts w:hint="eastAsia" w:ascii="宋体" w:hAnsi="宋体" w:cs="宋体"/>
                <w:sz w:val="24"/>
                <w:szCs w:val="24"/>
              </w:rPr>
              <w:t>主营业务</w:t>
            </w:r>
          </w:p>
        </w:tc>
        <w:tc>
          <w:tcPr>
            <w:tcW w:w="6349"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480"/>
              <w:jc w:val="center"/>
              <w:rPr>
                <w:rFonts w:ascii="宋体" w:hAnsi="宋体" w:cs="宋体"/>
                <w:sz w:val="24"/>
                <w:szCs w:val="24"/>
              </w:rPr>
            </w:pPr>
          </w:p>
        </w:tc>
      </w:tr>
      <w:tr>
        <w:tblPrEx>
          <w:tblCellMar>
            <w:top w:w="0" w:type="dxa"/>
            <w:left w:w="108" w:type="dxa"/>
            <w:bottom w:w="0" w:type="dxa"/>
            <w:right w:w="108"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sz w:val="24"/>
                <w:szCs w:val="24"/>
              </w:rPr>
            </w:pPr>
            <w:r>
              <w:rPr>
                <w:rFonts w:hint="eastAsia" w:ascii="宋体" w:hAnsi="宋体" w:cs="宋体"/>
                <w:sz w:val="24"/>
                <w:szCs w:val="24"/>
              </w:rPr>
              <w:t>联 系 人</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480"/>
              <w:jc w:val="center"/>
              <w:rPr>
                <w:rFonts w:ascii="宋体" w:hAnsi="宋体" w:cs="宋体"/>
                <w:sz w:val="24"/>
                <w:szCs w:val="24"/>
              </w:rPr>
            </w:pPr>
          </w:p>
        </w:tc>
        <w:tc>
          <w:tcPr>
            <w:tcW w:w="146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sz w:val="24"/>
                <w:szCs w:val="24"/>
              </w:rPr>
            </w:pPr>
            <w:r>
              <w:rPr>
                <w:rFonts w:hint="eastAsia" w:ascii="宋体" w:hAnsi="宋体" w:cs="宋体"/>
                <w:sz w:val="24"/>
                <w:szCs w:val="24"/>
              </w:rPr>
              <w:t>联系方式</w:t>
            </w:r>
          </w:p>
        </w:tc>
        <w:tc>
          <w:tcPr>
            <w:tcW w:w="188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480"/>
              <w:rPr>
                <w:rFonts w:ascii="宋体" w:hAnsi="宋体" w:cs="宋体"/>
                <w:sz w:val="24"/>
                <w:szCs w:val="24"/>
              </w:rPr>
            </w:pPr>
          </w:p>
        </w:tc>
      </w:tr>
      <w:tr>
        <w:tblPrEx>
          <w:tblCellMar>
            <w:top w:w="0" w:type="dxa"/>
            <w:left w:w="108" w:type="dxa"/>
            <w:bottom w:w="0" w:type="dxa"/>
            <w:right w:w="108"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sz w:val="24"/>
                <w:szCs w:val="24"/>
              </w:rPr>
            </w:pPr>
            <w:r>
              <w:rPr>
                <w:rFonts w:hint="eastAsia" w:ascii="宋体" w:hAnsi="宋体" w:cs="宋体"/>
                <w:sz w:val="24"/>
                <w:szCs w:val="24"/>
              </w:rPr>
              <w:t>邮    箱</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480"/>
              <w:jc w:val="center"/>
              <w:rPr>
                <w:rFonts w:ascii="宋体" w:hAnsi="宋体" w:cs="宋体"/>
                <w:sz w:val="24"/>
                <w:szCs w:val="24"/>
              </w:rPr>
            </w:pPr>
          </w:p>
        </w:tc>
        <w:tc>
          <w:tcPr>
            <w:tcW w:w="146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sz w:val="24"/>
                <w:szCs w:val="24"/>
              </w:rPr>
            </w:pPr>
            <w:r>
              <w:rPr>
                <w:rFonts w:hint="eastAsia" w:ascii="宋体" w:hAnsi="宋体" w:cs="宋体"/>
                <w:sz w:val="24"/>
                <w:szCs w:val="24"/>
              </w:rPr>
              <w:t>传    真</w:t>
            </w:r>
          </w:p>
        </w:tc>
        <w:tc>
          <w:tcPr>
            <w:tcW w:w="188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480"/>
              <w:rPr>
                <w:rFonts w:ascii="宋体" w:hAnsi="宋体" w:cs="宋体"/>
                <w:sz w:val="24"/>
                <w:szCs w:val="24"/>
              </w:rPr>
            </w:pPr>
          </w:p>
        </w:tc>
      </w:tr>
    </w:tbl>
    <w:p>
      <w:pPr>
        <w:pStyle w:val="11"/>
        <w:ind w:firstLine="0"/>
        <w:rPr>
          <w:rFonts w:ascii="宋体" w:hAnsi="宋体" w:cs="宋体"/>
        </w:rPr>
      </w:pPr>
    </w:p>
    <w:p>
      <w:pPr>
        <w:spacing w:line="360" w:lineRule="auto"/>
        <w:jc w:val="center"/>
        <w:rPr>
          <w:rFonts w:ascii="宋体" w:hAnsi="宋体" w:cs="宋体"/>
          <w:sz w:val="24"/>
          <w:szCs w:val="24"/>
        </w:rPr>
      </w:pPr>
      <w:bookmarkStart w:id="290" w:name="_Toc24382"/>
      <w:bookmarkStart w:id="291" w:name="_Toc24396"/>
      <w:bookmarkStart w:id="292" w:name="_Toc2162"/>
      <w:bookmarkStart w:id="293" w:name="_Toc20796"/>
      <w:r>
        <w:rPr>
          <w:rFonts w:hint="eastAsia" w:ascii="宋体" w:hAnsi="宋体" w:cs="宋体"/>
          <w:sz w:val="24"/>
          <w:szCs w:val="24"/>
        </w:rPr>
        <w:t xml:space="preserve">              供应商名称（盖章）：</w:t>
      </w:r>
    </w:p>
    <w:p>
      <w:pPr>
        <w:spacing w:line="360" w:lineRule="auto"/>
        <w:jc w:val="right"/>
        <w:rPr>
          <w:rFonts w:ascii="宋体" w:hAnsi="宋体" w:cs="宋体"/>
          <w:sz w:val="24"/>
          <w:szCs w:val="24"/>
        </w:rPr>
      </w:pPr>
    </w:p>
    <w:p>
      <w:pPr>
        <w:spacing w:line="360" w:lineRule="auto"/>
        <w:jc w:val="right"/>
        <w:rPr>
          <w:rFonts w:ascii="宋体" w:hAnsi="宋体" w:cs="宋体"/>
          <w:sz w:val="24"/>
          <w:szCs w:val="24"/>
        </w:rPr>
      </w:pPr>
      <w:r>
        <w:rPr>
          <w:rFonts w:hint="eastAsia" w:ascii="宋体" w:hAnsi="宋体" w:cs="宋体"/>
          <w:sz w:val="24"/>
          <w:szCs w:val="24"/>
        </w:rPr>
        <w:t>法定代表人或委托代理人（签字或盖章）：</w:t>
      </w:r>
    </w:p>
    <w:p>
      <w:pPr>
        <w:spacing w:line="360" w:lineRule="auto"/>
        <w:jc w:val="right"/>
        <w:rPr>
          <w:rFonts w:ascii="宋体" w:hAnsi="宋体" w:cs="宋体"/>
          <w:sz w:val="24"/>
          <w:szCs w:val="24"/>
        </w:rPr>
      </w:pPr>
    </w:p>
    <w:p>
      <w:pPr>
        <w:pStyle w:val="4"/>
        <w:keepNext w:val="0"/>
        <w:numPr>
          <w:ilvl w:val="0"/>
          <w:numId w:val="0"/>
        </w:numPr>
        <w:jc w:val="right"/>
        <w:rPr>
          <w:rFonts w:ascii="宋体" w:hAnsi="宋体" w:cs="宋体"/>
          <w:b w:val="0"/>
        </w:rPr>
      </w:pPr>
      <w:bookmarkStart w:id="294" w:name="_Toc3286"/>
      <w:bookmarkStart w:id="295" w:name="_Toc22491"/>
      <w:bookmarkStart w:id="296" w:name="_Toc6732"/>
      <w:bookmarkStart w:id="297" w:name="_Toc10758"/>
      <w:bookmarkStart w:id="298" w:name="_Toc27366"/>
      <w:bookmarkStart w:id="299" w:name="_Toc626"/>
      <w:bookmarkStart w:id="300" w:name="_Toc8778"/>
      <w:bookmarkStart w:id="301" w:name="_Toc12137"/>
      <w:bookmarkStart w:id="302" w:name="_Toc137664521"/>
      <w:r>
        <w:rPr>
          <w:rFonts w:hint="eastAsia" w:ascii="宋体" w:hAnsi="宋体" w:cs="宋体"/>
          <w:b w:val="0"/>
        </w:rPr>
        <w:t>日期：     年   月   日</w:t>
      </w:r>
      <w:bookmarkEnd w:id="294"/>
      <w:bookmarkEnd w:id="295"/>
      <w:bookmarkEnd w:id="296"/>
      <w:bookmarkEnd w:id="297"/>
      <w:bookmarkEnd w:id="298"/>
      <w:bookmarkEnd w:id="299"/>
      <w:bookmarkEnd w:id="300"/>
      <w:bookmarkEnd w:id="301"/>
      <w:bookmarkEnd w:id="302"/>
    </w:p>
    <w:p>
      <w:pPr>
        <w:pStyle w:val="4"/>
        <w:keepNext w:val="0"/>
        <w:numPr>
          <w:ilvl w:val="0"/>
          <w:numId w:val="0"/>
        </w:numPr>
        <w:rPr>
          <w:rFonts w:ascii="宋体" w:hAnsi="宋体" w:cs="宋体"/>
          <w:bCs/>
          <w:sz w:val="32"/>
          <w:szCs w:val="32"/>
        </w:rPr>
      </w:pPr>
      <w:r>
        <w:rPr>
          <w:rStyle w:val="67"/>
          <w:rFonts w:hint="eastAsia" w:ascii="宋体" w:hAnsi="宋体" w:eastAsia="宋体" w:cs="宋体"/>
          <w:sz w:val="32"/>
          <w:szCs w:val="28"/>
        </w:rPr>
        <w:br w:type="page"/>
      </w:r>
      <w:bookmarkStart w:id="303" w:name="_Toc137664522"/>
      <w:r>
        <w:rPr>
          <w:rFonts w:hint="eastAsia" w:ascii="宋体" w:hAnsi="宋体" w:cs="宋体"/>
          <w:bCs/>
          <w:sz w:val="32"/>
          <w:szCs w:val="32"/>
        </w:rPr>
        <w:t>附件5:</w:t>
      </w:r>
      <w:bookmarkEnd w:id="290"/>
      <w:bookmarkEnd w:id="291"/>
      <w:bookmarkEnd w:id="292"/>
      <w:bookmarkEnd w:id="293"/>
      <w:bookmarkEnd w:id="303"/>
    </w:p>
    <w:p>
      <w:pPr>
        <w:pStyle w:val="4"/>
        <w:keepNext w:val="0"/>
        <w:numPr>
          <w:ilvl w:val="0"/>
          <w:numId w:val="0"/>
        </w:numPr>
        <w:jc w:val="center"/>
        <w:rPr>
          <w:rFonts w:ascii="宋体" w:hAnsi="宋体" w:cs="宋体"/>
          <w:bCs/>
          <w:sz w:val="32"/>
          <w:szCs w:val="32"/>
        </w:rPr>
      </w:pPr>
      <w:bookmarkStart w:id="304" w:name="_Toc13099"/>
      <w:bookmarkStart w:id="305" w:name="_Toc137664523"/>
      <w:bookmarkStart w:id="306" w:name="_Toc9319"/>
      <w:bookmarkStart w:id="307" w:name="_Toc18062"/>
      <w:bookmarkStart w:id="308" w:name="_Toc23970"/>
      <w:bookmarkStart w:id="309" w:name="_Toc21508"/>
      <w:r>
        <w:rPr>
          <w:rFonts w:hint="eastAsia" w:ascii="宋体" w:hAnsi="宋体" w:cs="宋体"/>
          <w:bCs/>
          <w:sz w:val="32"/>
          <w:szCs w:val="32"/>
        </w:rPr>
        <w:t>资格证明文件</w:t>
      </w:r>
      <w:bookmarkEnd w:id="304"/>
      <w:bookmarkEnd w:id="305"/>
    </w:p>
    <w:p>
      <w:pPr>
        <w:pStyle w:val="4"/>
        <w:keepNext w:val="0"/>
        <w:numPr>
          <w:ilvl w:val="0"/>
          <w:numId w:val="0"/>
        </w:numPr>
        <w:rPr>
          <w:rFonts w:ascii="宋体" w:hAnsi="宋体" w:cs="宋体"/>
          <w:bCs/>
          <w:sz w:val="32"/>
          <w:szCs w:val="32"/>
        </w:rPr>
      </w:pPr>
      <w:r>
        <w:rPr>
          <w:rStyle w:val="67"/>
          <w:rFonts w:hint="eastAsia" w:ascii="宋体" w:hAnsi="宋体" w:eastAsia="宋体" w:cs="宋体"/>
          <w:sz w:val="32"/>
          <w:szCs w:val="28"/>
        </w:rPr>
        <w:br w:type="page"/>
      </w:r>
      <w:bookmarkStart w:id="310" w:name="_Toc137664524"/>
      <w:r>
        <w:rPr>
          <w:rStyle w:val="67"/>
          <w:rFonts w:hint="eastAsia" w:ascii="宋体" w:hAnsi="宋体" w:eastAsia="宋体" w:cs="宋体"/>
          <w:sz w:val="32"/>
          <w:szCs w:val="32"/>
        </w:rPr>
        <w:t>附件6：</w:t>
      </w:r>
      <w:bookmarkEnd w:id="310"/>
    </w:p>
    <w:p>
      <w:pPr>
        <w:pStyle w:val="3"/>
        <w:rPr>
          <w:rFonts w:ascii="宋体" w:hAnsi="宋体" w:eastAsia="宋体" w:cs="宋体"/>
          <w:b/>
          <w:bCs/>
          <w:sz w:val="32"/>
          <w:szCs w:val="32"/>
        </w:rPr>
      </w:pPr>
      <w:bookmarkStart w:id="311" w:name="_Toc137664525"/>
      <w:r>
        <w:rPr>
          <w:rFonts w:hint="eastAsia" w:ascii="宋体" w:hAnsi="宋体" w:eastAsia="宋体" w:cs="宋体"/>
          <w:b/>
          <w:bCs/>
          <w:sz w:val="32"/>
          <w:szCs w:val="32"/>
        </w:rPr>
        <w:t>无重大违法记录的书面声明</w:t>
      </w:r>
      <w:bookmarkEnd w:id="306"/>
      <w:bookmarkEnd w:id="307"/>
      <w:bookmarkEnd w:id="308"/>
      <w:bookmarkEnd w:id="309"/>
      <w:bookmarkEnd w:id="311"/>
    </w:p>
    <w:p>
      <w:pPr>
        <w:spacing w:line="360" w:lineRule="auto"/>
        <w:ind w:firstLine="484" w:firstLineChars="200"/>
        <w:rPr>
          <w:rFonts w:ascii="宋体" w:hAnsi="宋体" w:cs="宋体"/>
          <w:kern w:val="0"/>
          <w:sz w:val="24"/>
          <w:szCs w:val="24"/>
        </w:rPr>
      </w:pPr>
      <w:r>
        <w:rPr>
          <w:rFonts w:hint="eastAsia" w:ascii="宋体" w:hAnsi="宋体" w:cs="宋体"/>
          <w:kern w:val="0"/>
          <w:sz w:val="24"/>
          <w:szCs w:val="24"/>
        </w:rPr>
        <w:t>供应商应当提供参加政府采购活动前3年内在经营活动中没有重大违法记录的书面声明。</w:t>
      </w:r>
    </w:p>
    <w:p>
      <w:pPr>
        <w:pStyle w:val="47"/>
        <w:spacing w:line="288" w:lineRule="auto"/>
        <w:jc w:val="both"/>
        <w:rPr>
          <w:rStyle w:val="43"/>
          <w:rFonts w:ascii="宋体" w:hAnsi="宋体" w:cs="宋体"/>
          <w:color w:val="auto"/>
          <w:sz w:val="28"/>
          <w:szCs w:val="28"/>
        </w:rPr>
      </w:pPr>
    </w:p>
    <w:p>
      <w:pPr>
        <w:pStyle w:val="3"/>
        <w:jc w:val="both"/>
        <w:rPr>
          <w:rFonts w:ascii="宋体" w:hAnsi="宋体" w:eastAsia="宋体" w:cs="宋体"/>
          <w:b/>
          <w:bCs/>
          <w:sz w:val="32"/>
          <w:szCs w:val="32"/>
        </w:rPr>
      </w:pPr>
      <w:bookmarkStart w:id="312" w:name="_Toc11389"/>
      <w:bookmarkStart w:id="313" w:name="_Toc19830"/>
      <w:bookmarkStart w:id="314" w:name="_Toc25306"/>
      <w:r>
        <w:rPr>
          <w:rStyle w:val="67"/>
          <w:rFonts w:hint="eastAsia" w:ascii="宋体" w:hAnsi="宋体" w:eastAsia="宋体" w:cs="宋体"/>
          <w:szCs w:val="28"/>
        </w:rPr>
        <w:br w:type="page"/>
      </w:r>
      <w:bookmarkStart w:id="315" w:name="_Toc6892"/>
      <w:bookmarkStart w:id="316" w:name="_Toc137664526"/>
      <w:r>
        <w:rPr>
          <w:rFonts w:hint="eastAsia" w:ascii="宋体" w:hAnsi="宋体" w:eastAsia="宋体" w:cs="宋体"/>
          <w:b/>
          <w:bCs/>
          <w:sz w:val="32"/>
          <w:szCs w:val="32"/>
        </w:rPr>
        <w:t>附件7:</w:t>
      </w:r>
      <w:bookmarkEnd w:id="312"/>
      <w:bookmarkEnd w:id="313"/>
      <w:bookmarkEnd w:id="314"/>
      <w:bookmarkEnd w:id="315"/>
      <w:bookmarkEnd w:id="316"/>
    </w:p>
    <w:p>
      <w:pPr>
        <w:pStyle w:val="3"/>
        <w:rPr>
          <w:rFonts w:ascii="宋体" w:hAnsi="宋体" w:eastAsia="宋体" w:cs="宋体"/>
          <w:b/>
          <w:bCs/>
          <w:sz w:val="32"/>
          <w:szCs w:val="32"/>
        </w:rPr>
      </w:pPr>
      <w:bookmarkStart w:id="317" w:name="_Toc137664527"/>
      <w:bookmarkStart w:id="318" w:name="_Toc28654"/>
      <w:r>
        <w:rPr>
          <w:rFonts w:hint="eastAsia" w:ascii="宋体" w:hAnsi="宋体" w:eastAsia="宋体" w:cs="宋体"/>
          <w:b/>
          <w:bCs/>
          <w:sz w:val="32"/>
          <w:szCs w:val="32"/>
        </w:rPr>
        <w:t>企业2022年财务审计报告</w:t>
      </w:r>
      <w:bookmarkEnd w:id="317"/>
      <w:bookmarkEnd w:id="318"/>
    </w:p>
    <w:p>
      <w:pPr>
        <w:spacing w:line="360" w:lineRule="auto"/>
        <w:ind w:firstLine="484" w:firstLineChars="200"/>
        <w:rPr>
          <w:rFonts w:ascii="宋体" w:hAnsi="宋体" w:cs="宋体"/>
          <w:kern w:val="0"/>
          <w:sz w:val="24"/>
          <w:szCs w:val="24"/>
        </w:rPr>
      </w:pPr>
      <w:r>
        <w:rPr>
          <w:rFonts w:hint="eastAsia" w:ascii="宋体" w:hAnsi="宋体" w:cs="宋体"/>
          <w:kern w:val="0"/>
          <w:sz w:val="24"/>
          <w:szCs w:val="24"/>
        </w:rPr>
        <w:t>提供2022年度内经会计师事务所或财务审计机构出具的财务审计报告，包括资产负债表、利润表、现金流量表和财务情况说明书。</w:t>
      </w:r>
    </w:p>
    <w:p>
      <w:pPr>
        <w:spacing w:line="360" w:lineRule="auto"/>
        <w:ind w:firstLine="484" w:firstLineChars="200"/>
        <w:rPr>
          <w:rFonts w:ascii="宋体" w:hAnsi="宋体" w:cs="宋体"/>
          <w:b/>
          <w:kern w:val="0"/>
          <w:sz w:val="24"/>
          <w:szCs w:val="24"/>
        </w:rPr>
      </w:pPr>
      <w:r>
        <w:rPr>
          <w:rFonts w:hint="eastAsia" w:ascii="宋体" w:hAnsi="宋体" w:cs="宋体"/>
          <w:b/>
          <w:kern w:val="0"/>
          <w:sz w:val="24"/>
          <w:szCs w:val="24"/>
        </w:rPr>
        <w:t>（注：若无会计事务所或审计机构出具的财务审计报告，可提供公司内部财务报表）</w:t>
      </w:r>
    </w:p>
    <w:p>
      <w:pPr>
        <w:pStyle w:val="4"/>
        <w:keepNext w:val="0"/>
        <w:numPr>
          <w:ilvl w:val="0"/>
          <w:numId w:val="0"/>
        </w:numPr>
        <w:jc w:val="left"/>
        <w:rPr>
          <w:rFonts w:ascii="宋体" w:hAnsi="宋体" w:cs="宋体"/>
          <w:bCs/>
          <w:sz w:val="32"/>
          <w:szCs w:val="32"/>
        </w:rPr>
      </w:pPr>
      <w:bookmarkStart w:id="319" w:name="_Toc15551"/>
      <w:bookmarkStart w:id="320" w:name="_Toc2823"/>
      <w:bookmarkStart w:id="321" w:name="_Toc3838"/>
      <w:r>
        <w:rPr>
          <w:rStyle w:val="67"/>
          <w:rFonts w:hint="eastAsia" w:ascii="宋体" w:hAnsi="宋体" w:eastAsia="宋体" w:cs="宋体"/>
          <w:sz w:val="32"/>
          <w:szCs w:val="28"/>
        </w:rPr>
        <w:br w:type="page"/>
      </w:r>
      <w:bookmarkStart w:id="322" w:name="_Toc16371"/>
      <w:bookmarkStart w:id="323" w:name="_Toc137664528"/>
      <w:r>
        <w:rPr>
          <w:rFonts w:hint="eastAsia" w:ascii="宋体" w:hAnsi="宋体" w:cs="宋体"/>
          <w:bCs/>
          <w:sz w:val="32"/>
          <w:szCs w:val="32"/>
        </w:rPr>
        <w:t>附件8:</w:t>
      </w:r>
      <w:bookmarkEnd w:id="319"/>
      <w:bookmarkEnd w:id="320"/>
      <w:bookmarkEnd w:id="321"/>
      <w:bookmarkEnd w:id="322"/>
      <w:bookmarkEnd w:id="323"/>
    </w:p>
    <w:p>
      <w:pPr>
        <w:pStyle w:val="4"/>
        <w:keepNext w:val="0"/>
        <w:numPr>
          <w:ilvl w:val="0"/>
          <w:numId w:val="0"/>
        </w:numPr>
        <w:jc w:val="center"/>
        <w:rPr>
          <w:rFonts w:ascii="宋体" w:hAnsi="宋体" w:cs="宋体"/>
          <w:bCs/>
          <w:sz w:val="32"/>
          <w:szCs w:val="32"/>
        </w:rPr>
      </w:pPr>
      <w:bookmarkStart w:id="324" w:name="_Toc24088"/>
      <w:bookmarkStart w:id="325" w:name="_Toc29474"/>
      <w:bookmarkStart w:id="326" w:name="_Toc137664529"/>
      <w:bookmarkStart w:id="327" w:name="_Toc16819"/>
      <w:bookmarkStart w:id="328" w:name="_Toc122"/>
      <w:r>
        <w:rPr>
          <w:rFonts w:hint="eastAsia" w:ascii="宋体" w:hAnsi="宋体" w:cs="宋体"/>
          <w:bCs/>
          <w:sz w:val="32"/>
          <w:szCs w:val="32"/>
        </w:rPr>
        <w:t>“重法纪、讲诚信”承诺书</w:t>
      </w:r>
      <w:bookmarkEnd w:id="324"/>
      <w:bookmarkEnd w:id="325"/>
      <w:bookmarkEnd w:id="326"/>
      <w:bookmarkEnd w:id="327"/>
      <w:bookmarkEnd w:id="328"/>
    </w:p>
    <w:p>
      <w:pPr>
        <w:spacing w:line="360" w:lineRule="auto"/>
        <w:rPr>
          <w:rFonts w:ascii="宋体" w:hAnsi="宋体" w:cs="宋体"/>
          <w:sz w:val="24"/>
          <w:szCs w:val="24"/>
        </w:rPr>
      </w:pPr>
      <w:r>
        <w:rPr>
          <w:rFonts w:hint="eastAsia" w:ascii="宋体" w:hAnsi="宋体" w:cs="宋体"/>
          <w:sz w:val="24"/>
          <w:szCs w:val="24"/>
          <w:u w:val="single"/>
          <w:lang w:val="zh-CN"/>
        </w:rPr>
        <w:t>（采购人名称）</w:t>
      </w:r>
      <w:r>
        <w:rPr>
          <w:rFonts w:hint="eastAsia" w:ascii="宋体" w:hAnsi="宋体" w:cs="宋体"/>
          <w:sz w:val="24"/>
          <w:szCs w:val="24"/>
        </w:rPr>
        <w:t xml:space="preserve"> ：</w:t>
      </w:r>
    </w:p>
    <w:p>
      <w:pPr>
        <w:spacing w:line="360" w:lineRule="auto"/>
        <w:ind w:firstLine="484" w:firstLineChars="200"/>
        <w:rPr>
          <w:rFonts w:ascii="宋体" w:hAnsi="宋体" w:cs="宋体"/>
          <w:sz w:val="24"/>
          <w:szCs w:val="24"/>
        </w:rPr>
      </w:pPr>
      <w:r>
        <w:rPr>
          <w:rFonts w:hint="eastAsia" w:ascii="宋体" w:hAnsi="宋体" w:cs="宋体"/>
          <w:sz w:val="24"/>
          <w:szCs w:val="24"/>
        </w:rPr>
        <w:t>为积极配合防范和遏制招投标活动中不公平竞争和违规违纪行为的发生， 确保招标工作公平、公正、公开、有序进行，我公司在参与贵公司</w:t>
      </w:r>
      <w:r>
        <w:rPr>
          <w:rFonts w:hint="eastAsia" w:ascii="宋体" w:hAnsi="宋体" w:cs="宋体"/>
          <w:sz w:val="24"/>
          <w:szCs w:val="24"/>
          <w:u w:val="single"/>
        </w:rPr>
        <w:t xml:space="preserve"> （项目名称） </w:t>
      </w:r>
      <w:r>
        <w:rPr>
          <w:rFonts w:hint="eastAsia" w:ascii="宋体" w:hAnsi="宋体" w:cs="宋体"/>
          <w:sz w:val="24"/>
          <w:szCs w:val="24"/>
        </w:rPr>
        <w:t>采购活动中， 保证自觉遵守《中华人民共和国政府采购法》、《中华人民共和国政府采购法实施条例》 等国家法律法规以及廉洁自律有关规章制度，并向贵公司承诺如下事项：</w:t>
      </w:r>
    </w:p>
    <w:p>
      <w:pPr>
        <w:spacing w:line="360" w:lineRule="auto"/>
        <w:ind w:firstLine="484" w:firstLineChars="200"/>
        <w:rPr>
          <w:rFonts w:ascii="宋体" w:hAnsi="宋体" w:cs="宋体"/>
          <w:sz w:val="24"/>
          <w:szCs w:val="24"/>
        </w:rPr>
      </w:pPr>
      <w:r>
        <w:rPr>
          <w:rFonts w:hint="eastAsia" w:ascii="宋体" w:hAnsi="宋体" w:cs="宋体"/>
          <w:sz w:val="24"/>
          <w:szCs w:val="24"/>
        </w:rPr>
        <w:t>1.不以任何形式通过社会上的“代理”、“中介”、“掮客”等采取不正当手段谋取中标；</w:t>
      </w:r>
    </w:p>
    <w:p>
      <w:pPr>
        <w:spacing w:line="360" w:lineRule="auto"/>
        <w:ind w:firstLine="484" w:firstLineChars="200"/>
        <w:rPr>
          <w:rFonts w:ascii="宋体" w:hAnsi="宋体" w:cs="宋体"/>
          <w:sz w:val="24"/>
          <w:szCs w:val="24"/>
        </w:rPr>
      </w:pPr>
      <w:r>
        <w:rPr>
          <w:rFonts w:hint="eastAsia" w:ascii="宋体" w:hAnsi="宋体" w:cs="宋体"/>
          <w:sz w:val="24"/>
          <w:szCs w:val="24"/>
        </w:rPr>
        <w:t>2.不以任何形式打着领导及其亲友旗号或冒充领导及其亲友等采取不正当手段谋取中标；</w:t>
      </w:r>
    </w:p>
    <w:p>
      <w:pPr>
        <w:spacing w:line="360" w:lineRule="auto"/>
        <w:ind w:firstLine="484" w:firstLineChars="200"/>
        <w:rPr>
          <w:rFonts w:ascii="宋体" w:hAnsi="宋体" w:cs="宋体"/>
          <w:sz w:val="24"/>
          <w:szCs w:val="24"/>
        </w:rPr>
      </w:pPr>
      <w:r>
        <w:rPr>
          <w:rFonts w:hint="eastAsia" w:ascii="宋体" w:hAnsi="宋体" w:cs="宋体"/>
          <w:sz w:val="24"/>
          <w:szCs w:val="24"/>
        </w:rPr>
        <w:t>3.不以任何名义向参与采购活动、评标工作的有关人员赠送回扣、红包、礼金、购物卡、有价证券、贵重物品和好处费、感谢费等；不以任何名义向参与采购活动、评标工作的有关人员提供高消费宴请及娱乐活动；</w:t>
      </w:r>
    </w:p>
    <w:p>
      <w:pPr>
        <w:spacing w:line="360" w:lineRule="auto"/>
        <w:ind w:firstLine="484" w:firstLineChars="200"/>
        <w:rPr>
          <w:rFonts w:ascii="宋体" w:hAnsi="宋体" w:cs="宋体"/>
          <w:sz w:val="24"/>
          <w:szCs w:val="24"/>
        </w:rPr>
      </w:pPr>
      <w:r>
        <w:rPr>
          <w:rFonts w:hint="eastAsia" w:ascii="宋体" w:hAnsi="宋体" w:cs="宋体"/>
          <w:sz w:val="24"/>
          <w:szCs w:val="24"/>
        </w:rPr>
        <w:t>4.不以任何名义为参与采购活动、评标工作的有关人员报销应由参与采购活动、评标工作的有关人员支付的任何费用；</w:t>
      </w:r>
    </w:p>
    <w:p>
      <w:pPr>
        <w:spacing w:line="360" w:lineRule="auto"/>
        <w:ind w:firstLine="484" w:firstLineChars="200"/>
        <w:rPr>
          <w:rFonts w:ascii="宋体" w:hAnsi="宋体" w:cs="宋体"/>
          <w:sz w:val="24"/>
          <w:szCs w:val="24"/>
        </w:rPr>
      </w:pPr>
      <w:r>
        <w:rPr>
          <w:rFonts w:hint="eastAsia" w:ascii="宋体" w:hAnsi="宋体" w:cs="宋体"/>
          <w:sz w:val="24"/>
          <w:szCs w:val="24"/>
        </w:rPr>
        <w:t>5.不以谋取非正当利益为目的，与参与采购活动、评标工作的有关人员就业务问题进行私下商谈或者达成利益默契；</w:t>
      </w:r>
    </w:p>
    <w:p>
      <w:pPr>
        <w:spacing w:line="360" w:lineRule="auto"/>
        <w:ind w:firstLine="484" w:firstLineChars="200"/>
        <w:rPr>
          <w:rFonts w:ascii="宋体" w:hAnsi="宋体" w:cs="宋体"/>
          <w:sz w:val="24"/>
          <w:szCs w:val="24"/>
        </w:rPr>
      </w:pPr>
      <w:r>
        <w:rPr>
          <w:rFonts w:hint="eastAsia" w:ascii="宋体" w:hAnsi="宋体" w:cs="宋体"/>
          <w:sz w:val="24"/>
          <w:szCs w:val="24"/>
        </w:rPr>
        <w:t>6.不以任何名义接受或暗示为参与采购活动、评标工作的有关人员装修住房、婚丧嫁娶以及境内外旅游等提供方便；</w:t>
      </w:r>
    </w:p>
    <w:p>
      <w:pPr>
        <w:spacing w:line="360" w:lineRule="auto"/>
        <w:ind w:firstLine="484" w:firstLineChars="200"/>
        <w:rPr>
          <w:rFonts w:ascii="宋体" w:hAnsi="宋体" w:cs="宋体"/>
          <w:sz w:val="24"/>
          <w:szCs w:val="24"/>
        </w:rPr>
      </w:pPr>
      <w:r>
        <w:rPr>
          <w:rFonts w:hint="eastAsia" w:ascii="宋体" w:hAnsi="宋体" w:cs="宋体"/>
          <w:sz w:val="24"/>
          <w:szCs w:val="24"/>
        </w:rPr>
        <w:t>7.不与采购人、采购代理机构工作人员串通投标，损害国家利益、企业利益以及他人的合法利益；</w:t>
      </w:r>
    </w:p>
    <w:p>
      <w:pPr>
        <w:spacing w:line="360" w:lineRule="auto"/>
        <w:ind w:firstLine="484" w:firstLineChars="200"/>
        <w:rPr>
          <w:rFonts w:ascii="宋体" w:hAnsi="宋体" w:cs="宋体"/>
          <w:sz w:val="24"/>
          <w:szCs w:val="24"/>
        </w:rPr>
      </w:pPr>
      <w:r>
        <w:rPr>
          <w:rFonts w:hint="eastAsia" w:ascii="宋体" w:hAnsi="宋体" w:cs="宋体"/>
          <w:sz w:val="24"/>
          <w:szCs w:val="24"/>
        </w:rPr>
        <w:t>8.不以任何方式与其他供应商相互串通投标，不排挤其他供应商，不损害采购人或其他供应商的合法权益；</w:t>
      </w:r>
    </w:p>
    <w:p>
      <w:pPr>
        <w:spacing w:line="360" w:lineRule="auto"/>
        <w:ind w:firstLine="484" w:firstLineChars="200"/>
        <w:rPr>
          <w:rFonts w:ascii="宋体" w:hAnsi="宋体" w:cs="宋体"/>
          <w:sz w:val="24"/>
          <w:szCs w:val="24"/>
        </w:rPr>
      </w:pPr>
      <w:r>
        <w:rPr>
          <w:rFonts w:hint="eastAsia" w:ascii="宋体" w:hAnsi="宋体" w:cs="宋体"/>
          <w:sz w:val="24"/>
          <w:szCs w:val="24"/>
        </w:rPr>
        <w:t>9.不采取捏造事实或者提供虚假投诉材料，恶意投诉、诋毁、排挤其他供应商；</w:t>
      </w:r>
    </w:p>
    <w:p>
      <w:pPr>
        <w:spacing w:line="360" w:lineRule="auto"/>
        <w:ind w:firstLine="484" w:firstLineChars="200"/>
        <w:rPr>
          <w:rFonts w:ascii="宋体" w:hAnsi="宋体" w:cs="宋体"/>
          <w:sz w:val="24"/>
          <w:szCs w:val="24"/>
        </w:rPr>
      </w:pPr>
      <w:bookmarkStart w:id="329" w:name="_Toc21090"/>
      <w:r>
        <w:rPr>
          <w:rFonts w:hint="eastAsia" w:ascii="宋体" w:hAnsi="宋体" w:cs="宋体"/>
          <w:sz w:val="24"/>
          <w:szCs w:val="24"/>
        </w:rPr>
        <w:t>10.参与采购活动时不以任何形式提供任何虚假信息或证明文件。</w:t>
      </w:r>
      <w:bookmarkEnd w:id="329"/>
    </w:p>
    <w:p>
      <w:pPr>
        <w:spacing w:line="360" w:lineRule="auto"/>
        <w:ind w:firstLine="484" w:firstLineChars="200"/>
        <w:rPr>
          <w:rFonts w:ascii="宋体" w:hAnsi="宋体" w:cs="宋体"/>
          <w:sz w:val="24"/>
          <w:szCs w:val="24"/>
        </w:rPr>
      </w:pPr>
      <w:r>
        <w:rPr>
          <w:rFonts w:hint="eastAsia" w:ascii="宋体" w:hAnsi="宋体" w:cs="宋体"/>
          <w:sz w:val="24"/>
          <w:szCs w:val="24"/>
        </w:rPr>
        <w:t>贵单位既可根据国家有关单位的判决、裁定等有效文书认定我公司是否违反承诺，也有权通过对贵公司相关人员的调查来认定我公司是否违反承诺。如违反以上承诺，我公司自愿接受贵公司依据有关规定对我公司的处理（包括但不限于实施市场禁入、取消投、中标资格以及终止合同等），给贵公司造成损失的，予以赔偿。</w:t>
      </w:r>
    </w:p>
    <w:p>
      <w:pPr>
        <w:spacing w:line="360" w:lineRule="auto"/>
        <w:ind w:firstLine="484" w:firstLineChars="200"/>
        <w:rPr>
          <w:rFonts w:ascii="宋体" w:hAnsi="宋体" w:cs="宋体"/>
          <w:sz w:val="24"/>
          <w:szCs w:val="24"/>
        </w:rPr>
      </w:pPr>
      <w:r>
        <w:rPr>
          <w:rFonts w:hint="eastAsia" w:ascii="宋体" w:hAnsi="宋体" w:cs="宋体"/>
          <w:sz w:val="24"/>
          <w:szCs w:val="24"/>
        </w:rPr>
        <w:t>本承诺函为我公司应答此次采购项目正式文件的附件，与其他响应文件具有同等法律效力，经我公司盖章后立即生效。</w:t>
      </w: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jc w:val="center"/>
        <w:rPr>
          <w:rFonts w:ascii="宋体" w:hAnsi="宋体" w:cs="宋体"/>
          <w:sz w:val="24"/>
          <w:szCs w:val="24"/>
        </w:rPr>
      </w:pPr>
      <w:r>
        <w:rPr>
          <w:rFonts w:hint="eastAsia" w:ascii="宋体" w:hAnsi="宋体" w:cs="宋体"/>
          <w:sz w:val="24"/>
          <w:szCs w:val="24"/>
        </w:rPr>
        <w:t xml:space="preserve">   </w:t>
      </w:r>
      <w:r>
        <w:rPr>
          <w:rFonts w:hint="eastAsia" w:ascii="宋体" w:hAnsi="宋体" w:cs="宋体"/>
          <w:bCs/>
          <w:sz w:val="24"/>
          <w:szCs w:val="24"/>
        </w:rPr>
        <w:t xml:space="preserve">           </w:t>
      </w:r>
      <w:r>
        <w:rPr>
          <w:rFonts w:hint="eastAsia" w:ascii="宋体" w:hAnsi="宋体" w:cs="宋体"/>
          <w:sz w:val="24"/>
          <w:szCs w:val="24"/>
        </w:rPr>
        <w:t>供应商名称（盖章）：</w:t>
      </w:r>
    </w:p>
    <w:p>
      <w:pPr>
        <w:spacing w:line="360" w:lineRule="auto"/>
        <w:jc w:val="right"/>
        <w:rPr>
          <w:rFonts w:ascii="宋体" w:hAnsi="宋体" w:cs="宋体"/>
          <w:sz w:val="24"/>
          <w:szCs w:val="24"/>
        </w:rPr>
      </w:pPr>
      <w:r>
        <w:rPr>
          <w:rFonts w:hint="eastAsia" w:ascii="宋体" w:hAnsi="宋体" w:cs="宋体"/>
          <w:sz w:val="24"/>
          <w:szCs w:val="24"/>
        </w:rPr>
        <w:t>法定代表人或委托代理人（签字或盖章）：</w:t>
      </w:r>
    </w:p>
    <w:p>
      <w:pPr>
        <w:spacing w:line="360" w:lineRule="auto"/>
        <w:jc w:val="right"/>
        <w:rPr>
          <w:rFonts w:ascii="宋体" w:hAnsi="宋体" w:cs="宋体"/>
          <w:sz w:val="24"/>
          <w:szCs w:val="24"/>
        </w:rPr>
      </w:pPr>
      <w:r>
        <w:rPr>
          <w:rFonts w:hint="eastAsia" w:ascii="宋体" w:hAnsi="宋体" w:cs="宋体"/>
          <w:sz w:val="24"/>
          <w:szCs w:val="24"/>
        </w:rPr>
        <w:t>日期：     年   月   日</w:t>
      </w:r>
    </w:p>
    <w:p>
      <w:pPr>
        <w:widowControl/>
        <w:jc w:val="left"/>
        <w:rPr>
          <w:rFonts w:ascii="宋体" w:hAnsi="宋体" w:cs="宋体"/>
          <w:b/>
          <w:bCs/>
          <w:kern w:val="0"/>
          <w:sz w:val="32"/>
          <w:szCs w:val="32"/>
        </w:rPr>
      </w:pPr>
      <w:bookmarkStart w:id="330" w:name="_Toc24465"/>
      <w:bookmarkStart w:id="331" w:name="_Toc3317"/>
      <w:bookmarkStart w:id="332" w:name="_Toc2615"/>
      <w:bookmarkStart w:id="333" w:name="_Toc30133"/>
      <w:r>
        <w:rPr>
          <w:rFonts w:ascii="宋体" w:hAnsi="宋体" w:cs="宋体"/>
          <w:bCs/>
          <w:sz w:val="32"/>
          <w:szCs w:val="32"/>
        </w:rPr>
        <w:br w:type="page"/>
      </w:r>
    </w:p>
    <w:p>
      <w:pPr>
        <w:pStyle w:val="4"/>
        <w:keepNext w:val="0"/>
        <w:numPr>
          <w:ilvl w:val="0"/>
          <w:numId w:val="0"/>
        </w:numPr>
        <w:jc w:val="left"/>
        <w:rPr>
          <w:rFonts w:ascii="宋体" w:hAnsi="宋体" w:cs="宋体"/>
          <w:bCs/>
          <w:sz w:val="32"/>
          <w:szCs w:val="32"/>
        </w:rPr>
      </w:pPr>
      <w:bookmarkStart w:id="334" w:name="_Toc137664530"/>
      <w:r>
        <w:rPr>
          <w:rFonts w:hint="eastAsia" w:ascii="宋体" w:hAnsi="宋体" w:cs="宋体"/>
          <w:bCs/>
          <w:sz w:val="32"/>
          <w:szCs w:val="32"/>
        </w:rPr>
        <w:t>附件9:</w:t>
      </w:r>
      <w:bookmarkEnd w:id="330"/>
      <w:bookmarkEnd w:id="331"/>
      <w:bookmarkEnd w:id="332"/>
      <w:bookmarkEnd w:id="333"/>
      <w:bookmarkEnd w:id="334"/>
    </w:p>
    <w:p>
      <w:pPr>
        <w:pStyle w:val="4"/>
        <w:keepNext w:val="0"/>
        <w:numPr>
          <w:ilvl w:val="0"/>
          <w:numId w:val="0"/>
        </w:numPr>
        <w:jc w:val="center"/>
        <w:rPr>
          <w:rFonts w:ascii="宋体" w:hAnsi="宋体" w:cs="宋体"/>
          <w:bCs/>
          <w:sz w:val="32"/>
          <w:szCs w:val="32"/>
        </w:rPr>
      </w:pPr>
      <w:bookmarkStart w:id="335" w:name="_Toc10393"/>
      <w:bookmarkStart w:id="336" w:name="_Toc7633"/>
      <w:bookmarkStart w:id="337" w:name="_Toc137664531"/>
      <w:bookmarkStart w:id="338" w:name="_Toc11427"/>
      <w:bookmarkStart w:id="339" w:name="_Toc9462"/>
      <w:r>
        <w:rPr>
          <w:rFonts w:hint="eastAsia" w:ascii="宋体" w:hAnsi="宋体" w:cs="宋体"/>
          <w:bCs/>
          <w:sz w:val="32"/>
          <w:szCs w:val="32"/>
        </w:rPr>
        <w:t>反商业贿赂承诺书</w:t>
      </w:r>
      <w:bookmarkEnd w:id="335"/>
      <w:bookmarkEnd w:id="336"/>
      <w:bookmarkEnd w:id="337"/>
      <w:bookmarkEnd w:id="338"/>
      <w:bookmarkEnd w:id="339"/>
    </w:p>
    <w:p>
      <w:pPr>
        <w:adjustRightInd w:val="0"/>
        <w:snapToGrid w:val="0"/>
        <w:spacing w:line="360" w:lineRule="auto"/>
        <w:ind w:firstLine="564" w:firstLineChars="200"/>
        <w:jc w:val="left"/>
        <w:rPr>
          <w:rFonts w:ascii="宋体" w:hAnsi="宋体" w:cs="宋体"/>
          <w:sz w:val="28"/>
          <w:szCs w:val="28"/>
        </w:rPr>
      </w:pPr>
    </w:p>
    <w:bookmarkEnd w:id="283"/>
    <w:bookmarkEnd w:id="284"/>
    <w:p>
      <w:pPr>
        <w:adjustRightInd w:val="0"/>
        <w:snapToGrid w:val="0"/>
        <w:spacing w:line="360" w:lineRule="auto"/>
        <w:ind w:firstLine="484" w:firstLineChars="200"/>
        <w:jc w:val="left"/>
        <w:rPr>
          <w:rFonts w:ascii="宋体" w:hAnsi="宋体" w:cs="宋体"/>
          <w:sz w:val="24"/>
          <w:szCs w:val="24"/>
        </w:rPr>
      </w:pPr>
      <w:bookmarkStart w:id="340" w:name="_Toc22473"/>
      <w:bookmarkStart w:id="341" w:name="_Toc15866"/>
      <w:bookmarkStart w:id="342" w:name="_Toc5939"/>
      <w:bookmarkStart w:id="343" w:name="_Toc22589"/>
      <w:r>
        <w:rPr>
          <w:rFonts w:hint="eastAsia" w:ascii="宋体" w:hAnsi="宋体" w:cs="宋体"/>
          <w:sz w:val="24"/>
          <w:szCs w:val="24"/>
        </w:rPr>
        <w:t>为了从源头上防治腐败，杜绝商业贿赂行为的发生，更好地配合采购代理机构的工作，我们供应商承诺如下：</w:t>
      </w:r>
    </w:p>
    <w:p>
      <w:pPr>
        <w:adjustRightInd w:val="0"/>
        <w:snapToGrid w:val="0"/>
        <w:spacing w:line="360" w:lineRule="auto"/>
        <w:ind w:firstLine="484" w:firstLineChars="200"/>
        <w:jc w:val="left"/>
        <w:rPr>
          <w:rFonts w:ascii="宋体" w:hAnsi="宋体" w:cs="宋体"/>
          <w:sz w:val="24"/>
          <w:szCs w:val="24"/>
        </w:rPr>
      </w:pPr>
      <w:r>
        <w:rPr>
          <w:rFonts w:hint="eastAsia" w:ascii="宋体" w:hAnsi="宋体" w:cs="宋体"/>
          <w:sz w:val="24"/>
          <w:szCs w:val="24"/>
        </w:rPr>
        <w:t>1、不以各种名义给采购代理工作人员借或送现金、有价证券及物品。</w:t>
      </w:r>
    </w:p>
    <w:p>
      <w:pPr>
        <w:adjustRightInd w:val="0"/>
        <w:snapToGrid w:val="0"/>
        <w:spacing w:line="360" w:lineRule="auto"/>
        <w:ind w:firstLine="484" w:firstLineChars="200"/>
        <w:jc w:val="left"/>
        <w:rPr>
          <w:rFonts w:ascii="宋体" w:hAnsi="宋体" w:cs="宋体"/>
          <w:sz w:val="24"/>
          <w:szCs w:val="24"/>
        </w:rPr>
      </w:pPr>
      <w:r>
        <w:rPr>
          <w:rFonts w:hint="eastAsia" w:ascii="宋体" w:hAnsi="宋体" w:cs="宋体"/>
          <w:sz w:val="24"/>
          <w:szCs w:val="24"/>
        </w:rPr>
        <w:t>2、不以个人名义邀请采购代理工作人员参与考察旅游活动和宴请活动。</w:t>
      </w:r>
    </w:p>
    <w:p>
      <w:pPr>
        <w:adjustRightInd w:val="0"/>
        <w:snapToGrid w:val="0"/>
        <w:spacing w:line="360" w:lineRule="auto"/>
        <w:ind w:firstLine="484" w:firstLineChars="200"/>
        <w:jc w:val="left"/>
        <w:rPr>
          <w:rFonts w:ascii="宋体" w:hAnsi="宋体" w:cs="宋体"/>
          <w:sz w:val="24"/>
          <w:szCs w:val="24"/>
        </w:rPr>
      </w:pPr>
      <w:bookmarkStart w:id="344" w:name="_Toc11481"/>
      <w:r>
        <w:rPr>
          <w:rFonts w:hint="eastAsia" w:ascii="宋体" w:hAnsi="宋体" w:cs="宋体"/>
          <w:sz w:val="24"/>
          <w:szCs w:val="24"/>
        </w:rPr>
        <w:t>3、不发生与采购事项有关的其他违规违纪行为。</w:t>
      </w:r>
      <w:bookmarkEnd w:id="344"/>
    </w:p>
    <w:p>
      <w:pPr>
        <w:adjustRightInd w:val="0"/>
        <w:snapToGrid w:val="0"/>
        <w:spacing w:line="360" w:lineRule="auto"/>
        <w:ind w:firstLine="484" w:firstLineChars="200"/>
        <w:jc w:val="left"/>
        <w:rPr>
          <w:rFonts w:ascii="宋体" w:hAnsi="宋体" w:cs="宋体"/>
          <w:sz w:val="24"/>
          <w:szCs w:val="24"/>
        </w:rPr>
      </w:pPr>
      <w:r>
        <w:rPr>
          <w:rFonts w:hint="eastAsia" w:ascii="宋体" w:hAnsi="宋体" w:cs="宋体"/>
          <w:sz w:val="24"/>
          <w:szCs w:val="24"/>
        </w:rPr>
        <w:t>4、如违反其中一项，同意将我公司列入政府采购黑名单并终止投标资格，今后不得参与我市政府采购活动，触犯法律由司法部门处理。</w:t>
      </w:r>
    </w:p>
    <w:p>
      <w:pPr>
        <w:adjustRightInd w:val="0"/>
        <w:snapToGrid w:val="0"/>
        <w:spacing w:line="440" w:lineRule="exact"/>
        <w:ind w:firstLine="560"/>
        <w:jc w:val="left"/>
        <w:rPr>
          <w:rFonts w:ascii="宋体" w:hAnsi="宋体" w:cs="宋体"/>
          <w:sz w:val="28"/>
          <w:szCs w:val="28"/>
        </w:rPr>
      </w:pPr>
      <w:r>
        <w:rPr>
          <w:rFonts w:hint="eastAsia" w:ascii="宋体" w:hAnsi="宋体" w:cs="宋体"/>
          <w:sz w:val="28"/>
          <w:szCs w:val="28"/>
        </w:rPr>
        <w:t xml:space="preserve">                 </w:t>
      </w:r>
    </w:p>
    <w:p>
      <w:pPr>
        <w:spacing w:line="600" w:lineRule="auto"/>
        <w:jc w:val="center"/>
        <w:rPr>
          <w:rFonts w:ascii="宋体" w:hAnsi="宋体" w:cs="宋体"/>
          <w:sz w:val="24"/>
          <w:szCs w:val="24"/>
        </w:rPr>
      </w:pPr>
      <w:r>
        <w:rPr>
          <w:rFonts w:hint="eastAsia" w:ascii="宋体" w:hAnsi="宋体" w:cs="宋体"/>
          <w:bCs/>
        </w:rPr>
        <w:t xml:space="preserve">     </w:t>
      </w:r>
      <w:r>
        <w:rPr>
          <w:rFonts w:hint="eastAsia" w:ascii="宋体" w:hAnsi="宋体" w:cs="宋体"/>
          <w:bCs/>
          <w:sz w:val="24"/>
          <w:szCs w:val="24"/>
        </w:rPr>
        <w:t xml:space="preserve">          </w:t>
      </w:r>
      <w:r>
        <w:rPr>
          <w:rFonts w:hint="eastAsia" w:ascii="宋体" w:hAnsi="宋体" w:cs="宋体"/>
          <w:sz w:val="24"/>
          <w:szCs w:val="24"/>
        </w:rPr>
        <w:t>供应商名称（盖章）：</w:t>
      </w:r>
    </w:p>
    <w:p>
      <w:pPr>
        <w:spacing w:line="600" w:lineRule="auto"/>
        <w:jc w:val="right"/>
        <w:rPr>
          <w:rFonts w:ascii="宋体" w:hAnsi="宋体" w:cs="宋体"/>
          <w:sz w:val="24"/>
          <w:szCs w:val="24"/>
        </w:rPr>
      </w:pPr>
      <w:r>
        <w:rPr>
          <w:rFonts w:hint="eastAsia" w:ascii="宋体" w:hAnsi="宋体" w:cs="宋体"/>
          <w:sz w:val="24"/>
          <w:szCs w:val="24"/>
        </w:rPr>
        <w:t>法定代表人或委托代理人（签字或盖章）：</w:t>
      </w:r>
    </w:p>
    <w:p>
      <w:pPr>
        <w:spacing w:line="600" w:lineRule="auto"/>
        <w:jc w:val="right"/>
        <w:rPr>
          <w:rFonts w:ascii="宋体" w:hAnsi="宋体" w:cs="宋体"/>
          <w:sz w:val="28"/>
          <w:szCs w:val="28"/>
        </w:rPr>
      </w:pPr>
      <w:r>
        <w:rPr>
          <w:rFonts w:hint="eastAsia" w:ascii="宋体" w:hAnsi="宋体" w:cs="宋体"/>
          <w:sz w:val="24"/>
          <w:szCs w:val="24"/>
        </w:rPr>
        <w:t xml:space="preserve">日期：     年   月   </w:t>
      </w:r>
      <w:r>
        <w:rPr>
          <w:rFonts w:hint="eastAsia" w:ascii="宋体" w:hAnsi="宋体" w:cs="宋体"/>
          <w:sz w:val="28"/>
          <w:szCs w:val="28"/>
        </w:rPr>
        <w:t>日</w:t>
      </w:r>
    </w:p>
    <w:p>
      <w:pPr>
        <w:wordWrap w:val="0"/>
        <w:spacing w:line="600" w:lineRule="auto"/>
        <w:jc w:val="right"/>
        <w:rPr>
          <w:rFonts w:ascii="宋体" w:hAnsi="宋体" w:cs="宋体"/>
          <w:sz w:val="28"/>
          <w:szCs w:val="28"/>
        </w:rPr>
        <w:sectPr>
          <w:headerReference r:id="rId6" w:type="first"/>
          <w:footerReference r:id="rId8" w:type="first"/>
          <w:footerReference r:id="rId7" w:type="default"/>
          <w:pgSz w:w="11906" w:h="16838"/>
          <w:pgMar w:top="1417" w:right="1701" w:bottom="1417" w:left="1701" w:header="851" w:footer="850" w:gutter="0"/>
          <w:pgNumType w:fmt="numberInDash"/>
          <w:cols w:space="720" w:num="1"/>
          <w:titlePg/>
          <w:docGrid w:type="linesAndChars" w:linePitch="312" w:charSpace="530"/>
        </w:sectPr>
      </w:pPr>
    </w:p>
    <w:p>
      <w:pPr>
        <w:pStyle w:val="3"/>
        <w:jc w:val="both"/>
        <w:rPr>
          <w:rFonts w:ascii="宋体" w:hAnsi="宋体" w:eastAsia="宋体" w:cs="宋体"/>
          <w:b/>
          <w:bCs/>
          <w:sz w:val="32"/>
          <w:szCs w:val="32"/>
        </w:rPr>
      </w:pPr>
      <w:bookmarkStart w:id="345" w:name="_Toc137664532"/>
      <w:r>
        <w:rPr>
          <w:rFonts w:hint="eastAsia" w:ascii="宋体" w:hAnsi="宋体" w:eastAsia="宋体" w:cs="宋体"/>
          <w:b/>
          <w:bCs/>
          <w:sz w:val="32"/>
          <w:szCs w:val="32"/>
        </w:rPr>
        <w:t>附件10:</w:t>
      </w:r>
      <w:bookmarkEnd w:id="340"/>
      <w:bookmarkEnd w:id="341"/>
      <w:bookmarkEnd w:id="342"/>
      <w:bookmarkEnd w:id="345"/>
    </w:p>
    <w:bookmarkEnd w:id="343"/>
    <w:p>
      <w:pPr>
        <w:pStyle w:val="3"/>
        <w:rPr>
          <w:rFonts w:ascii="宋体" w:hAnsi="宋体" w:eastAsia="宋体" w:cs="宋体"/>
          <w:b/>
          <w:bCs/>
          <w:sz w:val="32"/>
          <w:szCs w:val="32"/>
        </w:rPr>
      </w:pPr>
      <w:bookmarkStart w:id="346" w:name="_Toc13267"/>
      <w:bookmarkStart w:id="347" w:name="_Toc21310"/>
      <w:bookmarkStart w:id="348" w:name="_Toc137664533"/>
      <w:bookmarkStart w:id="349" w:name="_Toc6467"/>
      <w:bookmarkStart w:id="350" w:name="_Toc4526"/>
      <w:r>
        <w:rPr>
          <w:rFonts w:hint="eastAsia" w:ascii="宋体" w:hAnsi="宋体" w:eastAsia="宋体" w:cs="宋体"/>
          <w:b/>
          <w:bCs/>
          <w:sz w:val="32"/>
          <w:szCs w:val="32"/>
        </w:rPr>
        <w:t>商务条款偏离表</w:t>
      </w:r>
      <w:bookmarkEnd w:id="346"/>
      <w:bookmarkEnd w:id="347"/>
      <w:bookmarkEnd w:id="348"/>
      <w:bookmarkEnd w:id="349"/>
      <w:bookmarkEnd w:id="350"/>
    </w:p>
    <w:p>
      <w:pPr>
        <w:pStyle w:val="47"/>
        <w:spacing w:line="360" w:lineRule="auto"/>
        <w:ind w:firstLine="103" w:firstLineChars="43"/>
        <w:jc w:val="both"/>
        <w:rPr>
          <w:rFonts w:ascii="宋体" w:hAnsi="宋体" w:cs="宋体"/>
          <w:color w:val="auto"/>
        </w:rPr>
      </w:pPr>
      <w:bookmarkStart w:id="351" w:name="_Toc5781"/>
      <w:bookmarkStart w:id="352" w:name="_Toc28375"/>
      <w:bookmarkStart w:id="353" w:name="_Toc2824"/>
      <w:r>
        <w:rPr>
          <w:rFonts w:hint="eastAsia" w:ascii="宋体" w:hAnsi="宋体" w:cs="宋体"/>
          <w:color w:val="auto"/>
        </w:rPr>
        <w:t>项目名称：</w:t>
      </w:r>
      <w:r>
        <w:rPr>
          <w:rFonts w:hint="eastAsia" w:ascii="宋体" w:hAnsi="宋体" w:cs="宋体"/>
          <w:color w:val="auto"/>
          <w:kern w:val="2"/>
        </w:rPr>
        <w:t xml:space="preserve"> 　</w:t>
      </w:r>
      <w:r>
        <w:rPr>
          <w:rFonts w:hint="eastAsia" w:ascii="宋体" w:hAnsi="宋体" w:cs="宋体"/>
          <w:color w:val="auto"/>
        </w:rPr>
        <w:t xml:space="preserve">　　　　　                                                                  </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980"/>
        <w:gridCol w:w="2048"/>
        <w:gridCol w:w="1895"/>
        <w:gridCol w:w="1023"/>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vAlign w:val="center"/>
          </w:tcPr>
          <w:p>
            <w:pPr>
              <w:jc w:val="center"/>
              <w:rPr>
                <w:rFonts w:ascii="宋体" w:hAnsi="宋体" w:cs="宋体"/>
                <w:b/>
                <w:bCs/>
                <w:sz w:val="24"/>
                <w:szCs w:val="24"/>
              </w:rPr>
            </w:pPr>
            <w:r>
              <w:rPr>
                <w:rFonts w:hint="eastAsia" w:ascii="宋体" w:hAnsi="宋体" w:cs="宋体"/>
                <w:b/>
                <w:bCs/>
                <w:sz w:val="24"/>
                <w:szCs w:val="24"/>
              </w:rPr>
              <w:t>序号</w:t>
            </w:r>
          </w:p>
        </w:tc>
        <w:tc>
          <w:tcPr>
            <w:tcW w:w="1980" w:type="dxa"/>
            <w:vAlign w:val="center"/>
          </w:tcPr>
          <w:p>
            <w:pPr>
              <w:jc w:val="center"/>
              <w:rPr>
                <w:rFonts w:ascii="宋体" w:hAnsi="宋体" w:cs="宋体"/>
                <w:b/>
                <w:bCs/>
                <w:sz w:val="24"/>
                <w:szCs w:val="24"/>
              </w:rPr>
            </w:pPr>
            <w:r>
              <w:rPr>
                <w:rFonts w:hint="eastAsia" w:ascii="宋体" w:hAnsi="宋体" w:cs="宋体"/>
                <w:b/>
                <w:bCs/>
                <w:sz w:val="24"/>
                <w:szCs w:val="24"/>
              </w:rPr>
              <w:t>竞争性磋商文件</w:t>
            </w:r>
          </w:p>
          <w:p>
            <w:pPr>
              <w:jc w:val="center"/>
              <w:rPr>
                <w:rFonts w:ascii="宋体" w:hAnsi="宋体" w:cs="宋体"/>
                <w:b/>
                <w:bCs/>
                <w:sz w:val="24"/>
                <w:szCs w:val="24"/>
              </w:rPr>
            </w:pPr>
            <w:r>
              <w:rPr>
                <w:rFonts w:hint="eastAsia" w:ascii="宋体" w:hAnsi="宋体" w:cs="宋体"/>
                <w:b/>
                <w:bCs/>
                <w:sz w:val="24"/>
                <w:szCs w:val="24"/>
              </w:rPr>
              <w:t>条目号</w:t>
            </w:r>
          </w:p>
        </w:tc>
        <w:tc>
          <w:tcPr>
            <w:tcW w:w="2048" w:type="dxa"/>
            <w:vAlign w:val="center"/>
          </w:tcPr>
          <w:p>
            <w:pPr>
              <w:jc w:val="center"/>
              <w:rPr>
                <w:rFonts w:ascii="宋体" w:hAnsi="宋体" w:cs="宋体"/>
                <w:b/>
                <w:bCs/>
                <w:sz w:val="24"/>
                <w:szCs w:val="24"/>
              </w:rPr>
            </w:pPr>
            <w:r>
              <w:rPr>
                <w:rFonts w:hint="eastAsia" w:ascii="宋体" w:hAnsi="宋体" w:cs="宋体"/>
                <w:b/>
                <w:bCs/>
                <w:sz w:val="24"/>
                <w:szCs w:val="24"/>
              </w:rPr>
              <w:t>竞争性磋商文件的商务条款</w:t>
            </w:r>
          </w:p>
        </w:tc>
        <w:tc>
          <w:tcPr>
            <w:tcW w:w="1895" w:type="dxa"/>
            <w:vAlign w:val="center"/>
          </w:tcPr>
          <w:p>
            <w:pPr>
              <w:jc w:val="center"/>
              <w:rPr>
                <w:rFonts w:ascii="宋体" w:hAnsi="宋体" w:cs="宋体"/>
                <w:b/>
                <w:bCs/>
                <w:sz w:val="24"/>
                <w:szCs w:val="24"/>
              </w:rPr>
            </w:pPr>
            <w:r>
              <w:rPr>
                <w:rFonts w:hint="eastAsia" w:ascii="宋体" w:hAnsi="宋体" w:cs="宋体"/>
                <w:b/>
                <w:bCs/>
                <w:sz w:val="24"/>
                <w:szCs w:val="24"/>
              </w:rPr>
              <w:t>响应文件的</w:t>
            </w:r>
          </w:p>
          <w:p>
            <w:pPr>
              <w:jc w:val="center"/>
              <w:rPr>
                <w:rFonts w:ascii="宋体" w:hAnsi="宋体" w:cs="宋体"/>
                <w:b/>
                <w:bCs/>
                <w:sz w:val="24"/>
                <w:szCs w:val="24"/>
              </w:rPr>
            </w:pPr>
            <w:r>
              <w:rPr>
                <w:rFonts w:hint="eastAsia" w:ascii="宋体" w:hAnsi="宋体" w:cs="宋体"/>
                <w:b/>
                <w:bCs/>
                <w:sz w:val="24"/>
                <w:szCs w:val="24"/>
              </w:rPr>
              <w:t>商务条款</w:t>
            </w:r>
          </w:p>
        </w:tc>
        <w:tc>
          <w:tcPr>
            <w:tcW w:w="1023" w:type="dxa"/>
            <w:vAlign w:val="center"/>
          </w:tcPr>
          <w:p>
            <w:pPr>
              <w:jc w:val="center"/>
              <w:rPr>
                <w:rFonts w:ascii="宋体" w:hAnsi="宋体" w:cs="宋体"/>
                <w:b/>
                <w:bCs/>
                <w:sz w:val="24"/>
                <w:szCs w:val="24"/>
              </w:rPr>
            </w:pPr>
            <w:r>
              <w:rPr>
                <w:rFonts w:hint="eastAsia" w:ascii="宋体" w:hAnsi="宋体" w:cs="宋体"/>
                <w:b/>
                <w:bCs/>
                <w:sz w:val="24"/>
                <w:szCs w:val="24"/>
              </w:rPr>
              <w:t>偏离</w:t>
            </w:r>
          </w:p>
        </w:tc>
        <w:tc>
          <w:tcPr>
            <w:tcW w:w="930" w:type="dxa"/>
            <w:vAlign w:val="center"/>
          </w:tcPr>
          <w:p>
            <w:pPr>
              <w:jc w:val="center"/>
              <w:rPr>
                <w:rFonts w:ascii="宋体" w:hAnsi="宋体" w:cs="宋体"/>
                <w:b/>
                <w:bCs/>
                <w:sz w:val="24"/>
                <w:szCs w:val="24"/>
              </w:rPr>
            </w:pPr>
            <w:r>
              <w:rPr>
                <w:rFonts w:hint="eastAsia" w:ascii="宋体" w:hAnsi="宋体" w:cs="宋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tcPr>
          <w:p>
            <w:pPr>
              <w:rPr>
                <w:rFonts w:ascii="宋体" w:hAnsi="宋体" w:cs="宋体"/>
                <w:sz w:val="24"/>
                <w:szCs w:val="24"/>
              </w:rPr>
            </w:pPr>
          </w:p>
        </w:tc>
        <w:tc>
          <w:tcPr>
            <w:tcW w:w="1980" w:type="dxa"/>
          </w:tcPr>
          <w:p>
            <w:pPr>
              <w:rPr>
                <w:rFonts w:ascii="宋体" w:hAnsi="宋体" w:cs="宋体"/>
                <w:sz w:val="24"/>
                <w:szCs w:val="24"/>
              </w:rPr>
            </w:pPr>
          </w:p>
        </w:tc>
        <w:tc>
          <w:tcPr>
            <w:tcW w:w="2048" w:type="dxa"/>
          </w:tcPr>
          <w:p>
            <w:pPr>
              <w:rPr>
                <w:rFonts w:ascii="宋体" w:hAnsi="宋体" w:cs="宋体"/>
                <w:sz w:val="24"/>
                <w:szCs w:val="24"/>
              </w:rPr>
            </w:pPr>
          </w:p>
        </w:tc>
        <w:tc>
          <w:tcPr>
            <w:tcW w:w="1895" w:type="dxa"/>
          </w:tcPr>
          <w:p>
            <w:pPr>
              <w:rPr>
                <w:rFonts w:ascii="宋体" w:hAnsi="宋体" w:cs="宋体"/>
                <w:sz w:val="24"/>
                <w:szCs w:val="24"/>
              </w:rPr>
            </w:pPr>
          </w:p>
        </w:tc>
        <w:tc>
          <w:tcPr>
            <w:tcW w:w="1023" w:type="dxa"/>
          </w:tcPr>
          <w:p>
            <w:pPr>
              <w:rPr>
                <w:rFonts w:ascii="宋体" w:hAnsi="宋体" w:cs="宋体"/>
                <w:sz w:val="24"/>
                <w:szCs w:val="24"/>
              </w:rPr>
            </w:pPr>
          </w:p>
        </w:tc>
        <w:tc>
          <w:tcPr>
            <w:tcW w:w="930"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tcPr>
          <w:p>
            <w:pPr>
              <w:rPr>
                <w:rFonts w:ascii="宋体" w:hAnsi="宋体" w:cs="宋体"/>
                <w:sz w:val="24"/>
                <w:szCs w:val="24"/>
              </w:rPr>
            </w:pPr>
          </w:p>
        </w:tc>
        <w:tc>
          <w:tcPr>
            <w:tcW w:w="1980" w:type="dxa"/>
          </w:tcPr>
          <w:p>
            <w:pPr>
              <w:rPr>
                <w:rFonts w:ascii="宋体" w:hAnsi="宋体" w:cs="宋体"/>
                <w:sz w:val="24"/>
                <w:szCs w:val="24"/>
              </w:rPr>
            </w:pPr>
          </w:p>
        </w:tc>
        <w:tc>
          <w:tcPr>
            <w:tcW w:w="2048" w:type="dxa"/>
          </w:tcPr>
          <w:p>
            <w:pPr>
              <w:rPr>
                <w:rFonts w:ascii="宋体" w:hAnsi="宋体" w:cs="宋体"/>
                <w:sz w:val="24"/>
                <w:szCs w:val="24"/>
              </w:rPr>
            </w:pPr>
          </w:p>
        </w:tc>
        <w:tc>
          <w:tcPr>
            <w:tcW w:w="1895" w:type="dxa"/>
          </w:tcPr>
          <w:p>
            <w:pPr>
              <w:rPr>
                <w:rFonts w:ascii="宋体" w:hAnsi="宋体" w:cs="宋体"/>
                <w:sz w:val="24"/>
                <w:szCs w:val="24"/>
              </w:rPr>
            </w:pPr>
          </w:p>
        </w:tc>
        <w:tc>
          <w:tcPr>
            <w:tcW w:w="1023" w:type="dxa"/>
          </w:tcPr>
          <w:p>
            <w:pPr>
              <w:rPr>
                <w:rFonts w:ascii="宋体" w:hAnsi="宋体" w:cs="宋体"/>
                <w:sz w:val="24"/>
                <w:szCs w:val="24"/>
              </w:rPr>
            </w:pPr>
          </w:p>
        </w:tc>
        <w:tc>
          <w:tcPr>
            <w:tcW w:w="930"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tcPr>
          <w:p>
            <w:pPr>
              <w:rPr>
                <w:rFonts w:ascii="宋体" w:hAnsi="宋体" w:cs="宋体"/>
                <w:sz w:val="24"/>
                <w:szCs w:val="24"/>
              </w:rPr>
            </w:pPr>
          </w:p>
        </w:tc>
        <w:tc>
          <w:tcPr>
            <w:tcW w:w="1980" w:type="dxa"/>
          </w:tcPr>
          <w:p>
            <w:pPr>
              <w:rPr>
                <w:rFonts w:ascii="宋体" w:hAnsi="宋体" w:cs="宋体"/>
                <w:sz w:val="24"/>
                <w:szCs w:val="24"/>
              </w:rPr>
            </w:pPr>
          </w:p>
        </w:tc>
        <w:tc>
          <w:tcPr>
            <w:tcW w:w="2048" w:type="dxa"/>
          </w:tcPr>
          <w:p>
            <w:pPr>
              <w:rPr>
                <w:rFonts w:ascii="宋体" w:hAnsi="宋体" w:cs="宋体"/>
                <w:sz w:val="24"/>
                <w:szCs w:val="24"/>
              </w:rPr>
            </w:pPr>
          </w:p>
        </w:tc>
        <w:tc>
          <w:tcPr>
            <w:tcW w:w="1895" w:type="dxa"/>
          </w:tcPr>
          <w:p>
            <w:pPr>
              <w:rPr>
                <w:rFonts w:ascii="宋体" w:hAnsi="宋体" w:cs="宋体"/>
                <w:sz w:val="24"/>
                <w:szCs w:val="24"/>
              </w:rPr>
            </w:pPr>
          </w:p>
        </w:tc>
        <w:tc>
          <w:tcPr>
            <w:tcW w:w="1023" w:type="dxa"/>
          </w:tcPr>
          <w:p>
            <w:pPr>
              <w:rPr>
                <w:rFonts w:ascii="宋体" w:hAnsi="宋体" w:cs="宋体"/>
                <w:sz w:val="24"/>
                <w:szCs w:val="24"/>
              </w:rPr>
            </w:pPr>
          </w:p>
        </w:tc>
        <w:tc>
          <w:tcPr>
            <w:tcW w:w="930"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tcPr>
          <w:p>
            <w:pPr>
              <w:rPr>
                <w:rFonts w:ascii="宋体" w:hAnsi="宋体" w:cs="宋体"/>
                <w:sz w:val="24"/>
                <w:szCs w:val="24"/>
              </w:rPr>
            </w:pPr>
          </w:p>
        </w:tc>
        <w:tc>
          <w:tcPr>
            <w:tcW w:w="1980" w:type="dxa"/>
          </w:tcPr>
          <w:p>
            <w:pPr>
              <w:rPr>
                <w:rFonts w:ascii="宋体" w:hAnsi="宋体" w:cs="宋体"/>
                <w:sz w:val="24"/>
                <w:szCs w:val="24"/>
              </w:rPr>
            </w:pPr>
          </w:p>
        </w:tc>
        <w:tc>
          <w:tcPr>
            <w:tcW w:w="2048" w:type="dxa"/>
          </w:tcPr>
          <w:p>
            <w:pPr>
              <w:rPr>
                <w:rFonts w:ascii="宋体" w:hAnsi="宋体" w:cs="宋体"/>
                <w:sz w:val="24"/>
                <w:szCs w:val="24"/>
              </w:rPr>
            </w:pPr>
          </w:p>
        </w:tc>
        <w:tc>
          <w:tcPr>
            <w:tcW w:w="1895" w:type="dxa"/>
          </w:tcPr>
          <w:p>
            <w:pPr>
              <w:rPr>
                <w:rFonts w:ascii="宋体" w:hAnsi="宋体" w:cs="宋体"/>
                <w:sz w:val="24"/>
                <w:szCs w:val="24"/>
              </w:rPr>
            </w:pPr>
          </w:p>
        </w:tc>
        <w:tc>
          <w:tcPr>
            <w:tcW w:w="1023" w:type="dxa"/>
          </w:tcPr>
          <w:p>
            <w:pPr>
              <w:rPr>
                <w:rFonts w:ascii="宋体" w:hAnsi="宋体" w:cs="宋体"/>
                <w:sz w:val="24"/>
                <w:szCs w:val="24"/>
              </w:rPr>
            </w:pPr>
          </w:p>
        </w:tc>
        <w:tc>
          <w:tcPr>
            <w:tcW w:w="930"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tcPr>
          <w:p>
            <w:pPr>
              <w:rPr>
                <w:rFonts w:ascii="宋体" w:hAnsi="宋体" w:cs="宋体"/>
                <w:sz w:val="24"/>
                <w:szCs w:val="24"/>
              </w:rPr>
            </w:pPr>
          </w:p>
        </w:tc>
        <w:tc>
          <w:tcPr>
            <w:tcW w:w="1980" w:type="dxa"/>
          </w:tcPr>
          <w:p>
            <w:pPr>
              <w:rPr>
                <w:rFonts w:ascii="宋体" w:hAnsi="宋体" w:cs="宋体"/>
                <w:sz w:val="24"/>
                <w:szCs w:val="24"/>
              </w:rPr>
            </w:pPr>
          </w:p>
        </w:tc>
        <w:tc>
          <w:tcPr>
            <w:tcW w:w="2048" w:type="dxa"/>
          </w:tcPr>
          <w:p>
            <w:pPr>
              <w:rPr>
                <w:rFonts w:ascii="宋体" w:hAnsi="宋体" w:cs="宋体"/>
                <w:sz w:val="24"/>
                <w:szCs w:val="24"/>
              </w:rPr>
            </w:pPr>
          </w:p>
        </w:tc>
        <w:tc>
          <w:tcPr>
            <w:tcW w:w="1895" w:type="dxa"/>
          </w:tcPr>
          <w:p>
            <w:pPr>
              <w:rPr>
                <w:rFonts w:ascii="宋体" w:hAnsi="宋体" w:cs="宋体"/>
                <w:sz w:val="24"/>
                <w:szCs w:val="24"/>
              </w:rPr>
            </w:pPr>
          </w:p>
        </w:tc>
        <w:tc>
          <w:tcPr>
            <w:tcW w:w="1023" w:type="dxa"/>
          </w:tcPr>
          <w:p>
            <w:pPr>
              <w:rPr>
                <w:rFonts w:ascii="宋体" w:hAnsi="宋体" w:cs="宋体"/>
                <w:sz w:val="24"/>
                <w:szCs w:val="24"/>
              </w:rPr>
            </w:pPr>
          </w:p>
        </w:tc>
        <w:tc>
          <w:tcPr>
            <w:tcW w:w="930"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tcPr>
          <w:p>
            <w:pPr>
              <w:rPr>
                <w:rFonts w:ascii="宋体" w:hAnsi="宋体" w:cs="宋体"/>
                <w:sz w:val="24"/>
                <w:szCs w:val="24"/>
              </w:rPr>
            </w:pPr>
            <w:r>
              <w:rPr>
                <w:rFonts w:hint="eastAsia" w:ascii="宋体" w:hAnsi="宋体" w:cs="宋体"/>
                <w:sz w:val="24"/>
                <w:szCs w:val="24"/>
              </w:rPr>
              <w:t>...</w:t>
            </w:r>
          </w:p>
        </w:tc>
        <w:tc>
          <w:tcPr>
            <w:tcW w:w="1980" w:type="dxa"/>
          </w:tcPr>
          <w:p>
            <w:pPr>
              <w:rPr>
                <w:rFonts w:ascii="宋体" w:hAnsi="宋体" w:cs="宋体"/>
                <w:sz w:val="24"/>
                <w:szCs w:val="24"/>
              </w:rPr>
            </w:pPr>
          </w:p>
        </w:tc>
        <w:tc>
          <w:tcPr>
            <w:tcW w:w="2048" w:type="dxa"/>
          </w:tcPr>
          <w:p>
            <w:pPr>
              <w:rPr>
                <w:rFonts w:ascii="宋体" w:hAnsi="宋体" w:cs="宋体"/>
                <w:sz w:val="24"/>
                <w:szCs w:val="24"/>
              </w:rPr>
            </w:pPr>
          </w:p>
        </w:tc>
        <w:tc>
          <w:tcPr>
            <w:tcW w:w="1895" w:type="dxa"/>
          </w:tcPr>
          <w:p>
            <w:pPr>
              <w:rPr>
                <w:rFonts w:ascii="宋体" w:hAnsi="宋体" w:cs="宋体"/>
                <w:sz w:val="24"/>
                <w:szCs w:val="24"/>
              </w:rPr>
            </w:pPr>
          </w:p>
        </w:tc>
        <w:tc>
          <w:tcPr>
            <w:tcW w:w="1023" w:type="dxa"/>
          </w:tcPr>
          <w:p>
            <w:pPr>
              <w:rPr>
                <w:rFonts w:ascii="宋体" w:hAnsi="宋体" w:cs="宋体"/>
                <w:sz w:val="24"/>
                <w:szCs w:val="24"/>
              </w:rPr>
            </w:pPr>
          </w:p>
        </w:tc>
        <w:tc>
          <w:tcPr>
            <w:tcW w:w="930" w:type="dxa"/>
          </w:tcPr>
          <w:p>
            <w:pPr>
              <w:rPr>
                <w:rFonts w:ascii="宋体" w:hAnsi="宋体" w:cs="宋体"/>
                <w:sz w:val="24"/>
                <w:szCs w:val="24"/>
              </w:rPr>
            </w:pPr>
          </w:p>
        </w:tc>
      </w:tr>
    </w:tbl>
    <w:p>
      <w:pPr>
        <w:spacing w:before="156" w:beforeLines="50" w:line="360" w:lineRule="auto"/>
        <w:rPr>
          <w:rFonts w:ascii="宋体" w:hAnsi="宋体" w:cs="宋体"/>
          <w:sz w:val="24"/>
          <w:szCs w:val="24"/>
        </w:rPr>
      </w:pPr>
      <w:r>
        <w:rPr>
          <w:rFonts w:hint="eastAsia" w:ascii="宋体" w:hAnsi="宋体" w:cs="宋体"/>
          <w:sz w:val="24"/>
          <w:szCs w:val="24"/>
        </w:rPr>
        <w:t>注:若有偏离,请将具体偏离条款在“偏离”一栏中详细说明;若无偏离,请在“偏离”一栏中标注“无”字样。</w:t>
      </w:r>
    </w:p>
    <w:p>
      <w:pPr>
        <w:pStyle w:val="25"/>
        <w:ind w:left="425" w:hanging="425"/>
      </w:pPr>
    </w:p>
    <w:p>
      <w:pPr>
        <w:spacing w:line="600" w:lineRule="auto"/>
        <w:jc w:val="center"/>
        <w:rPr>
          <w:rFonts w:ascii="宋体" w:hAnsi="宋体" w:cs="宋体"/>
          <w:sz w:val="24"/>
          <w:szCs w:val="24"/>
        </w:rPr>
      </w:pPr>
      <w:r>
        <w:rPr>
          <w:rFonts w:hint="eastAsia" w:ascii="宋体" w:hAnsi="宋体" w:cs="宋体"/>
          <w:bCs/>
          <w:sz w:val="24"/>
          <w:szCs w:val="24"/>
        </w:rPr>
        <w:t xml:space="preserve">              </w:t>
      </w:r>
      <w:r>
        <w:rPr>
          <w:rFonts w:hint="eastAsia" w:ascii="宋体" w:hAnsi="宋体" w:cs="宋体"/>
          <w:sz w:val="24"/>
          <w:szCs w:val="24"/>
        </w:rPr>
        <w:t>供应商名称（盖章）：</w:t>
      </w:r>
    </w:p>
    <w:p>
      <w:pPr>
        <w:spacing w:line="600" w:lineRule="auto"/>
        <w:jc w:val="right"/>
        <w:rPr>
          <w:rFonts w:ascii="宋体" w:hAnsi="宋体" w:cs="宋体"/>
          <w:sz w:val="24"/>
          <w:szCs w:val="24"/>
        </w:rPr>
      </w:pPr>
      <w:r>
        <w:rPr>
          <w:rFonts w:hint="eastAsia" w:ascii="宋体" w:hAnsi="宋体" w:cs="宋体"/>
          <w:sz w:val="24"/>
          <w:szCs w:val="24"/>
        </w:rPr>
        <w:t>法定代表人或委托代理人（签字或盖章）：</w:t>
      </w:r>
    </w:p>
    <w:p>
      <w:pPr>
        <w:spacing w:line="600" w:lineRule="auto"/>
        <w:jc w:val="right"/>
        <w:rPr>
          <w:rFonts w:ascii="宋体" w:hAnsi="宋体" w:cs="宋体"/>
          <w:sz w:val="28"/>
          <w:szCs w:val="28"/>
        </w:rPr>
      </w:pPr>
      <w:r>
        <w:rPr>
          <w:rFonts w:hint="eastAsia" w:ascii="宋体" w:hAnsi="宋体" w:cs="宋体"/>
          <w:sz w:val="24"/>
          <w:szCs w:val="24"/>
        </w:rPr>
        <w:t xml:space="preserve">日期：     年   月   </w:t>
      </w:r>
      <w:r>
        <w:rPr>
          <w:rFonts w:hint="eastAsia" w:ascii="宋体" w:hAnsi="宋体" w:cs="宋体"/>
          <w:sz w:val="28"/>
          <w:szCs w:val="28"/>
        </w:rPr>
        <w:t>日</w:t>
      </w:r>
    </w:p>
    <w:p>
      <w:pPr>
        <w:widowControl/>
        <w:jc w:val="left"/>
        <w:rPr>
          <w:rFonts w:ascii="宋体" w:hAnsi="宋体" w:cs="宋体"/>
          <w:sz w:val="28"/>
          <w:szCs w:val="28"/>
        </w:rPr>
      </w:pPr>
      <w:r>
        <w:rPr>
          <w:rFonts w:ascii="宋体" w:hAnsi="宋体" w:cs="宋体"/>
          <w:sz w:val="28"/>
          <w:szCs w:val="28"/>
        </w:rPr>
        <w:br w:type="page"/>
      </w:r>
    </w:p>
    <w:p>
      <w:pPr>
        <w:pStyle w:val="3"/>
        <w:jc w:val="both"/>
        <w:rPr>
          <w:rFonts w:ascii="宋体" w:hAnsi="宋体" w:eastAsia="宋体" w:cs="宋体"/>
          <w:b/>
          <w:bCs/>
          <w:sz w:val="32"/>
          <w:szCs w:val="32"/>
        </w:rPr>
      </w:pPr>
      <w:bookmarkStart w:id="354" w:name="_Toc137664534"/>
      <w:bookmarkStart w:id="355" w:name="_Toc1442"/>
      <w:r>
        <w:rPr>
          <w:rFonts w:hint="eastAsia" w:ascii="宋体" w:hAnsi="宋体" w:eastAsia="宋体" w:cs="宋体"/>
          <w:b/>
          <w:bCs/>
          <w:sz w:val="32"/>
          <w:szCs w:val="32"/>
        </w:rPr>
        <w:t>附件11:</w:t>
      </w:r>
      <w:bookmarkEnd w:id="351"/>
      <w:bookmarkEnd w:id="352"/>
      <w:bookmarkEnd w:id="353"/>
      <w:bookmarkEnd w:id="354"/>
    </w:p>
    <w:bookmarkEnd w:id="355"/>
    <w:p>
      <w:pPr>
        <w:pStyle w:val="3"/>
        <w:rPr>
          <w:rFonts w:ascii="宋体" w:hAnsi="宋体" w:eastAsia="宋体" w:cs="宋体"/>
          <w:b/>
          <w:bCs/>
          <w:sz w:val="32"/>
          <w:szCs w:val="32"/>
        </w:rPr>
      </w:pPr>
      <w:bookmarkStart w:id="356" w:name="_Toc8429"/>
      <w:bookmarkStart w:id="357" w:name="_Toc8532"/>
      <w:bookmarkStart w:id="358" w:name="_Toc23982"/>
      <w:bookmarkStart w:id="359" w:name="_Toc28929"/>
      <w:bookmarkStart w:id="360" w:name="_Toc137664535"/>
      <w:r>
        <w:rPr>
          <w:rFonts w:hint="eastAsia" w:ascii="宋体" w:hAnsi="宋体" w:eastAsia="宋体" w:cs="宋体"/>
          <w:b/>
          <w:bCs/>
          <w:sz w:val="32"/>
          <w:szCs w:val="32"/>
        </w:rPr>
        <w:t>技术规格偏离表</w:t>
      </w:r>
      <w:bookmarkEnd w:id="356"/>
      <w:bookmarkEnd w:id="357"/>
      <w:bookmarkEnd w:id="358"/>
      <w:bookmarkEnd w:id="359"/>
      <w:bookmarkEnd w:id="360"/>
    </w:p>
    <w:p>
      <w:pPr>
        <w:pStyle w:val="47"/>
        <w:spacing w:line="360" w:lineRule="auto"/>
        <w:jc w:val="both"/>
        <w:rPr>
          <w:rFonts w:ascii="宋体" w:hAnsi="宋体" w:cs="宋体"/>
          <w:color w:val="auto"/>
        </w:rPr>
      </w:pPr>
      <w:bookmarkStart w:id="361" w:name="_Toc10091"/>
      <w:bookmarkStart w:id="362" w:name="_Toc24389"/>
      <w:bookmarkStart w:id="363" w:name="_Toc6379"/>
      <w:bookmarkStart w:id="364" w:name="_Toc5330"/>
      <w:r>
        <w:rPr>
          <w:rFonts w:hint="eastAsia" w:ascii="宋体" w:hAnsi="宋体" w:cs="宋体"/>
          <w:color w:val="auto"/>
        </w:rPr>
        <w:t xml:space="preserve">项目名称：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752"/>
        <w:gridCol w:w="1567"/>
        <w:gridCol w:w="1272"/>
        <w:gridCol w:w="1228"/>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 w:type="dxa"/>
            <w:vAlign w:val="center"/>
          </w:tcPr>
          <w:p>
            <w:pPr>
              <w:jc w:val="center"/>
              <w:rPr>
                <w:rFonts w:ascii="宋体" w:hAnsi="宋体" w:cs="宋体"/>
                <w:b/>
                <w:bCs/>
                <w:sz w:val="24"/>
                <w:szCs w:val="24"/>
              </w:rPr>
            </w:pPr>
            <w:r>
              <w:rPr>
                <w:rFonts w:hint="eastAsia" w:ascii="宋体" w:hAnsi="宋体" w:cs="宋体"/>
                <w:b/>
                <w:bCs/>
                <w:sz w:val="24"/>
                <w:szCs w:val="24"/>
              </w:rPr>
              <w:t>序号</w:t>
            </w:r>
          </w:p>
        </w:tc>
        <w:tc>
          <w:tcPr>
            <w:tcW w:w="2752" w:type="dxa"/>
            <w:vAlign w:val="center"/>
          </w:tcPr>
          <w:p>
            <w:pPr>
              <w:jc w:val="center"/>
              <w:rPr>
                <w:rFonts w:ascii="宋体" w:hAnsi="宋体" w:cs="宋体"/>
                <w:b/>
                <w:bCs/>
                <w:sz w:val="24"/>
                <w:szCs w:val="24"/>
              </w:rPr>
            </w:pPr>
            <w:r>
              <w:rPr>
                <w:rFonts w:hint="eastAsia" w:ascii="宋体" w:hAnsi="宋体" w:cs="宋体"/>
                <w:b/>
                <w:bCs/>
                <w:sz w:val="24"/>
                <w:szCs w:val="24"/>
              </w:rPr>
              <w:t>竞争性磋商文件条目号</w:t>
            </w:r>
          </w:p>
        </w:tc>
        <w:tc>
          <w:tcPr>
            <w:tcW w:w="1567" w:type="dxa"/>
            <w:vAlign w:val="center"/>
          </w:tcPr>
          <w:p>
            <w:pPr>
              <w:jc w:val="center"/>
              <w:rPr>
                <w:rFonts w:ascii="宋体" w:hAnsi="宋体" w:cs="宋体"/>
                <w:b/>
                <w:bCs/>
                <w:sz w:val="24"/>
                <w:szCs w:val="24"/>
              </w:rPr>
            </w:pPr>
            <w:r>
              <w:rPr>
                <w:rFonts w:hint="eastAsia" w:ascii="宋体" w:hAnsi="宋体" w:cs="宋体"/>
                <w:b/>
                <w:bCs/>
                <w:sz w:val="24"/>
                <w:szCs w:val="24"/>
              </w:rPr>
              <w:t>招标规格</w:t>
            </w:r>
          </w:p>
        </w:tc>
        <w:tc>
          <w:tcPr>
            <w:tcW w:w="1272" w:type="dxa"/>
            <w:vAlign w:val="center"/>
          </w:tcPr>
          <w:p>
            <w:pPr>
              <w:jc w:val="center"/>
              <w:rPr>
                <w:rFonts w:ascii="宋体" w:hAnsi="宋体" w:cs="宋体"/>
                <w:b/>
                <w:bCs/>
                <w:sz w:val="24"/>
                <w:szCs w:val="24"/>
              </w:rPr>
            </w:pPr>
            <w:r>
              <w:rPr>
                <w:rFonts w:hint="eastAsia" w:ascii="宋体" w:hAnsi="宋体" w:cs="宋体"/>
                <w:b/>
                <w:bCs/>
                <w:sz w:val="24"/>
                <w:szCs w:val="24"/>
              </w:rPr>
              <w:t>投标规格</w:t>
            </w:r>
          </w:p>
        </w:tc>
        <w:tc>
          <w:tcPr>
            <w:tcW w:w="1228" w:type="dxa"/>
            <w:vAlign w:val="center"/>
          </w:tcPr>
          <w:p>
            <w:pPr>
              <w:jc w:val="center"/>
              <w:rPr>
                <w:rFonts w:ascii="宋体" w:hAnsi="宋体" w:cs="宋体"/>
                <w:b/>
                <w:bCs/>
                <w:sz w:val="24"/>
                <w:szCs w:val="24"/>
              </w:rPr>
            </w:pPr>
            <w:r>
              <w:rPr>
                <w:rFonts w:hint="eastAsia" w:ascii="宋体" w:hAnsi="宋体" w:cs="宋体"/>
                <w:b/>
                <w:bCs/>
                <w:sz w:val="24"/>
                <w:szCs w:val="24"/>
              </w:rPr>
              <w:t>偏离</w:t>
            </w:r>
          </w:p>
        </w:tc>
        <w:tc>
          <w:tcPr>
            <w:tcW w:w="1052" w:type="dxa"/>
            <w:vAlign w:val="center"/>
          </w:tcPr>
          <w:p>
            <w:pPr>
              <w:jc w:val="center"/>
              <w:rPr>
                <w:rFonts w:ascii="宋体" w:hAnsi="宋体" w:cs="宋体"/>
                <w:b/>
                <w:bCs/>
                <w:sz w:val="24"/>
                <w:szCs w:val="24"/>
              </w:rPr>
            </w:pPr>
            <w:r>
              <w:rPr>
                <w:rFonts w:hint="eastAsia" w:ascii="宋体" w:hAnsi="宋体" w:cs="宋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 w:type="dxa"/>
          </w:tcPr>
          <w:p>
            <w:pPr>
              <w:pStyle w:val="47"/>
              <w:spacing w:line="480" w:lineRule="exact"/>
              <w:rPr>
                <w:rFonts w:ascii="宋体" w:hAnsi="宋体" w:cs="宋体"/>
                <w:color w:val="auto"/>
              </w:rPr>
            </w:pPr>
          </w:p>
        </w:tc>
        <w:tc>
          <w:tcPr>
            <w:tcW w:w="2752" w:type="dxa"/>
          </w:tcPr>
          <w:p>
            <w:pPr>
              <w:pStyle w:val="47"/>
              <w:spacing w:line="480" w:lineRule="exact"/>
              <w:rPr>
                <w:rFonts w:ascii="宋体" w:hAnsi="宋体" w:cs="宋体"/>
                <w:color w:val="auto"/>
              </w:rPr>
            </w:pPr>
          </w:p>
        </w:tc>
        <w:tc>
          <w:tcPr>
            <w:tcW w:w="1567" w:type="dxa"/>
          </w:tcPr>
          <w:p>
            <w:pPr>
              <w:spacing w:line="480" w:lineRule="exact"/>
              <w:jc w:val="left"/>
              <w:rPr>
                <w:rFonts w:ascii="宋体" w:hAnsi="宋体" w:cs="宋体"/>
                <w:kern w:val="0"/>
                <w:sz w:val="24"/>
                <w:szCs w:val="24"/>
              </w:rPr>
            </w:pPr>
          </w:p>
          <w:p>
            <w:pPr>
              <w:pStyle w:val="47"/>
              <w:spacing w:line="480" w:lineRule="exact"/>
              <w:rPr>
                <w:rFonts w:ascii="宋体" w:hAnsi="宋体" w:cs="宋体"/>
                <w:color w:val="auto"/>
              </w:rPr>
            </w:pPr>
          </w:p>
        </w:tc>
        <w:tc>
          <w:tcPr>
            <w:tcW w:w="1272" w:type="dxa"/>
          </w:tcPr>
          <w:p>
            <w:pPr>
              <w:pStyle w:val="47"/>
              <w:spacing w:line="480" w:lineRule="exact"/>
              <w:rPr>
                <w:rFonts w:ascii="宋体" w:hAnsi="宋体" w:cs="宋体"/>
                <w:color w:val="auto"/>
              </w:rPr>
            </w:pPr>
          </w:p>
        </w:tc>
        <w:tc>
          <w:tcPr>
            <w:tcW w:w="1228" w:type="dxa"/>
          </w:tcPr>
          <w:p>
            <w:pPr>
              <w:pStyle w:val="47"/>
              <w:spacing w:line="480" w:lineRule="exact"/>
              <w:rPr>
                <w:rFonts w:ascii="宋体" w:hAnsi="宋体" w:cs="宋体"/>
                <w:color w:val="auto"/>
              </w:rPr>
            </w:pPr>
          </w:p>
        </w:tc>
        <w:tc>
          <w:tcPr>
            <w:tcW w:w="1052" w:type="dxa"/>
          </w:tcPr>
          <w:p>
            <w:pPr>
              <w:pStyle w:val="47"/>
              <w:spacing w:line="480" w:lineRule="exact"/>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 w:type="dxa"/>
          </w:tcPr>
          <w:p>
            <w:pPr>
              <w:pStyle w:val="47"/>
              <w:spacing w:line="480" w:lineRule="exact"/>
              <w:rPr>
                <w:rFonts w:ascii="宋体" w:hAnsi="宋体" w:cs="宋体"/>
                <w:color w:val="auto"/>
              </w:rPr>
            </w:pPr>
          </w:p>
        </w:tc>
        <w:tc>
          <w:tcPr>
            <w:tcW w:w="2752" w:type="dxa"/>
          </w:tcPr>
          <w:p>
            <w:pPr>
              <w:pStyle w:val="47"/>
              <w:spacing w:line="480" w:lineRule="exact"/>
              <w:rPr>
                <w:rFonts w:ascii="宋体" w:hAnsi="宋体" w:cs="宋体"/>
                <w:color w:val="auto"/>
              </w:rPr>
            </w:pPr>
          </w:p>
        </w:tc>
        <w:tc>
          <w:tcPr>
            <w:tcW w:w="1567" w:type="dxa"/>
          </w:tcPr>
          <w:p>
            <w:pPr>
              <w:spacing w:line="480" w:lineRule="exact"/>
              <w:jc w:val="left"/>
              <w:rPr>
                <w:rFonts w:ascii="宋体" w:hAnsi="宋体" w:cs="宋体"/>
                <w:kern w:val="0"/>
                <w:sz w:val="24"/>
                <w:szCs w:val="24"/>
              </w:rPr>
            </w:pPr>
          </w:p>
          <w:p>
            <w:pPr>
              <w:pStyle w:val="47"/>
              <w:spacing w:line="480" w:lineRule="exact"/>
              <w:rPr>
                <w:rFonts w:ascii="宋体" w:hAnsi="宋体" w:cs="宋体"/>
                <w:color w:val="auto"/>
              </w:rPr>
            </w:pPr>
          </w:p>
        </w:tc>
        <w:tc>
          <w:tcPr>
            <w:tcW w:w="1272" w:type="dxa"/>
          </w:tcPr>
          <w:p>
            <w:pPr>
              <w:pStyle w:val="47"/>
              <w:spacing w:line="480" w:lineRule="exact"/>
              <w:rPr>
                <w:rFonts w:ascii="宋体" w:hAnsi="宋体" w:cs="宋体"/>
                <w:color w:val="auto"/>
              </w:rPr>
            </w:pPr>
          </w:p>
        </w:tc>
        <w:tc>
          <w:tcPr>
            <w:tcW w:w="1228" w:type="dxa"/>
          </w:tcPr>
          <w:p>
            <w:pPr>
              <w:pStyle w:val="47"/>
              <w:spacing w:line="480" w:lineRule="exact"/>
              <w:rPr>
                <w:rFonts w:ascii="宋体" w:hAnsi="宋体" w:cs="宋体"/>
                <w:color w:val="auto"/>
              </w:rPr>
            </w:pPr>
          </w:p>
        </w:tc>
        <w:tc>
          <w:tcPr>
            <w:tcW w:w="1052" w:type="dxa"/>
          </w:tcPr>
          <w:p>
            <w:pPr>
              <w:pStyle w:val="47"/>
              <w:spacing w:line="480" w:lineRule="exact"/>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 w:type="dxa"/>
          </w:tcPr>
          <w:p>
            <w:pPr>
              <w:pStyle w:val="47"/>
              <w:spacing w:line="480" w:lineRule="exact"/>
              <w:rPr>
                <w:rFonts w:ascii="宋体" w:hAnsi="宋体" w:cs="宋体"/>
                <w:color w:val="auto"/>
              </w:rPr>
            </w:pPr>
          </w:p>
        </w:tc>
        <w:tc>
          <w:tcPr>
            <w:tcW w:w="2752" w:type="dxa"/>
          </w:tcPr>
          <w:p>
            <w:pPr>
              <w:pStyle w:val="47"/>
              <w:spacing w:line="480" w:lineRule="exact"/>
              <w:rPr>
                <w:rFonts w:ascii="宋体" w:hAnsi="宋体" w:cs="宋体"/>
                <w:color w:val="auto"/>
              </w:rPr>
            </w:pPr>
          </w:p>
        </w:tc>
        <w:tc>
          <w:tcPr>
            <w:tcW w:w="1567" w:type="dxa"/>
          </w:tcPr>
          <w:p>
            <w:pPr>
              <w:spacing w:line="480" w:lineRule="exact"/>
              <w:jc w:val="left"/>
              <w:rPr>
                <w:rFonts w:ascii="宋体" w:hAnsi="宋体" w:cs="宋体"/>
                <w:kern w:val="0"/>
                <w:sz w:val="24"/>
                <w:szCs w:val="24"/>
              </w:rPr>
            </w:pPr>
          </w:p>
          <w:p>
            <w:pPr>
              <w:pStyle w:val="47"/>
              <w:spacing w:line="480" w:lineRule="exact"/>
              <w:rPr>
                <w:rFonts w:ascii="宋体" w:hAnsi="宋体" w:cs="宋体"/>
                <w:color w:val="auto"/>
              </w:rPr>
            </w:pPr>
          </w:p>
        </w:tc>
        <w:tc>
          <w:tcPr>
            <w:tcW w:w="1272" w:type="dxa"/>
          </w:tcPr>
          <w:p>
            <w:pPr>
              <w:pStyle w:val="47"/>
              <w:spacing w:line="480" w:lineRule="exact"/>
              <w:rPr>
                <w:rFonts w:ascii="宋体" w:hAnsi="宋体" w:cs="宋体"/>
                <w:color w:val="auto"/>
              </w:rPr>
            </w:pPr>
          </w:p>
        </w:tc>
        <w:tc>
          <w:tcPr>
            <w:tcW w:w="1228" w:type="dxa"/>
          </w:tcPr>
          <w:p>
            <w:pPr>
              <w:pStyle w:val="47"/>
              <w:spacing w:line="480" w:lineRule="exact"/>
              <w:rPr>
                <w:rFonts w:ascii="宋体" w:hAnsi="宋体" w:cs="宋体"/>
                <w:color w:val="auto"/>
              </w:rPr>
            </w:pPr>
          </w:p>
        </w:tc>
        <w:tc>
          <w:tcPr>
            <w:tcW w:w="1052" w:type="dxa"/>
          </w:tcPr>
          <w:p>
            <w:pPr>
              <w:pStyle w:val="47"/>
              <w:spacing w:line="480" w:lineRule="exact"/>
              <w:rPr>
                <w:rFonts w:ascii="宋体" w:hAnsi="宋体" w:cs="宋体"/>
                <w:color w:val="auto"/>
              </w:rPr>
            </w:pPr>
          </w:p>
        </w:tc>
      </w:tr>
    </w:tbl>
    <w:p>
      <w:pPr>
        <w:spacing w:line="360" w:lineRule="auto"/>
        <w:rPr>
          <w:rFonts w:ascii="宋体" w:hAnsi="宋体" w:cs="宋体"/>
          <w:sz w:val="24"/>
          <w:szCs w:val="24"/>
        </w:rPr>
      </w:pPr>
      <w:bookmarkStart w:id="365" w:name="_Toc32067"/>
      <w:bookmarkStart w:id="366" w:name="_Toc19858"/>
      <w:r>
        <w:rPr>
          <w:rFonts w:hint="eastAsia" w:ascii="宋体" w:hAnsi="宋体" w:cs="宋体"/>
          <w:sz w:val="24"/>
          <w:szCs w:val="24"/>
        </w:rPr>
        <w:t>注:若有偏离,请将具体偏离条款在“偏离”一栏中详细说明;若无偏离,请在“偏离”一栏中标注“无”字样。</w:t>
      </w:r>
    </w:p>
    <w:p>
      <w:pPr>
        <w:pStyle w:val="25"/>
        <w:ind w:left="425" w:hanging="425"/>
      </w:pPr>
    </w:p>
    <w:bookmarkEnd w:id="365"/>
    <w:bookmarkEnd w:id="366"/>
    <w:p>
      <w:pPr>
        <w:spacing w:line="600" w:lineRule="auto"/>
        <w:jc w:val="center"/>
        <w:rPr>
          <w:rFonts w:ascii="宋体" w:hAnsi="宋体" w:cs="宋体"/>
          <w:sz w:val="24"/>
          <w:szCs w:val="24"/>
        </w:rPr>
      </w:pPr>
      <w:r>
        <w:rPr>
          <w:rFonts w:hint="eastAsia" w:ascii="宋体" w:hAnsi="宋体" w:cs="宋体"/>
          <w:bCs/>
          <w:sz w:val="24"/>
          <w:szCs w:val="24"/>
        </w:rPr>
        <w:t xml:space="preserve">              </w:t>
      </w:r>
      <w:r>
        <w:rPr>
          <w:rFonts w:hint="eastAsia" w:ascii="宋体" w:hAnsi="宋体" w:cs="宋体"/>
          <w:sz w:val="24"/>
          <w:szCs w:val="24"/>
        </w:rPr>
        <w:t>供应商名称（盖章）：</w:t>
      </w:r>
    </w:p>
    <w:p>
      <w:pPr>
        <w:spacing w:line="600" w:lineRule="auto"/>
        <w:jc w:val="right"/>
        <w:rPr>
          <w:rFonts w:ascii="宋体" w:hAnsi="宋体" w:cs="宋体"/>
          <w:sz w:val="24"/>
          <w:szCs w:val="24"/>
        </w:rPr>
      </w:pPr>
      <w:r>
        <w:rPr>
          <w:rFonts w:hint="eastAsia" w:ascii="宋体" w:hAnsi="宋体" w:cs="宋体"/>
          <w:sz w:val="24"/>
          <w:szCs w:val="24"/>
        </w:rPr>
        <w:t>法定代表人或委托代理人（签字或盖章）：</w:t>
      </w:r>
    </w:p>
    <w:p>
      <w:pPr>
        <w:spacing w:line="600" w:lineRule="auto"/>
        <w:jc w:val="right"/>
        <w:rPr>
          <w:rFonts w:ascii="宋体" w:hAnsi="宋体" w:cs="宋体"/>
          <w:sz w:val="28"/>
          <w:szCs w:val="28"/>
        </w:rPr>
      </w:pPr>
      <w:r>
        <w:rPr>
          <w:rFonts w:hint="eastAsia" w:ascii="宋体" w:hAnsi="宋体" w:cs="宋体"/>
          <w:sz w:val="24"/>
          <w:szCs w:val="24"/>
        </w:rPr>
        <w:t xml:space="preserve">日期：     年   月   </w:t>
      </w:r>
      <w:r>
        <w:rPr>
          <w:rFonts w:hint="eastAsia" w:ascii="宋体" w:hAnsi="宋体" w:cs="宋体"/>
          <w:sz w:val="28"/>
          <w:szCs w:val="28"/>
        </w:rPr>
        <w:t>日</w:t>
      </w:r>
    </w:p>
    <w:p>
      <w:pPr>
        <w:pStyle w:val="3"/>
        <w:jc w:val="both"/>
        <w:rPr>
          <w:rFonts w:ascii="宋体" w:hAnsi="宋体" w:eastAsia="宋体" w:cs="宋体"/>
          <w:b/>
          <w:bCs/>
          <w:sz w:val="32"/>
          <w:szCs w:val="32"/>
        </w:rPr>
      </w:pPr>
      <w:r>
        <w:rPr>
          <w:rStyle w:val="67"/>
          <w:rFonts w:hint="eastAsia" w:ascii="宋体" w:hAnsi="宋体" w:eastAsia="宋体" w:cs="宋体"/>
          <w:sz w:val="32"/>
          <w:szCs w:val="28"/>
        </w:rPr>
        <w:br w:type="page"/>
      </w:r>
      <w:bookmarkStart w:id="367" w:name="_Toc137664536"/>
      <w:r>
        <w:rPr>
          <w:rFonts w:hint="eastAsia" w:ascii="宋体" w:hAnsi="宋体" w:eastAsia="宋体" w:cs="宋体"/>
          <w:b/>
          <w:bCs/>
          <w:sz w:val="32"/>
          <w:szCs w:val="32"/>
        </w:rPr>
        <w:t>附件12:</w:t>
      </w:r>
      <w:bookmarkEnd w:id="361"/>
      <w:bookmarkEnd w:id="362"/>
      <w:bookmarkEnd w:id="363"/>
      <w:bookmarkEnd w:id="364"/>
      <w:bookmarkEnd w:id="367"/>
    </w:p>
    <w:p>
      <w:pPr>
        <w:pStyle w:val="3"/>
        <w:rPr>
          <w:rFonts w:ascii="宋体" w:hAnsi="宋体" w:eastAsia="宋体" w:cs="宋体"/>
          <w:b/>
          <w:bCs/>
          <w:sz w:val="32"/>
          <w:szCs w:val="32"/>
        </w:rPr>
      </w:pPr>
      <w:bookmarkStart w:id="368" w:name="_Toc397"/>
      <w:bookmarkStart w:id="369" w:name="_Toc7717"/>
      <w:bookmarkStart w:id="370" w:name="_Toc12578"/>
      <w:bookmarkStart w:id="371" w:name="_Toc25331"/>
      <w:bookmarkStart w:id="372" w:name="_Toc137664537"/>
      <w:r>
        <w:rPr>
          <w:rFonts w:hint="eastAsia" w:ascii="宋体" w:hAnsi="宋体" w:eastAsia="宋体" w:cs="宋体"/>
          <w:b/>
          <w:bCs/>
          <w:sz w:val="32"/>
          <w:szCs w:val="32"/>
        </w:rPr>
        <w:t>近三年同类项目业绩表</w:t>
      </w:r>
      <w:bookmarkEnd w:id="368"/>
      <w:bookmarkEnd w:id="369"/>
      <w:bookmarkEnd w:id="370"/>
      <w:bookmarkEnd w:id="371"/>
      <w:bookmarkEnd w:id="372"/>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82"/>
        <w:gridCol w:w="1684"/>
        <w:gridCol w:w="1642"/>
        <w:gridCol w:w="1269"/>
        <w:gridCol w:w="1638"/>
        <w:gridCol w:w="154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82" w:type="dxa"/>
            <w:tcBorders>
              <w:top w:val="single" w:color="auto" w:sz="4" w:space="0"/>
              <w:bottom w:val="single" w:color="auto" w:sz="4" w:space="0"/>
            </w:tcBorders>
            <w:vAlign w:val="center"/>
          </w:tcPr>
          <w:p>
            <w:pPr>
              <w:jc w:val="center"/>
              <w:rPr>
                <w:rFonts w:ascii="宋体" w:hAnsi="宋体" w:cs="宋体"/>
                <w:b/>
                <w:sz w:val="24"/>
                <w:szCs w:val="24"/>
              </w:rPr>
            </w:pPr>
            <w:r>
              <w:rPr>
                <w:rFonts w:hint="eastAsia" w:ascii="宋体" w:hAnsi="宋体" w:cs="宋体"/>
                <w:b/>
                <w:sz w:val="24"/>
                <w:szCs w:val="24"/>
              </w:rPr>
              <w:t>序号</w:t>
            </w:r>
          </w:p>
        </w:tc>
        <w:tc>
          <w:tcPr>
            <w:tcW w:w="1684" w:type="dxa"/>
            <w:vAlign w:val="center"/>
          </w:tcPr>
          <w:p>
            <w:pPr>
              <w:jc w:val="center"/>
              <w:rPr>
                <w:rFonts w:ascii="宋体" w:hAnsi="宋体" w:cs="宋体"/>
                <w:b/>
                <w:sz w:val="24"/>
                <w:szCs w:val="24"/>
              </w:rPr>
            </w:pPr>
            <w:r>
              <w:rPr>
                <w:rFonts w:hint="eastAsia" w:ascii="宋体" w:hAnsi="宋体" w:cs="宋体"/>
                <w:b/>
                <w:sz w:val="24"/>
                <w:szCs w:val="24"/>
              </w:rPr>
              <w:t>项目名称</w:t>
            </w:r>
          </w:p>
        </w:tc>
        <w:tc>
          <w:tcPr>
            <w:tcW w:w="1642" w:type="dxa"/>
            <w:vAlign w:val="center"/>
          </w:tcPr>
          <w:p>
            <w:pPr>
              <w:jc w:val="center"/>
              <w:rPr>
                <w:rFonts w:ascii="宋体" w:hAnsi="宋体" w:cs="宋体"/>
                <w:b/>
                <w:sz w:val="24"/>
                <w:szCs w:val="24"/>
              </w:rPr>
            </w:pPr>
            <w:r>
              <w:rPr>
                <w:rFonts w:hint="eastAsia" w:ascii="宋体" w:hAnsi="宋体" w:cs="宋体"/>
                <w:b/>
                <w:sz w:val="24"/>
                <w:szCs w:val="24"/>
              </w:rPr>
              <w:t>完成时间</w:t>
            </w:r>
          </w:p>
        </w:tc>
        <w:tc>
          <w:tcPr>
            <w:tcW w:w="1269" w:type="dxa"/>
            <w:vAlign w:val="center"/>
          </w:tcPr>
          <w:p>
            <w:pPr>
              <w:jc w:val="center"/>
              <w:rPr>
                <w:rFonts w:ascii="宋体" w:hAnsi="宋体" w:cs="宋体"/>
                <w:b/>
                <w:sz w:val="24"/>
                <w:szCs w:val="24"/>
              </w:rPr>
            </w:pPr>
            <w:r>
              <w:rPr>
                <w:rFonts w:hint="eastAsia" w:ascii="宋体" w:hAnsi="宋体" w:cs="宋体"/>
                <w:b/>
                <w:sz w:val="24"/>
                <w:szCs w:val="24"/>
              </w:rPr>
              <w:t>合同金额</w:t>
            </w:r>
          </w:p>
        </w:tc>
        <w:tc>
          <w:tcPr>
            <w:tcW w:w="1638" w:type="dxa"/>
            <w:vAlign w:val="center"/>
          </w:tcPr>
          <w:p>
            <w:pPr>
              <w:jc w:val="center"/>
              <w:rPr>
                <w:rFonts w:ascii="宋体" w:hAnsi="宋体" w:cs="宋体"/>
                <w:b/>
                <w:sz w:val="24"/>
                <w:szCs w:val="24"/>
              </w:rPr>
            </w:pPr>
            <w:r>
              <w:rPr>
                <w:rFonts w:hint="eastAsia" w:ascii="宋体" w:hAnsi="宋体" w:cs="宋体"/>
                <w:b/>
                <w:sz w:val="24"/>
                <w:szCs w:val="24"/>
              </w:rPr>
              <w:t>采购人名称</w:t>
            </w:r>
          </w:p>
        </w:tc>
        <w:tc>
          <w:tcPr>
            <w:tcW w:w="1544" w:type="dxa"/>
            <w:tcBorders>
              <w:left w:val="single" w:color="auto" w:sz="4" w:space="0"/>
            </w:tcBorders>
            <w:vAlign w:val="center"/>
          </w:tcPr>
          <w:p>
            <w:pPr>
              <w:jc w:val="center"/>
              <w:rPr>
                <w:rFonts w:ascii="宋体" w:hAnsi="宋体" w:cs="宋体"/>
                <w:b/>
                <w:sz w:val="24"/>
                <w:szCs w:val="24"/>
              </w:rPr>
            </w:pPr>
            <w:r>
              <w:rPr>
                <w:rFonts w:hint="eastAsia" w:ascii="宋体" w:hAnsi="宋体" w:cs="宋体"/>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82" w:type="dxa"/>
            <w:tcBorders>
              <w:top w:val="single" w:color="auto" w:sz="4" w:space="0"/>
              <w:bottom w:val="single" w:color="auto" w:sz="4" w:space="0"/>
            </w:tcBorders>
            <w:vAlign w:val="center"/>
          </w:tcPr>
          <w:p>
            <w:pPr>
              <w:jc w:val="center"/>
              <w:rPr>
                <w:rFonts w:ascii="宋体" w:hAnsi="宋体" w:cs="宋体"/>
                <w:bCs/>
                <w:sz w:val="24"/>
                <w:szCs w:val="24"/>
              </w:rPr>
            </w:pPr>
          </w:p>
        </w:tc>
        <w:tc>
          <w:tcPr>
            <w:tcW w:w="1684" w:type="dxa"/>
            <w:vAlign w:val="center"/>
          </w:tcPr>
          <w:p>
            <w:pPr>
              <w:jc w:val="center"/>
              <w:rPr>
                <w:rFonts w:ascii="宋体" w:hAnsi="宋体" w:cs="宋体"/>
                <w:bCs/>
                <w:sz w:val="24"/>
                <w:szCs w:val="24"/>
              </w:rPr>
            </w:pPr>
          </w:p>
        </w:tc>
        <w:tc>
          <w:tcPr>
            <w:tcW w:w="1642" w:type="dxa"/>
            <w:vAlign w:val="center"/>
          </w:tcPr>
          <w:p>
            <w:pPr>
              <w:jc w:val="center"/>
              <w:rPr>
                <w:rFonts w:ascii="宋体" w:hAnsi="宋体" w:cs="宋体"/>
                <w:bCs/>
                <w:sz w:val="24"/>
                <w:szCs w:val="24"/>
              </w:rPr>
            </w:pPr>
          </w:p>
        </w:tc>
        <w:tc>
          <w:tcPr>
            <w:tcW w:w="1269" w:type="dxa"/>
            <w:vAlign w:val="center"/>
          </w:tcPr>
          <w:p>
            <w:pPr>
              <w:jc w:val="center"/>
              <w:rPr>
                <w:rFonts w:ascii="宋体" w:hAnsi="宋体" w:cs="宋体"/>
                <w:bCs/>
                <w:sz w:val="24"/>
                <w:szCs w:val="24"/>
              </w:rPr>
            </w:pPr>
          </w:p>
        </w:tc>
        <w:tc>
          <w:tcPr>
            <w:tcW w:w="1638" w:type="dxa"/>
            <w:vAlign w:val="center"/>
          </w:tcPr>
          <w:p>
            <w:pPr>
              <w:jc w:val="center"/>
              <w:rPr>
                <w:rFonts w:ascii="宋体" w:hAnsi="宋体" w:cs="宋体"/>
                <w:bCs/>
                <w:sz w:val="24"/>
                <w:szCs w:val="24"/>
              </w:rPr>
            </w:pPr>
          </w:p>
        </w:tc>
        <w:tc>
          <w:tcPr>
            <w:tcW w:w="1544" w:type="dxa"/>
            <w:tcBorders>
              <w:left w:val="single" w:color="auto" w:sz="4" w:space="0"/>
            </w:tcBorders>
            <w:vAlign w:val="center"/>
          </w:tcPr>
          <w:p>
            <w:pPr>
              <w:jc w:val="center"/>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82" w:type="dxa"/>
            <w:tcBorders>
              <w:top w:val="single" w:color="auto" w:sz="4" w:space="0"/>
              <w:bottom w:val="single" w:color="auto" w:sz="4" w:space="0"/>
            </w:tcBorders>
            <w:vAlign w:val="center"/>
          </w:tcPr>
          <w:p>
            <w:pPr>
              <w:jc w:val="center"/>
              <w:rPr>
                <w:rFonts w:ascii="宋体" w:hAnsi="宋体" w:cs="宋体"/>
                <w:bCs/>
                <w:sz w:val="24"/>
                <w:szCs w:val="24"/>
              </w:rPr>
            </w:pPr>
          </w:p>
        </w:tc>
        <w:tc>
          <w:tcPr>
            <w:tcW w:w="1684" w:type="dxa"/>
            <w:vAlign w:val="center"/>
          </w:tcPr>
          <w:p>
            <w:pPr>
              <w:jc w:val="center"/>
              <w:rPr>
                <w:rFonts w:ascii="宋体" w:hAnsi="宋体" w:cs="宋体"/>
                <w:bCs/>
                <w:sz w:val="24"/>
                <w:szCs w:val="24"/>
              </w:rPr>
            </w:pPr>
          </w:p>
        </w:tc>
        <w:tc>
          <w:tcPr>
            <w:tcW w:w="1642" w:type="dxa"/>
            <w:vAlign w:val="center"/>
          </w:tcPr>
          <w:p>
            <w:pPr>
              <w:jc w:val="center"/>
              <w:rPr>
                <w:rFonts w:ascii="宋体" w:hAnsi="宋体" w:cs="宋体"/>
                <w:bCs/>
                <w:sz w:val="24"/>
                <w:szCs w:val="24"/>
              </w:rPr>
            </w:pPr>
          </w:p>
        </w:tc>
        <w:tc>
          <w:tcPr>
            <w:tcW w:w="1269" w:type="dxa"/>
            <w:vAlign w:val="center"/>
          </w:tcPr>
          <w:p>
            <w:pPr>
              <w:jc w:val="center"/>
              <w:rPr>
                <w:rFonts w:ascii="宋体" w:hAnsi="宋体" w:cs="宋体"/>
                <w:bCs/>
                <w:sz w:val="24"/>
                <w:szCs w:val="24"/>
              </w:rPr>
            </w:pPr>
          </w:p>
        </w:tc>
        <w:tc>
          <w:tcPr>
            <w:tcW w:w="1638" w:type="dxa"/>
            <w:vAlign w:val="center"/>
          </w:tcPr>
          <w:p>
            <w:pPr>
              <w:jc w:val="center"/>
              <w:rPr>
                <w:rFonts w:ascii="宋体" w:hAnsi="宋体" w:cs="宋体"/>
                <w:bCs/>
                <w:sz w:val="24"/>
                <w:szCs w:val="24"/>
              </w:rPr>
            </w:pPr>
          </w:p>
        </w:tc>
        <w:tc>
          <w:tcPr>
            <w:tcW w:w="1544" w:type="dxa"/>
            <w:tcBorders>
              <w:left w:val="single" w:color="auto" w:sz="4" w:space="0"/>
            </w:tcBorders>
            <w:vAlign w:val="center"/>
          </w:tcPr>
          <w:p>
            <w:pPr>
              <w:jc w:val="center"/>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82" w:type="dxa"/>
            <w:tcBorders>
              <w:top w:val="single" w:color="auto" w:sz="4" w:space="0"/>
              <w:bottom w:val="single" w:color="auto" w:sz="4" w:space="0"/>
            </w:tcBorders>
            <w:vAlign w:val="center"/>
          </w:tcPr>
          <w:p>
            <w:pPr>
              <w:jc w:val="center"/>
              <w:rPr>
                <w:rFonts w:ascii="宋体" w:hAnsi="宋体" w:cs="宋体"/>
                <w:bCs/>
                <w:sz w:val="24"/>
                <w:szCs w:val="24"/>
              </w:rPr>
            </w:pPr>
          </w:p>
        </w:tc>
        <w:tc>
          <w:tcPr>
            <w:tcW w:w="1684" w:type="dxa"/>
            <w:vAlign w:val="center"/>
          </w:tcPr>
          <w:p>
            <w:pPr>
              <w:jc w:val="center"/>
              <w:rPr>
                <w:rFonts w:ascii="宋体" w:hAnsi="宋体" w:cs="宋体"/>
                <w:bCs/>
                <w:sz w:val="24"/>
                <w:szCs w:val="24"/>
              </w:rPr>
            </w:pPr>
          </w:p>
        </w:tc>
        <w:tc>
          <w:tcPr>
            <w:tcW w:w="1642" w:type="dxa"/>
            <w:vAlign w:val="center"/>
          </w:tcPr>
          <w:p>
            <w:pPr>
              <w:jc w:val="center"/>
              <w:rPr>
                <w:rFonts w:ascii="宋体" w:hAnsi="宋体" w:cs="宋体"/>
                <w:bCs/>
                <w:sz w:val="24"/>
                <w:szCs w:val="24"/>
              </w:rPr>
            </w:pPr>
          </w:p>
        </w:tc>
        <w:tc>
          <w:tcPr>
            <w:tcW w:w="1269" w:type="dxa"/>
            <w:vAlign w:val="center"/>
          </w:tcPr>
          <w:p>
            <w:pPr>
              <w:jc w:val="center"/>
              <w:rPr>
                <w:rFonts w:ascii="宋体" w:hAnsi="宋体" w:cs="宋体"/>
                <w:bCs/>
                <w:sz w:val="24"/>
                <w:szCs w:val="24"/>
              </w:rPr>
            </w:pPr>
          </w:p>
        </w:tc>
        <w:tc>
          <w:tcPr>
            <w:tcW w:w="1638" w:type="dxa"/>
            <w:vAlign w:val="center"/>
          </w:tcPr>
          <w:p>
            <w:pPr>
              <w:jc w:val="center"/>
              <w:rPr>
                <w:rFonts w:ascii="宋体" w:hAnsi="宋体" w:cs="宋体"/>
                <w:bCs/>
                <w:sz w:val="24"/>
                <w:szCs w:val="24"/>
              </w:rPr>
            </w:pPr>
          </w:p>
        </w:tc>
        <w:tc>
          <w:tcPr>
            <w:tcW w:w="1544" w:type="dxa"/>
            <w:tcBorders>
              <w:left w:val="single" w:color="auto" w:sz="4" w:space="0"/>
            </w:tcBorders>
            <w:vAlign w:val="center"/>
          </w:tcPr>
          <w:p>
            <w:pPr>
              <w:jc w:val="center"/>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82" w:type="dxa"/>
            <w:tcBorders>
              <w:top w:val="single" w:color="auto" w:sz="4" w:space="0"/>
              <w:bottom w:val="single" w:color="auto" w:sz="4" w:space="0"/>
            </w:tcBorders>
            <w:vAlign w:val="center"/>
          </w:tcPr>
          <w:p>
            <w:pPr>
              <w:jc w:val="center"/>
              <w:rPr>
                <w:rFonts w:ascii="宋体" w:hAnsi="宋体" w:cs="宋体"/>
                <w:bCs/>
                <w:sz w:val="24"/>
                <w:szCs w:val="24"/>
              </w:rPr>
            </w:pPr>
          </w:p>
        </w:tc>
        <w:tc>
          <w:tcPr>
            <w:tcW w:w="1684" w:type="dxa"/>
            <w:vAlign w:val="center"/>
          </w:tcPr>
          <w:p>
            <w:pPr>
              <w:jc w:val="center"/>
              <w:rPr>
                <w:rFonts w:ascii="宋体" w:hAnsi="宋体" w:cs="宋体"/>
                <w:bCs/>
                <w:sz w:val="24"/>
                <w:szCs w:val="24"/>
              </w:rPr>
            </w:pPr>
          </w:p>
        </w:tc>
        <w:tc>
          <w:tcPr>
            <w:tcW w:w="1642" w:type="dxa"/>
            <w:vAlign w:val="center"/>
          </w:tcPr>
          <w:p>
            <w:pPr>
              <w:jc w:val="center"/>
              <w:rPr>
                <w:rFonts w:ascii="宋体" w:hAnsi="宋体" w:cs="宋体"/>
                <w:bCs/>
                <w:sz w:val="24"/>
                <w:szCs w:val="24"/>
              </w:rPr>
            </w:pPr>
          </w:p>
        </w:tc>
        <w:tc>
          <w:tcPr>
            <w:tcW w:w="1269" w:type="dxa"/>
            <w:vAlign w:val="center"/>
          </w:tcPr>
          <w:p>
            <w:pPr>
              <w:jc w:val="center"/>
              <w:rPr>
                <w:rFonts w:ascii="宋体" w:hAnsi="宋体" w:cs="宋体"/>
                <w:bCs/>
                <w:sz w:val="24"/>
                <w:szCs w:val="24"/>
              </w:rPr>
            </w:pPr>
          </w:p>
        </w:tc>
        <w:tc>
          <w:tcPr>
            <w:tcW w:w="1638" w:type="dxa"/>
            <w:vAlign w:val="center"/>
          </w:tcPr>
          <w:p>
            <w:pPr>
              <w:jc w:val="center"/>
              <w:rPr>
                <w:rFonts w:ascii="宋体" w:hAnsi="宋体" w:cs="宋体"/>
                <w:bCs/>
                <w:sz w:val="24"/>
                <w:szCs w:val="24"/>
              </w:rPr>
            </w:pPr>
          </w:p>
        </w:tc>
        <w:tc>
          <w:tcPr>
            <w:tcW w:w="1544" w:type="dxa"/>
            <w:tcBorders>
              <w:left w:val="single" w:color="auto" w:sz="4" w:space="0"/>
            </w:tcBorders>
            <w:vAlign w:val="center"/>
          </w:tcPr>
          <w:p>
            <w:pPr>
              <w:jc w:val="center"/>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82" w:type="dxa"/>
            <w:tcBorders>
              <w:top w:val="single" w:color="auto" w:sz="4" w:space="0"/>
              <w:bottom w:val="single" w:color="auto" w:sz="4" w:space="0"/>
            </w:tcBorders>
            <w:vAlign w:val="center"/>
          </w:tcPr>
          <w:p>
            <w:pPr>
              <w:jc w:val="center"/>
              <w:rPr>
                <w:rFonts w:ascii="宋体" w:hAnsi="宋体" w:cs="宋体"/>
                <w:bCs/>
                <w:sz w:val="24"/>
                <w:szCs w:val="24"/>
              </w:rPr>
            </w:pPr>
          </w:p>
        </w:tc>
        <w:tc>
          <w:tcPr>
            <w:tcW w:w="1684" w:type="dxa"/>
            <w:vAlign w:val="center"/>
          </w:tcPr>
          <w:p>
            <w:pPr>
              <w:jc w:val="center"/>
              <w:rPr>
                <w:rFonts w:ascii="宋体" w:hAnsi="宋体" w:cs="宋体"/>
                <w:bCs/>
                <w:sz w:val="24"/>
                <w:szCs w:val="24"/>
              </w:rPr>
            </w:pPr>
          </w:p>
        </w:tc>
        <w:tc>
          <w:tcPr>
            <w:tcW w:w="1642" w:type="dxa"/>
            <w:vAlign w:val="center"/>
          </w:tcPr>
          <w:p>
            <w:pPr>
              <w:jc w:val="center"/>
              <w:rPr>
                <w:rFonts w:ascii="宋体" w:hAnsi="宋体" w:cs="宋体"/>
                <w:bCs/>
                <w:sz w:val="24"/>
                <w:szCs w:val="24"/>
              </w:rPr>
            </w:pPr>
          </w:p>
        </w:tc>
        <w:tc>
          <w:tcPr>
            <w:tcW w:w="1269" w:type="dxa"/>
            <w:vAlign w:val="center"/>
          </w:tcPr>
          <w:p>
            <w:pPr>
              <w:jc w:val="center"/>
              <w:rPr>
                <w:rFonts w:ascii="宋体" w:hAnsi="宋体" w:cs="宋体"/>
                <w:bCs/>
                <w:sz w:val="24"/>
                <w:szCs w:val="24"/>
              </w:rPr>
            </w:pPr>
          </w:p>
        </w:tc>
        <w:tc>
          <w:tcPr>
            <w:tcW w:w="1638" w:type="dxa"/>
            <w:vAlign w:val="center"/>
          </w:tcPr>
          <w:p>
            <w:pPr>
              <w:jc w:val="center"/>
              <w:rPr>
                <w:rFonts w:ascii="宋体" w:hAnsi="宋体" w:cs="宋体"/>
                <w:bCs/>
                <w:sz w:val="24"/>
                <w:szCs w:val="24"/>
              </w:rPr>
            </w:pPr>
          </w:p>
        </w:tc>
        <w:tc>
          <w:tcPr>
            <w:tcW w:w="1544" w:type="dxa"/>
            <w:tcBorders>
              <w:left w:val="single" w:color="auto" w:sz="4" w:space="0"/>
            </w:tcBorders>
            <w:vAlign w:val="center"/>
          </w:tcPr>
          <w:p>
            <w:pPr>
              <w:jc w:val="center"/>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82" w:type="dxa"/>
            <w:tcBorders>
              <w:top w:val="single" w:color="auto" w:sz="4" w:space="0"/>
            </w:tcBorders>
            <w:vAlign w:val="center"/>
          </w:tcPr>
          <w:p>
            <w:pPr>
              <w:jc w:val="center"/>
              <w:rPr>
                <w:rFonts w:ascii="宋体" w:hAnsi="宋体" w:cs="宋体"/>
                <w:bCs/>
                <w:sz w:val="24"/>
                <w:szCs w:val="24"/>
              </w:rPr>
            </w:pPr>
            <w:r>
              <w:rPr>
                <w:rFonts w:hint="eastAsia" w:ascii="宋体" w:hAnsi="宋体" w:cs="宋体"/>
                <w:bCs/>
                <w:sz w:val="24"/>
                <w:szCs w:val="24"/>
              </w:rPr>
              <w:t>...</w:t>
            </w:r>
          </w:p>
        </w:tc>
        <w:tc>
          <w:tcPr>
            <w:tcW w:w="1684" w:type="dxa"/>
            <w:vAlign w:val="center"/>
          </w:tcPr>
          <w:p>
            <w:pPr>
              <w:jc w:val="center"/>
              <w:rPr>
                <w:rFonts w:ascii="宋体" w:hAnsi="宋体" w:cs="宋体"/>
                <w:bCs/>
                <w:sz w:val="24"/>
                <w:szCs w:val="24"/>
              </w:rPr>
            </w:pPr>
          </w:p>
        </w:tc>
        <w:tc>
          <w:tcPr>
            <w:tcW w:w="1642" w:type="dxa"/>
            <w:vAlign w:val="center"/>
          </w:tcPr>
          <w:p>
            <w:pPr>
              <w:jc w:val="center"/>
              <w:rPr>
                <w:rFonts w:ascii="宋体" w:hAnsi="宋体" w:cs="宋体"/>
                <w:bCs/>
                <w:sz w:val="24"/>
                <w:szCs w:val="24"/>
              </w:rPr>
            </w:pPr>
          </w:p>
        </w:tc>
        <w:tc>
          <w:tcPr>
            <w:tcW w:w="1269" w:type="dxa"/>
            <w:vAlign w:val="center"/>
          </w:tcPr>
          <w:p>
            <w:pPr>
              <w:jc w:val="center"/>
              <w:rPr>
                <w:rFonts w:ascii="宋体" w:hAnsi="宋体" w:cs="宋体"/>
                <w:bCs/>
                <w:sz w:val="24"/>
                <w:szCs w:val="24"/>
              </w:rPr>
            </w:pPr>
          </w:p>
        </w:tc>
        <w:tc>
          <w:tcPr>
            <w:tcW w:w="1638" w:type="dxa"/>
            <w:vAlign w:val="center"/>
          </w:tcPr>
          <w:p>
            <w:pPr>
              <w:jc w:val="center"/>
              <w:rPr>
                <w:rFonts w:ascii="宋体" w:hAnsi="宋体" w:cs="宋体"/>
                <w:bCs/>
                <w:sz w:val="24"/>
                <w:szCs w:val="24"/>
              </w:rPr>
            </w:pPr>
          </w:p>
        </w:tc>
        <w:tc>
          <w:tcPr>
            <w:tcW w:w="1544" w:type="dxa"/>
            <w:tcBorders>
              <w:left w:val="single" w:color="auto" w:sz="4" w:space="0"/>
            </w:tcBorders>
            <w:vAlign w:val="center"/>
          </w:tcPr>
          <w:p>
            <w:pPr>
              <w:jc w:val="center"/>
              <w:rPr>
                <w:rFonts w:ascii="宋体" w:hAnsi="宋体" w:cs="宋体"/>
                <w:bCs/>
                <w:sz w:val="24"/>
                <w:szCs w:val="24"/>
              </w:rPr>
            </w:pPr>
          </w:p>
        </w:tc>
      </w:tr>
    </w:tbl>
    <w:p>
      <w:pPr>
        <w:spacing w:before="156" w:beforeLines="50" w:line="360" w:lineRule="auto"/>
        <w:rPr>
          <w:rFonts w:ascii="宋体" w:hAnsi="宋体" w:cs="宋体"/>
          <w:sz w:val="24"/>
          <w:szCs w:val="24"/>
        </w:rPr>
      </w:pPr>
      <w:r>
        <w:rPr>
          <w:rFonts w:hint="eastAsia" w:ascii="宋体" w:hAnsi="宋体" w:cs="宋体"/>
          <w:sz w:val="24"/>
          <w:szCs w:val="24"/>
        </w:rPr>
        <w:t>注：所提供的业绩附业绩证明材料（如成交通知书/中标（成交）通知书及合同复印件），否则其业绩不予认可。</w:t>
      </w:r>
    </w:p>
    <w:p>
      <w:pPr>
        <w:spacing w:line="500" w:lineRule="exact"/>
        <w:rPr>
          <w:rFonts w:ascii="宋体" w:hAnsi="宋体" w:cs="宋体"/>
          <w:b/>
          <w:bCs/>
          <w:sz w:val="28"/>
          <w:szCs w:val="28"/>
        </w:rPr>
      </w:pPr>
    </w:p>
    <w:p>
      <w:pPr>
        <w:spacing w:line="500" w:lineRule="exact"/>
        <w:rPr>
          <w:rFonts w:ascii="宋体" w:hAnsi="宋体" w:cs="宋体"/>
          <w:b/>
          <w:bCs/>
          <w:sz w:val="28"/>
          <w:szCs w:val="28"/>
        </w:rPr>
      </w:pPr>
    </w:p>
    <w:p>
      <w:pPr>
        <w:pStyle w:val="20"/>
        <w:ind w:firstLine="0"/>
        <w:jc w:val="center"/>
        <w:rPr>
          <w:rFonts w:ascii="宋体" w:hAnsi="宋体" w:eastAsia="宋体" w:cs="宋体"/>
          <w:bCs/>
          <w:sz w:val="24"/>
          <w:szCs w:val="18"/>
        </w:rPr>
      </w:pPr>
      <w:r>
        <w:rPr>
          <w:rFonts w:hint="eastAsia" w:ascii="宋体" w:hAnsi="宋体" w:eastAsia="宋体" w:cs="宋体"/>
          <w:bCs/>
        </w:rPr>
        <w:t xml:space="preserve">            </w:t>
      </w:r>
      <w:bookmarkStart w:id="373" w:name="_Toc597"/>
      <w:bookmarkStart w:id="374" w:name="_Toc27572"/>
      <w:bookmarkStart w:id="375" w:name="_Toc13500"/>
      <w:r>
        <w:rPr>
          <w:rFonts w:hint="eastAsia" w:ascii="宋体" w:hAnsi="宋体" w:eastAsia="宋体" w:cs="宋体"/>
          <w:bCs/>
          <w:sz w:val="24"/>
          <w:szCs w:val="18"/>
        </w:rPr>
        <w:t>供应商名称（盖章）：</w:t>
      </w:r>
    </w:p>
    <w:p>
      <w:pPr>
        <w:pStyle w:val="20"/>
        <w:ind w:left="838" w:firstLine="484" w:firstLineChars="200"/>
        <w:jc w:val="right"/>
        <w:rPr>
          <w:rFonts w:ascii="宋体" w:hAnsi="宋体" w:eastAsia="宋体" w:cs="宋体"/>
          <w:bCs/>
          <w:sz w:val="24"/>
          <w:szCs w:val="18"/>
        </w:rPr>
      </w:pPr>
    </w:p>
    <w:p>
      <w:pPr>
        <w:pStyle w:val="20"/>
        <w:ind w:left="838" w:firstLine="484" w:firstLineChars="200"/>
        <w:jc w:val="right"/>
        <w:rPr>
          <w:rFonts w:ascii="宋体" w:hAnsi="宋体" w:eastAsia="宋体" w:cs="宋体"/>
          <w:bCs/>
          <w:sz w:val="24"/>
          <w:szCs w:val="18"/>
        </w:rPr>
      </w:pPr>
      <w:r>
        <w:rPr>
          <w:rFonts w:hint="eastAsia" w:ascii="宋体" w:hAnsi="宋体" w:eastAsia="宋体" w:cs="宋体"/>
          <w:bCs/>
          <w:sz w:val="24"/>
          <w:szCs w:val="18"/>
        </w:rPr>
        <w:t xml:space="preserve">    法定代表人或委托代理人（签字或盖章）：</w:t>
      </w:r>
    </w:p>
    <w:p>
      <w:pPr>
        <w:pStyle w:val="47"/>
        <w:wordWrap w:val="0"/>
        <w:spacing w:line="360" w:lineRule="auto"/>
        <w:ind w:firstLine="567"/>
        <w:jc w:val="right"/>
        <w:rPr>
          <w:rFonts w:ascii="宋体" w:hAnsi="宋体" w:cs="宋体"/>
          <w:color w:val="auto"/>
        </w:rPr>
      </w:pPr>
      <w:r>
        <w:rPr>
          <w:rFonts w:hint="eastAsia" w:ascii="宋体" w:hAnsi="宋体" w:cs="宋体"/>
          <w:color w:val="auto"/>
        </w:rPr>
        <w:t xml:space="preserve">                                </w:t>
      </w:r>
    </w:p>
    <w:p>
      <w:pPr>
        <w:spacing w:line="500" w:lineRule="exact"/>
        <w:jc w:val="right"/>
        <w:rPr>
          <w:rFonts w:ascii="宋体" w:hAnsi="宋体" w:cs="宋体"/>
          <w:sz w:val="24"/>
          <w:szCs w:val="24"/>
        </w:rPr>
      </w:pPr>
      <w:r>
        <w:rPr>
          <w:rFonts w:hint="eastAsia" w:ascii="宋体" w:hAnsi="宋体" w:cs="宋体"/>
          <w:sz w:val="24"/>
          <w:szCs w:val="24"/>
        </w:rPr>
        <w:t xml:space="preserve"> 日期：     年   月   日</w:t>
      </w:r>
    </w:p>
    <w:p>
      <w:pPr>
        <w:spacing w:line="500" w:lineRule="exact"/>
        <w:jc w:val="right"/>
        <w:rPr>
          <w:rFonts w:ascii="宋体" w:hAnsi="宋体" w:cs="宋体"/>
          <w:sz w:val="28"/>
          <w:szCs w:val="28"/>
        </w:rPr>
      </w:pPr>
    </w:p>
    <w:p>
      <w:pPr>
        <w:pStyle w:val="3"/>
        <w:jc w:val="both"/>
        <w:rPr>
          <w:rFonts w:ascii="宋体" w:hAnsi="宋体" w:eastAsia="宋体" w:cs="宋体"/>
          <w:b/>
          <w:bCs/>
          <w:sz w:val="32"/>
          <w:szCs w:val="32"/>
        </w:rPr>
      </w:pPr>
      <w:r>
        <w:rPr>
          <w:rFonts w:hint="eastAsia" w:ascii="宋体" w:hAnsi="宋体" w:eastAsia="宋体" w:cs="宋体"/>
          <w:szCs w:val="28"/>
        </w:rPr>
        <w:br w:type="page"/>
      </w:r>
      <w:bookmarkStart w:id="376" w:name="_Toc137664538"/>
      <w:bookmarkStart w:id="377" w:name="_Toc7731"/>
      <w:r>
        <w:rPr>
          <w:rFonts w:hint="eastAsia" w:ascii="宋体" w:hAnsi="宋体" w:eastAsia="宋体" w:cs="宋体"/>
          <w:b/>
          <w:bCs/>
          <w:sz w:val="32"/>
          <w:szCs w:val="32"/>
        </w:rPr>
        <w:t>附件13:</w:t>
      </w:r>
      <w:bookmarkEnd w:id="373"/>
      <w:bookmarkEnd w:id="374"/>
      <w:bookmarkEnd w:id="375"/>
      <w:bookmarkEnd w:id="376"/>
    </w:p>
    <w:bookmarkEnd w:id="377"/>
    <w:p>
      <w:pPr>
        <w:pStyle w:val="3"/>
        <w:rPr>
          <w:rFonts w:ascii="宋体" w:hAnsi="宋体" w:eastAsia="宋体" w:cs="宋体"/>
          <w:b/>
          <w:bCs/>
          <w:sz w:val="32"/>
          <w:szCs w:val="32"/>
        </w:rPr>
      </w:pPr>
      <w:bookmarkStart w:id="378" w:name="_Toc137664539"/>
      <w:bookmarkStart w:id="379" w:name="_Toc4298"/>
      <w:bookmarkStart w:id="380" w:name="_Toc15132"/>
      <w:bookmarkStart w:id="381" w:name="_Toc31341"/>
      <w:r>
        <w:rPr>
          <w:rFonts w:hint="eastAsia" w:ascii="宋体" w:hAnsi="宋体" w:eastAsia="宋体" w:cs="宋体"/>
          <w:b/>
          <w:bCs/>
          <w:sz w:val="32"/>
          <w:szCs w:val="32"/>
        </w:rPr>
        <w:t>拟派项目负责人简历表</w:t>
      </w:r>
      <w:bookmarkEnd w:id="378"/>
      <w:bookmarkEnd w:id="379"/>
      <w:bookmarkEnd w:id="380"/>
      <w:bookmarkEnd w:id="381"/>
    </w:p>
    <w:tbl>
      <w:tblPr>
        <w:tblStyle w:val="3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294"/>
        <w:gridCol w:w="912"/>
        <w:gridCol w:w="850"/>
        <w:gridCol w:w="352"/>
        <w:gridCol w:w="1283"/>
        <w:gridCol w:w="2788"/>
        <w:gridCol w:w="1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8"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宋体" w:hAnsi="宋体" w:cs="宋体"/>
                <w:b/>
                <w:bCs/>
                <w:sz w:val="24"/>
                <w:szCs w:val="24"/>
              </w:rPr>
            </w:pPr>
            <w:r>
              <w:rPr>
                <w:rFonts w:hint="eastAsia" w:ascii="宋体" w:hAnsi="宋体" w:cs="宋体"/>
                <w:b/>
                <w:bCs/>
                <w:sz w:val="24"/>
                <w:szCs w:val="24"/>
              </w:rPr>
              <w:t>姓名</w:t>
            </w:r>
          </w:p>
        </w:tc>
        <w:tc>
          <w:tcPr>
            <w:tcW w:w="1206" w:type="dxa"/>
            <w:gridSpan w:val="2"/>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宋体" w:hAnsi="宋体" w:cs="宋体"/>
                <w:sz w:val="24"/>
                <w:szCs w:val="24"/>
              </w:rPr>
            </w:pPr>
          </w:p>
        </w:tc>
        <w:tc>
          <w:tcPr>
            <w:tcW w:w="1202" w:type="dxa"/>
            <w:gridSpan w:val="2"/>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宋体" w:hAnsi="宋体" w:cs="宋体"/>
                <w:b/>
                <w:bCs/>
                <w:sz w:val="24"/>
                <w:szCs w:val="24"/>
              </w:rPr>
            </w:pPr>
            <w:r>
              <w:rPr>
                <w:rFonts w:hint="eastAsia" w:ascii="宋体" w:hAnsi="宋体" w:cs="宋体"/>
                <w:b/>
                <w:bCs/>
                <w:sz w:val="24"/>
                <w:szCs w:val="24"/>
              </w:rPr>
              <w:t>性别</w:t>
            </w:r>
          </w:p>
        </w:tc>
        <w:tc>
          <w:tcPr>
            <w:tcW w:w="128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宋体" w:hAnsi="宋体" w:cs="宋体"/>
                <w:sz w:val="24"/>
                <w:szCs w:val="24"/>
              </w:rPr>
            </w:pPr>
          </w:p>
        </w:tc>
        <w:tc>
          <w:tcPr>
            <w:tcW w:w="2788"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宋体" w:hAnsi="宋体" w:cs="宋体"/>
                <w:b/>
                <w:bCs/>
                <w:sz w:val="24"/>
                <w:szCs w:val="24"/>
              </w:rPr>
            </w:pPr>
            <w:r>
              <w:rPr>
                <w:rFonts w:hint="eastAsia" w:ascii="宋体" w:hAnsi="宋体" w:cs="宋体"/>
                <w:b/>
                <w:bCs/>
                <w:sz w:val="24"/>
                <w:szCs w:val="24"/>
              </w:rPr>
              <w:t>年龄</w:t>
            </w:r>
          </w:p>
        </w:tc>
        <w:tc>
          <w:tcPr>
            <w:tcW w:w="1098"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8"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宋体" w:hAnsi="宋体" w:cs="宋体"/>
                <w:b/>
                <w:bCs/>
                <w:sz w:val="24"/>
                <w:szCs w:val="24"/>
              </w:rPr>
            </w:pPr>
            <w:r>
              <w:rPr>
                <w:rFonts w:hint="eastAsia" w:ascii="宋体" w:hAnsi="宋体" w:cs="宋体"/>
                <w:b/>
                <w:bCs/>
                <w:sz w:val="24"/>
                <w:szCs w:val="24"/>
              </w:rPr>
              <w:t>职务</w:t>
            </w:r>
          </w:p>
        </w:tc>
        <w:tc>
          <w:tcPr>
            <w:tcW w:w="1206" w:type="dxa"/>
            <w:gridSpan w:val="2"/>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宋体" w:hAnsi="宋体" w:cs="宋体"/>
                <w:sz w:val="24"/>
                <w:szCs w:val="24"/>
              </w:rPr>
            </w:pPr>
          </w:p>
        </w:tc>
        <w:tc>
          <w:tcPr>
            <w:tcW w:w="1202" w:type="dxa"/>
            <w:gridSpan w:val="2"/>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宋体" w:hAnsi="宋体" w:cs="宋体"/>
                <w:b/>
                <w:bCs/>
                <w:sz w:val="24"/>
                <w:szCs w:val="24"/>
              </w:rPr>
            </w:pPr>
            <w:r>
              <w:rPr>
                <w:rFonts w:hint="eastAsia" w:ascii="宋体" w:hAnsi="宋体" w:cs="宋体"/>
                <w:b/>
                <w:bCs/>
                <w:sz w:val="24"/>
                <w:szCs w:val="24"/>
              </w:rPr>
              <w:t>职称</w:t>
            </w:r>
          </w:p>
        </w:tc>
        <w:tc>
          <w:tcPr>
            <w:tcW w:w="128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宋体" w:hAnsi="宋体" w:cs="宋体"/>
                <w:sz w:val="24"/>
                <w:szCs w:val="24"/>
              </w:rPr>
            </w:pPr>
          </w:p>
        </w:tc>
        <w:tc>
          <w:tcPr>
            <w:tcW w:w="2788"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宋体" w:hAnsi="宋体" w:cs="宋体"/>
                <w:b/>
                <w:bCs/>
                <w:sz w:val="24"/>
                <w:szCs w:val="24"/>
              </w:rPr>
            </w:pPr>
            <w:r>
              <w:rPr>
                <w:rFonts w:hint="eastAsia" w:ascii="宋体" w:hAnsi="宋体" w:cs="宋体"/>
                <w:b/>
                <w:bCs/>
                <w:sz w:val="24"/>
                <w:szCs w:val="24"/>
              </w:rPr>
              <w:t>拟在本项目担任职务</w:t>
            </w:r>
          </w:p>
        </w:tc>
        <w:tc>
          <w:tcPr>
            <w:tcW w:w="1098"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24" w:type="dxa"/>
            <w:gridSpan w:val="3"/>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宋体" w:hAnsi="宋体" w:cs="宋体"/>
                <w:b/>
                <w:bCs/>
                <w:sz w:val="24"/>
                <w:szCs w:val="24"/>
              </w:rPr>
            </w:pPr>
            <w:r>
              <w:rPr>
                <w:rFonts w:hint="eastAsia" w:ascii="宋体" w:hAnsi="宋体" w:cs="宋体"/>
                <w:b/>
                <w:bCs/>
                <w:sz w:val="24"/>
                <w:szCs w:val="24"/>
              </w:rPr>
              <w:t>参加工作时间</w:t>
            </w:r>
          </w:p>
        </w:tc>
        <w:tc>
          <w:tcPr>
            <w:tcW w:w="1202" w:type="dxa"/>
            <w:gridSpan w:val="2"/>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宋体" w:hAnsi="宋体" w:cs="宋体"/>
                <w:sz w:val="24"/>
                <w:szCs w:val="24"/>
              </w:rPr>
            </w:pPr>
          </w:p>
        </w:tc>
        <w:tc>
          <w:tcPr>
            <w:tcW w:w="4071" w:type="dxa"/>
            <w:gridSpan w:val="2"/>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宋体" w:hAnsi="宋体" w:cs="宋体"/>
                <w:b/>
                <w:bCs/>
                <w:sz w:val="24"/>
                <w:szCs w:val="24"/>
              </w:rPr>
            </w:pPr>
            <w:r>
              <w:rPr>
                <w:rFonts w:hint="eastAsia" w:ascii="宋体" w:hAnsi="宋体" w:cs="宋体"/>
                <w:b/>
                <w:bCs/>
                <w:sz w:val="24"/>
                <w:szCs w:val="24"/>
              </w:rPr>
              <w:t>从事本专业工作时间</w:t>
            </w:r>
          </w:p>
        </w:tc>
        <w:tc>
          <w:tcPr>
            <w:tcW w:w="1098"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495" w:type="dxa"/>
            <w:gridSpan w:val="8"/>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宋体" w:hAnsi="宋体" w:cs="宋体"/>
                <w:b/>
                <w:bCs/>
                <w:sz w:val="24"/>
                <w:szCs w:val="24"/>
              </w:rPr>
            </w:pPr>
            <w:r>
              <w:rPr>
                <w:rFonts w:hint="eastAsia" w:ascii="宋体" w:hAnsi="宋体" w:cs="宋体"/>
                <w:b/>
                <w:bCs/>
                <w:sz w:val="24"/>
                <w:szCs w:val="24"/>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12" w:type="dxa"/>
            <w:gridSpan w:val="2"/>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宋体" w:hAnsi="宋体" w:cs="宋体"/>
                <w:b/>
                <w:bCs/>
                <w:sz w:val="24"/>
                <w:szCs w:val="24"/>
              </w:rPr>
            </w:pPr>
            <w:r>
              <w:rPr>
                <w:rFonts w:hint="eastAsia" w:ascii="宋体" w:hAnsi="宋体" w:cs="宋体"/>
                <w:b/>
                <w:bCs/>
                <w:sz w:val="24"/>
                <w:szCs w:val="24"/>
              </w:rPr>
              <w:t>年份</w:t>
            </w:r>
          </w:p>
        </w:tc>
        <w:tc>
          <w:tcPr>
            <w:tcW w:w="1762" w:type="dxa"/>
            <w:gridSpan w:val="2"/>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宋体" w:hAnsi="宋体" w:cs="宋体"/>
                <w:b/>
                <w:bCs/>
                <w:sz w:val="24"/>
                <w:szCs w:val="24"/>
              </w:rPr>
            </w:pPr>
            <w:r>
              <w:rPr>
                <w:rFonts w:hint="eastAsia" w:ascii="宋体" w:hAnsi="宋体" w:cs="宋体"/>
                <w:b/>
                <w:bCs/>
                <w:sz w:val="24"/>
                <w:szCs w:val="24"/>
              </w:rPr>
              <w:t>参加过的</w:t>
            </w:r>
          </w:p>
          <w:p>
            <w:pPr>
              <w:tabs>
                <w:tab w:val="left" w:pos="360"/>
                <w:tab w:val="left" w:pos="1800"/>
              </w:tabs>
              <w:jc w:val="center"/>
              <w:rPr>
                <w:rFonts w:ascii="宋体" w:hAnsi="宋体" w:cs="宋体"/>
                <w:b/>
                <w:bCs/>
                <w:sz w:val="24"/>
                <w:szCs w:val="24"/>
              </w:rPr>
            </w:pPr>
            <w:r>
              <w:rPr>
                <w:rFonts w:hint="eastAsia" w:ascii="宋体" w:hAnsi="宋体" w:cs="宋体"/>
                <w:b/>
                <w:bCs/>
                <w:sz w:val="24"/>
                <w:szCs w:val="24"/>
              </w:rPr>
              <w:t>项目名称</w:t>
            </w:r>
          </w:p>
        </w:tc>
        <w:tc>
          <w:tcPr>
            <w:tcW w:w="1635" w:type="dxa"/>
            <w:gridSpan w:val="2"/>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宋体" w:hAnsi="宋体" w:cs="宋体"/>
                <w:b/>
                <w:bCs/>
                <w:sz w:val="24"/>
                <w:szCs w:val="24"/>
              </w:rPr>
            </w:pPr>
            <w:r>
              <w:rPr>
                <w:rFonts w:hint="eastAsia" w:ascii="宋体" w:hAnsi="宋体" w:cs="宋体"/>
                <w:b/>
                <w:bCs/>
                <w:sz w:val="24"/>
                <w:szCs w:val="24"/>
              </w:rPr>
              <w:t>建设内容</w:t>
            </w:r>
          </w:p>
        </w:tc>
        <w:tc>
          <w:tcPr>
            <w:tcW w:w="2788"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宋体" w:hAnsi="宋体" w:cs="宋体"/>
                <w:b/>
                <w:bCs/>
                <w:sz w:val="24"/>
                <w:szCs w:val="24"/>
              </w:rPr>
            </w:pPr>
            <w:r>
              <w:rPr>
                <w:rFonts w:hint="eastAsia" w:ascii="宋体" w:hAnsi="宋体" w:cs="宋体"/>
                <w:b/>
                <w:bCs/>
                <w:sz w:val="24"/>
                <w:szCs w:val="24"/>
              </w:rPr>
              <w:t>担任职务</w:t>
            </w:r>
          </w:p>
        </w:tc>
        <w:tc>
          <w:tcPr>
            <w:tcW w:w="1098"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宋体" w:hAnsi="宋体" w:cs="宋体"/>
                <w:b/>
                <w:bCs/>
                <w:sz w:val="24"/>
                <w:szCs w:val="24"/>
              </w:rPr>
            </w:pPr>
            <w:r>
              <w:rPr>
                <w:rFonts w:hint="eastAsia" w:ascii="宋体" w:hAnsi="宋体" w:cs="宋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12" w:type="dxa"/>
            <w:gridSpan w:val="2"/>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宋体" w:hAnsi="宋体" w:cs="宋体"/>
                <w:sz w:val="24"/>
                <w:szCs w:val="24"/>
              </w:rPr>
            </w:pPr>
          </w:p>
        </w:tc>
        <w:tc>
          <w:tcPr>
            <w:tcW w:w="1762" w:type="dxa"/>
            <w:gridSpan w:val="2"/>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宋体" w:hAnsi="宋体" w:cs="宋体"/>
                <w:sz w:val="24"/>
                <w:szCs w:val="24"/>
              </w:rPr>
            </w:pPr>
          </w:p>
        </w:tc>
        <w:tc>
          <w:tcPr>
            <w:tcW w:w="1635" w:type="dxa"/>
            <w:gridSpan w:val="2"/>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宋体" w:hAnsi="宋体" w:cs="宋体"/>
                <w:sz w:val="24"/>
                <w:szCs w:val="24"/>
              </w:rPr>
            </w:pPr>
          </w:p>
        </w:tc>
        <w:tc>
          <w:tcPr>
            <w:tcW w:w="2788"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宋体" w:hAnsi="宋体" w:cs="宋体"/>
                <w:sz w:val="24"/>
                <w:szCs w:val="24"/>
              </w:rPr>
            </w:pPr>
          </w:p>
        </w:tc>
        <w:tc>
          <w:tcPr>
            <w:tcW w:w="1098"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12" w:type="dxa"/>
            <w:gridSpan w:val="2"/>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宋体" w:hAnsi="宋体" w:cs="宋体"/>
                <w:sz w:val="24"/>
                <w:szCs w:val="24"/>
              </w:rPr>
            </w:pPr>
          </w:p>
        </w:tc>
        <w:tc>
          <w:tcPr>
            <w:tcW w:w="1762" w:type="dxa"/>
            <w:gridSpan w:val="2"/>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宋体" w:hAnsi="宋体" w:cs="宋体"/>
                <w:sz w:val="24"/>
                <w:szCs w:val="24"/>
              </w:rPr>
            </w:pPr>
          </w:p>
        </w:tc>
        <w:tc>
          <w:tcPr>
            <w:tcW w:w="1635" w:type="dxa"/>
            <w:gridSpan w:val="2"/>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宋体" w:hAnsi="宋体" w:cs="宋体"/>
                <w:sz w:val="24"/>
                <w:szCs w:val="24"/>
              </w:rPr>
            </w:pPr>
          </w:p>
        </w:tc>
        <w:tc>
          <w:tcPr>
            <w:tcW w:w="2788"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宋体" w:hAnsi="宋体" w:cs="宋体"/>
                <w:sz w:val="24"/>
                <w:szCs w:val="24"/>
              </w:rPr>
            </w:pPr>
          </w:p>
        </w:tc>
        <w:tc>
          <w:tcPr>
            <w:tcW w:w="1098"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12" w:type="dxa"/>
            <w:gridSpan w:val="2"/>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宋体" w:hAnsi="宋体" w:cs="宋体"/>
                <w:sz w:val="24"/>
                <w:szCs w:val="24"/>
              </w:rPr>
            </w:pPr>
          </w:p>
        </w:tc>
        <w:tc>
          <w:tcPr>
            <w:tcW w:w="1762" w:type="dxa"/>
            <w:gridSpan w:val="2"/>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宋体" w:hAnsi="宋体" w:cs="宋体"/>
                <w:sz w:val="24"/>
                <w:szCs w:val="24"/>
              </w:rPr>
            </w:pPr>
          </w:p>
        </w:tc>
        <w:tc>
          <w:tcPr>
            <w:tcW w:w="1635" w:type="dxa"/>
            <w:gridSpan w:val="2"/>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宋体" w:hAnsi="宋体" w:cs="宋体"/>
                <w:sz w:val="24"/>
                <w:szCs w:val="24"/>
              </w:rPr>
            </w:pPr>
          </w:p>
        </w:tc>
        <w:tc>
          <w:tcPr>
            <w:tcW w:w="2788"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宋体" w:hAnsi="宋体" w:cs="宋体"/>
                <w:sz w:val="24"/>
                <w:szCs w:val="24"/>
              </w:rPr>
            </w:pPr>
          </w:p>
        </w:tc>
        <w:tc>
          <w:tcPr>
            <w:tcW w:w="1098"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12" w:type="dxa"/>
            <w:gridSpan w:val="2"/>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宋体" w:hAnsi="宋体" w:cs="宋体"/>
                <w:sz w:val="24"/>
                <w:szCs w:val="24"/>
              </w:rPr>
            </w:pPr>
          </w:p>
        </w:tc>
        <w:tc>
          <w:tcPr>
            <w:tcW w:w="1762" w:type="dxa"/>
            <w:gridSpan w:val="2"/>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宋体" w:hAnsi="宋体" w:cs="宋体"/>
                <w:sz w:val="24"/>
                <w:szCs w:val="24"/>
              </w:rPr>
            </w:pPr>
          </w:p>
        </w:tc>
        <w:tc>
          <w:tcPr>
            <w:tcW w:w="1635" w:type="dxa"/>
            <w:gridSpan w:val="2"/>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宋体" w:hAnsi="宋体" w:cs="宋体"/>
                <w:sz w:val="24"/>
                <w:szCs w:val="24"/>
              </w:rPr>
            </w:pPr>
          </w:p>
        </w:tc>
        <w:tc>
          <w:tcPr>
            <w:tcW w:w="2788"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宋体" w:hAnsi="宋体" w:cs="宋体"/>
                <w:sz w:val="24"/>
                <w:szCs w:val="24"/>
              </w:rPr>
            </w:pPr>
          </w:p>
        </w:tc>
        <w:tc>
          <w:tcPr>
            <w:tcW w:w="1098"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12" w:type="dxa"/>
            <w:gridSpan w:val="2"/>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宋体" w:hAnsi="宋体" w:cs="宋体"/>
                <w:sz w:val="24"/>
                <w:szCs w:val="24"/>
              </w:rPr>
            </w:pPr>
          </w:p>
        </w:tc>
        <w:tc>
          <w:tcPr>
            <w:tcW w:w="1762" w:type="dxa"/>
            <w:gridSpan w:val="2"/>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宋体" w:hAnsi="宋体" w:cs="宋体"/>
                <w:sz w:val="24"/>
                <w:szCs w:val="24"/>
              </w:rPr>
            </w:pPr>
          </w:p>
        </w:tc>
        <w:tc>
          <w:tcPr>
            <w:tcW w:w="1635" w:type="dxa"/>
            <w:gridSpan w:val="2"/>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宋体" w:hAnsi="宋体" w:cs="宋体"/>
                <w:sz w:val="24"/>
                <w:szCs w:val="24"/>
              </w:rPr>
            </w:pPr>
          </w:p>
        </w:tc>
        <w:tc>
          <w:tcPr>
            <w:tcW w:w="2788"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宋体" w:hAnsi="宋体" w:cs="宋体"/>
                <w:sz w:val="24"/>
                <w:szCs w:val="24"/>
              </w:rPr>
            </w:pPr>
          </w:p>
        </w:tc>
        <w:tc>
          <w:tcPr>
            <w:tcW w:w="1098"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12" w:type="dxa"/>
            <w:gridSpan w:val="2"/>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宋体" w:hAnsi="宋体" w:cs="宋体"/>
                <w:sz w:val="24"/>
                <w:szCs w:val="24"/>
              </w:rPr>
            </w:pPr>
            <w:r>
              <w:rPr>
                <w:rFonts w:hint="eastAsia" w:ascii="宋体" w:hAnsi="宋体" w:cs="宋体"/>
                <w:sz w:val="24"/>
                <w:szCs w:val="24"/>
              </w:rPr>
              <w:t>...</w:t>
            </w:r>
          </w:p>
        </w:tc>
        <w:tc>
          <w:tcPr>
            <w:tcW w:w="1762" w:type="dxa"/>
            <w:gridSpan w:val="2"/>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宋体" w:hAnsi="宋体" w:cs="宋体"/>
                <w:sz w:val="24"/>
                <w:szCs w:val="24"/>
              </w:rPr>
            </w:pPr>
          </w:p>
        </w:tc>
        <w:tc>
          <w:tcPr>
            <w:tcW w:w="1635" w:type="dxa"/>
            <w:gridSpan w:val="2"/>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宋体" w:hAnsi="宋体" w:cs="宋体"/>
                <w:sz w:val="24"/>
                <w:szCs w:val="24"/>
              </w:rPr>
            </w:pPr>
          </w:p>
        </w:tc>
        <w:tc>
          <w:tcPr>
            <w:tcW w:w="2788"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宋体" w:hAnsi="宋体" w:cs="宋体"/>
                <w:sz w:val="24"/>
                <w:szCs w:val="24"/>
              </w:rPr>
            </w:pPr>
          </w:p>
        </w:tc>
        <w:tc>
          <w:tcPr>
            <w:tcW w:w="1098"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宋体" w:hAnsi="宋体" w:cs="宋体"/>
                <w:sz w:val="24"/>
                <w:szCs w:val="24"/>
              </w:rPr>
            </w:pPr>
          </w:p>
        </w:tc>
      </w:tr>
    </w:tbl>
    <w:p>
      <w:pPr>
        <w:spacing w:line="360" w:lineRule="auto"/>
        <w:jc w:val="left"/>
        <w:rPr>
          <w:rStyle w:val="43"/>
          <w:rFonts w:ascii="宋体" w:hAnsi="宋体" w:cs="宋体"/>
        </w:rPr>
      </w:pPr>
      <w:bookmarkStart w:id="382" w:name="_Toc27273"/>
      <w:bookmarkStart w:id="383" w:name="_Toc23652"/>
      <w:bookmarkStart w:id="384" w:name="_Toc25963"/>
      <w:bookmarkStart w:id="385" w:name="_Toc4287"/>
      <w:bookmarkStart w:id="386" w:name="_Toc26982"/>
      <w:bookmarkStart w:id="387" w:name="_Toc6788"/>
      <w:r>
        <w:rPr>
          <w:rStyle w:val="43"/>
          <w:rFonts w:hint="eastAsia" w:ascii="宋体" w:hAnsi="宋体" w:cs="宋体"/>
        </w:rPr>
        <w:t>注：附项目负责人相关资料、社保缴纳凭证、业绩证明资料复印件（如成交通知书/中标通知书及合同复印件），作为本表的附件。</w:t>
      </w:r>
    </w:p>
    <w:bookmarkEnd w:id="382"/>
    <w:bookmarkEnd w:id="383"/>
    <w:bookmarkEnd w:id="384"/>
    <w:p>
      <w:pPr>
        <w:pStyle w:val="20"/>
        <w:ind w:firstLine="0"/>
        <w:jc w:val="center"/>
        <w:rPr>
          <w:rFonts w:ascii="宋体" w:hAnsi="宋体" w:eastAsia="宋体" w:cs="宋体"/>
          <w:bCs/>
          <w:sz w:val="24"/>
          <w:szCs w:val="24"/>
        </w:rPr>
      </w:pPr>
      <w:r>
        <w:rPr>
          <w:rFonts w:hint="eastAsia" w:ascii="宋体" w:hAnsi="宋体" w:eastAsia="宋体" w:cs="宋体"/>
          <w:bCs/>
          <w:sz w:val="24"/>
          <w:szCs w:val="24"/>
        </w:rPr>
        <w:t xml:space="preserve">     </w:t>
      </w:r>
    </w:p>
    <w:p>
      <w:pPr>
        <w:pStyle w:val="20"/>
        <w:ind w:firstLine="0"/>
        <w:jc w:val="center"/>
        <w:rPr>
          <w:rFonts w:ascii="宋体" w:hAnsi="宋体" w:eastAsia="宋体" w:cs="宋体"/>
          <w:bCs/>
          <w:sz w:val="24"/>
          <w:szCs w:val="24"/>
        </w:rPr>
      </w:pPr>
      <w:r>
        <w:rPr>
          <w:rFonts w:hint="eastAsia" w:ascii="宋体" w:hAnsi="宋体" w:eastAsia="宋体" w:cs="宋体"/>
          <w:bCs/>
          <w:sz w:val="24"/>
          <w:szCs w:val="24"/>
        </w:rPr>
        <w:t xml:space="preserve">         供应商名称（盖章）：</w:t>
      </w:r>
    </w:p>
    <w:p>
      <w:pPr>
        <w:pStyle w:val="20"/>
        <w:ind w:left="838" w:firstLine="484" w:firstLineChars="200"/>
        <w:jc w:val="right"/>
        <w:rPr>
          <w:rFonts w:ascii="宋体" w:hAnsi="宋体" w:eastAsia="宋体" w:cs="宋体"/>
          <w:bCs/>
          <w:sz w:val="24"/>
          <w:szCs w:val="24"/>
        </w:rPr>
      </w:pPr>
    </w:p>
    <w:p>
      <w:pPr>
        <w:pStyle w:val="20"/>
        <w:ind w:left="838" w:firstLine="484" w:firstLineChars="200"/>
        <w:jc w:val="center"/>
        <w:rPr>
          <w:rFonts w:ascii="宋体" w:hAnsi="宋体" w:eastAsia="宋体" w:cs="宋体"/>
          <w:bCs/>
          <w:sz w:val="24"/>
          <w:szCs w:val="24"/>
        </w:rPr>
      </w:pPr>
      <w:r>
        <w:rPr>
          <w:rFonts w:hint="eastAsia" w:ascii="宋体" w:hAnsi="宋体" w:eastAsia="宋体" w:cs="宋体"/>
          <w:bCs/>
          <w:sz w:val="24"/>
          <w:szCs w:val="24"/>
        </w:rPr>
        <w:t xml:space="preserve">                法定代表人或委托代理人（签字或盖章）：</w:t>
      </w:r>
    </w:p>
    <w:p>
      <w:pPr>
        <w:pStyle w:val="47"/>
        <w:wordWrap w:val="0"/>
        <w:spacing w:line="360" w:lineRule="auto"/>
        <w:ind w:firstLine="567"/>
        <w:jc w:val="right"/>
        <w:rPr>
          <w:rFonts w:ascii="宋体" w:hAnsi="宋体" w:cs="宋体"/>
          <w:color w:val="auto"/>
        </w:rPr>
      </w:pPr>
      <w:r>
        <w:rPr>
          <w:rFonts w:hint="eastAsia" w:ascii="宋体" w:hAnsi="宋体" w:cs="宋体"/>
          <w:color w:val="auto"/>
        </w:rPr>
        <w:t xml:space="preserve">                                </w:t>
      </w:r>
    </w:p>
    <w:p>
      <w:pPr>
        <w:spacing w:line="500" w:lineRule="exact"/>
        <w:jc w:val="right"/>
        <w:rPr>
          <w:rFonts w:ascii="宋体" w:hAnsi="宋体" w:cs="宋体"/>
          <w:sz w:val="24"/>
          <w:szCs w:val="24"/>
        </w:rPr>
      </w:pPr>
      <w:r>
        <w:rPr>
          <w:rFonts w:hint="eastAsia" w:ascii="宋体" w:hAnsi="宋体" w:cs="宋体"/>
          <w:sz w:val="24"/>
          <w:szCs w:val="24"/>
        </w:rPr>
        <w:t xml:space="preserve"> 日期：     年   月   日</w:t>
      </w:r>
    </w:p>
    <w:p>
      <w:pPr>
        <w:pStyle w:val="3"/>
        <w:jc w:val="both"/>
        <w:rPr>
          <w:rFonts w:ascii="宋体" w:hAnsi="宋体" w:eastAsia="宋体" w:cs="宋体"/>
          <w:b/>
          <w:bCs/>
          <w:sz w:val="32"/>
          <w:szCs w:val="32"/>
        </w:rPr>
      </w:pPr>
      <w:r>
        <w:rPr>
          <w:rFonts w:hint="eastAsia" w:ascii="宋体" w:hAnsi="宋体" w:eastAsia="宋体" w:cs="宋体"/>
          <w:szCs w:val="28"/>
        </w:rPr>
        <w:br w:type="page"/>
      </w:r>
      <w:bookmarkStart w:id="388" w:name="_Toc137664540"/>
      <w:bookmarkStart w:id="389" w:name="_Toc32557"/>
      <w:r>
        <w:rPr>
          <w:rFonts w:hint="eastAsia" w:ascii="宋体" w:hAnsi="宋体" w:eastAsia="宋体" w:cs="宋体"/>
          <w:b/>
          <w:bCs/>
          <w:sz w:val="32"/>
          <w:szCs w:val="32"/>
        </w:rPr>
        <w:t>附件14:</w:t>
      </w:r>
      <w:bookmarkEnd w:id="385"/>
      <w:bookmarkEnd w:id="386"/>
      <w:bookmarkEnd w:id="387"/>
      <w:bookmarkEnd w:id="388"/>
    </w:p>
    <w:bookmarkEnd w:id="389"/>
    <w:p>
      <w:pPr>
        <w:pStyle w:val="3"/>
        <w:rPr>
          <w:rFonts w:ascii="宋体" w:hAnsi="宋体" w:eastAsia="宋体" w:cs="宋体"/>
          <w:b/>
          <w:bCs/>
          <w:sz w:val="32"/>
          <w:szCs w:val="32"/>
        </w:rPr>
      </w:pPr>
      <w:bookmarkStart w:id="390" w:name="_Toc21714"/>
      <w:bookmarkStart w:id="391" w:name="_Toc2396"/>
      <w:bookmarkStart w:id="392" w:name="_Toc445"/>
      <w:bookmarkStart w:id="393" w:name="_Toc14959"/>
      <w:bookmarkStart w:id="394" w:name="_Toc137664541"/>
      <w:r>
        <w:rPr>
          <w:rFonts w:hint="eastAsia" w:ascii="宋体" w:hAnsi="宋体" w:eastAsia="宋体" w:cs="宋体"/>
          <w:b/>
          <w:bCs/>
          <w:sz w:val="32"/>
          <w:szCs w:val="32"/>
        </w:rPr>
        <w:t>拟派本项目技术人员配置情况表</w:t>
      </w:r>
      <w:bookmarkEnd w:id="390"/>
      <w:bookmarkEnd w:id="391"/>
      <w:bookmarkEnd w:id="392"/>
      <w:bookmarkEnd w:id="393"/>
      <w:bookmarkEnd w:id="394"/>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1089"/>
        <w:gridCol w:w="1143"/>
        <w:gridCol w:w="1589"/>
        <w:gridCol w:w="1053"/>
        <w:gridCol w:w="1053"/>
        <w:gridCol w:w="843"/>
        <w:gridCol w:w="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070" w:type="dxa"/>
            <w:tcBorders>
              <w:top w:val="single" w:color="auto" w:sz="8" w:space="0"/>
            </w:tcBorders>
            <w:vAlign w:val="center"/>
          </w:tcPr>
          <w:p>
            <w:pPr>
              <w:spacing w:line="440" w:lineRule="exact"/>
              <w:jc w:val="center"/>
              <w:rPr>
                <w:rFonts w:ascii="宋体" w:hAnsi="宋体" w:cs="宋体"/>
                <w:b/>
                <w:bCs/>
                <w:sz w:val="24"/>
                <w:szCs w:val="24"/>
              </w:rPr>
            </w:pPr>
            <w:r>
              <w:rPr>
                <w:rFonts w:hint="eastAsia" w:ascii="宋体" w:hAnsi="宋体" w:cs="宋体"/>
                <w:b/>
                <w:bCs/>
                <w:sz w:val="24"/>
                <w:szCs w:val="24"/>
              </w:rPr>
              <w:t>职务</w:t>
            </w:r>
          </w:p>
        </w:tc>
        <w:tc>
          <w:tcPr>
            <w:tcW w:w="1089" w:type="dxa"/>
            <w:tcBorders>
              <w:top w:val="single" w:color="auto" w:sz="8" w:space="0"/>
              <w:right w:val="single" w:color="auto" w:sz="8" w:space="0"/>
            </w:tcBorders>
            <w:vAlign w:val="center"/>
          </w:tcPr>
          <w:p>
            <w:pPr>
              <w:spacing w:line="440" w:lineRule="exact"/>
              <w:jc w:val="center"/>
              <w:rPr>
                <w:rFonts w:ascii="宋体" w:hAnsi="宋体" w:cs="宋体"/>
                <w:b/>
                <w:bCs/>
                <w:sz w:val="24"/>
                <w:szCs w:val="24"/>
              </w:rPr>
            </w:pPr>
            <w:r>
              <w:rPr>
                <w:rFonts w:hint="eastAsia" w:ascii="宋体" w:hAnsi="宋体" w:cs="宋体"/>
                <w:b/>
                <w:bCs/>
                <w:sz w:val="24"/>
                <w:szCs w:val="24"/>
              </w:rPr>
              <w:t>姓名</w:t>
            </w:r>
          </w:p>
        </w:tc>
        <w:tc>
          <w:tcPr>
            <w:tcW w:w="1143" w:type="dxa"/>
            <w:tcBorders>
              <w:top w:val="single" w:color="auto" w:sz="8" w:space="0"/>
              <w:right w:val="single" w:color="auto" w:sz="8" w:space="0"/>
            </w:tcBorders>
            <w:vAlign w:val="center"/>
          </w:tcPr>
          <w:p>
            <w:pPr>
              <w:spacing w:line="440" w:lineRule="exact"/>
              <w:jc w:val="center"/>
              <w:rPr>
                <w:rFonts w:ascii="宋体" w:hAnsi="宋体" w:cs="宋体"/>
                <w:b/>
                <w:bCs/>
                <w:sz w:val="24"/>
                <w:szCs w:val="24"/>
              </w:rPr>
            </w:pPr>
            <w:r>
              <w:rPr>
                <w:rFonts w:hint="eastAsia" w:ascii="宋体" w:hAnsi="宋体" w:cs="宋体"/>
                <w:b/>
                <w:bCs/>
                <w:sz w:val="24"/>
                <w:szCs w:val="24"/>
              </w:rPr>
              <w:t>职称</w:t>
            </w:r>
          </w:p>
        </w:tc>
        <w:tc>
          <w:tcPr>
            <w:tcW w:w="1589" w:type="dxa"/>
            <w:tcBorders>
              <w:top w:val="single" w:color="auto" w:sz="8" w:space="0"/>
              <w:right w:val="single" w:color="auto" w:sz="8" w:space="0"/>
            </w:tcBorders>
            <w:vAlign w:val="center"/>
          </w:tcPr>
          <w:p>
            <w:pPr>
              <w:spacing w:line="440" w:lineRule="exact"/>
              <w:jc w:val="center"/>
              <w:rPr>
                <w:rFonts w:ascii="宋体" w:hAnsi="宋体" w:cs="宋体"/>
                <w:b/>
                <w:bCs/>
                <w:sz w:val="24"/>
                <w:szCs w:val="24"/>
              </w:rPr>
            </w:pPr>
            <w:r>
              <w:rPr>
                <w:rFonts w:hint="eastAsia" w:ascii="宋体" w:hAnsi="宋体" w:cs="宋体"/>
                <w:b/>
                <w:bCs/>
                <w:sz w:val="24"/>
                <w:szCs w:val="24"/>
              </w:rPr>
              <w:t>证书名称</w:t>
            </w:r>
          </w:p>
        </w:tc>
        <w:tc>
          <w:tcPr>
            <w:tcW w:w="1053" w:type="dxa"/>
            <w:tcBorders>
              <w:top w:val="single" w:color="auto" w:sz="8" w:space="0"/>
              <w:right w:val="single" w:color="auto" w:sz="8" w:space="0"/>
            </w:tcBorders>
            <w:vAlign w:val="center"/>
          </w:tcPr>
          <w:p>
            <w:pPr>
              <w:spacing w:line="440" w:lineRule="exact"/>
              <w:jc w:val="center"/>
              <w:rPr>
                <w:rFonts w:ascii="宋体" w:hAnsi="宋体" w:cs="宋体"/>
                <w:b/>
                <w:bCs/>
                <w:sz w:val="24"/>
                <w:szCs w:val="24"/>
              </w:rPr>
            </w:pPr>
            <w:r>
              <w:rPr>
                <w:rFonts w:hint="eastAsia" w:ascii="宋体" w:hAnsi="宋体" w:cs="宋体"/>
                <w:b/>
                <w:bCs/>
                <w:sz w:val="24"/>
                <w:szCs w:val="24"/>
              </w:rPr>
              <w:t>级别</w:t>
            </w:r>
          </w:p>
        </w:tc>
        <w:tc>
          <w:tcPr>
            <w:tcW w:w="1053" w:type="dxa"/>
            <w:tcBorders>
              <w:top w:val="single" w:color="auto" w:sz="8" w:space="0"/>
              <w:right w:val="single" w:color="auto" w:sz="8" w:space="0"/>
            </w:tcBorders>
            <w:vAlign w:val="center"/>
          </w:tcPr>
          <w:p>
            <w:pPr>
              <w:spacing w:line="440" w:lineRule="exact"/>
              <w:jc w:val="center"/>
              <w:rPr>
                <w:rFonts w:ascii="宋体" w:hAnsi="宋体" w:cs="宋体"/>
                <w:b/>
                <w:bCs/>
                <w:sz w:val="24"/>
                <w:szCs w:val="24"/>
              </w:rPr>
            </w:pPr>
            <w:r>
              <w:rPr>
                <w:rFonts w:hint="eastAsia" w:ascii="宋体" w:hAnsi="宋体" w:cs="宋体"/>
                <w:b/>
                <w:bCs/>
                <w:sz w:val="24"/>
                <w:szCs w:val="24"/>
              </w:rPr>
              <w:t>证号</w:t>
            </w:r>
          </w:p>
        </w:tc>
        <w:tc>
          <w:tcPr>
            <w:tcW w:w="843" w:type="dxa"/>
            <w:tcBorders>
              <w:top w:val="single" w:color="auto" w:sz="8" w:space="0"/>
              <w:right w:val="single" w:color="auto" w:sz="8" w:space="0"/>
            </w:tcBorders>
            <w:vAlign w:val="center"/>
          </w:tcPr>
          <w:p>
            <w:pPr>
              <w:spacing w:line="440" w:lineRule="exact"/>
              <w:jc w:val="center"/>
              <w:rPr>
                <w:rFonts w:ascii="宋体" w:hAnsi="宋体" w:cs="宋体"/>
                <w:b/>
                <w:bCs/>
                <w:sz w:val="24"/>
                <w:szCs w:val="24"/>
              </w:rPr>
            </w:pPr>
            <w:r>
              <w:rPr>
                <w:rFonts w:hint="eastAsia" w:ascii="宋体" w:hAnsi="宋体" w:cs="宋体"/>
                <w:b/>
                <w:bCs/>
                <w:sz w:val="24"/>
                <w:szCs w:val="24"/>
              </w:rPr>
              <w:t>专业</w:t>
            </w:r>
          </w:p>
        </w:tc>
        <w:tc>
          <w:tcPr>
            <w:tcW w:w="873" w:type="dxa"/>
            <w:tcBorders>
              <w:top w:val="single" w:color="auto" w:sz="8" w:space="0"/>
              <w:right w:val="single" w:color="auto" w:sz="8" w:space="0"/>
            </w:tcBorders>
            <w:vAlign w:val="center"/>
          </w:tcPr>
          <w:p>
            <w:pPr>
              <w:spacing w:line="440" w:lineRule="exact"/>
              <w:jc w:val="center"/>
              <w:rPr>
                <w:rFonts w:ascii="宋体" w:hAnsi="宋体" w:cs="宋体"/>
                <w:b/>
                <w:bCs/>
                <w:sz w:val="24"/>
                <w:szCs w:val="24"/>
              </w:rPr>
            </w:pPr>
            <w:r>
              <w:rPr>
                <w:rFonts w:hint="eastAsia" w:ascii="宋体" w:hAnsi="宋体" w:cs="宋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vAlign w:val="center"/>
          </w:tcPr>
          <w:p>
            <w:pPr>
              <w:pStyle w:val="3"/>
              <w:keepNext w:val="0"/>
              <w:rPr>
                <w:rFonts w:ascii="宋体" w:hAnsi="宋体" w:eastAsia="宋体" w:cs="宋体"/>
                <w:b/>
                <w:bCs/>
                <w:sz w:val="24"/>
                <w:szCs w:val="24"/>
              </w:rPr>
            </w:pPr>
          </w:p>
        </w:tc>
        <w:tc>
          <w:tcPr>
            <w:tcW w:w="1089" w:type="dxa"/>
            <w:vAlign w:val="center"/>
          </w:tcPr>
          <w:p>
            <w:pPr>
              <w:pStyle w:val="3"/>
              <w:keepNext w:val="0"/>
              <w:rPr>
                <w:rFonts w:ascii="宋体" w:hAnsi="宋体" w:eastAsia="宋体" w:cs="宋体"/>
                <w:b/>
                <w:bCs/>
                <w:sz w:val="24"/>
                <w:szCs w:val="24"/>
              </w:rPr>
            </w:pPr>
          </w:p>
        </w:tc>
        <w:tc>
          <w:tcPr>
            <w:tcW w:w="1143" w:type="dxa"/>
            <w:vAlign w:val="center"/>
          </w:tcPr>
          <w:p>
            <w:pPr>
              <w:pStyle w:val="3"/>
              <w:keepNext w:val="0"/>
              <w:rPr>
                <w:rFonts w:ascii="宋体" w:hAnsi="宋体" w:eastAsia="宋体" w:cs="宋体"/>
                <w:b/>
                <w:bCs/>
                <w:sz w:val="24"/>
                <w:szCs w:val="24"/>
              </w:rPr>
            </w:pPr>
          </w:p>
        </w:tc>
        <w:tc>
          <w:tcPr>
            <w:tcW w:w="1589" w:type="dxa"/>
            <w:vAlign w:val="center"/>
          </w:tcPr>
          <w:p>
            <w:pPr>
              <w:pStyle w:val="3"/>
              <w:keepNext w:val="0"/>
              <w:rPr>
                <w:rFonts w:ascii="宋体" w:hAnsi="宋体" w:eastAsia="宋体" w:cs="宋体"/>
                <w:b/>
                <w:bCs/>
                <w:sz w:val="24"/>
                <w:szCs w:val="24"/>
              </w:rPr>
            </w:pPr>
          </w:p>
        </w:tc>
        <w:tc>
          <w:tcPr>
            <w:tcW w:w="1053" w:type="dxa"/>
            <w:vAlign w:val="center"/>
          </w:tcPr>
          <w:p>
            <w:pPr>
              <w:pStyle w:val="3"/>
              <w:keepNext w:val="0"/>
              <w:rPr>
                <w:rFonts w:ascii="宋体" w:hAnsi="宋体" w:eastAsia="宋体" w:cs="宋体"/>
                <w:b/>
                <w:bCs/>
                <w:sz w:val="24"/>
                <w:szCs w:val="24"/>
              </w:rPr>
            </w:pPr>
          </w:p>
        </w:tc>
        <w:tc>
          <w:tcPr>
            <w:tcW w:w="1053" w:type="dxa"/>
            <w:vAlign w:val="center"/>
          </w:tcPr>
          <w:p>
            <w:pPr>
              <w:pStyle w:val="3"/>
              <w:keepNext w:val="0"/>
              <w:rPr>
                <w:rFonts w:ascii="宋体" w:hAnsi="宋体" w:eastAsia="宋体" w:cs="宋体"/>
                <w:b/>
                <w:bCs/>
                <w:sz w:val="24"/>
                <w:szCs w:val="24"/>
              </w:rPr>
            </w:pPr>
          </w:p>
        </w:tc>
        <w:tc>
          <w:tcPr>
            <w:tcW w:w="843" w:type="dxa"/>
            <w:tcBorders>
              <w:right w:val="single" w:color="auto" w:sz="8" w:space="0"/>
            </w:tcBorders>
            <w:vAlign w:val="center"/>
          </w:tcPr>
          <w:p>
            <w:pPr>
              <w:pStyle w:val="3"/>
              <w:keepNext w:val="0"/>
              <w:rPr>
                <w:rFonts w:ascii="宋体" w:hAnsi="宋体" w:eastAsia="宋体" w:cs="宋体"/>
                <w:b/>
                <w:bCs/>
                <w:sz w:val="24"/>
                <w:szCs w:val="24"/>
              </w:rPr>
            </w:pPr>
          </w:p>
        </w:tc>
        <w:tc>
          <w:tcPr>
            <w:tcW w:w="873" w:type="dxa"/>
            <w:tcBorders>
              <w:right w:val="single" w:color="auto" w:sz="8" w:space="0"/>
            </w:tcBorders>
            <w:vAlign w:val="center"/>
          </w:tcPr>
          <w:p>
            <w:pPr>
              <w:pStyle w:val="3"/>
              <w:keepNext w:val="0"/>
              <w:rPr>
                <w:rFonts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vAlign w:val="center"/>
          </w:tcPr>
          <w:p>
            <w:pPr>
              <w:pStyle w:val="3"/>
              <w:keepNext w:val="0"/>
              <w:rPr>
                <w:rFonts w:ascii="宋体" w:hAnsi="宋体" w:eastAsia="宋体" w:cs="宋体"/>
                <w:b/>
                <w:bCs/>
                <w:sz w:val="24"/>
                <w:szCs w:val="24"/>
              </w:rPr>
            </w:pPr>
          </w:p>
        </w:tc>
        <w:tc>
          <w:tcPr>
            <w:tcW w:w="1089" w:type="dxa"/>
            <w:vAlign w:val="center"/>
          </w:tcPr>
          <w:p>
            <w:pPr>
              <w:pStyle w:val="3"/>
              <w:keepNext w:val="0"/>
              <w:rPr>
                <w:rFonts w:ascii="宋体" w:hAnsi="宋体" w:eastAsia="宋体" w:cs="宋体"/>
                <w:b/>
                <w:bCs/>
                <w:sz w:val="24"/>
                <w:szCs w:val="24"/>
              </w:rPr>
            </w:pPr>
          </w:p>
        </w:tc>
        <w:tc>
          <w:tcPr>
            <w:tcW w:w="1143" w:type="dxa"/>
            <w:vAlign w:val="center"/>
          </w:tcPr>
          <w:p>
            <w:pPr>
              <w:pStyle w:val="3"/>
              <w:keepNext w:val="0"/>
              <w:rPr>
                <w:rFonts w:ascii="宋体" w:hAnsi="宋体" w:eastAsia="宋体" w:cs="宋体"/>
                <w:b/>
                <w:bCs/>
                <w:sz w:val="24"/>
                <w:szCs w:val="24"/>
              </w:rPr>
            </w:pPr>
          </w:p>
        </w:tc>
        <w:tc>
          <w:tcPr>
            <w:tcW w:w="1589" w:type="dxa"/>
            <w:vAlign w:val="center"/>
          </w:tcPr>
          <w:p>
            <w:pPr>
              <w:pStyle w:val="3"/>
              <w:keepNext w:val="0"/>
              <w:rPr>
                <w:rFonts w:ascii="宋体" w:hAnsi="宋体" w:eastAsia="宋体" w:cs="宋体"/>
                <w:b/>
                <w:bCs/>
                <w:sz w:val="24"/>
                <w:szCs w:val="24"/>
              </w:rPr>
            </w:pPr>
          </w:p>
        </w:tc>
        <w:tc>
          <w:tcPr>
            <w:tcW w:w="1053" w:type="dxa"/>
            <w:vAlign w:val="center"/>
          </w:tcPr>
          <w:p>
            <w:pPr>
              <w:pStyle w:val="3"/>
              <w:keepNext w:val="0"/>
              <w:rPr>
                <w:rFonts w:ascii="宋体" w:hAnsi="宋体" w:eastAsia="宋体" w:cs="宋体"/>
                <w:b/>
                <w:bCs/>
                <w:sz w:val="24"/>
                <w:szCs w:val="24"/>
              </w:rPr>
            </w:pPr>
          </w:p>
        </w:tc>
        <w:tc>
          <w:tcPr>
            <w:tcW w:w="1053" w:type="dxa"/>
            <w:vAlign w:val="center"/>
          </w:tcPr>
          <w:p>
            <w:pPr>
              <w:pStyle w:val="3"/>
              <w:keepNext w:val="0"/>
              <w:rPr>
                <w:rFonts w:ascii="宋体" w:hAnsi="宋体" w:eastAsia="宋体" w:cs="宋体"/>
                <w:b/>
                <w:bCs/>
                <w:sz w:val="24"/>
                <w:szCs w:val="24"/>
              </w:rPr>
            </w:pPr>
          </w:p>
        </w:tc>
        <w:tc>
          <w:tcPr>
            <w:tcW w:w="843" w:type="dxa"/>
            <w:tcBorders>
              <w:right w:val="single" w:color="auto" w:sz="8" w:space="0"/>
            </w:tcBorders>
            <w:vAlign w:val="center"/>
          </w:tcPr>
          <w:p>
            <w:pPr>
              <w:pStyle w:val="3"/>
              <w:keepNext w:val="0"/>
              <w:rPr>
                <w:rFonts w:ascii="宋体" w:hAnsi="宋体" w:eastAsia="宋体" w:cs="宋体"/>
                <w:b/>
                <w:bCs/>
                <w:sz w:val="24"/>
                <w:szCs w:val="24"/>
              </w:rPr>
            </w:pPr>
          </w:p>
        </w:tc>
        <w:tc>
          <w:tcPr>
            <w:tcW w:w="873" w:type="dxa"/>
            <w:tcBorders>
              <w:right w:val="single" w:color="auto" w:sz="8" w:space="0"/>
            </w:tcBorders>
            <w:vAlign w:val="center"/>
          </w:tcPr>
          <w:p>
            <w:pPr>
              <w:pStyle w:val="3"/>
              <w:keepNext w:val="0"/>
              <w:rPr>
                <w:rFonts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vAlign w:val="center"/>
          </w:tcPr>
          <w:p>
            <w:pPr>
              <w:pStyle w:val="3"/>
              <w:keepNext w:val="0"/>
              <w:rPr>
                <w:rFonts w:ascii="宋体" w:hAnsi="宋体" w:eastAsia="宋体" w:cs="宋体"/>
                <w:b/>
                <w:bCs/>
                <w:sz w:val="24"/>
                <w:szCs w:val="24"/>
              </w:rPr>
            </w:pPr>
          </w:p>
        </w:tc>
        <w:tc>
          <w:tcPr>
            <w:tcW w:w="1089" w:type="dxa"/>
            <w:vAlign w:val="center"/>
          </w:tcPr>
          <w:p>
            <w:pPr>
              <w:pStyle w:val="3"/>
              <w:keepNext w:val="0"/>
              <w:rPr>
                <w:rFonts w:ascii="宋体" w:hAnsi="宋体" w:eastAsia="宋体" w:cs="宋体"/>
                <w:b/>
                <w:bCs/>
                <w:sz w:val="24"/>
                <w:szCs w:val="24"/>
              </w:rPr>
            </w:pPr>
          </w:p>
        </w:tc>
        <w:tc>
          <w:tcPr>
            <w:tcW w:w="1143" w:type="dxa"/>
            <w:vAlign w:val="center"/>
          </w:tcPr>
          <w:p>
            <w:pPr>
              <w:pStyle w:val="3"/>
              <w:keepNext w:val="0"/>
              <w:rPr>
                <w:rFonts w:ascii="宋体" w:hAnsi="宋体" w:eastAsia="宋体" w:cs="宋体"/>
                <w:b/>
                <w:bCs/>
                <w:sz w:val="24"/>
                <w:szCs w:val="24"/>
              </w:rPr>
            </w:pPr>
          </w:p>
        </w:tc>
        <w:tc>
          <w:tcPr>
            <w:tcW w:w="1589" w:type="dxa"/>
            <w:vAlign w:val="center"/>
          </w:tcPr>
          <w:p>
            <w:pPr>
              <w:pStyle w:val="3"/>
              <w:keepNext w:val="0"/>
              <w:rPr>
                <w:rFonts w:ascii="宋体" w:hAnsi="宋体" w:eastAsia="宋体" w:cs="宋体"/>
                <w:b/>
                <w:bCs/>
                <w:sz w:val="24"/>
                <w:szCs w:val="24"/>
              </w:rPr>
            </w:pPr>
          </w:p>
        </w:tc>
        <w:tc>
          <w:tcPr>
            <w:tcW w:w="1053" w:type="dxa"/>
            <w:vAlign w:val="center"/>
          </w:tcPr>
          <w:p>
            <w:pPr>
              <w:pStyle w:val="3"/>
              <w:keepNext w:val="0"/>
              <w:rPr>
                <w:rFonts w:ascii="宋体" w:hAnsi="宋体" w:eastAsia="宋体" w:cs="宋体"/>
                <w:b/>
                <w:bCs/>
                <w:sz w:val="24"/>
                <w:szCs w:val="24"/>
              </w:rPr>
            </w:pPr>
          </w:p>
        </w:tc>
        <w:tc>
          <w:tcPr>
            <w:tcW w:w="1053" w:type="dxa"/>
            <w:vAlign w:val="center"/>
          </w:tcPr>
          <w:p>
            <w:pPr>
              <w:pStyle w:val="3"/>
              <w:keepNext w:val="0"/>
              <w:rPr>
                <w:rFonts w:ascii="宋体" w:hAnsi="宋体" w:eastAsia="宋体" w:cs="宋体"/>
                <w:b/>
                <w:bCs/>
                <w:sz w:val="24"/>
                <w:szCs w:val="24"/>
              </w:rPr>
            </w:pPr>
          </w:p>
        </w:tc>
        <w:tc>
          <w:tcPr>
            <w:tcW w:w="843" w:type="dxa"/>
            <w:tcBorders>
              <w:right w:val="single" w:color="auto" w:sz="8" w:space="0"/>
            </w:tcBorders>
            <w:vAlign w:val="center"/>
          </w:tcPr>
          <w:p>
            <w:pPr>
              <w:pStyle w:val="3"/>
              <w:keepNext w:val="0"/>
              <w:rPr>
                <w:rFonts w:ascii="宋体" w:hAnsi="宋体" w:eastAsia="宋体" w:cs="宋体"/>
                <w:b/>
                <w:bCs/>
                <w:sz w:val="24"/>
                <w:szCs w:val="24"/>
              </w:rPr>
            </w:pPr>
          </w:p>
        </w:tc>
        <w:tc>
          <w:tcPr>
            <w:tcW w:w="873" w:type="dxa"/>
            <w:tcBorders>
              <w:right w:val="single" w:color="auto" w:sz="8" w:space="0"/>
            </w:tcBorders>
            <w:vAlign w:val="center"/>
          </w:tcPr>
          <w:p>
            <w:pPr>
              <w:pStyle w:val="3"/>
              <w:keepNext w:val="0"/>
              <w:rPr>
                <w:rFonts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vAlign w:val="center"/>
          </w:tcPr>
          <w:p>
            <w:pPr>
              <w:pStyle w:val="3"/>
              <w:keepNext w:val="0"/>
              <w:rPr>
                <w:rFonts w:ascii="宋体" w:hAnsi="宋体" w:eastAsia="宋体" w:cs="宋体"/>
                <w:b/>
                <w:bCs/>
                <w:sz w:val="24"/>
                <w:szCs w:val="24"/>
              </w:rPr>
            </w:pPr>
          </w:p>
        </w:tc>
        <w:tc>
          <w:tcPr>
            <w:tcW w:w="1089" w:type="dxa"/>
            <w:vAlign w:val="center"/>
          </w:tcPr>
          <w:p>
            <w:pPr>
              <w:pStyle w:val="3"/>
              <w:keepNext w:val="0"/>
              <w:rPr>
                <w:rFonts w:ascii="宋体" w:hAnsi="宋体" w:eastAsia="宋体" w:cs="宋体"/>
                <w:b/>
                <w:bCs/>
                <w:sz w:val="24"/>
                <w:szCs w:val="24"/>
              </w:rPr>
            </w:pPr>
          </w:p>
        </w:tc>
        <w:tc>
          <w:tcPr>
            <w:tcW w:w="1143" w:type="dxa"/>
            <w:vAlign w:val="center"/>
          </w:tcPr>
          <w:p>
            <w:pPr>
              <w:pStyle w:val="3"/>
              <w:keepNext w:val="0"/>
              <w:rPr>
                <w:rFonts w:ascii="宋体" w:hAnsi="宋体" w:eastAsia="宋体" w:cs="宋体"/>
                <w:b/>
                <w:bCs/>
                <w:sz w:val="24"/>
                <w:szCs w:val="24"/>
              </w:rPr>
            </w:pPr>
          </w:p>
        </w:tc>
        <w:tc>
          <w:tcPr>
            <w:tcW w:w="1589" w:type="dxa"/>
            <w:vAlign w:val="center"/>
          </w:tcPr>
          <w:p>
            <w:pPr>
              <w:pStyle w:val="3"/>
              <w:keepNext w:val="0"/>
              <w:rPr>
                <w:rFonts w:ascii="宋体" w:hAnsi="宋体" w:eastAsia="宋体" w:cs="宋体"/>
                <w:b/>
                <w:bCs/>
                <w:sz w:val="24"/>
                <w:szCs w:val="24"/>
              </w:rPr>
            </w:pPr>
          </w:p>
        </w:tc>
        <w:tc>
          <w:tcPr>
            <w:tcW w:w="1053" w:type="dxa"/>
            <w:vAlign w:val="center"/>
          </w:tcPr>
          <w:p>
            <w:pPr>
              <w:pStyle w:val="3"/>
              <w:keepNext w:val="0"/>
              <w:rPr>
                <w:rFonts w:ascii="宋体" w:hAnsi="宋体" w:eastAsia="宋体" w:cs="宋体"/>
                <w:b/>
                <w:bCs/>
                <w:sz w:val="24"/>
                <w:szCs w:val="24"/>
              </w:rPr>
            </w:pPr>
          </w:p>
        </w:tc>
        <w:tc>
          <w:tcPr>
            <w:tcW w:w="1053" w:type="dxa"/>
            <w:vAlign w:val="center"/>
          </w:tcPr>
          <w:p>
            <w:pPr>
              <w:pStyle w:val="3"/>
              <w:keepNext w:val="0"/>
              <w:rPr>
                <w:rFonts w:ascii="宋体" w:hAnsi="宋体" w:eastAsia="宋体" w:cs="宋体"/>
                <w:b/>
                <w:bCs/>
                <w:sz w:val="24"/>
                <w:szCs w:val="24"/>
              </w:rPr>
            </w:pPr>
          </w:p>
        </w:tc>
        <w:tc>
          <w:tcPr>
            <w:tcW w:w="843" w:type="dxa"/>
            <w:tcBorders>
              <w:right w:val="single" w:color="auto" w:sz="8" w:space="0"/>
            </w:tcBorders>
            <w:vAlign w:val="center"/>
          </w:tcPr>
          <w:p>
            <w:pPr>
              <w:pStyle w:val="3"/>
              <w:keepNext w:val="0"/>
              <w:rPr>
                <w:rFonts w:ascii="宋体" w:hAnsi="宋体" w:eastAsia="宋体" w:cs="宋体"/>
                <w:b/>
                <w:bCs/>
                <w:sz w:val="24"/>
                <w:szCs w:val="24"/>
              </w:rPr>
            </w:pPr>
          </w:p>
        </w:tc>
        <w:tc>
          <w:tcPr>
            <w:tcW w:w="873" w:type="dxa"/>
            <w:tcBorders>
              <w:right w:val="single" w:color="auto" w:sz="8" w:space="0"/>
            </w:tcBorders>
            <w:vAlign w:val="center"/>
          </w:tcPr>
          <w:p>
            <w:pPr>
              <w:pStyle w:val="3"/>
              <w:keepNext w:val="0"/>
              <w:rPr>
                <w:rFonts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vAlign w:val="center"/>
          </w:tcPr>
          <w:p>
            <w:pPr>
              <w:pStyle w:val="3"/>
              <w:keepNext w:val="0"/>
              <w:rPr>
                <w:rFonts w:ascii="宋体" w:hAnsi="宋体" w:eastAsia="宋体" w:cs="宋体"/>
                <w:b/>
                <w:bCs/>
                <w:sz w:val="24"/>
                <w:szCs w:val="24"/>
              </w:rPr>
            </w:pPr>
          </w:p>
        </w:tc>
        <w:tc>
          <w:tcPr>
            <w:tcW w:w="1089" w:type="dxa"/>
            <w:vAlign w:val="center"/>
          </w:tcPr>
          <w:p>
            <w:pPr>
              <w:pStyle w:val="3"/>
              <w:keepNext w:val="0"/>
              <w:rPr>
                <w:rFonts w:ascii="宋体" w:hAnsi="宋体" w:eastAsia="宋体" w:cs="宋体"/>
                <w:b/>
                <w:bCs/>
                <w:sz w:val="24"/>
                <w:szCs w:val="24"/>
              </w:rPr>
            </w:pPr>
          </w:p>
        </w:tc>
        <w:tc>
          <w:tcPr>
            <w:tcW w:w="1143" w:type="dxa"/>
            <w:vAlign w:val="center"/>
          </w:tcPr>
          <w:p>
            <w:pPr>
              <w:pStyle w:val="3"/>
              <w:keepNext w:val="0"/>
              <w:rPr>
                <w:rFonts w:ascii="宋体" w:hAnsi="宋体" w:eastAsia="宋体" w:cs="宋体"/>
                <w:b/>
                <w:bCs/>
                <w:sz w:val="24"/>
                <w:szCs w:val="24"/>
              </w:rPr>
            </w:pPr>
          </w:p>
        </w:tc>
        <w:tc>
          <w:tcPr>
            <w:tcW w:w="1589" w:type="dxa"/>
            <w:vAlign w:val="center"/>
          </w:tcPr>
          <w:p>
            <w:pPr>
              <w:pStyle w:val="3"/>
              <w:keepNext w:val="0"/>
              <w:rPr>
                <w:rFonts w:ascii="宋体" w:hAnsi="宋体" w:eastAsia="宋体" w:cs="宋体"/>
                <w:b/>
                <w:bCs/>
                <w:sz w:val="24"/>
                <w:szCs w:val="24"/>
              </w:rPr>
            </w:pPr>
          </w:p>
        </w:tc>
        <w:tc>
          <w:tcPr>
            <w:tcW w:w="1053" w:type="dxa"/>
            <w:vAlign w:val="center"/>
          </w:tcPr>
          <w:p>
            <w:pPr>
              <w:pStyle w:val="3"/>
              <w:keepNext w:val="0"/>
              <w:rPr>
                <w:rFonts w:ascii="宋体" w:hAnsi="宋体" w:eastAsia="宋体" w:cs="宋体"/>
                <w:b/>
                <w:bCs/>
                <w:sz w:val="24"/>
                <w:szCs w:val="24"/>
              </w:rPr>
            </w:pPr>
          </w:p>
        </w:tc>
        <w:tc>
          <w:tcPr>
            <w:tcW w:w="1053" w:type="dxa"/>
            <w:vAlign w:val="center"/>
          </w:tcPr>
          <w:p>
            <w:pPr>
              <w:pStyle w:val="3"/>
              <w:keepNext w:val="0"/>
              <w:rPr>
                <w:rFonts w:ascii="宋体" w:hAnsi="宋体" w:eastAsia="宋体" w:cs="宋体"/>
                <w:b/>
                <w:bCs/>
                <w:sz w:val="24"/>
                <w:szCs w:val="24"/>
              </w:rPr>
            </w:pPr>
          </w:p>
        </w:tc>
        <w:tc>
          <w:tcPr>
            <w:tcW w:w="843" w:type="dxa"/>
            <w:tcBorders>
              <w:right w:val="single" w:color="auto" w:sz="8" w:space="0"/>
            </w:tcBorders>
            <w:vAlign w:val="center"/>
          </w:tcPr>
          <w:p>
            <w:pPr>
              <w:pStyle w:val="3"/>
              <w:keepNext w:val="0"/>
              <w:rPr>
                <w:rFonts w:ascii="宋体" w:hAnsi="宋体" w:eastAsia="宋体" w:cs="宋体"/>
                <w:b/>
                <w:bCs/>
                <w:sz w:val="24"/>
                <w:szCs w:val="24"/>
              </w:rPr>
            </w:pPr>
          </w:p>
        </w:tc>
        <w:tc>
          <w:tcPr>
            <w:tcW w:w="873" w:type="dxa"/>
            <w:tcBorders>
              <w:right w:val="single" w:color="auto" w:sz="8" w:space="0"/>
            </w:tcBorders>
            <w:vAlign w:val="center"/>
          </w:tcPr>
          <w:p>
            <w:pPr>
              <w:pStyle w:val="3"/>
              <w:keepNext w:val="0"/>
              <w:rPr>
                <w:rFonts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vAlign w:val="center"/>
          </w:tcPr>
          <w:p>
            <w:pPr>
              <w:pStyle w:val="3"/>
              <w:keepNext w:val="0"/>
              <w:rPr>
                <w:rFonts w:ascii="宋体" w:hAnsi="宋体" w:eastAsia="宋体" w:cs="宋体"/>
                <w:b/>
                <w:bCs/>
                <w:sz w:val="24"/>
                <w:szCs w:val="24"/>
              </w:rPr>
            </w:pPr>
          </w:p>
        </w:tc>
        <w:tc>
          <w:tcPr>
            <w:tcW w:w="1089" w:type="dxa"/>
            <w:vAlign w:val="center"/>
          </w:tcPr>
          <w:p>
            <w:pPr>
              <w:pStyle w:val="3"/>
              <w:keepNext w:val="0"/>
              <w:rPr>
                <w:rFonts w:ascii="宋体" w:hAnsi="宋体" w:eastAsia="宋体" w:cs="宋体"/>
                <w:b/>
                <w:bCs/>
                <w:sz w:val="24"/>
                <w:szCs w:val="24"/>
              </w:rPr>
            </w:pPr>
          </w:p>
        </w:tc>
        <w:tc>
          <w:tcPr>
            <w:tcW w:w="1143" w:type="dxa"/>
            <w:vAlign w:val="center"/>
          </w:tcPr>
          <w:p>
            <w:pPr>
              <w:pStyle w:val="3"/>
              <w:keepNext w:val="0"/>
              <w:rPr>
                <w:rFonts w:ascii="宋体" w:hAnsi="宋体" w:eastAsia="宋体" w:cs="宋体"/>
                <w:b/>
                <w:bCs/>
                <w:sz w:val="24"/>
                <w:szCs w:val="24"/>
              </w:rPr>
            </w:pPr>
          </w:p>
        </w:tc>
        <w:tc>
          <w:tcPr>
            <w:tcW w:w="1589" w:type="dxa"/>
            <w:vAlign w:val="center"/>
          </w:tcPr>
          <w:p>
            <w:pPr>
              <w:pStyle w:val="3"/>
              <w:keepNext w:val="0"/>
              <w:rPr>
                <w:rFonts w:ascii="宋体" w:hAnsi="宋体" w:eastAsia="宋体" w:cs="宋体"/>
                <w:b/>
                <w:bCs/>
                <w:sz w:val="24"/>
                <w:szCs w:val="24"/>
              </w:rPr>
            </w:pPr>
          </w:p>
        </w:tc>
        <w:tc>
          <w:tcPr>
            <w:tcW w:w="1053" w:type="dxa"/>
            <w:vAlign w:val="center"/>
          </w:tcPr>
          <w:p>
            <w:pPr>
              <w:pStyle w:val="3"/>
              <w:keepNext w:val="0"/>
              <w:rPr>
                <w:rFonts w:ascii="宋体" w:hAnsi="宋体" w:eastAsia="宋体" w:cs="宋体"/>
                <w:b/>
                <w:bCs/>
                <w:sz w:val="24"/>
                <w:szCs w:val="24"/>
              </w:rPr>
            </w:pPr>
          </w:p>
        </w:tc>
        <w:tc>
          <w:tcPr>
            <w:tcW w:w="1053" w:type="dxa"/>
            <w:vAlign w:val="center"/>
          </w:tcPr>
          <w:p>
            <w:pPr>
              <w:pStyle w:val="3"/>
              <w:keepNext w:val="0"/>
              <w:rPr>
                <w:rFonts w:ascii="宋体" w:hAnsi="宋体" w:eastAsia="宋体" w:cs="宋体"/>
                <w:b/>
                <w:bCs/>
                <w:sz w:val="24"/>
                <w:szCs w:val="24"/>
              </w:rPr>
            </w:pPr>
          </w:p>
        </w:tc>
        <w:tc>
          <w:tcPr>
            <w:tcW w:w="843" w:type="dxa"/>
            <w:tcBorders>
              <w:right w:val="single" w:color="auto" w:sz="8" w:space="0"/>
            </w:tcBorders>
            <w:vAlign w:val="center"/>
          </w:tcPr>
          <w:p>
            <w:pPr>
              <w:pStyle w:val="3"/>
              <w:keepNext w:val="0"/>
              <w:rPr>
                <w:rFonts w:ascii="宋体" w:hAnsi="宋体" w:eastAsia="宋体" w:cs="宋体"/>
                <w:b/>
                <w:bCs/>
                <w:sz w:val="24"/>
                <w:szCs w:val="24"/>
              </w:rPr>
            </w:pPr>
          </w:p>
        </w:tc>
        <w:tc>
          <w:tcPr>
            <w:tcW w:w="873" w:type="dxa"/>
            <w:tcBorders>
              <w:right w:val="single" w:color="auto" w:sz="8" w:space="0"/>
            </w:tcBorders>
            <w:vAlign w:val="center"/>
          </w:tcPr>
          <w:p>
            <w:pPr>
              <w:pStyle w:val="3"/>
              <w:keepNext w:val="0"/>
              <w:rPr>
                <w:rFonts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vAlign w:val="center"/>
          </w:tcPr>
          <w:p>
            <w:pPr>
              <w:pStyle w:val="3"/>
              <w:keepNext w:val="0"/>
              <w:rPr>
                <w:rFonts w:ascii="宋体" w:hAnsi="宋体" w:eastAsia="宋体" w:cs="宋体"/>
                <w:b/>
                <w:bCs/>
                <w:sz w:val="24"/>
                <w:szCs w:val="24"/>
              </w:rPr>
            </w:pPr>
          </w:p>
        </w:tc>
        <w:tc>
          <w:tcPr>
            <w:tcW w:w="1089" w:type="dxa"/>
            <w:vAlign w:val="center"/>
          </w:tcPr>
          <w:p>
            <w:pPr>
              <w:pStyle w:val="3"/>
              <w:keepNext w:val="0"/>
              <w:rPr>
                <w:rFonts w:ascii="宋体" w:hAnsi="宋体" w:eastAsia="宋体" w:cs="宋体"/>
                <w:b/>
                <w:bCs/>
                <w:sz w:val="24"/>
                <w:szCs w:val="24"/>
              </w:rPr>
            </w:pPr>
          </w:p>
        </w:tc>
        <w:tc>
          <w:tcPr>
            <w:tcW w:w="1143" w:type="dxa"/>
            <w:vAlign w:val="center"/>
          </w:tcPr>
          <w:p>
            <w:pPr>
              <w:pStyle w:val="3"/>
              <w:keepNext w:val="0"/>
              <w:rPr>
                <w:rFonts w:ascii="宋体" w:hAnsi="宋体" w:eastAsia="宋体" w:cs="宋体"/>
                <w:b/>
                <w:bCs/>
                <w:sz w:val="24"/>
                <w:szCs w:val="24"/>
              </w:rPr>
            </w:pPr>
          </w:p>
        </w:tc>
        <w:tc>
          <w:tcPr>
            <w:tcW w:w="1589" w:type="dxa"/>
            <w:vAlign w:val="center"/>
          </w:tcPr>
          <w:p>
            <w:pPr>
              <w:pStyle w:val="3"/>
              <w:keepNext w:val="0"/>
              <w:rPr>
                <w:rFonts w:ascii="宋体" w:hAnsi="宋体" w:eastAsia="宋体" w:cs="宋体"/>
                <w:b/>
                <w:bCs/>
                <w:sz w:val="24"/>
                <w:szCs w:val="24"/>
              </w:rPr>
            </w:pPr>
          </w:p>
        </w:tc>
        <w:tc>
          <w:tcPr>
            <w:tcW w:w="1053" w:type="dxa"/>
            <w:vAlign w:val="center"/>
          </w:tcPr>
          <w:p>
            <w:pPr>
              <w:pStyle w:val="3"/>
              <w:keepNext w:val="0"/>
              <w:rPr>
                <w:rFonts w:ascii="宋体" w:hAnsi="宋体" w:eastAsia="宋体" w:cs="宋体"/>
                <w:b/>
                <w:bCs/>
                <w:sz w:val="24"/>
                <w:szCs w:val="24"/>
              </w:rPr>
            </w:pPr>
          </w:p>
        </w:tc>
        <w:tc>
          <w:tcPr>
            <w:tcW w:w="1053" w:type="dxa"/>
            <w:vAlign w:val="center"/>
          </w:tcPr>
          <w:p>
            <w:pPr>
              <w:pStyle w:val="3"/>
              <w:keepNext w:val="0"/>
              <w:rPr>
                <w:rFonts w:ascii="宋体" w:hAnsi="宋体" w:eastAsia="宋体" w:cs="宋体"/>
                <w:b/>
                <w:bCs/>
                <w:sz w:val="24"/>
                <w:szCs w:val="24"/>
              </w:rPr>
            </w:pPr>
          </w:p>
        </w:tc>
        <w:tc>
          <w:tcPr>
            <w:tcW w:w="843" w:type="dxa"/>
            <w:tcBorders>
              <w:right w:val="single" w:color="auto" w:sz="8" w:space="0"/>
            </w:tcBorders>
            <w:vAlign w:val="center"/>
          </w:tcPr>
          <w:p>
            <w:pPr>
              <w:pStyle w:val="3"/>
              <w:keepNext w:val="0"/>
              <w:rPr>
                <w:rFonts w:ascii="宋体" w:hAnsi="宋体" w:eastAsia="宋体" w:cs="宋体"/>
                <w:b/>
                <w:bCs/>
                <w:sz w:val="24"/>
                <w:szCs w:val="24"/>
              </w:rPr>
            </w:pPr>
          </w:p>
        </w:tc>
        <w:tc>
          <w:tcPr>
            <w:tcW w:w="873" w:type="dxa"/>
            <w:tcBorders>
              <w:right w:val="single" w:color="auto" w:sz="8" w:space="0"/>
            </w:tcBorders>
            <w:vAlign w:val="center"/>
          </w:tcPr>
          <w:p>
            <w:pPr>
              <w:pStyle w:val="3"/>
              <w:keepNext w:val="0"/>
              <w:rPr>
                <w:rFonts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vAlign w:val="center"/>
          </w:tcPr>
          <w:p>
            <w:pPr>
              <w:pStyle w:val="3"/>
              <w:keepNext w:val="0"/>
              <w:rPr>
                <w:rFonts w:ascii="宋体" w:hAnsi="宋体" w:eastAsia="宋体" w:cs="宋体"/>
                <w:b/>
                <w:bCs/>
                <w:sz w:val="24"/>
                <w:szCs w:val="24"/>
              </w:rPr>
            </w:pPr>
          </w:p>
        </w:tc>
        <w:tc>
          <w:tcPr>
            <w:tcW w:w="1089" w:type="dxa"/>
            <w:vAlign w:val="center"/>
          </w:tcPr>
          <w:p>
            <w:pPr>
              <w:pStyle w:val="3"/>
              <w:keepNext w:val="0"/>
              <w:rPr>
                <w:rFonts w:ascii="宋体" w:hAnsi="宋体" w:eastAsia="宋体" w:cs="宋体"/>
                <w:b/>
                <w:bCs/>
                <w:sz w:val="24"/>
                <w:szCs w:val="24"/>
              </w:rPr>
            </w:pPr>
          </w:p>
        </w:tc>
        <w:tc>
          <w:tcPr>
            <w:tcW w:w="1143" w:type="dxa"/>
            <w:vAlign w:val="center"/>
          </w:tcPr>
          <w:p>
            <w:pPr>
              <w:pStyle w:val="3"/>
              <w:keepNext w:val="0"/>
              <w:rPr>
                <w:rFonts w:ascii="宋体" w:hAnsi="宋体" w:eastAsia="宋体" w:cs="宋体"/>
                <w:b/>
                <w:bCs/>
                <w:sz w:val="24"/>
                <w:szCs w:val="24"/>
              </w:rPr>
            </w:pPr>
          </w:p>
        </w:tc>
        <w:tc>
          <w:tcPr>
            <w:tcW w:w="1589" w:type="dxa"/>
            <w:vAlign w:val="center"/>
          </w:tcPr>
          <w:p>
            <w:pPr>
              <w:pStyle w:val="3"/>
              <w:keepNext w:val="0"/>
              <w:rPr>
                <w:rFonts w:ascii="宋体" w:hAnsi="宋体" w:eastAsia="宋体" w:cs="宋体"/>
                <w:b/>
                <w:bCs/>
                <w:sz w:val="24"/>
                <w:szCs w:val="24"/>
              </w:rPr>
            </w:pPr>
          </w:p>
        </w:tc>
        <w:tc>
          <w:tcPr>
            <w:tcW w:w="1053" w:type="dxa"/>
            <w:vAlign w:val="center"/>
          </w:tcPr>
          <w:p>
            <w:pPr>
              <w:pStyle w:val="3"/>
              <w:keepNext w:val="0"/>
              <w:rPr>
                <w:rFonts w:ascii="宋体" w:hAnsi="宋体" w:eastAsia="宋体" w:cs="宋体"/>
                <w:b/>
                <w:bCs/>
                <w:sz w:val="24"/>
                <w:szCs w:val="24"/>
              </w:rPr>
            </w:pPr>
          </w:p>
        </w:tc>
        <w:tc>
          <w:tcPr>
            <w:tcW w:w="1053" w:type="dxa"/>
            <w:vAlign w:val="center"/>
          </w:tcPr>
          <w:p>
            <w:pPr>
              <w:pStyle w:val="3"/>
              <w:keepNext w:val="0"/>
              <w:rPr>
                <w:rFonts w:ascii="宋体" w:hAnsi="宋体" w:eastAsia="宋体" w:cs="宋体"/>
                <w:b/>
                <w:bCs/>
                <w:sz w:val="24"/>
                <w:szCs w:val="24"/>
              </w:rPr>
            </w:pPr>
          </w:p>
        </w:tc>
        <w:tc>
          <w:tcPr>
            <w:tcW w:w="843" w:type="dxa"/>
            <w:tcBorders>
              <w:right w:val="single" w:color="auto" w:sz="8" w:space="0"/>
            </w:tcBorders>
            <w:vAlign w:val="center"/>
          </w:tcPr>
          <w:p>
            <w:pPr>
              <w:pStyle w:val="3"/>
              <w:keepNext w:val="0"/>
              <w:rPr>
                <w:rFonts w:ascii="宋体" w:hAnsi="宋体" w:eastAsia="宋体" w:cs="宋体"/>
                <w:b/>
                <w:bCs/>
                <w:sz w:val="24"/>
                <w:szCs w:val="24"/>
              </w:rPr>
            </w:pPr>
          </w:p>
        </w:tc>
        <w:tc>
          <w:tcPr>
            <w:tcW w:w="873" w:type="dxa"/>
            <w:tcBorders>
              <w:right w:val="single" w:color="auto" w:sz="8" w:space="0"/>
            </w:tcBorders>
            <w:vAlign w:val="center"/>
          </w:tcPr>
          <w:p>
            <w:pPr>
              <w:pStyle w:val="3"/>
              <w:keepNext w:val="0"/>
              <w:rPr>
                <w:rFonts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vAlign w:val="center"/>
          </w:tcPr>
          <w:p>
            <w:pPr>
              <w:pStyle w:val="3"/>
              <w:keepNext w:val="0"/>
              <w:rPr>
                <w:rFonts w:ascii="宋体" w:hAnsi="宋体" w:eastAsia="宋体" w:cs="宋体"/>
                <w:b/>
                <w:bCs/>
                <w:sz w:val="24"/>
                <w:szCs w:val="24"/>
              </w:rPr>
            </w:pPr>
          </w:p>
        </w:tc>
        <w:tc>
          <w:tcPr>
            <w:tcW w:w="1089" w:type="dxa"/>
            <w:vAlign w:val="center"/>
          </w:tcPr>
          <w:p>
            <w:pPr>
              <w:pStyle w:val="3"/>
              <w:keepNext w:val="0"/>
              <w:rPr>
                <w:rFonts w:ascii="宋体" w:hAnsi="宋体" w:eastAsia="宋体" w:cs="宋体"/>
                <w:b/>
                <w:bCs/>
                <w:sz w:val="24"/>
                <w:szCs w:val="24"/>
              </w:rPr>
            </w:pPr>
          </w:p>
        </w:tc>
        <w:tc>
          <w:tcPr>
            <w:tcW w:w="1143" w:type="dxa"/>
            <w:vAlign w:val="center"/>
          </w:tcPr>
          <w:p>
            <w:pPr>
              <w:pStyle w:val="3"/>
              <w:keepNext w:val="0"/>
              <w:rPr>
                <w:rFonts w:ascii="宋体" w:hAnsi="宋体" w:eastAsia="宋体" w:cs="宋体"/>
                <w:b/>
                <w:bCs/>
                <w:sz w:val="24"/>
                <w:szCs w:val="24"/>
              </w:rPr>
            </w:pPr>
          </w:p>
        </w:tc>
        <w:tc>
          <w:tcPr>
            <w:tcW w:w="1589" w:type="dxa"/>
            <w:vAlign w:val="center"/>
          </w:tcPr>
          <w:p>
            <w:pPr>
              <w:pStyle w:val="3"/>
              <w:keepNext w:val="0"/>
              <w:rPr>
                <w:rFonts w:ascii="宋体" w:hAnsi="宋体" w:eastAsia="宋体" w:cs="宋体"/>
                <w:b/>
                <w:bCs/>
                <w:sz w:val="24"/>
                <w:szCs w:val="24"/>
              </w:rPr>
            </w:pPr>
          </w:p>
        </w:tc>
        <w:tc>
          <w:tcPr>
            <w:tcW w:w="1053" w:type="dxa"/>
            <w:vAlign w:val="center"/>
          </w:tcPr>
          <w:p>
            <w:pPr>
              <w:pStyle w:val="3"/>
              <w:keepNext w:val="0"/>
              <w:rPr>
                <w:rFonts w:ascii="宋体" w:hAnsi="宋体" w:eastAsia="宋体" w:cs="宋体"/>
                <w:b/>
                <w:bCs/>
                <w:sz w:val="24"/>
                <w:szCs w:val="24"/>
              </w:rPr>
            </w:pPr>
          </w:p>
        </w:tc>
        <w:tc>
          <w:tcPr>
            <w:tcW w:w="1053" w:type="dxa"/>
            <w:vAlign w:val="center"/>
          </w:tcPr>
          <w:p>
            <w:pPr>
              <w:pStyle w:val="3"/>
              <w:keepNext w:val="0"/>
              <w:rPr>
                <w:rFonts w:ascii="宋体" w:hAnsi="宋体" w:eastAsia="宋体" w:cs="宋体"/>
                <w:b/>
                <w:bCs/>
                <w:sz w:val="24"/>
                <w:szCs w:val="24"/>
              </w:rPr>
            </w:pPr>
          </w:p>
        </w:tc>
        <w:tc>
          <w:tcPr>
            <w:tcW w:w="843" w:type="dxa"/>
            <w:tcBorders>
              <w:right w:val="single" w:color="auto" w:sz="8" w:space="0"/>
            </w:tcBorders>
            <w:vAlign w:val="center"/>
          </w:tcPr>
          <w:p>
            <w:pPr>
              <w:pStyle w:val="3"/>
              <w:keepNext w:val="0"/>
              <w:rPr>
                <w:rFonts w:ascii="宋体" w:hAnsi="宋体" w:eastAsia="宋体" w:cs="宋体"/>
                <w:b/>
                <w:bCs/>
                <w:sz w:val="24"/>
                <w:szCs w:val="24"/>
              </w:rPr>
            </w:pPr>
          </w:p>
        </w:tc>
        <w:tc>
          <w:tcPr>
            <w:tcW w:w="873" w:type="dxa"/>
            <w:tcBorders>
              <w:right w:val="single" w:color="auto" w:sz="8" w:space="0"/>
            </w:tcBorders>
            <w:vAlign w:val="center"/>
          </w:tcPr>
          <w:p>
            <w:pPr>
              <w:pStyle w:val="3"/>
              <w:keepNext w:val="0"/>
              <w:rPr>
                <w:rFonts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vAlign w:val="center"/>
          </w:tcPr>
          <w:p>
            <w:pPr>
              <w:pStyle w:val="3"/>
              <w:keepNext w:val="0"/>
              <w:rPr>
                <w:rFonts w:ascii="宋体" w:hAnsi="宋体" w:eastAsia="宋体" w:cs="宋体"/>
                <w:b/>
                <w:bCs/>
                <w:sz w:val="24"/>
                <w:szCs w:val="24"/>
              </w:rPr>
            </w:pPr>
          </w:p>
        </w:tc>
        <w:tc>
          <w:tcPr>
            <w:tcW w:w="1089" w:type="dxa"/>
            <w:vAlign w:val="center"/>
          </w:tcPr>
          <w:p>
            <w:pPr>
              <w:pStyle w:val="3"/>
              <w:keepNext w:val="0"/>
              <w:rPr>
                <w:rFonts w:ascii="宋体" w:hAnsi="宋体" w:eastAsia="宋体" w:cs="宋体"/>
                <w:b/>
                <w:bCs/>
                <w:sz w:val="24"/>
                <w:szCs w:val="24"/>
              </w:rPr>
            </w:pPr>
          </w:p>
        </w:tc>
        <w:tc>
          <w:tcPr>
            <w:tcW w:w="1143" w:type="dxa"/>
            <w:vAlign w:val="center"/>
          </w:tcPr>
          <w:p>
            <w:pPr>
              <w:pStyle w:val="3"/>
              <w:keepNext w:val="0"/>
              <w:rPr>
                <w:rFonts w:ascii="宋体" w:hAnsi="宋体" w:eastAsia="宋体" w:cs="宋体"/>
                <w:b/>
                <w:bCs/>
                <w:sz w:val="24"/>
                <w:szCs w:val="24"/>
              </w:rPr>
            </w:pPr>
          </w:p>
        </w:tc>
        <w:tc>
          <w:tcPr>
            <w:tcW w:w="1589" w:type="dxa"/>
            <w:vAlign w:val="center"/>
          </w:tcPr>
          <w:p>
            <w:pPr>
              <w:pStyle w:val="3"/>
              <w:keepNext w:val="0"/>
              <w:rPr>
                <w:rFonts w:ascii="宋体" w:hAnsi="宋体" w:eastAsia="宋体" w:cs="宋体"/>
                <w:b/>
                <w:bCs/>
                <w:sz w:val="24"/>
                <w:szCs w:val="24"/>
              </w:rPr>
            </w:pPr>
          </w:p>
        </w:tc>
        <w:tc>
          <w:tcPr>
            <w:tcW w:w="1053" w:type="dxa"/>
            <w:vAlign w:val="center"/>
          </w:tcPr>
          <w:p>
            <w:pPr>
              <w:pStyle w:val="3"/>
              <w:keepNext w:val="0"/>
              <w:rPr>
                <w:rFonts w:ascii="宋体" w:hAnsi="宋体" w:eastAsia="宋体" w:cs="宋体"/>
                <w:b/>
                <w:bCs/>
                <w:sz w:val="24"/>
                <w:szCs w:val="24"/>
              </w:rPr>
            </w:pPr>
          </w:p>
        </w:tc>
        <w:tc>
          <w:tcPr>
            <w:tcW w:w="1053" w:type="dxa"/>
            <w:vAlign w:val="center"/>
          </w:tcPr>
          <w:p>
            <w:pPr>
              <w:pStyle w:val="3"/>
              <w:keepNext w:val="0"/>
              <w:rPr>
                <w:rFonts w:ascii="宋体" w:hAnsi="宋体" w:eastAsia="宋体" w:cs="宋体"/>
                <w:b/>
                <w:bCs/>
                <w:sz w:val="24"/>
                <w:szCs w:val="24"/>
              </w:rPr>
            </w:pPr>
          </w:p>
        </w:tc>
        <w:tc>
          <w:tcPr>
            <w:tcW w:w="843" w:type="dxa"/>
            <w:tcBorders>
              <w:right w:val="single" w:color="auto" w:sz="8" w:space="0"/>
            </w:tcBorders>
            <w:vAlign w:val="center"/>
          </w:tcPr>
          <w:p>
            <w:pPr>
              <w:pStyle w:val="3"/>
              <w:keepNext w:val="0"/>
              <w:rPr>
                <w:rFonts w:ascii="宋体" w:hAnsi="宋体" w:eastAsia="宋体" w:cs="宋体"/>
                <w:b/>
                <w:bCs/>
                <w:sz w:val="24"/>
                <w:szCs w:val="24"/>
              </w:rPr>
            </w:pPr>
          </w:p>
        </w:tc>
        <w:tc>
          <w:tcPr>
            <w:tcW w:w="873" w:type="dxa"/>
            <w:tcBorders>
              <w:right w:val="single" w:color="auto" w:sz="8" w:space="0"/>
            </w:tcBorders>
            <w:vAlign w:val="center"/>
          </w:tcPr>
          <w:p>
            <w:pPr>
              <w:pStyle w:val="3"/>
              <w:keepNext w:val="0"/>
              <w:rPr>
                <w:rFonts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vAlign w:val="center"/>
          </w:tcPr>
          <w:p>
            <w:pPr>
              <w:pStyle w:val="3"/>
              <w:keepNext w:val="0"/>
              <w:rPr>
                <w:rFonts w:ascii="宋体" w:hAnsi="宋体" w:eastAsia="宋体" w:cs="宋体"/>
                <w:b/>
                <w:bCs/>
                <w:sz w:val="24"/>
                <w:szCs w:val="24"/>
              </w:rPr>
            </w:pPr>
          </w:p>
        </w:tc>
        <w:tc>
          <w:tcPr>
            <w:tcW w:w="1089" w:type="dxa"/>
            <w:vAlign w:val="center"/>
          </w:tcPr>
          <w:p>
            <w:pPr>
              <w:pStyle w:val="3"/>
              <w:keepNext w:val="0"/>
              <w:rPr>
                <w:rFonts w:ascii="宋体" w:hAnsi="宋体" w:eastAsia="宋体" w:cs="宋体"/>
                <w:b/>
                <w:bCs/>
                <w:sz w:val="24"/>
                <w:szCs w:val="24"/>
              </w:rPr>
            </w:pPr>
          </w:p>
        </w:tc>
        <w:tc>
          <w:tcPr>
            <w:tcW w:w="1143" w:type="dxa"/>
            <w:vAlign w:val="center"/>
          </w:tcPr>
          <w:p>
            <w:pPr>
              <w:pStyle w:val="3"/>
              <w:keepNext w:val="0"/>
              <w:rPr>
                <w:rFonts w:ascii="宋体" w:hAnsi="宋体" w:eastAsia="宋体" w:cs="宋体"/>
                <w:b/>
                <w:bCs/>
                <w:sz w:val="24"/>
                <w:szCs w:val="24"/>
              </w:rPr>
            </w:pPr>
          </w:p>
        </w:tc>
        <w:tc>
          <w:tcPr>
            <w:tcW w:w="1589" w:type="dxa"/>
            <w:vAlign w:val="center"/>
          </w:tcPr>
          <w:p>
            <w:pPr>
              <w:pStyle w:val="3"/>
              <w:keepNext w:val="0"/>
              <w:rPr>
                <w:rFonts w:ascii="宋体" w:hAnsi="宋体" w:eastAsia="宋体" w:cs="宋体"/>
                <w:b/>
                <w:bCs/>
                <w:sz w:val="24"/>
                <w:szCs w:val="24"/>
              </w:rPr>
            </w:pPr>
          </w:p>
        </w:tc>
        <w:tc>
          <w:tcPr>
            <w:tcW w:w="1053" w:type="dxa"/>
            <w:vAlign w:val="center"/>
          </w:tcPr>
          <w:p>
            <w:pPr>
              <w:pStyle w:val="3"/>
              <w:keepNext w:val="0"/>
              <w:rPr>
                <w:rFonts w:ascii="宋体" w:hAnsi="宋体" w:eastAsia="宋体" w:cs="宋体"/>
                <w:b/>
                <w:bCs/>
                <w:sz w:val="24"/>
                <w:szCs w:val="24"/>
              </w:rPr>
            </w:pPr>
          </w:p>
        </w:tc>
        <w:tc>
          <w:tcPr>
            <w:tcW w:w="1053" w:type="dxa"/>
            <w:vAlign w:val="center"/>
          </w:tcPr>
          <w:p>
            <w:pPr>
              <w:pStyle w:val="3"/>
              <w:keepNext w:val="0"/>
              <w:rPr>
                <w:rFonts w:ascii="宋体" w:hAnsi="宋体" w:eastAsia="宋体" w:cs="宋体"/>
                <w:b/>
                <w:bCs/>
                <w:sz w:val="24"/>
                <w:szCs w:val="24"/>
              </w:rPr>
            </w:pPr>
          </w:p>
        </w:tc>
        <w:tc>
          <w:tcPr>
            <w:tcW w:w="843" w:type="dxa"/>
            <w:tcBorders>
              <w:right w:val="single" w:color="auto" w:sz="8" w:space="0"/>
            </w:tcBorders>
            <w:vAlign w:val="center"/>
          </w:tcPr>
          <w:p>
            <w:pPr>
              <w:pStyle w:val="3"/>
              <w:keepNext w:val="0"/>
              <w:rPr>
                <w:rFonts w:ascii="宋体" w:hAnsi="宋体" w:eastAsia="宋体" w:cs="宋体"/>
                <w:b/>
                <w:bCs/>
                <w:sz w:val="24"/>
                <w:szCs w:val="24"/>
              </w:rPr>
            </w:pPr>
          </w:p>
        </w:tc>
        <w:tc>
          <w:tcPr>
            <w:tcW w:w="873" w:type="dxa"/>
            <w:tcBorders>
              <w:right w:val="single" w:color="auto" w:sz="8" w:space="0"/>
            </w:tcBorders>
            <w:vAlign w:val="center"/>
          </w:tcPr>
          <w:p>
            <w:pPr>
              <w:pStyle w:val="3"/>
              <w:keepNext w:val="0"/>
              <w:rPr>
                <w:rFonts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13" w:type="dxa"/>
            <w:gridSpan w:val="8"/>
            <w:tcBorders>
              <w:right w:val="single" w:color="auto" w:sz="8" w:space="0"/>
            </w:tcBorders>
            <w:vAlign w:val="center"/>
          </w:tcPr>
          <w:p>
            <w:pPr>
              <w:pStyle w:val="3"/>
              <w:keepNext w:val="0"/>
              <w:jc w:val="left"/>
              <w:rPr>
                <w:rFonts w:ascii="宋体" w:hAnsi="宋体" w:eastAsia="宋体" w:cs="宋体"/>
                <w:b/>
                <w:bCs/>
                <w:sz w:val="24"/>
                <w:szCs w:val="24"/>
              </w:rPr>
            </w:pPr>
            <w:bookmarkStart w:id="395" w:name="_Toc18266"/>
            <w:bookmarkStart w:id="396" w:name="_Toc4716"/>
            <w:bookmarkStart w:id="397" w:name="_Toc27757"/>
            <w:bookmarkStart w:id="398" w:name="_Toc4089"/>
            <w:bookmarkStart w:id="399" w:name="_Toc19466"/>
            <w:bookmarkStart w:id="400" w:name="_Toc30538"/>
            <w:bookmarkStart w:id="401" w:name="_Toc9923"/>
            <w:bookmarkStart w:id="402" w:name="_Toc21681"/>
            <w:bookmarkStart w:id="403" w:name="_Toc28738"/>
            <w:bookmarkStart w:id="404" w:name="_Toc31409"/>
            <w:bookmarkStart w:id="405" w:name="_Toc17401"/>
            <w:bookmarkStart w:id="406" w:name="_Toc32734"/>
            <w:bookmarkStart w:id="407" w:name="_Toc27509"/>
            <w:bookmarkStart w:id="408" w:name="_Toc137664542"/>
            <w:bookmarkStart w:id="409" w:name="_Toc11301"/>
            <w:r>
              <w:rPr>
                <w:rFonts w:hint="eastAsia" w:ascii="宋体" w:hAnsi="宋体" w:eastAsia="宋体" w:cs="宋体"/>
                <w:b/>
                <w:bCs/>
                <w:sz w:val="24"/>
                <w:szCs w:val="24"/>
              </w:rPr>
              <w:t>注：人员资料由供应商自行考虑提供并附相关资料、社保缴纳凭证。</w:t>
            </w:r>
            <w:bookmarkEnd w:id="395"/>
            <w:bookmarkEnd w:id="396"/>
            <w:bookmarkEnd w:id="397"/>
            <w:bookmarkEnd w:id="398"/>
            <w:r>
              <w:rPr>
                <w:rFonts w:hint="eastAsia" w:ascii="宋体" w:hAnsi="宋体" w:eastAsia="宋体" w:cs="宋体"/>
                <w:b/>
                <w:bCs/>
                <w:sz w:val="24"/>
                <w:szCs w:val="24"/>
              </w:rPr>
              <w:t>所提供的资料均附于本表后，作为本表的附件。</w:t>
            </w:r>
            <w:bookmarkEnd w:id="399"/>
            <w:bookmarkEnd w:id="400"/>
            <w:bookmarkEnd w:id="401"/>
            <w:bookmarkEnd w:id="402"/>
            <w:bookmarkEnd w:id="403"/>
            <w:bookmarkEnd w:id="404"/>
            <w:bookmarkEnd w:id="405"/>
            <w:bookmarkEnd w:id="406"/>
            <w:bookmarkEnd w:id="407"/>
            <w:bookmarkEnd w:id="408"/>
            <w:bookmarkEnd w:id="409"/>
          </w:p>
        </w:tc>
      </w:tr>
    </w:tbl>
    <w:p>
      <w:pPr>
        <w:pStyle w:val="20"/>
        <w:ind w:firstLine="0"/>
        <w:jc w:val="center"/>
        <w:rPr>
          <w:rFonts w:ascii="宋体" w:hAnsi="宋体" w:eastAsia="宋体" w:cs="宋体"/>
          <w:bCs/>
        </w:rPr>
      </w:pPr>
      <w:r>
        <w:rPr>
          <w:rFonts w:hint="eastAsia" w:ascii="宋体" w:hAnsi="宋体" w:eastAsia="宋体" w:cs="宋体"/>
          <w:bCs/>
        </w:rPr>
        <w:t xml:space="preserve">        </w:t>
      </w:r>
    </w:p>
    <w:p>
      <w:pPr>
        <w:spacing w:line="600" w:lineRule="auto"/>
        <w:jc w:val="center"/>
        <w:rPr>
          <w:rFonts w:ascii="宋体" w:hAnsi="宋体" w:cs="宋体"/>
          <w:sz w:val="24"/>
          <w:szCs w:val="24"/>
        </w:rPr>
      </w:pPr>
      <w:bookmarkStart w:id="410" w:name="_Toc7251"/>
      <w:bookmarkStart w:id="411" w:name="_Toc2493"/>
      <w:bookmarkStart w:id="412" w:name="_Toc13542"/>
      <w:r>
        <w:rPr>
          <w:rFonts w:hint="eastAsia" w:ascii="宋体" w:hAnsi="宋体" w:cs="宋体"/>
          <w:sz w:val="28"/>
          <w:szCs w:val="28"/>
        </w:rPr>
        <w:t xml:space="preserve">            </w:t>
      </w:r>
      <w:r>
        <w:rPr>
          <w:rFonts w:hint="eastAsia" w:ascii="宋体" w:hAnsi="宋体" w:cs="宋体"/>
          <w:sz w:val="24"/>
          <w:szCs w:val="24"/>
        </w:rPr>
        <w:t>供应商名称（盖章）：</w:t>
      </w:r>
    </w:p>
    <w:p>
      <w:pPr>
        <w:spacing w:line="600" w:lineRule="auto"/>
        <w:jc w:val="right"/>
        <w:rPr>
          <w:rFonts w:ascii="宋体" w:hAnsi="宋体" w:cs="宋体"/>
          <w:sz w:val="24"/>
          <w:szCs w:val="24"/>
        </w:rPr>
      </w:pPr>
      <w:r>
        <w:rPr>
          <w:rFonts w:hint="eastAsia" w:ascii="宋体" w:hAnsi="宋体" w:cs="宋体"/>
          <w:sz w:val="24"/>
          <w:szCs w:val="24"/>
        </w:rPr>
        <w:t>法定代表人或委托代理人（签字或盖章）：</w:t>
      </w:r>
    </w:p>
    <w:p>
      <w:pPr>
        <w:spacing w:line="600" w:lineRule="auto"/>
        <w:jc w:val="right"/>
        <w:rPr>
          <w:rFonts w:ascii="宋体" w:hAnsi="宋体" w:cs="宋体"/>
          <w:sz w:val="28"/>
          <w:szCs w:val="28"/>
        </w:rPr>
      </w:pPr>
      <w:r>
        <w:rPr>
          <w:rFonts w:hint="eastAsia" w:ascii="宋体" w:hAnsi="宋体" w:cs="宋体"/>
          <w:sz w:val="24"/>
          <w:szCs w:val="24"/>
        </w:rPr>
        <w:t>日期：     年   月   日</w:t>
      </w:r>
    </w:p>
    <w:p>
      <w:pPr>
        <w:pStyle w:val="3"/>
        <w:jc w:val="both"/>
        <w:rPr>
          <w:rFonts w:ascii="宋体" w:hAnsi="宋体" w:eastAsia="宋体" w:cs="宋体"/>
          <w:b/>
          <w:bCs/>
          <w:sz w:val="32"/>
          <w:szCs w:val="32"/>
        </w:rPr>
      </w:pPr>
      <w:r>
        <w:rPr>
          <w:rFonts w:hint="eastAsia" w:ascii="宋体" w:hAnsi="宋体" w:eastAsia="宋体" w:cs="宋体"/>
          <w:szCs w:val="28"/>
        </w:rPr>
        <w:br w:type="page"/>
      </w:r>
      <w:bookmarkStart w:id="413" w:name="_Toc137664543"/>
      <w:bookmarkStart w:id="414" w:name="_Toc21341"/>
      <w:r>
        <w:rPr>
          <w:rFonts w:hint="eastAsia" w:ascii="宋体" w:hAnsi="宋体" w:eastAsia="宋体" w:cs="宋体"/>
          <w:b/>
          <w:bCs/>
          <w:sz w:val="32"/>
          <w:szCs w:val="32"/>
        </w:rPr>
        <w:t>附件15:</w:t>
      </w:r>
      <w:bookmarkEnd w:id="410"/>
      <w:bookmarkEnd w:id="411"/>
      <w:bookmarkEnd w:id="412"/>
      <w:bookmarkEnd w:id="413"/>
    </w:p>
    <w:bookmarkEnd w:id="414"/>
    <w:p>
      <w:pPr>
        <w:pStyle w:val="3"/>
        <w:rPr>
          <w:rFonts w:ascii="宋体" w:hAnsi="宋体" w:eastAsia="宋体" w:cs="宋体"/>
          <w:b/>
          <w:bCs/>
          <w:sz w:val="32"/>
          <w:szCs w:val="32"/>
        </w:rPr>
      </w:pPr>
      <w:bookmarkStart w:id="415" w:name="_Toc137664544"/>
      <w:r>
        <w:rPr>
          <w:rFonts w:hint="eastAsia" w:ascii="宋体" w:hAnsi="宋体" w:eastAsia="宋体" w:cs="宋体"/>
          <w:b/>
          <w:bCs/>
          <w:sz w:val="32"/>
          <w:szCs w:val="32"/>
        </w:rPr>
        <w:t>拟投入本项目设备情况表</w:t>
      </w:r>
      <w:bookmarkEnd w:id="415"/>
    </w:p>
    <w:tbl>
      <w:tblPr>
        <w:tblStyle w:val="32"/>
        <w:tblW w:w="492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9"/>
        <w:gridCol w:w="1036"/>
        <w:gridCol w:w="755"/>
        <w:gridCol w:w="949"/>
        <w:gridCol w:w="1163"/>
        <w:gridCol w:w="1235"/>
        <w:gridCol w:w="1309"/>
        <w:gridCol w:w="749"/>
        <w:gridCol w:w="7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395" w:type="pct"/>
            <w:vAlign w:val="center"/>
          </w:tcPr>
          <w:p>
            <w:pPr>
              <w:pStyle w:val="183"/>
              <w:jc w:val="center"/>
              <w:rPr>
                <w:szCs w:val="21"/>
              </w:rPr>
            </w:pPr>
            <w:bookmarkStart w:id="416" w:name="_Toc12791"/>
            <w:bookmarkStart w:id="417" w:name="_Toc28079"/>
            <w:bookmarkStart w:id="418" w:name="_Toc12421"/>
            <w:r>
              <w:rPr>
                <w:rFonts w:hint="eastAsia"/>
                <w:szCs w:val="21"/>
              </w:rPr>
              <w:t>序号</w:t>
            </w:r>
          </w:p>
        </w:tc>
        <w:tc>
          <w:tcPr>
            <w:tcW w:w="603" w:type="pct"/>
            <w:vAlign w:val="center"/>
          </w:tcPr>
          <w:p>
            <w:pPr>
              <w:pStyle w:val="183"/>
              <w:jc w:val="center"/>
              <w:rPr>
                <w:szCs w:val="21"/>
              </w:rPr>
            </w:pPr>
            <w:r>
              <w:rPr>
                <w:rFonts w:hint="eastAsia"/>
                <w:szCs w:val="21"/>
              </w:rPr>
              <w:t>仪器设备名称</w:t>
            </w:r>
          </w:p>
        </w:tc>
        <w:tc>
          <w:tcPr>
            <w:tcW w:w="439" w:type="pct"/>
            <w:vAlign w:val="center"/>
          </w:tcPr>
          <w:p>
            <w:pPr>
              <w:pStyle w:val="183"/>
              <w:jc w:val="center"/>
              <w:rPr>
                <w:szCs w:val="21"/>
              </w:rPr>
            </w:pPr>
            <w:r>
              <w:rPr>
                <w:rFonts w:hint="eastAsia"/>
                <w:szCs w:val="21"/>
              </w:rPr>
              <w:t>型号规格</w:t>
            </w:r>
          </w:p>
        </w:tc>
        <w:tc>
          <w:tcPr>
            <w:tcW w:w="552" w:type="pct"/>
            <w:vAlign w:val="center"/>
          </w:tcPr>
          <w:p>
            <w:pPr>
              <w:pStyle w:val="183"/>
              <w:jc w:val="center"/>
              <w:rPr>
                <w:szCs w:val="21"/>
              </w:rPr>
            </w:pPr>
            <w:r>
              <w:rPr>
                <w:rFonts w:hint="eastAsia"/>
                <w:szCs w:val="21"/>
              </w:rPr>
              <w:t>数量</w:t>
            </w:r>
          </w:p>
        </w:tc>
        <w:tc>
          <w:tcPr>
            <w:tcW w:w="677" w:type="pct"/>
            <w:vAlign w:val="center"/>
          </w:tcPr>
          <w:p>
            <w:pPr>
              <w:pStyle w:val="183"/>
              <w:jc w:val="center"/>
              <w:rPr>
                <w:szCs w:val="21"/>
              </w:rPr>
            </w:pPr>
            <w:r>
              <w:rPr>
                <w:rFonts w:hint="eastAsia"/>
                <w:szCs w:val="21"/>
              </w:rPr>
              <w:t>国别产地</w:t>
            </w:r>
          </w:p>
        </w:tc>
        <w:tc>
          <w:tcPr>
            <w:tcW w:w="719" w:type="pct"/>
            <w:vAlign w:val="center"/>
          </w:tcPr>
          <w:p>
            <w:pPr>
              <w:pStyle w:val="183"/>
              <w:jc w:val="center"/>
              <w:rPr>
                <w:szCs w:val="21"/>
              </w:rPr>
            </w:pPr>
            <w:r>
              <w:rPr>
                <w:rFonts w:hint="eastAsia"/>
                <w:szCs w:val="21"/>
              </w:rPr>
              <w:t>制造年份</w:t>
            </w:r>
          </w:p>
        </w:tc>
        <w:tc>
          <w:tcPr>
            <w:tcW w:w="762" w:type="pct"/>
            <w:vAlign w:val="center"/>
          </w:tcPr>
          <w:p>
            <w:pPr>
              <w:pStyle w:val="183"/>
              <w:jc w:val="center"/>
              <w:rPr>
                <w:szCs w:val="21"/>
              </w:rPr>
            </w:pPr>
            <w:r>
              <w:rPr>
                <w:rFonts w:hint="eastAsia"/>
                <w:szCs w:val="21"/>
              </w:rPr>
              <w:t>已使用台时数</w:t>
            </w:r>
          </w:p>
        </w:tc>
        <w:tc>
          <w:tcPr>
            <w:tcW w:w="436" w:type="pct"/>
            <w:vAlign w:val="center"/>
          </w:tcPr>
          <w:p>
            <w:pPr>
              <w:pStyle w:val="183"/>
              <w:jc w:val="center"/>
              <w:rPr>
                <w:szCs w:val="21"/>
              </w:rPr>
            </w:pPr>
            <w:r>
              <w:rPr>
                <w:rFonts w:hint="eastAsia"/>
                <w:szCs w:val="21"/>
              </w:rPr>
              <w:t>用途</w:t>
            </w:r>
          </w:p>
        </w:tc>
        <w:tc>
          <w:tcPr>
            <w:tcW w:w="417" w:type="pct"/>
            <w:vAlign w:val="center"/>
          </w:tcPr>
          <w:p>
            <w:pPr>
              <w:pStyle w:val="183"/>
              <w:jc w:val="center"/>
              <w:rPr>
                <w:szCs w:val="21"/>
              </w:rPr>
            </w:pPr>
            <w:r>
              <w:rPr>
                <w:rFonts w:hint="eastAsia"/>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395" w:type="pct"/>
            <w:vAlign w:val="center"/>
          </w:tcPr>
          <w:p>
            <w:pPr>
              <w:pStyle w:val="183"/>
              <w:jc w:val="center"/>
              <w:rPr>
                <w:szCs w:val="21"/>
              </w:rPr>
            </w:pPr>
          </w:p>
        </w:tc>
        <w:tc>
          <w:tcPr>
            <w:tcW w:w="603" w:type="pct"/>
            <w:vAlign w:val="center"/>
          </w:tcPr>
          <w:p>
            <w:pPr>
              <w:pStyle w:val="183"/>
              <w:jc w:val="center"/>
              <w:rPr>
                <w:szCs w:val="21"/>
              </w:rPr>
            </w:pPr>
          </w:p>
        </w:tc>
        <w:tc>
          <w:tcPr>
            <w:tcW w:w="439" w:type="pct"/>
            <w:vAlign w:val="center"/>
          </w:tcPr>
          <w:p>
            <w:pPr>
              <w:pStyle w:val="183"/>
              <w:jc w:val="center"/>
              <w:rPr>
                <w:szCs w:val="21"/>
              </w:rPr>
            </w:pPr>
          </w:p>
        </w:tc>
        <w:tc>
          <w:tcPr>
            <w:tcW w:w="552" w:type="pct"/>
            <w:vAlign w:val="center"/>
          </w:tcPr>
          <w:p>
            <w:pPr>
              <w:pStyle w:val="183"/>
              <w:jc w:val="center"/>
              <w:rPr>
                <w:szCs w:val="21"/>
              </w:rPr>
            </w:pPr>
          </w:p>
        </w:tc>
        <w:tc>
          <w:tcPr>
            <w:tcW w:w="677" w:type="pct"/>
            <w:vAlign w:val="center"/>
          </w:tcPr>
          <w:p>
            <w:pPr>
              <w:pStyle w:val="183"/>
              <w:jc w:val="center"/>
              <w:rPr>
                <w:szCs w:val="21"/>
              </w:rPr>
            </w:pPr>
          </w:p>
        </w:tc>
        <w:tc>
          <w:tcPr>
            <w:tcW w:w="719" w:type="pct"/>
            <w:vAlign w:val="center"/>
          </w:tcPr>
          <w:p>
            <w:pPr>
              <w:pStyle w:val="183"/>
              <w:jc w:val="center"/>
              <w:rPr>
                <w:szCs w:val="21"/>
              </w:rPr>
            </w:pPr>
          </w:p>
        </w:tc>
        <w:tc>
          <w:tcPr>
            <w:tcW w:w="762" w:type="pct"/>
            <w:vAlign w:val="center"/>
          </w:tcPr>
          <w:p>
            <w:pPr>
              <w:pStyle w:val="183"/>
              <w:jc w:val="center"/>
              <w:rPr>
                <w:szCs w:val="21"/>
              </w:rPr>
            </w:pPr>
          </w:p>
        </w:tc>
        <w:tc>
          <w:tcPr>
            <w:tcW w:w="436" w:type="pct"/>
            <w:vAlign w:val="center"/>
          </w:tcPr>
          <w:p>
            <w:pPr>
              <w:pStyle w:val="183"/>
              <w:jc w:val="center"/>
              <w:rPr>
                <w:szCs w:val="21"/>
              </w:rPr>
            </w:pPr>
          </w:p>
        </w:tc>
        <w:tc>
          <w:tcPr>
            <w:tcW w:w="417" w:type="pct"/>
            <w:vAlign w:val="center"/>
          </w:tcPr>
          <w:p>
            <w:pPr>
              <w:pStyle w:val="183"/>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395" w:type="pct"/>
            <w:vAlign w:val="center"/>
          </w:tcPr>
          <w:p>
            <w:pPr>
              <w:pStyle w:val="183"/>
              <w:jc w:val="center"/>
              <w:rPr>
                <w:szCs w:val="21"/>
              </w:rPr>
            </w:pPr>
          </w:p>
        </w:tc>
        <w:tc>
          <w:tcPr>
            <w:tcW w:w="603" w:type="pct"/>
            <w:vAlign w:val="center"/>
          </w:tcPr>
          <w:p>
            <w:pPr>
              <w:pStyle w:val="183"/>
              <w:jc w:val="center"/>
              <w:rPr>
                <w:szCs w:val="21"/>
              </w:rPr>
            </w:pPr>
          </w:p>
        </w:tc>
        <w:tc>
          <w:tcPr>
            <w:tcW w:w="439" w:type="pct"/>
            <w:vAlign w:val="center"/>
          </w:tcPr>
          <w:p>
            <w:pPr>
              <w:pStyle w:val="183"/>
              <w:jc w:val="center"/>
              <w:rPr>
                <w:szCs w:val="21"/>
              </w:rPr>
            </w:pPr>
          </w:p>
        </w:tc>
        <w:tc>
          <w:tcPr>
            <w:tcW w:w="552" w:type="pct"/>
            <w:vAlign w:val="center"/>
          </w:tcPr>
          <w:p>
            <w:pPr>
              <w:pStyle w:val="183"/>
              <w:jc w:val="center"/>
              <w:rPr>
                <w:szCs w:val="21"/>
              </w:rPr>
            </w:pPr>
          </w:p>
        </w:tc>
        <w:tc>
          <w:tcPr>
            <w:tcW w:w="677" w:type="pct"/>
            <w:vAlign w:val="center"/>
          </w:tcPr>
          <w:p>
            <w:pPr>
              <w:pStyle w:val="183"/>
              <w:jc w:val="center"/>
              <w:rPr>
                <w:szCs w:val="21"/>
              </w:rPr>
            </w:pPr>
          </w:p>
        </w:tc>
        <w:tc>
          <w:tcPr>
            <w:tcW w:w="719" w:type="pct"/>
            <w:vAlign w:val="center"/>
          </w:tcPr>
          <w:p>
            <w:pPr>
              <w:pStyle w:val="183"/>
              <w:jc w:val="center"/>
              <w:rPr>
                <w:szCs w:val="21"/>
              </w:rPr>
            </w:pPr>
          </w:p>
        </w:tc>
        <w:tc>
          <w:tcPr>
            <w:tcW w:w="762" w:type="pct"/>
            <w:vAlign w:val="center"/>
          </w:tcPr>
          <w:p>
            <w:pPr>
              <w:pStyle w:val="183"/>
              <w:jc w:val="center"/>
              <w:rPr>
                <w:szCs w:val="21"/>
              </w:rPr>
            </w:pPr>
          </w:p>
        </w:tc>
        <w:tc>
          <w:tcPr>
            <w:tcW w:w="436" w:type="pct"/>
            <w:vAlign w:val="center"/>
          </w:tcPr>
          <w:p>
            <w:pPr>
              <w:pStyle w:val="183"/>
              <w:jc w:val="center"/>
              <w:rPr>
                <w:szCs w:val="21"/>
              </w:rPr>
            </w:pPr>
          </w:p>
        </w:tc>
        <w:tc>
          <w:tcPr>
            <w:tcW w:w="417" w:type="pct"/>
            <w:vAlign w:val="center"/>
          </w:tcPr>
          <w:p>
            <w:pPr>
              <w:pStyle w:val="183"/>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395" w:type="pct"/>
            <w:vAlign w:val="center"/>
          </w:tcPr>
          <w:p>
            <w:pPr>
              <w:pStyle w:val="183"/>
              <w:jc w:val="center"/>
              <w:rPr>
                <w:szCs w:val="21"/>
              </w:rPr>
            </w:pPr>
          </w:p>
        </w:tc>
        <w:tc>
          <w:tcPr>
            <w:tcW w:w="603" w:type="pct"/>
            <w:vAlign w:val="center"/>
          </w:tcPr>
          <w:p>
            <w:pPr>
              <w:pStyle w:val="183"/>
              <w:jc w:val="center"/>
              <w:rPr>
                <w:szCs w:val="21"/>
              </w:rPr>
            </w:pPr>
          </w:p>
        </w:tc>
        <w:tc>
          <w:tcPr>
            <w:tcW w:w="439" w:type="pct"/>
            <w:vAlign w:val="center"/>
          </w:tcPr>
          <w:p>
            <w:pPr>
              <w:pStyle w:val="183"/>
              <w:jc w:val="center"/>
              <w:rPr>
                <w:szCs w:val="21"/>
              </w:rPr>
            </w:pPr>
          </w:p>
        </w:tc>
        <w:tc>
          <w:tcPr>
            <w:tcW w:w="552" w:type="pct"/>
            <w:vAlign w:val="center"/>
          </w:tcPr>
          <w:p>
            <w:pPr>
              <w:pStyle w:val="183"/>
              <w:jc w:val="center"/>
              <w:rPr>
                <w:szCs w:val="21"/>
              </w:rPr>
            </w:pPr>
          </w:p>
        </w:tc>
        <w:tc>
          <w:tcPr>
            <w:tcW w:w="677" w:type="pct"/>
            <w:vAlign w:val="center"/>
          </w:tcPr>
          <w:p>
            <w:pPr>
              <w:pStyle w:val="183"/>
              <w:jc w:val="center"/>
              <w:rPr>
                <w:szCs w:val="21"/>
              </w:rPr>
            </w:pPr>
          </w:p>
        </w:tc>
        <w:tc>
          <w:tcPr>
            <w:tcW w:w="719" w:type="pct"/>
            <w:vAlign w:val="center"/>
          </w:tcPr>
          <w:p>
            <w:pPr>
              <w:pStyle w:val="183"/>
              <w:jc w:val="center"/>
              <w:rPr>
                <w:szCs w:val="21"/>
              </w:rPr>
            </w:pPr>
          </w:p>
        </w:tc>
        <w:tc>
          <w:tcPr>
            <w:tcW w:w="762" w:type="pct"/>
            <w:vAlign w:val="center"/>
          </w:tcPr>
          <w:p>
            <w:pPr>
              <w:pStyle w:val="183"/>
              <w:jc w:val="center"/>
              <w:rPr>
                <w:szCs w:val="21"/>
              </w:rPr>
            </w:pPr>
          </w:p>
        </w:tc>
        <w:tc>
          <w:tcPr>
            <w:tcW w:w="436" w:type="pct"/>
            <w:vAlign w:val="center"/>
          </w:tcPr>
          <w:p>
            <w:pPr>
              <w:pStyle w:val="183"/>
              <w:jc w:val="center"/>
              <w:rPr>
                <w:szCs w:val="21"/>
              </w:rPr>
            </w:pPr>
          </w:p>
        </w:tc>
        <w:tc>
          <w:tcPr>
            <w:tcW w:w="417" w:type="pct"/>
            <w:vAlign w:val="center"/>
          </w:tcPr>
          <w:p>
            <w:pPr>
              <w:pStyle w:val="183"/>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395" w:type="pct"/>
            <w:vAlign w:val="center"/>
          </w:tcPr>
          <w:p>
            <w:pPr>
              <w:pStyle w:val="183"/>
              <w:jc w:val="center"/>
              <w:rPr>
                <w:szCs w:val="21"/>
              </w:rPr>
            </w:pPr>
          </w:p>
        </w:tc>
        <w:tc>
          <w:tcPr>
            <w:tcW w:w="603" w:type="pct"/>
            <w:vAlign w:val="center"/>
          </w:tcPr>
          <w:p>
            <w:pPr>
              <w:pStyle w:val="183"/>
              <w:jc w:val="center"/>
              <w:rPr>
                <w:szCs w:val="21"/>
              </w:rPr>
            </w:pPr>
          </w:p>
        </w:tc>
        <w:tc>
          <w:tcPr>
            <w:tcW w:w="439" w:type="pct"/>
            <w:vAlign w:val="center"/>
          </w:tcPr>
          <w:p>
            <w:pPr>
              <w:pStyle w:val="183"/>
              <w:jc w:val="center"/>
              <w:rPr>
                <w:szCs w:val="21"/>
              </w:rPr>
            </w:pPr>
          </w:p>
        </w:tc>
        <w:tc>
          <w:tcPr>
            <w:tcW w:w="552" w:type="pct"/>
            <w:vAlign w:val="center"/>
          </w:tcPr>
          <w:p>
            <w:pPr>
              <w:pStyle w:val="183"/>
              <w:jc w:val="center"/>
              <w:rPr>
                <w:szCs w:val="21"/>
              </w:rPr>
            </w:pPr>
          </w:p>
        </w:tc>
        <w:tc>
          <w:tcPr>
            <w:tcW w:w="677" w:type="pct"/>
            <w:vAlign w:val="center"/>
          </w:tcPr>
          <w:p>
            <w:pPr>
              <w:pStyle w:val="183"/>
              <w:jc w:val="center"/>
              <w:rPr>
                <w:szCs w:val="21"/>
              </w:rPr>
            </w:pPr>
          </w:p>
        </w:tc>
        <w:tc>
          <w:tcPr>
            <w:tcW w:w="719" w:type="pct"/>
            <w:vAlign w:val="center"/>
          </w:tcPr>
          <w:p>
            <w:pPr>
              <w:pStyle w:val="183"/>
              <w:jc w:val="center"/>
              <w:rPr>
                <w:szCs w:val="21"/>
              </w:rPr>
            </w:pPr>
          </w:p>
        </w:tc>
        <w:tc>
          <w:tcPr>
            <w:tcW w:w="762" w:type="pct"/>
            <w:vAlign w:val="center"/>
          </w:tcPr>
          <w:p>
            <w:pPr>
              <w:pStyle w:val="183"/>
              <w:jc w:val="center"/>
              <w:rPr>
                <w:szCs w:val="21"/>
              </w:rPr>
            </w:pPr>
          </w:p>
        </w:tc>
        <w:tc>
          <w:tcPr>
            <w:tcW w:w="436" w:type="pct"/>
            <w:vAlign w:val="center"/>
          </w:tcPr>
          <w:p>
            <w:pPr>
              <w:pStyle w:val="183"/>
              <w:jc w:val="center"/>
              <w:rPr>
                <w:szCs w:val="21"/>
              </w:rPr>
            </w:pPr>
          </w:p>
        </w:tc>
        <w:tc>
          <w:tcPr>
            <w:tcW w:w="417" w:type="pct"/>
            <w:vAlign w:val="center"/>
          </w:tcPr>
          <w:p>
            <w:pPr>
              <w:pStyle w:val="183"/>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395" w:type="pct"/>
            <w:vAlign w:val="center"/>
          </w:tcPr>
          <w:p>
            <w:pPr>
              <w:pStyle w:val="183"/>
              <w:jc w:val="center"/>
              <w:rPr>
                <w:szCs w:val="21"/>
              </w:rPr>
            </w:pPr>
          </w:p>
        </w:tc>
        <w:tc>
          <w:tcPr>
            <w:tcW w:w="603" w:type="pct"/>
            <w:vAlign w:val="center"/>
          </w:tcPr>
          <w:p>
            <w:pPr>
              <w:pStyle w:val="183"/>
              <w:jc w:val="center"/>
              <w:rPr>
                <w:szCs w:val="21"/>
              </w:rPr>
            </w:pPr>
          </w:p>
        </w:tc>
        <w:tc>
          <w:tcPr>
            <w:tcW w:w="439" w:type="pct"/>
            <w:vAlign w:val="center"/>
          </w:tcPr>
          <w:p>
            <w:pPr>
              <w:pStyle w:val="183"/>
              <w:jc w:val="center"/>
              <w:rPr>
                <w:szCs w:val="21"/>
              </w:rPr>
            </w:pPr>
          </w:p>
        </w:tc>
        <w:tc>
          <w:tcPr>
            <w:tcW w:w="552" w:type="pct"/>
            <w:vAlign w:val="center"/>
          </w:tcPr>
          <w:p>
            <w:pPr>
              <w:pStyle w:val="183"/>
              <w:jc w:val="center"/>
              <w:rPr>
                <w:szCs w:val="21"/>
              </w:rPr>
            </w:pPr>
          </w:p>
        </w:tc>
        <w:tc>
          <w:tcPr>
            <w:tcW w:w="677" w:type="pct"/>
            <w:vAlign w:val="center"/>
          </w:tcPr>
          <w:p>
            <w:pPr>
              <w:pStyle w:val="183"/>
              <w:jc w:val="center"/>
              <w:rPr>
                <w:szCs w:val="21"/>
              </w:rPr>
            </w:pPr>
          </w:p>
        </w:tc>
        <w:tc>
          <w:tcPr>
            <w:tcW w:w="719" w:type="pct"/>
            <w:vAlign w:val="center"/>
          </w:tcPr>
          <w:p>
            <w:pPr>
              <w:pStyle w:val="183"/>
              <w:jc w:val="center"/>
              <w:rPr>
                <w:szCs w:val="21"/>
              </w:rPr>
            </w:pPr>
          </w:p>
        </w:tc>
        <w:tc>
          <w:tcPr>
            <w:tcW w:w="762" w:type="pct"/>
            <w:vAlign w:val="center"/>
          </w:tcPr>
          <w:p>
            <w:pPr>
              <w:pStyle w:val="183"/>
              <w:jc w:val="center"/>
              <w:rPr>
                <w:szCs w:val="21"/>
              </w:rPr>
            </w:pPr>
          </w:p>
        </w:tc>
        <w:tc>
          <w:tcPr>
            <w:tcW w:w="436" w:type="pct"/>
            <w:vAlign w:val="center"/>
          </w:tcPr>
          <w:p>
            <w:pPr>
              <w:pStyle w:val="183"/>
              <w:jc w:val="center"/>
              <w:rPr>
                <w:szCs w:val="21"/>
              </w:rPr>
            </w:pPr>
          </w:p>
        </w:tc>
        <w:tc>
          <w:tcPr>
            <w:tcW w:w="417" w:type="pct"/>
            <w:vAlign w:val="center"/>
          </w:tcPr>
          <w:p>
            <w:pPr>
              <w:pStyle w:val="183"/>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395" w:type="pct"/>
            <w:vAlign w:val="center"/>
          </w:tcPr>
          <w:p>
            <w:pPr>
              <w:pStyle w:val="183"/>
              <w:jc w:val="center"/>
              <w:rPr>
                <w:szCs w:val="21"/>
              </w:rPr>
            </w:pPr>
          </w:p>
        </w:tc>
        <w:tc>
          <w:tcPr>
            <w:tcW w:w="603" w:type="pct"/>
            <w:vAlign w:val="center"/>
          </w:tcPr>
          <w:p>
            <w:pPr>
              <w:pStyle w:val="183"/>
              <w:jc w:val="center"/>
              <w:rPr>
                <w:szCs w:val="21"/>
              </w:rPr>
            </w:pPr>
          </w:p>
        </w:tc>
        <w:tc>
          <w:tcPr>
            <w:tcW w:w="439" w:type="pct"/>
            <w:vAlign w:val="center"/>
          </w:tcPr>
          <w:p>
            <w:pPr>
              <w:pStyle w:val="183"/>
              <w:jc w:val="center"/>
              <w:rPr>
                <w:szCs w:val="21"/>
              </w:rPr>
            </w:pPr>
          </w:p>
        </w:tc>
        <w:tc>
          <w:tcPr>
            <w:tcW w:w="552" w:type="pct"/>
            <w:vAlign w:val="center"/>
          </w:tcPr>
          <w:p>
            <w:pPr>
              <w:pStyle w:val="183"/>
              <w:jc w:val="center"/>
              <w:rPr>
                <w:szCs w:val="21"/>
              </w:rPr>
            </w:pPr>
          </w:p>
        </w:tc>
        <w:tc>
          <w:tcPr>
            <w:tcW w:w="677" w:type="pct"/>
            <w:vAlign w:val="center"/>
          </w:tcPr>
          <w:p>
            <w:pPr>
              <w:pStyle w:val="183"/>
              <w:jc w:val="center"/>
              <w:rPr>
                <w:szCs w:val="21"/>
              </w:rPr>
            </w:pPr>
          </w:p>
        </w:tc>
        <w:tc>
          <w:tcPr>
            <w:tcW w:w="719" w:type="pct"/>
            <w:vAlign w:val="center"/>
          </w:tcPr>
          <w:p>
            <w:pPr>
              <w:pStyle w:val="183"/>
              <w:jc w:val="center"/>
              <w:rPr>
                <w:szCs w:val="21"/>
              </w:rPr>
            </w:pPr>
          </w:p>
        </w:tc>
        <w:tc>
          <w:tcPr>
            <w:tcW w:w="762" w:type="pct"/>
            <w:vAlign w:val="center"/>
          </w:tcPr>
          <w:p>
            <w:pPr>
              <w:pStyle w:val="183"/>
              <w:jc w:val="center"/>
              <w:rPr>
                <w:szCs w:val="21"/>
              </w:rPr>
            </w:pPr>
          </w:p>
        </w:tc>
        <w:tc>
          <w:tcPr>
            <w:tcW w:w="436" w:type="pct"/>
            <w:vAlign w:val="center"/>
          </w:tcPr>
          <w:p>
            <w:pPr>
              <w:pStyle w:val="183"/>
              <w:jc w:val="center"/>
              <w:rPr>
                <w:szCs w:val="21"/>
              </w:rPr>
            </w:pPr>
          </w:p>
        </w:tc>
        <w:tc>
          <w:tcPr>
            <w:tcW w:w="417" w:type="pct"/>
            <w:vAlign w:val="center"/>
          </w:tcPr>
          <w:p>
            <w:pPr>
              <w:pStyle w:val="183"/>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395" w:type="pct"/>
            <w:vAlign w:val="center"/>
          </w:tcPr>
          <w:p>
            <w:pPr>
              <w:pStyle w:val="183"/>
              <w:jc w:val="center"/>
              <w:rPr>
                <w:szCs w:val="21"/>
              </w:rPr>
            </w:pPr>
          </w:p>
        </w:tc>
        <w:tc>
          <w:tcPr>
            <w:tcW w:w="603" w:type="pct"/>
            <w:vAlign w:val="center"/>
          </w:tcPr>
          <w:p>
            <w:pPr>
              <w:pStyle w:val="183"/>
              <w:jc w:val="center"/>
              <w:rPr>
                <w:szCs w:val="21"/>
              </w:rPr>
            </w:pPr>
          </w:p>
        </w:tc>
        <w:tc>
          <w:tcPr>
            <w:tcW w:w="439" w:type="pct"/>
            <w:vAlign w:val="center"/>
          </w:tcPr>
          <w:p>
            <w:pPr>
              <w:pStyle w:val="183"/>
              <w:jc w:val="center"/>
              <w:rPr>
                <w:szCs w:val="21"/>
              </w:rPr>
            </w:pPr>
          </w:p>
        </w:tc>
        <w:tc>
          <w:tcPr>
            <w:tcW w:w="552" w:type="pct"/>
            <w:vAlign w:val="center"/>
          </w:tcPr>
          <w:p>
            <w:pPr>
              <w:pStyle w:val="183"/>
              <w:jc w:val="center"/>
              <w:rPr>
                <w:szCs w:val="21"/>
              </w:rPr>
            </w:pPr>
          </w:p>
        </w:tc>
        <w:tc>
          <w:tcPr>
            <w:tcW w:w="677" w:type="pct"/>
            <w:vAlign w:val="center"/>
          </w:tcPr>
          <w:p>
            <w:pPr>
              <w:pStyle w:val="183"/>
              <w:jc w:val="center"/>
              <w:rPr>
                <w:szCs w:val="21"/>
              </w:rPr>
            </w:pPr>
          </w:p>
        </w:tc>
        <w:tc>
          <w:tcPr>
            <w:tcW w:w="719" w:type="pct"/>
            <w:vAlign w:val="center"/>
          </w:tcPr>
          <w:p>
            <w:pPr>
              <w:pStyle w:val="183"/>
              <w:jc w:val="center"/>
              <w:rPr>
                <w:szCs w:val="21"/>
              </w:rPr>
            </w:pPr>
          </w:p>
        </w:tc>
        <w:tc>
          <w:tcPr>
            <w:tcW w:w="762" w:type="pct"/>
            <w:vAlign w:val="center"/>
          </w:tcPr>
          <w:p>
            <w:pPr>
              <w:pStyle w:val="183"/>
              <w:jc w:val="center"/>
              <w:rPr>
                <w:szCs w:val="21"/>
              </w:rPr>
            </w:pPr>
          </w:p>
        </w:tc>
        <w:tc>
          <w:tcPr>
            <w:tcW w:w="436" w:type="pct"/>
            <w:vAlign w:val="center"/>
          </w:tcPr>
          <w:p>
            <w:pPr>
              <w:pStyle w:val="183"/>
              <w:jc w:val="center"/>
              <w:rPr>
                <w:szCs w:val="21"/>
              </w:rPr>
            </w:pPr>
          </w:p>
        </w:tc>
        <w:tc>
          <w:tcPr>
            <w:tcW w:w="417" w:type="pct"/>
            <w:vAlign w:val="center"/>
          </w:tcPr>
          <w:p>
            <w:pPr>
              <w:pStyle w:val="183"/>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395" w:type="pct"/>
            <w:vAlign w:val="center"/>
          </w:tcPr>
          <w:p>
            <w:pPr>
              <w:pStyle w:val="183"/>
              <w:jc w:val="center"/>
              <w:rPr>
                <w:szCs w:val="21"/>
              </w:rPr>
            </w:pPr>
          </w:p>
        </w:tc>
        <w:tc>
          <w:tcPr>
            <w:tcW w:w="603" w:type="pct"/>
            <w:vAlign w:val="center"/>
          </w:tcPr>
          <w:p>
            <w:pPr>
              <w:pStyle w:val="183"/>
              <w:jc w:val="center"/>
              <w:rPr>
                <w:szCs w:val="21"/>
              </w:rPr>
            </w:pPr>
          </w:p>
        </w:tc>
        <w:tc>
          <w:tcPr>
            <w:tcW w:w="439" w:type="pct"/>
            <w:vAlign w:val="center"/>
          </w:tcPr>
          <w:p>
            <w:pPr>
              <w:pStyle w:val="183"/>
              <w:jc w:val="center"/>
              <w:rPr>
                <w:szCs w:val="21"/>
              </w:rPr>
            </w:pPr>
          </w:p>
        </w:tc>
        <w:tc>
          <w:tcPr>
            <w:tcW w:w="552" w:type="pct"/>
            <w:vAlign w:val="center"/>
          </w:tcPr>
          <w:p>
            <w:pPr>
              <w:pStyle w:val="183"/>
              <w:jc w:val="center"/>
              <w:rPr>
                <w:szCs w:val="21"/>
              </w:rPr>
            </w:pPr>
          </w:p>
        </w:tc>
        <w:tc>
          <w:tcPr>
            <w:tcW w:w="677" w:type="pct"/>
            <w:vAlign w:val="center"/>
          </w:tcPr>
          <w:p>
            <w:pPr>
              <w:pStyle w:val="183"/>
              <w:jc w:val="center"/>
              <w:rPr>
                <w:szCs w:val="21"/>
              </w:rPr>
            </w:pPr>
          </w:p>
        </w:tc>
        <w:tc>
          <w:tcPr>
            <w:tcW w:w="719" w:type="pct"/>
            <w:vAlign w:val="center"/>
          </w:tcPr>
          <w:p>
            <w:pPr>
              <w:pStyle w:val="183"/>
              <w:jc w:val="center"/>
              <w:rPr>
                <w:szCs w:val="21"/>
              </w:rPr>
            </w:pPr>
          </w:p>
        </w:tc>
        <w:tc>
          <w:tcPr>
            <w:tcW w:w="762" w:type="pct"/>
            <w:vAlign w:val="center"/>
          </w:tcPr>
          <w:p>
            <w:pPr>
              <w:pStyle w:val="183"/>
              <w:jc w:val="center"/>
              <w:rPr>
                <w:szCs w:val="21"/>
              </w:rPr>
            </w:pPr>
          </w:p>
        </w:tc>
        <w:tc>
          <w:tcPr>
            <w:tcW w:w="436" w:type="pct"/>
            <w:vAlign w:val="center"/>
          </w:tcPr>
          <w:p>
            <w:pPr>
              <w:pStyle w:val="183"/>
              <w:jc w:val="center"/>
              <w:rPr>
                <w:szCs w:val="21"/>
              </w:rPr>
            </w:pPr>
          </w:p>
        </w:tc>
        <w:tc>
          <w:tcPr>
            <w:tcW w:w="417" w:type="pct"/>
            <w:vAlign w:val="center"/>
          </w:tcPr>
          <w:p>
            <w:pPr>
              <w:pStyle w:val="183"/>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395" w:type="pct"/>
            <w:vAlign w:val="center"/>
          </w:tcPr>
          <w:p>
            <w:pPr>
              <w:pStyle w:val="183"/>
              <w:jc w:val="center"/>
              <w:rPr>
                <w:szCs w:val="21"/>
              </w:rPr>
            </w:pPr>
          </w:p>
        </w:tc>
        <w:tc>
          <w:tcPr>
            <w:tcW w:w="603" w:type="pct"/>
            <w:vAlign w:val="center"/>
          </w:tcPr>
          <w:p>
            <w:pPr>
              <w:pStyle w:val="183"/>
              <w:jc w:val="center"/>
              <w:rPr>
                <w:szCs w:val="21"/>
              </w:rPr>
            </w:pPr>
          </w:p>
        </w:tc>
        <w:tc>
          <w:tcPr>
            <w:tcW w:w="439" w:type="pct"/>
            <w:vAlign w:val="center"/>
          </w:tcPr>
          <w:p>
            <w:pPr>
              <w:pStyle w:val="183"/>
              <w:jc w:val="center"/>
              <w:rPr>
                <w:szCs w:val="21"/>
              </w:rPr>
            </w:pPr>
          </w:p>
        </w:tc>
        <w:tc>
          <w:tcPr>
            <w:tcW w:w="552" w:type="pct"/>
            <w:vAlign w:val="center"/>
          </w:tcPr>
          <w:p>
            <w:pPr>
              <w:pStyle w:val="183"/>
              <w:jc w:val="center"/>
              <w:rPr>
                <w:szCs w:val="21"/>
              </w:rPr>
            </w:pPr>
          </w:p>
        </w:tc>
        <w:tc>
          <w:tcPr>
            <w:tcW w:w="677" w:type="pct"/>
            <w:vAlign w:val="center"/>
          </w:tcPr>
          <w:p>
            <w:pPr>
              <w:pStyle w:val="183"/>
              <w:jc w:val="center"/>
              <w:rPr>
                <w:szCs w:val="21"/>
              </w:rPr>
            </w:pPr>
          </w:p>
        </w:tc>
        <w:tc>
          <w:tcPr>
            <w:tcW w:w="719" w:type="pct"/>
            <w:vAlign w:val="center"/>
          </w:tcPr>
          <w:p>
            <w:pPr>
              <w:pStyle w:val="183"/>
              <w:jc w:val="center"/>
              <w:rPr>
                <w:szCs w:val="21"/>
              </w:rPr>
            </w:pPr>
          </w:p>
        </w:tc>
        <w:tc>
          <w:tcPr>
            <w:tcW w:w="762" w:type="pct"/>
            <w:vAlign w:val="center"/>
          </w:tcPr>
          <w:p>
            <w:pPr>
              <w:pStyle w:val="183"/>
              <w:jc w:val="center"/>
              <w:rPr>
                <w:szCs w:val="21"/>
              </w:rPr>
            </w:pPr>
          </w:p>
        </w:tc>
        <w:tc>
          <w:tcPr>
            <w:tcW w:w="436" w:type="pct"/>
            <w:vAlign w:val="center"/>
          </w:tcPr>
          <w:p>
            <w:pPr>
              <w:pStyle w:val="183"/>
              <w:jc w:val="center"/>
              <w:rPr>
                <w:szCs w:val="21"/>
              </w:rPr>
            </w:pPr>
          </w:p>
        </w:tc>
        <w:tc>
          <w:tcPr>
            <w:tcW w:w="417" w:type="pct"/>
            <w:vAlign w:val="center"/>
          </w:tcPr>
          <w:p>
            <w:pPr>
              <w:pStyle w:val="183"/>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395" w:type="pct"/>
            <w:vAlign w:val="center"/>
          </w:tcPr>
          <w:p>
            <w:pPr>
              <w:pStyle w:val="183"/>
              <w:jc w:val="center"/>
              <w:rPr>
                <w:szCs w:val="21"/>
              </w:rPr>
            </w:pPr>
          </w:p>
        </w:tc>
        <w:tc>
          <w:tcPr>
            <w:tcW w:w="603" w:type="pct"/>
            <w:vAlign w:val="center"/>
          </w:tcPr>
          <w:p>
            <w:pPr>
              <w:pStyle w:val="183"/>
              <w:jc w:val="center"/>
              <w:rPr>
                <w:szCs w:val="21"/>
              </w:rPr>
            </w:pPr>
          </w:p>
        </w:tc>
        <w:tc>
          <w:tcPr>
            <w:tcW w:w="439" w:type="pct"/>
            <w:vAlign w:val="center"/>
          </w:tcPr>
          <w:p>
            <w:pPr>
              <w:pStyle w:val="183"/>
              <w:jc w:val="center"/>
              <w:rPr>
                <w:szCs w:val="21"/>
              </w:rPr>
            </w:pPr>
          </w:p>
        </w:tc>
        <w:tc>
          <w:tcPr>
            <w:tcW w:w="552" w:type="pct"/>
            <w:vAlign w:val="center"/>
          </w:tcPr>
          <w:p>
            <w:pPr>
              <w:pStyle w:val="183"/>
              <w:jc w:val="center"/>
              <w:rPr>
                <w:szCs w:val="21"/>
              </w:rPr>
            </w:pPr>
          </w:p>
        </w:tc>
        <w:tc>
          <w:tcPr>
            <w:tcW w:w="677" w:type="pct"/>
            <w:vAlign w:val="center"/>
          </w:tcPr>
          <w:p>
            <w:pPr>
              <w:pStyle w:val="183"/>
              <w:jc w:val="center"/>
              <w:rPr>
                <w:szCs w:val="21"/>
              </w:rPr>
            </w:pPr>
          </w:p>
        </w:tc>
        <w:tc>
          <w:tcPr>
            <w:tcW w:w="719" w:type="pct"/>
            <w:vAlign w:val="center"/>
          </w:tcPr>
          <w:p>
            <w:pPr>
              <w:pStyle w:val="183"/>
              <w:jc w:val="center"/>
              <w:rPr>
                <w:szCs w:val="21"/>
              </w:rPr>
            </w:pPr>
          </w:p>
        </w:tc>
        <w:tc>
          <w:tcPr>
            <w:tcW w:w="762" w:type="pct"/>
            <w:vAlign w:val="center"/>
          </w:tcPr>
          <w:p>
            <w:pPr>
              <w:pStyle w:val="183"/>
              <w:jc w:val="center"/>
              <w:rPr>
                <w:szCs w:val="21"/>
              </w:rPr>
            </w:pPr>
          </w:p>
        </w:tc>
        <w:tc>
          <w:tcPr>
            <w:tcW w:w="436" w:type="pct"/>
            <w:vAlign w:val="center"/>
          </w:tcPr>
          <w:p>
            <w:pPr>
              <w:pStyle w:val="183"/>
              <w:jc w:val="center"/>
              <w:rPr>
                <w:szCs w:val="21"/>
              </w:rPr>
            </w:pPr>
          </w:p>
        </w:tc>
        <w:tc>
          <w:tcPr>
            <w:tcW w:w="417" w:type="pct"/>
            <w:vAlign w:val="center"/>
          </w:tcPr>
          <w:p>
            <w:pPr>
              <w:pStyle w:val="183"/>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395" w:type="pct"/>
            <w:vAlign w:val="center"/>
          </w:tcPr>
          <w:p>
            <w:pPr>
              <w:pStyle w:val="183"/>
              <w:jc w:val="center"/>
              <w:rPr>
                <w:szCs w:val="21"/>
              </w:rPr>
            </w:pPr>
          </w:p>
        </w:tc>
        <w:tc>
          <w:tcPr>
            <w:tcW w:w="603" w:type="pct"/>
            <w:vAlign w:val="center"/>
          </w:tcPr>
          <w:p>
            <w:pPr>
              <w:pStyle w:val="183"/>
              <w:jc w:val="center"/>
              <w:rPr>
                <w:szCs w:val="21"/>
              </w:rPr>
            </w:pPr>
          </w:p>
        </w:tc>
        <w:tc>
          <w:tcPr>
            <w:tcW w:w="439" w:type="pct"/>
            <w:vAlign w:val="center"/>
          </w:tcPr>
          <w:p>
            <w:pPr>
              <w:pStyle w:val="183"/>
              <w:jc w:val="center"/>
              <w:rPr>
                <w:szCs w:val="21"/>
              </w:rPr>
            </w:pPr>
          </w:p>
        </w:tc>
        <w:tc>
          <w:tcPr>
            <w:tcW w:w="552" w:type="pct"/>
            <w:vAlign w:val="center"/>
          </w:tcPr>
          <w:p>
            <w:pPr>
              <w:pStyle w:val="183"/>
              <w:jc w:val="center"/>
              <w:rPr>
                <w:szCs w:val="21"/>
              </w:rPr>
            </w:pPr>
          </w:p>
        </w:tc>
        <w:tc>
          <w:tcPr>
            <w:tcW w:w="677" w:type="pct"/>
            <w:vAlign w:val="center"/>
          </w:tcPr>
          <w:p>
            <w:pPr>
              <w:pStyle w:val="183"/>
              <w:jc w:val="center"/>
              <w:rPr>
                <w:szCs w:val="21"/>
              </w:rPr>
            </w:pPr>
          </w:p>
        </w:tc>
        <w:tc>
          <w:tcPr>
            <w:tcW w:w="719" w:type="pct"/>
            <w:vAlign w:val="center"/>
          </w:tcPr>
          <w:p>
            <w:pPr>
              <w:pStyle w:val="183"/>
              <w:jc w:val="center"/>
              <w:rPr>
                <w:szCs w:val="21"/>
              </w:rPr>
            </w:pPr>
          </w:p>
        </w:tc>
        <w:tc>
          <w:tcPr>
            <w:tcW w:w="762" w:type="pct"/>
            <w:vAlign w:val="center"/>
          </w:tcPr>
          <w:p>
            <w:pPr>
              <w:pStyle w:val="183"/>
              <w:jc w:val="center"/>
              <w:rPr>
                <w:szCs w:val="21"/>
              </w:rPr>
            </w:pPr>
          </w:p>
        </w:tc>
        <w:tc>
          <w:tcPr>
            <w:tcW w:w="436" w:type="pct"/>
            <w:vAlign w:val="center"/>
          </w:tcPr>
          <w:p>
            <w:pPr>
              <w:pStyle w:val="183"/>
              <w:jc w:val="center"/>
              <w:rPr>
                <w:szCs w:val="21"/>
              </w:rPr>
            </w:pPr>
          </w:p>
        </w:tc>
        <w:tc>
          <w:tcPr>
            <w:tcW w:w="417" w:type="pct"/>
            <w:vAlign w:val="center"/>
          </w:tcPr>
          <w:p>
            <w:pPr>
              <w:pStyle w:val="183"/>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395" w:type="pct"/>
            <w:vAlign w:val="center"/>
          </w:tcPr>
          <w:p>
            <w:pPr>
              <w:pStyle w:val="183"/>
              <w:jc w:val="center"/>
              <w:rPr>
                <w:szCs w:val="21"/>
              </w:rPr>
            </w:pPr>
          </w:p>
        </w:tc>
        <w:tc>
          <w:tcPr>
            <w:tcW w:w="603" w:type="pct"/>
            <w:vAlign w:val="center"/>
          </w:tcPr>
          <w:p>
            <w:pPr>
              <w:pStyle w:val="183"/>
              <w:jc w:val="center"/>
              <w:rPr>
                <w:szCs w:val="21"/>
              </w:rPr>
            </w:pPr>
          </w:p>
        </w:tc>
        <w:tc>
          <w:tcPr>
            <w:tcW w:w="439" w:type="pct"/>
            <w:vAlign w:val="center"/>
          </w:tcPr>
          <w:p>
            <w:pPr>
              <w:pStyle w:val="183"/>
              <w:jc w:val="center"/>
              <w:rPr>
                <w:szCs w:val="21"/>
              </w:rPr>
            </w:pPr>
          </w:p>
        </w:tc>
        <w:tc>
          <w:tcPr>
            <w:tcW w:w="552" w:type="pct"/>
            <w:vAlign w:val="center"/>
          </w:tcPr>
          <w:p>
            <w:pPr>
              <w:pStyle w:val="183"/>
              <w:jc w:val="center"/>
              <w:rPr>
                <w:szCs w:val="21"/>
              </w:rPr>
            </w:pPr>
          </w:p>
        </w:tc>
        <w:tc>
          <w:tcPr>
            <w:tcW w:w="677" w:type="pct"/>
            <w:vAlign w:val="center"/>
          </w:tcPr>
          <w:p>
            <w:pPr>
              <w:pStyle w:val="183"/>
              <w:jc w:val="center"/>
              <w:rPr>
                <w:szCs w:val="21"/>
              </w:rPr>
            </w:pPr>
          </w:p>
        </w:tc>
        <w:tc>
          <w:tcPr>
            <w:tcW w:w="719" w:type="pct"/>
            <w:vAlign w:val="center"/>
          </w:tcPr>
          <w:p>
            <w:pPr>
              <w:pStyle w:val="183"/>
              <w:jc w:val="center"/>
              <w:rPr>
                <w:szCs w:val="21"/>
              </w:rPr>
            </w:pPr>
          </w:p>
        </w:tc>
        <w:tc>
          <w:tcPr>
            <w:tcW w:w="762" w:type="pct"/>
            <w:vAlign w:val="center"/>
          </w:tcPr>
          <w:p>
            <w:pPr>
              <w:pStyle w:val="183"/>
              <w:jc w:val="center"/>
              <w:rPr>
                <w:szCs w:val="21"/>
              </w:rPr>
            </w:pPr>
          </w:p>
        </w:tc>
        <w:tc>
          <w:tcPr>
            <w:tcW w:w="436" w:type="pct"/>
            <w:vAlign w:val="center"/>
          </w:tcPr>
          <w:p>
            <w:pPr>
              <w:pStyle w:val="183"/>
              <w:jc w:val="center"/>
              <w:rPr>
                <w:szCs w:val="21"/>
              </w:rPr>
            </w:pPr>
          </w:p>
        </w:tc>
        <w:tc>
          <w:tcPr>
            <w:tcW w:w="417" w:type="pct"/>
            <w:vAlign w:val="center"/>
          </w:tcPr>
          <w:p>
            <w:pPr>
              <w:pStyle w:val="183"/>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395" w:type="pct"/>
            <w:vAlign w:val="center"/>
          </w:tcPr>
          <w:p>
            <w:pPr>
              <w:pStyle w:val="183"/>
              <w:jc w:val="center"/>
              <w:rPr>
                <w:szCs w:val="21"/>
              </w:rPr>
            </w:pPr>
            <w:r>
              <w:rPr>
                <w:rFonts w:hint="eastAsia" w:ascii="宋体" w:hAnsi="宋体" w:cs="宋体"/>
                <w:szCs w:val="21"/>
              </w:rPr>
              <w:t>...</w:t>
            </w:r>
          </w:p>
        </w:tc>
        <w:tc>
          <w:tcPr>
            <w:tcW w:w="603" w:type="pct"/>
            <w:vAlign w:val="center"/>
          </w:tcPr>
          <w:p>
            <w:pPr>
              <w:pStyle w:val="183"/>
              <w:jc w:val="center"/>
              <w:rPr>
                <w:szCs w:val="21"/>
              </w:rPr>
            </w:pPr>
          </w:p>
        </w:tc>
        <w:tc>
          <w:tcPr>
            <w:tcW w:w="439" w:type="pct"/>
            <w:vAlign w:val="center"/>
          </w:tcPr>
          <w:p>
            <w:pPr>
              <w:pStyle w:val="183"/>
              <w:jc w:val="center"/>
              <w:rPr>
                <w:szCs w:val="21"/>
              </w:rPr>
            </w:pPr>
          </w:p>
        </w:tc>
        <w:tc>
          <w:tcPr>
            <w:tcW w:w="552" w:type="pct"/>
            <w:vAlign w:val="center"/>
          </w:tcPr>
          <w:p>
            <w:pPr>
              <w:pStyle w:val="183"/>
              <w:jc w:val="center"/>
              <w:rPr>
                <w:szCs w:val="21"/>
              </w:rPr>
            </w:pPr>
          </w:p>
        </w:tc>
        <w:tc>
          <w:tcPr>
            <w:tcW w:w="677" w:type="pct"/>
            <w:vAlign w:val="center"/>
          </w:tcPr>
          <w:p>
            <w:pPr>
              <w:pStyle w:val="183"/>
              <w:jc w:val="center"/>
              <w:rPr>
                <w:szCs w:val="21"/>
              </w:rPr>
            </w:pPr>
          </w:p>
        </w:tc>
        <w:tc>
          <w:tcPr>
            <w:tcW w:w="719" w:type="pct"/>
            <w:vAlign w:val="center"/>
          </w:tcPr>
          <w:p>
            <w:pPr>
              <w:pStyle w:val="183"/>
              <w:jc w:val="center"/>
              <w:rPr>
                <w:szCs w:val="21"/>
              </w:rPr>
            </w:pPr>
          </w:p>
        </w:tc>
        <w:tc>
          <w:tcPr>
            <w:tcW w:w="762" w:type="pct"/>
            <w:vAlign w:val="center"/>
          </w:tcPr>
          <w:p>
            <w:pPr>
              <w:pStyle w:val="183"/>
              <w:jc w:val="center"/>
              <w:rPr>
                <w:szCs w:val="21"/>
              </w:rPr>
            </w:pPr>
          </w:p>
        </w:tc>
        <w:tc>
          <w:tcPr>
            <w:tcW w:w="436" w:type="pct"/>
            <w:vAlign w:val="center"/>
          </w:tcPr>
          <w:p>
            <w:pPr>
              <w:pStyle w:val="183"/>
              <w:jc w:val="center"/>
              <w:rPr>
                <w:szCs w:val="21"/>
              </w:rPr>
            </w:pPr>
          </w:p>
        </w:tc>
        <w:tc>
          <w:tcPr>
            <w:tcW w:w="417" w:type="pct"/>
            <w:vAlign w:val="center"/>
          </w:tcPr>
          <w:p>
            <w:pPr>
              <w:pStyle w:val="183"/>
              <w:jc w:val="center"/>
              <w:rPr>
                <w:szCs w:val="21"/>
              </w:rPr>
            </w:pPr>
          </w:p>
        </w:tc>
      </w:tr>
    </w:tbl>
    <w:p>
      <w:pPr>
        <w:spacing w:line="360" w:lineRule="auto"/>
        <w:rPr>
          <w:rFonts w:ascii="宋体" w:hAnsi="宋体" w:cs="宋体"/>
          <w:bCs/>
          <w:sz w:val="24"/>
          <w:szCs w:val="24"/>
        </w:rPr>
      </w:pPr>
    </w:p>
    <w:p>
      <w:pPr>
        <w:spacing w:line="360" w:lineRule="auto"/>
        <w:rPr>
          <w:rFonts w:ascii="宋体" w:hAnsi="宋体" w:cs="宋体"/>
          <w:bCs/>
          <w:sz w:val="24"/>
          <w:szCs w:val="24"/>
        </w:rPr>
      </w:pPr>
    </w:p>
    <w:p>
      <w:pPr>
        <w:spacing w:line="600" w:lineRule="auto"/>
        <w:jc w:val="center"/>
        <w:rPr>
          <w:rFonts w:ascii="宋体" w:hAnsi="宋体" w:cs="宋体"/>
          <w:sz w:val="24"/>
          <w:szCs w:val="24"/>
        </w:rPr>
      </w:pPr>
      <w:r>
        <w:rPr>
          <w:rFonts w:hint="eastAsia" w:ascii="宋体" w:hAnsi="宋体" w:cs="宋体"/>
          <w:bCs/>
          <w:sz w:val="20"/>
          <w:szCs w:val="18"/>
        </w:rPr>
        <w:t xml:space="preserve">                </w:t>
      </w:r>
      <w:r>
        <w:rPr>
          <w:rFonts w:hint="eastAsia" w:ascii="宋体" w:hAnsi="宋体" w:cs="宋体"/>
          <w:sz w:val="24"/>
          <w:szCs w:val="24"/>
        </w:rPr>
        <w:t>供应商名称（盖章）：</w:t>
      </w:r>
    </w:p>
    <w:p>
      <w:pPr>
        <w:spacing w:line="600" w:lineRule="auto"/>
        <w:jc w:val="right"/>
        <w:rPr>
          <w:rFonts w:ascii="宋体" w:hAnsi="宋体" w:cs="宋体"/>
          <w:sz w:val="24"/>
          <w:szCs w:val="24"/>
        </w:rPr>
      </w:pPr>
      <w:r>
        <w:rPr>
          <w:rFonts w:hint="eastAsia" w:ascii="宋体" w:hAnsi="宋体" w:cs="宋体"/>
          <w:sz w:val="24"/>
          <w:szCs w:val="24"/>
        </w:rPr>
        <w:t>法定代表人或委托代理人（签字或盖章）：</w:t>
      </w:r>
    </w:p>
    <w:p>
      <w:pPr>
        <w:spacing w:line="600" w:lineRule="auto"/>
        <w:jc w:val="right"/>
        <w:rPr>
          <w:rFonts w:ascii="宋体" w:hAnsi="宋体" w:cs="宋体"/>
          <w:sz w:val="24"/>
          <w:szCs w:val="24"/>
        </w:rPr>
      </w:pPr>
      <w:r>
        <w:rPr>
          <w:rFonts w:hint="eastAsia" w:ascii="宋体" w:hAnsi="宋体" w:cs="宋体"/>
          <w:sz w:val="24"/>
          <w:szCs w:val="24"/>
        </w:rPr>
        <w:t>日期：     年   月   日</w:t>
      </w:r>
    </w:p>
    <w:p>
      <w:pPr>
        <w:pStyle w:val="3"/>
        <w:jc w:val="both"/>
        <w:rPr>
          <w:rFonts w:ascii="宋体" w:hAnsi="宋体" w:eastAsia="宋体" w:cs="宋体"/>
          <w:b/>
          <w:bCs/>
          <w:sz w:val="32"/>
          <w:szCs w:val="32"/>
        </w:rPr>
      </w:pPr>
      <w:r>
        <w:rPr>
          <w:rFonts w:hint="eastAsia" w:ascii="宋体" w:hAnsi="宋体" w:eastAsia="宋体" w:cs="宋体"/>
          <w:szCs w:val="28"/>
        </w:rPr>
        <w:br w:type="page"/>
      </w:r>
      <w:bookmarkStart w:id="419" w:name="_Toc137664545"/>
      <w:bookmarkStart w:id="420" w:name="_Toc3875"/>
      <w:r>
        <w:rPr>
          <w:rFonts w:hint="eastAsia" w:ascii="宋体" w:hAnsi="宋体" w:eastAsia="宋体" w:cs="宋体"/>
          <w:b/>
          <w:bCs/>
          <w:sz w:val="32"/>
          <w:szCs w:val="32"/>
        </w:rPr>
        <w:t>附件16:</w:t>
      </w:r>
      <w:bookmarkEnd w:id="416"/>
      <w:bookmarkEnd w:id="417"/>
      <w:bookmarkEnd w:id="418"/>
      <w:bookmarkEnd w:id="419"/>
      <w:bookmarkStart w:id="421" w:name="_Toc8263"/>
    </w:p>
    <w:bookmarkEnd w:id="421"/>
    <w:p>
      <w:pPr>
        <w:pStyle w:val="3"/>
        <w:rPr>
          <w:rFonts w:ascii="宋体" w:hAnsi="宋体" w:eastAsia="宋体" w:cs="宋体"/>
          <w:b/>
          <w:bCs/>
          <w:sz w:val="32"/>
          <w:szCs w:val="32"/>
        </w:rPr>
      </w:pPr>
      <w:bookmarkStart w:id="422" w:name="_Toc137664546"/>
      <w:bookmarkStart w:id="423" w:name="_Toc16761_WPSOffice_Level1"/>
      <w:bookmarkStart w:id="424" w:name="_Toc8551_WPSOffice_Level1"/>
      <w:bookmarkStart w:id="425" w:name="_Toc1483_WPSOffice_Level1"/>
      <w:bookmarkStart w:id="426" w:name="_Toc27812_WPSOffice_Level1"/>
      <w:bookmarkStart w:id="427" w:name="_Toc1044_WPSOffice_Level1"/>
      <w:r>
        <w:rPr>
          <w:rFonts w:hint="eastAsia" w:ascii="宋体" w:hAnsi="宋体" w:eastAsia="宋体" w:cs="宋体"/>
          <w:b/>
          <w:bCs/>
          <w:sz w:val="32"/>
          <w:szCs w:val="32"/>
        </w:rPr>
        <w:t>中小企业声明函(服务)</w:t>
      </w:r>
      <w:bookmarkEnd w:id="422"/>
    </w:p>
    <w:p>
      <w:pPr>
        <w:snapToGrid w:val="0"/>
        <w:spacing w:line="300" w:lineRule="auto"/>
        <w:ind w:firstLine="644" w:firstLineChars="200"/>
        <w:rPr>
          <w:rFonts w:ascii="仿宋" w:hAnsi="仿宋" w:eastAsia="仿宋"/>
          <w:sz w:val="32"/>
          <w:szCs w:val="32"/>
        </w:rPr>
      </w:pPr>
      <w:r>
        <w:rPr>
          <w:rFonts w:hint="eastAsia" w:ascii="仿宋" w:hAnsi="仿宋" w:eastAsia="仿宋"/>
          <w:sz w:val="32"/>
          <w:szCs w:val="32"/>
        </w:rPr>
        <w:t>本公司（联合体）郑重声明，根据《政府采购促进中小企业发展管理办法》（财库[2020]46号）的规定，本公司（联合体）参加</w:t>
      </w:r>
      <w:r>
        <w:rPr>
          <w:rFonts w:hint="eastAsia" w:ascii="仿宋" w:hAnsi="仿宋" w:eastAsia="仿宋"/>
          <w:i/>
          <w:sz w:val="32"/>
          <w:szCs w:val="32"/>
          <w:u w:val="single"/>
        </w:rPr>
        <w:t>（单位名称）</w:t>
      </w:r>
      <w:r>
        <w:rPr>
          <w:rFonts w:hint="eastAsia" w:ascii="仿宋" w:hAnsi="仿宋" w:eastAsia="仿宋"/>
          <w:sz w:val="32"/>
          <w:szCs w:val="32"/>
        </w:rPr>
        <w:t>的</w:t>
      </w:r>
      <w:r>
        <w:rPr>
          <w:rFonts w:hint="eastAsia" w:ascii="仿宋" w:hAnsi="仿宋" w:eastAsia="仿宋"/>
          <w:i/>
          <w:sz w:val="32"/>
          <w:szCs w:val="32"/>
          <w:u w:val="single"/>
        </w:rPr>
        <w:t>（项目名称）</w:t>
      </w:r>
      <w:r>
        <w:rPr>
          <w:rFonts w:hint="eastAsia" w:ascii="仿宋" w:hAnsi="仿宋" w:eastAsia="仿宋"/>
          <w:sz w:val="32"/>
          <w:szCs w:val="32"/>
        </w:rPr>
        <w:t>采购活动，服务全部由符合政策要求的中小企业承接。相关企业（含联合体中的中小企业、签订分包意向协议的中小企业）的具体情况如下：</w:t>
      </w:r>
    </w:p>
    <w:p>
      <w:pPr>
        <w:snapToGrid w:val="0"/>
        <w:spacing w:line="300" w:lineRule="auto"/>
        <w:ind w:firstLine="644"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i/>
          <w:sz w:val="32"/>
          <w:szCs w:val="32"/>
          <w:u w:val="single"/>
        </w:rPr>
        <w:t>（标的名称）</w:t>
      </w:r>
      <w:r>
        <w:rPr>
          <w:rFonts w:hint="eastAsia" w:ascii="仿宋" w:hAnsi="仿宋" w:eastAsia="仿宋"/>
          <w:sz w:val="32"/>
          <w:szCs w:val="32"/>
        </w:rPr>
        <w:t>，属于</w:t>
      </w:r>
      <w:r>
        <w:rPr>
          <w:rFonts w:hint="eastAsia" w:ascii="仿宋" w:hAnsi="仿宋" w:eastAsia="仿宋"/>
          <w:i/>
          <w:sz w:val="32"/>
          <w:szCs w:val="32"/>
          <w:u w:val="single"/>
        </w:rPr>
        <w:t>（采购文件中明确的所属行业）</w:t>
      </w:r>
      <w:r>
        <w:rPr>
          <w:rFonts w:hint="eastAsia" w:ascii="仿宋" w:hAnsi="仿宋" w:eastAsia="仿宋"/>
          <w:sz w:val="32"/>
          <w:szCs w:val="32"/>
        </w:rPr>
        <w:t>；承建（承接）企业为</w:t>
      </w:r>
      <w:r>
        <w:rPr>
          <w:rFonts w:hint="eastAsia" w:ascii="仿宋" w:hAnsi="仿宋" w:eastAsia="仿宋"/>
          <w:i/>
          <w:sz w:val="32"/>
          <w:szCs w:val="32"/>
          <w:u w:val="single"/>
        </w:rPr>
        <w:t>（企业名称）</w:t>
      </w:r>
      <w:r>
        <w:rPr>
          <w:rFonts w:hint="eastAsia" w:ascii="仿宋" w:hAnsi="仿宋" w:eastAsia="仿宋"/>
          <w:sz w:val="32"/>
          <w:szCs w:val="32"/>
        </w:rPr>
        <w:t>，从业人员</w:t>
      </w:r>
      <w:r>
        <w:rPr>
          <w:rFonts w:hint="eastAsia" w:ascii="仿宋" w:hAnsi="仿宋" w:eastAsia="仿宋"/>
          <w:sz w:val="32"/>
          <w:szCs w:val="32"/>
          <w:u w:val="single"/>
        </w:rPr>
        <w:t xml:space="preserve">  </w:t>
      </w:r>
      <w:r>
        <w:rPr>
          <w:rFonts w:hint="eastAsia" w:ascii="仿宋" w:hAnsi="仿宋" w:eastAsia="仿宋"/>
          <w:sz w:val="32"/>
          <w:szCs w:val="32"/>
        </w:rPr>
        <w:t>人，营业收入为</w:t>
      </w:r>
      <w:r>
        <w:rPr>
          <w:rFonts w:hint="eastAsia" w:ascii="仿宋" w:hAnsi="仿宋" w:eastAsia="仿宋"/>
          <w:sz w:val="32"/>
          <w:szCs w:val="32"/>
          <w:u w:val="single"/>
        </w:rPr>
        <w:t xml:space="preserve">  </w:t>
      </w:r>
      <w:r>
        <w:rPr>
          <w:rFonts w:hint="eastAsia" w:ascii="仿宋" w:hAnsi="仿宋" w:eastAsia="仿宋"/>
          <w:sz w:val="32"/>
          <w:szCs w:val="32"/>
        </w:rPr>
        <w:t>万元，资产总额为</w:t>
      </w:r>
      <w:r>
        <w:rPr>
          <w:rFonts w:hint="eastAsia" w:ascii="仿宋" w:hAnsi="仿宋" w:eastAsia="仿宋"/>
          <w:sz w:val="32"/>
          <w:szCs w:val="32"/>
          <w:u w:val="single"/>
        </w:rPr>
        <w:t xml:space="preserve">  </w:t>
      </w:r>
      <w:r>
        <w:rPr>
          <w:rFonts w:hint="eastAsia" w:ascii="仿宋" w:hAnsi="仿宋" w:eastAsia="仿宋"/>
          <w:sz w:val="32"/>
          <w:szCs w:val="32"/>
        </w:rPr>
        <w:t>万元</w:t>
      </w:r>
      <w:r>
        <w:rPr>
          <w:rStyle w:val="40"/>
          <w:rFonts w:ascii="仿宋" w:hAnsi="仿宋" w:eastAsia="仿宋"/>
          <w:sz w:val="32"/>
          <w:szCs w:val="32"/>
        </w:rPr>
        <w:footnoteReference w:id="0"/>
      </w:r>
      <w:r>
        <w:rPr>
          <w:rFonts w:hint="eastAsia" w:ascii="仿宋" w:hAnsi="仿宋" w:eastAsia="仿宋"/>
          <w:sz w:val="32"/>
          <w:szCs w:val="32"/>
        </w:rPr>
        <w:t>，属于</w:t>
      </w:r>
      <w:r>
        <w:rPr>
          <w:rFonts w:hint="eastAsia" w:ascii="仿宋" w:hAnsi="仿宋" w:eastAsia="仿宋"/>
          <w:i/>
          <w:sz w:val="32"/>
          <w:szCs w:val="32"/>
          <w:u w:val="single"/>
        </w:rPr>
        <w:t>（中型企业、小型企业、微型企业）</w:t>
      </w:r>
      <w:r>
        <w:rPr>
          <w:rFonts w:hint="eastAsia" w:ascii="仿宋" w:hAnsi="仿宋" w:eastAsia="仿宋"/>
          <w:sz w:val="32"/>
          <w:szCs w:val="32"/>
        </w:rPr>
        <w:t>；</w:t>
      </w:r>
    </w:p>
    <w:p>
      <w:pPr>
        <w:snapToGrid w:val="0"/>
        <w:spacing w:line="300" w:lineRule="auto"/>
        <w:ind w:firstLine="644" w:firstLineChars="200"/>
        <w:rPr>
          <w:rFonts w:ascii="仿宋" w:hAnsi="仿宋" w:eastAsia="仿宋"/>
          <w:sz w:val="32"/>
          <w:szCs w:val="32"/>
        </w:rPr>
      </w:pPr>
      <w:r>
        <w:rPr>
          <w:rFonts w:hint="eastAsia" w:ascii="仿宋" w:hAnsi="仿宋" w:eastAsia="仿宋"/>
          <w:sz w:val="32"/>
          <w:szCs w:val="32"/>
        </w:rPr>
        <w:t xml:space="preserve">2. </w:t>
      </w:r>
      <w:r>
        <w:rPr>
          <w:rFonts w:hint="eastAsia" w:ascii="仿宋" w:hAnsi="仿宋" w:eastAsia="仿宋"/>
          <w:i/>
          <w:sz w:val="32"/>
          <w:szCs w:val="32"/>
          <w:u w:val="single"/>
        </w:rPr>
        <w:t>（标的名称）</w:t>
      </w:r>
      <w:r>
        <w:rPr>
          <w:rFonts w:hint="eastAsia" w:ascii="仿宋" w:hAnsi="仿宋" w:eastAsia="仿宋"/>
          <w:sz w:val="32"/>
          <w:szCs w:val="32"/>
        </w:rPr>
        <w:t>，属于</w:t>
      </w:r>
      <w:r>
        <w:rPr>
          <w:rFonts w:hint="eastAsia" w:ascii="仿宋" w:hAnsi="仿宋" w:eastAsia="仿宋"/>
          <w:i/>
          <w:sz w:val="32"/>
          <w:szCs w:val="32"/>
          <w:u w:val="single"/>
        </w:rPr>
        <w:t>（采购文件中明确的所属行业）</w:t>
      </w:r>
      <w:r>
        <w:rPr>
          <w:rFonts w:hint="eastAsia" w:ascii="仿宋" w:hAnsi="仿宋" w:eastAsia="仿宋"/>
          <w:sz w:val="32"/>
          <w:szCs w:val="32"/>
        </w:rPr>
        <w:t>；承建（承接）企业为</w:t>
      </w:r>
      <w:r>
        <w:rPr>
          <w:rFonts w:hint="eastAsia" w:ascii="仿宋" w:hAnsi="仿宋" w:eastAsia="仿宋"/>
          <w:i/>
          <w:sz w:val="32"/>
          <w:szCs w:val="32"/>
          <w:u w:val="single"/>
        </w:rPr>
        <w:t>（企业名称）</w:t>
      </w:r>
      <w:r>
        <w:rPr>
          <w:rFonts w:hint="eastAsia" w:ascii="仿宋" w:hAnsi="仿宋" w:eastAsia="仿宋"/>
          <w:sz w:val="32"/>
          <w:szCs w:val="32"/>
        </w:rPr>
        <w:t>，从业人员</w:t>
      </w:r>
      <w:r>
        <w:rPr>
          <w:rFonts w:hint="eastAsia" w:ascii="仿宋" w:hAnsi="仿宋" w:eastAsia="仿宋"/>
          <w:sz w:val="32"/>
          <w:szCs w:val="32"/>
          <w:u w:val="single"/>
        </w:rPr>
        <w:t xml:space="preserve">  </w:t>
      </w:r>
      <w:r>
        <w:rPr>
          <w:rFonts w:hint="eastAsia" w:ascii="仿宋" w:hAnsi="仿宋" w:eastAsia="仿宋"/>
          <w:sz w:val="32"/>
          <w:szCs w:val="32"/>
        </w:rPr>
        <w:t>人，营业收入为</w:t>
      </w:r>
      <w:r>
        <w:rPr>
          <w:rFonts w:hint="eastAsia" w:ascii="仿宋" w:hAnsi="仿宋" w:eastAsia="仿宋"/>
          <w:sz w:val="32"/>
          <w:szCs w:val="32"/>
          <w:u w:val="single"/>
        </w:rPr>
        <w:t xml:space="preserve">  </w:t>
      </w:r>
      <w:r>
        <w:rPr>
          <w:rFonts w:hint="eastAsia" w:ascii="仿宋" w:hAnsi="仿宋" w:eastAsia="仿宋"/>
          <w:sz w:val="32"/>
          <w:szCs w:val="32"/>
        </w:rPr>
        <w:t>万元，资产总额为</w:t>
      </w:r>
      <w:r>
        <w:rPr>
          <w:rFonts w:hint="eastAsia" w:ascii="仿宋" w:hAnsi="仿宋" w:eastAsia="仿宋"/>
          <w:sz w:val="32"/>
          <w:szCs w:val="32"/>
          <w:u w:val="single"/>
        </w:rPr>
        <w:t xml:space="preserve">  </w:t>
      </w:r>
      <w:r>
        <w:rPr>
          <w:rFonts w:hint="eastAsia" w:ascii="仿宋" w:hAnsi="仿宋" w:eastAsia="仿宋"/>
          <w:sz w:val="32"/>
          <w:szCs w:val="32"/>
        </w:rPr>
        <w:t>万元，属于</w:t>
      </w:r>
      <w:r>
        <w:rPr>
          <w:rFonts w:hint="eastAsia" w:ascii="仿宋" w:hAnsi="仿宋" w:eastAsia="仿宋"/>
          <w:i/>
          <w:sz w:val="32"/>
          <w:szCs w:val="32"/>
          <w:u w:val="single"/>
        </w:rPr>
        <w:t>（中型企业、小型企业、微型企业）</w:t>
      </w:r>
      <w:r>
        <w:rPr>
          <w:rFonts w:hint="eastAsia" w:ascii="仿宋" w:hAnsi="仿宋" w:eastAsia="仿宋"/>
          <w:sz w:val="32"/>
          <w:szCs w:val="32"/>
        </w:rPr>
        <w:t>；</w:t>
      </w:r>
    </w:p>
    <w:p>
      <w:pPr>
        <w:snapToGrid w:val="0"/>
        <w:spacing w:line="300" w:lineRule="auto"/>
        <w:ind w:firstLine="644" w:firstLineChars="200"/>
        <w:rPr>
          <w:rFonts w:ascii="仿宋" w:hAnsi="仿宋" w:eastAsia="仿宋"/>
          <w:sz w:val="32"/>
          <w:szCs w:val="32"/>
        </w:rPr>
      </w:pPr>
      <w:r>
        <w:rPr>
          <w:rFonts w:ascii="仿宋" w:hAnsi="仿宋" w:eastAsia="仿宋"/>
          <w:sz w:val="32"/>
          <w:szCs w:val="32"/>
        </w:rPr>
        <w:t>……</w:t>
      </w:r>
    </w:p>
    <w:p>
      <w:pPr>
        <w:snapToGrid w:val="0"/>
        <w:spacing w:line="300" w:lineRule="auto"/>
        <w:ind w:firstLine="644" w:firstLineChars="200"/>
        <w:rPr>
          <w:rFonts w:ascii="仿宋" w:hAnsi="仿宋" w:eastAsia="仿宋"/>
          <w:sz w:val="32"/>
          <w:szCs w:val="32"/>
        </w:rPr>
      </w:pPr>
      <w:r>
        <w:rPr>
          <w:rFonts w:hint="eastAsia" w:ascii="仿宋" w:hAnsi="仿宋" w:eastAsia="仿宋"/>
          <w:sz w:val="32"/>
          <w:szCs w:val="32"/>
        </w:rPr>
        <w:t>以上企业，不属于大企业的分支机构，不存在控股股东为大企业的情形，也不存在与大企业的负责人为同一人的情形。</w:t>
      </w:r>
    </w:p>
    <w:p>
      <w:pPr>
        <w:snapToGrid w:val="0"/>
        <w:spacing w:line="300" w:lineRule="auto"/>
        <w:ind w:firstLine="644" w:firstLineChars="200"/>
        <w:rPr>
          <w:rFonts w:ascii="仿宋" w:hAnsi="仿宋" w:eastAsia="仿宋"/>
          <w:sz w:val="32"/>
          <w:szCs w:val="32"/>
        </w:rPr>
      </w:pPr>
      <w:r>
        <w:rPr>
          <w:rFonts w:hint="eastAsia" w:ascii="仿宋" w:hAnsi="仿宋" w:eastAsia="仿宋"/>
          <w:sz w:val="32"/>
          <w:szCs w:val="32"/>
        </w:rPr>
        <w:t>本企业对上述声明内容的真实性负责。如有虚假，将依法承担相应责任。</w:t>
      </w:r>
    </w:p>
    <w:p>
      <w:pPr>
        <w:snapToGrid w:val="0"/>
        <w:spacing w:line="300" w:lineRule="auto"/>
        <w:ind w:firstLine="644" w:firstLineChars="200"/>
        <w:rPr>
          <w:rFonts w:ascii="仿宋" w:hAnsi="仿宋" w:eastAsia="仿宋"/>
          <w:sz w:val="32"/>
          <w:szCs w:val="32"/>
        </w:rPr>
      </w:pPr>
      <w:r>
        <w:rPr>
          <w:rFonts w:hint="eastAsia" w:ascii="仿宋" w:hAnsi="仿宋" w:eastAsia="仿宋"/>
          <w:sz w:val="32"/>
          <w:szCs w:val="32"/>
        </w:rPr>
        <w:t xml:space="preserve">                      企业名称（盖章）：</w:t>
      </w:r>
    </w:p>
    <w:p>
      <w:pPr>
        <w:spacing w:line="360" w:lineRule="auto"/>
        <w:jc w:val="right"/>
        <w:rPr>
          <w:rFonts w:ascii="宋体" w:hAnsi="宋体" w:cs="宋体"/>
          <w:sz w:val="24"/>
          <w:szCs w:val="24"/>
          <w:lang w:val="zh-CN"/>
        </w:rPr>
      </w:pPr>
      <w:r>
        <w:rPr>
          <w:rFonts w:hint="eastAsia" w:ascii="仿宋" w:hAnsi="仿宋" w:eastAsia="仿宋"/>
          <w:sz w:val="32"/>
          <w:szCs w:val="32"/>
        </w:rPr>
        <w:t xml:space="preserve">                 日期：</w:t>
      </w:r>
      <w:r>
        <w:rPr>
          <w:rFonts w:hint="eastAsia" w:ascii="宋体" w:hAnsi="宋体" w:cs="宋体"/>
          <w:sz w:val="24"/>
          <w:szCs w:val="24"/>
          <w:lang w:val="zh-CN"/>
        </w:rPr>
        <w:t xml:space="preserve">                 </w:t>
      </w:r>
    </w:p>
    <w:bookmarkEnd w:id="423"/>
    <w:bookmarkEnd w:id="424"/>
    <w:bookmarkEnd w:id="425"/>
    <w:bookmarkEnd w:id="426"/>
    <w:bookmarkEnd w:id="427"/>
    <w:p>
      <w:pPr>
        <w:pStyle w:val="4"/>
        <w:keepNext w:val="0"/>
        <w:numPr>
          <w:ilvl w:val="0"/>
          <w:numId w:val="0"/>
        </w:numPr>
        <w:rPr>
          <w:rStyle w:val="67"/>
          <w:rFonts w:ascii="宋体" w:hAnsi="宋体" w:eastAsia="宋体" w:cs="宋体"/>
          <w:sz w:val="32"/>
          <w:szCs w:val="28"/>
        </w:rPr>
      </w:pPr>
    </w:p>
    <w:p>
      <w:pPr>
        <w:pStyle w:val="3"/>
        <w:jc w:val="both"/>
        <w:rPr>
          <w:rFonts w:ascii="宋体" w:hAnsi="宋体" w:eastAsia="宋体" w:cs="宋体"/>
          <w:b/>
          <w:bCs/>
          <w:sz w:val="32"/>
          <w:szCs w:val="32"/>
        </w:rPr>
      </w:pPr>
      <w:r>
        <w:rPr>
          <w:rStyle w:val="67"/>
          <w:rFonts w:hint="eastAsia" w:ascii="宋体" w:hAnsi="宋体" w:eastAsia="宋体" w:cs="宋体"/>
          <w:b/>
          <w:sz w:val="32"/>
          <w:szCs w:val="28"/>
        </w:rPr>
        <w:br w:type="page"/>
      </w:r>
      <w:bookmarkStart w:id="428" w:name="_Toc137664547"/>
      <w:r>
        <w:rPr>
          <w:rFonts w:hint="eastAsia" w:ascii="宋体" w:hAnsi="宋体" w:eastAsia="宋体" w:cs="宋体"/>
          <w:b/>
          <w:bCs/>
          <w:sz w:val="32"/>
          <w:szCs w:val="32"/>
        </w:rPr>
        <w:t>附件17：</w:t>
      </w:r>
      <w:bookmarkEnd w:id="428"/>
    </w:p>
    <w:bookmarkEnd w:id="420"/>
    <w:p>
      <w:pPr>
        <w:pStyle w:val="3"/>
        <w:rPr>
          <w:rFonts w:ascii="宋体" w:hAnsi="宋体" w:eastAsia="宋体" w:cs="宋体"/>
          <w:b/>
          <w:bCs/>
          <w:sz w:val="32"/>
          <w:szCs w:val="32"/>
        </w:rPr>
      </w:pPr>
      <w:bookmarkStart w:id="429" w:name="_Toc137664548"/>
      <w:bookmarkStart w:id="430" w:name="_Toc25671"/>
      <w:bookmarkStart w:id="431" w:name="_Toc5206"/>
      <w:r>
        <w:rPr>
          <w:rFonts w:hint="eastAsia" w:ascii="宋体" w:hAnsi="宋体" w:eastAsia="宋体" w:cs="宋体"/>
          <w:b/>
          <w:bCs/>
          <w:sz w:val="32"/>
          <w:szCs w:val="32"/>
        </w:rPr>
        <w:t>服务方案</w:t>
      </w:r>
      <w:bookmarkEnd w:id="429"/>
      <w:bookmarkEnd w:id="430"/>
    </w:p>
    <w:p>
      <w:pPr>
        <w:jc w:val="center"/>
        <w:rPr>
          <w:rStyle w:val="67"/>
          <w:rFonts w:ascii="宋体" w:hAnsi="宋体" w:eastAsia="宋体" w:cs="宋体"/>
          <w:b/>
          <w:bCs/>
          <w:sz w:val="32"/>
          <w:szCs w:val="28"/>
        </w:rPr>
      </w:pPr>
      <w:bookmarkStart w:id="432" w:name="_Toc137664549"/>
      <w:bookmarkStart w:id="433" w:name="_Toc13315"/>
      <w:bookmarkStart w:id="434" w:name="_Toc22565"/>
      <w:r>
        <w:rPr>
          <w:rStyle w:val="67"/>
          <w:rFonts w:hint="eastAsia" w:ascii="宋体" w:hAnsi="宋体" w:eastAsia="宋体" w:cs="宋体"/>
          <w:b/>
          <w:bCs/>
          <w:sz w:val="32"/>
          <w:szCs w:val="28"/>
        </w:rPr>
        <w:t>（供应商自拟）</w:t>
      </w:r>
      <w:bookmarkEnd w:id="432"/>
      <w:bookmarkEnd w:id="433"/>
      <w:bookmarkEnd w:id="434"/>
    </w:p>
    <w:p>
      <w:pPr>
        <w:widowControl/>
        <w:jc w:val="left"/>
        <w:rPr>
          <w:rStyle w:val="67"/>
          <w:rFonts w:ascii="宋体" w:hAnsi="宋体" w:eastAsia="宋体" w:cs="宋体"/>
          <w:b/>
          <w:bCs/>
          <w:sz w:val="32"/>
          <w:szCs w:val="28"/>
        </w:rPr>
      </w:pPr>
      <w:r>
        <w:rPr>
          <w:rStyle w:val="67"/>
          <w:rFonts w:ascii="宋体" w:hAnsi="宋体" w:eastAsia="宋体" w:cs="宋体"/>
          <w:b/>
          <w:bCs/>
          <w:sz w:val="32"/>
          <w:szCs w:val="28"/>
        </w:rPr>
        <w:br w:type="page"/>
      </w:r>
    </w:p>
    <w:p>
      <w:pPr>
        <w:pStyle w:val="3"/>
        <w:jc w:val="both"/>
        <w:rPr>
          <w:rFonts w:ascii="宋体" w:hAnsi="宋体" w:eastAsia="宋体" w:cs="宋体"/>
          <w:b/>
          <w:bCs/>
          <w:sz w:val="32"/>
          <w:szCs w:val="32"/>
        </w:rPr>
      </w:pPr>
      <w:bookmarkStart w:id="435" w:name="_Toc8413"/>
      <w:bookmarkStart w:id="436" w:name="_Toc137664550"/>
      <w:r>
        <w:rPr>
          <w:rFonts w:hint="eastAsia" w:ascii="宋体" w:hAnsi="宋体" w:eastAsia="宋体" w:cs="宋体"/>
          <w:b/>
          <w:bCs/>
          <w:sz w:val="32"/>
          <w:szCs w:val="32"/>
        </w:rPr>
        <w:t>附件18</w:t>
      </w:r>
      <w:bookmarkEnd w:id="431"/>
      <w:bookmarkEnd w:id="435"/>
      <w:r>
        <w:rPr>
          <w:rFonts w:hint="eastAsia" w:ascii="宋体" w:hAnsi="宋体" w:eastAsia="宋体" w:cs="宋体"/>
          <w:b/>
          <w:bCs/>
          <w:sz w:val="32"/>
          <w:szCs w:val="32"/>
        </w:rPr>
        <w:t>：</w:t>
      </w:r>
      <w:bookmarkEnd w:id="436"/>
    </w:p>
    <w:p>
      <w:pPr>
        <w:pStyle w:val="3"/>
        <w:rPr>
          <w:rFonts w:ascii="宋体" w:hAnsi="宋体" w:eastAsia="宋体" w:cs="宋体"/>
          <w:b/>
          <w:bCs/>
          <w:sz w:val="32"/>
          <w:szCs w:val="32"/>
        </w:rPr>
      </w:pPr>
      <w:bookmarkStart w:id="437" w:name="_Toc137664551"/>
      <w:r>
        <w:rPr>
          <w:rFonts w:hint="eastAsia" w:ascii="宋体" w:hAnsi="宋体" w:eastAsia="宋体" w:cs="宋体"/>
          <w:b/>
          <w:bCs/>
          <w:sz w:val="32"/>
          <w:szCs w:val="32"/>
        </w:rPr>
        <w:t>要求提供的其它材料以及供应商认为需要提交的材料</w:t>
      </w:r>
      <w:bookmarkEnd w:id="437"/>
    </w:p>
    <w:p>
      <w:pPr>
        <w:pStyle w:val="26"/>
        <w:spacing w:line="480" w:lineRule="exact"/>
        <w:rPr>
          <w:rFonts w:ascii="宋体" w:hAnsi="宋体" w:eastAsia="宋体" w:cs="宋体"/>
          <w:b/>
          <w:sz w:val="28"/>
          <w:szCs w:val="28"/>
        </w:rPr>
      </w:pPr>
    </w:p>
    <w:p>
      <w:pPr>
        <w:pStyle w:val="26"/>
        <w:spacing w:line="480" w:lineRule="exact"/>
        <w:rPr>
          <w:rFonts w:ascii="宋体" w:hAnsi="宋体" w:eastAsia="宋体" w:cs="宋体"/>
          <w:b/>
          <w:sz w:val="28"/>
          <w:szCs w:val="28"/>
        </w:rPr>
      </w:pPr>
    </w:p>
    <w:p>
      <w:pPr>
        <w:pStyle w:val="26"/>
        <w:spacing w:line="480" w:lineRule="exact"/>
        <w:rPr>
          <w:rFonts w:ascii="宋体" w:hAnsi="宋体" w:eastAsia="宋体" w:cs="宋体"/>
          <w:b/>
          <w:sz w:val="28"/>
          <w:szCs w:val="28"/>
        </w:rPr>
      </w:pPr>
    </w:p>
    <w:p>
      <w:pPr>
        <w:pStyle w:val="26"/>
        <w:spacing w:line="480" w:lineRule="exact"/>
        <w:rPr>
          <w:rFonts w:ascii="宋体" w:hAnsi="宋体" w:eastAsia="宋体" w:cs="宋体"/>
          <w:b/>
          <w:sz w:val="28"/>
          <w:szCs w:val="28"/>
        </w:rPr>
      </w:pPr>
    </w:p>
    <w:p>
      <w:pPr>
        <w:pStyle w:val="26"/>
        <w:spacing w:line="480" w:lineRule="exact"/>
        <w:rPr>
          <w:rFonts w:ascii="宋体" w:hAnsi="宋体" w:eastAsia="宋体" w:cs="宋体"/>
          <w:b/>
          <w:sz w:val="28"/>
          <w:szCs w:val="28"/>
        </w:rPr>
      </w:pPr>
    </w:p>
    <w:p>
      <w:pPr>
        <w:pStyle w:val="26"/>
        <w:spacing w:line="480" w:lineRule="exact"/>
        <w:rPr>
          <w:rFonts w:ascii="宋体" w:hAnsi="宋体" w:eastAsia="宋体" w:cs="宋体"/>
          <w:b/>
          <w:sz w:val="28"/>
          <w:szCs w:val="28"/>
        </w:rPr>
      </w:pPr>
    </w:p>
    <w:p>
      <w:pPr>
        <w:pStyle w:val="26"/>
        <w:spacing w:line="480" w:lineRule="exact"/>
        <w:rPr>
          <w:rFonts w:ascii="宋体" w:hAnsi="宋体" w:eastAsia="宋体" w:cs="宋体"/>
          <w:b/>
          <w:sz w:val="28"/>
          <w:szCs w:val="28"/>
        </w:rPr>
      </w:pPr>
    </w:p>
    <w:p>
      <w:pPr>
        <w:pStyle w:val="26"/>
        <w:spacing w:line="480" w:lineRule="exact"/>
        <w:rPr>
          <w:rFonts w:ascii="宋体" w:hAnsi="宋体" w:eastAsia="宋体" w:cs="宋体"/>
          <w:b/>
          <w:sz w:val="28"/>
          <w:szCs w:val="28"/>
        </w:rPr>
      </w:pPr>
    </w:p>
    <w:p>
      <w:pPr>
        <w:pStyle w:val="4"/>
        <w:keepNext w:val="0"/>
        <w:numPr>
          <w:ilvl w:val="0"/>
          <w:numId w:val="0"/>
        </w:numPr>
        <w:rPr>
          <w:rStyle w:val="67"/>
          <w:rFonts w:ascii="宋体" w:hAnsi="宋体" w:eastAsia="宋体" w:cs="宋体"/>
          <w:sz w:val="32"/>
          <w:szCs w:val="28"/>
        </w:rPr>
      </w:pPr>
    </w:p>
    <w:sectPr>
      <w:pgSz w:w="11906" w:h="16838"/>
      <w:pgMar w:top="1417" w:right="1701" w:bottom="1417" w:left="1701" w:header="851" w:footer="850" w:gutter="0"/>
      <w:pgNumType w:fmt="numberInDash"/>
      <w:cols w:space="720" w:num="1"/>
      <w:titlePg/>
      <w:docGrid w:type="linesAndChars" w:linePitch="312" w:charSpace="5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C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DFHeiW9-GB">
    <w:altName w:val="宋体"/>
    <w:panose1 w:val="00000000000000000000"/>
    <w:charset w:val="86"/>
    <w:family w:val="swiss"/>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新宋体">
    <w:panose1 w:val="02010609030101010101"/>
    <w:charset w:val="86"/>
    <w:family w:val="modern"/>
    <w:pitch w:val="default"/>
    <w:sig w:usb0="000000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47650" cy="131445"/>
              <wp:effectExtent l="0" t="0" r="0" b="0"/>
              <wp:wrapNone/>
              <wp:docPr id="1698786956" name="文本框 200"/>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wps:spPr>
                    <wps:txbx>
                      <w:txbxContent>
                        <w:p>
                          <w:pPr>
                            <w:pStyle w:val="22"/>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文本框 200" o:spid="_x0000_s1026" o:spt="202" type="#_x0000_t202" style="position:absolute;left:0pt;margin-top:0pt;height:10.35pt;width:19.5pt;mso-position-horizontal:center;mso-position-horizontal-relative:margin;mso-wrap-style:none;z-index:251659264;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exSODQAAAAAwEAAA8AAAAAAAAAAQAgAAAA&#10;IgAAAGRycy9kb3ducmV2LnhtbFBLAQIUABQAAAAIAIdO4kAZmkXUEwIAAA0EAAAOAAAAAAAAAAEA&#10;IAAAAB8BAABkcnMvZTJvRG9jLnhtbFBLBQYAAAAABgAGAFkBAACkBQAAAAA=&#10;">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47650" cy="131445"/>
              <wp:effectExtent l="0" t="0" r="0" b="0"/>
              <wp:wrapNone/>
              <wp:docPr id="1383803175" name="文本框 201"/>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wps:spPr>
                    <wps:txbx>
                      <w:txbxContent>
                        <w:p>
                          <w:pPr>
                            <w:pStyle w:val="22"/>
                          </w:pPr>
                          <w:r>
                            <w:fldChar w:fldCharType="begin"/>
                          </w:r>
                          <w:r>
                            <w:instrText xml:space="preserve"> PAGE  \* MERGEFORMAT </w:instrText>
                          </w:r>
                          <w:r>
                            <w:fldChar w:fldCharType="separate"/>
                          </w:r>
                          <w:r>
                            <w:t>30</w:t>
                          </w:r>
                          <w:r>
                            <w:fldChar w:fldCharType="end"/>
                          </w:r>
                        </w:p>
                      </w:txbxContent>
                    </wps:txbx>
                    <wps:bodyPr rot="0" vert="horz" wrap="none" lIns="0" tIns="0" rIns="0" bIns="0" anchor="t" anchorCtr="0" upright="1">
                      <a:spAutoFit/>
                    </wps:bodyPr>
                  </wps:wsp>
                </a:graphicData>
              </a:graphic>
            </wp:anchor>
          </w:drawing>
        </mc:Choice>
        <mc:Fallback>
          <w:pict>
            <v:shape id="文本框 201" o:spid="_x0000_s1026" o:spt="202" type="#_x0000_t202" style="position:absolute;left:0pt;margin-top:0pt;height:10.35pt;width:19.5pt;mso-position-horizontal:center;mso-position-horizontal-relative:margin;mso-wrap-style:none;z-index:251660288;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exSODQAAAAAwEAAA8AAAAAAAAAAQAgAAAAIgAA&#10;AGRycy9kb3ducmV2LnhtbFBLAQIUABQAAAAIAIdO4kDMCXvoEAIAAA0EAAAOAAAAAAAAAAEAIAAA&#10;AB8BAABkcnMvZTJvRG9jLnhtbFBLBQYAAAAABgAGAFkBAAChBQAAAAA=&#10;">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26"/>
      </w:pPr>
      <w:r>
        <w:rPr>
          <w:rStyle w:val="40"/>
        </w:rPr>
        <w:footnoteRef/>
      </w:r>
      <w:r>
        <w:t xml:space="preserve"> </w:t>
      </w:r>
      <w:r>
        <w:rPr>
          <w:rFonts w:hint="eastAsia"/>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singleLevel"/>
    <w:tmpl w:val="00000003"/>
    <w:lvl w:ilvl="0" w:tentative="0">
      <w:start w:val="1"/>
      <w:numFmt w:val="upperLetter"/>
      <w:pStyle w:val="4"/>
      <w:lvlText w:val="%1."/>
      <w:lvlJc w:val="left"/>
      <w:pPr>
        <w:tabs>
          <w:tab w:val="left" w:pos="330"/>
        </w:tabs>
        <w:ind w:left="330" w:hanging="330"/>
      </w:pPr>
    </w:lvl>
  </w:abstractNum>
  <w:abstractNum w:abstractNumId="1">
    <w:nsid w:val="00000005"/>
    <w:multiLevelType w:val="multilevel"/>
    <w:tmpl w:val="00000005"/>
    <w:lvl w:ilvl="0" w:tentative="0">
      <w:start w:val="22"/>
      <w:numFmt w:val="decimal"/>
      <w:pStyle w:val="166"/>
      <w:lvlText w:val="%1."/>
      <w:lvlJc w:val="left"/>
      <w:pPr>
        <w:tabs>
          <w:tab w:val="left" w:pos="1272"/>
        </w:tabs>
        <w:ind w:left="1272" w:hanging="705"/>
      </w:pPr>
      <w:rPr>
        <w:rFonts w:hint="default"/>
      </w:rPr>
    </w:lvl>
    <w:lvl w:ilvl="1" w:tentative="0">
      <w:start w:val="1"/>
      <w:numFmt w:val="lowerLetter"/>
      <w:lvlText w:val="%2)"/>
      <w:lvlJc w:val="left"/>
      <w:pPr>
        <w:tabs>
          <w:tab w:val="left" w:pos="1407"/>
        </w:tabs>
        <w:ind w:left="1407" w:hanging="420"/>
      </w:pPr>
    </w:lvl>
    <w:lvl w:ilvl="2" w:tentative="0">
      <w:start w:val="1"/>
      <w:numFmt w:val="lowerRoman"/>
      <w:lvlText w:val="%3."/>
      <w:lvlJc w:val="right"/>
      <w:pPr>
        <w:tabs>
          <w:tab w:val="left" w:pos="1827"/>
        </w:tabs>
        <w:ind w:left="1827" w:hanging="420"/>
      </w:pPr>
    </w:lvl>
    <w:lvl w:ilvl="3" w:tentative="0">
      <w:start w:val="1"/>
      <w:numFmt w:val="decimal"/>
      <w:lvlText w:val="%4."/>
      <w:lvlJc w:val="left"/>
      <w:pPr>
        <w:tabs>
          <w:tab w:val="left" w:pos="2247"/>
        </w:tabs>
        <w:ind w:left="2247" w:hanging="420"/>
      </w:pPr>
    </w:lvl>
    <w:lvl w:ilvl="4" w:tentative="0">
      <w:start w:val="1"/>
      <w:numFmt w:val="lowerLetter"/>
      <w:lvlText w:val="%5)"/>
      <w:lvlJc w:val="left"/>
      <w:pPr>
        <w:tabs>
          <w:tab w:val="left" w:pos="2667"/>
        </w:tabs>
        <w:ind w:left="2667" w:hanging="420"/>
      </w:pPr>
    </w:lvl>
    <w:lvl w:ilvl="5" w:tentative="0">
      <w:start w:val="1"/>
      <w:numFmt w:val="lowerRoman"/>
      <w:lvlText w:val="%6."/>
      <w:lvlJc w:val="right"/>
      <w:pPr>
        <w:tabs>
          <w:tab w:val="left" w:pos="3087"/>
        </w:tabs>
        <w:ind w:left="3087" w:hanging="420"/>
      </w:pPr>
    </w:lvl>
    <w:lvl w:ilvl="6" w:tentative="0">
      <w:start w:val="1"/>
      <w:numFmt w:val="decimal"/>
      <w:lvlText w:val="%7."/>
      <w:lvlJc w:val="left"/>
      <w:pPr>
        <w:tabs>
          <w:tab w:val="left" w:pos="3507"/>
        </w:tabs>
        <w:ind w:left="3507" w:hanging="420"/>
      </w:pPr>
    </w:lvl>
    <w:lvl w:ilvl="7" w:tentative="0">
      <w:start w:val="1"/>
      <w:numFmt w:val="lowerLetter"/>
      <w:lvlText w:val="%8)"/>
      <w:lvlJc w:val="left"/>
      <w:pPr>
        <w:tabs>
          <w:tab w:val="left" w:pos="3927"/>
        </w:tabs>
        <w:ind w:left="3927" w:hanging="420"/>
      </w:pPr>
    </w:lvl>
    <w:lvl w:ilvl="8" w:tentative="0">
      <w:start w:val="1"/>
      <w:numFmt w:val="lowerRoman"/>
      <w:lvlText w:val="%9."/>
      <w:lvlJc w:val="right"/>
      <w:pPr>
        <w:tabs>
          <w:tab w:val="left" w:pos="4347"/>
        </w:tabs>
        <w:ind w:left="4347" w:hanging="420"/>
      </w:pPr>
    </w:lvl>
  </w:abstractNum>
  <w:abstractNum w:abstractNumId="2">
    <w:nsid w:val="00000007"/>
    <w:multiLevelType w:val="multilevel"/>
    <w:tmpl w:val="00000007"/>
    <w:lvl w:ilvl="0" w:tentative="0">
      <w:start w:val="8"/>
      <w:numFmt w:val="upperLetter"/>
      <w:pStyle w:val="10"/>
      <w:lvlText w:val="%1)"/>
      <w:lvlJc w:val="left"/>
      <w:pPr>
        <w:tabs>
          <w:tab w:val="left" w:pos="600"/>
        </w:tabs>
        <w:ind w:left="600" w:hanging="600"/>
      </w:pPr>
      <w:rPr>
        <w:rFonts w:hint="eastAsia" w:ascii="Times New Roman" w:eastAsia="黑体"/>
        <w:b/>
        <w:u w:val="single"/>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0000009"/>
    <w:multiLevelType w:val="multilevel"/>
    <w:tmpl w:val="00000009"/>
    <w:lvl w:ilvl="0" w:tentative="0">
      <w:start w:val="1"/>
      <w:numFmt w:val="upperLetter"/>
      <w:pStyle w:val="5"/>
      <w:lvlText w:val="%1."/>
      <w:lvlJc w:val="left"/>
      <w:pPr>
        <w:tabs>
          <w:tab w:val="left" w:pos="752"/>
        </w:tabs>
        <w:ind w:left="752" w:hanging="468"/>
      </w:pPr>
    </w:lvl>
    <w:lvl w:ilvl="1" w:tentative="0">
      <w:start w:val="1"/>
      <w:numFmt w:val="decimal"/>
      <w:lvlText w:val="%2."/>
      <w:lvlJc w:val="left"/>
      <w:pPr>
        <w:tabs>
          <w:tab w:val="left" w:pos="1724"/>
        </w:tabs>
        <w:ind w:left="1724" w:hanging="360"/>
      </w:pPr>
    </w:lvl>
    <w:lvl w:ilvl="2" w:tentative="0">
      <w:start w:val="1"/>
      <w:numFmt w:val="decimal"/>
      <w:lvlText w:val="%3."/>
      <w:lvlJc w:val="left"/>
      <w:pPr>
        <w:tabs>
          <w:tab w:val="left" w:pos="644"/>
        </w:tabs>
        <w:ind w:left="644" w:hanging="360"/>
      </w:pPr>
    </w:lvl>
    <w:lvl w:ilvl="3" w:tentative="0">
      <w:start w:val="1"/>
      <w:numFmt w:val="decimal"/>
      <w:lvlText w:val="%4."/>
      <w:lvlJc w:val="left"/>
      <w:pPr>
        <w:tabs>
          <w:tab w:val="left" w:pos="3164"/>
        </w:tabs>
        <w:ind w:left="3164" w:hanging="360"/>
      </w:pPr>
    </w:lvl>
    <w:lvl w:ilvl="4" w:tentative="0">
      <w:start w:val="1"/>
      <w:numFmt w:val="decimal"/>
      <w:lvlText w:val="%5."/>
      <w:lvlJc w:val="left"/>
      <w:pPr>
        <w:tabs>
          <w:tab w:val="left" w:pos="3884"/>
        </w:tabs>
        <w:ind w:left="3884" w:hanging="360"/>
      </w:pPr>
    </w:lvl>
    <w:lvl w:ilvl="5" w:tentative="0">
      <w:start w:val="1"/>
      <w:numFmt w:val="decimal"/>
      <w:lvlText w:val="%6."/>
      <w:lvlJc w:val="left"/>
      <w:pPr>
        <w:tabs>
          <w:tab w:val="left" w:pos="4604"/>
        </w:tabs>
        <w:ind w:left="4604" w:hanging="360"/>
      </w:pPr>
    </w:lvl>
    <w:lvl w:ilvl="6" w:tentative="0">
      <w:start w:val="1"/>
      <w:numFmt w:val="decimal"/>
      <w:lvlText w:val="%7."/>
      <w:lvlJc w:val="left"/>
      <w:pPr>
        <w:tabs>
          <w:tab w:val="left" w:pos="5324"/>
        </w:tabs>
        <w:ind w:left="5324" w:hanging="360"/>
      </w:pPr>
    </w:lvl>
    <w:lvl w:ilvl="7" w:tentative="0">
      <w:start w:val="1"/>
      <w:numFmt w:val="decimal"/>
      <w:lvlText w:val="%8."/>
      <w:lvlJc w:val="left"/>
      <w:pPr>
        <w:tabs>
          <w:tab w:val="left" w:pos="6044"/>
        </w:tabs>
        <w:ind w:left="6044" w:hanging="360"/>
      </w:pPr>
    </w:lvl>
    <w:lvl w:ilvl="8" w:tentative="0">
      <w:start w:val="1"/>
      <w:numFmt w:val="decimal"/>
      <w:lvlText w:val="%9."/>
      <w:lvlJc w:val="left"/>
      <w:pPr>
        <w:tabs>
          <w:tab w:val="left" w:pos="6764"/>
        </w:tabs>
        <w:ind w:left="6764" w:hanging="360"/>
      </w:pPr>
    </w:lvl>
  </w:abstractNum>
  <w:abstractNum w:abstractNumId="4">
    <w:nsid w:val="0000000C"/>
    <w:multiLevelType w:val="singleLevel"/>
    <w:tmpl w:val="0000000C"/>
    <w:lvl w:ilvl="0" w:tentative="0">
      <w:start w:val="1"/>
      <w:numFmt w:val="upperRoman"/>
      <w:pStyle w:val="9"/>
      <w:lvlText w:val="%1."/>
      <w:lvlJc w:val="left"/>
      <w:pPr>
        <w:tabs>
          <w:tab w:val="left" w:pos="900"/>
        </w:tabs>
        <w:ind w:left="900" w:hanging="300"/>
      </w:pPr>
    </w:lvl>
  </w:abstractNum>
  <w:abstractNum w:abstractNumId="5">
    <w:nsid w:val="0000000D"/>
    <w:multiLevelType w:val="multilevel"/>
    <w:tmpl w:val="0000000D"/>
    <w:lvl w:ilvl="0" w:tentative="0">
      <w:start w:val="1"/>
      <w:numFmt w:val="upperLetter"/>
      <w:pStyle w:val="6"/>
      <w:lvlText w:val="%1."/>
      <w:lvlJc w:val="left"/>
      <w:pPr>
        <w:tabs>
          <w:tab w:val="left" w:pos="435"/>
        </w:tabs>
        <w:ind w:left="435" w:hanging="435"/>
      </w:pPr>
      <w:rPr>
        <w:b w:val="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0000000F"/>
    <w:multiLevelType w:val="multilevel"/>
    <w:tmpl w:val="0000000F"/>
    <w:lvl w:ilvl="0" w:tentative="0">
      <w:start w:val="1"/>
      <w:numFmt w:val="decimal"/>
      <w:pStyle w:val="147"/>
      <w:lvlText w:val="%1、"/>
      <w:lvlJc w:val="left"/>
      <w:pPr>
        <w:ind w:left="900" w:hanging="420"/>
      </w:pPr>
      <w:rPr>
        <w:color w:val="auto"/>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00000010"/>
    <w:multiLevelType w:val="multilevel"/>
    <w:tmpl w:val="00000010"/>
    <w:lvl w:ilvl="0" w:tentative="0">
      <w:start w:val="1"/>
      <w:numFmt w:val="decimal"/>
      <w:pStyle w:val="131"/>
      <w:lvlText w:val="%1."/>
      <w:lvlJc w:val="left"/>
      <w:pPr>
        <w:ind w:left="425" w:hanging="425"/>
      </w:pPr>
      <w:rPr>
        <w:rFonts w:cs="Times New Roman"/>
      </w:rPr>
    </w:lvl>
    <w:lvl w:ilvl="1" w:tentative="0">
      <w:start w:val="1"/>
      <w:numFmt w:val="decimal"/>
      <w:pStyle w:val="78"/>
      <w:lvlText w:val="%1.%2."/>
      <w:lvlJc w:val="left"/>
      <w:pPr>
        <w:ind w:left="747" w:hanging="567"/>
      </w:pPr>
      <w:rPr>
        <w:rFonts w:cs="Times New Roman"/>
      </w:rPr>
    </w:lvl>
    <w:lvl w:ilvl="2" w:tentative="0">
      <w:start w:val="1"/>
      <w:numFmt w:val="decimal"/>
      <w:pStyle w:val="59"/>
      <w:lvlText w:val="%1.%2.%3."/>
      <w:lvlJc w:val="left"/>
      <w:pPr>
        <w:ind w:left="709" w:hanging="709"/>
      </w:pPr>
      <w:rPr>
        <w:rFonts w:cs="Times New Roman"/>
      </w:rPr>
    </w:lvl>
    <w:lvl w:ilvl="3" w:tentative="0">
      <w:start w:val="1"/>
      <w:numFmt w:val="decimal"/>
      <w:lvlText w:val="%1.%2.%3.%4."/>
      <w:lvlJc w:val="left"/>
      <w:pPr>
        <w:ind w:left="851" w:hanging="851"/>
      </w:pPr>
      <w:rPr>
        <w:rFonts w:cs="Times New Roman"/>
      </w:rPr>
    </w:lvl>
    <w:lvl w:ilvl="4" w:tentative="0">
      <w:start w:val="1"/>
      <w:numFmt w:val="decimal"/>
      <w:lvlText w:val="%1.%2.%3.%4.%5."/>
      <w:lvlJc w:val="left"/>
      <w:pPr>
        <w:ind w:left="992" w:hanging="992"/>
      </w:pPr>
      <w:rPr>
        <w:rFonts w:cs="Times New Roman"/>
      </w:rPr>
    </w:lvl>
    <w:lvl w:ilvl="5" w:tentative="0">
      <w:start w:val="1"/>
      <w:numFmt w:val="decimal"/>
      <w:lvlText w:val="%1.%2.%3.%4.%5.%6."/>
      <w:lvlJc w:val="left"/>
      <w:pPr>
        <w:ind w:left="1134" w:hanging="1134"/>
      </w:pPr>
      <w:rPr>
        <w:rFonts w:cs="Times New Roman"/>
      </w:rPr>
    </w:lvl>
    <w:lvl w:ilvl="6" w:tentative="0">
      <w:start w:val="1"/>
      <w:numFmt w:val="decimal"/>
      <w:lvlText w:val="%1.%2.%3.%4.%5.%6.%7."/>
      <w:lvlJc w:val="left"/>
      <w:pPr>
        <w:ind w:left="1276" w:hanging="1276"/>
      </w:pPr>
      <w:rPr>
        <w:rFonts w:cs="Times New Roman"/>
      </w:rPr>
    </w:lvl>
    <w:lvl w:ilvl="7" w:tentative="0">
      <w:start w:val="1"/>
      <w:numFmt w:val="decimal"/>
      <w:lvlText w:val="%1.%2.%3.%4.%5.%6.%7.%8."/>
      <w:lvlJc w:val="left"/>
      <w:pPr>
        <w:ind w:left="1418" w:hanging="1418"/>
      </w:pPr>
      <w:rPr>
        <w:rFonts w:cs="Times New Roman"/>
      </w:rPr>
    </w:lvl>
    <w:lvl w:ilvl="8" w:tentative="0">
      <w:start w:val="1"/>
      <w:numFmt w:val="decimal"/>
      <w:lvlText w:val="%1.%2.%3.%4.%5.%6.%7.%8.%9."/>
      <w:lvlJc w:val="left"/>
      <w:pPr>
        <w:ind w:left="1559" w:hanging="1559"/>
      </w:pPr>
      <w:rPr>
        <w:rFonts w:cs="Times New Roman"/>
      </w:rPr>
    </w:lvl>
  </w:abstractNum>
  <w:abstractNum w:abstractNumId="8">
    <w:nsid w:val="00000012"/>
    <w:multiLevelType w:val="multilevel"/>
    <w:tmpl w:val="00000012"/>
    <w:lvl w:ilvl="0" w:tentative="0">
      <w:start w:val="1"/>
      <w:numFmt w:val="decimal"/>
      <w:pStyle w:val="51"/>
      <w:suff w:val="space"/>
      <w:lvlText w:val="%1、"/>
      <w:lvlJc w:val="left"/>
      <w:pPr>
        <w:ind w:left="0" w:firstLine="0"/>
      </w:pPr>
      <w:rPr>
        <w:rFonts w:hint="eastAsia"/>
      </w:rPr>
    </w:lvl>
    <w:lvl w:ilvl="1" w:tentative="0">
      <w:start w:val="1"/>
      <w:numFmt w:val="decimal"/>
      <w:suff w:val="space"/>
      <w:lvlText w:val="%1.%2、"/>
      <w:lvlJc w:val="left"/>
      <w:pPr>
        <w:ind w:left="0" w:firstLine="0"/>
      </w:pPr>
      <w:rPr>
        <w:rFonts w:hint="eastAsia"/>
      </w:rPr>
    </w:lvl>
    <w:lvl w:ilvl="2" w:tentative="0">
      <w:start w:val="1"/>
      <w:numFmt w:val="decimal"/>
      <w:pStyle w:val="125"/>
      <w:suff w:val="space"/>
      <w:lvlText w:val="%1.%2.%3、"/>
      <w:lvlJc w:val="left"/>
      <w:pPr>
        <w:ind w:left="0" w:firstLine="0"/>
      </w:pPr>
      <w:rPr>
        <w:rFonts w:hint="eastAsia"/>
      </w:rPr>
    </w:lvl>
    <w:lvl w:ilvl="3" w:tentative="0">
      <w:start w:val="1"/>
      <w:numFmt w:val="bullet"/>
      <w:lvlText w:val=""/>
      <w:lvlJc w:val="left"/>
      <w:pPr>
        <w:ind w:left="0" w:firstLine="0"/>
      </w:pPr>
      <w:rPr>
        <w:rFonts w:hint="default" w:ascii="Wingdings" w:hAnsi="Wingdings"/>
      </w:rPr>
    </w:lvl>
    <w:lvl w:ilvl="4" w:tentative="0">
      <w:start w:val="1"/>
      <w:numFmt w:val="decimal"/>
      <w:pStyle w:val="124"/>
      <w:suff w:val="space"/>
      <w:lvlText w:val="%1.%2.%3.%4.%5、"/>
      <w:lvlJc w:val="left"/>
      <w:pPr>
        <w:ind w:left="0" w:firstLine="0"/>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00000013"/>
    <w:multiLevelType w:val="multilevel"/>
    <w:tmpl w:val="00000013"/>
    <w:lvl w:ilvl="0" w:tentative="0">
      <w:start w:val="1"/>
      <w:numFmt w:val="decimal"/>
      <w:lvlText w:val="（%1）"/>
      <w:lvlJc w:val="left"/>
      <w:pPr>
        <w:tabs>
          <w:tab w:val="left" w:pos="1080"/>
        </w:tabs>
        <w:ind w:left="1080" w:hanging="1080"/>
      </w:pPr>
    </w:lvl>
    <w:lvl w:ilvl="1" w:tentative="0">
      <w:start w:val="1"/>
      <w:numFmt w:val="bullet"/>
      <w:lvlText w:val=""/>
      <w:lvlJc w:val="left"/>
      <w:pPr>
        <w:tabs>
          <w:tab w:val="left" w:pos="600"/>
        </w:tabs>
        <w:ind w:left="600" w:hanging="420"/>
      </w:pPr>
      <w:rPr>
        <w:rFonts w:hint="default" w:ascii="Wingdings" w:hAnsi="Wingdings"/>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00000014"/>
    <w:multiLevelType w:val="multilevel"/>
    <w:tmpl w:val="00000014"/>
    <w:lvl w:ilvl="0" w:tentative="0">
      <w:start w:val="1"/>
      <w:numFmt w:val="bullet"/>
      <w:pStyle w:val="92"/>
      <w:lvlText w:val=""/>
      <w:lvlJc w:val="left"/>
      <w:pPr>
        <w:tabs>
          <w:tab w:val="left" w:pos="720"/>
        </w:tabs>
        <w:ind w:left="970" w:hanging="250"/>
      </w:pPr>
      <w:rPr>
        <w:rFonts w:hint="default" w:ascii="Wingdings" w:hAnsi="Wingdings"/>
      </w:rPr>
    </w:lvl>
    <w:lvl w:ilvl="1" w:tentative="0">
      <w:start w:val="1"/>
      <w:numFmt w:val="bullet"/>
      <w:lvlText w:val=""/>
      <w:lvlJc w:val="left"/>
      <w:pPr>
        <w:tabs>
          <w:tab w:val="left" w:pos="789"/>
        </w:tabs>
        <w:ind w:left="789" w:hanging="420"/>
      </w:pPr>
      <w:rPr>
        <w:rFonts w:hint="default" w:ascii="Wingdings" w:hAnsi="Wingdings"/>
      </w:rPr>
    </w:lvl>
    <w:lvl w:ilvl="2" w:tentative="0">
      <w:start w:val="1"/>
      <w:numFmt w:val="bullet"/>
      <w:lvlText w:val=""/>
      <w:lvlJc w:val="left"/>
      <w:pPr>
        <w:tabs>
          <w:tab w:val="left" w:pos="1209"/>
        </w:tabs>
        <w:ind w:left="1209" w:hanging="420"/>
      </w:pPr>
      <w:rPr>
        <w:rFonts w:hint="default" w:ascii="Wingdings" w:hAnsi="Wingdings"/>
      </w:rPr>
    </w:lvl>
    <w:lvl w:ilvl="3" w:tentative="0">
      <w:start w:val="1"/>
      <w:numFmt w:val="bullet"/>
      <w:lvlText w:val=""/>
      <w:lvlJc w:val="left"/>
      <w:pPr>
        <w:tabs>
          <w:tab w:val="left" w:pos="1629"/>
        </w:tabs>
        <w:ind w:left="1629" w:hanging="420"/>
      </w:pPr>
      <w:rPr>
        <w:rFonts w:hint="default" w:ascii="Wingdings" w:hAnsi="Wingdings"/>
      </w:rPr>
    </w:lvl>
    <w:lvl w:ilvl="4" w:tentative="0">
      <w:start w:val="1"/>
      <w:numFmt w:val="bullet"/>
      <w:lvlText w:val=""/>
      <w:lvlJc w:val="left"/>
      <w:pPr>
        <w:tabs>
          <w:tab w:val="left" w:pos="2049"/>
        </w:tabs>
        <w:ind w:left="2049" w:hanging="420"/>
      </w:pPr>
      <w:rPr>
        <w:rFonts w:hint="default" w:ascii="Wingdings" w:hAnsi="Wingdings"/>
      </w:rPr>
    </w:lvl>
    <w:lvl w:ilvl="5" w:tentative="0">
      <w:start w:val="1"/>
      <w:numFmt w:val="bullet"/>
      <w:lvlText w:val=""/>
      <w:lvlJc w:val="left"/>
      <w:pPr>
        <w:tabs>
          <w:tab w:val="left" w:pos="2469"/>
        </w:tabs>
        <w:ind w:left="2469" w:hanging="420"/>
      </w:pPr>
      <w:rPr>
        <w:rFonts w:hint="default" w:ascii="Wingdings" w:hAnsi="Wingdings"/>
      </w:rPr>
    </w:lvl>
    <w:lvl w:ilvl="6" w:tentative="0">
      <w:start w:val="1"/>
      <w:numFmt w:val="bullet"/>
      <w:lvlText w:val=""/>
      <w:lvlJc w:val="left"/>
      <w:pPr>
        <w:tabs>
          <w:tab w:val="left" w:pos="2889"/>
        </w:tabs>
        <w:ind w:left="2889" w:hanging="420"/>
      </w:pPr>
      <w:rPr>
        <w:rFonts w:hint="default" w:ascii="Wingdings" w:hAnsi="Wingdings"/>
      </w:rPr>
    </w:lvl>
    <w:lvl w:ilvl="7" w:tentative="0">
      <w:start w:val="1"/>
      <w:numFmt w:val="bullet"/>
      <w:lvlText w:val=""/>
      <w:lvlJc w:val="left"/>
      <w:pPr>
        <w:tabs>
          <w:tab w:val="left" w:pos="3309"/>
        </w:tabs>
        <w:ind w:left="3309" w:hanging="420"/>
      </w:pPr>
      <w:rPr>
        <w:rFonts w:hint="default" w:ascii="Wingdings" w:hAnsi="Wingdings"/>
      </w:rPr>
    </w:lvl>
    <w:lvl w:ilvl="8" w:tentative="0">
      <w:start w:val="1"/>
      <w:numFmt w:val="bullet"/>
      <w:lvlText w:val=""/>
      <w:lvlJc w:val="left"/>
      <w:pPr>
        <w:tabs>
          <w:tab w:val="left" w:pos="3729"/>
        </w:tabs>
        <w:ind w:left="3729" w:hanging="420"/>
      </w:pPr>
      <w:rPr>
        <w:rFonts w:hint="default" w:ascii="Wingdings" w:hAnsi="Wingdings"/>
      </w:rPr>
    </w:lvl>
  </w:abstractNum>
  <w:abstractNum w:abstractNumId="11">
    <w:nsid w:val="6121886C"/>
    <w:multiLevelType w:val="singleLevel"/>
    <w:tmpl w:val="6121886C"/>
    <w:lvl w:ilvl="0" w:tentative="0">
      <w:start w:val="3"/>
      <w:numFmt w:val="chineseCounting"/>
      <w:suff w:val="space"/>
      <w:lvlText w:val="第%1章"/>
      <w:lvlJc w:val="left"/>
      <w:rPr>
        <w:rFonts w:hint="eastAsia"/>
      </w:rPr>
    </w:lvl>
  </w:abstractNum>
  <w:num w:numId="1">
    <w:abstractNumId w:val="0"/>
  </w:num>
  <w:num w:numId="2">
    <w:abstractNumId w:val="3"/>
  </w:num>
  <w:num w:numId="3">
    <w:abstractNumId w:val="5"/>
  </w:num>
  <w:num w:numId="4">
    <w:abstractNumId w:val="4"/>
  </w:num>
  <w:num w:numId="5">
    <w:abstractNumId w:val="2"/>
  </w:num>
  <w:num w:numId="6">
    <w:abstractNumId w:val="8"/>
  </w:num>
  <w:num w:numId="7">
    <w:abstractNumId w:val="7"/>
  </w:num>
  <w:num w:numId="8">
    <w:abstractNumId w:val="10"/>
  </w:num>
  <w:num w:numId="9">
    <w:abstractNumId w:val="6"/>
  </w:num>
  <w:num w:numId="10">
    <w:abstractNumId w:val="1"/>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6"/>
  <w:drawingGridVerticalSpacing w:val="156"/>
  <w:noPunctuationKerning w:val="1"/>
  <w:characterSpacingControl w:val="compressPunctuation"/>
  <w:doNotValidateAgainstSchema/>
  <w:doNotDemarcateInvalidXml/>
  <w:footnotePr>
    <w:footnote w:id="2"/>
    <w:footnote w:id="3"/>
  </w:foot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liNDE4MDBlZTE5ZGQ2YTM0ZDI2ZDkwYTAyMzFjNDQifQ=="/>
  </w:docVars>
  <w:rsids>
    <w:rsidRoot w:val="00172A27"/>
    <w:rsid w:val="000062BF"/>
    <w:rsid w:val="00016B4C"/>
    <w:rsid w:val="00017628"/>
    <w:rsid w:val="000642A7"/>
    <w:rsid w:val="00080006"/>
    <w:rsid w:val="00081A54"/>
    <w:rsid w:val="00092E5F"/>
    <w:rsid w:val="00093043"/>
    <w:rsid w:val="00093585"/>
    <w:rsid w:val="000A1218"/>
    <w:rsid w:val="000C1312"/>
    <w:rsid w:val="000C1CEF"/>
    <w:rsid w:val="000C37F5"/>
    <w:rsid w:val="000C56AA"/>
    <w:rsid w:val="000E4748"/>
    <w:rsid w:val="000F3737"/>
    <w:rsid w:val="001033E8"/>
    <w:rsid w:val="00110403"/>
    <w:rsid w:val="00111D3F"/>
    <w:rsid w:val="001261B4"/>
    <w:rsid w:val="001343C7"/>
    <w:rsid w:val="001462FA"/>
    <w:rsid w:val="00155FC7"/>
    <w:rsid w:val="00156148"/>
    <w:rsid w:val="00171E29"/>
    <w:rsid w:val="00172A27"/>
    <w:rsid w:val="00174219"/>
    <w:rsid w:val="00180C25"/>
    <w:rsid w:val="00193E81"/>
    <w:rsid w:val="00194FE0"/>
    <w:rsid w:val="00196F20"/>
    <w:rsid w:val="001A0004"/>
    <w:rsid w:val="001A5770"/>
    <w:rsid w:val="001B12F1"/>
    <w:rsid w:val="001B1809"/>
    <w:rsid w:val="001B3637"/>
    <w:rsid w:val="001B51D9"/>
    <w:rsid w:val="001D17EF"/>
    <w:rsid w:val="001D4DCC"/>
    <w:rsid w:val="001E05AE"/>
    <w:rsid w:val="001F4E96"/>
    <w:rsid w:val="00223C9C"/>
    <w:rsid w:val="00236EE6"/>
    <w:rsid w:val="00243912"/>
    <w:rsid w:val="00256410"/>
    <w:rsid w:val="002566DC"/>
    <w:rsid w:val="00264AF7"/>
    <w:rsid w:val="00274221"/>
    <w:rsid w:val="00276359"/>
    <w:rsid w:val="00277DF2"/>
    <w:rsid w:val="0028624A"/>
    <w:rsid w:val="002B0DC3"/>
    <w:rsid w:val="002B3ED2"/>
    <w:rsid w:val="002E107B"/>
    <w:rsid w:val="00302796"/>
    <w:rsid w:val="00321063"/>
    <w:rsid w:val="00327F93"/>
    <w:rsid w:val="00330A36"/>
    <w:rsid w:val="00334CF6"/>
    <w:rsid w:val="00342D66"/>
    <w:rsid w:val="00354FC9"/>
    <w:rsid w:val="003650CA"/>
    <w:rsid w:val="00381061"/>
    <w:rsid w:val="0039591F"/>
    <w:rsid w:val="00397930"/>
    <w:rsid w:val="003A5BB3"/>
    <w:rsid w:val="003B0D10"/>
    <w:rsid w:val="003D11DB"/>
    <w:rsid w:val="003D59AE"/>
    <w:rsid w:val="003F08E0"/>
    <w:rsid w:val="003F3FD3"/>
    <w:rsid w:val="003F6177"/>
    <w:rsid w:val="00404C97"/>
    <w:rsid w:val="00410E39"/>
    <w:rsid w:val="0041104C"/>
    <w:rsid w:val="00412F46"/>
    <w:rsid w:val="00417606"/>
    <w:rsid w:val="004207E0"/>
    <w:rsid w:val="00420EE7"/>
    <w:rsid w:val="004220A2"/>
    <w:rsid w:val="004454A4"/>
    <w:rsid w:val="0044736F"/>
    <w:rsid w:val="004848BD"/>
    <w:rsid w:val="004D5708"/>
    <w:rsid w:val="004D74A8"/>
    <w:rsid w:val="004E19B0"/>
    <w:rsid w:val="004E389A"/>
    <w:rsid w:val="005029E1"/>
    <w:rsid w:val="00505488"/>
    <w:rsid w:val="00507696"/>
    <w:rsid w:val="00510F2E"/>
    <w:rsid w:val="0051119B"/>
    <w:rsid w:val="00523887"/>
    <w:rsid w:val="00527283"/>
    <w:rsid w:val="0053701F"/>
    <w:rsid w:val="005429D7"/>
    <w:rsid w:val="00543CA4"/>
    <w:rsid w:val="00544717"/>
    <w:rsid w:val="00544A7B"/>
    <w:rsid w:val="0055484F"/>
    <w:rsid w:val="00563F51"/>
    <w:rsid w:val="00570C84"/>
    <w:rsid w:val="005E3286"/>
    <w:rsid w:val="005E4AEF"/>
    <w:rsid w:val="005E6C5D"/>
    <w:rsid w:val="005E7A48"/>
    <w:rsid w:val="00601371"/>
    <w:rsid w:val="00602C9F"/>
    <w:rsid w:val="00612396"/>
    <w:rsid w:val="00613DC4"/>
    <w:rsid w:val="00623545"/>
    <w:rsid w:val="00625A87"/>
    <w:rsid w:val="006301C9"/>
    <w:rsid w:val="00635D0F"/>
    <w:rsid w:val="00637023"/>
    <w:rsid w:val="006413C7"/>
    <w:rsid w:val="0064183A"/>
    <w:rsid w:val="00644654"/>
    <w:rsid w:val="0065311E"/>
    <w:rsid w:val="00656EB2"/>
    <w:rsid w:val="00666B00"/>
    <w:rsid w:val="0068035A"/>
    <w:rsid w:val="00687AA5"/>
    <w:rsid w:val="00692577"/>
    <w:rsid w:val="006958D0"/>
    <w:rsid w:val="006B0512"/>
    <w:rsid w:val="006C11DC"/>
    <w:rsid w:val="006C29F0"/>
    <w:rsid w:val="006F430A"/>
    <w:rsid w:val="00701BA1"/>
    <w:rsid w:val="007066D3"/>
    <w:rsid w:val="00712CAD"/>
    <w:rsid w:val="007133AE"/>
    <w:rsid w:val="00716ED5"/>
    <w:rsid w:val="00722216"/>
    <w:rsid w:val="00722881"/>
    <w:rsid w:val="00723453"/>
    <w:rsid w:val="00735209"/>
    <w:rsid w:val="0074093A"/>
    <w:rsid w:val="00742B17"/>
    <w:rsid w:val="007621DD"/>
    <w:rsid w:val="00764132"/>
    <w:rsid w:val="0077407E"/>
    <w:rsid w:val="00785884"/>
    <w:rsid w:val="00790C6B"/>
    <w:rsid w:val="007A32DE"/>
    <w:rsid w:val="007B15F3"/>
    <w:rsid w:val="007B3836"/>
    <w:rsid w:val="007C6E51"/>
    <w:rsid w:val="007E13A9"/>
    <w:rsid w:val="007E4AAD"/>
    <w:rsid w:val="007E4C73"/>
    <w:rsid w:val="007F0A1D"/>
    <w:rsid w:val="007F17BC"/>
    <w:rsid w:val="007F371A"/>
    <w:rsid w:val="00802FE2"/>
    <w:rsid w:val="00803F4D"/>
    <w:rsid w:val="00803F79"/>
    <w:rsid w:val="00823E68"/>
    <w:rsid w:val="00826FAB"/>
    <w:rsid w:val="00830714"/>
    <w:rsid w:val="0083774F"/>
    <w:rsid w:val="00861CE5"/>
    <w:rsid w:val="008634FF"/>
    <w:rsid w:val="008652D0"/>
    <w:rsid w:val="0088675F"/>
    <w:rsid w:val="0088730E"/>
    <w:rsid w:val="0089405C"/>
    <w:rsid w:val="00895351"/>
    <w:rsid w:val="0089727F"/>
    <w:rsid w:val="008A7772"/>
    <w:rsid w:val="008B36A1"/>
    <w:rsid w:val="008C1934"/>
    <w:rsid w:val="008D10F8"/>
    <w:rsid w:val="008D6A70"/>
    <w:rsid w:val="00902A6F"/>
    <w:rsid w:val="0090559F"/>
    <w:rsid w:val="009057D4"/>
    <w:rsid w:val="0091314F"/>
    <w:rsid w:val="00915DA6"/>
    <w:rsid w:val="0091779E"/>
    <w:rsid w:val="00924092"/>
    <w:rsid w:val="00926DC6"/>
    <w:rsid w:val="00952F28"/>
    <w:rsid w:val="00973219"/>
    <w:rsid w:val="0097509F"/>
    <w:rsid w:val="00985DDD"/>
    <w:rsid w:val="00993E7B"/>
    <w:rsid w:val="009A20D1"/>
    <w:rsid w:val="009A442E"/>
    <w:rsid w:val="009A4B5E"/>
    <w:rsid w:val="009B0EF4"/>
    <w:rsid w:val="009B7ADA"/>
    <w:rsid w:val="009C2316"/>
    <w:rsid w:val="009C73DD"/>
    <w:rsid w:val="009D2E05"/>
    <w:rsid w:val="009D5381"/>
    <w:rsid w:val="009D70A5"/>
    <w:rsid w:val="009E0021"/>
    <w:rsid w:val="009E54AD"/>
    <w:rsid w:val="009F12D1"/>
    <w:rsid w:val="00A006C5"/>
    <w:rsid w:val="00A234AC"/>
    <w:rsid w:val="00A51DE7"/>
    <w:rsid w:val="00A54808"/>
    <w:rsid w:val="00A558FE"/>
    <w:rsid w:val="00A57379"/>
    <w:rsid w:val="00A74883"/>
    <w:rsid w:val="00A823EC"/>
    <w:rsid w:val="00A86152"/>
    <w:rsid w:val="00AC05F8"/>
    <w:rsid w:val="00AC508D"/>
    <w:rsid w:val="00AC5E76"/>
    <w:rsid w:val="00AD3927"/>
    <w:rsid w:val="00AD66A8"/>
    <w:rsid w:val="00AD6BA9"/>
    <w:rsid w:val="00AD780F"/>
    <w:rsid w:val="00AE0CAC"/>
    <w:rsid w:val="00AF68AA"/>
    <w:rsid w:val="00AF7806"/>
    <w:rsid w:val="00B03090"/>
    <w:rsid w:val="00B1065F"/>
    <w:rsid w:val="00B3341E"/>
    <w:rsid w:val="00B33471"/>
    <w:rsid w:val="00B45677"/>
    <w:rsid w:val="00B45B86"/>
    <w:rsid w:val="00B604E5"/>
    <w:rsid w:val="00B70D04"/>
    <w:rsid w:val="00B8007E"/>
    <w:rsid w:val="00B90230"/>
    <w:rsid w:val="00BA4926"/>
    <w:rsid w:val="00BB4D56"/>
    <w:rsid w:val="00BB5221"/>
    <w:rsid w:val="00BC7BF6"/>
    <w:rsid w:val="00BF08F6"/>
    <w:rsid w:val="00BF17B5"/>
    <w:rsid w:val="00BF7D8D"/>
    <w:rsid w:val="00BF7F78"/>
    <w:rsid w:val="00C02461"/>
    <w:rsid w:val="00C15071"/>
    <w:rsid w:val="00C27202"/>
    <w:rsid w:val="00C46CC2"/>
    <w:rsid w:val="00C52B35"/>
    <w:rsid w:val="00C55C79"/>
    <w:rsid w:val="00C80AC2"/>
    <w:rsid w:val="00C95477"/>
    <w:rsid w:val="00C9600A"/>
    <w:rsid w:val="00C96F2D"/>
    <w:rsid w:val="00CA5A7A"/>
    <w:rsid w:val="00CC0F70"/>
    <w:rsid w:val="00CC41B3"/>
    <w:rsid w:val="00CD2634"/>
    <w:rsid w:val="00CE2B0A"/>
    <w:rsid w:val="00CE4DF8"/>
    <w:rsid w:val="00D013E1"/>
    <w:rsid w:val="00D14AC5"/>
    <w:rsid w:val="00D405CE"/>
    <w:rsid w:val="00D4116A"/>
    <w:rsid w:val="00D41CE2"/>
    <w:rsid w:val="00D4317D"/>
    <w:rsid w:val="00D4494A"/>
    <w:rsid w:val="00D7242B"/>
    <w:rsid w:val="00D90C83"/>
    <w:rsid w:val="00D97226"/>
    <w:rsid w:val="00DA7460"/>
    <w:rsid w:val="00DB5807"/>
    <w:rsid w:val="00DB7D64"/>
    <w:rsid w:val="00E0114C"/>
    <w:rsid w:val="00E14558"/>
    <w:rsid w:val="00E15E04"/>
    <w:rsid w:val="00E160CE"/>
    <w:rsid w:val="00E17A1C"/>
    <w:rsid w:val="00E23CD3"/>
    <w:rsid w:val="00E25A4A"/>
    <w:rsid w:val="00E32277"/>
    <w:rsid w:val="00E3600A"/>
    <w:rsid w:val="00E43F75"/>
    <w:rsid w:val="00E46E80"/>
    <w:rsid w:val="00E72439"/>
    <w:rsid w:val="00EA2908"/>
    <w:rsid w:val="00EA357D"/>
    <w:rsid w:val="00EB0486"/>
    <w:rsid w:val="00EC5BD2"/>
    <w:rsid w:val="00EE334B"/>
    <w:rsid w:val="00EE7AAE"/>
    <w:rsid w:val="00EF3D73"/>
    <w:rsid w:val="00F50D18"/>
    <w:rsid w:val="00F7354E"/>
    <w:rsid w:val="00F74D6D"/>
    <w:rsid w:val="00F842D0"/>
    <w:rsid w:val="00F87327"/>
    <w:rsid w:val="00F87807"/>
    <w:rsid w:val="00FD26B5"/>
    <w:rsid w:val="00FE0B17"/>
    <w:rsid w:val="00FE36EA"/>
    <w:rsid w:val="00FF06AF"/>
    <w:rsid w:val="00FF6907"/>
    <w:rsid w:val="01180404"/>
    <w:rsid w:val="01254D92"/>
    <w:rsid w:val="0142608D"/>
    <w:rsid w:val="01522B51"/>
    <w:rsid w:val="015B4110"/>
    <w:rsid w:val="01EF64F0"/>
    <w:rsid w:val="022F3D15"/>
    <w:rsid w:val="02334999"/>
    <w:rsid w:val="026C4902"/>
    <w:rsid w:val="027A72A8"/>
    <w:rsid w:val="02B87890"/>
    <w:rsid w:val="02BF7E4E"/>
    <w:rsid w:val="02FC4A99"/>
    <w:rsid w:val="03055C04"/>
    <w:rsid w:val="03357DA8"/>
    <w:rsid w:val="033B5BD4"/>
    <w:rsid w:val="037F22E4"/>
    <w:rsid w:val="039C1A87"/>
    <w:rsid w:val="039D6BD1"/>
    <w:rsid w:val="03DC1C83"/>
    <w:rsid w:val="041F589B"/>
    <w:rsid w:val="043A67BC"/>
    <w:rsid w:val="04606FA9"/>
    <w:rsid w:val="046318FC"/>
    <w:rsid w:val="046910D8"/>
    <w:rsid w:val="046C1EC1"/>
    <w:rsid w:val="046E351F"/>
    <w:rsid w:val="04F91FAA"/>
    <w:rsid w:val="04FC088E"/>
    <w:rsid w:val="050C0AA2"/>
    <w:rsid w:val="051B1846"/>
    <w:rsid w:val="053E1365"/>
    <w:rsid w:val="05411391"/>
    <w:rsid w:val="056328E7"/>
    <w:rsid w:val="05835D1D"/>
    <w:rsid w:val="05987E20"/>
    <w:rsid w:val="05A202F6"/>
    <w:rsid w:val="05F23A3F"/>
    <w:rsid w:val="05F851C3"/>
    <w:rsid w:val="060E3933"/>
    <w:rsid w:val="06207F9A"/>
    <w:rsid w:val="06237975"/>
    <w:rsid w:val="0642294B"/>
    <w:rsid w:val="0643791D"/>
    <w:rsid w:val="06750697"/>
    <w:rsid w:val="067F095B"/>
    <w:rsid w:val="06C12893"/>
    <w:rsid w:val="06D42A13"/>
    <w:rsid w:val="06FD1484"/>
    <w:rsid w:val="0713698E"/>
    <w:rsid w:val="0720268E"/>
    <w:rsid w:val="07346F93"/>
    <w:rsid w:val="07425DDC"/>
    <w:rsid w:val="0749289E"/>
    <w:rsid w:val="07580F0B"/>
    <w:rsid w:val="077D3B62"/>
    <w:rsid w:val="07AF7509"/>
    <w:rsid w:val="07DC7E76"/>
    <w:rsid w:val="080C7631"/>
    <w:rsid w:val="081603A9"/>
    <w:rsid w:val="08175254"/>
    <w:rsid w:val="083875E7"/>
    <w:rsid w:val="085F0E6E"/>
    <w:rsid w:val="087C4B0F"/>
    <w:rsid w:val="08932C06"/>
    <w:rsid w:val="08A475B0"/>
    <w:rsid w:val="08C607DB"/>
    <w:rsid w:val="091354FE"/>
    <w:rsid w:val="09427803"/>
    <w:rsid w:val="09EB7FC4"/>
    <w:rsid w:val="0A37439C"/>
    <w:rsid w:val="0A4A2D20"/>
    <w:rsid w:val="0A5F7BF0"/>
    <w:rsid w:val="0A6F41A3"/>
    <w:rsid w:val="0A8432A4"/>
    <w:rsid w:val="0AA27250"/>
    <w:rsid w:val="0ABA399B"/>
    <w:rsid w:val="0AC72F41"/>
    <w:rsid w:val="0ACD5DC3"/>
    <w:rsid w:val="0ADC0DE9"/>
    <w:rsid w:val="0B0A293E"/>
    <w:rsid w:val="0B0A52E6"/>
    <w:rsid w:val="0B2823DD"/>
    <w:rsid w:val="0B2C4A98"/>
    <w:rsid w:val="0B4E0519"/>
    <w:rsid w:val="0B6526A9"/>
    <w:rsid w:val="0BB34AFD"/>
    <w:rsid w:val="0BC8127F"/>
    <w:rsid w:val="0BD7617B"/>
    <w:rsid w:val="0BEB0432"/>
    <w:rsid w:val="0C0B6674"/>
    <w:rsid w:val="0C1D066D"/>
    <w:rsid w:val="0C9B28EA"/>
    <w:rsid w:val="0CA64DDE"/>
    <w:rsid w:val="0CE61203"/>
    <w:rsid w:val="0CFB4EE1"/>
    <w:rsid w:val="0D1B2D97"/>
    <w:rsid w:val="0D2E5117"/>
    <w:rsid w:val="0D3861DB"/>
    <w:rsid w:val="0D656280"/>
    <w:rsid w:val="0D7B07BD"/>
    <w:rsid w:val="0DB04954"/>
    <w:rsid w:val="0DC1777D"/>
    <w:rsid w:val="0DD47E87"/>
    <w:rsid w:val="0E5F6764"/>
    <w:rsid w:val="0E6D1FDD"/>
    <w:rsid w:val="0E9822DA"/>
    <w:rsid w:val="0EB7671D"/>
    <w:rsid w:val="0EF754D3"/>
    <w:rsid w:val="0F191313"/>
    <w:rsid w:val="0F1C394B"/>
    <w:rsid w:val="0F233E7D"/>
    <w:rsid w:val="0F322B33"/>
    <w:rsid w:val="0F4053A6"/>
    <w:rsid w:val="0F6E1B0E"/>
    <w:rsid w:val="0F723602"/>
    <w:rsid w:val="0F7C10F1"/>
    <w:rsid w:val="0FA22280"/>
    <w:rsid w:val="0FB80920"/>
    <w:rsid w:val="0FDA40F4"/>
    <w:rsid w:val="100D281E"/>
    <w:rsid w:val="101F5E0E"/>
    <w:rsid w:val="10287DF1"/>
    <w:rsid w:val="102D5861"/>
    <w:rsid w:val="104610A3"/>
    <w:rsid w:val="107E5A79"/>
    <w:rsid w:val="1080219B"/>
    <w:rsid w:val="10A84DD4"/>
    <w:rsid w:val="10B41B62"/>
    <w:rsid w:val="10B6719C"/>
    <w:rsid w:val="10E22045"/>
    <w:rsid w:val="111451B1"/>
    <w:rsid w:val="116672F8"/>
    <w:rsid w:val="11896CCD"/>
    <w:rsid w:val="11A6086E"/>
    <w:rsid w:val="11A87EC1"/>
    <w:rsid w:val="11BF4C49"/>
    <w:rsid w:val="11C961AC"/>
    <w:rsid w:val="11F0056E"/>
    <w:rsid w:val="12006A5A"/>
    <w:rsid w:val="1200778F"/>
    <w:rsid w:val="12300DD7"/>
    <w:rsid w:val="12302EFE"/>
    <w:rsid w:val="1241500B"/>
    <w:rsid w:val="124242DD"/>
    <w:rsid w:val="124B318A"/>
    <w:rsid w:val="12890EAE"/>
    <w:rsid w:val="128C1193"/>
    <w:rsid w:val="129643F0"/>
    <w:rsid w:val="129C21A9"/>
    <w:rsid w:val="12A32BA8"/>
    <w:rsid w:val="12B51720"/>
    <w:rsid w:val="12C0338C"/>
    <w:rsid w:val="12F607EC"/>
    <w:rsid w:val="130F7DE3"/>
    <w:rsid w:val="13140452"/>
    <w:rsid w:val="13270C91"/>
    <w:rsid w:val="133352A1"/>
    <w:rsid w:val="13512299"/>
    <w:rsid w:val="136D0C73"/>
    <w:rsid w:val="139F71E8"/>
    <w:rsid w:val="13DD75ED"/>
    <w:rsid w:val="13F04893"/>
    <w:rsid w:val="13F82CDA"/>
    <w:rsid w:val="143605D1"/>
    <w:rsid w:val="14680BE9"/>
    <w:rsid w:val="14883EEC"/>
    <w:rsid w:val="14DC25AF"/>
    <w:rsid w:val="150A4EE4"/>
    <w:rsid w:val="15391896"/>
    <w:rsid w:val="15497EC7"/>
    <w:rsid w:val="155033D6"/>
    <w:rsid w:val="156D7A8E"/>
    <w:rsid w:val="15721AF8"/>
    <w:rsid w:val="158E1348"/>
    <w:rsid w:val="15C6177B"/>
    <w:rsid w:val="15CD3010"/>
    <w:rsid w:val="15E7303E"/>
    <w:rsid w:val="15E76BCB"/>
    <w:rsid w:val="15EF6793"/>
    <w:rsid w:val="160A5569"/>
    <w:rsid w:val="163D13DA"/>
    <w:rsid w:val="1654622B"/>
    <w:rsid w:val="165B7390"/>
    <w:rsid w:val="16715047"/>
    <w:rsid w:val="169F2EFE"/>
    <w:rsid w:val="16B97D5B"/>
    <w:rsid w:val="16DA1010"/>
    <w:rsid w:val="16FC3624"/>
    <w:rsid w:val="171C4401"/>
    <w:rsid w:val="17210C3E"/>
    <w:rsid w:val="174B5CD0"/>
    <w:rsid w:val="176B6FEE"/>
    <w:rsid w:val="17A06AA7"/>
    <w:rsid w:val="17BF7522"/>
    <w:rsid w:val="17C46AA1"/>
    <w:rsid w:val="17CE5993"/>
    <w:rsid w:val="17D11F4E"/>
    <w:rsid w:val="17F0702A"/>
    <w:rsid w:val="183A0A52"/>
    <w:rsid w:val="18597A79"/>
    <w:rsid w:val="188C23F5"/>
    <w:rsid w:val="18914F2D"/>
    <w:rsid w:val="18A56E4D"/>
    <w:rsid w:val="18A75CEB"/>
    <w:rsid w:val="18E77508"/>
    <w:rsid w:val="18EC7301"/>
    <w:rsid w:val="18F40406"/>
    <w:rsid w:val="18F90DAD"/>
    <w:rsid w:val="190A159C"/>
    <w:rsid w:val="191F65FD"/>
    <w:rsid w:val="193C4294"/>
    <w:rsid w:val="194431E1"/>
    <w:rsid w:val="194434EE"/>
    <w:rsid w:val="19527BFF"/>
    <w:rsid w:val="196374B0"/>
    <w:rsid w:val="19AE3C93"/>
    <w:rsid w:val="19EF5CA9"/>
    <w:rsid w:val="19F42124"/>
    <w:rsid w:val="19F45803"/>
    <w:rsid w:val="19FA0014"/>
    <w:rsid w:val="1A0D2893"/>
    <w:rsid w:val="1A1E42C0"/>
    <w:rsid w:val="1A850B82"/>
    <w:rsid w:val="1AC342EC"/>
    <w:rsid w:val="1AED67D4"/>
    <w:rsid w:val="1B275D25"/>
    <w:rsid w:val="1B3E378B"/>
    <w:rsid w:val="1B4D7FCB"/>
    <w:rsid w:val="1B9F36E2"/>
    <w:rsid w:val="1BB1252F"/>
    <w:rsid w:val="1BBD66AD"/>
    <w:rsid w:val="1C054E9A"/>
    <w:rsid w:val="1C086D7E"/>
    <w:rsid w:val="1C5A5EA3"/>
    <w:rsid w:val="1CC7757C"/>
    <w:rsid w:val="1CED7F76"/>
    <w:rsid w:val="1CEE562E"/>
    <w:rsid w:val="1CFE621F"/>
    <w:rsid w:val="1D0D1D16"/>
    <w:rsid w:val="1D4F2247"/>
    <w:rsid w:val="1DA46A60"/>
    <w:rsid w:val="1DCC727E"/>
    <w:rsid w:val="1DE62C4C"/>
    <w:rsid w:val="1DF77938"/>
    <w:rsid w:val="1E5A3CE3"/>
    <w:rsid w:val="1E5D52DB"/>
    <w:rsid w:val="1E616E21"/>
    <w:rsid w:val="1E734830"/>
    <w:rsid w:val="1E8911AE"/>
    <w:rsid w:val="1E930AE3"/>
    <w:rsid w:val="1EA0314A"/>
    <w:rsid w:val="1EAE09F3"/>
    <w:rsid w:val="1ECE0805"/>
    <w:rsid w:val="1EE44F96"/>
    <w:rsid w:val="1F2269EE"/>
    <w:rsid w:val="1F556BF4"/>
    <w:rsid w:val="1F5A6DEA"/>
    <w:rsid w:val="1F846F7E"/>
    <w:rsid w:val="1F8737F7"/>
    <w:rsid w:val="1F8B4CF3"/>
    <w:rsid w:val="1F9D4426"/>
    <w:rsid w:val="1FA576B5"/>
    <w:rsid w:val="1FC92E2F"/>
    <w:rsid w:val="1FDB04FD"/>
    <w:rsid w:val="1FE0283B"/>
    <w:rsid w:val="202076CF"/>
    <w:rsid w:val="2028592F"/>
    <w:rsid w:val="203D18B4"/>
    <w:rsid w:val="20742BBB"/>
    <w:rsid w:val="209B4799"/>
    <w:rsid w:val="20A36829"/>
    <w:rsid w:val="20A90A7D"/>
    <w:rsid w:val="20C4572B"/>
    <w:rsid w:val="20CF3D05"/>
    <w:rsid w:val="2161612D"/>
    <w:rsid w:val="219630C7"/>
    <w:rsid w:val="21F42348"/>
    <w:rsid w:val="22363ABF"/>
    <w:rsid w:val="223C1D56"/>
    <w:rsid w:val="226742CA"/>
    <w:rsid w:val="226759FB"/>
    <w:rsid w:val="22750E20"/>
    <w:rsid w:val="22906789"/>
    <w:rsid w:val="229A2B7A"/>
    <w:rsid w:val="22E42C35"/>
    <w:rsid w:val="22E81CE4"/>
    <w:rsid w:val="231E5328"/>
    <w:rsid w:val="232A77CB"/>
    <w:rsid w:val="233341F3"/>
    <w:rsid w:val="23424480"/>
    <w:rsid w:val="23577637"/>
    <w:rsid w:val="23642454"/>
    <w:rsid w:val="2373106E"/>
    <w:rsid w:val="239F585C"/>
    <w:rsid w:val="23A9408B"/>
    <w:rsid w:val="23C25969"/>
    <w:rsid w:val="23C554E9"/>
    <w:rsid w:val="23DB7314"/>
    <w:rsid w:val="23FA173E"/>
    <w:rsid w:val="23FC6978"/>
    <w:rsid w:val="24454B50"/>
    <w:rsid w:val="245671D4"/>
    <w:rsid w:val="24581D37"/>
    <w:rsid w:val="247E2489"/>
    <w:rsid w:val="24C6283B"/>
    <w:rsid w:val="24EF2BD6"/>
    <w:rsid w:val="24F74AC5"/>
    <w:rsid w:val="25117BD5"/>
    <w:rsid w:val="252C005C"/>
    <w:rsid w:val="2584257A"/>
    <w:rsid w:val="2585544A"/>
    <w:rsid w:val="258B534A"/>
    <w:rsid w:val="259A445B"/>
    <w:rsid w:val="25B8127B"/>
    <w:rsid w:val="25CE6753"/>
    <w:rsid w:val="25DE1312"/>
    <w:rsid w:val="25E81813"/>
    <w:rsid w:val="25EB046F"/>
    <w:rsid w:val="2685434B"/>
    <w:rsid w:val="26A76DE9"/>
    <w:rsid w:val="26AF484E"/>
    <w:rsid w:val="26C0161F"/>
    <w:rsid w:val="26EF553B"/>
    <w:rsid w:val="26F24F38"/>
    <w:rsid w:val="26FB7023"/>
    <w:rsid w:val="27355FBE"/>
    <w:rsid w:val="27553FA5"/>
    <w:rsid w:val="276D0BB2"/>
    <w:rsid w:val="27AC517D"/>
    <w:rsid w:val="27BF152F"/>
    <w:rsid w:val="28370790"/>
    <w:rsid w:val="28382E1C"/>
    <w:rsid w:val="28435F17"/>
    <w:rsid w:val="284B7195"/>
    <w:rsid w:val="284F1B24"/>
    <w:rsid w:val="28527589"/>
    <w:rsid w:val="289952B7"/>
    <w:rsid w:val="28B459FE"/>
    <w:rsid w:val="28B75A3D"/>
    <w:rsid w:val="28B92EA3"/>
    <w:rsid w:val="29213060"/>
    <w:rsid w:val="292D086B"/>
    <w:rsid w:val="295367AE"/>
    <w:rsid w:val="29661CBA"/>
    <w:rsid w:val="297957E2"/>
    <w:rsid w:val="29B57216"/>
    <w:rsid w:val="29D56DBE"/>
    <w:rsid w:val="29FD186C"/>
    <w:rsid w:val="29FD4651"/>
    <w:rsid w:val="2A077259"/>
    <w:rsid w:val="2A250BDE"/>
    <w:rsid w:val="2A506261"/>
    <w:rsid w:val="2A5C08EA"/>
    <w:rsid w:val="2A755412"/>
    <w:rsid w:val="2A773CA2"/>
    <w:rsid w:val="2A94263F"/>
    <w:rsid w:val="2AB416AE"/>
    <w:rsid w:val="2AC161A5"/>
    <w:rsid w:val="2ACD2168"/>
    <w:rsid w:val="2AD441EE"/>
    <w:rsid w:val="2AED47F1"/>
    <w:rsid w:val="2B2D7E63"/>
    <w:rsid w:val="2B48721C"/>
    <w:rsid w:val="2B56542C"/>
    <w:rsid w:val="2B951880"/>
    <w:rsid w:val="2BBA5332"/>
    <w:rsid w:val="2BDE5588"/>
    <w:rsid w:val="2C167691"/>
    <w:rsid w:val="2C66131E"/>
    <w:rsid w:val="2C942A88"/>
    <w:rsid w:val="2CB05125"/>
    <w:rsid w:val="2CB15EF9"/>
    <w:rsid w:val="2CC53341"/>
    <w:rsid w:val="2CD56E47"/>
    <w:rsid w:val="2CF53953"/>
    <w:rsid w:val="2D114280"/>
    <w:rsid w:val="2D161780"/>
    <w:rsid w:val="2D524DA4"/>
    <w:rsid w:val="2D5D35F1"/>
    <w:rsid w:val="2D912929"/>
    <w:rsid w:val="2DDA7A9E"/>
    <w:rsid w:val="2E1A5A9F"/>
    <w:rsid w:val="2E200BAB"/>
    <w:rsid w:val="2E37005E"/>
    <w:rsid w:val="2E3A7BAD"/>
    <w:rsid w:val="2E611446"/>
    <w:rsid w:val="2E6C171B"/>
    <w:rsid w:val="2E6C4E4F"/>
    <w:rsid w:val="2E8A2766"/>
    <w:rsid w:val="2EAC62CC"/>
    <w:rsid w:val="2ED6669A"/>
    <w:rsid w:val="2EDB0D4C"/>
    <w:rsid w:val="2EFF06E7"/>
    <w:rsid w:val="2F090E89"/>
    <w:rsid w:val="2F442E25"/>
    <w:rsid w:val="2F597389"/>
    <w:rsid w:val="2F9B0588"/>
    <w:rsid w:val="2FB822D7"/>
    <w:rsid w:val="2FC46293"/>
    <w:rsid w:val="2FCE39C4"/>
    <w:rsid w:val="2FD3700F"/>
    <w:rsid w:val="304A64FF"/>
    <w:rsid w:val="30760F00"/>
    <w:rsid w:val="307A1F54"/>
    <w:rsid w:val="30936744"/>
    <w:rsid w:val="30B52F52"/>
    <w:rsid w:val="30D52E07"/>
    <w:rsid w:val="30D64B90"/>
    <w:rsid w:val="30FC77CD"/>
    <w:rsid w:val="31022FB6"/>
    <w:rsid w:val="312C1B13"/>
    <w:rsid w:val="312E18CB"/>
    <w:rsid w:val="313170BC"/>
    <w:rsid w:val="31524ABA"/>
    <w:rsid w:val="318252A6"/>
    <w:rsid w:val="31D35D5F"/>
    <w:rsid w:val="31F4219C"/>
    <w:rsid w:val="322D2D0F"/>
    <w:rsid w:val="32AB2BB7"/>
    <w:rsid w:val="32D16607"/>
    <w:rsid w:val="32EF4AD8"/>
    <w:rsid w:val="32FB2FA4"/>
    <w:rsid w:val="330B16E8"/>
    <w:rsid w:val="33166C1D"/>
    <w:rsid w:val="33176B78"/>
    <w:rsid w:val="331867C5"/>
    <w:rsid w:val="331D3D50"/>
    <w:rsid w:val="33641F3D"/>
    <w:rsid w:val="3369382C"/>
    <w:rsid w:val="3399398D"/>
    <w:rsid w:val="33A97367"/>
    <w:rsid w:val="33AB1EEF"/>
    <w:rsid w:val="33C94536"/>
    <w:rsid w:val="33D524A4"/>
    <w:rsid w:val="33E311BF"/>
    <w:rsid w:val="340C59AC"/>
    <w:rsid w:val="34420140"/>
    <w:rsid w:val="344C7AFE"/>
    <w:rsid w:val="345835FF"/>
    <w:rsid w:val="346F7D48"/>
    <w:rsid w:val="34701379"/>
    <w:rsid w:val="34832515"/>
    <w:rsid w:val="348669C7"/>
    <w:rsid w:val="34A87582"/>
    <w:rsid w:val="34B45669"/>
    <w:rsid w:val="34DD7A8D"/>
    <w:rsid w:val="34FC3673"/>
    <w:rsid w:val="35037C38"/>
    <w:rsid w:val="35183BA6"/>
    <w:rsid w:val="351B4D2B"/>
    <w:rsid w:val="3542403A"/>
    <w:rsid w:val="35487B17"/>
    <w:rsid w:val="35976057"/>
    <w:rsid w:val="359C6D0A"/>
    <w:rsid w:val="35A3072E"/>
    <w:rsid w:val="35A96BF3"/>
    <w:rsid w:val="35B9074F"/>
    <w:rsid w:val="35CA42B7"/>
    <w:rsid w:val="35EC2001"/>
    <w:rsid w:val="36022EF1"/>
    <w:rsid w:val="360C21E3"/>
    <w:rsid w:val="362F02FD"/>
    <w:rsid w:val="363A2FAF"/>
    <w:rsid w:val="365A580F"/>
    <w:rsid w:val="36731AE0"/>
    <w:rsid w:val="36DD57C4"/>
    <w:rsid w:val="36E00EFB"/>
    <w:rsid w:val="37002D8F"/>
    <w:rsid w:val="37051155"/>
    <w:rsid w:val="372C7F32"/>
    <w:rsid w:val="37477FE1"/>
    <w:rsid w:val="37513284"/>
    <w:rsid w:val="37593CC1"/>
    <w:rsid w:val="376B3143"/>
    <w:rsid w:val="377222A2"/>
    <w:rsid w:val="378D07FD"/>
    <w:rsid w:val="37C24375"/>
    <w:rsid w:val="37D629F6"/>
    <w:rsid w:val="37DE34B2"/>
    <w:rsid w:val="37E82357"/>
    <w:rsid w:val="387155CD"/>
    <w:rsid w:val="387D3938"/>
    <w:rsid w:val="38862B36"/>
    <w:rsid w:val="38902B46"/>
    <w:rsid w:val="389D37EE"/>
    <w:rsid w:val="38CC1D4A"/>
    <w:rsid w:val="38CC4FF5"/>
    <w:rsid w:val="38D9011F"/>
    <w:rsid w:val="38E107AC"/>
    <w:rsid w:val="39223FB2"/>
    <w:rsid w:val="392322F1"/>
    <w:rsid w:val="393F544B"/>
    <w:rsid w:val="396B7773"/>
    <w:rsid w:val="396C4852"/>
    <w:rsid w:val="397B03D4"/>
    <w:rsid w:val="39A14D0E"/>
    <w:rsid w:val="39BC420A"/>
    <w:rsid w:val="39F56667"/>
    <w:rsid w:val="39FB18E1"/>
    <w:rsid w:val="39FF351A"/>
    <w:rsid w:val="3A415D3D"/>
    <w:rsid w:val="3A8D7044"/>
    <w:rsid w:val="3A980C34"/>
    <w:rsid w:val="3A9D4AAC"/>
    <w:rsid w:val="3AA106F3"/>
    <w:rsid w:val="3AA64FA4"/>
    <w:rsid w:val="3ABB07E6"/>
    <w:rsid w:val="3AC82A93"/>
    <w:rsid w:val="3B055C32"/>
    <w:rsid w:val="3B096AD2"/>
    <w:rsid w:val="3B353B0F"/>
    <w:rsid w:val="3B3C3133"/>
    <w:rsid w:val="3B496A1F"/>
    <w:rsid w:val="3B4C39B3"/>
    <w:rsid w:val="3B5859AB"/>
    <w:rsid w:val="3B95200F"/>
    <w:rsid w:val="3BA21AFC"/>
    <w:rsid w:val="3BC248FC"/>
    <w:rsid w:val="3BC858EC"/>
    <w:rsid w:val="3C006E7C"/>
    <w:rsid w:val="3C0320D2"/>
    <w:rsid w:val="3C0536D8"/>
    <w:rsid w:val="3C197CD9"/>
    <w:rsid w:val="3C1D7CFE"/>
    <w:rsid w:val="3C2459F9"/>
    <w:rsid w:val="3C390F48"/>
    <w:rsid w:val="3C4767E9"/>
    <w:rsid w:val="3C4C35B9"/>
    <w:rsid w:val="3C6068E3"/>
    <w:rsid w:val="3CB53FBA"/>
    <w:rsid w:val="3CB85BCB"/>
    <w:rsid w:val="3CD4585E"/>
    <w:rsid w:val="3D443CD5"/>
    <w:rsid w:val="3D621DAF"/>
    <w:rsid w:val="3D857A1E"/>
    <w:rsid w:val="3D9234B9"/>
    <w:rsid w:val="3DB624B9"/>
    <w:rsid w:val="3DB87B82"/>
    <w:rsid w:val="3DC867B3"/>
    <w:rsid w:val="3E024D18"/>
    <w:rsid w:val="3E047AE5"/>
    <w:rsid w:val="3E155213"/>
    <w:rsid w:val="3E184FFE"/>
    <w:rsid w:val="3E426844"/>
    <w:rsid w:val="3E661A05"/>
    <w:rsid w:val="3EB64156"/>
    <w:rsid w:val="3EC93421"/>
    <w:rsid w:val="3EC96E38"/>
    <w:rsid w:val="3F160A94"/>
    <w:rsid w:val="3F1E2F69"/>
    <w:rsid w:val="3F2D1BBF"/>
    <w:rsid w:val="3F4603F3"/>
    <w:rsid w:val="3F4723E2"/>
    <w:rsid w:val="3F483428"/>
    <w:rsid w:val="3F5D5DCE"/>
    <w:rsid w:val="3F810234"/>
    <w:rsid w:val="3FF064FA"/>
    <w:rsid w:val="401E23DA"/>
    <w:rsid w:val="402A7FA6"/>
    <w:rsid w:val="4050624A"/>
    <w:rsid w:val="40555B93"/>
    <w:rsid w:val="406260CE"/>
    <w:rsid w:val="407E6289"/>
    <w:rsid w:val="40885751"/>
    <w:rsid w:val="40A43ED2"/>
    <w:rsid w:val="40BD2E5A"/>
    <w:rsid w:val="41037E72"/>
    <w:rsid w:val="41067B9A"/>
    <w:rsid w:val="41602609"/>
    <w:rsid w:val="418B6E8A"/>
    <w:rsid w:val="41936277"/>
    <w:rsid w:val="41CE09BD"/>
    <w:rsid w:val="41EE0D8F"/>
    <w:rsid w:val="42091C35"/>
    <w:rsid w:val="425649A0"/>
    <w:rsid w:val="42756D97"/>
    <w:rsid w:val="42A13745"/>
    <w:rsid w:val="42A256C8"/>
    <w:rsid w:val="42AD50EE"/>
    <w:rsid w:val="42D169B7"/>
    <w:rsid w:val="43024A11"/>
    <w:rsid w:val="43056FE7"/>
    <w:rsid w:val="432D67B2"/>
    <w:rsid w:val="438B4376"/>
    <w:rsid w:val="438D32C0"/>
    <w:rsid w:val="43AD75A8"/>
    <w:rsid w:val="43C7171E"/>
    <w:rsid w:val="43D05560"/>
    <w:rsid w:val="43DB4934"/>
    <w:rsid w:val="43F9204D"/>
    <w:rsid w:val="442B3F84"/>
    <w:rsid w:val="44333FFF"/>
    <w:rsid w:val="44436AA8"/>
    <w:rsid w:val="444954A0"/>
    <w:rsid w:val="445F11E5"/>
    <w:rsid w:val="448A6C15"/>
    <w:rsid w:val="44B45AC8"/>
    <w:rsid w:val="44D25786"/>
    <w:rsid w:val="452633BA"/>
    <w:rsid w:val="45502571"/>
    <w:rsid w:val="45537B46"/>
    <w:rsid w:val="45630884"/>
    <w:rsid w:val="4563379F"/>
    <w:rsid w:val="4564232C"/>
    <w:rsid w:val="45692556"/>
    <w:rsid w:val="456C7EE2"/>
    <w:rsid w:val="4591070C"/>
    <w:rsid w:val="45A63848"/>
    <w:rsid w:val="45B40CE8"/>
    <w:rsid w:val="45CA5089"/>
    <w:rsid w:val="46045D73"/>
    <w:rsid w:val="463D174D"/>
    <w:rsid w:val="467A64AC"/>
    <w:rsid w:val="46D34A95"/>
    <w:rsid w:val="46D41B2D"/>
    <w:rsid w:val="46E82445"/>
    <w:rsid w:val="46ED1A60"/>
    <w:rsid w:val="471E40A5"/>
    <w:rsid w:val="47343054"/>
    <w:rsid w:val="47626B6A"/>
    <w:rsid w:val="47704D22"/>
    <w:rsid w:val="47815622"/>
    <w:rsid w:val="478746C5"/>
    <w:rsid w:val="479818C5"/>
    <w:rsid w:val="47BF5237"/>
    <w:rsid w:val="47BF5B3A"/>
    <w:rsid w:val="47F3417F"/>
    <w:rsid w:val="47F91C0F"/>
    <w:rsid w:val="481D3D92"/>
    <w:rsid w:val="48395270"/>
    <w:rsid w:val="489868BF"/>
    <w:rsid w:val="48F7510D"/>
    <w:rsid w:val="490741AB"/>
    <w:rsid w:val="493808FE"/>
    <w:rsid w:val="496833C9"/>
    <w:rsid w:val="496A2C30"/>
    <w:rsid w:val="496C44DA"/>
    <w:rsid w:val="496D0521"/>
    <w:rsid w:val="49904D64"/>
    <w:rsid w:val="49B6791B"/>
    <w:rsid w:val="49BC0550"/>
    <w:rsid w:val="49BE4CF0"/>
    <w:rsid w:val="49C60114"/>
    <w:rsid w:val="49C671F1"/>
    <w:rsid w:val="49D20072"/>
    <w:rsid w:val="49EC1667"/>
    <w:rsid w:val="4A5363B0"/>
    <w:rsid w:val="4ABC74AD"/>
    <w:rsid w:val="4AD30B74"/>
    <w:rsid w:val="4AD46701"/>
    <w:rsid w:val="4AD91A1D"/>
    <w:rsid w:val="4AE61B16"/>
    <w:rsid w:val="4AEB7991"/>
    <w:rsid w:val="4AEF0659"/>
    <w:rsid w:val="4B2D6DB8"/>
    <w:rsid w:val="4B3523E1"/>
    <w:rsid w:val="4B476159"/>
    <w:rsid w:val="4B483CBD"/>
    <w:rsid w:val="4B731F6A"/>
    <w:rsid w:val="4BB05166"/>
    <w:rsid w:val="4BB47B9D"/>
    <w:rsid w:val="4BC95CC7"/>
    <w:rsid w:val="4BDF76F9"/>
    <w:rsid w:val="4BEC105D"/>
    <w:rsid w:val="4C106C8B"/>
    <w:rsid w:val="4C200C78"/>
    <w:rsid w:val="4C2C13F6"/>
    <w:rsid w:val="4C4164DE"/>
    <w:rsid w:val="4C611997"/>
    <w:rsid w:val="4C6A1B37"/>
    <w:rsid w:val="4C855BF9"/>
    <w:rsid w:val="4CA33ED3"/>
    <w:rsid w:val="4CAF70CB"/>
    <w:rsid w:val="4CDC2790"/>
    <w:rsid w:val="4CF94C93"/>
    <w:rsid w:val="4D1975AB"/>
    <w:rsid w:val="4D264315"/>
    <w:rsid w:val="4D3B25A5"/>
    <w:rsid w:val="4D654AFA"/>
    <w:rsid w:val="4DE366CA"/>
    <w:rsid w:val="4E0F1DEC"/>
    <w:rsid w:val="4E377510"/>
    <w:rsid w:val="4E831B3D"/>
    <w:rsid w:val="4EA41226"/>
    <w:rsid w:val="4EAA4ACD"/>
    <w:rsid w:val="4EB25745"/>
    <w:rsid w:val="4EB944E4"/>
    <w:rsid w:val="4EBC3701"/>
    <w:rsid w:val="4EBD3440"/>
    <w:rsid w:val="4ED23B74"/>
    <w:rsid w:val="4F0E5C6B"/>
    <w:rsid w:val="4F4E65F8"/>
    <w:rsid w:val="4F552641"/>
    <w:rsid w:val="4F560558"/>
    <w:rsid w:val="4F731A2B"/>
    <w:rsid w:val="4FD7433F"/>
    <w:rsid w:val="500A25F9"/>
    <w:rsid w:val="503117B1"/>
    <w:rsid w:val="503659D6"/>
    <w:rsid w:val="50704B7B"/>
    <w:rsid w:val="508D0E9E"/>
    <w:rsid w:val="508F4711"/>
    <w:rsid w:val="50A63F1F"/>
    <w:rsid w:val="50CE657F"/>
    <w:rsid w:val="50FB02AB"/>
    <w:rsid w:val="50FB1D54"/>
    <w:rsid w:val="51500B66"/>
    <w:rsid w:val="51703E1C"/>
    <w:rsid w:val="517961C6"/>
    <w:rsid w:val="518532C2"/>
    <w:rsid w:val="518C52AA"/>
    <w:rsid w:val="51BC1080"/>
    <w:rsid w:val="51BD2626"/>
    <w:rsid w:val="51BE3969"/>
    <w:rsid w:val="51CC6F98"/>
    <w:rsid w:val="51DA1DC8"/>
    <w:rsid w:val="51DF2268"/>
    <w:rsid w:val="520F0FFC"/>
    <w:rsid w:val="5215617F"/>
    <w:rsid w:val="52180CAE"/>
    <w:rsid w:val="52465CF0"/>
    <w:rsid w:val="52477BD7"/>
    <w:rsid w:val="52585727"/>
    <w:rsid w:val="526453B1"/>
    <w:rsid w:val="52926931"/>
    <w:rsid w:val="529736A6"/>
    <w:rsid w:val="52AA3DEB"/>
    <w:rsid w:val="52EA550C"/>
    <w:rsid w:val="530A33D3"/>
    <w:rsid w:val="53153636"/>
    <w:rsid w:val="532D13C4"/>
    <w:rsid w:val="532E66EA"/>
    <w:rsid w:val="53523803"/>
    <w:rsid w:val="53623D52"/>
    <w:rsid w:val="5364563D"/>
    <w:rsid w:val="536B70CD"/>
    <w:rsid w:val="537508B4"/>
    <w:rsid w:val="537C37C3"/>
    <w:rsid w:val="5390595E"/>
    <w:rsid w:val="53B3449A"/>
    <w:rsid w:val="53B46DA4"/>
    <w:rsid w:val="541A4FE3"/>
    <w:rsid w:val="541C07EC"/>
    <w:rsid w:val="54296DDF"/>
    <w:rsid w:val="542F0D75"/>
    <w:rsid w:val="543E29EC"/>
    <w:rsid w:val="545B4B28"/>
    <w:rsid w:val="54672649"/>
    <w:rsid w:val="547179C3"/>
    <w:rsid w:val="548373C7"/>
    <w:rsid w:val="54B969F1"/>
    <w:rsid w:val="54D90AAC"/>
    <w:rsid w:val="55021000"/>
    <w:rsid w:val="55160C8E"/>
    <w:rsid w:val="55257E7E"/>
    <w:rsid w:val="55382053"/>
    <w:rsid w:val="553B2F9B"/>
    <w:rsid w:val="55486247"/>
    <w:rsid w:val="554C11BD"/>
    <w:rsid w:val="55793BDD"/>
    <w:rsid w:val="558D7125"/>
    <w:rsid w:val="55946B4D"/>
    <w:rsid w:val="55A530A7"/>
    <w:rsid w:val="55DB30A7"/>
    <w:rsid w:val="55E1786B"/>
    <w:rsid w:val="560644F4"/>
    <w:rsid w:val="564405BF"/>
    <w:rsid w:val="56511508"/>
    <w:rsid w:val="56590D6A"/>
    <w:rsid w:val="56601776"/>
    <w:rsid w:val="56B706E5"/>
    <w:rsid w:val="57142D71"/>
    <w:rsid w:val="571A451A"/>
    <w:rsid w:val="57387446"/>
    <w:rsid w:val="573A47F4"/>
    <w:rsid w:val="573E65B0"/>
    <w:rsid w:val="575C721A"/>
    <w:rsid w:val="57C50D8D"/>
    <w:rsid w:val="57D54D76"/>
    <w:rsid w:val="57D64E1E"/>
    <w:rsid w:val="57ED55F4"/>
    <w:rsid w:val="57EE798A"/>
    <w:rsid w:val="58093E0A"/>
    <w:rsid w:val="58180783"/>
    <w:rsid w:val="58324205"/>
    <w:rsid w:val="58362491"/>
    <w:rsid w:val="584317E0"/>
    <w:rsid w:val="588D5DBA"/>
    <w:rsid w:val="58A070E0"/>
    <w:rsid w:val="58A6528C"/>
    <w:rsid w:val="58C544E9"/>
    <w:rsid w:val="591F31D8"/>
    <w:rsid w:val="5951383C"/>
    <w:rsid w:val="59565B1A"/>
    <w:rsid w:val="59627B7D"/>
    <w:rsid w:val="597B065D"/>
    <w:rsid w:val="597E606C"/>
    <w:rsid w:val="598E76A6"/>
    <w:rsid w:val="59C560E7"/>
    <w:rsid w:val="59FC306B"/>
    <w:rsid w:val="5A305BFA"/>
    <w:rsid w:val="5A505482"/>
    <w:rsid w:val="5A5E1DAE"/>
    <w:rsid w:val="5A6D4355"/>
    <w:rsid w:val="5AB26687"/>
    <w:rsid w:val="5AD12A95"/>
    <w:rsid w:val="5AF91982"/>
    <w:rsid w:val="5B3458E0"/>
    <w:rsid w:val="5B4C71BA"/>
    <w:rsid w:val="5B7A1B8B"/>
    <w:rsid w:val="5B7C58A2"/>
    <w:rsid w:val="5B962368"/>
    <w:rsid w:val="5BB07498"/>
    <w:rsid w:val="5BBF383C"/>
    <w:rsid w:val="5BD12FFA"/>
    <w:rsid w:val="5BD47DEA"/>
    <w:rsid w:val="5C0638C4"/>
    <w:rsid w:val="5C1721FA"/>
    <w:rsid w:val="5C2A4B8C"/>
    <w:rsid w:val="5C553E62"/>
    <w:rsid w:val="5C7775B8"/>
    <w:rsid w:val="5C823077"/>
    <w:rsid w:val="5C9737FA"/>
    <w:rsid w:val="5CBA5335"/>
    <w:rsid w:val="5CC937F8"/>
    <w:rsid w:val="5CF6048E"/>
    <w:rsid w:val="5CFA264A"/>
    <w:rsid w:val="5D4201A5"/>
    <w:rsid w:val="5D426984"/>
    <w:rsid w:val="5D6D0B56"/>
    <w:rsid w:val="5D9F1B2F"/>
    <w:rsid w:val="5DBC0CA5"/>
    <w:rsid w:val="5DC055EB"/>
    <w:rsid w:val="5DDF1580"/>
    <w:rsid w:val="5DE1056E"/>
    <w:rsid w:val="5DF547BB"/>
    <w:rsid w:val="5E0E2A29"/>
    <w:rsid w:val="5E121183"/>
    <w:rsid w:val="5E1E4764"/>
    <w:rsid w:val="5E430C39"/>
    <w:rsid w:val="5E767EDE"/>
    <w:rsid w:val="5E9B3794"/>
    <w:rsid w:val="5EAE7BAD"/>
    <w:rsid w:val="5EB275A3"/>
    <w:rsid w:val="5EB8240C"/>
    <w:rsid w:val="5EE77A81"/>
    <w:rsid w:val="5F253F18"/>
    <w:rsid w:val="5FB50FCA"/>
    <w:rsid w:val="5FFA6CAC"/>
    <w:rsid w:val="60141BDF"/>
    <w:rsid w:val="60262B90"/>
    <w:rsid w:val="603E4A2C"/>
    <w:rsid w:val="60412EEE"/>
    <w:rsid w:val="60622E00"/>
    <w:rsid w:val="60D50123"/>
    <w:rsid w:val="60D74EAC"/>
    <w:rsid w:val="60F8400F"/>
    <w:rsid w:val="61067980"/>
    <w:rsid w:val="610A5583"/>
    <w:rsid w:val="614A78E1"/>
    <w:rsid w:val="6173524F"/>
    <w:rsid w:val="61C70BF3"/>
    <w:rsid w:val="62080E94"/>
    <w:rsid w:val="621C6FEF"/>
    <w:rsid w:val="626462EE"/>
    <w:rsid w:val="629B6A8F"/>
    <w:rsid w:val="62C01E1A"/>
    <w:rsid w:val="62DD1A18"/>
    <w:rsid w:val="62DF47E5"/>
    <w:rsid w:val="62F50F2B"/>
    <w:rsid w:val="62F533CA"/>
    <w:rsid w:val="63215607"/>
    <w:rsid w:val="6332195A"/>
    <w:rsid w:val="63376345"/>
    <w:rsid w:val="638571BA"/>
    <w:rsid w:val="63980131"/>
    <w:rsid w:val="639D4DD3"/>
    <w:rsid w:val="63AD0D1A"/>
    <w:rsid w:val="63DE0C27"/>
    <w:rsid w:val="63FF0D26"/>
    <w:rsid w:val="64017013"/>
    <w:rsid w:val="64564F79"/>
    <w:rsid w:val="645A05AB"/>
    <w:rsid w:val="645F7DB0"/>
    <w:rsid w:val="646D3F2A"/>
    <w:rsid w:val="64957AAF"/>
    <w:rsid w:val="64C06A24"/>
    <w:rsid w:val="64F241E8"/>
    <w:rsid w:val="650F56E8"/>
    <w:rsid w:val="651A1409"/>
    <w:rsid w:val="65350890"/>
    <w:rsid w:val="65356846"/>
    <w:rsid w:val="654E41B4"/>
    <w:rsid w:val="655534A7"/>
    <w:rsid w:val="657D2B3D"/>
    <w:rsid w:val="6598346D"/>
    <w:rsid w:val="65A750D6"/>
    <w:rsid w:val="65E50D85"/>
    <w:rsid w:val="65F02EFD"/>
    <w:rsid w:val="65F55EA2"/>
    <w:rsid w:val="65FD1D7B"/>
    <w:rsid w:val="66440200"/>
    <w:rsid w:val="664C7838"/>
    <w:rsid w:val="66521CDB"/>
    <w:rsid w:val="668D4A86"/>
    <w:rsid w:val="66C708F8"/>
    <w:rsid w:val="66CB265F"/>
    <w:rsid w:val="66E64505"/>
    <w:rsid w:val="670A7C6E"/>
    <w:rsid w:val="6759654D"/>
    <w:rsid w:val="67705141"/>
    <w:rsid w:val="67806DD4"/>
    <w:rsid w:val="678404FD"/>
    <w:rsid w:val="6784477C"/>
    <w:rsid w:val="67856218"/>
    <w:rsid w:val="679F3C77"/>
    <w:rsid w:val="67B8232C"/>
    <w:rsid w:val="67C105FC"/>
    <w:rsid w:val="67C23599"/>
    <w:rsid w:val="67D33BE6"/>
    <w:rsid w:val="680377B5"/>
    <w:rsid w:val="680B124A"/>
    <w:rsid w:val="68105449"/>
    <w:rsid w:val="68323F55"/>
    <w:rsid w:val="683321F0"/>
    <w:rsid w:val="68533C2E"/>
    <w:rsid w:val="68565B75"/>
    <w:rsid w:val="685C2A38"/>
    <w:rsid w:val="68613E09"/>
    <w:rsid w:val="686242B8"/>
    <w:rsid w:val="68E154EB"/>
    <w:rsid w:val="68ED418E"/>
    <w:rsid w:val="693A6336"/>
    <w:rsid w:val="69590942"/>
    <w:rsid w:val="69636C6B"/>
    <w:rsid w:val="69C0517E"/>
    <w:rsid w:val="69C95CE7"/>
    <w:rsid w:val="69E53079"/>
    <w:rsid w:val="69E9677C"/>
    <w:rsid w:val="69F41377"/>
    <w:rsid w:val="6A1C641E"/>
    <w:rsid w:val="6A3D424E"/>
    <w:rsid w:val="6A50659A"/>
    <w:rsid w:val="6A5F6E78"/>
    <w:rsid w:val="6A5F7317"/>
    <w:rsid w:val="6A782B8C"/>
    <w:rsid w:val="6A8379AB"/>
    <w:rsid w:val="6A8540A1"/>
    <w:rsid w:val="6A962759"/>
    <w:rsid w:val="6AA32632"/>
    <w:rsid w:val="6AAC312F"/>
    <w:rsid w:val="6AB2376E"/>
    <w:rsid w:val="6AC808CE"/>
    <w:rsid w:val="6AE47E0C"/>
    <w:rsid w:val="6AF76325"/>
    <w:rsid w:val="6AF870FF"/>
    <w:rsid w:val="6B48510E"/>
    <w:rsid w:val="6B612DE8"/>
    <w:rsid w:val="6B703F6F"/>
    <w:rsid w:val="6B746B56"/>
    <w:rsid w:val="6B751BD7"/>
    <w:rsid w:val="6B891D75"/>
    <w:rsid w:val="6B9108D3"/>
    <w:rsid w:val="6B927D43"/>
    <w:rsid w:val="6B9C7C7D"/>
    <w:rsid w:val="6BA45210"/>
    <w:rsid w:val="6BE430A2"/>
    <w:rsid w:val="6BF30630"/>
    <w:rsid w:val="6BFD3E32"/>
    <w:rsid w:val="6C1B732D"/>
    <w:rsid w:val="6C3170D0"/>
    <w:rsid w:val="6CD47CBB"/>
    <w:rsid w:val="6CDC47D3"/>
    <w:rsid w:val="6CE652E0"/>
    <w:rsid w:val="6CE95721"/>
    <w:rsid w:val="6D0F30C6"/>
    <w:rsid w:val="6D267658"/>
    <w:rsid w:val="6D311A98"/>
    <w:rsid w:val="6D3257FE"/>
    <w:rsid w:val="6D493C41"/>
    <w:rsid w:val="6D5A2B95"/>
    <w:rsid w:val="6D7F1BC5"/>
    <w:rsid w:val="6DA50E02"/>
    <w:rsid w:val="6DAE21A6"/>
    <w:rsid w:val="6DD77936"/>
    <w:rsid w:val="6DDD7528"/>
    <w:rsid w:val="6DE65BC1"/>
    <w:rsid w:val="6E044C7B"/>
    <w:rsid w:val="6E1E74EA"/>
    <w:rsid w:val="6E4444ED"/>
    <w:rsid w:val="6EA93DC2"/>
    <w:rsid w:val="6EBB2A68"/>
    <w:rsid w:val="6EC85C55"/>
    <w:rsid w:val="6ED50088"/>
    <w:rsid w:val="6EE15658"/>
    <w:rsid w:val="6EE77245"/>
    <w:rsid w:val="6F1B31CC"/>
    <w:rsid w:val="6F4A12E4"/>
    <w:rsid w:val="6F7A1E02"/>
    <w:rsid w:val="6FCF6CBD"/>
    <w:rsid w:val="6FDB616C"/>
    <w:rsid w:val="6FEB2AC6"/>
    <w:rsid w:val="6FFF74C0"/>
    <w:rsid w:val="70233469"/>
    <w:rsid w:val="704B1F5F"/>
    <w:rsid w:val="70784062"/>
    <w:rsid w:val="70862077"/>
    <w:rsid w:val="70990A35"/>
    <w:rsid w:val="70D33703"/>
    <w:rsid w:val="71267D04"/>
    <w:rsid w:val="712F1328"/>
    <w:rsid w:val="713F3E34"/>
    <w:rsid w:val="717D5271"/>
    <w:rsid w:val="71D57BED"/>
    <w:rsid w:val="71EB381C"/>
    <w:rsid w:val="71FB4250"/>
    <w:rsid w:val="72075A28"/>
    <w:rsid w:val="722115BE"/>
    <w:rsid w:val="723B03F6"/>
    <w:rsid w:val="72400C45"/>
    <w:rsid w:val="724B0D21"/>
    <w:rsid w:val="724E43F2"/>
    <w:rsid w:val="72586E30"/>
    <w:rsid w:val="727D1C54"/>
    <w:rsid w:val="729C28D4"/>
    <w:rsid w:val="72A16E2D"/>
    <w:rsid w:val="72B874AC"/>
    <w:rsid w:val="72C94194"/>
    <w:rsid w:val="72D70B6E"/>
    <w:rsid w:val="72DB4EFA"/>
    <w:rsid w:val="730F26FB"/>
    <w:rsid w:val="73216899"/>
    <w:rsid w:val="733633F6"/>
    <w:rsid w:val="734A4477"/>
    <w:rsid w:val="7350072A"/>
    <w:rsid w:val="737C00CE"/>
    <w:rsid w:val="73AA7239"/>
    <w:rsid w:val="73BD6B13"/>
    <w:rsid w:val="73BF60DF"/>
    <w:rsid w:val="740639D6"/>
    <w:rsid w:val="7425595C"/>
    <w:rsid w:val="742646E8"/>
    <w:rsid w:val="742945C6"/>
    <w:rsid w:val="746A7A2C"/>
    <w:rsid w:val="75036F67"/>
    <w:rsid w:val="7505691A"/>
    <w:rsid w:val="75436F4D"/>
    <w:rsid w:val="755A00BE"/>
    <w:rsid w:val="75714A22"/>
    <w:rsid w:val="75A0678C"/>
    <w:rsid w:val="75B40EAC"/>
    <w:rsid w:val="75CC63FB"/>
    <w:rsid w:val="75F50954"/>
    <w:rsid w:val="760343BC"/>
    <w:rsid w:val="760E2BC7"/>
    <w:rsid w:val="7623764C"/>
    <w:rsid w:val="76287721"/>
    <w:rsid w:val="76520FD4"/>
    <w:rsid w:val="7653701E"/>
    <w:rsid w:val="76610739"/>
    <w:rsid w:val="76D447BB"/>
    <w:rsid w:val="77366184"/>
    <w:rsid w:val="7754311D"/>
    <w:rsid w:val="775522C8"/>
    <w:rsid w:val="776C7818"/>
    <w:rsid w:val="776E52D9"/>
    <w:rsid w:val="778F0F36"/>
    <w:rsid w:val="77F86F7C"/>
    <w:rsid w:val="7831514A"/>
    <w:rsid w:val="78820502"/>
    <w:rsid w:val="78963AE6"/>
    <w:rsid w:val="78977D69"/>
    <w:rsid w:val="78D038FA"/>
    <w:rsid w:val="78D60342"/>
    <w:rsid w:val="78D87C61"/>
    <w:rsid w:val="792E3449"/>
    <w:rsid w:val="79767DC3"/>
    <w:rsid w:val="79884E64"/>
    <w:rsid w:val="79A94793"/>
    <w:rsid w:val="79AA66A4"/>
    <w:rsid w:val="79B31395"/>
    <w:rsid w:val="79D973EC"/>
    <w:rsid w:val="79E0573E"/>
    <w:rsid w:val="7A0643B5"/>
    <w:rsid w:val="7A1A04BC"/>
    <w:rsid w:val="7A5E2ECE"/>
    <w:rsid w:val="7A9B0BBF"/>
    <w:rsid w:val="7AB320D2"/>
    <w:rsid w:val="7AD63C98"/>
    <w:rsid w:val="7AE934A6"/>
    <w:rsid w:val="7B0C2AD2"/>
    <w:rsid w:val="7B32734A"/>
    <w:rsid w:val="7B34415C"/>
    <w:rsid w:val="7B5A0DE8"/>
    <w:rsid w:val="7BAF301B"/>
    <w:rsid w:val="7BC263E4"/>
    <w:rsid w:val="7BEE746A"/>
    <w:rsid w:val="7C2304A2"/>
    <w:rsid w:val="7C2775D1"/>
    <w:rsid w:val="7C2C1277"/>
    <w:rsid w:val="7C646ECA"/>
    <w:rsid w:val="7C6F0644"/>
    <w:rsid w:val="7D134351"/>
    <w:rsid w:val="7D3948F4"/>
    <w:rsid w:val="7D5217F6"/>
    <w:rsid w:val="7D6307C0"/>
    <w:rsid w:val="7D654E40"/>
    <w:rsid w:val="7D6A7A88"/>
    <w:rsid w:val="7D991B25"/>
    <w:rsid w:val="7D9E04EA"/>
    <w:rsid w:val="7DCB7BAC"/>
    <w:rsid w:val="7DD921CA"/>
    <w:rsid w:val="7DDD0915"/>
    <w:rsid w:val="7DE80DB5"/>
    <w:rsid w:val="7DFF33BF"/>
    <w:rsid w:val="7E23252B"/>
    <w:rsid w:val="7E666ED7"/>
    <w:rsid w:val="7E7A512A"/>
    <w:rsid w:val="7E87425A"/>
    <w:rsid w:val="7ED1077C"/>
    <w:rsid w:val="7ED72191"/>
    <w:rsid w:val="7EE73E33"/>
    <w:rsid w:val="7EF26725"/>
    <w:rsid w:val="7EFC2723"/>
    <w:rsid w:val="7F060C25"/>
    <w:rsid w:val="7F0B42D3"/>
    <w:rsid w:val="7F0E3AAF"/>
    <w:rsid w:val="7F14581D"/>
    <w:rsid w:val="7F246712"/>
    <w:rsid w:val="7F27625A"/>
    <w:rsid w:val="7FA0559C"/>
    <w:rsid w:val="7FC1298E"/>
    <w:rsid w:val="7FC2539F"/>
    <w:rsid w:val="7FD74C43"/>
    <w:rsid w:val="7FE56CE9"/>
    <w:rsid w:val="7FF32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67"/>
    <w:qFormat/>
    <w:uiPriority w:val="0"/>
    <w:pPr>
      <w:keepNext/>
      <w:jc w:val="center"/>
      <w:outlineLvl w:val="0"/>
    </w:pPr>
    <w:rPr>
      <w:rFonts w:ascii="仿宋_GB2312" w:eastAsia="仿宋_GB2312"/>
      <w:kern w:val="0"/>
      <w:sz w:val="28"/>
    </w:rPr>
  </w:style>
  <w:style w:type="paragraph" w:styleId="4">
    <w:name w:val="heading 2"/>
    <w:basedOn w:val="1"/>
    <w:next w:val="1"/>
    <w:link w:val="44"/>
    <w:qFormat/>
    <w:uiPriority w:val="0"/>
    <w:pPr>
      <w:keepNext/>
      <w:numPr>
        <w:ilvl w:val="0"/>
        <w:numId w:val="1"/>
      </w:numPr>
      <w:tabs>
        <w:tab w:val="left" w:pos="420"/>
        <w:tab w:val="clear" w:pos="330"/>
      </w:tabs>
      <w:spacing w:line="360" w:lineRule="auto"/>
      <w:outlineLvl w:val="1"/>
    </w:pPr>
    <w:rPr>
      <w:b/>
      <w:kern w:val="0"/>
      <w:sz w:val="24"/>
      <w:szCs w:val="24"/>
    </w:rPr>
  </w:style>
  <w:style w:type="paragraph" w:styleId="5">
    <w:name w:val="heading 3"/>
    <w:basedOn w:val="1"/>
    <w:next w:val="1"/>
    <w:qFormat/>
    <w:uiPriority w:val="0"/>
    <w:pPr>
      <w:keepNext/>
      <w:numPr>
        <w:ilvl w:val="0"/>
        <w:numId w:val="2"/>
      </w:numPr>
      <w:tabs>
        <w:tab w:val="left" w:pos="468"/>
      </w:tabs>
      <w:outlineLvl w:val="2"/>
    </w:pPr>
    <w:rPr>
      <w:b/>
      <w:bCs/>
      <w:sz w:val="28"/>
      <w:szCs w:val="24"/>
    </w:rPr>
  </w:style>
  <w:style w:type="paragraph" w:styleId="6">
    <w:name w:val="heading 4"/>
    <w:basedOn w:val="1"/>
    <w:next w:val="1"/>
    <w:qFormat/>
    <w:uiPriority w:val="0"/>
    <w:pPr>
      <w:keepNext/>
      <w:numPr>
        <w:ilvl w:val="0"/>
        <w:numId w:val="3"/>
      </w:numPr>
      <w:outlineLvl w:val="3"/>
    </w:pPr>
    <w:rPr>
      <w:b/>
      <w:color w:val="000000"/>
      <w:sz w:val="28"/>
      <w:szCs w:val="24"/>
      <w:u w:val="single"/>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paragraph" w:styleId="8">
    <w:name w:val="heading 6"/>
    <w:basedOn w:val="1"/>
    <w:next w:val="1"/>
    <w:qFormat/>
    <w:uiPriority w:val="0"/>
    <w:pPr>
      <w:keepNext/>
      <w:keepLines/>
      <w:spacing w:before="240" w:after="64" w:line="320" w:lineRule="auto"/>
      <w:outlineLvl w:val="5"/>
    </w:pPr>
    <w:rPr>
      <w:rFonts w:ascii="Arial" w:hAnsi="Arial" w:eastAsia="黑体"/>
      <w:b/>
      <w:bCs/>
      <w:sz w:val="24"/>
      <w:szCs w:val="24"/>
    </w:rPr>
  </w:style>
  <w:style w:type="paragraph" w:styleId="9">
    <w:name w:val="heading 7"/>
    <w:basedOn w:val="1"/>
    <w:next w:val="1"/>
    <w:qFormat/>
    <w:uiPriority w:val="0"/>
    <w:pPr>
      <w:keepNext/>
      <w:numPr>
        <w:ilvl w:val="0"/>
        <w:numId w:val="4"/>
      </w:numPr>
      <w:outlineLvl w:val="6"/>
    </w:pPr>
    <w:rPr>
      <w:rFonts w:ascii="宋体" w:hAnsi="宋体"/>
      <w:b/>
      <w:sz w:val="28"/>
      <w:szCs w:val="24"/>
    </w:rPr>
  </w:style>
  <w:style w:type="paragraph" w:styleId="10">
    <w:name w:val="heading 8"/>
    <w:basedOn w:val="1"/>
    <w:next w:val="1"/>
    <w:qFormat/>
    <w:uiPriority w:val="0"/>
    <w:pPr>
      <w:keepNext/>
      <w:widowControl/>
      <w:numPr>
        <w:ilvl w:val="0"/>
        <w:numId w:val="5"/>
      </w:numPr>
      <w:tabs>
        <w:tab w:val="left" w:pos="1260"/>
        <w:tab w:val="left" w:pos="1995"/>
        <w:tab w:val="left" w:pos="2520"/>
        <w:tab w:val="left" w:pos="2730"/>
        <w:tab w:val="clear" w:pos="600"/>
      </w:tabs>
      <w:spacing w:before="100" w:after="100" w:line="400" w:lineRule="exact"/>
      <w:jc w:val="left"/>
      <w:outlineLvl w:val="7"/>
    </w:pPr>
    <w:rPr>
      <w:b/>
      <w:sz w:val="28"/>
      <w:szCs w:val="24"/>
      <w:u w:val="single"/>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2">
    <w:name w:val="_Style 1"/>
    <w:qFormat/>
    <w:uiPriority w:val="0"/>
    <w:pPr>
      <w:widowControl w:val="0"/>
      <w:jc w:val="both"/>
    </w:pPr>
    <w:rPr>
      <w:rFonts w:ascii="Calibri" w:hAnsi="Calibri" w:eastAsia="宋体" w:cs="Times New Roman"/>
      <w:kern w:val="2"/>
      <w:sz w:val="21"/>
      <w:szCs w:val="22"/>
      <w:lang w:val="en-US" w:eastAsia="zh-CN" w:bidi="ar-SA"/>
    </w:rPr>
  </w:style>
  <w:style w:type="paragraph" w:styleId="11">
    <w:name w:val="Normal Indent"/>
    <w:basedOn w:val="1"/>
    <w:next w:val="1"/>
    <w:link w:val="57"/>
    <w:qFormat/>
    <w:uiPriority w:val="0"/>
    <w:pPr>
      <w:ind w:firstLine="420"/>
    </w:p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Body Text 3"/>
    <w:basedOn w:val="1"/>
    <w:qFormat/>
    <w:uiPriority w:val="0"/>
    <w:pPr>
      <w:spacing w:after="120"/>
    </w:pPr>
    <w:rPr>
      <w:sz w:val="16"/>
      <w:szCs w:val="16"/>
    </w:rPr>
  </w:style>
  <w:style w:type="paragraph" w:styleId="15">
    <w:name w:val="Body Text"/>
    <w:basedOn w:val="1"/>
    <w:qFormat/>
    <w:uiPriority w:val="0"/>
    <w:pPr>
      <w:spacing w:after="120"/>
    </w:pPr>
  </w:style>
  <w:style w:type="paragraph" w:styleId="16">
    <w:name w:val="Body Text Indent"/>
    <w:basedOn w:val="1"/>
    <w:qFormat/>
    <w:uiPriority w:val="0"/>
    <w:pPr>
      <w:spacing w:line="800" w:lineRule="exact"/>
      <w:ind w:left="315" w:leftChars="150" w:firstLine="664" w:firstLineChars="237"/>
    </w:pPr>
    <w:rPr>
      <w:rFonts w:ascii="仿宋_GB2312" w:eastAsia="仿宋_GB2312"/>
      <w:sz w:val="28"/>
    </w:rPr>
  </w:style>
  <w:style w:type="paragraph" w:styleId="17">
    <w:name w:val="toc 3"/>
    <w:basedOn w:val="1"/>
    <w:next w:val="1"/>
    <w:semiHidden/>
    <w:qFormat/>
    <w:uiPriority w:val="0"/>
    <w:pPr>
      <w:tabs>
        <w:tab w:val="right" w:leader="dot" w:pos="9344"/>
      </w:tabs>
      <w:spacing w:line="600" w:lineRule="exact"/>
    </w:pPr>
  </w:style>
  <w:style w:type="paragraph" w:styleId="18">
    <w:name w:val="Plain Text"/>
    <w:basedOn w:val="1"/>
    <w:qFormat/>
    <w:uiPriority w:val="0"/>
    <w:rPr>
      <w:rFonts w:ascii="宋体" w:hAnsi="宋体"/>
    </w:rPr>
  </w:style>
  <w:style w:type="paragraph" w:styleId="19">
    <w:name w:val="Date"/>
    <w:basedOn w:val="1"/>
    <w:next w:val="1"/>
    <w:qFormat/>
    <w:uiPriority w:val="0"/>
    <w:rPr>
      <w:color w:val="000000"/>
      <w:kern w:val="0"/>
      <w:sz w:val="30"/>
    </w:rPr>
  </w:style>
  <w:style w:type="paragraph" w:styleId="20">
    <w:name w:val="Body Text Indent 2"/>
    <w:basedOn w:val="1"/>
    <w:qFormat/>
    <w:uiPriority w:val="0"/>
    <w:pPr>
      <w:spacing w:line="360" w:lineRule="auto"/>
      <w:ind w:firstLine="555"/>
    </w:pPr>
    <w:rPr>
      <w:rFonts w:ascii="仿宋_GB2312" w:eastAsia="仿宋_GB2312"/>
      <w:sz w:val="28"/>
    </w:rPr>
  </w:style>
  <w:style w:type="paragraph" w:styleId="21">
    <w:name w:val="Balloon Text"/>
    <w:basedOn w:val="1"/>
    <w:qFormat/>
    <w:uiPriority w:val="0"/>
    <w:rPr>
      <w:sz w:val="18"/>
      <w:szCs w:val="18"/>
    </w:rPr>
  </w:style>
  <w:style w:type="paragraph" w:styleId="22">
    <w:name w:val="footer"/>
    <w:basedOn w:val="1"/>
    <w:link w:val="88"/>
    <w:qFormat/>
    <w:uiPriority w:val="0"/>
    <w:pPr>
      <w:tabs>
        <w:tab w:val="center" w:pos="4153"/>
        <w:tab w:val="right" w:pos="8306"/>
      </w:tabs>
      <w:snapToGrid w:val="0"/>
      <w:jc w:val="left"/>
    </w:pPr>
    <w:rPr>
      <w:sz w:val="18"/>
      <w:szCs w:val="18"/>
    </w:rPr>
  </w:style>
  <w:style w:type="paragraph" w:styleId="23">
    <w:name w:val="header"/>
    <w:basedOn w:val="1"/>
    <w:link w:val="63"/>
    <w:qFormat/>
    <w:uiPriority w:val="0"/>
    <w:pPr>
      <w:pBdr>
        <w:bottom w:val="single" w:color="auto" w:sz="6" w:space="1"/>
      </w:pBdr>
      <w:tabs>
        <w:tab w:val="center" w:pos="4153"/>
        <w:tab w:val="right" w:pos="8306"/>
      </w:tabs>
      <w:snapToGrid w:val="0"/>
      <w:jc w:val="center"/>
    </w:pPr>
    <w:rPr>
      <w:sz w:val="18"/>
    </w:rPr>
  </w:style>
  <w:style w:type="paragraph" w:styleId="24">
    <w:name w:val="toc 1"/>
    <w:basedOn w:val="1"/>
    <w:next w:val="1"/>
    <w:qFormat/>
    <w:uiPriority w:val="39"/>
  </w:style>
  <w:style w:type="paragraph" w:styleId="25">
    <w:name w:val="List"/>
    <w:basedOn w:val="1"/>
    <w:qFormat/>
    <w:uiPriority w:val="0"/>
    <w:pPr>
      <w:ind w:left="200" w:hanging="200" w:hangingChars="200"/>
      <w:contextualSpacing/>
    </w:pPr>
    <w:rPr>
      <w:rFonts w:ascii="Calibri" w:hAnsi="Calibri"/>
      <w:szCs w:val="24"/>
    </w:rPr>
  </w:style>
  <w:style w:type="paragraph" w:styleId="26">
    <w:name w:val="footnote text"/>
    <w:basedOn w:val="1"/>
    <w:link w:val="182"/>
    <w:qFormat/>
    <w:uiPriority w:val="99"/>
    <w:pPr>
      <w:snapToGrid w:val="0"/>
      <w:jc w:val="left"/>
    </w:pPr>
    <w:rPr>
      <w:rFonts w:eastAsia="楷体_GB2312"/>
      <w:sz w:val="18"/>
      <w:szCs w:val="18"/>
    </w:rPr>
  </w:style>
  <w:style w:type="paragraph" w:styleId="27">
    <w:name w:val="toc 2"/>
    <w:basedOn w:val="1"/>
    <w:next w:val="1"/>
    <w:qFormat/>
    <w:uiPriority w:val="39"/>
    <w:pPr>
      <w:ind w:left="420" w:leftChars="200"/>
    </w:pPr>
  </w:style>
  <w:style w:type="paragraph" w:styleId="28">
    <w:name w:val="toc 9"/>
    <w:basedOn w:val="1"/>
    <w:next w:val="1"/>
    <w:qFormat/>
    <w:uiPriority w:val="0"/>
    <w:pPr>
      <w:spacing w:line="312" w:lineRule="atLeast"/>
      <w:ind w:left="3360" w:firstLine="3584"/>
    </w:pPr>
  </w:style>
  <w:style w:type="paragraph" w:styleId="29">
    <w:name w:val="Normal (Web)"/>
    <w:basedOn w:val="1"/>
    <w:qFormat/>
    <w:uiPriority w:val="0"/>
    <w:pPr>
      <w:widowControl/>
      <w:jc w:val="left"/>
    </w:pPr>
    <w:rPr>
      <w:rFonts w:ascii="宋体" w:hAnsi="宋体" w:cs="宋体"/>
      <w:kern w:val="0"/>
      <w:sz w:val="24"/>
      <w:szCs w:val="24"/>
    </w:rPr>
  </w:style>
  <w:style w:type="paragraph" w:styleId="30">
    <w:name w:val="annotation subject"/>
    <w:basedOn w:val="13"/>
    <w:next w:val="13"/>
    <w:qFormat/>
    <w:uiPriority w:val="0"/>
    <w:rPr>
      <w:b/>
      <w:bCs/>
    </w:rPr>
  </w:style>
  <w:style w:type="paragraph" w:styleId="31">
    <w:name w:val="Body Text First Indent 2"/>
    <w:basedOn w:val="16"/>
    <w:qFormat/>
    <w:uiPriority w:val="0"/>
    <w:pPr>
      <w:spacing w:line="360" w:lineRule="auto"/>
      <w:ind w:firstLine="200" w:firstLineChars="200"/>
    </w:p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0"/>
    <w:rPr>
      <w:b/>
      <w:bCs/>
    </w:rPr>
  </w:style>
  <w:style w:type="character" w:styleId="36">
    <w:name w:val="page number"/>
    <w:qFormat/>
    <w:uiPriority w:val="0"/>
  </w:style>
  <w:style w:type="character" w:styleId="37">
    <w:name w:val="FollowedHyperlink"/>
    <w:qFormat/>
    <w:uiPriority w:val="0"/>
    <w:rPr>
      <w:rFonts w:hint="eastAsia" w:ascii="微软雅黑" w:hAnsi="微软雅黑" w:eastAsia="微软雅黑" w:cs="微软雅黑"/>
      <w:color w:val="02396F"/>
      <w:u w:val="single"/>
    </w:rPr>
  </w:style>
  <w:style w:type="character" w:styleId="38">
    <w:name w:val="Hyperlink"/>
    <w:qFormat/>
    <w:uiPriority w:val="99"/>
    <w:rPr>
      <w:rFonts w:hint="eastAsia" w:ascii="微软雅黑" w:hAnsi="微软雅黑" w:eastAsia="微软雅黑" w:cs="微软雅黑"/>
      <w:color w:val="02396F"/>
      <w:u w:val="single"/>
    </w:rPr>
  </w:style>
  <w:style w:type="character" w:styleId="39">
    <w:name w:val="annotation reference"/>
    <w:qFormat/>
    <w:uiPriority w:val="0"/>
    <w:rPr>
      <w:sz w:val="21"/>
      <w:szCs w:val="21"/>
    </w:rPr>
  </w:style>
  <w:style w:type="character" w:styleId="40">
    <w:name w:val="footnote reference"/>
    <w:basedOn w:val="34"/>
    <w:unhideWhenUsed/>
    <w:qFormat/>
    <w:uiPriority w:val="99"/>
    <w:rPr>
      <w:vertAlign w:val="superscript"/>
    </w:rPr>
  </w:style>
  <w:style w:type="paragraph" w:customStyle="1" w:styleId="41">
    <w:name w:val="样式 右侧:  1.69 厘米"/>
    <w:basedOn w:val="1"/>
    <w:qFormat/>
    <w:uiPriority w:val="0"/>
    <w:pPr>
      <w:ind w:right="960"/>
    </w:pPr>
    <w:rPr>
      <w:rFonts w:eastAsia="仿宋" w:cs="宋体"/>
    </w:rPr>
  </w:style>
  <w:style w:type="character" w:customStyle="1" w:styleId="42">
    <w:name w:val="font61"/>
    <w:qFormat/>
    <w:uiPriority w:val="0"/>
    <w:rPr>
      <w:rFonts w:hint="eastAsia" w:ascii="宋体" w:hAnsi="宋体" w:eastAsia="宋体" w:cs="宋体"/>
      <w:color w:val="000000"/>
      <w:sz w:val="21"/>
      <w:szCs w:val="21"/>
      <w:u w:val="none"/>
    </w:rPr>
  </w:style>
  <w:style w:type="character" w:customStyle="1" w:styleId="43">
    <w:name w:val="标题 2 字符"/>
    <w:qFormat/>
    <w:uiPriority w:val="99"/>
    <w:rPr>
      <w:b/>
      <w:kern w:val="2"/>
      <w:sz w:val="24"/>
      <w:szCs w:val="24"/>
    </w:rPr>
  </w:style>
  <w:style w:type="character" w:customStyle="1" w:styleId="44">
    <w:name w:val="标题 2 字符1"/>
    <w:link w:val="4"/>
    <w:qFormat/>
    <w:uiPriority w:val="0"/>
    <w:rPr>
      <w:b/>
      <w:sz w:val="24"/>
      <w:szCs w:val="24"/>
    </w:rPr>
  </w:style>
  <w:style w:type="character" w:customStyle="1" w:styleId="45">
    <w:name w:val="标题 2 Char1"/>
    <w:qFormat/>
    <w:uiPriority w:val="0"/>
    <w:rPr>
      <w:rFonts w:ascii="黑体" w:hAnsi="Arial" w:eastAsia="黑体"/>
      <w:b/>
      <w:kern w:val="2"/>
      <w:sz w:val="28"/>
      <w:lang w:val="en-US" w:eastAsia="zh-CN"/>
    </w:rPr>
  </w:style>
  <w:style w:type="character" w:customStyle="1" w:styleId="46">
    <w:name w:val="Default Text Char Char"/>
    <w:link w:val="47"/>
    <w:qFormat/>
    <w:uiPriority w:val="0"/>
    <w:rPr>
      <w:color w:val="000000"/>
      <w:sz w:val="24"/>
      <w:szCs w:val="24"/>
      <w:lang w:val="en-US" w:eastAsia="zh-CN" w:bidi="ar-SA"/>
    </w:rPr>
  </w:style>
  <w:style w:type="paragraph" w:customStyle="1" w:styleId="47">
    <w:name w:val="Default Text"/>
    <w:link w:val="46"/>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48">
    <w:name w:val="样式1 Char Char"/>
    <w:link w:val="49"/>
    <w:qFormat/>
    <w:uiPriority w:val="0"/>
    <w:rPr>
      <w:rFonts w:ascii="宋体"/>
      <w:b/>
      <w:color w:val="0000FF"/>
      <w:spacing w:val="4"/>
      <w:sz w:val="24"/>
    </w:rPr>
  </w:style>
  <w:style w:type="paragraph" w:customStyle="1" w:styleId="49">
    <w:name w:val="样式1"/>
    <w:basedOn w:val="1"/>
    <w:link w:val="48"/>
    <w:qFormat/>
    <w:uiPriority w:val="0"/>
    <w:pPr>
      <w:tabs>
        <w:tab w:val="left" w:pos="425"/>
      </w:tabs>
      <w:adjustRightInd w:val="0"/>
      <w:spacing w:line="480" w:lineRule="exact"/>
      <w:ind w:left="330" w:hanging="330"/>
      <w:textAlignment w:val="baseline"/>
    </w:pPr>
    <w:rPr>
      <w:rFonts w:ascii="宋体"/>
      <w:b/>
      <w:color w:val="0000FF"/>
      <w:spacing w:val="4"/>
      <w:kern w:val="0"/>
      <w:sz w:val="24"/>
    </w:rPr>
  </w:style>
  <w:style w:type="character" w:customStyle="1" w:styleId="50">
    <w:name w:val="THTF-BS-缩进两字正文 Char Char"/>
    <w:link w:val="51"/>
    <w:qFormat/>
    <w:uiPriority w:val="0"/>
    <w:rPr>
      <w:rFonts w:ascii="宋体" w:eastAsia="宋体"/>
      <w:kern w:val="2"/>
      <w:sz w:val="24"/>
      <w:szCs w:val="24"/>
      <w:lang w:val="en-US" w:eastAsia="zh-CN" w:bidi="ar-SA"/>
    </w:rPr>
  </w:style>
  <w:style w:type="paragraph" w:customStyle="1" w:styleId="51">
    <w:name w:val="THTF-BS-缩进两字正文"/>
    <w:basedOn w:val="1"/>
    <w:link w:val="50"/>
    <w:qFormat/>
    <w:uiPriority w:val="0"/>
    <w:pPr>
      <w:numPr>
        <w:ilvl w:val="0"/>
        <w:numId w:val="6"/>
      </w:numPr>
      <w:wordWrap w:val="0"/>
      <w:topLinePunct/>
      <w:spacing w:line="360" w:lineRule="auto"/>
      <w:jc w:val="left"/>
    </w:pPr>
    <w:rPr>
      <w:rFonts w:ascii="宋体"/>
      <w:sz w:val="24"/>
      <w:szCs w:val="24"/>
    </w:rPr>
  </w:style>
  <w:style w:type="character" w:customStyle="1" w:styleId="52">
    <w:name w:val="SF正文 Char Char"/>
    <w:link w:val="53"/>
    <w:qFormat/>
    <w:uiPriority w:val="0"/>
    <w:rPr>
      <w:rFonts w:ascii="Century Gothic" w:hAnsi="Century Gothic" w:eastAsia="宋体"/>
      <w:kern w:val="2"/>
      <w:sz w:val="24"/>
      <w:szCs w:val="24"/>
      <w:lang w:val="en-US" w:eastAsia="zh-CN" w:bidi="ar-SA"/>
    </w:rPr>
  </w:style>
  <w:style w:type="paragraph" w:customStyle="1" w:styleId="53">
    <w:name w:val="SF正文"/>
    <w:basedOn w:val="1"/>
    <w:link w:val="52"/>
    <w:qFormat/>
    <w:uiPriority w:val="0"/>
    <w:pPr>
      <w:spacing w:line="460" w:lineRule="exact"/>
      <w:ind w:firstLine="200" w:firstLineChars="200"/>
    </w:pPr>
    <w:rPr>
      <w:rFonts w:ascii="Century Gothic" w:hAnsi="Century Gothic"/>
      <w:sz w:val="24"/>
      <w:szCs w:val="24"/>
    </w:rPr>
  </w:style>
  <w:style w:type="character" w:customStyle="1" w:styleId="54">
    <w:name w:val="class"/>
    <w:qFormat/>
    <w:uiPriority w:val="0"/>
  </w:style>
  <w:style w:type="character" w:customStyle="1" w:styleId="55">
    <w:name w:val="hits"/>
    <w:qFormat/>
    <w:uiPriority w:val="0"/>
  </w:style>
  <w:style w:type="character" w:customStyle="1" w:styleId="56">
    <w:name w:val="font21"/>
    <w:qFormat/>
    <w:uiPriority w:val="0"/>
    <w:rPr>
      <w:rFonts w:hint="default" w:ascii="Times New Roman" w:hAnsi="Times New Roman" w:cs="Times New Roman"/>
      <w:color w:val="000000"/>
      <w:sz w:val="21"/>
      <w:szCs w:val="21"/>
      <w:u w:val="none"/>
    </w:rPr>
  </w:style>
  <w:style w:type="character" w:customStyle="1" w:styleId="57">
    <w:name w:val="正文缩进 字符"/>
    <w:link w:val="11"/>
    <w:qFormat/>
    <w:uiPriority w:val="0"/>
    <w:rPr>
      <w:rFonts w:eastAsia="宋体"/>
      <w:kern w:val="2"/>
      <w:sz w:val="21"/>
      <w:lang w:val="en-US" w:eastAsia="zh-CN" w:bidi="ar-SA"/>
    </w:rPr>
  </w:style>
  <w:style w:type="character" w:customStyle="1" w:styleId="58">
    <w:name w:val="三级大纲 Char Char"/>
    <w:link w:val="59"/>
    <w:qFormat/>
    <w:uiPriority w:val="0"/>
    <w:rPr>
      <w:rFonts w:ascii="黑体" w:hAnsi="黑体" w:eastAsia="黑体"/>
      <w:b/>
      <w:bCs/>
      <w:sz w:val="28"/>
      <w:szCs w:val="28"/>
      <w:lang w:bidi="ar-SA"/>
    </w:rPr>
  </w:style>
  <w:style w:type="paragraph" w:customStyle="1" w:styleId="59">
    <w:name w:val="三级大纲"/>
    <w:basedOn w:val="5"/>
    <w:link w:val="58"/>
    <w:qFormat/>
    <w:uiPriority w:val="0"/>
    <w:pPr>
      <w:keepLines/>
      <w:numPr>
        <w:ilvl w:val="2"/>
        <w:numId w:val="7"/>
      </w:numPr>
      <w:tabs>
        <w:tab w:val="clear" w:pos="468"/>
      </w:tabs>
      <w:spacing w:before="260" w:after="260" w:line="416" w:lineRule="auto"/>
    </w:pPr>
    <w:rPr>
      <w:rFonts w:ascii="黑体" w:hAnsi="黑体" w:eastAsia="黑体"/>
      <w:kern w:val="0"/>
      <w:szCs w:val="28"/>
    </w:rPr>
  </w:style>
  <w:style w:type="character" w:customStyle="1" w:styleId="60">
    <w:name w:val="redfilefwwh"/>
    <w:qFormat/>
    <w:uiPriority w:val="0"/>
    <w:rPr>
      <w:color w:val="BA2636"/>
      <w:sz w:val="18"/>
      <w:szCs w:val="18"/>
    </w:rPr>
  </w:style>
  <w:style w:type="character" w:customStyle="1" w:styleId="61">
    <w:name w:val="prev2"/>
    <w:qFormat/>
    <w:uiPriority w:val="0"/>
    <w:rPr>
      <w:rFonts w:hint="eastAsia" w:ascii="微软雅黑" w:hAnsi="微软雅黑" w:eastAsia="微软雅黑" w:cs="微软雅黑"/>
      <w:sz w:val="21"/>
      <w:szCs w:val="21"/>
    </w:rPr>
  </w:style>
  <w:style w:type="character" w:customStyle="1" w:styleId="62">
    <w:name w:val="书籍标题1"/>
    <w:qFormat/>
    <w:uiPriority w:val="0"/>
    <w:rPr>
      <w:b/>
      <w:bCs/>
      <w:smallCaps/>
      <w:spacing w:val="5"/>
    </w:rPr>
  </w:style>
  <w:style w:type="character" w:customStyle="1" w:styleId="63">
    <w:name w:val="页眉 字符"/>
    <w:link w:val="23"/>
    <w:qFormat/>
    <w:uiPriority w:val="0"/>
    <w:rPr>
      <w:rFonts w:eastAsia="宋体"/>
      <w:kern w:val="2"/>
      <w:sz w:val="18"/>
      <w:lang w:val="en-US" w:eastAsia="zh-CN" w:bidi="ar-SA"/>
    </w:rPr>
  </w:style>
  <w:style w:type="character" w:customStyle="1" w:styleId="64">
    <w:name w:val="gjfg"/>
    <w:qFormat/>
    <w:uiPriority w:val="0"/>
  </w:style>
  <w:style w:type="character" w:customStyle="1" w:styleId="65">
    <w:name w:val="font101"/>
    <w:qFormat/>
    <w:uiPriority w:val="0"/>
    <w:rPr>
      <w:rFonts w:hint="eastAsia" w:ascii="宋体" w:hAnsi="宋体" w:eastAsia="宋体" w:cs="宋体"/>
      <w:color w:val="000000"/>
      <w:sz w:val="28"/>
      <w:szCs w:val="28"/>
      <w:u w:val="none"/>
    </w:rPr>
  </w:style>
  <w:style w:type="character" w:customStyle="1" w:styleId="66">
    <w:name w:val="font01"/>
    <w:qFormat/>
    <w:uiPriority w:val="0"/>
    <w:rPr>
      <w:rFonts w:hint="eastAsia" w:ascii="仿宋" w:hAnsi="仿宋" w:eastAsia="仿宋" w:cs="仿宋"/>
      <w:color w:val="000000"/>
      <w:sz w:val="28"/>
      <w:szCs w:val="28"/>
      <w:u w:val="none"/>
    </w:rPr>
  </w:style>
  <w:style w:type="character" w:customStyle="1" w:styleId="67">
    <w:name w:val="标题 1 字符"/>
    <w:link w:val="3"/>
    <w:qFormat/>
    <w:uiPriority w:val="0"/>
    <w:rPr>
      <w:rFonts w:ascii="仿宋_GB2312" w:eastAsia="仿宋_GB2312"/>
      <w:sz w:val="28"/>
    </w:rPr>
  </w:style>
  <w:style w:type="character" w:customStyle="1" w:styleId="68">
    <w:name w:val="prev"/>
    <w:qFormat/>
    <w:uiPriority w:val="0"/>
    <w:rPr>
      <w:rFonts w:ascii="微软雅黑" w:hAnsi="微软雅黑" w:eastAsia="微软雅黑" w:cs="微软雅黑"/>
      <w:sz w:val="21"/>
      <w:szCs w:val="21"/>
    </w:rPr>
  </w:style>
  <w:style w:type="character" w:customStyle="1" w:styleId="69">
    <w:name w:val="next3"/>
    <w:qFormat/>
    <w:uiPriority w:val="0"/>
    <w:rPr>
      <w:color w:val="888888"/>
    </w:rPr>
  </w:style>
  <w:style w:type="character" w:customStyle="1" w:styleId="70">
    <w:name w:val="qxdate"/>
    <w:qFormat/>
    <w:uiPriority w:val="0"/>
    <w:rPr>
      <w:color w:val="333333"/>
      <w:sz w:val="18"/>
      <w:szCs w:val="18"/>
    </w:rPr>
  </w:style>
  <w:style w:type="character" w:customStyle="1" w:styleId="71">
    <w:name w:val="displayarti"/>
    <w:qFormat/>
    <w:uiPriority w:val="0"/>
    <w:rPr>
      <w:color w:val="FFFFFF"/>
      <w:shd w:val="clear" w:color="auto" w:fill="A00000"/>
    </w:rPr>
  </w:style>
  <w:style w:type="character" w:customStyle="1" w:styleId="72">
    <w:name w:val="param-name"/>
    <w:qFormat/>
    <w:uiPriority w:val="0"/>
  </w:style>
  <w:style w:type="character" w:customStyle="1" w:styleId="73">
    <w:name w:val="time"/>
    <w:qFormat/>
    <w:uiPriority w:val="0"/>
  </w:style>
  <w:style w:type="character" w:customStyle="1" w:styleId="74">
    <w:name w:val="prev1"/>
    <w:qFormat/>
    <w:uiPriority w:val="0"/>
    <w:rPr>
      <w:color w:val="888888"/>
    </w:rPr>
  </w:style>
  <w:style w:type="character" w:customStyle="1" w:styleId="75">
    <w:name w:val="next"/>
    <w:qFormat/>
    <w:uiPriority w:val="0"/>
    <w:rPr>
      <w:rFonts w:hint="eastAsia" w:ascii="微软雅黑" w:hAnsi="微软雅黑" w:eastAsia="微软雅黑" w:cs="微软雅黑"/>
      <w:sz w:val="21"/>
      <w:szCs w:val="21"/>
    </w:rPr>
  </w:style>
  <w:style w:type="character" w:customStyle="1" w:styleId="76">
    <w:name w:val="A5"/>
    <w:qFormat/>
    <w:uiPriority w:val="0"/>
    <w:rPr>
      <w:rFonts w:cs="DFHeiW9-GB"/>
      <w:color w:val="000000"/>
      <w:sz w:val="22"/>
      <w:szCs w:val="22"/>
    </w:rPr>
  </w:style>
  <w:style w:type="character" w:customStyle="1" w:styleId="77">
    <w:name w:val="二级大纲 Char Char"/>
    <w:link w:val="78"/>
    <w:qFormat/>
    <w:uiPriority w:val="0"/>
    <w:rPr>
      <w:rFonts w:ascii="黑体" w:hAnsi="黑体" w:eastAsia="黑体"/>
      <w:b/>
      <w:bCs/>
      <w:sz w:val="30"/>
      <w:szCs w:val="30"/>
      <w:lang w:bidi="ar-SA"/>
    </w:rPr>
  </w:style>
  <w:style w:type="paragraph" w:customStyle="1" w:styleId="78">
    <w:name w:val="二级大纲"/>
    <w:basedOn w:val="4"/>
    <w:link w:val="77"/>
    <w:qFormat/>
    <w:uiPriority w:val="0"/>
    <w:pPr>
      <w:keepLines/>
      <w:numPr>
        <w:ilvl w:val="1"/>
        <w:numId w:val="7"/>
      </w:numPr>
      <w:tabs>
        <w:tab w:val="left" w:pos="330"/>
        <w:tab w:val="clear" w:pos="420"/>
      </w:tabs>
      <w:spacing w:before="260" w:after="260" w:line="416" w:lineRule="auto"/>
    </w:pPr>
    <w:rPr>
      <w:rFonts w:ascii="黑体" w:hAnsi="黑体" w:eastAsia="黑体"/>
      <w:bCs/>
      <w:sz w:val="30"/>
      <w:szCs w:val="30"/>
    </w:rPr>
  </w:style>
  <w:style w:type="character" w:customStyle="1" w:styleId="79">
    <w:name w:val="15"/>
    <w:qFormat/>
    <w:uiPriority w:val="0"/>
    <w:rPr>
      <w:rFonts w:hint="eastAsia" w:ascii="宋体" w:hAnsi="宋体" w:eastAsia="宋体"/>
      <w:color w:val="000000"/>
      <w:sz w:val="24"/>
      <w:szCs w:val="24"/>
    </w:rPr>
  </w:style>
  <w:style w:type="character" w:customStyle="1" w:styleId="80">
    <w:name w:val="next1"/>
    <w:qFormat/>
    <w:uiPriority w:val="0"/>
    <w:rPr>
      <w:color w:val="888888"/>
    </w:rPr>
  </w:style>
  <w:style w:type="character" w:customStyle="1" w:styleId="81">
    <w:name w:val="next2"/>
    <w:qFormat/>
    <w:uiPriority w:val="0"/>
    <w:rPr>
      <w:rFonts w:ascii="微软雅黑" w:hAnsi="微软雅黑" w:eastAsia="微软雅黑" w:cs="微软雅黑"/>
      <w:sz w:val="21"/>
      <w:szCs w:val="21"/>
    </w:rPr>
  </w:style>
  <w:style w:type="character" w:customStyle="1" w:styleId="82">
    <w:name w:val="列表段落 字符"/>
    <w:link w:val="83"/>
    <w:qFormat/>
    <w:uiPriority w:val="0"/>
    <w:rPr>
      <w:rFonts w:eastAsia="宋体"/>
      <w:kern w:val="2"/>
      <w:sz w:val="21"/>
      <w:szCs w:val="24"/>
      <w:lang w:val="en-US" w:eastAsia="zh-CN" w:bidi="ar-SA"/>
    </w:rPr>
  </w:style>
  <w:style w:type="paragraph" w:styleId="83">
    <w:name w:val="List Paragraph"/>
    <w:basedOn w:val="1"/>
    <w:link w:val="82"/>
    <w:qFormat/>
    <w:uiPriority w:val="0"/>
    <w:pPr>
      <w:ind w:firstLine="420" w:firstLineChars="200"/>
    </w:pPr>
    <w:rPr>
      <w:szCs w:val="24"/>
    </w:rPr>
  </w:style>
  <w:style w:type="character" w:customStyle="1" w:styleId="84">
    <w:name w:val="outputtext"/>
    <w:qFormat/>
    <w:uiPriority w:val="0"/>
  </w:style>
  <w:style w:type="character" w:customStyle="1" w:styleId="85">
    <w:name w:val="链接"/>
    <w:qFormat/>
    <w:uiPriority w:val="0"/>
    <w:rPr>
      <w:rFonts w:ascii="Times New Roman" w:eastAsia="宋体"/>
      <w:color w:val="0000FF"/>
      <w:sz w:val="21"/>
      <w:u w:val="single" w:color="0000FF"/>
      <w:vertAlign w:val="baseline"/>
      <w:lang w:val="en-US" w:eastAsia="zh-CN"/>
    </w:rPr>
  </w:style>
  <w:style w:type="character" w:customStyle="1" w:styleId="86">
    <w:name w:val="cfdate"/>
    <w:qFormat/>
    <w:uiPriority w:val="0"/>
    <w:rPr>
      <w:color w:val="333333"/>
      <w:sz w:val="18"/>
      <w:szCs w:val="18"/>
    </w:rPr>
  </w:style>
  <w:style w:type="character" w:customStyle="1" w:styleId="87">
    <w:name w:val="bg1"/>
    <w:qFormat/>
    <w:uiPriority w:val="0"/>
    <w:rPr>
      <w:rFonts w:hint="default"/>
      <w:color w:val="000000"/>
      <w:sz w:val="23"/>
      <w:szCs w:val="23"/>
      <w:shd w:val="clear" w:color="auto" w:fill="EC0101"/>
    </w:rPr>
  </w:style>
  <w:style w:type="character" w:customStyle="1" w:styleId="88">
    <w:name w:val="页脚 字符"/>
    <w:link w:val="22"/>
    <w:qFormat/>
    <w:uiPriority w:val="0"/>
    <w:rPr>
      <w:kern w:val="2"/>
      <w:sz w:val="18"/>
      <w:szCs w:val="18"/>
    </w:rPr>
  </w:style>
  <w:style w:type="character" w:customStyle="1" w:styleId="89">
    <w:name w:val="redfilenumber"/>
    <w:qFormat/>
    <w:uiPriority w:val="0"/>
    <w:rPr>
      <w:color w:val="BA2636"/>
      <w:sz w:val="18"/>
      <w:szCs w:val="18"/>
    </w:rPr>
  </w:style>
  <w:style w:type="character" w:customStyle="1" w:styleId="90">
    <w:name w:val="prev3"/>
    <w:qFormat/>
    <w:uiPriority w:val="0"/>
    <w:rPr>
      <w:color w:val="888888"/>
    </w:rPr>
  </w:style>
  <w:style w:type="character" w:customStyle="1" w:styleId="91">
    <w:name w:val="一级缩进 Char Char"/>
    <w:link w:val="92"/>
    <w:qFormat/>
    <w:uiPriority w:val="0"/>
    <w:rPr>
      <w:rFonts w:eastAsia="仿宋_GB2312"/>
      <w:kern w:val="2"/>
      <w:sz w:val="24"/>
      <w:szCs w:val="24"/>
      <w:lang w:val="en-US" w:eastAsia="zh-CN" w:bidi="ar-SA"/>
    </w:rPr>
  </w:style>
  <w:style w:type="paragraph" w:customStyle="1" w:styleId="92">
    <w:name w:val="一级缩进"/>
    <w:link w:val="91"/>
    <w:qFormat/>
    <w:uiPriority w:val="0"/>
    <w:pPr>
      <w:numPr>
        <w:ilvl w:val="0"/>
        <w:numId w:val="8"/>
      </w:numPr>
      <w:adjustRightInd w:val="0"/>
      <w:snapToGrid w:val="0"/>
      <w:spacing w:before="120" w:after="120" w:line="360" w:lineRule="auto"/>
      <w:jc w:val="both"/>
    </w:pPr>
    <w:rPr>
      <w:rFonts w:ascii="Times New Roman" w:hAnsi="Times New Roman" w:eastAsia="仿宋_GB2312" w:cs="Times New Roman"/>
      <w:kern w:val="2"/>
      <w:sz w:val="24"/>
      <w:szCs w:val="24"/>
      <w:lang w:val="en-US" w:eastAsia="zh-CN" w:bidi="ar-SA"/>
    </w:rPr>
  </w:style>
  <w:style w:type="character" w:customStyle="1" w:styleId="93">
    <w:name w:val="无间隔 字符"/>
    <w:link w:val="94"/>
    <w:qFormat/>
    <w:uiPriority w:val="0"/>
    <w:rPr>
      <w:rFonts w:ascii="Calibri" w:hAnsi="Calibri"/>
      <w:sz w:val="22"/>
      <w:szCs w:val="22"/>
      <w:lang w:val="en-US" w:eastAsia="zh-CN" w:bidi="ar-SA"/>
    </w:rPr>
  </w:style>
  <w:style w:type="paragraph" w:styleId="94">
    <w:name w:val="No Spacing"/>
    <w:link w:val="93"/>
    <w:qFormat/>
    <w:uiPriority w:val="0"/>
    <w:rPr>
      <w:rFonts w:ascii="Calibri" w:hAnsi="Calibri" w:eastAsia="宋体" w:cs="Times New Roman"/>
      <w:sz w:val="22"/>
      <w:szCs w:val="22"/>
      <w:lang w:val="en-US" w:eastAsia="zh-CN" w:bidi="ar-SA"/>
    </w:rPr>
  </w:style>
  <w:style w:type="paragraph" w:customStyle="1" w:styleId="9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98">
    <w:name w:val="xl43"/>
    <w:basedOn w:val="1"/>
    <w:qFormat/>
    <w:uiPriority w:val="0"/>
    <w:pPr>
      <w:widowControl/>
      <w:spacing w:before="100" w:beforeAutospacing="1" w:after="100" w:afterAutospacing="1"/>
      <w:jc w:val="left"/>
    </w:pPr>
    <w:rPr>
      <w:rFonts w:ascii="宋体" w:hAnsi="宋体"/>
      <w:kern w:val="0"/>
      <w:sz w:val="20"/>
    </w:rPr>
  </w:style>
  <w:style w:type="paragraph" w:customStyle="1" w:styleId="99">
    <w:name w:val="正文缩进1"/>
    <w:basedOn w:val="1"/>
    <w:qFormat/>
    <w:uiPriority w:val="0"/>
    <w:pPr>
      <w:ind w:firstLine="420" w:firstLineChars="200"/>
    </w:pPr>
    <w:rPr>
      <w:rFonts w:ascii="Calibri" w:hAnsi="Calibri"/>
    </w:rPr>
  </w:style>
  <w:style w:type="paragraph" w:customStyle="1" w:styleId="100">
    <w:name w:val="WPS Plain"/>
    <w:qFormat/>
    <w:uiPriority w:val="0"/>
    <w:rPr>
      <w:rFonts w:ascii="Times New Roman" w:hAnsi="Times New Roman" w:eastAsia="宋体" w:cs="Times New Roman"/>
      <w:lang w:val="en-US" w:eastAsia="zh-CN" w:bidi="ar-SA"/>
    </w:rPr>
  </w:style>
  <w:style w:type="paragraph" w:customStyle="1" w:styleId="101">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000000"/>
      <w:kern w:val="0"/>
      <w:sz w:val="20"/>
    </w:rPr>
  </w:style>
  <w:style w:type="paragraph" w:customStyle="1" w:styleId="102">
    <w:name w:val="Default Text:1"/>
    <w:basedOn w:val="1"/>
    <w:qFormat/>
    <w:uiPriority w:val="0"/>
    <w:pPr>
      <w:widowControl/>
      <w:overflowPunct w:val="0"/>
      <w:autoSpaceDE w:val="0"/>
      <w:autoSpaceDN w:val="0"/>
      <w:adjustRightInd w:val="0"/>
      <w:jc w:val="left"/>
      <w:textAlignment w:val="baseline"/>
    </w:pPr>
    <w:rPr>
      <w:kern w:val="0"/>
      <w:sz w:val="24"/>
    </w:rPr>
  </w:style>
  <w:style w:type="paragraph" w:customStyle="1" w:styleId="103">
    <w:name w:val="_正文段落"/>
    <w:basedOn w:val="1"/>
    <w:qFormat/>
    <w:uiPriority w:val="0"/>
    <w:pPr>
      <w:spacing w:beforeLines="15" w:afterLines="15" w:line="360" w:lineRule="auto"/>
      <w:ind w:firstLine="480" w:firstLineChars="200"/>
    </w:pPr>
    <w:rPr>
      <w:rFonts w:ascii="宋体" w:hAnsi="宋体"/>
      <w:sz w:val="24"/>
      <w:lang w:val="zh-CN"/>
    </w:rPr>
  </w:style>
  <w:style w:type="paragraph" w:customStyle="1" w:styleId="104">
    <w:name w:val="xl44"/>
    <w:basedOn w:val="1"/>
    <w:qFormat/>
    <w:uiPriority w:val="0"/>
    <w:pPr>
      <w:widowControl/>
      <w:spacing w:before="100" w:beforeAutospacing="1" w:after="100" w:afterAutospacing="1"/>
      <w:jc w:val="center"/>
      <w:textAlignment w:val="center"/>
    </w:pPr>
    <w:rPr>
      <w:rFonts w:ascii="宋体" w:hAnsi="宋体"/>
      <w:b/>
      <w:bCs/>
      <w:color w:val="0000FF"/>
      <w:kern w:val="0"/>
      <w:sz w:val="20"/>
    </w:rPr>
  </w:style>
  <w:style w:type="paragraph" w:customStyle="1" w:styleId="105">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paragraph" w:customStyle="1" w:styleId="106">
    <w:name w:val="Default"/>
    <w:qFormat/>
    <w:uiPriority w:val="0"/>
    <w:pPr>
      <w:widowControl w:val="0"/>
      <w:autoSpaceDE w:val="0"/>
      <w:autoSpaceDN w:val="0"/>
      <w:adjustRightInd w:val="0"/>
    </w:pPr>
    <w:rPr>
      <w:rFonts w:ascii="楷体_GB2312" w:hAnsi="Times New Roman" w:eastAsia="楷体_GB2312" w:cs="Times New Roman"/>
      <w:color w:val="000000"/>
      <w:sz w:val="24"/>
      <w:lang w:val="en-US" w:eastAsia="zh-CN" w:bidi="ar-SA"/>
    </w:rPr>
  </w:style>
  <w:style w:type="paragraph" w:customStyle="1" w:styleId="107">
    <w:name w:val="font11"/>
    <w:basedOn w:val="1"/>
    <w:qFormat/>
    <w:uiPriority w:val="0"/>
    <w:pPr>
      <w:widowControl/>
      <w:spacing w:before="100" w:beforeAutospacing="1" w:after="100" w:afterAutospacing="1"/>
      <w:jc w:val="left"/>
    </w:pPr>
    <w:rPr>
      <w:kern w:val="0"/>
      <w:sz w:val="22"/>
      <w:szCs w:val="22"/>
    </w:rPr>
  </w:style>
  <w:style w:type="paragraph" w:customStyle="1" w:styleId="108">
    <w:name w:val="font12"/>
    <w:basedOn w:val="1"/>
    <w:qFormat/>
    <w:uiPriority w:val="0"/>
    <w:pPr>
      <w:widowControl/>
      <w:spacing w:before="100" w:beforeAutospacing="1" w:after="100" w:afterAutospacing="1"/>
      <w:jc w:val="left"/>
    </w:pPr>
    <w:rPr>
      <w:rFonts w:hint="eastAsia" w:ascii="楷体_GB2312" w:hAnsi="宋体" w:eastAsia="楷体_GB2312"/>
      <w:b/>
      <w:bCs/>
      <w:color w:val="FF0000"/>
      <w:kern w:val="0"/>
      <w:sz w:val="22"/>
      <w:szCs w:val="22"/>
    </w:rPr>
  </w:style>
  <w:style w:type="paragraph" w:customStyle="1" w:styleId="109">
    <w:name w:val="Char Char1 Char Char Char Char"/>
    <w:basedOn w:val="1"/>
    <w:qFormat/>
    <w:uiPriority w:val="0"/>
    <w:pPr>
      <w:widowControl/>
      <w:snapToGrid w:val="0"/>
      <w:spacing w:line="520" w:lineRule="exact"/>
      <w:jc w:val="left"/>
    </w:pPr>
    <w:rPr>
      <w:sz w:val="24"/>
      <w:szCs w:val="24"/>
    </w:rPr>
  </w:style>
  <w:style w:type="paragraph" w:customStyle="1" w:styleId="110">
    <w:name w:val="List Paragraph1"/>
    <w:basedOn w:val="1"/>
    <w:qFormat/>
    <w:uiPriority w:val="0"/>
    <w:pPr>
      <w:ind w:firstLine="420" w:firstLineChars="200"/>
    </w:pPr>
    <w:rPr>
      <w:rFonts w:ascii="Calibri" w:hAnsi="Calibri"/>
      <w:szCs w:val="21"/>
    </w:rPr>
  </w:style>
  <w:style w:type="paragraph" w:customStyle="1" w:styleId="111">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12">
    <w:name w:val="四号正文"/>
    <w:basedOn w:val="1"/>
    <w:qFormat/>
    <w:uiPriority w:val="0"/>
    <w:pPr>
      <w:spacing w:line="360" w:lineRule="auto"/>
      <w:ind w:firstLine="560" w:firstLineChars="200"/>
    </w:pPr>
    <w:rPr>
      <w:sz w:val="28"/>
      <w:szCs w:val="28"/>
    </w:rPr>
  </w:style>
  <w:style w:type="paragraph" w:customStyle="1" w:styleId="113">
    <w:name w:val="_Style 6"/>
    <w:basedOn w:val="3"/>
    <w:next w:val="1"/>
    <w:qFormat/>
    <w:uiPriority w:val="0"/>
    <w:pPr>
      <w:outlineLvl w:val="9"/>
    </w:pPr>
  </w:style>
  <w:style w:type="paragraph" w:customStyle="1" w:styleId="11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color w:val="800000"/>
      <w:kern w:val="0"/>
      <w:sz w:val="20"/>
    </w:rPr>
  </w:style>
  <w:style w:type="paragraph" w:customStyle="1" w:styleId="115">
    <w:name w:val="默认段落字体 Para Char Char Char Char Char Char Char"/>
    <w:basedOn w:val="1"/>
    <w:qFormat/>
    <w:uiPriority w:val="0"/>
  </w:style>
  <w:style w:type="paragraph" w:customStyle="1" w:styleId="116">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7">
    <w:name w:val="Table Paragraph"/>
    <w:basedOn w:val="1"/>
    <w:qFormat/>
    <w:uiPriority w:val="1"/>
    <w:pPr>
      <w:widowControl/>
      <w:jc w:val="left"/>
    </w:pPr>
    <w:rPr>
      <w:kern w:val="0"/>
      <w:sz w:val="22"/>
    </w:rPr>
  </w:style>
  <w:style w:type="paragraph" w:customStyle="1" w:styleId="118">
    <w:name w:val="WPSOffice手动目录 1"/>
    <w:qFormat/>
    <w:uiPriority w:val="0"/>
    <w:rPr>
      <w:rFonts w:ascii="Times New Roman" w:hAnsi="Times New Roman" w:eastAsia="宋体" w:cs="Times New Roman"/>
      <w:lang w:val="en-US" w:eastAsia="zh-CN" w:bidi="ar-SA"/>
    </w:rPr>
  </w:style>
  <w:style w:type="paragraph" w:customStyle="1" w:styleId="11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12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000000"/>
      <w:kern w:val="0"/>
      <w:sz w:val="20"/>
    </w:rPr>
  </w:style>
  <w:style w:type="paragraph" w:customStyle="1" w:styleId="121">
    <w:name w:val="列表段落1"/>
    <w:basedOn w:val="1"/>
    <w:qFormat/>
    <w:uiPriority w:val="0"/>
    <w:pPr>
      <w:ind w:firstLine="420" w:firstLineChars="200"/>
    </w:pPr>
    <w:rPr>
      <w:rFonts w:ascii="Calibri" w:hAnsi="Calibri"/>
      <w:szCs w:val="22"/>
    </w:rPr>
  </w:style>
  <w:style w:type="paragraph" w:customStyle="1" w:styleId="122">
    <w:name w:val="正文1"/>
    <w:basedOn w:val="1"/>
    <w:qFormat/>
    <w:uiPriority w:val="0"/>
    <w:pPr>
      <w:adjustRightInd w:val="0"/>
      <w:spacing w:line="318" w:lineRule="atLeast"/>
      <w:ind w:left="369" w:firstLine="369"/>
      <w:textAlignment w:val="baseline"/>
    </w:pPr>
    <w:rPr>
      <w:rFonts w:ascii="宋体" w:hAnsi="Calibri"/>
    </w:rPr>
  </w:style>
  <w:style w:type="paragraph" w:customStyle="1" w:styleId="123">
    <w:name w:val="font13"/>
    <w:basedOn w:val="1"/>
    <w:qFormat/>
    <w:uiPriority w:val="0"/>
    <w:pPr>
      <w:widowControl/>
      <w:spacing w:before="100" w:beforeAutospacing="1" w:after="100" w:afterAutospacing="1"/>
      <w:jc w:val="left"/>
    </w:pPr>
    <w:rPr>
      <w:b/>
      <w:bCs/>
      <w:color w:val="FF0000"/>
      <w:kern w:val="0"/>
      <w:sz w:val="22"/>
      <w:szCs w:val="22"/>
    </w:rPr>
  </w:style>
  <w:style w:type="paragraph" w:customStyle="1" w:styleId="124">
    <w:name w:val="THTF-BS-三级标题"/>
    <w:basedOn w:val="1"/>
    <w:next w:val="51"/>
    <w:qFormat/>
    <w:uiPriority w:val="0"/>
    <w:pPr>
      <w:numPr>
        <w:ilvl w:val="4"/>
        <w:numId w:val="6"/>
      </w:numPr>
      <w:spacing w:line="360" w:lineRule="auto"/>
      <w:outlineLvl w:val="2"/>
    </w:pPr>
    <w:rPr>
      <w:rFonts w:ascii="宋体"/>
      <w:b/>
      <w:sz w:val="30"/>
      <w:szCs w:val="30"/>
    </w:rPr>
  </w:style>
  <w:style w:type="paragraph" w:customStyle="1" w:styleId="125">
    <w:name w:val="THTF-BS-二级标题"/>
    <w:next w:val="51"/>
    <w:qFormat/>
    <w:uiPriority w:val="0"/>
    <w:pPr>
      <w:widowControl w:val="0"/>
      <w:numPr>
        <w:ilvl w:val="2"/>
        <w:numId w:val="6"/>
      </w:numPr>
      <w:spacing w:line="360" w:lineRule="auto"/>
      <w:outlineLvl w:val="1"/>
    </w:pPr>
    <w:rPr>
      <w:rFonts w:ascii="宋体" w:hAnsi="Times New Roman" w:eastAsia="宋体" w:cs="Times New Roman"/>
      <w:b/>
      <w:kern w:val="2"/>
      <w:sz w:val="32"/>
      <w:szCs w:val="32"/>
      <w:lang w:val="en-US" w:eastAsia="zh-CN" w:bidi="ar-SA"/>
    </w:rPr>
  </w:style>
  <w:style w:type="paragraph" w:customStyle="1" w:styleId="126">
    <w:name w:val="列出段落2"/>
    <w:basedOn w:val="1"/>
    <w:qFormat/>
    <w:uiPriority w:val="99"/>
    <w:pPr>
      <w:ind w:firstLine="420" w:firstLineChars="200"/>
    </w:pPr>
    <w:rPr>
      <w:sz w:val="28"/>
      <w:szCs w:val="24"/>
    </w:rPr>
  </w:style>
  <w:style w:type="paragraph" w:customStyle="1" w:styleId="127">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olor w:val="000000"/>
      <w:kern w:val="0"/>
      <w:sz w:val="20"/>
    </w:rPr>
  </w:style>
  <w:style w:type="paragraph" w:customStyle="1" w:styleId="129">
    <w:name w:val="Normal_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0">
    <w:name w:val="答复表头"/>
    <w:basedOn w:val="105"/>
    <w:next w:val="1"/>
    <w:qFormat/>
    <w:uiPriority w:val="0"/>
    <w:rPr>
      <w:rFonts w:ascii="Calibri" w:hAnsi="Calibri"/>
      <w:b/>
    </w:rPr>
  </w:style>
  <w:style w:type="paragraph" w:customStyle="1" w:styleId="131">
    <w:name w:val="1级大纲"/>
    <w:basedOn w:val="3"/>
    <w:qFormat/>
    <w:uiPriority w:val="0"/>
    <w:pPr>
      <w:keepLines/>
      <w:numPr>
        <w:ilvl w:val="0"/>
        <w:numId w:val="7"/>
      </w:numPr>
      <w:spacing w:before="340" w:after="330" w:line="578" w:lineRule="auto"/>
      <w:jc w:val="both"/>
    </w:pPr>
    <w:rPr>
      <w:rFonts w:ascii="黑体" w:hAnsi="黑体" w:eastAsia="黑体"/>
      <w:b/>
      <w:kern w:val="44"/>
      <w:sz w:val="32"/>
    </w:rPr>
  </w:style>
  <w:style w:type="paragraph" w:customStyle="1" w:styleId="13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133">
    <w:name w:val="正文 New New"/>
    <w:semiHidden/>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34">
    <w:name w:val="xl50"/>
    <w:basedOn w:val="1"/>
    <w:qFormat/>
    <w:uiPriority w:val="0"/>
    <w:pPr>
      <w:widowControl/>
      <w:spacing w:before="100" w:beforeAutospacing="1" w:after="100" w:afterAutospacing="1"/>
      <w:jc w:val="left"/>
      <w:textAlignment w:val="center"/>
    </w:pPr>
    <w:rPr>
      <w:rFonts w:ascii="宋体" w:hAnsi="宋体"/>
      <w:b/>
      <w:bCs/>
      <w:color w:val="0000FF"/>
      <w:kern w:val="0"/>
      <w:sz w:val="32"/>
      <w:szCs w:val="32"/>
    </w:rPr>
  </w:style>
  <w:style w:type="paragraph" w:customStyle="1" w:styleId="135">
    <w:name w:val="font10"/>
    <w:basedOn w:val="1"/>
    <w:qFormat/>
    <w:uiPriority w:val="0"/>
    <w:pPr>
      <w:widowControl/>
      <w:spacing w:before="100" w:beforeAutospacing="1" w:after="100" w:afterAutospacing="1"/>
      <w:jc w:val="left"/>
    </w:pPr>
    <w:rPr>
      <w:rFonts w:hint="eastAsia" w:ascii="宋体" w:hAnsi="宋体"/>
      <w:kern w:val="0"/>
      <w:sz w:val="22"/>
      <w:szCs w:val="22"/>
    </w:rPr>
  </w:style>
  <w:style w:type="paragraph" w:customStyle="1" w:styleId="136">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13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color w:val="008000"/>
      <w:kern w:val="0"/>
      <w:sz w:val="20"/>
    </w:rPr>
  </w:style>
  <w:style w:type="paragraph" w:customStyle="1" w:styleId="13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rPr>
  </w:style>
  <w:style w:type="paragraph" w:customStyle="1" w:styleId="139">
    <w:name w:val="标题 2 New"/>
    <w:basedOn w:val="133"/>
    <w:next w:val="133"/>
    <w:semiHidden/>
    <w:qFormat/>
    <w:uiPriority w:val="99"/>
    <w:pPr>
      <w:keepNext/>
      <w:keepLines/>
      <w:spacing w:before="260" w:after="260" w:line="410" w:lineRule="auto"/>
      <w:outlineLvl w:val="1"/>
    </w:pPr>
    <w:rPr>
      <w:rFonts w:ascii="Arial" w:hAnsi="Arial" w:eastAsia="黑体"/>
      <w:b/>
      <w:bCs/>
      <w:sz w:val="32"/>
      <w:szCs w:val="32"/>
    </w:rPr>
  </w:style>
  <w:style w:type="paragraph" w:customStyle="1" w:styleId="14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color w:val="800000"/>
      <w:kern w:val="0"/>
      <w:sz w:val="20"/>
    </w:rPr>
  </w:style>
  <w:style w:type="paragraph" w:customStyle="1" w:styleId="141">
    <w:name w:val="样式3"/>
    <w:basedOn w:val="1"/>
    <w:qFormat/>
    <w:uiPriority w:val="0"/>
    <w:pPr>
      <w:widowControl/>
      <w:tabs>
        <w:tab w:val="left" w:pos="1980"/>
      </w:tabs>
      <w:spacing w:before="60" w:after="60" w:line="360" w:lineRule="auto"/>
      <w:ind w:left="1845" w:hanging="360"/>
      <w:jc w:val="left"/>
    </w:pPr>
    <w:rPr>
      <w:kern w:val="0"/>
      <w:szCs w:val="21"/>
    </w:rPr>
  </w:style>
  <w:style w:type="paragraph" w:customStyle="1" w:styleId="142">
    <w:name w:val="File1"/>
    <w:qFormat/>
    <w:uiPriority w:val="0"/>
    <w:pPr>
      <w:tabs>
        <w:tab w:val="left" w:pos="1134"/>
      </w:tabs>
      <w:spacing w:line="360" w:lineRule="exact"/>
      <w:ind w:left="540" w:leftChars="540"/>
    </w:pPr>
    <w:rPr>
      <w:rFonts w:ascii="Arial" w:hAnsi="Arial" w:eastAsia="宋体" w:cs="Times New Roman"/>
      <w:spacing w:val="10"/>
      <w:sz w:val="24"/>
      <w:lang w:val="en-US" w:eastAsia="zh-CN" w:bidi="ar-SA"/>
    </w:rPr>
  </w:style>
  <w:style w:type="paragraph" w:customStyle="1" w:styleId="143">
    <w:name w:val="È±Ê¡ÎÄ±¾"/>
    <w:basedOn w:val="1"/>
    <w:qFormat/>
    <w:uiPriority w:val="0"/>
    <w:pPr>
      <w:widowControl/>
      <w:overflowPunct w:val="0"/>
      <w:autoSpaceDE w:val="0"/>
      <w:autoSpaceDN w:val="0"/>
      <w:adjustRightInd w:val="0"/>
      <w:jc w:val="left"/>
    </w:pPr>
    <w:rPr>
      <w:kern w:val="0"/>
      <w:sz w:val="24"/>
    </w:rPr>
  </w:style>
  <w:style w:type="paragraph" w:customStyle="1" w:styleId="14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color w:val="0000FF"/>
      <w:kern w:val="0"/>
      <w:sz w:val="20"/>
    </w:rPr>
  </w:style>
  <w:style w:type="paragraph" w:customStyle="1" w:styleId="145">
    <w:name w:val="msolistparagraph"/>
    <w:basedOn w:val="1"/>
    <w:qFormat/>
    <w:uiPriority w:val="0"/>
    <w:pPr>
      <w:ind w:firstLine="420" w:firstLineChars="200"/>
    </w:pPr>
    <w:rPr>
      <w:rFonts w:ascii="Calibri" w:hAnsi="Calibri"/>
      <w:szCs w:val="22"/>
    </w:rPr>
  </w:style>
  <w:style w:type="paragraph" w:customStyle="1" w:styleId="146">
    <w:name w:val="font8"/>
    <w:basedOn w:val="1"/>
    <w:qFormat/>
    <w:uiPriority w:val="0"/>
    <w:pPr>
      <w:widowControl/>
      <w:spacing w:before="100" w:beforeAutospacing="1" w:after="100" w:afterAutospacing="1"/>
      <w:jc w:val="left"/>
    </w:pPr>
    <w:rPr>
      <w:rFonts w:hint="eastAsia" w:ascii="宋体" w:hAnsi="宋体"/>
      <w:b/>
      <w:bCs/>
      <w:color w:val="0000FF"/>
      <w:kern w:val="0"/>
      <w:sz w:val="20"/>
    </w:rPr>
  </w:style>
  <w:style w:type="paragraph" w:customStyle="1" w:styleId="147">
    <w:name w:val="Char"/>
    <w:basedOn w:val="1"/>
    <w:qFormat/>
    <w:uiPriority w:val="0"/>
    <w:pPr>
      <w:numPr>
        <w:ilvl w:val="0"/>
        <w:numId w:val="9"/>
      </w:numPr>
      <w:spacing w:line="360" w:lineRule="auto"/>
      <w:ind w:left="0" w:firstLine="0"/>
    </w:pPr>
    <w:rPr>
      <w:rFonts w:ascii="新宋体" w:hAnsi="新宋体" w:eastAsia="新宋体"/>
      <w:b/>
      <w:sz w:val="24"/>
      <w:szCs w:val="24"/>
    </w:rPr>
  </w:style>
  <w:style w:type="paragraph" w:customStyle="1" w:styleId="14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olor w:val="FF0000"/>
      <w:kern w:val="0"/>
      <w:sz w:val="20"/>
    </w:rPr>
  </w:style>
  <w:style w:type="paragraph" w:customStyle="1" w:styleId="149">
    <w:name w:val="xl51"/>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150">
    <w:name w:val="ÕýÎÄ"/>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zh-CN" w:bidi="ar-SA"/>
    </w:rPr>
  </w:style>
  <w:style w:type="paragraph" w:customStyle="1" w:styleId="151">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152">
    <w:name w:val="Char Char"/>
    <w:basedOn w:val="1"/>
    <w:qFormat/>
    <w:uiPriority w:val="0"/>
    <w:rPr>
      <w:szCs w:val="24"/>
    </w:rPr>
  </w:style>
  <w:style w:type="paragraph" w:customStyle="1" w:styleId="153">
    <w:name w:val="font9"/>
    <w:basedOn w:val="1"/>
    <w:qFormat/>
    <w:uiPriority w:val="0"/>
    <w:pPr>
      <w:widowControl/>
      <w:spacing w:before="100" w:beforeAutospacing="1" w:after="100" w:afterAutospacing="1"/>
      <w:jc w:val="left"/>
    </w:pPr>
    <w:rPr>
      <w:rFonts w:hint="eastAsia" w:ascii="宋体" w:hAnsi="宋体"/>
      <w:b/>
      <w:bCs/>
      <w:color w:val="FF0000"/>
      <w:kern w:val="0"/>
      <w:sz w:val="20"/>
    </w:rPr>
  </w:style>
  <w:style w:type="paragraph" w:customStyle="1" w:styleId="154">
    <w:name w:val="Spd正文"/>
    <w:basedOn w:val="1"/>
    <w:qFormat/>
    <w:uiPriority w:val="0"/>
    <w:pPr>
      <w:spacing w:line="360" w:lineRule="auto"/>
      <w:ind w:firstLine="480"/>
      <w:contextualSpacing/>
    </w:pPr>
  </w:style>
  <w:style w:type="paragraph" w:customStyle="1" w:styleId="155">
    <w:name w:val="*正文"/>
    <w:basedOn w:val="1"/>
    <w:qFormat/>
    <w:uiPriority w:val="0"/>
    <w:pPr>
      <w:widowControl/>
      <w:spacing w:line="360" w:lineRule="auto"/>
      <w:jc w:val="left"/>
    </w:pPr>
    <w:rPr>
      <w:rFonts w:ascii="仿宋_GB2312" w:eastAsia="仿宋_GB2312"/>
      <w:sz w:val="24"/>
      <w:szCs w:val="28"/>
    </w:rPr>
  </w:style>
  <w:style w:type="paragraph" w:customStyle="1" w:styleId="156">
    <w:name w:val="正文 New New New New New New New New New New New New New New New New New New New New New New New New New New New New New New New New New New New New New New New New New New New New New New New New New New New New New"/>
    <w:qFormat/>
    <w:uiPriority w:val="0"/>
    <w:pPr>
      <w:widowControl w:val="0"/>
      <w:suppressAutoHyphens/>
      <w:jc w:val="both"/>
    </w:pPr>
    <w:rPr>
      <w:rFonts w:ascii="Times New Roman" w:hAnsi="Times New Roman" w:eastAsia="宋体" w:cs="Times New Roman"/>
      <w:kern w:val="2"/>
      <w:sz w:val="21"/>
      <w:szCs w:val="22"/>
      <w:lang w:val="en-US" w:eastAsia="ar-SA" w:bidi="ar-SA"/>
    </w:rPr>
  </w:style>
  <w:style w:type="paragraph" w:customStyle="1" w:styleId="157">
    <w:name w:val="Normal_1"/>
    <w:qFormat/>
    <w:uiPriority w:val="0"/>
    <w:pPr>
      <w:spacing w:before="120" w:after="240"/>
      <w:jc w:val="both"/>
    </w:pPr>
    <w:rPr>
      <w:rFonts w:ascii="Calibri" w:hAnsi="Calibri" w:eastAsia="Calibri" w:cs="Times New Roman"/>
      <w:sz w:val="22"/>
      <w:szCs w:val="22"/>
      <w:lang w:val="en-US" w:eastAsia="en-US" w:bidi="ar-SA"/>
    </w:rPr>
  </w:style>
  <w:style w:type="paragraph" w:customStyle="1" w:styleId="158">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159">
    <w:name w:val="Text"/>
    <w:basedOn w:val="1"/>
    <w:qFormat/>
    <w:uiPriority w:val="0"/>
    <w:pPr>
      <w:widowControl/>
      <w:jc w:val="left"/>
    </w:pPr>
    <w:rPr>
      <w:rFonts w:ascii="Arial" w:hAnsi="Arial" w:cs="Courier New"/>
      <w:kern w:val="0"/>
      <w:szCs w:val="21"/>
    </w:rPr>
  </w:style>
  <w:style w:type="paragraph" w:customStyle="1" w:styleId="16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color w:val="0000FF"/>
      <w:kern w:val="0"/>
      <w:sz w:val="20"/>
    </w:rPr>
  </w:style>
  <w:style w:type="paragraph" w:customStyle="1" w:styleId="161">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16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color w:val="0000FF"/>
      <w:kern w:val="0"/>
      <w:sz w:val="20"/>
    </w:rPr>
  </w:style>
  <w:style w:type="paragraph" w:customStyle="1" w:styleId="163">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164">
    <w:name w:val="font7"/>
    <w:basedOn w:val="1"/>
    <w:qFormat/>
    <w:uiPriority w:val="0"/>
    <w:pPr>
      <w:widowControl/>
      <w:spacing w:before="100" w:beforeAutospacing="1" w:after="100" w:afterAutospacing="1"/>
      <w:jc w:val="left"/>
    </w:pPr>
    <w:rPr>
      <w:rFonts w:hint="eastAsia" w:ascii="宋体" w:hAnsi="宋体"/>
      <w:color w:val="000000"/>
      <w:kern w:val="0"/>
      <w:sz w:val="20"/>
    </w:rPr>
  </w:style>
  <w:style w:type="paragraph" w:customStyle="1" w:styleId="16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color w:val="800000"/>
      <w:kern w:val="0"/>
      <w:sz w:val="20"/>
    </w:rPr>
  </w:style>
  <w:style w:type="paragraph" w:customStyle="1" w:styleId="166">
    <w:name w:val="多级符号"/>
    <w:basedOn w:val="1"/>
    <w:qFormat/>
    <w:uiPriority w:val="0"/>
    <w:pPr>
      <w:numPr>
        <w:ilvl w:val="0"/>
        <w:numId w:val="10"/>
      </w:numPr>
      <w:tabs>
        <w:tab w:val="left" w:pos="1077"/>
        <w:tab w:val="clear" w:pos="1272"/>
      </w:tabs>
      <w:adjustRightInd w:val="0"/>
      <w:spacing w:line="360" w:lineRule="auto"/>
      <w:jc w:val="left"/>
      <w:textAlignment w:val="baseline"/>
    </w:pPr>
    <w:rPr>
      <w:rFonts w:ascii="宋体"/>
      <w:color w:val="0000FF"/>
      <w:kern w:val="0"/>
      <w:sz w:val="24"/>
    </w:rPr>
  </w:style>
  <w:style w:type="paragraph" w:customStyle="1" w:styleId="167">
    <w:name w:val="_Style 3"/>
    <w:basedOn w:val="1"/>
    <w:qFormat/>
    <w:uiPriority w:val="99"/>
    <w:pPr>
      <w:autoSpaceDE w:val="0"/>
      <w:autoSpaceDN w:val="0"/>
      <w:spacing w:line="360" w:lineRule="auto"/>
      <w:ind w:firstLine="420" w:firstLineChars="200"/>
      <w:jc w:val="left"/>
    </w:pPr>
    <w:rPr>
      <w:kern w:val="0"/>
      <w:sz w:val="24"/>
      <w:szCs w:val="21"/>
      <w:lang w:val="zh-CN"/>
    </w:rPr>
  </w:style>
  <w:style w:type="paragraph" w:customStyle="1" w:styleId="168">
    <w:name w:val="!我的正文 Ctr+Q"/>
    <w:basedOn w:val="1"/>
    <w:qFormat/>
    <w:uiPriority w:val="0"/>
    <w:pPr>
      <w:adjustRightInd w:val="0"/>
      <w:snapToGrid w:val="0"/>
      <w:ind w:firstLine="480" w:firstLineChars="200"/>
    </w:pPr>
    <w:rPr>
      <w:szCs w:val="21"/>
    </w:rPr>
  </w:style>
  <w:style w:type="paragraph" w:customStyle="1" w:styleId="169">
    <w:name w:val="font6"/>
    <w:basedOn w:val="1"/>
    <w:qFormat/>
    <w:uiPriority w:val="0"/>
    <w:pPr>
      <w:widowControl/>
      <w:spacing w:before="100" w:beforeAutospacing="1" w:after="100" w:afterAutospacing="1"/>
      <w:jc w:val="left"/>
    </w:pPr>
    <w:rPr>
      <w:rFonts w:hint="eastAsia" w:ascii="宋体" w:hAnsi="宋体"/>
      <w:kern w:val="0"/>
      <w:sz w:val="20"/>
    </w:rPr>
  </w:style>
  <w:style w:type="paragraph" w:customStyle="1" w:styleId="170">
    <w:name w:val="xl45"/>
    <w:basedOn w:val="1"/>
    <w:qFormat/>
    <w:uiPriority w:val="0"/>
    <w:pPr>
      <w:widowControl/>
      <w:spacing w:before="100" w:beforeAutospacing="1" w:after="100" w:afterAutospacing="1"/>
      <w:jc w:val="left"/>
      <w:textAlignment w:val="center"/>
    </w:pPr>
    <w:rPr>
      <w:rFonts w:ascii="宋体" w:hAnsi="宋体"/>
      <w:kern w:val="0"/>
      <w:sz w:val="20"/>
    </w:rPr>
  </w:style>
  <w:style w:type="paragraph" w:customStyle="1" w:styleId="171">
    <w:name w:val="样式 标题 1 + 黑体 四号"/>
    <w:basedOn w:val="3"/>
    <w:qFormat/>
    <w:uiPriority w:val="0"/>
    <w:pPr>
      <w:spacing w:line="480" w:lineRule="auto"/>
    </w:pPr>
    <w:rPr>
      <w:rFonts w:ascii="宋体" w:hAnsi="黑体"/>
      <w:sz w:val="24"/>
      <w:szCs w:val="24"/>
    </w:rPr>
  </w:style>
  <w:style w:type="paragraph" w:customStyle="1" w:styleId="17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rPr>
  </w:style>
  <w:style w:type="paragraph" w:customStyle="1" w:styleId="173">
    <w:name w:val="xl3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color w:val="0000FF"/>
      <w:kern w:val="0"/>
      <w:sz w:val="20"/>
    </w:rPr>
  </w:style>
  <w:style w:type="paragraph" w:customStyle="1" w:styleId="17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color w:val="0000FF"/>
      <w:kern w:val="0"/>
      <w:sz w:val="20"/>
    </w:rPr>
  </w:style>
  <w:style w:type="paragraph" w:customStyle="1" w:styleId="175">
    <w:name w:val="纯文本1 New New New New New New New New"/>
    <w:basedOn w:val="1"/>
    <w:qFormat/>
    <w:uiPriority w:val="0"/>
    <w:pPr>
      <w:suppressAutoHyphens/>
    </w:pPr>
    <w:rPr>
      <w:rFonts w:ascii="宋体"/>
      <w:lang w:eastAsia="ar-SA"/>
    </w:rPr>
  </w:style>
  <w:style w:type="paragraph" w:customStyle="1" w:styleId="176">
    <w:name w:val="日期1"/>
    <w:basedOn w:val="1"/>
    <w:next w:val="1"/>
    <w:uiPriority w:val="0"/>
    <w:pPr>
      <w:adjustRightInd w:val="0"/>
      <w:textAlignment w:val="baseline"/>
    </w:pPr>
    <w:rPr>
      <w:rFonts w:ascii="宋体"/>
      <w:kern w:val="0"/>
      <w:sz w:val="24"/>
    </w:rPr>
  </w:style>
  <w:style w:type="paragraph" w:customStyle="1" w:styleId="177">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0000FF"/>
      <w:kern w:val="0"/>
      <w:sz w:val="20"/>
    </w:rPr>
  </w:style>
  <w:style w:type="paragraph" w:customStyle="1" w:styleId="17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79">
    <w:name w:val="列出段落1"/>
    <w:basedOn w:val="1"/>
    <w:qFormat/>
    <w:uiPriority w:val="34"/>
    <w:pPr>
      <w:ind w:firstLine="420" w:firstLineChars="200"/>
    </w:pPr>
    <w:rPr>
      <w:rFonts w:ascii="Calibri" w:hAnsi="Calibri"/>
      <w:szCs w:val="22"/>
    </w:rPr>
  </w:style>
  <w:style w:type="paragraph" w:customStyle="1" w:styleId="180">
    <w:name w:val="Char1 Char Char Char"/>
    <w:basedOn w:val="1"/>
    <w:qFormat/>
    <w:uiPriority w:val="0"/>
    <w:rPr>
      <w:rFonts w:ascii="Tahoma" w:hAnsi="Tahoma"/>
      <w:sz w:val="24"/>
    </w:rPr>
  </w:style>
  <w:style w:type="character" w:customStyle="1" w:styleId="181">
    <w:name w:val="标题 1 字符2"/>
    <w:qFormat/>
    <w:uiPriority w:val="9"/>
    <w:rPr>
      <w:b/>
    </w:rPr>
  </w:style>
  <w:style w:type="character" w:customStyle="1" w:styleId="182">
    <w:name w:val="脚注文本 字符"/>
    <w:basedOn w:val="34"/>
    <w:link w:val="26"/>
    <w:qFormat/>
    <w:uiPriority w:val="99"/>
    <w:rPr>
      <w:rFonts w:eastAsia="楷体_GB2312"/>
      <w:kern w:val="2"/>
      <w:sz w:val="18"/>
      <w:szCs w:val="18"/>
    </w:rPr>
  </w:style>
  <w:style w:type="paragraph" w:customStyle="1" w:styleId="183">
    <w:name w:val="正文_4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13F0BC-73B5-4413-A5F7-AB1679A5B69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57</Pages>
  <Words>22836</Words>
  <Characters>24335</Characters>
  <Lines>213</Lines>
  <Paragraphs>60</Paragraphs>
  <TotalTime>2</TotalTime>
  <ScaleCrop>false</ScaleCrop>
  <LinksUpToDate>false</LinksUpToDate>
  <CharactersWithSpaces>26410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2023-06-19T04:02:00Z</dcterms:created>
  <dc:creator>s</dc:creator>
  <cp:lastModifiedBy>SU～蘇</cp:lastModifiedBy>
  <cp:lastPrinted>2023-05-26T08:15:00Z</cp:lastPrinted>
  <dcterms:modified xsi:type="dcterms:W3CDTF">2023-06-24T10:41:55Z</dcterms:modified>
  <dc:title>投标人须知前附表</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B098F56857054283B85FFE5D263A35F7</vt:lpwstr>
  </property>
</Properties>
</file>