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firstLine="0" w:firstLineChars="0"/>
        <w:jc w:val="center"/>
        <w:rPr>
          <w:rFonts w:asciiTheme="minorEastAsia" w:hAnsiTheme="minorEastAsia" w:eastAsiaTheme="minorEastAsia"/>
          <w:b/>
          <w:bCs/>
          <w:sz w:val="48"/>
          <w:szCs w:val="48"/>
        </w:rPr>
      </w:pPr>
      <w:r>
        <w:rPr>
          <w:rFonts w:hint="eastAsia" w:ascii="方正小标宋简体" w:eastAsia="方正小标宋简体"/>
          <w:b/>
          <w:bCs/>
          <w:w w:val="90"/>
          <w:sz w:val="48"/>
          <w:szCs w:val="48"/>
        </w:rPr>
        <w:t>乌尔禾区采购中心</w:t>
      </w:r>
      <w:r>
        <w:rPr>
          <w:rFonts w:hint="eastAsia" w:ascii="方正小标宋简体" w:hAnsi="宋体" w:eastAsia="方正小标宋简体"/>
          <w:b/>
          <w:bCs/>
          <w:sz w:val="48"/>
          <w:szCs w:val="48"/>
        </w:rPr>
        <w:t>竞争性磋商采购文件</w:t>
      </w: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eastAsia"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采购文件编号：WQZC</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JZC</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0</w:t>
      </w:r>
      <w:r>
        <w:rPr>
          <w:rFonts w:hint="eastAsia" w:asciiTheme="minorEastAsia" w:hAnsiTheme="minorEastAsia" w:eastAsiaTheme="minorEastAsia"/>
          <w:b/>
          <w:bCs/>
          <w:w w:val="95"/>
          <w:sz w:val="36"/>
          <w:szCs w:val="36"/>
          <w:lang w:val="en-US" w:eastAsia="zh-CN"/>
        </w:rPr>
        <w:t>02</w:t>
      </w:r>
    </w:p>
    <w:p>
      <w:pPr>
        <w:overflowPunct w:val="0"/>
        <w:spacing w:line="500" w:lineRule="exact"/>
        <w:ind w:firstLine="1374" w:firstLineChars="400"/>
        <w:rPr>
          <w:rFonts w:asciiTheme="minorEastAsia" w:hAnsiTheme="minorEastAsia" w:eastAsiaTheme="minorEastAsia"/>
          <w:b/>
          <w:sz w:val="36"/>
          <w:szCs w:val="36"/>
        </w:rPr>
      </w:pPr>
      <w:r>
        <w:rPr>
          <w:rFonts w:hint="eastAsia" w:asciiTheme="minorEastAsia" w:hAnsiTheme="minorEastAsia" w:eastAsiaTheme="minorEastAsia"/>
          <w:b/>
          <w:bCs/>
          <w:w w:val="95"/>
          <w:sz w:val="36"/>
          <w:szCs w:val="36"/>
        </w:rPr>
        <w:t>采购项目：乌尔禾区</w:t>
      </w:r>
      <w:r>
        <w:rPr>
          <w:rFonts w:hint="eastAsia" w:asciiTheme="minorEastAsia" w:hAnsiTheme="minorEastAsia" w:eastAsiaTheme="minorEastAsia"/>
          <w:b/>
          <w:bCs/>
          <w:w w:val="95"/>
          <w:sz w:val="36"/>
          <w:szCs w:val="36"/>
          <w:lang w:eastAsia="zh-CN"/>
        </w:rPr>
        <w:t>图像信息存储</w:t>
      </w:r>
      <w:r>
        <w:rPr>
          <w:rFonts w:hint="eastAsia" w:asciiTheme="minorEastAsia" w:hAnsiTheme="minorEastAsia" w:eastAsiaTheme="minorEastAsia"/>
          <w:b/>
          <w:bCs/>
          <w:w w:val="95"/>
          <w:sz w:val="36"/>
          <w:szCs w:val="36"/>
          <w:lang w:val="en-US" w:eastAsia="zh-CN"/>
        </w:rPr>
        <w:t xml:space="preserve"> </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val="en-US" w:eastAsia="zh-CN"/>
        </w:rPr>
      </w:pPr>
      <w:r>
        <w:rPr>
          <w:rFonts w:hint="eastAsia" w:asciiTheme="minorEastAsia" w:hAnsiTheme="minorEastAsia" w:eastAsiaTheme="minorEastAsia"/>
          <w:b/>
          <w:sz w:val="30"/>
          <w:szCs w:val="30"/>
        </w:rPr>
        <w:t>采购人： 乌尔禾区</w:t>
      </w:r>
      <w:r>
        <w:rPr>
          <w:rFonts w:hint="eastAsia" w:asciiTheme="minorEastAsia" w:hAnsiTheme="minorEastAsia" w:eastAsiaTheme="minorEastAsia"/>
          <w:b/>
          <w:sz w:val="30"/>
          <w:szCs w:val="30"/>
          <w:lang w:eastAsia="zh-CN"/>
        </w:rPr>
        <w:t>网信办</w:t>
      </w:r>
    </w:p>
    <w:p>
      <w:pPr>
        <w:overflowPunct w:val="0"/>
        <w:spacing w:line="500" w:lineRule="exact"/>
        <w:ind w:firstLine="1355" w:firstLineChars="45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代理机构：乌尔禾区政府采购中心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cols w:space="720" w:num="1"/>
          <w:docGrid w:linePitch="312" w:charSpace="0"/>
        </w:sectPr>
      </w:pPr>
      <w:r>
        <w:rPr>
          <w:rFonts w:hint="eastAsia" w:asciiTheme="minorEastAsia" w:hAnsiTheme="minorEastAsia" w:eastAsiaTheme="minorEastAsia"/>
          <w:b/>
          <w:sz w:val="30"/>
          <w:szCs w:val="30"/>
        </w:rPr>
        <w:t>2021年</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月</w:t>
      </w:r>
    </w:p>
    <w:sdt>
      <w:sdtPr>
        <w:rPr>
          <w:rFonts w:ascii="宋体" w:hAnsi="宋体" w:eastAsia="宋体"/>
          <w:sz w:val="21"/>
        </w:rPr>
        <w:id w:val="147454196"/>
        <w15:color w:val="DBDBDB"/>
        <w:docPartObj>
          <w:docPartGallery w:val="Table of Contents"/>
          <w:docPartUnique/>
        </w:docPartObj>
      </w:sdtPr>
      <w:sdtEndPr>
        <w:rPr>
          <w:rFonts w:hint="eastAsia" w:ascii="方正小标宋简体" w:hAnsi="Times New Roman" w:eastAsia="方正小标宋简体"/>
          <w:b/>
          <w:sz w:val="26"/>
          <w:szCs w:val="44"/>
        </w:rPr>
      </w:sdtEndPr>
      <w:sdtContent>
        <w:p>
          <w:pPr>
            <w:spacing w:line="240" w:lineRule="auto"/>
            <w:ind w:firstLine="0" w:firstLineChars="0"/>
            <w:jc w:val="center"/>
            <w:rPr>
              <w:sz w:val="36"/>
              <w:szCs w:val="36"/>
            </w:rPr>
          </w:pPr>
          <w:r>
            <w:rPr>
              <w:rFonts w:ascii="宋体" w:hAnsi="宋体" w:eastAsia="宋体"/>
              <w:sz w:val="36"/>
              <w:szCs w:val="36"/>
            </w:rPr>
            <w:t>目录</w:t>
          </w:r>
        </w:p>
        <w:p>
          <w:pPr>
            <w:pStyle w:val="51"/>
            <w:tabs>
              <w:tab w:val="right" w:leader="dot" w:pos="9412"/>
            </w:tabs>
            <w:rPr>
              <w:b/>
            </w:rPr>
          </w:pPr>
          <w:r>
            <w:rPr>
              <w:rFonts w:hint="eastAsia" w:ascii="方正小标宋简体" w:eastAsia="方正小标宋简体"/>
              <w:b/>
              <w:sz w:val="44"/>
              <w:szCs w:val="44"/>
            </w:rPr>
            <w:fldChar w:fldCharType="begin"/>
          </w:r>
          <w:r>
            <w:rPr>
              <w:rFonts w:hint="eastAsia" w:ascii="方正小标宋简体" w:eastAsia="方正小标宋简体"/>
              <w:b/>
              <w:sz w:val="44"/>
              <w:szCs w:val="44"/>
            </w:rPr>
            <w:instrText xml:space="preserve">TOC \o "1-2" \h \u </w:instrText>
          </w:r>
          <w:r>
            <w:rPr>
              <w:rFonts w:hint="eastAsia" w:ascii="方正小标宋简体" w:eastAsia="方正小标宋简体"/>
              <w:b/>
              <w:sz w:val="44"/>
              <w:szCs w:val="44"/>
            </w:rPr>
            <w:fldChar w:fldCharType="separate"/>
          </w:r>
        </w:p>
        <w:p>
          <w:pPr>
            <w:pStyle w:val="51"/>
            <w:tabs>
              <w:tab w:val="right" w:leader="dot" w:pos="9412"/>
            </w:tabs>
            <w:rPr>
              <w:b/>
            </w:rPr>
          </w:pPr>
          <w:r>
            <w:fldChar w:fldCharType="begin"/>
          </w:r>
          <w:r>
            <w:instrText xml:space="preserve"> HYPERLINK \l "_Toc20591" </w:instrText>
          </w:r>
          <w:r>
            <w:fldChar w:fldCharType="separate"/>
          </w:r>
          <w:r>
            <w:rPr>
              <w:rFonts w:hint="eastAsia"/>
              <w:b/>
            </w:rPr>
            <w:t>第一篇  投标邀请书</w:t>
          </w:r>
          <w:r>
            <w:rPr>
              <w:b/>
            </w:rPr>
            <w:tab/>
          </w:r>
          <w:r>
            <w:rPr>
              <w:b/>
            </w:rPr>
            <w:fldChar w:fldCharType="begin"/>
          </w:r>
          <w:r>
            <w:rPr>
              <w:b/>
            </w:rPr>
            <w:instrText xml:space="preserve"> PAGEREF _Toc20591 \h </w:instrText>
          </w:r>
          <w:r>
            <w:rPr>
              <w:b/>
            </w:rPr>
            <w:fldChar w:fldCharType="separate"/>
          </w:r>
          <w:r>
            <w:rPr>
              <w:b/>
            </w:rPr>
            <w:t>4</w:t>
          </w:r>
          <w:r>
            <w:rPr>
              <w:b/>
            </w:rPr>
            <w:fldChar w:fldCharType="end"/>
          </w:r>
          <w:r>
            <w:rPr>
              <w:b/>
            </w:rPr>
            <w:fldChar w:fldCharType="end"/>
          </w:r>
        </w:p>
        <w:p>
          <w:pPr>
            <w:pStyle w:val="52"/>
            <w:tabs>
              <w:tab w:val="right" w:leader="dot" w:pos="9412"/>
            </w:tabs>
            <w:ind w:left="520"/>
          </w:pPr>
          <w:r>
            <w:fldChar w:fldCharType="begin"/>
          </w:r>
          <w:r>
            <w:instrText xml:space="preserve"> HYPERLINK \l "_Toc20116" </w:instrText>
          </w:r>
          <w:r>
            <w:fldChar w:fldCharType="separate"/>
          </w:r>
          <w:r>
            <w:rPr>
              <w:rFonts w:hint="eastAsia"/>
            </w:rPr>
            <w:t>一、招标项目内容</w:t>
          </w:r>
          <w:r>
            <w:tab/>
          </w:r>
          <w:r>
            <w:fldChar w:fldCharType="begin"/>
          </w:r>
          <w:r>
            <w:instrText xml:space="preserve"> PAGEREF _Toc20116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"_Toc4778" </w:instrText>
          </w:r>
          <w:r>
            <w:fldChar w:fldCharType="separate"/>
          </w:r>
          <w:r>
            <w:rPr>
              <w:rFonts w:hint="eastAsia"/>
            </w:rPr>
            <w:t>二、资金来源</w:t>
          </w:r>
          <w:r>
            <w:tab/>
          </w:r>
          <w:r>
            <w:fldChar w:fldCharType="begin"/>
          </w:r>
          <w:r>
            <w:instrText xml:space="preserve"> PAGEREF _Toc4778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"_Toc30984" </w:instrText>
          </w:r>
          <w:r>
            <w:fldChar w:fldCharType="separate"/>
          </w:r>
          <w:r>
            <w:rPr>
              <w:rFonts w:hint="eastAsia"/>
            </w:rPr>
            <w:t>三、 投标人资格要求</w:t>
          </w:r>
          <w:r>
            <w:tab/>
          </w:r>
          <w:r>
            <w:fldChar w:fldCharType="begin"/>
          </w:r>
          <w:r>
            <w:instrText xml:space="preserve"> PAGEREF _Toc30984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"_Toc9090" </w:instrText>
          </w:r>
          <w:r>
            <w:fldChar w:fldCharType="separate"/>
          </w:r>
          <w:r>
            <w:rPr>
              <w:rFonts w:hint="eastAsia"/>
            </w:rPr>
            <w:t>四、投标、开标有关说明</w:t>
          </w:r>
          <w:r>
            <w:tab/>
          </w:r>
          <w:r>
            <w:fldChar w:fldCharType="begin"/>
          </w:r>
          <w:r>
            <w:instrText xml:space="preserve"> PAGEREF _Toc9090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"_Toc27400" </w:instrText>
          </w:r>
          <w:r>
            <w:fldChar w:fldCharType="separate"/>
          </w:r>
          <w:r>
            <w:rPr>
              <w:rFonts w:hint="eastAsia"/>
            </w:rPr>
            <w:t>五、投标有关规定</w:t>
          </w:r>
          <w:r>
            <w:tab/>
          </w:r>
          <w:r>
            <w:fldChar w:fldCharType="begin"/>
          </w:r>
          <w:r>
            <w:instrText xml:space="preserve"> PAGEREF _Toc27400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"_Toc24715" </w:instrText>
          </w:r>
          <w:r>
            <w:fldChar w:fldCharType="separate"/>
          </w:r>
          <w:r>
            <w:rPr>
              <w:rFonts w:hint="eastAsia"/>
            </w:rPr>
            <w:t>六</w:t>
          </w:r>
          <w:r>
            <w:t>、</w:t>
          </w:r>
          <w:r>
            <w:rPr>
              <w:rFonts w:hint="eastAsia"/>
            </w:rPr>
            <w:t>采购项目需落实的政府采购政策</w:t>
          </w:r>
          <w:r>
            <w:tab/>
          </w:r>
          <w:r>
            <w:fldChar w:fldCharType="begin"/>
          </w:r>
          <w:r>
            <w:instrText xml:space="preserve"> PAGEREF _Toc24715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"_Toc30960" </w:instrText>
          </w:r>
          <w:r>
            <w:fldChar w:fldCharType="separate"/>
          </w:r>
          <w:r>
            <w:rPr>
              <w:rFonts w:hint="eastAsia"/>
            </w:rPr>
            <w:t>七</w:t>
          </w:r>
          <w:r>
            <w:t>、</w:t>
          </w:r>
          <w:r>
            <w:rPr>
              <w:rFonts w:hint="eastAsia"/>
            </w:rPr>
            <w:t>标前答疑</w:t>
          </w:r>
          <w:r>
            <w:tab/>
          </w:r>
          <w:r>
            <w:fldChar w:fldCharType="begin"/>
          </w:r>
          <w:r>
            <w:instrText xml:space="preserve"> PAGEREF _Toc30960 \h </w:instrText>
          </w:r>
          <w:r>
            <w:fldChar w:fldCharType="separate"/>
          </w:r>
          <w:r>
            <w:t>6</w:t>
          </w:r>
          <w:r>
            <w:fldChar w:fldCharType="end"/>
          </w:r>
          <w:r>
            <w:fldChar w:fldCharType="end"/>
          </w:r>
        </w:p>
        <w:p>
          <w:pPr>
            <w:pStyle w:val="52"/>
            <w:tabs>
              <w:tab w:val="right" w:leader="dot" w:pos="9412"/>
            </w:tabs>
            <w:ind w:left="520"/>
          </w:pPr>
          <w:r>
            <w:fldChar w:fldCharType="begin"/>
          </w:r>
          <w:r>
            <w:instrText xml:space="preserve"> HYPERLINK \l "_Toc28002" </w:instrText>
          </w:r>
          <w:r>
            <w:fldChar w:fldCharType="separate"/>
          </w:r>
          <w:r>
            <w:rPr>
              <w:rFonts w:hint="eastAsia"/>
            </w:rPr>
            <w:t>八、联系方式</w:t>
          </w:r>
          <w:r>
            <w:tab/>
          </w:r>
          <w:r>
            <w:fldChar w:fldCharType="begin"/>
          </w:r>
          <w:r>
            <w:instrText xml:space="preserve"> PAGEREF _Toc28002 \h </w:instrText>
          </w:r>
          <w:r>
            <w:fldChar w:fldCharType="separate"/>
          </w:r>
          <w:r>
            <w:t>6</w:t>
          </w:r>
          <w:r>
            <w:fldChar w:fldCharType="end"/>
          </w:r>
          <w:r>
            <w:fldChar w:fldCharType="end"/>
          </w:r>
        </w:p>
        <w:p>
          <w:pPr>
            <w:pStyle w:val="51"/>
            <w:tabs>
              <w:tab w:val="right" w:leader="dot" w:pos="9412"/>
            </w:tabs>
            <w:rPr>
              <w:b/>
            </w:rPr>
          </w:pPr>
          <w:r>
            <w:fldChar w:fldCharType="begin"/>
          </w:r>
          <w:r>
            <w:instrText xml:space="preserve"> HYPERLINK \l "_Toc7638" </w:instrText>
          </w:r>
          <w:r>
            <w:fldChar w:fldCharType="separate"/>
          </w:r>
          <w:r>
            <w:rPr>
              <w:rFonts w:hint="eastAsia"/>
              <w:b/>
            </w:rPr>
            <w:t>第二篇  服务要求</w:t>
          </w:r>
          <w:r>
            <w:rPr>
              <w:b/>
            </w:rPr>
            <w:tab/>
          </w:r>
          <w:r>
            <w:rPr>
              <w:b/>
            </w:rPr>
            <w:fldChar w:fldCharType="begin"/>
          </w:r>
          <w:r>
            <w:rPr>
              <w:b/>
            </w:rPr>
            <w:instrText xml:space="preserve"> PAGEREF _Toc7638 \h </w:instrText>
          </w:r>
          <w:r>
            <w:rPr>
              <w:b/>
            </w:rPr>
            <w:fldChar w:fldCharType="separate"/>
          </w:r>
          <w:r>
            <w:rPr>
              <w:b/>
            </w:rPr>
            <w:t>7</w:t>
          </w:r>
          <w:r>
            <w:rPr>
              <w:b/>
            </w:rPr>
            <w:fldChar w:fldCharType="end"/>
          </w:r>
          <w:r>
            <w:rPr>
              <w:b/>
            </w:rPr>
            <w:fldChar w:fldCharType="end"/>
          </w:r>
        </w:p>
        <w:p>
          <w:pPr>
            <w:pStyle w:val="52"/>
            <w:tabs>
              <w:tab w:val="right" w:leader="dot" w:pos="9412"/>
            </w:tabs>
            <w:ind w:left="520"/>
          </w:pPr>
          <w:r>
            <w:fldChar w:fldCharType="begin"/>
          </w:r>
          <w:r>
            <w:instrText xml:space="preserve"> HYPERLINK \l "_Toc20236" </w:instrText>
          </w:r>
          <w:r>
            <w:fldChar w:fldCharType="separate"/>
          </w:r>
          <w:r>
            <w:rPr>
              <w:rFonts w:hint="eastAsia"/>
              <w:szCs w:val="28"/>
            </w:rPr>
            <w:t>一、项目概况</w:t>
          </w:r>
          <w:r>
            <w:tab/>
          </w:r>
          <w:r>
            <w:fldChar w:fldCharType="begin"/>
          </w:r>
          <w:r>
            <w:instrText xml:space="preserve"> PAGEREF _Toc20236 \h </w:instrText>
          </w:r>
          <w:r>
            <w:fldChar w:fldCharType="separate"/>
          </w:r>
          <w:r>
            <w:t>7</w:t>
          </w:r>
          <w:r>
            <w:fldChar w:fldCharType="end"/>
          </w:r>
          <w:r>
            <w:fldChar w:fldCharType="end"/>
          </w:r>
        </w:p>
        <w:p>
          <w:pPr>
            <w:pStyle w:val="52"/>
            <w:tabs>
              <w:tab w:val="right" w:leader="dot" w:pos="9412"/>
            </w:tabs>
            <w:ind w:left="520"/>
          </w:pPr>
          <w:r>
            <w:fldChar w:fldCharType="begin"/>
          </w:r>
          <w:r>
            <w:instrText xml:space="preserve"> HYPERLINK \l "_Toc28648" </w:instrText>
          </w:r>
          <w:r>
            <w:fldChar w:fldCharType="separate"/>
          </w:r>
          <w:r>
            <w:rPr>
              <w:rFonts w:hint="eastAsia"/>
              <w:szCs w:val="28"/>
            </w:rPr>
            <w:t>二、具体要求</w:t>
          </w:r>
          <w:r>
            <w:tab/>
          </w:r>
          <w:r>
            <w:fldChar w:fldCharType="begin"/>
          </w:r>
          <w:r>
            <w:instrText xml:space="preserve"> PAGEREF _Toc28648 \h </w:instrText>
          </w:r>
          <w:r>
            <w:fldChar w:fldCharType="separate"/>
          </w:r>
          <w:r>
            <w:t>7</w:t>
          </w:r>
          <w:r>
            <w:fldChar w:fldCharType="end"/>
          </w:r>
          <w:r>
            <w:fldChar w:fldCharType="end"/>
          </w:r>
        </w:p>
        <w:p>
          <w:pPr>
            <w:pStyle w:val="51"/>
            <w:tabs>
              <w:tab w:val="right" w:leader="dot" w:pos="9412"/>
            </w:tabs>
            <w:rPr>
              <w:b/>
            </w:rPr>
          </w:pPr>
          <w:r>
            <w:fldChar w:fldCharType="begin"/>
          </w:r>
          <w:r>
            <w:instrText xml:space="preserve"> HYPERLINK \l "_Toc15183" </w:instrText>
          </w:r>
          <w:r>
            <w:fldChar w:fldCharType="separate"/>
          </w:r>
          <w:r>
            <w:rPr>
              <w:rFonts w:hint="eastAsia"/>
              <w:b/>
            </w:rPr>
            <w:t>第三篇  项目商务要求</w:t>
          </w:r>
          <w:r>
            <w:rPr>
              <w:b/>
            </w:rPr>
            <w:tab/>
          </w:r>
          <w:r>
            <w:rPr>
              <w:b/>
            </w:rPr>
            <w:fldChar w:fldCharType="begin"/>
          </w:r>
          <w:r>
            <w:rPr>
              <w:b/>
            </w:rPr>
            <w:instrText xml:space="preserve"> PAGEREF _Toc15183 \h </w:instrText>
          </w:r>
          <w:r>
            <w:rPr>
              <w:b/>
            </w:rPr>
            <w:fldChar w:fldCharType="separate"/>
          </w:r>
          <w:r>
            <w:rPr>
              <w:b/>
            </w:rPr>
            <w:t>8</w:t>
          </w:r>
          <w:r>
            <w:rPr>
              <w:b/>
            </w:rPr>
            <w:fldChar w:fldCharType="end"/>
          </w:r>
          <w:r>
            <w:rPr>
              <w:b/>
            </w:rPr>
            <w:fldChar w:fldCharType="end"/>
          </w:r>
        </w:p>
        <w:p>
          <w:pPr>
            <w:pStyle w:val="52"/>
            <w:tabs>
              <w:tab w:val="right" w:leader="dot" w:pos="9412"/>
            </w:tabs>
            <w:ind w:left="520"/>
          </w:pPr>
          <w:r>
            <w:fldChar w:fldCharType="begin"/>
          </w:r>
          <w:r>
            <w:instrText xml:space="preserve"> HYPERLINK \l "_Toc11478" </w:instrText>
          </w:r>
          <w:r>
            <w:fldChar w:fldCharType="separate"/>
          </w:r>
          <w:r>
            <w:rPr>
              <w:rFonts w:hint="eastAsia"/>
            </w:rPr>
            <w:t>一、交货期、地点、验收方式</w:t>
          </w:r>
          <w:r>
            <w:tab/>
          </w:r>
          <w:r>
            <w:fldChar w:fldCharType="begin"/>
          </w:r>
          <w:r>
            <w:instrText xml:space="preserve"> PAGEREF _Toc11478 \h </w:instrText>
          </w:r>
          <w:r>
            <w:fldChar w:fldCharType="separate"/>
          </w:r>
          <w:r>
            <w:t>8</w:t>
          </w:r>
          <w:r>
            <w:fldChar w:fldCharType="end"/>
          </w:r>
          <w:r>
            <w:fldChar w:fldCharType="end"/>
          </w:r>
        </w:p>
        <w:p>
          <w:pPr>
            <w:pStyle w:val="52"/>
            <w:tabs>
              <w:tab w:val="right" w:leader="dot" w:pos="9412"/>
            </w:tabs>
            <w:ind w:left="520"/>
          </w:pPr>
          <w:r>
            <w:fldChar w:fldCharType="begin"/>
          </w:r>
          <w:r>
            <w:instrText xml:space="preserve"> HYPERLINK \l "_Toc1019" </w:instrText>
          </w:r>
          <w:r>
            <w:fldChar w:fldCharType="separate"/>
          </w:r>
          <w:r>
            <w:rPr>
              <w:rFonts w:hint="eastAsia"/>
            </w:rPr>
            <w:t>二、报价要求</w:t>
          </w:r>
          <w:r>
            <w:tab/>
          </w:r>
          <w:r>
            <w:fldChar w:fldCharType="begin"/>
          </w:r>
          <w:r>
            <w:instrText xml:space="preserve"> PAGEREF _Toc1019 \h </w:instrText>
          </w:r>
          <w:r>
            <w:fldChar w:fldCharType="separate"/>
          </w:r>
          <w:r>
            <w:t>9</w:t>
          </w:r>
          <w:r>
            <w:fldChar w:fldCharType="end"/>
          </w:r>
          <w:r>
            <w:fldChar w:fldCharType="end"/>
          </w:r>
        </w:p>
        <w:p>
          <w:pPr>
            <w:pStyle w:val="52"/>
            <w:tabs>
              <w:tab w:val="right" w:leader="dot" w:pos="9412"/>
            </w:tabs>
            <w:ind w:left="520"/>
          </w:pPr>
          <w:r>
            <w:fldChar w:fldCharType="begin"/>
          </w:r>
          <w:r>
            <w:instrText xml:space="preserve"> HYPERLINK \l "_Toc18064" </w:instrText>
          </w:r>
          <w:r>
            <w:fldChar w:fldCharType="separate"/>
          </w:r>
          <w:r>
            <w:rPr>
              <w:rFonts w:hint="eastAsia"/>
            </w:rPr>
            <w:t>三、质量保证及售后服务</w:t>
          </w:r>
          <w:r>
            <w:tab/>
          </w:r>
          <w:r>
            <w:fldChar w:fldCharType="begin"/>
          </w:r>
          <w:r>
            <w:instrText xml:space="preserve"> PAGEREF _Toc18064 \h </w:instrText>
          </w:r>
          <w:r>
            <w:fldChar w:fldCharType="separate"/>
          </w:r>
          <w:r>
            <w:t>9</w:t>
          </w:r>
          <w:r>
            <w:fldChar w:fldCharType="end"/>
          </w:r>
          <w:r>
            <w:fldChar w:fldCharType="end"/>
          </w:r>
        </w:p>
        <w:p>
          <w:pPr>
            <w:pStyle w:val="52"/>
            <w:tabs>
              <w:tab w:val="right" w:leader="dot" w:pos="9412"/>
            </w:tabs>
            <w:ind w:left="520"/>
          </w:pPr>
          <w:r>
            <w:fldChar w:fldCharType="begin"/>
          </w:r>
          <w:r>
            <w:instrText xml:space="preserve"> HYPERLINK \l "_Toc1330" </w:instrText>
          </w:r>
          <w:r>
            <w:fldChar w:fldCharType="separate"/>
          </w:r>
          <w:r>
            <w:rPr>
              <w:rFonts w:hint="eastAsia"/>
            </w:rPr>
            <w:t>四、 履约保证金（无）</w:t>
          </w:r>
          <w:r>
            <w:tab/>
          </w:r>
          <w:r>
            <w:fldChar w:fldCharType="begin"/>
          </w:r>
          <w:r>
            <w:instrText xml:space="preserve"> PAGEREF _Toc1330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"_Toc23258" </w:instrText>
          </w:r>
          <w:r>
            <w:fldChar w:fldCharType="separate"/>
          </w:r>
          <w:r>
            <w:rPr>
              <w:rFonts w:hint="eastAsia"/>
            </w:rPr>
            <w:t>五、付款方式</w:t>
          </w:r>
          <w:r>
            <w:tab/>
          </w:r>
          <w:r>
            <w:fldChar w:fldCharType="begin"/>
          </w:r>
          <w:r>
            <w:instrText xml:space="preserve"> PAGEREF _Toc23258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"_Toc30509" </w:instrText>
          </w:r>
          <w:r>
            <w:fldChar w:fldCharType="separate"/>
          </w:r>
          <w:r>
            <w:rPr>
              <w:rFonts w:hint="eastAsia"/>
            </w:rPr>
            <w:t>六、知识产权</w:t>
          </w:r>
          <w:r>
            <w:tab/>
          </w:r>
          <w:r>
            <w:fldChar w:fldCharType="begin"/>
          </w:r>
          <w:r>
            <w:instrText xml:space="preserve"> PAGEREF _Toc30509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"_Toc5245" </w:instrText>
          </w:r>
          <w:r>
            <w:fldChar w:fldCharType="separate"/>
          </w:r>
          <w:r>
            <w:rPr>
              <w:rFonts w:hint="eastAsia"/>
            </w:rPr>
            <w:t>七、其他</w:t>
          </w:r>
          <w:r>
            <w:tab/>
          </w:r>
          <w:r>
            <w:fldChar w:fldCharType="begin"/>
          </w:r>
          <w:r>
            <w:instrText xml:space="preserve"> PAGEREF _Toc5245 \h </w:instrText>
          </w:r>
          <w:r>
            <w:fldChar w:fldCharType="separate"/>
          </w:r>
          <w:r>
            <w:t>10</w:t>
          </w:r>
          <w:r>
            <w:fldChar w:fldCharType="end"/>
          </w:r>
          <w:r>
            <w:fldChar w:fldCharType="end"/>
          </w:r>
        </w:p>
        <w:p>
          <w:pPr>
            <w:pStyle w:val="51"/>
            <w:tabs>
              <w:tab w:val="right" w:leader="dot" w:pos="9412"/>
            </w:tabs>
            <w:rPr>
              <w:b/>
            </w:rPr>
          </w:pPr>
          <w:r>
            <w:fldChar w:fldCharType="begin"/>
          </w:r>
          <w:r>
            <w:instrText xml:space="preserve"> HYPERLINK \l "_Toc18210" </w:instrText>
          </w:r>
          <w:r>
            <w:fldChar w:fldCharType="separate"/>
          </w:r>
          <w:r>
            <w:rPr>
              <w:rFonts w:hint="eastAsia"/>
              <w:b/>
            </w:rPr>
            <w:t>第四篇  评标方法、评标标准、无效投标条款和废标条款</w:t>
          </w:r>
          <w:r>
            <w:rPr>
              <w:b/>
            </w:rPr>
            <w:tab/>
          </w:r>
          <w:r>
            <w:rPr>
              <w:b/>
            </w:rPr>
            <w:fldChar w:fldCharType="begin"/>
          </w:r>
          <w:r>
            <w:rPr>
              <w:b/>
            </w:rPr>
            <w:instrText xml:space="preserve"> PAGEREF _Toc18210 \h </w:instrText>
          </w:r>
          <w:r>
            <w:rPr>
              <w:b/>
            </w:rPr>
            <w:fldChar w:fldCharType="separate"/>
          </w:r>
          <w:r>
            <w:rPr>
              <w:b/>
            </w:rPr>
            <w:t>11</w:t>
          </w:r>
          <w:r>
            <w:rPr>
              <w:b/>
            </w:rPr>
            <w:fldChar w:fldCharType="end"/>
          </w:r>
          <w:r>
            <w:rPr>
              <w:b/>
            </w:rPr>
            <w:fldChar w:fldCharType="end"/>
          </w:r>
        </w:p>
        <w:p>
          <w:pPr>
            <w:pStyle w:val="52"/>
            <w:tabs>
              <w:tab w:val="right" w:leader="dot" w:pos="9412"/>
            </w:tabs>
            <w:ind w:left="520"/>
          </w:pPr>
          <w:r>
            <w:fldChar w:fldCharType="begin"/>
          </w:r>
          <w:r>
            <w:instrText xml:space="preserve"> HYPERLINK \l "_Toc11049" </w:instrText>
          </w:r>
          <w:r>
            <w:fldChar w:fldCharType="separate"/>
          </w:r>
          <w:r>
            <w:rPr>
              <w:rFonts w:hint="eastAsia"/>
            </w:rPr>
            <w:t>一、评标方法</w:t>
          </w:r>
          <w:r>
            <w:tab/>
          </w:r>
          <w:r>
            <w:fldChar w:fldCharType="begin"/>
          </w:r>
          <w:r>
            <w:instrText xml:space="preserve"> PAGEREF _Toc11049 \h </w:instrText>
          </w:r>
          <w:r>
            <w:fldChar w:fldCharType="separate"/>
          </w:r>
          <w:r>
            <w:t>11</w:t>
          </w:r>
          <w:r>
            <w:fldChar w:fldCharType="end"/>
          </w:r>
          <w:r>
            <w:fldChar w:fldCharType="end"/>
          </w:r>
        </w:p>
        <w:p>
          <w:pPr>
            <w:pStyle w:val="52"/>
            <w:tabs>
              <w:tab w:val="right" w:leader="dot" w:pos="9412"/>
            </w:tabs>
            <w:ind w:left="520"/>
          </w:pPr>
          <w:r>
            <w:fldChar w:fldCharType="begin"/>
          </w:r>
          <w:r>
            <w:instrText xml:space="preserve"> HYPERLINK \l "_Toc30753" </w:instrText>
          </w:r>
          <w:r>
            <w:fldChar w:fldCharType="separate"/>
          </w:r>
          <w:r>
            <w:rPr>
              <w:rFonts w:hint="eastAsia"/>
            </w:rPr>
            <w:t>二、评标标准</w:t>
          </w:r>
          <w:r>
            <w:tab/>
          </w:r>
          <w:r>
            <w:fldChar w:fldCharType="begin"/>
          </w:r>
          <w:r>
            <w:instrText xml:space="preserve"> PAGEREF _Toc30753 \h </w:instrText>
          </w:r>
          <w:r>
            <w:fldChar w:fldCharType="separate"/>
          </w:r>
          <w:r>
            <w:t>12</w:t>
          </w:r>
          <w:r>
            <w:fldChar w:fldCharType="end"/>
          </w:r>
          <w:r>
            <w:fldChar w:fldCharType="end"/>
          </w:r>
        </w:p>
        <w:p>
          <w:pPr>
            <w:pStyle w:val="52"/>
            <w:tabs>
              <w:tab w:val="right" w:leader="dot" w:pos="9412"/>
            </w:tabs>
            <w:ind w:left="520"/>
          </w:pPr>
          <w:r>
            <w:fldChar w:fldCharType="begin"/>
          </w:r>
          <w:r>
            <w:instrText xml:space="preserve"> HYPERLINK \l "_Toc8003" </w:instrText>
          </w:r>
          <w:r>
            <w:fldChar w:fldCharType="separate"/>
          </w:r>
          <w:r>
            <w:rPr>
              <w:rFonts w:hint="eastAsia"/>
            </w:rPr>
            <w:t>三、无效投标条款</w:t>
          </w:r>
          <w:r>
            <w:tab/>
          </w:r>
          <w:r>
            <w:fldChar w:fldCharType="begin"/>
          </w:r>
          <w:r>
            <w:instrText xml:space="preserve"> PAGEREF _Toc8003 \h </w:instrText>
          </w:r>
          <w:r>
            <w:fldChar w:fldCharType="separate"/>
          </w:r>
          <w:r>
            <w:t>14</w:t>
          </w:r>
          <w:r>
            <w:fldChar w:fldCharType="end"/>
          </w:r>
          <w:r>
            <w:fldChar w:fldCharType="end"/>
          </w:r>
        </w:p>
        <w:p>
          <w:pPr>
            <w:pStyle w:val="52"/>
            <w:tabs>
              <w:tab w:val="right" w:leader="dot" w:pos="9412"/>
            </w:tabs>
            <w:ind w:left="520"/>
          </w:pPr>
          <w:r>
            <w:fldChar w:fldCharType="begin"/>
          </w:r>
          <w:r>
            <w:instrText xml:space="preserve"> HYPERLINK \l "_Toc21548" </w:instrText>
          </w:r>
          <w:r>
            <w:fldChar w:fldCharType="separate"/>
          </w:r>
          <w:r>
            <w:rPr>
              <w:rFonts w:hint="eastAsia"/>
            </w:rPr>
            <w:t>四、废标条款</w:t>
          </w:r>
          <w:r>
            <w:tab/>
          </w:r>
          <w:r>
            <w:fldChar w:fldCharType="begin"/>
          </w:r>
          <w:r>
            <w:instrText xml:space="preserve"> PAGEREF _Toc21548 \h </w:instrText>
          </w:r>
          <w:r>
            <w:fldChar w:fldCharType="separate"/>
          </w:r>
          <w:r>
            <w:t>14</w:t>
          </w:r>
          <w:r>
            <w:fldChar w:fldCharType="end"/>
          </w:r>
          <w:r>
            <w:fldChar w:fldCharType="end"/>
          </w:r>
        </w:p>
        <w:p>
          <w:pPr>
            <w:pStyle w:val="51"/>
            <w:tabs>
              <w:tab w:val="right" w:leader="dot" w:pos="9412"/>
            </w:tabs>
            <w:rPr>
              <w:b/>
            </w:rPr>
          </w:pPr>
          <w:r>
            <w:fldChar w:fldCharType="begin"/>
          </w:r>
          <w:r>
            <w:instrText xml:space="preserve"> HYPERLINK \l "_Toc31023" </w:instrText>
          </w:r>
          <w:r>
            <w:fldChar w:fldCharType="separate"/>
          </w:r>
          <w:r>
            <w:rPr>
              <w:rFonts w:hint="eastAsia"/>
              <w:b/>
            </w:rPr>
            <w:t>第五篇  投标人须知</w:t>
          </w:r>
          <w:r>
            <w:rPr>
              <w:b/>
            </w:rPr>
            <w:tab/>
          </w:r>
          <w:r>
            <w:rPr>
              <w:b/>
            </w:rPr>
            <w:fldChar w:fldCharType="begin"/>
          </w:r>
          <w:r>
            <w:rPr>
              <w:b/>
            </w:rPr>
            <w:instrText xml:space="preserve"> PAGEREF _Toc31023 \h </w:instrText>
          </w:r>
          <w:r>
            <w:rPr>
              <w:b/>
            </w:rPr>
            <w:fldChar w:fldCharType="separate"/>
          </w:r>
          <w:r>
            <w:rPr>
              <w:b/>
            </w:rPr>
            <w:t>15</w:t>
          </w:r>
          <w:r>
            <w:rPr>
              <w:b/>
            </w:rPr>
            <w:fldChar w:fldCharType="end"/>
          </w:r>
          <w:r>
            <w:rPr>
              <w:b/>
            </w:rPr>
            <w:fldChar w:fldCharType="end"/>
          </w:r>
        </w:p>
        <w:p>
          <w:pPr>
            <w:pStyle w:val="52"/>
            <w:tabs>
              <w:tab w:val="right" w:leader="dot" w:pos="9412"/>
            </w:tabs>
            <w:ind w:left="520"/>
          </w:pPr>
          <w:r>
            <w:fldChar w:fldCharType="begin"/>
          </w:r>
          <w:r>
            <w:instrText xml:space="preserve"> HYPERLINK \l "_Toc14048" </w:instrText>
          </w:r>
          <w:r>
            <w:fldChar w:fldCharType="separate"/>
          </w:r>
          <w:r>
            <w:rPr>
              <w:rFonts w:hint="eastAsia"/>
            </w:rPr>
            <w:t>一、投标人</w:t>
          </w:r>
          <w:r>
            <w:tab/>
          </w:r>
          <w:r>
            <w:fldChar w:fldCharType="begin"/>
          </w:r>
          <w:r>
            <w:instrText xml:space="preserve"> PAGEREF _Toc14048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"_Toc20435" </w:instrText>
          </w:r>
          <w:r>
            <w:fldChar w:fldCharType="separate"/>
          </w:r>
          <w:r>
            <w:rPr>
              <w:rFonts w:hint="eastAsia"/>
            </w:rPr>
            <w:t>二、招标文件</w:t>
          </w:r>
          <w:r>
            <w:tab/>
          </w:r>
          <w:r>
            <w:fldChar w:fldCharType="begin"/>
          </w:r>
          <w:r>
            <w:instrText xml:space="preserve"> PAGEREF _Toc20435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"_Toc18004" </w:instrText>
          </w:r>
          <w:r>
            <w:fldChar w:fldCharType="separate"/>
          </w:r>
          <w:r>
            <w:rPr>
              <w:rFonts w:hint="eastAsia"/>
            </w:rPr>
            <w:t>三、投标文件</w:t>
          </w:r>
          <w:r>
            <w:tab/>
          </w:r>
          <w:r>
            <w:fldChar w:fldCharType="begin"/>
          </w:r>
          <w:r>
            <w:instrText xml:space="preserve"> PAGEREF _Toc18004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"_Toc14450" </w:instrText>
          </w:r>
          <w:r>
            <w:fldChar w:fldCharType="separate"/>
          </w:r>
          <w:r>
            <w:rPr>
              <w:rFonts w:hint="eastAsia"/>
            </w:rPr>
            <w:t>四、开标</w:t>
          </w:r>
          <w:r>
            <w:tab/>
          </w:r>
          <w:r>
            <w:fldChar w:fldCharType="begin"/>
          </w:r>
          <w:r>
            <w:instrText xml:space="preserve"> PAGEREF _Toc14450 \h </w:instrText>
          </w:r>
          <w:r>
            <w:fldChar w:fldCharType="separate"/>
          </w:r>
          <w:r>
            <w:t>17</w:t>
          </w:r>
          <w:r>
            <w:fldChar w:fldCharType="end"/>
          </w:r>
          <w:r>
            <w:fldChar w:fldCharType="end"/>
          </w:r>
        </w:p>
        <w:p>
          <w:pPr>
            <w:pStyle w:val="52"/>
            <w:tabs>
              <w:tab w:val="right" w:leader="dot" w:pos="9412"/>
            </w:tabs>
            <w:ind w:left="520"/>
          </w:pPr>
          <w:r>
            <w:fldChar w:fldCharType="begin"/>
          </w:r>
          <w:r>
            <w:instrText xml:space="preserve"> HYPERLINK \l "_Toc21543" </w:instrText>
          </w:r>
          <w:r>
            <w:fldChar w:fldCharType="separate"/>
          </w:r>
          <w:r>
            <w:rPr>
              <w:rFonts w:hint="eastAsia"/>
            </w:rPr>
            <w:t>五、评标</w:t>
          </w:r>
          <w:r>
            <w:tab/>
          </w:r>
          <w:r>
            <w:fldChar w:fldCharType="begin"/>
          </w:r>
          <w:r>
            <w:instrText xml:space="preserve"> PAGEREF _Toc21543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"_Toc4616" </w:instrText>
          </w:r>
          <w:r>
            <w:fldChar w:fldCharType="separate"/>
          </w:r>
          <w:r>
            <w:rPr>
              <w:rFonts w:hint="eastAsia"/>
            </w:rPr>
            <w:t>六、定标</w:t>
          </w:r>
          <w:r>
            <w:tab/>
          </w:r>
          <w:r>
            <w:fldChar w:fldCharType="begin"/>
          </w:r>
          <w:r>
            <w:instrText xml:space="preserve"> PAGEREF _Toc4616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"_Toc12247" </w:instrText>
          </w:r>
          <w:r>
            <w:fldChar w:fldCharType="separate"/>
          </w:r>
          <w:r>
            <w:rPr>
              <w:rFonts w:hint="eastAsia"/>
            </w:rPr>
            <w:t>七、中标通知书</w:t>
          </w:r>
          <w:r>
            <w:tab/>
          </w:r>
          <w:r>
            <w:fldChar w:fldCharType="begin"/>
          </w:r>
          <w:r>
            <w:instrText xml:space="preserve"> PAGEREF _Toc12247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"_Toc28872" </w:instrText>
          </w:r>
          <w:r>
            <w:fldChar w:fldCharType="separate"/>
          </w:r>
          <w:r>
            <w:rPr>
              <w:rFonts w:hint="eastAsia"/>
            </w:rPr>
            <w:t>八、关于质疑和投诉</w:t>
          </w:r>
          <w:r>
            <w:tab/>
          </w:r>
          <w:r>
            <w:fldChar w:fldCharType="begin"/>
          </w:r>
          <w:r>
            <w:instrText xml:space="preserve"> PAGEREF _Toc28872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"_Toc15560" </w:instrText>
          </w:r>
          <w:r>
            <w:fldChar w:fldCharType="separate"/>
          </w:r>
          <w:r>
            <w:rPr>
              <w:rFonts w:hint="eastAsia"/>
            </w:rPr>
            <w:t>九、签订合同</w:t>
          </w:r>
          <w:r>
            <w:tab/>
          </w:r>
          <w:r>
            <w:fldChar w:fldCharType="begin"/>
          </w:r>
          <w:r>
            <w:instrText xml:space="preserve"> PAGEREF _Toc15560 \h </w:instrText>
          </w:r>
          <w:r>
            <w:fldChar w:fldCharType="separate"/>
          </w:r>
          <w:r>
            <w:t>20</w:t>
          </w:r>
          <w:r>
            <w:fldChar w:fldCharType="end"/>
          </w:r>
          <w:r>
            <w:fldChar w:fldCharType="end"/>
          </w:r>
        </w:p>
        <w:p>
          <w:pPr>
            <w:pStyle w:val="51"/>
            <w:tabs>
              <w:tab w:val="right" w:leader="dot" w:pos="9412"/>
            </w:tabs>
            <w:rPr>
              <w:b/>
            </w:rPr>
          </w:pPr>
          <w:r>
            <w:fldChar w:fldCharType="begin"/>
          </w:r>
          <w:r>
            <w:instrText xml:space="preserve"> HYPERLINK \l "_Toc21116" </w:instrText>
          </w:r>
          <w:r>
            <w:fldChar w:fldCharType="separate"/>
          </w:r>
          <w:r>
            <w:rPr>
              <w:rFonts w:hint="eastAsia"/>
              <w:b/>
            </w:rPr>
            <w:t>第六篇  合同主要条款和格式合同</w:t>
          </w:r>
          <w:r>
            <w:rPr>
              <w:b/>
            </w:rPr>
            <w:tab/>
          </w:r>
          <w:r>
            <w:rPr>
              <w:b/>
            </w:rPr>
            <w:fldChar w:fldCharType="begin"/>
          </w:r>
          <w:r>
            <w:rPr>
              <w:b/>
            </w:rPr>
            <w:instrText xml:space="preserve"> PAGEREF _Toc21116 \h </w:instrText>
          </w:r>
          <w:r>
            <w:rPr>
              <w:b/>
            </w:rPr>
            <w:fldChar w:fldCharType="separate"/>
          </w:r>
          <w:r>
            <w:rPr>
              <w:b/>
            </w:rPr>
            <w:t>22</w:t>
          </w:r>
          <w:r>
            <w:rPr>
              <w:b/>
            </w:rPr>
            <w:fldChar w:fldCharType="end"/>
          </w:r>
          <w:r>
            <w:rPr>
              <w:b/>
            </w:rPr>
            <w:fldChar w:fldCharType="end"/>
          </w:r>
        </w:p>
        <w:p>
          <w:pPr>
            <w:pStyle w:val="52"/>
            <w:tabs>
              <w:tab w:val="right" w:leader="dot" w:pos="9412"/>
            </w:tabs>
            <w:ind w:left="520"/>
          </w:pPr>
          <w:r>
            <w:fldChar w:fldCharType="begin"/>
          </w:r>
          <w:r>
            <w:instrText xml:space="preserve"> HYPERLINK \l "_Toc29107" </w:instrText>
          </w:r>
          <w:r>
            <w:fldChar w:fldCharType="separate"/>
          </w:r>
          <w:r>
            <w:rPr>
              <w:rFonts w:hint="eastAsia"/>
              <w:szCs w:val="32"/>
            </w:rPr>
            <w:t>一、合同主要条款</w:t>
          </w:r>
          <w:r>
            <w:tab/>
          </w:r>
          <w:r>
            <w:fldChar w:fldCharType="begin"/>
          </w:r>
          <w:r>
            <w:instrText xml:space="preserve"> PAGEREF _Toc29107 \h </w:instrText>
          </w:r>
          <w:r>
            <w:fldChar w:fldCharType="separate"/>
          </w:r>
          <w:r>
            <w:t>22</w:t>
          </w:r>
          <w:r>
            <w:fldChar w:fldCharType="end"/>
          </w:r>
          <w:r>
            <w:fldChar w:fldCharType="end"/>
          </w:r>
        </w:p>
        <w:p>
          <w:pPr>
            <w:pStyle w:val="52"/>
            <w:tabs>
              <w:tab w:val="right" w:leader="dot" w:pos="9412"/>
            </w:tabs>
            <w:ind w:left="520"/>
          </w:pPr>
          <w:r>
            <w:fldChar w:fldCharType="begin"/>
          </w:r>
          <w:r>
            <w:instrText xml:space="preserve"> HYPERLINK \l "_Toc19144" </w:instrText>
          </w:r>
          <w:r>
            <w:fldChar w:fldCharType="separate"/>
          </w:r>
          <w:r>
            <w:rPr>
              <w:rFonts w:hint="eastAsia"/>
              <w:szCs w:val="32"/>
            </w:rPr>
            <w:t>二、合同（格式）</w:t>
          </w:r>
          <w:r>
            <w:tab/>
          </w:r>
          <w:r>
            <w:fldChar w:fldCharType="begin"/>
          </w:r>
          <w:r>
            <w:instrText xml:space="preserve"> PAGEREF _Toc19144 \h </w:instrText>
          </w:r>
          <w:r>
            <w:fldChar w:fldCharType="separate"/>
          </w:r>
          <w:r>
            <w:t>24</w:t>
          </w:r>
          <w:r>
            <w:fldChar w:fldCharType="end"/>
          </w:r>
          <w:r>
            <w:fldChar w:fldCharType="end"/>
          </w:r>
        </w:p>
        <w:p>
          <w:pPr>
            <w:pStyle w:val="51"/>
            <w:tabs>
              <w:tab w:val="right" w:leader="dot" w:pos="9412"/>
            </w:tabs>
            <w:rPr>
              <w:b/>
            </w:rPr>
          </w:pPr>
          <w:r>
            <w:fldChar w:fldCharType="begin"/>
          </w:r>
          <w:r>
            <w:instrText xml:space="preserve"> HYPERLINK \l "_Toc1780" </w:instrText>
          </w:r>
          <w:r>
            <w:fldChar w:fldCharType="separate"/>
          </w:r>
          <w:r>
            <w:rPr>
              <w:rFonts w:hint="eastAsia"/>
              <w:b/>
              <w:lang w:val="zh-CN"/>
            </w:rPr>
            <w:t>第七篇  投标文件格式</w:t>
          </w:r>
          <w:r>
            <w:rPr>
              <w:b/>
            </w:rPr>
            <w:tab/>
          </w:r>
          <w:r>
            <w:rPr>
              <w:b/>
            </w:rPr>
            <w:fldChar w:fldCharType="begin"/>
          </w:r>
          <w:r>
            <w:rPr>
              <w:b/>
            </w:rPr>
            <w:instrText xml:space="preserve"> PAGEREF _Toc1780 \h </w:instrText>
          </w:r>
          <w:r>
            <w:rPr>
              <w:b/>
            </w:rPr>
            <w:fldChar w:fldCharType="separate"/>
          </w:r>
          <w:r>
            <w:rPr>
              <w:b/>
            </w:rPr>
            <w:t>27</w:t>
          </w:r>
          <w:r>
            <w:rPr>
              <w:b/>
            </w:rPr>
            <w:fldChar w:fldCharType="end"/>
          </w:r>
          <w:r>
            <w:rPr>
              <w:b/>
            </w:rPr>
            <w:fldChar w:fldCharType="end"/>
          </w:r>
        </w:p>
        <w:p>
          <w:pPr>
            <w:pStyle w:val="52"/>
            <w:tabs>
              <w:tab w:val="right" w:leader="dot" w:pos="9412"/>
            </w:tabs>
            <w:ind w:left="520"/>
          </w:pPr>
          <w:r>
            <w:fldChar w:fldCharType="begin"/>
          </w:r>
          <w:r>
            <w:instrText xml:space="preserve"> HYPERLINK \l "_Toc27803" </w:instrText>
          </w:r>
          <w:r>
            <w:fldChar w:fldCharType="separate"/>
          </w:r>
          <w:r>
            <w:rPr>
              <w:rFonts w:hint="eastAsia" w:ascii="方正小标宋简体" w:hAnsi="仿宋" w:eastAsia="方正小标宋简体"/>
              <w:bCs/>
              <w:szCs w:val="36"/>
            </w:rPr>
            <w:t>一、经济文件</w:t>
          </w:r>
          <w:r>
            <w:tab/>
          </w:r>
          <w:r>
            <w:fldChar w:fldCharType="begin"/>
          </w:r>
          <w:r>
            <w:instrText xml:space="preserve"> PAGEREF _Toc27803 \h </w:instrText>
          </w:r>
          <w:r>
            <w:fldChar w:fldCharType="separate"/>
          </w:r>
          <w:r>
            <w:t>28</w:t>
          </w:r>
          <w:r>
            <w:fldChar w:fldCharType="end"/>
          </w:r>
          <w:r>
            <w:fldChar w:fldCharType="end"/>
          </w:r>
        </w:p>
        <w:p>
          <w:pPr>
            <w:pStyle w:val="52"/>
            <w:tabs>
              <w:tab w:val="right" w:leader="dot" w:pos="9412"/>
            </w:tabs>
            <w:ind w:left="520"/>
          </w:pPr>
          <w:r>
            <w:fldChar w:fldCharType="begin"/>
          </w:r>
          <w:r>
            <w:instrText xml:space="preserve"> HYPERLINK \l "_Toc2678" </w:instrText>
          </w:r>
          <w:r>
            <w:fldChar w:fldCharType="separate"/>
          </w:r>
          <w:r>
            <w:rPr>
              <w:rFonts w:ascii="方正小标宋简体" w:hAnsi="仿宋" w:eastAsia="方正小标宋简体"/>
              <w:bCs/>
              <w:szCs w:val="36"/>
            </w:rPr>
            <w:t>二、资格文件</w:t>
          </w:r>
          <w:r>
            <w:tab/>
          </w:r>
          <w:r>
            <w:fldChar w:fldCharType="begin"/>
          </w:r>
          <w:r>
            <w:instrText xml:space="preserve"> PAGEREF _Toc2678 \h </w:instrText>
          </w:r>
          <w:r>
            <w:fldChar w:fldCharType="separate"/>
          </w:r>
          <w:r>
            <w:t>31</w:t>
          </w:r>
          <w:r>
            <w:fldChar w:fldCharType="end"/>
          </w:r>
          <w:r>
            <w:fldChar w:fldCharType="end"/>
          </w:r>
        </w:p>
        <w:p>
          <w:pPr>
            <w:pStyle w:val="52"/>
            <w:tabs>
              <w:tab w:val="right" w:leader="dot" w:pos="9412"/>
            </w:tabs>
            <w:ind w:left="520"/>
          </w:pPr>
          <w:r>
            <w:fldChar w:fldCharType="begin"/>
          </w:r>
          <w:r>
            <w:instrText xml:space="preserve"> HYPERLINK \l "_Toc22561" </w:instrText>
          </w:r>
          <w:r>
            <w:fldChar w:fldCharType="separate"/>
          </w:r>
          <w:r>
            <w:rPr>
              <w:rFonts w:hint="eastAsia"/>
            </w:rPr>
            <w:t>三、商务文件</w:t>
          </w:r>
          <w:r>
            <w:tab/>
          </w:r>
          <w:r>
            <w:fldChar w:fldCharType="begin"/>
          </w:r>
          <w:r>
            <w:instrText xml:space="preserve"> PAGEREF _Toc22561 \h </w:instrText>
          </w:r>
          <w:r>
            <w:fldChar w:fldCharType="separate"/>
          </w:r>
          <w:r>
            <w:t>37</w:t>
          </w:r>
          <w:r>
            <w:fldChar w:fldCharType="end"/>
          </w:r>
          <w:r>
            <w:fldChar w:fldCharType="end"/>
          </w:r>
        </w:p>
        <w:p>
          <w:pPr>
            <w:pStyle w:val="52"/>
            <w:tabs>
              <w:tab w:val="right" w:leader="dot" w:pos="9412"/>
            </w:tabs>
            <w:ind w:left="520"/>
          </w:pPr>
          <w:r>
            <w:fldChar w:fldCharType="begin"/>
          </w:r>
          <w:r>
            <w:instrText xml:space="preserve"> HYPERLINK \l "_Toc32348" </w:instrText>
          </w:r>
          <w:r>
            <w:fldChar w:fldCharType="separate"/>
          </w:r>
          <w:r>
            <w:rPr>
              <w:rFonts w:hint="eastAsia" w:ascii="方正小标宋简体" w:hAnsi="仿宋" w:eastAsia="方正小标宋简体"/>
              <w:szCs w:val="32"/>
            </w:rPr>
            <w:t>四、技术文件</w:t>
          </w:r>
          <w:r>
            <w:tab/>
          </w:r>
          <w:r>
            <w:fldChar w:fldCharType="begin"/>
          </w:r>
          <w:r>
            <w:instrText xml:space="preserve"> PAGEREF _Toc32348 \h </w:instrText>
          </w:r>
          <w:r>
            <w:fldChar w:fldCharType="separate"/>
          </w:r>
          <w:r>
            <w:t>40</w:t>
          </w:r>
          <w:r>
            <w:fldChar w:fldCharType="end"/>
          </w:r>
          <w:r>
            <w:fldChar w:fldCharType="end"/>
          </w:r>
        </w:p>
        <w:p>
          <w:pPr>
            <w:pStyle w:val="51"/>
            <w:tabs>
              <w:tab w:val="right" w:leader="dot" w:pos="9412"/>
            </w:tabs>
            <w:rPr>
              <w:b/>
            </w:rPr>
          </w:pPr>
        </w:p>
        <w:p>
          <w:pPr>
            <w:overflowPunct w:val="0"/>
            <w:spacing w:line="500" w:lineRule="exact"/>
            <w:ind w:firstLine="520"/>
            <w:jc w:val="center"/>
            <w:rPr>
              <w:rFonts w:ascii="方正小标宋简体" w:eastAsia="方正小标宋简体"/>
              <w:b/>
              <w:sz w:val="44"/>
              <w:szCs w:val="44"/>
            </w:rPr>
          </w:pPr>
          <w:r>
            <w:rPr>
              <w:rFonts w:hint="eastAsia" w:ascii="方正小标宋简体" w:eastAsia="方正小标宋简体"/>
              <w:b/>
              <w:szCs w:val="44"/>
            </w:rPr>
            <w:fldChar w:fldCharType="end"/>
          </w:r>
        </w:p>
      </w:sdtContent>
    </w:sdt>
    <w:p>
      <w:pPr>
        <w:overflowPunct w:val="0"/>
        <w:spacing w:line="500" w:lineRule="exact"/>
        <w:ind w:firstLine="880"/>
        <w:jc w:val="center"/>
        <w:outlineLvl w:val="0"/>
        <w:rPr>
          <w:rFonts w:ascii="方正小标宋简体" w:eastAsia="方正小标宋简体"/>
          <w:b/>
          <w:sz w:val="44"/>
          <w:szCs w:val="44"/>
        </w:rPr>
      </w:pPr>
      <w:bookmarkStart w:id="0" w:name="_Toc5626"/>
      <w:bookmarkStart w:id="1" w:name="_Toc31857"/>
    </w:p>
    <w:p>
      <w:pPr>
        <w:overflowPunct w:val="0"/>
        <w:spacing w:line="500" w:lineRule="exact"/>
        <w:ind w:firstLine="880"/>
        <w:jc w:val="center"/>
        <w:outlineLvl w:val="0"/>
        <w:rPr>
          <w:rFonts w:ascii="方正小标宋简体" w:eastAsia="方正小标宋简体"/>
          <w:b/>
          <w:sz w:val="44"/>
          <w:szCs w:val="44"/>
        </w:rPr>
      </w:pPr>
    </w:p>
    <w:p>
      <w:pPr>
        <w:overflowPunct w:val="0"/>
        <w:spacing w:line="500" w:lineRule="exact"/>
        <w:ind w:firstLine="880"/>
        <w:jc w:val="center"/>
        <w:outlineLvl w:val="0"/>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bookmarkEnd w:id="0"/>
      <w:bookmarkEnd w:id="1"/>
    </w:p>
    <w:p>
      <w:pPr>
        <w:ind w:firstLine="640"/>
        <w:rPr>
          <w:rFonts w:ascii="仿宋_GB2312" w:eastAsia="仿宋_GB2312"/>
          <w:sz w:val="32"/>
          <w:szCs w:val="32"/>
        </w:rPr>
      </w:pPr>
    </w:p>
    <w:p>
      <w:pPr>
        <w:ind w:firstLine="640"/>
        <w:outlineLvl w:val="0"/>
        <w:rPr>
          <w:rFonts w:ascii="仿宋" w:hAnsi="仿宋" w:eastAsia="仿宋"/>
          <w:sz w:val="32"/>
          <w:szCs w:val="32"/>
        </w:rPr>
      </w:pPr>
      <w:bookmarkStart w:id="2" w:name="_Toc8507"/>
      <w:bookmarkStart w:id="3" w:name="_Toc17468"/>
      <w:bookmarkStart w:id="4" w:name="_Toc16193"/>
      <w:bookmarkStart w:id="5" w:name="_Toc19258"/>
      <w:bookmarkStart w:id="6" w:name="_Toc16337"/>
      <w:bookmarkStart w:id="7" w:name="_Toc27061"/>
      <w:bookmarkStart w:id="8" w:name="_Toc10167"/>
      <w:r>
        <w:rPr>
          <w:rFonts w:hint="eastAsia" w:ascii="仿宋" w:hAnsi="仿宋" w:eastAsia="仿宋"/>
          <w:sz w:val="32"/>
          <w:szCs w:val="32"/>
        </w:rPr>
        <w:t>一、质疑须知</w:t>
      </w:r>
      <w:bookmarkEnd w:id="2"/>
      <w:bookmarkEnd w:id="3"/>
      <w:bookmarkEnd w:id="4"/>
      <w:bookmarkEnd w:id="5"/>
      <w:bookmarkEnd w:id="6"/>
      <w:bookmarkEnd w:id="7"/>
      <w:bookmarkEnd w:id="8"/>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乌尔禾区采购中心提出有效质疑，有效质疑应包括质疑人全称、被质疑人全称、被质疑采购项目的名称和编号、质疑的具体事项（包括事实、理由和法律依据）、有效合法的证据材料、有效联系人和联系方式。乌尔禾区采购中心将召集相关责任人研究质疑事项并做出回复，如质疑人对回复意见仍有异议，可向乌尔禾区财政局政府采购管理办公室投诉，对投诉处理决定不服，可以依法申请行政复议或者向人民法院提起行政诉讼。（具体详见第五篇投标人须知）</w:t>
      </w:r>
    </w:p>
    <w:p>
      <w:pPr>
        <w:ind w:firstLine="640"/>
        <w:outlineLvl w:val="0"/>
        <w:rPr>
          <w:rFonts w:ascii="仿宋" w:hAnsi="仿宋" w:eastAsia="仿宋"/>
          <w:sz w:val="32"/>
          <w:szCs w:val="32"/>
        </w:rPr>
      </w:pPr>
      <w:bookmarkStart w:id="9" w:name="_Toc23785"/>
      <w:bookmarkStart w:id="10" w:name="_Toc24845"/>
      <w:bookmarkStart w:id="11" w:name="_Toc19897"/>
      <w:bookmarkStart w:id="12" w:name="_Toc31144"/>
      <w:bookmarkStart w:id="13" w:name="_Toc26082"/>
      <w:bookmarkStart w:id="14" w:name="_Toc21069"/>
      <w:bookmarkStart w:id="15" w:name="_Toc12304"/>
      <w:r>
        <w:rPr>
          <w:rFonts w:hint="eastAsia" w:ascii="仿宋" w:hAnsi="仿宋" w:eastAsia="仿宋"/>
          <w:sz w:val="32"/>
          <w:szCs w:val="32"/>
        </w:rPr>
        <w:t>二、资格审查须知</w:t>
      </w:r>
      <w:bookmarkEnd w:id="9"/>
      <w:bookmarkEnd w:id="10"/>
      <w:bookmarkEnd w:id="11"/>
      <w:bookmarkEnd w:id="12"/>
      <w:bookmarkEnd w:id="13"/>
      <w:bookmarkEnd w:id="14"/>
      <w:bookmarkEnd w:id="15"/>
    </w:p>
    <w:p>
      <w:pPr>
        <w:overflowPunct w:val="0"/>
        <w:ind w:firstLine="640"/>
        <w:rPr>
          <w:rFonts w:ascii="仿宋" w:hAnsi="仿宋" w:eastAsia="仿宋"/>
          <w:sz w:val="32"/>
          <w:szCs w:val="32"/>
        </w:rPr>
        <w:sectPr>
          <w:pgSz w:w="11907" w:h="16840"/>
          <w:pgMar w:top="1134" w:right="1191" w:bottom="1134" w:left="1304" w:header="964" w:footer="992" w:gutter="0"/>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6"/>
        <w:outlineLvl w:val="0"/>
        <w:rPr>
          <w:rFonts w:ascii="仿宋" w:eastAsia="仿宋" w:cs="Calibri"/>
          <w:sz w:val="28"/>
          <w:szCs w:val="28"/>
        </w:rPr>
      </w:pPr>
      <w:bookmarkStart w:id="16" w:name="_Toc22054"/>
      <w:bookmarkStart w:id="17" w:name="_Toc10057"/>
      <w:bookmarkStart w:id="18" w:name="_Toc13529"/>
      <w:bookmarkStart w:id="19" w:name="_Toc30025"/>
      <w:bookmarkStart w:id="20" w:name="_Toc14011"/>
      <w:bookmarkStart w:id="21" w:name="_Toc22809"/>
      <w:bookmarkStart w:id="22" w:name="_Toc30379"/>
      <w:bookmarkStart w:id="23" w:name="_Toc8224"/>
      <w:bookmarkStart w:id="24" w:name="_Toc24179"/>
      <w:bookmarkStart w:id="25" w:name="_Toc492654778"/>
      <w:bookmarkStart w:id="26" w:name="_Toc20591"/>
      <w:bookmarkStart w:id="27" w:name="_Toc32309"/>
      <w:bookmarkStart w:id="28" w:name="_Toc625"/>
      <w:bookmarkStart w:id="29" w:name="_Toc23987"/>
      <w:bookmarkStart w:id="30" w:name="_Toc24825"/>
      <w:bookmarkStart w:id="31" w:name="_Toc2094"/>
      <w:r>
        <w:rPr>
          <w:rFonts w:hint="eastAsia"/>
        </w:rPr>
        <w:t>第一篇  投标邀请书</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0"/>
        <w:ind w:firstLine="480"/>
        <w:rPr>
          <w:color w:val="auto"/>
        </w:rPr>
      </w:pPr>
      <w:r>
        <w:rPr>
          <w:rFonts w:hint="eastAsia"/>
          <w:color w:val="auto"/>
        </w:rPr>
        <w:t>乌尔禾区采购中心受</w:t>
      </w:r>
      <w:r>
        <w:rPr>
          <w:rFonts w:hint="eastAsia"/>
          <w:color w:val="auto"/>
          <w:u w:val="single"/>
        </w:rPr>
        <w:t xml:space="preserve"> 乌尔禾区</w:t>
      </w:r>
      <w:r>
        <w:rPr>
          <w:rFonts w:hint="eastAsia"/>
          <w:color w:val="auto"/>
          <w:u w:val="single"/>
          <w:lang w:eastAsia="zh-CN"/>
        </w:rPr>
        <w:t>网信办</w:t>
      </w:r>
      <w:r>
        <w:rPr>
          <w:rFonts w:hint="eastAsia"/>
          <w:color w:val="auto"/>
          <w:u w:val="single"/>
          <w:lang w:val="en-US" w:eastAsia="zh-CN"/>
        </w:rPr>
        <w:t xml:space="preserve"> </w:t>
      </w:r>
      <w:r>
        <w:rPr>
          <w:rFonts w:hint="eastAsia"/>
          <w:color w:val="auto"/>
        </w:rPr>
        <w:t>的委托，对</w:t>
      </w:r>
      <w:r>
        <w:rPr>
          <w:rFonts w:hint="eastAsia"/>
          <w:color w:val="auto"/>
          <w:u w:val="single"/>
          <w:lang w:val="en-US" w:eastAsia="zh-CN"/>
        </w:rPr>
        <w:t xml:space="preserve"> 乌尔禾区图像信息存储 </w:t>
      </w:r>
      <w:r>
        <w:rPr>
          <w:rFonts w:hint="eastAsia"/>
          <w:color w:val="auto"/>
        </w:rPr>
        <w:t>采购项目以竞争性磋商方式采购，欢迎有资格的供应商参加投标。</w:t>
      </w:r>
    </w:p>
    <w:p>
      <w:pPr>
        <w:pStyle w:val="28"/>
        <w:ind w:firstLine="562"/>
        <w:outlineLvl w:val="1"/>
        <w:rPr>
          <w:color w:val="auto"/>
        </w:rPr>
      </w:pPr>
      <w:bookmarkStart w:id="32" w:name="_Toc20386"/>
      <w:bookmarkStart w:id="33" w:name="_Toc1822"/>
      <w:bookmarkStart w:id="34" w:name="_Toc6884"/>
      <w:bookmarkStart w:id="35" w:name="_Toc20116"/>
      <w:bookmarkStart w:id="36" w:name="_Toc13424"/>
      <w:bookmarkStart w:id="37" w:name="_Toc492654779"/>
      <w:bookmarkStart w:id="38" w:name="_Toc13258"/>
      <w:bookmarkStart w:id="39" w:name="_Toc29636"/>
      <w:bookmarkStart w:id="40" w:name="_Toc6963"/>
      <w:bookmarkStart w:id="41" w:name="_Toc6376"/>
      <w:bookmarkStart w:id="42" w:name="_Toc12921"/>
      <w:bookmarkStart w:id="43" w:name="_Toc21422"/>
      <w:bookmarkStart w:id="44" w:name="_Toc3343"/>
      <w:bookmarkStart w:id="45" w:name="_Toc9031"/>
      <w:bookmarkStart w:id="46" w:name="_Toc5456"/>
      <w:bookmarkStart w:id="47" w:name="_Toc4238"/>
      <w:bookmarkStart w:id="48" w:name="_Toc23016"/>
      <w:r>
        <w:rPr>
          <w:rFonts w:hint="eastAsia"/>
          <w:color w:val="auto"/>
        </w:rPr>
        <w:t>一、招标项目内容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Style w:val="19"/>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560"/>
        <w:gridCol w:w="1614"/>
        <w:gridCol w:w="246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3560"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614"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预算（万元）</w:t>
            </w:r>
          </w:p>
        </w:tc>
        <w:tc>
          <w:tcPr>
            <w:tcW w:w="2465" w:type="dxa"/>
            <w:vAlign w:val="center"/>
          </w:tcPr>
          <w:p>
            <w:pPr>
              <w:pStyle w:val="9"/>
              <w:spacing w:line="400" w:lineRule="exact"/>
              <w:ind w:left="0" w:firstLine="0" w:firstLineChars="0"/>
              <w:jc w:val="center"/>
              <w:rPr>
                <w:rFonts w:hint="eastAsia" w:ascii="仿宋" w:hAnsi="仿宋" w:eastAsia="仿宋"/>
                <w:b/>
                <w:szCs w:val="24"/>
                <w:lang w:eastAsia="zh-CN"/>
              </w:rPr>
            </w:pPr>
            <w:r>
              <w:rPr>
                <w:rFonts w:hint="eastAsia" w:ascii="仿宋" w:hAnsi="仿宋" w:eastAsia="仿宋"/>
                <w:b/>
                <w:szCs w:val="24"/>
                <w:lang w:eastAsia="zh-CN"/>
              </w:rPr>
              <w:t>服务期限</w:t>
            </w:r>
          </w:p>
        </w:tc>
        <w:tc>
          <w:tcPr>
            <w:tcW w:w="1602" w:type="dxa"/>
            <w:vAlign w:val="center"/>
          </w:tcPr>
          <w:p>
            <w:pPr>
              <w:pStyle w:val="9"/>
              <w:spacing w:line="400" w:lineRule="exact"/>
              <w:ind w:left="0" w:firstLine="0" w:firstLineChars="0"/>
              <w:jc w:val="center"/>
              <w:rPr>
                <w:rFonts w:hint="eastAsia"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560"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乌尔禾区</w:t>
            </w:r>
            <w:r>
              <w:rPr>
                <w:rFonts w:hint="eastAsia" w:ascii="仿宋" w:hAnsi="仿宋" w:eastAsia="仿宋"/>
                <w:szCs w:val="24"/>
                <w:lang w:eastAsia="zh-CN"/>
              </w:rPr>
              <w:t>图像信息存储</w:t>
            </w:r>
            <w:r>
              <w:rPr>
                <w:rFonts w:hint="eastAsia" w:ascii="仿宋" w:hAnsi="仿宋" w:eastAsia="仿宋"/>
                <w:szCs w:val="24"/>
                <w:lang w:val="en-US" w:eastAsia="zh-CN"/>
              </w:rPr>
              <w:t xml:space="preserve"> </w:t>
            </w:r>
          </w:p>
        </w:tc>
        <w:tc>
          <w:tcPr>
            <w:tcW w:w="1614" w:type="dxa"/>
            <w:vAlign w:val="center"/>
          </w:tcPr>
          <w:p>
            <w:pPr>
              <w:pStyle w:val="9"/>
              <w:spacing w:line="40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123</w:t>
            </w:r>
          </w:p>
        </w:tc>
        <w:tc>
          <w:tcPr>
            <w:tcW w:w="2465" w:type="dxa"/>
            <w:vAlign w:val="center"/>
          </w:tcPr>
          <w:p>
            <w:pPr>
              <w:pStyle w:val="9"/>
              <w:spacing w:line="400" w:lineRule="exact"/>
              <w:ind w:left="0" w:firstLine="0" w:firstLineChars="0"/>
              <w:rPr>
                <w:rFonts w:hint="eastAsia" w:ascii="仿宋" w:hAnsi="仿宋" w:eastAsia="仿宋"/>
                <w:szCs w:val="24"/>
                <w:lang w:eastAsia="zh-CN"/>
              </w:rPr>
            </w:pPr>
            <w:r>
              <w:rPr>
                <w:rFonts w:hint="eastAsia" w:ascii="仿宋_GB2312" w:hAnsi="宋体" w:eastAsia="仿宋_GB2312" w:cs="宋体"/>
                <w:kern w:val="0"/>
                <w:sz w:val="24"/>
                <w:szCs w:val="24"/>
                <w:lang w:eastAsia="zh-CN"/>
              </w:rPr>
              <w:t>服务期限</w:t>
            </w:r>
            <w:r>
              <w:rPr>
                <w:rFonts w:hint="eastAsia" w:ascii="仿宋_GB2312" w:hAnsi="宋体" w:eastAsia="仿宋_GB2312" w:cs="宋体"/>
                <w:kern w:val="0"/>
                <w:sz w:val="24"/>
                <w:szCs w:val="24"/>
                <w:lang w:val="en-US" w:eastAsia="zh-CN"/>
              </w:rPr>
              <w:t>3年，合同一年一签。</w:t>
            </w:r>
          </w:p>
        </w:tc>
        <w:tc>
          <w:tcPr>
            <w:tcW w:w="1602" w:type="dxa"/>
            <w:vAlign w:val="center"/>
          </w:tcPr>
          <w:p>
            <w:pPr>
              <w:pStyle w:val="9"/>
              <w:spacing w:line="400" w:lineRule="exact"/>
              <w:ind w:left="0" w:firstLine="0" w:firstLineChars="0"/>
              <w:rPr>
                <w:rFonts w:hint="eastAsia" w:ascii="仿宋" w:hAnsi="仿宋" w:eastAsia="仿宋"/>
                <w:szCs w:val="24"/>
                <w:lang w:eastAsia="zh-CN"/>
              </w:rPr>
            </w:pPr>
          </w:p>
        </w:tc>
      </w:tr>
    </w:tbl>
    <w:p>
      <w:pPr>
        <w:pStyle w:val="28"/>
        <w:ind w:firstLine="562"/>
        <w:outlineLvl w:val="1"/>
      </w:pPr>
      <w:bookmarkStart w:id="49" w:name="_Toc1534"/>
      <w:bookmarkStart w:id="50" w:name="_Toc20712"/>
      <w:bookmarkStart w:id="51" w:name="_Toc491251279"/>
      <w:bookmarkStart w:id="52" w:name="_Toc29482"/>
      <w:bookmarkStart w:id="53" w:name="_Toc1994"/>
      <w:bookmarkStart w:id="54" w:name="_Toc12354"/>
      <w:bookmarkStart w:id="55" w:name="_Toc17495"/>
      <w:bookmarkStart w:id="56" w:name="_Toc21729"/>
      <w:bookmarkStart w:id="57" w:name="_Toc9716"/>
      <w:bookmarkStart w:id="58" w:name="_Toc8187"/>
      <w:bookmarkStart w:id="59" w:name="_Toc4778"/>
      <w:bookmarkStart w:id="60" w:name="_Toc983"/>
      <w:bookmarkStart w:id="61" w:name="_Toc9146"/>
      <w:bookmarkStart w:id="62" w:name="_Toc17588"/>
      <w:bookmarkStart w:id="63" w:name="_Toc4911"/>
      <w:bookmarkStart w:id="64" w:name="_Toc28628"/>
      <w:bookmarkStart w:id="65" w:name="_Toc21403"/>
      <w:r>
        <w:rPr>
          <w:rFonts w:hint="eastAsia"/>
        </w:rPr>
        <w:t>二、资金来源</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Style w:val="30"/>
        <w:ind w:firstLine="480"/>
      </w:pPr>
      <w:bookmarkStart w:id="66" w:name="_Toc491251280"/>
      <w:r>
        <w:rPr>
          <w:rFonts w:hint="eastAsia"/>
        </w:rPr>
        <w:t>财政预算资金。</w:t>
      </w:r>
    </w:p>
    <w:p>
      <w:pPr>
        <w:pStyle w:val="28"/>
        <w:numPr>
          <w:ilvl w:val="0"/>
          <w:numId w:val="2"/>
        </w:numPr>
        <w:ind w:firstLine="562"/>
        <w:outlineLvl w:val="1"/>
      </w:pPr>
      <w:bookmarkStart w:id="67" w:name="_Toc32260"/>
      <w:bookmarkStart w:id="68" w:name="_Toc24283"/>
      <w:bookmarkStart w:id="69" w:name="_Toc30984"/>
      <w:bookmarkStart w:id="70" w:name="_Toc21250"/>
      <w:bookmarkStart w:id="71" w:name="_Toc29426"/>
      <w:bookmarkStart w:id="72" w:name="_Toc4680"/>
      <w:bookmarkStart w:id="73" w:name="_Toc18473"/>
      <w:bookmarkStart w:id="74" w:name="_Toc16786"/>
      <w:bookmarkStart w:id="75" w:name="_Toc32190"/>
      <w:bookmarkStart w:id="76" w:name="_Toc28458"/>
      <w:bookmarkStart w:id="77" w:name="_Toc15837"/>
      <w:bookmarkStart w:id="78" w:name="_Toc29381"/>
      <w:bookmarkStart w:id="79" w:name="_Toc11169"/>
      <w:bookmarkStart w:id="80" w:name="_Toc2052"/>
      <w:bookmarkStart w:id="81" w:name="_Toc4842"/>
      <w:bookmarkStart w:id="82" w:name="_Toc30445"/>
      <w:r>
        <w:rPr>
          <w:rFonts w:hint="eastAsia"/>
        </w:rPr>
        <w:t>投标人资格要求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30"/>
        <w:ind w:firstLine="480"/>
        <w:outlineLvl w:val="2"/>
      </w:pPr>
      <w:r>
        <w:rPr>
          <w:rFonts w:hint="eastAsia"/>
        </w:rPr>
        <w:t>（一）资格条件</w:t>
      </w:r>
    </w:p>
    <w:p>
      <w:pPr>
        <w:pStyle w:val="30"/>
        <w:ind w:firstLine="480"/>
      </w:pPr>
      <w:r>
        <w:rPr>
          <w:rFonts w:hint="eastAsia"/>
        </w:rPr>
        <w:t>1.具有独立承担民事责任的能力；</w:t>
      </w:r>
    </w:p>
    <w:p>
      <w:pPr>
        <w:pStyle w:val="30"/>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30"/>
        <w:ind w:firstLine="480"/>
      </w:pPr>
      <w:r>
        <w:rPr>
          <w:rFonts w:hint="eastAsia"/>
        </w:rPr>
        <w:t>3.具有履行合同所必需的设备和专业技术能力</w:t>
      </w:r>
    </w:p>
    <w:p>
      <w:pPr>
        <w:pStyle w:val="30"/>
        <w:ind w:firstLine="480"/>
        <w:rPr>
          <w:rFonts w:hint="eastAsia"/>
        </w:rPr>
      </w:pPr>
      <w:r>
        <w:rPr>
          <w:rFonts w:hint="eastAsia"/>
        </w:rPr>
        <w:t>4.参加政府采购活动前三年内，未因违法经营受到刑事处罚或者责令停产停业、吊销许可证或者执照、较大数额罚款等行政处罚。</w:t>
      </w:r>
    </w:p>
    <w:p>
      <w:pPr>
        <w:pStyle w:val="30"/>
        <w:ind w:firstLine="480"/>
        <w:outlineLvl w:val="2"/>
        <w:rPr>
          <w:rFonts w:hint="eastAsia" w:eastAsia="仿宋"/>
          <w:lang w:eastAsia="zh-CN"/>
        </w:rPr>
      </w:pPr>
      <w:r>
        <w:rPr>
          <w:rFonts w:hint="eastAsia"/>
        </w:rPr>
        <w:t>（</w:t>
      </w:r>
      <w:r>
        <w:rPr>
          <w:rFonts w:hint="eastAsia"/>
          <w:lang w:eastAsia="zh-CN"/>
        </w:rPr>
        <w:t>二</w:t>
      </w:r>
      <w:r>
        <w:rPr>
          <w:rFonts w:hint="eastAsia"/>
        </w:rPr>
        <w:t>）</w:t>
      </w:r>
      <w:r>
        <w:rPr>
          <w:rFonts w:hint="eastAsia"/>
          <w:lang w:eastAsia="zh-CN"/>
        </w:rPr>
        <w:t>特定资格</w:t>
      </w:r>
    </w:p>
    <w:p>
      <w:pPr>
        <w:pStyle w:val="30"/>
        <w:ind w:firstLine="480"/>
        <w:rPr>
          <w:rFonts w:hint="eastAsia"/>
          <w:color w:val="FF0000"/>
          <w:lang w:val="en-US" w:eastAsia="zh-CN"/>
        </w:rPr>
      </w:pPr>
      <w:r>
        <w:rPr>
          <w:rFonts w:hint="eastAsia"/>
          <w:color w:val="FF0000"/>
          <w:lang w:val="en-US" w:eastAsia="zh-CN"/>
        </w:rPr>
        <w:t>1、提供本采购项目的服务资源所在数据中心需取得公安机关颁发的三级等级保护资质。</w:t>
      </w:r>
    </w:p>
    <w:p>
      <w:pPr>
        <w:pStyle w:val="30"/>
        <w:ind w:firstLine="480"/>
        <w:rPr>
          <w:rFonts w:hint="default"/>
          <w:color w:val="FF0000"/>
          <w:lang w:val="en-US" w:eastAsia="zh-CN"/>
        </w:rPr>
      </w:pPr>
      <w:r>
        <w:rPr>
          <w:rFonts w:hint="eastAsia"/>
          <w:color w:val="FF0000"/>
          <w:lang w:val="en-US" w:eastAsia="zh-CN"/>
        </w:rPr>
        <w:t>2、具有履行合同所必需的设备和专业技术能力，建有国家（A类、B类）或国际（T2、T3）标准的数据中心且能提供云存储服务。</w:t>
      </w:r>
    </w:p>
    <w:p>
      <w:pPr>
        <w:pStyle w:val="30"/>
        <w:ind w:firstLine="480"/>
        <w:outlineLvl w:val="2"/>
        <w:rPr>
          <w:color w:val="auto"/>
        </w:rPr>
      </w:pPr>
      <w:r>
        <w:rPr>
          <w:rFonts w:hint="eastAsia"/>
          <w:color w:val="auto"/>
        </w:rPr>
        <w:t>（</w:t>
      </w:r>
      <w:r>
        <w:rPr>
          <w:rFonts w:hint="eastAsia"/>
          <w:color w:val="auto"/>
          <w:lang w:eastAsia="zh-CN"/>
        </w:rPr>
        <w:t>三</w:t>
      </w:r>
      <w:r>
        <w:rPr>
          <w:rFonts w:hint="eastAsia"/>
          <w:color w:val="auto"/>
        </w:rPr>
        <w:t>）联合体投标</w:t>
      </w:r>
    </w:p>
    <w:p>
      <w:pPr>
        <w:pStyle w:val="30"/>
        <w:ind w:firstLine="480"/>
        <w:rPr>
          <w:color w:val="auto"/>
        </w:rPr>
      </w:pPr>
      <w:r>
        <w:rPr>
          <w:rFonts w:hint="eastAsia"/>
          <w:color w:val="auto"/>
        </w:rPr>
        <w:t>本项目不接受联合体投标</w:t>
      </w:r>
    </w:p>
    <w:p>
      <w:pPr>
        <w:pStyle w:val="30"/>
        <w:ind w:firstLine="480"/>
        <w:outlineLvl w:val="2"/>
        <w:rPr>
          <w:color w:val="auto"/>
        </w:rPr>
      </w:pPr>
      <w:r>
        <w:rPr>
          <w:rFonts w:hint="eastAsia"/>
          <w:color w:val="auto"/>
        </w:rPr>
        <w:t>（</w:t>
      </w:r>
      <w:r>
        <w:rPr>
          <w:rFonts w:hint="eastAsia"/>
          <w:color w:val="auto"/>
          <w:lang w:eastAsia="zh-CN"/>
        </w:rPr>
        <w:t>四</w:t>
      </w:r>
      <w:r>
        <w:rPr>
          <w:rFonts w:hint="eastAsia"/>
          <w:color w:val="auto"/>
        </w:rPr>
        <w:t>）关联企业投标</w:t>
      </w:r>
    </w:p>
    <w:p>
      <w:pPr>
        <w:pStyle w:val="30"/>
        <w:ind w:firstLine="480"/>
        <w:rPr>
          <w:color w:val="auto"/>
        </w:rPr>
      </w:pPr>
      <w:r>
        <w:rPr>
          <w:rFonts w:hint="eastAsia"/>
          <w:color w:val="auto"/>
        </w:rPr>
        <w:t>为确保政府采购公平、公正，禁止关联企业参与同一项目投标。</w:t>
      </w:r>
    </w:p>
    <w:p>
      <w:pPr>
        <w:pStyle w:val="28"/>
        <w:ind w:firstLine="562"/>
        <w:outlineLvl w:val="1"/>
        <w:rPr>
          <w:color w:val="auto"/>
        </w:rPr>
      </w:pPr>
      <w:bookmarkStart w:id="83" w:name="_Toc1053"/>
      <w:bookmarkStart w:id="84" w:name="_Toc27506"/>
      <w:bookmarkStart w:id="85" w:name="_Toc2808"/>
      <w:bookmarkStart w:id="86" w:name="_Toc24299"/>
      <w:bookmarkStart w:id="87" w:name="_Toc10122"/>
      <w:bookmarkStart w:id="88" w:name="_Toc28596"/>
      <w:bookmarkStart w:id="89" w:name="_Toc9090"/>
      <w:bookmarkStart w:id="90" w:name="_Toc13653"/>
      <w:bookmarkStart w:id="91" w:name="_Toc21811"/>
      <w:bookmarkStart w:id="92" w:name="_Toc4937"/>
      <w:bookmarkStart w:id="93" w:name="_Toc9300"/>
      <w:bookmarkStart w:id="94" w:name="_Toc20680"/>
      <w:bookmarkStart w:id="95" w:name="_Toc1990"/>
      <w:bookmarkStart w:id="96" w:name="_Toc492654782"/>
      <w:bookmarkStart w:id="97" w:name="_Toc14780"/>
      <w:bookmarkStart w:id="98" w:name="_Toc25307"/>
      <w:bookmarkStart w:id="99" w:name="_Toc16171"/>
      <w:r>
        <w:rPr>
          <w:rFonts w:hint="eastAsia"/>
          <w:color w:val="auto"/>
        </w:rPr>
        <w:t>四、投标、开标有关说明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30"/>
        <w:ind w:firstLine="480"/>
        <w:rPr>
          <w:color w:val="auto"/>
        </w:rPr>
      </w:pPr>
      <w:bookmarkStart w:id="100" w:name="_Toc492654785"/>
      <w:r>
        <w:rPr>
          <w:rFonts w:hint="eastAsia"/>
          <w:color w:val="auto"/>
        </w:rPr>
        <w:t>（一）凡有意参加投标的供应商，请在新疆政府采购网上下载本项目招标文件，无论投标人下载与否，均视为已知晓所有招标内容，不收取招标文件费用。</w:t>
      </w:r>
    </w:p>
    <w:p>
      <w:pPr>
        <w:pStyle w:val="30"/>
        <w:ind w:firstLine="480"/>
        <w:rPr>
          <w:color w:val="auto"/>
        </w:rPr>
      </w:pPr>
      <w:r>
        <w:rPr>
          <w:rFonts w:hint="eastAsia"/>
          <w:color w:val="auto"/>
        </w:rPr>
        <w:t>（二）报名截止时间：2021年</w:t>
      </w:r>
      <w:r>
        <w:rPr>
          <w:rFonts w:hint="eastAsia"/>
          <w:color w:val="auto"/>
          <w:lang w:val="en-US" w:eastAsia="zh-CN"/>
        </w:rPr>
        <w:t>10</w:t>
      </w:r>
      <w:r>
        <w:rPr>
          <w:rFonts w:hint="eastAsia"/>
          <w:color w:val="auto"/>
        </w:rPr>
        <w:t>月</w:t>
      </w:r>
      <w:r>
        <w:rPr>
          <w:rFonts w:hint="eastAsia"/>
          <w:color w:val="auto"/>
          <w:lang w:val="en-US" w:eastAsia="zh-CN"/>
        </w:rPr>
        <w:t>14</w:t>
      </w:r>
      <w:r>
        <w:rPr>
          <w:rFonts w:hint="eastAsia"/>
          <w:color w:val="auto"/>
        </w:rPr>
        <w:t>日12：00</w:t>
      </w:r>
    </w:p>
    <w:p>
      <w:pPr>
        <w:pStyle w:val="30"/>
        <w:ind w:firstLine="480"/>
        <w:rPr>
          <w:color w:val="auto"/>
        </w:rPr>
      </w:pPr>
      <w:r>
        <w:rPr>
          <w:rFonts w:hint="eastAsia"/>
          <w:color w:val="auto"/>
        </w:rPr>
        <w:t>（三）递交投标文件时间：2021年</w:t>
      </w:r>
      <w:r>
        <w:rPr>
          <w:rFonts w:hint="eastAsia"/>
          <w:color w:val="auto"/>
          <w:lang w:val="en-US" w:eastAsia="zh-CN"/>
        </w:rPr>
        <w:t>10</w:t>
      </w:r>
      <w:r>
        <w:rPr>
          <w:rFonts w:hint="eastAsia"/>
          <w:color w:val="auto"/>
        </w:rPr>
        <w:t>月</w:t>
      </w:r>
      <w:r>
        <w:rPr>
          <w:rFonts w:hint="eastAsia"/>
          <w:color w:val="auto"/>
          <w:lang w:val="en-US" w:eastAsia="zh-CN"/>
        </w:rPr>
        <w:t>15</w:t>
      </w:r>
      <w:r>
        <w:rPr>
          <w:rFonts w:hint="eastAsia"/>
          <w:color w:val="auto"/>
        </w:rPr>
        <w:t>日 10:00-10:30</w:t>
      </w:r>
    </w:p>
    <w:p>
      <w:pPr>
        <w:pStyle w:val="30"/>
        <w:ind w:firstLine="480"/>
        <w:rPr>
          <w:color w:val="auto"/>
        </w:rPr>
      </w:pPr>
      <w:r>
        <w:rPr>
          <w:rFonts w:hint="eastAsia"/>
        </w:rPr>
        <w:t>（四）递交投标文件及开标地点：克拉玛依市乌尔禾区同兴路12号政府2号楼3楼招标等候室306室</w:t>
      </w:r>
    </w:p>
    <w:p>
      <w:pPr>
        <w:pStyle w:val="30"/>
        <w:ind w:firstLine="480"/>
        <w:rPr>
          <w:color w:val="auto"/>
        </w:rPr>
      </w:pPr>
      <w:r>
        <w:rPr>
          <w:rFonts w:hint="eastAsia"/>
          <w:color w:val="auto"/>
        </w:rPr>
        <w:t xml:space="preserve">（五）开标时间：2021年 </w:t>
      </w:r>
      <w:r>
        <w:rPr>
          <w:rFonts w:hint="eastAsia"/>
          <w:color w:val="auto"/>
          <w:lang w:val="en-US" w:eastAsia="zh-CN"/>
        </w:rPr>
        <w:t>10</w:t>
      </w:r>
      <w:r>
        <w:rPr>
          <w:rFonts w:hint="eastAsia"/>
          <w:color w:val="auto"/>
        </w:rPr>
        <w:t>月</w:t>
      </w:r>
      <w:r>
        <w:rPr>
          <w:rFonts w:hint="eastAsia"/>
          <w:color w:val="auto"/>
          <w:lang w:val="en-US" w:eastAsia="zh-CN"/>
        </w:rPr>
        <w:t>15</w:t>
      </w:r>
      <w:r>
        <w:rPr>
          <w:rFonts w:hint="eastAsia"/>
          <w:color w:val="auto"/>
        </w:rPr>
        <w:t xml:space="preserve">日 10;30 </w:t>
      </w:r>
    </w:p>
    <w:p>
      <w:pPr>
        <w:pStyle w:val="30"/>
        <w:ind w:firstLine="480"/>
        <w:rPr>
          <w:color w:val="FF0000"/>
        </w:rPr>
      </w:pPr>
      <w:r>
        <w:rPr>
          <w:rFonts w:hint="eastAsia"/>
        </w:rPr>
        <w:t>（六）评标地点：克拉玛依市乌尔禾区同兴路12号政府2号楼3楼招标会议室</w:t>
      </w:r>
    </w:p>
    <w:p>
      <w:pPr>
        <w:pStyle w:val="28"/>
        <w:ind w:firstLine="562"/>
        <w:outlineLvl w:val="1"/>
      </w:pPr>
      <w:bookmarkStart w:id="101" w:name="_Toc4883"/>
      <w:bookmarkStart w:id="102" w:name="_Toc27400"/>
      <w:bookmarkStart w:id="103" w:name="_Toc24721"/>
      <w:bookmarkStart w:id="104" w:name="_Toc11359"/>
      <w:bookmarkStart w:id="105" w:name="_Toc19186"/>
      <w:bookmarkStart w:id="106" w:name="_Toc7944"/>
      <w:bookmarkStart w:id="107" w:name="_Toc13166"/>
      <w:bookmarkStart w:id="108" w:name="_Toc15696"/>
      <w:bookmarkStart w:id="109" w:name="_Toc29453"/>
      <w:bookmarkStart w:id="110" w:name="_Toc20956"/>
      <w:bookmarkStart w:id="111" w:name="_Toc24333"/>
      <w:bookmarkStart w:id="112" w:name="_Toc841"/>
      <w:bookmarkStart w:id="113" w:name="_Toc492654784"/>
      <w:bookmarkStart w:id="114" w:name="_Toc6273"/>
      <w:bookmarkStart w:id="115" w:name="_Toc20486"/>
      <w:bookmarkStart w:id="116" w:name="_Toc31110"/>
      <w:bookmarkStart w:id="117" w:name="_Toc8284"/>
      <w:r>
        <w:rPr>
          <w:rFonts w:hint="eastAsia"/>
        </w:rPr>
        <w:t>五、投标有关规定</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Style w:val="30"/>
        <w:ind w:firstLine="480"/>
      </w:pPr>
      <w:r>
        <w:rPr>
          <w:rFonts w:hint="eastAsia"/>
        </w:rPr>
        <w:t>（一）超过投标截止时间递交的投标文件，恕不接收。</w:t>
      </w:r>
    </w:p>
    <w:p>
      <w:pPr>
        <w:pStyle w:val="30"/>
        <w:ind w:firstLine="480"/>
      </w:pPr>
      <w:r>
        <w:rPr>
          <w:rFonts w:hint="eastAsia"/>
        </w:rPr>
        <w:t>（二）</w:t>
      </w:r>
      <w:r>
        <w:t>单位负责人为同一人或者存在直接控股、管理关系的不同供应商，不得参加同一合同项下的政府采购活动。</w:t>
      </w:r>
    </w:p>
    <w:p>
      <w:pPr>
        <w:pStyle w:val="30"/>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30"/>
        <w:ind w:firstLine="480"/>
      </w:pPr>
      <w:r>
        <w:rPr>
          <w:rFonts w:hint="eastAsia"/>
        </w:rPr>
        <w:t>（四）投标费用：无论投标结果如何，投标人参与本项目投标的所有费用均应由投标人自行承担。</w:t>
      </w:r>
    </w:p>
    <w:p>
      <w:pPr>
        <w:pStyle w:val="28"/>
        <w:ind w:firstLine="562"/>
        <w:outlineLvl w:val="1"/>
      </w:pPr>
      <w:bookmarkStart w:id="118" w:name="_Toc29237"/>
      <w:bookmarkStart w:id="119" w:name="_Toc684"/>
      <w:bookmarkStart w:id="120" w:name="_Toc3363"/>
      <w:bookmarkStart w:id="121" w:name="_Toc8597"/>
      <w:bookmarkStart w:id="122" w:name="_Toc11990"/>
      <w:bookmarkStart w:id="123" w:name="_Toc19916"/>
      <w:bookmarkStart w:id="124" w:name="_Toc2547"/>
      <w:bookmarkStart w:id="125" w:name="_Toc902"/>
      <w:bookmarkStart w:id="126" w:name="_Toc29010"/>
      <w:bookmarkStart w:id="127" w:name="_Toc18393"/>
      <w:bookmarkStart w:id="128" w:name="_Toc24715"/>
      <w:bookmarkStart w:id="129" w:name="_Toc13651917"/>
      <w:bookmarkStart w:id="130" w:name="_Toc13579"/>
      <w:bookmarkStart w:id="131" w:name="_Toc18432"/>
      <w:bookmarkStart w:id="132" w:name="_Toc17754"/>
      <w:bookmarkStart w:id="133" w:name="_Toc414"/>
      <w:bookmarkStart w:id="134" w:name="_Toc28896"/>
      <w:r>
        <w:rPr>
          <w:rFonts w:hint="eastAsia"/>
        </w:rPr>
        <w:t>六</w:t>
      </w:r>
      <w:r>
        <w:t>、</w:t>
      </w:r>
      <w:r>
        <w:rPr>
          <w:rFonts w:hint="eastAsia"/>
        </w:rPr>
        <w:t>采购项目需落实的政府采购政策</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Style w:val="30"/>
        <w:ind w:firstLine="480"/>
      </w:pPr>
      <w:r>
        <w:rPr>
          <w:rFonts w:hint="eastAsia"/>
        </w:rPr>
        <w:t>（一）按照《财政部 工业和信息化部关于印发&lt;政府采购促进中小企业发展暂行办法&gt;的通知》（财库〔2011〕181号）的规定，落实促进中小企业发展政策。</w:t>
      </w:r>
    </w:p>
    <w:p>
      <w:pPr>
        <w:pStyle w:val="30"/>
        <w:ind w:firstLine="480"/>
      </w:pPr>
      <w:r>
        <w:rPr>
          <w:rFonts w:hint="eastAsia"/>
        </w:rPr>
        <w:t>（二）按照《财政部、司法部关于政府采购支持监狱企业发展有关问题的通知》（财库〔2014〕68号）的规定，落实支持监狱企业发展政策。</w:t>
      </w:r>
    </w:p>
    <w:p>
      <w:pPr>
        <w:pStyle w:val="30"/>
        <w:ind w:firstLine="480"/>
      </w:pPr>
      <w:r>
        <w:rPr>
          <w:rFonts w:hint="eastAsia"/>
        </w:rPr>
        <w:t>（三）按照《三部门联合发布关于促进残疾人就业政府采购政策的通知》（财库〔2017〕 141号）的规定，落实支持残疾人福利性单位发展政策。</w:t>
      </w:r>
    </w:p>
    <w:p>
      <w:pPr>
        <w:pStyle w:val="28"/>
        <w:ind w:firstLine="562"/>
        <w:outlineLvl w:val="1"/>
      </w:pPr>
      <w:bookmarkStart w:id="135" w:name="_Toc13651918"/>
      <w:bookmarkStart w:id="136" w:name="_Toc10299"/>
      <w:bookmarkStart w:id="137" w:name="_Toc18273"/>
      <w:bookmarkStart w:id="138" w:name="_Toc30960"/>
      <w:bookmarkStart w:id="139" w:name="_Toc11204"/>
      <w:bookmarkStart w:id="140" w:name="_Toc29736"/>
      <w:bookmarkStart w:id="141" w:name="_Toc25769"/>
      <w:bookmarkStart w:id="142" w:name="_Toc27761"/>
      <w:bookmarkStart w:id="143" w:name="_Toc11765"/>
      <w:bookmarkStart w:id="144" w:name="_Toc4398"/>
      <w:bookmarkStart w:id="145" w:name="_Toc14378"/>
      <w:bookmarkStart w:id="146" w:name="_Toc22540"/>
      <w:bookmarkStart w:id="147" w:name="_Toc2515"/>
      <w:bookmarkStart w:id="148" w:name="_Toc1017"/>
      <w:bookmarkStart w:id="149" w:name="_Toc6613"/>
      <w:bookmarkStart w:id="150" w:name="_Toc4114"/>
      <w:bookmarkStart w:id="151" w:name="_Toc30818"/>
      <w:r>
        <w:rPr>
          <w:rFonts w:hint="eastAsia"/>
        </w:rPr>
        <w:t>七</w:t>
      </w:r>
      <w:r>
        <w:t>、</w:t>
      </w:r>
      <w:bookmarkEnd w:id="135"/>
      <w:r>
        <w:rPr>
          <w:rFonts w:hint="eastAsia"/>
        </w:rPr>
        <w:t>标前答疑</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30"/>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8"/>
        <w:ind w:firstLine="562"/>
        <w:outlineLvl w:val="1"/>
      </w:pPr>
      <w:bookmarkStart w:id="152" w:name="_Toc6215"/>
      <w:bookmarkStart w:id="153" w:name="_Toc32747"/>
      <w:bookmarkStart w:id="154" w:name="_Toc28002"/>
      <w:bookmarkStart w:id="155" w:name="_Toc13312"/>
      <w:bookmarkStart w:id="156" w:name="_Toc4089"/>
      <w:bookmarkStart w:id="157" w:name="_Toc22616"/>
      <w:bookmarkStart w:id="158" w:name="_Toc9544"/>
      <w:bookmarkStart w:id="159" w:name="_Toc27417"/>
      <w:bookmarkStart w:id="160" w:name="_Toc26159"/>
      <w:bookmarkStart w:id="161" w:name="_Toc3019"/>
      <w:bookmarkStart w:id="162" w:name="_Toc18489"/>
      <w:bookmarkStart w:id="163" w:name="_Toc7566"/>
      <w:bookmarkStart w:id="164" w:name="_Toc28253"/>
      <w:bookmarkStart w:id="165" w:name="_Toc26676"/>
      <w:bookmarkStart w:id="166" w:name="_Toc20824"/>
      <w:bookmarkStart w:id="167" w:name="_Toc25115"/>
      <w:r>
        <w:rPr>
          <w:rFonts w:hint="eastAsia"/>
        </w:rPr>
        <w:t>八、联系方式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30"/>
        <w:ind w:firstLine="480"/>
      </w:pPr>
      <w:r>
        <w:rPr>
          <w:rFonts w:hint="eastAsia"/>
        </w:rPr>
        <w:t>（一）采购单位名称：乌尔禾区</w:t>
      </w:r>
      <w:r>
        <w:rPr>
          <w:rFonts w:hint="eastAsia"/>
          <w:lang w:eastAsia="zh-CN"/>
        </w:rPr>
        <w:t>网信办</w:t>
      </w:r>
      <w:r>
        <w:rPr>
          <w:rFonts w:hint="eastAsia"/>
        </w:rPr>
        <w:t xml:space="preserve"> </w:t>
      </w:r>
    </w:p>
    <w:p>
      <w:pPr>
        <w:pStyle w:val="30"/>
        <w:ind w:firstLine="480"/>
      </w:pPr>
      <w:r>
        <w:rPr>
          <w:rFonts w:hint="eastAsia"/>
        </w:rPr>
        <w:t>联系人：</w:t>
      </w:r>
      <w:r>
        <w:rPr>
          <w:rFonts w:hint="eastAsia"/>
          <w:lang w:eastAsia="zh-CN"/>
        </w:rPr>
        <w:t>王贵东</w:t>
      </w:r>
      <w:r>
        <w:rPr>
          <w:rFonts w:hint="eastAsia"/>
        </w:rPr>
        <w:t xml:space="preserve"> </w:t>
      </w:r>
    </w:p>
    <w:p>
      <w:pPr>
        <w:pStyle w:val="30"/>
        <w:ind w:firstLine="480"/>
        <w:rPr>
          <w:rFonts w:hint="eastAsia" w:eastAsia="仿宋"/>
          <w:lang w:eastAsia="zh-CN"/>
        </w:rPr>
      </w:pPr>
      <w:r>
        <w:rPr>
          <w:rFonts w:hint="eastAsia"/>
        </w:rPr>
        <w:t>电  话：</w:t>
      </w:r>
      <w:r>
        <w:rPr>
          <w:rFonts w:hint="eastAsia"/>
          <w:lang w:val="en-US" w:eastAsia="zh-CN"/>
        </w:rPr>
        <w:t xml:space="preserve">18799226776 </w:t>
      </w:r>
    </w:p>
    <w:p>
      <w:pPr>
        <w:pStyle w:val="30"/>
        <w:ind w:firstLine="480"/>
      </w:pPr>
      <w:r>
        <w:rPr>
          <w:rFonts w:hint="eastAsia"/>
        </w:rPr>
        <w:t>二）采购代理机构：乌尔禾区采购中心</w:t>
      </w:r>
    </w:p>
    <w:p>
      <w:pPr>
        <w:pStyle w:val="30"/>
        <w:ind w:firstLine="480"/>
        <w:rPr>
          <w:color w:val="auto"/>
        </w:rPr>
      </w:pPr>
      <w:r>
        <w:rPr>
          <w:rFonts w:hint="eastAsia"/>
          <w:color w:val="auto"/>
        </w:rPr>
        <w:t>联系人：王一扬</w:t>
      </w:r>
    </w:p>
    <w:p>
      <w:pPr>
        <w:pStyle w:val="30"/>
        <w:ind w:firstLine="480"/>
        <w:rPr>
          <w:color w:val="auto"/>
        </w:rPr>
      </w:pPr>
      <w:r>
        <w:rPr>
          <w:rFonts w:hint="eastAsia"/>
          <w:color w:val="auto"/>
        </w:rPr>
        <w:t>电  话：0990-6963528</w:t>
      </w:r>
    </w:p>
    <w:p>
      <w:pPr>
        <w:pStyle w:val="30"/>
        <w:ind w:firstLine="480"/>
        <w:rPr>
          <w:color w:val="auto"/>
        </w:rPr>
      </w:pPr>
      <w:r>
        <w:rPr>
          <w:rFonts w:hint="eastAsia"/>
          <w:color w:val="auto"/>
        </w:rPr>
        <w:t>质疑受理电话： 0990-6963528</w:t>
      </w:r>
    </w:p>
    <w:p>
      <w:pPr>
        <w:pStyle w:val="30"/>
        <w:ind w:firstLine="480"/>
        <w:rPr>
          <w:color w:val="auto"/>
        </w:rPr>
      </w:pPr>
      <w:r>
        <w:rPr>
          <w:rFonts w:hint="eastAsia"/>
        </w:rPr>
        <w:t xml:space="preserve">报名咨询电话： </w:t>
      </w:r>
      <w:r>
        <w:rPr>
          <w:rFonts w:hint="eastAsia"/>
          <w:color w:val="auto"/>
        </w:rPr>
        <w:t>0990-6963528</w:t>
      </w:r>
    </w:p>
    <w:p>
      <w:pPr>
        <w:pStyle w:val="30"/>
        <w:ind w:firstLine="480"/>
        <w:rPr>
          <w:color w:val="auto"/>
        </w:rPr>
      </w:pPr>
      <w:r>
        <w:rPr>
          <w:rFonts w:hint="eastAsia"/>
          <w:color w:val="auto"/>
        </w:rPr>
        <w:t>地  址：克拉玛依市乌尔禾区同兴路12号</w:t>
      </w:r>
    </w:p>
    <w:bookmarkEnd w:id="100"/>
    <w:p>
      <w:pPr>
        <w:pStyle w:val="30"/>
        <w:ind w:firstLine="480"/>
        <w:rPr>
          <w:color w:val="auto"/>
        </w:rPr>
      </w:pPr>
    </w:p>
    <w:p>
      <w:pPr>
        <w:pStyle w:val="30"/>
        <w:ind w:firstLine="480"/>
        <w:rPr>
          <w:color w:val="auto"/>
        </w:rPr>
        <w:sectPr>
          <w:pgSz w:w="11907" w:h="16840"/>
          <w:pgMar w:top="1134" w:right="1191" w:bottom="1134" w:left="1304" w:header="964" w:footer="992" w:gutter="0"/>
          <w:cols w:space="720" w:num="1"/>
          <w:docGrid w:linePitch="312" w:charSpace="0"/>
        </w:sectPr>
      </w:pPr>
      <w:bookmarkStart w:id="168" w:name="_Toc492654787"/>
      <w:r>
        <w:rPr>
          <w:color w:val="auto"/>
        </w:rPr>
        <w:drawing>
          <wp:anchor distT="0" distB="0" distL="114300" distR="114300" simplePos="0" relativeHeight="251661312"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4"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60288"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2336"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cstate="print"/>
                    <a:stretch>
                      <a:fillRect/>
                    </a:stretch>
                  </pic:blipFill>
                  <pic:spPr>
                    <a:xfrm>
                      <a:off x="0" y="0"/>
                      <a:ext cx="1765300" cy="1229360"/>
                    </a:xfrm>
                    <a:prstGeom prst="rect">
                      <a:avLst/>
                    </a:prstGeom>
                  </pic:spPr>
                </pic:pic>
              </a:graphicData>
            </a:graphic>
          </wp:anchor>
        </w:drawing>
      </w:r>
    </w:p>
    <w:bookmarkEnd w:id="168"/>
    <w:p>
      <w:pPr>
        <w:pStyle w:val="26"/>
      </w:pPr>
      <w:r>
        <w:rPr>
          <w:rFonts w:hint="eastAsia"/>
        </w:rPr>
        <w:t>第二篇  服务要求</w:t>
      </w:r>
    </w:p>
    <w:p>
      <w:pPr>
        <w:pStyle w:val="26"/>
        <w:jc w:val="both"/>
        <w:rPr>
          <w:rFonts w:hint="eastAsia"/>
          <w:sz w:val="28"/>
          <w:szCs w:val="28"/>
        </w:rPr>
      </w:pPr>
      <w:r>
        <w:rPr>
          <w:rFonts w:hint="eastAsia"/>
          <w:b w:val="0"/>
          <w:sz w:val="28"/>
          <w:szCs w:val="28"/>
        </w:rPr>
        <w:t>一、</w:t>
      </w:r>
      <w:r>
        <w:rPr>
          <w:rFonts w:hint="eastAsia"/>
          <w:sz w:val="28"/>
          <w:szCs w:val="28"/>
        </w:rPr>
        <w:t>项目概况</w:t>
      </w:r>
    </w:p>
    <w:p>
      <w:pPr>
        <w:snapToGrid w:val="0"/>
        <w:spacing w:line="460" w:lineRule="exact"/>
        <w:ind w:firstLine="600" w:firstLineChars="250"/>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为了满足平安城市大规模、高清视频海量存储的需求，突破传统SAN和NAS在容量和性能扩展上的瓶颈，拟采购云存储方案，实现性能和容量的线性扩展，解决视频高清化、系统集中化、建设规模化带来存储容量需求日渐膨胀，存储压力增大的困难，建立一套具有高可靠、可在线弹性伸缩，满足高吞吐量并发访问需求的云存储平台。为视频平台数据存储提供便捷、统一管理和高效应用的基础支撑。</w:t>
      </w:r>
    </w:p>
    <w:p>
      <w:pPr>
        <w:pStyle w:val="26"/>
        <w:jc w:val="both"/>
        <w:rPr>
          <w:rFonts w:hint="eastAsia"/>
          <w:b/>
          <w:bCs/>
          <w:sz w:val="28"/>
          <w:szCs w:val="28"/>
          <w:lang w:eastAsia="zh-CN"/>
        </w:rPr>
      </w:pPr>
      <w:r>
        <w:rPr>
          <w:rFonts w:hint="eastAsia"/>
          <w:b/>
          <w:bCs/>
          <w:sz w:val="28"/>
          <w:szCs w:val="28"/>
        </w:rPr>
        <w:t>二、</w:t>
      </w:r>
      <w:r>
        <w:rPr>
          <w:rFonts w:hint="eastAsia"/>
          <w:b/>
          <w:bCs/>
          <w:sz w:val="28"/>
          <w:szCs w:val="28"/>
          <w:lang w:eastAsia="zh-CN"/>
        </w:rPr>
        <w:t>服务标准及要求</w:t>
      </w:r>
    </w:p>
    <w:p>
      <w:pPr>
        <w:snapToGrid w:val="0"/>
        <w:spacing w:line="460" w:lineRule="exact"/>
        <w:ind w:firstLine="602" w:firstLineChars="250"/>
        <w:rPr>
          <w:rFonts w:hint="eastAsia" w:ascii="仿宋" w:hAnsi="仿宋" w:eastAsia="仿宋" w:cs="宋体"/>
          <w:b/>
          <w:bCs/>
          <w:color w:val="auto"/>
          <w:kern w:val="24"/>
          <w:sz w:val="24"/>
          <w:szCs w:val="24"/>
          <w:lang w:val="en-US" w:eastAsia="zh-CN" w:bidi="ar-SA"/>
        </w:rPr>
      </w:pPr>
      <w:r>
        <w:rPr>
          <w:rFonts w:hint="eastAsia" w:ascii="仿宋" w:hAnsi="仿宋" w:eastAsia="仿宋" w:cs="宋体"/>
          <w:b/>
          <w:bCs/>
          <w:color w:val="auto"/>
          <w:kern w:val="24"/>
          <w:sz w:val="24"/>
          <w:szCs w:val="24"/>
          <w:lang w:val="en-US" w:eastAsia="zh-CN" w:bidi="ar-SA"/>
        </w:rPr>
        <w:t>1、根据相关工作要求</w:t>
      </w:r>
    </w:p>
    <w:p>
      <w:pPr>
        <w:snapToGrid w:val="0"/>
        <w:spacing w:line="460" w:lineRule="exact"/>
        <w:ind w:firstLine="600" w:firstLineChars="250"/>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克拉玛依市平安城市及相关公共场所视频存储应达到90天，</w:t>
      </w:r>
      <w:bookmarkStart w:id="699" w:name="_GoBack"/>
      <w:r>
        <w:rPr>
          <w:rFonts w:hint="eastAsia" w:ascii="仿宋" w:hAnsi="仿宋" w:eastAsia="仿宋" w:cs="宋体"/>
          <w:color w:val="auto"/>
          <w:kern w:val="24"/>
          <w:sz w:val="24"/>
          <w:szCs w:val="24"/>
          <w:lang w:val="en-US" w:eastAsia="zh-CN" w:bidi="ar-SA"/>
        </w:rPr>
        <w:t>需满足650路视频JK（200万高清4M码流）90天存储，</w:t>
      </w:r>
      <w:r>
        <w:rPr>
          <w:rFonts w:hint="eastAsia" w:ascii="仿宋" w:hAnsi="仿宋" w:eastAsia="仿宋" w:cs="宋体"/>
          <w:color w:val="FF0000"/>
          <w:kern w:val="24"/>
          <w:sz w:val="24"/>
          <w:szCs w:val="24"/>
          <w:lang w:val="en-US" w:eastAsia="zh-CN" w:bidi="ar-SA"/>
        </w:rPr>
        <w:t>预计3558T存储空间。</w:t>
      </w:r>
      <w:bookmarkEnd w:id="699"/>
    </w:p>
    <w:tbl>
      <w:tblPr>
        <w:tblStyle w:val="1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290"/>
        <w:gridCol w:w="6910"/>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序号</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服务内容</w:t>
            </w:r>
          </w:p>
        </w:tc>
        <w:tc>
          <w:tcPr>
            <w:tcW w:w="3418" w:type="pct"/>
            <w:vMerge w:val="restart"/>
            <w:tcBorders>
              <w:top w:val="single" w:color="000000" w:sz="8" w:space="0"/>
              <w:left w:val="nil"/>
              <w:bottom w:val="single" w:color="000000" w:sz="8" w:space="0"/>
              <w:right w:val="single" w:color="000000" w:sz="8" w:space="0"/>
            </w:tcBorders>
            <w:shd w:val="clear" w:color="auto" w:fill="auto"/>
            <w:vAlign w:val="center"/>
          </w:tcPr>
          <w:p>
            <w:pPr>
              <w:snapToGrid w:val="0"/>
              <w:spacing w:line="460" w:lineRule="exact"/>
              <w:ind w:firstLine="600" w:firstLineChars="250"/>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规格型号</w:t>
            </w:r>
          </w:p>
        </w:tc>
        <w:tc>
          <w:tcPr>
            <w:tcW w:w="568" w:type="pct"/>
            <w:tcBorders>
              <w:top w:val="single" w:color="000000" w:sz="8" w:space="0"/>
              <w:left w:val="nil"/>
              <w:bottom w:val="single" w:color="000000" w:sz="8" w:space="0"/>
              <w:right w:val="single" w:color="000000" w:sz="8" w:space="0"/>
            </w:tcBorders>
            <w:shd w:val="clear" w:color="auto" w:fill="auto"/>
            <w:vAlign w:val="center"/>
          </w:tcPr>
          <w:p>
            <w:pPr>
              <w:snapToGrid w:val="0"/>
              <w:spacing w:line="460" w:lineRule="exact"/>
              <w:ind w:left="0" w:leftChars="0" w:firstLine="0" w:firstLineChars="0"/>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vMerge w:val="continue"/>
            <w:tcBorders>
              <w:top w:val="single" w:color="000000" w:sz="8" w:space="0"/>
              <w:left w:val="nil"/>
              <w:bottom w:val="single" w:color="000000" w:sz="8" w:space="0"/>
              <w:right w:val="single" w:color="000000" w:sz="8" w:space="0"/>
            </w:tcBorders>
            <w:shd w:val="clear" w:color="auto" w:fill="auto"/>
            <w:vAlign w:val="center"/>
          </w:tcPr>
          <w:p>
            <w:pPr>
              <w:snapToGrid w:val="0"/>
              <w:spacing w:line="460" w:lineRule="exact"/>
              <w:ind w:firstLine="600" w:firstLineChars="250"/>
              <w:rPr>
                <w:rFonts w:hint="eastAsia" w:ascii="仿宋" w:hAnsi="仿宋" w:eastAsia="仿宋" w:cs="宋体"/>
                <w:color w:val="auto"/>
                <w:kern w:val="24"/>
                <w:sz w:val="24"/>
                <w:szCs w:val="24"/>
                <w:lang w:val="en-US" w:eastAsia="zh-CN" w:bidi="ar-SA"/>
              </w:rPr>
            </w:pPr>
          </w:p>
        </w:tc>
        <w:tc>
          <w:tcPr>
            <w:tcW w:w="568" w:type="pct"/>
            <w:tcBorders>
              <w:top w:val="nil"/>
              <w:left w:val="nil"/>
              <w:bottom w:val="nil"/>
              <w:right w:val="single" w:color="000000" w:sz="8" w:space="0"/>
            </w:tcBorders>
            <w:shd w:val="clear" w:color="auto" w:fill="auto"/>
            <w:vAlign w:val="center"/>
          </w:tcPr>
          <w:p>
            <w:pPr>
              <w:snapToGrid w:val="0"/>
              <w:spacing w:line="460" w:lineRule="exact"/>
              <w:ind w:left="0" w:leftChars="0" w:firstLine="0" w:firstLineChars="0"/>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1</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视频存储服务</w:t>
            </w: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磁盘阵列·尺寸：8U机架式</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盘位规格：72*9  合计 648盘位</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CPU规格：64位多核处理器</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内存规格：4GB（标配，可扩展至32G）</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硬盘容量：3558TB</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RAID级别:支持RAID 0、1、3、5、6、10、50，60、JBOD模式</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网口规格：2个千兆网口（可扩展至6个千兆 或 增配2个万兆以太网口）</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电源规格：2*550W交流冗余电源;</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single" w:color="000000" w:sz="4" w:space="0"/>
              <w:bottom w:val="single" w:color="000000" w:sz="4" w:space="0"/>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功能要求：支持视频流和图片、视频文件进行混合直写存储；支持SMART IPC接入，支持存储智能信息，实现智能事件检索功能，精确定位重点事件，可通过平台进行智能浓缩播放。</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2</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left="0" w:leftChars="0" w:firstLine="0" w:firstLineChars="0"/>
              <w:jc w:val="both"/>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视频接入管理服务</w:t>
            </w: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管理服务器尺寸：2U机架式</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CPU规格：2颗  6核 主频2.3GHz</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内存规格：DDR4, 64GB</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硬盘容量：1TB</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网口规格：4个千兆电口</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3418" w:type="pct"/>
            <w:tcBorders>
              <w:top w:val="nil"/>
              <w:left w:val="nil"/>
              <w:bottom w:val="single" w:color="000000" w:sz="8" w:space="0"/>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电源规格：2*550W交流冗余电源;</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3</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数据转发服务</w:t>
            </w: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交换机尺寸：10U机架式</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应用层数：三层</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背板带宽：6Tbps</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包转发率：1152Mpps</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网口规格：36路电口+12路光口;</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电源规格：2*800W交流冗余电源;</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VLAN：支持Access、Trunk、Hybrid方式； 支持default VLAN、支持VLAN交换、支持QinQ、增强型灵活QinQ、支持基于MAC的动态VLAN分配</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扩展模块：6个业务槽位</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组播管理:支持IGMPv1/v2/v3、IGMP v1/v2/v3 Snooping;支持PIM DM、PIM SM、PIM SSM;支持MSDP、MBGP;支持用户快速离开机制; 支持组播流量控制; 支持组播查询器; 支持组播协议报文抑制功能; 支持组播CAC</w:t>
            </w:r>
            <w:r>
              <w:rPr>
                <w:rFonts w:hint="eastAsia" w:ascii="仿宋" w:hAnsi="仿宋" w:eastAsia="仿宋" w:cs="宋体"/>
                <w:color w:val="auto"/>
                <w:kern w:val="24"/>
                <w:sz w:val="24"/>
                <w:szCs w:val="24"/>
                <w:lang w:val="en-US" w:eastAsia="zh-CN" w:bidi="ar-SA"/>
              </w:rPr>
              <w:br w:type="textWrapping"/>
            </w:r>
            <w:r>
              <w:rPr>
                <w:rFonts w:hint="eastAsia" w:ascii="仿宋" w:hAnsi="仿宋" w:eastAsia="仿宋" w:cs="宋体"/>
                <w:color w:val="auto"/>
                <w:kern w:val="24"/>
                <w:sz w:val="24"/>
                <w:szCs w:val="24"/>
                <w:lang w:val="en-US" w:eastAsia="zh-CN" w:bidi="ar-SA"/>
              </w:rPr>
              <w:t>支持组播ACL</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安全管理:802.1x认证，Portal认证; 支持NAC;支持RADIUS和HWTACACS用户登录认证; 命令行分级保护，未授权用户无法侵入; 支持防范DoS攻击、TCP的SYN Flood攻击、UDP Flood攻击、广播风暴攻击、大流量攻击; 支持1K CPU通道队列保护; 支持ICMP实现ping和traceroute功能; 支持RMON</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nil"/>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网络管理:支持Console、Telnet、SSH等终端服务; 支持SNMPv1/v2/v3等网络管理协议; 支持通过FTP、TFTP方式上载、下载文件; 支持BootROM升级和远程在线升级; 支持热补丁; 支持用户操作日志;</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3418" w:type="pct"/>
            <w:tcBorders>
              <w:top w:val="nil"/>
              <w:left w:val="nil"/>
              <w:bottom w:val="single" w:color="000000" w:sz="8" w:space="0"/>
              <w:right w:val="nil"/>
            </w:tcBorders>
            <w:shd w:val="clear" w:color="auto" w:fill="auto"/>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QOS:支持基于Layer2协议头、Layer3协议、Layer4协议、802.1p优先级等的组合流分类; 支持ACL、CAR、Remark、Schedule等动作; 支持PQ、WRR、DRR、PQ+WRR、PQ+DRR等队列调度方式; 支持WRED、尾丢弃等拥塞避免机制; 支持H-QOS;支持流量整形</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r>
    </w:tbl>
    <w:p>
      <w:pPr>
        <w:snapToGrid w:val="0"/>
        <w:spacing w:line="460" w:lineRule="exact"/>
        <w:ind w:left="0" w:leftChars="0" w:firstLine="720" w:firstLineChars="30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注：云存储服务中涉及到存储平台搭建相关的网络设备由投标人自行解决，含在云存储服务报价中，不在报价明细里体现。</w:t>
      </w:r>
    </w:p>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此次云存储服务中如涉及到不同数据中心机房间网络连接所需的传输链路由投标人自行免费解决，不在报价明细里体现。</w:t>
      </w:r>
    </w:p>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此次云存储服务报价含存储设备搭建的机房及日常运维费用（如机房机柜、电力制冷设备、电费、运维费等），由投标人自行免费解决，不在报价明细里体现。</w:t>
      </w:r>
    </w:p>
    <w:p>
      <w:pPr>
        <w:snapToGrid w:val="0"/>
        <w:spacing w:line="460" w:lineRule="exact"/>
        <w:ind w:firstLine="602" w:firstLineChars="250"/>
        <w:jc w:val="left"/>
        <w:rPr>
          <w:rFonts w:hint="eastAsia" w:ascii="仿宋" w:hAnsi="仿宋" w:eastAsia="仿宋" w:cs="宋体"/>
          <w:b/>
          <w:bCs/>
          <w:color w:val="auto"/>
          <w:kern w:val="24"/>
          <w:sz w:val="24"/>
          <w:szCs w:val="24"/>
          <w:lang w:val="en-US" w:eastAsia="zh-CN" w:bidi="ar-SA"/>
        </w:rPr>
      </w:pPr>
      <w:r>
        <w:rPr>
          <w:rFonts w:hint="eastAsia" w:ascii="仿宋" w:hAnsi="仿宋" w:eastAsia="仿宋" w:cs="宋体"/>
          <w:b/>
          <w:bCs/>
          <w:color w:val="auto"/>
          <w:kern w:val="24"/>
          <w:sz w:val="24"/>
          <w:szCs w:val="24"/>
          <w:lang w:val="en-US" w:eastAsia="zh-CN" w:bidi="ar-SA"/>
        </w:rPr>
        <w:t>2、总体要求</w:t>
      </w:r>
    </w:p>
    <w:tbl>
      <w:tblPr>
        <w:tblStyle w:val="19"/>
        <w:tblW w:w="99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735"/>
        <w:gridCol w:w="81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446" w:hRule="atLeast"/>
          <w:jc w:val="center"/>
        </w:trPr>
        <w:tc>
          <w:tcPr>
            <w:tcW w:w="173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指标项</w:t>
            </w:r>
          </w:p>
        </w:tc>
        <w:tc>
          <w:tcPr>
            <w:tcW w:w="8195" w:type="dxa"/>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指标要求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工期要求</w:t>
            </w: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default"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能够快速部署，10个工作日内交付使用，支持扩展，及时满足用户业务部署需求及上线速度。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restart"/>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服务延续性要求</w:t>
            </w: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成交人需具备云平台资源池的运维、管理、扩容的能力。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continue"/>
            <w:shd w:val="clear" w:color="auto" w:fill="auto"/>
            <w:noWrap w:val="0"/>
            <w:tcMar>
              <w:top w:w="0" w:type="dxa"/>
              <w:left w:w="108" w:type="dxa"/>
              <w:bottom w:w="0" w:type="dxa"/>
              <w:right w:w="108" w:type="dxa"/>
            </w:tcMar>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成交人具有一个不少于10人的运维团队常驻现场，保证云存储平台的正常运行及业务的正常开展。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restart"/>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平台部署机房基础设施</w:t>
            </w: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保证提供存储服务的持续连贯性，要求存储平台部署在独立的机房模块内，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continue"/>
            <w:shd w:val="clear" w:color="auto" w:fill="auto"/>
            <w:noWrap w:val="0"/>
            <w:tcMar>
              <w:top w:w="0" w:type="dxa"/>
              <w:left w:w="108" w:type="dxa"/>
              <w:bottom w:w="0" w:type="dxa"/>
              <w:right w:w="108" w:type="dxa"/>
            </w:tcMar>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机房采用两路不同变电站的一类市电供电，变压器采用2N冗余。配有发电机组，保证停电后8小时以上持续电力供给。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continue"/>
            <w:shd w:val="clear" w:color="auto" w:fill="auto"/>
            <w:noWrap w:val="0"/>
            <w:tcMar>
              <w:top w:w="0" w:type="dxa"/>
              <w:left w:w="108" w:type="dxa"/>
              <w:bottom w:w="0" w:type="dxa"/>
              <w:right w:w="108" w:type="dxa"/>
            </w:tcMar>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机柜主设备均采用2+1架构UPS保护，电力系统可用性达到99.99%以上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continue"/>
            <w:shd w:val="clear" w:color="auto" w:fill="auto"/>
            <w:noWrap w:val="0"/>
            <w:tcMar>
              <w:top w:w="0" w:type="dxa"/>
              <w:left w:w="108" w:type="dxa"/>
              <w:bottom w:w="0" w:type="dxa"/>
              <w:right w:w="108" w:type="dxa"/>
            </w:tcMar>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机房制冷采用两套管路系统，每套系统的冷冻水系统均采用闭式循环系统，由立管和水平管组成，均采用同程式供回水方式。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continue"/>
            <w:shd w:val="clear" w:color="auto" w:fill="auto"/>
            <w:noWrap w:val="0"/>
            <w:tcMar>
              <w:top w:w="0" w:type="dxa"/>
              <w:left w:w="108" w:type="dxa"/>
              <w:bottom w:w="0" w:type="dxa"/>
              <w:right w:w="108" w:type="dxa"/>
            </w:tcMar>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为保证市电断电，发电机组启动过程中，机房不间断供冷需要，配有蓄冷罐，保障8分钟不间断冷源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735" w:type="dxa"/>
            <w:vMerge w:val="continue"/>
            <w:shd w:val="clear" w:color="auto" w:fill="auto"/>
            <w:noWrap w:val="0"/>
            <w:tcMar>
              <w:top w:w="0" w:type="dxa"/>
              <w:left w:w="108" w:type="dxa"/>
              <w:bottom w:w="0" w:type="dxa"/>
              <w:right w:w="108" w:type="dxa"/>
            </w:tcMar>
            <w:vAlign w:val="center"/>
          </w:tcPr>
          <w:p>
            <w:pPr>
              <w:snapToGrid w:val="0"/>
              <w:spacing w:line="460" w:lineRule="exact"/>
              <w:ind w:firstLine="600" w:firstLineChars="250"/>
              <w:jc w:val="center"/>
              <w:rPr>
                <w:rFonts w:hint="eastAsia" w:ascii="仿宋" w:hAnsi="仿宋" w:eastAsia="仿宋" w:cs="宋体"/>
                <w:color w:val="auto"/>
                <w:kern w:val="24"/>
                <w:sz w:val="24"/>
                <w:szCs w:val="24"/>
                <w:lang w:val="en-US" w:eastAsia="zh-CN" w:bidi="ar-SA"/>
              </w:rPr>
            </w:pPr>
          </w:p>
        </w:tc>
        <w:tc>
          <w:tcPr>
            <w:tcW w:w="8195" w:type="dxa"/>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机房内安装有360度无死角视频JK系统，并且在数据中心每个区域都具有独立的门禁系统，支撑指纹和IC卡。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3" w:hRule="atLeast"/>
          <w:jc w:val="center"/>
        </w:trPr>
        <w:tc>
          <w:tcPr>
            <w:tcW w:w="1735" w:type="dxa"/>
            <w:vMerge w:val="restart"/>
            <w:tcBorders>
              <w:top w:val="single" w:color="auto" w:sz="8" w:space="0"/>
              <w:left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center"/>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运维服务</w:t>
            </w:r>
          </w:p>
        </w:tc>
        <w:tc>
          <w:tcPr>
            <w:tcW w:w="8195" w:type="dxa"/>
            <w:tcBorders>
              <w:top w:val="single" w:color="auto" w:sz="4"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厂家需要具有完善运维管理制度及管理经验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7" w:hRule="atLeast"/>
          <w:jc w:val="center"/>
        </w:trPr>
        <w:tc>
          <w:tcPr>
            <w:tcW w:w="1735" w:type="dxa"/>
            <w:vMerge w:val="continue"/>
            <w:tcBorders>
              <w:left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8195" w:type="dxa"/>
            <w:tcBorders>
              <w:top w:val="single" w:color="auto" w:sz="4"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left="0" w:leftChars="0" w:firstLine="0" w:firstLineChars="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可提供7*24小时的电话、网站技术支持服务及7*24小时JK服务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 w:hRule="atLeast"/>
          <w:jc w:val="center"/>
        </w:trPr>
        <w:tc>
          <w:tcPr>
            <w:tcW w:w="1735" w:type="dxa"/>
            <w:vMerge w:val="continue"/>
            <w:tcBorders>
              <w:left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8195" w:type="dxa"/>
            <w:tcBorders>
              <w:top w:val="single" w:color="auto" w:sz="4"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可提供备件存储及增补、更换服务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2" w:hRule="atLeast"/>
          <w:jc w:val="center"/>
        </w:trPr>
        <w:tc>
          <w:tcPr>
            <w:tcW w:w="1735" w:type="dxa"/>
            <w:vMerge w:val="continue"/>
            <w:tcBorders>
              <w:left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8195" w:type="dxa"/>
            <w:tcBorders>
              <w:top w:val="single" w:color="auto" w:sz="4"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可提供7*24的驻场维护服务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5" w:hRule="atLeast"/>
          <w:jc w:val="center"/>
        </w:trPr>
        <w:tc>
          <w:tcPr>
            <w:tcW w:w="1735" w:type="dxa"/>
            <w:vMerge w:val="continue"/>
            <w:tcBorders>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p>
        </w:tc>
        <w:tc>
          <w:tcPr>
            <w:tcW w:w="8195" w:type="dxa"/>
            <w:tcBorders>
              <w:top w:val="single" w:color="auto" w:sz="4"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snapToGrid w:val="0"/>
              <w:spacing w:line="460" w:lineRule="exact"/>
              <w:ind w:firstLine="600" w:firstLineChars="250"/>
              <w:jc w:val="left"/>
              <w:rPr>
                <w:rFonts w:hint="eastAsia" w:ascii="仿宋" w:hAnsi="仿宋" w:eastAsia="仿宋" w:cs="宋体"/>
                <w:color w:val="auto"/>
                <w:kern w:val="24"/>
                <w:sz w:val="24"/>
                <w:szCs w:val="24"/>
                <w:lang w:val="en-US" w:eastAsia="zh-CN" w:bidi="ar-SA"/>
              </w:rPr>
            </w:pPr>
            <w:r>
              <w:rPr>
                <w:rFonts w:hint="eastAsia" w:ascii="仿宋" w:hAnsi="仿宋" w:eastAsia="仿宋" w:cs="宋体"/>
                <w:color w:val="auto"/>
                <w:kern w:val="24"/>
                <w:sz w:val="24"/>
                <w:szCs w:val="24"/>
                <w:lang w:val="en-US" w:eastAsia="zh-CN" w:bidi="ar-SA"/>
              </w:rPr>
              <w:t>可提供重大活动专属保障服务</w:t>
            </w:r>
          </w:p>
        </w:tc>
      </w:tr>
    </w:tbl>
    <w:p>
      <w:pPr>
        <w:ind w:firstLine="602"/>
        <w:jc w:val="left"/>
        <w:rPr>
          <w:rFonts w:ascii="仿宋" w:hAnsi="仿宋" w:eastAsia="仿宋"/>
          <w:b/>
          <w:bCs/>
          <w:sz w:val="30"/>
          <w:szCs w:val="30"/>
        </w:rPr>
      </w:pPr>
    </w:p>
    <w:p>
      <w:pPr>
        <w:ind w:firstLine="602"/>
        <w:jc w:val="left"/>
        <w:rPr>
          <w:rFonts w:ascii="仿宋" w:hAnsi="仿宋" w:eastAsia="仿宋"/>
          <w:b/>
          <w:bCs/>
          <w:sz w:val="30"/>
          <w:szCs w:val="30"/>
        </w:rPr>
      </w:pPr>
    </w:p>
    <w:p>
      <w:pPr>
        <w:pStyle w:val="26"/>
        <w:jc w:val="left"/>
        <w:outlineLvl w:val="0"/>
        <w:rPr>
          <w:color w:val="auto"/>
        </w:rPr>
      </w:pPr>
      <w:bookmarkStart w:id="169" w:name="_Toc9574"/>
      <w:bookmarkStart w:id="170" w:name="_Toc26095"/>
      <w:bookmarkStart w:id="171" w:name="_Toc13697"/>
      <w:bookmarkStart w:id="172" w:name="_Toc29345"/>
      <w:bookmarkStart w:id="173" w:name="_Toc23694"/>
      <w:bookmarkStart w:id="174" w:name="_Toc15183"/>
      <w:bookmarkStart w:id="175" w:name="_Toc12973"/>
      <w:bookmarkStart w:id="176" w:name="_Toc17689"/>
      <w:bookmarkStart w:id="177" w:name="_Toc28061"/>
      <w:bookmarkStart w:id="178" w:name="_Toc5824"/>
      <w:bookmarkStart w:id="179" w:name="_Toc1679"/>
      <w:bookmarkStart w:id="180" w:name="_Toc17675"/>
      <w:bookmarkStart w:id="181" w:name="_Toc28137"/>
      <w:bookmarkStart w:id="182" w:name="_Toc18758"/>
      <w:bookmarkStart w:id="183" w:name="_Toc26202"/>
      <w:bookmarkStart w:id="184" w:name="_Toc17507"/>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p>
    <w:p>
      <w:pPr>
        <w:pStyle w:val="26"/>
        <w:outlineLvl w:val="0"/>
        <w:rPr>
          <w:color w:val="auto"/>
        </w:rPr>
      </w:pPr>
      <w:r>
        <w:rPr>
          <w:rFonts w:hint="eastAsia"/>
          <w:color w:val="auto"/>
        </w:rPr>
        <w:t>第三篇  项目商务要求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28"/>
        <w:rPr>
          <w:rFonts w:hint="eastAsia"/>
        </w:rPr>
      </w:pPr>
      <w:bookmarkStart w:id="185" w:name="_Toc491251395"/>
      <w:bookmarkStart w:id="186" w:name="_Toc7405"/>
      <w:bookmarkStart w:id="187" w:name="_Toc22763"/>
      <w:bookmarkStart w:id="188" w:name="_Toc11429"/>
      <w:bookmarkStart w:id="189" w:name="_Toc31593"/>
      <w:bookmarkStart w:id="190" w:name="_Toc29229"/>
      <w:bookmarkStart w:id="191" w:name="_Toc3886"/>
      <w:bookmarkStart w:id="192" w:name="_Toc17672"/>
      <w:bookmarkStart w:id="193" w:name="_Toc14396"/>
      <w:bookmarkStart w:id="194" w:name="_Toc30715"/>
      <w:bookmarkStart w:id="195" w:name="_Toc22687"/>
      <w:bookmarkStart w:id="196" w:name="_Toc25428"/>
      <w:bookmarkStart w:id="197" w:name="_Toc759"/>
      <w:bookmarkStart w:id="198" w:name="_Toc18210"/>
      <w:bookmarkStart w:id="199" w:name="_Toc17849"/>
      <w:bookmarkStart w:id="200" w:name="_Toc31547"/>
      <w:bookmarkStart w:id="201" w:name="_Toc953"/>
      <w:r>
        <w:rPr>
          <w:rFonts w:hint="eastAsia"/>
        </w:rPr>
        <w:t>一、报价要求</w:t>
      </w:r>
      <w:bookmarkEnd w:id="185"/>
    </w:p>
    <w:p>
      <w:pPr>
        <w:pStyle w:val="30"/>
        <w:rPr>
          <w:rFonts w:hint="eastAsia"/>
        </w:rPr>
      </w:pPr>
      <w:bookmarkStart w:id="202" w:name="_Toc491251396"/>
      <w:r>
        <w:rPr>
          <w:rFonts w:hint="eastAsia"/>
        </w:rPr>
        <w:t>本次报价须为人民币报价，本项目按一年服务期限费用报价。</w:t>
      </w:r>
    </w:p>
    <w:p>
      <w:pPr>
        <w:pStyle w:val="28"/>
        <w:rPr>
          <w:rFonts w:hint="eastAsia"/>
          <w:color w:val="000000"/>
        </w:rPr>
      </w:pPr>
      <w:r>
        <w:rPr>
          <w:rFonts w:hint="eastAsia"/>
          <w:color w:val="000000"/>
        </w:rPr>
        <w:t>二、付款方式</w:t>
      </w:r>
      <w:bookmarkEnd w:id="202"/>
    </w:p>
    <w:p>
      <w:pPr>
        <w:snapToGrid w:val="0"/>
        <w:spacing w:line="460" w:lineRule="exact"/>
        <w:ind w:firstLine="600" w:firstLineChars="250"/>
        <w:rPr>
          <w:rFonts w:hint="eastAsia" w:ascii="仿宋" w:hAnsi="仿宋" w:eastAsia="仿宋" w:cs="宋体"/>
          <w:color w:val="000000"/>
          <w:kern w:val="24"/>
          <w:sz w:val="24"/>
          <w:szCs w:val="24"/>
          <w:lang w:val="en-US" w:eastAsia="zh-CN" w:bidi="ar-SA"/>
        </w:rPr>
      </w:pPr>
      <w:bookmarkStart w:id="203" w:name="_Toc491251397"/>
      <w:r>
        <w:rPr>
          <w:rFonts w:hint="eastAsia" w:ascii="仿宋" w:hAnsi="仿宋" w:eastAsia="仿宋" w:cs="宋体"/>
          <w:color w:val="000000"/>
          <w:kern w:val="24"/>
          <w:sz w:val="24"/>
          <w:szCs w:val="24"/>
          <w:lang w:val="en-US" w:eastAsia="zh-CN" w:bidi="ar-SA"/>
        </w:rPr>
        <w:t>合同签订后，服务结束后，一次完成付款。</w:t>
      </w:r>
    </w:p>
    <w:p>
      <w:pPr>
        <w:pStyle w:val="28"/>
      </w:pPr>
      <w:r>
        <w:rPr>
          <w:rFonts w:hint="eastAsia"/>
        </w:rPr>
        <w:t>三、履约保证金</w:t>
      </w:r>
    </w:p>
    <w:p>
      <w:pPr>
        <w:pStyle w:val="30"/>
        <w:rPr>
          <w:rFonts w:hint="eastAsia"/>
          <w:lang w:eastAsia="zh-CN"/>
        </w:rPr>
      </w:pPr>
      <w:r>
        <w:rPr>
          <w:rFonts w:hint="eastAsia"/>
          <w:lang w:eastAsia="zh-CN"/>
        </w:rPr>
        <w:t>本合同签订不需事先交付履约保证金。</w:t>
      </w:r>
    </w:p>
    <w:p>
      <w:pPr>
        <w:pStyle w:val="28"/>
        <w:rPr>
          <w:rFonts w:hint="eastAsia"/>
        </w:rPr>
      </w:pPr>
      <w:r>
        <w:rPr>
          <w:rFonts w:hint="eastAsia"/>
        </w:rPr>
        <w:t>四、其他</w:t>
      </w:r>
      <w:bookmarkEnd w:id="203"/>
    </w:p>
    <w:p>
      <w:pPr>
        <w:pStyle w:val="30"/>
        <w:rPr>
          <w:rFonts w:hint="eastAsia"/>
        </w:rPr>
      </w:pPr>
      <w:r>
        <w:rPr>
          <w:rFonts w:hint="eastAsia"/>
        </w:rPr>
        <w:t>（一）投标人在投标文件中的承诺内容必须达到本篇及招标文件其他条款的要求。</w:t>
      </w:r>
    </w:p>
    <w:p>
      <w:pPr>
        <w:pStyle w:val="30"/>
        <w:rPr>
          <w:rFonts w:hint="eastAsia"/>
        </w:rPr>
      </w:pPr>
      <w:r>
        <w:rPr>
          <w:rFonts w:hint="eastAsia"/>
        </w:rPr>
        <w:t>（二）其他未尽事宜由供需双方在采购合同中详细约定。</w:t>
      </w:r>
    </w:p>
    <w:p>
      <w:pPr>
        <w:rPr>
          <w:rFonts w:hint="eastAsia"/>
          <w:kern w:val="0"/>
        </w:rPr>
      </w:pPr>
      <w:r>
        <w:rPr>
          <w:rFonts w:hint="eastAsia"/>
          <w:kern w:val="0"/>
        </w:rPr>
        <w:br w:type="page"/>
      </w:r>
    </w:p>
    <w:p>
      <w:pPr>
        <w:pStyle w:val="26"/>
        <w:jc w:val="both"/>
        <w:outlineLvl w:val="0"/>
        <w:rPr>
          <w:rFonts w:ascii="仿宋" w:eastAsia="仿宋"/>
          <w:kern w:val="0"/>
          <w:sz w:val="24"/>
          <w:szCs w:val="24"/>
        </w:rPr>
      </w:pPr>
      <w:r>
        <w:rPr>
          <w:rFonts w:hint="eastAsia"/>
          <w:kern w:val="0"/>
        </w:rPr>
        <w:t xml:space="preserve">第四篇  </w:t>
      </w:r>
      <w:r>
        <w:rPr>
          <w:rFonts w:hint="eastAsia"/>
        </w:rPr>
        <w:t>评标方法、评标标准、无效投标条款和废标条款</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28"/>
        <w:ind w:firstLine="562"/>
        <w:outlineLvl w:val="1"/>
      </w:pPr>
      <w:bookmarkStart w:id="204" w:name="_Toc25713"/>
      <w:bookmarkStart w:id="205" w:name="_Toc25211"/>
      <w:bookmarkStart w:id="206" w:name="_Toc18852"/>
      <w:bookmarkStart w:id="207" w:name="_Toc6477"/>
      <w:bookmarkStart w:id="208" w:name="_Toc492654801"/>
      <w:bookmarkStart w:id="209" w:name="_Toc4540"/>
      <w:bookmarkStart w:id="210" w:name="_Toc4125"/>
      <w:bookmarkStart w:id="211" w:name="_Toc5723"/>
      <w:bookmarkStart w:id="212" w:name="_Toc31464"/>
      <w:bookmarkStart w:id="213" w:name="_Toc12657"/>
      <w:bookmarkStart w:id="214" w:name="_Toc11049"/>
      <w:bookmarkStart w:id="215" w:name="_Toc32751"/>
      <w:bookmarkStart w:id="216" w:name="_Toc12293"/>
      <w:bookmarkStart w:id="217" w:name="_Toc5457"/>
      <w:bookmarkStart w:id="218" w:name="_Toc20420"/>
      <w:bookmarkStart w:id="219" w:name="_Toc28423"/>
      <w:bookmarkStart w:id="220" w:name="_Toc16441"/>
      <w:r>
        <w:rPr>
          <w:rFonts w:hint="eastAsia"/>
        </w:rPr>
        <w:t>一、评标方法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30"/>
        <w:ind w:firstLine="480"/>
        <w:outlineLvl w:val="2"/>
      </w:pPr>
      <w:r>
        <w:rPr>
          <w:rFonts w:hint="eastAsia"/>
        </w:rPr>
        <w:t>（一）评标方法定义</w:t>
      </w:r>
    </w:p>
    <w:p>
      <w:pPr>
        <w:pStyle w:val="30"/>
        <w:ind w:firstLine="480"/>
        <w:rPr>
          <w:kern w:val="0"/>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。投标人总得分为价格、商务、技术等评定因素分别按照相应权重值计算分项得分后相加，满分为100分。</w:t>
      </w:r>
    </w:p>
    <w:p>
      <w:pPr>
        <w:pStyle w:val="30"/>
        <w:ind w:firstLine="480"/>
        <w:outlineLvl w:val="2"/>
      </w:pPr>
      <w:r>
        <w:rPr>
          <w:rFonts w:hint="eastAsia"/>
        </w:rPr>
        <w:t>（二）评标程序</w:t>
      </w:r>
    </w:p>
    <w:p>
      <w:pPr>
        <w:pStyle w:val="30"/>
        <w:ind w:firstLine="480"/>
      </w:pPr>
      <w:r>
        <w:rPr>
          <w:rFonts w:hint="eastAsia"/>
        </w:rPr>
        <w:t>评标工作由采购代理机构负责组织，具体评标事务由采购代理机构依法组建的评标委员会负责。</w:t>
      </w:r>
    </w:p>
    <w:p>
      <w:pPr>
        <w:pStyle w:val="30"/>
        <w:ind w:firstLine="480"/>
      </w:pPr>
      <w:r>
        <w:rPr>
          <w:rFonts w:hint="eastAsia"/>
        </w:rPr>
        <w:t>评标委员会成员到位后，推举其中一位评审专家担任评审组长，并由评审组长牵头组织该项目评审工作。</w:t>
      </w:r>
    </w:p>
    <w:p>
      <w:pPr>
        <w:pStyle w:val="30"/>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请各投标商单独封装，资格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pStyle w:val="30"/>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kern w:val="0"/>
                <w:sz w:val="24"/>
                <w:szCs w:val="24"/>
              </w:rPr>
            </w:pPr>
            <w:bookmarkStart w:id="221" w:name="_Toc267320057"/>
            <w:r>
              <w:rPr>
                <w:rFonts w:hint="eastAsia" w:ascii="仿宋" w:hAnsi="仿宋" w:eastAsia="仿宋" w:cs="宋体"/>
                <w:kern w:val="0"/>
                <w:sz w:val="24"/>
                <w:szCs w:val="24"/>
              </w:rPr>
              <w:t>序号</w:t>
            </w:r>
          </w:p>
        </w:tc>
        <w:tc>
          <w:tcPr>
            <w:tcW w:w="3544"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评审因素</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有效性审查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投标文件签署</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法定代表人授权委托书及被授权人身份证明</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投标方案</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rPr>
              <w:t>报价唯一</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只能在采购预算范围内报价，</w:t>
            </w:r>
            <w:r>
              <w:rPr>
                <w:rFonts w:hint="eastAsia" w:ascii="仿宋" w:hAnsi="仿宋" w:eastAsia="仿宋"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完整性审查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投标文件份数</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投标文件内容</w:t>
            </w:r>
          </w:p>
        </w:tc>
        <w:tc>
          <w:tcPr>
            <w:tcW w:w="5409"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rPr>
              <w:t>投标文件的响应程度审查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投标文件内容</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lang w:val="zh-CN"/>
              </w:rPr>
            </w:pP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投标有效期</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宋体"/>
                <w:kern w:val="0"/>
                <w:sz w:val="24"/>
                <w:szCs w:val="24"/>
                <w:lang w:val="zh-CN"/>
              </w:rPr>
              <w:t>规定。</w:t>
            </w:r>
          </w:p>
        </w:tc>
      </w:tr>
    </w:tbl>
    <w:p>
      <w:pPr>
        <w:pStyle w:val="30"/>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221"/>
    <w:p>
      <w:pPr>
        <w:pStyle w:val="30"/>
        <w:ind w:firstLine="480"/>
      </w:pPr>
      <w:bookmarkStart w:id="222" w:name="_Toc499196790"/>
      <w:r>
        <w:rPr>
          <w:rFonts w:hint="eastAsia"/>
        </w:rPr>
        <w:t>4、比较与评价。按招标文件中规定的评标方法和标准，对资格性检查和符合性检查合格的投标文件进行商务和技术评估。</w:t>
      </w:r>
    </w:p>
    <w:p>
      <w:pPr>
        <w:pStyle w:val="30"/>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30"/>
        <w:ind w:firstLine="480"/>
      </w:pPr>
      <w:r>
        <w:rPr>
          <w:rFonts w:hint="eastAsia"/>
        </w:rPr>
        <w:t>复核后，评标委员会汇总每个投标人每项评分因素的得分。</w:t>
      </w:r>
    </w:p>
    <w:p>
      <w:pPr>
        <w:pStyle w:val="30"/>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8"/>
        <w:ind w:firstLine="562"/>
        <w:outlineLvl w:val="1"/>
      </w:pPr>
      <w:bookmarkStart w:id="223" w:name="_Toc12862"/>
      <w:bookmarkStart w:id="224" w:name="_Toc14838"/>
      <w:bookmarkStart w:id="225" w:name="_Toc10855"/>
      <w:bookmarkStart w:id="226" w:name="_Toc17806"/>
      <w:bookmarkStart w:id="227" w:name="_Toc2460"/>
      <w:bookmarkStart w:id="228" w:name="_Toc13237"/>
      <w:bookmarkStart w:id="229" w:name="_Toc491251296"/>
      <w:bookmarkStart w:id="230" w:name="_Toc9537"/>
      <w:bookmarkStart w:id="231" w:name="_Toc16274"/>
      <w:bookmarkStart w:id="232" w:name="_Toc18739"/>
      <w:bookmarkStart w:id="233" w:name="_Toc23111"/>
      <w:bookmarkStart w:id="234" w:name="_Toc915"/>
      <w:bookmarkStart w:id="235" w:name="_Toc25366"/>
      <w:bookmarkStart w:id="236" w:name="_Toc5668"/>
      <w:bookmarkStart w:id="237" w:name="_Toc26915"/>
      <w:bookmarkStart w:id="238" w:name="_Toc30753"/>
      <w:bookmarkStart w:id="239" w:name="_Toc15305"/>
      <w:r>
        <w:rPr>
          <w:rFonts w:hint="eastAsia"/>
        </w:rPr>
        <w:t>二、评标标准</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30"/>
        <w:ind w:firstLine="480"/>
        <w:outlineLvl w:val="2"/>
      </w:pPr>
      <w:r>
        <w:rPr>
          <w:rFonts w:hint="eastAsia"/>
        </w:rPr>
        <w:t>（一）评审因素</w:t>
      </w:r>
    </w:p>
    <w:p>
      <w:pPr>
        <w:pStyle w:val="30"/>
        <w:ind w:firstLine="480"/>
      </w:pPr>
      <w:r>
        <w:rPr>
          <w:rFonts w:hint="eastAsia"/>
        </w:rPr>
        <w:t>详见评分表</w:t>
      </w:r>
    </w:p>
    <w:p>
      <w:pPr>
        <w:pStyle w:val="30"/>
        <w:ind w:firstLine="480"/>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30"/>
        <w:ind w:firstLine="480"/>
        <w:outlineLvl w:val="2"/>
      </w:pPr>
      <w:r>
        <w:rPr>
          <w:rFonts w:hint="eastAsia"/>
        </w:rPr>
        <w:t>（二）报价政策性扣减</w:t>
      </w:r>
    </w:p>
    <w:p>
      <w:pPr>
        <w:pStyle w:val="30"/>
        <w:ind w:firstLine="480"/>
      </w:pPr>
      <w:r>
        <w:rPr>
          <w:rFonts w:hint="eastAsia"/>
        </w:rPr>
        <w:t>1.参与采购活动的供应商为非联合体的，对小型企业给予6%的扣除，微型企业给予8%的扣除，以扣除后的报价参与评审。</w:t>
      </w:r>
    </w:p>
    <w:p>
      <w:pPr>
        <w:pStyle w:val="30"/>
        <w:ind w:firstLine="480"/>
      </w:pPr>
      <w:r>
        <w:rPr>
          <w:rFonts w:hint="eastAsia"/>
        </w:rPr>
        <w:t>2、关于小微企业：</w:t>
      </w:r>
    </w:p>
    <w:p>
      <w:pPr>
        <w:pStyle w:val="30"/>
        <w:ind w:firstLine="480"/>
      </w:pPr>
      <w:r>
        <w:rPr>
          <w:rFonts w:hint="eastAsia"/>
        </w:rPr>
        <w:t>2.1按&lt;关于印发《政府采购促进中小企业发展暂行办法》的通知&gt;（财库〔2011〕181号）之规定，中小企业的标准为：</w:t>
      </w:r>
    </w:p>
    <w:p>
      <w:pPr>
        <w:pStyle w:val="30"/>
        <w:ind w:firstLine="480"/>
      </w:pPr>
      <w:r>
        <w:rPr>
          <w:rFonts w:hint="eastAsia"/>
        </w:rPr>
        <w:t>2.1.1提供本企业制造的货物、承担的工程或者服务，或者提供其他中小企业制造的货物，不包括提供或使用大型企业注册商标的货物。</w:t>
      </w:r>
    </w:p>
    <w:p>
      <w:pPr>
        <w:pStyle w:val="30"/>
        <w:ind w:firstLine="480"/>
      </w:pPr>
      <w:r>
        <w:rPr>
          <w:rFonts w:hint="eastAsia"/>
        </w:rPr>
        <w:t>2.1.2本规定所称中小企业划分标准，是指国务院有关部门根据企业从业人员、营业收入、资产总额等指标制定的中小企业划型标准（工信部联企业〔2011〕300号）。</w:t>
      </w:r>
    </w:p>
    <w:p>
      <w:pPr>
        <w:pStyle w:val="30"/>
        <w:ind w:firstLine="480"/>
      </w:pPr>
      <w:r>
        <w:rPr>
          <w:rFonts w:hint="eastAsia"/>
        </w:rPr>
        <w:t>2.1.3小型、微型企业提供有中型企业制造的货物的，视同为中型企业；小型、微型、中型企业提供有大型企业制造的货物的，视同为大型企业。</w:t>
      </w:r>
    </w:p>
    <w:p>
      <w:pPr>
        <w:pStyle w:val="30"/>
        <w:ind w:firstLine="480"/>
      </w:pPr>
      <w:r>
        <w:rPr>
          <w:rFonts w:hint="eastAsia"/>
        </w:rPr>
        <w:t>2.2依照&lt;财政部、司法部关于政府采购支持监狱企业发展有关问题的通知&gt;（财库〔2014〕68号）之规定，监狱企业应当符合以下条件：</w:t>
      </w:r>
    </w:p>
    <w:p>
      <w:pPr>
        <w:pStyle w:val="30"/>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0"/>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30"/>
        <w:ind w:firstLine="480"/>
      </w:pPr>
      <w:r>
        <w:rPr>
          <w:rFonts w:hint="eastAsia"/>
        </w:rPr>
        <w:t>3.残疾人福利性单位视同小型、微型企业。</w:t>
      </w:r>
    </w:p>
    <w:p>
      <w:pPr>
        <w:pStyle w:val="28"/>
        <w:ind w:firstLine="562"/>
        <w:outlineLvl w:val="1"/>
      </w:pPr>
      <w:bookmarkStart w:id="240" w:name="_Toc17944"/>
      <w:bookmarkStart w:id="241" w:name="_Toc13086"/>
      <w:bookmarkStart w:id="242" w:name="_Toc25727"/>
      <w:bookmarkStart w:id="243" w:name="_Toc18379"/>
      <w:bookmarkStart w:id="244" w:name="_Toc28489"/>
      <w:bookmarkStart w:id="245" w:name="_Toc29606"/>
      <w:bookmarkStart w:id="246" w:name="_Toc2118"/>
      <w:bookmarkStart w:id="247" w:name="_Toc17165"/>
      <w:bookmarkStart w:id="248" w:name="_Toc17297"/>
      <w:bookmarkStart w:id="249" w:name="_Toc30082"/>
      <w:bookmarkStart w:id="250" w:name="_Toc16794"/>
      <w:bookmarkStart w:id="251" w:name="_Toc5699"/>
      <w:bookmarkStart w:id="252" w:name="_Toc28420"/>
      <w:bookmarkStart w:id="253" w:name="_Toc7759"/>
      <w:bookmarkStart w:id="254" w:name="_Toc26996"/>
      <w:bookmarkStart w:id="255" w:name="_Toc8003"/>
      <w:r>
        <w:rPr>
          <w:rFonts w:hint="eastAsia"/>
        </w:rPr>
        <w:t>三、无效投标条款</w:t>
      </w:r>
      <w:bookmarkEnd w:id="222"/>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30"/>
        <w:ind w:firstLine="480"/>
      </w:pPr>
      <w:r>
        <w:rPr>
          <w:rFonts w:hint="eastAsia"/>
        </w:rPr>
        <w:t>投标人或其投标文件出现下列情况之一者，应为无效投标：</w:t>
      </w:r>
    </w:p>
    <w:p>
      <w:pPr>
        <w:pStyle w:val="30"/>
        <w:ind w:firstLine="480"/>
      </w:pPr>
      <w:r>
        <w:rPr>
          <w:rFonts w:hint="eastAsia"/>
        </w:rPr>
        <w:t xml:space="preserve">（一）投标人未通过资格性检查或投标文件未通过符合性检查的； </w:t>
      </w:r>
    </w:p>
    <w:p>
      <w:pPr>
        <w:pStyle w:val="30"/>
        <w:ind w:firstLine="480"/>
      </w:pPr>
      <w:r>
        <w:rPr>
          <w:rFonts w:hint="eastAsia"/>
        </w:rPr>
        <w:t>（二）投标人超出其营业执照或事业单位法人证书上经营范围（业务范围）投标的；</w:t>
      </w:r>
    </w:p>
    <w:p>
      <w:pPr>
        <w:pStyle w:val="30"/>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30"/>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30"/>
        <w:ind w:firstLine="480"/>
      </w:pPr>
      <w:r>
        <w:rPr>
          <w:rFonts w:hint="eastAsia"/>
        </w:rPr>
        <w:t>（五）投标文件未按照招标文件第七篇投标文件格式中所规定签字、盖章的；</w:t>
      </w:r>
    </w:p>
    <w:p>
      <w:pPr>
        <w:pStyle w:val="30"/>
        <w:ind w:firstLine="480"/>
      </w:pPr>
      <w:r>
        <w:rPr>
          <w:rFonts w:hint="eastAsia"/>
        </w:rPr>
        <w:t>（六）投标文件出现多个投标方案或投标报价的；</w:t>
      </w:r>
    </w:p>
    <w:p>
      <w:pPr>
        <w:pStyle w:val="30"/>
        <w:ind w:firstLine="480"/>
      </w:pPr>
      <w:r>
        <w:rPr>
          <w:rFonts w:hint="eastAsia"/>
        </w:rPr>
        <w:t>（七）投标报价超出招标文件规定的采购预算的；</w:t>
      </w:r>
    </w:p>
    <w:p>
      <w:pPr>
        <w:pStyle w:val="30"/>
        <w:ind w:firstLine="480"/>
      </w:pPr>
      <w:r>
        <w:rPr>
          <w:rFonts w:hint="eastAsia"/>
        </w:rPr>
        <w:t>（八）投标文件含有违反国家法律、法规的内容，或附有采购人不能接受的条件的；</w:t>
      </w:r>
    </w:p>
    <w:p>
      <w:pPr>
        <w:pStyle w:val="30"/>
        <w:ind w:firstLine="480"/>
      </w:pPr>
      <w:r>
        <w:rPr>
          <w:rFonts w:hint="eastAsia"/>
        </w:rPr>
        <w:t>（九）未按要求密封投标文件的。</w:t>
      </w:r>
    </w:p>
    <w:p>
      <w:pPr>
        <w:pStyle w:val="28"/>
        <w:ind w:firstLine="562"/>
        <w:outlineLvl w:val="1"/>
      </w:pPr>
      <w:bookmarkStart w:id="256" w:name="_Toc30325"/>
      <w:bookmarkStart w:id="257" w:name="_Toc1956"/>
      <w:bookmarkStart w:id="258" w:name="_Toc19488"/>
      <w:bookmarkStart w:id="259" w:name="_Toc20006"/>
      <w:bookmarkStart w:id="260" w:name="_Toc16201"/>
      <w:bookmarkStart w:id="261" w:name="_Toc5916"/>
      <w:bookmarkStart w:id="262" w:name="_Toc27807"/>
      <w:bookmarkStart w:id="263" w:name="_Toc15755"/>
      <w:bookmarkStart w:id="264" w:name="_Toc3756"/>
      <w:bookmarkStart w:id="265" w:name="_Toc7076"/>
      <w:bookmarkStart w:id="266" w:name="_Toc9614"/>
      <w:bookmarkStart w:id="267" w:name="_Toc499196791"/>
      <w:bookmarkStart w:id="268" w:name="_Toc2810"/>
      <w:bookmarkStart w:id="269" w:name="_Toc23348"/>
      <w:bookmarkStart w:id="270" w:name="_Toc21548"/>
      <w:bookmarkStart w:id="271" w:name="_Toc15326"/>
      <w:bookmarkStart w:id="272" w:name="_Toc9400"/>
      <w:r>
        <w:rPr>
          <w:rFonts w:hint="eastAsia"/>
        </w:rPr>
        <w:t>四、废标条款</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30"/>
        <w:ind w:firstLine="480"/>
      </w:pPr>
      <w:r>
        <w:rPr>
          <w:rFonts w:hint="eastAsia"/>
        </w:rPr>
        <w:t>评标委员会评审时出现以下情况之一的，应予废标：</w:t>
      </w:r>
    </w:p>
    <w:p>
      <w:pPr>
        <w:pStyle w:val="30"/>
        <w:ind w:firstLine="480"/>
      </w:pPr>
      <w:r>
        <w:rPr>
          <w:rFonts w:hint="eastAsia"/>
        </w:rPr>
        <w:t>（一）符合专业条件的供应商或者对招标文件作实质响应的供应商不足三家的；</w:t>
      </w:r>
    </w:p>
    <w:p>
      <w:pPr>
        <w:pStyle w:val="30"/>
        <w:ind w:firstLine="480"/>
      </w:pPr>
      <w:r>
        <w:rPr>
          <w:rFonts w:hint="eastAsia"/>
        </w:rPr>
        <w:t>（二）投标人的报价均超过了采购预算，采购人不能支付的；</w:t>
      </w:r>
    </w:p>
    <w:p>
      <w:pPr>
        <w:pStyle w:val="30"/>
        <w:ind w:firstLine="480"/>
      </w:pPr>
      <w:r>
        <w:rPr>
          <w:rFonts w:hint="eastAsia"/>
        </w:rPr>
        <w:t>（三）出现影响采购公正的违法、违规行为的；</w:t>
      </w:r>
    </w:p>
    <w:p>
      <w:pPr>
        <w:pStyle w:val="30"/>
        <w:ind w:firstLine="480"/>
      </w:pPr>
      <w:r>
        <w:rPr>
          <w:rFonts w:hint="eastAsia"/>
        </w:rPr>
        <w:t>（四）因重大变故，采购任务取消的。</w:t>
      </w:r>
    </w:p>
    <w:p>
      <w:pPr>
        <w:pStyle w:val="30"/>
        <w:ind w:firstLine="480"/>
      </w:pPr>
      <w:r>
        <w:rPr>
          <w:rFonts w:hint="eastAsia"/>
        </w:rPr>
        <w:t>废标后，除采购任务取消情形外，应当重新组织采购。</w:t>
      </w:r>
    </w:p>
    <w:p>
      <w:pPr>
        <w:pStyle w:val="26"/>
        <w:jc w:val="both"/>
      </w:pPr>
      <w:bookmarkStart w:id="273" w:name="_Toc491251299"/>
    </w:p>
    <w:p>
      <w:pPr>
        <w:pStyle w:val="26"/>
        <w:jc w:val="both"/>
      </w:pPr>
    </w:p>
    <w:p>
      <w:pPr>
        <w:pStyle w:val="26"/>
        <w:outlineLvl w:val="0"/>
      </w:pPr>
      <w:bookmarkStart w:id="274" w:name="_Toc23127"/>
      <w:bookmarkStart w:id="275" w:name="_Toc11965"/>
      <w:bookmarkStart w:id="276" w:name="_Toc11131"/>
      <w:bookmarkStart w:id="277" w:name="_Toc4727"/>
      <w:bookmarkStart w:id="278" w:name="_Toc31529"/>
      <w:bookmarkStart w:id="279" w:name="_Toc12228"/>
      <w:bookmarkStart w:id="280" w:name="_Toc9939"/>
      <w:bookmarkStart w:id="281" w:name="_Toc28505"/>
      <w:bookmarkStart w:id="282" w:name="_Toc23129"/>
      <w:bookmarkStart w:id="283" w:name="_Toc21883"/>
      <w:bookmarkStart w:id="284" w:name="_Toc19268"/>
      <w:bookmarkStart w:id="285" w:name="_Toc12668"/>
      <w:bookmarkStart w:id="286" w:name="_Toc23835"/>
      <w:bookmarkStart w:id="287" w:name="_Toc11856"/>
      <w:bookmarkStart w:id="288" w:name="_Toc19969"/>
      <w:bookmarkStart w:id="289" w:name="_Toc31023"/>
      <w:r>
        <w:rPr>
          <w:rFonts w:hint="eastAsia"/>
        </w:rPr>
        <w:t>第五篇  投标人须知</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28"/>
        <w:ind w:firstLine="562"/>
        <w:outlineLvl w:val="1"/>
        <w:rPr>
          <w:kern w:val="0"/>
        </w:rPr>
      </w:pPr>
      <w:bookmarkStart w:id="290" w:name="_Toc13128"/>
      <w:bookmarkStart w:id="291" w:name="_Toc9267"/>
      <w:bookmarkStart w:id="292" w:name="_Toc7714"/>
      <w:bookmarkStart w:id="293" w:name="_Toc14048"/>
      <w:bookmarkStart w:id="294" w:name="_Toc7588"/>
      <w:bookmarkStart w:id="295" w:name="_Toc5617"/>
      <w:bookmarkStart w:id="296" w:name="_Toc1744"/>
      <w:bookmarkStart w:id="297" w:name="_Toc491251300"/>
      <w:bookmarkStart w:id="298" w:name="_Toc7963"/>
      <w:bookmarkStart w:id="299" w:name="_Toc26858"/>
      <w:bookmarkStart w:id="300" w:name="_Toc24993"/>
      <w:bookmarkStart w:id="301" w:name="_Toc5890"/>
      <w:bookmarkStart w:id="302" w:name="_Toc10808"/>
      <w:bookmarkStart w:id="303" w:name="_Toc28307"/>
      <w:bookmarkStart w:id="304" w:name="_Toc31886"/>
      <w:bookmarkStart w:id="305" w:name="_Toc3636"/>
      <w:bookmarkStart w:id="306" w:name="_Toc16715"/>
      <w:r>
        <w:rPr>
          <w:rFonts w:hint="eastAsia"/>
        </w:rPr>
        <w:t>一、投标人</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pStyle w:val="30"/>
        <w:ind w:firstLine="480"/>
        <w:outlineLvl w:val="2"/>
      </w:pPr>
      <w:r>
        <w:rPr>
          <w:rFonts w:hint="eastAsia"/>
        </w:rPr>
        <w:t>（一）合格投标人条件</w:t>
      </w:r>
    </w:p>
    <w:p>
      <w:pPr>
        <w:pStyle w:val="30"/>
        <w:ind w:firstLine="480"/>
      </w:pPr>
      <w:r>
        <w:rPr>
          <w:rFonts w:hint="eastAsia"/>
        </w:rPr>
        <w:t>合格投标人应完全符合招标文件第一篇中规定的投标人资格条件，并对招标文件作出实质性响应。</w:t>
      </w:r>
    </w:p>
    <w:p>
      <w:pPr>
        <w:pStyle w:val="30"/>
        <w:ind w:firstLine="480"/>
        <w:outlineLvl w:val="2"/>
        <w:rPr>
          <w:szCs w:val="28"/>
        </w:rPr>
      </w:pPr>
      <w:r>
        <w:rPr>
          <w:rFonts w:hint="eastAsia"/>
          <w:szCs w:val="28"/>
        </w:rPr>
        <w:t>（二）投标人的风险</w:t>
      </w:r>
    </w:p>
    <w:p>
      <w:pPr>
        <w:pStyle w:val="30"/>
        <w:ind w:firstLine="480"/>
      </w:pPr>
      <w:r>
        <w:rPr>
          <w:rFonts w:hint="eastAsia"/>
        </w:rPr>
        <w:t>投标人没有按照招标文件要求提供全部资料，或者投标人没有对招标文件在各方面作出实质性响应，可能导致投标被拒绝或评定为无效投标。</w:t>
      </w:r>
    </w:p>
    <w:p>
      <w:pPr>
        <w:pStyle w:val="28"/>
        <w:ind w:firstLine="562"/>
        <w:outlineLvl w:val="1"/>
      </w:pPr>
      <w:bookmarkStart w:id="307" w:name="_Toc25393"/>
      <w:bookmarkStart w:id="308" w:name="_Toc4349"/>
      <w:bookmarkStart w:id="309" w:name="_Toc15852"/>
      <w:bookmarkStart w:id="310" w:name="_Toc18254"/>
      <w:bookmarkStart w:id="311" w:name="_Toc26411"/>
      <w:bookmarkStart w:id="312" w:name="_Toc21575"/>
      <w:bookmarkStart w:id="313" w:name="_Toc32254"/>
      <w:bookmarkStart w:id="314" w:name="_Toc15114"/>
      <w:bookmarkStart w:id="315" w:name="_Toc5768"/>
      <w:bookmarkStart w:id="316" w:name="_Toc435"/>
      <w:bookmarkStart w:id="317" w:name="_Toc29330"/>
      <w:bookmarkStart w:id="318" w:name="_Toc20435"/>
      <w:bookmarkStart w:id="319" w:name="_Toc491251301"/>
      <w:bookmarkStart w:id="320" w:name="_Toc20772"/>
      <w:bookmarkStart w:id="321" w:name="_Toc8704"/>
      <w:bookmarkStart w:id="322" w:name="_Toc32627"/>
      <w:bookmarkStart w:id="323" w:name="_Toc20552"/>
      <w:r>
        <w:rPr>
          <w:rFonts w:hint="eastAsia"/>
        </w:rPr>
        <w:t>二、招标文件</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30"/>
        <w:ind w:firstLine="480"/>
      </w:pPr>
      <w:r>
        <w:rPr>
          <w:rFonts w:hint="eastAsia"/>
        </w:rPr>
        <w:t>招标文件是投标人编制投标文件的依据，是评标委员会评判依据和标准。招标文件也是采购人与中标人签订合同的基础。</w:t>
      </w:r>
    </w:p>
    <w:p>
      <w:pPr>
        <w:pStyle w:val="30"/>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30"/>
        <w:ind w:firstLine="480"/>
      </w:pPr>
      <w:r>
        <w:rPr>
          <w:rFonts w:hint="eastAsia"/>
          <w:szCs w:val="28"/>
        </w:rPr>
        <w:t>（二）</w:t>
      </w:r>
      <w:r>
        <w:rPr>
          <w:rFonts w:hint="eastAsia"/>
        </w:rPr>
        <w:t>采购代理机构对招标文件所作的一切有效通知、修改、补充及澄清，都是招标文件的组成部分。</w:t>
      </w:r>
    </w:p>
    <w:p>
      <w:pPr>
        <w:pStyle w:val="30"/>
        <w:ind w:firstLine="480"/>
      </w:pPr>
      <w:r>
        <w:rPr>
          <w:rFonts w:hint="eastAsia"/>
        </w:rPr>
        <w:t>（三）本项目的招标文件、补遗文件（如果有）一律在新疆政府采购网上发布，请各投标人注意下载；无论投标人下载与否，均视同投标人已知晓本项目招标文件、补遗文件（如果有）的内容。</w:t>
      </w:r>
    </w:p>
    <w:p>
      <w:pPr>
        <w:pStyle w:val="30"/>
        <w:ind w:firstLine="480"/>
      </w:pPr>
      <w:r>
        <w:rPr>
          <w:rFonts w:hint="eastAsia"/>
        </w:rPr>
        <w:t>（四）采购代理机构对已发布的招标文件进行澄清或修改，应及时通知在澄清或修改发布前报名的供应商。</w:t>
      </w:r>
    </w:p>
    <w:p>
      <w:pPr>
        <w:pStyle w:val="28"/>
        <w:ind w:firstLine="562"/>
        <w:outlineLvl w:val="1"/>
      </w:pPr>
      <w:bookmarkStart w:id="324" w:name="_Toc22136"/>
      <w:bookmarkStart w:id="325" w:name="_Toc13588"/>
      <w:bookmarkStart w:id="326" w:name="_Toc29271"/>
      <w:bookmarkStart w:id="327" w:name="_Toc24040"/>
      <w:bookmarkStart w:id="328" w:name="_Toc31767"/>
      <w:bookmarkStart w:id="329" w:name="_Toc491251302"/>
      <w:bookmarkStart w:id="330" w:name="_Toc31997"/>
      <w:bookmarkStart w:id="331" w:name="_Toc18004"/>
      <w:bookmarkStart w:id="332" w:name="_Toc15808"/>
      <w:bookmarkStart w:id="333" w:name="_Toc2769"/>
      <w:bookmarkStart w:id="334" w:name="_Toc6464"/>
      <w:bookmarkStart w:id="335" w:name="_Toc18112"/>
      <w:bookmarkStart w:id="336" w:name="_Toc1266"/>
      <w:bookmarkStart w:id="337" w:name="_Toc27511"/>
      <w:bookmarkStart w:id="338" w:name="_Toc21706"/>
      <w:bookmarkStart w:id="339" w:name="_Toc11958"/>
      <w:bookmarkStart w:id="340" w:name="_Toc29566"/>
      <w:r>
        <w:rPr>
          <w:rFonts w:hint="eastAsia"/>
        </w:rPr>
        <w:t>三、投标文件</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30"/>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30"/>
        <w:ind w:firstLine="480"/>
        <w:outlineLvl w:val="2"/>
      </w:pPr>
      <w:r>
        <w:rPr>
          <w:rFonts w:hint="eastAsia"/>
        </w:rPr>
        <w:t>（一）投标文件组成</w:t>
      </w:r>
    </w:p>
    <w:p>
      <w:pPr>
        <w:pStyle w:val="30"/>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30"/>
        <w:ind w:firstLine="480"/>
        <w:outlineLvl w:val="2"/>
      </w:pPr>
      <w:r>
        <w:rPr>
          <w:rFonts w:hint="eastAsia"/>
        </w:rPr>
        <w:t>（二）投标有效期</w:t>
      </w:r>
    </w:p>
    <w:p>
      <w:pPr>
        <w:pStyle w:val="30"/>
        <w:ind w:firstLine="480"/>
      </w:pPr>
      <w:r>
        <w:rPr>
          <w:rFonts w:hint="eastAsia"/>
        </w:rPr>
        <w:t>投标有效期为投标截止日期后九十天。</w:t>
      </w:r>
    </w:p>
    <w:p>
      <w:pPr>
        <w:pStyle w:val="30"/>
        <w:ind w:firstLine="480"/>
        <w:outlineLvl w:val="2"/>
      </w:pPr>
      <w:r>
        <w:rPr>
          <w:rFonts w:hint="eastAsia"/>
        </w:rPr>
        <w:t>（三）投标文件的份数和签署</w:t>
      </w:r>
    </w:p>
    <w:p>
      <w:pPr>
        <w:pStyle w:val="30"/>
        <w:ind w:firstLine="480"/>
      </w:pPr>
      <w:r>
        <w:rPr>
          <w:rFonts w:hint="eastAsia"/>
        </w:rPr>
        <w:t>1</w:t>
      </w:r>
      <w:r>
        <w:rPr>
          <w:rFonts w:hint="eastAsia"/>
          <w:color w:val="FF0000"/>
        </w:rPr>
        <w:t>、投标文件一式4份，其中正本1份，副本3份。每套纸质投标文件须在封面清楚地标明“正本”或“副本”，副本应为正本的完整复印件，副本与正本不一致时以正本为准。</w:t>
      </w:r>
    </w:p>
    <w:p>
      <w:pPr>
        <w:pStyle w:val="30"/>
        <w:ind w:firstLine="480"/>
      </w:pPr>
      <w:r>
        <w:rPr>
          <w:rFonts w:hint="eastAsia"/>
        </w:rPr>
        <w:t>2、在投标文件正本中，招标文件第七篇投标文件格式中规定签字、盖章的地方必须按其规定签字、盖章。</w:t>
      </w:r>
    </w:p>
    <w:p>
      <w:pPr>
        <w:pStyle w:val="30"/>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30"/>
        <w:ind w:firstLine="480"/>
      </w:pPr>
      <w:r>
        <w:rPr>
          <w:rFonts w:hint="eastAsia"/>
        </w:rPr>
        <w:t>4、正本中专门针对本项目的文件须提供原件，其他文件须为加盖公章的复印件，需现场查验原件的，须将原件携带至标会现场交评标委员会审验。</w:t>
      </w:r>
    </w:p>
    <w:p>
      <w:pPr>
        <w:pStyle w:val="30"/>
        <w:ind w:firstLine="480"/>
        <w:rPr>
          <w:bCs/>
        </w:rPr>
      </w:pPr>
      <w:r>
        <w:rPr>
          <w:rFonts w:hint="eastAsia"/>
          <w:bCs/>
        </w:rPr>
        <w:t>（五）投标报价</w:t>
      </w:r>
    </w:p>
    <w:p>
      <w:pPr>
        <w:pStyle w:val="30"/>
        <w:ind w:firstLine="480"/>
      </w:pPr>
      <w:r>
        <w:rPr>
          <w:rFonts w:hint="eastAsia"/>
          <w:bCs/>
        </w:rPr>
        <w:t>1、投标人应严格按照“投标文件格式”中“开标一览表”和“分项报价明细表”</w:t>
      </w:r>
      <w:r>
        <w:rPr>
          <w:rFonts w:hint="eastAsia"/>
        </w:rPr>
        <w:t>的格式填写报价。</w:t>
      </w:r>
    </w:p>
    <w:p>
      <w:pPr>
        <w:pStyle w:val="30"/>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30"/>
        <w:ind w:firstLine="480"/>
      </w:pPr>
      <w:r>
        <w:rPr>
          <w:rFonts w:hint="eastAsia"/>
        </w:rPr>
        <w:t>3、本项目只接受一个投标报价，有选择的或有条件的报价将不予接受。</w:t>
      </w:r>
    </w:p>
    <w:p>
      <w:pPr>
        <w:pStyle w:val="30"/>
        <w:ind w:firstLine="480"/>
      </w:pPr>
      <w:r>
        <w:rPr>
          <w:rFonts w:hint="eastAsia"/>
        </w:rPr>
        <w:t>（六）修正错误</w:t>
      </w:r>
    </w:p>
    <w:p>
      <w:pPr>
        <w:pStyle w:val="30"/>
        <w:ind w:firstLine="480"/>
      </w:pPr>
      <w:r>
        <w:rPr>
          <w:rFonts w:hint="eastAsia"/>
        </w:rPr>
        <w:t>若投标文件出现计算或表达上的错误，修正错误的原则如下：</w:t>
      </w:r>
    </w:p>
    <w:p>
      <w:pPr>
        <w:pStyle w:val="30"/>
        <w:ind w:firstLine="480"/>
      </w:pPr>
      <w:r>
        <w:rPr>
          <w:rFonts w:hint="eastAsia"/>
        </w:rPr>
        <w:t>1、开标一览表总价与投标报价明细表汇总数不一致的，</w:t>
      </w:r>
      <w:r>
        <w:rPr>
          <w:rFonts w:hint="eastAsia" w:cs="Arial"/>
          <w:kern w:val="0"/>
        </w:rPr>
        <w:t>以开标一览表为准；</w:t>
      </w:r>
    </w:p>
    <w:p>
      <w:pPr>
        <w:pStyle w:val="30"/>
        <w:ind w:firstLine="480"/>
      </w:pPr>
      <w:r>
        <w:rPr>
          <w:rFonts w:hint="eastAsia"/>
        </w:rPr>
        <w:t>2、投标文件的大写金额和小写金额不一致的，以大写金额为准；</w:t>
      </w:r>
    </w:p>
    <w:p>
      <w:pPr>
        <w:pStyle w:val="30"/>
        <w:ind w:firstLine="480"/>
      </w:pPr>
      <w:r>
        <w:rPr>
          <w:rFonts w:hint="eastAsia"/>
        </w:rPr>
        <w:t>3、总价金额与按单价汇总金额不一致的，以单价金额计算结果为准；</w:t>
      </w:r>
    </w:p>
    <w:p>
      <w:pPr>
        <w:pStyle w:val="30"/>
        <w:ind w:firstLine="480"/>
      </w:pPr>
      <w:r>
        <w:rPr>
          <w:rFonts w:hint="eastAsia"/>
        </w:rPr>
        <w:t>4、单价金额小数点有明显错位的，应以总价为准，并修正单价；</w:t>
      </w:r>
    </w:p>
    <w:p>
      <w:pPr>
        <w:pStyle w:val="30"/>
        <w:ind w:firstLine="480"/>
      </w:pPr>
      <w:r>
        <w:rPr>
          <w:rFonts w:hint="eastAsia"/>
        </w:rPr>
        <w:t>5、对不同文字文本投标文件的解释发生异议的，以中文文本为准。</w:t>
      </w:r>
    </w:p>
    <w:p>
      <w:pPr>
        <w:pStyle w:val="30"/>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30"/>
        <w:ind w:firstLine="480"/>
      </w:pPr>
      <w:r>
        <w:rPr>
          <w:rFonts w:hint="eastAsia"/>
        </w:rPr>
        <w:t>（七）投标文件的递交</w:t>
      </w:r>
    </w:p>
    <w:p>
      <w:pPr>
        <w:pStyle w:val="30"/>
        <w:ind w:firstLine="480"/>
      </w:pPr>
      <w:r>
        <w:rPr>
          <w:rFonts w:hint="eastAsia"/>
        </w:rPr>
        <w:t>1、投标文件的密封与标记</w:t>
      </w:r>
    </w:p>
    <w:p>
      <w:pPr>
        <w:pStyle w:val="30"/>
        <w:ind w:firstLine="480"/>
      </w:pPr>
      <w:r>
        <w:rPr>
          <w:rFonts w:hint="eastAsia"/>
        </w:rPr>
        <w:t>1.1投标文件的正本、副本文档均应用信封密封。</w:t>
      </w:r>
    </w:p>
    <w:p>
      <w:pPr>
        <w:pStyle w:val="30"/>
        <w:ind w:firstLine="480"/>
      </w:pPr>
      <w:r>
        <w:rPr>
          <w:rFonts w:hint="eastAsia"/>
        </w:rPr>
        <w:t>1.2若正本、副本文档分别进行密封的，应在信封上注明项目名称、投标人名称地址、“正本”、“副本”字样。</w:t>
      </w:r>
    </w:p>
    <w:p>
      <w:pPr>
        <w:pStyle w:val="30"/>
        <w:ind w:firstLine="480"/>
      </w:pPr>
      <w:r>
        <w:rPr>
          <w:rFonts w:hint="eastAsia"/>
        </w:rPr>
        <w:t>1.3信封的封口应加盖投标人公章或</w:t>
      </w:r>
      <w:r>
        <w:rPr>
          <w:rFonts w:hint="eastAsia"/>
          <w:szCs w:val="28"/>
        </w:rPr>
        <w:t>法定代表人</w:t>
      </w:r>
      <w:r>
        <w:rPr>
          <w:rFonts w:hint="eastAsia"/>
        </w:rPr>
        <w:t>授权代表签字。</w:t>
      </w:r>
    </w:p>
    <w:p>
      <w:pPr>
        <w:pStyle w:val="30"/>
        <w:ind w:firstLine="480"/>
      </w:pPr>
      <w:r>
        <w:rPr>
          <w:rFonts w:hint="eastAsia"/>
        </w:rPr>
        <w:t>2、电报、电话、邮寄、传真形式的投标文件概不接受。</w:t>
      </w:r>
    </w:p>
    <w:p>
      <w:pPr>
        <w:pStyle w:val="30"/>
        <w:ind w:firstLine="480"/>
      </w:pPr>
      <w:r>
        <w:rPr>
          <w:rFonts w:hint="eastAsia"/>
        </w:rPr>
        <w:t>3、投标文件须密封后于（开标当日）投标截止时间前递交至开标地点。逾期送达或不符合规定的投标文件恕不接受。</w:t>
      </w:r>
    </w:p>
    <w:p>
      <w:pPr>
        <w:pStyle w:val="28"/>
        <w:ind w:firstLine="562"/>
        <w:outlineLvl w:val="1"/>
      </w:pPr>
      <w:bookmarkStart w:id="341" w:name="_Toc9543"/>
      <w:bookmarkStart w:id="342" w:name="_Toc19744"/>
      <w:bookmarkStart w:id="343" w:name="_Toc7768"/>
      <w:bookmarkStart w:id="344" w:name="_Toc7094"/>
      <w:bookmarkStart w:id="345" w:name="_Toc28427"/>
      <w:bookmarkStart w:id="346" w:name="_Toc22258"/>
      <w:bookmarkStart w:id="347" w:name="_Toc491251303"/>
      <w:bookmarkStart w:id="348" w:name="_Toc10949"/>
      <w:bookmarkStart w:id="349" w:name="_Toc21113"/>
      <w:bookmarkStart w:id="350" w:name="_Toc26795"/>
      <w:bookmarkStart w:id="351" w:name="_Toc20235"/>
      <w:bookmarkStart w:id="352" w:name="_Toc16266"/>
      <w:bookmarkStart w:id="353" w:name="_Toc21718"/>
      <w:bookmarkStart w:id="354" w:name="_Toc25806"/>
      <w:bookmarkStart w:id="355" w:name="_Toc1455"/>
      <w:bookmarkStart w:id="356" w:name="_Toc11403"/>
      <w:bookmarkStart w:id="357" w:name="_Toc14450"/>
      <w:r>
        <w:rPr>
          <w:rFonts w:hint="eastAsia"/>
        </w:rPr>
        <w:t>四、开标</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30"/>
        <w:ind w:firstLine="480"/>
      </w:pPr>
      <w:r>
        <w:rPr>
          <w:rFonts w:hint="eastAsia"/>
        </w:rPr>
        <w:t>（一）开标应当在招标文件中“投标邀请书”确定的时间和地点公开进行。</w:t>
      </w:r>
    </w:p>
    <w:p>
      <w:pPr>
        <w:pStyle w:val="30"/>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30"/>
        <w:ind w:firstLine="480"/>
      </w:pPr>
      <w:r>
        <w:rPr>
          <w:rFonts w:hint="eastAsia"/>
        </w:rPr>
        <w:t>（三）开标由采购代理机构主持，邀请采购人、投标人、财政部门和有关监督部门代表参加，财政部门和有关监督部门可视情况派员现场监督。</w:t>
      </w:r>
    </w:p>
    <w:p>
      <w:pPr>
        <w:pStyle w:val="30"/>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30"/>
        <w:ind w:firstLine="480"/>
      </w:pPr>
      <w:r>
        <w:rPr>
          <w:rFonts w:hint="eastAsia"/>
        </w:rPr>
        <w:t>（五）未宣读的投标价格、价格折扣和招标文件允许提供的备选投标方案等实质性内容等，评标时不予承认。</w:t>
      </w:r>
    </w:p>
    <w:p>
      <w:pPr>
        <w:pStyle w:val="30"/>
        <w:ind w:firstLine="480"/>
      </w:pPr>
      <w:r>
        <w:rPr>
          <w:rFonts w:hint="eastAsia"/>
        </w:rPr>
        <w:t>（六）开标过程应由招标采购单位指定专人负责记录，并存档备查。</w:t>
      </w:r>
    </w:p>
    <w:p>
      <w:pPr>
        <w:pStyle w:val="28"/>
        <w:ind w:firstLine="562"/>
        <w:outlineLvl w:val="1"/>
      </w:pPr>
      <w:bookmarkStart w:id="358" w:name="_Toc29207"/>
      <w:bookmarkStart w:id="359" w:name="_Toc32574"/>
      <w:bookmarkStart w:id="360" w:name="_Toc18307"/>
      <w:bookmarkStart w:id="361" w:name="_Toc18666"/>
      <w:bookmarkStart w:id="362" w:name="_Toc491251304"/>
      <w:bookmarkStart w:id="363" w:name="_Toc11456"/>
      <w:bookmarkStart w:id="364" w:name="_Toc26593"/>
      <w:bookmarkStart w:id="365" w:name="_Toc27940"/>
      <w:bookmarkStart w:id="366" w:name="_Toc28630"/>
      <w:bookmarkStart w:id="367" w:name="_Toc5421"/>
      <w:bookmarkStart w:id="368" w:name="_Toc12738"/>
      <w:bookmarkStart w:id="369" w:name="_Toc24563"/>
      <w:bookmarkStart w:id="370" w:name="_Toc15395"/>
      <w:bookmarkStart w:id="371" w:name="_Toc1613"/>
      <w:bookmarkStart w:id="372" w:name="_Toc20048"/>
      <w:bookmarkStart w:id="373" w:name="_Toc32454"/>
      <w:bookmarkStart w:id="374" w:name="_Toc21543"/>
      <w:r>
        <w:rPr>
          <w:rFonts w:hint="eastAsia"/>
        </w:rPr>
        <w:t>五、评标</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Style w:val="30"/>
        <w:ind w:firstLine="480"/>
      </w:pPr>
      <w:r>
        <w:rPr>
          <w:rFonts w:hint="eastAsia"/>
        </w:rPr>
        <w:t>见第四篇“评标”内容。</w:t>
      </w:r>
    </w:p>
    <w:p>
      <w:pPr>
        <w:pStyle w:val="28"/>
        <w:ind w:firstLine="562"/>
        <w:outlineLvl w:val="1"/>
      </w:pPr>
      <w:bookmarkStart w:id="375" w:name="_Toc23297"/>
      <w:bookmarkStart w:id="376" w:name="_Toc3553"/>
      <w:bookmarkStart w:id="377" w:name="_Toc31260"/>
      <w:bookmarkStart w:id="378" w:name="_Toc12637"/>
      <w:bookmarkStart w:id="379" w:name="_Toc30416"/>
      <w:bookmarkStart w:id="380" w:name="_Toc23133"/>
      <w:bookmarkStart w:id="381" w:name="_Toc17966"/>
      <w:bookmarkStart w:id="382" w:name="_Toc28160"/>
      <w:bookmarkStart w:id="383" w:name="_Toc418"/>
      <w:bookmarkStart w:id="384" w:name="_Toc9353"/>
      <w:bookmarkStart w:id="385" w:name="_Toc491251305"/>
      <w:bookmarkStart w:id="386" w:name="_Toc28807"/>
      <w:bookmarkStart w:id="387" w:name="_Toc4616"/>
      <w:bookmarkStart w:id="388" w:name="_Toc32259"/>
      <w:bookmarkStart w:id="389" w:name="_Toc939"/>
      <w:bookmarkStart w:id="390" w:name="_Toc23072"/>
      <w:bookmarkStart w:id="391" w:name="_Toc23193"/>
      <w:r>
        <w:rPr>
          <w:rFonts w:hint="eastAsia"/>
        </w:rPr>
        <w:t>六、定标</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30"/>
        <w:ind w:firstLine="480"/>
        <w:outlineLvl w:val="2"/>
      </w:pPr>
      <w:r>
        <w:rPr>
          <w:rFonts w:hint="eastAsia"/>
        </w:rPr>
        <w:t>（一）定标原则</w:t>
      </w:r>
    </w:p>
    <w:p>
      <w:pPr>
        <w:pStyle w:val="30"/>
        <w:ind w:firstLine="480"/>
      </w:pPr>
      <w:r>
        <w:rPr>
          <w:rFonts w:hint="eastAsia"/>
        </w:rPr>
        <w:t>采购人或其授权的评标委员会应按照评标报告中推荐的中标候选人排名顺序确定中标人。</w:t>
      </w:r>
    </w:p>
    <w:p>
      <w:pPr>
        <w:pStyle w:val="30"/>
        <w:ind w:firstLine="480"/>
        <w:outlineLvl w:val="2"/>
      </w:pPr>
      <w:r>
        <w:rPr>
          <w:rFonts w:hint="eastAsia"/>
        </w:rPr>
        <w:t>（二）定标程序</w:t>
      </w:r>
    </w:p>
    <w:p>
      <w:pPr>
        <w:pStyle w:val="30"/>
        <w:ind w:firstLine="480"/>
      </w:pPr>
      <w:r>
        <w:rPr>
          <w:rFonts w:hint="eastAsia"/>
        </w:rPr>
        <w:t>1、</w:t>
      </w:r>
      <w:r>
        <w:t>采购代理机构应当自评审结束之日起2个工作日内将评审报告送交采购人</w:t>
      </w:r>
      <w:r>
        <w:rPr>
          <w:rFonts w:hint="eastAsia"/>
        </w:rPr>
        <w:t>。</w:t>
      </w:r>
    </w:p>
    <w:p>
      <w:pPr>
        <w:pStyle w:val="30"/>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个工作日内在评审报告中推荐的中标候选人按排名顺序确定中标人，确认后，采购代理机构在新疆政府采购网或乌尔禾区公众信息网对评标结果进行公告。</w:t>
      </w:r>
    </w:p>
    <w:p>
      <w:pPr>
        <w:pStyle w:val="30"/>
        <w:ind w:firstLine="480"/>
      </w:pPr>
      <w:r>
        <w:rPr>
          <w:rFonts w:hint="eastAsia"/>
        </w:rPr>
        <w:t>3、公告内容包括招标项目名称、中标人名单、评标委员会成员名单、采购代理机构联系人和电话。</w:t>
      </w:r>
    </w:p>
    <w:p>
      <w:pPr>
        <w:pStyle w:val="30"/>
        <w:ind w:firstLine="480"/>
      </w:pPr>
      <w:r>
        <w:rPr>
          <w:rFonts w:hint="eastAsia"/>
        </w:rPr>
        <w:t>4、如有投标人对评标结果提出质疑的，在质疑处理完毕后发出中标通知书。</w:t>
      </w:r>
    </w:p>
    <w:p>
      <w:pPr>
        <w:pStyle w:val="28"/>
        <w:ind w:firstLine="562"/>
        <w:outlineLvl w:val="1"/>
      </w:pPr>
      <w:bookmarkStart w:id="392" w:name="_Toc12247"/>
      <w:bookmarkStart w:id="393" w:name="_Toc16233"/>
      <w:bookmarkStart w:id="394" w:name="_Toc9794"/>
      <w:bookmarkStart w:id="395" w:name="_Toc10127"/>
      <w:bookmarkStart w:id="396" w:name="_Toc32284"/>
      <w:bookmarkStart w:id="397" w:name="_Toc13020"/>
      <w:bookmarkStart w:id="398" w:name="_Toc491251306"/>
      <w:bookmarkStart w:id="399" w:name="_Toc27399"/>
      <w:bookmarkStart w:id="400" w:name="_Toc18509"/>
      <w:bookmarkStart w:id="401" w:name="_Toc20293"/>
      <w:bookmarkStart w:id="402" w:name="_Toc12759"/>
      <w:bookmarkStart w:id="403" w:name="_Toc32216"/>
      <w:bookmarkStart w:id="404" w:name="_Toc11291"/>
      <w:bookmarkStart w:id="405" w:name="_Toc27740"/>
      <w:bookmarkStart w:id="406" w:name="_Toc16555"/>
      <w:bookmarkStart w:id="407" w:name="_Toc31205"/>
      <w:bookmarkStart w:id="408" w:name="_Toc25288"/>
      <w:r>
        <w:rPr>
          <w:rFonts w:hint="eastAsia"/>
        </w:rPr>
        <w:t>七、中标通知书</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30"/>
        <w:ind w:firstLine="480"/>
      </w:pPr>
      <w:r>
        <w:rPr>
          <w:rFonts w:hint="eastAsia"/>
        </w:rPr>
        <w:t>（一）、采购人依法确定中标人后，采购代理机构以书面形式发出中标通知书。</w:t>
      </w:r>
    </w:p>
    <w:p>
      <w:pPr>
        <w:pStyle w:val="30"/>
        <w:ind w:firstLine="480"/>
      </w:pPr>
      <w:r>
        <w:rPr>
          <w:rFonts w:hint="eastAsia"/>
        </w:rPr>
        <w:t>（二）、中标通知书发出后，采购人改变中标结果，或者中标人放弃中标，应当承担相应的法律责任。</w:t>
      </w:r>
    </w:p>
    <w:p>
      <w:pPr>
        <w:pStyle w:val="28"/>
        <w:ind w:firstLine="562"/>
        <w:outlineLvl w:val="1"/>
      </w:pPr>
      <w:bookmarkStart w:id="409" w:name="_Toc13651941"/>
      <w:bookmarkStart w:id="410" w:name="_Toc14910"/>
      <w:bookmarkStart w:id="411" w:name="_Toc29960"/>
      <w:bookmarkStart w:id="412" w:name="_Toc3555"/>
      <w:bookmarkStart w:id="413" w:name="_Toc19493"/>
      <w:bookmarkStart w:id="414" w:name="_Toc31058"/>
      <w:bookmarkStart w:id="415" w:name="_Toc8740"/>
      <w:bookmarkStart w:id="416" w:name="_Toc13139"/>
      <w:bookmarkStart w:id="417" w:name="_Toc10606"/>
      <w:bookmarkStart w:id="418" w:name="_Toc15176"/>
      <w:bookmarkStart w:id="419" w:name="_Toc28122"/>
      <w:bookmarkStart w:id="420" w:name="_Toc7021"/>
      <w:bookmarkStart w:id="421" w:name="_Toc10937"/>
      <w:bookmarkStart w:id="422" w:name="_Toc2034"/>
      <w:bookmarkStart w:id="423" w:name="_Toc16045"/>
      <w:bookmarkStart w:id="424" w:name="_Toc14184"/>
      <w:bookmarkStart w:id="425" w:name="_Toc28872"/>
      <w:bookmarkStart w:id="426" w:name="_Toc491251308"/>
      <w:r>
        <w:rPr>
          <w:rFonts w:hint="eastAsia"/>
        </w:rPr>
        <w:t>八、关于质疑和投诉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30"/>
        <w:ind w:firstLine="480"/>
        <w:outlineLvl w:val="2"/>
      </w:pPr>
      <w:r>
        <w:rPr>
          <w:rFonts w:hint="eastAsia"/>
        </w:rPr>
        <w:t>（一）质疑内容、时限、质疑书数量</w:t>
      </w:r>
    </w:p>
    <w:p>
      <w:pPr>
        <w:pStyle w:val="30"/>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30"/>
        <w:ind w:firstLine="480"/>
      </w:pPr>
      <w:r>
        <w:rPr>
          <w:rFonts w:hint="eastAsia"/>
        </w:rPr>
        <w:t>2、投标人对中标结果有异议的，应当在中标公告发布之日起七个工作日内以书面形式向采购人、采购机构提出质疑，并附相关证明材料。</w:t>
      </w:r>
    </w:p>
    <w:p>
      <w:pPr>
        <w:pStyle w:val="30"/>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30"/>
        <w:ind w:firstLine="480"/>
      </w:pPr>
      <w:r>
        <w:rPr>
          <w:rFonts w:hint="eastAsia"/>
        </w:rPr>
        <w:t>4、质疑函应当包括下列内容：</w:t>
      </w:r>
    </w:p>
    <w:p>
      <w:pPr>
        <w:pStyle w:val="30"/>
        <w:ind w:firstLine="480"/>
      </w:pPr>
      <w:r>
        <w:rPr>
          <w:rFonts w:hint="eastAsia"/>
        </w:rPr>
        <w:t>4.1</w:t>
      </w:r>
      <w:r>
        <w:t>供应商的姓名或者名称、地址、邮编、联系人及联系电话；</w:t>
      </w:r>
    </w:p>
    <w:p>
      <w:pPr>
        <w:pStyle w:val="30"/>
        <w:ind w:firstLine="480"/>
      </w:pPr>
      <w:r>
        <w:rPr>
          <w:rFonts w:hint="eastAsia"/>
        </w:rPr>
        <w:t>4.2</w:t>
      </w:r>
      <w:r>
        <w:t>质疑项目的名称、编号；</w:t>
      </w:r>
    </w:p>
    <w:p>
      <w:pPr>
        <w:pStyle w:val="30"/>
        <w:ind w:firstLine="480"/>
      </w:pPr>
      <w:r>
        <w:rPr>
          <w:rFonts w:hint="eastAsia"/>
        </w:rPr>
        <w:t>4.3</w:t>
      </w:r>
      <w:r>
        <w:t>具体、明确的质疑事项和与质疑事项相关的请求；</w:t>
      </w:r>
    </w:p>
    <w:p>
      <w:pPr>
        <w:pStyle w:val="30"/>
        <w:ind w:firstLine="480"/>
      </w:pPr>
      <w:r>
        <w:rPr>
          <w:rFonts w:hint="eastAsia"/>
        </w:rPr>
        <w:t>4.4</w:t>
      </w:r>
      <w:r>
        <w:t>事实依据；</w:t>
      </w:r>
    </w:p>
    <w:p>
      <w:pPr>
        <w:pStyle w:val="30"/>
        <w:ind w:firstLine="480"/>
      </w:pPr>
      <w:r>
        <w:rPr>
          <w:rFonts w:hint="eastAsia"/>
        </w:rPr>
        <w:t>4.5</w:t>
      </w:r>
      <w:r>
        <w:t>必要的法律依据；</w:t>
      </w:r>
    </w:p>
    <w:p>
      <w:pPr>
        <w:pStyle w:val="30"/>
        <w:ind w:firstLine="480"/>
      </w:pPr>
      <w:r>
        <w:rPr>
          <w:rFonts w:hint="eastAsia"/>
        </w:rPr>
        <w:t>4.6</w:t>
      </w:r>
      <w:r>
        <w:t>提出质疑的日期。</w:t>
      </w:r>
    </w:p>
    <w:p>
      <w:pPr>
        <w:pStyle w:val="30"/>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30"/>
        <w:ind w:firstLine="480"/>
      </w:pPr>
      <w:r>
        <w:rPr>
          <w:rFonts w:hint="eastAsia"/>
        </w:rPr>
        <w:t>5、质疑书数量：一式四份。</w:t>
      </w:r>
    </w:p>
    <w:p>
      <w:pPr>
        <w:pStyle w:val="30"/>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30"/>
        <w:ind w:firstLine="480"/>
        <w:outlineLvl w:val="2"/>
      </w:pPr>
      <w:r>
        <w:rPr>
          <w:rFonts w:hint="eastAsia"/>
        </w:rPr>
        <w:t>（二）质疑答复时限</w:t>
      </w:r>
    </w:p>
    <w:p>
      <w:pPr>
        <w:pStyle w:val="30"/>
        <w:ind w:firstLine="480"/>
      </w:pPr>
      <w:r>
        <w:rPr>
          <w:rFonts w:hint="eastAsia"/>
        </w:rPr>
        <w:t>采购人、采购机构在收到投标人书面质疑后七个工作日内，对质疑内容作出答复。</w:t>
      </w:r>
    </w:p>
    <w:p>
      <w:pPr>
        <w:pStyle w:val="30"/>
        <w:ind w:firstLine="480"/>
        <w:outlineLvl w:val="2"/>
      </w:pPr>
      <w:r>
        <w:rPr>
          <w:rFonts w:hint="eastAsia"/>
        </w:rPr>
        <w:t>（三）不予受理或暂缓受理</w:t>
      </w:r>
    </w:p>
    <w:p>
      <w:pPr>
        <w:pStyle w:val="30"/>
        <w:ind w:firstLine="480"/>
      </w:pPr>
      <w:r>
        <w:rPr>
          <w:rFonts w:hint="eastAsia"/>
        </w:rPr>
        <w:t>1、质疑有下列情形之一的，不予受理：</w:t>
      </w:r>
    </w:p>
    <w:p>
      <w:pPr>
        <w:pStyle w:val="30"/>
        <w:ind w:firstLine="480"/>
      </w:pPr>
      <w:r>
        <w:rPr>
          <w:rFonts w:hint="eastAsia"/>
        </w:rPr>
        <w:t>1.1质疑供应商参与了投标活动后，再对招标文件内容提出质疑的；</w:t>
      </w:r>
    </w:p>
    <w:p>
      <w:pPr>
        <w:pStyle w:val="30"/>
        <w:ind w:firstLine="480"/>
      </w:pPr>
      <w:r>
        <w:rPr>
          <w:rFonts w:hint="eastAsia"/>
        </w:rPr>
        <w:t>1.2质疑超过有效期的；</w:t>
      </w:r>
    </w:p>
    <w:p>
      <w:pPr>
        <w:pStyle w:val="30"/>
        <w:ind w:firstLine="480"/>
      </w:pPr>
      <w:r>
        <w:rPr>
          <w:rFonts w:hint="eastAsia"/>
        </w:rPr>
        <w:t>1.3对同一事项重复质疑时，未提供新的事实证据或法律依据；</w:t>
      </w:r>
    </w:p>
    <w:p>
      <w:pPr>
        <w:pStyle w:val="30"/>
        <w:ind w:firstLine="480"/>
      </w:pPr>
      <w:r>
        <w:rPr>
          <w:rFonts w:hint="eastAsia"/>
        </w:rPr>
        <w:t>1.4质疑人未参与所质疑的政府采购活动的。</w:t>
      </w:r>
    </w:p>
    <w:p>
      <w:pPr>
        <w:pStyle w:val="30"/>
        <w:ind w:firstLine="480"/>
      </w:pPr>
      <w:r>
        <w:rPr>
          <w:rFonts w:hint="eastAsia"/>
        </w:rPr>
        <w:t>2、质疑有下列情形之一的，应暂不受理并告知投标人补充材料。投标人及时补充材料的，应予受理；逾期未补充的，不予受理：</w:t>
      </w:r>
    </w:p>
    <w:p>
      <w:pPr>
        <w:pStyle w:val="30"/>
        <w:ind w:firstLine="480"/>
      </w:pPr>
      <w:r>
        <w:rPr>
          <w:rFonts w:hint="eastAsia"/>
        </w:rPr>
        <w:t>2.1质疑书内容不符合规定的；</w:t>
      </w:r>
    </w:p>
    <w:p>
      <w:pPr>
        <w:pStyle w:val="30"/>
        <w:ind w:firstLine="480"/>
      </w:pPr>
      <w:r>
        <w:rPr>
          <w:rFonts w:hint="eastAsia"/>
        </w:rPr>
        <w:t>2.2质疑书提供的依据或证明材料不全的；</w:t>
      </w:r>
    </w:p>
    <w:p>
      <w:pPr>
        <w:pStyle w:val="30"/>
        <w:ind w:firstLine="480"/>
      </w:pPr>
      <w:r>
        <w:rPr>
          <w:rFonts w:hint="eastAsia"/>
        </w:rPr>
        <w:t>2.3质疑书数量不足的。</w:t>
      </w:r>
    </w:p>
    <w:p>
      <w:pPr>
        <w:pStyle w:val="30"/>
        <w:ind w:firstLine="480"/>
        <w:outlineLvl w:val="2"/>
      </w:pPr>
      <w:r>
        <w:rPr>
          <w:rFonts w:hint="eastAsia"/>
        </w:rPr>
        <w:t>（四）投诉</w:t>
      </w:r>
    </w:p>
    <w:p>
      <w:pPr>
        <w:pStyle w:val="30"/>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30"/>
        <w:ind w:firstLine="480"/>
      </w:pPr>
      <w:r>
        <w:rPr>
          <w:rFonts w:hint="eastAsia"/>
        </w:rPr>
        <w:t>2、在提出投诉时，应附送相关证明材料。投诉书及证明材料为外文的，应同时提供其中文译本；中文与外文意思不一致的，以中文为准。</w:t>
      </w:r>
    </w:p>
    <w:p>
      <w:pPr>
        <w:pStyle w:val="30"/>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8"/>
        <w:ind w:firstLine="562"/>
        <w:outlineLvl w:val="1"/>
      </w:pPr>
      <w:bookmarkStart w:id="427" w:name="_Toc13651942"/>
      <w:bookmarkStart w:id="428" w:name="_Toc24992"/>
      <w:bookmarkStart w:id="429" w:name="_Toc13862"/>
      <w:bookmarkStart w:id="430" w:name="_Toc28019"/>
      <w:bookmarkStart w:id="431" w:name="_Toc28202"/>
      <w:bookmarkStart w:id="432" w:name="_Toc9163"/>
      <w:bookmarkStart w:id="433" w:name="_Toc2953"/>
      <w:bookmarkStart w:id="434" w:name="_Toc4301"/>
      <w:bookmarkStart w:id="435" w:name="_Toc15332"/>
      <w:bookmarkStart w:id="436" w:name="_Toc2491"/>
      <w:bookmarkStart w:id="437" w:name="_Toc6912"/>
      <w:bookmarkStart w:id="438" w:name="_Toc15560"/>
      <w:bookmarkStart w:id="439" w:name="_Toc19647"/>
      <w:bookmarkStart w:id="440" w:name="_Toc3554"/>
      <w:bookmarkStart w:id="441" w:name="_Toc13407"/>
      <w:bookmarkStart w:id="442" w:name="_Toc31603"/>
      <w:bookmarkStart w:id="443" w:name="_Toc2880"/>
      <w:r>
        <w:rPr>
          <w:rFonts w:hint="eastAsia"/>
        </w:rPr>
        <w:t>九、签订合同</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bookmarkEnd w:id="426"/>
    <w:p>
      <w:pPr>
        <w:pStyle w:val="30"/>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30"/>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30"/>
        <w:ind w:firstLine="480"/>
      </w:pPr>
      <w:r>
        <w:rPr>
          <w:rFonts w:hint="eastAsia"/>
        </w:rPr>
        <w:t>（三）招标文件、中标人的投标文件及澄清文件等，均为签订政府采购合同的依据。</w:t>
      </w:r>
    </w:p>
    <w:p>
      <w:pPr>
        <w:pStyle w:val="30"/>
        <w:ind w:firstLine="480"/>
      </w:pPr>
      <w:r>
        <w:rPr>
          <w:rFonts w:hint="eastAsia"/>
        </w:rPr>
        <w:t>（四）合同生效条款由供需双方约定，法律、行政法规规定应当办理批准、登记等手续后生效的合同，依照其规定。</w:t>
      </w:r>
    </w:p>
    <w:p>
      <w:pPr>
        <w:pStyle w:val="30"/>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6"/>
        <w:sectPr>
          <w:pgSz w:w="11907" w:h="16839"/>
          <w:pgMar w:top="1134" w:right="708" w:bottom="1134" w:left="1304" w:header="964" w:footer="992" w:gutter="0"/>
          <w:cols w:space="720" w:num="1"/>
          <w:docGrid w:linePitch="354" w:charSpace="0"/>
        </w:sectPr>
      </w:pPr>
      <w:bookmarkStart w:id="444" w:name="_Toc491251309"/>
    </w:p>
    <w:p>
      <w:pPr>
        <w:pStyle w:val="26"/>
        <w:outlineLvl w:val="0"/>
        <w:rPr>
          <w:rFonts w:ascii="仿宋" w:eastAsia="仿宋"/>
          <w:kern w:val="0"/>
        </w:rPr>
      </w:pPr>
      <w:bookmarkStart w:id="445" w:name="_Toc16330"/>
      <w:bookmarkStart w:id="446" w:name="_Toc4457"/>
      <w:bookmarkStart w:id="447" w:name="_Toc75"/>
      <w:bookmarkStart w:id="448" w:name="_Toc18514"/>
      <w:bookmarkStart w:id="449" w:name="_Toc6857"/>
      <w:bookmarkStart w:id="450" w:name="_Toc3713"/>
      <w:bookmarkStart w:id="451" w:name="_Toc21116"/>
      <w:bookmarkStart w:id="452" w:name="_Toc27286"/>
      <w:bookmarkStart w:id="453" w:name="_Toc14154"/>
      <w:bookmarkStart w:id="454" w:name="_Toc24094"/>
      <w:bookmarkStart w:id="455" w:name="_Toc6118"/>
      <w:bookmarkStart w:id="456" w:name="_Toc19514"/>
      <w:bookmarkStart w:id="457" w:name="_Toc26403"/>
      <w:bookmarkStart w:id="458" w:name="_Toc32433"/>
      <w:bookmarkStart w:id="459" w:name="_Toc24567"/>
      <w:bookmarkStart w:id="460" w:name="_Toc7932"/>
      <w:r>
        <w:rPr>
          <w:rFonts w:hint="eastAsia"/>
        </w:rPr>
        <w:t>第六篇  合同主要条款和格式合同</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Start w:id="461" w:name="_Toc277084870"/>
      <w:bookmarkStart w:id="462" w:name="_Toc285722712"/>
    </w:p>
    <w:bookmarkEnd w:id="461"/>
    <w:bookmarkEnd w:id="462"/>
    <w:p>
      <w:pPr>
        <w:tabs>
          <w:tab w:val="left" w:pos="4395"/>
        </w:tabs>
        <w:spacing w:line="360" w:lineRule="auto"/>
        <w:ind w:firstLine="420"/>
        <w:rPr>
          <w:rFonts w:ascii="仿宋" w:hAnsi="仿宋" w:eastAsia="仿宋"/>
          <w:color w:val="000000"/>
          <w:sz w:val="21"/>
          <w:szCs w:val="21"/>
        </w:rPr>
      </w:pPr>
    </w:p>
    <w:p>
      <w:pPr>
        <w:pStyle w:val="30"/>
        <w:ind w:firstLine="640"/>
        <w:outlineLvl w:val="1"/>
        <w:rPr>
          <w:sz w:val="32"/>
          <w:szCs w:val="32"/>
        </w:rPr>
      </w:pPr>
      <w:bookmarkStart w:id="463" w:name="_Toc21850"/>
      <w:bookmarkStart w:id="464" w:name="_Toc837"/>
      <w:bookmarkStart w:id="465" w:name="_Toc13954"/>
      <w:bookmarkStart w:id="466" w:name="_Toc23684"/>
      <w:bookmarkStart w:id="467" w:name="_Toc10879"/>
      <w:bookmarkStart w:id="468" w:name="_Toc6452"/>
      <w:bookmarkStart w:id="469" w:name="_Toc490756174"/>
      <w:bookmarkStart w:id="470" w:name="_Toc5590"/>
      <w:bookmarkStart w:id="471" w:name="_Toc825"/>
      <w:bookmarkStart w:id="472" w:name="_Toc17458"/>
      <w:bookmarkStart w:id="473" w:name="_Toc18548"/>
      <w:bookmarkStart w:id="474" w:name="_Toc17339"/>
      <w:bookmarkStart w:id="475" w:name="_Toc29107"/>
      <w:bookmarkStart w:id="476" w:name="_Toc7922"/>
      <w:bookmarkStart w:id="477" w:name="_Toc5968"/>
      <w:bookmarkStart w:id="478" w:name="_Toc365"/>
      <w:bookmarkStart w:id="479" w:name="_Toc10315"/>
      <w:r>
        <w:rPr>
          <w:rFonts w:hint="eastAsia"/>
          <w:sz w:val="32"/>
          <w:szCs w:val="32"/>
        </w:rPr>
        <w:t>一、合同主要条款</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pStyle w:val="30"/>
        <w:ind w:firstLine="480"/>
        <w:outlineLvl w:val="2"/>
      </w:pPr>
      <w:r>
        <w:rPr>
          <w:rFonts w:hint="eastAsia"/>
        </w:rPr>
        <w:t>1、定义</w:t>
      </w:r>
    </w:p>
    <w:p>
      <w:pPr>
        <w:pStyle w:val="30"/>
        <w:ind w:firstLine="480"/>
      </w:pPr>
      <w:r>
        <w:rPr>
          <w:rFonts w:hint="eastAsia"/>
        </w:rPr>
        <w:t>1.1甲方（需方）即采购人，是指通过招标采购，接受合同货物及服务的各级国家机关、事业单位和团体组织。</w:t>
      </w:r>
    </w:p>
    <w:p>
      <w:pPr>
        <w:pStyle w:val="30"/>
        <w:ind w:firstLine="480"/>
      </w:pPr>
      <w:r>
        <w:rPr>
          <w:rFonts w:hint="eastAsia"/>
        </w:rPr>
        <w:t>1.2乙方（供方）即中标人，是指中标后提供合同货物和服务的自然人、法人及其他组织。</w:t>
      </w:r>
    </w:p>
    <w:p>
      <w:pPr>
        <w:pStyle w:val="30"/>
        <w:ind w:firstLine="480"/>
      </w:pPr>
      <w:r>
        <w:rPr>
          <w:rFonts w:hint="eastAsia"/>
        </w:rPr>
        <w:t>1.3合同是指由甲乙双方按照招标文件和投标文件的实质性内容，通过协商一致达成的书面协议。</w:t>
      </w:r>
    </w:p>
    <w:p>
      <w:pPr>
        <w:pStyle w:val="30"/>
        <w:ind w:firstLine="480"/>
      </w:pPr>
      <w:r>
        <w:rPr>
          <w:rFonts w:hint="eastAsia"/>
        </w:rPr>
        <w:t>1.4合同价格指以中标价格为依据，在供方全面履行合同义务后，需方（或财政部门）应支付给供方的金额。</w:t>
      </w:r>
    </w:p>
    <w:p>
      <w:pPr>
        <w:pStyle w:val="30"/>
        <w:ind w:firstLine="480"/>
        <w:outlineLvl w:val="2"/>
      </w:pPr>
      <w:r>
        <w:rPr>
          <w:rFonts w:hint="eastAsia"/>
        </w:rPr>
        <w:t>2、服务内容</w:t>
      </w:r>
    </w:p>
    <w:p>
      <w:pPr>
        <w:pStyle w:val="30"/>
        <w:ind w:firstLine="480"/>
      </w:pPr>
      <w:r>
        <w:rPr>
          <w:rFonts w:hint="eastAsia"/>
        </w:rPr>
        <w:t>合同包括以下内容：服务项目名称、服务提供地点、服务期限、服务标准等内容。</w:t>
      </w:r>
    </w:p>
    <w:p>
      <w:pPr>
        <w:pStyle w:val="30"/>
        <w:ind w:firstLine="480"/>
        <w:outlineLvl w:val="2"/>
      </w:pPr>
      <w:r>
        <w:rPr>
          <w:rFonts w:hint="eastAsia"/>
        </w:rPr>
        <w:t>3、合同价格</w:t>
      </w:r>
    </w:p>
    <w:p>
      <w:pPr>
        <w:pStyle w:val="30"/>
        <w:ind w:firstLine="480"/>
      </w:pPr>
      <w:r>
        <w:rPr>
          <w:rFonts w:hint="eastAsia"/>
        </w:rPr>
        <w:t>3.1合同价格即合同总价。</w:t>
      </w:r>
    </w:p>
    <w:p>
      <w:pPr>
        <w:pStyle w:val="30"/>
        <w:ind w:firstLine="480"/>
      </w:pPr>
      <w:r>
        <w:rPr>
          <w:rFonts w:hint="eastAsia"/>
        </w:rPr>
        <w:t>3.2合同价格包括人员工资、各类社保费用、税费、为保证服务质量所购买或租赁设备的费用等。</w:t>
      </w:r>
    </w:p>
    <w:p>
      <w:pPr>
        <w:pStyle w:val="30"/>
        <w:ind w:firstLine="480"/>
        <w:outlineLvl w:val="2"/>
      </w:pPr>
      <w:r>
        <w:rPr>
          <w:rFonts w:hint="eastAsia"/>
        </w:rPr>
        <w:t>4、转包或分包</w:t>
      </w:r>
    </w:p>
    <w:p>
      <w:pPr>
        <w:pStyle w:val="30"/>
        <w:ind w:firstLine="480"/>
      </w:pPr>
      <w:r>
        <w:rPr>
          <w:rFonts w:hint="eastAsia"/>
        </w:rPr>
        <w:t>4.1本合同范围的服务内容，应由乙方直接供应，不得转让他人供应；</w:t>
      </w:r>
    </w:p>
    <w:p>
      <w:pPr>
        <w:pStyle w:val="30"/>
        <w:ind w:firstLine="480"/>
      </w:pPr>
      <w:r>
        <w:rPr>
          <w:rFonts w:hint="eastAsia"/>
        </w:rPr>
        <w:t>4.2非经甲方书面同意，乙方不得将本合同范围的服务全部或部分分包给他人；</w:t>
      </w:r>
    </w:p>
    <w:p>
      <w:pPr>
        <w:pStyle w:val="30"/>
        <w:ind w:firstLine="480"/>
      </w:pPr>
      <w:r>
        <w:rPr>
          <w:rFonts w:hint="eastAsia"/>
        </w:rPr>
        <w:t>4.3如有转让和未经甲方同意的分包行为，甲方有权解除合同，没收履约保证金并追究乙方的违约责任。</w:t>
      </w:r>
    </w:p>
    <w:p>
      <w:pPr>
        <w:pStyle w:val="30"/>
        <w:ind w:firstLine="480"/>
        <w:outlineLvl w:val="2"/>
      </w:pPr>
      <w:r>
        <w:rPr>
          <w:rFonts w:hint="eastAsia"/>
        </w:rPr>
        <w:t>5、服务质量保证</w:t>
      </w:r>
    </w:p>
    <w:p>
      <w:pPr>
        <w:pStyle w:val="30"/>
        <w:ind w:firstLine="480"/>
      </w:pPr>
      <w:r>
        <w:rPr>
          <w:rFonts w:hint="eastAsia"/>
        </w:rPr>
        <w:t>5.1乙方应按招标文件规定的服务标准向甲方提供服务。</w:t>
      </w:r>
    </w:p>
    <w:p>
      <w:pPr>
        <w:pStyle w:val="30"/>
        <w:ind w:firstLine="480"/>
      </w:pPr>
      <w:r>
        <w:rPr>
          <w:rFonts w:hint="eastAsia"/>
        </w:rPr>
        <w:t>5.2乙方提供的服务标准达不到招标文件规定者，除承担相应责任外，将按失信行为处置。</w:t>
      </w:r>
    </w:p>
    <w:p>
      <w:pPr>
        <w:pStyle w:val="30"/>
        <w:ind w:firstLine="480"/>
        <w:outlineLvl w:val="2"/>
      </w:pPr>
      <w:r>
        <w:rPr>
          <w:rFonts w:hint="eastAsia"/>
        </w:rPr>
        <w:t>6、付款</w:t>
      </w:r>
    </w:p>
    <w:p>
      <w:pPr>
        <w:pStyle w:val="30"/>
        <w:ind w:firstLine="480"/>
      </w:pPr>
      <w:r>
        <w:rPr>
          <w:rFonts w:hint="eastAsia"/>
        </w:rPr>
        <w:t>6.1本合同使用货币币制如未作特别说明均为人民币。</w:t>
      </w:r>
    </w:p>
    <w:p>
      <w:pPr>
        <w:pStyle w:val="30"/>
        <w:ind w:firstLine="480"/>
      </w:pPr>
      <w:r>
        <w:rPr>
          <w:rFonts w:hint="eastAsia"/>
        </w:rPr>
        <w:t>6.2付款方式：银行转账、现金支票。</w:t>
      </w:r>
    </w:p>
    <w:p>
      <w:pPr>
        <w:pStyle w:val="30"/>
        <w:ind w:firstLine="480"/>
      </w:pPr>
      <w:r>
        <w:rPr>
          <w:rFonts w:hint="eastAsia"/>
        </w:rPr>
        <w:t>6.3付款方法：同本项目“第三篇 商务条款”中关于付款方式的约定。</w:t>
      </w:r>
    </w:p>
    <w:p>
      <w:pPr>
        <w:pStyle w:val="30"/>
        <w:ind w:firstLine="480"/>
        <w:outlineLvl w:val="2"/>
      </w:pPr>
      <w:r>
        <w:rPr>
          <w:rFonts w:hint="eastAsia"/>
        </w:rPr>
        <w:t>7、检查考核</w:t>
      </w:r>
    </w:p>
    <w:p>
      <w:pPr>
        <w:pStyle w:val="30"/>
        <w:ind w:firstLine="480"/>
      </w:pPr>
      <w:r>
        <w:rPr>
          <w:rFonts w:hint="eastAsia"/>
        </w:rPr>
        <w:t>7.1按甲乙双方约定的考核办法监督检查。</w:t>
      </w:r>
    </w:p>
    <w:p>
      <w:pPr>
        <w:pStyle w:val="30"/>
        <w:ind w:firstLine="480"/>
        <w:outlineLvl w:val="2"/>
      </w:pPr>
      <w:r>
        <w:rPr>
          <w:rFonts w:hint="eastAsia"/>
        </w:rPr>
        <w:t>8、合同争议的解决</w:t>
      </w:r>
    </w:p>
    <w:p>
      <w:pPr>
        <w:pStyle w:val="30"/>
        <w:ind w:firstLine="480"/>
      </w:pPr>
      <w:r>
        <w:rPr>
          <w:rFonts w:hint="eastAsia"/>
        </w:rPr>
        <w:t>8.1当事人友好协商达成一致</w:t>
      </w:r>
    </w:p>
    <w:p>
      <w:pPr>
        <w:pStyle w:val="30"/>
        <w:ind w:firstLine="480"/>
      </w:pPr>
      <w:r>
        <w:rPr>
          <w:rFonts w:hint="eastAsia"/>
        </w:rPr>
        <w:t>8.2在60天内当事人协商不能达成协议的，可提请采购人当地仲裁机构仲裁。</w:t>
      </w:r>
    </w:p>
    <w:p>
      <w:pPr>
        <w:pStyle w:val="30"/>
        <w:ind w:firstLine="480"/>
        <w:outlineLvl w:val="2"/>
      </w:pPr>
      <w:r>
        <w:rPr>
          <w:rFonts w:hint="eastAsia"/>
        </w:rPr>
        <w:t>9、违约责任</w:t>
      </w:r>
    </w:p>
    <w:p>
      <w:pPr>
        <w:pStyle w:val="30"/>
        <w:ind w:firstLine="480"/>
      </w:pPr>
      <w:r>
        <w:rPr>
          <w:rFonts w:hint="eastAsia"/>
        </w:rPr>
        <w:t>按《中华人民共和国合同法》、《中华人民共和国政府采购法》有关条款，或由供需双方约定。</w:t>
      </w:r>
    </w:p>
    <w:p>
      <w:pPr>
        <w:pStyle w:val="30"/>
        <w:ind w:firstLine="480"/>
        <w:outlineLvl w:val="2"/>
      </w:pPr>
      <w:r>
        <w:rPr>
          <w:rFonts w:hint="eastAsia"/>
        </w:rPr>
        <w:t>10、合同生效及其它</w:t>
      </w:r>
    </w:p>
    <w:p>
      <w:pPr>
        <w:pStyle w:val="30"/>
        <w:ind w:firstLine="480"/>
      </w:pPr>
      <w:r>
        <w:rPr>
          <w:rFonts w:hint="eastAsia"/>
        </w:rPr>
        <w:t>10.1合同生效及其效力应符合《中华人民共和国合同法》有关规定。</w:t>
      </w:r>
    </w:p>
    <w:p>
      <w:pPr>
        <w:pStyle w:val="30"/>
        <w:ind w:firstLine="480"/>
      </w:pPr>
      <w:r>
        <w:rPr>
          <w:rFonts w:hint="eastAsia"/>
        </w:rPr>
        <w:t>10.2合同应经当事人法定代表人或委托代理人签字，加盖双方合同专用章或公章。</w:t>
      </w:r>
    </w:p>
    <w:p>
      <w:pPr>
        <w:pStyle w:val="30"/>
        <w:ind w:firstLine="480"/>
      </w:pPr>
      <w:r>
        <w:rPr>
          <w:rFonts w:hint="eastAsia"/>
        </w:rPr>
        <w:t>10.3合同所包括附件，是合同不可分割的一部分，具有同等法律效力。</w:t>
      </w:r>
    </w:p>
    <w:p>
      <w:pPr>
        <w:pStyle w:val="30"/>
        <w:ind w:firstLine="480"/>
      </w:pPr>
      <w:r>
        <w:rPr>
          <w:rFonts w:hint="eastAsia"/>
        </w:rPr>
        <w:t>10.4合同需提供担保的，按《中华人民共和国担保法》规定执行。</w:t>
      </w:r>
    </w:p>
    <w:p>
      <w:pPr>
        <w:pStyle w:val="30"/>
        <w:ind w:firstLine="480"/>
      </w:pPr>
      <w:r>
        <w:rPr>
          <w:rFonts w:hint="eastAsia"/>
        </w:rPr>
        <w:t>10.5本合同条件未尽事宜依照《中华人民共和国合同法》，由供需双方共同协商确定。</w:t>
      </w:r>
    </w:p>
    <w:p>
      <w:pPr>
        <w:pStyle w:val="30"/>
        <w:ind w:firstLine="480"/>
        <w:sectPr>
          <w:pgSz w:w="11907" w:h="16840"/>
          <w:pgMar w:top="1134" w:right="708" w:bottom="1134" w:left="1304" w:header="964" w:footer="992" w:gutter="0"/>
          <w:cols w:space="720" w:num="1"/>
          <w:docGrid w:linePitch="312" w:charSpace="0"/>
        </w:sectPr>
      </w:pPr>
    </w:p>
    <w:p>
      <w:pPr>
        <w:pStyle w:val="30"/>
        <w:ind w:firstLine="640"/>
        <w:outlineLvl w:val="1"/>
        <w:rPr>
          <w:sz w:val="32"/>
          <w:szCs w:val="32"/>
        </w:rPr>
      </w:pPr>
      <w:bookmarkStart w:id="480" w:name="_Toc11212"/>
      <w:bookmarkStart w:id="481" w:name="_Toc23916"/>
      <w:bookmarkStart w:id="482" w:name="_Toc490756175"/>
      <w:bookmarkStart w:id="483" w:name="_Toc25586"/>
      <w:bookmarkStart w:id="484" w:name="_Toc2197"/>
      <w:bookmarkStart w:id="485" w:name="_Toc6277"/>
      <w:bookmarkStart w:id="486" w:name="_Toc26672"/>
      <w:bookmarkStart w:id="487" w:name="_Toc22322"/>
      <w:bookmarkStart w:id="488" w:name="_Toc24974"/>
      <w:bookmarkStart w:id="489" w:name="_Toc27111"/>
      <w:bookmarkStart w:id="490" w:name="_Toc16767"/>
      <w:bookmarkStart w:id="491" w:name="_Toc9454"/>
      <w:bookmarkStart w:id="492" w:name="_Toc5091"/>
      <w:bookmarkStart w:id="493" w:name="_Toc4091"/>
      <w:bookmarkStart w:id="494" w:name="_Toc31576"/>
      <w:bookmarkStart w:id="495" w:name="_Toc19144"/>
      <w:bookmarkStart w:id="496" w:name="_Toc9466"/>
      <w:r>
        <w:rPr>
          <w:rFonts w:hint="eastAsia"/>
          <w:sz w:val="32"/>
          <w:szCs w:val="32"/>
        </w:rPr>
        <w:t>二、合同（格式）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outlineLvl w:val="0"/>
        <w:rPr>
          <w:rFonts w:ascii="宋体" w:hAnsi="宋体" w:eastAsia="宋体"/>
          <w:b/>
          <w:color w:val="000000"/>
          <w:sz w:val="48"/>
          <w:szCs w:val="48"/>
        </w:rPr>
      </w:pPr>
      <w:bookmarkStart w:id="497" w:name="_Toc27945"/>
      <w:bookmarkStart w:id="498" w:name="_Toc21582"/>
      <w:r>
        <w:rPr>
          <w:rFonts w:hint="eastAsia" w:ascii="宋体" w:hAnsi="宋体" w:eastAsia="宋体"/>
          <w:b/>
          <w:color w:val="000000"/>
          <w:sz w:val="48"/>
          <w:szCs w:val="48"/>
        </w:rPr>
        <w:t>合　同　书</w:t>
      </w:r>
      <w:bookmarkEnd w:id="497"/>
      <w:bookmarkEnd w:id="498"/>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9"/>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499" w:name="_Toc17608"/>
      <w:bookmarkStart w:id="500" w:name="_Toc3744"/>
      <w:r>
        <w:rPr>
          <w:rFonts w:hint="eastAsia" w:ascii="仿宋" w:hAnsi="仿宋" w:eastAsia="仿宋"/>
          <w:b/>
          <w:color w:val="000000"/>
          <w:sz w:val="21"/>
          <w:szCs w:val="21"/>
        </w:rPr>
        <w:t>服务内容</w:t>
      </w:r>
      <w:bookmarkEnd w:id="499"/>
      <w:bookmarkEnd w:id="500"/>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1" w:name="_Toc23401"/>
      <w:bookmarkStart w:id="502" w:name="_Toc4504"/>
      <w:r>
        <w:rPr>
          <w:rFonts w:hint="eastAsia" w:ascii="仿宋" w:hAnsi="仿宋" w:eastAsia="仿宋"/>
          <w:b/>
          <w:color w:val="000000"/>
          <w:sz w:val="21"/>
          <w:szCs w:val="21"/>
        </w:rPr>
        <w:t>合同金额</w:t>
      </w:r>
      <w:bookmarkEnd w:id="501"/>
      <w:bookmarkEnd w:id="502"/>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3" w:name="_Toc16510"/>
      <w:bookmarkStart w:id="504" w:name="_Toc17295"/>
      <w:r>
        <w:rPr>
          <w:rFonts w:hint="eastAsia" w:ascii="仿宋" w:hAnsi="仿宋" w:eastAsia="仿宋"/>
          <w:b/>
          <w:color w:val="000000"/>
          <w:sz w:val="21"/>
          <w:szCs w:val="21"/>
        </w:rPr>
        <w:t>服务要求及标准</w:t>
      </w:r>
      <w:bookmarkEnd w:id="503"/>
      <w:bookmarkEnd w:id="504"/>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5" w:name="_Toc27177"/>
      <w:bookmarkStart w:id="506" w:name="_Toc13024"/>
      <w:r>
        <w:rPr>
          <w:rFonts w:hint="eastAsia" w:ascii="仿宋" w:hAnsi="仿宋" w:eastAsia="仿宋"/>
          <w:b/>
          <w:color w:val="000000"/>
          <w:sz w:val="21"/>
          <w:szCs w:val="21"/>
        </w:rPr>
        <w:t>服务期限、服务地点</w:t>
      </w:r>
      <w:bookmarkEnd w:id="505"/>
      <w:bookmarkEnd w:id="506"/>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07" w:name="_Toc28620"/>
      <w:bookmarkStart w:id="508" w:name="_Toc11020"/>
      <w:r>
        <w:rPr>
          <w:rFonts w:hint="eastAsia" w:ascii="仿宋" w:hAnsi="仿宋" w:eastAsia="仿宋"/>
          <w:b/>
          <w:color w:val="000000"/>
          <w:sz w:val="21"/>
          <w:szCs w:val="21"/>
        </w:rPr>
        <w:t>付款方式</w:t>
      </w:r>
      <w:bookmarkEnd w:id="507"/>
      <w:bookmarkEnd w:id="508"/>
    </w:p>
    <w:p>
      <w:pPr>
        <w:pStyle w:val="40"/>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outlineLvl w:val="0"/>
        <w:rPr>
          <w:rFonts w:ascii="仿宋" w:hAnsi="仿宋" w:eastAsia="仿宋"/>
          <w:b/>
          <w:bCs/>
          <w:color w:val="000000"/>
          <w:sz w:val="21"/>
          <w:szCs w:val="21"/>
        </w:rPr>
      </w:pPr>
      <w:bookmarkStart w:id="509" w:name="_Toc9659"/>
      <w:bookmarkStart w:id="510" w:name="_Toc30722"/>
      <w:r>
        <w:rPr>
          <w:rFonts w:hint="eastAsia" w:ascii="仿宋" w:hAnsi="仿宋" w:eastAsia="仿宋"/>
          <w:b/>
          <w:bCs/>
          <w:color w:val="000000"/>
          <w:sz w:val="21"/>
          <w:szCs w:val="21"/>
        </w:rPr>
        <w:t>服务考核办法</w:t>
      </w:r>
      <w:bookmarkEnd w:id="509"/>
      <w:bookmarkEnd w:id="510"/>
    </w:p>
    <w:p>
      <w:pPr>
        <w:pStyle w:val="40"/>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1" w:name="_Toc18019"/>
      <w:bookmarkStart w:id="512" w:name="_Toc21978"/>
      <w:r>
        <w:rPr>
          <w:rFonts w:hint="eastAsia" w:ascii="仿宋" w:hAnsi="仿宋" w:eastAsia="仿宋"/>
          <w:b/>
          <w:color w:val="000000"/>
          <w:sz w:val="21"/>
          <w:szCs w:val="21"/>
        </w:rPr>
        <w:t>违约责任与赔偿损失</w:t>
      </w:r>
      <w:bookmarkEnd w:id="511"/>
      <w:bookmarkEnd w:id="512"/>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3" w:name="_Toc7275"/>
      <w:bookmarkStart w:id="514" w:name="_Toc31336"/>
      <w:r>
        <w:rPr>
          <w:rFonts w:hint="eastAsia" w:ascii="仿宋" w:hAnsi="仿宋" w:eastAsia="仿宋"/>
          <w:b/>
          <w:color w:val="000000"/>
          <w:sz w:val="21"/>
          <w:szCs w:val="21"/>
        </w:rPr>
        <w:t>争议的解决</w:t>
      </w:r>
      <w:bookmarkEnd w:id="513"/>
      <w:bookmarkEnd w:id="514"/>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15" w:name="_Toc7647"/>
      <w:bookmarkStart w:id="516" w:name="_Toc1043"/>
      <w:r>
        <w:rPr>
          <w:rFonts w:hint="eastAsia" w:ascii="仿宋" w:hAnsi="仿宋" w:eastAsia="仿宋"/>
          <w:b/>
          <w:color w:val="000000"/>
          <w:sz w:val="21"/>
          <w:szCs w:val="21"/>
        </w:rPr>
        <w:t>不可抗力</w:t>
      </w:r>
      <w:bookmarkEnd w:id="515"/>
      <w:bookmarkEnd w:id="516"/>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17" w:name="_Toc19516"/>
      <w:bookmarkStart w:id="518" w:name="_Toc11344"/>
      <w:r>
        <w:rPr>
          <w:rFonts w:hint="eastAsia" w:ascii="仿宋" w:hAnsi="仿宋" w:eastAsia="仿宋"/>
          <w:b/>
          <w:color w:val="000000"/>
          <w:sz w:val="21"/>
          <w:szCs w:val="21"/>
        </w:rPr>
        <w:t>税费</w:t>
      </w:r>
      <w:bookmarkEnd w:id="517"/>
      <w:bookmarkEnd w:id="518"/>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9" w:name="_Toc21091"/>
      <w:bookmarkStart w:id="520" w:name="_Toc139"/>
      <w:r>
        <w:rPr>
          <w:rFonts w:hint="eastAsia" w:ascii="仿宋" w:hAnsi="仿宋" w:eastAsia="仿宋"/>
          <w:b/>
          <w:color w:val="000000"/>
          <w:sz w:val="21"/>
          <w:szCs w:val="21"/>
        </w:rPr>
        <w:t>其它</w:t>
      </w:r>
      <w:bookmarkEnd w:id="519"/>
      <w:bookmarkEnd w:id="520"/>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6"/>
        <w:outlineLvl w:val="0"/>
        <w:rPr>
          <w:lang w:val="zh-CN"/>
        </w:rPr>
      </w:pPr>
      <w:r>
        <w:rPr>
          <w:rFonts w:ascii="仿宋" w:eastAsia="仿宋"/>
          <w:sz w:val="21"/>
          <w:szCs w:val="21"/>
        </w:rPr>
        <w:br w:type="page"/>
      </w:r>
      <w:bookmarkStart w:id="521" w:name="_Toc1780"/>
      <w:bookmarkStart w:id="522" w:name="_Toc5577"/>
      <w:bookmarkStart w:id="523" w:name="_Toc29294"/>
      <w:bookmarkStart w:id="524" w:name="_Toc491251310"/>
      <w:bookmarkStart w:id="525" w:name="_Toc14788"/>
      <w:bookmarkStart w:id="526" w:name="_Toc18322"/>
      <w:bookmarkStart w:id="527" w:name="_Toc11113"/>
      <w:bookmarkStart w:id="528" w:name="_Toc22169"/>
      <w:bookmarkStart w:id="529" w:name="_Toc30248"/>
      <w:bookmarkStart w:id="530" w:name="_Toc7072"/>
      <w:bookmarkStart w:id="531" w:name="_Toc19793"/>
      <w:bookmarkStart w:id="532" w:name="_Toc1973"/>
      <w:bookmarkStart w:id="533" w:name="_Toc21456"/>
      <w:bookmarkStart w:id="534" w:name="_Toc31930"/>
      <w:bookmarkStart w:id="535" w:name="_Toc8902"/>
      <w:bookmarkStart w:id="536" w:name="_Toc20456"/>
      <w:bookmarkStart w:id="537" w:name="_Toc32642"/>
      <w:r>
        <w:rPr>
          <w:rFonts w:hint="eastAsia"/>
          <w:lang w:val="zh-CN"/>
        </w:rPr>
        <w:t>第七篇  投标文件格式</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28"/>
        <w:ind w:firstLine="562"/>
      </w:pPr>
      <w:bookmarkStart w:id="538" w:name="_Toc491251311"/>
      <w:r>
        <w:rPr>
          <w:rFonts w:hint="eastAsia"/>
        </w:rPr>
        <w:t>一、经济文件</w:t>
      </w:r>
      <w:bookmarkEnd w:id="538"/>
    </w:p>
    <w:p>
      <w:pPr>
        <w:pStyle w:val="30"/>
        <w:ind w:firstLine="480"/>
      </w:pPr>
      <w:r>
        <w:rPr>
          <w:rFonts w:hint="eastAsia"/>
        </w:rPr>
        <w:t>（一）开标一览表</w:t>
      </w:r>
    </w:p>
    <w:p>
      <w:pPr>
        <w:pStyle w:val="30"/>
        <w:ind w:firstLine="480"/>
      </w:pPr>
      <w:r>
        <w:rPr>
          <w:rFonts w:hint="eastAsia"/>
        </w:rPr>
        <w:t>（二）分项报价明细表</w:t>
      </w:r>
    </w:p>
    <w:p>
      <w:pPr>
        <w:pStyle w:val="28"/>
        <w:ind w:firstLine="562"/>
      </w:pPr>
      <w:bookmarkStart w:id="539" w:name="_Toc491251312"/>
      <w:r>
        <w:rPr>
          <w:rFonts w:hint="eastAsia"/>
        </w:rPr>
        <w:t>二、资格文件</w:t>
      </w:r>
      <w:bookmarkEnd w:id="539"/>
    </w:p>
    <w:p>
      <w:pPr>
        <w:pStyle w:val="30"/>
        <w:ind w:firstLine="480"/>
      </w:pPr>
      <w:r>
        <w:rPr>
          <w:rFonts w:hint="eastAsia"/>
        </w:rPr>
        <w:t>（一）自查表</w:t>
      </w:r>
    </w:p>
    <w:p>
      <w:pPr>
        <w:pStyle w:val="30"/>
        <w:ind w:firstLine="480"/>
      </w:pPr>
      <w:r>
        <w:rPr>
          <w:rFonts w:hint="eastAsia"/>
        </w:rPr>
        <w:t>（二）三证合一营业执照（副本）或事业单位法人证书（副本）复印件</w:t>
      </w:r>
    </w:p>
    <w:p>
      <w:pPr>
        <w:pStyle w:val="30"/>
        <w:ind w:firstLine="480"/>
      </w:pPr>
      <w:r>
        <w:rPr>
          <w:rFonts w:hint="eastAsia"/>
        </w:rPr>
        <w:t>（三）法定代表人授权委托书（格式）</w:t>
      </w:r>
    </w:p>
    <w:p>
      <w:pPr>
        <w:pStyle w:val="30"/>
        <w:ind w:firstLine="480"/>
      </w:pPr>
      <w:r>
        <w:rPr>
          <w:rFonts w:hint="eastAsia"/>
        </w:rPr>
        <w:t>（四）诚信声明（格式）</w:t>
      </w:r>
    </w:p>
    <w:p>
      <w:pPr>
        <w:pStyle w:val="30"/>
        <w:ind w:firstLine="480"/>
      </w:pPr>
      <w:r>
        <w:rPr>
          <w:rFonts w:hint="eastAsia"/>
        </w:rPr>
        <w:t>（五）法律、行政法规规定的其他条件</w:t>
      </w:r>
    </w:p>
    <w:p>
      <w:pPr>
        <w:pStyle w:val="28"/>
        <w:ind w:firstLine="562"/>
      </w:pPr>
      <w:bookmarkStart w:id="540" w:name="_Toc491251313"/>
      <w:r>
        <w:rPr>
          <w:rFonts w:hint="eastAsia"/>
        </w:rPr>
        <w:t>三、商务文件</w:t>
      </w:r>
      <w:bookmarkEnd w:id="540"/>
    </w:p>
    <w:p>
      <w:pPr>
        <w:pStyle w:val="30"/>
        <w:ind w:firstLine="480"/>
      </w:pPr>
      <w:r>
        <w:rPr>
          <w:rFonts w:hint="eastAsia"/>
        </w:rPr>
        <w:t>（一）投标函（格式）</w:t>
      </w:r>
    </w:p>
    <w:p>
      <w:pPr>
        <w:pStyle w:val="30"/>
        <w:ind w:firstLine="480"/>
      </w:pPr>
      <w:r>
        <w:rPr>
          <w:rFonts w:hint="eastAsia"/>
        </w:rPr>
        <w:t>（二）中小企业声明函（格式）</w:t>
      </w:r>
    </w:p>
    <w:p>
      <w:pPr>
        <w:pStyle w:val="28"/>
        <w:ind w:firstLine="562"/>
      </w:pPr>
      <w:bookmarkStart w:id="541" w:name="_Toc491251314"/>
      <w:r>
        <w:rPr>
          <w:rFonts w:hint="eastAsia"/>
        </w:rPr>
        <w:t>四、技术文件</w:t>
      </w:r>
      <w:bookmarkEnd w:id="541"/>
    </w:p>
    <w:p>
      <w:pPr>
        <w:pStyle w:val="30"/>
        <w:ind w:firstLine="480"/>
      </w:pPr>
      <w:r>
        <w:rPr>
          <w:rFonts w:hint="eastAsia"/>
        </w:rPr>
        <w:t>（一）服务方案</w:t>
      </w:r>
    </w:p>
    <w:p>
      <w:pPr>
        <w:pStyle w:val="30"/>
        <w:ind w:firstLine="480"/>
      </w:pPr>
      <w:r>
        <w:rPr>
          <w:rFonts w:hint="eastAsia"/>
        </w:rPr>
        <w:t>（二）同类项目业绩</w:t>
      </w:r>
    </w:p>
    <w:p>
      <w:pPr>
        <w:pStyle w:val="28"/>
        <w:ind w:firstLine="562"/>
      </w:pPr>
      <w:bookmarkStart w:id="542" w:name="_Toc491251315"/>
      <w:r>
        <w:rPr>
          <w:rFonts w:hint="eastAsia"/>
        </w:rPr>
        <w:t>五、其他文件</w:t>
      </w:r>
      <w:bookmarkEnd w:id="542"/>
    </w:p>
    <w:p>
      <w:pPr>
        <w:pStyle w:val="30"/>
        <w:ind w:firstLine="480"/>
        <w:rPr>
          <w:rFonts w:ascii="宋体" w:hAnsi="宋体" w:eastAsia="宋体"/>
          <w:sz w:val="21"/>
          <w:szCs w:val="21"/>
        </w:rPr>
      </w:pPr>
      <w:r>
        <w:rPr>
          <w:rFonts w:hint="eastAsia"/>
        </w:rPr>
        <w:t>（一）其他与项目有关的资料（结合评分表自附）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spacing w:line="360" w:lineRule="auto"/>
        <w:ind w:firstLine="720"/>
        <w:jc w:val="left"/>
        <w:outlineLvl w:val="1"/>
        <w:rPr>
          <w:rFonts w:ascii="方正小标宋简体" w:hAnsi="仿宋" w:eastAsia="方正小标宋简体"/>
          <w:bCs/>
          <w:sz w:val="36"/>
          <w:szCs w:val="36"/>
        </w:rPr>
      </w:pPr>
      <w:bookmarkStart w:id="543" w:name="_Toc8203"/>
      <w:bookmarkStart w:id="544" w:name="_Toc23957"/>
      <w:bookmarkStart w:id="545" w:name="_Toc2239"/>
      <w:bookmarkStart w:id="546" w:name="_Toc12548"/>
      <w:bookmarkStart w:id="547" w:name="_Toc15664"/>
      <w:bookmarkStart w:id="548" w:name="_Toc15749"/>
      <w:bookmarkStart w:id="549" w:name="_Toc10848"/>
      <w:bookmarkStart w:id="550" w:name="_Toc24471"/>
      <w:bookmarkStart w:id="551" w:name="_Toc7262"/>
      <w:bookmarkStart w:id="552" w:name="_Toc27803"/>
      <w:bookmarkStart w:id="553" w:name="_Toc5308"/>
      <w:r>
        <w:rPr>
          <w:rFonts w:hint="eastAsia" w:ascii="方正小标宋简体" w:hAnsi="仿宋" w:eastAsia="方正小标宋简体"/>
          <w:bCs/>
          <w:sz w:val="36"/>
          <w:szCs w:val="36"/>
        </w:rPr>
        <w:t>一、经济文件</w:t>
      </w:r>
      <w:bookmarkEnd w:id="543"/>
      <w:bookmarkEnd w:id="544"/>
      <w:bookmarkEnd w:id="545"/>
      <w:bookmarkEnd w:id="546"/>
      <w:bookmarkEnd w:id="547"/>
      <w:bookmarkEnd w:id="548"/>
      <w:bookmarkEnd w:id="549"/>
      <w:bookmarkEnd w:id="550"/>
      <w:bookmarkEnd w:id="551"/>
      <w:bookmarkEnd w:id="552"/>
      <w:bookmarkEnd w:id="553"/>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pStyle w:val="42"/>
              <w:spacing w:line="500" w:lineRule="exact"/>
              <w:ind w:firstLine="561"/>
              <w:jc w:val="center"/>
              <w:rPr>
                <w:rFonts w:ascii="仿宋" w:hAnsi="仿宋" w:eastAsia="仿宋"/>
                <w:b/>
                <w:sz w:val="28"/>
              </w:rPr>
            </w:pPr>
          </w:p>
        </w:tc>
      </w:tr>
    </w:tbl>
    <w:p>
      <w:pPr>
        <w:pStyle w:val="42"/>
        <w:spacing w:line="500" w:lineRule="exact"/>
        <w:rPr>
          <w:rFonts w:ascii="仿宋" w:hAnsi="仿宋" w:eastAsia="仿宋"/>
          <w:color w:val="000000"/>
          <w:sz w:val="28"/>
          <w:szCs w:val="28"/>
        </w:rPr>
      </w:pPr>
    </w:p>
    <w:p>
      <w:pPr>
        <w:pStyle w:val="42"/>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6"/>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6"/>
        <w:spacing w:line="440" w:lineRule="exact"/>
        <w:ind w:firstLine="0" w:firstLineChars="0"/>
        <w:rPr>
          <w:rFonts w:ascii="仿宋" w:hAnsi="仿宋" w:eastAsia="仿宋"/>
          <w:szCs w:val="28"/>
        </w:rPr>
      </w:pPr>
    </w:p>
    <w:p>
      <w:pPr>
        <w:pStyle w:val="46"/>
        <w:spacing w:line="440" w:lineRule="exact"/>
        <w:ind w:firstLine="560"/>
        <w:rPr>
          <w:rFonts w:ascii="仿宋" w:hAnsi="仿宋" w:eastAsia="仿宋"/>
          <w:szCs w:val="28"/>
        </w:rPr>
      </w:pPr>
    </w:p>
    <w:p>
      <w:pPr>
        <w:pStyle w:val="46"/>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30"/>
        <w:ind w:firstLine="480"/>
      </w:pPr>
      <w:r>
        <w:rPr>
          <w:rFonts w:hint="eastAsia"/>
        </w:rPr>
        <w:t>采购项目名称：</w:t>
      </w:r>
    </w:p>
    <w:p>
      <w:pPr>
        <w:pStyle w:val="30"/>
        <w:ind w:firstLine="480"/>
      </w:pPr>
      <w:r>
        <w:rPr>
          <w:rFonts w:hint="eastAsia"/>
        </w:rPr>
        <w:t>采购项目编号：</w:t>
      </w:r>
    </w:p>
    <w:tbl>
      <w:tblPr>
        <w:tblStyle w:val="19"/>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分项名称</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ascii="仿宋" w:hAnsi="仿宋" w:eastAsia="仿宋"/>
                <w:bCs/>
                <w:color w:val="000000"/>
                <w:sz w:val="24"/>
                <w:szCs w:val="24"/>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ascii="仿宋" w:hAnsi="仿宋" w:eastAsia="仿宋"/>
                <w:bCs/>
                <w:color w:val="000000"/>
                <w:sz w:val="24"/>
                <w:szCs w:val="24"/>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30"/>
        <w:ind w:firstLine="480"/>
        <w:rPr>
          <w:lang w:val="en-GB"/>
        </w:rPr>
      </w:pPr>
      <w:r>
        <w:rPr>
          <w:rFonts w:hint="eastAsia"/>
        </w:rPr>
        <w:t>注：1)</w:t>
      </w:r>
      <w:r>
        <w:rPr>
          <w:rFonts w:hint="eastAsia"/>
          <w:lang w:val="en-GB"/>
        </w:rPr>
        <w:t>以上内容必须与《开标一览表》一致；</w:t>
      </w:r>
    </w:p>
    <w:p>
      <w:pPr>
        <w:pStyle w:val="30"/>
        <w:ind w:firstLine="960" w:firstLineChars="400"/>
        <w:rPr>
          <w:lang w:val="en-GB"/>
        </w:rPr>
      </w:pPr>
      <w:r>
        <w:rPr>
          <w:rFonts w:hint="eastAsia"/>
          <w:kern w:val="0"/>
        </w:rPr>
        <w:t>2)对于</w:t>
      </w:r>
      <w:r>
        <w:rPr>
          <w:rFonts w:hint="eastAsia"/>
          <w:snapToGrid w:val="0"/>
          <w:kern w:val="0"/>
        </w:rPr>
        <w:t>报价免费的项目必须标明“免费”；</w:t>
      </w:r>
    </w:p>
    <w:p>
      <w:pPr>
        <w:pStyle w:val="30"/>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30"/>
        <w:ind w:firstLine="960" w:firstLineChars="400"/>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30"/>
        <w:ind w:firstLine="480"/>
        <w:rPr>
          <w:u w:val="single"/>
        </w:rPr>
      </w:pPr>
      <w:r>
        <w:rPr>
          <w:rFonts w:hint="eastAsia"/>
        </w:rPr>
        <w:t>投标供应商名称（盖章）：</w:t>
      </w:r>
    </w:p>
    <w:p>
      <w:pPr>
        <w:pStyle w:val="30"/>
        <w:ind w:firstLine="480"/>
        <w:rPr>
          <w:rFonts w:ascii="方正小标宋简体" w:hAnsi="宋体" w:eastAsia="方正小标宋简体" w:cs="Courier New"/>
          <w:spacing w:val="100"/>
          <w:w w:val="110"/>
          <w:kern w:val="0"/>
          <w:sz w:val="48"/>
          <w:szCs w:val="48"/>
        </w:rPr>
        <w:sectPr>
          <w:headerReference r:id="rId11" w:type="default"/>
          <w:pgSz w:w="11907" w:h="16840"/>
          <w:pgMar w:top="1440" w:right="1077" w:bottom="1440" w:left="1077" w:header="964" w:footer="992" w:gutter="0"/>
          <w:cols w:space="720" w:num="1"/>
          <w:docGrid w:linePitch="354" w:charSpace="0"/>
        </w:sectPr>
      </w:pPr>
      <w:r>
        <w:rPr>
          <w:rFonts w:hint="eastAsia"/>
        </w:rPr>
        <w:t xml:space="preserve">日期：   年   月 </w:t>
      </w: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bookmarkStart w:id="554" w:name="_Toc2570"/>
      <w:bookmarkStart w:id="555" w:name="_Toc23090"/>
      <w:bookmarkStart w:id="556" w:name="_Toc27653"/>
      <w:bookmarkStart w:id="557" w:name="_Toc8749"/>
      <w:bookmarkStart w:id="558" w:name="_Toc29206"/>
      <w:bookmarkStart w:id="559" w:name="_Toc24060"/>
      <w:bookmarkStart w:id="560" w:name="_Toc4039"/>
      <w:bookmarkStart w:id="561" w:name="_Toc11940"/>
      <w:bookmarkStart w:id="562" w:name="_Toc22094"/>
      <w:r>
        <w:rPr>
          <w:rFonts w:hint="eastAsia" w:ascii="方正小标宋简体" w:hAnsi="宋体" w:eastAsia="方正小标宋简体" w:cs="Courier New"/>
          <w:color w:val="000000"/>
          <w:kern w:val="0"/>
          <w:sz w:val="44"/>
          <w:szCs w:val="44"/>
        </w:rPr>
        <w:t>乌尔禾区政府采购中心</w:t>
      </w:r>
      <w:bookmarkEnd w:id="554"/>
      <w:bookmarkEnd w:id="555"/>
      <w:bookmarkEnd w:id="556"/>
      <w:bookmarkEnd w:id="557"/>
      <w:bookmarkEnd w:id="558"/>
      <w:bookmarkEnd w:id="559"/>
      <w:bookmarkEnd w:id="560"/>
      <w:bookmarkEnd w:id="561"/>
      <w:bookmarkEnd w:id="562"/>
    </w:p>
    <w:p>
      <w:pPr>
        <w:tabs>
          <w:tab w:val="left" w:pos="1260"/>
        </w:tabs>
        <w:spacing w:line="360" w:lineRule="auto"/>
        <w:ind w:firstLine="1455"/>
        <w:jc w:val="center"/>
        <w:rPr>
          <w:rFonts w:ascii="方正小标宋简体" w:hAnsi="宋体" w:eastAsia="方正小标宋简体" w:cs="Courier New"/>
          <w:color w:val="000000"/>
          <w:spacing w:val="100"/>
          <w:w w:val="110"/>
          <w:sz w:val="48"/>
          <w:szCs w:val="48"/>
        </w:rPr>
      </w:pPr>
      <w:bookmarkStart w:id="563" w:name="_Toc7054"/>
      <w:bookmarkStart w:id="564" w:name="_Toc29149"/>
      <w:bookmarkStart w:id="565" w:name="_Toc30854"/>
      <w:bookmarkStart w:id="566" w:name="_Toc3407"/>
      <w:bookmarkStart w:id="567" w:name="_Toc31467"/>
      <w:bookmarkStart w:id="568" w:name="_Toc27517"/>
      <w:bookmarkStart w:id="569" w:name="_Toc30199"/>
      <w:bookmarkStart w:id="570" w:name="_Toc12964"/>
      <w:bookmarkStart w:id="571" w:name="_Toc15066"/>
      <w:r>
        <w:rPr>
          <w:rFonts w:hint="eastAsia" w:ascii="方正小标宋简体" w:hAnsi="宋体" w:eastAsia="方正小标宋简体" w:cs="Courier New"/>
          <w:color w:val="000000"/>
          <w:spacing w:val="100"/>
          <w:w w:val="110"/>
          <w:kern w:val="0"/>
          <w:sz w:val="48"/>
          <w:szCs w:val="48"/>
        </w:rPr>
        <w:t>投标文件</w:t>
      </w:r>
      <w:bookmarkEnd w:id="563"/>
      <w:bookmarkEnd w:id="564"/>
      <w:bookmarkEnd w:id="565"/>
      <w:bookmarkEnd w:id="566"/>
      <w:bookmarkEnd w:id="567"/>
      <w:bookmarkEnd w:id="568"/>
      <w:bookmarkEnd w:id="569"/>
      <w:bookmarkEnd w:id="570"/>
      <w:bookmarkEnd w:id="571"/>
    </w:p>
    <w:p>
      <w:pPr>
        <w:spacing w:line="360" w:lineRule="auto"/>
        <w:ind w:firstLine="560"/>
        <w:jc w:val="center"/>
        <w:rPr>
          <w:rFonts w:ascii="方正小标宋简体" w:hAnsi="宋体" w:eastAsia="方正小标宋简体" w:cs="Courier New"/>
          <w:color w:val="000000"/>
          <w:sz w:val="28"/>
          <w:szCs w:val="28"/>
        </w:rPr>
      </w:pPr>
      <w:bookmarkStart w:id="572" w:name="_Toc29202"/>
      <w:bookmarkStart w:id="573" w:name="_Toc18558"/>
      <w:bookmarkStart w:id="574" w:name="_Toc9982"/>
      <w:bookmarkStart w:id="575" w:name="_Toc11623"/>
      <w:bookmarkStart w:id="576" w:name="_Toc26923"/>
      <w:bookmarkStart w:id="577" w:name="_Toc23857"/>
      <w:bookmarkStart w:id="578" w:name="_Toc28943"/>
      <w:bookmarkStart w:id="579" w:name="_Toc17703"/>
      <w:bookmarkStart w:id="580" w:name="_Toc15951"/>
      <w:r>
        <w:rPr>
          <w:rFonts w:hint="eastAsia" w:ascii="方正小标宋简体" w:hAnsi="宋体" w:eastAsia="方正小标宋简体" w:cs="Courier New"/>
          <w:color w:val="000000"/>
          <w:sz w:val="28"/>
          <w:szCs w:val="28"/>
        </w:rPr>
        <w:t>（正本/副本）</w:t>
      </w:r>
      <w:bookmarkEnd w:id="572"/>
      <w:bookmarkEnd w:id="573"/>
      <w:bookmarkEnd w:id="574"/>
      <w:bookmarkEnd w:id="575"/>
      <w:bookmarkEnd w:id="576"/>
      <w:bookmarkEnd w:id="577"/>
      <w:bookmarkEnd w:id="578"/>
      <w:bookmarkEnd w:id="579"/>
      <w:bookmarkEnd w:id="580"/>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963" w:firstLineChars="344"/>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spacing w:line="360" w:lineRule="auto"/>
        <w:ind w:firstLine="722" w:firstLineChars="344"/>
        <w:outlineLvl w:val="1"/>
        <w:rPr>
          <w:rFonts w:ascii="方正小标宋简体" w:hAnsi="仿宋" w:eastAsia="方正小标宋简体"/>
          <w:bCs/>
          <w:sz w:val="36"/>
          <w:szCs w:val="36"/>
        </w:rPr>
      </w:pPr>
      <w:r>
        <w:rPr>
          <w:rFonts w:hint="eastAsia" w:ascii="方正小标宋简体" w:hAnsi="宋体" w:eastAsia="方正小标宋简体"/>
          <w:color w:val="000000"/>
          <w:sz w:val="21"/>
          <w:szCs w:val="21"/>
          <w:u w:val="single"/>
        </w:rPr>
        <w:br w:type="page"/>
      </w:r>
      <w:bookmarkStart w:id="581" w:name="_Toc18799"/>
      <w:bookmarkStart w:id="582" w:name="_Toc18713"/>
      <w:bookmarkStart w:id="583" w:name="_Toc2678"/>
      <w:r>
        <w:rPr>
          <w:rFonts w:ascii="方正小标宋简体" w:hAnsi="仿宋" w:eastAsia="方正小标宋简体"/>
          <w:bCs/>
          <w:sz w:val="36"/>
          <w:szCs w:val="36"/>
        </w:rPr>
        <w:t>二、资格文件</w:t>
      </w:r>
      <w:bookmarkEnd w:id="581"/>
      <w:bookmarkEnd w:id="582"/>
      <w:bookmarkEnd w:id="583"/>
    </w:p>
    <w:p>
      <w:pPr>
        <w:tabs>
          <w:tab w:val="left" w:pos="6300"/>
        </w:tabs>
        <w:snapToGrid w:val="0"/>
        <w:spacing w:line="500" w:lineRule="exact"/>
        <w:ind w:firstLine="720"/>
        <w:rPr>
          <w:rFonts w:ascii="方正小标宋简体" w:hAnsi="仿宋" w:eastAsia="方正小标宋简体"/>
          <w:sz w:val="36"/>
          <w:szCs w:val="36"/>
        </w:rPr>
      </w:pPr>
      <w:bookmarkStart w:id="584" w:name="_Toc8751"/>
      <w:bookmarkStart w:id="585" w:name="_Toc28477"/>
      <w:bookmarkStart w:id="586" w:name="_Toc13296"/>
      <w:bookmarkStart w:id="587" w:name="_Toc29443"/>
      <w:bookmarkStart w:id="588" w:name="_Toc13369"/>
      <w:bookmarkStart w:id="589" w:name="_Toc7039"/>
      <w:bookmarkStart w:id="590" w:name="_Toc24348"/>
      <w:bookmarkStart w:id="591" w:name="_Toc17294"/>
      <w:bookmarkStart w:id="592" w:name="_Toc21963"/>
      <w:r>
        <w:rPr>
          <w:rFonts w:hint="eastAsia" w:ascii="方正小标宋简体" w:hAnsi="仿宋" w:eastAsia="方正小标宋简体"/>
          <w:sz w:val="36"/>
          <w:szCs w:val="36"/>
        </w:rPr>
        <w:t>（一）自查表</w:t>
      </w:r>
      <w:bookmarkEnd w:id="584"/>
      <w:bookmarkEnd w:id="585"/>
      <w:bookmarkEnd w:id="586"/>
      <w:bookmarkEnd w:id="587"/>
      <w:bookmarkEnd w:id="588"/>
      <w:bookmarkEnd w:id="589"/>
      <w:bookmarkEnd w:id="590"/>
      <w:bookmarkEnd w:id="591"/>
      <w:bookmarkEnd w:id="592"/>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9"/>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30"/>
        <w:ind w:firstLine="560"/>
        <w:rPr>
          <w:rFonts w:ascii="方正小标宋简体" w:eastAsia="方正小标宋简体"/>
          <w:sz w:val="28"/>
          <w:szCs w:val="28"/>
        </w:rPr>
      </w:pPr>
    </w:p>
    <w:p>
      <w:pPr>
        <w:pStyle w:val="30"/>
        <w:ind w:firstLine="560"/>
        <w:rPr>
          <w:rFonts w:ascii="方正小标宋简体" w:eastAsia="方正小标宋简体"/>
          <w:sz w:val="28"/>
          <w:szCs w:val="28"/>
        </w:rPr>
      </w:pPr>
    </w:p>
    <w:p>
      <w:pPr>
        <w:pStyle w:val="30"/>
        <w:ind w:firstLine="720"/>
        <w:sectPr>
          <w:pgSz w:w="11907" w:h="16840"/>
          <w:pgMar w:top="1440" w:right="1077" w:bottom="1440" w:left="1077" w:header="964" w:footer="992" w:gutter="0"/>
          <w:cols w:space="720" w:num="1"/>
          <w:docGrid w:linePitch="354" w:charSpace="0"/>
        </w:sectPr>
      </w:pPr>
      <w:bookmarkStart w:id="593" w:name="_Toc9109"/>
      <w:bookmarkStart w:id="594" w:name="_Toc18982"/>
      <w:bookmarkStart w:id="595" w:name="_Toc2029"/>
      <w:bookmarkStart w:id="596" w:name="_Toc21196"/>
      <w:bookmarkStart w:id="597" w:name="_Toc26281"/>
      <w:bookmarkStart w:id="598" w:name="_Toc25674"/>
      <w:bookmarkStart w:id="599" w:name="_Toc15387"/>
      <w:bookmarkStart w:id="600" w:name="_Toc23335"/>
      <w:bookmarkStart w:id="601" w:name="_Toc21868"/>
      <w:r>
        <w:rPr>
          <w:rFonts w:hint="eastAsia" w:ascii="方正小标宋简体" w:eastAsia="方正小标宋简体"/>
          <w:kern w:val="2"/>
          <w:sz w:val="36"/>
          <w:szCs w:val="36"/>
        </w:rPr>
        <w:t>（二）三证合一营业执照（副本）或事业单位法人证书（副本）复印件</w:t>
      </w:r>
      <w:bookmarkEnd w:id="593"/>
      <w:bookmarkEnd w:id="594"/>
      <w:bookmarkEnd w:id="595"/>
      <w:bookmarkEnd w:id="596"/>
      <w:bookmarkEnd w:id="597"/>
      <w:bookmarkEnd w:id="598"/>
      <w:bookmarkEnd w:id="599"/>
      <w:bookmarkEnd w:id="600"/>
      <w:bookmarkEnd w:id="601"/>
    </w:p>
    <w:p>
      <w:pPr>
        <w:pStyle w:val="36"/>
      </w:pPr>
      <w:bookmarkStart w:id="602" w:name="_Toc5651"/>
      <w:bookmarkStart w:id="603" w:name="_Toc8162"/>
      <w:bookmarkStart w:id="604" w:name="_Toc11609"/>
      <w:bookmarkStart w:id="605" w:name="_Toc11573"/>
      <w:bookmarkStart w:id="606" w:name="_Toc21721"/>
      <w:bookmarkStart w:id="607" w:name="_Toc1733"/>
      <w:bookmarkStart w:id="608" w:name="_Toc11642"/>
      <w:bookmarkStart w:id="609" w:name="_Toc13820"/>
      <w:bookmarkStart w:id="610" w:name="_Toc25561"/>
      <w:r>
        <w:rPr>
          <w:rFonts w:hint="eastAsia"/>
        </w:rPr>
        <w:t>（三）法定代表人授权委托书（格式）</w:t>
      </w:r>
      <w:bookmarkEnd w:id="602"/>
      <w:bookmarkEnd w:id="603"/>
      <w:bookmarkEnd w:id="604"/>
      <w:bookmarkEnd w:id="605"/>
      <w:bookmarkEnd w:id="606"/>
      <w:bookmarkEnd w:id="607"/>
      <w:bookmarkEnd w:id="608"/>
      <w:bookmarkEnd w:id="609"/>
      <w:bookmarkEnd w:id="610"/>
    </w:p>
    <w:p>
      <w:pPr>
        <w:pStyle w:val="36"/>
        <w:ind w:firstLine="1440" w:firstLineChars="600"/>
        <w:jc w:val="both"/>
        <w:rPr>
          <w:rFonts w:ascii="仿宋" w:eastAsia="仿宋"/>
          <w:sz w:val="24"/>
          <w:szCs w:val="24"/>
        </w:rPr>
      </w:pP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10"/>
        <w:spacing w:line="360" w:lineRule="auto"/>
        <w:ind w:firstLine="560"/>
        <w:jc w:val="left"/>
        <w:rPr>
          <w:rFonts w:ascii="仿宋" w:hAnsi="仿宋" w:eastAsia="仿宋"/>
          <w:sz w:val="28"/>
          <w:szCs w:val="28"/>
        </w:rPr>
      </w:pP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10"/>
        <w:spacing w:line="360" w:lineRule="auto"/>
        <w:ind w:firstLine="560"/>
        <w:jc w:val="left"/>
        <w:rPr>
          <w:rFonts w:ascii="仿宋" w:hAnsi="仿宋" w:eastAsia="仿宋"/>
          <w:sz w:val="28"/>
          <w:szCs w:val="28"/>
        </w:rPr>
      </w:pPr>
    </w:p>
    <w:p>
      <w:pPr>
        <w:pStyle w:val="10"/>
        <w:spacing w:line="360" w:lineRule="auto"/>
        <w:ind w:firstLine="560"/>
        <w:jc w:val="left"/>
        <w:rPr>
          <w:rFonts w:ascii="仿宋" w:hAnsi="仿宋" w:eastAsia="仿宋"/>
          <w:color w:val="FF0000"/>
          <w:sz w:val="28"/>
          <w:szCs w:val="28"/>
          <w:highlight w:val="yellow"/>
        </w:rPr>
      </w:pPr>
      <w:bookmarkStart w:id="611" w:name="_Toc21844"/>
      <w:bookmarkStart w:id="612" w:name="_Toc29748"/>
      <w:bookmarkStart w:id="613" w:name="_Toc27597"/>
      <w:bookmarkStart w:id="614" w:name="_Toc24747"/>
      <w:bookmarkStart w:id="615" w:name="_Toc22033"/>
      <w:bookmarkStart w:id="616" w:name="_Toc27387"/>
      <w:bookmarkStart w:id="617" w:name="_Toc27276"/>
      <w:bookmarkStart w:id="618" w:name="_Toc19427"/>
      <w:bookmarkStart w:id="619" w:name="_Toc10405"/>
      <w:r>
        <w:rPr>
          <w:rFonts w:hint="eastAsia" w:ascii="仿宋" w:hAnsi="仿宋" w:eastAsia="仿宋"/>
          <w:color w:val="FF0000"/>
          <w:sz w:val="28"/>
          <w:szCs w:val="28"/>
          <w:highlight w:val="yellow"/>
        </w:rPr>
        <w:t>附：1、被授权人身份证正反面复印件。</w:t>
      </w:r>
      <w:bookmarkEnd w:id="611"/>
      <w:bookmarkEnd w:id="612"/>
      <w:bookmarkEnd w:id="613"/>
      <w:bookmarkEnd w:id="614"/>
      <w:bookmarkEnd w:id="615"/>
      <w:bookmarkEnd w:id="616"/>
      <w:bookmarkEnd w:id="617"/>
      <w:bookmarkEnd w:id="618"/>
      <w:bookmarkEnd w:id="619"/>
    </w:p>
    <w:p>
      <w:pPr>
        <w:pStyle w:val="10"/>
        <w:spacing w:line="360" w:lineRule="auto"/>
        <w:ind w:firstLine="560"/>
        <w:jc w:val="left"/>
        <w:rPr>
          <w:rFonts w:ascii="仿宋" w:hAnsi="仿宋" w:eastAsia="仿宋"/>
          <w:color w:val="FF0000"/>
          <w:sz w:val="28"/>
          <w:szCs w:val="28"/>
        </w:rPr>
      </w:pPr>
      <w:r>
        <w:rPr>
          <w:rFonts w:hint="eastAsia" w:ascii="仿宋" w:hAnsi="仿宋" w:eastAsia="仿宋"/>
          <w:color w:val="FF0000"/>
          <w:sz w:val="28"/>
          <w:szCs w:val="28"/>
          <w:highlight w:val="yellow"/>
        </w:rPr>
        <w:t>2、投标人为被授权人缴纳不少于6个月的社保证明材料。（被授权人为法定代表人的不需要提供）</w:t>
      </w:r>
    </w:p>
    <w:p>
      <w:pPr>
        <w:pStyle w:val="10"/>
        <w:spacing w:line="360" w:lineRule="auto"/>
        <w:ind w:firstLine="560"/>
        <w:jc w:val="left"/>
        <w:rPr>
          <w:rFonts w:ascii="仿宋" w:hAnsi="仿宋" w:eastAsia="仿宋"/>
          <w:color w:val="FF0000"/>
          <w:sz w:val="28"/>
          <w:szCs w:val="28"/>
          <w:highlight w:val="yellow"/>
        </w:rPr>
      </w:pPr>
    </w:p>
    <w:p>
      <w:pPr>
        <w:pStyle w:val="10"/>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w:t>
      </w:r>
      <w:bookmarkStart w:id="620" w:name="_Toc6233"/>
      <w:bookmarkStart w:id="621" w:name="_Toc10202"/>
      <w:bookmarkStart w:id="622" w:name="_Toc29096"/>
      <w:bookmarkStart w:id="623" w:name="_Toc30586"/>
      <w:bookmarkStart w:id="624" w:name="_Toc15801"/>
      <w:bookmarkStart w:id="625" w:name="_Toc28651"/>
      <w:bookmarkStart w:id="626" w:name="_Toc3994"/>
      <w:bookmarkStart w:id="627" w:name="_Toc8692"/>
      <w:bookmarkStart w:id="628" w:name="_Toc14850"/>
      <w:r>
        <w:rPr>
          <w:rFonts w:hint="eastAsia" w:ascii="仿宋" w:hAnsi="仿宋" w:eastAsia="仿宋"/>
          <w:sz w:val="28"/>
          <w:szCs w:val="28"/>
        </w:rPr>
        <w:t>（投标人公章）</w:t>
      </w:r>
      <w:bookmarkEnd w:id="620"/>
      <w:bookmarkEnd w:id="621"/>
      <w:bookmarkEnd w:id="622"/>
      <w:bookmarkEnd w:id="623"/>
      <w:bookmarkEnd w:id="624"/>
      <w:bookmarkEnd w:id="625"/>
      <w:bookmarkEnd w:id="626"/>
      <w:bookmarkEnd w:id="627"/>
      <w:bookmarkEnd w:id="628"/>
    </w:p>
    <w:p>
      <w:pPr>
        <w:pStyle w:val="10"/>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w:t>
      </w:r>
      <w:bookmarkStart w:id="629" w:name="_Toc18699"/>
      <w:bookmarkStart w:id="630" w:name="_Toc9673"/>
      <w:bookmarkStart w:id="631" w:name="_Toc18104"/>
      <w:bookmarkStart w:id="632" w:name="_Toc11143"/>
      <w:bookmarkStart w:id="633" w:name="_Toc5067"/>
      <w:bookmarkStart w:id="634" w:name="_Toc13213"/>
      <w:bookmarkStart w:id="635" w:name="_Toc22085"/>
      <w:bookmarkStart w:id="636" w:name="_Toc1631"/>
      <w:bookmarkStart w:id="637" w:name="_Toc23203"/>
      <w:r>
        <w:rPr>
          <w:rFonts w:hint="eastAsia" w:ascii="仿宋" w:hAnsi="仿宋" w:eastAsia="仿宋"/>
          <w:sz w:val="28"/>
          <w:szCs w:val="28"/>
        </w:rPr>
        <w:t>年   月   日</w:t>
      </w:r>
      <w:bookmarkEnd w:id="629"/>
      <w:bookmarkEnd w:id="630"/>
      <w:bookmarkEnd w:id="631"/>
      <w:bookmarkEnd w:id="632"/>
      <w:bookmarkEnd w:id="633"/>
      <w:bookmarkEnd w:id="634"/>
      <w:bookmarkEnd w:id="635"/>
      <w:bookmarkEnd w:id="636"/>
      <w:bookmarkEnd w:id="637"/>
    </w:p>
    <w:p>
      <w:pPr>
        <w:pStyle w:val="10"/>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tabs>
          <w:tab w:val="left" w:pos="6300"/>
        </w:tabs>
        <w:snapToGrid w:val="0"/>
        <w:spacing w:line="500" w:lineRule="exact"/>
        <w:ind w:firstLine="720"/>
        <w:jc w:val="center"/>
        <w:rPr>
          <w:rFonts w:ascii="方正小标宋简体" w:hAnsi="仿宋" w:eastAsia="方正小标宋简体"/>
          <w:sz w:val="36"/>
          <w:szCs w:val="36"/>
        </w:rPr>
      </w:pPr>
      <w:bookmarkStart w:id="638" w:name="_Toc15125"/>
      <w:bookmarkStart w:id="639" w:name="_Toc31065"/>
      <w:bookmarkStart w:id="640" w:name="_Toc4872"/>
      <w:bookmarkStart w:id="641" w:name="_Toc14173"/>
      <w:bookmarkStart w:id="642" w:name="_Toc2249"/>
      <w:bookmarkStart w:id="643" w:name="_Toc1052"/>
      <w:bookmarkStart w:id="644" w:name="_Toc28392"/>
      <w:bookmarkStart w:id="645" w:name="_Toc23397"/>
      <w:bookmarkStart w:id="646" w:name="_Toc6178"/>
      <w:r>
        <w:rPr>
          <w:rFonts w:hint="eastAsia" w:ascii="方正小标宋简体" w:hAnsi="仿宋" w:eastAsia="方正小标宋简体"/>
          <w:sz w:val="36"/>
          <w:szCs w:val="36"/>
        </w:rPr>
        <w:t>（五）诚信声明</w:t>
      </w:r>
      <w:bookmarkEnd w:id="638"/>
      <w:bookmarkEnd w:id="639"/>
      <w:bookmarkEnd w:id="640"/>
      <w:bookmarkEnd w:id="641"/>
      <w:bookmarkEnd w:id="642"/>
      <w:bookmarkEnd w:id="643"/>
      <w:bookmarkEnd w:id="644"/>
      <w:bookmarkEnd w:id="645"/>
      <w:bookmarkEnd w:id="646"/>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采购项目名称：</w:t>
      </w:r>
      <w:r>
        <w:rPr>
          <w:rFonts w:hint="eastAsia" w:ascii="仿宋" w:hAnsi="仿宋" w:eastAsia="仿宋"/>
          <w:sz w:val="24"/>
          <w:szCs w:val="24"/>
          <w:u w:val="single"/>
        </w:rPr>
        <w:t xml:space="preserve">                                                </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（采购机构名称）：</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特此声明。</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并附“信用中国”（</w:t>
      </w:r>
      <w:r>
        <w:rPr>
          <w:rFonts w:hint="eastAsia" w:ascii="仿宋" w:hAnsi="仿宋" w:eastAsia="仿宋"/>
          <w:sz w:val="24"/>
          <w:szCs w:val="24"/>
        </w:rPr>
        <w:drawing>
          <wp:inline distT="0" distB="0" distL="114300" distR="114300">
            <wp:extent cx="190500" cy="142875"/>
            <wp:effectExtent l="0" t="0" r="0" b="9525"/>
            <wp:docPr id="4" name="图片 3"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sz w:val="24"/>
          <w:szCs w:val="24"/>
        </w:rPr>
        <w:t>www.creditchina.gov.cn）、“中国政府采购网”（</w:t>
      </w:r>
      <w:r>
        <w:rPr>
          <w:rFonts w:hint="eastAsia" w:ascii="仿宋" w:hAnsi="仿宋" w:eastAsia="仿宋"/>
          <w:sz w:val="24"/>
          <w:szCs w:val="24"/>
        </w:rPr>
        <w:drawing>
          <wp:inline distT="0" distB="0" distL="114300" distR="114300">
            <wp:extent cx="190500" cy="142875"/>
            <wp:effectExtent l="0" t="0" r="0" b="9525"/>
            <wp:docPr id="3" name="图片 4"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rPr>
          <w:rFonts w:hint="eastAsia" w:ascii="仿宋" w:hAnsi="仿宋" w:eastAsia="仿宋"/>
          <w:sz w:val="24"/>
          <w:szCs w:val="24"/>
        </w:rPr>
        <w:t>www.ccgp.gov.cn</w:t>
      </w:r>
      <w:r>
        <w:rPr>
          <w:rFonts w:hint="eastAsia" w:ascii="仿宋" w:hAnsi="仿宋" w:eastAsia="仿宋"/>
          <w:sz w:val="24"/>
          <w:szCs w:val="24"/>
        </w:rPr>
        <w:fldChar w:fldCharType="end"/>
      </w:r>
      <w:r>
        <w:rPr>
          <w:rFonts w:hint="eastAsia" w:ascii="仿宋" w:hAnsi="仿宋" w:eastAsia="仿宋"/>
          <w:sz w:val="24"/>
          <w:szCs w:val="24"/>
        </w:rPr>
        <w:t>）等渠道的查询结果</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right="424" w:firstLine="480"/>
        <w:jc w:val="center"/>
        <w:rPr>
          <w:rFonts w:ascii="仿宋" w:hAnsi="仿宋" w:eastAsia="仿宋"/>
          <w:sz w:val="24"/>
          <w:szCs w:val="24"/>
        </w:rPr>
      </w:pPr>
      <w:r>
        <w:rPr>
          <w:rFonts w:hint="eastAsia" w:ascii="仿宋" w:hAnsi="仿宋" w:eastAsia="仿宋"/>
          <w:sz w:val="24"/>
          <w:szCs w:val="24"/>
        </w:rPr>
        <w:t xml:space="preserve">                              （投标人公章）</w:t>
      </w:r>
    </w:p>
    <w:p>
      <w:pPr>
        <w:tabs>
          <w:tab w:val="left" w:pos="6300"/>
        </w:tabs>
        <w:snapToGrid w:val="0"/>
        <w:spacing w:line="500" w:lineRule="exact"/>
        <w:ind w:right="480" w:firstLine="480"/>
        <w:jc w:val="center"/>
        <w:rPr>
          <w:rFonts w:ascii="仿宋" w:hAnsi="仿宋" w:eastAsia="仿宋"/>
          <w:sz w:val="24"/>
          <w:szCs w:val="24"/>
        </w:rPr>
      </w:pPr>
      <w:r>
        <w:rPr>
          <w:rFonts w:hint="eastAsia" w:ascii="仿宋" w:hAnsi="仿宋" w:eastAsia="仿宋"/>
          <w:sz w:val="24"/>
          <w:szCs w:val="24"/>
        </w:rPr>
        <w:t xml:space="preserve">                                  年   月   日</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p>
    <w:p>
      <w:pPr>
        <w:pStyle w:val="10"/>
        <w:ind w:firstLine="480"/>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10"/>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bookmarkStart w:id="647" w:name="_Toc8744"/>
      <w:bookmarkStart w:id="648" w:name="_Toc25290"/>
      <w:bookmarkStart w:id="649" w:name="_Toc31102"/>
      <w:bookmarkStart w:id="650" w:name="_Toc22510"/>
      <w:bookmarkStart w:id="651" w:name="_Toc12013"/>
      <w:bookmarkStart w:id="652" w:name="_Toc24274"/>
      <w:bookmarkStart w:id="653" w:name="_Toc3619"/>
      <w:bookmarkStart w:id="654" w:name="_Toc27810"/>
      <w:bookmarkStart w:id="655" w:name="_Toc2219"/>
      <w:r>
        <w:rPr>
          <w:rFonts w:hint="eastAsia" w:ascii="方正小标宋简体" w:hAnsi="仿宋" w:eastAsia="方正小标宋简体"/>
          <w:sz w:val="36"/>
          <w:szCs w:val="36"/>
        </w:rPr>
        <w:t>（六）法律、行政法规规定的其他条件</w:t>
      </w:r>
      <w:bookmarkEnd w:id="647"/>
      <w:bookmarkEnd w:id="648"/>
      <w:bookmarkEnd w:id="649"/>
      <w:bookmarkEnd w:id="650"/>
      <w:bookmarkEnd w:id="651"/>
      <w:bookmarkEnd w:id="652"/>
      <w:bookmarkEnd w:id="653"/>
      <w:bookmarkEnd w:id="654"/>
      <w:bookmarkEnd w:id="655"/>
    </w:p>
    <w:p>
      <w:pPr>
        <w:pStyle w:val="35"/>
        <w:ind w:firstLine="720"/>
        <w:outlineLvl w:val="1"/>
        <w:rPr>
          <w:sz w:val="28"/>
          <w:szCs w:val="28"/>
        </w:rPr>
      </w:pPr>
      <w:bookmarkStart w:id="656" w:name="_Toc8178"/>
      <w:bookmarkStart w:id="657" w:name="_Toc14952"/>
      <w:bookmarkStart w:id="658" w:name="_Toc10499"/>
      <w:bookmarkStart w:id="659" w:name="_Toc2047"/>
      <w:bookmarkStart w:id="660" w:name="_Toc23214"/>
      <w:bookmarkStart w:id="661" w:name="_Toc7899"/>
      <w:bookmarkStart w:id="662" w:name="_Toc27590"/>
      <w:bookmarkStart w:id="663" w:name="_Toc8423"/>
      <w:bookmarkStart w:id="664" w:name="_Toc30205"/>
      <w:bookmarkStart w:id="665" w:name="_Toc22561"/>
      <w:bookmarkStart w:id="666" w:name="_Toc29342"/>
      <w:r>
        <w:rPr>
          <w:rFonts w:hint="eastAsia"/>
        </w:rPr>
        <w:t>三、商务文件</w:t>
      </w:r>
      <w:bookmarkEnd w:id="656"/>
      <w:bookmarkEnd w:id="657"/>
      <w:bookmarkEnd w:id="658"/>
      <w:bookmarkEnd w:id="659"/>
      <w:bookmarkEnd w:id="660"/>
      <w:bookmarkEnd w:id="661"/>
      <w:bookmarkEnd w:id="662"/>
      <w:bookmarkEnd w:id="663"/>
      <w:bookmarkEnd w:id="664"/>
      <w:bookmarkEnd w:id="665"/>
      <w:bookmarkEnd w:id="666"/>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10"/>
        <w:ind w:firstLine="560"/>
        <w:rPr>
          <w:rFonts w:ascii="仿宋" w:hAnsi="仿宋" w:eastAsia="仿宋"/>
          <w:sz w:val="28"/>
          <w:szCs w:val="28"/>
        </w:rPr>
      </w:pPr>
    </w:p>
    <w:p>
      <w:pPr>
        <w:pStyle w:val="10"/>
        <w:ind w:firstLine="560"/>
        <w:rPr>
          <w:rFonts w:ascii="仿宋" w:hAnsi="仿宋" w:eastAsia="仿宋"/>
          <w:sz w:val="28"/>
          <w:szCs w:val="28"/>
        </w:rPr>
      </w:pP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乌尔禾区采购中心</w:t>
      </w:r>
    </w:p>
    <w:p>
      <w:pPr>
        <w:pStyle w:val="10"/>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10"/>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10"/>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10"/>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10"/>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10"/>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10"/>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10"/>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ind w:firstLine="720"/>
        <w:rPr>
          <w:rFonts w:ascii="方正小标宋简体" w:hAnsi="仿宋" w:eastAsia="方正小标宋简体"/>
          <w:sz w:val="36"/>
          <w:szCs w:val="36"/>
        </w:rPr>
      </w:pPr>
      <w:r>
        <w:rPr>
          <w:rFonts w:hint="eastAsia" w:ascii="方正小标宋简体" w:hAnsi="仿宋" w:eastAsia="方正小标宋简体"/>
          <w:sz w:val="36"/>
          <w:szCs w:val="36"/>
        </w:rPr>
        <w:t>（二）中小企业声明函</w:t>
      </w:r>
    </w:p>
    <w:p>
      <w:pPr>
        <w:ind w:firstLine="720"/>
        <w:rPr>
          <w:rFonts w:ascii="方正小标宋简体" w:hAnsi="仿宋" w:eastAsia="方正小标宋简体"/>
          <w:sz w:val="36"/>
          <w:szCs w:val="36"/>
        </w:rPr>
      </w:pPr>
    </w:p>
    <w:p>
      <w:pPr>
        <w:spacing w:line="440" w:lineRule="exact"/>
        <w:ind w:firstLine="480"/>
        <w:rPr>
          <w:rFonts w:ascii="仿宋" w:hAnsi="仿宋" w:eastAsia="仿宋"/>
          <w:sz w:val="24"/>
          <w:szCs w:val="24"/>
        </w:rPr>
      </w:pPr>
      <w:r>
        <w:rPr>
          <w:rFonts w:hint="eastAsia" w:ascii="仿宋" w:hAnsi="仿宋" w:eastAsia="仿宋"/>
          <w:sz w:val="24"/>
          <w:szCs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440" w:lineRule="exact"/>
        <w:ind w:firstLine="480"/>
        <w:rPr>
          <w:rFonts w:ascii="仿宋" w:hAnsi="仿宋" w:eastAsia="仿宋"/>
          <w:sz w:val="24"/>
          <w:szCs w:val="24"/>
        </w:rPr>
      </w:pPr>
      <w:r>
        <w:rPr>
          <w:rFonts w:hint="eastAsia" w:ascii="仿宋" w:hAnsi="仿宋" w:eastAsia="仿宋"/>
          <w:sz w:val="24"/>
          <w:szCs w:val="24"/>
        </w:rPr>
        <w:t xml:space="preserve">一、本公司为 </w:t>
      </w:r>
      <w:r>
        <w:rPr>
          <w:rFonts w:hint="eastAsia" w:ascii="仿宋" w:hAnsi="仿宋" w:eastAsia="仿宋"/>
          <w:sz w:val="24"/>
          <w:szCs w:val="24"/>
          <w:u w:val="single"/>
        </w:rPr>
        <w:t xml:space="preserve">       </w:t>
      </w:r>
      <w:r>
        <w:rPr>
          <w:rFonts w:hint="eastAsia" w:ascii="仿宋" w:hAnsi="仿宋" w:eastAsia="仿宋"/>
          <w:sz w:val="24"/>
          <w:szCs w:val="24"/>
        </w:rPr>
        <w:t>（请填写：中型、小型、微型）企业。</w:t>
      </w:r>
    </w:p>
    <w:p>
      <w:pPr>
        <w:spacing w:line="440" w:lineRule="exact"/>
        <w:ind w:firstLine="480"/>
        <w:rPr>
          <w:rFonts w:ascii="仿宋" w:hAnsi="仿宋" w:eastAsia="仿宋"/>
          <w:sz w:val="24"/>
          <w:szCs w:val="24"/>
        </w:rPr>
      </w:pPr>
      <w:r>
        <w:rPr>
          <w:rFonts w:hint="eastAsia" w:ascii="仿宋" w:hAnsi="仿宋" w:eastAsia="仿宋"/>
          <w:sz w:val="24"/>
          <w:szCs w:val="24"/>
        </w:rPr>
        <w:t>（一）本公司所属行业为</w:t>
      </w:r>
      <w:r>
        <w:rPr>
          <w:rFonts w:hint="eastAsia" w:ascii="仿宋" w:hAnsi="仿宋" w:eastAsia="仿宋"/>
          <w:sz w:val="24"/>
          <w:szCs w:val="24"/>
          <w:u w:val="single"/>
        </w:rPr>
        <w:t xml:space="preserve">       </w:t>
      </w:r>
      <w:r>
        <w:rPr>
          <w:rFonts w:hint="eastAsia" w:ascii="仿宋" w:hAnsi="仿宋" w:eastAsia="仿宋"/>
          <w:sz w:val="24"/>
          <w:szCs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440" w:lineRule="exact"/>
        <w:ind w:firstLine="480"/>
        <w:rPr>
          <w:rFonts w:ascii="仿宋" w:hAnsi="仿宋" w:eastAsia="仿宋"/>
          <w:sz w:val="24"/>
          <w:szCs w:val="24"/>
        </w:rPr>
      </w:pPr>
      <w:r>
        <w:rPr>
          <w:rFonts w:hint="eastAsia" w:ascii="仿宋" w:hAnsi="仿宋" w:eastAsia="仿宋"/>
          <w:sz w:val="24"/>
          <w:szCs w:val="24"/>
        </w:rPr>
        <w:t>（二）本公司从业人员</w:t>
      </w:r>
      <w:r>
        <w:rPr>
          <w:rFonts w:hint="eastAsia" w:ascii="仿宋" w:hAnsi="仿宋" w:eastAsia="仿宋"/>
          <w:sz w:val="24"/>
          <w:szCs w:val="24"/>
          <w:u w:val="single"/>
        </w:rPr>
        <w:t xml:space="preserve">       </w:t>
      </w:r>
      <w:r>
        <w:rPr>
          <w:rFonts w:hint="eastAsia" w:ascii="仿宋" w:hAnsi="仿宋" w:eastAsia="仿宋"/>
          <w:sz w:val="24"/>
          <w:szCs w:val="24"/>
        </w:rPr>
        <w:t>人。</w:t>
      </w:r>
    </w:p>
    <w:p>
      <w:pPr>
        <w:spacing w:line="440" w:lineRule="exact"/>
        <w:ind w:firstLine="480"/>
        <w:rPr>
          <w:rFonts w:ascii="仿宋" w:hAnsi="仿宋" w:eastAsia="仿宋"/>
          <w:sz w:val="24"/>
          <w:szCs w:val="24"/>
        </w:rPr>
      </w:pPr>
      <w:r>
        <w:rPr>
          <w:rFonts w:hint="eastAsia" w:ascii="仿宋" w:hAnsi="仿宋" w:eastAsia="仿宋"/>
          <w:sz w:val="24"/>
          <w:szCs w:val="24"/>
        </w:rPr>
        <w:t>（三）本公司上年度营业收入</w:t>
      </w:r>
      <w:r>
        <w:rPr>
          <w:rFonts w:hint="eastAsia" w:ascii="仿宋" w:hAnsi="仿宋" w:eastAsia="仿宋"/>
          <w:sz w:val="24"/>
          <w:szCs w:val="24"/>
          <w:u w:val="single"/>
        </w:rPr>
        <w:t xml:space="preserve">            </w:t>
      </w:r>
      <w:r>
        <w:rPr>
          <w:rFonts w:hint="eastAsia" w:ascii="仿宋" w:hAnsi="仿宋" w:eastAsia="仿宋"/>
          <w:sz w:val="24"/>
          <w:szCs w:val="24"/>
        </w:rPr>
        <w:t>万元。</w:t>
      </w:r>
    </w:p>
    <w:p>
      <w:pPr>
        <w:spacing w:line="440" w:lineRule="exact"/>
        <w:ind w:firstLine="480"/>
        <w:rPr>
          <w:rFonts w:ascii="仿宋" w:hAnsi="仿宋" w:eastAsia="仿宋"/>
          <w:sz w:val="24"/>
          <w:szCs w:val="24"/>
        </w:rPr>
      </w:pPr>
      <w:r>
        <w:rPr>
          <w:rFonts w:hint="eastAsia" w:ascii="仿宋" w:hAnsi="仿宋" w:eastAsia="仿宋"/>
          <w:sz w:val="24"/>
          <w:szCs w:val="24"/>
        </w:rPr>
        <w:t>二、本公司参加</w:t>
      </w:r>
      <w:r>
        <w:rPr>
          <w:rFonts w:hint="eastAsia" w:ascii="仿宋" w:hAnsi="仿宋" w:eastAsia="仿宋"/>
          <w:sz w:val="24"/>
          <w:szCs w:val="24"/>
          <w:u w:val="single"/>
        </w:rPr>
        <w:t xml:space="preserve">      </w:t>
      </w:r>
      <w:r>
        <w:rPr>
          <w:rFonts w:hint="eastAsia" w:ascii="仿宋" w:hAnsi="仿宋" w:eastAsia="仿宋"/>
          <w:sz w:val="24"/>
          <w:szCs w:val="24"/>
        </w:rPr>
        <w:t>单位的</w:t>
      </w:r>
      <w:r>
        <w:rPr>
          <w:rFonts w:hint="eastAsia" w:ascii="仿宋" w:hAnsi="仿宋" w:eastAsia="仿宋"/>
          <w:sz w:val="24"/>
          <w:szCs w:val="24"/>
          <w:u w:val="single"/>
        </w:rPr>
        <w:t xml:space="preserve">      </w:t>
      </w:r>
      <w:r>
        <w:rPr>
          <w:rFonts w:hint="eastAsia" w:ascii="仿宋" w:hAnsi="仿宋" w:eastAsia="仿宋"/>
          <w:sz w:val="24"/>
          <w:szCs w:val="24"/>
        </w:rPr>
        <w:t>项目采购活动提供本企业制造的货物。</w:t>
      </w:r>
    </w:p>
    <w:p>
      <w:pPr>
        <w:spacing w:line="440" w:lineRule="exact"/>
        <w:ind w:firstLine="480"/>
        <w:rPr>
          <w:rFonts w:ascii="仿宋" w:hAnsi="仿宋" w:eastAsia="仿宋"/>
          <w:sz w:val="24"/>
          <w:szCs w:val="24"/>
        </w:rPr>
      </w:pPr>
      <w:r>
        <w:rPr>
          <w:rFonts w:hint="eastAsia" w:ascii="仿宋" w:hAnsi="仿宋" w:eastAsia="仿宋"/>
          <w:sz w:val="24"/>
          <w:szCs w:val="24"/>
        </w:rPr>
        <w:t>或者[本公司参加</w:t>
      </w:r>
      <w:r>
        <w:rPr>
          <w:rFonts w:hint="eastAsia" w:ascii="仿宋" w:hAnsi="仿宋" w:eastAsia="仿宋"/>
          <w:sz w:val="24"/>
          <w:szCs w:val="24"/>
          <w:u w:val="single"/>
        </w:rPr>
        <w:t xml:space="preserve">      </w:t>
      </w:r>
      <w:r>
        <w:rPr>
          <w:rFonts w:hint="eastAsia" w:ascii="仿宋" w:hAnsi="仿宋" w:eastAsia="仿宋"/>
          <w:sz w:val="24"/>
          <w:szCs w:val="24"/>
        </w:rPr>
        <w:t>单位的</w:t>
      </w:r>
      <w:r>
        <w:rPr>
          <w:rFonts w:hint="eastAsia" w:ascii="仿宋" w:hAnsi="仿宋" w:eastAsia="仿宋"/>
          <w:sz w:val="24"/>
          <w:szCs w:val="24"/>
          <w:u w:val="single"/>
        </w:rPr>
        <w:t xml:space="preserve">      </w:t>
      </w:r>
      <w:r>
        <w:rPr>
          <w:rFonts w:hint="eastAsia" w:ascii="仿宋" w:hAnsi="仿宋" w:eastAsia="仿宋"/>
          <w:sz w:val="24"/>
          <w:szCs w:val="24"/>
        </w:rPr>
        <w:t>项目采购活动提供其他</w:t>
      </w:r>
      <w:r>
        <w:rPr>
          <w:rFonts w:hint="eastAsia" w:ascii="仿宋" w:hAnsi="仿宋" w:eastAsia="仿宋"/>
          <w:sz w:val="24"/>
          <w:szCs w:val="24"/>
          <w:u w:val="single"/>
        </w:rPr>
        <w:t xml:space="preserve">     </w:t>
      </w:r>
      <w:r>
        <w:rPr>
          <w:rFonts w:hint="eastAsia" w:ascii="仿宋" w:hAnsi="仿宋" w:eastAsia="仿宋"/>
          <w:sz w:val="24"/>
          <w:szCs w:val="24"/>
        </w:rPr>
        <w:t>（请填写：中型、小型、微型）企业制造的货物。</w:t>
      </w:r>
    </w:p>
    <w:p>
      <w:pPr>
        <w:spacing w:line="440" w:lineRule="exact"/>
        <w:ind w:firstLine="480"/>
        <w:rPr>
          <w:rFonts w:ascii="仿宋" w:hAnsi="仿宋" w:eastAsia="仿宋"/>
          <w:sz w:val="24"/>
          <w:szCs w:val="24"/>
        </w:rPr>
      </w:pPr>
      <w:r>
        <w:rPr>
          <w:rFonts w:hint="eastAsia" w:ascii="仿宋" w:hAnsi="仿宋" w:eastAsia="仿宋"/>
          <w:sz w:val="24"/>
          <w:szCs w:val="24"/>
        </w:rPr>
        <w:t>本公司对上述声明的真实性负责。如有虚假，将依法承担相应责任。</w:t>
      </w:r>
    </w:p>
    <w:p>
      <w:pPr>
        <w:spacing w:line="440" w:lineRule="exact"/>
        <w:ind w:firstLine="480"/>
        <w:rPr>
          <w:rFonts w:ascii="仿宋" w:hAnsi="仿宋" w:eastAsia="仿宋"/>
          <w:sz w:val="24"/>
          <w:szCs w:val="24"/>
        </w:rPr>
      </w:pPr>
    </w:p>
    <w:p>
      <w:pPr>
        <w:spacing w:line="440" w:lineRule="exact"/>
        <w:ind w:firstLine="480"/>
        <w:rPr>
          <w:rFonts w:ascii="仿宋" w:hAnsi="仿宋" w:eastAsia="仿宋"/>
          <w:sz w:val="24"/>
          <w:szCs w:val="24"/>
        </w:rPr>
      </w:pPr>
    </w:p>
    <w:p>
      <w:pPr>
        <w:wordWrap w:val="0"/>
        <w:spacing w:line="440" w:lineRule="exact"/>
        <w:ind w:firstLine="480"/>
        <w:jc w:val="right"/>
        <w:rPr>
          <w:rFonts w:ascii="仿宋" w:hAnsi="仿宋" w:eastAsia="仿宋"/>
          <w:sz w:val="24"/>
          <w:szCs w:val="24"/>
        </w:rPr>
      </w:pPr>
      <w:r>
        <w:rPr>
          <w:rFonts w:hint="eastAsia" w:ascii="仿宋" w:hAnsi="仿宋" w:eastAsia="仿宋"/>
          <w:sz w:val="24"/>
          <w:szCs w:val="24"/>
        </w:rPr>
        <w:t xml:space="preserve">企业名称（盖章）：                      </w:t>
      </w:r>
    </w:p>
    <w:p>
      <w:pPr>
        <w:pStyle w:val="10"/>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日期：                      </w:t>
      </w:r>
    </w:p>
    <w:p>
      <w:pPr>
        <w:pStyle w:val="36"/>
        <w:rPr>
          <w:rFonts w:ascii="仿宋" w:eastAsia="仿宋"/>
          <w:sz w:val="24"/>
          <w:szCs w:val="24"/>
        </w:rPr>
      </w:pPr>
      <w:r>
        <w:rPr>
          <w:rFonts w:hint="eastAsia"/>
        </w:rPr>
        <w:t>（三）售后服务（格式自定）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pStyle w:val="30"/>
        <w:ind w:firstLine="480"/>
        <w:rPr>
          <w:lang w:val="en-GB"/>
        </w:rPr>
      </w:pPr>
      <w:r>
        <w:rPr>
          <w:rFonts w:hint="eastAsia"/>
          <w:lang w:val="en-GB"/>
        </w:rPr>
        <w:t>注：根据评审表的要求提交相应资料。</w:t>
      </w:r>
    </w:p>
    <w:p>
      <w:pPr>
        <w:pStyle w:val="36"/>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10"/>
        <w:ind w:firstLine="480"/>
        <w:rPr>
          <w:rFonts w:ascii="仿宋" w:hAnsi="仿宋" w:eastAsia="仿宋"/>
          <w:sz w:val="24"/>
          <w:szCs w:val="24"/>
          <w:lang w:val="en-GB"/>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lang w:val="en-GB"/>
        </w:rPr>
        <w:t>7.培训计划。</w:t>
      </w:r>
    </w:p>
    <w:p>
      <w:pPr>
        <w:ind w:firstLine="640"/>
        <w:outlineLvl w:val="1"/>
        <w:rPr>
          <w:rFonts w:ascii="方正小标宋简体" w:hAnsi="仿宋" w:eastAsia="方正小标宋简体"/>
          <w:b/>
          <w:sz w:val="32"/>
          <w:szCs w:val="32"/>
        </w:rPr>
      </w:pPr>
      <w:bookmarkStart w:id="667" w:name="_Toc32348"/>
      <w:bookmarkStart w:id="668" w:name="_Toc6681"/>
      <w:bookmarkStart w:id="669" w:name="_Toc16805"/>
      <w:bookmarkStart w:id="670" w:name="_Toc12573"/>
      <w:bookmarkStart w:id="671" w:name="_Toc25596"/>
      <w:bookmarkStart w:id="672" w:name="_Toc4208"/>
      <w:bookmarkStart w:id="673" w:name="_Toc6381"/>
      <w:bookmarkStart w:id="674" w:name="_Toc9916"/>
      <w:bookmarkStart w:id="675" w:name="_Toc4359"/>
      <w:bookmarkStart w:id="676" w:name="_Toc416"/>
      <w:bookmarkStart w:id="677" w:name="_Toc14243"/>
      <w:r>
        <w:rPr>
          <w:rFonts w:hint="eastAsia" w:ascii="方正小标宋简体" w:hAnsi="仿宋" w:eastAsia="方正小标宋简体"/>
          <w:b/>
          <w:sz w:val="32"/>
          <w:szCs w:val="32"/>
        </w:rPr>
        <w:t>四、技术文件</w:t>
      </w:r>
      <w:bookmarkEnd w:id="667"/>
      <w:bookmarkEnd w:id="668"/>
      <w:bookmarkEnd w:id="669"/>
      <w:bookmarkEnd w:id="670"/>
      <w:bookmarkEnd w:id="671"/>
      <w:bookmarkEnd w:id="672"/>
      <w:bookmarkEnd w:id="673"/>
      <w:bookmarkEnd w:id="674"/>
      <w:bookmarkEnd w:id="675"/>
      <w:bookmarkEnd w:id="676"/>
      <w:bookmarkEnd w:id="677"/>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7"/>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678" w:name="_Toc278274494"/>
      <w:r>
        <w:rPr>
          <w:rFonts w:hint="eastAsia" w:ascii="方正小标宋简体" w:hAnsi="宋体" w:eastAsia="方正小标宋简体"/>
          <w:color w:val="000000"/>
          <w:sz w:val="32"/>
          <w:szCs w:val="32"/>
        </w:rPr>
        <w:t>同类项目业绩</w:t>
      </w:r>
      <w:bookmarkEnd w:id="67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7"/>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30"/>
        <w:ind w:firstLine="480"/>
        <w:sectPr>
          <w:pgSz w:w="11907" w:h="16840"/>
          <w:pgMar w:top="1440" w:right="1077" w:bottom="1440" w:left="1077" w:header="964" w:footer="992" w:gutter="0"/>
          <w:cols w:space="720" w:num="1"/>
          <w:docGrid w:linePitch="354" w:charSpace="0"/>
        </w:sectPr>
      </w:pPr>
      <w:r>
        <w:t>注：根据评审表的要求提交相应资料。</w:t>
      </w:r>
    </w:p>
    <w:p>
      <w:pPr>
        <w:pStyle w:val="30"/>
        <w:ind w:firstLine="720"/>
      </w:pPr>
      <w:bookmarkStart w:id="679" w:name="_Toc25505"/>
      <w:bookmarkStart w:id="680" w:name="_Toc25520"/>
      <w:bookmarkStart w:id="681" w:name="_Toc24240"/>
      <w:bookmarkStart w:id="682" w:name="_Toc4309"/>
      <w:bookmarkStart w:id="683" w:name="_Toc18030"/>
      <w:bookmarkStart w:id="684" w:name="_Toc32607"/>
      <w:bookmarkStart w:id="685" w:name="_Toc17045"/>
      <w:bookmarkStart w:id="686" w:name="_Toc20405"/>
      <w:r>
        <w:rPr>
          <w:rFonts w:hint="eastAsia" w:ascii="方正小标宋简体" w:eastAsia="方正小标宋简体"/>
          <w:sz w:val="36"/>
          <w:szCs w:val="36"/>
        </w:rPr>
        <w:t>五、其他</w:t>
      </w:r>
      <w:bookmarkEnd w:id="679"/>
      <w:bookmarkEnd w:id="680"/>
      <w:bookmarkEnd w:id="681"/>
      <w:bookmarkEnd w:id="682"/>
      <w:bookmarkEnd w:id="683"/>
      <w:bookmarkEnd w:id="684"/>
      <w:bookmarkEnd w:id="685"/>
      <w:bookmarkEnd w:id="686"/>
    </w:p>
    <w:p>
      <w:pPr>
        <w:pStyle w:val="30"/>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30"/>
        <w:ind w:firstLine="560"/>
        <w:rPr>
          <w:rFonts w:ascii="方正小标宋简体" w:eastAsia="方正小标宋简体"/>
          <w:sz w:val="28"/>
          <w:szCs w:val="28"/>
        </w:rPr>
      </w:pPr>
    </w:p>
    <w:p>
      <w:pPr>
        <w:pStyle w:val="30"/>
        <w:ind w:firstLine="560"/>
        <w:rPr>
          <w:rFonts w:ascii="方正小标宋简体" w:eastAsia="方正小标宋简体"/>
          <w:sz w:val="28"/>
          <w:szCs w:val="28"/>
        </w:rPr>
      </w:pPr>
    </w:p>
    <w:p>
      <w:pPr>
        <w:pStyle w:val="30"/>
        <w:ind w:firstLine="520"/>
        <w:outlineLvl w:val="0"/>
        <w:rPr>
          <w:rFonts w:ascii="宋体" w:hAnsi="Courier New" w:eastAsia="楷体_GB2312"/>
          <w:color w:val="auto"/>
          <w:sz w:val="26"/>
          <w:szCs w:val="20"/>
        </w:rPr>
      </w:pPr>
      <w:bookmarkStart w:id="687" w:name="_Toc32046"/>
      <w:bookmarkStart w:id="688" w:name="_Toc28729"/>
      <w:bookmarkStart w:id="689" w:name="_Toc19552"/>
      <w:bookmarkStart w:id="690" w:name="_Toc12506"/>
      <w:bookmarkStart w:id="691" w:name="_Toc26677"/>
      <w:bookmarkStart w:id="692" w:name="_Toc5050"/>
      <w:bookmarkStart w:id="693" w:name="_Toc16956"/>
      <w:bookmarkStart w:id="694" w:name="_Toc6272"/>
      <w:bookmarkStart w:id="695" w:name="_Toc12958"/>
      <w:bookmarkStart w:id="696" w:name="_Toc3883"/>
      <w:bookmarkStart w:id="697" w:name="_Toc4672"/>
      <w:bookmarkStart w:id="698" w:name="_Toc20113"/>
      <w:r>
        <w:rPr>
          <w:rFonts w:hint="eastAsia" w:ascii="宋体" w:hAnsi="Courier New" w:eastAsia="楷体_GB2312"/>
          <w:color w:val="auto"/>
          <w:sz w:val="26"/>
          <w:szCs w:val="20"/>
        </w:rPr>
        <w:t>（结束）</w:t>
      </w:r>
      <w:bookmarkEnd w:id="687"/>
      <w:bookmarkEnd w:id="688"/>
      <w:bookmarkEnd w:id="689"/>
      <w:bookmarkEnd w:id="690"/>
      <w:bookmarkEnd w:id="691"/>
      <w:bookmarkEnd w:id="692"/>
      <w:bookmarkEnd w:id="693"/>
      <w:bookmarkEnd w:id="694"/>
      <w:bookmarkEnd w:id="695"/>
      <w:bookmarkEnd w:id="696"/>
      <w:bookmarkEnd w:id="697"/>
      <w:bookmarkEnd w:id="69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rNexDgAQAAuwMAAA4AAAAA&#10;AAAAAQAgAAAAHgEAAGRycy9lMm9Eb2MueG1sUEsFBgAAAAAGAAYAWQEAAHAFAAAAAA==&#10;">
              <v:fill on="f" focussize="0,0"/>
              <v:stroke on="f"/>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40"/>
      <w:lvlText w:val="%1、"/>
      <w:lvlJc w:val="left"/>
      <w:pPr>
        <w:tabs>
          <w:tab w:val="left" w:pos="960"/>
        </w:tabs>
        <w:ind w:left="960" w:hanging="480"/>
      </w:pPr>
      <w:rPr>
        <w:rFonts w:hint="eastAsia"/>
        <w:b/>
      </w:r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3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D0244"/>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B0"/>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5F7F"/>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9F4766"/>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1D50"/>
    <w:rsid w:val="00C22579"/>
    <w:rsid w:val="00C25535"/>
    <w:rsid w:val="00C2655A"/>
    <w:rsid w:val="00C47187"/>
    <w:rsid w:val="00C55BF5"/>
    <w:rsid w:val="00C57B4A"/>
    <w:rsid w:val="00C830BF"/>
    <w:rsid w:val="00C86A2C"/>
    <w:rsid w:val="00CA6E99"/>
    <w:rsid w:val="00CB2470"/>
    <w:rsid w:val="00CB5D27"/>
    <w:rsid w:val="00CD7FAC"/>
    <w:rsid w:val="00CF0CCA"/>
    <w:rsid w:val="00CF6837"/>
    <w:rsid w:val="00D27C9F"/>
    <w:rsid w:val="00D341B0"/>
    <w:rsid w:val="00D51574"/>
    <w:rsid w:val="00D908FC"/>
    <w:rsid w:val="00DA0A01"/>
    <w:rsid w:val="00DA114F"/>
    <w:rsid w:val="00DA7853"/>
    <w:rsid w:val="00DB1FA9"/>
    <w:rsid w:val="00E0292A"/>
    <w:rsid w:val="00E1094B"/>
    <w:rsid w:val="00E33CB7"/>
    <w:rsid w:val="00E55BB5"/>
    <w:rsid w:val="00E946D0"/>
    <w:rsid w:val="00EA1EEA"/>
    <w:rsid w:val="00EA36AE"/>
    <w:rsid w:val="00EA7C63"/>
    <w:rsid w:val="00ED503C"/>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51E775A"/>
    <w:rsid w:val="078105F8"/>
    <w:rsid w:val="078F5625"/>
    <w:rsid w:val="079A7647"/>
    <w:rsid w:val="07B2014C"/>
    <w:rsid w:val="07BC19B9"/>
    <w:rsid w:val="07D01E66"/>
    <w:rsid w:val="09D360EA"/>
    <w:rsid w:val="0A9C4B4C"/>
    <w:rsid w:val="0B274412"/>
    <w:rsid w:val="0C647579"/>
    <w:rsid w:val="0CBE5A0B"/>
    <w:rsid w:val="0D13471C"/>
    <w:rsid w:val="0D985C6B"/>
    <w:rsid w:val="0F225598"/>
    <w:rsid w:val="0F692648"/>
    <w:rsid w:val="10584912"/>
    <w:rsid w:val="10B55F2B"/>
    <w:rsid w:val="141D651D"/>
    <w:rsid w:val="14AE4E1A"/>
    <w:rsid w:val="14C943AC"/>
    <w:rsid w:val="1526304E"/>
    <w:rsid w:val="16481FF4"/>
    <w:rsid w:val="165A00D0"/>
    <w:rsid w:val="16694CDD"/>
    <w:rsid w:val="1710446C"/>
    <w:rsid w:val="190D2EE8"/>
    <w:rsid w:val="19F87FF5"/>
    <w:rsid w:val="19FB58B0"/>
    <w:rsid w:val="1AAC12B7"/>
    <w:rsid w:val="1BE92780"/>
    <w:rsid w:val="1C632780"/>
    <w:rsid w:val="1D5C1DDD"/>
    <w:rsid w:val="1DA37062"/>
    <w:rsid w:val="1E4F1439"/>
    <w:rsid w:val="1E630EF2"/>
    <w:rsid w:val="1E640B30"/>
    <w:rsid w:val="22043690"/>
    <w:rsid w:val="22182E57"/>
    <w:rsid w:val="228A00B3"/>
    <w:rsid w:val="23A22CA3"/>
    <w:rsid w:val="24940B7D"/>
    <w:rsid w:val="24A1150F"/>
    <w:rsid w:val="253579BF"/>
    <w:rsid w:val="2596237C"/>
    <w:rsid w:val="26252BE1"/>
    <w:rsid w:val="27247A0C"/>
    <w:rsid w:val="27752D4D"/>
    <w:rsid w:val="28247C24"/>
    <w:rsid w:val="283E130D"/>
    <w:rsid w:val="28F71077"/>
    <w:rsid w:val="29832CF9"/>
    <w:rsid w:val="29F37255"/>
    <w:rsid w:val="2A5A4D73"/>
    <w:rsid w:val="2A772816"/>
    <w:rsid w:val="2AA4444F"/>
    <w:rsid w:val="2AE47B82"/>
    <w:rsid w:val="2B707366"/>
    <w:rsid w:val="2BFE4F24"/>
    <w:rsid w:val="2C3F6999"/>
    <w:rsid w:val="2D684118"/>
    <w:rsid w:val="2DF4378F"/>
    <w:rsid w:val="318F64A6"/>
    <w:rsid w:val="31C97D3C"/>
    <w:rsid w:val="32867BE0"/>
    <w:rsid w:val="32B86AA1"/>
    <w:rsid w:val="345204FB"/>
    <w:rsid w:val="34C0771B"/>
    <w:rsid w:val="35825059"/>
    <w:rsid w:val="35911F75"/>
    <w:rsid w:val="3671183F"/>
    <w:rsid w:val="38003CA9"/>
    <w:rsid w:val="395B3A5B"/>
    <w:rsid w:val="3A195EC1"/>
    <w:rsid w:val="3B093BC3"/>
    <w:rsid w:val="3B502ED8"/>
    <w:rsid w:val="3B7B6DBD"/>
    <w:rsid w:val="3B965E85"/>
    <w:rsid w:val="3B986ECB"/>
    <w:rsid w:val="3C800E8C"/>
    <w:rsid w:val="3CFC433E"/>
    <w:rsid w:val="3DCA7312"/>
    <w:rsid w:val="3DF47A04"/>
    <w:rsid w:val="3DF5559F"/>
    <w:rsid w:val="3EED2308"/>
    <w:rsid w:val="3F863015"/>
    <w:rsid w:val="40233F73"/>
    <w:rsid w:val="403B14FD"/>
    <w:rsid w:val="40932F73"/>
    <w:rsid w:val="42AA4022"/>
    <w:rsid w:val="451A1B64"/>
    <w:rsid w:val="451E406B"/>
    <w:rsid w:val="45427546"/>
    <w:rsid w:val="455F0089"/>
    <w:rsid w:val="45E60BAD"/>
    <w:rsid w:val="46516F9B"/>
    <w:rsid w:val="483F72E9"/>
    <w:rsid w:val="48AB5E54"/>
    <w:rsid w:val="495C08A5"/>
    <w:rsid w:val="4A8013BD"/>
    <w:rsid w:val="4AF54B2B"/>
    <w:rsid w:val="4C045886"/>
    <w:rsid w:val="4C1D2781"/>
    <w:rsid w:val="4C685AB2"/>
    <w:rsid w:val="4D6B70D1"/>
    <w:rsid w:val="4E103D1F"/>
    <w:rsid w:val="4E14701A"/>
    <w:rsid w:val="4E2A708E"/>
    <w:rsid w:val="4E404063"/>
    <w:rsid w:val="4EAD0F0E"/>
    <w:rsid w:val="4FD37130"/>
    <w:rsid w:val="507069C7"/>
    <w:rsid w:val="51735213"/>
    <w:rsid w:val="527461D6"/>
    <w:rsid w:val="54AF3530"/>
    <w:rsid w:val="558F05C4"/>
    <w:rsid w:val="561609F9"/>
    <w:rsid w:val="563B0A06"/>
    <w:rsid w:val="58950FAA"/>
    <w:rsid w:val="5898119D"/>
    <w:rsid w:val="5A0C2DB9"/>
    <w:rsid w:val="5ADE1F5B"/>
    <w:rsid w:val="5B662F21"/>
    <w:rsid w:val="5C270F22"/>
    <w:rsid w:val="5CCE41DE"/>
    <w:rsid w:val="60763934"/>
    <w:rsid w:val="60FD338A"/>
    <w:rsid w:val="617108E1"/>
    <w:rsid w:val="61902C7A"/>
    <w:rsid w:val="61CE63E0"/>
    <w:rsid w:val="63592B5D"/>
    <w:rsid w:val="637A734A"/>
    <w:rsid w:val="63C32DCA"/>
    <w:rsid w:val="640742C8"/>
    <w:rsid w:val="64B01DC6"/>
    <w:rsid w:val="64BD37CE"/>
    <w:rsid w:val="6655529E"/>
    <w:rsid w:val="674F60C8"/>
    <w:rsid w:val="679A2782"/>
    <w:rsid w:val="67EE63E0"/>
    <w:rsid w:val="68143F18"/>
    <w:rsid w:val="69947C38"/>
    <w:rsid w:val="6A3004A6"/>
    <w:rsid w:val="6A4173B6"/>
    <w:rsid w:val="6A8071E6"/>
    <w:rsid w:val="6C3B4AF2"/>
    <w:rsid w:val="6C435EBD"/>
    <w:rsid w:val="6D86681A"/>
    <w:rsid w:val="6E2077FC"/>
    <w:rsid w:val="6E435978"/>
    <w:rsid w:val="6F4619E9"/>
    <w:rsid w:val="6FFC7474"/>
    <w:rsid w:val="700154B7"/>
    <w:rsid w:val="71307067"/>
    <w:rsid w:val="726B5BA7"/>
    <w:rsid w:val="726F5CF3"/>
    <w:rsid w:val="73ED163E"/>
    <w:rsid w:val="73FD7159"/>
    <w:rsid w:val="74020463"/>
    <w:rsid w:val="74261315"/>
    <w:rsid w:val="7436754A"/>
    <w:rsid w:val="744843CC"/>
    <w:rsid w:val="74702C84"/>
    <w:rsid w:val="78103362"/>
    <w:rsid w:val="79492802"/>
    <w:rsid w:val="79C94BF5"/>
    <w:rsid w:val="7AB54BA5"/>
    <w:rsid w:val="7AF26C11"/>
    <w:rsid w:val="7C0871A2"/>
    <w:rsid w:val="7C2A7FE8"/>
    <w:rsid w:val="7D75002C"/>
    <w:rsid w:val="7E6969BF"/>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1"/>
    <w:basedOn w:val="4"/>
    <w:next w:val="1"/>
    <w:qFormat/>
    <w:uiPriority w:val="0"/>
    <w:pPr>
      <w:outlineLvl w:val="0"/>
    </w:pPr>
  </w:style>
  <w:style w:type="paragraph" w:styleId="4">
    <w:name w:val="heading 2"/>
    <w:basedOn w:val="1"/>
    <w:next w:val="1"/>
    <w:qFormat/>
    <w:uiPriority w:val="0"/>
    <w:pPr>
      <w:adjustRightInd w:val="0"/>
      <w:snapToGrid w:val="0"/>
      <w:spacing w:line="360" w:lineRule="auto"/>
      <w:outlineLvl w:val="1"/>
    </w:pPr>
    <w:rPr>
      <w:rFonts w:ascii="仿宋_GB2312" w:eastAsia="仿宋_GB2312"/>
      <w:b/>
      <w:sz w:val="24"/>
      <w:szCs w:val="24"/>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4"/>
    <w:qFormat/>
    <w:uiPriority w:val="0"/>
    <w:pPr>
      <w:adjustRightInd w:val="0"/>
      <w:spacing w:line="240" w:lineRule="auto"/>
      <w:ind w:firstLine="420" w:firstLineChars="0"/>
      <w:jc w:val="left"/>
      <w:textAlignment w:val="baseline"/>
    </w:pPr>
    <w:rPr>
      <w:sz w:val="24"/>
    </w:rPr>
  </w:style>
  <w:style w:type="paragraph" w:styleId="6">
    <w:name w:val="caption"/>
    <w:basedOn w:val="1"/>
    <w:next w:val="1"/>
    <w:qFormat/>
    <w:uiPriority w:val="35"/>
    <w:rPr>
      <w:rFonts w:ascii="Arial" w:hAnsi="Arial" w:eastAsia="黑体" w:cs="Arial"/>
      <w:sz w:val="20"/>
    </w:rPr>
  </w:style>
  <w:style w:type="paragraph" w:styleId="7">
    <w:name w:val="Body Text 3"/>
    <w:basedOn w:val="1"/>
    <w:qFormat/>
    <w:uiPriority w:val="0"/>
    <w:pPr>
      <w:spacing w:after="120"/>
    </w:pPr>
    <w:rPr>
      <w:rFonts w:eastAsia="宋体"/>
      <w:sz w:val="16"/>
      <w:szCs w:val="16"/>
    </w:rPr>
  </w:style>
  <w:style w:type="paragraph" w:styleId="8">
    <w:name w:val="Body Text"/>
    <w:basedOn w:val="1"/>
    <w:qFormat/>
    <w:uiPriority w:val="0"/>
    <w:pPr>
      <w:spacing w:after="120"/>
    </w:pPr>
  </w:style>
  <w:style w:type="paragraph" w:styleId="9">
    <w:name w:val="Body Text Indent"/>
    <w:basedOn w:val="1"/>
    <w:link w:val="32"/>
    <w:qFormat/>
    <w:uiPriority w:val="0"/>
    <w:pPr>
      <w:spacing w:line="520" w:lineRule="exact"/>
      <w:ind w:left="570"/>
    </w:pPr>
    <w:rPr>
      <w:rFonts w:ascii="方正仿宋简体" w:hAnsi="创艺简仿宋" w:eastAsia="方正仿宋简体"/>
      <w:sz w:val="24"/>
    </w:rPr>
  </w:style>
  <w:style w:type="paragraph" w:styleId="10">
    <w:name w:val="Plain Text"/>
    <w:basedOn w:val="1"/>
    <w:link w:val="39"/>
    <w:qFormat/>
    <w:uiPriority w:val="0"/>
    <w:rPr>
      <w:rFonts w:ascii="宋体" w:hAnsi="Courier New"/>
    </w:rPr>
  </w:style>
  <w:style w:type="paragraph" w:styleId="11">
    <w:name w:val="Date"/>
    <w:basedOn w:val="1"/>
    <w:next w:val="1"/>
    <w:link w:val="34"/>
    <w:qFormat/>
    <w:uiPriority w:val="0"/>
    <w:rPr>
      <w:rFonts w:ascii="宋体" w:hAnsi="宋体"/>
      <w:sz w:val="24"/>
    </w:rPr>
  </w:style>
  <w:style w:type="paragraph" w:styleId="12">
    <w:name w:val="Balloon Text"/>
    <w:basedOn w:val="1"/>
    <w:link w:val="33"/>
    <w:semiHidden/>
    <w:unhideWhenUsed/>
    <w:qFormat/>
    <w:uiPriority w:val="99"/>
    <w:pPr>
      <w:spacing w:line="240" w:lineRule="auto"/>
    </w:pPr>
    <w:rPr>
      <w:sz w:val="18"/>
      <w:szCs w:val="18"/>
    </w:rPr>
  </w:style>
  <w:style w:type="paragraph" w:styleId="13">
    <w:name w:val="footer"/>
    <w:basedOn w:val="1"/>
    <w:link w:val="25"/>
    <w:semiHidden/>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cs="Calibri"/>
      <w:b/>
      <w:bCs/>
      <w:caps/>
      <w:sz w:val="20"/>
    </w:rPr>
  </w:style>
  <w:style w:type="paragraph" w:styleId="16">
    <w:name w:val="toc 2"/>
    <w:basedOn w:val="1"/>
    <w:next w:val="1"/>
    <w:qFormat/>
    <w:uiPriority w:val="39"/>
    <w:pPr>
      <w:ind w:left="260"/>
      <w:jc w:val="left"/>
    </w:pPr>
    <w:rPr>
      <w:rFonts w:ascii="Calibri" w:hAnsi="Calibri" w:cs="Calibri"/>
      <w:smallCaps/>
      <w:sz w:val="20"/>
    </w:rPr>
  </w:style>
  <w:style w:type="paragraph" w:styleId="17">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8">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footnote reference"/>
    <w:basedOn w:val="21"/>
    <w:semiHidden/>
    <w:qFormat/>
    <w:uiPriority w:val="0"/>
    <w:rPr>
      <w:vertAlign w:val="superscript"/>
    </w:rPr>
  </w:style>
  <w:style w:type="character" w:customStyle="1" w:styleId="24">
    <w:name w:val="页眉 字符"/>
    <w:basedOn w:val="21"/>
    <w:link w:val="14"/>
    <w:qFormat/>
    <w:uiPriority w:val="99"/>
    <w:rPr>
      <w:sz w:val="18"/>
      <w:szCs w:val="18"/>
    </w:rPr>
  </w:style>
  <w:style w:type="character" w:customStyle="1" w:styleId="25">
    <w:name w:val="页脚 字符"/>
    <w:basedOn w:val="21"/>
    <w:link w:val="13"/>
    <w:semiHidden/>
    <w:qFormat/>
    <w:uiPriority w:val="99"/>
    <w:rPr>
      <w:sz w:val="18"/>
      <w:szCs w:val="18"/>
    </w:rPr>
  </w:style>
  <w:style w:type="paragraph" w:customStyle="1" w:styleId="26">
    <w:name w:val="采购一级"/>
    <w:link w:val="27"/>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7">
    <w:name w:val="采购一级 Char"/>
    <w:basedOn w:val="21"/>
    <w:link w:val="26"/>
    <w:qFormat/>
    <w:uiPriority w:val="0"/>
    <w:rPr>
      <w:rFonts w:ascii="方正小标宋简体" w:hAnsi="仿宋" w:eastAsia="方正小标宋简体" w:cs="宋体"/>
      <w:b/>
      <w:color w:val="000000"/>
      <w:kern w:val="44"/>
      <w:sz w:val="36"/>
      <w:szCs w:val="36"/>
    </w:rPr>
  </w:style>
  <w:style w:type="paragraph" w:customStyle="1" w:styleId="28">
    <w:name w:val="采购二级"/>
    <w:link w:val="29"/>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9">
    <w:name w:val="采购二级 Char"/>
    <w:basedOn w:val="21"/>
    <w:link w:val="28"/>
    <w:qFormat/>
    <w:uiPriority w:val="0"/>
    <w:rPr>
      <w:rFonts w:ascii="仿宋" w:hAnsi="仿宋" w:eastAsia="仿宋" w:cs="宋体"/>
      <w:b/>
      <w:color w:val="000000"/>
      <w:kern w:val="24"/>
      <w:sz w:val="28"/>
      <w:szCs w:val="32"/>
    </w:rPr>
  </w:style>
  <w:style w:type="paragraph" w:customStyle="1" w:styleId="30">
    <w:name w:val="采购正文"/>
    <w:link w:val="31"/>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31">
    <w:name w:val="采购正文 Char"/>
    <w:basedOn w:val="21"/>
    <w:link w:val="30"/>
    <w:qFormat/>
    <w:uiPriority w:val="0"/>
    <w:rPr>
      <w:rFonts w:ascii="仿宋" w:hAnsi="仿宋" w:eastAsia="仿宋" w:cs="宋体"/>
      <w:color w:val="000000"/>
      <w:kern w:val="24"/>
      <w:sz w:val="24"/>
      <w:szCs w:val="24"/>
    </w:rPr>
  </w:style>
  <w:style w:type="character" w:customStyle="1" w:styleId="32">
    <w:name w:val="正文文本缩进 字符"/>
    <w:basedOn w:val="21"/>
    <w:link w:val="9"/>
    <w:qFormat/>
    <w:uiPriority w:val="0"/>
    <w:rPr>
      <w:rFonts w:ascii="方正仿宋简体" w:hAnsi="创艺简仿宋" w:eastAsia="方正仿宋简体" w:cs="Times New Roman"/>
      <w:sz w:val="24"/>
      <w:szCs w:val="20"/>
    </w:rPr>
  </w:style>
  <w:style w:type="character" w:customStyle="1" w:styleId="33">
    <w:name w:val="批注框文本 字符"/>
    <w:basedOn w:val="21"/>
    <w:link w:val="12"/>
    <w:semiHidden/>
    <w:qFormat/>
    <w:uiPriority w:val="99"/>
    <w:rPr>
      <w:rFonts w:ascii="Times New Roman" w:hAnsi="Times New Roman" w:eastAsia="楷体_GB2312" w:cs="Times New Roman"/>
      <w:sz w:val="18"/>
      <w:szCs w:val="18"/>
    </w:rPr>
  </w:style>
  <w:style w:type="character" w:customStyle="1" w:styleId="34">
    <w:name w:val="日期 字符"/>
    <w:basedOn w:val="21"/>
    <w:link w:val="11"/>
    <w:qFormat/>
    <w:uiPriority w:val="0"/>
    <w:rPr>
      <w:rFonts w:ascii="宋体" w:hAnsi="宋体" w:eastAsia="楷体_GB2312" w:cs="Times New Roman"/>
      <w:sz w:val="24"/>
      <w:szCs w:val="20"/>
    </w:rPr>
  </w:style>
  <w:style w:type="paragraph" w:customStyle="1" w:styleId="35">
    <w:name w:val="投标一级"/>
    <w:link w:val="37"/>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6">
    <w:name w:val="投标二级"/>
    <w:link w:val="38"/>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7">
    <w:name w:val="投标一级 Char"/>
    <w:basedOn w:val="21"/>
    <w:link w:val="35"/>
    <w:qFormat/>
    <w:uiPriority w:val="0"/>
    <w:rPr>
      <w:rFonts w:ascii="方正小标宋简体" w:hAnsi="仿宋" w:eastAsia="方正小标宋简体" w:cs="Times New Roman"/>
      <w:b/>
      <w:kern w:val="36"/>
      <w:sz w:val="36"/>
      <w:szCs w:val="36"/>
    </w:rPr>
  </w:style>
  <w:style w:type="character" w:customStyle="1" w:styleId="38">
    <w:name w:val="投标二级 Char"/>
    <w:basedOn w:val="21"/>
    <w:link w:val="36"/>
    <w:qFormat/>
    <w:uiPriority w:val="0"/>
    <w:rPr>
      <w:rFonts w:ascii="方正小标宋简体" w:hAnsi="仿宋" w:eastAsia="方正小标宋简体" w:cs="Times New Roman"/>
      <w:bCs/>
      <w:kern w:val="36"/>
      <w:sz w:val="36"/>
      <w:szCs w:val="36"/>
    </w:rPr>
  </w:style>
  <w:style w:type="character" w:customStyle="1" w:styleId="39">
    <w:name w:val="纯文本 字符"/>
    <w:basedOn w:val="21"/>
    <w:link w:val="10"/>
    <w:qFormat/>
    <w:uiPriority w:val="0"/>
    <w:rPr>
      <w:rFonts w:ascii="宋体" w:hAnsi="Courier New" w:eastAsia="楷体_GB2312" w:cs="Times New Roman"/>
      <w:sz w:val="26"/>
      <w:szCs w:val="20"/>
    </w:rPr>
  </w:style>
  <w:style w:type="paragraph" w:customStyle="1" w:styleId="40">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41">
    <w:name w:val="纯文本 Char New"/>
    <w:link w:val="42"/>
    <w:qFormat/>
    <w:uiPriority w:val="0"/>
    <w:rPr>
      <w:rFonts w:ascii="宋体" w:hAnsi="Courier New"/>
      <w:sz w:val="24"/>
    </w:rPr>
  </w:style>
  <w:style w:type="paragraph" w:customStyle="1" w:styleId="42">
    <w:name w:val="纯文本1"/>
    <w:basedOn w:val="1"/>
    <w:link w:val="41"/>
    <w:qFormat/>
    <w:uiPriority w:val="0"/>
    <w:pPr>
      <w:spacing w:line="240" w:lineRule="auto"/>
      <w:ind w:firstLine="0" w:firstLineChars="0"/>
    </w:pPr>
    <w:rPr>
      <w:rFonts w:ascii="宋体" w:hAnsi="Courier New" w:eastAsiaTheme="minorEastAsia" w:cstheme="minorBidi"/>
      <w:sz w:val="24"/>
      <w:szCs w:val="22"/>
    </w:rPr>
  </w:style>
  <w:style w:type="paragraph" w:styleId="43">
    <w:name w:val="List Paragraph"/>
    <w:basedOn w:val="1"/>
    <w:qFormat/>
    <w:uiPriority w:val="34"/>
    <w:pPr>
      <w:ind w:firstLine="420"/>
    </w:pPr>
  </w:style>
  <w:style w:type="character" w:customStyle="1" w:styleId="44">
    <w:name w:val="正文缩进 字符"/>
    <w:basedOn w:val="21"/>
    <w:link w:val="5"/>
    <w:qFormat/>
    <w:uiPriority w:val="0"/>
    <w:rPr>
      <w:rFonts w:ascii="Times New Roman" w:hAnsi="Times New Roman" w:eastAsia="楷体_GB2312" w:cs="Times New Roman"/>
      <w:sz w:val="24"/>
      <w:szCs w:val="20"/>
    </w:rPr>
  </w:style>
  <w:style w:type="character" w:customStyle="1" w:styleId="45">
    <w:name w:val="标题 字符"/>
    <w:basedOn w:val="21"/>
    <w:link w:val="18"/>
    <w:qFormat/>
    <w:uiPriority w:val="10"/>
    <w:rPr>
      <w:rFonts w:eastAsia="宋体" w:asciiTheme="majorHAnsi" w:hAnsiTheme="majorHAnsi" w:cstheme="majorBidi"/>
      <w:b/>
      <w:bCs/>
      <w:sz w:val="32"/>
      <w:szCs w:val="32"/>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7">
    <w:name w:val="题注4"/>
    <w:basedOn w:val="1"/>
    <w:next w:val="6"/>
    <w:qFormat/>
    <w:uiPriority w:val="0"/>
    <w:pPr>
      <w:ind w:left="-132" w:leftChars="-64" w:right="-105" w:rightChars="-50" w:hanging="2"/>
      <w:jc w:val="center"/>
    </w:pPr>
    <w:rPr>
      <w:rFonts w:eastAsia="宋体"/>
      <w:b/>
      <w:color w:val="FF0000"/>
      <w:sz w:val="21"/>
      <w:szCs w:val="21"/>
      <w:lang w:val="en-GB"/>
    </w:rPr>
  </w:style>
  <w:style w:type="character" w:customStyle="1" w:styleId="48">
    <w:name w:val="font101"/>
    <w:basedOn w:val="21"/>
    <w:qFormat/>
    <w:uiPriority w:val="0"/>
    <w:rPr>
      <w:rFonts w:hint="default" w:ascii="Calibri" w:hAnsi="Calibri" w:cs="Calibri"/>
      <w:color w:val="000000"/>
      <w:sz w:val="18"/>
      <w:szCs w:val="18"/>
      <w:u w:val="none"/>
    </w:rPr>
  </w:style>
  <w:style w:type="character" w:customStyle="1" w:styleId="49">
    <w:name w:val="font41"/>
    <w:basedOn w:val="21"/>
    <w:qFormat/>
    <w:uiPriority w:val="0"/>
    <w:rPr>
      <w:rFonts w:hint="eastAsia" w:ascii="宋体" w:hAnsi="宋体" w:eastAsia="宋体" w:cs="宋体"/>
      <w:color w:val="000000"/>
      <w:sz w:val="18"/>
      <w:szCs w:val="18"/>
      <w:u w:val="none"/>
    </w:rPr>
  </w:style>
  <w:style w:type="paragraph" w:customStyle="1" w:styleId="50">
    <w:name w:val="列出段落1"/>
    <w:basedOn w:val="1"/>
    <w:qFormat/>
    <w:uiPriority w:val="34"/>
    <w:pPr>
      <w:ind w:firstLine="420"/>
    </w:p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3">
    <w:name w:val="Table Paragraph"/>
    <w:basedOn w:val="1"/>
    <w:qFormat/>
    <w:uiPriority w:val="1"/>
    <w:pPr>
      <w:spacing w:before="2" w:line="289" w:lineRule="exact"/>
      <w:ind w:left="108"/>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66052-5C73-4A5B-8168-2926C84F2F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3987</Words>
  <Characters>22730</Characters>
  <Lines>189</Lines>
  <Paragraphs>53</Paragraphs>
  <TotalTime>258</TotalTime>
  <ScaleCrop>false</ScaleCrop>
  <LinksUpToDate>false</LinksUpToDate>
  <CharactersWithSpaces>26664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落雨缤纷王</cp:lastModifiedBy>
  <dcterms:modified xsi:type="dcterms:W3CDTF">2021-09-27T09:38:55Z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2E5A583BAD064885A9CC3F8D41BE71DC</vt:lpwstr>
  </property>
</Properties>
</file>